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69E" w:rsidRDefault="00BA43F3" w:rsidP="00EE4F23">
      <w:r>
        <w:rPr>
          <w:noProof/>
          <w:lang w:eastAsia="en-AU"/>
        </w:rPr>
        <w:drawing>
          <wp:anchor distT="0" distB="0" distL="114300" distR="114300" simplePos="0" relativeHeight="251660288" behindDoc="0" locked="0" layoutInCell="1" allowOverlap="1">
            <wp:simplePos x="0" y="0"/>
            <wp:positionH relativeFrom="column">
              <wp:posOffset>381000</wp:posOffset>
            </wp:positionH>
            <wp:positionV relativeFrom="paragraph">
              <wp:posOffset>-138430</wp:posOffset>
            </wp:positionV>
            <wp:extent cx="4989195" cy="99949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Str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195" cy="999490"/>
                    </a:xfrm>
                    <a:prstGeom prst="rect">
                      <a:avLst/>
                    </a:prstGeom>
                  </pic:spPr>
                </pic:pic>
              </a:graphicData>
            </a:graphic>
          </wp:anchor>
        </w:drawing>
      </w:r>
    </w:p>
    <w:p w:rsidR="00413A25" w:rsidRDefault="00413A25" w:rsidP="00EE4F23"/>
    <w:p w:rsidR="00EE3FAB" w:rsidRDefault="00EE3FAB" w:rsidP="00EE4F23"/>
    <w:p w:rsidR="002E59F8" w:rsidRDefault="002E59F8" w:rsidP="00E21243"/>
    <w:p w:rsidR="00E01557" w:rsidRDefault="00E01557" w:rsidP="00E21243"/>
    <w:p w:rsidR="007D3153" w:rsidRPr="00ED5B00" w:rsidRDefault="007D3153" w:rsidP="00E21243"/>
    <w:p w:rsidR="007D3153" w:rsidRDefault="007D3153" w:rsidP="00E21243"/>
    <w:p w:rsidR="00B7508C" w:rsidRDefault="007D3153" w:rsidP="001411E6">
      <w:pPr>
        <w:pStyle w:val="Title"/>
      </w:pPr>
      <w:r w:rsidRPr="00ED5B00">
        <w:t>Regulation Impact Statement for</w:t>
      </w:r>
      <w:r w:rsidR="00B7508C">
        <w:t xml:space="preserve"> the</w:t>
      </w:r>
      <w:r w:rsidR="001411E6">
        <w:br/>
      </w:r>
      <w:r w:rsidR="00B7508C">
        <w:t>National Heavy Vehicle Braking Strategy</w:t>
      </w:r>
      <w:r w:rsidR="001411E6">
        <w:br/>
      </w:r>
      <w:r w:rsidR="00B7508C">
        <w:t>Phase I – Antilock Braking Systems</w:t>
      </w:r>
    </w:p>
    <w:p w:rsidR="00052D2B" w:rsidRPr="00052D2B" w:rsidRDefault="00B7508C" w:rsidP="00B7508C">
      <w:pPr>
        <w:jc w:val="center"/>
      </w:pPr>
      <w:r w:rsidRPr="00DF3183">
        <w:rPr>
          <w:noProof/>
          <w:highlight w:val="yellow"/>
          <w:lang w:eastAsia="en-AU"/>
        </w:rPr>
        <w:drawing>
          <wp:inline distT="0" distB="0" distL="0" distR="0">
            <wp:extent cx="695325" cy="552106"/>
            <wp:effectExtent l="0" t="0" r="0" b="0"/>
            <wp:docPr id="5" name="Picture 5" descr="C:\Users\Steven\Desktop\TEMP DUMP\how-to-understand-the-dashboard-lights-1-12-550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ven\Desktop\TEMP DUMP\how-to-understand-the-dashboard-lights-1-12-550x1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784" cy="554853"/>
                    </a:xfrm>
                    <a:prstGeom prst="rect">
                      <a:avLst/>
                    </a:prstGeom>
                    <a:noFill/>
                    <a:ln>
                      <a:noFill/>
                    </a:ln>
                  </pic:spPr>
                </pic:pic>
              </a:graphicData>
            </a:graphic>
          </wp:inline>
        </w:drawing>
      </w:r>
    </w:p>
    <w:p w:rsidR="007D3153" w:rsidRPr="00ED5B00" w:rsidRDefault="007D3153" w:rsidP="00E21243"/>
    <w:p w:rsidR="007D3153" w:rsidRDefault="001411E6" w:rsidP="00E80696">
      <w:pPr>
        <w:pStyle w:val="SubTitle1"/>
      </w:pPr>
      <w:r>
        <w:t>Amendments to:</w:t>
      </w:r>
    </w:p>
    <w:p w:rsidR="001411E6" w:rsidRDefault="001411E6" w:rsidP="00666E66">
      <w:pPr>
        <w:pStyle w:val="SubTitle1"/>
        <w:numPr>
          <w:ilvl w:val="0"/>
          <w:numId w:val="5"/>
        </w:numPr>
      </w:pPr>
      <w:r>
        <w:t xml:space="preserve">Vehicle Standard (Australian Design Rule 35/03—Commercial Vehicle Brake </w:t>
      </w:r>
      <w:r w:rsidRPr="008C6576">
        <w:t>Systems) 200</w:t>
      </w:r>
      <w:r w:rsidR="00E80696" w:rsidRPr="008C6576">
        <w:t>9</w:t>
      </w:r>
      <w:r w:rsidRPr="008C6576">
        <w:t>;</w:t>
      </w:r>
    </w:p>
    <w:p w:rsidR="001411E6" w:rsidRPr="008C6576" w:rsidRDefault="001411E6" w:rsidP="00666E66">
      <w:pPr>
        <w:pStyle w:val="SubTitle1"/>
        <w:numPr>
          <w:ilvl w:val="0"/>
          <w:numId w:val="5"/>
        </w:numPr>
      </w:pPr>
      <w:r w:rsidRPr="008C6576">
        <w:t>Vehicle Standard (Australian Design Rule 38/03—Trailer Brake Systems) 200</w:t>
      </w:r>
      <w:r w:rsidR="00E80696" w:rsidRPr="008C6576">
        <w:t>7</w:t>
      </w:r>
    </w:p>
    <w:p w:rsidR="001411E6" w:rsidRPr="00ED5B00" w:rsidRDefault="001411E6" w:rsidP="00E21243"/>
    <w:p w:rsidR="00E80696" w:rsidRPr="00E80696" w:rsidRDefault="005F7A69" w:rsidP="00E80696">
      <w:pPr>
        <w:pStyle w:val="SubTitle1"/>
        <w:tabs>
          <w:tab w:val="left" w:pos="2400"/>
        </w:tabs>
      </w:pPr>
      <w:r>
        <w:t>December</w:t>
      </w:r>
      <w:r w:rsidR="0051517D">
        <w:t xml:space="preserve"> </w:t>
      </w:r>
      <w:r w:rsidR="007D3153">
        <w:t>201</w:t>
      </w:r>
      <w:r w:rsidR="004F372D">
        <w:t>3</w:t>
      </w:r>
      <w:r w:rsidR="00E80696">
        <w:br/>
        <w:t xml:space="preserve">OBPR Ref No. </w:t>
      </w:r>
      <w:r w:rsidR="00B26FDE">
        <w:t>14546</w:t>
      </w:r>
    </w:p>
    <w:p w:rsidR="007D3153" w:rsidRPr="00E876D7" w:rsidRDefault="00DB09C0" w:rsidP="00E21243">
      <w:pPr>
        <w:rPr>
          <w:b/>
          <w:bCs/>
        </w:rPr>
      </w:pPr>
      <w:r w:rsidRPr="00DB09C0">
        <w:rPr>
          <w:rStyle w:val="Strong"/>
        </w:rPr>
        <w:t>Prepared by</w:t>
      </w:r>
      <w:proofErr w:type="gramStart"/>
      <w:r w:rsidRPr="00DB09C0">
        <w:rPr>
          <w:rStyle w:val="Strong"/>
        </w:rPr>
        <w:t>:</w:t>
      </w:r>
      <w:proofErr w:type="gramEnd"/>
      <w:r w:rsidR="00E876D7">
        <w:rPr>
          <w:rStyle w:val="Strong"/>
        </w:rPr>
        <w:br/>
      </w:r>
      <w:r w:rsidR="007D3153" w:rsidRPr="00ED5B00">
        <w:t>Vehicle Safety Standards</w:t>
      </w:r>
      <w:r w:rsidR="00E876D7">
        <w:br/>
      </w:r>
      <w:r w:rsidR="0051517D" w:rsidRPr="0051517D">
        <w:t>Department of Infrastructure and Regional Development</w:t>
      </w:r>
      <w:r w:rsidR="00E876D7">
        <w:br/>
      </w:r>
      <w:r w:rsidR="007D3153">
        <w:t>Canberra, Australia</w:t>
      </w:r>
      <w:r w:rsidR="007D3153" w:rsidRPr="00ED5B00">
        <w:br w:type="page"/>
      </w:r>
    </w:p>
    <w:p w:rsidR="00E21243" w:rsidRDefault="00E21243" w:rsidP="00E21243">
      <w:pPr>
        <w:pStyle w:val="boldcentred"/>
      </w:pPr>
      <w:r w:rsidRPr="00E21243">
        <w:lastRenderedPageBreak/>
        <w:t>Report Documentation Page</w:t>
      </w:r>
    </w:p>
    <w:tbl>
      <w:tblPr>
        <w:tblW w:w="9395" w:type="dxa"/>
        <w:tblLook w:val="04A0" w:firstRow="1" w:lastRow="0" w:firstColumn="1" w:lastColumn="0" w:noHBand="0" w:noVBand="1"/>
      </w:tblPr>
      <w:tblGrid>
        <w:gridCol w:w="2310"/>
        <w:gridCol w:w="2310"/>
        <w:gridCol w:w="1028"/>
        <w:gridCol w:w="1436"/>
        <w:gridCol w:w="2311"/>
      </w:tblGrid>
      <w:tr w:rsidR="00E21243" w:rsidTr="00764BCA">
        <w:tc>
          <w:tcPr>
            <w:tcW w:w="2310" w:type="dxa"/>
            <w:tcBorders>
              <w:top w:val="single" w:sz="4" w:space="0" w:color="auto"/>
              <w:left w:val="single" w:sz="4" w:space="0" w:color="auto"/>
              <w:bottom w:val="single" w:sz="4" w:space="0" w:color="auto"/>
              <w:right w:val="single" w:sz="4" w:space="0" w:color="auto"/>
            </w:tcBorders>
          </w:tcPr>
          <w:p w:rsidR="00E21243" w:rsidRDefault="00E21243" w:rsidP="00E21243">
            <w:pPr>
              <w:pStyle w:val="rdpheadings"/>
            </w:pPr>
            <w:r>
              <w:t>Report No.</w:t>
            </w:r>
          </w:p>
          <w:p w:rsidR="00E21243" w:rsidRDefault="00E21243" w:rsidP="00E21243">
            <w:pPr>
              <w:pStyle w:val="rdpheadings"/>
            </w:pPr>
          </w:p>
          <w:p w:rsidR="00E21243" w:rsidRDefault="00F945C0" w:rsidP="00C21E05">
            <w:pPr>
              <w:pStyle w:val="rdpcontent"/>
            </w:pPr>
            <w:r>
              <w:t>DIT VS</w:t>
            </w:r>
            <w:bookmarkStart w:id="0" w:name="_GoBack"/>
            <w:bookmarkEnd w:id="0"/>
            <w:r>
              <w:t>S 03/201</w:t>
            </w:r>
            <w:r w:rsidR="00B26FDE">
              <w:t>3</w:t>
            </w:r>
          </w:p>
        </w:tc>
        <w:tc>
          <w:tcPr>
            <w:tcW w:w="2310" w:type="dxa"/>
            <w:tcBorders>
              <w:top w:val="single" w:sz="4" w:space="0" w:color="auto"/>
              <w:left w:val="single" w:sz="4" w:space="0" w:color="auto"/>
              <w:bottom w:val="single" w:sz="4" w:space="0" w:color="auto"/>
              <w:right w:val="single" w:sz="4" w:space="0" w:color="auto"/>
            </w:tcBorders>
          </w:tcPr>
          <w:p w:rsidR="00E21243" w:rsidRDefault="00C21E05" w:rsidP="00C21E05">
            <w:pPr>
              <w:pStyle w:val="rdpheadings"/>
            </w:pPr>
            <w:r>
              <w:t>Report Date</w:t>
            </w:r>
          </w:p>
          <w:p w:rsidR="00C21E05" w:rsidRDefault="00C21E05" w:rsidP="00C21E05">
            <w:pPr>
              <w:pStyle w:val="rdpheadings"/>
            </w:pPr>
          </w:p>
          <w:p w:rsidR="00C21E05" w:rsidRDefault="005F7A69" w:rsidP="00C21E05">
            <w:pPr>
              <w:pStyle w:val="rdpcontent"/>
            </w:pPr>
            <w:r>
              <w:t>December</w:t>
            </w:r>
            <w:r w:rsidRPr="009A5F6F">
              <w:t xml:space="preserve"> </w:t>
            </w:r>
            <w:r w:rsidR="00E96A97">
              <w:t>2013</w:t>
            </w:r>
          </w:p>
        </w:tc>
        <w:tc>
          <w:tcPr>
            <w:tcW w:w="2464" w:type="dxa"/>
            <w:gridSpan w:val="2"/>
            <w:tcBorders>
              <w:top w:val="single" w:sz="4" w:space="0" w:color="auto"/>
              <w:left w:val="single" w:sz="4" w:space="0" w:color="auto"/>
              <w:bottom w:val="single" w:sz="4" w:space="0" w:color="auto"/>
              <w:right w:val="single" w:sz="4" w:space="0" w:color="auto"/>
            </w:tcBorders>
          </w:tcPr>
          <w:p w:rsidR="00E21243" w:rsidRDefault="00C21E05" w:rsidP="00C21E05">
            <w:pPr>
              <w:pStyle w:val="rdpheadings"/>
            </w:pPr>
            <w:r>
              <w:t>File No.</w:t>
            </w:r>
          </w:p>
          <w:p w:rsidR="00C21E05" w:rsidRDefault="00C21E05" w:rsidP="00C21E05">
            <w:pPr>
              <w:pStyle w:val="rdpheadings"/>
            </w:pPr>
          </w:p>
          <w:p w:rsidR="00C21E05" w:rsidRDefault="00C72883" w:rsidP="00DB09C0">
            <w:pPr>
              <w:pStyle w:val="rdpcontent"/>
            </w:pPr>
            <w:r>
              <w:t>M2006/0817</w:t>
            </w:r>
          </w:p>
        </w:tc>
        <w:tc>
          <w:tcPr>
            <w:tcW w:w="2311" w:type="dxa"/>
            <w:tcBorders>
              <w:top w:val="single" w:sz="4" w:space="0" w:color="auto"/>
              <w:left w:val="single" w:sz="4" w:space="0" w:color="auto"/>
              <w:bottom w:val="single" w:sz="4" w:space="0" w:color="auto"/>
              <w:right w:val="single" w:sz="4" w:space="0" w:color="auto"/>
            </w:tcBorders>
          </w:tcPr>
          <w:p w:rsidR="00E21243" w:rsidRDefault="00C21E05" w:rsidP="00C21E05">
            <w:pPr>
              <w:pStyle w:val="rdpheadings"/>
            </w:pPr>
            <w:r>
              <w:t>OBPR Reference No.</w:t>
            </w:r>
          </w:p>
          <w:p w:rsidR="00C21E05" w:rsidRDefault="00C21E05" w:rsidP="00C21E05">
            <w:pPr>
              <w:pStyle w:val="rdpheadings"/>
            </w:pPr>
          </w:p>
          <w:p w:rsidR="00C21E05" w:rsidRDefault="00B26FDE" w:rsidP="00C21E05">
            <w:pPr>
              <w:pStyle w:val="rdpcontent"/>
            </w:pPr>
            <w:r>
              <w:t>14546</w:t>
            </w:r>
          </w:p>
        </w:tc>
      </w:tr>
      <w:tr w:rsidR="00C21E05" w:rsidTr="00764BCA">
        <w:tc>
          <w:tcPr>
            <w:tcW w:w="9395" w:type="dxa"/>
            <w:gridSpan w:val="5"/>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Title and Subtitle</w:t>
            </w:r>
          </w:p>
          <w:p w:rsidR="00C21E05" w:rsidRDefault="00C21E05" w:rsidP="00C21E05">
            <w:pPr>
              <w:pStyle w:val="rdpheadings"/>
            </w:pPr>
          </w:p>
          <w:p w:rsidR="00C21E05" w:rsidRDefault="00C21E05" w:rsidP="00282D16">
            <w:pPr>
              <w:pStyle w:val="rdpcontent"/>
            </w:pPr>
            <w:r>
              <w:t xml:space="preserve">Regulation Impact Statement for the </w:t>
            </w:r>
            <w:r w:rsidR="00282D16">
              <w:t>National Heavy Vehicle Braking Strategy</w:t>
            </w:r>
          </w:p>
        </w:tc>
      </w:tr>
      <w:tr w:rsidR="00C21E05" w:rsidTr="00764BCA">
        <w:tc>
          <w:tcPr>
            <w:tcW w:w="9395" w:type="dxa"/>
            <w:gridSpan w:val="5"/>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Organisation Performing Analysis</w:t>
            </w:r>
          </w:p>
          <w:p w:rsidR="00C21E05" w:rsidRDefault="00C21E05" w:rsidP="00C21E05">
            <w:pPr>
              <w:pStyle w:val="rdpheadings"/>
            </w:pPr>
          </w:p>
          <w:p w:rsidR="00C21E05" w:rsidRDefault="00C21E05" w:rsidP="00C21E05">
            <w:pPr>
              <w:pStyle w:val="rdpcontent"/>
            </w:pPr>
            <w:r>
              <w:t>Standards and International</w:t>
            </w:r>
            <w:r>
              <w:br/>
              <w:t>Vehicle Safety Standards Branch</w:t>
            </w:r>
            <w:r>
              <w:br/>
            </w:r>
            <w:r w:rsidR="0051517D" w:rsidRPr="0051517D">
              <w:t>Department of Infrastructure and Regional Development</w:t>
            </w:r>
          </w:p>
        </w:tc>
      </w:tr>
      <w:tr w:rsidR="00C21E05" w:rsidTr="00764BCA">
        <w:tc>
          <w:tcPr>
            <w:tcW w:w="9395" w:type="dxa"/>
            <w:gridSpan w:val="5"/>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Regulatory Agency</w:t>
            </w:r>
          </w:p>
          <w:p w:rsidR="00C21E05" w:rsidRDefault="00C21E05" w:rsidP="00C21E05">
            <w:pPr>
              <w:pStyle w:val="rdpheadings"/>
            </w:pPr>
          </w:p>
          <w:p w:rsidR="00C21E05" w:rsidRDefault="0051517D" w:rsidP="00C21E05">
            <w:pPr>
              <w:pStyle w:val="rdpcontent"/>
            </w:pPr>
            <w:r w:rsidRPr="0051517D">
              <w:t>Department of Infrastructure and Regional Development</w:t>
            </w:r>
            <w:r w:rsidR="00C21E05">
              <w:br/>
              <w:t>GPO Box 594</w:t>
            </w:r>
            <w:r w:rsidR="00C21E05">
              <w:br/>
              <w:t>Canberra  ACT  2601</w:t>
            </w:r>
          </w:p>
        </w:tc>
      </w:tr>
      <w:tr w:rsidR="00C21E05" w:rsidTr="00764BCA">
        <w:tc>
          <w:tcPr>
            <w:tcW w:w="4620" w:type="dxa"/>
            <w:gridSpan w:val="2"/>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Key Words</w:t>
            </w:r>
          </w:p>
          <w:p w:rsidR="00C21E05" w:rsidRDefault="00C21E05" w:rsidP="00C21E05">
            <w:pPr>
              <w:pStyle w:val="rdpheadings"/>
            </w:pPr>
          </w:p>
          <w:p w:rsidR="00C21E05" w:rsidRDefault="008C6576" w:rsidP="00D549DF">
            <w:pPr>
              <w:pStyle w:val="rdpcontent"/>
            </w:pPr>
            <w:r w:rsidRPr="00BA2EFA">
              <w:t xml:space="preserve">Antilock Braking Systems, National Heavy Vehicle Braking Strategy, Heavy vehicle braking, </w:t>
            </w:r>
            <w:proofErr w:type="gramStart"/>
            <w:r w:rsidRPr="00BA2EFA">
              <w:t>Phase</w:t>
            </w:r>
            <w:proofErr w:type="gramEnd"/>
            <w:r w:rsidRPr="00BA2EFA">
              <w:t xml:space="preserve"> I, Electronic Braking Systems, Electronic Stability Control.</w:t>
            </w:r>
          </w:p>
        </w:tc>
        <w:tc>
          <w:tcPr>
            <w:tcW w:w="4775" w:type="dxa"/>
            <w:gridSpan w:val="3"/>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Distribution Statement</w:t>
            </w:r>
          </w:p>
          <w:p w:rsidR="00C21E05" w:rsidRDefault="00C21E05" w:rsidP="00C21E05">
            <w:pPr>
              <w:pStyle w:val="rdpheadings"/>
            </w:pPr>
          </w:p>
          <w:p w:rsidR="00C21E05" w:rsidRDefault="00C21E05" w:rsidP="00D549DF">
            <w:pPr>
              <w:pStyle w:val="rdpcontent"/>
            </w:pPr>
            <w:r>
              <w:t xml:space="preserve">Document is available to public through the website: </w:t>
            </w:r>
            <w:hyperlink r:id="rId11" w:history="1">
              <w:r w:rsidR="00D549DF" w:rsidRPr="00A928A2">
                <w:rPr>
                  <w:rStyle w:val="Hyperlink"/>
                </w:rPr>
                <w:t>www.infrastructure.gov.au</w:t>
              </w:r>
            </w:hyperlink>
            <w:r w:rsidR="00D549DF">
              <w:t xml:space="preserve"> </w:t>
            </w:r>
          </w:p>
        </w:tc>
      </w:tr>
      <w:tr w:rsidR="00C21E05" w:rsidTr="00764BCA">
        <w:tc>
          <w:tcPr>
            <w:tcW w:w="4620" w:type="dxa"/>
            <w:gridSpan w:val="2"/>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Security Classification</w:t>
            </w:r>
          </w:p>
          <w:p w:rsidR="00C21E05" w:rsidRDefault="00C21E05" w:rsidP="00C21E05">
            <w:pPr>
              <w:pStyle w:val="rdpheadings"/>
            </w:pPr>
          </w:p>
          <w:p w:rsidR="00C21E05" w:rsidRDefault="00C21E05" w:rsidP="00D549DF">
            <w:pPr>
              <w:pStyle w:val="rdpcontent"/>
            </w:pPr>
            <w:r>
              <w:t>Unclassified</w:t>
            </w:r>
          </w:p>
        </w:tc>
        <w:tc>
          <w:tcPr>
            <w:tcW w:w="1028" w:type="dxa"/>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No. Pages</w:t>
            </w:r>
          </w:p>
          <w:p w:rsidR="00D549DF" w:rsidRDefault="00D549DF" w:rsidP="00C21E05">
            <w:pPr>
              <w:pStyle w:val="rdpheadings"/>
            </w:pPr>
          </w:p>
          <w:p w:rsidR="00D549DF" w:rsidRDefault="009169FE" w:rsidP="00DB09C0">
            <w:pPr>
              <w:pStyle w:val="rdpcontent"/>
            </w:pPr>
            <w:fldSimple w:instr=" NUMPAGES   \* MERGEFORMAT ">
              <w:r w:rsidR="00546CD0">
                <w:rPr>
                  <w:noProof/>
                </w:rPr>
                <w:t>114</w:t>
              </w:r>
            </w:fldSimple>
          </w:p>
        </w:tc>
        <w:tc>
          <w:tcPr>
            <w:tcW w:w="3747" w:type="dxa"/>
            <w:gridSpan w:val="2"/>
            <w:tcBorders>
              <w:top w:val="single" w:sz="4" w:space="0" w:color="auto"/>
              <w:left w:val="single" w:sz="4" w:space="0" w:color="auto"/>
              <w:bottom w:val="single" w:sz="4" w:space="0" w:color="auto"/>
              <w:right w:val="single" w:sz="4" w:space="0" w:color="auto"/>
            </w:tcBorders>
          </w:tcPr>
          <w:p w:rsidR="00C21E05" w:rsidRDefault="00C21E05" w:rsidP="00C21E05">
            <w:pPr>
              <w:pStyle w:val="rdpheadings"/>
            </w:pPr>
            <w:r>
              <w:t>Price</w:t>
            </w:r>
          </w:p>
          <w:p w:rsidR="00C21E05" w:rsidRDefault="00C21E05" w:rsidP="00C21E05">
            <w:pPr>
              <w:pStyle w:val="rdpheadings"/>
            </w:pPr>
          </w:p>
          <w:p w:rsidR="00C21E05" w:rsidRDefault="00C21E05" w:rsidP="00D549DF">
            <w:pPr>
              <w:pStyle w:val="rdpcontent"/>
            </w:pPr>
            <w:r>
              <w:t>No charge</w:t>
            </w:r>
          </w:p>
        </w:tc>
      </w:tr>
    </w:tbl>
    <w:p w:rsidR="00E21243" w:rsidRDefault="00E21243" w:rsidP="00E21243"/>
    <w:p w:rsidR="008D5A0B" w:rsidRDefault="008D5A0B">
      <w:pPr>
        <w:spacing w:after="200" w:line="276" w:lineRule="auto"/>
      </w:pPr>
      <w:r>
        <w:br w:type="page"/>
      </w:r>
    </w:p>
    <w:p w:rsidR="00E21243" w:rsidRDefault="00957543" w:rsidP="002C3C3F">
      <w:pPr>
        <w:pStyle w:val="appendixheadings"/>
      </w:pPr>
      <w:bookmarkStart w:id="1" w:name="_Toc319933933"/>
      <w:bookmarkStart w:id="2" w:name="_Toc375302795"/>
      <w:r>
        <w:lastRenderedPageBreak/>
        <w:t>Abstract</w:t>
      </w:r>
      <w:bookmarkEnd w:id="1"/>
      <w:bookmarkEnd w:id="2"/>
    </w:p>
    <w:p w:rsidR="0048769E" w:rsidRPr="00AC158D" w:rsidRDefault="0048769E" w:rsidP="00AC158D">
      <w:pPr>
        <w:pStyle w:val="Abstract"/>
      </w:pPr>
      <w:r w:rsidRPr="00AC158D">
        <w:t xml:space="preserve">The cost of road crashes on the Australian community is significant, estimated to be at least $27 billion per annum.  Road crashes relating to heavy commercial vehicles have drawn considerable attention, with growing interest in braking and stability performance through systems such as Antilock Brake Systems (ABS), Electronic Braking Systems (EBS) and Electronic Stability Control (ESC).  These technologies are increasingly being mandated in some overseas </w:t>
      </w:r>
      <w:r w:rsidR="00FD67A5" w:rsidRPr="00AC158D">
        <w:t xml:space="preserve">regulations.  </w:t>
      </w:r>
      <w:r w:rsidRPr="00AC158D">
        <w:t>In Australia, the braking performance of new heavy commercial vehicles is regulated through national vehicle standards, Australian Design Rules (ADR) 35—Commercial Vehicle Brake Systems and 38—Trailer Brake Systems</w:t>
      </w:r>
      <w:r w:rsidR="00F92883" w:rsidRPr="00AC158D">
        <w:t>.</w:t>
      </w:r>
    </w:p>
    <w:p w:rsidR="0048769E" w:rsidRPr="00AC158D" w:rsidRDefault="00F92883" w:rsidP="00AC158D">
      <w:pPr>
        <w:pStyle w:val="Abstract"/>
      </w:pPr>
      <w:r w:rsidRPr="00AC158D">
        <w:t>F</w:t>
      </w:r>
      <w:r w:rsidR="0048769E" w:rsidRPr="00AC158D">
        <w:t xml:space="preserve">ollowing a full Australian Government review of ADRs 35 and 38 and a further extensive public consultation process, the </w:t>
      </w:r>
      <w:r w:rsidRPr="00AC158D">
        <w:t>National Transport Commission (</w:t>
      </w:r>
      <w:r w:rsidR="0048769E" w:rsidRPr="00AC158D">
        <w:t>NTC</w:t>
      </w:r>
      <w:r w:rsidRPr="00AC158D">
        <w:t>)</w:t>
      </w:r>
      <w:r w:rsidR="0048769E" w:rsidRPr="00AC158D">
        <w:t xml:space="preserve"> and the </w:t>
      </w:r>
      <w:r w:rsidR="0051517D" w:rsidRPr="0051517D">
        <w:t>Department of Infrastructure and Regional Development</w:t>
      </w:r>
      <w:r w:rsidR="0048769E" w:rsidRPr="00AC158D">
        <w:t xml:space="preserve"> developed the National Heavy Vehicle Braking Strategy (NHVBS).  The NHVBS was intended to chart a path </w:t>
      </w:r>
      <w:r w:rsidR="0038371A">
        <w:t>for</w:t>
      </w:r>
      <w:r w:rsidR="0038371A" w:rsidRPr="00AC158D">
        <w:t xml:space="preserve"> </w:t>
      </w:r>
      <w:r w:rsidR="0048769E" w:rsidRPr="00AC158D">
        <w:t xml:space="preserve">progressive revision of the heavy commercial vehicle ADRs, with the aim of improving braking safety performance.  In 2011, the NHVBS was divided into two parts: Phase I and Phase II.  </w:t>
      </w:r>
      <w:r w:rsidR="00455305">
        <w:t>Phase I</w:t>
      </w:r>
      <w:r w:rsidR="0038371A">
        <w:t xml:space="preserve"> was listed among the initial </w:t>
      </w:r>
      <w:proofErr w:type="gramStart"/>
      <w:r w:rsidR="0038371A">
        <w:t>actions,</w:t>
      </w:r>
      <w:proofErr w:type="gramEnd"/>
      <w:r w:rsidR="0038371A">
        <w:t xml:space="preserve"> and Phase II the future actions, in the </w:t>
      </w:r>
      <w:r w:rsidR="0038371A" w:rsidRPr="0038371A">
        <w:t>National Road Safety Strategy 2011-2020 (NRSS)</w:t>
      </w:r>
      <w:r w:rsidR="0038371A">
        <w:t>.</w:t>
      </w:r>
    </w:p>
    <w:p w:rsidR="000819CE" w:rsidRDefault="00F6173F" w:rsidP="00AC158D">
      <w:pPr>
        <w:pStyle w:val="Abstract"/>
      </w:pPr>
      <w:r w:rsidRPr="00C779B7">
        <w:t>This Regulation Impact Statement (RIS) examine</w:t>
      </w:r>
      <w:r>
        <w:t>s</w:t>
      </w:r>
      <w:r w:rsidRPr="00C779B7">
        <w:t xml:space="preserve"> the </w:t>
      </w:r>
      <w:r>
        <w:t xml:space="preserve">options for improving the </w:t>
      </w:r>
      <w:proofErr w:type="gramStart"/>
      <w:r>
        <w:t>braking</w:t>
      </w:r>
      <w:proofErr w:type="gramEnd"/>
      <w:r>
        <w:t xml:space="preserve"> of heavy vehicles, consistent </w:t>
      </w:r>
      <w:r w:rsidRPr="00C779B7">
        <w:t xml:space="preserve">with </w:t>
      </w:r>
      <w:r>
        <w:t xml:space="preserve">the aims of </w:t>
      </w:r>
      <w:r w:rsidRPr="00C779B7">
        <w:t xml:space="preserve">Phase I of the NHVBS.  </w:t>
      </w:r>
      <w:r w:rsidR="0048769E" w:rsidRPr="00AC158D">
        <w:t xml:space="preserve">  </w:t>
      </w:r>
      <w:r w:rsidR="00ED5902">
        <w:t xml:space="preserve">In particular, it looks at ways of increasing the installation </w:t>
      </w:r>
      <w:proofErr w:type="gramStart"/>
      <w:r w:rsidR="00ED5902">
        <w:t xml:space="preserve">of </w:t>
      </w:r>
      <w:r w:rsidR="0048769E" w:rsidRPr="00AC158D">
        <w:t xml:space="preserve"> ABS</w:t>
      </w:r>
      <w:proofErr w:type="gramEnd"/>
      <w:r w:rsidR="002C3C3F">
        <w:t xml:space="preserve"> in heavy commercial vehicles.  ABS is </w:t>
      </w:r>
      <w:r w:rsidR="0048769E" w:rsidRPr="00AC158D">
        <w:t>a technology that prevents wheels from locking w</w:t>
      </w:r>
      <w:r w:rsidR="00F92883" w:rsidRPr="00AC158D">
        <w:t xml:space="preserve">hen the vehicle is overbraked. </w:t>
      </w:r>
      <w:r w:rsidR="00FD67A5" w:rsidRPr="00AC158D">
        <w:t xml:space="preserve"> </w:t>
      </w:r>
      <w:r w:rsidR="0048769E" w:rsidRPr="00AC158D">
        <w:t xml:space="preserve">For the purposes of this RIS, heavy commercial vehicles are new vehicles greater than 4.5 tonnes Gross Vehicle Mass (GVM) that are represented by the </w:t>
      </w:r>
      <w:r w:rsidR="005279EC" w:rsidRPr="00AC158D">
        <w:t xml:space="preserve">ADR </w:t>
      </w:r>
      <w:r w:rsidR="0048769E" w:rsidRPr="00AC158D">
        <w:t xml:space="preserve">vehicle categories </w:t>
      </w:r>
      <w:r w:rsidR="005279EC" w:rsidRPr="00AC158D">
        <w:t xml:space="preserve">of </w:t>
      </w:r>
      <w:r w:rsidR="0048769E" w:rsidRPr="00AC158D">
        <w:t xml:space="preserve">NB2, NC, MD4, ME, TC and TD.  </w:t>
      </w:r>
    </w:p>
    <w:p w:rsidR="00F92883" w:rsidRPr="00AC158D" w:rsidRDefault="0048769E" w:rsidP="00AC158D">
      <w:pPr>
        <w:pStyle w:val="Abstract"/>
      </w:pPr>
      <w:r w:rsidRPr="00AC158D">
        <w:t xml:space="preserve">Within the RIS, four broad options were </w:t>
      </w:r>
      <w:r w:rsidR="00D95A08">
        <w:t>considered: O</w:t>
      </w:r>
      <w:r w:rsidRPr="00AC158D">
        <w:t>ption 1</w:t>
      </w:r>
      <w:r w:rsidR="00D95A08">
        <w:t>—n</w:t>
      </w:r>
      <w:r w:rsidRPr="00AC158D">
        <w:t>o intervention; Option 2</w:t>
      </w:r>
      <w:r w:rsidR="00D95A08">
        <w:t>—a</w:t>
      </w:r>
      <w:r w:rsidRPr="00AC158D">
        <w:t>mend ADRs 35 and 38 to require ABS; Option 3</w:t>
      </w:r>
      <w:r w:rsidR="00D95A08">
        <w:t>—d</w:t>
      </w:r>
      <w:r w:rsidRPr="00AC158D">
        <w:t xml:space="preserve">elete ADRs 35 and 38; </w:t>
      </w:r>
      <w:r w:rsidR="00D95A08">
        <w:t xml:space="preserve">and </w:t>
      </w:r>
      <w:r w:rsidRPr="00AC158D">
        <w:t>Option 4</w:t>
      </w:r>
      <w:r w:rsidR="00D95A08">
        <w:t>—a</w:t>
      </w:r>
      <w:r w:rsidRPr="00AC158D">
        <w:t xml:space="preserve">dopt a non-regulatory option.  </w:t>
      </w:r>
      <w:r w:rsidR="00ED5902">
        <w:t>The RIS recommends option 2, which through</w:t>
      </w:r>
      <w:r w:rsidR="00F92883" w:rsidRPr="00AC158D">
        <w:t xml:space="preserve"> mandating ABS would provide the community with net benefits of $</w:t>
      </w:r>
      <w:r w:rsidR="00DA5FFE">
        <w:t>46-</w:t>
      </w:r>
      <w:r w:rsidR="00CC0421">
        <w:t>7</w:t>
      </w:r>
      <w:r w:rsidR="00FC171B">
        <w:t>3</w:t>
      </w:r>
      <w:r w:rsidR="009D0739" w:rsidRPr="00AC158D">
        <w:t xml:space="preserve">m </w:t>
      </w:r>
      <w:r w:rsidR="00F92883" w:rsidRPr="00AC158D">
        <w:t xml:space="preserve">and save </w:t>
      </w:r>
      <w:r w:rsidR="00DA5FFE">
        <w:t>36-</w:t>
      </w:r>
      <w:r w:rsidR="00CC0421">
        <w:t>57</w:t>
      </w:r>
      <w:r w:rsidR="009D0739" w:rsidRPr="00AC158D">
        <w:t xml:space="preserve"> </w:t>
      </w:r>
      <w:r w:rsidR="00F92883" w:rsidRPr="00AC158D">
        <w:t>lives over a period of</w:t>
      </w:r>
      <w:r w:rsidR="009D0739">
        <w:t xml:space="preserve"> 30 years that include</w:t>
      </w:r>
      <w:r w:rsidR="00F92883" w:rsidRPr="00AC158D">
        <w:t xml:space="preserve"> </w:t>
      </w:r>
      <w:r w:rsidR="009D0739">
        <w:t>4</w:t>
      </w:r>
      <w:r w:rsidR="009D0739" w:rsidRPr="00AC158D">
        <w:t xml:space="preserve"> </w:t>
      </w:r>
      <w:r w:rsidR="00F92883" w:rsidRPr="00AC158D">
        <w:t>years of operation of the regul</w:t>
      </w:r>
      <w:r w:rsidR="00B70E42">
        <w:t>ation</w:t>
      </w:r>
      <w:r w:rsidR="00C86FA0">
        <w:t xml:space="preserve"> before the introduction of Phase II</w:t>
      </w:r>
      <w:r w:rsidR="00B70E42">
        <w:t xml:space="preserve">.  The benefit-cost ratio </w:t>
      </w:r>
      <w:r w:rsidR="00F92883" w:rsidRPr="00AC158D">
        <w:t>was 1.</w:t>
      </w:r>
      <w:r w:rsidR="009D0739">
        <w:t>5</w:t>
      </w:r>
      <w:r w:rsidR="00F92883" w:rsidRPr="00AC158D">
        <w:t>.</w:t>
      </w:r>
      <w:r w:rsidR="00FD67A5" w:rsidRPr="00AC158D">
        <w:t xml:space="preserve">  </w:t>
      </w:r>
      <w:r w:rsidR="00ED5902">
        <w:t xml:space="preserve">It is </w:t>
      </w:r>
      <w:r w:rsidR="00FD67A5" w:rsidRPr="00AC158D">
        <w:t>proposed to come into force from 1 January 2014.</w:t>
      </w:r>
      <w:r w:rsidR="00FC171B">
        <w:t xml:space="preserve">  A</w:t>
      </w:r>
      <w:r w:rsidR="00C86FA0">
        <w:t xml:space="preserve"> sub-</w:t>
      </w:r>
      <w:r w:rsidR="00FC171B">
        <w:t xml:space="preserve">option for trailer manufacturers to fit Load Proportioning (LP) </w:t>
      </w:r>
      <w:r w:rsidR="001A1CE6">
        <w:t xml:space="preserve">braking </w:t>
      </w:r>
      <w:r w:rsidR="00FC171B">
        <w:t>systems was also recommended</w:t>
      </w:r>
      <w:r w:rsidR="00455305">
        <w:t>. While practical and expediting the Phase I timetable, this would give less certainty to the magnitude of the</w:t>
      </w:r>
      <w:r w:rsidR="00FC171B">
        <w:t xml:space="preserve"> benefits</w:t>
      </w:r>
      <w:r w:rsidR="00455305">
        <w:t>.</w:t>
      </w:r>
      <w:r w:rsidR="000819CE">
        <w:t xml:space="preserve"> </w:t>
      </w:r>
      <w:r w:rsidR="006D5526">
        <w:t xml:space="preserve">With the </w:t>
      </w:r>
      <w:r w:rsidR="009A4470">
        <w:t>further agreement</w:t>
      </w:r>
      <w:r w:rsidR="006D5526">
        <w:t xml:space="preserve"> of industry, t</w:t>
      </w:r>
      <w:r w:rsidR="000819CE">
        <w:t>he</w:t>
      </w:r>
      <w:r w:rsidR="006D5526">
        <w:t xml:space="preserve"> proposal was </w:t>
      </w:r>
      <w:r w:rsidR="009A4470">
        <w:t xml:space="preserve">also </w:t>
      </w:r>
      <w:r w:rsidR="006D5526">
        <w:t>broadened to include new goods vehicles greater than 3.5 tonnes GVM and less than 4.5 tonnes. These vehicles</w:t>
      </w:r>
      <w:r w:rsidR="006D5526" w:rsidRPr="00AC158D">
        <w:t xml:space="preserve"> are represented by the ADR </w:t>
      </w:r>
      <w:r w:rsidR="006D5526">
        <w:t>vehicle category</w:t>
      </w:r>
      <w:r w:rsidR="006D5526" w:rsidRPr="00AC158D">
        <w:t xml:space="preserve"> of</w:t>
      </w:r>
      <w:r w:rsidR="006D5526">
        <w:t xml:space="preserve"> NB1, which also falls within the scope of ADR 35.</w:t>
      </w:r>
    </w:p>
    <w:p w:rsidR="00455305" w:rsidRDefault="00341528" w:rsidP="00995603">
      <w:pPr>
        <w:pStyle w:val="Abstract"/>
      </w:pPr>
      <w:r w:rsidRPr="00AC158D">
        <w:t>This RIS w</w:t>
      </w:r>
      <w:r w:rsidR="000819CE">
        <w:t>as</w:t>
      </w:r>
      <w:r w:rsidRPr="00AC158D">
        <w:t xml:space="preserve"> circulated within the </w:t>
      </w:r>
      <w:r w:rsidR="00565C4E" w:rsidRPr="00AC158D">
        <w:t>Strategic Vehicle Safety and Environment Group (</w:t>
      </w:r>
      <w:r w:rsidRPr="00AC158D">
        <w:t>SVSEG</w:t>
      </w:r>
      <w:r w:rsidR="00565C4E" w:rsidRPr="00AC158D">
        <w:t>)</w:t>
      </w:r>
      <w:r w:rsidRPr="00AC158D">
        <w:t xml:space="preserve"> and </w:t>
      </w:r>
      <w:r w:rsidR="00565C4E" w:rsidRPr="00AC158D">
        <w:t>Technical Liaison Group (</w:t>
      </w:r>
      <w:r w:rsidRPr="00AC158D">
        <w:t>TLG</w:t>
      </w:r>
      <w:r w:rsidR="00565C4E" w:rsidRPr="00AC158D">
        <w:t>) consultative</w:t>
      </w:r>
      <w:r w:rsidRPr="00AC158D">
        <w:t xml:space="preserve"> f</w:t>
      </w:r>
      <w:r w:rsidR="00565C4E" w:rsidRPr="00AC158D">
        <w:t>orums for a period of one month.</w:t>
      </w:r>
      <w:r w:rsidRPr="00AC158D">
        <w:t xml:space="preserve"> </w:t>
      </w:r>
      <w:r w:rsidR="00565C4E" w:rsidRPr="00AC158D">
        <w:t>T</w:t>
      </w:r>
      <w:r w:rsidRPr="00AC158D">
        <w:t xml:space="preserve">he intention </w:t>
      </w:r>
      <w:r w:rsidR="00565C4E" w:rsidRPr="00AC158D">
        <w:t xml:space="preserve">will be </w:t>
      </w:r>
      <w:r w:rsidRPr="00AC158D">
        <w:t xml:space="preserve">that the final draft text of the amendments to ADRs 35 and 38 be agreed before being submitted to the </w:t>
      </w:r>
      <w:r w:rsidR="005279EC" w:rsidRPr="00AC158D">
        <w:t xml:space="preserve">Federal Minister </w:t>
      </w:r>
      <w:r w:rsidR="00AF74CA">
        <w:t xml:space="preserve">for </w:t>
      </w:r>
      <w:r w:rsidR="00BC28FC" w:rsidRPr="00BC28FC">
        <w:t>Infrastructure and Regional Development</w:t>
      </w:r>
      <w:r w:rsidR="00565C4E" w:rsidRPr="00AC158D">
        <w:t>,</w:t>
      </w:r>
      <w:r w:rsidR="005279EC" w:rsidRPr="00AC158D">
        <w:t xml:space="preserve"> who may then choose to determine an ADR under section 7 of the </w:t>
      </w:r>
      <w:r w:rsidR="00DF5FF6" w:rsidRPr="00AC158D">
        <w:rPr>
          <w:i/>
        </w:rPr>
        <w:t>Motor Vehicle Standards Act 1989</w:t>
      </w:r>
      <w:r w:rsidR="00DF5FF6" w:rsidRPr="00AC158D">
        <w:t xml:space="preserve"> (C’th)</w:t>
      </w:r>
      <w:r w:rsidR="005279EC" w:rsidRPr="00AC158D">
        <w:t>.</w:t>
      </w:r>
    </w:p>
    <w:p w:rsidR="00957543" w:rsidRDefault="00CA3FCA" w:rsidP="00995603">
      <w:pPr>
        <w:pStyle w:val="Abstract"/>
      </w:pPr>
      <w:r w:rsidRPr="00AC158D">
        <w:t xml:space="preserve">Industry codes and advisories </w:t>
      </w:r>
      <w:r w:rsidR="00455305">
        <w:t>would</w:t>
      </w:r>
      <w:r w:rsidR="00455305" w:rsidRPr="00AC158D">
        <w:t xml:space="preserve"> </w:t>
      </w:r>
      <w:r w:rsidRPr="00AC158D">
        <w:t>also be encouraged as a complement to regulated requirements for compatibility which, due to the nature of the ADRs (single vehicle type approval) are unable to fully deal with combinations (truck and trailer(s) operating together).</w:t>
      </w:r>
      <w:r w:rsidR="00957543">
        <w:br w:type="page"/>
      </w:r>
    </w:p>
    <w:p w:rsidR="00957543" w:rsidRDefault="00957543" w:rsidP="00957543">
      <w:pPr>
        <w:pStyle w:val="HeadingContents"/>
      </w:pPr>
      <w:r>
        <w:lastRenderedPageBreak/>
        <w:t>CONTENTS</w:t>
      </w:r>
    </w:p>
    <w:p w:rsidR="00546CD0" w:rsidRDefault="00C036A7">
      <w:pPr>
        <w:pStyle w:val="TOC1"/>
        <w:rPr>
          <w:rFonts w:asciiTheme="minorHAnsi" w:eastAsiaTheme="minorEastAsia" w:hAnsiTheme="minorHAnsi"/>
          <w:noProof/>
          <w:sz w:val="22"/>
          <w:lang w:eastAsia="en-AU"/>
        </w:rPr>
      </w:pPr>
      <w:r>
        <w:fldChar w:fldCharType="begin"/>
      </w:r>
      <w:r w:rsidR="00C41BB0">
        <w:instrText xml:space="preserve"> TOC \o "1-1" \h \z \u </w:instrText>
      </w:r>
      <w:r>
        <w:fldChar w:fldCharType="separate"/>
      </w:r>
      <w:hyperlink w:anchor="_Toc375302795" w:history="1">
        <w:r w:rsidR="00546CD0" w:rsidRPr="00863CB9">
          <w:rPr>
            <w:rStyle w:val="Hyperlink"/>
            <w:noProof/>
          </w:rPr>
          <w:t>Abstract</w:t>
        </w:r>
        <w:r w:rsidR="00546CD0">
          <w:rPr>
            <w:noProof/>
            <w:webHidden/>
          </w:rPr>
          <w:tab/>
        </w:r>
        <w:r w:rsidR="00546CD0">
          <w:rPr>
            <w:noProof/>
            <w:webHidden/>
          </w:rPr>
          <w:fldChar w:fldCharType="begin"/>
        </w:r>
        <w:r w:rsidR="00546CD0">
          <w:rPr>
            <w:noProof/>
            <w:webHidden/>
          </w:rPr>
          <w:instrText xml:space="preserve"> PAGEREF _Toc375302795 \h </w:instrText>
        </w:r>
        <w:r w:rsidR="00546CD0">
          <w:rPr>
            <w:noProof/>
            <w:webHidden/>
          </w:rPr>
        </w:r>
        <w:r w:rsidR="00546CD0">
          <w:rPr>
            <w:noProof/>
            <w:webHidden/>
          </w:rPr>
          <w:fldChar w:fldCharType="separate"/>
        </w:r>
        <w:r w:rsidR="00546CD0">
          <w:rPr>
            <w:noProof/>
            <w:webHidden/>
          </w:rPr>
          <w:t>3</w:t>
        </w:r>
        <w:r w:rsidR="00546CD0">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796" w:history="1">
        <w:r w:rsidRPr="00863CB9">
          <w:rPr>
            <w:rStyle w:val="Hyperlink"/>
            <w:noProof/>
          </w:rPr>
          <w:t>Executive summary</w:t>
        </w:r>
        <w:r>
          <w:rPr>
            <w:noProof/>
            <w:webHidden/>
          </w:rPr>
          <w:tab/>
        </w:r>
        <w:r>
          <w:rPr>
            <w:noProof/>
            <w:webHidden/>
          </w:rPr>
          <w:fldChar w:fldCharType="begin"/>
        </w:r>
        <w:r>
          <w:rPr>
            <w:noProof/>
            <w:webHidden/>
          </w:rPr>
          <w:instrText xml:space="preserve"> PAGEREF _Toc375302796 \h </w:instrText>
        </w:r>
        <w:r>
          <w:rPr>
            <w:noProof/>
            <w:webHidden/>
          </w:rPr>
        </w:r>
        <w:r>
          <w:rPr>
            <w:noProof/>
            <w:webHidden/>
          </w:rPr>
          <w:fldChar w:fldCharType="separate"/>
        </w:r>
        <w:r>
          <w:rPr>
            <w:noProof/>
            <w:webHidden/>
          </w:rPr>
          <w:t>5</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797" w:history="1">
        <w:r w:rsidRPr="00863CB9">
          <w:rPr>
            <w:rStyle w:val="Hyperlink"/>
            <w:noProof/>
          </w:rPr>
          <w:t>1</w:t>
        </w:r>
        <w:r>
          <w:rPr>
            <w:rFonts w:asciiTheme="minorHAnsi" w:eastAsiaTheme="minorEastAsia" w:hAnsiTheme="minorHAnsi"/>
            <w:noProof/>
            <w:sz w:val="22"/>
            <w:lang w:eastAsia="en-AU"/>
          </w:rPr>
          <w:tab/>
        </w:r>
        <w:r w:rsidRPr="00863CB9">
          <w:rPr>
            <w:rStyle w:val="Hyperlink"/>
            <w:noProof/>
          </w:rPr>
          <w:t>Introduction</w:t>
        </w:r>
        <w:r>
          <w:rPr>
            <w:noProof/>
            <w:webHidden/>
          </w:rPr>
          <w:tab/>
        </w:r>
        <w:r>
          <w:rPr>
            <w:noProof/>
            <w:webHidden/>
          </w:rPr>
          <w:fldChar w:fldCharType="begin"/>
        </w:r>
        <w:r>
          <w:rPr>
            <w:noProof/>
            <w:webHidden/>
          </w:rPr>
          <w:instrText xml:space="preserve"> PAGEREF _Toc375302797 \h </w:instrText>
        </w:r>
        <w:r>
          <w:rPr>
            <w:noProof/>
            <w:webHidden/>
          </w:rPr>
        </w:r>
        <w:r>
          <w:rPr>
            <w:noProof/>
            <w:webHidden/>
          </w:rPr>
          <w:fldChar w:fldCharType="separate"/>
        </w:r>
        <w:r>
          <w:rPr>
            <w:noProof/>
            <w:webHidden/>
          </w:rPr>
          <w:t>13</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798" w:history="1">
        <w:r w:rsidRPr="00863CB9">
          <w:rPr>
            <w:rStyle w:val="Hyperlink"/>
            <w:noProof/>
          </w:rPr>
          <w:t>2</w:t>
        </w:r>
        <w:r>
          <w:rPr>
            <w:rFonts w:asciiTheme="minorHAnsi" w:eastAsiaTheme="minorEastAsia" w:hAnsiTheme="minorHAnsi"/>
            <w:noProof/>
            <w:sz w:val="22"/>
            <w:lang w:eastAsia="en-AU"/>
          </w:rPr>
          <w:tab/>
        </w:r>
        <w:r w:rsidRPr="00863CB9">
          <w:rPr>
            <w:rStyle w:val="Hyperlink"/>
            <w:noProof/>
          </w:rPr>
          <w:t>Background</w:t>
        </w:r>
        <w:r>
          <w:rPr>
            <w:noProof/>
            <w:webHidden/>
          </w:rPr>
          <w:tab/>
        </w:r>
        <w:r>
          <w:rPr>
            <w:noProof/>
            <w:webHidden/>
          </w:rPr>
          <w:fldChar w:fldCharType="begin"/>
        </w:r>
        <w:r>
          <w:rPr>
            <w:noProof/>
            <w:webHidden/>
          </w:rPr>
          <w:instrText xml:space="preserve"> PAGEREF _Toc375302798 \h </w:instrText>
        </w:r>
        <w:r>
          <w:rPr>
            <w:noProof/>
            <w:webHidden/>
          </w:rPr>
        </w:r>
        <w:r>
          <w:rPr>
            <w:noProof/>
            <w:webHidden/>
          </w:rPr>
          <w:fldChar w:fldCharType="separate"/>
        </w:r>
        <w:r>
          <w:rPr>
            <w:noProof/>
            <w:webHidden/>
          </w:rPr>
          <w:t>14</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799" w:history="1">
        <w:r w:rsidRPr="00863CB9">
          <w:rPr>
            <w:rStyle w:val="Hyperlink"/>
            <w:noProof/>
          </w:rPr>
          <w:t>3</w:t>
        </w:r>
        <w:r>
          <w:rPr>
            <w:rFonts w:asciiTheme="minorHAnsi" w:eastAsiaTheme="minorEastAsia" w:hAnsiTheme="minorHAnsi"/>
            <w:noProof/>
            <w:sz w:val="22"/>
            <w:lang w:eastAsia="en-AU"/>
          </w:rPr>
          <w:tab/>
        </w:r>
        <w:r w:rsidRPr="00863CB9">
          <w:rPr>
            <w:rStyle w:val="Hyperlink"/>
            <w:noProof/>
          </w:rPr>
          <w:t>Options</w:t>
        </w:r>
        <w:r>
          <w:rPr>
            <w:noProof/>
            <w:webHidden/>
          </w:rPr>
          <w:tab/>
        </w:r>
        <w:r>
          <w:rPr>
            <w:noProof/>
            <w:webHidden/>
          </w:rPr>
          <w:fldChar w:fldCharType="begin"/>
        </w:r>
        <w:r>
          <w:rPr>
            <w:noProof/>
            <w:webHidden/>
          </w:rPr>
          <w:instrText xml:space="preserve"> PAGEREF _Toc375302799 \h </w:instrText>
        </w:r>
        <w:r>
          <w:rPr>
            <w:noProof/>
            <w:webHidden/>
          </w:rPr>
        </w:r>
        <w:r>
          <w:rPr>
            <w:noProof/>
            <w:webHidden/>
          </w:rPr>
          <w:fldChar w:fldCharType="separate"/>
        </w:r>
        <w:r>
          <w:rPr>
            <w:noProof/>
            <w:webHidden/>
          </w:rPr>
          <w:t>18</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0" w:history="1">
        <w:r w:rsidRPr="00863CB9">
          <w:rPr>
            <w:rStyle w:val="Hyperlink"/>
            <w:noProof/>
          </w:rPr>
          <w:t>4</w:t>
        </w:r>
        <w:r>
          <w:rPr>
            <w:rFonts w:asciiTheme="minorHAnsi" w:eastAsiaTheme="minorEastAsia" w:hAnsiTheme="minorHAnsi"/>
            <w:noProof/>
            <w:sz w:val="22"/>
            <w:lang w:eastAsia="en-AU"/>
          </w:rPr>
          <w:tab/>
        </w:r>
        <w:r w:rsidRPr="00863CB9">
          <w:rPr>
            <w:rStyle w:val="Hyperlink"/>
            <w:noProof/>
          </w:rPr>
          <w:t>Analysis</w:t>
        </w:r>
        <w:r>
          <w:rPr>
            <w:noProof/>
            <w:webHidden/>
          </w:rPr>
          <w:tab/>
        </w:r>
        <w:r>
          <w:rPr>
            <w:noProof/>
            <w:webHidden/>
          </w:rPr>
          <w:fldChar w:fldCharType="begin"/>
        </w:r>
        <w:r>
          <w:rPr>
            <w:noProof/>
            <w:webHidden/>
          </w:rPr>
          <w:instrText xml:space="preserve"> PAGEREF _Toc375302800 \h </w:instrText>
        </w:r>
        <w:r>
          <w:rPr>
            <w:noProof/>
            <w:webHidden/>
          </w:rPr>
        </w:r>
        <w:r>
          <w:rPr>
            <w:noProof/>
            <w:webHidden/>
          </w:rPr>
          <w:fldChar w:fldCharType="separate"/>
        </w:r>
        <w:r>
          <w:rPr>
            <w:noProof/>
            <w:webHidden/>
          </w:rPr>
          <w:t>20</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1" w:history="1">
        <w:r w:rsidRPr="00863CB9">
          <w:rPr>
            <w:rStyle w:val="Hyperlink"/>
            <w:noProof/>
          </w:rPr>
          <w:t>5</w:t>
        </w:r>
        <w:r>
          <w:rPr>
            <w:rFonts w:asciiTheme="minorHAnsi" w:eastAsiaTheme="minorEastAsia" w:hAnsiTheme="minorHAnsi"/>
            <w:noProof/>
            <w:sz w:val="22"/>
            <w:lang w:eastAsia="en-AU"/>
          </w:rPr>
          <w:tab/>
        </w:r>
        <w:r w:rsidRPr="00863CB9">
          <w:rPr>
            <w:rStyle w:val="Hyperlink"/>
            <w:noProof/>
          </w:rPr>
          <w:t>Impacts</w:t>
        </w:r>
        <w:r>
          <w:rPr>
            <w:noProof/>
            <w:webHidden/>
          </w:rPr>
          <w:tab/>
        </w:r>
        <w:r>
          <w:rPr>
            <w:noProof/>
            <w:webHidden/>
          </w:rPr>
          <w:fldChar w:fldCharType="begin"/>
        </w:r>
        <w:r>
          <w:rPr>
            <w:noProof/>
            <w:webHidden/>
          </w:rPr>
          <w:instrText xml:space="preserve"> PAGEREF _Toc375302801 \h </w:instrText>
        </w:r>
        <w:r>
          <w:rPr>
            <w:noProof/>
            <w:webHidden/>
          </w:rPr>
        </w:r>
        <w:r>
          <w:rPr>
            <w:noProof/>
            <w:webHidden/>
          </w:rPr>
          <w:fldChar w:fldCharType="separate"/>
        </w:r>
        <w:r>
          <w:rPr>
            <w:noProof/>
            <w:webHidden/>
          </w:rPr>
          <w:t>25</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2" w:history="1">
        <w:r w:rsidRPr="00863CB9">
          <w:rPr>
            <w:rStyle w:val="Hyperlink"/>
            <w:noProof/>
          </w:rPr>
          <w:t>6</w:t>
        </w:r>
        <w:r>
          <w:rPr>
            <w:rFonts w:asciiTheme="minorHAnsi" w:eastAsiaTheme="minorEastAsia" w:hAnsiTheme="minorHAnsi"/>
            <w:noProof/>
            <w:sz w:val="22"/>
            <w:lang w:eastAsia="en-AU"/>
          </w:rPr>
          <w:tab/>
        </w:r>
        <w:r w:rsidRPr="00863CB9">
          <w:rPr>
            <w:rStyle w:val="Hyperlink"/>
            <w:noProof/>
          </w:rPr>
          <w:t>Conclusions and Recommendations</w:t>
        </w:r>
        <w:r>
          <w:rPr>
            <w:noProof/>
            <w:webHidden/>
          </w:rPr>
          <w:tab/>
        </w:r>
        <w:r>
          <w:rPr>
            <w:noProof/>
            <w:webHidden/>
          </w:rPr>
          <w:fldChar w:fldCharType="begin"/>
        </w:r>
        <w:r>
          <w:rPr>
            <w:noProof/>
            <w:webHidden/>
          </w:rPr>
          <w:instrText xml:space="preserve"> PAGEREF _Toc375302802 \h </w:instrText>
        </w:r>
        <w:r>
          <w:rPr>
            <w:noProof/>
            <w:webHidden/>
          </w:rPr>
        </w:r>
        <w:r>
          <w:rPr>
            <w:noProof/>
            <w:webHidden/>
          </w:rPr>
          <w:fldChar w:fldCharType="separate"/>
        </w:r>
        <w:r>
          <w:rPr>
            <w:noProof/>
            <w:webHidden/>
          </w:rPr>
          <w:t>40</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3" w:history="1">
        <w:r w:rsidRPr="00863CB9">
          <w:rPr>
            <w:rStyle w:val="Hyperlink"/>
            <w:noProof/>
          </w:rPr>
          <w:t>7</w:t>
        </w:r>
        <w:r>
          <w:rPr>
            <w:rFonts w:asciiTheme="minorHAnsi" w:eastAsiaTheme="minorEastAsia" w:hAnsiTheme="minorHAnsi"/>
            <w:noProof/>
            <w:sz w:val="22"/>
            <w:lang w:eastAsia="en-AU"/>
          </w:rPr>
          <w:tab/>
        </w:r>
        <w:r w:rsidRPr="00863CB9">
          <w:rPr>
            <w:rStyle w:val="Hyperlink"/>
            <w:noProof/>
          </w:rPr>
          <w:t>Implementation and Review</w:t>
        </w:r>
        <w:r>
          <w:rPr>
            <w:noProof/>
            <w:webHidden/>
          </w:rPr>
          <w:tab/>
        </w:r>
        <w:r>
          <w:rPr>
            <w:noProof/>
            <w:webHidden/>
          </w:rPr>
          <w:fldChar w:fldCharType="begin"/>
        </w:r>
        <w:r>
          <w:rPr>
            <w:noProof/>
            <w:webHidden/>
          </w:rPr>
          <w:instrText xml:space="preserve"> PAGEREF _Toc375302803 \h </w:instrText>
        </w:r>
        <w:r>
          <w:rPr>
            <w:noProof/>
            <w:webHidden/>
          </w:rPr>
        </w:r>
        <w:r>
          <w:rPr>
            <w:noProof/>
            <w:webHidden/>
          </w:rPr>
          <w:fldChar w:fldCharType="separate"/>
        </w:r>
        <w:r>
          <w:rPr>
            <w:noProof/>
            <w:webHidden/>
          </w:rPr>
          <w:t>41</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4" w:history="1">
        <w:r w:rsidRPr="00863CB9">
          <w:rPr>
            <w:rStyle w:val="Hyperlink"/>
            <w:noProof/>
          </w:rPr>
          <w:t>8</w:t>
        </w:r>
        <w:r>
          <w:rPr>
            <w:rFonts w:asciiTheme="minorHAnsi" w:eastAsiaTheme="minorEastAsia" w:hAnsiTheme="minorHAnsi"/>
            <w:noProof/>
            <w:sz w:val="22"/>
            <w:lang w:eastAsia="en-AU"/>
          </w:rPr>
          <w:tab/>
        </w:r>
        <w:r w:rsidRPr="00863CB9">
          <w:rPr>
            <w:rStyle w:val="Hyperlink"/>
            <w:noProof/>
          </w:rPr>
          <w:t>References</w:t>
        </w:r>
        <w:r>
          <w:rPr>
            <w:noProof/>
            <w:webHidden/>
          </w:rPr>
          <w:tab/>
        </w:r>
        <w:r>
          <w:rPr>
            <w:noProof/>
            <w:webHidden/>
          </w:rPr>
          <w:fldChar w:fldCharType="begin"/>
        </w:r>
        <w:r>
          <w:rPr>
            <w:noProof/>
            <w:webHidden/>
          </w:rPr>
          <w:instrText xml:space="preserve"> PAGEREF _Toc375302804 \h </w:instrText>
        </w:r>
        <w:r>
          <w:rPr>
            <w:noProof/>
            <w:webHidden/>
          </w:rPr>
        </w:r>
        <w:r>
          <w:rPr>
            <w:noProof/>
            <w:webHidden/>
          </w:rPr>
          <w:fldChar w:fldCharType="separate"/>
        </w:r>
        <w:r>
          <w:rPr>
            <w:noProof/>
            <w:webHidden/>
          </w:rPr>
          <w:t>42</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5" w:history="1">
        <w:r w:rsidRPr="00863CB9">
          <w:rPr>
            <w:rStyle w:val="Hyperlink"/>
            <w:noProof/>
          </w:rPr>
          <w:t>Appendix 1—Heavy Commercial Vehicle Categories</w:t>
        </w:r>
        <w:r>
          <w:rPr>
            <w:noProof/>
            <w:webHidden/>
          </w:rPr>
          <w:tab/>
        </w:r>
        <w:r>
          <w:rPr>
            <w:noProof/>
            <w:webHidden/>
          </w:rPr>
          <w:fldChar w:fldCharType="begin"/>
        </w:r>
        <w:r>
          <w:rPr>
            <w:noProof/>
            <w:webHidden/>
          </w:rPr>
          <w:instrText xml:space="preserve"> PAGEREF _Toc375302805 \h </w:instrText>
        </w:r>
        <w:r>
          <w:rPr>
            <w:noProof/>
            <w:webHidden/>
          </w:rPr>
        </w:r>
        <w:r>
          <w:rPr>
            <w:noProof/>
            <w:webHidden/>
          </w:rPr>
          <w:fldChar w:fldCharType="separate"/>
        </w:r>
        <w:r>
          <w:rPr>
            <w:noProof/>
            <w:webHidden/>
          </w:rPr>
          <w:t>46</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6" w:history="1">
        <w:r w:rsidRPr="00863CB9">
          <w:rPr>
            <w:rStyle w:val="Hyperlink"/>
            <w:noProof/>
          </w:rPr>
          <w:t>Appendix 2—Common Types of Medium and Heavy Trucks</w:t>
        </w:r>
        <w:r>
          <w:rPr>
            <w:noProof/>
            <w:webHidden/>
          </w:rPr>
          <w:tab/>
        </w:r>
        <w:r>
          <w:rPr>
            <w:noProof/>
            <w:webHidden/>
          </w:rPr>
          <w:fldChar w:fldCharType="begin"/>
        </w:r>
        <w:r>
          <w:rPr>
            <w:noProof/>
            <w:webHidden/>
          </w:rPr>
          <w:instrText xml:space="preserve"> PAGEREF _Toc375302806 \h </w:instrText>
        </w:r>
        <w:r>
          <w:rPr>
            <w:noProof/>
            <w:webHidden/>
          </w:rPr>
        </w:r>
        <w:r>
          <w:rPr>
            <w:noProof/>
            <w:webHidden/>
          </w:rPr>
          <w:fldChar w:fldCharType="separate"/>
        </w:r>
        <w:r>
          <w:rPr>
            <w:noProof/>
            <w:webHidden/>
          </w:rPr>
          <w:t>48</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7" w:history="1">
        <w:r w:rsidRPr="00863CB9">
          <w:rPr>
            <w:rStyle w:val="Hyperlink"/>
            <w:noProof/>
          </w:rPr>
          <w:t>Appendix 3—Extract from the Executive Summary of the National Heavy Vehicle Braking Strategy Report</w:t>
        </w:r>
        <w:r>
          <w:rPr>
            <w:noProof/>
            <w:webHidden/>
          </w:rPr>
          <w:tab/>
        </w:r>
        <w:r>
          <w:rPr>
            <w:noProof/>
            <w:webHidden/>
          </w:rPr>
          <w:fldChar w:fldCharType="begin"/>
        </w:r>
        <w:r>
          <w:rPr>
            <w:noProof/>
            <w:webHidden/>
          </w:rPr>
          <w:instrText xml:space="preserve"> PAGEREF _Toc375302807 \h </w:instrText>
        </w:r>
        <w:r>
          <w:rPr>
            <w:noProof/>
            <w:webHidden/>
          </w:rPr>
        </w:r>
        <w:r>
          <w:rPr>
            <w:noProof/>
            <w:webHidden/>
          </w:rPr>
          <w:fldChar w:fldCharType="separate"/>
        </w:r>
        <w:r>
          <w:rPr>
            <w:noProof/>
            <w:webHidden/>
          </w:rPr>
          <w:t>51</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8" w:history="1">
        <w:r w:rsidRPr="00863CB9">
          <w:rPr>
            <w:rStyle w:val="Hyperlink"/>
            <w:noProof/>
          </w:rPr>
          <w:t>Appendix 4—The NTC Response to the National Heavy Vehicle Braking Strategy Report</w:t>
        </w:r>
        <w:r>
          <w:rPr>
            <w:noProof/>
            <w:webHidden/>
          </w:rPr>
          <w:tab/>
        </w:r>
        <w:r>
          <w:rPr>
            <w:noProof/>
            <w:webHidden/>
          </w:rPr>
          <w:fldChar w:fldCharType="begin"/>
        </w:r>
        <w:r>
          <w:rPr>
            <w:noProof/>
            <w:webHidden/>
          </w:rPr>
          <w:instrText xml:space="preserve"> PAGEREF _Toc375302808 \h </w:instrText>
        </w:r>
        <w:r>
          <w:rPr>
            <w:noProof/>
            <w:webHidden/>
          </w:rPr>
        </w:r>
        <w:r>
          <w:rPr>
            <w:noProof/>
            <w:webHidden/>
          </w:rPr>
          <w:fldChar w:fldCharType="separate"/>
        </w:r>
        <w:r>
          <w:rPr>
            <w:noProof/>
            <w:webHidden/>
          </w:rPr>
          <w:t>64</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09" w:history="1">
        <w:r w:rsidRPr="00863CB9">
          <w:rPr>
            <w:rStyle w:val="Hyperlink"/>
            <w:noProof/>
          </w:rPr>
          <w:t>Appendix 5—Proposed Changes to the Current ADR Versions</w:t>
        </w:r>
        <w:r>
          <w:rPr>
            <w:noProof/>
            <w:webHidden/>
          </w:rPr>
          <w:tab/>
        </w:r>
        <w:r>
          <w:rPr>
            <w:noProof/>
            <w:webHidden/>
          </w:rPr>
          <w:fldChar w:fldCharType="begin"/>
        </w:r>
        <w:r>
          <w:rPr>
            <w:noProof/>
            <w:webHidden/>
          </w:rPr>
          <w:instrText xml:space="preserve"> PAGEREF _Toc375302809 \h </w:instrText>
        </w:r>
        <w:r>
          <w:rPr>
            <w:noProof/>
            <w:webHidden/>
          </w:rPr>
        </w:r>
        <w:r>
          <w:rPr>
            <w:noProof/>
            <w:webHidden/>
          </w:rPr>
          <w:fldChar w:fldCharType="separate"/>
        </w:r>
        <w:r>
          <w:rPr>
            <w:noProof/>
            <w:webHidden/>
          </w:rPr>
          <w:t>71</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0" w:history="1">
        <w:r w:rsidRPr="00863CB9">
          <w:rPr>
            <w:rStyle w:val="Hyperlink"/>
            <w:noProof/>
          </w:rPr>
          <w:t>Appendix 6—Types of Antilock Brake Systems</w:t>
        </w:r>
        <w:r>
          <w:rPr>
            <w:noProof/>
            <w:webHidden/>
          </w:rPr>
          <w:tab/>
        </w:r>
        <w:r>
          <w:rPr>
            <w:noProof/>
            <w:webHidden/>
          </w:rPr>
          <w:fldChar w:fldCharType="begin"/>
        </w:r>
        <w:r>
          <w:rPr>
            <w:noProof/>
            <w:webHidden/>
          </w:rPr>
          <w:instrText xml:space="preserve"> PAGEREF _Toc375302810 \h </w:instrText>
        </w:r>
        <w:r>
          <w:rPr>
            <w:noProof/>
            <w:webHidden/>
          </w:rPr>
        </w:r>
        <w:r>
          <w:rPr>
            <w:noProof/>
            <w:webHidden/>
          </w:rPr>
          <w:fldChar w:fldCharType="separate"/>
        </w:r>
        <w:r>
          <w:rPr>
            <w:noProof/>
            <w:webHidden/>
          </w:rPr>
          <w:t>73</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1" w:history="1">
        <w:r w:rsidRPr="00863CB9">
          <w:rPr>
            <w:rStyle w:val="Hyperlink"/>
            <w:noProof/>
          </w:rPr>
          <w:t>Appendix 7—Heavy Vehicle Crashes in Australia</w:t>
        </w:r>
        <w:r>
          <w:rPr>
            <w:noProof/>
            <w:webHidden/>
          </w:rPr>
          <w:tab/>
        </w:r>
        <w:r>
          <w:rPr>
            <w:noProof/>
            <w:webHidden/>
          </w:rPr>
          <w:fldChar w:fldCharType="begin"/>
        </w:r>
        <w:r>
          <w:rPr>
            <w:noProof/>
            <w:webHidden/>
          </w:rPr>
          <w:instrText xml:space="preserve"> PAGEREF _Toc375302811 \h </w:instrText>
        </w:r>
        <w:r>
          <w:rPr>
            <w:noProof/>
            <w:webHidden/>
          </w:rPr>
        </w:r>
        <w:r>
          <w:rPr>
            <w:noProof/>
            <w:webHidden/>
          </w:rPr>
          <w:fldChar w:fldCharType="separate"/>
        </w:r>
        <w:r>
          <w:rPr>
            <w:noProof/>
            <w:webHidden/>
          </w:rPr>
          <w:t>76</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2" w:history="1">
        <w:r w:rsidRPr="00863CB9">
          <w:rPr>
            <w:rStyle w:val="Hyperlink"/>
            <w:noProof/>
          </w:rPr>
          <w:t>Appendix 8—Benefit-Cost Analysis—Methodology</w:t>
        </w:r>
        <w:r>
          <w:rPr>
            <w:noProof/>
            <w:webHidden/>
          </w:rPr>
          <w:tab/>
        </w:r>
        <w:r>
          <w:rPr>
            <w:noProof/>
            <w:webHidden/>
          </w:rPr>
          <w:fldChar w:fldCharType="begin"/>
        </w:r>
        <w:r>
          <w:rPr>
            <w:noProof/>
            <w:webHidden/>
          </w:rPr>
          <w:instrText xml:space="preserve"> PAGEREF _Toc375302812 \h </w:instrText>
        </w:r>
        <w:r>
          <w:rPr>
            <w:noProof/>
            <w:webHidden/>
          </w:rPr>
        </w:r>
        <w:r>
          <w:rPr>
            <w:noProof/>
            <w:webHidden/>
          </w:rPr>
          <w:fldChar w:fldCharType="separate"/>
        </w:r>
        <w:r>
          <w:rPr>
            <w:noProof/>
            <w:webHidden/>
          </w:rPr>
          <w:t>78</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3" w:history="1">
        <w:r w:rsidRPr="00863CB9">
          <w:rPr>
            <w:rStyle w:val="Hyperlink"/>
            <w:noProof/>
          </w:rPr>
          <w:t>Appendix 9—Assumptions</w:t>
        </w:r>
        <w:r>
          <w:rPr>
            <w:noProof/>
            <w:webHidden/>
          </w:rPr>
          <w:tab/>
        </w:r>
        <w:r>
          <w:rPr>
            <w:noProof/>
            <w:webHidden/>
          </w:rPr>
          <w:fldChar w:fldCharType="begin"/>
        </w:r>
        <w:r>
          <w:rPr>
            <w:noProof/>
            <w:webHidden/>
          </w:rPr>
          <w:instrText xml:space="preserve"> PAGEREF _Toc375302813 \h </w:instrText>
        </w:r>
        <w:r>
          <w:rPr>
            <w:noProof/>
            <w:webHidden/>
          </w:rPr>
        </w:r>
        <w:r>
          <w:rPr>
            <w:noProof/>
            <w:webHidden/>
          </w:rPr>
          <w:fldChar w:fldCharType="separate"/>
        </w:r>
        <w:r>
          <w:rPr>
            <w:noProof/>
            <w:webHidden/>
          </w:rPr>
          <w:t>80</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4" w:history="1">
        <w:r w:rsidRPr="00863CB9">
          <w:rPr>
            <w:rStyle w:val="Hyperlink"/>
            <w:noProof/>
          </w:rPr>
          <w:t>Appendix 10—Benefit-Cost Analysis—Details of Results</w:t>
        </w:r>
        <w:r>
          <w:rPr>
            <w:noProof/>
            <w:webHidden/>
          </w:rPr>
          <w:tab/>
        </w:r>
        <w:r>
          <w:rPr>
            <w:noProof/>
            <w:webHidden/>
          </w:rPr>
          <w:fldChar w:fldCharType="begin"/>
        </w:r>
        <w:r>
          <w:rPr>
            <w:noProof/>
            <w:webHidden/>
          </w:rPr>
          <w:instrText xml:space="preserve"> PAGEREF _Toc375302814 \h </w:instrText>
        </w:r>
        <w:r>
          <w:rPr>
            <w:noProof/>
            <w:webHidden/>
          </w:rPr>
        </w:r>
        <w:r>
          <w:rPr>
            <w:noProof/>
            <w:webHidden/>
          </w:rPr>
          <w:fldChar w:fldCharType="separate"/>
        </w:r>
        <w:r>
          <w:rPr>
            <w:noProof/>
            <w:webHidden/>
          </w:rPr>
          <w:t>81</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5" w:history="1">
        <w:r w:rsidRPr="00863CB9">
          <w:rPr>
            <w:rStyle w:val="Hyperlink"/>
            <w:noProof/>
          </w:rPr>
          <w:t>Appendix 11—Effectiveness of Antilock Braking System Technology for Heavy Vehicles</w:t>
        </w:r>
        <w:r>
          <w:rPr>
            <w:noProof/>
            <w:webHidden/>
          </w:rPr>
          <w:tab/>
        </w:r>
        <w:r>
          <w:rPr>
            <w:noProof/>
            <w:webHidden/>
          </w:rPr>
          <w:fldChar w:fldCharType="begin"/>
        </w:r>
        <w:r>
          <w:rPr>
            <w:noProof/>
            <w:webHidden/>
          </w:rPr>
          <w:instrText xml:space="preserve"> PAGEREF _Toc375302815 \h </w:instrText>
        </w:r>
        <w:r>
          <w:rPr>
            <w:noProof/>
            <w:webHidden/>
          </w:rPr>
        </w:r>
        <w:r>
          <w:rPr>
            <w:noProof/>
            <w:webHidden/>
          </w:rPr>
          <w:fldChar w:fldCharType="separate"/>
        </w:r>
        <w:r>
          <w:rPr>
            <w:noProof/>
            <w:webHidden/>
          </w:rPr>
          <w:t>91</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6" w:history="1">
        <w:r w:rsidRPr="00863CB9">
          <w:rPr>
            <w:rStyle w:val="Hyperlink"/>
            <w:noProof/>
          </w:rPr>
          <w:t>Appendix 12—Compatibility</w:t>
        </w:r>
        <w:r>
          <w:rPr>
            <w:noProof/>
            <w:webHidden/>
          </w:rPr>
          <w:tab/>
        </w:r>
        <w:r>
          <w:rPr>
            <w:noProof/>
            <w:webHidden/>
          </w:rPr>
          <w:fldChar w:fldCharType="begin"/>
        </w:r>
        <w:r>
          <w:rPr>
            <w:noProof/>
            <w:webHidden/>
          </w:rPr>
          <w:instrText xml:space="preserve"> PAGEREF _Toc375302816 \h </w:instrText>
        </w:r>
        <w:r>
          <w:rPr>
            <w:noProof/>
            <w:webHidden/>
          </w:rPr>
        </w:r>
        <w:r>
          <w:rPr>
            <w:noProof/>
            <w:webHidden/>
          </w:rPr>
          <w:fldChar w:fldCharType="separate"/>
        </w:r>
        <w:r>
          <w:rPr>
            <w:noProof/>
            <w:webHidden/>
          </w:rPr>
          <w:t>95</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7" w:history="1">
        <w:r w:rsidRPr="00863CB9">
          <w:rPr>
            <w:rStyle w:val="Hyperlink"/>
            <w:noProof/>
          </w:rPr>
          <w:t>Appendix 13—Membership of the Technical Liaison Group (TLG)</w:t>
        </w:r>
        <w:r>
          <w:rPr>
            <w:noProof/>
            <w:webHidden/>
          </w:rPr>
          <w:tab/>
        </w:r>
        <w:r>
          <w:rPr>
            <w:noProof/>
            <w:webHidden/>
          </w:rPr>
          <w:fldChar w:fldCharType="begin"/>
        </w:r>
        <w:r>
          <w:rPr>
            <w:noProof/>
            <w:webHidden/>
          </w:rPr>
          <w:instrText xml:space="preserve"> PAGEREF _Toc375302817 \h </w:instrText>
        </w:r>
        <w:r>
          <w:rPr>
            <w:noProof/>
            <w:webHidden/>
          </w:rPr>
        </w:r>
        <w:r>
          <w:rPr>
            <w:noProof/>
            <w:webHidden/>
          </w:rPr>
          <w:fldChar w:fldCharType="separate"/>
        </w:r>
        <w:r>
          <w:rPr>
            <w:noProof/>
            <w:webHidden/>
          </w:rPr>
          <w:t>97</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8" w:history="1">
        <w:r w:rsidRPr="00863CB9">
          <w:rPr>
            <w:rStyle w:val="Hyperlink"/>
            <w:noProof/>
          </w:rPr>
          <w:t>Appendix 14—Acronyms</w:t>
        </w:r>
        <w:r>
          <w:rPr>
            <w:noProof/>
            <w:webHidden/>
          </w:rPr>
          <w:tab/>
        </w:r>
        <w:r>
          <w:rPr>
            <w:noProof/>
            <w:webHidden/>
          </w:rPr>
          <w:fldChar w:fldCharType="begin"/>
        </w:r>
        <w:r>
          <w:rPr>
            <w:noProof/>
            <w:webHidden/>
          </w:rPr>
          <w:instrText xml:space="preserve"> PAGEREF _Toc375302818 \h </w:instrText>
        </w:r>
        <w:r>
          <w:rPr>
            <w:noProof/>
            <w:webHidden/>
          </w:rPr>
        </w:r>
        <w:r>
          <w:rPr>
            <w:noProof/>
            <w:webHidden/>
          </w:rPr>
          <w:fldChar w:fldCharType="separate"/>
        </w:r>
        <w:r>
          <w:rPr>
            <w:noProof/>
            <w:webHidden/>
          </w:rPr>
          <w:t>98</w:t>
        </w:r>
        <w:r>
          <w:rPr>
            <w:noProof/>
            <w:webHidden/>
          </w:rPr>
          <w:fldChar w:fldCharType="end"/>
        </w:r>
      </w:hyperlink>
    </w:p>
    <w:p w:rsidR="00546CD0" w:rsidRDefault="00546CD0">
      <w:pPr>
        <w:pStyle w:val="TOC1"/>
        <w:rPr>
          <w:rFonts w:asciiTheme="minorHAnsi" w:eastAsiaTheme="minorEastAsia" w:hAnsiTheme="minorHAnsi"/>
          <w:noProof/>
          <w:sz w:val="22"/>
          <w:lang w:eastAsia="en-AU"/>
        </w:rPr>
      </w:pPr>
      <w:hyperlink w:anchor="_Toc375302819" w:history="1">
        <w:r w:rsidRPr="00863CB9">
          <w:rPr>
            <w:rStyle w:val="Hyperlink"/>
            <w:noProof/>
          </w:rPr>
          <w:t>Appendix 15—SVSEG and TLG forum comment</w:t>
        </w:r>
        <w:r>
          <w:rPr>
            <w:noProof/>
            <w:webHidden/>
          </w:rPr>
          <w:tab/>
        </w:r>
        <w:r>
          <w:rPr>
            <w:noProof/>
            <w:webHidden/>
          </w:rPr>
          <w:fldChar w:fldCharType="begin"/>
        </w:r>
        <w:r>
          <w:rPr>
            <w:noProof/>
            <w:webHidden/>
          </w:rPr>
          <w:instrText xml:space="preserve"> PAGEREF _Toc375302819 \h </w:instrText>
        </w:r>
        <w:r>
          <w:rPr>
            <w:noProof/>
            <w:webHidden/>
          </w:rPr>
        </w:r>
        <w:r>
          <w:rPr>
            <w:noProof/>
            <w:webHidden/>
          </w:rPr>
          <w:fldChar w:fldCharType="separate"/>
        </w:r>
        <w:r>
          <w:rPr>
            <w:noProof/>
            <w:webHidden/>
          </w:rPr>
          <w:t>100</w:t>
        </w:r>
        <w:r>
          <w:rPr>
            <w:noProof/>
            <w:webHidden/>
          </w:rPr>
          <w:fldChar w:fldCharType="end"/>
        </w:r>
      </w:hyperlink>
    </w:p>
    <w:p w:rsidR="00C0565A" w:rsidRDefault="00C036A7" w:rsidP="006C3D40">
      <w:pPr>
        <w:pStyle w:val="TOC1"/>
      </w:pPr>
      <w:r>
        <w:fldChar w:fldCharType="end"/>
      </w:r>
    </w:p>
    <w:p w:rsidR="00CB3DBB" w:rsidRDefault="00CB3DBB">
      <w:pPr>
        <w:spacing w:after="200" w:line="276" w:lineRule="auto"/>
      </w:pPr>
    </w:p>
    <w:p w:rsidR="00A82552" w:rsidRDefault="00957543">
      <w:pPr>
        <w:tabs>
          <w:tab w:val="clear" w:pos="851"/>
        </w:tabs>
        <w:spacing w:before="0" w:after="200" w:line="276" w:lineRule="auto"/>
      </w:pPr>
      <w:r>
        <w:br w:type="page"/>
      </w:r>
    </w:p>
    <w:p w:rsidR="00A82552" w:rsidRDefault="00A82552" w:rsidP="002C3C3F">
      <w:pPr>
        <w:pStyle w:val="appendixheadings"/>
      </w:pPr>
      <w:bookmarkStart w:id="3" w:name="_Toc319933934"/>
      <w:bookmarkStart w:id="4" w:name="_Toc375302796"/>
      <w:r w:rsidRPr="00D83EEF">
        <w:lastRenderedPageBreak/>
        <w:t>Executive summary</w:t>
      </w:r>
      <w:bookmarkEnd w:id="3"/>
      <w:bookmarkEnd w:id="4"/>
    </w:p>
    <w:p w:rsidR="00C51C2F" w:rsidRPr="00C779B7" w:rsidRDefault="00C51C2F" w:rsidP="00C51C2F">
      <w:r w:rsidRPr="00C779B7">
        <w:t>The cost of road crashes on the Australian community is significant, estimated to be at least $27 billion per annum.  Road crashes relating to heavy commercial vehicles ha</w:t>
      </w:r>
      <w:r w:rsidR="00B604D0" w:rsidRPr="00C779B7">
        <w:t xml:space="preserve">ve drawn considerable attention, with </w:t>
      </w:r>
      <w:r w:rsidRPr="00C779B7">
        <w:t>growing interest in braking and stability performance through systems such as Antilock Brake Systems (ABS), Electronic Braking Systems (EBS) and Electronic Stability Control (ESC).  These technologies are increasingly being mandated in some overseas regulations.</w:t>
      </w:r>
    </w:p>
    <w:p w:rsidR="00C51C2F" w:rsidRPr="00C779B7" w:rsidRDefault="00C51C2F" w:rsidP="00AC158D">
      <w:r w:rsidRPr="00C779B7">
        <w:t>In Australia, the braking performance of new heavy commercial vehicles is regulated through national vehicle standards, Australian Design Rules (ADR) 35—Commercial Vehicle Brake Systems and ADR 38—Trailer Brake Systems</w:t>
      </w:r>
      <w:r w:rsidR="00881D8D" w:rsidRPr="00C779B7">
        <w:t>.</w:t>
      </w:r>
    </w:p>
    <w:p w:rsidR="00C51C2F" w:rsidRPr="00C779B7" w:rsidRDefault="00B604D0" w:rsidP="00B604D0">
      <w:r w:rsidRPr="00C779B7">
        <w:t>In 2002, the then Standing Committee on Transport (SCOT) requested that the National Transport Commission (NTC) review the case for mandating ABS on heavy vehicles.  However, the issues were broader than this and so f</w:t>
      </w:r>
      <w:r w:rsidR="00C51C2F" w:rsidRPr="00C779B7">
        <w:t xml:space="preserve">ollowing </w:t>
      </w:r>
      <w:r w:rsidR="007A6FA6" w:rsidRPr="00C779B7">
        <w:t xml:space="preserve">a full Australian Government review of ADRs 35 and 38 and </w:t>
      </w:r>
      <w:r w:rsidR="00C51C2F" w:rsidRPr="00C779B7">
        <w:t>a</w:t>
      </w:r>
      <w:r w:rsidR="0075115B" w:rsidRPr="00C779B7">
        <w:t xml:space="preserve"> further</w:t>
      </w:r>
      <w:r w:rsidR="00343AEC" w:rsidRPr="00C779B7">
        <w:t xml:space="preserve"> extensive</w:t>
      </w:r>
      <w:r w:rsidR="00C51C2F" w:rsidRPr="00C779B7">
        <w:t xml:space="preserve"> public consultation process, the </w:t>
      </w:r>
      <w:r w:rsidRPr="00C779B7">
        <w:t>NTC</w:t>
      </w:r>
      <w:r w:rsidR="00C51C2F" w:rsidRPr="00C779B7">
        <w:t xml:space="preserve"> and the </w:t>
      </w:r>
      <w:r w:rsidR="0051517D" w:rsidRPr="0051517D">
        <w:t>Department of Infrastructure and Regional Development</w:t>
      </w:r>
      <w:r w:rsidR="00C51C2F" w:rsidRPr="00C779B7">
        <w:t xml:space="preserve"> (the Department) developed the National Heavy Vehicle Braking Strategy (NHVBS).  The NHVBS was intended to chart a path </w:t>
      </w:r>
      <w:r w:rsidR="00455305">
        <w:t>for</w:t>
      </w:r>
      <w:r w:rsidR="00455305" w:rsidRPr="00C779B7">
        <w:t xml:space="preserve"> </w:t>
      </w:r>
      <w:r w:rsidR="00C51C2F" w:rsidRPr="00C779B7">
        <w:t xml:space="preserve">progressive revision of the heavy commercial vehicle ADRs, with the aim of improving braking safety performance.  In 2011, the NHVBS was divided into two parts: </w:t>
      </w:r>
      <w:r w:rsidR="0027121A" w:rsidRPr="00C779B7">
        <w:t xml:space="preserve"> </w:t>
      </w:r>
      <w:r w:rsidR="00C51C2F" w:rsidRPr="00C779B7">
        <w:t>Phase I and Phase II</w:t>
      </w:r>
      <w:r w:rsidR="0027121A" w:rsidRPr="00C779B7">
        <w:t xml:space="preserve">.  </w:t>
      </w:r>
      <w:r w:rsidR="00455305" w:rsidRPr="00455305">
        <w:t xml:space="preserve">Phase I was listed among the initial </w:t>
      </w:r>
      <w:proofErr w:type="gramStart"/>
      <w:r w:rsidR="00455305" w:rsidRPr="00455305">
        <w:t>actions,</w:t>
      </w:r>
      <w:proofErr w:type="gramEnd"/>
      <w:r w:rsidR="00455305" w:rsidRPr="00455305">
        <w:t xml:space="preserve"> and Phase II the future actions, in the National Road Safety Strategy 2011-2020 (NRSS).</w:t>
      </w:r>
    </w:p>
    <w:p w:rsidR="00343AEC" w:rsidRPr="00C779B7" w:rsidRDefault="00C51C2F" w:rsidP="00343AEC">
      <w:r w:rsidRPr="00C779B7">
        <w:t>This Regulation Impact Statement (RIS) examine</w:t>
      </w:r>
      <w:r w:rsidR="008B2A04">
        <w:t>s</w:t>
      </w:r>
      <w:r w:rsidRPr="00C779B7">
        <w:t xml:space="preserve"> the </w:t>
      </w:r>
      <w:r w:rsidR="008B2A04">
        <w:t xml:space="preserve">options for improving the </w:t>
      </w:r>
      <w:r w:rsidR="00A11C5A">
        <w:t>braking of</w:t>
      </w:r>
      <w:r w:rsidR="008B2A04">
        <w:t xml:space="preserve"> heavy vehicles</w:t>
      </w:r>
      <w:proofErr w:type="gramStart"/>
      <w:r w:rsidR="008B2A04">
        <w:t xml:space="preserve">, </w:t>
      </w:r>
      <w:r w:rsidRPr="00C779B7">
        <w:t xml:space="preserve"> </w:t>
      </w:r>
      <w:r w:rsidR="008B2A04">
        <w:t>consistent</w:t>
      </w:r>
      <w:proofErr w:type="gramEnd"/>
      <w:r w:rsidR="008B2A04">
        <w:t xml:space="preserve"> </w:t>
      </w:r>
      <w:r w:rsidRPr="00C779B7">
        <w:t xml:space="preserve">with </w:t>
      </w:r>
      <w:r w:rsidR="008B2A04">
        <w:t xml:space="preserve">the aims of </w:t>
      </w:r>
      <w:r w:rsidRPr="00C779B7">
        <w:t xml:space="preserve">Phase I of the NHVBS.  </w:t>
      </w:r>
      <w:r w:rsidR="0027121A" w:rsidRPr="00C779B7">
        <w:t>ABS is a technology that prevents wheels from locking when the vehicle is overbraked.  It</w:t>
      </w:r>
      <w:r w:rsidR="00343AEC" w:rsidRPr="00C779B7">
        <w:t xml:space="preserve"> can provide greater benefits for heavy commercial vehicles when compared </w:t>
      </w:r>
      <w:r w:rsidR="001B174C">
        <w:t>with</w:t>
      </w:r>
      <w:r w:rsidR="00343AEC" w:rsidRPr="00C779B7">
        <w:t xml:space="preserve"> passenger cars because of the relatively poorer braking c</w:t>
      </w:r>
      <w:r w:rsidR="007A6FA6" w:rsidRPr="00C779B7">
        <w:t>apabilities of larger vehicles.</w:t>
      </w:r>
    </w:p>
    <w:p w:rsidR="00C51C2F" w:rsidRPr="00C779B7" w:rsidRDefault="00343AEC" w:rsidP="00C51C2F">
      <w:r w:rsidRPr="00C779B7">
        <w:t>Electronic Braking Systems (EBS or in the c</w:t>
      </w:r>
      <w:r w:rsidR="0027121A" w:rsidRPr="00C779B7">
        <w:t>ase of trailers TEBS) integrate</w:t>
      </w:r>
      <w:r w:rsidRPr="00C779B7">
        <w:t xml:space="preserve"> </w:t>
      </w:r>
      <w:r w:rsidR="0027121A" w:rsidRPr="00C779B7">
        <w:t>ABS</w:t>
      </w:r>
      <w:r w:rsidRPr="00C779B7">
        <w:t xml:space="preserve"> technology with other key vehicle control system features to deliver the next generation of braking control.  This can include Roll Stability Support (RSS) and Ele</w:t>
      </w:r>
      <w:r w:rsidR="0027121A" w:rsidRPr="00C779B7">
        <w:t xml:space="preserve">ctronic Stability Control (ESC).  These systems will be </w:t>
      </w:r>
      <w:r w:rsidRPr="00C779B7">
        <w:t>the subject of Phase II of the NHVBS</w:t>
      </w:r>
      <w:r w:rsidR="0027121A" w:rsidRPr="00C779B7">
        <w:t xml:space="preserve"> with work expected to commence in 2014</w:t>
      </w:r>
      <w:r w:rsidRPr="00C779B7">
        <w:t>.</w:t>
      </w:r>
      <w:r w:rsidR="005C4B14">
        <w:t xml:space="preserve">  The requirements of Phase II, if implemented, would </w:t>
      </w:r>
      <w:r w:rsidR="0021071C">
        <w:t xml:space="preserve">follow on from </w:t>
      </w:r>
      <w:r w:rsidR="005C4B14">
        <w:t>Phase I. As the ADRs only apply to new vehicles, in-service vehicles would not be affected.</w:t>
      </w:r>
    </w:p>
    <w:p w:rsidR="00B604D0" w:rsidRPr="00C779B7" w:rsidRDefault="00C51C2F" w:rsidP="00BE6D57">
      <w:r w:rsidRPr="00C779B7">
        <w:t xml:space="preserve">For the purposes of this RIS, heavy commercial vehicles are new vehicles greater than </w:t>
      </w:r>
      <w:r w:rsidR="00BD0DC2">
        <w:t>4.5 </w:t>
      </w:r>
      <w:r w:rsidRPr="00C779B7">
        <w:t>tonnes Gross Vehicle Mass</w:t>
      </w:r>
      <w:r w:rsidR="005B6473" w:rsidRPr="00C779B7">
        <w:t xml:space="preserve"> (GVM)</w:t>
      </w:r>
      <w:r w:rsidRPr="00C779B7">
        <w:t xml:space="preserve"> that are primarily designed to carry goods (medium and heavy trucks and trailers) or passengers (some light and heavy buses).  Under the ADRs, these are represented by the vehicle categories NB2, NC, MD4, ME, TC and TD</w:t>
      </w:r>
      <w:r w:rsidR="00B604D0" w:rsidRPr="00C779B7">
        <w:t xml:space="preserve">.  </w:t>
      </w:r>
    </w:p>
    <w:p w:rsidR="00BE6D57" w:rsidRPr="00C779B7" w:rsidRDefault="00BE6D57" w:rsidP="00BE6D57">
      <w:r w:rsidRPr="00C779B7">
        <w:t>During the 12 months to the end of September 2011, 230 people died from 204 fatal crashes involving heavy trucks or buses</w:t>
      </w:r>
      <w:r w:rsidR="00B604D0" w:rsidRPr="00C779B7">
        <w:t xml:space="preserve">.  </w:t>
      </w:r>
      <w:r w:rsidRPr="00C779B7">
        <w:t>In the past, a wide range of factors have been identified as playing a role in these crashes, including</w:t>
      </w:r>
      <w:r w:rsidR="0021071C">
        <w:t xml:space="preserve"> the</w:t>
      </w:r>
      <w:r w:rsidRPr="00C779B7">
        <w:t xml:space="preserve"> vehicle, </w:t>
      </w:r>
      <w:r w:rsidR="0021071C">
        <w:t xml:space="preserve">the </w:t>
      </w:r>
      <w:r w:rsidRPr="00C779B7">
        <w:t xml:space="preserve">driver, </w:t>
      </w:r>
      <w:r w:rsidR="0021071C">
        <w:t xml:space="preserve">the </w:t>
      </w:r>
      <w:r w:rsidRPr="00C779B7">
        <w:t xml:space="preserve">road environment and situations such as day/night or rural/metropolitan.  </w:t>
      </w:r>
      <w:r w:rsidR="00B604D0" w:rsidRPr="00C779B7">
        <w:t xml:space="preserve">For a number of years it has </w:t>
      </w:r>
      <w:r w:rsidR="0027121A" w:rsidRPr="00C779B7">
        <w:t xml:space="preserve">also </w:t>
      </w:r>
      <w:r w:rsidR="00B604D0" w:rsidRPr="00C779B7">
        <w:t xml:space="preserve">been </w:t>
      </w:r>
      <w:r w:rsidR="00B604D0" w:rsidRPr="00C779B7">
        <w:lastRenderedPageBreak/>
        <w:t xml:space="preserve">recognised that braking and truck instability are significant vehicle factors that relate to crash occurrence. </w:t>
      </w:r>
      <w:r w:rsidRPr="00C779B7">
        <w:t xml:space="preserve">There are currently a number of interventions being considered or being implemented by governments in Australia to take account </w:t>
      </w:r>
      <w:r w:rsidR="00BD0DC2">
        <w:t xml:space="preserve">of </w:t>
      </w:r>
      <w:r w:rsidR="007A6FA6" w:rsidRPr="00C779B7">
        <w:t>the above</w:t>
      </w:r>
      <w:r w:rsidR="005B6473" w:rsidRPr="00C779B7">
        <w:t xml:space="preserve"> factors.</w:t>
      </w:r>
    </w:p>
    <w:p w:rsidR="00925033" w:rsidRPr="00C779B7" w:rsidRDefault="00925033" w:rsidP="00925033">
      <w:r w:rsidRPr="00C779B7">
        <w:t xml:space="preserve">The primary objective of this </w:t>
      </w:r>
      <w:r w:rsidR="00F71224">
        <w:t>proposal</w:t>
      </w:r>
      <w:r w:rsidR="00F71224" w:rsidRPr="00C779B7">
        <w:t xml:space="preserve"> </w:t>
      </w:r>
      <w:r w:rsidR="00F71224">
        <w:t>is</w:t>
      </w:r>
      <w:r w:rsidR="00F71224" w:rsidRPr="00C779B7">
        <w:t xml:space="preserve"> </w:t>
      </w:r>
      <w:r w:rsidRPr="00C779B7">
        <w:t>to reduce the road trauma arising from crashes involving the stability of heavy commercial vehicles</w:t>
      </w:r>
      <w:r w:rsidR="0027121A" w:rsidRPr="00C779B7">
        <w:t xml:space="preserve"> under braking</w:t>
      </w:r>
      <w:r w:rsidR="00F71224">
        <w:t xml:space="preserve">, in a way that provides a net benefit to the community and without </w:t>
      </w:r>
      <w:r w:rsidRPr="00C779B7">
        <w:t>present</w:t>
      </w:r>
      <w:r w:rsidR="00F71224">
        <w:t>ing</w:t>
      </w:r>
      <w:r w:rsidRPr="00C779B7">
        <w:t xml:space="preserve"> a technical barrier to vehicle manufacturers wishing to supply Australia with new vehicles meeting a higher level of safety.</w:t>
      </w:r>
    </w:p>
    <w:p w:rsidR="00925033" w:rsidRPr="00C779B7" w:rsidRDefault="005B6473" w:rsidP="00925033">
      <w:r w:rsidRPr="00C779B7">
        <w:t xml:space="preserve">In developing the NHVBS to its current state, </w:t>
      </w:r>
      <w:r w:rsidR="0027121A" w:rsidRPr="00C779B7">
        <w:t>discussions</w:t>
      </w:r>
      <w:r w:rsidR="00925033" w:rsidRPr="00C779B7">
        <w:t xml:space="preserve"> </w:t>
      </w:r>
      <w:r w:rsidR="0027121A" w:rsidRPr="00C779B7">
        <w:t>had</w:t>
      </w:r>
      <w:r w:rsidR="00925033" w:rsidRPr="00C779B7">
        <w:t xml:space="preserve"> </w:t>
      </w:r>
      <w:r w:rsidR="00754393" w:rsidRPr="00C779B7">
        <w:t xml:space="preserve">been </w:t>
      </w:r>
      <w:r w:rsidRPr="00C779B7">
        <w:t xml:space="preserve">continued </w:t>
      </w:r>
      <w:r w:rsidR="00925033" w:rsidRPr="00C779B7">
        <w:t xml:space="preserve">within the peak </w:t>
      </w:r>
      <w:r w:rsidRPr="00C779B7">
        <w:t xml:space="preserve">ADRs and vehicle safety </w:t>
      </w:r>
      <w:r w:rsidR="0075115B" w:rsidRPr="00C779B7">
        <w:t>consultation groups</w:t>
      </w:r>
      <w:r w:rsidR="000C6DE5" w:rsidRPr="00C779B7">
        <w:t xml:space="preserve"> (the Strategic Vehicle</w:t>
      </w:r>
      <w:r w:rsidR="00D55823">
        <w:t xml:space="preserve"> Safety and Environment Group—</w:t>
      </w:r>
      <w:r w:rsidR="000C6DE5" w:rsidRPr="00C779B7">
        <w:t>SVSEG and the Technical Liaison Group</w:t>
      </w:r>
      <w:r w:rsidR="00D55823">
        <w:t>—</w:t>
      </w:r>
      <w:r w:rsidR="000C6DE5" w:rsidRPr="00C779B7">
        <w:t>TLG)</w:t>
      </w:r>
      <w:r w:rsidR="0075115B" w:rsidRPr="00C779B7">
        <w:t>,</w:t>
      </w:r>
      <w:r w:rsidR="00925033" w:rsidRPr="00C779B7">
        <w:t xml:space="preserve"> over the period 2008 to 2011</w:t>
      </w:r>
      <w:r w:rsidR="0075115B" w:rsidRPr="00C779B7">
        <w:t xml:space="preserve">.  This </w:t>
      </w:r>
      <w:r w:rsidR="00754393" w:rsidRPr="00C779B7">
        <w:t xml:space="preserve">allowed </w:t>
      </w:r>
      <w:r w:rsidR="00925033" w:rsidRPr="00C779B7">
        <w:t xml:space="preserve">the recommendations contained within the </w:t>
      </w:r>
      <w:r w:rsidR="0027121A" w:rsidRPr="00C779B7">
        <w:t xml:space="preserve">original </w:t>
      </w:r>
      <w:r w:rsidR="00925033" w:rsidRPr="00C779B7">
        <w:t>NHVBS</w:t>
      </w:r>
      <w:r w:rsidR="0027121A" w:rsidRPr="00C779B7">
        <w:t xml:space="preserve"> </w:t>
      </w:r>
      <w:r w:rsidR="00754393" w:rsidRPr="00C779B7">
        <w:t>report to be further refined</w:t>
      </w:r>
      <w:r w:rsidR="00925033" w:rsidRPr="00C779B7">
        <w:t>.  The final form of the proposed changes</w:t>
      </w:r>
      <w:r w:rsidR="00754393" w:rsidRPr="00C779B7">
        <w:t xml:space="preserve"> to the ADRs</w:t>
      </w:r>
      <w:r w:rsidR="00925033" w:rsidRPr="00C779B7">
        <w:t xml:space="preserve"> </w:t>
      </w:r>
      <w:r w:rsidR="00754393" w:rsidRPr="00C779B7">
        <w:t>include</w:t>
      </w:r>
      <w:r w:rsidR="00925033" w:rsidRPr="00C779B7">
        <w:t xml:space="preserve"> the option</w:t>
      </w:r>
      <w:r w:rsidR="0075115B" w:rsidRPr="00C779B7">
        <w:t>,</w:t>
      </w:r>
      <w:r w:rsidR="00925033" w:rsidRPr="00C779B7">
        <w:t xml:space="preserve"> </w:t>
      </w:r>
      <w:r w:rsidR="0075115B" w:rsidRPr="00C779B7">
        <w:t xml:space="preserve">for trailers only, </w:t>
      </w:r>
      <w:r w:rsidR="00925033" w:rsidRPr="00C779B7">
        <w:t xml:space="preserve">of </w:t>
      </w:r>
      <w:r w:rsidR="00754393" w:rsidRPr="00C779B7">
        <w:t>fitting</w:t>
      </w:r>
      <w:r w:rsidR="00925033" w:rsidRPr="00C779B7">
        <w:t xml:space="preserve"> a load proportioning </w:t>
      </w:r>
      <w:r w:rsidR="008B6832">
        <w:t xml:space="preserve">(LP) </w:t>
      </w:r>
      <w:r w:rsidR="00925033" w:rsidRPr="00C779B7">
        <w:t>brake system in lieu of ABS</w:t>
      </w:r>
      <w:r w:rsidR="00AA08F8" w:rsidRPr="00C779B7">
        <w:t xml:space="preserve">.  </w:t>
      </w:r>
      <w:r w:rsidR="00754393" w:rsidRPr="00C779B7">
        <w:t xml:space="preserve">The detailed text </w:t>
      </w:r>
      <w:r w:rsidR="00925033" w:rsidRPr="00C779B7">
        <w:t xml:space="preserve">of the </w:t>
      </w:r>
      <w:r w:rsidR="00AA08F8" w:rsidRPr="00C779B7">
        <w:t>proposed</w:t>
      </w:r>
      <w:r w:rsidR="00925033" w:rsidRPr="00C779B7">
        <w:t xml:space="preserve"> amendments </w:t>
      </w:r>
      <w:r w:rsidR="00754393" w:rsidRPr="00C779B7">
        <w:t xml:space="preserve">to the ADRs </w:t>
      </w:r>
      <w:r w:rsidR="00AA08F8" w:rsidRPr="00C779B7">
        <w:t>is still to</w:t>
      </w:r>
      <w:r w:rsidR="00925033" w:rsidRPr="00C779B7">
        <w:t xml:space="preserve"> be determined in consultation with industry and </w:t>
      </w:r>
      <w:r w:rsidR="007A6FA6" w:rsidRPr="00C779B7">
        <w:t xml:space="preserve">to </w:t>
      </w:r>
      <w:r w:rsidR="0021071C">
        <w:t>assist with this,</w:t>
      </w:r>
      <w:r w:rsidR="007A6FA6" w:rsidRPr="00C779B7">
        <w:t xml:space="preserve"> </w:t>
      </w:r>
      <w:r w:rsidR="00754393" w:rsidRPr="00C779B7">
        <w:t>draft ADRs 35 and 38</w:t>
      </w:r>
      <w:r w:rsidR="00925033" w:rsidRPr="00C779B7">
        <w:t xml:space="preserve"> </w:t>
      </w:r>
      <w:r w:rsidR="00AA08F8" w:rsidRPr="00C779B7">
        <w:t>were</w:t>
      </w:r>
      <w:r w:rsidR="00925033" w:rsidRPr="00C779B7">
        <w:t xml:space="preserve"> </w:t>
      </w:r>
      <w:r w:rsidR="00AA08F8" w:rsidRPr="00C779B7">
        <w:t xml:space="preserve">circulated </w:t>
      </w:r>
      <w:r w:rsidR="00754393" w:rsidRPr="00C779B7">
        <w:t xml:space="preserve">within </w:t>
      </w:r>
      <w:r w:rsidR="00BD062D">
        <w:t>the peak groups in</w:t>
      </w:r>
      <w:r w:rsidR="0021071C">
        <w:t xml:space="preserve"> </w:t>
      </w:r>
      <w:r w:rsidR="00BD062D">
        <w:t>mid</w:t>
      </w:r>
      <w:r w:rsidR="00BD062D">
        <w:noBreakHyphen/>
      </w:r>
      <w:r w:rsidR="00754393" w:rsidRPr="00C779B7">
        <w:t>2012</w:t>
      </w:r>
      <w:r w:rsidR="00AA08F8" w:rsidRPr="00C779B7">
        <w:t xml:space="preserve">. </w:t>
      </w:r>
    </w:p>
    <w:p w:rsidR="007A6FA6" w:rsidRPr="00C779B7" w:rsidRDefault="0075115B" w:rsidP="00AC158D">
      <w:r w:rsidRPr="00C779B7">
        <w:t>Within the RIS</w:t>
      </w:r>
      <w:r w:rsidR="00BA6D25" w:rsidRPr="00C779B7">
        <w:t>,</w:t>
      </w:r>
      <w:r w:rsidRPr="00C779B7">
        <w:t xml:space="preserve"> f</w:t>
      </w:r>
      <w:r w:rsidR="007A6FA6" w:rsidRPr="00C779B7">
        <w:t xml:space="preserve">our </w:t>
      </w:r>
      <w:r w:rsidRPr="00C779B7">
        <w:t xml:space="preserve">broad options </w:t>
      </w:r>
      <w:r w:rsidR="007A6FA6" w:rsidRPr="00C779B7">
        <w:t xml:space="preserve">were </w:t>
      </w:r>
      <w:r w:rsidR="00C40CFD">
        <w:t>considered</w:t>
      </w:r>
      <w:r w:rsidR="006C06F1">
        <w:t xml:space="preserve">: </w:t>
      </w:r>
      <w:r w:rsidR="00C40CFD">
        <w:t>Option 1—n</w:t>
      </w:r>
      <w:r w:rsidR="007A6FA6" w:rsidRPr="00C779B7">
        <w:t>o intervention; Option 2</w:t>
      </w:r>
      <w:r w:rsidR="00C40CFD">
        <w:t>—a</w:t>
      </w:r>
      <w:r w:rsidR="007A6FA6" w:rsidRPr="00C779B7">
        <w:t>mend ADRs 35 and 38 to require ABS; Option 3</w:t>
      </w:r>
      <w:r w:rsidR="00C40CFD">
        <w:t>—d</w:t>
      </w:r>
      <w:r w:rsidR="007A6FA6" w:rsidRPr="00C779B7">
        <w:t>elete ADRs 35 and 38; Option 4</w:t>
      </w:r>
      <w:r w:rsidR="00C40CFD">
        <w:t>—a</w:t>
      </w:r>
      <w:r w:rsidR="007A6FA6" w:rsidRPr="00C779B7">
        <w:t xml:space="preserve">dopt a non-regulatory option. </w:t>
      </w:r>
      <w:r w:rsidR="005C4B14">
        <w:t xml:space="preserve">Option 2 had two </w:t>
      </w:r>
      <w:proofErr w:type="spellStart"/>
      <w:r w:rsidR="008B2A04">
        <w:t>non mutually</w:t>
      </w:r>
      <w:proofErr w:type="spellEnd"/>
      <w:r w:rsidR="008B2A04">
        <w:t xml:space="preserve"> exclusive </w:t>
      </w:r>
      <w:r w:rsidR="005C4B14">
        <w:t>variations, 2(a) allow trailer manufacturers to fit</w:t>
      </w:r>
      <w:r w:rsidR="005C4B14" w:rsidRPr="00C779B7">
        <w:t xml:space="preserve"> a load proportioning </w:t>
      </w:r>
      <w:r w:rsidR="005C4B14">
        <w:t xml:space="preserve">(LP) </w:t>
      </w:r>
      <w:r w:rsidR="005C4B14" w:rsidRPr="00C779B7">
        <w:t>brake system in lieu of ABS</w:t>
      </w:r>
      <w:r w:rsidR="005C4B14">
        <w:t>, and 2(b) allow manufacturers to meet international standards instead of Australian specific requirements.</w:t>
      </w:r>
      <w:r w:rsidR="00BF4E6C">
        <w:t xml:space="preserve"> A number of other minor variations were also considered during the policy development process.</w:t>
      </w:r>
    </w:p>
    <w:p w:rsidR="00782B6B" w:rsidRPr="00C779B7" w:rsidRDefault="00782B6B" w:rsidP="00782B6B">
      <w:r w:rsidRPr="00C779B7">
        <w:t xml:space="preserve">The primary costs under this </w:t>
      </w:r>
      <w:r w:rsidR="00754393" w:rsidRPr="00C779B7">
        <w:t>option</w:t>
      </w:r>
      <w:r w:rsidRPr="00C779B7">
        <w:t xml:space="preserve"> would be in fitting the ABS equipment itself.  In 2012, industry advised that the average costs for this are as shown in</w:t>
      </w:r>
      <w:r w:rsidR="00BA6D25" w:rsidRPr="00C779B7">
        <w:t xml:space="preserve"> the table </w:t>
      </w:r>
      <w:r w:rsidRPr="00C779B7">
        <w:t>below.</w:t>
      </w:r>
    </w:p>
    <w:p w:rsidR="00782B6B" w:rsidRPr="00C779B7" w:rsidRDefault="00782B6B" w:rsidP="00782B6B">
      <w:pPr>
        <w:pStyle w:val="Caption"/>
        <w:keepNext/>
      </w:pPr>
      <w:r w:rsidRPr="00C779B7">
        <w:t>Cost of ABS for heavy commercial vehicles</w:t>
      </w:r>
    </w:p>
    <w:tbl>
      <w:tblPr>
        <w:tblStyle w:val="TableGrid"/>
        <w:tblW w:w="9322"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227"/>
        <w:gridCol w:w="3827"/>
        <w:gridCol w:w="2268"/>
      </w:tblGrid>
      <w:tr w:rsidR="00782B6B" w:rsidRPr="00C779B7" w:rsidTr="00BA6D25">
        <w:tc>
          <w:tcPr>
            <w:tcW w:w="3227" w:type="dxa"/>
            <w:tcBorders>
              <w:top w:val="single" w:sz="8" w:space="0" w:color="000000" w:themeColor="text1"/>
              <w:left w:val="nil"/>
              <w:bottom w:val="single" w:sz="8" w:space="0" w:color="000000" w:themeColor="text1"/>
              <w:right w:val="single" w:sz="8" w:space="0" w:color="000000" w:themeColor="text1"/>
            </w:tcBorders>
          </w:tcPr>
          <w:p w:rsidR="00782B6B" w:rsidRPr="00C779B7" w:rsidRDefault="00782B6B" w:rsidP="00BA6D25">
            <w:pPr>
              <w:pStyle w:val="Table2heading"/>
              <w:jc w:val="left"/>
            </w:pPr>
            <w:r w:rsidRPr="00C779B7">
              <w:t>Vehicle Type</w:t>
            </w:r>
          </w:p>
        </w:tc>
        <w:tc>
          <w:tcPr>
            <w:tcW w:w="3827" w:type="dxa"/>
            <w:tcBorders>
              <w:top w:val="single" w:sz="8" w:space="0" w:color="000000" w:themeColor="text1"/>
              <w:left w:val="single" w:sz="8" w:space="0" w:color="000000" w:themeColor="text1"/>
              <w:bottom w:val="single" w:sz="8" w:space="0" w:color="000000" w:themeColor="text1"/>
            </w:tcBorders>
          </w:tcPr>
          <w:p w:rsidR="00782B6B" w:rsidRPr="00C779B7" w:rsidRDefault="00782B6B" w:rsidP="00BA6D25">
            <w:pPr>
              <w:pStyle w:val="Table2heading"/>
              <w:jc w:val="left"/>
            </w:pPr>
            <w:r w:rsidRPr="00C779B7">
              <w:t>System description</w:t>
            </w:r>
          </w:p>
        </w:tc>
        <w:tc>
          <w:tcPr>
            <w:tcW w:w="2268" w:type="dxa"/>
            <w:tcBorders>
              <w:top w:val="single" w:sz="8" w:space="0" w:color="000000" w:themeColor="text1"/>
              <w:bottom w:val="single" w:sz="8" w:space="0" w:color="000000" w:themeColor="text1"/>
            </w:tcBorders>
          </w:tcPr>
          <w:p w:rsidR="00782B6B" w:rsidRPr="00C779B7" w:rsidRDefault="00782B6B" w:rsidP="00BA6D25">
            <w:pPr>
              <w:pStyle w:val="Table2heading"/>
              <w:jc w:val="left"/>
            </w:pPr>
            <w:r w:rsidRPr="00C779B7">
              <w:t>Average cost of system</w:t>
            </w:r>
          </w:p>
        </w:tc>
      </w:tr>
      <w:tr w:rsidR="00782B6B" w:rsidRPr="00C779B7" w:rsidTr="00BA6D25">
        <w:tc>
          <w:tcPr>
            <w:tcW w:w="3227" w:type="dxa"/>
            <w:tcBorders>
              <w:top w:val="single" w:sz="8" w:space="0" w:color="000000" w:themeColor="text1"/>
              <w:left w:val="nil"/>
              <w:right w:val="single" w:sz="8" w:space="0" w:color="000000" w:themeColor="text1"/>
            </w:tcBorders>
          </w:tcPr>
          <w:p w:rsidR="00782B6B" w:rsidRPr="00C779B7" w:rsidRDefault="00782B6B" w:rsidP="00BA6D25">
            <w:pPr>
              <w:pStyle w:val="Table2"/>
            </w:pPr>
            <w:r w:rsidRPr="00C779B7">
              <w:t>Light duty truck (3.</w:t>
            </w:r>
            <w:r w:rsidR="00EF5E0D">
              <w:t>5</w:t>
            </w:r>
            <w:r w:rsidRPr="00C779B7">
              <w:t>01—8 t GVM)</w:t>
            </w:r>
          </w:p>
        </w:tc>
        <w:tc>
          <w:tcPr>
            <w:tcW w:w="3827" w:type="dxa"/>
            <w:tcBorders>
              <w:top w:val="single" w:sz="8" w:space="0" w:color="000000" w:themeColor="text1"/>
              <w:left w:val="single" w:sz="8" w:space="0" w:color="000000" w:themeColor="text1"/>
            </w:tcBorders>
          </w:tcPr>
          <w:p w:rsidR="00782B6B" w:rsidRPr="00C779B7" w:rsidRDefault="00782B6B" w:rsidP="00BA6D25">
            <w:pPr>
              <w:pStyle w:val="Table2"/>
            </w:pPr>
            <w:r w:rsidRPr="00C779B7">
              <w:t>ABS for a full hydraulic brake system</w:t>
            </w:r>
          </w:p>
        </w:tc>
        <w:tc>
          <w:tcPr>
            <w:tcW w:w="2268" w:type="dxa"/>
            <w:tcBorders>
              <w:top w:val="single" w:sz="8" w:space="0" w:color="000000" w:themeColor="text1"/>
            </w:tcBorders>
          </w:tcPr>
          <w:p w:rsidR="00782B6B" w:rsidRPr="00C779B7" w:rsidRDefault="00782B6B" w:rsidP="00BA6D25">
            <w:pPr>
              <w:pStyle w:val="Table2"/>
            </w:pPr>
            <w:r w:rsidRPr="00C779B7">
              <w:t>A$1,000</w:t>
            </w:r>
          </w:p>
        </w:tc>
      </w:tr>
      <w:tr w:rsidR="00782B6B" w:rsidRPr="00C779B7" w:rsidTr="00BA6D25">
        <w:tc>
          <w:tcPr>
            <w:tcW w:w="3227" w:type="dxa"/>
            <w:tcBorders>
              <w:left w:val="nil"/>
              <w:right w:val="single" w:sz="8" w:space="0" w:color="000000" w:themeColor="text1"/>
            </w:tcBorders>
          </w:tcPr>
          <w:p w:rsidR="00782B6B" w:rsidRPr="00C779B7" w:rsidRDefault="00782B6B" w:rsidP="00BA6D25">
            <w:pPr>
              <w:pStyle w:val="Table2"/>
            </w:pPr>
            <w:r w:rsidRPr="00C779B7">
              <w:t>Medium duty truck (8—18 t GVM)</w:t>
            </w:r>
          </w:p>
        </w:tc>
        <w:tc>
          <w:tcPr>
            <w:tcW w:w="3827" w:type="dxa"/>
            <w:tcBorders>
              <w:left w:val="single" w:sz="8" w:space="0" w:color="000000" w:themeColor="text1"/>
            </w:tcBorders>
          </w:tcPr>
          <w:p w:rsidR="00782B6B" w:rsidRPr="00C779B7" w:rsidRDefault="00782B6B" w:rsidP="00BA6D25">
            <w:pPr>
              <w:pStyle w:val="Table2"/>
            </w:pPr>
            <w:r w:rsidRPr="00C779B7">
              <w:t>3-channel ABS on a 2-axle truck with Air-Over-Hydraulic or Full Air system</w:t>
            </w:r>
          </w:p>
        </w:tc>
        <w:tc>
          <w:tcPr>
            <w:tcW w:w="2268" w:type="dxa"/>
          </w:tcPr>
          <w:p w:rsidR="00782B6B" w:rsidRPr="00C779B7" w:rsidRDefault="00782B6B" w:rsidP="00BA6D25">
            <w:pPr>
              <w:pStyle w:val="Table2"/>
            </w:pPr>
            <w:r w:rsidRPr="00C779B7">
              <w:t>A$2,500</w:t>
            </w:r>
          </w:p>
        </w:tc>
      </w:tr>
      <w:tr w:rsidR="00782B6B" w:rsidRPr="00C779B7" w:rsidTr="00BA6D25">
        <w:tc>
          <w:tcPr>
            <w:tcW w:w="3227" w:type="dxa"/>
            <w:tcBorders>
              <w:left w:val="nil"/>
              <w:right w:val="single" w:sz="8" w:space="0" w:color="000000" w:themeColor="text1"/>
            </w:tcBorders>
          </w:tcPr>
          <w:p w:rsidR="00782B6B" w:rsidRPr="00C779B7" w:rsidRDefault="00782B6B" w:rsidP="00BA6D25">
            <w:pPr>
              <w:pStyle w:val="Table2"/>
            </w:pPr>
            <w:r w:rsidRPr="00C779B7">
              <w:t>Heavy duty truck (3-axle and more)</w:t>
            </w:r>
          </w:p>
        </w:tc>
        <w:tc>
          <w:tcPr>
            <w:tcW w:w="3827" w:type="dxa"/>
            <w:tcBorders>
              <w:left w:val="single" w:sz="8" w:space="0" w:color="000000" w:themeColor="text1"/>
            </w:tcBorders>
          </w:tcPr>
          <w:p w:rsidR="00782B6B" w:rsidRPr="00C779B7" w:rsidRDefault="00782B6B" w:rsidP="00BA6D25">
            <w:pPr>
              <w:pStyle w:val="Table2"/>
            </w:pPr>
            <w:r w:rsidRPr="00C779B7">
              <w:t>4-channel ABS on 3 and 4-axle trucks with Full Air system</w:t>
            </w:r>
          </w:p>
        </w:tc>
        <w:tc>
          <w:tcPr>
            <w:tcW w:w="2268" w:type="dxa"/>
          </w:tcPr>
          <w:p w:rsidR="00782B6B" w:rsidRPr="00C779B7" w:rsidRDefault="00782B6B" w:rsidP="00BA6D25">
            <w:pPr>
              <w:pStyle w:val="Table2"/>
            </w:pPr>
            <w:r w:rsidRPr="00C779B7">
              <w:t>A$3,560</w:t>
            </w:r>
          </w:p>
        </w:tc>
      </w:tr>
      <w:tr w:rsidR="00782B6B" w:rsidRPr="00C779B7" w:rsidTr="00BA6D25">
        <w:tc>
          <w:tcPr>
            <w:tcW w:w="3227" w:type="dxa"/>
            <w:tcBorders>
              <w:left w:val="nil"/>
              <w:bottom w:val="nil"/>
              <w:right w:val="single" w:sz="8" w:space="0" w:color="000000" w:themeColor="text1"/>
            </w:tcBorders>
          </w:tcPr>
          <w:p w:rsidR="00782B6B" w:rsidRPr="00C779B7" w:rsidRDefault="00782B6B" w:rsidP="00BA6D25">
            <w:pPr>
              <w:pStyle w:val="Table2"/>
            </w:pPr>
            <w:r w:rsidRPr="00C779B7">
              <w:t>Buses (&gt; 4.5 t GVM)</w:t>
            </w:r>
          </w:p>
        </w:tc>
        <w:tc>
          <w:tcPr>
            <w:tcW w:w="3827" w:type="dxa"/>
            <w:tcBorders>
              <w:left w:val="single" w:sz="8" w:space="0" w:color="000000" w:themeColor="text1"/>
              <w:bottom w:val="nil"/>
            </w:tcBorders>
          </w:tcPr>
          <w:p w:rsidR="00782B6B" w:rsidRPr="00C779B7" w:rsidRDefault="00782B6B" w:rsidP="00BA6D25">
            <w:pPr>
              <w:pStyle w:val="Table2"/>
            </w:pPr>
            <w:r w:rsidRPr="00C779B7">
              <w:t>4-channel ABS</w:t>
            </w:r>
          </w:p>
        </w:tc>
        <w:tc>
          <w:tcPr>
            <w:tcW w:w="2268" w:type="dxa"/>
            <w:tcBorders>
              <w:bottom w:val="nil"/>
            </w:tcBorders>
          </w:tcPr>
          <w:p w:rsidR="00782B6B" w:rsidRPr="00C779B7" w:rsidRDefault="00782B6B" w:rsidP="00BA6D25">
            <w:pPr>
              <w:pStyle w:val="Table2"/>
            </w:pPr>
            <w:r w:rsidRPr="00C779B7">
              <w:t>A$3,000</w:t>
            </w:r>
          </w:p>
        </w:tc>
      </w:tr>
      <w:tr w:rsidR="00782B6B" w:rsidRPr="00C779B7" w:rsidTr="00BA6D25">
        <w:tc>
          <w:tcPr>
            <w:tcW w:w="3227" w:type="dxa"/>
            <w:tcBorders>
              <w:top w:val="nil"/>
              <w:left w:val="nil"/>
              <w:bottom w:val="single" w:sz="8" w:space="0" w:color="000000" w:themeColor="text1"/>
              <w:right w:val="single" w:sz="8" w:space="0" w:color="000000" w:themeColor="text1"/>
            </w:tcBorders>
          </w:tcPr>
          <w:p w:rsidR="00782B6B" w:rsidRPr="00C779B7" w:rsidRDefault="00782B6B" w:rsidP="00BA6D25">
            <w:pPr>
              <w:pStyle w:val="Table2"/>
            </w:pPr>
            <w:r w:rsidRPr="00C779B7">
              <w:t>Trailers (&gt;4.5 t GVM)</w:t>
            </w:r>
          </w:p>
        </w:tc>
        <w:tc>
          <w:tcPr>
            <w:tcW w:w="3827" w:type="dxa"/>
            <w:tcBorders>
              <w:top w:val="nil"/>
              <w:left w:val="single" w:sz="8" w:space="0" w:color="000000" w:themeColor="text1"/>
              <w:bottom w:val="single" w:sz="8" w:space="0" w:color="000000" w:themeColor="text1"/>
              <w:right w:val="nil"/>
            </w:tcBorders>
          </w:tcPr>
          <w:p w:rsidR="00782B6B" w:rsidRPr="00C779B7" w:rsidRDefault="00782B6B" w:rsidP="00BA6D25">
            <w:pPr>
              <w:pStyle w:val="Table2"/>
            </w:pPr>
            <w:r w:rsidRPr="00C779B7">
              <w:t>2 or 3-channel ABS</w:t>
            </w:r>
          </w:p>
        </w:tc>
        <w:tc>
          <w:tcPr>
            <w:tcW w:w="2268" w:type="dxa"/>
            <w:tcBorders>
              <w:top w:val="nil"/>
              <w:left w:val="nil"/>
              <w:bottom w:val="single" w:sz="8" w:space="0" w:color="000000" w:themeColor="text1"/>
            </w:tcBorders>
          </w:tcPr>
          <w:p w:rsidR="00782B6B" w:rsidRPr="00C779B7" w:rsidRDefault="00782B6B" w:rsidP="00BA6D25">
            <w:pPr>
              <w:pStyle w:val="Table2"/>
            </w:pPr>
            <w:r w:rsidRPr="00C779B7">
              <w:t>A$1,500</w:t>
            </w:r>
          </w:p>
        </w:tc>
      </w:tr>
    </w:tbl>
    <w:p w:rsidR="00782B6B" w:rsidRPr="00C779B7" w:rsidRDefault="00782B6B" w:rsidP="00782B6B">
      <w:r w:rsidRPr="00C779B7">
        <w:t xml:space="preserve">For the purposes of </w:t>
      </w:r>
      <w:r w:rsidR="00BA6D25" w:rsidRPr="00C779B7">
        <w:t>the</w:t>
      </w:r>
      <w:r w:rsidRPr="00C779B7">
        <w:t xml:space="preserve"> RIS, these costs were combined into one overall cost for vehicles over 4.5 tonnes GVM.  In each case, the individual costs were weighted by their respective vehicle production numbers per annum</w:t>
      </w:r>
      <w:r w:rsidR="00671575" w:rsidRPr="00C779B7">
        <w:t xml:space="preserve">.  This resulted in an average cost of </w:t>
      </w:r>
      <w:r w:rsidR="00671575" w:rsidRPr="00C779B7">
        <w:rPr>
          <w:rFonts w:cs="Times New Roman"/>
        </w:rPr>
        <w:t>$2,037</w:t>
      </w:r>
      <w:r w:rsidRPr="00C779B7">
        <w:t>.</w:t>
      </w:r>
    </w:p>
    <w:p w:rsidR="00782B6B" w:rsidRPr="00C779B7" w:rsidRDefault="00782B6B" w:rsidP="00782B6B">
      <w:r w:rsidRPr="00C779B7">
        <w:t xml:space="preserve">Benefit-cost analysis was used to </w:t>
      </w:r>
      <w:r w:rsidR="00005958">
        <w:t xml:space="preserve">help </w:t>
      </w:r>
      <w:r w:rsidRPr="00C779B7">
        <w:t>evaluate the value of Option 2.  Benefit-cost analysis compares the pote</w:t>
      </w:r>
      <w:r w:rsidR="002731E9">
        <w:t>ntial reduction in road trauma with</w:t>
      </w:r>
      <w:r w:rsidRPr="00C779B7">
        <w:t xml:space="preserve"> the cost of implementing a particular </w:t>
      </w:r>
      <w:r w:rsidRPr="00C779B7">
        <w:lastRenderedPageBreak/>
        <w:t>option.</w:t>
      </w:r>
      <w:r w:rsidR="002F3DBC">
        <w:t xml:space="preserve">  </w:t>
      </w:r>
      <w:r w:rsidRPr="00C779B7">
        <w:t xml:space="preserve">In assigning a monetary value to both, options can be chosen that provide the greatest decrease in road trauma for the resources </w:t>
      </w:r>
      <w:r w:rsidR="00BA6D25" w:rsidRPr="00C779B7">
        <w:t>used</w:t>
      </w:r>
      <w:r w:rsidRPr="00C779B7">
        <w:t>.</w:t>
      </w:r>
    </w:p>
    <w:p w:rsidR="00782B6B" w:rsidRPr="00C779B7" w:rsidRDefault="00630EC4" w:rsidP="00925033">
      <w:r w:rsidRPr="00C779B7">
        <w:t>C</w:t>
      </w:r>
      <w:r w:rsidR="00782B6B" w:rsidRPr="00C779B7">
        <w:t>alculations were started at the current estimated voluntary compliance rate</w:t>
      </w:r>
      <w:r w:rsidRPr="00C779B7">
        <w:t xml:space="preserve"> under the </w:t>
      </w:r>
      <w:r w:rsidR="00F71A2E">
        <w:t>business as usual (BAU)</w:t>
      </w:r>
      <w:r w:rsidRPr="00C779B7">
        <w:t xml:space="preserve"> case</w:t>
      </w:r>
      <w:r w:rsidR="00782B6B" w:rsidRPr="00C779B7">
        <w:t xml:space="preserve"> of </w:t>
      </w:r>
      <w:r w:rsidR="00CC0421">
        <w:t>36</w:t>
      </w:r>
      <w:r w:rsidR="002D64CF" w:rsidRPr="00C779B7">
        <w:t> </w:t>
      </w:r>
      <w:r w:rsidR="00782B6B" w:rsidRPr="00C779B7">
        <w:t>per cent of all trucks and trailers above 4.5 tonnes and 90 per </w:t>
      </w:r>
      <w:r w:rsidRPr="00C779B7">
        <w:t>cent of buses above 4.5 tonnes.  N</w:t>
      </w:r>
      <w:r w:rsidR="00782B6B" w:rsidRPr="00C779B7">
        <w:t xml:space="preserve">et benefits were calculated using a discount rate of </w:t>
      </w:r>
      <w:r w:rsidR="00A52D74">
        <w:t>seven</w:t>
      </w:r>
      <w:r w:rsidR="00782B6B" w:rsidRPr="00C779B7">
        <w:t xml:space="preserve"> per cent, with sensitivity tests conducted at </w:t>
      </w:r>
      <w:r w:rsidR="00A52D74">
        <w:t>three</w:t>
      </w:r>
      <w:r w:rsidR="00782B6B" w:rsidRPr="00C779B7">
        <w:t xml:space="preserve"> per cent and </w:t>
      </w:r>
      <w:r w:rsidR="00A52D74">
        <w:t>10</w:t>
      </w:r>
      <w:r w:rsidR="00782B6B" w:rsidRPr="00C779B7">
        <w:t xml:space="preserve"> per cent.  </w:t>
      </w:r>
      <w:r w:rsidR="00BA6D25" w:rsidRPr="00C779B7">
        <w:t>The table below</w:t>
      </w:r>
      <w:r w:rsidR="00782B6B" w:rsidRPr="00C779B7">
        <w:t xml:space="preserve"> shows a summary of the net benefits, </w:t>
      </w:r>
      <w:r w:rsidR="00E5189A">
        <w:t>b</w:t>
      </w:r>
      <w:r w:rsidR="00814AE1" w:rsidRPr="00C779B7">
        <w:t xml:space="preserve">enefit </w:t>
      </w:r>
      <w:r w:rsidR="00E5189A">
        <w:t>c</w:t>
      </w:r>
      <w:r w:rsidR="00814AE1" w:rsidRPr="00C779B7">
        <w:t xml:space="preserve">ost </w:t>
      </w:r>
      <w:r w:rsidR="00E5189A">
        <w:t>r</w:t>
      </w:r>
      <w:r w:rsidR="00814AE1" w:rsidRPr="00C779B7">
        <w:t>atios (</w:t>
      </w:r>
      <w:r w:rsidR="00782B6B" w:rsidRPr="00C779B7">
        <w:t>BCRs</w:t>
      </w:r>
      <w:r w:rsidR="00814AE1" w:rsidRPr="00C779B7">
        <w:t>)</w:t>
      </w:r>
      <w:r w:rsidR="00782B6B" w:rsidRPr="00C779B7">
        <w:t xml:space="preserve"> and lives saved calculated for various discount rates and ABS effectiveness values.</w:t>
      </w:r>
      <w:r w:rsidR="006A2B6F">
        <w:t xml:space="preserve"> Following further consultation in June 2013, industry estimated that up to 90 per cent of trucks may be fitted and so the effect of this was noted in the results for the likely case.</w:t>
      </w:r>
    </w:p>
    <w:p w:rsidR="0048769E" w:rsidRPr="00C779B7" w:rsidRDefault="0048769E" w:rsidP="00925033">
      <w:r w:rsidRPr="00C779B7">
        <w:t xml:space="preserve">The </w:t>
      </w:r>
      <w:r w:rsidR="00A15290">
        <w:t>l</w:t>
      </w:r>
      <w:r w:rsidRPr="00C779B7">
        <w:t>ikely case showed that mandating ABS would provide the community with net benefits of $</w:t>
      </w:r>
      <w:r w:rsidR="00DA5FFE">
        <w:t>46-</w:t>
      </w:r>
      <w:r w:rsidR="00E01557">
        <w:t>73</w:t>
      </w:r>
      <w:r w:rsidR="00AC0BF5" w:rsidRPr="00C779B7">
        <w:t xml:space="preserve">m </w:t>
      </w:r>
      <w:r w:rsidRPr="00C779B7">
        <w:t xml:space="preserve">and save </w:t>
      </w:r>
      <w:r w:rsidR="00DA5FFE">
        <w:t>36-</w:t>
      </w:r>
      <w:r w:rsidR="00CC0421">
        <w:t>57</w:t>
      </w:r>
      <w:r w:rsidR="00AC0BF5" w:rsidRPr="00C779B7">
        <w:t xml:space="preserve"> </w:t>
      </w:r>
      <w:r w:rsidRPr="00C779B7">
        <w:t xml:space="preserve">lives over a period of </w:t>
      </w:r>
      <w:r w:rsidR="00AC0BF5">
        <w:t xml:space="preserve">30 years, </w:t>
      </w:r>
      <w:r w:rsidR="0021071C">
        <w:t>from</w:t>
      </w:r>
      <w:r w:rsidR="00AC0BF5">
        <w:t xml:space="preserve"> 4</w:t>
      </w:r>
      <w:r w:rsidRPr="00C779B7">
        <w:t xml:space="preserve"> years of operation of the regulation</w:t>
      </w:r>
      <w:r w:rsidR="002C6A16">
        <w:t>,</w:t>
      </w:r>
      <w:r w:rsidR="00AC0BF5">
        <w:t xml:space="preserve"> from 2014 until any new requirements under Phase II may come into effect in 2018</w:t>
      </w:r>
      <w:r w:rsidRPr="00C779B7">
        <w:t>.  The resultant BCR was 1.</w:t>
      </w:r>
      <w:r w:rsidR="00AC0BF5">
        <w:t>5</w:t>
      </w:r>
      <w:r w:rsidRPr="00C779B7">
        <w:t>.</w:t>
      </w:r>
      <w:r w:rsidR="002C6A16">
        <w:t xml:space="preserve">  Under Option 2(a), </w:t>
      </w:r>
      <w:r w:rsidR="00CC28CC">
        <w:t xml:space="preserve">while practical and expediting the Phase I timetable, </w:t>
      </w:r>
      <w:r w:rsidR="002C6A16">
        <w:t>the net benefits were not able to be determined accurately</w:t>
      </w:r>
      <w:r w:rsidR="00CC28CC">
        <w:t xml:space="preserve">.  These </w:t>
      </w:r>
      <w:r w:rsidR="002C6A16">
        <w:t>were estimated at</w:t>
      </w:r>
      <w:r w:rsidR="00CC28CC">
        <w:t xml:space="preserve"> a minimum of</w:t>
      </w:r>
      <w:r w:rsidR="002C6A16">
        <w:t xml:space="preserve"> $46m and 36 lives.</w:t>
      </w:r>
      <w:r w:rsidR="00CC28CC">
        <w:t xml:space="preserve">  </w:t>
      </w:r>
    </w:p>
    <w:p w:rsidR="00782B6B" w:rsidRPr="00F31D2B" w:rsidRDefault="00782B6B" w:rsidP="00F31D2B">
      <w:pPr>
        <w:pStyle w:val="Caption"/>
      </w:pPr>
      <w:bookmarkStart w:id="5" w:name="benefitandcostsummary"/>
      <w:bookmarkEnd w:id="5"/>
      <w:r w:rsidRPr="00F31D2B">
        <w:t xml:space="preserve">Summary of net benefits, BCRs and lives saved from the </w:t>
      </w:r>
      <w:r w:rsidR="00D66683">
        <w:t>regulation</w:t>
      </w:r>
      <w:r w:rsidR="00D66683" w:rsidRPr="00F31D2B">
        <w:t xml:space="preserve"> </w:t>
      </w:r>
      <w:r w:rsidRPr="00F31D2B">
        <w:t xml:space="preserve">of ABS for heavy commercial vehicles over </w:t>
      </w:r>
      <w:r w:rsidR="002C31E3">
        <w:t>4</w:t>
      </w:r>
      <w:r w:rsidRPr="00F31D2B">
        <w:t xml:space="preserve"> years for option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782B6B" w:rsidRPr="00C779B7" w:rsidTr="00BA6D25">
        <w:tc>
          <w:tcPr>
            <w:tcW w:w="2310" w:type="dxa"/>
            <w:tcBorders>
              <w:top w:val="single" w:sz="8" w:space="0" w:color="auto"/>
              <w:bottom w:val="single" w:sz="8" w:space="0" w:color="auto"/>
            </w:tcBorders>
          </w:tcPr>
          <w:p w:rsidR="00782B6B" w:rsidRPr="00C779B7" w:rsidRDefault="00782B6B" w:rsidP="00BA6D25">
            <w:pPr>
              <w:pStyle w:val="Table2"/>
            </w:pPr>
          </w:p>
        </w:tc>
        <w:tc>
          <w:tcPr>
            <w:tcW w:w="2310" w:type="dxa"/>
            <w:tcBorders>
              <w:top w:val="single" w:sz="8" w:space="0" w:color="auto"/>
              <w:bottom w:val="single" w:sz="8" w:space="0" w:color="auto"/>
            </w:tcBorders>
          </w:tcPr>
          <w:p w:rsidR="00782B6B" w:rsidRPr="00C779B7" w:rsidRDefault="00782B6B" w:rsidP="00BA6D25">
            <w:pPr>
              <w:pStyle w:val="Table2heading"/>
            </w:pPr>
            <w:r w:rsidRPr="00C779B7">
              <w:t>Net benefits ($m)</w:t>
            </w:r>
          </w:p>
        </w:tc>
        <w:tc>
          <w:tcPr>
            <w:tcW w:w="2311" w:type="dxa"/>
            <w:tcBorders>
              <w:top w:val="single" w:sz="8" w:space="0" w:color="auto"/>
              <w:bottom w:val="single" w:sz="8" w:space="0" w:color="auto"/>
            </w:tcBorders>
          </w:tcPr>
          <w:p w:rsidR="00782B6B" w:rsidRPr="00C779B7" w:rsidRDefault="00782B6B" w:rsidP="00BA6D25">
            <w:pPr>
              <w:pStyle w:val="Table2heading"/>
            </w:pPr>
            <w:r w:rsidRPr="00C779B7">
              <w:t>BCR</w:t>
            </w:r>
          </w:p>
        </w:tc>
        <w:tc>
          <w:tcPr>
            <w:tcW w:w="2311" w:type="dxa"/>
            <w:tcBorders>
              <w:top w:val="single" w:sz="8" w:space="0" w:color="auto"/>
              <w:bottom w:val="single" w:sz="8" w:space="0" w:color="auto"/>
            </w:tcBorders>
          </w:tcPr>
          <w:p w:rsidR="00782B6B" w:rsidRPr="00C779B7" w:rsidRDefault="00782B6B" w:rsidP="00BA6D25">
            <w:pPr>
              <w:pStyle w:val="Table2heading"/>
            </w:pPr>
            <w:r w:rsidRPr="00C779B7">
              <w:t>Lives saved</w:t>
            </w:r>
          </w:p>
        </w:tc>
      </w:tr>
      <w:tr w:rsidR="00782B6B" w:rsidRPr="00C779B7" w:rsidTr="003D4B23">
        <w:tc>
          <w:tcPr>
            <w:tcW w:w="2310" w:type="dxa"/>
            <w:tcBorders>
              <w:top w:val="single" w:sz="8" w:space="0" w:color="auto"/>
            </w:tcBorders>
          </w:tcPr>
          <w:p w:rsidR="00782B6B" w:rsidRPr="00C779B7" w:rsidRDefault="00782B6B" w:rsidP="00BA6D25">
            <w:pPr>
              <w:pStyle w:val="Table2heading"/>
              <w:jc w:val="left"/>
            </w:pPr>
            <w:r w:rsidRPr="00C779B7">
              <w:t>Best case</w:t>
            </w:r>
          </w:p>
        </w:tc>
        <w:tc>
          <w:tcPr>
            <w:tcW w:w="2310" w:type="dxa"/>
            <w:tcBorders>
              <w:top w:val="single" w:sz="8" w:space="0" w:color="auto"/>
            </w:tcBorders>
          </w:tcPr>
          <w:p w:rsidR="00782B6B" w:rsidRPr="00C779B7" w:rsidRDefault="00F2196E" w:rsidP="003D4B23">
            <w:pPr>
              <w:pStyle w:val="Table2"/>
              <w:jc w:val="center"/>
            </w:pPr>
            <w:r>
              <w:t>3</w:t>
            </w:r>
            <w:r w:rsidR="00CC0421">
              <w:t>5</w:t>
            </w:r>
            <w:r w:rsidR="00E01557">
              <w:t>4</w:t>
            </w:r>
          </w:p>
        </w:tc>
        <w:tc>
          <w:tcPr>
            <w:tcW w:w="2311" w:type="dxa"/>
            <w:tcBorders>
              <w:top w:val="single" w:sz="8" w:space="0" w:color="auto"/>
            </w:tcBorders>
          </w:tcPr>
          <w:p w:rsidR="00782B6B" w:rsidRPr="00C779B7" w:rsidRDefault="00F2196E" w:rsidP="003D4B23">
            <w:pPr>
              <w:pStyle w:val="Table2"/>
              <w:jc w:val="center"/>
            </w:pPr>
            <w:r>
              <w:t>3.0</w:t>
            </w:r>
          </w:p>
        </w:tc>
        <w:tc>
          <w:tcPr>
            <w:tcW w:w="2311" w:type="dxa"/>
            <w:tcBorders>
              <w:top w:val="single" w:sz="8" w:space="0" w:color="auto"/>
            </w:tcBorders>
          </w:tcPr>
          <w:p w:rsidR="00782B6B" w:rsidRPr="00C779B7" w:rsidRDefault="00F2196E" w:rsidP="003D4B23">
            <w:pPr>
              <w:pStyle w:val="Table2"/>
              <w:jc w:val="center"/>
            </w:pPr>
            <w:r>
              <w:t>8</w:t>
            </w:r>
            <w:r w:rsidR="00CC0421">
              <w:t>4</w:t>
            </w:r>
          </w:p>
        </w:tc>
      </w:tr>
      <w:tr w:rsidR="00782B6B" w:rsidRPr="00C779B7" w:rsidTr="003D4B23">
        <w:tc>
          <w:tcPr>
            <w:tcW w:w="2310" w:type="dxa"/>
          </w:tcPr>
          <w:p w:rsidR="00782B6B" w:rsidRPr="00C779B7" w:rsidRDefault="00782B6B" w:rsidP="00BA6D25">
            <w:pPr>
              <w:pStyle w:val="Table2heading"/>
              <w:jc w:val="left"/>
            </w:pPr>
            <w:r w:rsidRPr="00C779B7">
              <w:t>Likely case</w:t>
            </w:r>
          </w:p>
        </w:tc>
        <w:tc>
          <w:tcPr>
            <w:tcW w:w="2310" w:type="dxa"/>
          </w:tcPr>
          <w:p w:rsidR="00782B6B" w:rsidRPr="00C779B7" w:rsidRDefault="00CC0421" w:rsidP="003D4B23">
            <w:pPr>
              <w:pStyle w:val="Table2"/>
              <w:jc w:val="center"/>
            </w:pPr>
            <w:r>
              <w:t>7</w:t>
            </w:r>
            <w:r w:rsidR="00E01557">
              <w:t>3</w:t>
            </w:r>
          </w:p>
        </w:tc>
        <w:tc>
          <w:tcPr>
            <w:tcW w:w="2311" w:type="dxa"/>
          </w:tcPr>
          <w:p w:rsidR="00782B6B" w:rsidRPr="00C779B7" w:rsidRDefault="00782B6B" w:rsidP="003D4B23">
            <w:pPr>
              <w:pStyle w:val="Table2"/>
              <w:jc w:val="center"/>
            </w:pPr>
            <w:r w:rsidRPr="00C779B7">
              <w:t>1.</w:t>
            </w:r>
            <w:r w:rsidR="00F2196E">
              <w:t>5</w:t>
            </w:r>
          </w:p>
        </w:tc>
        <w:tc>
          <w:tcPr>
            <w:tcW w:w="2311" w:type="dxa"/>
          </w:tcPr>
          <w:p w:rsidR="00782B6B" w:rsidRPr="00C779B7" w:rsidRDefault="00F2196E" w:rsidP="003D4B23">
            <w:pPr>
              <w:pStyle w:val="Table2"/>
              <w:jc w:val="center"/>
            </w:pPr>
            <w:r>
              <w:t>5</w:t>
            </w:r>
            <w:r w:rsidR="00CC0421">
              <w:t>7</w:t>
            </w:r>
          </w:p>
        </w:tc>
      </w:tr>
      <w:tr w:rsidR="00782B6B" w:rsidRPr="00C779B7" w:rsidTr="003D4B23">
        <w:tc>
          <w:tcPr>
            <w:tcW w:w="2310" w:type="dxa"/>
            <w:tcBorders>
              <w:bottom w:val="single" w:sz="8" w:space="0" w:color="auto"/>
            </w:tcBorders>
          </w:tcPr>
          <w:p w:rsidR="00782B6B" w:rsidRPr="00C779B7" w:rsidRDefault="00782B6B" w:rsidP="00BA6D25">
            <w:pPr>
              <w:pStyle w:val="Table2heading"/>
              <w:jc w:val="left"/>
            </w:pPr>
            <w:r w:rsidRPr="00C779B7">
              <w:t>Worst case</w:t>
            </w:r>
          </w:p>
        </w:tc>
        <w:tc>
          <w:tcPr>
            <w:tcW w:w="2310" w:type="dxa"/>
            <w:tcBorders>
              <w:bottom w:val="single" w:sz="8" w:space="0" w:color="auto"/>
            </w:tcBorders>
          </w:tcPr>
          <w:p w:rsidR="00782B6B" w:rsidRPr="00C779B7" w:rsidRDefault="00782B6B" w:rsidP="003D4B23">
            <w:pPr>
              <w:pStyle w:val="Table2"/>
              <w:jc w:val="center"/>
            </w:pPr>
            <w:r w:rsidRPr="00C779B7">
              <w:t>-4</w:t>
            </w:r>
            <w:r w:rsidR="00CC0421">
              <w:t>5</w:t>
            </w:r>
          </w:p>
        </w:tc>
        <w:tc>
          <w:tcPr>
            <w:tcW w:w="2311" w:type="dxa"/>
            <w:tcBorders>
              <w:bottom w:val="single" w:sz="8" w:space="0" w:color="auto"/>
            </w:tcBorders>
          </w:tcPr>
          <w:p w:rsidR="00782B6B" w:rsidRPr="00C779B7" w:rsidRDefault="00782B6B" w:rsidP="003D4B23">
            <w:pPr>
              <w:pStyle w:val="Table2"/>
              <w:jc w:val="center"/>
            </w:pPr>
            <w:r w:rsidRPr="00C779B7">
              <w:t>0.</w:t>
            </w:r>
            <w:r w:rsidR="00F2196E">
              <w:t>7</w:t>
            </w:r>
          </w:p>
        </w:tc>
        <w:tc>
          <w:tcPr>
            <w:tcW w:w="2311" w:type="dxa"/>
            <w:tcBorders>
              <w:bottom w:val="single" w:sz="8" w:space="0" w:color="auto"/>
            </w:tcBorders>
          </w:tcPr>
          <w:p w:rsidR="00782B6B" w:rsidRPr="00C779B7" w:rsidRDefault="00F2196E" w:rsidP="003D4B23">
            <w:pPr>
              <w:pStyle w:val="Table2"/>
              <w:jc w:val="center"/>
            </w:pPr>
            <w:r>
              <w:t>3</w:t>
            </w:r>
            <w:r w:rsidR="00CC0421">
              <w:t>1</w:t>
            </w:r>
          </w:p>
        </w:tc>
      </w:tr>
    </w:tbl>
    <w:p w:rsidR="00782B6B" w:rsidRPr="00C779B7" w:rsidRDefault="00782B6B" w:rsidP="00782B6B">
      <w:pPr>
        <w:pStyle w:val="Table2"/>
      </w:pPr>
      <w:r w:rsidRPr="00C779B7">
        <w:t>Note:</w:t>
      </w:r>
    </w:p>
    <w:p w:rsidR="00782B6B" w:rsidRPr="00C779B7" w:rsidRDefault="00782B6B" w:rsidP="00782B6B">
      <w:pPr>
        <w:pStyle w:val="Table2"/>
      </w:pPr>
      <w:r w:rsidRPr="00C779B7">
        <w:t>Best case—</w:t>
      </w:r>
      <w:r w:rsidR="002C31E3">
        <w:t>4</w:t>
      </w:r>
      <w:r w:rsidRPr="00C779B7">
        <w:t xml:space="preserve">-year period; </w:t>
      </w:r>
      <w:r w:rsidR="00676937">
        <w:t>3</w:t>
      </w:r>
      <w:r w:rsidR="00676937" w:rsidRPr="00C779B7">
        <w:t> </w:t>
      </w:r>
      <w:r w:rsidRPr="00C779B7">
        <w:t xml:space="preserve">per cent discount rate; </w:t>
      </w:r>
      <w:r w:rsidR="00676937">
        <w:t>8</w:t>
      </w:r>
      <w:r w:rsidR="00676937" w:rsidRPr="00C779B7">
        <w:t> </w:t>
      </w:r>
      <w:r w:rsidRPr="00C779B7">
        <w:t>per cent effectiveness of ABS</w:t>
      </w:r>
    </w:p>
    <w:p w:rsidR="00782B6B" w:rsidRPr="00C779B7" w:rsidRDefault="00782B6B" w:rsidP="00782B6B">
      <w:pPr>
        <w:pStyle w:val="Table2"/>
      </w:pPr>
      <w:proofErr w:type="gramStart"/>
      <w:r w:rsidRPr="00C779B7">
        <w:t>Likely case—</w:t>
      </w:r>
      <w:r w:rsidR="002C31E3">
        <w:t>4</w:t>
      </w:r>
      <w:r w:rsidRPr="00C779B7">
        <w:t xml:space="preserve">-year period; </w:t>
      </w:r>
      <w:r w:rsidR="00676937">
        <w:t>7</w:t>
      </w:r>
      <w:r w:rsidR="00676937" w:rsidRPr="00C779B7">
        <w:t> </w:t>
      </w:r>
      <w:r w:rsidRPr="00C779B7">
        <w:t>per cent discount rate; 5.5 per cent effectiveness of ABS</w:t>
      </w:r>
      <w:r w:rsidR="006A2B6F">
        <w:t>.</w:t>
      </w:r>
      <w:proofErr w:type="gramEnd"/>
      <w:r w:rsidR="006A2B6F">
        <w:t xml:space="preserve"> </w:t>
      </w:r>
      <w:r w:rsidR="006A2B6F" w:rsidRPr="0091640B">
        <w:t>In the case of a 90 per cent vol</w:t>
      </w:r>
      <w:r w:rsidR="006A2B6F">
        <w:t xml:space="preserve">untary fitment rate for trucks this would become </w:t>
      </w:r>
      <w:r w:rsidR="006A2B6F" w:rsidRPr="0091640B">
        <w:t>36 lives saved and a Net benefit of $46m. The BCR would remain the same.</w:t>
      </w:r>
    </w:p>
    <w:p w:rsidR="00782B6B" w:rsidRPr="00C779B7" w:rsidRDefault="00782B6B" w:rsidP="00782B6B">
      <w:pPr>
        <w:pStyle w:val="Table2"/>
      </w:pPr>
      <w:r w:rsidRPr="00C779B7">
        <w:t>Worst case—</w:t>
      </w:r>
      <w:r w:rsidR="002C31E3">
        <w:t>4</w:t>
      </w:r>
      <w:r w:rsidRPr="00C779B7">
        <w:t xml:space="preserve">-year period; </w:t>
      </w:r>
      <w:r w:rsidR="00676937">
        <w:t>10</w:t>
      </w:r>
      <w:r w:rsidR="00676937" w:rsidRPr="00C779B7">
        <w:t> </w:t>
      </w:r>
      <w:r w:rsidRPr="00C779B7">
        <w:t xml:space="preserve">per cent discount rate; </w:t>
      </w:r>
      <w:r w:rsidR="00676937">
        <w:t>3</w:t>
      </w:r>
      <w:r w:rsidR="00676937" w:rsidRPr="00C779B7">
        <w:t> per cent effectiveness of ABS</w:t>
      </w:r>
    </w:p>
    <w:p w:rsidR="00DF05C6" w:rsidRDefault="00DF05C6">
      <w:pPr>
        <w:tabs>
          <w:tab w:val="clear" w:pos="851"/>
        </w:tabs>
        <w:spacing w:before="0" w:after="200" w:line="276" w:lineRule="auto"/>
      </w:pPr>
      <w:r>
        <w:br w:type="page"/>
      </w:r>
    </w:p>
    <w:p w:rsidR="00BA6D25" w:rsidRPr="00C779B7" w:rsidRDefault="00BA6D25" w:rsidP="00BA6D25">
      <w:r w:rsidRPr="00C779B7">
        <w:lastRenderedPageBreak/>
        <w:t>The benefits and costs over time are shown in the figure below:</w:t>
      </w:r>
    </w:p>
    <w:p w:rsidR="00121E7B" w:rsidRDefault="00782B6B" w:rsidP="003D4B23">
      <w:pPr>
        <w:pStyle w:val="Caption"/>
      </w:pPr>
      <w:r w:rsidRPr="00EE5AE9">
        <w:t>Option 2: amend ADRs 35 &amp; 38 to require ABS on heavy commercial vehicles</w:t>
      </w:r>
    </w:p>
    <w:p w:rsidR="00121E7B" w:rsidRDefault="00EE5AE9" w:rsidP="00121E7B">
      <w:r>
        <w:rPr>
          <w:noProof/>
          <w:lang w:eastAsia="en-AU"/>
        </w:rPr>
        <w:drawing>
          <wp:inline distT="0" distB="0" distL="0" distR="0">
            <wp:extent cx="5020236" cy="2790265"/>
            <wp:effectExtent l="0" t="0" r="9525" b="10160"/>
            <wp:docPr id="25" name="Chart 25" descr="Costs occur in the first 4 years 2014-18, peaking at approximately $55m. Benefits start rising when costs start, plateau at 2018 and again at 2028, then decline to around zero at 2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2B6B" w:rsidRDefault="00782B6B" w:rsidP="00782B6B">
      <w:r w:rsidRPr="00ED5960">
        <w:t>A sensitivity analysis was carried out to determine the effect on the outcome of some of the less certain input</w:t>
      </w:r>
      <w:r w:rsidR="000C6DE5" w:rsidRPr="00ED5960">
        <w:t xml:space="preserve">s to the benefit-cost analysis, </w:t>
      </w:r>
      <w:r w:rsidRPr="00ED5960">
        <w:t xml:space="preserve">the fleet growth prediction and the effectiveness of ABS.  In the first case and to be very conservative, the </w:t>
      </w:r>
      <w:r w:rsidR="000C6DE5" w:rsidRPr="00ED5960">
        <w:t xml:space="preserve">fleet growth </w:t>
      </w:r>
      <w:r w:rsidRPr="00ED5960">
        <w:t>prediction was halved from eight to four per cent for all calculations. For the second, the effectiveness was varied between three and eight per cent</w:t>
      </w:r>
      <w:r w:rsidR="00BA6D25" w:rsidRPr="00ED5960">
        <w:t xml:space="preserve"> in line with a variety of existing research</w:t>
      </w:r>
      <w:r w:rsidRPr="00ED5960">
        <w:t>.  The results indicated that the net benefits would become negative only in the worst case scenario.  Although this scenario represents a potential loss, this risk was not considered significant when compared with the likely</w:t>
      </w:r>
      <w:r w:rsidR="00DA5FFE">
        <w:t xml:space="preserve"> </w:t>
      </w:r>
      <w:r w:rsidRPr="00ED5960">
        <w:t>case of $</w:t>
      </w:r>
      <w:r w:rsidR="00E01557">
        <w:t>73</w:t>
      </w:r>
      <w:r w:rsidR="00E01557" w:rsidRPr="00ED5960">
        <w:t xml:space="preserve">m </w:t>
      </w:r>
      <w:r w:rsidRPr="00ED5960">
        <w:t>in positive benefit.</w:t>
      </w:r>
      <w:r w:rsidR="00BA6D25" w:rsidRPr="00ED5960">
        <w:t xml:space="preserve">  I</w:t>
      </w:r>
      <w:r w:rsidRPr="00ED5960">
        <w:t xml:space="preserve">n all cases ABS does </w:t>
      </w:r>
      <w:r w:rsidR="00BA6D25" w:rsidRPr="00ED5960">
        <w:t>provide</w:t>
      </w:r>
      <w:r w:rsidRPr="00ED5960">
        <w:t xml:space="preserve"> a gross benefit in r</w:t>
      </w:r>
      <w:r w:rsidR="008972A6" w:rsidRPr="00ED5960">
        <w:t>educing road trauma and so explains the</w:t>
      </w:r>
      <w:r w:rsidR="00BA6D25" w:rsidRPr="00ED5960">
        <w:t xml:space="preserve"> broad support </w:t>
      </w:r>
      <w:r w:rsidR="008972A6" w:rsidRPr="00ED5960">
        <w:t>that the</w:t>
      </w:r>
      <w:r w:rsidR="00BA6D25" w:rsidRPr="00ED5960">
        <w:t xml:space="preserve"> Phase I </w:t>
      </w:r>
      <w:r w:rsidR="00147DCB" w:rsidRPr="00ED5960">
        <w:t xml:space="preserve">proposed </w:t>
      </w:r>
      <w:r w:rsidR="00BA6D25" w:rsidRPr="00ED5960">
        <w:t xml:space="preserve">changes </w:t>
      </w:r>
      <w:proofErr w:type="gramStart"/>
      <w:r w:rsidR="008972A6" w:rsidRPr="00ED5960">
        <w:t>have</w:t>
      </w:r>
      <w:proofErr w:type="gramEnd"/>
      <w:r w:rsidR="008972A6" w:rsidRPr="00ED5960">
        <w:t xml:space="preserve"> generally</w:t>
      </w:r>
      <w:r w:rsidR="00C71465">
        <w:t xml:space="preserve"> received</w:t>
      </w:r>
      <w:r w:rsidRPr="00ED5960">
        <w:t xml:space="preserve">. </w:t>
      </w:r>
    </w:p>
    <w:p w:rsidR="002C6A16" w:rsidRPr="00ED5960" w:rsidRDefault="002C6A16" w:rsidP="00782B6B">
      <w:r>
        <w:t xml:space="preserve">Under Option 2(b) it was noted that the international regulation UNECE R 13 was already allowed as an alternative to ADRs 35 and 38.  This would continue to be the case and so this option would not affect the result.  Manufacturers </w:t>
      </w:r>
      <w:r w:rsidRPr="00C779B7">
        <w:t>wishing to supply Australia with new vehicles meeting a higher level of safety</w:t>
      </w:r>
      <w:r>
        <w:t xml:space="preserve"> would not be subject to any technical barriers</w:t>
      </w:r>
      <w:r w:rsidRPr="00C779B7">
        <w:t>.</w:t>
      </w:r>
    </w:p>
    <w:p w:rsidR="00630EC4" w:rsidRPr="00ED5960" w:rsidRDefault="00782B6B" w:rsidP="00630EC4">
      <w:r w:rsidRPr="00ED5960">
        <w:t xml:space="preserve">The NHVBS Phase I details as developed through the SVSEG/TLG process contain a number of other minor proposed changes to ADRs 35 and 38.  These were set out in </w:t>
      </w:r>
      <w:r w:rsidR="009169FE">
        <w:fldChar w:fldCharType="begin"/>
      </w:r>
      <w:r w:rsidR="009169FE">
        <w:instrText xml:space="preserve"> REF _Ref350419820 \h  \* MERGEFORMAT </w:instrText>
      </w:r>
      <w:r w:rsidR="009169FE">
        <w:fldChar w:fldCharType="separate"/>
      </w:r>
      <w:r w:rsidR="00546CD0">
        <w:t>Table 2</w:t>
      </w:r>
      <w:r w:rsidR="009169FE">
        <w:fldChar w:fldCharType="end"/>
      </w:r>
      <w:r w:rsidRPr="00A21D83">
        <w:t xml:space="preserve"> </w:t>
      </w:r>
      <w:r w:rsidRPr="00ED5960">
        <w:t>in the RIS and are discussed in more detail further below.</w:t>
      </w:r>
    </w:p>
    <w:p w:rsidR="00630EC4" w:rsidRPr="00102E60" w:rsidRDefault="00782B6B" w:rsidP="0072358C">
      <w:pPr>
        <w:pStyle w:val="ListParagraph"/>
        <w:numPr>
          <w:ilvl w:val="0"/>
          <w:numId w:val="30"/>
        </w:numPr>
      </w:pPr>
      <w:r w:rsidRPr="00102E60">
        <w:t xml:space="preserve">No need to meet unladen compatibility limits if ABS fitted—this is a relaxation of current ADR requirement as it allows ABS in lieu of unladen compatibility. This aligns with R 13.  The unladen state is </w:t>
      </w:r>
      <w:r w:rsidR="000C6DE5" w:rsidRPr="00102E60">
        <w:t>a relatively low</w:t>
      </w:r>
      <w:r w:rsidRPr="00102E60">
        <w:t xml:space="preserve"> risk </w:t>
      </w:r>
      <w:r w:rsidR="000C6DE5" w:rsidRPr="00102E60">
        <w:t>vehicle configuration</w:t>
      </w:r>
      <w:r w:rsidRPr="00102E60">
        <w:t xml:space="preserve"> for braking, provided ABS pro</w:t>
      </w:r>
      <w:r w:rsidR="000C6DE5" w:rsidRPr="00102E60">
        <w:t>tects the wheels from locking</w:t>
      </w:r>
      <w:r w:rsidRPr="00102E60">
        <w:t>.</w:t>
      </w:r>
    </w:p>
    <w:p w:rsidR="00BA3525" w:rsidRPr="00102E60" w:rsidRDefault="00782B6B" w:rsidP="0072358C">
      <w:pPr>
        <w:pStyle w:val="ListParagraph"/>
        <w:numPr>
          <w:ilvl w:val="0"/>
          <w:numId w:val="30"/>
        </w:numPr>
      </w:pPr>
      <w:r w:rsidRPr="00102E60">
        <w:lastRenderedPageBreak/>
        <w:t xml:space="preserve">ABS off switch for off-road or road train—this was an early recommendation but industry </w:t>
      </w:r>
      <w:r w:rsidR="009A0477">
        <w:t>had subsequently</w:t>
      </w:r>
      <w:r w:rsidRPr="00102E60">
        <w:t xml:space="preserve"> indicated that systems are now capable of handling unsealed road conditions that some road trains may operate on.  However, it ha</w:t>
      </w:r>
      <w:r w:rsidR="009A0477">
        <w:t>d</w:t>
      </w:r>
      <w:r w:rsidRPr="00102E60">
        <w:t xml:space="preserve"> been agreed that genuine off-road design vehicles should be able to switch off ABS when conditions dictate and this aligns with R 13.</w:t>
      </w:r>
      <w:r w:rsidR="00147DCB" w:rsidRPr="00102E60">
        <w:t xml:space="preserve"> </w:t>
      </w:r>
      <w:r w:rsidR="00314739" w:rsidRPr="00102E60">
        <w:t xml:space="preserve">This </w:t>
      </w:r>
      <w:r w:rsidR="009A0477">
        <w:t>was</w:t>
      </w:r>
      <w:r w:rsidR="00314739" w:rsidRPr="00102E60">
        <w:t xml:space="preserve"> discussed further with industry; in particular</w:t>
      </w:r>
      <w:r w:rsidR="00BA3525" w:rsidRPr="00102E60">
        <w:t xml:space="preserve"> about whether road train trucks</w:t>
      </w:r>
      <w:r w:rsidR="006E6F46" w:rsidRPr="00102E60">
        <w:t xml:space="preserve"> that are not of off-road design</w:t>
      </w:r>
      <w:r w:rsidR="009558EB">
        <w:t>—</w:t>
      </w:r>
      <w:r w:rsidR="006E6F46" w:rsidRPr="00102E60">
        <w:t>but are used in off-road a</w:t>
      </w:r>
      <w:r w:rsidR="0072358C">
        <w:t>reas—</w:t>
      </w:r>
      <w:r w:rsidR="00BA3525" w:rsidRPr="00102E60">
        <w:t>should be allowed concessions to the ABS requirements.</w:t>
      </w:r>
      <w:r w:rsidR="009A0477">
        <w:t xml:space="preserve"> Following a further round of consultation in June 2013 it was then determined that the fitting of an ABS off switch would be permitted for all vehicles.</w:t>
      </w:r>
    </w:p>
    <w:p w:rsidR="00630EC4" w:rsidRPr="00102E60" w:rsidRDefault="00782B6B" w:rsidP="0072358C">
      <w:pPr>
        <w:pStyle w:val="ListParagraph"/>
        <w:numPr>
          <w:ilvl w:val="0"/>
          <w:numId w:val="30"/>
        </w:numPr>
      </w:pPr>
      <w:r w:rsidRPr="00102E60">
        <w:t xml:space="preserve">Provision of electrical ABS connector, where a tow coupling is fitted—refer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rsidRPr="00102E60">
        <w:t>.</w:t>
      </w:r>
    </w:p>
    <w:p w:rsidR="00630EC4" w:rsidRPr="00102E60" w:rsidRDefault="00782B6B" w:rsidP="0072358C">
      <w:pPr>
        <w:pStyle w:val="ListParagraph"/>
        <w:numPr>
          <w:ilvl w:val="0"/>
          <w:numId w:val="30"/>
        </w:numPr>
      </w:pPr>
      <w:r w:rsidRPr="00102E60">
        <w:t>Split-mu</w:t>
      </w:r>
      <w:r w:rsidR="00430234">
        <w:t xml:space="preserve"> (independent braking control left to right)</w:t>
      </w:r>
      <w:r w:rsidR="00147DCB" w:rsidRPr="00102E60">
        <w:t xml:space="preserve"> on a</w:t>
      </w:r>
      <w:r w:rsidR="00B85D5A">
        <w:t>xles other than steerable axles</w:t>
      </w:r>
      <w:r w:rsidRPr="00102E60">
        <w:t xml:space="preserve">—R 13 requires demonstration of ‘split-mu’ ABS performance for some vehicle categories (heavy trucks and buses and heavy semi-trailers).  This is </w:t>
      </w:r>
      <w:r w:rsidR="00314739" w:rsidRPr="00102E60">
        <w:t>being</w:t>
      </w:r>
      <w:r w:rsidRPr="00102E60">
        <w:t xml:space="preserve"> discussed further with industry as split-mu systems are not currently a requirement in ADRs </w:t>
      </w:r>
      <w:r w:rsidR="00314739" w:rsidRPr="00102E60">
        <w:t>35 and 38</w:t>
      </w:r>
      <w:r w:rsidRPr="00102E60">
        <w:t>.</w:t>
      </w:r>
    </w:p>
    <w:p w:rsidR="00630EC4" w:rsidRPr="00102E60" w:rsidRDefault="00782B6B" w:rsidP="0072358C">
      <w:pPr>
        <w:pStyle w:val="ListParagraph"/>
        <w:numPr>
          <w:ilvl w:val="0"/>
          <w:numId w:val="30"/>
        </w:numPr>
      </w:pPr>
      <w:r w:rsidRPr="00102E60">
        <w:t>No release times for circuits controlled by ABS modulation valves—currently the only release times required are at the coupling head of Road Trains (since ADR 35/03) and so this does not appear to be an issue any more.</w:t>
      </w:r>
    </w:p>
    <w:p w:rsidR="00630EC4" w:rsidRPr="00102E60" w:rsidRDefault="00782B6B" w:rsidP="0072358C">
      <w:pPr>
        <w:pStyle w:val="ListParagraph"/>
        <w:numPr>
          <w:ilvl w:val="0"/>
          <w:numId w:val="30"/>
        </w:numPr>
      </w:pPr>
      <w:r w:rsidRPr="00102E60">
        <w:t xml:space="preserve">Certification of EBS compatibility performance—refer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rsidRPr="00102E60">
        <w:t xml:space="preserve"> regarding EBS generally. This is </w:t>
      </w:r>
      <w:r w:rsidR="00314739" w:rsidRPr="00102E60">
        <w:t>being discussed further</w:t>
      </w:r>
      <w:r w:rsidRPr="00102E60">
        <w:t xml:space="preserve"> with industry </w:t>
      </w:r>
      <w:r w:rsidR="00314739" w:rsidRPr="00102E60">
        <w:t>but is a certification matter and as such is not part of this RIS</w:t>
      </w:r>
      <w:r w:rsidRPr="00102E60">
        <w:t>.</w:t>
      </w:r>
    </w:p>
    <w:p w:rsidR="00782B6B" w:rsidRPr="00102E60" w:rsidRDefault="00782B6B" w:rsidP="0072358C">
      <w:pPr>
        <w:pStyle w:val="ListParagraph"/>
        <w:numPr>
          <w:ilvl w:val="0"/>
          <w:numId w:val="30"/>
        </w:numPr>
      </w:pPr>
      <w:r w:rsidRPr="00102E60">
        <w:t xml:space="preserve">Where EBS </w:t>
      </w:r>
      <w:r w:rsidR="00430234">
        <w:t xml:space="preserve">is </w:t>
      </w:r>
      <w:r w:rsidRPr="00102E60">
        <w:t xml:space="preserve">fitted, ABS/EBS power voltage to match CAN voltage—refer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rsidRPr="00102E60">
        <w:t>.</w:t>
      </w:r>
    </w:p>
    <w:p w:rsidR="00782B6B" w:rsidRPr="00102E60" w:rsidRDefault="00782B6B" w:rsidP="0072358C">
      <w:pPr>
        <w:pStyle w:val="ListParagraph"/>
        <w:numPr>
          <w:ilvl w:val="0"/>
          <w:numId w:val="30"/>
        </w:numPr>
      </w:pPr>
      <w:r w:rsidRPr="00102E60">
        <w:t xml:space="preserve">A tolerance on the LP valve unladen compatibility requirements to allow for particular combinations (does not apply to electronic LP operation)—refer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rsidRPr="00102E60">
        <w:t xml:space="preserve"> regarding LP generally.  This is an industry proposal to relax the existing limits of LP in order to better match particular vehicles when using them in combination.</w:t>
      </w:r>
    </w:p>
    <w:p w:rsidR="00782B6B" w:rsidRPr="0072358C" w:rsidRDefault="00782B6B" w:rsidP="00B85D5A">
      <w:pPr>
        <w:pStyle w:val="underlinedleft"/>
      </w:pPr>
      <w:r w:rsidRPr="0072358C">
        <w:t>Load proportioning</w:t>
      </w:r>
      <w:r w:rsidR="00430234">
        <w:t xml:space="preserve"> (LP)</w:t>
      </w:r>
    </w:p>
    <w:p w:rsidR="00B1081E" w:rsidRPr="0072358C" w:rsidRDefault="00782B6B" w:rsidP="00782B6B">
      <w:r w:rsidRPr="0072358C">
        <w:t xml:space="preserve">During </w:t>
      </w:r>
      <w:r w:rsidR="00D62DAC" w:rsidRPr="0072358C">
        <w:t xml:space="preserve">development of </w:t>
      </w:r>
      <w:r w:rsidRPr="0072358C">
        <w:t xml:space="preserve">the NHVBS, </w:t>
      </w:r>
      <w:r w:rsidR="00D62DAC" w:rsidRPr="0072358C">
        <w:t>some</w:t>
      </w:r>
      <w:r w:rsidRPr="0072358C">
        <w:t xml:space="preserve"> of the trailer industry flagged a need for a transition to the electronic systems that are part of Phase I of the NHVBS in terms of ABS, and part o</w:t>
      </w:r>
      <w:r w:rsidR="00B1081E" w:rsidRPr="0072358C">
        <w:t xml:space="preserve">f Phase II in terms of EBS/ESC. </w:t>
      </w:r>
      <w:r w:rsidR="00323C87">
        <w:t xml:space="preserve"> </w:t>
      </w:r>
      <w:r w:rsidRPr="0072358C">
        <w:t>It was therefore proposed to allow</w:t>
      </w:r>
      <w:r w:rsidR="00B1081E" w:rsidRPr="0072358C">
        <w:t>, for trailers only,</w:t>
      </w:r>
      <w:r w:rsidRPr="0072358C">
        <w:t xml:space="preserve"> mechanical or pneumatic </w:t>
      </w:r>
      <w:r w:rsidR="00A22542">
        <w:t xml:space="preserve">LP </w:t>
      </w:r>
      <w:r w:rsidRPr="0072358C">
        <w:t xml:space="preserve">systems for Phase I in lieu of ABS.  </w:t>
      </w:r>
    </w:p>
    <w:p w:rsidR="00782B6B" w:rsidRPr="0072358C" w:rsidRDefault="00DF05C6" w:rsidP="00782B6B">
      <w:r>
        <w:t>LP was</w:t>
      </w:r>
      <w:r w:rsidRPr="0072358C">
        <w:t xml:space="preserve"> </w:t>
      </w:r>
      <w:r>
        <w:t>considered under Option 2(a)</w:t>
      </w:r>
      <w:r w:rsidRPr="0072358C">
        <w:t>.</w:t>
      </w:r>
      <w:r>
        <w:t xml:space="preserve">  </w:t>
      </w:r>
      <w:r w:rsidR="00782B6B" w:rsidRPr="0072358C">
        <w:t>Discussions with industry regarding</w:t>
      </w:r>
      <w:r>
        <w:t xml:space="preserve"> the details of</w:t>
      </w:r>
      <w:r w:rsidR="00782B6B" w:rsidRPr="0072358C">
        <w:t xml:space="preserve"> </w:t>
      </w:r>
      <w:r w:rsidR="001E2C33">
        <w:t>LP</w:t>
      </w:r>
      <w:r w:rsidR="00782B6B" w:rsidRPr="0072358C">
        <w:t xml:space="preserve"> are ongoing. </w:t>
      </w:r>
      <w:r w:rsidR="001E2C33">
        <w:t xml:space="preserve"> </w:t>
      </w:r>
    </w:p>
    <w:p w:rsidR="00DF05C6" w:rsidRDefault="00DF05C6">
      <w:pPr>
        <w:tabs>
          <w:tab w:val="clear" w:pos="851"/>
        </w:tabs>
        <w:spacing w:before="0" w:after="200" w:line="276" w:lineRule="auto"/>
        <w:rPr>
          <w:u w:val="single"/>
        </w:rPr>
      </w:pPr>
      <w:r>
        <w:br w:type="page"/>
      </w:r>
    </w:p>
    <w:p w:rsidR="00782B6B" w:rsidRPr="0072358C" w:rsidRDefault="00782B6B" w:rsidP="00B85D5A">
      <w:pPr>
        <w:pStyle w:val="underlinedleft"/>
      </w:pPr>
      <w:r w:rsidRPr="0072358C">
        <w:lastRenderedPageBreak/>
        <w:t>Compatibility</w:t>
      </w:r>
    </w:p>
    <w:p w:rsidR="00B1081E" w:rsidRPr="0072358C" w:rsidRDefault="00782B6B" w:rsidP="00782B6B">
      <w:r w:rsidRPr="0072358C">
        <w:t>When braking as a combination of a towing vehicle and a towed vehicle, trucks need to provide trailer braking systems with the right signal to ensure</w:t>
      </w:r>
      <w:r w:rsidR="001317C3" w:rsidRPr="0072358C">
        <w:t xml:space="preserve"> that the trailer(s) contribute</w:t>
      </w:r>
      <w:r w:rsidRPr="0072358C">
        <w:t xml:space="preserve"> a similar amount of braking effort.  </w:t>
      </w:r>
    </w:p>
    <w:p w:rsidR="00782B6B" w:rsidRPr="0072358C" w:rsidRDefault="00782B6B" w:rsidP="00782B6B">
      <w:r w:rsidRPr="0072358C">
        <w:t>This compatibility of truck and trailer is specified in ADRs 35 and 38.  However, as these requirements contain tolerance bands, consideration must always be given to in-service compatibility when slightly different designs are used together, or, more importantly, when new trucks and trailers are matched with older trucks and trailers</w:t>
      </w:r>
      <w:r w:rsidR="00B1081E" w:rsidRPr="0072358C">
        <w:t xml:space="preserve"> that did not have to meet these requirements</w:t>
      </w:r>
      <w:r w:rsidRPr="0072358C">
        <w:t>.</w:t>
      </w:r>
    </w:p>
    <w:p w:rsidR="00782B6B" w:rsidRPr="0072358C" w:rsidRDefault="00782B6B" w:rsidP="00782B6B">
      <w:r w:rsidRPr="0072358C">
        <w:t xml:space="preserve">The </w:t>
      </w:r>
      <w:r w:rsidR="00147DCB" w:rsidRPr="0072358C">
        <w:t>Australian Road Transport Suppliers Association (</w:t>
      </w:r>
      <w:r w:rsidRPr="0072358C">
        <w:t>ARTSA</w:t>
      </w:r>
      <w:r w:rsidR="00147DCB" w:rsidRPr="0072358C">
        <w:t>)</w:t>
      </w:r>
      <w:r w:rsidRPr="0072358C">
        <w:t xml:space="preserve"> has worked with the Australian Trucking Association (ATA) and with some state and territory governments in continuing to develop a Brake Code of Practice.  The code deals with (amongst other things) issues of compatibility. The ATA have also produced an Australian Air Brake Code of Practice and more recently an Advisory Procedure for Heavy Vehicle Combinations and the use of Electronic Braking Systems.  </w:t>
      </w:r>
    </w:p>
    <w:p w:rsidR="00782B6B" w:rsidRPr="0072358C" w:rsidRDefault="00782B6B" w:rsidP="00782B6B">
      <w:r w:rsidRPr="0072358C">
        <w:t>While ADRs 35 and 38 can and do specify primary compatibility levels, in practice only the careful matching of truck and trailer(s) can ensure optimum braking performance. To this end, industry codes and advisories play a vital role in the matching of vehicles with different levels of braking technology fitted, including when new and old veh</w:t>
      </w:r>
      <w:r w:rsidR="00B1081E" w:rsidRPr="0072358C">
        <w:t>icles are combined in-service.</w:t>
      </w:r>
    </w:p>
    <w:p w:rsidR="00782B6B" w:rsidRDefault="00782B6B" w:rsidP="00782B6B">
      <w:r w:rsidRPr="0072358C">
        <w:t xml:space="preserve">The codes and advisories above are a valuable part of the heavy commercial vehicle braking picture.  The efforts made by industry so far in this regard are commendable.  They </w:t>
      </w:r>
      <w:r w:rsidR="00430234">
        <w:t>would</w:t>
      </w:r>
      <w:r w:rsidR="00430234" w:rsidRPr="0072358C">
        <w:t xml:space="preserve"> </w:t>
      </w:r>
      <w:r w:rsidRPr="0072358C">
        <w:t>be encouraged as a complement to regulated requirements which, due to the nature of the ADRs (single vehicle type approval) are unable to fully deal with combinations (truck and trailer(s) operating together).</w:t>
      </w:r>
    </w:p>
    <w:p w:rsidR="00782B6B" w:rsidRPr="0072358C" w:rsidRDefault="00782B6B" w:rsidP="00B85D5A">
      <w:pPr>
        <w:pStyle w:val="underlinedleft"/>
      </w:pPr>
      <w:r w:rsidRPr="0072358C">
        <w:t>Electronic Braking Systems</w:t>
      </w:r>
    </w:p>
    <w:p w:rsidR="00782B6B" w:rsidRPr="0072358C" w:rsidRDefault="00782B6B" w:rsidP="00782B6B">
      <w:r w:rsidRPr="0072358C">
        <w:t>EBS (or for trailers TEBS) overlay conventional pneumatically controlled brake systems and instead control brake actuation through electrical signals (the pneumatic</w:t>
      </w:r>
      <w:r w:rsidR="001317C3" w:rsidRPr="0072358C">
        <w:t xml:space="preserve"> control is used as a backup).  </w:t>
      </w:r>
      <w:r w:rsidRPr="0072358C">
        <w:t xml:space="preserve">An important feature of EBS is the ability to allow communication between elements of the braking system on all vehicles in a combination (i.e. truck and trailer(s)) via a communications network that operates on set protocols (a Controller </w:t>
      </w:r>
      <w:r w:rsidR="001317C3" w:rsidRPr="0072358C">
        <w:t xml:space="preserve">Area Network (CAN) bus) system.  </w:t>
      </w:r>
      <w:r w:rsidRPr="0072358C">
        <w:t>When EBS is fitted, ABS is always incorporated, as it provides the emergency braking component of the electronic control of the braking system.</w:t>
      </w:r>
    </w:p>
    <w:p w:rsidR="00782B6B" w:rsidRPr="0072358C" w:rsidRDefault="00782B6B" w:rsidP="00782B6B">
      <w:r w:rsidRPr="0072358C">
        <w:t>EBS is not mandated in R 13 but</w:t>
      </w:r>
      <w:r w:rsidR="00430234">
        <w:t>,</w:t>
      </w:r>
      <w:r w:rsidRPr="0072358C">
        <w:t xml:space="preserve"> if fitted, must not affect the safe operation of other mandated systems.  It must also have safe operation and warn the driver under fault conditions.  These same requirements are proposed to be adopted by the ADRs.  In addition, and in alignment with R 13, where a tow coupling is fitted to a vehicle, an ABS connector will have to be provided and where a CAN connection is provided, it must be compatible </w:t>
      </w:r>
      <w:r w:rsidRPr="0072358C">
        <w:lastRenderedPageBreak/>
        <w:t>with the ABS power voltage.  These requirements will ensure that all prime movers and other trucks and buses with trailer connections will not only have ABS themselves, but will provide power for an ABS system if they are connected to a trailer with ABS fitted. Similarly, where a trailer has an EBS (TEBS) system fitted, the voltage of the communications network between truck and trailer will also be compatible.</w:t>
      </w:r>
    </w:p>
    <w:p w:rsidR="00782B6B" w:rsidRPr="0072358C" w:rsidRDefault="00782B6B" w:rsidP="00782B6B">
      <w:r w:rsidRPr="0072358C">
        <w:t xml:space="preserve">The above proposals </w:t>
      </w:r>
      <w:r w:rsidR="00986284">
        <w:t>(</w:t>
      </w:r>
      <w:proofErr w:type="spellStart"/>
      <w:r w:rsidR="00986284">
        <w:t>i</w:t>
      </w:r>
      <w:proofErr w:type="spellEnd"/>
      <w:r w:rsidR="00986284">
        <w:t>)</w:t>
      </w:r>
      <w:r w:rsidR="00986284">
        <w:noBreakHyphen/>
      </w:r>
      <w:r w:rsidR="001317C3" w:rsidRPr="0072358C">
        <w:t xml:space="preserve">(viii), and </w:t>
      </w:r>
      <w:r w:rsidR="00430234">
        <w:t xml:space="preserve">those </w:t>
      </w:r>
      <w:r w:rsidR="001317C3" w:rsidRPr="0072358C">
        <w:t xml:space="preserve">relating to </w:t>
      </w:r>
      <w:r w:rsidR="008B6832">
        <w:t>LP</w:t>
      </w:r>
      <w:r w:rsidR="001317C3" w:rsidRPr="0072358C">
        <w:t xml:space="preserve">, </w:t>
      </w:r>
      <w:r w:rsidR="00E92851">
        <w:t>c</w:t>
      </w:r>
      <w:r w:rsidR="001317C3" w:rsidRPr="0072358C">
        <w:t xml:space="preserve">ompatibility and </w:t>
      </w:r>
      <w:r w:rsidR="008B6832">
        <w:t>EBS</w:t>
      </w:r>
      <w:r w:rsidR="001317C3" w:rsidRPr="0072358C">
        <w:t>, are</w:t>
      </w:r>
      <w:r w:rsidR="00D345D0" w:rsidRPr="0072358C">
        <w:t xml:space="preserve"> second order matters in relation to the more fundamental question of mandating ABS and so </w:t>
      </w:r>
      <w:r w:rsidR="00111A07" w:rsidRPr="0072358C">
        <w:t>have</w:t>
      </w:r>
      <w:r w:rsidRPr="0072358C">
        <w:t xml:space="preserve"> not been analysed further for the purposes of this RIS.  However, they </w:t>
      </w:r>
      <w:r w:rsidR="00430234">
        <w:t>relate</w:t>
      </w:r>
      <w:r w:rsidRPr="0072358C">
        <w:t xml:space="preserve"> direct</w:t>
      </w:r>
      <w:r w:rsidR="00430234">
        <w:t>ly to</w:t>
      </w:r>
      <w:r w:rsidRPr="0072358C">
        <w:t xml:space="preserve"> the original report and NTC response to the NHVBS and have been discussed with industry </w:t>
      </w:r>
      <w:r w:rsidR="00D345D0" w:rsidRPr="0072358C">
        <w:t>on an ongoing basis</w:t>
      </w:r>
      <w:r w:rsidRPr="0072358C">
        <w:t>.</w:t>
      </w:r>
    </w:p>
    <w:p w:rsidR="00782B6B" w:rsidRPr="0072358C" w:rsidRDefault="000375E5" w:rsidP="00782B6B">
      <w:r w:rsidRPr="0072358C">
        <w:t>Similarly, Electronic Stability Control (</w:t>
      </w:r>
      <w:r w:rsidR="00782B6B" w:rsidRPr="0072358C">
        <w:t>ESC</w:t>
      </w:r>
      <w:r w:rsidRPr="0072358C">
        <w:t>)</w:t>
      </w:r>
      <w:r w:rsidR="00782B6B" w:rsidRPr="0072358C">
        <w:t xml:space="preserve"> is the subject of Phase II of the NHVBS and is not considered further in this analysis.</w:t>
      </w:r>
    </w:p>
    <w:p w:rsidR="00782B6B" w:rsidRPr="0072358C" w:rsidRDefault="00782B6B" w:rsidP="00782B6B">
      <w:r w:rsidRPr="0072358C">
        <w:t>Draft ADRs 35/04 and 38/04 have been developed</w:t>
      </w:r>
      <w:r w:rsidR="00430234">
        <w:t xml:space="preserve"> </w:t>
      </w:r>
      <w:r w:rsidR="0025601C">
        <w:t>which</w:t>
      </w:r>
      <w:r w:rsidRPr="0072358C">
        <w:t xml:space="preserve"> </w:t>
      </w:r>
      <w:r w:rsidR="00430234">
        <w:t>reflect</w:t>
      </w:r>
      <w:r w:rsidR="00430234" w:rsidRPr="0072358C">
        <w:t xml:space="preserve"> </w:t>
      </w:r>
      <w:r w:rsidRPr="0072358C">
        <w:t xml:space="preserve">the above </w:t>
      </w:r>
      <w:r w:rsidR="0025601C">
        <w:t>proposed changes</w:t>
      </w:r>
      <w:r w:rsidRPr="0072358C">
        <w:t xml:space="preserve">.  A tabulated form of the proposed changes is at </w:t>
      </w:r>
      <w:r w:rsidR="00C036A7">
        <w:fldChar w:fldCharType="begin"/>
      </w:r>
      <w:r w:rsidR="003A4A7C">
        <w:instrText xml:space="preserve"> REF _Ref341973363 \h  \* MERGEFORMAT </w:instrText>
      </w:r>
      <w:r w:rsidR="00C036A7">
        <w:fldChar w:fldCharType="separate"/>
      </w:r>
      <w:r w:rsidR="00546CD0">
        <w:t>Appendix 5—</w:t>
      </w:r>
      <w:proofErr w:type="gramStart"/>
      <w:r w:rsidR="00546CD0">
        <w:t>Proposed</w:t>
      </w:r>
      <w:proofErr w:type="gramEnd"/>
      <w:r w:rsidR="00546CD0">
        <w:t xml:space="preserve"> Changes to the Current ADR Versions</w:t>
      </w:r>
      <w:r w:rsidR="00C036A7">
        <w:fldChar w:fldCharType="end"/>
      </w:r>
      <w:r w:rsidR="00111A07" w:rsidRPr="0072358C">
        <w:t>.</w:t>
      </w:r>
      <w:r w:rsidR="000375E5" w:rsidRPr="0072358C">
        <w:t xml:space="preserve">  </w:t>
      </w:r>
      <w:r w:rsidRPr="0072358C">
        <w:t xml:space="preserve">The ADR amendments are proposed to come into force from 1 January 2014.  </w:t>
      </w:r>
      <w:r w:rsidR="00111A07" w:rsidRPr="0072358C">
        <w:t>A transition date in order</w:t>
      </w:r>
      <w:r w:rsidRPr="0072358C">
        <w:t xml:space="preserve"> to phase in new models first</w:t>
      </w:r>
      <w:r w:rsidR="00111A07" w:rsidRPr="0072358C">
        <w:t xml:space="preserve"> has not </w:t>
      </w:r>
      <w:r w:rsidR="001A0128">
        <w:t xml:space="preserve">at this stage </w:t>
      </w:r>
      <w:r w:rsidR="00111A07" w:rsidRPr="0072358C">
        <w:t>been sought by industry.</w:t>
      </w:r>
    </w:p>
    <w:p w:rsidR="00782B6B" w:rsidRPr="0072358C" w:rsidRDefault="00111A07" w:rsidP="00782B6B">
      <w:r w:rsidRPr="0072358C">
        <w:t>T</w:t>
      </w:r>
      <w:r w:rsidR="00782B6B" w:rsidRPr="0072358C">
        <w:t xml:space="preserve">he consultation process for the proposed amendments to ADRs 35 and 38 has been ongoing in nature.  It has followed on from a full review of these ADRs </w:t>
      </w:r>
      <w:r w:rsidR="000375E5" w:rsidRPr="0072358C">
        <w:t>starting</w:t>
      </w:r>
      <w:r w:rsidR="00782B6B" w:rsidRPr="0072358C">
        <w:t xml:space="preserve"> </w:t>
      </w:r>
      <w:r w:rsidR="004825E0" w:rsidRPr="0072358C">
        <w:t xml:space="preserve">in </w:t>
      </w:r>
      <w:r w:rsidR="00782B6B" w:rsidRPr="0072358C">
        <w:t xml:space="preserve">2006 (with amendments coming into force in 2009) </w:t>
      </w:r>
      <w:r w:rsidRPr="0072358C">
        <w:t xml:space="preserve">and </w:t>
      </w:r>
      <w:r w:rsidR="00782B6B" w:rsidRPr="0072358C">
        <w:t xml:space="preserve">with one of the outcomes being the NHVBS.  The NHVBS </w:t>
      </w:r>
      <w:r w:rsidRPr="0072358C">
        <w:t>has then</w:t>
      </w:r>
      <w:r w:rsidR="00782B6B" w:rsidRPr="0072358C">
        <w:t xml:space="preserve"> fed into the NRSS.  A detailed public consultation process was carried out initially in the </w:t>
      </w:r>
      <w:r w:rsidR="001A0128">
        <w:t>development</w:t>
      </w:r>
      <w:r w:rsidR="001A0128" w:rsidRPr="0072358C">
        <w:t xml:space="preserve"> </w:t>
      </w:r>
      <w:r w:rsidR="00782B6B" w:rsidRPr="0072358C">
        <w:t>of the NHVBS and this was subsequently supported through the public comment process for the NRSS.</w:t>
      </w:r>
    </w:p>
    <w:p w:rsidR="00782B6B" w:rsidRPr="0072358C" w:rsidRDefault="00782B6B" w:rsidP="00782B6B">
      <w:r w:rsidRPr="0072358C">
        <w:t>In terms of details of the proposed amendments, the NHVBS report was released publicly via the NTC and was used as a basis for continuing to develop the recomme</w:t>
      </w:r>
      <w:r w:rsidR="00111A07" w:rsidRPr="0072358C">
        <w:t>nded requirements through the standards d</w:t>
      </w:r>
      <w:r w:rsidRPr="0072358C">
        <w:t>evelopment forums, the TLG and SVSEG, where they were discussed within the forums as well as within member’s organisations a number of times.  This resulted in the proposed changes set down in</w:t>
      </w:r>
      <w:r w:rsidR="00E2116E">
        <w:t xml:space="preserve"> </w:t>
      </w:r>
      <w:r w:rsidR="00C036A7">
        <w:fldChar w:fldCharType="begin"/>
      </w:r>
      <w:r w:rsidR="00E2116E">
        <w:instrText xml:space="preserve"> REF _Ref350419820 \h </w:instrText>
      </w:r>
      <w:r w:rsidR="00C036A7">
        <w:fldChar w:fldCharType="separate"/>
      </w:r>
      <w:r w:rsidR="00546CD0">
        <w:t xml:space="preserve">Table </w:t>
      </w:r>
      <w:r w:rsidR="00546CD0">
        <w:rPr>
          <w:noProof/>
        </w:rPr>
        <w:t>2</w:t>
      </w:r>
      <w:r w:rsidR="00C036A7">
        <w:fldChar w:fldCharType="end"/>
      </w:r>
      <w:r w:rsidRPr="0072358C">
        <w:t xml:space="preserve"> being developed.  </w:t>
      </w:r>
    </w:p>
    <w:p w:rsidR="00782B6B" w:rsidRPr="0072358C" w:rsidRDefault="00782B6B" w:rsidP="00782B6B">
      <w:r w:rsidRPr="0072358C">
        <w:t>This approach was reconfirmed by SVSEG in April 2011</w:t>
      </w:r>
      <w:r w:rsidR="002600BC">
        <w:t xml:space="preserve"> </w:t>
      </w:r>
      <w:r w:rsidRPr="0072358C">
        <w:t>and</w:t>
      </w:r>
      <w:r w:rsidR="002600BC">
        <w:t>,</w:t>
      </w:r>
      <w:r w:rsidRPr="0072358C">
        <w:t xml:space="preserve"> furthermore</w:t>
      </w:r>
      <w:r w:rsidR="002600BC">
        <w:t>,</w:t>
      </w:r>
      <w:r w:rsidRPr="0072358C">
        <w:t xml:space="preserve"> strong support was given for an accelerated process to be undertaken.  It was agreed that a simplified RIS would be acceptable and that this need only to be circulated within the SVSEG/TLG forum.  </w:t>
      </w:r>
    </w:p>
    <w:p w:rsidR="00782B6B" w:rsidRPr="0072358C" w:rsidRDefault="00782B6B" w:rsidP="00782B6B">
      <w:r w:rsidRPr="0072358C">
        <w:t xml:space="preserve">This RIS </w:t>
      </w:r>
      <w:r w:rsidR="00DA5FFE">
        <w:t>was subsequently</w:t>
      </w:r>
      <w:r w:rsidRPr="0072358C">
        <w:t xml:space="preserve"> circulated within the SVSEG and TLG forums for a period of one month, with the intention that the final draft text of the amendments to ADRs 35 and 38 be agreed before being submitted to the </w:t>
      </w:r>
      <w:r w:rsidR="00AF74CA">
        <w:t xml:space="preserve">Federal Minister for </w:t>
      </w:r>
      <w:r w:rsidR="00BC28FC" w:rsidRPr="00BC28FC">
        <w:t>Infrastructure and Regional Development</w:t>
      </w:r>
      <w:r w:rsidRPr="0072358C">
        <w:t xml:space="preserve"> for </w:t>
      </w:r>
      <w:r w:rsidR="004825E0" w:rsidRPr="0072358C">
        <w:t xml:space="preserve">consideration and </w:t>
      </w:r>
      <w:r w:rsidRPr="0072358C">
        <w:t>signature.</w:t>
      </w:r>
    </w:p>
    <w:p w:rsidR="009A4470" w:rsidRPr="009A4470" w:rsidRDefault="00782B6B" w:rsidP="009A4470">
      <w:r w:rsidRPr="0072358C">
        <w:t>Option 2</w:t>
      </w:r>
      <w:r w:rsidR="008D610C">
        <w:t>, including the variation under 2(a),</w:t>
      </w:r>
      <w:r w:rsidRPr="0072358C">
        <w:t xml:space="preserve"> is the most effective solution in terms of achieving the objective established earlier.  Under this option ADR 35/03 and ADR 38/03 would </w:t>
      </w:r>
      <w:r w:rsidR="008D610C">
        <w:t xml:space="preserve">mandate ABS for heavy commercial vehicles (trucks, trailers and buses) but with LP </w:t>
      </w:r>
      <w:proofErr w:type="gramStart"/>
      <w:r w:rsidR="008D610C">
        <w:lastRenderedPageBreak/>
        <w:t>braking</w:t>
      </w:r>
      <w:proofErr w:type="gramEnd"/>
      <w:r w:rsidR="008D610C">
        <w:t xml:space="preserve"> systems a</w:t>
      </w:r>
      <w:r w:rsidR="001A0128">
        <w:t xml:space="preserve"> sub-</w:t>
      </w:r>
      <w:r w:rsidR="008D610C">
        <w:t xml:space="preserve">option for heavy trailers.  </w:t>
      </w:r>
      <w:r w:rsidR="009A4470" w:rsidRPr="009A4470">
        <w:t>With the further agreement of industry, the proposal was also broadened to include new goods vehicles greater than 3.5 tonnes GVM and less than 4.5 tonnes. These vehicles are represented by the ADR vehicle category of NB1</w:t>
      </w:r>
      <w:r w:rsidR="00DA5FFE">
        <w:t xml:space="preserve"> (large vans and small trucks)</w:t>
      </w:r>
      <w:r w:rsidR="009A4470" w:rsidRPr="009A4470">
        <w:t>, which also falls within the scope of ADR 35.</w:t>
      </w:r>
    </w:p>
    <w:p w:rsidR="00CA3FCA" w:rsidRPr="0072358C" w:rsidRDefault="008D610C" w:rsidP="00CA3FCA">
      <w:r>
        <w:t>The ADRs</w:t>
      </w:r>
      <w:r w:rsidR="00782B6B" w:rsidRPr="0072358C">
        <w:t xml:space="preserve"> would also accommodate the latest revision of R 13 within its alternative standards provisions.  </w:t>
      </w:r>
      <w:r w:rsidR="00CA3FCA" w:rsidRPr="0072358C">
        <w:t xml:space="preserve">The ADR amendments are proposed to come into force from 1 January 2014.  A transition date in order to phase in new models first has not </w:t>
      </w:r>
      <w:r w:rsidR="00DA5FFE">
        <w:t xml:space="preserve">yet </w:t>
      </w:r>
      <w:r w:rsidR="00CA3FCA" w:rsidRPr="0072358C">
        <w:t>been sought by industry</w:t>
      </w:r>
      <w:r w:rsidR="00DA5FFE">
        <w:t>, however may become a necessity in view of the approaching date</w:t>
      </w:r>
      <w:r w:rsidR="00CA3FCA" w:rsidRPr="0072358C">
        <w:t>.</w:t>
      </w:r>
    </w:p>
    <w:p w:rsidR="00782B6B" w:rsidRPr="0072358C" w:rsidRDefault="00782B6B" w:rsidP="00782B6B">
      <w:proofErr w:type="gramStart"/>
      <w:r w:rsidRPr="0072358C">
        <w:t>Option 1</w:t>
      </w:r>
      <w:r w:rsidR="006C1D13">
        <w:t>—</w:t>
      </w:r>
      <w:r w:rsidRPr="0072358C">
        <w:t>taking no action</w:t>
      </w:r>
      <w:r w:rsidR="00005958">
        <w:t>.</w:t>
      </w:r>
      <w:proofErr w:type="gramEnd"/>
      <w:r w:rsidR="00005958">
        <w:t xml:space="preserve"> Based on the most recent </w:t>
      </w:r>
      <w:r w:rsidR="00E67831">
        <w:t xml:space="preserve">industry </w:t>
      </w:r>
      <w:r w:rsidR="00005958">
        <w:t>estimates of voluntary ABS installation (90% of trucks</w:t>
      </w:r>
      <w:r w:rsidR="00E67831">
        <w:t xml:space="preserve">), </w:t>
      </w:r>
      <w:r w:rsidRPr="0072358C">
        <w:t xml:space="preserve"> </w:t>
      </w:r>
      <w:r w:rsidR="00E67831">
        <w:t xml:space="preserve">this option is achieving the </w:t>
      </w:r>
      <w:r w:rsidRPr="0072358C">
        <w:t xml:space="preserve"> objective to reduce the road trauma arising from crashes involving the stability of heavy commercial vehicles under braking</w:t>
      </w:r>
      <w:r w:rsidR="00E67831">
        <w:t xml:space="preserve"> to a large extent</w:t>
      </w:r>
      <w:r w:rsidRPr="0072358C">
        <w:t xml:space="preserve">. </w:t>
      </w:r>
      <w:r w:rsidR="00E67831">
        <w:t>However, industry wide installation is unlikely to be achieved in the medium term.</w:t>
      </w:r>
    </w:p>
    <w:p w:rsidR="00782B6B" w:rsidRPr="0072358C" w:rsidRDefault="00782B6B" w:rsidP="00782B6B">
      <w:r w:rsidRPr="0072358C">
        <w:t>Option 2</w:t>
      </w:r>
      <w:r w:rsidR="006C1D13">
        <w:t>—</w:t>
      </w:r>
      <w:r w:rsidRPr="0072358C">
        <w:t xml:space="preserve">adopting the proposed amendments, would reduce road trauma.  It would also provide a net benefit to the wider community without presenting a technical barrier to vehicle manufacturers wishing to supply Australia with new vehicles meeting a higher level of safety and it. </w:t>
      </w:r>
      <w:r w:rsidR="00E67831">
        <w:t>The impact analysis shows that, due to the mature nature of the technology, there is effectively a small positive net benefit to the community for each additional heavy vehicle fitted with ABS even as the voluntary rate approaches 100%.</w:t>
      </w:r>
      <w:r w:rsidR="00666D59">
        <w:t xml:space="preserve"> It is therefore expected to achieve a higher net benefit than the status quo or the non-regulatory options.</w:t>
      </w:r>
      <w:r w:rsidRPr="0072358C">
        <w:t xml:space="preserve"> It is the recommended option.</w:t>
      </w:r>
    </w:p>
    <w:p w:rsidR="00E57A27" w:rsidRPr="0072358C" w:rsidRDefault="00E57A27" w:rsidP="00782B6B">
      <w:r w:rsidRPr="0072358C">
        <w:t>Option 3</w:t>
      </w:r>
      <w:r w:rsidR="006B2CF0">
        <w:t>—d</w:t>
      </w:r>
      <w:r w:rsidRPr="0072358C">
        <w:t xml:space="preserve">eleting ADRs 35 and 38, </w:t>
      </w:r>
      <w:r w:rsidR="00A44658" w:rsidRPr="0072358C">
        <w:t>and Option 4</w:t>
      </w:r>
      <w:r w:rsidR="000A3A0E">
        <w:t>—</w:t>
      </w:r>
      <w:r w:rsidR="00A44658" w:rsidRPr="0072358C">
        <w:t>non-regulatory options, were</w:t>
      </w:r>
      <w:r w:rsidRPr="0072358C">
        <w:t xml:space="preserve"> option</w:t>
      </w:r>
      <w:r w:rsidR="00A44658" w:rsidRPr="0072358C">
        <w:t>s</w:t>
      </w:r>
      <w:r w:rsidR="000C192B">
        <w:t xml:space="preserve"> that had been considered and rejected at the last full review</w:t>
      </w:r>
      <w:r w:rsidRPr="0072358C">
        <w:t>.</w:t>
      </w:r>
      <w:r w:rsidR="000C192B">
        <w:t xml:space="preserve">  They had </w:t>
      </w:r>
      <w:r w:rsidR="00884CE8">
        <w:t xml:space="preserve">previously </w:t>
      </w:r>
      <w:r w:rsidR="000C192B">
        <w:t xml:space="preserve">been rejected as not </w:t>
      </w:r>
      <w:r w:rsidR="00884CE8">
        <w:t>being appropriate</w:t>
      </w:r>
      <w:r w:rsidR="000C192B">
        <w:t xml:space="preserve"> for </w:t>
      </w:r>
      <w:r w:rsidR="00884CE8">
        <w:t xml:space="preserve">such </w:t>
      </w:r>
      <w:r w:rsidR="00884CE8" w:rsidRPr="00D8705D">
        <w:t>a high impact, high risk area of public safety.</w:t>
      </w:r>
      <w:r w:rsidR="00A3553C">
        <w:t xml:space="preserve"> These options are unlikely to achieve 100% ABS uptake, and therefore unlikely to achieve a net benefit higher than option 2.</w:t>
      </w:r>
    </w:p>
    <w:p w:rsidR="00E57A27" w:rsidRPr="0072358C" w:rsidRDefault="00782B6B" w:rsidP="00782B6B">
      <w:r w:rsidRPr="0072358C">
        <w:t xml:space="preserve">ADRs 35 and 38 will be scheduled for a full review on an ongoing basis and in accordance with the Australian Government’s Business Review Agenda.  The timing for review is to be determined.  In the interim, consideration of full stability systems </w:t>
      </w:r>
      <w:r w:rsidR="00A11570" w:rsidRPr="0072358C">
        <w:t xml:space="preserve">(ESC) </w:t>
      </w:r>
      <w:r w:rsidRPr="0072358C">
        <w:t xml:space="preserve">under Phase II of the NHVBS will begin at the completion of Phase I.  This is scheduled within the NRSS for 2014+ and it is expected that </w:t>
      </w:r>
      <w:r w:rsidR="00E57A27" w:rsidRPr="0072358C">
        <w:t>this work will begin at the start of</w:t>
      </w:r>
      <w:r w:rsidRPr="0072358C">
        <w:t xml:space="preserve"> 2014.</w:t>
      </w:r>
    </w:p>
    <w:p w:rsidR="00E57A27" w:rsidRDefault="00CA3FCA" w:rsidP="001C2F38">
      <w:r w:rsidRPr="0072358C">
        <w:t>Industry codes and advisories must also be encouraged as a complement to regulated requirements for compatibility which, due to the nature of the ADRs (single vehicle type approval) are unable to fully deal with combinations (truck and trailer(s) operating together).</w:t>
      </w:r>
      <w:r w:rsidR="00E57A27">
        <w:br w:type="page"/>
      </w:r>
    </w:p>
    <w:p w:rsidR="00957543" w:rsidRDefault="00C554C2" w:rsidP="006A3A42">
      <w:pPr>
        <w:pStyle w:val="Heading1"/>
      </w:pPr>
      <w:bookmarkStart w:id="6" w:name="_Toc375302797"/>
      <w:r>
        <w:lastRenderedPageBreak/>
        <w:t>Introduction</w:t>
      </w:r>
      <w:bookmarkEnd w:id="6"/>
    </w:p>
    <w:p w:rsidR="005A77B3" w:rsidRDefault="005A77B3" w:rsidP="005A77B3">
      <w:r>
        <w:t>The cost of road crashes on the Australian</w:t>
      </w:r>
      <w:r w:rsidR="00367806">
        <w:t xml:space="preserve"> community</w:t>
      </w:r>
      <w:r>
        <w:t xml:space="preserve"> is significant, estimated to be at least $27 billion per annum (DIT 2012).  This cost is broadly borne by the </w:t>
      </w:r>
      <w:r w:rsidRPr="00BE73E4">
        <w:t xml:space="preserve">general </w:t>
      </w:r>
      <w:r w:rsidR="00DF712A" w:rsidRPr="00BE73E4">
        <w:t>public, business and government.  There is also a personal dimension for those affected that is difficult to quantify.</w:t>
      </w:r>
    </w:p>
    <w:p w:rsidR="005A77B3" w:rsidRDefault="005A77B3" w:rsidP="005A77B3">
      <w:r>
        <w:t>Road crashes relating to heavy commercial vehicles have drawn considerable attention from policy makers, road safety practitioners and the general public.  These vehicles have unique operating characteristics that can increase the crash severity, such as high gross mass, long vehicle length and relatively long stopping distances.</w:t>
      </w:r>
    </w:p>
    <w:p w:rsidR="005A77B3" w:rsidRDefault="005A77B3" w:rsidP="005A77B3">
      <w:r>
        <w:t>There has been a growing interest from governments and the community to require the latest safety technology to be fitted to heavy commercial vehicles.  There is particular interest in braking and stability performance, with distinct systems such as Antilock Brake Systems (ABS), Electronic Braking Systems (EBS) and Electronic Stability Control (ESC) coming under scrutiny.  These technologies are increasingly being mandated in some overseas regulations.</w:t>
      </w:r>
    </w:p>
    <w:p w:rsidR="005A77B3" w:rsidRDefault="005A77B3" w:rsidP="005A77B3">
      <w:r>
        <w:t>Braking systems are heavily regulated throughout the world.  In Australia, the braking performance of new heavy commercial vehicles is regulated through national vehicle standards, Aus</w:t>
      </w:r>
      <w:r w:rsidR="00A13F9F">
        <w:t>tralian Design Rules (ADR) 35—</w:t>
      </w:r>
      <w:r>
        <w:t>Commercial Vehicle Br</w:t>
      </w:r>
      <w:r w:rsidR="00A13F9F">
        <w:t>ake Systems and ADR 38—</w:t>
      </w:r>
      <w:r>
        <w:t>Trailer Brake Systems</w:t>
      </w:r>
    </w:p>
    <w:p w:rsidR="005A77B3" w:rsidRPr="00BE73E4" w:rsidRDefault="005A77B3" w:rsidP="005A77B3">
      <w:r>
        <w:t>Following a public consultation process after the last Austr</w:t>
      </w:r>
      <w:r w:rsidR="002A332C">
        <w:t>alian Government review of ADRs </w:t>
      </w:r>
      <w:r>
        <w:t xml:space="preserve">35 and 38, the National Transport Commission (NTC) and the </w:t>
      </w:r>
      <w:r w:rsidR="00C05F16" w:rsidRPr="00C05F16">
        <w:t>Department of Infrastructure and Regional Development</w:t>
      </w:r>
      <w:r>
        <w:t xml:space="preserve"> </w:t>
      </w:r>
      <w:r w:rsidR="000E270D">
        <w:t xml:space="preserve">(the Department) </w:t>
      </w:r>
      <w:r>
        <w:t xml:space="preserve">developed the National Heavy Vehicle Braking Strategy (NHVBS).  The NHVBS was intended to chart a path of progressive revision of the heavy commercial vehicle </w:t>
      </w:r>
      <w:r w:rsidRPr="00BE73E4">
        <w:t xml:space="preserve">ADRs, with the aim of improving braking safety performance and in doing so increase alignment with </w:t>
      </w:r>
      <w:r w:rsidR="00C86A80" w:rsidRPr="00BE73E4">
        <w:t>international regulation</w:t>
      </w:r>
      <w:r w:rsidRPr="00BE73E4">
        <w:t>.  In 2011, the</w:t>
      </w:r>
      <w:r>
        <w:t xml:space="preserve"> NHVBS was divided into two parts: </w:t>
      </w:r>
      <w:proofErr w:type="gramStart"/>
      <w:r>
        <w:t>Phase</w:t>
      </w:r>
      <w:proofErr w:type="gramEnd"/>
      <w:r>
        <w:t xml:space="preserve"> I and Phase II</w:t>
      </w:r>
      <w:r w:rsidR="002A332C">
        <w:t>,</w:t>
      </w:r>
      <w:r>
        <w:t xml:space="preserve"> and was subsequently adopted into the National </w:t>
      </w:r>
      <w:r w:rsidRPr="00BE73E4">
        <w:t>Road Safety Strategy (2011-20)</w:t>
      </w:r>
      <w:r w:rsidR="002A332C" w:rsidRPr="00BE73E4">
        <w:t xml:space="preserve"> (NRSS)</w:t>
      </w:r>
      <w:r w:rsidRPr="00BE73E4">
        <w:t>.</w:t>
      </w:r>
    </w:p>
    <w:p w:rsidR="00735A2D" w:rsidRDefault="005A77B3" w:rsidP="00A22B90">
      <w:r w:rsidRPr="00BE73E4">
        <w:t>This Regulation</w:t>
      </w:r>
      <w:r w:rsidR="00C51C2F" w:rsidRPr="00BE73E4">
        <w:t xml:space="preserve"> Impact Statement (RIS) examined</w:t>
      </w:r>
      <w:r w:rsidRPr="00BE73E4">
        <w:t xml:space="preserve"> the case for amending ADRs 35 and 38 in line with Phase I of the NHVBS.  This would see an increased alignment of these ADRs with the latest version of the international heavy vehicle braking standard United Nations Economic Commission f</w:t>
      </w:r>
      <w:r w:rsidR="00A13F9F" w:rsidRPr="00BE73E4">
        <w:t>or Europe (UNECE) Regulation 13—</w:t>
      </w:r>
      <w:r w:rsidR="00A22B90" w:rsidRPr="00BE73E4">
        <w:t xml:space="preserve">Uniform Provisions Concerning the Approval of Vehicles of Categories M, N and O with Regard to Braking </w:t>
      </w:r>
      <w:r w:rsidR="00A13F9F" w:rsidRPr="00BE73E4">
        <w:t>(R 13).</w:t>
      </w:r>
      <w:r w:rsidR="00AA1AA8">
        <w:t xml:space="preserve">  The focus of Phase I is the adoption of ABS systems.  </w:t>
      </w:r>
    </w:p>
    <w:p w:rsidR="00AA1AA8" w:rsidRDefault="00AA1AA8" w:rsidP="00A22B90">
      <w:r>
        <w:t xml:space="preserve">If implemented, Phase II would </w:t>
      </w:r>
      <w:r w:rsidR="00A67AB1">
        <w:t xml:space="preserve">follow </w:t>
      </w:r>
      <w:r>
        <w:t>Phase I.  The focus of Phase II is the adoption of ESC systems</w:t>
      </w:r>
      <w:r w:rsidR="00735A2D">
        <w:t>, which would result in even greater alignment with UNECE R13</w:t>
      </w:r>
      <w:r>
        <w:t>.</w:t>
      </w:r>
      <w:r w:rsidR="00735A2D">
        <w:t xml:space="preserve">  ADRs only apply to new vehicles and so a change from Phase I requirements to Phase II requirements would not be applied to those vehicles already in service.</w:t>
      </w:r>
    </w:p>
    <w:p w:rsidR="00FE37EC" w:rsidRDefault="005A77B3" w:rsidP="00D851DE">
      <w:r>
        <w:lastRenderedPageBreak/>
        <w:t>For the purposes of this RIS, heavy commercial vehicles are new vehicles greater than 4.5 tonnes Gross Vehicle Mass (GVM) that are primarily designed to carry goods (</w:t>
      </w:r>
      <w:r w:rsidR="002A332C">
        <w:t>m</w:t>
      </w:r>
      <w:r>
        <w:t xml:space="preserve">edium and </w:t>
      </w:r>
      <w:r w:rsidR="002A332C">
        <w:t>h</w:t>
      </w:r>
      <w:r>
        <w:t>eavy trucks and</w:t>
      </w:r>
      <w:r w:rsidR="00D21D33">
        <w:t xml:space="preserve"> trailers) or passengers (some l</w:t>
      </w:r>
      <w:r>
        <w:t xml:space="preserve">ight and </w:t>
      </w:r>
      <w:r w:rsidR="00D21D33">
        <w:t>h</w:t>
      </w:r>
      <w:r>
        <w:t>eavy buses).  Under the ADRs, these are represented by the vehicle categ</w:t>
      </w:r>
      <w:r w:rsidR="00D21D33">
        <w:t xml:space="preserve">ories </w:t>
      </w:r>
      <w:r w:rsidR="00812D69">
        <w:t xml:space="preserve">NB2, NC, MD4, </w:t>
      </w:r>
      <w:r w:rsidR="00D21D33" w:rsidRPr="00812D69">
        <w:t>ME</w:t>
      </w:r>
      <w:r w:rsidR="00812D69">
        <w:t>, TC and TD</w:t>
      </w:r>
      <w:r w:rsidR="00D21D33" w:rsidRPr="00812D69">
        <w:t>.</w:t>
      </w:r>
    </w:p>
    <w:p w:rsidR="006A3A42" w:rsidRDefault="00C57DFC" w:rsidP="006A3A42">
      <w:pPr>
        <w:pStyle w:val="Heading1"/>
      </w:pPr>
      <w:bookmarkStart w:id="7" w:name="_Toc375302798"/>
      <w:r>
        <w:t>Background</w:t>
      </w:r>
      <w:bookmarkEnd w:id="7"/>
    </w:p>
    <w:p w:rsidR="00C57DFC" w:rsidRPr="00C57DFC" w:rsidRDefault="00C57DFC" w:rsidP="00C57DFC">
      <w:pPr>
        <w:pStyle w:val="Heading2"/>
      </w:pPr>
      <w:r>
        <w:t>The Problem</w:t>
      </w:r>
    </w:p>
    <w:p w:rsidR="000538A4" w:rsidRDefault="000538A4" w:rsidP="005D4BE1">
      <w:r>
        <w:t xml:space="preserve">Heavy commercial vehicles represent 2.9 per cent of all registered vehicles in Australia (ABS 2012) and account for 7 per cent of total kilometres driven on public roads (ABS 2011).  </w:t>
      </w:r>
    </w:p>
    <w:p w:rsidR="000538A4" w:rsidRDefault="009169FE" w:rsidP="005D4BE1">
      <w:r>
        <w:fldChar w:fldCharType="begin"/>
      </w:r>
      <w:r>
        <w:instrText xml:space="preserve"> REF _Ref341864811 \h  \* MERGEFORMAT </w:instrText>
      </w:r>
      <w:r>
        <w:fldChar w:fldCharType="separate"/>
      </w:r>
      <w:r w:rsidR="00546CD0">
        <w:t>Appendix 1—Heavy Commercial Vehicle Categories</w:t>
      </w:r>
      <w:r>
        <w:fldChar w:fldCharType="end"/>
      </w:r>
      <w:r w:rsidR="00336F2A">
        <w:t xml:space="preserve"> </w:t>
      </w:r>
      <w:r w:rsidR="000538A4">
        <w:t xml:space="preserve">describes in more detail the various categories of heavy commercial vehicles as listed in the ADRs while </w:t>
      </w:r>
      <w:r>
        <w:fldChar w:fldCharType="begin"/>
      </w:r>
      <w:r>
        <w:instrText xml:space="preserve"> REF _Ref341865550 \h  \* MERGEFORMAT </w:instrText>
      </w:r>
      <w:r>
        <w:fldChar w:fldCharType="separate"/>
      </w:r>
      <w:r w:rsidR="00546CD0" w:rsidRPr="00BD0E13">
        <w:t xml:space="preserve">Appendix </w:t>
      </w:r>
      <w:r w:rsidR="00546CD0">
        <w:t>2</w:t>
      </w:r>
      <w:r w:rsidR="00546CD0" w:rsidRPr="00BD0E13">
        <w:t>—</w:t>
      </w:r>
      <w:r w:rsidR="00546CD0">
        <w:t>Common Types of Medium and Heavy Trucks</w:t>
      </w:r>
      <w:r>
        <w:fldChar w:fldCharType="end"/>
      </w:r>
      <w:r w:rsidR="00933B60">
        <w:t xml:space="preserve"> </w:t>
      </w:r>
      <w:r w:rsidR="000538A4">
        <w:t>illustrates the common types of medium and heavy trucks that are</w:t>
      </w:r>
      <w:r w:rsidR="005C59D1">
        <w:t xml:space="preserve"> operating on Australian roads.</w:t>
      </w:r>
    </w:p>
    <w:p w:rsidR="007B3DD5" w:rsidRPr="00213E27" w:rsidRDefault="000538A4" w:rsidP="005D4BE1">
      <w:r>
        <w:t xml:space="preserve">Heavy commercial vehicles are involved in some 20 per cent of fatal crashes and cost the Australian </w:t>
      </w:r>
      <w:r w:rsidRPr="00B57933">
        <w:t>community $3 billion annually (BTE 2000).  During</w:t>
      </w:r>
      <w:r>
        <w:t xml:space="preserve"> the 12 months to the end of September 2011, 230 people died from 204 fatal crashes involving heavy trucks or buses</w:t>
      </w:r>
      <w:r w:rsidR="00C50572">
        <w:t xml:space="preserve"> </w:t>
      </w:r>
      <w:r w:rsidR="00C50572" w:rsidRPr="00213E27">
        <w:t>(BITRE, 2011)</w:t>
      </w:r>
      <w:r w:rsidRPr="00213E27">
        <w:t>.</w:t>
      </w:r>
    </w:p>
    <w:p w:rsidR="007839FA" w:rsidRDefault="007839FA" w:rsidP="007839FA">
      <w:pPr>
        <w:pStyle w:val="Caption"/>
        <w:keepNext/>
      </w:pPr>
      <w:r w:rsidRPr="00213E27">
        <w:t xml:space="preserve">Figure </w:t>
      </w:r>
      <w:r w:rsidR="00C036A7">
        <w:fldChar w:fldCharType="begin"/>
      </w:r>
      <w:r w:rsidR="00D05042">
        <w:instrText xml:space="preserve"> SEQ Figure \* ARABIC </w:instrText>
      </w:r>
      <w:r w:rsidR="00C036A7">
        <w:fldChar w:fldCharType="separate"/>
      </w:r>
      <w:r w:rsidR="00546CD0">
        <w:rPr>
          <w:noProof/>
        </w:rPr>
        <w:t>1</w:t>
      </w:r>
      <w:r w:rsidR="00C036A7">
        <w:rPr>
          <w:noProof/>
        </w:rPr>
        <w:fldChar w:fldCharType="end"/>
      </w:r>
      <w:r w:rsidRPr="00213E27">
        <w:t xml:space="preserve"> Fatal heavy vehicle crashes Australia, July-September 2011 (</w:t>
      </w:r>
      <w:r w:rsidR="00A52267" w:rsidRPr="00213E27">
        <w:t>BITRE, 2011</w:t>
      </w:r>
      <w:r w:rsidRPr="00213E27">
        <w:t>)</w:t>
      </w:r>
    </w:p>
    <w:p w:rsidR="007839FA" w:rsidRDefault="007839FA" w:rsidP="007839FA">
      <w:pPr>
        <w:keepNext/>
      </w:pPr>
      <w:r>
        <w:rPr>
          <w:noProof/>
          <w:lang w:eastAsia="en-AU"/>
        </w:rPr>
        <w:drawing>
          <wp:inline distT="0" distB="0" distL="0" distR="0">
            <wp:extent cx="4933950" cy="2733675"/>
            <wp:effectExtent l="0" t="0" r="0" b="9525"/>
            <wp:docPr id="3" name="Picture 3" descr="All trends are fluctuating. Regarding averages, buses are steady at around 20 per year, heavy rigid trucks are slightly declining at around 80 per year and articulated trucks are slightly declining at around 12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371" t="29711" r="4744" b="6652"/>
                    <a:stretch/>
                  </pic:blipFill>
                  <pic:spPr bwMode="auto">
                    <a:xfrm>
                      <a:off x="0" y="0"/>
                      <a:ext cx="4939056" cy="2736504"/>
                    </a:xfrm>
                    <a:prstGeom prst="rect">
                      <a:avLst/>
                    </a:prstGeom>
                    <a:ln>
                      <a:noFill/>
                    </a:ln>
                    <a:extLst>
                      <a:ext uri="{53640926-AAD7-44D8-BBD7-CCE9431645EC}">
                        <a14:shadowObscured xmlns:a14="http://schemas.microsoft.com/office/drawing/2010/main"/>
                      </a:ext>
                    </a:extLst>
                  </pic:spPr>
                </pic:pic>
              </a:graphicData>
            </a:graphic>
          </wp:inline>
        </w:drawing>
      </w:r>
    </w:p>
    <w:p w:rsidR="0019759F" w:rsidRPr="00213E27" w:rsidRDefault="001252DE" w:rsidP="005D4BE1">
      <w:r>
        <w:t>Fatal crashes involving articulated trucks have decreased by an average of 3.8 per cent per year over the three years to September 2011.</w:t>
      </w:r>
      <w:r w:rsidR="00D036F2">
        <w:t xml:space="preserve"> </w:t>
      </w:r>
      <w:r>
        <w:t xml:space="preserve"> Fatal crashes involving heavy rigid trucks have decreased by an average of 12.2 per cent</w:t>
      </w:r>
      <w:r w:rsidR="00A52267">
        <w:t xml:space="preserve"> per year over the same period </w:t>
      </w:r>
      <w:r w:rsidR="00A52267" w:rsidRPr="00213E27">
        <w:t xml:space="preserve">(BITRE, 2011).  </w:t>
      </w:r>
      <w:r w:rsidRPr="00213E27">
        <w:t>However, this is a very gradual trend and it cannot be guaranteed that this will continue into the future, given an expected doubling of the freight transport task by 2020</w:t>
      </w:r>
      <w:r w:rsidR="00E14933" w:rsidRPr="00213E27">
        <w:t xml:space="preserve"> (Truck Industry Council, 2004 &amp; </w:t>
      </w:r>
      <w:r w:rsidR="00C1729B" w:rsidRPr="00213E27">
        <w:t>Gargett, 2012)</w:t>
      </w:r>
      <w:r w:rsidR="0019759F" w:rsidRPr="00213E27">
        <w:t>.</w:t>
      </w:r>
    </w:p>
    <w:p w:rsidR="00E14933" w:rsidRDefault="00EB4D37" w:rsidP="005D4BE1">
      <w:r w:rsidRPr="00213E27">
        <w:lastRenderedPageBreak/>
        <w:t xml:space="preserve">Internationally, </w:t>
      </w:r>
      <w:r w:rsidR="00444C4E" w:rsidRPr="00213E27">
        <w:t xml:space="preserve">the freight transport task has grown significantly in recent decades </w:t>
      </w:r>
      <w:r w:rsidR="00563953" w:rsidRPr="00213E27">
        <w:t xml:space="preserve">in most member countries of the </w:t>
      </w:r>
      <w:r w:rsidR="0019759F" w:rsidRPr="00213E27">
        <w:t>International Transport Forum (ITF)</w:t>
      </w:r>
      <w:r w:rsidR="00C207D3" w:rsidRPr="00213E27">
        <w:t xml:space="preserve">, growing faster than passenger transport.  </w:t>
      </w:r>
      <w:r w:rsidR="005131F9" w:rsidRPr="00213E27">
        <w:t xml:space="preserve">Further, </w:t>
      </w:r>
      <w:r w:rsidR="003F2E1B" w:rsidRPr="00213E27">
        <w:t xml:space="preserve">because of its flexibility and timeliness, </w:t>
      </w:r>
      <w:r w:rsidR="005131F9" w:rsidRPr="00213E27">
        <w:t>road transport is expected to account for much of the growth in freight transport for the foreseeable</w:t>
      </w:r>
      <w:r w:rsidR="00A5794A" w:rsidRPr="00213E27">
        <w:t xml:space="preserve"> future </w:t>
      </w:r>
      <w:r w:rsidR="0019759F" w:rsidRPr="00213E27">
        <w:t>(Working Group of the Joint Transport Research Centre on Heavy Vehicles: Regulatory, Operational and Productivity Improvements, 2010)</w:t>
      </w:r>
      <w:r w:rsidR="00A5794A" w:rsidRPr="00213E27">
        <w:t>.</w:t>
      </w:r>
    </w:p>
    <w:p w:rsidR="001252DE" w:rsidRDefault="001252DE" w:rsidP="005D4BE1">
      <w:r>
        <w:t>It is inevitable that this increase in freight task creates some challenging operational conditions for the industry, including economic pressure to have longer in-service operational times, shorter loading times and lengthened maintenance intervals.  These conditions have the potential to lead to some kind of failure, ei</w:t>
      </w:r>
      <w:r w:rsidR="00666E66">
        <w:t>ther human or vehicle related.</w:t>
      </w:r>
    </w:p>
    <w:p w:rsidR="001252DE" w:rsidRDefault="001252DE" w:rsidP="001252DE">
      <w:r>
        <w:t>In the past, a wide range of factors have been identified as playing a role in these crashes, including vehicle, driver, road environment and situations such as day/night or rural/metropolitan.  There are currently a number of interventions being considered or being implemented by governments in Australia to take account of these factors and these include:</w:t>
      </w:r>
    </w:p>
    <w:p w:rsidR="001252DE" w:rsidRDefault="001252DE" w:rsidP="00666E66">
      <w:pPr>
        <w:pStyle w:val="ListParagraph"/>
        <w:numPr>
          <w:ilvl w:val="0"/>
          <w:numId w:val="16"/>
        </w:numPr>
      </w:pPr>
      <w:r>
        <w:t>The introduction of a single national set of laws for heavy vehicles over 4.5 tonnes and a single National Heavy Vehicle Regulator to administer the laws.  This is part of the Council of Australian Governments (COAG) broader Seamless National Economy initiative.</w:t>
      </w:r>
    </w:p>
    <w:p w:rsidR="001252DE" w:rsidRDefault="001252DE" w:rsidP="00666E66">
      <w:pPr>
        <w:pStyle w:val="ListParagraph"/>
        <w:numPr>
          <w:ilvl w:val="0"/>
          <w:numId w:val="16"/>
        </w:numPr>
      </w:pPr>
      <w:r>
        <w:t xml:space="preserve">Implementation of Australia’s new </w:t>
      </w:r>
      <w:r w:rsidR="0092710E">
        <w:t>NRSS</w:t>
      </w:r>
      <w:r>
        <w:t xml:space="preserve">.  The strategy has several initiatives targeting the safety performance of the heavy vehicle industry, including:  measures to increase the prosecution of heavy vehicle speeding offences, including the development of new regulatory tools and more effective use of registration sanctions for non-operational speed-limiters; </w:t>
      </w:r>
    </w:p>
    <w:p w:rsidR="001252DE" w:rsidRDefault="001252DE" w:rsidP="00666E66">
      <w:pPr>
        <w:pStyle w:val="ListParagraph"/>
        <w:numPr>
          <w:ilvl w:val="0"/>
          <w:numId w:val="16"/>
        </w:numPr>
      </w:pPr>
      <w:r>
        <w:t>Consideration of mandating improved braking systems for heavy vehicles and trailers; investigating options to improve the safety of restricted-access heavy vehicle operations; reviewing licensing arrangements for heavy vehicle drivers; and piloting electronic work diaries.</w:t>
      </w:r>
    </w:p>
    <w:p w:rsidR="001252DE" w:rsidRPr="00102A95" w:rsidRDefault="001252DE" w:rsidP="00666E66">
      <w:pPr>
        <w:pStyle w:val="ListParagraph"/>
        <w:numPr>
          <w:ilvl w:val="0"/>
          <w:numId w:val="16"/>
        </w:numPr>
      </w:pPr>
      <w:r>
        <w:t>The introduction of more rest opportunities for heavy vehicle drivers under the Australian Government’s Heavy Vehicle Safety and Productivity Program (</w:t>
      </w:r>
      <w:r w:rsidRPr="00102A95">
        <w:t>HVSPP).</w:t>
      </w:r>
    </w:p>
    <w:p w:rsidR="001252DE" w:rsidRDefault="001252DE" w:rsidP="001252DE">
      <w:r>
        <w:t>In the past, surveys conducted by states and territory transport agencies have shown that tyres and brakes are two dominant components on heavy commercial vehicles that contribute to mechanical defects that can in turn lead to crashes.  This suggests that even primary safety systems such as brakes on heavy commercial vehicles are not immune to economic pressures.</w:t>
      </w:r>
    </w:p>
    <w:p w:rsidR="007839FA" w:rsidRDefault="001252DE" w:rsidP="001252DE">
      <w:r>
        <w:t>For a number of years it has been recognised that braking and truck instability are significant vehicle factors that relate to crash occurrence (</w:t>
      </w:r>
      <w:proofErr w:type="spellStart"/>
      <w:r w:rsidRPr="00DD5ECB">
        <w:t>Sweatman</w:t>
      </w:r>
      <w:proofErr w:type="spellEnd"/>
      <w:r w:rsidRPr="00DD5ECB">
        <w:t xml:space="preserve"> et al</w:t>
      </w:r>
      <w:r w:rsidR="00C21836" w:rsidRPr="00DD5ECB">
        <w:t>,</w:t>
      </w:r>
      <w:r w:rsidRPr="00DD5ECB">
        <w:t xml:space="preserve"> 1995</w:t>
      </w:r>
      <w:r>
        <w:t>).  These factors can be exacerbated by the use of incompatible vehicle combinations and the challenging operational conditions described above.</w:t>
      </w:r>
    </w:p>
    <w:p w:rsidR="00C57DFC" w:rsidRDefault="00C57DFC" w:rsidP="00C57DFC">
      <w:pPr>
        <w:pStyle w:val="Heading2"/>
      </w:pPr>
      <w:bookmarkStart w:id="8" w:name="_Ref342916322"/>
      <w:r>
        <w:lastRenderedPageBreak/>
        <w:t>The National Heavy Vehicle Braking Strategy</w:t>
      </w:r>
      <w:bookmarkEnd w:id="8"/>
    </w:p>
    <w:p w:rsidR="00B54D95" w:rsidRDefault="00D26286" w:rsidP="00D26286">
      <w:r w:rsidRPr="00D26286">
        <w:t xml:space="preserve">The Australian Government provides protection for new vehicle consumers and operators through the Motor Vehicle Standards Act 1989 (C’th) (MVSA).  The MVSA provides mandatory vehicle safety, emission and anti-theft standards which apply when new vehicles are supplied to the Australian market.  These are national standards and are known as the </w:t>
      </w:r>
      <w:r>
        <w:t>ADRs.</w:t>
      </w:r>
    </w:p>
    <w:p w:rsidR="004919DC" w:rsidRPr="008C720C" w:rsidRDefault="004919DC" w:rsidP="004919DC">
      <w:r>
        <w:t xml:space="preserve">Braking systems are regulated throughout the world.  In Australia, the braking performance of heavy commercial vehicles has been regulated through the ADRs since 1975, with the introduction of ADR 35 – Commercial Vehicle Braking Systems.  At the time of its introduction there was perceived urgent need to improve heavy vehicle braking of new vehicles in the </w:t>
      </w:r>
      <w:r w:rsidRPr="008C720C">
        <w:t>fleet (</w:t>
      </w:r>
      <w:r w:rsidR="00F25F90" w:rsidRPr="008C720C">
        <w:t>National Transport Commission &amp; Federal Office of Road Safety, 1994</w:t>
      </w:r>
      <w:r w:rsidRPr="008C720C">
        <w:t>).  In 1984, ADR 38 – Trailer Brake Systems was also implemented and work began on improving ADR 35 to better balance the braking compatibility between towing vehicle (truck) and towed vehicle (trailer).  When ADR 38 was introduced, there followed a vigorous debate regarding the compatibility of ADR 35 and ADR 38 braking systems when in a combination vehicle.  This issue of compatibility between truck and trailer continues to be the major focus of heavy vehicle braking performance by regulatory authorities and features in most heavy vehicle braking regulations.</w:t>
      </w:r>
    </w:p>
    <w:p w:rsidR="004919DC" w:rsidRDefault="004919DC" w:rsidP="004919DC">
      <w:r w:rsidRPr="008C720C">
        <w:t>During the mid-nineties, ADRs 35 and 38 were reviewed and amended to better harmonise with international regulations, specifically R 13 requirements, as was the policy of the Australian Government at the time.  There was a further review of ADRs 35 and 38 in 2006, by which time the policy of harmonising with UNECE regulations had become a fundamental obligation of Australia’s membership of the World Trade Organisation (WTO) Agreement on technical barriers to trade and of the Council of Australian Governments (COAG) principles and guidelines for assessing regulatory proposals. The WTO and COAG principles and guidelines stipulate the use of international standards where they exist, unless there are compelling reasons not to (COAG 2004).  The WTO</w:t>
      </w:r>
      <w:r>
        <w:t xml:space="preserve"> has identified the UNECE regulations as the peak international regulations for vehicle safety and so Australia has gradually been harmonising the ADRs with these regulations.</w:t>
      </w:r>
    </w:p>
    <w:p w:rsidR="004919DC" w:rsidRDefault="004919DC" w:rsidP="004919DC">
      <w:r>
        <w:t>In 2002, the Standing Committee on Transport (SCOT) requested that the NTC review the case for mandating ABS on heavy vehicles.  Thi</w:t>
      </w:r>
      <w:r w:rsidR="00A53E10">
        <w:t>s ran in parallel with the ADR r</w:t>
      </w:r>
      <w:r>
        <w:t>eview of the heavy vehicle braking ADRs 35 and 38 in 2006, ADRs 35/02 and 38/03 being published in 2007.  These came into force in 2009.</w:t>
      </w:r>
    </w:p>
    <w:p w:rsidR="004919DC" w:rsidRDefault="004919DC" w:rsidP="004919DC">
      <w:r>
        <w:t>As the issues were seen as broader than just ABS, the NTC, in conjunction with the Department, initiated a project to develop the more comprehensive NHVBS.</w:t>
      </w:r>
    </w:p>
    <w:p w:rsidR="004919DC" w:rsidRDefault="004919DC" w:rsidP="004919DC">
      <w:bookmarkStart w:id="9" w:name="NHVBSagreement1"/>
      <w:bookmarkEnd w:id="9"/>
      <w:r>
        <w:t xml:space="preserve">This began with an extensive consultation process.  Two public meetings were held in Melbourne in late 2005 involving discussions with representatives of transport industry groups, to discuss the general situation with heavy vehicle braking regulation and on-road performance.  A discussion paper was released in January 2006 that identified six strategic </w:t>
      </w:r>
      <w:r>
        <w:lastRenderedPageBreak/>
        <w:t>objectives. Written and verbal comments were invited by April 2006.  Three workshops were held to describe the proposals and to receive feedback.  These were held in Melbourne, Brisbane and Perth and led to a further meeting of around twenty industry and road agency representatives in June 2006.  The consultation process involved detailed discussions with about 200 representatives and written comments were received from about 40 correspondents.</w:t>
      </w:r>
      <w:r w:rsidR="00715F6B">
        <w:t xml:space="preserve">  Section </w:t>
      </w:r>
      <w:r w:rsidR="00C036A7">
        <w:fldChar w:fldCharType="begin"/>
      </w:r>
      <w:r w:rsidR="00715F6B">
        <w:instrText xml:space="preserve"> REF _Ref347237780 \r \h </w:instrText>
      </w:r>
      <w:r w:rsidR="00C036A7">
        <w:fldChar w:fldCharType="separate"/>
      </w:r>
      <w:r w:rsidR="00546CD0">
        <w:t>5.6</w:t>
      </w:r>
      <w:r w:rsidR="00C036A7">
        <w:fldChar w:fldCharType="end"/>
      </w:r>
      <w:r w:rsidR="00715F6B">
        <w:t xml:space="preserve"> </w:t>
      </w:r>
      <w:r w:rsidR="000C359B">
        <w:t>summarises the views put forward at that stage.</w:t>
      </w:r>
      <w:r w:rsidR="00D439A2">
        <w:t xml:space="preserve">  In very broad terms there was support for mandating ABS for heavy vehicles but </w:t>
      </w:r>
      <w:r w:rsidR="00FB1D90">
        <w:t xml:space="preserve">other means of ensuring brake compatibility were preferred for trailers, such as </w:t>
      </w:r>
      <w:r w:rsidR="00D439A2">
        <w:t xml:space="preserve">load proportioning </w:t>
      </w:r>
      <w:r w:rsidR="00FB1D90">
        <w:t xml:space="preserve">(LP) brake </w:t>
      </w:r>
      <w:r w:rsidR="00D439A2">
        <w:t>systems</w:t>
      </w:r>
      <w:r w:rsidR="00FB1D90">
        <w:t>.</w:t>
      </w:r>
    </w:p>
    <w:p w:rsidR="004919DC" w:rsidRDefault="004919DC" w:rsidP="004919DC">
      <w:r>
        <w:t>Following this process, a report was published containing a number of strategic objectives to be implemented (</w:t>
      </w:r>
      <w:r w:rsidR="00D522CB">
        <w:t xml:space="preserve">refer to </w:t>
      </w:r>
      <w:r w:rsidR="00C036A7">
        <w:fldChar w:fldCharType="begin"/>
      </w:r>
      <w:r w:rsidR="00D522CB">
        <w:instrText xml:space="preserve"> REF _Ref341969844 \h </w:instrText>
      </w:r>
      <w:r w:rsidR="00C036A7">
        <w:fldChar w:fldCharType="separate"/>
      </w:r>
      <w:r w:rsidR="00546CD0">
        <w:t>Appendix 3—Extract from the Executive Summary of the National Heavy Vehicle Braking Strategy Report</w:t>
      </w:r>
      <w:r w:rsidR="00C036A7">
        <w:fldChar w:fldCharType="end"/>
      </w:r>
      <w:r>
        <w:t xml:space="preserve">). </w:t>
      </w:r>
      <w:r w:rsidR="007712F7">
        <w:t xml:space="preserve"> </w:t>
      </w:r>
      <w:r>
        <w:t>In particular, Strategic Objective 4 recommended that the ADRs for heavy vehicle braking be amended to mandate ABS</w:t>
      </w:r>
      <w:r w:rsidR="00FB1D90">
        <w:t>, with an allowance for LP systems for trailers</w:t>
      </w:r>
      <w:r>
        <w:t>.</w:t>
      </w:r>
      <w:r w:rsidR="007712F7">
        <w:t xml:space="preserve"> </w:t>
      </w:r>
      <w:r>
        <w:t xml:space="preserve"> The NTC responded to a final report on the NHVBS with a December 2008 information paper.  An extract of this is provided at</w:t>
      </w:r>
      <w:r w:rsidR="007712F7">
        <w:t xml:space="preserve"> </w:t>
      </w:r>
      <w:r w:rsidR="00C036A7">
        <w:fldChar w:fldCharType="begin"/>
      </w:r>
      <w:r w:rsidR="007712F7">
        <w:instrText xml:space="preserve"> REF _Ref341970034 \h </w:instrText>
      </w:r>
      <w:r w:rsidR="00C036A7">
        <w:fldChar w:fldCharType="separate"/>
      </w:r>
      <w:r w:rsidR="00546CD0" w:rsidRPr="00BD0E13">
        <w:t xml:space="preserve">Appendix </w:t>
      </w:r>
      <w:r w:rsidR="00546CD0">
        <w:t>4</w:t>
      </w:r>
      <w:r w:rsidR="00546CD0" w:rsidRPr="00BD0E13">
        <w:t>—</w:t>
      </w:r>
      <w:r w:rsidR="00546CD0">
        <w:t>The NTC Response to the National Heavy Vehicle Braking Strategy Report</w:t>
      </w:r>
      <w:r w:rsidR="00C036A7">
        <w:fldChar w:fldCharType="end"/>
      </w:r>
      <w:r>
        <w:t xml:space="preserve">. </w:t>
      </w:r>
      <w:r w:rsidR="00B32C1C">
        <w:t xml:space="preserve"> </w:t>
      </w:r>
      <w:r>
        <w:t xml:space="preserve">The </w:t>
      </w:r>
      <w:r w:rsidR="009E6526">
        <w:t>Department</w:t>
      </w:r>
      <w:r>
        <w:t xml:space="preserve"> then issued a proposed way ahead in June 2009 at the Technical Liaison Group (TLG) meeting 32.</w:t>
      </w:r>
    </w:p>
    <w:p w:rsidR="004919DC" w:rsidRDefault="004919DC" w:rsidP="004919DC">
      <w:r>
        <w:t xml:space="preserve">This proposal was subsequently adopted into the NRSS in May 2011 in </w:t>
      </w:r>
      <w:r w:rsidR="00B57933">
        <w:t xml:space="preserve">two parts; Phase I </w:t>
      </w:r>
      <w:r w:rsidR="00B57933" w:rsidRPr="00BE73E4">
        <w:t xml:space="preserve">and Phase II.  </w:t>
      </w:r>
      <w:r w:rsidRPr="00BE73E4">
        <w:t>At the Strategic Vehicle</w:t>
      </w:r>
      <w:r>
        <w:t xml:space="preserve"> Safety and Environment Group (SVSEG) meeting 4 in September 2011, it was then agreed to prioritise them for completion as Phase I in 2012 and Phase II in 2014+ (</w:t>
      </w:r>
      <w:r w:rsidR="00771078">
        <w:t>i.e.</w:t>
      </w:r>
      <w:r>
        <w:t xml:space="preserve"> nominally 2014 but to be determined when the NRSS is reviewed in 2013).</w:t>
      </w:r>
    </w:p>
    <w:p w:rsidR="00FB1D90" w:rsidRDefault="00FB1D90" w:rsidP="00FB1D90">
      <w:r>
        <w:t>Both Phases</w:t>
      </w:r>
      <w:r w:rsidRPr="00BE73E4">
        <w:t xml:space="preserve"> would see an increased alignment of these ADRs with the latest version of the international heavy vehicle braking standard United Nations Economic Commission for Europe (UNECE) Regulation 13—Uniform Provisions Concerning the Approval of Vehicles of Categories M, N and O with Regard to Braking (R 13).</w:t>
      </w:r>
      <w:r>
        <w:t xml:space="preserve">  The focus of Phase I is the adoption of ABS systems and the focus of Phase II is the adoption of ESC systems.  </w:t>
      </w:r>
    </w:p>
    <w:p w:rsidR="00FB1D90" w:rsidRDefault="00FB1D90" w:rsidP="00FB1D90">
      <w:r>
        <w:t>If</w:t>
      </w:r>
      <w:r w:rsidR="008B4D33">
        <w:t xml:space="preserve"> and when</w:t>
      </w:r>
      <w:r>
        <w:t xml:space="preserve"> implemented, Phase II would </w:t>
      </w:r>
      <w:r w:rsidR="00A67AB1">
        <w:t xml:space="preserve">follow </w:t>
      </w:r>
      <w:r>
        <w:t>Phase I, that is, new vehicles would need to comply with Phase I requirements under ADRs 35 and 38 until these changed under any Phase II requirements.  Existing vehicles in service would not be affected</w:t>
      </w:r>
      <w:r w:rsidR="00BB7062">
        <w:t xml:space="preserve"> by such a change</w:t>
      </w:r>
      <w:r>
        <w:t>.</w:t>
      </w:r>
      <w:r w:rsidR="00BB7062">
        <w:t xml:space="preserve">  Phase II requirements would also be compatible with Phase I </w:t>
      </w:r>
      <w:proofErr w:type="spellStart"/>
      <w:r w:rsidR="00BB7062">
        <w:t>ie</w:t>
      </w:r>
      <w:proofErr w:type="spellEnd"/>
      <w:r w:rsidR="00BB7062">
        <w:t xml:space="preserve"> a vehicle model that meets Phase II requirements early would also meet Phase I requirements.</w:t>
      </w:r>
    </w:p>
    <w:p w:rsidR="004919DC" w:rsidRDefault="004919DC" w:rsidP="004919DC">
      <w:r>
        <w:t xml:space="preserve">In </w:t>
      </w:r>
      <w:r w:rsidR="00381E71">
        <w:t>p</w:t>
      </w:r>
      <w:r>
        <w:t>arallel with the development of this RIS, draft ADRs 35/04 and 38/04 were circulated to all TLG members in July 2012.  These drafts are in line with the NHVBS recommendations as set down in the NRSS.</w:t>
      </w:r>
      <w:r w:rsidR="00381E71">
        <w:t xml:space="preserve"> </w:t>
      </w:r>
      <w:r>
        <w:t xml:space="preserve"> A tabulated form showing the proposed changes to the current ADR versions and incorporating comments from the TLG meeting in August 2012 can be found at</w:t>
      </w:r>
      <w:r w:rsidR="00381E71">
        <w:t xml:space="preserve"> </w:t>
      </w:r>
      <w:r w:rsidR="00C036A7">
        <w:fldChar w:fldCharType="begin"/>
      </w:r>
      <w:r w:rsidR="008725A9">
        <w:instrText xml:space="preserve"> REF _Ref341973363 \h </w:instrText>
      </w:r>
      <w:r w:rsidR="00C036A7">
        <w:fldChar w:fldCharType="separate"/>
      </w:r>
      <w:r w:rsidR="00546CD0">
        <w:t>Appendix 5—Proposed Changes to the Current ADR Versions</w:t>
      </w:r>
      <w:r w:rsidR="00C036A7">
        <w:fldChar w:fldCharType="end"/>
      </w:r>
      <w:r w:rsidR="008725A9">
        <w:t>.</w:t>
      </w:r>
    </w:p>
    <w:p w:rsidR="004919DC" w:rsidRDefault="004919DC" w:rsidP="004919DC">
      <w:r>
        <w:lastRenderedPageBreak/>
        <w:t>In April 2011, strong support was given at SVSEG for an accelerated process to be undertaken.  It was agreed that a simplified RIS should be developed and also that final consultation need only be through the membership of the SVSEG and TLG forums.</w:t>
      </w:r>
    </w:p>
    <w:p w:rsidR="00B54D95" w:rsidRPr="00B54D95" w:rsidRDefault="00B54D95" w:rsidP="00B54D95">
      <w:pPr>
        <w:pStyle w:val="Heading2"/>
      </w:pPr>
      <w:r>
        <w:t>Objective</w:t>
      </w:r>
    </w:p>
    <w:p w:rsidR="00C57DFC" w:rsidRDefault="008725A9" w:rsidP="008725A9">
      <w:r>
        <w:t xml:space="preserve">The primary objective of this </w:t>
      </w:r>
      <w:r w:rsidR="00A060F0">
        <w:t>proposal is</w:t>
      </w:r>
      <w:r w:rsidR="000C1924">
        <w:t xml:space="preserve"> </w:t>
      </w:r>
      <w:r>
        <w:t>to reduce the road trauma arising from crashes involving the stability of heavy commercial vehicles under braking</w:t>
      </w:r>
      <w:r w:rsidR="00A060F0">
        <w:t xml:space="preserve">, in a way that provides a net benefit to the community and without </w:t>
      </w:r>
      <w:r>
        <w:t>present</w:t>
      </w:r>
      <w:r w:rsidR="00A060F0">
        <w:t>ing</w:t>
      </w:r>
      <w:r>
        <w:t xml:space="preserve"> a technical barrier to vehicle manufacturers wishing to supply Australia with new vehicles meeting a higher level of safety.</w:t>
      </w:r>
    </w:p>
    <w:p w:rsidR="00DD73A1" w:rsidRPr="00C57DFC" w:rsidRDefault="00DD73A1" w:rsidP="008725A9">
      <w:r>
        <w:t>Where intervention involves the use of regulation where the decision maker is the Australian Government’s Cabinet, the Prime Minister, minister, statutory authority, board or other regulator, Australian Government RIS requirements apply.  This is the case for this RIS.  The requirements are set out in the Best Practice Regulation Handbook (Australian Government, 2010).</w:t>
      </w:r>
    </w:p>
    <w:p w:rsidR="006A3A42" w:rsidRDefault="0043331F" w:rsidP="006A3A42">
      <w:pPr>
        <w:pStyle w:val="Heading1"/>
      </w:pPr>
      <w:bookmarkStart w:id="10" w:name="_Toc375302799"/>
      <w:r>
        <w:t>Options</w:t>
      </w:r>
      <w:bookmarkEnd w:id="10"/>
    </w:p>
    <w:p w:rsidR="006A3A42" w:rsidRDefault="0043331F" w:rsidP="006A3A42">
      <w:pPr>
        <w:pStyle w:val="Heading2"/>
      </w:pPr>
      <w:r>
        <w:t>Option 1: Take no action</w:t>
      </w:r>
    </w:p>
    <w:p w:rsidR="005964A5" w:rsidRPr="009C6D18" w:rsidRDefault="009C6D18" w:rsidP="009C6D18">
      <w:r w:rsidRPr="009C6D18">
        <w:t xml:space="preserve">Under this option, the proposal as set out in the NRSS relating to </w:t>
      </w:r>
      <w:proofErr w:type="gramStart"/>
      <w:r w:rsidRPr="009C6D18">
        <w:t>Phase</w:t>
      </w:r>
      <w:proofErr w:type="gramEnd"/>
      <w:r w:rsidRPr="009C6D18">
        <w:t xml:space="preserve"> I of the NHVBS would not be </w:t>
      </w:r>
      <w:r w:rsidR="008B4D33">
        <w:t>implemented</w:t>
      </w:r>
      <w:r w:rsidRPr="009C6D18">
        <w:t xml:space="preserve">, and so vehicles would continue to only have to comply with the current ADR 35/03 and ADR 38/03 requirements.  </w:t>
      </w:r>
    </w:p>
    <w:p w:rsidR="006A3A42" w:rsidRDefault="0072334C" w:rsidP="006A3A42">
      <w:pPr>
        <w:pStyle w:val="Heading2"/>
      </w:pPr>
      <w:r>
        <w:t xml:space="preserve">Option </w:t>
      </w:r>
      <w:r w:rsidR="003C7B50">
        <w:t>2</w:t>
      </w:r>
      <w:r>
        <w:t xml:space="preserve">: Amend ADRs 35 &amp; 38 to require </w:t>
      </w:r>
      <w:r w:rsidR="00B84BEB">
        <w:t>Antilock Braking Systems (</w:t>
      </w:r>
      <w:r>
        <w:t>ABS</w:t>
      </w:r>
      <w:r w:rsidR="00B84BEB">
        <w:t>)</w:t>
      </w:r>
      <w:r>
        <w:t xml:space="preserve"> on </w:t>
      </w:r>
      <w:r w:rsidR="00B84BEB">
        <w:t xml:space="preserve">new </w:t>
      </w:r>
      <w:r>
        <w:t>heavy commercial vehicles</w:t>
      </w:r>
    </w:p>
    <w:p w:rsidR="00F25083" w:rsidRDefault="00B84BEB" w:rsidP="00F25083">
      <w:r>
        <w:t xml:space="preserve">Under this option, new heavy commercial vehicles would be required to be fitted with ABS.  This would align with </w:t>
      </w:r>
      <w:r w:rsidR="00F25083">
        <w:t>Strategic Objective 4 of the NHVBS report</w:t>
      </w:r>
      <w:r>
        <w:t xml:space="preserve">.  </w:t>
      </w:r>
      <w:r w:rsidR="002A0AFF">
        <w:t>The report</w:t>
      </w:r>
      <w:r>
        <w:t xml:space="preserve"> had </w:t>
      </w:r>
      <w:r w:rsidR="00F25083">
        <w:t>recommended that the ADRs for heavy vehicle braking be amended to mandate ABS.</w:t>
      </w:r>
    </w:p>
    <w:p w:rsidR="00B84BEB" w:rsidRDefault="00B84BEB" w:rsidP="00B84BEB">
      <w:r>
        <w:t xml:space="preserve">ABS is a safety technology that prevents wheels from locking when the vehicle is overbraked. </w:t>
      </w:r>
      <w:r w:rsidR="00A307E5">
        <w:t>It</w:t>
      </w:r>
      <w:r w:rsidRPr="003C7B50">
        <w:t xml:space="preserve"> help</w:t>
      </w:r>
      <w:r>
        <w:t>s</w:t>
      </w:r>
      <w:r w:rsidRPr="003C7B50">
        <w:t xml:space="preserve"> </w:t>
      </w:r>
      <w:r>
        <w:t xml:space="preserve">to </w:t>
      </w:r>
      <w:r w:rsidRPr="003C7B50">
        <w:t xml:space="preserve">maintain directional stability and control during braking, and </w:t>
      </w:r>
      <w:r w:rsidR="002A0AFF">
        <w:t>may</w:t>
      </w:r>
      <w:r w:rsidRPr="003C7B50">
        <w:t xml:space="preserve"> reduce stopping distances on some road surfaces, especially </w:t>
      </w:r>
      <w:r w:rsidR="002A0AFF">
        <w:t>where</w:t>
      </w:r>
      <w:r w:rsidRPr="003C7B50">
        <w:t xml:space="preserve"> wet.</w:t>
      </w:r>
    </w:p>
    <w:p w:rsidR="00B84BEB" w:rsidRDefault="00B84BEB" w:rsidP="00B84BEB">
      <w:r>
        <w:t xml:space="preserve">There </w:t>
      </w:r>
      <w:r w:rsidR="00A307E5">
        <w:t>were</w:t>
      </w:r>
      <w:r>
        <w:t xml:space="preserve"> </w:t>
      </w:r>
      <w:r w:rsidR="00A307E5">
        <w:t xml:space="preserve">two </w:t>
      </w:r>
      <w:r>
        <w:t>variations to this</w:t>
      </w:r>
      <w:r w:rsidR="008A60A1">
        <w:t xml:space="preserve"> proposal</w:t>
      </w:r>
      <w:r>
        <w:t xml:space="preserve"> </w:t>
      </w:r>
      <w:r w:rsidR="00A307E5">
        <w:t xml:space="preserve">that were </w:t>
      </w:r>
      <w:r w:rsidR="008B4D33">
        <w:t>also considered</w:t>
      </w:r>
      <w:r w:rsidR="00A307E5">
        <w:t xml:space="preserve"> as part of Option 2:</w:t>
      </w:r>
    </w:p>
    <w:p w:rsidR="00171CEB" w:rsidRDefault="0063188A" w:rsidP="00B84BEB">
      <w:r w:rsidRPr="00D851DE">
        <w:rPr>
          <w:b/>
        </w:rPr>
        <w:t>Option 2(a)</w:t>
      </w:r>
      <w:r w:rsidR="005B6D6A">
        <w:t xml:space="preserve"> </w:t>
      </w:r>
      <w:r w:rsidR="002A0AFF">
        <w:t>–</w:t>
      </w:r>
      <w:r w:rsidR="005B6D6A">
        <w:t xml:space="preserve"> </w:t>
      </w:r>
      <w:r w:rsidR="002A0AFF">
        <w:t>as for Option 2 but a</w:t>
      </w:r>
      <w:r w:rsidR="00027285">
        <w:t>llow</w:t>
      </w:r>
      <w:r w:rsidR="002A0AFF">
        <w:t>ing</w:t>
      </w:r>
      <w:r w:rsidR="00027285">
        <w:t xml:space="preserve"> trailer manufacturers to fit L</w:t>
      </w:r>
      <w:r w:rsidR="00A307E5">
        <w:t>oad</w:t>
      </w:r>
      <w:r w:rsidR="00027285">
        <w:t xml:space="preserve"> P</w:t>
      </w:r>
      <w:r w:rsidR="00A307E5">
        <w:t>roportioning</w:t>
      </w:r>
      <w:r w:rsidR="00027285">
        <w:t xml:space="preserve"> (LP) </w:t>
      </w:r>
      <w:proofErr w:type="gramStart"/>
      <w:r w:rsidR="00027285">
        <w:t>brake</w:t>
      </w:r>
      <w:proofErr w:type="gramEnd"/>
      <w:r w:rsidR="00027285">
        <w:t xml:space="preserve"> systems instead of ABS.  This </w:t>
      </w:r>
      <w:r w:rsidR="00781AE2">
        <w:t>was</w:t>
      </w:r>
      <w:r w:rsidR="00171CEB">
        <w:t xml:space="preserve"> </w:t>
      </w:r>
      <w:r w:rsidR="00781AE2">
        <w:t>introduced in part due to concerns</w:t>
      </w:r>
      <w:r w:rsidR="00171CEB">
        <w:t xml:space="preserve"> </w:t>
      </w:r>
      <w:r w:rsidR="00781AE2">
        <w:t xml:space="preserve">from some parts of the trailer industry </w:t>
      </w:r>
      <w:r w:rsidR="00171CEB">
        <w:t xml:space="preserve">about </w:t>
      </w:r>
      <w:r w:rsidR="00781AE2">
        <w:t xml:space="preserve">the </w:t>
      </w:r>
      <w:r w:rsidR="00171CEB">
        <w:t>cost and</w:t>
      </w:r>
      <w:r w:rsidR="00027285">
        <w:t xml:space="preserve"> </w:t>
      </w:r>
      <w:r w:rsidR="00171CEB">
        <w:t>robustness of more sophisticated systems</w:t>
      </w:r>
      <w:r w:rsidR="00781AE2">
        <w:t xml:space="preserve"> such as ABS, when operating</w:t>
      </w:r>
      <w:r w:rsidR="00171CEB">
        <w:t xml:space="preserve"> in </w:t>
      </w:r>
      <w:r w:rsidR="00781AE2">
        <w:t>hostile</w:t>
      </w:r>
      <w:r w:rsidR="00171CEB">
        <w:t xml:space="preserve"> environments</w:t>
      </w:r>
      <w:r w:rsidR="00781AE2">
        <w:t>.</w:t>
      </w:r>
    </w:p>
    <w:p w:rsidR="009C05C8" w:rsidRDefault="0063188A">
      <w:r w:rsidRPr="00D851DE">
        <w:rPr>
          <w:b/>
        </w:rPr>
        <w:t>Option 2(b)</w:t>
      </w:r>
      <w:r w:rsidR="005B6D6A">
        <w:t xml:space="preserve"> </w:t>
      </w:r>
      <w:r w:rsidR="002A0AFF">
        <w:t>–</w:t>
      </w:r>
      <w:r w:rsidR="005B6D6A">
        <w:t xml:space="preserve"> </w:t>
      </w:r>
      <w:r w:rsidR="002A0AFF">
        <w:t>as for Option 2 but in all cases a</w:t>
      </w:r>
      <w:r w:rsidR="00027285">
        <w:t xml:space="preserve">llow or mandate the technical requirements of relevant international regulations </w:t>
      </w:r>
      <w:r w:rsidR="008A60A1">
        <w:t>for ABS or LP, rather than</w:t>
      </w:r>
      <w:r w:rsidR="00027285">
        <w:t xml:space="preserve"> </w:t>
      </w:r>
      <w:r w:rsidR="008A60A1">
        <w:t xml:space="preserve">develop </w:t>
      </w:r>
      <w:r w:rsidR="00027285">
        <w:t>Australian specific requirements.</w:t>
      </w:r>
      <w:r w:rsidR="0063255A">
        <w:t xml:space="preserve">  ADRs 35 and 38 currently </w:t>
      </w:r>
      <w:r w:rsidR="008A60A1">
        <w:t xml:space="preserve">contain </w:t>
      </w:r>
      <w:r w:rsidR="0063255A">
        <w:t>Au</w:t>
      </w:r>
      <w:r w:rsidR="00781AE2">
        <w:t xml:space="preserve">stralian specific requirements (although </w:t>
      </w:r>
      <w:r w:rsidR="0063255A">
        <w:t xml:space="preserve">both </w:t>
      </w:r>
      <w:r w:rsidR="00655957">
        <w:t xml:space="preserve">also </w:t>
      </w:r>
      <w:r w:rsidR="0063255A">
        <w:t>allow for the i</w:t>
      </w:r>
      <w:r w:rsidR="0063255A" w:rsidRPr="00B57933">
        <w:t>nternational</w:t>
      </w:r>
      <w:r w:rsidR="00F25083" w:rsidRPr="00B57933">
        <w:t xml:space="preserve"> regulation</w:t>
      </w:r>
      <w:r w:rsidR="0063255A">
        <w:t xml:space="preserve"> UNECE </w:t>
      </w:r>
      <w:r w:rsidR="001A21BB" w:rsidRPr="00781289">
        <w:t>R 13 as an alternative</w:t>
      </w:r>
      <w:r w:rsidR="00781AE2">
        <w:t>)</w:t>
      </w:r>
      <w:r w:rsidR="001A21BB" w:rsidRPr="00781289">
        <w:t>.</w:t>
      </w:r>
      <w:r w:rsidR="001A21BB">
        <w:t xml:space="preserve"> </w:t>
      </w:r>
    </w:p>
    <w:p w:rsidR="00362C8E" w:rsidRDefault="00362C8E" w:rsidP="00362C8E">
      <w:pPr>
        <w:pStyle w:val="Heading2"/>
      </w:pPr>
      <w:r>
        <w:lastRenderedPageBreak/>
        <w:t>Option 3: Delete ADRs 35 &amp; 38</w:t>
      </w:r>
    </w:p>
    <w:p w:rsidR="00E26332" w:rsidRDefault="00E26332" w:rsidP="00E26332">
      <w:r>
        <w:t>Under this option, vehicles would no longer be required to comply with ADR 35/03 or 38/03 requirements.</w:t>
      </w:r>
    </w:p>
    <w:p w:rsidR="00C27C22" w:rsidRDefault="00E26332" w:rsidP="00E26332">
      <w:r>
        <w:t xml:space="preserve">The ADRs are subject to a review every ten years as resources permit, to ensure that they remain relevant, cost effective and do not become a barrier to the importation of safer vehicles and vehicle components.  As discussed above, ADRs 35/03 and 38/03 were reviewed in 2006 with amendments coming into force in 2009, and the issue of whether to retain or delete the ADR was considered and rejected.  </w:t>
      </w:r>
    </w:p>
    <w:p w:rsidR="00C27C22" w:rsidRDefault="00C27C22" w:rsidP="00E26332">
      <w:r>
        <w:t xml:space="preserve">It was argued at the time that in deleting the ADRs, there would be </w:t>
      </w:r>
      <w:r w:rsidR="004A5E02">
        <w:t xml:space="preserve">high </w:t>
      </w:r>
      <w:r>
        <w:t>risks created from the imprecise control of heavy vehicles, with a potential to inflict fatal and serious injuries to road users.  It would be expected that state and territory governments would step in and regulate on a state by state basis, leading to inconsistencies across Australia.  Such a move could increase the cost of compliance to industry and governments, all of which would eventually have to be recovered from road users through higher taxes, levies, charges and insurance premiums</w:t>
      </w:r>
      <w:r w:rsidR="001E4EF5">
        <w:t xml:space="preserve"> (DO</w:t>
      </w:r>
      <w:r>
        <w:t>T</w:t>
      </w:r>
      <w:r w:rsidR="001E4EF5">
        <w:t>ARS</w:t>
      </w:r>
      <w:r>
        <w:t xml:space="preserve"> 2006).  </w:t>
      </w:r>
    </w:p>
    <w:p w:rsidR="00C27C22" w:rsidRDefault="00C27C22" w:rsidP="00C27C22">
      <w:r>
        <w:t>These arguments are still highly applicable today, and so</w:t>
      </w:r>
      <w:r w:rsidR="00E26332">
        <w:t xml:space="preserve"> this option has not been considered further in the RIS.</w:t>
      </w:r>
    </w:p>
    <w:p w:rsidR="00BD66FA" w:rsidRPr="00BD66FA" w:rsidRDefault="00BD66FA" w:rsidP="00BD66FA">
      <w:pPr>
        <w:pStyle w:val="Heading2"/>
      </w:pPr>
      <w:r>
        <w:t>Option 4: Non-regulatory option</w:t>
      </w:r>
    </w:p>
    <w:p w:rsidR="004A5E02" w:rsidRDefault="00E26332" w:rsidP="00E26332">
      <w:r>
        <w:t>Under this option, non-regulatory options such as suasion (publicity, social pressure etc.), pure market approaches (property rights) and economic approaches (taxes, charges, fees, or subsidies) would be considered that would have the same effect as the proposal for this amendment.  As with Option 3, non-regulatory options were considered and rejected as part of the last full review of ADRs 35/03 and 38/03.</w:t>
      </w:r>
    </w:p>
    <w:p w:rsidR="00E26332" w:rsidRDefault="004A5E02" w:rsidP="00E26332">
      <w:r>
        <w:t xml:space="preserve">In this case the focus of the analysis was on the provision of information that could influence operators to voluntarily invest in safe braking systems.  It was argued that the information </w:t>
      </w:r>
      <w:r w:rsidR="009F6E04">
        <w:t>currently contained within regulation is</w:t>
      </w:r>
      <w:r>
        <w:t xml:space="preserve"> </w:t>
      </w:r>
      <w:r w:rsidR="009F6E04">
        <w:t xml:space="preserve">too </w:t>
      </w:r>
      <w:r>
        <w:t>technically complex</w:t>
      </w:r>
      <w:r w:rsidR="009F6E04">
        <w:t xml:space="preserve"> to inform the average </w:t>
      </w:r>
      <w:r w:rsidR="003A6271">
        <w:t>operator/purchaser</w:t>
      </w:r>
      <w:r w:rsidR="009F6E04">
        <w:t xml:space="preserve"> and that any information program or </w:t>
      </w:r>
      <w:r w:rsidRPr="004A5E02">
        <w:t xml:space="preserve">Code of Practice </w:t>
      </w:r>
      <w:r w:rsidR="009F6E04">
        <w:t xml:space="preserve">would only be voluntary, would </w:t>
      </w:r>
      <w:r w:rsidRPr="004A5E02">
        <w:t>not cover all the operators in the industry</w:t>
      </w:r>
      <w:r w:rsidR="009F6E04">
        <w:t xml:space="preserve"> (if run through the peak representative bodies)</w:t>
      </w:r>
      <w:r w:rsidRPr="004A5E02">
        <w:t xml:space="preserve"> and </w:t>
      </w:r>
      <w:r w:rsidR="009F6E04">
        <w:t xml:space="preserve">would </w:t>
      </w:r>
      <w:r w:rsidRPr="004A5E02">
        <w:t xml:space="preserve">moreover </w:t>
      </w:r>
      <w:r w:rsidR="009F6E04">
        <w:t>lack</w:t>
      </w:r>
      <w:r w:rsidRPr="004A5E02">
        <w:t xml:space="preserve"> the force of law to </w:t>
      </w:r>
      <w:r w:rsidR="009F6E04">
        <w:t>force offenders to comply. This would not be an appropriate response</w:t>
      </w:r>
      <w:r w:rsidRPr="00D8705D">
        <w:t xml:space="preserve"> to </w:t>
      </w:r>
      <w:r w:rsidR="003A6271">
        <w:t xml:space="preserve">such </w:t>
      </w:r>
      <w:r w:rsidRPr="00D8705D">
        <w:t>a high impact, high risk area of public safety</w:t>
      </w:r>
      <w:r w:rsidR="00FA1A58">
        <w:t xml:space="preserve"> (DOTARS 2006)</w:t>
      </w:r>
      <w:r w:rsidRPr="00D8705D">
        <w:t>.</w:t>
      </w:r>
    </w:p>
    <w:p w:rsidR="00E26332" w:rsidRDefault="00E26332" w:rsidP="00C93124">
      <w:r>
        <w:t>Therefore, this option has not been considered any further in this RIS.</w:t>
      </w:r>
    </w:p>
    <w:p w:rsidR="008A1443" w:rsidRDefault="008A1443">
      <w:pPr>
        <w:tabs>
          <w:tab w:val="clear" w:pos="851"/>
        </w:tabs>
        <w:spacing w:before="0" w:after="200" w:line="276" w:lineRule="auto"/>
        <w:rPr>
          <w:rFonts w:eastAsiaTheme="majorEastAsia" w:cstheme="majorBidi"/>
          <w:b/>
          <w:bCs/>
          <w:caps/>
          <w:szCs w:val="28"/>
        </w:rPr>
      </w:pPr>
      <w:r>
        <w:br w:type="page"/>
      </w:r>
    </w:p>
    <w:p w:rsidR="006A3A42" w:rsidRPr="00C65F23" w:rsidRDefault="00BD66FA" w:rsidP="006A3A42">
      <w:pPr>
        <w:pStyle w:val="Heading1"/>
      </w:pPr>
      <w:bookmarkStart w:id="11" w:name="_Toc375302800"/>
      <w:r>
        <w:lastRenderedPageBreak/>
        <w:t>Analysis</w:t>
      </w:r>
      <w:bookmarkEnd w:id="11"/>
    </w:p>
    <w:p w:rsidR="00552479" w:rsidRDefault="00552479" w:rsidP="00552479">
      <w:pPr>
        <w:pStyle w:val="Heading2"/>
      </w:pPr>
      <w:r>
        <w:t>Option 1: Take no action</w:t>
      </w:r>
      <w:r w:rsidR="00DC42E8">
        <w:t xml:space="preserve"> (the status quo)</w:t>
      </w:r>
    </w:p>
    <w:p w:rsidR="00552479" w:rsidRDefault="00305DC8" w:rsidP="00552479">
      <w:r w:rsidRPr="000B5D6B">
        <w:t xml:space="preserve">This option </w:t>
      </w:r>
      <w:r>
        <w:t>would involve</w:t>
      </w:r>
      <w:r w:rsidRPr="000B5D6B">
        <w:t xml:space="preserve"> maintaining</w:t>
      </w:r>
      <w:r>
        <w:t xml:space="preserve"> ADRs 35/03 and 38/03</w:t>
      </w:r>
      <w:r w:rsidRPr="000B5D6B">
        <w:t xml:space="preserve"> </w:t>
      </w:r>
      <w:r>
        <w:t>in their current form.</w:t>
      </w:r>
    </w:p>
    <w:p w:rsidR="00305DC8" w:rsidRDefault="00305DC8" w:rsidP="00552479">
      <w:r>
        <w:t>By not changing</w:t>
      </w:r>
      <w:r w:rsidRPr="00472B88">
        <w:t xml:space="preserve"> the ADR provision</w:t>
      </w:r>
      <w:r>
        <w:t>s, vehicles supplied to Australia may not meet the latest internationally agreed levels of safety performance including for braking systems.  Therefore, there would be no reduction in</w:t>
      </w:r>
      <w:r w:rsidRPr="00FD20EB">
        <w:t xml:space="preserve"> road trauma arising from </w:t>
      </w:r>
      <w:r>
        <w:t>crashes involving the stability of heavy commercial vehicles under braking</w:t>
      </w:r>
      <w:r w:rsidRPr="00FD20EB">
        <w:t>.</w:t>
      </w:r>
    </w:p>
    <w:p w:rsidR="00C32A42" w:rsidRDefault="00C32A42" w:rsidP="00552479">
      <w:r>
        <w:t xml:space="preserve">ABS is not a new or emerging technology. It has been used </w:t>
      </w:r>
      <w:r w:rsidR="000618E4">
        <w:t xml:space="preserve">around the world </w:t>
      </w:r>
      <w:r>
        <w:t xml:space="preserve">in various automotive </w:t>
      </w:r>
      <w:r w:rsidR="000618E4">
        <w:t>forms</w:t>
      </w:r>
      <w:r>
        <w:t xml:space="preserve"> for over thirty years.  It has been mandated </w:t>
      </w:r>
      <w:r w:rsidR="000618E4">
        <w:t xml:space="preserve">for heavy vehicles </w:t>
      </w:r>
      <w:r>
        <w:t xml:space="preserve">in Europe and the US for 15-20 years, which is where the majority of Australia’s heavy trucks get their </w:t>
      </w:r>
      <w:r w:rsidR="00DC42E8">
        <w:t xml:space="preserve">basic </w:t>
      </w:r>
      <w:r>
        <w:t xml:space="preserve">design influences from.  Similarly, the international regulation for </w:t>
      </w:r>
      <w:r w:rsidR="000618E4">
        <w:t xml:space="preserve">heavy vehicle </w:t>
      </w:r>
      <w:r>
        <w:t>braking, UNECE R13, has mandated ABS in line with Europe for a number of years.</w:t>
      </w:r>
      <w:r w:rsidR="000618E4">
        <w:t xml:space="preserve">  Yet ABS is still supplied in Australia at reasonably low levels (this is discussed later when analysing benefits against the different options).</w:t>
      </w:r>
    </w:p>
    <w:p w:rsidR="00C32A42" w:rsidRDefault="00C32A42" w:rsidP="00552479">
      <w:r>
        <w:t xml:space="preserve">One major reason that these influences have not carried across to the Australian fleet is the nature of construction of heavy commercial vehicles.  Compared to light passenger vehicles (cars and Sports Utility Vehicles </w:t>
      </w:r>
      <w:proofErr w:type="spellStart"/>
      <w:r>
        <w:t>etc</w:t>
      </w:r>
      <w:proofErr w:type="spellEnd"/>
      <w:r>
        <w:t>), heavy vehicles tend to be built to order, with engines, drivetrains, suspensions, brakes, axles and safety systems</w:t>
      </w:r>
      <w:r w:rsidR="00DC42E8">
        <w:t xml:space="preserve"> such as ABS</w:t>
      </w:r>
      <w:r>
        <w:t xml:space="preserve"> individually specified by the purchaser.  </w:t>
      </w:r>
      <w:r w:rsidR="00DC42E8">
        <w:t xml:space="preserve">Purchasers and operators will be seeking the maximum in productivity for the money spent.  </w:t>
      </w:r>
      <w:r>
        <w:t xml:space="preserve">This means that </w:t>
      </w:r>
      <w:r w:rsidR="00DC42E8">
        <w:t xml:space="preserve">the designs or regulations of other countries will have </w:t>
      </w:r>
      <w:r w:rsidR="009F2A60">
        <w:t xml:space="preserve">a </w:t>
      </w:r>
      <w:r w:rsidR="00781AE2">
        <w:t>lesser</w:t>
      </w:r>
      <w:r w:rsidR="00DC42E8">
        <w:t xml:space="preserve"> effect on what is built in Australia.  In the case of trailers, they are almost exclusively designed and built in Australia and so there is even less influence on the local product.</w:t>
      </w:r>
      <w:r w:rsidR="000618E4">
        <w:t xml:space="preserve"> </w:t>
      </w:r>
    </w:p>
    <w:p w:rsidR="00305DC8" w:rsidRDefault="00DC42E8" w:rsidP="00552479">
      <w:r>
        <w:t xml:space="preserve">Because of this, it </w:t>
      </w:r>
      <w:r w:rsidR="009F2A60">
        <w:t>was</w:t>
      </w:r>
      <w:r>
        <w:t xml:space="preserve"> </w:t>
      </w:r>
      <w:r w:rsidR="009F2A60">
        <w:t>argued</w:t>
      </w:r>
      <w:r>
        <w:t xml:space="preserve"> that the status quo would change </w:t>
      </w:r>
      <w:r w:rsidR="00A3553C">
        <w:t xml:space="preserve">only </w:t>
      </w:r>
      <w:proofErr w:type="gramStart"/>
      <w:r w:rsidR="00A3553C">
        <w:t xml:space="preserve">slowly </w:t>
      </w:r>
      <w:r>
        <w:t xml:space="preserve"> w</w:t>
      </w:r>
      <w:r w:rsidR="00BE1F9D">
        <w:t>ithout</w:t>
      </w:r>
      <w:proofErr w:type="gramEnd"/>
      <w:r w:rsidR="00BE1F9D">
        <w:t xml:space="preserve"> any </w:t>
      </w:r>
      <w:r>
        <w:t xml:space="preserve">intervention. </w:t>
      </w:r>
    </w:p>
    <w:p w:rsidR="00552479" w:rsidRPr="00552479" w:rsidRDefault="00552479" w:rsidP="00552479">
      <w:pPr>
        <w:pStyle w:val="Heading2"/>
      </w:pPr>
      <w:r>
        <w:t>Option 2: Amend ADRs 35 &amp; 38 to require ABS on heavy commercial vehicles</w:t>
      </w:r>
    </w:p>
    <w:p w:rsidR="00552479" w:rsidRDefault="0075558F" w:rsidP="00EB2C6E">
      <w:r w:rsidRPr="0075558F">
        <w:t>This option would involve mandating the fitment of ABS to heavy commercial vehicles.  Under the ADRs these are new vehicles greater than 4.5 tonnes GVM that are primarily des</w:t>
      </w:r>
      <w:r w:rsidR="003E5499">
        <w:t>igned to carry goods (m</w:t>
      </w:r>
      <w:r w:rsidRPr="0075558F">
        <w:t xml:space="preserve">edium and </w:t>
      </w:r>
      <w:r w:rsidR="003E5499">
        <w:t>h</w:t>
      </w:r>
      <w:r w:rsidRPr="0075558F">
        <w:t xml:space="preserve">eavy trucks and trailers) or passengers (some </w:t>
      </w:r>
      <w:r w:rsidR="00112573">
        <w:t>l</w:t>
      </w:r>
      <w:r w:rsidRPr="0075558F">
        <w:t xml:space="preserve">ight and </w:t>
      </w:r>
      <w:r w:rsidR="00112573">
        <w:t>h</w:t>
      </w:r>
      <w:r w:rsidRPr="0075558F">
        <w:t>eavy buses).  These are represented</w:t>
      </w:r>
      <w:r w:rsidR="005912F6">
        <w:t xml:space="preserve"> by the vehicle categories NB2, NC, MD4, ME, TC and TD.</w:t>
      </w:r>
    </w:p>
    <w:p w:rsidR="00A21D83" w:rsidRDefault="00C85C44" w:rsidP="00B85898">
      <w:pPr>
        <w:tabs>
          <w:tab w:val="clear" w:pos="851"/>
        </w:tabs>
        <w:spacing w:before="0" w:after="200" w:line="276" w:lineRule="auto"/>
      </w:pPr>
      <w:r>
        <w:t xml:space="preserve">As discussed earlier, the NHVBS was a product of the last ADR review in 2006.  In itself the NHVBS involved significant consultation, prior to it being adopted into the 2011-2020 NRSS under </w:t>
      </w:r>
      <w:r w:rsidR="00825D47">
        <w:t>i</w:t>
      </w:r>
      <w:r w:rsidRPr="00BF10CC">
        <w:t>tems 16(b) and 16(c)</w:t>
      </w:r>
      <w:r>
        <w:t xml:space="preserve"> of the Safe Vehicles se</w:t>
      </w:r>
      <w:r w:rsidR="00825D47">
        <w:t>ction.  These i</w:t>
      </w:r>
      <w:r w:rsidR="00FC42F0">
        <w:t>tems are listed in</w:t>
      </w:r>
      <w:bookmarkStart w:id="12" w:name="_Ref342303519"/>
      <w:bookmarkStart w:id="13" w:name="_Ref342303513"/>
      <w:r w:rsidR="00A21D83">
        <w:t xml:space="preserve"> </w:t>
      </w:r>
      <w:r w:rsidR="00C036A7">
        <w:fldChar w:fldCharType="begin"/>
      </w:r>
      <w:r w:rsidR="00A21D83">
        <w:instrText xml:space="preserve"> REF _Ref350419457 \h </w:instrText>
      </w:r>
      <w:r w:rsidR="00C036A7">
        <w:fldChar w:fldCharType="separate"/>
      </w:r>
      <w:r w:rsidR="00546CD0">
        <w:t xml:space="preserve">Table </w:t>
      </w:r>
      <w:r w:rsidR="00546CD0">
        <w:rPr>
          <w:noProof/>
        </w:rPr>
        <w:t>1</w:t>
      </w:r>
      <w:r w:rsidR="00C036A7">
        <w:fldChar w:fldCharType="end"/>
      </w:r>
      <w:r w:rsidR="00A21D83">
        <w:t xml:space="preserve">.  </w:t>
      </w:r>
    </w:p>
    <w:p w:rsidR="00A21D83" w:rsidRDefault="00A21D83" w:rsidP="00A21D83">
      <w:r>
        <w:br w:type="page"/>
      </w:r>
    </w:p>
    <w:p w:rsidR="00B85898" w:rsidRDefault="00B85898" w:rsidP="00B85898">
      <w:pPr>
        <w:pStyle w:val="Caption"/>
        <w:keepNext/>
      </w:pPr>
      <w:bookmarkStart w:id="14" w:name="_Ref350419457"/>
      <w:bookmarkStart w:id="15" w:name="_Ref350419781"/>
      <w:r>
        <w:lastRenderedPageBreak/>
        <w:t xml:space="preserve">Table </w:t>
      </w:r>
      <w:r w:rsidR="00C036A7">
        <w:fldChar w:fldCharType="begin"/>
      </w:r>
      <w:r w:rsidR="00D05042">
        <w:instrText xml:space="preserve"> SEQ Table \* ARABIC </w:instrText>
      </w:r>
      <w:r w:rsidR="00C036A7">
        <w:fldChar w:fldCharType="separate"/>
      </w:r>
      <w:r w:rsidR="00546CD0">
        <w:rPr>
          <w:noProof/>
        </w:rPr>
        <w:t>1</w:t>
      </w:r>
      <w:r w:rsidR="00C036A7">
        <w:rPr>
          <w:noProof/>
        </w:rPr>
        <w:fldChar w:fldCharType="end"/>
      </w:r>
      <w:bookmarkEnd w:id="14"/>
      <w:r>
        <w:t>—The NHVBS as incorporated into the NRSS</w:t>
      </w:r>
      <w:bookmarkEnd w:id="15"/>
    </w:p>
    <w:tbl>
      <w:tblPr>
        <w:tblStyle w:val="TableGrid"/>
        <w:tblW w:w="9322"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417"/>
        <w:gridCol w:w="1843"/>
        <w:gridCol w:w="3686"/>
        <w:gridCol w:w="1417"/>
      </w:tblGrid>
      <w:tr w:rsidR="00B85898" w:rsidTr="00C86FA0">
        <w:tc>
          <w:tcPr>
            <w:tcW w:w="959" w:type="dxa"/>
            <w:tcBorders>
              <w:top w:val="single" w:sz="8" w:space="0" w:color="000000" w:themeColor="text1"/>
              <w:bottom w:val="single" w:sz="8" w:space="0" w:color="000000" w:themeColor="text1"/>
            </w:tcBorders>
            <w:vAlign w:val="center"/>
          </w:tcPr>
          <w:p w:rsidR="00B85898" w:rsidRDefault="00B85898" w:rsidP="00C86FA0">
            <w:pPr>
              <w:pStyle w:val="Table2heading"/>
              <w:jc w:val="left"/>
            </w:pPr>
            <w:r>
              <w:t>NRSS action no.</w:t>
            </w:r>
          </w:p>
        </w:tc>
        <w:tc>
          <w:tcPr>
            <w:tcW w:w="1417" w:type="dxa"/>
            <w:tcBorders>
              <w:top w:val="single" w:sz="8" w:space="0" w:color="000000" w:themeColor="text1"/>
              <w:bottom w:val="single" w:sz="8" w:space="0" w:color="000000" w:themeColor="text1"/>
            </w:tcBorders>
            <w:vAlign w:val="center"/>
          </w:tcPr>
          <w:p w:rsidR="00B85898" w:rsidRDefault="00B85898" w:rsidP="00C86FA0">
            <w:pPr>
              <w:pStyle w:val="Table2heading"/>
              <w:jc w:val="left"/>
            </w:pPr>
            <w:r>
              <w:t>ADR title</w:t>
            </w:r>
          </w:p>
        </w:tc>
        <w:tc>
          <w:tcPr>
            <w:tcW w:w="1843" w:type="dxa"/>
            <w:tcBorders>
              <w:top w:val="single" w:sz="8" w:space="0" w:color="000000" w:themeColor="text1"/>
              <w:bottom w:val="single" w:sz="8" w:space="0" w:color="000000" w:themeColor="text1"/>
            </w:tcBorders>
            <w:vAlign w:val="center"/>
          </w:tcPr>
          <w:p w:rsidR="00B85898" w:rsidRDefault="00B85898" w:rsidP="00C86FA0">
            <w:pPr>
              <w:pStyle w:val="Table2heading"/>
              <w:jc w:val="left"/>
            </w:pPr>
            <w:r>
              <w:t>Description</w:t>
            </w:r>
          </w:p>
        </w:tc>
        <w:tc>
          <w:tcPr>
            <w:tcW w:w="3686" w:type="dxa"/>
            <w:tcBorders>
              <w:top w:val="single" w:sz="8" w:space="0" w:color="000000" w:themeColor="text1"/>
              <w:bottom w:val="single" w:sz="8" w:space="0" w:color="000000" w:themeColor="text1"/>
            </w:tcBorders>
            <w:vAlign w:val="center"/>
          </w:tcPr>
          <w:p w:rsidR="00B85898" w:rsidRDefault="00B85898" w:rsidP="00C86FA0">
            <w:pPr>
              <w:pStyle w:val="Table2heading"/>
              <w:jc w:val="left"/>
            </w:pPr>
            <w:r>
              <w:t>Notes</w:t>
            </w:r>
          </w:p>
        </w:tc>
        <w:tc>
          <w:tcPr>
            <w:tcW w:w="1417" w:type="dxa"/>
            <w:tcBorders>
              <w:top w:val="single" w:sz="8" w:space="0" w:color="000000" w:themeColor="text1"/>
              <w:bottom w:val="single" w:sz="8" w:space="0" w:color="000000" w:themeColor="text1"/>
            </w:tcBorders>
            <w:vAlign w:val="center"/>
          </w:tcPr>
          <w:p w:rsidR="00B85898" w:rsidRDefault="00B85898" w:rsidP="00C86FA0">
            <w:pPr>
              <w:pStyle w:val="Table2heading"/>
              <w:jc w:val="left"/>
            </w:pPr>
            <w:r>
              <w:t>Specific timing for Departmental work</w:t>
            </w:r>
          </w:p>
        </w:tc>
      </w:tr>
      <w:tr w:rsidR="00B85898" w:rsidTr="00C86FA0">
        <w:tc>
          <w:tcPr>
            <w:tcW w:w="959" w:type="dxa"/>
            <w:tcBorders>
              <w:top w:val="single" w:sz="8" w:space="0" w:color="000000" w:themeColor="text1"/>
            </w:tcBorders>
          </w:tcPr>
          <w:p w:rsidR="00B85898" w:rsidRDefault="00B85898" w:rsidP="00C86FA0">
            <w:pPr>
              <w:pStyle w:val="Table2"/>
            </w:pPr>
            <w:r>
              <w:t>16(b)</w:t>
            </w:r>
          </w:p>
        </w:tc>
        <w:tc>
          <w:tcPr>
            <w:tcW w:w="1417" w:type="dxa"/>
            <w:tcBorders>
              <w:top w:val="single" w:sz="8" w:space="0" w:color="000000" w:themeColor="text1"/>
            </w:tcBorders>
          </w:tcPr>
          <w:p w:rsidR="00B85898" w:rsidRDefault="00B85898" w:rsidP="00C86FA0">
            <w:pPr>
              <w:pStyle w:val="Table2"/>
            </w:pPr>
            <w:r>
              <w:t>35/03—Commercial Vehicle Brakes</w:t>
            </w:r>
          </w:p>
        </w:tc>
        <w:tc>
          <w:tcPr>
            <w:tcW w:w="1843" w:type="dxa"/>
            <w:tcBorders>
              <w:top w:val="single" w:sz="8" w:space="0" w:color="000000" w:themeColor="text1"/>
            </w:tcBorders>
          </w:tcPr>
          <w:p w:rsidR="00B85898" w:rsidRDefault="00B85898" w:rsidP="00C86FA0">
            <w:pPr>
              <w:pStyle w:val="Table2"/>
            </w:pPr>
            <w:r>
              <w:t>Implement Heavy Vehicle Braking Strategy (HVBS) Phase I—ABS</w:t>
            </w:r>
          </w:p>
        </w:tc>
        <w:tc>
          <w:tcPr>
            <w:tcW w:w="3686" w:type="dxa"/>
            <w:tcBorders>
              <w:top w:val="single" w:sz="8" w:space="0" w:color="000000" w:themeColor="text1"/>
            </w:tcBorders>
          </w:tcPr>
          <w:p w:rsidR="00B85898" w:rsidRPr="00EB3B5D" w:rsidRDefault="00B85898" w:rsidP="00C86FA0">
            <w:pPr>
              <w:pStyle w:val="Table2"/>
            </w:pPr>
            <w:r w:rsidRPr="00EB3B5D">
              <w:t xml:space="preserve">Relates to </w:t>
            </w:r>
            <w:r>
              <w:t xml:space="preserve">ABS </w:t>
            </w:r>
            <w:r w:rsidRPr="00EB3B5D">
              <w:t>to prevent wheel lock up under braking of heavy trucks.</w:t>
            </w:r>
            <w:r>
              <w:t xml:space="preserve"> </w:t>
            </w:r>
            <w:r w:rsidRPr="00EB3B5D">
              <w:t xml:space="preserve"> Also includes electrical connection compatibility. Requirements exist under</w:t>
            </w:r>
            <w:r>
              <w:t xml:space="preserve"> R </w:t>
            </w:r>
            <w:r w:rsidRPr="00EB3B5D">
              <w:t>13.</w:t>
            </w:r>
          </w:p>
        </w:tc>
        <w:tc>
          <w:tcPr>
            <w:tcW w:w="1417" w:type="dxa"/>
            <w:tcBorders>
              <w:top w:val="single" w:sz="8" w:space="0" w:color="000000" w:themeColor="text1"/>
            </w:tcBorders>
          </w:tcPr>
          <w:p w:rsidR="00B85898" w:rsidRDefault="00B85898" w:rsidP="00C86FA0">
            <w:pPr>
              <w:pStyle w:val="Table2"/>
            </w:pPr>
            <w:r>
              <w:t>2012</w:t>
            </w:r>
          </w:p>
        </w:tc>
      </w:tr>
      <w:tr w:rsidR="00B85898" w:rsidTr="00C86FA0">
        <w:tc>
          <w:tcPr>
            <w:tcW w:w="959" w:type="dxa"/>
          </w:tcPr>
          <w:p w:rsidR="00B85898" w:rsidRDefault="00B85898" w:rsidP="00C86FA0">
            <w:pPr>
              <w:pStyle w:val="Table2"/>
            </w:pPr>
            <w:r>
              <w:t>16(c)</w:t>
            </w:r>
          </w:p>
        </w:tc>
        <w:tc>
          <w:tcPr>
            <w:tcW w:w="1417" w:type="dxa"/>
          </w:tcPr>
          <w:p w:rsidR="00B85898" w:rsidRDefault="00B85898" w:rsidP="00C86FA0">
            <w:pPr>
              <w:pStyle w:val="Table2"/>
            </w:pPr>
            <w:r>
              <w:t>35/03—Commercial Vehicle Brakes</w:t>
            </w:r>
          </w:p>
        </w:tc>
        <w:tc>
          <w:tcPr>
            <w:tcW w:w="1843" w:type="dxa"/>
          </w:tcPr>
          <w:p w:rsidR="00B85898" w:rsidRPr="00AD71F4" w:rsidRDefault="00B85898" w:rsidP="00C86FA0">
            <w:pPr>
              <w:pStyle w:val="Table2"/>
            </w:pPr>
            <w:r w:rsidRPr="00AD71F4">
              <w:t>Implement Heavy Vehicle Bra</w:t>
            </w:r>
            <w:r>
              <w:t>king Strategy (HVBS) Phase II—</w:t>
            </w:r>
            <w:r w:rsidRPr="00AD71F4">
              <w:t>ESC</w:t>
            </w:r>
          </w:p>
        </w:tc>
        <w:tc>
          <w:tcPr>
            <w:tcW w:w="3686" w:type="dxa"/>
          </w:tcPr>
          <w:p w:rsidR="00B85898" w:rsidRPr="00EB3B5D" w:rsidRDefault="00B85898" w:rsidP="00C86FA0">
            <w:pPr>
              <w:pStyle w:val="Table2"/>
            </w:pPr>
            <w:r w:rsidRPr="00EB3B5D">
              <w:t xml:space="preserve">Relates to lateral directional control of the vehicle through the braking system of heavy trucks. </w:t>
            </w:r>
            <w:r>
              <w:t xml:space="preserve"> </w:t>
            </w:r>
            <w:r w:rsidRPr="00EB3B5D">
              <w:t>R</w:t>
            </w:r>
            <w:r>
              <w:t>equirements exist under R </w:t>
            </w:r>
            <w:r w:rsidRPr="00EB3B5D">
              <w:t>13.</w:t>
            </w:r>
          </w:p>
        </w:tc>
        <w:tc>
          <w:tcPr>
            <w:tcW w:w="1417" w:type="dxa"/>
          </w:tcPr>
          <w:p w:rsidR="00B85898" w:rsidRDefault="00B85898" w:rsidP="00C86FA0">
            <w:pPr>
              <w:pStyle w:val="Table2"/>
            </w:pPr>
            <w:r>
              <w:t>2014+</w:t>
            </w:r>
          </w:p>
        </w:tc>
      </w:tr>
      <w:tr w:rsidR="00B85898" w:rsidTr="00C86FA0">
        <w:tc>
          <w:tcPr>
            <w:tcW w:w="959" w:type="dxa"/>
          </w:tcPr>
          <w:p w:rsidR="00B85898" w:rsidRDefault="00B85898" w:rsidP="00C86FA0">
            <w:pPr>
              <w:pStyle w:val="Table2"/>
            </w:pPr>
            <w:r>
              <w:t>16(b)</w:t>
            </w:r>
          </w:p>
        </w:tc>
        <w:tc>
          <w:tcPr>
            <w:tcW w:w="1417" w:type="dxa"/>
          </w:tcPr>
          <w:p w:rsidR="00B85898" w:rsidRDefault="00B85898" w:rsidP="00C86FA0">
            <w:pPr>
              <w:pStyle w:val="Table2"/>
            </w:pPr>
            <w:r>
              <w:t>38/03—Trailer Brakes</w:t>
            </w:r>
          </w:p>
        </w:tc>
        <w:tc>
          <w:tcPr>
            <w:tcW w:w="1843" w:type="dxa"/>
          </w:tcPr>
          <w:p w:rsidR="00B85898" w:rsidRDefault="00B85898" w:rsidP="00C86FA0">
            <w:pPr>
              <w:pStyle w:val="Table2"/>
            </w:pPr>
            <w:r w:rsidRPr="00956F17">
              <w:t>Implement Heavy Vehicle Br</w:t>
            </w:r>
            <w:r>
              <w:t>aking Strategy (HVBS) Phase I—</w:t>
            </w:r>
            <w:r w:rsidRPr="00956F17">
              <w:t>ABS or LP</w:t>
            </w:r>
          </w:p>
        </w:tc>
        <w:tc>
          <w:tcPr>
            <w:tcW w:w="3686" w:type="dxa"/>
          </w:tcPr>
          <w:p w:rsidR="00B85898" w:rsidRPr="00EB3B5D" w:rsidRDefault="00B85898" w:rsidP="00C86FA0">
            <w:pPr>
              <w:pStyle w:val="Table2"/>
            </w:pPr>
            <w:r w:rsidRPr="00EB3B5D">
              <w:t xml:space="preserve">Relates to </w:t>
            </w:r>
            <w:r>
              <w:t>ABS</w:t>
            </w:r>
            <w:r w:rsidRPr="00EB3B5D">
              <w:t xml:space="preserve"> to prevent wheel lock up under braking or Load Proportioning (LP) brake systems to balance braking of heavy trailers. Also includes electrical connection compatibility. Part r</w:t>
            </w:r>
            <w:r>
              <w:t>equirements exist under R </w:t>
            </w:r>
            <w:r w:rsidRPr="00EB3B5D">
              <w:t>13.</w:t>
            </w:r>
          </w:p>
        </w:tc>
        <w:tc>
          <w:tcPr>
            <w:tcW w:w="1417" w:type="dxa"/>
          </w:tcPr>
          <w:p w:rsidR="00B85898" w:rsidRDefault="00B85898" w:rsidP="00C86FA0">
            <w:pPr>
              <w:pStyle w:val="Table2"/>
            </w:pPr>
            <w:r>
              <w:t>2012</w:t>
            </w:r>
          </w:p>
        </w:tc>
      </w:tr>
      <w:tr w:rsidR="00B85898" w:rsidTr="00C86FA0">
        <w:tc>
          <w:tcPr>
            <w:tcW w:w="959" w:type="dxa"/>
          </w:tcPr>
          <w:p w:rsidR="00B85898" w:rsidRDefault="00B85898" w:rsidP="00C86FA0">
            <w:pPr>
              <w:pStyle w:val="Table2"/>
            </w:pPr>
            <w:r>
              <w:t>16(c)</w:t>
            </w:r>
          </w:p>
        </w:tc>
        <w:tc>
          <w:tcPr>
            <w:tcW w:w="1417" w:type="dxa"/>
          </w:tcPr>
          <w:p w:rsidR="00B85898" w:rsidRDefault="00B85898" w:rsidP="00C86FA0">
            <w:pPr>
              <w:pStyle w:val="Table2"/>
            </w:pPr>
            <w:r>
              <w:t>38/03—Trailer Brakes</w:t>
            </w:r>
          </w:p>
        </w:tc>
        <w:tc>
          <w:tcPr>
            <w:tcW w:w="1843" w:type="dxa"/>
          </w:tcPr>
          <w:p w:rsidR="00B85898" w:rsidRDefault="00B85898" w:rsidP="00C86FA0">
            <w:pPr>
              <w:pStyle w:val="Table2"/>
            </w:pPr>
            <w:r>
              <w:t>Implement Heavy Vehicle Braking Strategy (HVBS) Phase II—ESC</w:t>
            </w:r>
          </w:p>
        </w:tc>
        <w:tc>
          <w:tcPr>
            <w:tcW w:w="3686" w:type="dxa"/>
          </w:tcPr>
          <w:p w:rsidR="00B85898" w:rsidRPr="00EB3B5D" w:rsidRDefault="00B85898" w:rsidP="00C86FA0">
            <w:pPr>
              <w:pStyle w:val="Table2"/>
            </w:pPr>
            <w:r w:rsidRPr="00EB3B5D">
              <w:t>Relates to lateral directional control of the vehicle through the braking system of heavy trailers. R</w:t>
            </w:r>
            <w:r>
              <w:t>equirements exist under R </w:t>
            </w:r>
            <w:r w:rsidRPr="00EB3B5D">
              <w:t>13.</w:t>
            </w:r>
          </w:p>
        </w:tc>
        <w:tc>
          <w:tcPr>
            <w:tcW w:w="1417" w:type="dxa"/>
          </w:tcPr>
          <w:p w:rsidR="00B85898" w:rsidRDefault="00B85898" w:rsidP="00C86FA0">
            <w:pPr>
              <w:pStyle w:val="Table2"/>
            </w:pPr>
            <w:r>
              <w:t>2014+</w:t>
            </w:r>
          </w:p>
        </w:tc>
      </w:tr>
      <w:bookmarkEnd w:id="12"/>
      <w:bookmarkEnd w:id="13"/>
    </w:tbl>
    <w:p w:rsidR="003A4A7C" w:rsidRDefault="003A4A7C" w:rsidP="00A21D83">
      <w:pPr>
        <w:tabs>
          <w:tab w:val="clear" w:pos="851"/>
        </w:tabs>
        <w:spacing w:before="0" w:after="200" w:line="276" w:lineRule="auto"/>
      </w:pPr>
    </w:p>
    <w:p w:rsidR="003B759A" w:rsidRPr="00A21D83" w:rsidRDefault="004A1DD0" w:rsidP="00A21D83">
      <w:pPr>
        <w:tabs>
          <w:tab w:val="clear" w:pos="851"/>
        </w:tabs>
        <w:spacing w:before="0" w:after="200" w:line="276" w:lineRule="auto"/>
      </w:pPr>
      <w:r w:rsidRPr="004A1DD0">
        <w:t xml:space="preserve">Further work was carried out within the peak bodies set up to consult regarding vehicle safety and the ADRs over the period 2008 to 2011 in order to refine the recommendations contained within the NHVBS.  This involved discussions with TLG and SVSEG. </w:t>
      </w:r>
      <w:r w:rsidR="008A4557">
        <w:t xml:space="preserve"> </w:t>
      </w:r>
      <w:r w:rsidRPr="004A1DD0">
        <w:t xml:space="preserve">The role of these groups is discussed </w:t>
      </w:r>
      <w:r w:rsidRPr="0055474D">
        <w:t>further in section</w:t>
      </w:r>
      <w:r w:rsidR="0055474D" w:rsidRPr="0055474D">
        <w:t xml:space="preserve"> </w:t>
      </w:r>
      <w:r w:rsidR="009169FE">
        <w:fldChar w:fldCharType="begin"/>
      </w:r>
      <w:r w:rsidR="009169FE">
        <w:instrText xml:space="preserve"> REF _Ref343206338 \r \h  \* MERGEFORMAT </w:instrText>
      </w:r>
      <w:r w:rsidR="009169FE">
        <w:fldChar w:fldCharType="separate"/>
      </w:r>
      <w:r w:rsidR="00546CD0">
        <w:t>5.5</w:t>
      </w:r>
      <w:r w:rsidR="009169FE">
        <w:fldChar w:fldCharType="end"/>
      </w:r>
      <w:r w:rsidRPr="0055474D">
        <w:t>.  The</w:t>
      </w:r>
      <w:r w:rsidRPr="004A1DD0">
        <w:t xml:space="preserve"> final form of the </w:t>
      </w:r>
      <w:r w:rsidR="00EA6FC4">
        <w:t>proposed changes is as shown in</w:t>
      </w:r>
      <w:r w:rsidR="00A21D83">
        <w:t xml:space="preserve"> </w:t>
      </w:r>
      <w:r w:rsidR="00C036A7">
        <w:fldChar w:fldCharType="begin"/>
      </w:r>
      <w:r w:rsidR="00A21D83">
        <w:instrText xml:space="preserve"> REF _Ref350419457 \h </w:instrText>
      </w:r>
      <w:r w:rsidR="00C036A7">
        <w:fldChar w:fldCharType="separate"/>
      </w:r>
      <w:r w:rsidR="00546CD0">
        <w:t xml:space="preserve">Table </w:t>
      </w:r>
      <w:r w:rsidR="00546CD0">
        <w:rPr>
          <w:noProof/>
        </w:rPr>
        <w:t>1</w:t>
      </w:r>
      <w:r w:rsidR="00C036A7">
        <w:fldChar w:fldCharType="end"/>
      </w:r>
      <w:r w:rsidR="00A21D83">
        <w:t xml:space="preserve"> </w:t>
      </w:r>
      <w:r w:rsidRPr="004A1DD0">
        <w:t xml:space="preserve">above in conjunction with associated changes as shown in </w:t>
      </w:r>
      <w:r w:rsidR="00C036A7">
        <w:fldChar w:fldCharType="begin"/>
      </w:r>
      <w:r w:rsidR="00A21D83">
        <w:instrText xml:space="preserve"> REF _Ref350419820 \h </w:instrText>
      </w:r>
      <w:r w:rsidR="00C036A7">
        <w:fldChar w:fldCharType="separate"/>
      </w:r>
      <w:r w:rsidR="00546CD0">
        <w:t xml:space="preserve">Table </w:t>
      </w:r>
      <w:r w:rsidR="00546CD0">
        <w:rPr>
          <w:noProof/>
        </w:rPr>
        <w:t>2</w:t>
      </w:r>
      <w:r w:rsidR="00C036A7">
        <w:fldChar w:fldCharType="end"/>
      </w:r>
      <w:r w:rsidR="00A21D83">
        <w:t xml:space="preserve"> below.</w:t>
      </w:r>
    </w:p>
    <w:p w:rsidR="00676C01" w:rsidRDefault="00676C01" w:rsidP="00F77497">
      <w:r>
        <w:t>A</w:t>
      </w:r>
      <w:r w:rsidR="004A1DD0" w:rsidRPr="004A1DD0">
        <w:t xml:space="preserve">s part of </w:t>
      </w:r>
      <w:r w:rsidR="008A4557">
        <w:t>i</w:t>
      </w:r>
      <w:r w:rsidR="004A1DD0" w:rsidRPr="004A1DD0">
        <w:t xml:space="preserve">tem 16(b) for ADR 38/03, the option of fitment of a load proportioning </w:t>
      </w:r>
      <w:r w:rsidR="008B6832">
        <w:t xml:space="preserve">(LP) </w:t>
      </w:r>
      <w:r w:rsidR="004A1DD0" w:rsidRPr="004A1DD0">
        <w:t>brake system</w:t>
      </w:r>
      <w:r w:rsidR="00961AA1">
        <w:t xml:space="preserve"> to trailers</w:t>
      </w:r>
      <w:r w:rsidR="004A1DD0" w:rsidRPr="004A1DD0">
        <w:t xml:space="preserve"> in lieu of ABS was incorporated into the draft requirements.</w:t>
      </w:r>
      <w:r>
        <w:t xml:space="preserve">  </w:t>
      </w:r>
      <w:r w:rsidR="003B759A">
        <w:t xml:space="preserve">Like ABS, </w:t>
      </w:r>
      <w:r>
        <w:t>LP brake systems are also a safety technology that prevents wheels from locking when the</w:t>
      </w:r>
      <w:r w:rsidR="003B759A">
        <w:t xml:space="preserve"> vehicle would otherwise be overbraked.  Unlike ABS, it does not require electrical power from the truck</w:t>
      </w:r>
      <w:r w:rsidR="00781AE2">
        <w:t>.  A</w:t>
      </w:r>
      <w:r w:rsidR="003B759A">
        <w:t xml:space="preserve">t the same time it is less sophisticated in operation.  </w:t>
      </w:r>
      <w:r>
        <w:t xml:space="preserve">This option has been included as a variation to Option 2, </w:t>
      </w:r>
      <w:proofErr w:type="spellStart"/>
      <w:r>
        <w:t>ie</w:t>
      </w:r>
      <w:proofErr w:type="spellEnd"/>
      <w:r w:rsidR="00550CC7">
        <w:t xml:space="preserve"> </w:t>
      </w:r>
      <w:r w:rsidR="0063188A" w:rsidRPr="00D851DE">
        <w:rPr>
          <w:b/>
        </w:rPr>
        <w:t>Option 2(a).</w:t>
      </w:r>
    </w:p>
    <w:p w:rsidR="00550CC7" w:rsidRDefault="00550CC7" w:rsidP="00F77497">
      <w:r>
        <w:t xml:space="preserve">A further variation is in the technical requirements themselves.  While the </w:t>
      </w:r>
      <w:r w:rsidR="00D13D30">
        <w:t xml:space="preserve">finer </w:t>
      </w:r>
      <w:r>
        <w:t xml:space="preserve">details would be worked through by the consultation groups </w:t>
      </w:r>
      <w:r w:rsidR="00D13D30">
        <w:t>rather than within a</w:t>
      </w:r>
      <w:r>
        <w:t xml:space="preserve"> RIS, the basic question of adopting or otherwise international standards for the requirements was also considered as a variation to Option2, </w:t>
      </w:r>
      <w:proofErr w:type="spellStart"/>
      <w:r>
        <w:t>ie</w:t>
      </w:r>
      <w:proofErr w:type="spellEnd"/>
      <w:r>
        <w:t xml:space="preserve"> </w:t>
      </w:r>
      <w:r w:rsidR="0063188A" w:rsidRPr="00D851DE">
        <w:rPr>
          <w:b/>
        </w:rPr>
        <w:t>Option 2(b).</w:t>
      </w:r>
    </w:p>
    <w:p w:rsidR="00A21D83" w:rsidRDefault="00550CC7" w:rsidP="00F77497">
      <w:r>
        <w:t>Options 2</w:t>
      </w:r>
      <w:r w:rsidR="001A419F">
        <w:t>, 2</w:t>
      </w:r>
      <w:r>
        <w:t xml:space="preserve">(a) and 2(b) are not mutually exclusive and so were </w:t>
      </w:r>
      <w:r w:rsidR="003F75CA">
        <w:t xml:space="preserve">able to be </w:t>
      </w:r>
      <w:r>
        <w:t>considered separately.</w:t>
      </w:r>
    </w:p>
    <w:p w:rsidR="00A21D83" w:rsidRDefault="00A21D83" w:rsidP="00A21D83">
      <w:r>
        <w:br w:type="page"/>
      </w:r>
    </w:p>
    <w:p w:rsidR="00A21D83" w:rsidRDefault="00A21D83" w:rsidP="00A21D83">
      <w:pPr>
        <w:pStyle w:val="Caption"/>
        <w:keepNext/>
      </w:pPr>
      <w:bookmarkStart w:id="16" w:name="_Ref350419820"/>
      <w:r>
        <w:lastRenderedPageBreak/>
        <w:t xml:space="preserve">Table </w:t>
      </w:r>
      <w:r w:rsidR="00C036A7">
        <w:fldChar w:fldCharType="begin"/>
      </w:r>
      <w:r w:rsidR="00D05042">
        <w:instrText xml:space="preserve"> SEQ Table \* ARABIC </w:instrText>
      </w:r>
      <w:r w:rsidR="00C036A7">
        <w:fldChar w:fldCharType="separate"/>
      </w:r>
      <w:r w:rsidR="00546CD0">
        <w:rPr>
          <w:noProof/>
        </w:rPr>
        <w:t>2</w:t>
      </w:r>
      <w:r w:rsidR="00C036A7">
        <w:rPr>
          <w:noProof/>
        </w:rPr>
        <w:fldChar w:fldCharType="end"/>
      </w:r>
      <w:bookmarkEnd w:id="16"/>
      <w:r>
        <w:t>—The NHVBS Phase I details as developed through the SVSEG/TLG process</w:t>
      </w:r>
    </w:p>
    <w:tbl>
      <w:tblPr>
        <w:tblStyle w:val="TableGrid"/>
        <w:tblW w:w="0" w:type="auto"/>
        <w:tblLook w:val="04A0" w:firstRow="1" w:lastRow="0" w:firstColumn="1" w:lastColumn="0" w:noHBand="0" w:noVBand="1"/>
      </w:tblPr>
      <w:tblGrid>
        <w:gridCol w:w="3747"/>
        <w:gridCol w:w="1701"/>
        <w:gridCol w:w="3747"/>
      </w:tblGrid>
      <w:tr w:rsidR="00A21D83" w:rsidTr="00A21D83">
        <w:trPr>
          <w:cantSplit/>
        </w:trPr>
        <w:tc>
          <w:tcPr>
            <w:tcW w:w="3747" w:type="dxa"/>
            <w:tcBorders>
              <w:top w:val="single" w:sz="8" w:space="0" w:color="000000" w:themeColor="text1"/>
              <w:left w:val="nil"/>
              <w:bottom w:val="single" w:sz="8" w:space="0" w:color="000000" w:themeColor="text1"/>
              <w:right w:val="nil"/>
            </w:tcBorders>
            <w:vAlign w:val="center"/>
          </w:tcPr>
          <w:p w:rsidR="00A21D83" w:rsidRDefault="00A21D83" w:rsidP="00C86FA0">
            <w:pPr>
              <w:pStyle w:val="Table2heading"/>
              <w:jc w:val="left"/>
            </w:pPr>
            <w:r>
              <w:t>Description</w:t>
            </w:r>
          </w:p>
        </w:tc>
        <w:tc>
          <w:tcPr>
            <w:tcW w:w="1701" w:type="dxa"/>
            <w:tcBorders>
              <w:top w:val="single" w:sz="8" w:space="0" w:color="000000" w:themeColor="text1"/>
              <w:left w:val="nil"/>
              <w:bottom w:val="single" w:sz="8" w:space="0" w:color="000000" w:themeColor="text1"/>
              <w:right w:val="nil"/>
            </w:tcBorders>
            <w:vAlign w:val="center"/>
          </w:tcPr>
          <w:p w:rsidR="00A21D83" w:rsidRDefault="00A21D83" w:rsidP="00C86FA0">
            <w:pPr>
              <w:pStyle w:val="Table2heading"/>
              <w:jc w:val="left"/>
            </w:pPr>
            <w:r>
              <w:t>Status</w:t>
            </w:r>
          </w:p>
        </w:tc>
        <w:tc>
          <w:tcPr>
            <w:tcW w:w="3747" w:type="dxa"/>
            <w:tcBorders>
              <w:top w:val="single" w:sz="8" w:space="0" w:color="000000" w:themeColor="text1"/>
              <w:left w:val="nil"/>
              <w:bottom w:val="single" w:sz="8" w:space="0" w:color="000000" w:themeColor="text1"/>
              <w:right w:val="nil"/>
            </w:tcBorders>
            <w:vAlign w:val="center"/>
          </w:tcPr>
          <w:p w:rsidR="00A21D83" w:rsidRDefault="00A21D83" w:rsidP="00C86FA0">
            <w:pPr>
              <w:pStyle w:val="Table2heading"/>
              <w:jc w:val="left"/>
            </w:pPr>
            <w:r>
              <w:t>Source/comments</w:t>
            </w:r>
          </w:p>
        </w:tc>
      </w:tr>
      <w:tr w:rsidR="00A21D83" w:rsidTr="00A21D83">
        <w:trPr>
          <w:cantSplit/>
        </w:trPr>
        <w:tc>
          <w:tcPr>
            <w:tcW w:w="3747" w:type="dxa"/>
            <w:tcBorders>
              <w:top w:val="single" w:sz="8" w:space="0" w:color="000000" w:themeColor="text1"/>
              <w:left w:val="nil"/>
              <w:bottom w:val="nil"/>
              <w:right w:val="nil"/>
            </w:tcBorders>
          </w:tcPr>
          <w:p w:rsidR="00A21D83" w:rsidRDefault="00A21D83" w:rsidP="00C86FA0">
            <w:pPr>
              <w:pStyle w:val="Table2"/>
            </w:pPr>
            <w:r>
              <w:t>No need to meet unladen compatibility limits if ABS fitted</w:t>
            </w:r>
          </w:p>
        </w:tc>
        <w:tc>
          <w:tcPr>
            <w:tcW w:w="1701" w:type="dxa"/>
            <w:tcBorders>
              <w:top w:val="single" w:sz="8" w:space="0" w:color="000000" w:themeColor="text1"/>
              <w:left w:val="nil"/>
              <w:bottom w:val="nil"/>
              <w:right w:val="nil"/>
            </w:tcBorders>
          </w:tcPr>
          <w:p w:rsidR="00A21D83" w:rsidRDefault="00A21D83" w:rsidP="00C86FA0">
            <w:pPr>
              <w:pStyle w:val="Table2"/>
            </w:pPr>
            <w:r>
              <w:t>Relaxation</w:t>
            </w:r>
          </w:p>
        </w:tc>
        <w:tc>
          <w:tcPr>
            <w:tcW w:w="3747" w:type="dxa"/>
            <w:tcBorders>
              <w:top w:val="single" w:sz="8" w:space="0" w:color="000000" w:themeColor="text1"/>
              <w:left w:val="nil"/>
              <w:bottom w:val="nil"/>
              <w:right w:val="nil"/>
            </w:tcBorders>
          </w:tcPr>
          <w:p w:rsidR="00A21D83" w:rsidRDefault="00A21D83" w:rsidP="00C86FA0">
            <w:pPr>
              <w:pStyle w:val="Table2"/>
            </w:pPr>
            <w:r>
              <w:t>UNECE</w:t>
            </w:r>
          </w:p>
          <w:p w:rsidR="00A21D83" w:rsidRDefault="00A21D83" w:rsidP="00C86FA0">
            <w:pPr>
              <w:pStyle w:val="Table2"/>
            </w:pPr>
            <w:r>
              <w:t>(</w:t>
            </w:r>
            <w:r w:rsidRPr="008C506E">
              <w:t xml:space="preserve">refer paragraph </w:t>
            </w:r>
            <w:r w:rsidR="009169FE">
              <w:fldChar w:fldCharType="begin"/>
            </w:r>
            <w:r w:rsidR="009169FE">
              <w:instrText xml:space="preserve"> REF _Ref342914844 \r \h  \* MERGEFORMAT </w:instrText>
            </w:r>
            <w:r w:rsidR="009169FE">
              <w:fldChar w:fldCharType="separate"/>
            </w:r>
            <w:r w:rsidR="00546CD0">
              <w:t>5.3.1.1</w:t>
            </w:r>
            <w:r w:rsidR="009169FE">
              <w:fldChar w:fldCharType="end"/>
            </w:r>
            <w:r>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ABS off switch for off-road or road train</w:t>
            </w:r>
          </w:p>
        </w:tc>
        <w:tc>
          <w:tcPr>
            <w:tcW w:w="1701" w:type="dxa"/>
            <w:tcBorders>
              <w:top w:val="nil"/>
              <w:left w:val="nil"/>
              <w:bottom w:val="nil"/>
              <w:right w:val="nil"/>
            </w:tcBorders>
          </w:tcPr>
          <w:p w:rsidR="00A21D83" w:rsidRDefault="00A21D83" w:rsidP="00C86FA0">
            <w:pPr>
              <w:pStyle w:val="Table2"/>
            </w:pPr>
            <w:r>
              <w:t>Relaxation</w:t>
            </w:r>
          </w:p>
        </w:tc>
        <w:tc>
          <w:tcPr>
            <w:tcW w:w="3747" w:type="dxa"/>
            <w:tcBorders>
              <w:top w:val="nil"/>
              <w:left w:val="nil"/>
              <w:bottom w:val="nil"/>
              <w:right w:val="nil"/>
            </w:tcBorders>
          </w:tcPr>
          <w:p w:rsidR="00A21D83" w:rsidRPr="00B57933" w:rsidRDefault="00A21D83" w:rsidP="00C86FA0">
            <w:pPr>
              <w:pStyle w:val="Table2"/>
            </w:pPr>
            <w:r w:rsidRPr="00B57933">
              <w:t>UNECE + NTC/</w:t>
            </w:r>
            <w:r w:rsidR="001F455F">
              <w:t>Departmental</w:t>
            </w:r>
            <w:r w:rsidRPr="00B57933">
              <w:t xml:space="preserve"> report</w:t>
            </w:r>
          </w:p>
          <w:p w:rsidR="00A21D83" w:rsidRPr="00B57933" w:rsidRDefault="00A21D83" w:rsidP="00C86FA0">
            <w:pPr>
              <w:pStyle w:val="Table2"/>
            </w:pPr>
            <w:r w:rsidRPr="00B57933">
              <w:t xml:space="preserve">(refer paragraph </w:t>
            </w:r>
            <w:r w:rsidR="00C036A7" w:rsidRPr="00B57933">
              <w:fldChar w:fldCharType="begin"/>
            </w:r>
            <w:r w:rsidRPr="00B57933">
              <w:instrText xml:space="preserve"> REF _Ref342914852 \r \h </w:instrText>
            </w:r>
            <w:r w:rsidR="00C036A7" w:rsidRPr="00B57933">
              <w:fldChar w:fldCharType="separate"/>
            </w:r>
            <w:r w:rsidR="00546CD0">
              <w:t>5.3.1.2</w:t>
            </w:r>
            <w:r w:rsidR="00C036A7" w:rsidRPr="00B57933">
              <w:fldChar w:fldCharType="end"/>
            </w:r>
            <w:r w:rsidRPr="00B57933">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Provision of electrical ABS connector, where a tow coupling is fitted</w:t>
            </w:r>
          </w:p>
        </w:tc>
        <w:tc>
          <w:tcPr>
            <w:tcW w:w="1701" w:type="dxa"/>
            <w:tcBorders>
              <w:top w:val="nil"/>
              <w:left w:val="nil"/>
              <w:bottom w:val="nil"/>
              <w:right w:val="nil"/>
            </w:tcBorders>
          </w:tcPr>
          <w:p w:rsidR="00A21D83" w:rsidRDefault="00A21D83" w:rsidP="00C86FA0">
            <w:pPr>
              <w:pStyle w:val="Table2"/>
            </w:pPr>
            <w:r>
              <w:t>Increase (minimal)</w:t>
            </w:r>
          </w:p>
        </w:tc>
        <w:tc>
          <w:tcPr>
            <w:tcW w:w="3747" w:type="dxa"/>
            <w:tcBorders>
              <w:top w:val="nil"/>
              <w:left w:val="nil"/>
              <w:bottom w:val="nil"/>
              <w:right w:val="nil"/>
            </w:tcBorders>
          </w:tcPr>
          <w:p w:rsidR="00A21D83" w:rsidRPr="00B57933" w:rsidRDefault="00A21D83" w:rsidP="00C86FA0">
            <w:pPr>
              <w:pStyle w:val="Table2"/>
            </w:pPr>
            <w:r w:rsidRPr="00B57933">
              <w:t>UNECE + NTC/</w:t>
            </w:r>
            <w:r w:rsidR="001F455F">
              <w:t xml:space="preserve"> Departmental</w:t>
            </w:r>
            <w:r w:rsidR="001F455F" w:rsidRPr="00B57933">
              <w:t xml:space="preserve"> </w:t>
            </w:r>
            <w:r w:rsidRPr="00B57933">
              <w:t>report</w:t>
            </w:r>
          </w:p>
          <w:p w:rsidR="00A21D83" w:rsidRPr="00B57933" w:rsidRDefault="00A21D83" w:rsidP="00C86FA0">
            <w:pPr>
              <w:pStyle w:val="Table2"/>
            </w:pPr>
            <w:r w:rsidRPr="00B57933">
              <w:t xml:space="preserve">(refer paragraph </w:t>
            </w:r>
            <w:r w:rsidR="00C036A7" w:rsidRPr="00B57933">
              <w:fldChar w:fldCharType="begin"/>
            </w:r>
            <w:r w:rsidRPr="00B57933">
              <w:instrText xml:space="preserve"> REF _Ref342914860 \r \h </w:instrText>
            </w:r>
            <w:r w:rsidR="00C036A7" w:rsidRPr="00B57933">
              <w:fldChar w:fldCharType="separate"/>
            </w:r>
            <w:r w:rsidR="00546CD0">
              <w:t>5.3.1.3</w:t>
            </w:r>
            <w:r w:rsidR="00C036A7" w:rsidRPr="00B57933">
              <w:fldChar w:fldCharType="end"/>
            </w:r>
            <w:r w:rsidRPr="00B57933">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Split mu on axles other than steerable</w:t>
            </w:r>
          </w:p>
        </w:tc>
        <w:tc>
          <w:tcPr>
            <w:tcW w:w="1701" w:type="dxa"/>
            <w:tcBorders>
              <w:top w:val="nil"/>
              <w:left w:val="nil"/>
              <w:bottom w:val="nil"/>
              <w:right w:val="nil"/>
            </w:tcBorders>
          </w:tcPr>
          <w:p w:rsidR="00A21D83" w:rsidRDefault="00A21D83" w:rsidP="00C86FA0">
            <w:pPr>
              <w:pStyle w:val="Table2"/>
            </w:pPr>
            <w:r>
              <w:t>To be resolved</w:t>
            </w:r>
          </w:p>
        </w:tc>
        <w:tc>
          <w:tcPr>
            <w:tcW w:w="3747" w:type="dxa"/>
            <w:tcBorders>
              <w:top w:val="nil"/>
              <w:left w:val="nil"/>
              <w:bottom w:val="nil"/>
              <w:right w:val="nil"/>
            </w:tcBorders>
          </w:tcPr>
          <w:p w:rsidR="00A21D83" w:rsidRPr="00B57933" w:rsidRDefault="00A21D83" w:rsidP="00C86FA0">
            <w:pPr>
              <w:pStyle w:val="Table2"/>
            </w:pPr>
            <w:r w:rsidRPr="00B57933">
              <w:t>UNECE requires split mu but this may not be picked up in Phase I—to be discussed further.</w:t>
            </w:r>
          </w:p>
          <w:p w:rsidR="00A21D83" w:rsidRPr="00B57933" w:rsidRDefault="00A21D83" w:rsidP="00C86FA0">
            <w:pPr>
              <w:pStyle w:val="Table2"/>
            </w:pPr>
            <w:r w:rsidRPr="00B57933">
              <w:t xml:space="preserve">(refer paragraph </w:t>
            </w:r>
            <w:r w:rsidR="00C036A7" w:rsidRPr="00B57933">
              <w:fldChar w:fldCharType="begin"/>
            </w:r>
            <w:r w:rsidRPr="00B57933">
              <w:instrText xml:space="preserve"> REF _Ref342914870 \r \h </w:instrText>
            </w:r>
            <w:r w:rsidR="00C036A7" w:rsidRPr="00B57933">
              <w:fldChar w:fldCharType="separate"/>
            </w:r>
            <w:r w:rsidR="00546CD0">
              <w:t>5.3.1.4</w:t>
            </w:r>
            <w:r w:rsidR="00C036A7" w:rsidRPr="00B57933">
              <w:fldChar w:fldCharType="end"/>
            </w:r>
            <w:r w:rsidRPr="00B57933">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No release times for circuits controlled by ABS modulation valves</w:t>
            </w:r>
          </w:p>
        </w:tc>
        <w:tc>
          <w:tcPr>
            <w:tcW w:w="1701" w:type="dxa"/>
            <w:tcBorders>
              <w:top w:val="nil"/>
              <w:left w:val="nil"/>
              <w:bottom w:val="nil"/>
              <w:right w:val="nil"/>
            </w:tcBorders>
          </w:tcPr>
          <w:p w:rsidR="00A21D83" w:rsidRDefault="00A21D83" w:rsidP="00C86FA0">
            <w:pPr>
              <w:pStyle w:val="Table2"/>
            </w:pPr>
            <w:r>
              <w:t>Relaxation</w:t>
            </w:r>
          </w:p>
        </w:tc>
        <w:tc>
          <w:tcPr>
            <w:tcW w:w="3747" w:type="dxa"/>
            <w:tcBorders>
              <w:top w:val="nil"/>
              <w:left w:val="nil"/>
              <w:bottom w:val="nil"/>
              <w:right w:val="nil"/>
            </w:tcBorders>
          </w:tcPr>
          <w:p w:rsidR="00A21D83" w:rsidRPr="00B57933" w:rsidRDefault="00A21D83" w:rsidP="00C86FA0">
            <w:pPr>
              <w:pStyle w:val="Table2"/>
            </w:pPr>
            <w:r w:rsidRPr="00B57933">
              <w:t>The only release times currently required are at the coupling heads of road trains (these would not be controlled by ABS anyway)</w:t>
            </w:r>
          </w:p>
          <w:p w:rsidR="00A21D83" w:rsidRPr="00B57933" w:rsidRDefault="00A21D83" w:rsidP="00C86FA0">
            <w:pPr>
              <w:pStyle w:val="Table2"/>
            </w:pPr>
            <w:r w:rsidRPr="00B57933">
              <w:t xml:space="preserve">(refer paragraph </w:t>
            </w:r>
            <w:r w:rsidR="009169FE">
              <w:fldChar w:fldCharType="begin"/>
            </w:r>
            <w:r w:rsidR="009169FE">
              <w:instrText xml:space="preserve"> REF _Ref342914878 \r \h  \* MERGEFORMAT </w:instrText>
            </w:r>
            <w:r w:rsidR="009169FE">
              <w:fldChar w:fldCharType="separate"/>
            </w:r>
            <w:r w:rsidR="00546CD0">
              <w:t>5.3.1.5</w:t>
            </w:r>
            <w:r w:rsidR="009169FE">
              <w:fldChar w:fldCharType="end"/>
            </w:r>
            <w:r w:rsidRPr="00B57933">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Certification of EBS compatibility performance</w:t>
            </w:r>
          </w:p>
        </w:tc>
        <w:tc>
          <w:tcPr>
            <w:tcW w:w="1701" w:type="dxa"/>
            <w:tcBorders>
              <w:top w:val="nil"/>
              <w:left w:val="nil"/>
              <w:bottom w:val="nil"/>
              <w:right w:val="nil"/>
            </w:tcBorders>
          </w:tcPr>
          <w:p w:rsidR="00A21D83" w:rsidRDefault="00A21D83" w:rsidP="00C86FA0">
            <w:pPr>
              <w:pStyle w:val="Table2"/>
            </w:pPr>
            <w:r>
              <w:t>Increase</w:t>
            </w:r>
          </w:p>
        </w:tc>
        <w:tc>
          <w:tcPr>
            <w:tcW w:w="3747" w:type="dxa"/>
            <w:tcBorders>
              <w:top w:val="nil"/>
              <w:left w:val="nil"/>
              <w:bottom w:val="nil"/>
              <w:right w:val="nil"/>
            </w:tcBorders>
          </w:tcPr>
          <w:p w:rsidR="00A21D83" w:rsidRPr="008C506E" w:rsidRDefault="00A21D83" w:rsidP="00C86FA0">
            <w:pPr>
              <w:pStyle w:val="Table2"/>
            </w:pPr>
            <w:r w:rsidRPr="008C506E">
              <w:t>UNECE + industry discussion</w:t>
            </w:r>
          </w:p>
          <w:p w:rsidR="00A21D83" w:rsidRPr="008C506E" w:rsidRDefault="00A21D83" w:rsidP="00C86FA0">
            <w:pPr>
              <w:pStyle w:val="Table2"/>
            </w:pPr>
            <w:r>
              <w:t>(</w:t>
            </w:r>
            <w:r w:rsidRPr="008C506E">
              <w:t xml:space="preserve">refer paragraph </w:t>
            </w:r>
            <w:r w:rsidR="00C036A7" w:rsidRPr="008C506E">
              <w:fldChar w:fldCharType="begin"/>
            </w:r>
            <w:r w:rsidRPr="008C506E">
              <w:instrText xml:space="preserve"> REF _Ref342914917 \r \h </w:instrText>
            </w:r>
            <w:r w:rsidR="00C036A7" w:rsidRPr="008C506E">
              <w:fldChar w:fldCharType="separate"/>
            </w:r>
            <w:r w:rsidR="00546CD0">
              <w:t>5.3.1.6</w:t>
            </w:r>
            <w:r w:rsidR="00C036A7" w:rsidRPr="008C506E">
              <w:fldChar w:fldCharType="end"/>
            </w:r>
            <w:r>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Where EBS fitted, ABS/EBS power voltage to match CAN voltage</w:t>
            </w:r>
          </w:p>
        </w:tc>
        <w:tc>
          <w:tcPr>
            <w:tcW w:w="1701" w:type="dxa"/>
            <w:tcBorders>
              <w:top w:val="nil"/>
              <w:left w:val="nil"/>
              <w:bottom w:val="nil"/>
              <w:right w:val="nil"/>
            </w:tcBorders>
          </w:tcPr>
          <w:p w:rsidR="00A21D83" w:rsidRDefault="00A21D83" w:rsidP="00C86FA0">
            <w:pPr>
              <w:pStyle w:val="Table2"/>
            </w:pPr>
            <w:r>
              <w:t>Increase (minimal)</w:t>
            </w:r>
          </w:p>
        </w:tc>
        <w:tc>
          <w:tcPr>
            <w:tcW w:w="3747" w:type="dxa"/>
            <w:tcBorders>
              <w:top w:val="nil"/>
              <w:left w:val="nil"/>
              <w:bottom w:val="nil"/>
              <w:right w:val="nil"/>
            </w:tcBorders>
          </w:tcPr>
          <w:p w:rsidR="00A21D83" w:rsidRPr="008C506E" w:rsidRDefault="00A21D83" w:rsidP="00C86FA0">
            <w:pPr>
              <w:pStyle w:val="Table2"/>
            </w:pPr>
            <w:r w:rsidRPr="008C506E">
              <w:t>UNECE + industry proposal</w:t>
            </w:r>
          </w:p>
          <w:p w:rsidR="00A21D83" w:rsidRPr="008C506E" w:rsidRDefault="00A21D83" w:rsidP="00C86FA0">
            <w:pPr>
              <w:pStyle w:val="Table2"/>
            </w:pPr>
            <w:r>
              <w:t>(</w:t>
            </w:r>
            <w:r w:rsidRPr="008C506E">
              <w:t xml:space="preserve">refer paragraph </w:t>
            </w:r>
            <w:r w:rsidR="00C036A7" w:rsidRPr="008C506E">
              <w:fldChar w:fldCharType="begin"/>
            </w:r>
            <w:r w:rsidRPr="008C506E">
              <w:instrText xml:space="preserve"> REF _Ref342914911 \r \h </w:instrText>
            </w:r>
            <w:r w:rsidR="00C036A7" w:rsidRPr="008C506E">
              <w:fldChar w:fldCharType="separate"/>
            </w:r>
            <w:r w:rsidR="00546CD0">
              <w:t>5.3.1.7</w:t>
            </w:r>
            <w:r w:rsidR="00C036A7" w:rsidRPr="008C506E">
              <w:fldChar w:fldCharType="end"/>
            </w:r>
            <w:r w:rsidRPr="008C506E">
              <w:t xml:space="preserve"> </w:t>
            </w:r>
            <w:r>
              <w:t>)</w:t>
            </w:r>
          </w:p>
        </w:tc>
      </w:tr>
      <w:tr w:rsidR="00A21D83" w:rsidTr="00A21D83">
        <w:trPr>
          <w:cantSplit/>
        </w:trPr>
        <w:tc>
          <w:tcPr>
            <w:tcW w:w="3747" w:type="dxa"/>
            <w:tcBorders>
              <w:top w:val="nil"/>
              <w:left w:val="nil"/>
              <w:bottom w:val="nil"/>
              <w:right w:val="nil"/>
            </w:tcBorders>
          </w:tcPr>
          <w:p w:rsidR="00A21D83" w:rsidRDefault="00A21D83" w:rsidP="00C86FA0">
            <w:pPr>
              <w:pStyle w:val="Table2"/>
            </w:pPr>
            <w:r w:rsidRPr="005A4650">
              <w:t>References to Road Friendly Suspension (RFS) in Table 2 of ADR 35 and Table 1 of ADR 38 to become informative only, as they do not relate to requirements for a standard vehicle</w:t>
            </w:r>
          </w:p>
        </w:tc>
        <w:tc>
          <w:tcPr>
            <w:tcW w:w="1701" w:type="dxa"/>
            <w:tcBorders>
              <w:top w:val="nil"/>
              <w:left w:val="nil"/>
              <w:bottom w:val="nil"/>
              <w:right w:val="nil"/>
            </w:tcBorders>
          </w:tcPr>
          <w:p w:rsidR="00A21D83" w:rsidRDefault="00A21D83" w:rsidP="00C86FA0">
            <w:pPr>
              <w:pStyle w:val="Table2"/>
            </w:pPr>
            <w:r>
              <w:t>Relaxation</w:t>
            </w:r>
          </w:p>
        </w:tc>
        <w:tc>
          <w:tcPr>
            <w:tcW w:w="3747" w:type="dxa"/>
            <w:tcBorders>
              <w:top w:val="nil"/>
              <w:left w:val="nil"/>
              <w:bottom w:val="nil"/>
              <w:right w:val="nil"/>
            </w:tcBorders>
          </w:tcPr>
          <w:p w:rsidR="00A21D83" w:rsidRPr="008C506E" w:rsidRDefault="00A21D83" w:rsidP="00C86FA0">
            <w:pPr>
              <w:pStyle w:val="Table2"/>
            </w:pPr>
            <w:r w:rsidRPr="008C506E">
              <w:t>Industry proposal</w:t>
            </w:r>
          </w:p>
          <w:p w:rsidR="00A21D83" w:rsidRPr="008C506E" w:rsidRDefault="00A21D83" w:rsidP="00C86FA0">
            <w:pPr>
              <w:pStyle w:val="Table2"/>
            </w:pPr>
            <w:r>
              <w:t>(</w:t>
            </w:r>
            <w:r w:rsidRPr="008C506E">
              <w:t xml:space="preserve">refer paragraph </w:t>
            </w:r>
            <w:r w:rsidR="00C036A7" w:rsidRPr="008C506E">
              <w:fldChar w:fldCharType="begin"/>
            </w:r>
            <w:r w:rsidRPr="008C506E">
              <w:instrText xml:space="preserve"> REF _Ref342914940 \r \h </w:instrText>
            </w:r>
            <w:r w:rsidR="00C036A7" w:rsidRPr="008C506E">
              <w:fldChar w:fldCharType="separate"/>
            </w:r>
            <w:r w:rsidR="00546CD0">
              <w:t>5.3.1.8</w:t>
            </w:r>
            <w:r w:rsidR="00C036A7" w:rsidRPr="008C506E">
              <w:fldChar w:fldCharType="end"/>
            </w:r>
            <w:r>
              <w:t>)</w:t>
            </w:r>
          </w:p>
        </w:tc>
      </w:tr>
      <w:tr w:rsidR="00A21D83" w:rsidTr="00A21D83">
        <w:trPr>
          <w:cantSplit/>
        </w:trPr>
        <w:tc>
          <w:tcPr>
            <w:tcW w:w="3747" w:type="dxa"/>
            <w:tcBorders>
              <w:top w:val="nil"/>
              <w:left w:val="nil"/>
              <w:bottom w:val="single" w:sz="8" w:space="0" w:color="000000" w:themeColor="text1"/>
              <w:right w:val="nil"/>
            </w:tcBorders>
          </w:tcPr>
          <w:p w:rsidR="00A21D83" w:rsidRDefault="00A21D83" w:rsidP="00C86FA0">
            <w:pPr>
              <w:pStyle w:val="Table2"/>
            </w:pPr>
            <w:r w:rsidRPr="005A4650">
              <w:t>A tolerance on the LP valve unladen compatibility requirements to allow for particular combinations (does not apply to electronic LP operation)</w:t>
            </w:r>
          </w:p>
        </w:tc>
        <w:tc>
          <w:tcPr>
            <w:tcW w:w="1701" w:type="dxa"/>
            <w:tcBorders>
              <w:top w:val="nil"/>
              <w:left w:val="nil"/>
              <w:bottom w:val="single" w:sz="8" w:space="0" w:color="000000" w:themeColor="text1"/>
              <w:right w:val="nil"/>
            </w:tcBorders>
          </w:tcPr>
          <w:p w:rsidR="00A21D83" w:rsidRDefault="00A21D83" w:rsidP="00C86FA0">
            <w:pPr>
              <w:pStyle w:val="Table2"/>
            </w:pPr>
            <w:r>
              <w:t>Relaxation</w:t>
            </w:r>
          </w:p>
        </w:tc>
        <w:tc>
          <w:tcPr>
            <w:tcW w:w="3747" w:type="dxa"/>
            <w:tcBorders>
              <w:top w:val="nil"/>
              <w:left w:val="nil"/>
              <w:bottom w:val="single" w:sz="8" w:space="0" w:color="000000" w:themeColor="text1"/>
              <w:right w:val="nil"/>
            </w:tcBorders>
          </w:tcPr>
          <w:p w:rsidR="00A21D83" w:rsidRPr="008C506E" w:rsidRDefault="00A21D83" w:rsidP="00C86FA0">
            <w:pPr>
              <w:pStyle w:val="Table2"/>
            </w:pPr>
            <w:r w:rsidRPr="008C506E">
              <w:t>Industry proposal</w:t>
            </w:r>
          </w:p>
          <w:p w:rsidR="00A21D83" w:rsidRPr="008C506E" w:rsidRDefault="00A21D83" w:rsidP="00C86FA0">
            <w:pPr>
              <w:pStyle w:val="Table2"/>
            </w:pPr>
            <w:r>
              <w:t>(</w:t>
            </w:r>
            <w:r w:rsidRPr="008C506E">
              <w:t xml:space="preserve">refer paragraph </w:t>
            </w:r>
            <w:r w:rsidR="00C036A7" w:rsidRPr="008C506E">
              <w:fldChar w:fldCharType="begin"/>
            </w:r>
            <w:r w:rsidRPr="008C506E">
              <w:instrText xml:space="preserve"> REF _Ref342914944 \r \h </w:instrText>
            </w:r>
            <w:r w:rsidR="00C036A7" w:rsidRPr="008C506E">
              <w:fldChar w:fldCharType="separate"/>
            </w:r>
            <w:r w:rsidR="00546CD0">
              <w:t>5.3.1.9</w:t>
            </w:r>
            <w:r w:rsidR="00C036A7" w:rsidRPr="008C506E">
              <w:fldChar w:fldCharType="end"/>
            </w:r>
            <w:r>
              <w:t>)</w:t>
            </w:r>
          </w:p>
        </w:tc>
      </w:tr>
      <w:tr w:rsidR="00A21D83" w:rsidTr="00A21D83">
        <w:trPr>
          <w:cantSplit/>
        </w:trPr>
        <w:tc>
          <w:tcPr>
            <w:tcW w:w="9195" w:type="dxa"/>
            <w:gridSpan w:val="3"/>
            <w:tcBorders>
              <w:top w:val="single" w:sz="8" w:space="0" w:color="000000" w:themeColor="text1"/>
              <w:left w:val="nil"/>
              <w:bottom w:val="nil"/>
              <w:right w:val="nil"/>
            </w:tcBorders>
          </w:tcPr>
          <w:p w:rsidR="00A21D83" w:rsidRDefault="00A21D83" w:rsidP="00C86FA0">
            <w:pPr>
              <w:pStyle w:val="Table2"/>
            </w:pPr>
            <w:r>
              <w:t>Note: paragraph references are to where these source/comments are discussed later in the RIS</w:t>
            </w:r>
          </w:p>
        </w:tc>
      </w:tr>
    </w:tbl>
    <w:p w:rsidR="004C6FAB" w:rsidRDefault="008D23E0" w:rsidP="00F77497">
      <w:r w:rsidRPr="008D23E0">
        <w:t>These requirements are shown in greater detail against the current ADR</w:t>
      </w:r>
      <w:r>
        <w:t>s</w:t>
      </w:r>
      <w:r w:rsidRPr="008D23E0">
        <w:t xml:space="preserve"> 35 and 38 and also against the corresponding international standard for heavy vehicle braking</w:t>
      </w:r>
      <w:r w:rsidR="00813F4F">
        <w:t xml:space="preserve"> </w:t>
      </w:r>
      <w:r w:rsidRPr="008D23E0">
        <w:t>R</w:t>
      </w:r>
      <w:r w:rsidR="00093162">
        <w:t> </w:t>
      </w:r>
      <w:r w:rsidR="0002551A">
        <w:t xml:space="preserve">13 in </w:t>
      </w:r>
      <w:r w:rsidR="00C036A7">
        <w:fldChar w:fldCharType="begin"/>
      </w:r>
      <w:r w:rsidR="0002551A">
        <w:instrText xml:space="preserve"> REF _Ref341973363 \h </w:instrText>
      </w:r>
      <w:r w:rsidR="00C036A7">
        <w:fldChar w:fldCharType="separate"/>
      </w:r>
      <w:r w:rsidR="00546CD0">
        <w:t>Appendix 5—Proposed Changes to the Current ADR Versions</w:t>
      </w:r>
      <w:r w:rsidR="00C036A7">
        <w:fldChar w:fldCharType="end"/>
      </w:r>
      <w:r w:rsidR="0002551A">
        <w:t xml:space="preserve">.  </w:t>
      </w:r>
      <w:r w:rsidRPr="008D23E0">
        <w:t>As ABS</w:t>
      </w:r>
      <w:r w:rsidR="00550CC7">
        <w:t xml:space="preserve"> and LP are</w:t>
      </w:r>
      <w:r w:rsidRPr="008D23E0">
        <w:t xml:space="preserve"> the most significant change</w:t>
      </w:r>
      <w:r w:rsidR="00550CC7">
        <w:t>s</w:t>
      </w:r>
      <w:r w:rsidRPr="008D23E0">
        <w:t xml:space="preserve"> being proposed within Phase I of the NHVBS, this RIS will focus on this aspect of the NHVBS.</w:t>
      </w:r>
    </w:p>
    <w:p w:rsidR="008A022E" w:rsidRDefault="008A022E" w:rsidP="008A022E">
      <w:pPr>
        <w:pStyle w:val="Heading3"/>
      </w:pPr>
      <w:r>
        <w:t>Antilock Brake Systems</w:t>
      </w:r>
      <w:r w:rsidR="00D13D30">
        <w:t xml:space="preserve"> (Option 2)</w:t>
      </w:r>
    </w:p>
    <w:p w:rsidR="00521679" w:rsidRPr="003C7B50" w:rsidRDefault="00521679" w:rsidP="00521679">
      <w:r>
        <w:t xml:space="preserve">ABS </w:t>
      </w:r>
      <w:proofErr w:type="gramStart"/>
      <w:r>
        <w:t>prevent</w:t>
      </w:r>
      <w:proofErr w:type="gramEnd"/>
      <w:r>
        <w:t xml:space="preserve"> wheels from locking when the vehicle is overbraked.  With ABS operating, the braking distance is often shorter than with locked wheels </w:t>
      </w:r>
      <w:r w:rsidR="00E20869" w:rsidRPr="003C7B50">
        <w:t>(Bosch, 2007)</w:t>
      </w:r>
      <w:r w:rsidRPr="003C7B50">
        <w:t>.</w:t>
      </w:r>
    </w:p>
    <w:p w:rsidR="00521679" w:rsidRPr="003C7B50" w:rsidRDefault="00521679" w:rsidP="00521679">
      <w:r w:rsidRPr="003C7B50">
        <w:t xml:space="preserve">ABS can provide greater benefits for heavy commercial vehicles when compared to passenger cars because of the relatively poorer braking capabilities of larger vehicles. </w:t>
      </w:r>
      <w:r w:rsidR="001C1E0C" w:rsidRPr="003C7B50">
        <w:t xml:space="preserve"> </w:t>
      </w:r>
      <w:r w:rsidRPr="003C7B50">
        <w:t>On dry roads, large vehicles take much farther to stop — 47 per</w:t>
      </w:r>
      <w:r w:rsidR="000A3856" w:rsidRPr="003C7B50">
        <w:t xml:space="preserve"> </w:t>
      </w:r>
      <w:r w:rsidRPr="003C7B50">
        <w:t xml:space="preserve">cent farther in some tests conducted in the United States (US) </w:t>
      </w:r>
      <w:r w:rsidR="00AB0FDE" w:rsidRPr="003C7B50">
        <w:t>(Insurance Institute for Highway Safety &amp; Highway Loss Data Institute, 2012)</w:t>
      </w:r>
      <w:r w:rsidRPr="003C7B50">
        <w:t xml:space="preserve">. </w:t>
      </w:r>
    </w:p>
    <w:p w:rsidR="00521679" w:rsidRPr="003C7B50" w:rsidRDefault="00521679" w:rsidP="00521679">
      <w:r w:rsidRPr="003C7B50">
        <w:lastRenderedPageBreak/>
        <w:t xml:space="preserve">The purpose of ABS is to help maintain directional stability and control during braking, and possibly reduce stopping distances on some road surfaces, especially on wet roads. </w:t>
      </w:r>
      <w:r w:rsidR="001C1E0C" w:rsidRPr="003C7B50">
        <w:t xml:space="preserve"> </w:t>
      </w:r>
      <w:r w:rsidRPr="003C7B50">
        <w:t xml:space="preserve">ABS can reduce crashes involving jack-knife, loss-of-control, run-off-road, lane departure, or skidding, or where trucks with conventional brakes are unable to stop in time to avoid hitting something frontally. </w:t>
      </w:r>
      <w:r w:rsidR="001C1E0C" w:rsidRPr="003C7B50">
        <w:t xml:space="preserve"> </w:t>
      </w:r>
      <w:r w:rsidRPr="003C7B50">
        <w:t xml:space="preserve">On the other hand, ABS is unlikely to affect crashes where the truck is standing still, moving too slowly for ABS activation, or proceeding straight ahead when another vehicle unexpectedly </w:t>
      </w:r>
      <w:r w:rsidR="000A3856" w:rsidRPr="003C7B50">
        <w:t>hits it in the side or rear (Hart, 200</w:t>
      </w:r>
      <w:r w:rsidR="00742FD6">
        <w:t>8</w:t>
      </w:r>
      <w:r w:rsidR="000A3856" w:rsidRPr="003C7B50">
        <w:t>)</w:t>
      </w:r>
      <w:r w:rsidRPr="003C7B50">
        <w:t>.</w:t>
      </w:r>
    </w:p>
    <w:p w:rsidR="00521679" w:rsidRPr="003C7B50" w:rsidRDefault="00521679" w:rsidP="00521679">
      <w:r w:rsidRPr="003C7B50">
        <w:t xml:space="preserve">ABS comprises wheel speed sensors, electronic control unit, and electro-pneumatic pressure control valves. </w:t>
      </w:r>
      <w:r w:rsidR="001C1E0C" w:rsidRPr="003C7B50">
        <w:t xml:space="preserve"> </w:t>
      </w:r>
      <w:r w:rsidRPr="003C7B50">
        <w:t xml:space="preserve">The Antilock system monitors the wheel slip on the sensed wheels and manages (modulates) the brake air pressure applied to the controlled wheels to prevent the wheel slip reaching the lock-up level </w:t>
      </w:r>
      <w:r w:rsidR="00744A31" w:rsidRPr="003C7B50">
        <w:t>(ARTSA, 2011)</w:t>
      </w:r>
      <w:r w:rsidRPr="003C7B50">
        <w:t xml:space="preserve">.  Depending on the complexity of the system there may be differing numbers of sensors and modulators.  This will determine whether wheels are sensed and/or modulated individually or as a group. </w:t>
      </w:r>
      <w:r w:rsidR="001C1E0C" w:rsidRPr="003C7B50">
        <w:t xml:space="preserve"> </w:t>
      </w:r>
      <w:r w:rsidR="009169FE">
        <w:fldChar w:fldCharType="begin"/>
      </w:r>
      <w:r w:rsidR="009169FE">
        <w:instrText xml:space="preserve"> REF _Ref342402523 \h  \* MERGEFORMAT </w:instrText>
      </w:r>
      <w:r w:rsidR="009169FE">
        <w:fldChar w:fldCharType="separate"/>
      </w:r>
      <w:r w:rsidR="00546CD0">
        <w:t>Appendix 6—Types of Antilock Brake Systems</w:t>
      </w:r>
      <w:r w:rsidR="009169FE">
        <w:fldChar w:fldCharType="end"/>
      </w:r>
      <w:r w:rsidR="001C1E0C" w:rsidRPr="003C7B50">
        <w:t xml:space="preserve"> </w:t>
      </w:r>
      <w:r w:rsidRPr="003C7B50">
        <w:t>outlines the various levels of complexity.</w:t>
      </w:r>
    </w:p>
    <w:p w:rsidR="00521679" w:rsidRPr="00B57933" w:rsidRDefault="00521679" w:rsidP="00521679">
      <w:r w:rsidRPr="003C7B50">
        <w:t xml:space="preserve">ABS systems for trucks may have an off-road mode which is selectable by the driver. In this mode the antilock controller is more tolerant of developing wheel lock-up and will let the wheels fully lock before releasing.  This is done to achieve shorter stopping distances on </w:t>
      </w:r>
      <w:r w:rsidRPr="00B57933">
        <w:t xml:space="preserve">loose surfaces </w:t>
      </w:r>
      <w:r w:rsidR="00744A31" w:rsidRPr="00B57933">
        <w:t>(ARTSA, 2011)</w:t>
      </w:r>
      <w:r w:rsidRPr="00B57933">
        <w:t xml:space="preserve">. </w:t>
      </w:r>
    </w:p>
    <w:p w:rsidR="008A022E" w:rsidRDefault="00521679" w:rsidP="00521679">
      <w:r w:rsidRPr="00B57933">
        <w:t xml:space="preserve">Electronic Braking Systems (EBS or in the case of trailers TEBS) integrates antilock technology with other key vehicle control system features to deliver the next generation of braking control.  This can include Roll Stability Support (RSS) and Electronic Stability Control (ESC) </w:t>
      </w:r>
      <w:r w:rsidR="00744A31" w:rsidRPr="00B57933">
        <w:t>(Pearson et al, 2011)</w:t>
      </w:r>
      <w:r w:rsidRPr="00B57933">
        <w:t>.  ESC is the subject of Phase II of the NHVBS.</w:t>
      </w:r>
    </w:p>
    <w:p w:rsidR="008A022E" w:rsidRDefault="008A022E" w:rsidP="008A022E">
      <w:pPr>
        <w:pStyle w:val="Heading3"/>
      </w:pPr>
      <w:r>
        <w:t>Regulation of ABS</w:t>
      </w:r>
    </w:p>
    <w:p w:rsidR="00E95195" w:rsidRPr="003C7B50" w:rsidRDefault="00E95195" w:rsidP="00E95195">
      <w:r>
        <w:t xml:space="preserve">Australian ABS experience dates from 1986 (first B-Double installation).  Trial ABS installations on triple road train occurred in 1993 (with a special 24V power supply scheme) </w:t>
      </w:r>
      <w:r w:rsidRPr="003C7B50">
        <w:t xml:space="preserve">(ARTSA, 2011). </w:t>
      </w:r>
    </w:p>
    <w:p w:rsidR="00E95195" w:rsidRDefault="00E95195" w:rsidP="00E95195">
      <w:r w:rsidRPr="003C7B50">
        <w:t>ABS is currently mandated in Australian Design</w:t>
      </w:r>
      <w:r>
        <w:t xml:space="preserve"> Rule (ADR) 64 - Heavy Goods Vehicles Designed for Use in Road Trains &amp; B-Doubles, for all new B-double prime-movers.  State and territory road regulations also require ABS to be fitted to B-double </w:t>
      </w:r>
      <w:r w:rsidRPr="008950FD">
        <w:t xml:space="preserve">trailers that </w:t>
      </w:r>
      <w:r w:rsidR="00B57933" w:rsidRPr="008950FD">
        <w:t>are tanker bodied</w:t>
      </w:r>
      <w:r w:rsidRPr="008950FD">
        <w:t xml:space="preserve"> and that</w:t>
      </w:r>
      <w:r>
        <w:t xml:space="preserve"> carry dangerous goods.</w:t>
      </w:r>
    </w:p>
    <w:p w:rsidR="00E95195" w:rsidRPr="003C7B50" w:rsidRDefault="00E95195" w:rsidP="00E95195">
      <w:r>
        <w:t xml:space="preserve">Anti-lock brakes are mandated on new motor trucks and heavy trailers in the European Union, USA, Japan and Canada. Countries that have or are harmonizing their brake rules to UNECE Regulation 13, such as China, India and South Africa, have or are in the process of mandating ABS as a </w:t>
      </w:r>
      <w:r w:rsidRPr="003C7B50">
        <w:t xml:space="preserve">consequence </w:t>
      </w:r>
      <w:r w:rsidR="007F08C8" w:rsidRPr="003C7B50">
        <w:t>(ARTSA, 2011)</w:t>
      </w:r>
      <w:r w:rsidRPr="003C7B50">
        <w:t>.</w:t>
      </w:r>
    </w:p>
    <w:p w:rsidR="00E95195" w:rsidRDefault="00E95195" w:rsidP="00E95195">
      <w:r w:rsidRPr="003C7B50">
        <w:t xml:space="preserve">The European Union ABS requirement is in European Union (EU) Directive 71/320/EC as subsequently amended.  ABS has been mandated from 1991.  Most Central European countries have harmonised their brake rules with UNECE Regulation 13 since 2003, and </w:t>
      </w:r>
      <w:r w:rsidRPr="003C7B50">
        <w:lastRenderedPageBreak/>
        <w:t xml:space="preserve">hence have mandated ABS.  It is also mandated on heavy trucks in Japan and South Korea </w:t>
      </w:r>
      <w:r w:rsidR="000711E8" w:rsidRPr="003C7B50">
        <w:t>(ARTSA, 2011)</w:t>
      </w:r>
      <w:r w:rsidRPr="003C7B50">
        <w:t>.</w:t>
      </w:r>
    </w:p>
    <w:p w:rsidR="00E95195" w:rsidRDefault="00E95195" w:rsidP="00E95195">
      <w:r>
        <w:t>The adoption of more stringent stopping distance requirements into the US Federal Motor Vehicle Safety Standard (FMVSS) 121 in 1975 promoted the development for ABS, mainly for drive wheel skid protection</w:t>
      </w:r>
      <w:r w:rsidRPr="008950FD">
        <w:t xml:space="preserve">. </w:t>
      </w:r>
      <w:r w:rsidR="002D1411" w:rsidRPr="008950FD">
        <w:t xml:space="preserve"> </w:t>
      </w:r>
      <w:r w:rsidRPr="008950FD">
        <w:t>Early US systems proved to be unreliable and consequently ABS developed a poor reputation in North America.  However, this is no longer the case and ABS has been mandated on heavy trucks and trailers in the USA and Canada from 1998.</w:t>
      </w:r>
      <w:r w:rsidR="002D1411" w:rsidRPr="008950FD">
        <w:t xml:space="preserve">  </w:t>
      </w:r>
      <w:r w:rsidR="00925033" w:rsidRPr="008950FD">
        <w:t>D</w:t>
      </w:r>
      <w:r w:rsidRPr="008950FD">
        <w:t xml:space="preserve">etails of </w:t>
      </w:r>
      <w:r w:rsidR="00925033" w:rsidRPr="008950FD">
        <w:t xml:space="preserve">systems and </w:t>
      </w:r>
      <w:r w:rsidRPr="008950FD">
        <w:t xml:space="preserve">regulatory requirements </w:t>
      </w:r>
      <w:r w:rsidR="00925033" w:rsidRPr="008950FD">
        <w:t xml:space="preserve">in Australia </w:t>
      </w:r>
      <w:r w:rsidRPr="008950FD">
        <w:t>can be found in</w:t>
      </w:r>
      <w:r w:rsidR="002D1411" w:rsidRPr="008950FD">
        <w:t xml:space="preserve"> </w:t>
      </w:r>
      <w:r w:rsidR="009169FE">
        <w:fldChar w:fldCharType="begin"/>
      </w:r>
      <w:r w:rsidR="009169FE">
        <w:instrText xml:space="preserve"> REF _Ref342464321 \h  \* MERGEFORMAT </w:instrText>
      </w:r>
      <w:r w:rsidR="009169FE">
        <w:fldChar w:fldCharType="separate"/>
      </w:r>
      <w:r w:rsidR="00546CD0">
        <w:t>Appendix 6—Types of Antilock Brake Systems</w:t>
      </w:r>
      <w:r w:rsidR="009169FE">
        <w:fldChar w:fldCharType="end"/>
      </w:r>
      <w:r w:rsidR="002D1411" w:rsidRPr="008950FD">
        <w:t>.</w:t>
      </w:r>
      <w:r w:rsidR="002D1411">
        <w:t xml:space="preserve">  </w:t>
      </w:r>
    </w:p>
    <w:p w:rsidR="00E95195" w:rsidRDefault="00E95195" w:rsidP="00E95195">
      <w:r>
        <w:t>The detailed form of the above amendments would be determined in consultation with industry and it was stated earlier that draft ADRs have previously been circulated within the peak consultative groups.  The principle used would be that the amendments would be modelled as closely as possible on the recommendations coming through the NHVBS Report as adopted by the NRSS.  Any mandated requirements would also align as much as possible with corresponding requirements within the</w:t>
      </w:r>
      <w:r w:rsidR="00813F4F">
        <w:t xml:space="preserve"> international standard </w:t>
      </w:r>
      <w:r w:rsidR="002D1411">
        <w:t>R </w:t>
      </w:r>
      <w:r>
        <w:t>13, so that a vehicle meeting this standard would not be restricted from entering the Australian market.</w:t>
      </w:r>
    </w:p>
    <w:p w:rsidR="00FE37EC" w:rsidRDefault="00AC4207" w:rsidP="00D851DE">
      <w:pPr>
        <w:pStyle w:val="Heading3"/>
      </w:pPr>
      <w:bookmarkStart w:id="17" w:name="_Ref347156778"/>
      <w:r>
        <w:t>Load proportioning (LP) systems</w:t>
      </w:r>
      <w:r w:rsidR="00961AA1">
        <w:t xml:space="preserve"> for trailers</w:t>
      </w:r>
      <w:r w:rsidR="00D13D30">
        <w:t xml:space="preserve"> (Option 2(a)</w:t>
      </w:r>
      <w:r w:rsidR="00655957">
        <w:t>)</w:t>
      </w:r>
      <w:bookmarkEnd w:id="17"/>
    </w:p>
    <w:p w:rsidR="00AC4207" w:rsidRPr="001A419F" w:rsidRDefault="00AC4207" w:rsidP="00643249">
      <w:r w:rsidRPr="001A419F">
        <w:t xml:space="preserve">Trailers are almost exclusively manufactured in Australia and so less tied to either R 13 or the US counterpart (FMVSS 121) </w:t>
      </w:r>
      <w:r w:rsidRPr="001A419F">
        <w:rPr>
          <w:szCs w:val="24"/>
        </w:rPr>
        <w:t>designs.  During development of the NHVBS and as reported</w:t>
      </w:r>
      <w:r w:rsidRPr="001A419F">
        <w:t xml:space="preserve"> in</w:t>
      </w:r>
      <w:r w:rsidR="00643249">
        <w:t xml:space="preserve"> </w:t>
      </w:r>
      <w:r w:rsidR="00C036A7">
        <w:fldChar w:fldCharType="begin"/>
      </w:r>
      <w:r w:rsidR="00643249">
        <w:instrText xml:space="preserve"> REF _Ref350419457 \h </w:instrText>
      </w:r>
      <w:r w:rsidR="00C036A7">
        <w:fldChar w:fldCharType="separate"/>
      </w:r>
      <w:r w:rsidR="00546CD0">
        <w:t xml:space="preserve">Table </w:t>
      </w:r>
      <w:r w:rsidR="00546CD0">
        <w:rPr>
          <w:noProof/>
        </w:rPr>
        <w:t>1</w:t>
      </w:r>
      <w:r w:rsidR="00C036A7">
        <w:fldChar w:fldCharType="end"/>
      </w:r>
      <w:r w:rsidRPr="001A419F">
        <w:t>, some of the trailer industry flagged a need for a transition to the electronic systems that are part of Phase I of the NHVBS in terms of ABS, and part of Phase II in terms of EBS/ESC.</w:t>
      </w:r>
    </w:p>
    <w:p w:rsidR="00AC4207" w:rsidRPr="001A419F" w:rsidRDefault="00AC4207" w:rsidP="00AC4207">
      <w:r w:rsidRPr="001A419F">
        <w:t>It was therefore proposed to allow mechanical or pneumatic LP systems for Phase I in lieu of ABS.  LP modifies the braking signal of a vehicle, depending on the mass being carried, in order to provide for more consistent decelerations under braking regardless of the mass being carried.  LP may be mechanical, pneumatic or electronically operated and may also be referred to as “Load Sensing Brakes (LSB)”.  It may use a Load Sensing Valve (LSV) to detect the deflection of a mechanical suspension under load or pressure in air suspension, or it may be electronic in which case it could calculate the axle load from the deceleration of the vehicle, the slip of the wheel, or the known load state of other axles on the vehicle.  LP is almost exclusively static in operation, in other words it does not take into account mass transfer effects during braking.</w:t>
      </w:r>
    </w:p>
    <w:p w:rsidR="00AC4207" w:rsidRPr="001A419F" w:rsidRDefault="00AC4207" w:rsidP="00AC4207">
      <w:r w:rsidRPr="001A419F">
        <w:t>LP is identified as a “Variable Proportioning Brake System” within ADRs 35/03 and 38/03.  It is not mandated, although there are mandatory technical requirements for where it is fitted.  These requirements were brought in from 2009.  It is not stated within the ADRs how the load must be sensed.</w:t>
      </w:r>
    </w:p>
    <w:p w:rsidR="00AC4207" w:rsidRPr="001A419F" w:rsidRDefault="00AC4207" w:rsidP="00AC4207">
      <w:r w:rsidRPr="001A419F">
        <w:t>LP has been common in Europe but less so in Australia. In Europe, it has been increasingly incorporated into EBS instead.  This has been aided by the fact that European heavy vehicle combinations are not as custom-made as those of the US (</w:t>
      </w:r>
      <w:proofErr w:type="spellStart"/>
      <w:r w:rsidRPr="001A419F">
        <w:t>Esber</w:t>
      </w:r>
      <w:proofErr w:type="spellEnd"/>
      <w:r w:rsidRPr="001A419F">
        <w:t xml:space="preserve"> et al, 2007) or Australia.</w:t>
      </w:r>
    </w:p>
    <w:p w:rsidR="00AC4207" w:rsidRDefault="0063188A" w:rsidP="00E95195">
      <w:r w:rsidRPr="00D851DE">
        <w:lastRenderedPageBreak/>
        <w:t>LP is an effective technology provided it is set up correctly for the combination of vehicle being operated.  Besides a lower cost, it has the distinct advantage over ABS of being able to operate without electrical power, for example when a trailer with LP is connected to a prime-mover that does not have ABS (and so cannot also power the trailer).  Its main drawback is that it gives a pre-set response to braking related only to the loading condition of the trailer.  Therefore it does not take into account any locking of wheels in the combination during a braking event.  This makes it more sensitive to being used in</w:t>
      </w:r>
      <w:r w:rsidR="001A419F">
        <w:t xml:space="preserve"> the right combination types as well as </w:t>
      </w:r>
      <w:r w:rsidRPr="00D851DE">
        <w:t>in the optimal position within a multi-combination vehicle.</w:t>
      </w:r>
    </w:p>
    <w:p w:rsidR="003A31DE" w:rsidRDefault="003A31DE" w:rsidP="003A31DE">
      <w:pPr>
        <w:pStyle w:val="Heading3"/>
      </w:pPr>
      <w:r>
        <w:t>Adopting international regulations for ABS or LP (Option 2(b)</w:t>
      </w:r>
      <w:r w:rsidR="00655957">
        <w:t>)</w:t>
      </w:r>
    </w:p>
    <w:p w:rsidR="00FB5587" w:rsidRDefault="00FB5587" w:rsidP="00E95195">
      <w:r>
        <w:t xml:space="preserve">As discussed earlier, ADRs 35 and 38 </w:t>
      </w:r>
      <w:r w:rsidR="00835C06">
        <w:t xml:space="preserve">currently </w:t>
      </w:r>
      <w:r>
        <w:t>set Australian developed requirements but also allow the international regulation UNECE R 13 as an alternative for manufacturers to comply with.</w:t>
      </w:r>
      <w:r w:rsidR="00290624">
        <w:t xml:space="preserve">  Whether the ADRs should move over to international regulations exclusively, or no longer allow international regulations as an alternative, was considered </w:t>
      </w:r>
      <w:r w:rsidR="00835C06">
        <w:t>during</w:t>
      </w:r>
      <w:r w:rsidR="00290624">
        <w:t xml:space="preserve"> the initial consultation period </w:t>
      </w:r>
      <w:r w:rsidR="00626762">
        <w:t>for the NHVBS.  T</w:t>
      </w:r>
      <w:r w:rsidR="00835C06">
        <w:t xml:space="preserve">he NHVBS Report, </w:t>
      </w:r>
      <w:r w:rsidR="00626762">
        <w:t xml:space="preserve">part of which is </w:t>
      </w:r>
      <w:r w:rsidR="00835C06">
        <w:t>shown</w:t>
      </w:r>
      <w:r w:rsidR="00290624">
        <w:t xml:space="preserve"> at </w:t>
      </w:r>
      <w:r w:rsidR="00C036A7">
        <w:fldChar w:fldCharType="begin"/>
      </w:r>
      <w:r w:rsidR="00290624">
        <w:instrText xml:space="preserve"> REF _Ref347008344 \h </w:instrText>
      </w:r>
      <w:r w:rsidR="00C036A7">
        <w:fldChar w:fldCharType="separate"/>
      </w:r>
      <w:r w:rsidR="00546CD0">
        <w:t>Appendix 3—Extract from the Executive Summary of the National Heavy Vehicle Braking Strategy Report</w:t>
      </w:r>
      <w:r w:rsidR="00C036A7">
        <w:fldChar w:fldCharType="end"/>
      </w:r>
      <w:r w:rsidR="00835C06">
        <w:t>, shows Strategic Objective 5 as being to “…. harmonise requirements with ECE Regulation 13 where sensible”.</w:t>
      </w:r>
    </w:p>
    <w:p w:rsidR="00835C06" w:rsidRPr="00602294" w:rsidRDefault="00835C06" w:rsidP="00E95195">
      <w:r>
        <w:t xml:space="preserve">The Australian Government has a long standing policy of harmonising with international regulations where possible and this is outlined in Section </w:t>
      </w:r>
      <w:r w:rsidR="00C036A7">
        <w:fldChar w:fldCharType="begin"/>
      </w:r>
      <w:r>
        <w:instrText xml:space="preserve"> REF _Ref342916322 \r \p \h </w:instrText>
      </w:r>
      <w:r w:rsidR="00C036A7">
        <w:fldChar w:fldCharType="separate"/>
      </w:r>
      <w:r w:rsidR="00546CD0">
        <w:t>2.2 above</w:t>
      </w:r>
      <w:r w:rsidR="00C036A7">
        <w:fldChar w:fldCharType="end"/>
      </w:r>
      <w:r>
        <w:t>.  In the case of ADRs 35 and 38</w:t>
      </w:r>
      <w:r w:rsidR="00655957">
        <w:t>,</w:t>
      </w:r>
      <w:r>
        <w:t xml:space="preserve"> </w:t>
      </w:r>
      <w:r w:rsidR="00655957">
        <w:t>Option 2 as a whole c</w:t>
      </w:r>
      <w:r>
        <w:t xml:space="preserve">ould continue to allow UNECE R 13 as an alternative.  As UNECE R 13 already mandates ABS, the </w:t>
      </w:r>
      <w:r w:rsidR="00655957">
        <w:t>act of updating</w:t>
      </w:r>
      <w:r>
        <w:t xml:space="preserve"> the ADRs</w:t>
      </w:r>
      <w:r w:rsidR="00655957">
        <w:t xml:space="preserve"> to mandate ABS</w:t>
      </w:r>
      <w:r>
        <w:t xml:space="preserve"> would</w:t>
      </w:r>
      <w:r w:rsidR="00602294">
        <w:t>,</w:t>
      </w:r>
      <w:r>
        <w:t xml:space="preserve"> in </w:t>
      </w:r>
      <w:r w:rsidR="006D641A">
        <w:t>practical terms</w:t>
      </w:r>
      <w:r w:rsidR="00602294">
        <w:t>,</w:t>
      </w:r>
      <w:r>
        <w:t xml:space="preserve"> involve revising the Australian developed requirements to </w:t>
      </w:r>
      <w:r w:rsidR="00602294">
        <w:t>“catch up”</w:t>
      </w:r>
      <w:r>
        <w:t xml:space="preserve"> with the R 13 </w:t>
      </w:r>
      <w:r w:rsidRPr="00602294">
        <w:t>requirements</w:t>
      </w:r>
      <w:r w:rsidR="00655957">
        <w:t xml:space="preserve"> that are already listed as an alternative standard</w:t>
      </w:r>
      <w:r w:rsidRPr="00602294">
        <w:t>.</w:t>
      </w:r>
    </w:p>
    <w:p w:rsidR="00FE37EC" w:rsidRDefault="00743A6C" w:rsidP="00D851DE">
      <w:pPr>
        <w:pStyle w:val="Heading3"/>
      </w:pPr>
      <w:r>
        <w:t>Conclusion for Option 2</w:t>
      </w:r>
    </w:p>
    <w:p w:rsidR="008A022E" w:rsidRDefault="001A419F" w:rsidP="00E95195">
      <w:r w:rsidRPr="00602294">
        <w:t>O</w:t>
      </w:r>
      <w:r w:rsidR="00E95195" w:rsidRPr="00602294">
        <w:t xml:space="preserve">ption </w:t>
      </w:r>
      <w:r w:rsidRPr="00602294">
        <w:t xml:space="preserve">2 </w:t>
      </w:r>
      <w:r w:rsidR="00E95195" w:rsidRPr="00602294">
        <w:t>would meet the objective.</w:t>
      </w:r>
      <w:r w:rsidR="00602294" w:rsidRPr="00602294">
        <w:t xml:space="preserve">  Both ABS and LP improve braking stability and so their mandating would be expected to reduce road trauma under Option 2 or the variation Option 2(a).  Option 2(b) would continue to allow</w:t>
      </w:r>
      <w:r w:rsidR="00602294">
        <w:t xml:space="preserve"> for international regulations as an alternative and so would not present a technical barrier to vehicle manufacturers wishing to supply Australia with new vehicles meeting a higher level of safety.</w:t>
      </w:r>
    </w:p>
    <w:p w:rsidR="006A3A42" w:rsidRDefault="00552479" w:rsidP="006A3A42">
      <w:pPr>
        <w:pStyle w:val="Heading1"/>
      </w:pPr>
      <w:bookmarkStart w:id="18" w:name="_Toc319933939"/>
      <w:bookmarkStart w:id="19" w:name="_Toc375302801"/>
      <w:r>
        <w:t>Impact</w:t>
      </w:r>
      <w:bookmarkEnd w:id="18"/>
      <w:r>
        <w:t>s</w:t>
      </w:r>
      <w:bookmarkEnd w:id="19"/>
    </w:p>
    <w:p w:rsidR="00D30145" w:rsidRDefault="00CA1C1A" w:rsidP="00D30145">
      <w:pPr>
        <w:pStyle w:val="Heading2"/>
      </w:pPr>
      <w:bookmarkStart w:id="20" w:name="_Ref347095933"/>
      <w:r>
        <w:t>Cost to business/consumers</w:t>
      </w:r>
      <w:bookmarkEnd w:id="20"/>
    </w:p>
    <w:p w:rsidR="00CE71D0" w:rsidRDefault="00CE71D0" w:rsidP="00CE71D0">
      <w:r>
        <w:t>The new vehicle certification system administered by the Department imposes costs on industry.  Before a new vehicle can be issued an identification plate (allowing it to be supplied to the market) test evidence must be provided to show that the vehicle meets all relevant ADRs.  This evidence consists primarily of summaries of tests performed on various components or the whole vehicle.</w:t>
      </w:r>
    </w:p>
    <w:p w:rsidR="00CE71D0" w:rsidRDefault="00350127" w:rsidP="00CE71D0">
      <w:r>
        <w:lastRenderedPageBreak/>
        <w:t>Option 1: t</w:t>
      </w:r>
      <w:r w:rsidR="00CE71D0">
        <w:t>ake no action</w:t>
      </w:r>
      <w:r>
        <w:t xml:space="preserve"> </w:t>
      </w:r>
      <w:r w:rsidR="00CE71D0">
        <w:t>would preserve the status quo and not impose any additional cost on vehicle manufacturers.</w:t>
      </w:r>
    </w:p>
    <w:p w:rsidR="00CE71D0" w:rsidRDefault="00A51F09" w:rsidP="00CE71D0">
      <w:r>
        <w:t>Option 2: a</w:t>
      </w:r>
      <w:r w:rsidR="00CE71D0">
        <w:t>mend ADRs 35 and 38 to require ABS on heavy commercial vehicles, would make little change to the certification cost for</w:t>
      </w:r>
      <w:r>
        <w:t xml:space="preserve"> the majority of manufacturers.  T</w:t>
      </w:r>
      <w:r w:rsidR="00CE71D0">
        <w:t xml:space="preserve">he certification costs are the costs for a manufacturer to perform any tests or checks required of the ADRs and submit the required documentation for approval </w:t>
      </w:r>
      <w:r w:rsidR="001A5CEC">
        <w:t>by the Australian Government</w:t>
      </w:r>
      <w:r w:rsidR="002E0795">
        <w:t>.</w:t>
      </w:r>
    </w:p>
    <w:p w:rsidR="00CE71D0" w:rsidRDefault="00CE71D0" w:rsidP="00CE71D0">
      <w:r>
        <w:t xml:space="preserve">For the majority, the expansion of the ADR requirements to include ABS will have already been carried out for other international markets.  For manufacturers who do not already certify vehicles for other markets, there may be some increase in certification costs.  However, this would also be negligible as the testing would be carried out as part of the existing ADR 35 and 38 certification process.  Therefore, these costs have not been included in the analysis.  </w:t>
      </w:r>
      <w:r w:rsidR="008D0F68">
        <w:t>Note that these costs are not the costs for fitting the ABS equipment itself to the vehicle.</w:t>
      </w:r>
    </w:p>
    <w:p w:rsidR="00D30145" w:rsidRDefault="00CE71D0" w:rsidP="00CE71D0">
      <w:r>
        <w:t>The primary costs under this option would be in fitting the ABS equipment itself.  In 2012, industry advised that the average costs for this are as shown in</w:t>
      </w:r>
      <w:r w:rsidR="00C30CC6">
        <w:t xml:space="preserve"> </w:t>
      </w:r>
      <w:r w:rsidR="00C036A7">
        <w:fldChar w:fldCharType="begin"/>
      </w:r>
      <w:r w:rsidR="00C30CC6">
        <w:instrText xml:space="preserve"> REF _Ref342467754 \h </w:instrText>
      </w:r>
      <w:r w:rsidR="00C036A7">
        <w:fldChar w:fldCharType="separate"/>
      </w:r>
      <w:r w:rsidR="00546CD0">
        <w:t xml:space="preserve">Table </w:t>
      </w:r>
      <w:r w:rsidR="00546CD0">
        <w:rPr>
          <w:noProof/>
        </w:rPr>
        <w:t>3</w:t>
      </w:r>
      <w:r w:rsidR="00C036A7">
        <w:fldChar w:fldCharType="end"/>
      </w:r>
      <w:r>
        <w:t xml:space="preserve"> below.</w:t>
      </w:r>
    </w:p>
    <w:p w:rsidR="00C30CC6" w:rsidRDefault="00C30CC6" w:rsidP="00C30CC6">
      <w:pPr>
        <w:pStyle w:val="Caption"/>
        <w:keepNext/>
      </w:pPr>
      <w:bookmarkStart w:id="21" w:name="_Ref342467754"/>
      <w:bookmarkStart w:id="22" w:name="_Ref342467749"/>
      <w:r>
        <w:t xml:space="preserve">Table </w:t>
      </w:r>
      <w:r w:rsidR="00C036A7">
        <w:fldChar w:fldCharType="begin"/>
      </w:r>
      <w:r w:rsidR="00D05042">
        <w:instrText xml:space="preserve"> SEQ Table \* ARABIC </w:instrText>
      </w:r>
      <w:r w:rsidR="00C036A7">
        <w:fldChar w:fldCharType="separate"/>
      </w:r>
      <w:r w:rsidR="00546CD0">
        <w:rPr>
          <w:noProof/>
        </w:rPr>
        <w:t>3</w:t>
      </w:r>
      <w:r w:rsidR="00C036A7">
        <w:rPr>
          <w:noProof/>
        </w:rPr>
        <w:fldChar w:fldCharType="end"/>
      </w:r>
      <w:bookmarkEnd w:id="21"/>
      <w:r>
        <w:t xml:space="preserve"> Cost of ABS for heavy commercial vehicles</w:t>
      </w:r>
      <w:bookmarkEnd w:id="22"/>
    </w:p>
    <w:tbl>
      <w:tblPr>
        <w:tblStyle w:val="TableGrid"/>
        <w:tblW w:w="9322"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227"/>
        <w:gridCol w:w="3827"/>
        <w:gridCol w:w="2268"/>
      </w:tblGrid>
      <w:tr w:rsidR="00C30CC6" w:rsidTr="00655542">
        <w:tc>
          <w:tcPr>
            <w:tcW w:w="3227" w:type="dxa"/>
            <w:tcBorders>
              <w:top w:val="single" w:sz="8" w:space="0" w:color="000000" w:themeColor="text1"/>
              <w:left w:val="nil"/>
              <w:bottom w:val="single" w:sz="8" w:space="0" w:color="000000" w:themeColor="text1"/>
              <w:right w:val="single" w:sz="8" w:space="0" w:color="000000" w:themeColor="text1"/>
            </w:tcBorders>
          </w:tcPr>
          <w:p w:rsidR="00C30CC6" w:rsidRDefault="00226F36" w:rsidP="003529A9">
            <w:pPr>
              <w:pStyle w:val="Table2heading"/>
              <w:jc w:val="left"/>
            </w:pPr>
            <w:r>
              <w:t>Vehicle Type</w:t>
            </w:r>
          </w:p>
        </w:tc>
        <w:tc>
          <w:tcPr>
            <w:tcW w:w="3827" w:type="dxa"/>
            <w:tcBorders>
              <w:top w:val="single" w:sz="8" w:space="0" w:color="000000" w:themeColor="text1"/>
              <w:left w:val="single" w:sz="8" w:space="0" w:color="000000" w:themeColor="text1"/>
              <w:bottom w:val="single" w:sz="8" w:space="0" w:color="000000" w:themeColor="text1"/>
            </w:tcBorders>
          </w:tcPr>
          <w:p w:rsidR="00C30CC6" w:rsidRDefault="003529A9" w:rsidP="003529A9">
            <w:pPr>
              <w:pStyle w:val="Table2heading"/>
              <w:jc w:val="left"/>
            </w:pPr>
            <w:r>
              <w:t>System d</w:t>
            </w:r>
            <w:r w:rsidR="005D104B">
              <w:t>escription</w:t>
            </w:r>
          </w:p>
        </w:tc>
        <w:tc>
          <w:tcPr>
            <w:tcW w:w="2268" w:type="dxa"/>
            <w:tcBorders>
              <w:top w:val="single" w:sz="8" w:space="0" w:color="000000" w:themeColor="text1"/>
              <w:bottom w:val="single" w:sz="8" w:space="0" w:color="000000" w:themeColor="text1"/>
            </w:tcBorders>
          </w:tcPr>
          <w:p w:rsidR="00C30CC6" w:rsidRDefault="005D104B" w:rsidP="003529A9">
            <w:pPr>
              <w:pStyle w:val="Table2heading"/>
              <w:jc w:val="left"/>
            </w:pPr>
            <w:r>
              <w:t>Average cost</w:t>
            </w:r>
            <w:r w:rsidR="003529A9">
              <w:t xml:space="preserve"> of system</w:t>
            </w:r>
          </w:p>
        </w:tc>
      </w:tr>
      <w:tr w:rsidR="00C30CC6" w:rsidTr="00655542">
        <w:tc>
          <w:tcPr>
            <w:tcW w:w="3227" w:type="dxa"/>
            <w:tcBorders>
              <w:top w:val="single" w:sz="8" w:space="0" w:color="000000" w:themeColor="text1"/>
              <w:left w:val="nil"/>
              <w:right w:val="single" w:sz="8" w:space="0" w:color="000000" w:themeColor="text1"/>
            </w:tcBorders>
          </w:tcPr>
          <w:p w:rsidR="005D104B" w:rsidRDefault="005D104B" w:rsidP="007C3BF0">
            <w:pPr>
              <w:pStyle w:val="Table2"/>
            </w:pPr>
            <w:r>
              <w:t>Light duty truck</w:t>
            </w:r>
            <w:r w:rsidR="007C3BF0">
              <w:t xml:space="preserve"> </w:t>
            </w:r>
            <w:r>
              <w:t>(3.</w:t>
            </w:r>
            <w:r w:rsidR="005317DE">
              <w:t>5</w:t>
            </w:r>
            <w:r>
              <w:t>01—8 t GVM)</w:t>
            </w:r>
          </w:p>
        </w:tc>
        <w:tc>
          <w:tcPr>
            <w:tcW w:w="3827" w:type="dxa"/>
            <w:tcBorders>
              <w:top w:val="single" w:sz="8" w:space="0" w:color="000000" w:themeColor="text1"/>
              <w:left w:val="single" w:sz="8" w:space="0" w:color="000000" w:themeColor="text1"/>
            </w:tcBorders>
          </w:tcPr>
          <w:p w:rsidR="00C30CC6" w:rsidRDefault="005D104B" w:rsidP="00C30CC6">
            <w:pPr>
              <w:pStyle w:val="Table2"/>
            </w:pPr>
            <w:r>
              <w:t>ABS for a full hydraulic brake system</w:t>
            </w:r>
          </w:p>
        </w:tc>
        <w:tc>
          <w:tcPr>
            <w:tcW w:w="2268" w:type="dxa"/>
            <w:tcBorders>
              <w:top w:val="single" w:sz="8" w:space="0" w:color="000000" w:themeColor="text1"/>
            </w:tcBorders>
          </w:tcPr>
          <w:p w:rsidR="00C30CC6" w:rsidRDefault="001A3781" w:rsidP="00C30CC6">
            <w:pPr>
              <w:pStyle w:val="Table2"/>
            </w:pPr>
            <w:r>
              <w:t>A</w:t>
            </w:r>
            <w:r w:rsidR="005D104B">
              <w:t>$1,000</w:t>
            </w:r>
          </w:p>
        </w:tc>
      </w:tr>
      <w:tr w:rsidR="00C30CC6" w:rsidTr="00655542">
        <w:tc>
          <w:tcPr>
            <w:tcW w:w="3227" w:type="dxa"/>
            <w:tcBorders>
              <w:left w:val="nil"/>
              <w:right w:val="single" w:sz="8" w:space="0" w:color="000000" w:themeColor="text1"/>
            </w:tcBorders>
          </w:tcPr>
          <w:p w:rsidR="005D104B" w:rsidRDefault="005D104B" w:rsidP="007C3BF0">
            <w:pPr>
              <w:pStyle w:val="Table2"/>
            </w:pPr>
            <w:r>
              <w:t>Medium duty truck</w:t>
            </w:r>
            <w:r w:rsidR="007C3BF0">
              <w:t xml:space="preserve"> </w:t>
            </w:r>
            <w:r>
              <w:t>(8—18 t GVM)</w:t>
            </w:r>
          </w:p>
        </w:tc>
        <w:tc>
          <w:tcPr>
            <w:tcW w:w="3827" w:type="dxa"/>
            <w:tcBorders>
              <w:left w:val="single" w:sz="8" w:space="0" w:color="000000" w:themeColor="text1"/>
            </w:tcBorders>
          </w:tcPr>
          <w:p w:rsidR="00C30CC6" w:rsidRDefault="00C40EA7" w:rsidP="00C30CC6">
            <w:pPr>
              <w:pStyle w:val="Table2"/>
            </w:pPr>
            <w:r>
              <w:t>3-channel ABS on a 2-axle truck with Air-Over-Hydraulic or Full Air system</w:t>
            </w:r>
          </w:p>
        </w:tc>
        <w:tc>
          <w:tcPr>
            <w:tcW w:w="2268" w:type="dxa"/>
          </w:tcPr>
          <w:p w:rsidR="00C30CC6" w:rsidRDefault="001A3781" w:rsidP="00C30CC6">
            <w:pPr>
              <w:pStyle w:val="Table2"/>
            </w:pPr>
            <w:r>
              <w:t>A$2,500</w:t>
            </w:r>
          </w:p>
        </w:tc>
      </w:tr>
      <w:tr w:rsidR="00C30CC6" w:rsidTr="00655542">
        <w:tc>
          <w:tcPr>
            <w:tcW w:w="3227" w:type="dxa"/>
            <w:tcBorders>
              <w:left w:val="nil"/>
              <w:right w:val="single" w:sz="8" w:space="0" w:color="000000" w:themeColor="text1"/>
            </w:tcBorders>
          </w:tcPr>
          <w:p w:rsidR="005D104B" w:rsidRDefault="005D104B" w:rsidP="007C3BF0">
            <w:pPr>
              <w:pStyle w:val="Table2"/>
            </w:pPr>
            <w:r>
              <w:t>Heavy duty truck</w:t>
            </w:r>
            <w:r w:rsidR="007C3BF0">
              <w:t xml:space="preserve"> </w:t>
            </w:r>
            <w:r>
              <w:t>(3-axle and more)</w:t>
            </w:r>
          </w:p>
        </w:tc>
        <w:tc>
          <w:tcPr>
            <w:tcW w:w="3827" w:type="dxa"/>
            <w:tcBorders>
              <w:left w:val="single" w:sz="8" w:space="0" w:color="000000" w:themeColor="text1"/>
            </w:tcBorders>
          </w:tcPr>
          <w:p w:rsidR="00C30CC6" w:rsidRDefault="00C40EA7" w:rsidP="00C30CC6">
            <w:pPr>
              <w:pStyle w:val="Table2"/>
            </w:pPr>
            <w:r>
              <w:t>4-channel ABS on 3 and 4-axle trucks with Full Air system</w:t>
            </w:r>
          </w:p>
        </w:tc>
        <w:tc>
          <w:tcPr>
            <w:tcW w:w="2268" w:type="dxa"/>
          </w:tcPr>
          <w:p w:rsidR="00C30CC6" w:rsidRDefault="001A3781" w:rsidP="00C30CC6">
            <w:pPr>
              <w:pStyle w:val="Table2"/>
            </w:pPr>
            <w:r>
              <w:t>A$3,560</w:t>
            </w:r>
          </w:p>
        </w:tc>
      </w:tr>
      <w:tr w:rsidR="00C30CC6" w:rsidTr="00655542">
        <w:tc>
          <w:tcPr>
            <w:tcW w:w="3227" w:type="dxa"/>
            <w:tcBorders>
              <w:left w:val="nil"/>
              <w:bottom w:val="nil"/>
              <w:right w:val="single" w:sz="8" w:space="0" w:color="000000" w:themeColor="text1"/>
            </w:tcBorders>
          </w:tcPr>
          <w:p w:rsidR="00C30CC6" w:rsidRDefault="005D104B" w:rsidP="005D104B">
            <w:pPr>
              <w:pStyle w:val="Table2"/>
            </w:pPr>
            <w:r>
              <w:t>Buses (&gt; 4.5 t GVM)</w:t>
            </w:r>
          </w:p>
        </w:tc>
        <w:tc>
          <w:tcPr>
            <w:tcW w:w="3827" w:type="dxa"/>
            <w:tcBorders>
              <w:left w:val="single" w:sz="8" w:space="0" w:color="000000" w:themeColor="text1"/>
              <w:bottom w:val="nil"/>
            </w:tcBorders>
          </w:tcPr>
          <w:p w:rsidR="00C30CC6" w:rsidRDefault="00C40EA7" w:rsidP="00C30CC6">
            <w:pPr>
              <w:pStyle w:val="Table2"/>
            </w:pPr>
            <w:r>
              <w:t>4-channel ABS</w:t>
            </w:r>
          </w:p>
        </w:tc>
        <w:tc>
          <w:tcPr>
            <w:tcW w:w="2268" w:type="dxa"/>
            <w:tcBorders>
              <w:bottom w:val="nil"/>
            </w:tcBorders>
          </w:tcPr>
          <w:p w:rsidR="00C30CC6" w:rsidRDefault="001A3781" w:rsidP="00C30CC6">
            <w:pPr>
              <w:pStyle w:val="Table2"/>
            </w:pPr>
            <w:r>
              <w:t>A$3,000</w:t>
            </w:r>
          </w:p>
        </w:tc>
      </w:tr>
      <w:tr w:rsidR="00C30CC6" w:rsidTr="00655542">
        <w:tc>
          <w:tcPr>
            <w:tcW w:w="3227" w:type="dxa"/>
            <w:tcBorders>
              <w:top w:val="nil"/>
              <w:left w:val="nil"/>
              <w:bottom w:val="single" w:sz="8" w:space="0" w:color="000000" w:themeColor="text1"/>
              <w:right w:val="single" w:sz="8" w:space="0" w:color="000000" w:themeColor="text1"/>
            </w:tcBorders>
          </w:tcPr>
          <w:p w:rsidR="00C30CC6" w:rsidRDefault="004032AE" w:rsidP="00C30CC6">
            <w:pPr>
              <w:pStyle w:val="Table2"/>
            </w:pPr>
            <w:r>
              <w:t>Trailers (&gt;4.5 t GVM)</w:t>
            </w:r>
          </w:p>
        </w:tc>
        <w:tc>
          <w:tcPr>
            <w:tcW w:w="3827" w:type="dxa"/>
            <w:tcBorders>
              <w:top w:val="nil"/>
              <w:left w:val="single" w:sz="8" w:space="0" w:color="000000" w:themeColor="text1"/>
              <w:bottom w:val="single" w:sz="8" w:space="0" w:color="000000" w:themeColor="text1"/>
              <w:right w:val="nil"/>
            </w:tcBorders>
          </w:tcPr>
          <w:p w:rsidR="00C30CC6" w:rsidRDefault="00C40EA7" w:rsidP="00C30CC6">
            <w:pPr>
              <w:pStyle w:val="Table2"/>
            </w:pPr>
            <w:r>
              <w:t>2 or 3-channel ABS</w:t>
            </w:r>
          </w:p>
        </w:tc>
        <w:tc>
          <w:tcPr>
            <w:tcW w:w="2268" w:type="dxa"/>
            <w:tcBorders>
              <w:top w:val="nil"/>
              <w:left w:val="nil"/>
              <w:bottom w:val="single" w:sz="8" w:space="0" w:color="000000" w:themeColor="text1"/>
            </w:tcBorders>
          </w:tcPr>
          <w:p w:rsidR="00C30CC6" w:rsidRDefault="001A3781" w:rsidP="00C30CC6">
            <w:pPr>
              <w:pStyle w:val="Table2"/>
            </w:pPr>
            <w:r>
              <w:t>A$1,500</w:t>
            </w:r>
          </w:p>
        </w:tc>
      </w:tr>
      <w:tr w:rsidR="007957AE" w:rsidTr="00655542">
        <w:tc>
          <w:tcPr>
            <w:tcW w:w="9322" w:type="dxa"/>
            <w:gridSpan w:val="3"/>
            <w:tcBorders>
              <w:top w:val="single" w:sz="8" w:space="0" w:color="000000" w:themeColor="text1"/>
              <w:left w:val="nil"/>
              <w:bottom w:val="nil"/>
            </w:tcBorders>
          </w:tcPr>
          <w:p w:rsidR="007957AE" w:rsidRDefault="007957AE" w:rsidP="007957AE">
            <w:pPr>
              <w:pStyle w:val="Table2"/>
            </w:pPr>
            <w:r w:rsidRPr="00B57933">
              <w:t>Source: Truck Industry Council, Bus Industry Confederation, various heavy trailer and systems suppliers and manufacturers, 2012</w:t>
            </w:r>
            <w:r>
              <w:t xml:space="preserve"> </w:t>
            </w:r>
          </w:p>
        </w:tc>
      </w:tr>
    </w:tbl>
    <w:p w:rsidR="000E270D" w:rsidRDefault="007957AE" w:rsidP="00CA1C1A">
      <w:r w:rsidRPr="007957AE">
        <w:t xml:space="preserve">For the purposes of this RIS, these costs were combined into one overall cost for vehicles over 4.5 tonnes GVM.  In each case, the individual costs were weighted by their respective vehicle production numbers per annum as set out in </w:t>
      </w:r>
      <w:r w:rsidR="00C036A7">
        <w:fldChar w:fldCharType="begin"/>
      </w:r>
      <w:r w:rsidR="00FC686A">
        <w:instrText xml:space="preserve"> REF _Ref342470881 \h </w:instrText>
      </w:r>
      <w:r w:rsidR="00C036A7">
        <w:fldChar w:fldCharType="separate"/>
      </w:r>
      <w:r w:rsidR="00546CD0">
        <w:t xml:space="preserve">Table </w:t>
      </w:r>
      <w:r w:rsidR="00546CD0">
        <w:rPr>
          <w:noProof/>
        </w:rPr>
        <w:t>4</w:t>
      </w:r>
      <w:r w:rsidR="00C036A7">
        <w:fldChar w:fldCharType="end"/>
      </w:r>
      <w:r w:rsidR="00FC686A">
        <w:t xml:space="preserve"> </w:t>
      </w:r>
      <w:r w:rsidRPr="007957AE">
        <w:t>below.</w:t>
      </w:r>
    </w:p>
    <w:p w:rsidR="00FC686A" w:rsidRDefault="00FC686A" w:rsidP="00FC686A">
      <w:pPr>
        <w:pStyle w:val="Caption"/>
        <w:keepNext/>
      </w:pPr>
      <w:bookmarkStart w:id="23" w:name="_Ref342470881"/>
      <w:r>
        <w:t xml:space="preserve">Table </w:t>
      </w:r>
      <w:r w:rsidR="00C036A7">
        <w:fldChar w:fldCharType="begin"/>
      </w:r>
      <w:r w:rsidR="00D05042">
        <w:instrText xml:space="preserve"> SEQ Table \* ARABIC </w:instrText>
      </w:r>
      <w:r w:rsidR="00C036A7">
        <w:fldChar w:fldCharType="separate"/>
      </w:r>
      <w:r w:rsidR="00546CD0">
        <w:rPr>
          <w:noProof/>
        </w:rPr>
        <w:t>4</w:t>
      </w:r>
      <w:r w:rsidR="00C036A7">
        <w:rPr>
          <w:noProof/>
        </w:rPr>
        <w:fldChar w:fldCharType="end"/>
      </w:r>
      <w:bookmarkEnd w:id="23"/>
      <w:r>
        <w:t xml:space="preserve"> Average number of heavy commercial vehicles produced for Australia (2009-2011)</w:t>
      </w:r>
    </w:p>
    <w:tbl>
      <w:tblPr>
        <w:tblStyle w:val="TableGrid"/>
        <w:tblW w:w="9322" w:type="dxa"/>
        <w:tblLook w:val="04A0" w:firstRow="1" w:lastRow="0" w:firstColumn="1" w:lastColumn="0" w:noHBand="0" w:noVBand="1"/>
      </w:tblPr>
      <w:tblGrid>
        <w:gridCol w:w="3527"/>
        <w:gridCol w:w="3527"/>
        <w:gridCol w:w="2268"/>
      </w:tblGrid>
      <w:tr w:rsidR="003529A9" w:rsidTr="00655542">
        <w:trPr>
          <w:gridAfter w:val="1"/>
          <w:wAfter w:w="2268" w:type="dxa"/>
        </w:trPr>
        <w:tc>
          <w:tcPr>
            <w:tcW w:w="3527" w:type="dxa"/>
            <w:tcBorders>
              <w:top w:val="single" w:sz="8" w:space="0" w:color="000000" w:themeColor="text1"/>
              <w:left w:val="nil"/>
              <w:bottom w:val="single" w:sz="8" w:space="0" w:color="000000" w:themeColor="text1"/>
              <w:right w:val="nil"/>
            </w:tcBorders>
          </w:tcPr>
          <w:p w:rsidR="003529A9" w:rsidRPr="00530407" w:rsidRDefault="00530407" w:rsidP="00530407">
            <w:pPr>
              <w:pStyle w:val="Table2heading"/>
              <w:jc w:val="left"/>
            </w:pPr>
            <w:r>
              <w:t>Vehicle type</w:t>
            </w:r>
          </w:p>
        </w:tc>
        <w:tc>
          <w:tcPr>
            <w:tcW w:w="3527" w:type="dxa"/>
            <w:tcBorders>
              <w:top w:val="single" w:sz="8" w:space="0" w:color="000000" w:themeColor="text1"/>
              <w:left w:val="nil"/>
              <w:bottom w:val="single" w:sz="8" w:space="0" w:color="000000" w:themeColor="text1"/>
              <w:right w:val="nil"/>
            </w:tcBorders>
          </w:tcPr>
          <w:p w:rsidR="003529A9" w:rsidRPr="00530407" w:rsidRDefault="00530407" w:rsidP="00530407">
            <w:pPr>
              <w:pStyle w:val="Table2heading"/>
              <w:jc w:val="left"/>
            </w:pPr>
            <w:r>
              <w:t>Number per annum</w:t>
            </w:r>
          </w:p>
        </w:tc>
      </w:tr>
      <w:tr w:rsidR="003529A9" w:rsidTr="00655542">
        <w:trPr>
          <w:gridAfter w:val="1"/>
          <w:wAfter w:w="2268" w:type="dxa"/>
        </w:trPr>
        <w:tc>
          <w:tcPr>
            <w:tcW w:w="3527" w:type="dxa"/>
            <w:tcBorders>
              <w:top w:val="single" w:sz="8" w:space="0" w:color="000000" w:themeColor="text1"/>
              <w:left w:val="nil"/>
              <w:bottom w:val="nil"/>
              <w:right w:val="nil"/>
            </w:tcBorders>
          </w:tcPr>
          <w:p w:rsidR="003529A9" w:rsidRDefault="007C3BF0" w:rsidP="00655542">
            <w:pPr>
              <w:pStyle w:val="Table2"/>
            </w:pPr>
            <w:r>
              <w:t>Light duty truck</w:t>
            </w:r>
            <w:r w:rsidR="00655542">
              <w:t xml:space="preserve"> </w:t>
            </w:r>
            <w:r>
              <w:t>(3.</w:t>
            </w:r>
            <w:r w:rsidR="005317DE">
              <w:t>5</w:t>
            </w:r>
            <w:r>
              <w:t>01—8 t GVM)</w:t>
            </w:r>
          </w:p>
        </w:tc>
        <w:tc>
          <w:tcPr>
            <w:tcW w:w="3527" w:type="dxa"/>
            <w:tcBorders>
              <w:top w:val="single" w:sz="8" w:space="0" w:color="000000" w:themeColor="text1"/>
              <w:left w:val="nil"/>
              <w:bottom w:val="nil"/>
              <w:right w:val="nil"/>
            </w:tcBorders>
          </w:tcPr>
          <w:p w:rsidR="003529A9" w:rsidRDefault="00655542" w:rsidP="003529A9">
            <w:pPr>
              <w:pStyle w:val="Table2"/>
            </w:pPr>
            <w:r>
              <w:t>12.913</w:t>
            </w:r>
          </w:p>
        </w:tc>
      </w:tr>
      <w:tr w:rsidR="003529A9" w:rsidTr="00655542">
        <w:trPr>
          <w:gridAfter w:val="1"/>
          <w:wAfter w:w="2268" w:type="dxa"/>
        </w:trPr>
        <w:tc>
          <w:tcPr>
            <w:tcW w:w="3527" w:type="dxa"/>
            <w:tcBorders>
              <w:top w:val="nil"/>
              <w:left w:val="nil"/>
              <w:bottom w:val="nil"/>
              <w:right w:val="nil"/>
            </w:tcBorders>
          </w:tcPr>
          <w:p w:rsidR="003529A9" w:rsidRDefault="007C3BF0" w:rsidP="00655542">
            <w:pPr>
              <w:pStyle w:val="Table2"/>
            </w:pPr>
            <w:r>
              <w:t>Medium duty truck</w:t>
            </w:r>
            <w:r w:rsidR="00655542">
              <w:t xml:space="preserve"> </w:t>
            </w:r>
            <w:r>
              <w:t>(8—18 t GVM)</w:t>
            </w:r>
          </w:p>
        </w:tc>
        <w:tc>
          <w:tcPr>
            <w:tcW w:w="3527" w:type="dxa"/>
            <w:tcBorders>
              <w:top w:val="nil"/>
              <w:left w:val="nil"/>
              <w:bottom w:val="nil"/>
              <w:right w:val="nil"/>
            </w:tcBorders>
          </w:tcPr>
          <w:p w:rsidR="003529A9" w:rsidRDefault="00655542" w:rsidP="003529A9">
            <w:pPr>
              <w:pStyle w:val="Table2"/>
            </w:pPr>
            <w:r>
              <w:t>6.830</w:t>
            </w:r>
          </w:p>
        </w:tc>
      </w:tr>
      <w:tr w:rsidR="003529A9" w:rsidTr="00655542">
        <w:trPr>
          <w:gridAfter w:val="1"/>
          <w:wAfter w:w="2268" w:type="dxa"/>
        </w:trPr>
        <w:tc>
          <w:tcPr>
            <w:tcW w:w="3527" w:type="dxa"/>
            <w:tcBorders>
              <w:top w:val="nil"/>
              <w:left w:val="nil"/>
              <w:bottom w:val="nil"/>
              <w:right w:val="nil"/>
            </w:tcBorders>
          </w:tcPr>
          <w:p w:rsidR="003529A9" w:rsidRDefault="007C3BF0" w:rsidP="00655542">
            <w:pPr>
              <w:pStyle w:val="Table2"/>
            </w:pPr>
            <w:r>
              <w:t>Heavy duty truck</w:t>
            </w:r>
            <w:r w:rsidR="00655542">
              <w:t xml:space="preserve"> </w:t>
            </w:r>
            <w:r>
              <w:t>(3-axle and more)</w:t>
            </w:r>
          </w:p>
        </w:tc>
        <w:tc>
          <w:tcPr>
            <w:tcW w:w="3527" w:type="dxa"/>
            <w:tcBorders>
              <w:top w:val="nil"/>
              <w:left w:val="nil"/>
              <w:bottom w:val="nil"/>
              <w:right w:val="nil"/>
            </w:tcBorders>
          </w:tcPr>
          <w:p w:rsidR="003529A9" w:rsidRDefault="00655542" w:rsidP="003529A9">
            <w:pPr>
              <w:pStyle w:val="Table2"/>
            </w:pPr>
            <w:r>
              <w:t>9,000</w:t>
            </w:r>
          </w:p>
        </w:tc>
      </w:tr>
      <w:tr w:rsidR="003529A9" w:rsidTr="00655542">
        <w:trPr>
          <w:gridAfter w:val="1"/>
          <w:wAfter w:w="2268" w:type="dxa"/>
        </w:trPr>
        <w:tc>
          <w:tcPr>
            <w:tcW w:w="3527" w:type="dxa"/>
            <w:tcBorders>
              <w:top w:val="nil"/>
              <w:left w:val="nil"/>
              <w:bottom w:val="nil"/>
              <w:right w:val="nil"/>
            </w:tcBorders>
          </w:tcPr>
          <w:p w:rsidR="003529A9" w:rsidRDefault="007C3BF0" w:rsidP="003529A9">
            <w:pPr>
              <w:pStyle w:val="Table2"/>
            </w:pPr>
            <w:r>
              <w:t>Buses (&gt; 4.5 t GVM)</w:t>
            </w:r>
          </w:p>
        </w:tc>
        <w:tc>
          <w:tcPr>
            <w:tcW w:w="3527" w:type="dxa"/>
            <w:tcBorders>
              <w:top w:val="nil"/>
              <w:left w:val="nil"/>
              <w:bottom w:val="nil"/>
              <w:right w:val="nil"/>
            </w:tcBorders>
          </w:tcPr>
          <w:p w:rsidR="003529A9" w:rsidRDefault="00655542" w:rsidP="003529A9">
            <w:pPr>
              <w:pStyle w:val="Table2"/>
            </w:pPr>
            <w:r>
              <w:t>4,000</w:t>
            </w:r>
          </w:p>
        </w:tc>
      </w:tr>
      <w:tr w:rsidR="003529A9" w:rsidTr="00655542">
        <w:trPr>
          <w:gridAfter w:val="1"/>
          <w:wAfter w:w="2268" w:type="dxa"/>
        </w:trPr>
        <w:tc>
          <w:tcPr>
            <w:tcW w:w="3527" w:type="dxa"/>
            <w:tcBorders>
              <w:top w:val="nil"/>
              <w:left w:val="nil"/>
              <w:bottom w:val="single" w:sz="8" w:space="0" w:color="000000" w:themeColor="text1"/>
              <w:right w:val="nil"/>
            </w:tcBorders>
          </w:tcPr>
          <w:p w:rsidR="003529A9" w:rsidRDefault="007C3BF0" w:rsidP="003529A9">
            <w:pPr>
              <w:pStyle w:val="Table2"/>
            </w:pPr>
            <w:r>
              <w:t>Trailers (&gt;4.5 t GVM)</w:t>
            </w:r>
          </w:p>
        </w:tc>
        <w:tc>
          <w:tcPr>
            <w:tcW w:w="3527" w:type="dxa"/>
            <w:tcBorders>
              <w:top w:val="nil"/>
              <w:left w:val="nil"/>
              <w:bottom w:val="single" w:sz="8" w:space="0" w:color="000000" w:themeColor="text1"/>
              <w:right w:val="nil"/>
            </w:tcBorders>
          </w:tcPr>
          <w:p w:rsidR="003529A9" w:rsidRDefault="00655542" w:rsidP="003529A9">
            <w:pPr>
              <w:pStyle w:val="Table2"/>
            </w:pPr>
            <w:r>
              <w:t>13,663</w:t>
            </w:r>
          </w:p>
        </w:tc>
      </w:tr>
      <w:tr w:rsidR="002D4C33" w:rsidTr="002D4C33">
        <w:trPr>
          <w:trHeight w:val="293"/>
        </w:trPr>
        <w:tc>
          <w:tcPr>
            <w:tcW w:w="9322" w:type="dxa"/>
            <w:gridSpan w:val="3"/>
            <w:tcBorders>
              <w:top w:val="nil"/>
              <w:left w:val="nil"/>
              <w:bottom w:val="nil"/>
              <w:right w:val="nil"/>
            </w:tcBorders>
          </w:tcPr>
          <w:p w:rsidR="002D4C33" w:rsidRDefault="002D4C33" w:rsidP="002D4C33">
            <w:pPr>
              <w:pStyle w:val="Table2"/>
            </w:pPr>
            <w:r w:rsidRPr="00B57933">
              <w:t xml:space="preserve">Source: Truck Industry Council, Australian Bureau of Statistics and the </w:t>
            </w:r>
            <w:r w:rsidR="00580934" w:rsidRPr="00580934">
              <w:t>Department of Infrastructure and Regional Development</w:t>
            </w:r>
          </w:p>
        </w:tc>
      </w:tr>
    </w:tbl>
    <w:p w:rsidR="00C30CC6" w:rsidRDefault="0099257F" w:rsidP="00CA1C1A">
      <w:r>
        <w:lastRenderedPageBreak/>
        <w:t>The overall average cost of ABS is calculated as follows:</w:t>
      </w:r>
    </w:p>
    <w:p w:rsidR="0099257F" w:rsidRPr="0099257F" w:rsidRDefault="0099257F" w:rsidP="0099257F">
      <w:pPr>
        <w:rPr>
          <w:rFonts w:cs="Times New Roman"/>
        </w:rPr>
      </w:pPr>
      <m:oMathPara>
        <m:oMath>
          <m:r>
            <m:rPr>
              <m:sty m:val="p"/>
            </m:rPr>
            <w:rPr>
              <w:rFonts w:ascii="Cambria Math" w:hAnsi="Cambria Math" w:cs="Times New Roman"/>
            </w:rPr>
            <m:t>=</m:t>
          </m:r>
          <m:d>
            <m:dPr>
              <m:begChr m:val="["/>
              <m:endChr m:val="]"/>
              <m:ctrlPr>
                <w:rPr>
                  <w:rFonts w:ascii="Cambria Math" w:hAnsi="Cambria Math" w:cs="Times New Roman"/>
                </w:rPr>
              </m:ctrlPr>
            </m:dPr>
            <m:e>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rPr>
                        <m:t>$1000×12913</m:t>
                      </m: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$2500×6830</m:t>
                      </m: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$3560×9000</m:t>
                      </m: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$3000×4000</m:t>
                      </m:r>
                    </m:e>
                  </m:d>
                  <m:r>
                    <m:rPr>
                      <m:sty m:val="p"/>
                    </m:rPr>
                    <w:rPr>
                      <w:rFonts w:ascii="Cambria Math" w:hAnsi="Cambria Math" w:cs="Times New Roman"/>
                    </w:rPr>
                    <m:t>+($1500×13663)</m:t>
                  </m:r>
                </m:num>
                <m:den>
                  <m:r>
                    <m:rPr>
                      <m:sty m:val="p"/>
                    </m:rPr>
                    <w:rPr>
                      <w:rFonts w:ascii="Cambria Math" w:hAnsi="Cambria Math" w:cs="Times New Roman"/>
                    </w:rPr>
                    <m:t>12913+6830+9000+13663</m:t>
                  </m:r>
                </m:den>
              </m:f>
            </m:e>
          </m:d>
        </m:oMath>
      </m:oMathPara>
    </w:p>
    <w:p w:rsidR="0099257F" w:rsidRDefault="0099257F" w:rsidP="0099257F">
      <w:pPr>
        <w:rPr>
          <w:rFonts w:cs="Times New Roman"/>
        </w:rPr>
      </w:pPr>
      <w:r w:rsidRPr="0099257F">
        <w:rPr>
          <w:rFonts w:cs="Times New Roman"/>
        </w:rPr>
        <w:t>= $2,037</w:t>
      </w:r>
    </w:p>
    <w:p w:rsidR="00961AA1" w:rsidRDefault="00961AA1" w:rsidP="0099257F">
      <w:r>
        <w:rPr>
          <w:rFonts w:cs="Times New Roman"/>
        </w:rPr>
        <w:t xml:space="preserve">Option </w:t>
      </w:r>
      <w:r w:rsidR="008E6565">
        <w:rPr>
          <w:rFonts w:cs="Times New Roman"/>
        </w:rPr>
        <w:t>2(a</w:t>
      </w:r>
      <w:r>
        <w:rPr>
          <w:rFonts w:cs="Times New Roman"/>
        </w:rPr>
        <w:t xml:space="preserve">) - </w:t>
      </w:r>
      <w:r>
        <w:t>Load proportioning (LP) systems</w:t>
      </w:r>
      <w:r w:rsidR="003F75CA">
        <w:t>;</w:t>
      </w:r>
      <w:r>
        <w:t xml:space="preserve"> costs for trailers were estimated</w:t>
      </w:r>
      <w:r w:rsidR="00DD74E2">
        <w:t xml:space="preserve"> at </w:t>
      </w:r>
      <w:r w:rsidR="008E6565">
        <w:t>around</w:t>
      </w:r>
      <w:r w:rsidR="00DD74E2">
        <w:t xml:space="preserve"> half the cost of an ABS system.  Although Load Sensing Valve(s) and associated pipework </w:t>
      </w:r>
      <w:r w:rsidR="008E6565">
        <w:t>would</w:t>
      </w:r>
      <w:r w:rsidR="00DD74E2">
        <w:t xml:space="preserve"> be in the order of a few hundred dollars, the setup and certification costs would be higher than for ABS as </w:t>
      </w:r>
      <w:r w:rsidR="008E6565">
        <w:t>LP.  This is because LP systems</w:t>
      </w:r>
      <w:r w:rsidR="00DD74E2">
        <w:t xml:space="preserve"> would require more </w:t>
      </w:r>
      <w:r w:rsidR="008E6565">
        <w:t>tailored</w:t>
      </w:r>
      <w:r w:rsidR="00DD74E2">
        <w:t xml:space="preserve"> testi</w:t>
      </w:r>
      <w:r w:rsidR="008E6565">
        <w:t xml:space="preserve">ng or engineering </w:t>
      </w:r>
      <w:r w:rsidR="00DD74E2">
        <w:t>calculations</w:t>
      </w:r>
      <w:r w:rsidR="008E6565">
        <w:t xml:space="preserve"> for each trailer model certified</w:t>
      </w:r>
      <w:r w:rsidR="00DD74E2">
        <w:t>.</w:t>
      </w:r>
    </w:p>
    <w:p w:rsidR="008E6565" w:rsidRPr="0099257F" w:rsidRDefault="008E6565" w:rsidP="0099257F">
      <w:pPr>
        <w:rPr>
          <w:rFonts w:cs="Times New Roman"/>
        </w:rPr>
      </w:pPr>
      <w:r>
        <w:t>Option 2(b) - Adopting international regulations for ABS or LP</w:t>
      </w:r>
      <w:r w:rsidR="003F75CA">
        <w:t>;</w:t>
      </w:r>
      <w:r>
        <w:t xml:space="preserve"> costs would be the lowest if Australian developed </w:t>
      </w:r>
      <w:r w:rsidR="006C58A1">
        <w:t>but with</w:t>
      </w:r>
      <w:r>
        <w:t xml:space="preserve"> international regulations allowed as </w:t>
      </w:r>
      <w:r w:rsidR="006C58A1">
        <w:t>an alternative</w:t>
      </w:r>
      <w:r>
        <w:t>.  This is the case with the current ADRs 35 and 38 and it has been assumed that this would continue to be the case.</w:t>
      </w:r>
      <w:r w:rsidR="008150CC">
        <w:t xml:space="preserve"> Therefore, </w:t>
      </w:r>
      <w:r>
        <w:t>the costs would not be affected by this variation to Option 2.</w:t>
      </w:r>
    </w:p>
    <w:p w:rsidR="004F694A" w:rsidRDefault="00CA1C1A" w:rsidP="004F694A">
      <w:pPr>
        <w:pStyle w:val="Heading2"/>
      </w:pPr>
      <w:bookmarkStart w:id="24" w:name="_Ref347348899"/>
      <w:r>
        <w:t>Benefits</w:t>
      </w:r>
      <w:bookmarkEnd w:id="24"/>
    </w:p>
    <w:p w:rsidR="0099257F" w:rsidRDefault="0099257F" w:rsidP="0099257F">
      <w:r>
        <w:t xml:space="preserve">Option 2: amend ADRs 35 and 38 to require ABS on heavy commercial vehicles, </w:t>
      </w:r>
      <w:r w:rsidR="006C58A1">
        <w:t xml:space="preserve">would reduce the road trauma resulting from loss of directional stability and control during the braking of heavy commercial vehicles. </w:t>
      </w:r>
    </w:p>
    <w:p w:rsidR="0099257F" w:rsidRDefault="0099257F" w:rsidP="0099257F">
      <w:r>
        <w:t>Benefit-cost analysis was used to evaluate the value of Option 2</w:t>
      </w:r>
      <w:r w:rsidR="004B5EFD">
        <w:t xml:space="preserve"> with regards to mandating ABS</w:t>
      </w:r>
      <w:r>
        <w:t xml:space="preserve">. </w:t>
      </w:r>
      <w:r w:rsidR="003D3FB7">
        <w:t xml:space="preserve"> </w:t>
      </w:r>
      <w:r>
        <w:t>Benefit-cost analysis compares the potential reduction in road trauma to the cost of implementing a particular option. In assigning a monetary value to both, options can be chosen that provide the greatest decrease in road trauma for the resources consumed.</w:t>
      </w:r>
    </w:p>
    <w:p w:rsidR="003F75CA" w:rsidRDefault="004B5EFD" w:rsidP="0099257F">
      <w:r w:rsidRPr="00986119">
        <w:t xml:space="preserve">Benefit-cost analysis was not used to evaluate Option 2(a) </w:t>
      </w:r>
      <w:r w:rsidRPr="00986119">
        <w:rPr>
          <w:rFonts w:cs="Times New Roman"/>
        </w:rPr>
        <w:t xml:space="preserve">- </w:t>
      </w:r>
      <w:r w:rsidRPr="00986119">
        <w:t xml:space="preserve">Load proportioning (LP) systems costs for trailers.  It is recognised in engineering terms that LP systems used correctly </w:t>
      </w:r>
      <w:r w:rsidR="00B613A3" w:rsidRPr="00986119">
        <w:t xml:space="preserve">will </w:t>
      </w:r>
      <w:r w:rsidRPr="00986119">
        <w:t xml:space="preserve">result in </w:t>
      </w:r>
      <w:r w:rsidR="00D74D09" w:rsidRPr="00986119">
        <w:t>improved</w:t>
      </w:r>
      <w:r w:rsidRPr="00986119">
        <w:t xml:space="preserve"> braking stability of a heavy commercial vehicle or combination</w:t>
      </w:r>
      <w:r w:rsidR="00B613A3" w:rsidRPr="00986119">
        <w:t xml:space="preserve">.  </w:t>
      </w:r>
      <w:r w:rsidR="00D74D09" w:rsidRPr="00986119">
        <w:t>Hart (2012) reported a test of a single combination vehicle</w:t>
      </w:r>
      <w:r w:rsidR="0063188A" w:rsidRPr="00D851DE">
        <w:t xml:space="preserve"> in Australia that was</w:t>
      </w:r>
      <w:r w:rsidR="00D74D09" w:rsidRPr="00986119">
        <w:t xml:space="preserve"> subjected to</w:t>
      </w:r>
      <w:r w:rsidR="0063188A" w:rsidRPr="00D851DE">
        <w:t xml:space="preserve"> the “braking in a curve test” from US Federal Motor Vehicle Safety Standard (FMVSS) 121.   The test demonstrated that </w:t>
      </w:r>
      <w:r w:rsidR="003F75CA" w:rsidRPr="001F5AFE">
        <w:t>when limited to non-electronic systems only</w:t>
      </w:r>
      <w:r w:rsidR="003F75CA">
        <w:t xml:space="preserve"> (</w:t>
      </w:r>
      <w:proofErr w:type="spellStart"/>
      <w:r w:rsidR="003F75CA">
        <w:t>ie</w:t>
      </w:r>
      <w:proofErr w:type="spellEnd"/>
      <w:r w:rsidR="003F75CA">
        <w:t xml:space="preserve"> not ABS or similar), </w:t>
      </w:r>
      <w:r w:rsidR="0063188A" w:rsidRPr="00D851DE">
        <w:t xml:space="preserve">LP fitted to a trailer in combination with a typical ADR compliant prime mover performed the best.  This means that when compared to the regulated performance of an existing ADR 35 and 38 compliant </w:t>
      </w:r>
      <w:proofErr w:type="gramStart"/>
      <w:r w:rsidR="0063188A" w:rsidRPr="00D851DE">
        <w:t>truck</w:t>
      </w:r>
      <w:proofErr w:type="gramEnd"/>
      <w:r w:rsidR="0063188A" w:rsidRPr="00D851DE">
        <w:t xml:space="preserve"> and trailer, fitting an LP system to the trailer gives an improvement in stability under braking.  </w:t>
      </w:r>
    </w:p>
    <w:p w:rsidR="004B5EFD" w:rsidRDefault="0063188A" w:rsidP="0099257F">
      <w:r w:rsidRPr="00D851DE">
        <w:t xml:space="preserve">However, there are no </w:t>
      </w:r>
      <w:r w:rsidR="003F75CA">
        <w:t>comprehensive</w:t>
      </w:r>
      <w:r w:rsidRPr="00D851DE">
        <w:t xml:space="preserve"> studies available </w:t>
      </w:r>
      <w:r w:rsidR="003F75CA">
        <w:t>that cover</w:t>
      </w:r>
      <w:r w:rsidRPr="00D851DE">
        <w:t xml:space="preserve"> the general case of LP systems and the fact</w:t>
      </w:r>
      <w:r w:rsidR="006C58A1">
        <w:t xml:space="preserve"> is</w:t>
      </w:r>
      <w:r w:rsidRPr="00D851DE">
        <w:t xml:space="preserve"> that LP technology is less advanced than dynamic</w:t>
      </w:r>
      <w:r w:rsidR="003F75CA">
        <w:t>ally active</w:t>
      </w:r>
      <w:r w:rsidRPr="00D851DE">
        <w:t xml:space="preserve"> systems such as ABS or </w:t>
      </w:r>
      <w:r w:rsidR="006C58A1">
        <w:t>ESC.  Because of this</w:t>
      </w:r>
      <w:r w:rsidR="003F75CA">
        <w:t>,</w:t>
      </w:r>
      <w:r w:rsidRPr="00D851DE">
        <w:t xml:space="preserve"> it was </w:t>
      </w:r>
      <w:r w:rsidR="003F75CA" w:rsidRPr="009E160C">
        <w:t xml:space="preserve">not </w:t>
      </w:r>
      <w:r w:rsidRPr="00D851DE">
        <w:t xml:space="preserve">considered worthwhile to pursue </w:t>
      </w:r>
      <w:r w:rsidR="003F75CA">
        <w:t>LP</w:t>
      </w:r>
      <w:r w:rsidRPr="00D851DE">
        <w:t xml:space="preserve"> as a primary option.  Instead, it was </w:t>
      </w:r>
      <w:r w:rsidR="003F75CA">
        <w:t>concluded</w:t>
      </w:r>
      <w:r w:rsidRPr="00D851DE">
        <w:t xml:space="preserve"> that allowing LP systems in lieu of ABS would still result in some sort of improvement to current performance, at a cost less than for ABS.  </w:t>
      </w:r>
      <w:r w:rsidR="003F75CA">
        <w:t xml:space="preserve">It was </w:t>
      </w:r>
      <w:r w:rsidR="00485EF7">
        <w:t xml:space="preserve">therefore </w:t>
      </w:r>
      <w:r w:rsidR="003F75CA">
        <w:t xml:space="preserve">proposed that </w:t>
      </w:r>
      <w:r w:rsidR="00485EF7">
        <w:t xml:space="preserve">under Option 2 </w:t>
      </w:r>
      <w:r w:rsidR="003F75CA">
        <w:t>this</w:t>
      </w:r>
      <w:r w:rsidRPr="00D851DE">
        <w:t xml:space="preserve"> choice be left to the trailer manufacturer</w:t>
      </w:r>
      <w:r w:rsidR="006C58A1">
        <w:t xml:space="preserve"> to </w:t>
      </w:r>
      <w:r w:rsidR="006C58A1">
        <w:lastRenderedPageBreak/>
        <w:t xml:space="preserve">make - </w:t>
      </w:r>
      <w:r w:rsidRPr="00D851DE">
        <w:t>either way providing net benefits to the community.</w:t>
      </w:r>
      <w:r w:rsidR="00380ACC">
        <w:t xml:space="preserve">  </w:t>
      </w:r>
      <w:r w:rsidR="00986119">
        <w:t>To summarise,</w:t>
      </w:r>
      <w:r w:rsidR="00D74D09">
        <w:t xml:space="preserve"> variation</w:t>
      </w:r>
      <w:r w:rsidR="00986119">
        <w:t xml:space="preserve"> (a)</w:t>
      </w:r>
      <w:r w:rsidR="00D74D09">
        <w:t xml:space="preserve"> to Option 2 </w:t>
      </w:r>
      <w:r w:rsidR="006C58A1">
        <w:t>was not analysed by Benefit-cost analysis</w:t>
      </w:r>
      <w:r w:rsidR="00485EF7">
        <w:t>, although it was recognised that when correctly used LP would provide road safety benefits.  Within O</w:t>
      </w:r>
      <w:r w:rsidR="006C58A1">
        <w:t>ption</w:t>
      </w:r>
      <w:r w:rsidR="00485EF7">
        <w:t xml:space="preserve"> 2</w:t>
      </w:r>
      <w:r w:rsidR="006C58A1">
        <w:t xml:space="preserve">, LP </w:t>
      </w:r>
      <w:r w:rsidR="00D74D09">
        <w:t>would be o</w:t>
      </w:r>
      <w:r w:rsidR="00986119">
        <w:t>ffered as an alternative to ABS</w:t>
      </w:r>
      <w:r w:rsidR="006C58A1">
        <w:t xml:space="preserve"> for trailers</w:t>
      </w:r>
      <w:r w:rsidR="00986119">
        <w:t>. T</w:t>
      </w:r>
      <w:r w:rsidR="00D74D09">
        <w:t xml:space="preserve">he impact on business </w:t>
      </w:r>
      <w:r w:rsidR="00485EF7">
        <w:t xml:space="preserve">and the community </w:t>
      </w:r>
      <w:r w:rsidR="00D74D09">
        <w:t xml:space="preserve">would </w:t>
      </w:r>
      <w:r w:rsidR="00485EF7">
        <w:t>be</w:t>
      </w:r>
      <w:r w:rsidR="00D74D09">
        <w:t xml:space="preserve"> positive </w:t>
      </w:r>
      <w:r w:rsidR="00485EF7">
        <w:t>in this instance</w:t>
      </w:r>
      <w:r w:rsidR="00654B06">
        <w:t>, and it would expedite the Phase I timetable</w:t>
      </w:r>
      <w:r w:rsidR="004B5EFD">
        <w:t>.</w:t>
      </w:r>
      <w:r w:rsidR="00C918AC">
        <w:t xml:space="preserve">  When considering the final results of the Benefit-cost model, the contribution to net benefits of trailers is about 37 per cent, (being the proportion of the heavy commercial fleet that are trailers).  As a </w:t>
      </w:r>
      <w:r w:rsidR="00A246A3">
        <w:t>conservative</w:t>
      </w:r>
      <w:r w:rsidR="00C918AC">
        <w:t xml:space="preserve"> scenario, the net benefits </w:t>
      </w:r>
      <w:r w:rsidR="00A246A3">
        <w:t>could be reduced by this amount.  This assumes that LP provides benefits that are equal to, but no better than, than the cost of fitment.</w:t>
      </w:r>
    </w:p>
    <w:p w:rsidR="009B2E88" w:rsidRDefault="009B2E88" w:rsidP="0099257F">
      <w:r>
        <w:t xml:space="preserve">Similarly, Benefit-cost analysis was not used to evaluate Option 2(b) - Adopting international regulations for ABS or LP.  As discussed in section </w:t>
      </w:r>
      <w:r w:rsidR="00C036A7">
        <w:fldChar w:fldCharType="begin"/>
      </w:r>
      <w:r w:rsidR="00917616">
        <w:instrText xml:space="preserve"> REF _Ref347095933 \r \p \h </w:instrText>
      </w:r>
      <w:r w:rsidR="00C036A7">
        <w:fldChar w:fldCharType="separate"/>
      </w:r>
      <w:r w:rsidR="00546CD0">
        <w:t>5.1 above</w:t>
      </w:r>
      <w:r w:rsidR="00C036A7">
        <w:fldChar w:fldCharType="end"/>
      </w:r>
      <w:r w:rsidR="00917616">
        <w:t>, it had already been assumed that international regulations would continue to be allowed as an alternative to any Australian developed requirements.  Therefore, this variation wo</w:t>
      </w:r>
      <w:r w:rsidR="00A0535C">
        <w:t>uld not affect the final result</w:t>
      </w:r>
      <w:r w:rsidR="00917616">
        <w:t>.</w:t>
      </w:r>
    </w:p>
    <w:p w:rsidR="00FE37EC" w:rsidRDefault="00380ACC" w:rsidP="00D851DE">
      <w:pPr>
        <w:pStyle w:val="underlinedleft"/>
      </w:pPr>
      <w:r>
        <w:t>Benefit-cost model</w:t>
      </w:r>
    </w:p>
    <w:p w:rsidR="00BB3D84" w:rsidRDefault="0085591D" w:rsidP="0099257F">
      <w:r>
        <w:t xml:space="preserve">A </w:t>
      </w:r>
      <w:r w:rsidR="004B5EFD">
        <w:t xml:space="preserve">benefit-cost analysis </w:t>
      </w:r>
      <w:r w:rsidR="0099257F">
        <w:t>model</w:t>
      </w:r>
      <w:r>
        <w:t xml:space="preserve"> was developed to analyse the scenario of Option 2.  With this option, t</w:t>
      </w:r>
      <w:r w:rsidRPr="0085591D">
        <w:t>he costs of the proposal are incurred in the first four years only</w:t>
      </w:r>
      <w:r>
        <w:t>,</w:t>
      </w:r>
      <w:r w:rsidRPr="0085591D">
        <w:t xml:space="preserve"> </w:t>
      </w:r>
      <w:r>
        <w:t xml:space="preserve">the anticipated length of time Phase I would be in force before being </w:t>
      </w:r>
      <w:r w:rsidR="00A67AB1">
        <w:t xml:space="preserve">followed </w:t>
      </w:r>
      <w:r>
        <w:t>by Phase II.  T</w:t>
      </w:r>
      <w:r w:rsidRPr="0085591D">
        <w:t>he benefits ar</w:t>
      </w:r>
      <w:r>
        <w:t xml:space="preserve">e derived over a much longer period, the length of time vehicles </w:t>
      </w:r>
      <w:r w:rsidR="0060628C">
        <w:t>newly registered while</w:t>
      </w:r>
      <w:r>
        <w:t xml:space="preserve"> Phase I </w:t>
      </w:r>
      <w:r w:rsidR="0060628C">
        <w:t xml:space="preserve">is in force </w:t>
      </w:r>
      <w:r>
        <w:t>are driving on the road (</w:t>
      </w:r>
      <w:proofErr w:type="spellStart"/>
      <w:r>
        <w:t>ie</w:t>
      </w:r>
      <w:proofErr w:type="spellEnd"/>
      <w:r>
        <w:t xml:space="preserve"> the life of a typical vehicle). </w:t>
      </w:r>
    </w:p>
    <w:p w:rsidR="0099257F" w:rsidRDefault="0085591D" w:rsidP="0099257F">
      <w:r>
        <w:t xml:space="preserve">The model </w:t>
      </w:r>
      <w:r w:rsidR="0099257F">
        <w:t xml:space="preserve">used was the Net Present Value (NPV) model. </w:t>
      </w:r>
      <w:r w:rsidR="003D3FB7">
        <w:t xml:space="preserve"> </w:t>
      </w:r>
      <w:r w:rsidR="00C27880">
        <w:t>With this</w:t>
      </w:r>
      <w:r w:rsidR="0099257F">
        <w:t xml:space="preserve"> model</w:t>
      </w:r>
      <w:r w:rsidR="00C27880">
        <w:t xml:space="preserve"> </w:t>
      </w:r>
      <w:r w:rsidR="0099257F">
        <w:t xml:space="preserve">the flow of benefits and costs are reduced to one specific moment in time. </w:t>
      </w:r>
      <w:r w:rsidR="003D3FB7">
        <w:t xml:space="preserve"> </w:t>
      </w:r>
      <w:r w:rsidR="0099257F">
        <w:t xml:space="preserve">The time period that the benefits are assumed to be generated over is the life of the vehicle(s). </w:t>
      </w:r>
      <w:r w:rsidR="003D3FB7">
        <w:t xml:space="preserve"> </w:t>
      </w:r>
      <w:r w:rsidR="0099257F">
        <w:t>Benefit-Cost Ratios (BCRs) are also calculated to show whether the returns (benefits) outweigh the resources outlaid (cost) and indicate what this difference is.</w:t>
      </w:r>
    </w:p>
    <w:p w:rsidR="0099257F" w:rsidRDefault="0099257F" w:rsidP="0099257F">
      <w:r>
        <w:t xml:space="preserve">In the case of adding specified safety features to vehicles, there will be an upfront cost (by the vehicle manufacturer or purchaser) at the start, followed by a series of benefits spread throughout the life of the vehicles. </w:t>
      </w:r>
      <w:r w:rsidR="003D3FB7">
        <w:t xml:space="preserve"> </w:t>
      </w:r>
      <w:r>
        <w:t>This is then repeated in subsequent years as additional new vehicles are registered. There may also be other ongoing business and government costs through the years, depending on the option being considered.</w:t>
      </w:r>
    </w:p>
    <w:p w:rsidR="00380ACC" w:rsidRDefault="00380ACC" w:rsidP="00380ACC">
      <w:r>
        <w:t xml:space="preserve">The analysis model that was used had the capacity to calculate over a 30-year period of analysis.  Option 2 was given a starting </w:t>
      </w:r>
      <w:r w:rsidRPr="00B57933">
        <w:t>point of 2014.</w:t>
      </w:r>
      <w:r>
        <w:t xml:space="preserve">  By then running the analysis model such that the regulation option remained in force for 4 years (</w:t>
      </w:r>
      <w:r w:rsidR="00C27880">
        <w:t xml:space="preserve">as mentioned above, </w:t>
      </w:r>
      <w:r>
        <w:t xml:space="preserve">only 4 years was chosen as after 4 years from 2014, Phase II of the NHVBS, if it leads to further ADR amendments, would be expected to come into force around 2018). </w:t>
      </w:r>
      <w:r w:rsidRPr="00B57933">
        <w:t xml:space="preserve">There then followed a </w:t>
      </w:r>
      <w:r>
        <w:t>26</w:t>
      </w:r>
      <w:r w:rsidRPr="00B57933">
        <w:t xml:space="preserve"> year period for close to the full set of benefits to be realised</w:t>
      </w:r>
      <w:r>
        <w:t xml:space="preserve"> over the life of a cohort of vehicles.  It was necessary to run the analysis over such a long period because in the general case, road safety benefits from improving the performance of vehicles are realised gradually as the fleet is first replaced and then the vehicles age and crash over a crash period of about 26 years for each vehicle </w:t>
      </w:r>
    </w:p>
    <w:p w:rsidR="00380ACC" w:rsidRDefault="00380ACC" w:rsidP="00380ACC">
      <w:r>
        <w:lastRenderedPageBreak/>
        <w:t xml:space="preserve">The calculations used a method that accounted for variations in both crash likelihood and vehicle registrations over </w:t>
      </w:r>
      <w:r w:rsidR="00BB3D84">
        <w:t>the</w:t>
      </w:r>
      <w:r>
        <w:t xml:space="preserve"> possible 26 year vehicle crash life, as originally developed by Fildes (2002).  Thus, the benefits were controlled for the risk that a crash would occur during a particular year of a vehicle’s life.  The crash likelihoods represented historical crash rates and as such were a good approximation of the crash profile of an average vehicle.  The average crash age of a vehicle under this model was around 10-15 years.  It should be made clear that the average crash age of a vehicle is not the same as the average age of a vehicle.  By way of example, a cohort of vehicles in the fleet crashes very little in the first few years of its life and, due to scrappage and/or reduced use, decreasingly in the last fifteen years of its life.  Under this model, it was not necessary to determine the average age of a vehicle. </w:t>
      </w:r>
    </w:p>
    <w:p w:rsidR="00BB3D84" w:rsidRDefault="00BB3D84" w:rsidP="00380ACC">
      <w:r>
        <w:t>In general, 26 years is considered the most accurate period over which to calculate the benefits.  This is because historical crash data has shown that nearly all crashes involve vehicles that are 26 years old or less (Fildes et al, 2002).  However, to be conservative, a shorter period of 13 years was adopted for the final cohort of vehicles assumed to be coming through in 2029.</w:t>
      </w:r>
    </w:p>
    <w:p w:rsidR="00BB3D84" w:rsidRDefault="00380ACC" w:rsidP="00380ACC">
      <w:r>
        <w:t xml:space="preserve">The benefits were calculated using established monetary values representing fatalities, serious injuries and minor injuries.  It was assumed that these injuries would remain proportional to the expanding human population and vehicular population in Australia over the coming years; however the assumed fleet growth rate was halved to be conservative. </w:t>
      </w:r>
      <w:r w:rsidRPr="002C420A">
        <w:t>These values represented an average cost of crashes.</w:t>
      </w:r>
    </w:p>
    <w:p w:rsidR="00BB3D84" w:rsidRDefault="00BB3D84" w:rsidP="00BB3D84">
      <w:r>
        <w:t xml:space="preserve">In accordance with the Best Practice Regulation Handbook published by the Office of Best Practice Regulation (OBPR), the net benefits were calculated using a discount rate of 7 per cent, with sensitivity tests conducted at 3 per cent and 10 per cent.  </w:t>
      </w:r>
      <w:r w:rsidR="00C036A7">
        <w:fldChar w:fldCharType="begin"/>
      </w:r>
      <w:r>
        <w:instrText xml:space="preserve"> REF _Ref342900761 \h </w:instrText>
      </w:r>
      <w:r w:rsidR="00C036A7">
        <w:fldChar w:fldCharType="separate"/>
      </w:r>
      <w:r w:rsidR="00546CD0">
        <w:t xml:space="preserve">Table </w:t>
      </w:r>
      <w:r w:rsidR="00546CD0">
        <w:rPr>
          <w:noProof/>
        </w:rPr>
        <w:t>5</w:t>
      </w:r>
      <w:r w:rsidR="00C036A7">
        <w:fldChar w:fldCharType="end"/>
      </w:r>
      <w:r>
        <w:t xml:space="preserve"> shows a summary of the net benefits, BCRs and lives saved calculated for various discount rates and ABS effectiveness values.  </w:t>
      </w:r>
    </w:p>
    <w:p w:rsidR="00380ACC" w:rsidRDefault="00380ACC" w:rsidP="0099257F">
      <w:r w:rsidRPr="002C420A">
        <w:t xml:space="preserve">A detailed explanation of the method can be found in </w:t>
      </w:r>
      <w:r w:rsidR="009169FE">
        <w:fldChar w:fldCharType="begin"/>
      </w:r>
      <w:r w:rsidR="009169FE">
        <w:instrText xml:space="preserve"> REF _Ref342998223 \h  \* MERGEFORMAT </w:instrText>
      </w:r>
      <w:r w:rsidR="009169FE">
        <w:fldChar w:fldCharType="separate"/>
      </w:r>
      <w:r w:rsidR="00546CD0">
        <w:t>Appendix 8—Benefit-Cost Analysis—Methodology</w:t>
      </w:r>
      <w:r w:rsidR="009169FE">
        <w:fldChar w:fldCharType="end"/>
      </w:r>
      <w:r w:rsidRPr="002C420A">
        <w:t xml:space="preserve"> and </w:t>
      </w:r>
      <w:r w:rsidR="009169FE">
        <w:fldChar w:fldCharType="begin"/>
      </w:r>
      <w:r w:rsidR="009169FE">
        <w:instrText xml:space="preserve"> REF _Ref342659649 \h  \* MERGEFORMAT </w:instrText>
      </w:r>
      <w:r w:rsidR="009169FE">
        <w:fldChar w:fldCharType="separate"/>
      </w:r>
      <w:r w:rsidR="00546CD0" w:rsidRPr="00ED6730">
        <w:t xml:space="preserve">Appendix </w:t>
      </w:r>
      <w:r w:rsidR="00546CD0">
        <w:t>9</w:t>
      </w:r>
      <w:r w:rsidR="00546CD0" w:rsidRPr="00ED6730">
        <w:t>—</w:t>
      </w:r>
      <w:r w:rsidR="00546CD0">
        <w:t>Assumptions</w:t>
      </w:r>
      <w:r w:rsidR="009169FE">
        <w:fldChar w:fldCharType="end"/>
      </w:r>
      <w:r w:rsidRPr="002C420A">
        <w:t>.</w:t>
      </w:r>
    </w:p>
    <w:p w:rsidR="00FE37EC" w:rsidRDefault="00380ACC" w:rsidP="00D851DE">
      <w:pPr>
        <w:pStyle w:val="underlinedleft"/>
      </w:pPr>
      <w:bookmarkStart w:id="25" w:name="voluntaryfitment"/>
      <w:bookmarkEnd w:id="25"/>
      <w:r>
        <w:t>Voluntary fitment rates</w:t>
      </w:r>
    </w:p>
    <w:p w:rsidR="0099257F" w:rsidRDefault="0099257F" w:rsidP="0099257F">
      <w:r>
        <w:t>Where ABS is already being fitted to vehicles on a voluntary basis, neither the costs nor the benefits are included in the analysis as they become part of the Business as Usual (</w:t>
      </w:r>
      <w:r w:rsidR="007E301F">
        <w:t>BAU) case.  Currently, ADR 64—</w:t>
      </w:r>
      <w:r>
        <w:t>Heavy Goods Vehicles Designed for Use in Road Trains and B-Doubles, requires B-Double prime movers to be fitted with ABS (clause 64.5.2).</w:t>
      </w:r>
      <w:r w:rsidR="008A7C82">
        <w:t xml:space="preserve">  </w:t>
      </w:r>
      <w:r>
        <w:t xml:space="preserve">In addition, various state and territory legislation requires B-Double tanker type trailers that carry dangerous goods to be fitted with ABS as well.  It has been estimated that 20 per cent of all prime movers sold are designed for B-Double duty and so these would have ABS </w:t>
      </w:r>
      <w:r w:rsidR="00831C5D">
        <w:t>(Pearson et al, 2011)</w:t>
      </w:r>
      <w:r>
        <w:t xml:space="preserve">.  </w:t>
      </w:r>
      <w:proofErr w:type="gramStart"/>
      <w:r>
        <w:t>Conservatively, if this was extended to all B-Doubl</w:t>
      </w:r>
      <w:r w:rsidR="002A6A44">
        <w:t>e</w:t>
      </w:r>
      <w:r>
        <w:t xml:space="preserve"> trailers as well (with two trailers per B-Double), this would represent around 10 per cent of all trucks and trailers above 4.5 tonnes GVM (or ATM in the case of trailers).</w:t>
      </w:r>
      <w:proofErr w:type="gramEnd"/>
      <w:r>
        <w:t xml:space="preserve">  </w:t>
      </w:r>
    </w:p>
    <w:p w:rsidR="00041D18" w:rsidRDefault="0099257F" w:rsidP="0099257F">
      <w:r>
        <w:lastRenderedPageBreak/>
        <w:t xml:space="preserve">However, other industry sources estimate that upwards of 30 per cent of trucks and 20 per cent of trailers are being fitted with ABS.  Combined, these would represent around 26 per cent of all trucks and trailers above 4.5 tonnes.  As this value was higher than the B-Double estimation, it was used </w:t>
      </w:r>
      <w:r w:rsidR="000E2E78">
        <w:t xml:space="preserve">in preference.  </w:t>
      </w:r>
      <w:r w:rsidR="00E01557">
        <w:t>Further</w:t>
      </w:r>
      <w:r w:rsidR="000E2E78">
        <w:t>, given that the 26 per cent itself was only a</w:t>
      </w:r>
      <w:r w:rsidR="00E01557">
        <w:t>n</w:t>
      </w:r>
      <w:r w:rsidR="000E2E78">
        <w:t xml:space="preserve"> estimate, for the analysis the rate was </w:t>
      </w:r>
      <w:r w:rsidR="002C6DBC">
        <w:t>increased to 36</w:t>
      </w:r>
      <w:r w:rsidR="000E2E78">
        <w:t xml:space="preserve"> per cent in order to be as conservative as possible.  This was then used as</w:t>
      </w:r>
      <w:r>
        <w:t xml:space="preserve"> the current voluntary fitment rate of ABS for trucks and trailers. </w:t>
      </w:r>
      <w:r w:rsidR="006A2B6F">
        <w:t xml:space="preserve"> </w:t>
      </w:r>
      <w:r w:rsidR="006673EB">
        <w:t xml:space="preserve">Following the final consultation period in June 2013, industry estimated that for trucks the figure could be as high as 90 per cent voluntary fitment.  </w:t>
      </w:r>
    </w:p>
    <w:p w:rsidR="0099257F" w:rsidRDefault="00041D18" w:rsidP="0099257F">
      <w:r>
        <w:t xml:space="preserve">As </w:t>
      </w:r>
      <w:r w:rsidR="00B01667">
        <w:t xml:space="preserve">the 90 per cent was </w:t>
      </w:r>
      <w:r>
        <w:t xml:space="preserve">an alternative, but uncertain, voluntary fitment rate, the </w:t>
      </w:r>
      <w:r w:rsidR="00B01667">
        <w:t xml:space="preserve">existing analysis was maintained and the </w:t>
      </w:r>
      <w:r>
        <w:t>90 per cent figure was used t</w:t>
      </w:r>
      <w:r w:rsidR="00B01667">
        <w:t>o recalculate the benefits as a</w:t>
      </w:r>
      <w:r>
        <w:t xml:space="preserve"> </w:t>
      </w:r>
      <w:r w:rsidR="00B01667">
        <w:t>further possibility</w:t>
      </w:r>
      <w:r>
        <w:t xml:space="preserve">.  When combined with the trailer fitment rate, </w:t>
      </w:r>
      <w:r w:rsidR="00692E52">
        <w:t xml:space="preserve">the combined truck and trailer voluntary fitment rate </w:t>
      </w:r>
      <w:r>
        <w:t xml:space="preserve">would increase from 36 </w:t>
      </w:r>
      <w:r w:rsidR="00692E52">
        <w:t xml:space="preserve">to 60 per cent and so </w:t>
      </w:r>
      <w:r w:rsidR="006673EB">
        <w:t>reduce the net benefits</w:t>
      </w:r>
      <w:r>
        <w:t xml:space="preserve"> accordingly. As the</w:t>
      </w:r>
      <w:r w:rsidR="00B01667">
        <w:t xml:space="preserve"> primary cost of ABS is in the equipment and installation per vehicle, rather than in overheads (design, testing </w:t>
      </w:r>
      <w:proofErr w:type="spellStart"/>
      <w:r w:rsidR="00B01667">
        <w:t>etc</w:t>
      </w:r>
      <w:proofErr w:type="spellEnd"/>
      <w:r w:rsidR="00B01667">
        <w:t xml:space="preserve">) </w:t>
      </w:r>
      <w:r w:rsidR="006673EB">
        <w:t>the benefit-cost ratio</w:t>
      </w:r>
      <w:r w:rsidR="00692E52">
        <w:t xml:space="preserve"> </w:t>
      </w:r>
      <w:r w:rsidR="00B01667">
        <w:t>would not be affected by a change to the</w:t>
      </w:r>
      <w:r w:rsidR="00692E52">
        <w:t xml:space="preserve"> voluntary fitment rates</w:t>
      </w:r>
      <w:r w:rsidR="006673EB">
        <w:t>).</w:t>
      </w:r>
    </w:p>
    <w:p w:rsidR="0099257F" w:rsidRDefault="0099257F" w:rsidP="0099257F">
      <w:r>
        <w:t>Regarding buses, the majority of buses above 4.5 tonnes are required to have ABS w</w:t>
      </w:r>
      <w:r w:rsidR="00036579">
        <w:t>h</w:t>
      </w:r>
      <w:r>
        <w:t>ere they are subject to local government contract arrangements.  For the purposes of the analysis this was set to 90 per cent voluntary fitment rate.  In the case of buses, the majority of the benefit of a regulatory intervention would be to transfer local contract arrangements into national standards.  This would provide increases in administrative efficiency as the requirements for each bus model would be handled only once and on a national basis.</w:t>
      </w:r>
    </w:p>
    <w:p w:rsidR="00822EAF" w:rsidRDefault="0099257F" w:rsidP="00FA6B67">
      <w:r>
        <w:t xml:space="preserve">Therefore, calculations were started at the current estimated </w:t>
      </w:r>
      <w:r w:rsidR="00036579">
        <w:t xml:space="preserve">voluntary compliance rate of </w:t>
      </w:r>
      <w:r w:rsidR="002C6DBC">
        <w:t>36</w:t>
      </w:r>
      <w:r w:rsidR="009F569C">
        <w:t> </w:t>
      </w:r>
      <w:r w:rsidR="00036579">
        <w:t>per </w:t>
      </w:r>
      <w:r>
        <w:t>cent of all trucks and trailers above 4.5 tonnes and 90</w:t>
      </w:r>
      <w:r w:rsidR="00036579">
        <w:t> per </w:t>
      </w:r>
      <w:r>
        <w:t>cent of buses above 4.5 tonnes.</w:t>
      </w:r>
      <w:r w:rsidR="00F76555">
        <w:t xml:space="preserve"> </w:t>
      </w:r>
      <w:r w:rsidR="001D73FF">
        <w:t xml:space="preserve">Detailed results are shown in </w:t>
      </w:r>
      <w:r w:rsidR="00C036A7">
        <w:fldChar w:fldCharType="begin"/>
      </w:r>
      <w:r w:rsidR="001D73FF">
        <w:instrText xml:space="preserve"> REF _Ref343082701 \h </w:instrText>
      </w:r>
      <w:r w:rsidR="00C036A7">
        <w:fldChar w:fldCharType="separate"/>
      </w:r>
      <w:r w:rsidR="00546CD0">
        <w:t xml:space="preserve">Table </w:t>
      </w:r>
      <w:r w:rsidR="00546CD0">
        <w:rPr>
          <w:noProof/>
        </w:rPr>
        <w:t>10</w:t>
      </w:r>
      <w:r w:rsidR="00C036A7">
        <w:fldChar w:fldCharType="end"/>
      </w:r>
      <w:r w:rsidR="001D73FF">
        <w:t xml:space="preserve"> to </w:t>
      </w:r>
      <w:r w:rsidR="00C036A7">
        <w:fldChar w:fldCharType="begin"/>
      </w:r>
      <w:r w:rsidR="001D73FF">
        <w:instrText xml:space="preserve"> REF _Ref343082708 \h </w:instrText>
      </w:r>
      <w:r w:rsidR="00C036A7">
        <w:fldChar w:fldCharType="separate"/>
      </w:r>
      <w:r w:rsidR="00546CD0">
        <w:t xml:space="preserve">Table </w:t>
      </w:r>
      <w:r w:rsidR="00546CD0">
        <w:rPr>
          <w:noProof/>
        </w:rPr>
        <w:t>17</w:t>
      </w:r>
      <w:r w:rsidR="00C036A7">
        <w:fldChar w:fldCharType="end"/>
      </w:r>
      <w:r w:rsidR="001D73FF">
        <w:t xml:space="preserve"> of </w:t>
      </w:r>
      <w:r w:rsidR="00C036A7">
        <w:fldChar w:fldCharType="begin"/>
      </w:r>
      <w:r w:rsidR="001D73FF">
        <w:instrText xml:space="preserve"> REF _Ref343082733 \h </w:instrText>
      </w:r>
      <w:r w:rsidR="00C036A7">
        <w:fldChar w:fldCharType="separate"/>
      </w:r>
      <w:r w:rsidR="00546CD0">
        <w:t>Appendix 10—Benefit-Cost Analysis—Details of Results</w:t>
      </w:r>
      <w:r w:rsidR="00C036A7">
        <w:fldChar w:fldCharType="end"/>
      </w:r>
      <w:r w:rsidR="001D73FF">
        <w:t>.</w:t>
      </w:r>
      <w:r w:rsidR="00B01667">
        <w:t xml:space="preserve"> Note 2 </w:t>
      </w:r>
      <w:proofErr w:type="gramStart"/>
      <w:r w:rsidR="00B01667">
        <w:t>was</w:t>
      </w:r>
      <w:proofErr w:type="gramEnd"/>
      <w:r w:rsidR="00B01667">
        <w:t xml:space="preserve"> added to set out the changes to the benefits in the case of a 90 per cent fitment rate for trucks.</w:t>
      </w:r>
    </w:p>
    <w:p w:rsidR="00D90D47" w:rsidRDefault="00D90D47" w:rsidP="00D90D47">
      <w:pPr>
        <w:pStyle w:val="Caption"/>
        <w:keepNext/>
      </w:pPr>
      <w:bookmarkStart w:id="26" w:name="_Ref342900761"/>
      <w:bookmarkStart w:id="27" w:name="_Ref342900692"/>
      <w:r>
        <w:t xml:space="preserve">Table </w:t>
      </w:r>
      <w:r w:rsidR="00C036A7">
        <w:fldChar w:fldCharType="begin"/>
      </w:r>
      <w:r w:rsidR="00D05042">
        <w:instrText xml:space="preserve"> SEQ Table \* ARABIC </w:instrText>
      </w:r>
      <w:r w:rsidR="00C036A7">
        <w:fldChar w:fldCharType="separate"/>
      </w:r>
      <w:r w:rsidR="00546CD0">
        <w:rPr>
          <w:noProof/>
        </w:rPr>
        <w:t>5</w:t>
      </w:r>
      <w:r w:rsidR="00C036A7">
        <w:rPr>
          <w:noProof/>
        </w:rPr>
        <w:fldChar w:fldCharType="end"/>
      </w:r>
      <w:bookmarkEnd w:id="26"/>
      <w:r>
        <w:t xml:space="preserve"> Summary of </w:t>
      </w:r>
      <w:r w:rsidR="00A63C4A">
        <w:t xml:space="preserve">net benefits, BCRs and </w:t>
      </w:r>
      <w:r>
        <w:t xml:space="preserve">lives saved from the </w:t>
      </w:r>
      <w:r w:rsidR="00D66683">
        <w:t xml:space="preserve">regulation </w:t>
      </w:r>
      <w:r>
        <w:t xml:space="preserve">of ABS for heavy commercial vehicles </w:t>
      </w:r>
      <w:r w:rsidRPr="005C4B14">
        <w:t xml:space="preserve">over </w:t>
      </w:r>
      <w:r w:rsidR="0063188A" w:rsidRPr="00D851DE">
        <w:t xml:space="preserve">4 </w:t>
      </w:r>
      <w:r w:rsidRPr="005C4B14">
        <w:t>years</w:t>
      </w:r>
      <w:r w:rsidR="00D66683" w:rsidRPr="005C4B14">
        <w:t xml:space="preserve"> </w:t>
      </w:r>
      <w:r w:rsidRPr="005C4B14">
        <w:t>for</w:t>
      </w:r>
      <w:r>
        <w:t xml:space="preserve"> option 2</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A63C4A" w:rsidTr="006106D4">
        <w:tc>
          <w:tcPr>
            <w:tcW w:w="2310" w:type="dxa"/>
            <w:tcBorders>
              <w:top w:val="single" w:sz="8" w:space="0" w:color="auto"/>
              <w:bottom w:val="single" w:sz="8" w:space="0" w:color="auto"/>
            </w:tcBorders>
          </w:tcPr>
          <w:p w:rsidR="00A63C4A" w:rsidRDefault="00A63C4A" w:rsidP="00F00470">
            <w:pPr>
              <w:pStyle w:val="Table2"/>
            </w:pPr>
          </w:p>
        </w:tc>
        <w:tc>
          <w:tcPr>
            <w:tcW w:w="2310" w:type="dxa"/>
            <w:tcBorders>
              <w:top w:val="single" w:sz="8" w:space="0" w:color="auto"/>
              <w:bottom w:val="single" w:sz="8" w:space="0" w:color="auto"/>
            </w:tcBorders>
          </w:tcPr>
          <w:p w:rsidR="00A63C4A" w:rsidRDefault="00A63C4A" w:rsidP="00F00470">
            <w:pPr>
              <w:pStyle w:val="Table2heading"/>
            </w:pPr>
            <w:r>
              <w:t>Net benefits</w:t>
            </w:r>
            <w:r w:rsidR="006106D4">
              <w:t xml:space="preserve"> ($m)</w:t>
            </w:r>
          </w:p>
        </w:tc>
        <w:tc>
          <w:tcPr>
            <w:tcW w:w="2311" w:type="dxa"/>
            <w:tcBorders>
              <w:top w:val="single" w:sz="8" w:space="0" w:color="auto"/>
              <w:bottom w:val="single" w:sz="8" w:space="0" w:color="auto"/>
            </w:tcBorders>
          </w:tcPr>
          <w:p w:rsidR="00A63C4A" w:rsidRDefault="00A63C4A" w:rsidP="006106D4">
            <w:pPr>
              <w:pStyle w:val="Table2heading"/>
            </w:pPr>
            <w:r>
              <w:t>BCR</w:t>
            </w:r>
          </w:p>
        </w:tc>
        <w:tc>
          <w:tcPr>
            <w:tcW w:w="2311" w:type="dxa"/>
            <w:tcBorders>
              <w:top w:val="single" w:sz="8" w:space="0" w:color="auto"/>
              <w:bottom w:val="single" w:sz="8" w:space="0" w:color="auto"/>
            </w:tcBorders>
          </w:tcPr>
          <w:p w:rsidR="00A63C4A" w:rsidRDefault="00A63C4A" w:rsidP="00F00470">
            <w:pPr>
              <w:pStyle w:val="Table2heading"/>
            </w:pPr>
            <w:r>
              <w:t>Lives saved</w:t>
            </w:r>
          </w:p>
        </w:tc>
      </w:tr>
      <w:tr w:rsidR="002C6DBC" w:rsidTr="00B42DED">
        <w:tc>
          <w:tcPr>
            <w:tcW w:w="2310" w:type="dxa"/>
            <w:tcBorders>
              <w:top w:val="single" w:sz="8" w:space="0" w:color="auto"/>
            </w:tcBorders>
          </w:tcPr>
          <w:p w:rsidR="002C6DBC" w:rsidRDefault="002C6DBC" w:rsidP="006106D4">
            <w:pPr>
              <w:pStyle w:val="Table2heading"/>
              <w:jc w:val="left"/>
            </w:pPr>
            <w:r>
              <w:t>Best case</w:t>
            </w:r>
          </w:p>
        </w:tc>
        <w:tc>
          <w:tcPr>
            <w:tcW w:w="2310" w:type="dxa"/>
            <w:tcBorders>
              <w:top w:val="single" w:sz="8" w:space="0" w:color="auto"/>
            </w:tcBorders>
          </w:tcPr>
          <w:p w:rsidR="002C6DBC" w:rsidRDefault="007348C1" w:rsidP="00B42DED">
            <w:pPr>
              <w:pStyle w:val="Table2"/>
              <w:jc w:val="center"/>
            </w:pPr>
            <w:r>
              <w:t>354</w:t>
            </w:r>
          </w:p>
        </w:tc>
        <w:tc>
          <w:tcPr>
            <w:tcW w:w="2311" w:type="dxa"/>
            <w:tcBorders>
              <w:top w:val="single" w:sz="8" w:space="0" w:color="auto"/>
            </w:tcBorders>
          </w:tcPr>
          <w:p w:rsidR="002C6DBC" w:rsidRDefault="002C6DBC" w:rsidP="00B42DED">
            <w:pPr>
              <w:pStyle w:val="Table2"/>
              <w:jc w:val="center"/>
            </w:pPr>
            <w:r>
              <w:t>3.0</w:t>
            </w:r>
          </w:p>
        </w:tc>
        <w:tc>
          <w:tcPr>
            <w:tcW w:w="2311" w:type="dxa"/>
            <w:tcBorders>
              <w:top w:val="single" w:sz="8" w:space="0" w:color="auto"/>
            </w:tcBorders>
          </w:tcPr>
          <w:p w:rsidR="002C6DBC" w:rsidRDefault="002C6DBC" w:rsidP="00B42DED">
            <w:pPr>
              <w:pStyle w:val="Table2"/>
              <w:jc w:val="center"/>
            </w:pPr>
            <w:r>
              <w:t>84</w:t>
            </w:r>
          </w:p>
        </w:tc>
      </w:tr>
      <w:tr w:rsidR="002C6DBC" w:rsidTr="00B42DED">
        <w:tc>
          <w:tcPr>
            <w:tcW w:w="2310" w:type="dxa"/>
          </w:tcPr>
          <w:p w:rsidR="002C6DBC" w:rsidRDefault="002C6DBC" w:rsidP="006106D4">
            <w:pPr>
              <w:pStyle w:val="Table2heading"/>
              <w:jc w:val="left"/>
            </w:pPr>
            <w:r>
              <w:t>Likely case</w:t>
            </w:r>
          </w:p>
        </w:tc>
        <w:tc>
          <w:tcPr>
            <w:tcW w:w="2310" w:type="dxa"/>
          </w:tcPr>
          <w:p w:rsidR="002C6DBC" w:rsidRDefault="007348C1" w:rsidP="00B42DED">
            <w:pPr>
              <w:pStyle w:val="Table2"/>
              <w:jc w:val="center"/>
            </w:pPr>
            <w:r>
              <w:t>73</w:t>
            </w:r>
          </w:p>
        </w:tc>
        <w:tc>
          <w:tcPr>
            <w:tcW w:w="2311" w:type="dxa"/>
          </w:tcPr>
          <w:p w:rsidR="002C6DBC" w:rsidRDefault="002C6DBC" w:rsidP="00B42DED">
            <w:pPr>
              <w:pStyle w:val="Table2"/>
              <w:jc w:val="center"/>
            </w:pPr>
            <w:r w:rsidRPr="00C779B7">
              <w:t>1.</w:t>
            </w:r>
            <w:r>
              <w:t>5</w:t>
            </w:r>
          </w:p>
        </w:tc>
        <w:tc>
          <w:tcPr>
            <w:tcW w:w="2311" w:type="dxa"/>
          </w:tcPr>
          <w:p w:rsidR="002C6DBC" w:rsidRDefault="002C6DBC" w:rsidP="00B42DED">
            <w:pPr>
              <w:pStyle w:val="Table2"/>
              <w:jc w:val="center"/>
            </w:pPr>
            <w:r>
              <w:t>57</w:t>
            </w:r>
          </w:p>
        </w:tc>
      </w:tr>
      <w:tr w:rsidR="002C6DBC" w:rsidTr="00B42DED">
        <w:tc>
          <w:tcPr>
            <w:tcW w:w="2310" w:type="dxa"/>
            <w:tcBorders>
              <w:bottom w:val="single" w:sz="8" w:space="0" w:color="auto"/>
            </w:tcBorders>
          </w:tcPr>
          <w:p w:rsidR="002C6DBC" w:rsidRDefault="002C6DBC" w:rsidP="006106D4">
            <w:pPr>
              <w:pStyle w:val="Table2heading"/>
              <w:jc w:val="left"/>
            </w:pPr>
            <w:r>
              <w:t>Worst case</w:t>
            </w:r>
          </w:p>
        </w:tc>
        <w:tc>
          <w:tcPr>
            <w:tcW w:w="2310" w:type="dxa"/>
            <w:tcBorders>
              <w:bottom w:val="single" w:sz="8" w:space="0" w:color="auto"/>
            </w:tcBorders>
          </w:tcPr>
          <w:p w:rsidR="002C6DBC" w:rsidRDefault="002C6DBC" w:rsidP="00B42DED">
            <w:pPr>
              <w:pStyle w:val="Table2"/>
              <w:jc w:val="center"/>
            </w:pPr>
            <w:r w:rsidRPr="00C779B7">
              <w:t>-4</w:t>
            </w:r>
            <w:r>
              <w:t>5</w:t>
            </w:r>
          </w:p>
        </w:tc>
        <w:tc>
          <w:tcPr>
            <w:tcW w:w="2311" w:type="dxa"/>
            <w:tcBorders>
              <w:bottom w:val="single" w:sz="8" w:space="0" w:color="auto"/>
            </w:tcBorders>
          </w:tcPr>
          <w:p w:rsidR="002C6DBC" w:rsidRDefault="002C6DBC" w:rsidP="00B42DED">
            <w:pPr>
              <w:pStyle w:val="Table2"/>
              <w:jc w:val="center"/>
            </w:pPr>
            <w:r w:rsidRPr="00C779B7">
              <w:t>0.</w:t>
            </w:r>
            <w:r>
              <w:t>7</w:t>
            </w:r>
          </w:p>
        </w:tc>
        <w:tc>
          <w:tcPr>
            <w:tcW w:w="2311" w:type="dxa"/>
            <w:tcBorders>
              <w:bottom w:val="single" w:sz="8" w:space="0" w:color="auto"/>
            </w:tcBorders>
          </w:tcPr>
          <w:p w:rsidR="002C6DBC" w:rsidRDefault="002C6DBC" w:rsidP="00B42DED">
            <w:pPr>
              <w:pStyle w:val="Table2"/>
              <w:jc w:val="center"/>
            </w:pPr>
            <w:r>
              <w:t>31</w:t>
            </w:r>
          </w:p>
        </w:tc>
      </w:tr>
    </w:tbl>
    <w:p w:rsidR="00402A6C" w:rsidRDefault="00097278" w:rsidP="00402A6C">
      <w:pPr>
        <w:pStyle w:val="Table2"/>
      </w:pPr>
      <w:r>
        <w:t>Note</w:t>
      </w:r>
      <w:r w:rsidR="00D9750B">
        <w:t xml:space="preserve"> 1</w:t>
      </w:r>
      <w:r>
        <w:t>:</w:t>
      </w:r>
    </w:p>
    <w:p w:rsidR="002C6DBC" w:rsidRPr="00C779B7" w:rsidRDefault="002C6DBC" w:rsidP="002C6DBC">
      <w:pPr>
        <w:pStyle w:val="Table2"/>
      </w:pPr>
      <w:r w:rsidRPr="00C779B7">
        <w:t>Best case—</w:t>
      </w:r>
      <w:r>
        <w:t>4</w:t>
      </w:r>
      <w:r w:rsidRPr="00C779B7">
        <w:t xml:space="preserve">-year period; </w:t>
      </w:r>
      <w:r>
        <w:t>3</w:t>
      </w:r>
      <w:r w:rsidRPr="00C779B7">
        <w:t xml:space="preserve"> per cent discount rate; </w:t>
      </w:r>
      <w:r>
        <w:t>8</w:t>
      </w:r>
      <w:r w:rsidRPr="00C779B7">
        <w:t> per cent effectiveness of ABS</w:t>
      </w:r>
    </w:p>
    <w:p w:rsidR="002C6DBC" w:rsidRPr="00C779B7" w:rsidRDefault="002C6DBC" w:rsidP="002C6DBC">
      <w:pPr>
        <w:pStyle w:val="Table2"/>
      </w:pPr>
      <w:r w:rsidRPr="00C779B7">
        <w:t>Likely case—</w:t>
      </w:r>
      <w:r>
        <w:t>4</w:t>
      </w:r>
      <w:r w:rsidRPr="00C779B7">
        <w:t xml:space="preserve">-year period; </w:t>
      </w:r>
      <w:r>
        <w:t>7</w:t>
      </w:r>
      <w:r w:rsidRPr="00C779B7">
        <w:t> per cent discount rate; 5.5 per cent effectiveness of ABS</w:t>
      </w:r>
    </w:p>
    <w:p w:rsidR="002C6DBC" w:rsidRPr="0091640B" w:rsidRDefault="002C6DBC" w:rsidP="002C6DBC">
      <w:pPr>
        <w:pStyle w:val="Table2"/>
      </w:pPr>
      <w:r w:rsidRPr="0091640B">
        <w:t>Worst case—4-year period; 10 per cent discount rate; 3 per cent effectiveness of ABS</w:t>
      </w:r>
    </w:p>
    <w:p w:rsidR="00041D18" w:rsidRDefault="00041D18" w:rsidP="002C6DBC">
      <w:pPr>
        <w:pStyle w:val="Table2"/>
      </w:pPr>
    </w:p>
    <w:p w:rsidR="00D9750B" w:rsidRPr="00C779B7" w:rsidRDefault="00D9750B" w:rsidP="002C6DBC">
      <w:pPr>
        <w:pStyle w:val="Table2"/>
      </w:pPr>
      <w:r w:rsidRPr="0091640B">
        <w:t xml:space="preserve">Note 2: In the case of a 90 per cent voluntary fitment rate for trucks, this would translate to </w:t>
      </w:r>
      <w:r w:rsidR="0051142E" w:rsidRPr="0091640B">
        <w:t>60 per cent</w:t>
      </w:r>
      <w:r w:rsidRPr="0091640B">
        <w:t xml:space="preserve"> for truck/trailer combinations and so a reduction of </w:t>
      </w:r>
      <w:r w:rsidR="0051142E" w:rsidRPr="0091640B">
        <w:t>37</w:t>
      </w:r>
      <w:r w:rsidRPr="0091640B">
        <w:t xml:space="preserve"> per cent in gross benefits</w:t>
      </w:r>
      <w:r w:rsidR="0091640B">
        <w:t>.</w:t>
      </w:r>
      <w:r w:rsidR="00876158" w:rsidRPr="0091640B">
        <w:t xml:space="preserve"> The</w:t>
      </w:r>
      <w:r w:rsidR="0091640B">
        <w:t xml:space="preserve"> </w:t>
      </w:r>
      <w:r w:rsidR="00876158" w:rsidRPr="0091640B">
        <w:t xml:space="preserve">figures would then be for the Likely case </w:t>
      </w:r>
      <w:r w:rsidR="0051142E" w:rsidRPr="0091640B">
        <w:t>36</w:t>
      </w:r>
      <w:r w:rsidR="00876158" w:rsidRPr="0091640B">
        <w:t xml:space="preserve"> lives saved and a Net benefit of</w:t>
      </w:r>
      <w:r w:rsidR="0051142E" w:rsidRPr="0091640B">
        <w:t xml:space="preserve"> </w:t>
      </w:r>
      <w:r w:rsidR="006B285C" w:rsidRPr="0091640B">
        <w:t>$</w:t>
      </w:r>
      <w:r w:rsidR="0051142E" w:rsidRPr="0091640B">
        <w:t>46</w:t>
      </w:r>
      <w:r w:rsidR="006B285C" w:rsidRPr="0091640B">
        <w:t>m</w:t>
      </w:r>
      <w:r w:rsidR="00876158" w:rsidRPr="0091640B">
        <w:t>. The BCR would remain the same.</w:t>
      </w:r>
    </w:p>
    <w:p w:rsidR="002F0A52" w:rsidRDefault="002F0A52" w:rsidP="002F0A52">
      <w:pPr>
        <w:pStyle w:val="Caption"/>
        <w:keepNext/>
      </w:pPr>
      <w:r w:rsidRPr="00A1585D">
        <w:lastRenderedPageBreak/>
        <w:t xml:space="preserve">Figure </w:t>
      </w:r>
      <w:r w:rsidR="00C036A7">
        <w:fldChar w:fldCharType="begin"/>
      </w:r>
      <w:r w:rsidR="00D05042">
        <w:instrText xml:space="preserve"> SEQ Figure \* ARABIC </w:instrText>
      </w:r>
      <w:r w:rsidR="00C036A7">
        <w:fldChar w:fldCharType="separate"/>
      </w:r>
      <w:r w:rsidR="00546CD0">
        <w:rPr>
          <w:noProof/>
        </w:rPr>
        <w:t>2</w:t>
      </w:r>
      <w:r w:rsidR="00C036A7">
        <w:rPr>
          <w:noProof/>
        </w:rPr>
        <w:fldChar w:fldCharType="end"/>
      </w:r>
      <w:r w:rsidRPr="00A1585D">
        <w:t xml:space="preserve"> Option 2: amend ADRs 35 &amp; 38 to require ABS on heavy commercial vehicles</w:t>
      </w:r>
    </w:p>
    <w:p w:rsidR="00A1585D" w:rsidRPr="00A1585D" w:rsidRDefault="00A1585D" w:rsidP="00A1585D">
      <w:r>
        <w:rPr>
          <w:noProof/>
          <w:lang w:eastAsia="en-AU"/>
        </w:rPr>
        <w:drawing>
          <wp:inline distT="0" distB="0" distL="0" distR="0">
            <wp:extent cx="5953125" cy="3629025"/>
            <wp:effectExtent l="0" t="0" r="9525" b="9525"/>
            <wp:docPr id="28" name="Chart 28" descr="Costs occur in the first 4 years 2014-18, peaking at approximately $55m. Benefits start rising when costs start, plateau at 2018 and again at 2028, then decline to around zero at 2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4640" w:rsidRDefault="009169FE" w:rsidP="00CA1C1A">
      <w:r>
        <w:fldChar w:fldCharType="begin"/>
      </w:r>
      <w:r>
        <w:instrText xml:space="preserve"> REF _Ref342900761 \h  \* MERGEFORMAT </w:instrText>
      </w:r>
      <w:r>
        <w:fldChar w:fldCharType="separate"/>
      </w:r>
      <w:r w:rsidR="00546CD0">
        <w:t>Table 5</w:t>
      </w:r>
      <w:r>
        <w:fldChar w:fldCharType="end"/>
      </w:r>
      <w:r w:rsidR="002F0A52" w:rsidRPr="002C420A">
        <w:t xml:space="preserve"> shows that fitting ABS to heavy commercial vehicles would, in the likely case, result</w:t>
      </w:r>
      <w:r w:rsidR="002F0A52">
        <w:t xml:space="preserve"> in net benefits of </w:t>
      </w:r>
      <w:r w:rsidR="002F0A52" w:rsidRPr="002F0A52">
        <w:t>$</w:t>
      </w:r>
      <w:r w:rsidR="007348C1">
        <w:t>73</w:t>
      </w:r>
      <w:r w:rsidR="003B3389">
        <w:t>m</w:t>
      </w:r>
      <w:r w:rsidR="003B3389" w:rsidRPr="002F0A52">
        <w:t xml:space="preserve"> </w:t>
      </w:r>
      <w:r w:rsidR="002F0A52" w:rsidRPr="002F0A52">
        <w:t xml:space="preserve">as a result of a </w:t>
      </w:r>
      <w:r w:rsidR="003B3389">
        <w:t>4</w:t>
      </w:r>
      <w:r w:rsidR="002F0A52">
        <w:t>-</w:t>
      </w:r>
      <w:r w:rsidR="002F0A52" w:rsidRPr="002F0A52">
        <w:t xml:space="preserve">year period of implementing the amendments to ADRs 35 and 38.  There would be </w:t>
      </w:r>
      <w:r w:rsidR="003B3389">
        <w:t>5</w:t>
      </w:r>
      <w:r w:rsidR="002C6DBC">
        <w:t>7</w:t>
      </w:r>
      <w:r w:rsidR="003B3389" w:rsidRPr="002F0A52">
        <w:t xml:space="preserve"> </w:t>
      </w:r>
      <w:r w:rsidR="002F0A52" w:rsidRPr="002F0A52">
        <w:t xml:space="preserve">lives saved </w:t>
      </w:r>
      <w:r w:rsidR="003B3389">
        <w:t xml:space="preserve">over the subsequent </w:t>
      </w:r>
      <w:r w:rsidR="002C6DBC">
        <w:t>26</w:t>
      </w:r>
      <w:r w:rsidR="003B3389">
        <w:t xml:space="preserve"> years </w:t>
      </w:r>
      <w:r w:rsidR="002F0A52" w:rsidRPr="002F0A52">
        <w:t xml:space="preserve">and the </w:t>
      </w:r>
      <w:r w:rsidR="002F0A52">
        <w:t>BCR</w:t>
      </w:r>
      <w:r w:rsidR="002F0A52" w:rsidRPr="002F0A52">
        <w:t xml:space="preserve"> would be positive, indicating that in monetary terms the community would receive more benefits that it costs to implement the option.</w:t>
      </w:r>
      <w:r w:rsidR="00B549E2">
        <w:t xml:space="preserve">  </w:t>
      </w:r>
    </w:p>
    <w:p w:rsidR="008B6711" w:rsidRDefault="00163AA1" w:rsidP="00A1585D">
      <w:r w:rsidRPr="00163AA1">
        <w:t xml:space="preserve">The graph results display the distribution of the benefits and costs over time.  The costs are a step function as mandatory requirements come in end 2013/start 2014.  These then slowly increase in line with an increasing fleet size and finally after </w:t>
      </w:r>
      <w:r w:rsidR="00AF675A">
        <w:t>4</w:t>
      </w:r>
      <w:r w:rsidR="00AF675A" w:rsidRPr="00163AA1">
        <w:t xml:space="preserve"> </w:t>
      </w:r>
      <w:r w:rsidRPr="00163AA1">
        <w:t xml:space="preserve">years the regulation is </w:t>
      </w:r>
      <w:r w:rsidR="00AF675A">
        <w:t>likely replaced, in line with Phase II of the NHVBS</w:t>
      </w:r>
      <w:r w:rsidRPr="00163AA1">
        <w:t>.  The benefits begin flowing as new vehicles are fitted with ABS and peak sometime after the regulation is removed.</w:t>
      </w:r>
    </w:p>
    <w:p w:rsidR="009A7567" w:rsidRDefault="00560982" w:rsidP="00A1585D">
      <w:r>
        <w:t xml:space="preserve">As discussed in section </w:t>
      </w:r>
      <w:r w:rsidR="00C036A7">
        <w:fldChar w:fldCharType="begin"/>
      </w:r>
      <w:r>
        <w:instrText xml:space="preserve"> REF _Ref347348899 \r \p \h </w:instrText>
      </w:r>
      <w:r w:rsidR="00C036A7">
        <w:fldChar w:fldCharType="separate"/>
      </w:r>
      <w:r w:rsidR="00546CD0">
        <w:t>5.2 above</w:t>
      </w:r>
      <w:r w:rsidR="00C036A7">
        <w:fldChar w:fldCharType="end"/>
      </w:r>
      <w:r>
        <w:t>, i</w:t>
      </w:r>
      <w:r w:rsidR="008B6711">
        <w:t xml:space="preserve">f </w:t>
      </w:r>
      <w:r w:rsidR="009A7567">
        <w:t xml:space="preserve">as per Option 2(a) </w:t>
      </w:r>
      <w:r w:rsidR="008B6711">
        <w:t>all trailers</w:t>
      </w:r>
      <w:r>
        <w:t xml:space="preserve"> were fitted with LP systems instead of ABS, a</w:t>
      </w:r>
      <w:r w:rsidR="00D66683">
        <w:t xml:space="preserve"> very approximate</w:t>
      </w:r>
      <w:r>
        <w:t xml:space="preserve"> reduction of 37 per cent of net benefits could be </w:t>
      </w:r>
      <w:r w:rsidR="00B5481B">
        <w:t>estimated</w:t>
      </w:r>
      <w:r>
        <w:t xml:space="preserve"> –</w:t>
      </w:r>
      <w:r w:rsidR="00D66683">
        <w:t xml:space="preserve"> an accurate figure would not be possible given that effectiveness of LP </w:t>
      </w:r>
      <w:r w:rsidR="009A7567">
        <w:t>was</w:t>
      </w:r>
      <w:r w:rsidR="00D66683">
        <w:t xml:space="preserve"> not able to be quantified</w:t>
      </w:r>
      <w:r>
        <w:t>.</w:t>
      </w:r>
      <w:r w:rsidR="00D66683">
        <w:t xml:space="preserve">  In this scenario, the net benefits would reduce</w:t>
      </w:r>
      <w:r w:rsidR="00FC171B">
        <w:t xml:space="preserve"> from $73</w:t>
      </w:r>
      <w:r w:rsidR="00D66683">
        <w:t>m to $</w:t>
      </w:r>
      <w:r w:rsidR="001A1CE6">
        <w:t>46</w:t>
      </w:r>
      <w:r w:rsidR="00D66683">
        <w:t xml:space="preserve">m while the lives saved would be </w:t>
      </w:r>
      <w:r w:rsidR="001A1CE6">
        <w:t>36</w:t>
      </w:r>
      <w:r w:rsidR="00D66683">
        <w:t xml:space="preserve"> instead of 57.</w:t>
      </w:r>
      <w:r w:rsidR="00B5481B">
        <w:t xml:space="preserve">  As also discussed, one way to </w:t>
      </w:r>
      <w:r w:rsidR="009A7567">
        <w:t>deal with</w:t>
      </w:r>
      <w:r w:rsidR="00B5481B">
        <w:t xml:space="preserve"> this</w:t>
      </w:r>
      <w:r w:rsidR="009A7567">
        <w:t xml:space="preserve"> possibility</w:t>
      </w:r>
      <w:r w:rsidR="00B5481B">
        <w:t xml:space="preserve"> is to </w:t>
      </w:r>
      <w:r w:rsidR="00194541">
        <w:t xml:space="preserve">simply </w:t>
      </w:r>
      <w:r w:rsidR="00B5481B">
        <w:t xml:space="preserve">acknowledge that LP systems used correctly will improve braking stability and provide gross benefits to the community.  It then becomes an industry choice whether to fit ABS with its demonstrated net benefits or accept the cost – whatever it </w:t>
      </w:r>
      <w:r w:rsidR="00194541">
        <w:t>may be</w:t>
      </w:r>
      <w:r w:rsidR="00B5481B">
        <w:t>, to provide LP with its gross benefits</w:t>
      </w:r>
      <w:r w:rsidR="00194541">
        <w:t xml:space="preserve">.  </w:t>
      </w:r>
    </w:p>
    <w:p w:rsidR="008902BD" w:rsidRDefault="00194541" w:rsidP="00A1585D">
      <w:pPr>
        <w:rPr>
          <w:u w:val="single"/>
        </w:rPr>
      </w:pPr>
      <w:r>
        <w:lastRenderedPageBreak/>
        <w:t>In other words,</w:t>
      </w:r>
      <w:r w:rsidR="00B5481B">
        <w:t xml:space="preserve"> the community </w:t>
      </w:r>
      <w:r w:rsidR="009A7567">
        <w:t>would</w:t>
      </w:r>
      <w:r>
        <w:t xml:space="preserve"> benefit to some degree,</w:t>
      </w:r>
      <w:r w:rsidR="00B5481B">
        <w:t xml:space="preserve"> but there is no guarantee that </w:t>
      </w:r>
      <w:r>
        <w:t>this</w:t>
      </w:r>
      <w:r w:rsidR="00B5481B">
        <w:t xml:space="preserve"> </w:t>
      </w:r>
      <w:r w:rsidR="009A7567">
        <w:t xml:space="preserve">would </w:t>
      </w:r>
      <w:r w:rsidR="00B5481B">
        <w:t xml:space="preserve">outweigh the resulting cost to industry – however </w:t>
      </w:r>
      <w:r>
        <w:t>this</w:t>
      </w:r>
      <w:r w:rsidR="00B5481B">
        <w:t xml:space="preserve"> would </w:t>
      </w:r>
      <w:r w:rsidR="009A7567">
        <w:t>remain</w:t>
      </w:r>
      <w:r w:rsidR="00B5481B">
        <w:t xml:space="preserve"> industry’s choice.</w:t>
      </w:r>
    </w:p>
    <w:p w:rsidR="003E5EF3" w:rsidRPr="00B549E2" w:rsidRDefault="003E5EF3" w:rsidP="003E5EF3">
      <w:pPr>
        <w:pStyle w:val="underlinedleft"/>
      </w:pPr>
      <w:bookmarkStart w:id="28" w:name="sensitivty"/>
      <w:bookmarkEnd w:id="28"/>
      <w:r w:rsidRPr="00B549E2">
        <w:t>Sensitivity Analysis</w:t>
      </w:r>
    </w:p>
    <w:p w:rsidR="003E5EF3" w:rsidRDefault="003E5EF3" w:rsidP="003E5EF3">
      <w:r w:rsidRPr="00B549E2">
        <w:t xml:space="preserve">A sensitivity analysis was carried out to determine the effect on the outcome of some of the less certain inputs to the benefit-cost analysis. </w:t>
      </w:r>
    </w:p>
    <w:p w:rsidR="00B549E2" w:rsidRPr="00B549E2" w:rsidRDefault="00B549E2" w:rsidP="00B549E2">
      <w:pPr>
        <w:widowControl w:val="0"/>
        <w:ind w:right="-357"/>
      </w:pPr>
      <w:r w:rsidRPr="00B549E2">
        <w:t>The cost of ABS was as provided by industry and so considered reasonably accurate.  As noted above, the discount rate was varied f</w:t>
      </w:r>
      <w:r>
        <w:t>rom between three per cent up to 10 per </w:t>
      </w:r>
      <w:r w:rsidRPr="00B549E2">
        <w:t xml:space="preserve">cent.  The voluntary fitment rates under the BAU case were also considered to be </w:t>
      </w:r>
      <w:r w:rsidR="00AF675A">
        <w:t>extremely conservative</w:t>
      </w:r>
      <w:r w:rsidR="00343762">
        <w:t xml:space="preserve"> (having been </w:t>
      </w:r>
      <w:r w:rsidR="002C6DBC">
        <w:t>increased significantly</w:t>
      </w:r>
      <w:r w:rsidR="00343762">
        <w:t xml:space="preserve"> from the</w:t>
      </w:r>
      <w:r w:rsidR="007348C1">
        <w:t>ir</w:t>
      </w:r>
      <w:r w:rsidR="00343762">
        <w:t xml:space="preserve"> current value)</w:t>
      </w:r>
      <w:r w:rsidR="00AF675A">
        <w:t>, especially as</w:t>
      </w:r>
      <w:r w:rsidRPr="00B549E2">
        <w:t xml:space="preserve"> heavy commercial vehicles </w:t>
      </w:r>
      <w:r w:rsidR="00343762">
        <w:t xml:space="preserve">are </w:t>
      </w:r>
      <w:r w:rsidRPr="00B549E2">
        <w:t xml:space="preserve">much less likely to </w:t>
      </w:r>
      <w:r w:rsidR="00AF675A">
        <w:t xml:space="preserve">adopt </w:t>
      </w:r>
      <w:r w:rsidR="00343762">
        <w:t>ABS</w:t>
      </w:r>
      <w:r w:rsidR="00AF675A" w:rsidRPr="00B549E2">
        <w:t xml:space="preserve"> </w:t>
      </w:r>
      <w:r w:rsidRPr="00B549E2">
        <w:t>than passenger cars etc.</w:t>
      </w:r>
      <w:r w:rsidR="00D9750B">
        <w:t xml:space="preserve">  However as noted earlier, and following a further round of consultation in June 2013, industry estimated that for trucks the figure could be as high as 90 per cent voluntary fitment.  Although the net benefits were not recalculated </w:t>
      </w:r>
      <w:r w:rsidR="00D03F1A">
        <w:t xml:space="preserve">in full </w:t>
      </w:r>
      <w:r w:rsidR="00D9750B">
        <w:t>for this scenario, it was subsequently noted in the results that this could reduce the net benefits</w:t>
      </w:r>
      <w:r w:rsidR="00D03F1A">
        <w:t xml:space="preserve"> for the </w:t>
      </w:r>
      <w:r w:rsidR="00D03F1A" w:rsidRPr="0091640B">
        <w:t xml:space="preserve">Likely case </w:t>
      </w:r>
      <w:r w:rsidR="00D03F1A">
        <w:t xml:space="preserve">to </w:t>
      </w:r>
      <w:r w:rsidR="00D03F1A" w:rsidRPr="0091640B">
        <w:t>36 lives saved and a Net benefit of $46m. The BCR would remain the same.</w:t>
      </w:r>
    </w:p>
    <w:p w:rsidR="00B549E2" w:rsidRDefault="00B549E2" w:rsidP="00B549E2">
      <w:r w:rsidRPr="00B549E2">
        <w:t xml:space="preserve">The two </w:t>
      </w:r>
      <w:r w:rsidR="00040092">
        <w:t xml:space="preserve">other </w:t>
      </w:r>
      <w:r w:rsidRPr="00B549E2">
        <w:t xml:space="preserve">variables likely to change are the fleet growth prediction and the effectiveness of ABS.  In the first case and to be very conservative, the prediction was halved from </w:t>
      </w:r>
      <w:r>
        <w:t>eight</w:t>
      </w:r>
      <w:r w:rsidRPr="00B549E2">
        <w:t xml:space="preserve"> to </w:t>
      </w:r>
      <w:r>
        <w:t>four per </w:t>
      </w:r>
      <w:r w:rsidRPr="00B549E2">
        <w:t xml:space="preserve">cent for all calculations. For the second, the effectiveness was varied between </w:t>
      </w:r>
      <w:r>
        <w:t xml:space="preserve">three </w:t>
      </w:r>
      <w:r w:rsidRPr="00B549E2">
        <w:t xml:space="preserve">and </w:t>
      </w:r>
      <w:r>
        <w:t>eight per </w:t>
      </w:r>
      <w:r w:rsidRPr="00B549E2">
        <w:t xml:space="preserve">cent.  The results indicated that the net benefits would become negative only in the worst case scenario.  Although this scenario represents a potential loss, this risk was not considered significant when compared </w:t>
      </w:r>
      <w:r>
        <w:t>with</w:t>
      </w:r>
      <w:r w:rsidRPr="00B549E2">
        <w:t xml:space="preserve"> the </w:t>
      </w:r>
      <w:r>
        <w:t>l</w:t>
      </w:r>
      <w:r w:rsidRPr="00B549E2">
        <w:t>ikely case of $</w:t>
      </w:r>
      <w:r w:rsidR="007348C1">
        <w:t>73</w:t>
      </w:r>
      <w:r w:rsidR="003E4D19" w:rsidRPr="00B549E2">
        <w:t xml:space="preserve">m </w:t>
      </w:r>
      <w:r w:rsidRPr="00B549E2">
        <w:t>in positive benefit.</w:t>
      </w:r>
    </w:p>
    <w:p w:rsidR="003B05FA" w:rsidRPr="00B549E2" w:rsidRDefault="003B05FA" w:rsidP="00B549E2">
      <w:r>
        <w:t xml:space="preserve">The results are shown at </w:t>
      </w:r>
      <w:r w:rsidR="00C036A7">
        <w:fldChar w:fldCharType="begin"/>
      </w:r>
      <w:r>
        <w:instrText xml:space="preserve"> REF _Ref343074812 \h </w:instrText>
      </w:r>
      <w:r w:rsidR="00C036A7">
        <w:fldChar w:fldCharType="separate"/>
      </w:r>
      <w:r w:rsidR="00546CD0">
        <w:t>Appendix 10—Benefit-Cost Analysis—Details of Results</w:t>
      </w:r>
      <w:r w:rsidR="00C036A7">
        <w:fldChar w:fldCharType="end"/>
      </w:r>
      <w:r>
        <w:t>.</w:t>
      </w:r>
    </w:p>
    <w:p w:rsidR="00C109C3" w:rsidRDefault="00C109C3" w:rsidP="00C109C3">
      <w:r>
        <w:t xml:space="preserve">The </w:t>
      </w:r>
      <w:r w:rsidR="00E35CEB">
        <w:t xml:space="preserve">analysis for the </w:t>
      </w:r>
      <w:r>
        <w:t>likely case assigns a 5.5 per cent effectiveness to ABS technology as well as a seven per cent discount rate</w:t>
      </w:r>
      <w:r w:rsidR="00E35CEB">
        <w:t>.</w:t>
      </w:r>
    </w:p>
    <w:p w:rsidR="00C109C3" w:rsidRDefault="00C109C3" w:rsidP="00C109C3">
      <w:r>
        <w:t xml:space="preserve">The range of effectiveness of ABS for heavy commercial vehicles was potentially quite broad according to the available research.  The available Australian research was extremely relevant to the Australian context, but was somewhat out of date.  On the other hand, the US research was current but less relevant in the Australian context.  The </w:t>
      </w:r>
      <w:r w:rsidR="00434F17">
        <w:t>l</w:t>
      </w:r>
      <w:r>
        <w:t>ikely case was set at 5.5</w:t>
      </w:r>
      <w:r w:rsidR="00434F17">
        <w:t> </w:t>
      </w:r>
      <w:r>
        <w:t>per</w:t>
      </w:r>
      <w:r w:rsidR="00434F17">
        <w:t> </w:t>
      </w:r>
      <w:r>
        <w:t xml:space="preserve">cent, which is a value halfway between the two.  Details of effectiveness can be found at </w:t>
      </w:r>
      <w:r w:rsidR="00C036A7">
        <w:fldChar w:fldCharType="begin"/>
      </w:r>
      <w:r w:rsidR="00C5059D">
        <w:instrText xml:space="preserve"> REF _Ref342903888 \h </w:instrText>
      </w:r>
      <w:r w:rsidR="00C036A7">
        <w:fldChar w:fldCharType="separate"/>
      </w:r>
      <w:r w:rsidR="00546CD0" w:rsidRPr="00B137C0">
        <w:t>Appendix 11—Effectiveness of Antilock Braking System Technology for Heavy Vehicles</w:t>
      </w:r>
      <w:r w:rsidR="00C036A7">
        <w:fldChar w:fldCharType="end"/>
      </w:r>
      <w:r w:rsidR="00C5059D">
        <w:t xml:space="preserve">.  </w:t>
      </w:r>
      <w:r>
        <w:t xml:space="preserve">The </w:t>
      </w:r>
      <w:r w:rsidR="00C5059D">
        <w:t>b</w:t>
      </w:r>
      <w:r>
        <w:t xml:space="preserve">est case and </w:t>
      </w:r>
      <w:r w:rsidR="00C5059D">
        <w:t>w</w:t>
      </w:r>
      <w:r>
        <w:t xml:space="preserve">orst case show that net benefits could </w:t>
      </w:r>
      <w:r w:rsidR="00077A49">
        <w:t>reach $354</w:t>
      </w:r>
      <w:r w:rsidR="003E4D19">
        <w:t>m</w:t>
      </w:r>
      <w:r>
        <w:t xml:space="preserve"> or drop to negative</w:t>
      </w:r>
      <w:r w:rsidR="003E4D19">
        <w:t xml:space="preserve"> </w:t>
      </w:r>
      <w:r w:rsidR="005E7665">
        <w:t>(</w:t>
      </w:r>
      <w:r w:rsidR="005E7665">
        <w:noBreakHyphen/>
      </w:r>
      <w:r>
        <w:t>4</w:t>
      </w:r>
      <w:r w:rsidR="00077A49">
        <w:t>5</w:t>
      </w:r>
      <w:r>
        <w:t xml:space="preserve">m) but it is argued that in all cases ABS does have a gross benefit in reducing road trauma and that industry is willing to support improved braking performance as a result. </w:t>
      </w:r>
    </w:p>
    <w:p w:rsidR="00C109C3" w:rsidRDefault="00C109C3" w:rsidP="00C109C3">
      <w:r>
        <w:t>The current voluntary compliance rate (fitting of ABS) was discussed earlier and while a</w:t>
      </w:r>
      <w:r w:rsidR="003E4D19">
        <w:t xml:space="preserve"> further</w:t>
      </w:r>
      <w:r>
        <w:t xml:space="preserve"> increase in the estimated voluntary rate would reduce the net benefits, they could never be negative for the </w:t>
      </w:r>
      <w:r w:rsidR="00E16DF0">
        <w:t>l</w:t>
      </w:r>
      <w:r>
        <w:t xml:space="preserve">ikely case, nor could the </w:t>
      </w:r>
      <w:r w:rsidR="00E16DF0">
        <w:t xml:space="preserve">BCR </w:t>
      </w:r>
      <w:r>
        <w:t>change.</w:t>
      </w:r>
    </w:p>
    <w:p w:rsidR="00CA1C1A" w:rsidRDefault="00CA1C1A" w:rsidP="00CA1C1A">
      <w:pPr>
        <w:pStyle w:val="Heading2"/>
      </w:pPr>
      <w:r>
        <w:lastRenderedPageBreak/>
        <w:t>Technical considerations</w:t>
      </w:r>
    </w:p>
    <w:p w:rsidR="00985AAD" w:rsidRDefault="00835D11" w:rsidP="00985AAD">
      <w:r>
        <w:t>Part of the</w:t>
      </w:r>
      <w:r w:rsidR="00985AAD">
        <w:t xml:space="preserve"> objective of </w:t>
      </w:r>
      <w:r>
        <w:t>the proposal</w:t>
      </w:r>
      <w:r w:rsidR="00985AAD">
        <w:t xml:space="preserve"> is to ensure that any new or amended ADR requirements do not present a technical barrier to vehicle manufacturers wishing to supply Australia with new vehicles meeting a higher level of safety.</w:t>
      </w:r>
    </w:p>
    <w:p w:rsidR="00985AAD" w:rsidRDefault="00985AAD" w:rsidP="00985AAD">
      <w:r>
        <w:t xml:space="preserve">It had been discussed earlier that ADRs 35 and 38 have previously been reviewed and amended to better harmonise with international regulations, specifically </w:t>
      </w:r>
      <w:r w:rsidR="00A22B90">
        <w:t>R 13</w:t>
      </w:r>
      <w:r w:rsidR="00A52A92">
        <w:t>.  R 13</w:t>
      </w:r>
      <w:r>
        <w:t xml:space="preserve"> is listed as an alternative standard for both ADRs 35 and 38, with minor additional requirements only needed for those vehicles used in road train operation and in the operation of the parking brake system, in order to deal with uniquely Australian vehicle configurations and operation.  Further alignment of ADRs 35 and 38 with the latest version of </w:t>
      </w:r>
      <w:r w:rsidR="00DD3193">
        <w:t>R </w:t>
      </w:r>
      <w:r>
        <w:t>13 is being considered under this RIS, with the focus on mandating the fitment of ABS.</w:t>
      </w:r>
    </w:p>
    <w:p w:rsidR="00985AAD" w:rsidRDefault="00985AAD" w:rsidP="00985AAD">
      <w:r>
        <w:t xml:space="preserve">The heavy commercial vehicle market in Australia is dominated by European and US designs, particularly with respect to rigid trucks, prime movers and buses. In the past the balance was heavily weighted towards US designs, but this is no longer the case.  European design vehicles are fully compatible with </w:t>
      </w:r>
      <w:r w:rsidR="00055B2F">
        <w:t>R </w:t>
      </w:r>
      <w:r>
        <w:t xml:space="preserve">13 and so it would be relatively straightforward to adopt particular </w:t>
      </w:r>
      <w:r w:rsidRPr="00247CCC">
        <w:t>UNECE requirements</w:t>
      </w:r>
      <w:r>
        <w:t xml:space="preserve"> for these vehicles.</w:t>
      </w:r>
    </w:p>
    <w:p w:rsidR="00985AAD" w:rsidRDefault="00985AAD" w:rsidP="00985AAD">
      <w:r>
        <w:t xml:space="preserve">While it would be less straightforward for US design vehicles, ABS has already been mandated there for a number of years. </w:t>
      </w:r>
      <w:r w:rsidR="00C25136">
        <w:t xml:space="preserve"> </w:t>
      </w:r>
      <w:r>
        <w:t>More recently, the National Highway Traffic Safety Administration (NHTSA) in the US acknowledged the use of sophisticated el</w:t>
      </w:r>
      <w:r w:rsidR="00C25136">
        <w:t xml:space="preserve">ectronic braking systems under </w:t>
      </w:r>
      <w:r>
        <w:t>R</w:t>
      </w:r>
      <w:r w:rsidR="00C25136">
        <w:t> </w:t>
      </w:r>
      <w:r>
        <w:t xml:space="preserve">13 and commissioned research into the use of these systems in the US </w:t>
      </w:r>
      <w:r w:rsidR="00C25136" w:rsidRPr="003C7B50">
        <w:t>(</w:t>
      </w:r>
      <w:proofErr w:type="spellStart"/>
      <w:r w:rsidR="00C25136" w:rsidRPr="003C7B50">
        <w:t>Esber</w:t>
      </w:r>
      <w:proofErr w:type="spellEnd"/>
      <w:r w:rsidR="00C25136" w:rsidRPr="003C7B50">
        <w:t xml:space="preserve"> et al, 2007).  </w:t>
      </w:r>
      <w:r w:rsidRPr="003C7B50">
        <w:t>Such</w:t>
      </w:r>
      <w:r>
        <w:t xml:space="preserve"> systems are the subject of Phase II of the NHVBS, but nonetheless this indicates the recognition of regulatory authorities in the US that UNECE R13 compatible technology will be making its way int</w:t>
      </w:r>
      <w:r w:rsidR="00C25136">
        <w:t xml:space="preserve">o the US market in the future. </w:t>
      </w:r>
    </w:p>
    <w:p w:rsidR="00985AAD" w:rsidRDefault="00985AAD" w:rsidP="00985AAD">
      <w:r>
        <w:t>In short, specifying international requirements in the ADRs, as taken from R</w:t>
      </w:r>
      <w:r w:rsidR="00441FDF">
        <w:t> </w:t>
      </w:r>
      <w:r>
        <w:t>13, would minimise the impact to Australian manufacturers and suppliers.</w:t>
      </w:r>
    </w:p>
    <w:p w:rsidR="006D10B0" w:rsidRDefault="007021B4" w:rsidP="006D10B0">
      <w:pPr>
        <w:pStyle w:val="Heading3"/>
      </w:pPr>
      <w:r>
        <w:t>Details of the proposed changes</w:t>
      </w:r>
    </w:p>
    <w:p w:rsidR="007021B4" w:rsidRPr="004C7E6E" w:rsidRDefault="007021B4" w:rsidP="004C7E6E">
      <w:pPr>
        <w:tabs>
          <w:tab w:val="clear" w:pos="851"/>
        </w:tabs>
        <w:spacing w:before="0" w:after="200" w:line="276" w:lineRule="auto"/>
        <w:rPr>
          <w:b/>
          <w:bCs/>
          <w:sz w:val="18"/>
          <w:szCs w:val="18"/>
        </w:rPr>
      </w:pPr>
      <w:r>
        <w:t xml:space="preserve">The NHVBS Phase I details as developed through the SVSEG/TLG process contain a number of other minor proposed changes to ADRs 35 and 38.  These were set out in </w:t>
      </w:r>
      <w:r w:rsidR="00C036A7">
        <w:fldChar w:fldCharType="begin"/>
      </w:r>
      <w:r w:rsidR="00376EC5">
        <w:instrText xml:space="preserve"> REF _Ref350419820 \h </w:instrText>
      </w:r>
      <w:r w:rsidR="00C036A7">
        <w:fldChar w:fldCharType="separate"/>
      </w:r>
      <w:r w:rsidR="00546CD0">
        <w:t xml:space="preserve">Table </w:t>
      </w:r>
      <w:r w:rsidR="00546CD0">
        <w:rPr>
          <w:noProof/>
        </w:rPr>
        <w:t>2</w:t>
      </w:r>
      <w:r w:rsidR="00C036A7">
        <w:fldChar w:fldCharType="end"/>
      </w:r>
      <w:r w:rsidR="00376EC5">
        <w:t xml:space="preserve"> </w:t>
      </w:r>
      <w:r>
        <w:t>earlier in the RIS and are discussed in more detail further below.</w:t>
      </w:r>
    </w:p>
    <w:p w:rsidR="007021B4" w:rsidRDefault="007021B4" w:rsidP="007021B4">
      <w:pPr>
        <w:pStyle w:val="Heading4"/>
      </w:pPr>
      <w:bookmarkStart w:id="29" w:name="_Ref342914844"/>
      <w:r w:rsidRPr="00E03521">
        <w:t>No need to meet unladen compatibility limits if ABS fitted</w:t>
      </w:r>
      <w:r>
        <w:t>—t</w:t>
      </w:r>
      <w:r w:rsidRPr="00E03521">
        <w:t xml:space="preserve">his is a relaxation of current ADR requirement as it allows </w:t>
      </w:r>
      <w:bookmarkEnd w:id="29"/>
      <w:r w:rsidR="000C6DE5" w:rsidRPr="006F0550">
        <w:t>ABS in lieu of unladen compatibility.</w:t>
      </w:r>
      <w:r w:rsidR="00AD7FC5">
        <w:t xml:space="preserve"> </w:t>
      </w:r>
      <w:r w:rsidR="000C6DE5" w:rsidRPr="006F0550">
        <w:t xml:space="preserve"> This aligns with R 13.  The unladen state is a relatively low risk vehicle configuration for braking, provided ABS protects the wheels from locking.</w:t>
      </w:r>
    </w:p>
    <w:p w:rsidR="00184DC4" w:rsidRDefault="00F8475D" w:rsidP="00F8475D">
      <w:pPr>
        <w:pStyle w:val="Heading4"/>
      </w:pPr>
      <w:bookmarkStart w:id="30" w:name="ABSoffswitch1"/>
      <w:bookmarkStart w:id="31" w:name="_Ref342914852"/>
      <w:bookmarkEnd w:id="30"/>
      <w:r w:rsidRPr="00F054C2">
        <w:t>ABS off switch for off-road or road train</w:t>
      </w:r>
      <w:r w:rsidR="000C2BF1">
        <w:t>—t</w:t>
      </w:r>
      <w:r w:rsidRPr="00F054C2">
        <w:t>his was an early recommendation but industry ha</w:t>
      </w:r>
      <w:r w:rsidR="003960EE">
        <w:t xml:space="preserve">d subsequently </w:t>
      </w:r>
      <w:r w:rsidRPr="00F054C2">
        <w:t>indicated that systems are now capable of handling unsealed road conditions that some road trains may operate on.  However, it ha</w:t>
      </w:r>
      <w:r w:rsidR="003960EE">
        <w:t>d</w:t>
      </w:r>
      <w:r w:rsidRPr="00F054C2">
        <w:t xml:space="preserve"> been agreed that genuine off-road design vehicles should be able to switch off ABS when conditions dic</w:t>
      </w:r>
      <w:r w:rsidR="00834206">
        <w:t xml:space="preserve">tate and this </w:t>
      </w:r>
      <w:r w:rsidR="00834206">
        <w:lastRenderedPageBreak/>
        <w:t xml:space="preserve">aligns with the </w:t>
      </w:r>
      <w:r w:rsidRPr="00F054C2">
        <w:t>R</w:t>
      </w:r>
      <w:r w:rsidR="00834206">
        <w:t> </w:t>
      </w:r>
      <w:r w:rsidRPr="00F054C2">
        <w:t>1</w:t>
      </w:r>
      <w:r w:rsidRPr="006F0550">
        <w:t>3.</w:t>
      </w:r>
      <w:bookmarkEnd w:id="31"/>
      <w:r w:rsidR="00BA3525" w:rsidRPr="006F0550">
        <w:t xml:space="preserve">  </w:t>
      </w:r>
      <w:r w:rsidR="00314739" w:rsidRPr="006F0550">
        <w:t xml:space="preserve">This </w:t>
      </w:r>
      <w:r w:rsidR="00702C8C">
        <w:t xml:space="preserve">was </w:t>
      </w:r>
      <w:r w:rsidR="00314739" w:rsidRPr="006F0550">
        <w:t>discussed further with industry; in particular about whether road train trucks tha</w:t>
      </w:r>
      <w:r w:rsidR="00CD5D70">
        <w:t>t are not of off-road design—</w:t>
      </w:r>
      <w:r w:rsidR="00314739" w:rsidRPr="006F0550">
        <w:t>but are used in off-road areas</w:t>
      </w:r>
      <w:r w:rsidR="00CD5D70">
        <w:t>—</w:t>
      </w:r>
      <w:r w:rsidR="00314739" w:rsidRPr="006F0550">
        <w:t>should be allowed concessions to the ABS requirements.</w:t>
      </w:r>
      <w:r w:rsidR="003960EE">
        <w:t xml:space="preserve"> Following a further round of consultation in June 2013 it was </w:t>
      </w:r>
      <w:r w:rsidR="00702C8C">
        <w:t>recognised</w:t>
      </w:r>
      <w:r w:rsidR="003960EE">
        <w:t xml:space="preserve"> that </w:t>
      </w:r>
      <w:r w:rsidR="001D4466">
        <w:t>m</w:t>
      </w:r>
      <w:r w:rsidR="00702C8C">
        <w:t>any</w:t>
      </w:r>
      <w:r w:rsidR="003960EE">
        <w:t xml:space="preserve"> type</w:t>
      </w:r>
      <w:r w:rsidR="001D4466">
        <w:t>s</w:t>
      </w:r>
      <w:r w:rsidR="003960EE">
        <w:t xml:space="preserve"> of vehicle may need to operate off-road or </w:t>
      </w:r>
      <w:r w:rsidR="00702C8C">
        <w:t xml:space="preserve">on </w:t>
      </w:r>
      <w:r w:rsidR="003960EE">
        <w:t xml:space="preserve">poor </w:t>
      </w:r>
      <w:r w:rsidR="00702C8C">
        <w:t>on-</w:t>
      </w:r>
      <w:r w:rsidR="003960EE">
        <w:t>road</w:t>
      </w:r>
      <w:r w:rsidR="00702C8C">
        <w:t xml:space="preserve"> conditions.  To alleviate any concerns that operators may have, the fitting of an ABS off switch would be permitted for all vehicles.</w:t>
      </w:r>
    </w:p>
    <w:p w:rsidR="00183B0F" w:rsidRDefault="00183B0F" w:rsidP="00183B0F">
      <w:pPr>
        <w:pStyle w:val="Heading4"/>
      </w:pPr>
      <w:bookmarkStart w:id="32" w:name="_Ref342914860"/>
      <w:r w:rsidRPr="00D51AE3">
        <w:t>Provision of electrical ABS connector,</w:t>
      </w:r>
      <w:r>
        <w:t xml:space="preserve"> where a tow coupling is fitted—r</w:t>
      </w:r>
      <w:r w:rsidRPr="00D51AE3">
        <w:t xml:space="preserve">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rsidR="000A3935">
        <w:t>.</w:t>
      </w:r>
      <w:bookmarkEnd w:id="32"/>
    </w:p>
    <w:p w:rsidR="00183B0F" w:rsidRDefault="00E265F3" w:rsidP="00314739">
      <w:pPr>
        <w:pStyle w:val="Heading4"/>
      </w:pPr>
      <w:bookmarkStart w:id="33" w:name="_Ref342914870"/>
      <w:r w:rsidRPr="007D5C46">
        <w:t>Split-mu on axles other than steerable [axles]</w:t>
      </w:r>
      <w:r>
        <w:t>—</w:t>
      </w:r>
      <w:r w:rsidRPr="007D5C46">
        <w:t>R</w:t>
      </w:r>
      <w:r>
        <w:t> </w:t>
      </w:r>
      <w:r w:rsidRPr="007D5C46">
        <w:t xml:space="preserve">13 requires demonstration of ‘split-mu’ ABS performance for some vehicle categories (heavy trucks and buses and heavy </w:t>
      </w:r>
      <w:r w:rsidRPr="006F0550">
        <w:t xml:space="preserve">semi-trailers).  This means that the ABS must be able to control left and right sides of the vehicle independently, to cater for different road surfaces such as the shoulder of a road or a patch of ice that only contacts one side of a vehicle’s tyres.  </w:t>
      </w:r>
      <w:r w:rsidR="00314739" w:rsidRPr="006F0550">
        <w:t>This is being discussed further with industry</w:t>
      </w:r>
      <w:r w:rsidRPr="006F0550">
        <w:t xml:space="preserve"> as split-mu systems provide greater performance but at higher cost and they are not currently a requirement in ADRs 35 and 38 (there are other requirements for where ABS is fitted).</w:t>
      </w:r>
      <w:bookmarkEnd w:id="33"/>
    </w:p>
    <w:p w:rsidR="00E265F3" w:rsidRDefault="00330644" w:rsidP="00330644">
      <w:pPr>
        <w:pStyle w:val="Heading4"/>
      </w:pPr>
      <w:bookmarkStart w:id="34" w:name="_Ref342914878"/>
      <w:r w:rsidRPr="0021777C">
        <w:t>No release times for circuits contro</w:t>
      </w:r>
      <w:r w:rsidR="00616B48">
        <w:t>lled by ABS modulation valves—c</w:t>
      </w:r>
      <w:r w:rsidRPr="0021777C">
        <w:t>urrently the only release times required are at the coupling head of Road Trains (since ADR 35/03) and so this does not appear to be an issue any more.</w:t>
      </w:r>
      <w:bookmarkEnd w:id="34"/>
    </w:p>
    <w:p w:rsidR="00E079A9" w:rsidRDefault="00E079A9" w:rsidP="00314739">
      <w:pPr>
        <w:pStyle w:val="Heading4"/>
      </w:pPr>
      <w:bookmarkStart w:id="35" w:name="certofSARNs"/>
      <w:bookmarkStart w:id="36" w:name="_Ref342914917"/>
      <w:bookmarkEnd w:id="35"/>
      <w:r w:rsidRPr="008F7FA3">
        <w:t xml:space="preserve">Certification of </w:t>
      </w:r>
      <w:r>
        <w:t>EBS compatibility performance—r</w:t>
      </w:r>
      <w:r w:rsidRPr="00D51AE3">
        <w:t xml:space="preserve">efer paragraph </w:t>
      </w:r>
      <w:r w:rsidR="009169FE">
        <w:fldChar w:fldCharType="begin"/>
      </w:r>
      <w:r w:rsidR="009169FE">
        <w:instrText xml:space="preserve"> REF _Ref342913359 \r \h  \* MERGEFORMAT </w:instrText>
      </w:r>
      <w:r w:rsidR="009169FE">
        <w:fldChar w:fldCharType="separate"/>
      </w:r>
      <w:r w:rsidR="00546CD0">
        <w:t>5.3.4</w:t>
      </w:r>
      <w:r w:rsidR="009169FE">
        <w:fldChar w:fldCharType="end"/>
      </w:r>
      <w:r>
        <w:t xml:space="preserve"> regarding EBS generally. </w:t>
      </w:r>
      <w:r w:rsidRPr="006F0550">
        <w:t xml:space="preserve">Certification is related to how compliance to standards is shown rather than standards setting. </w:t>
      </w:r>
      <w:r w:rsidR="00A229AB" w:rsidRPr="006F0550">
        <w:t xml:space="preserve"> </w:t>
      </w:r>
      <w:bookmarkEnd w:id="36"/>
      <w:r w:rsidR="00314739" w:rsidRPr="006F0550">
        <w:t>This is being discussed further with industry but is a certification matter and as such is not part of this RIS.</w:t>
      </w:r>
    </w:p>
    <w:p w:rsidR="00A229AB" w:rsidRDefault="00A229AB" w:rsidP="00A229AB">
      <w:pPr>
        <w:pStyle w:val="Heading4"/>
      </w:pPr>
      <w:bookmarkStart w:id="37" w:name="_Ref342914911"/>
      <w:r w:rsidRPr="008F7FA3">
        <w:t>Where EBS fitted, ABS/EBS power voltage to match CAN voltag</w:t>
      </w:r>
      <w:r>
        <w:t>e—r</w:t>
      </w:r>
      <w:r w:rsidRPr="008F7FA3">
        <w:t xml:space="preserve">efer paragraph </w:t>
      </w:r>
      <w:r w:rsidR="00C036A7">
        <w:fldChar w:fldCharType="begin"/>
      </w:r>
      <w:r w:rsidR="0090681C">
        <w:instrText xml:space="preserve"> REF _Ref342913359 \r \h </w:instrText>
      </w:r>
      <w:r w:rsidR="00C036A7">
        <w:fldChar w:fldCharType="separate"/>
      </w:r>
      <w:r w:rsidR="00546CD0">
        <w:t>5.3.4</w:t>
      </w:r>
      <w:r w:rsidR="00C036A7">
        <w:fldChar w:fldCharType="end"/>
      </w:r>
      <w:r w:rsidR="006A11A0">
        <w:t>.</w:t>
      </w:r>
      <w:bookmarkEnd w:id="37"/>
    </w:p>
    <w:p w:rsidR="00A16C64" w:rsidRDefault="00A16C64" w:rsidP="00A16C64">
      <w:pPr>
        <w:pStyle w:val="Heading4"/>
      </w:pPr>
      <w:bookmarkStart w:id="38" w:name="_Ref342914940"/>
      <w:proofErr w:type="gramStart"/>
      <w:r w:rsidRPr="008F7FA3">
        <w:t>References to RFS in Table 2 of ADR 35 and Table 1 of ADR 38 to become informative only, as they do not relate to requirements for a standard vehicle</w:t>
      </w:r>
      <w:r w:rsidR="00F4239E">
        <w:t>—</w:t>
      </w:r>
      <w:r w:rsidRPr="008F7FA3">
        <w:t>this is a correction and does not affect stringency.</w:t>
      </w:r>
      <w:proofErr w:type="gramEnd"/>
      <w:r w:rsidRPr="008F7FA3">
        <w:t xml:space="preserve">  Mass limits </w:t>
      </w:r>
      <w:r>
        <w:t>for RFS vehicle suspension/braking systems</w:t>
      </w:r>
      <w:r w:rsidRPr="008F7FA3">
        <w:t xml:space="preserve"> are beyond those for a standard vehicle </w:t>
      </w:r>
      <w:r w:rsidRPr="00B232F4">
        <w:t>and so should not be listed in the ADR other than in an information capacity.</w:t>
      </w:r>
      <w:bookmarkEnd w:id="38"/>
    </w:p>
    <w:p w:rsidR="002A17D7" w:rsidRPr="002A17D7" w:rsidRDefault="002A17D7" w:rsidP="00314739">
      <w:pPr>
        <w:pStyle w:val="Heading4"/>
      </w:pPr>
      <w:bookmarkStart w:id="39" w:name="_Ref342914944"/>
      <w:r w:rsidRPr="00B232F4">
        <w:t xml:space="preserve">A </w:t>
      </w:r>
      <w:r w:rsidRPr="00810862">
        <w:t xml:space="preserve">tolerance on the </w:t>
      </w:r>
      <w:r w:rsidR="00314739" w:rsidRPr="00810862">
        <w:t xml:space="preserve">LP </w:t>
      </w:r>
      <w:r w:rsidRPr="00810862">
        <w:t>valve unladen</w:t>
      </w:r>
      <w:r w:rsidRPr="00B232F4">
        <w:t xml:space="preserve"> compatibility requirements to allow for particular combinations (does not apply to electronic LP</w:t>
      </w:r>
      <w:r>
        <w:t xml:space="preserve"> operation)—r</w:t>
      </w:r>
      <w:r w:rsidRPr="00E75D1A">
        <w:t>efe</w:t>
      </w:r>
      <w:r w:rsidRPr="00D51AE3">
        <w:t xml:space="preserve">r paragraph </w:t>
      </w:r>
      <w:r w:rsidR="00C036A7">
        <w:fldChar w:fldCharType="begin"/>
      </w:r>
      <w:r w:rsidR="0090681C">
        <w:instrText xml:space="preserve"> REF _Ref342913359 \r \h </w:instrText>
      </w:r>
      <w:r w:rsidR="00C036A7">
        <w:fldChar w:fldCharType="separate"/>
      </w:r>
      <w:r w:rsidR="00546CD0">
        <w:t>5.3.4</w:t>
      </w:r>
      <w:r w:rsidR="00C036A7">
        <w:fldChar w:fldCharType="end"/>
      </w:r>
      <w:r>
        <w:t xml:space="preserve"> regarding LP generally.  This is an industry proposal to relax the existing limits of LP in order to better match particular vehicles when using them in combination.</w:t>
      </w:r>
      <w:bookmarkEnd w:id="39"/>
    </w:p>
    <w:p w:rsidR="006D10B0" w:rsidRDefault="00870F2B" w:rsidP="00870F2B">
      <w:pPr>
        <w:pStyle w:val="Heading3"/>
      </w:pPr>
      <w:r>
        <w:t>Load proportioning</w:t>
      </w:r>
      <w:r w:rsidR="00027285">
        <w:t xml:space="preserve"> (LP) systems</w:t>
      </w:r>
    </w:p>
    <w:p w:rsidR="00AE30A6" w:rsidRPr="00DC5EA6" w:rsidRDefault="008C2B85" w:rsidP="00AE30A6">
      <w:r>
        <w:t xml:space="preserve">As discussed in section </w:t>
      </w:r>
      <w:r w:rsidR="00C036A7">
        <w:fldChar w:fldCharType="begin"/>
      </w:r>
      <w:r>
        <w:instrText xml:space="preserve"> REF _Ref347156778 \r \p \h </w:instrText>
      </w:r>
      <w:r w:rsidR="00C036A7">
        <w:fldChar w:fldCharType="separate"/>
      </w:r>
      <w:r w:rsidR="00546CD0">
        <w:t>4.2.3 above</w:t>
      </w:r>
      <w:r w:rsidR="00C036A7">
        <w:fldChar w:fldCharType="end"/>
      </w:r>
      <w:r>
        <w:t xml:space="preserve">, Option 2(a), a variation on Option 2, allowed for LP systems to be fitted in lieu of ABS for trailers only.  The technical requirements for LP would </w:t>
      </w:r>
      <w:r>
        <w:lastRenderedPageBreak/>
        <w:t>be as per the current ADRs 35 and 38, subject to further discussions with industry.  The international regulation UNECE R 13 would be accepted as an alternative.</w:t>
      </w:r>
    </w:p>
    <w:p w:rsidR="00DE3F88" w:rsidRPr="00DC5EA6" w:rsidRDefault="00617DC5" w:rsidP="00DE3F88">
      <w:pPr>
        <w:pStyle w:val="Heading3"/>
      </w:pPr>
      <w:r w:rsidRPr="00DC5EA6">
        <w:t>Compatibility</w:t>
      </w:r>
    </w:p>
    <w:p w:rsidR="00B11F8A" w:rsidRDefault="00B11F8A" w:rsidP="00B11F8A">
      <w:r w:rsidRPr="00DC5EA6">
        <w:t>When braking as a combination of a towing vehicle and a towed vehicle, trucks need to provide trailer braking systems with the right signal (normally by the use of differing air pressures) to ensure</w:t>
      </w:r>
      <w:r w:rsidR="001317C3" w:rsidRPr="00DC5EA6">
        <w:t xml:space="preserve"> that the trailer(s) contribute</w:t>
      </w:r>
      <w:r w:rsidRPr="00DC5EA6">
        <w:t xml:space="preserve"> a similar amount of braking</w:t>
      </w:r>
      <w:r>
        <w:t xml:space="preserve"> effort.  This compatibility of truck and trailer is specified in ADRs 35 and 38.  It consists of a set of bands or “tramlines” that dictate the deceleration of the truck in terms of the output signal of the truck to the trailer in the case of ADR 35/03 </w:t>
      </w:r>
      <w:r w:rsidRPr="00DB34AC">
        <w:t>(Figure 1 and 2), and the deceleration of the trailer in terms of the input signal coming from the truck in the case of ADR 38/03 (Figure 1 and 2).  However</w:t>
      </w:r>
      <w:r>
        <w:t>, as these requirements contain tolerance bands and as they have been updated from time to time through revisions of the ADRs, consideration must always be given to in-service compatibility when slightly different designs are used together, or, more importantly, when new trucks and trailers are matched with older trucks and trailers.</w:t>
      </w:r>
    </w:p>
    <w:p w:rsidR="00B11F8A" w:rsidRDefault="00B11F8A" w:rsidP="00B11F8A">
      <w:r>
        <w:t>Some of these issues of compatibility have been identified by the Australian Road Transport Suppliers Association (ARTSA) (Hart, 2011)</w:t>
      </w:r>
      <w:r w:rsidR="005A74F9">
        <w:t>.</w:t>
      </w:r>
    </w:p>
    <w:p w:rsidR="00B11F8A" w:rsidRDefault="00B11F8A" w:rsidP="005A74F9">
      <w:pPr>
        <w:pStyle w:val="ListParagraph"/>
        <w:numPr>
          <w:ilvl w:val="0"/>
          <w:numId w:val="24"/>
        </w:numPr>
      </w:pPr>
      <w:r>
        <w:t>A wide range of [differing technical] characteristics, reflecting source country practices and philosophies.</w:t>
      </w:r>
    </w:p>
    <w:p w:rsidR="00B11F8A" w:rsidRDefault="00B11F8A" w:rsidP="005A74F9">
      <w:pPr>
        <w:pStyle w:val="ListParagraph"/>
        <w:numPr>
          <w:ilvl w:val="0"/>
          <w:numId w:val="24"/>
        </w:numPr>
      </w:pPr>
      <w:r>
        <w:t>Significant differences in threshold pressures [before brakes begin to operate].</w:t>
      </w:r>
    </w:p>
    <w:p w:rsidR="00B11F8A" w:rsidRDefault="00B11F8A" w:rsidP="005A74F9">
      <w:pPr>
        <w:pStyle w:val="ListParagraph"/>
        <w:numPr>
          <w:ilvl w:val="0"/>
          <w:numId w:val="24"/>
        </w:numPr>
      </w:pPr>
      <w:r>
        <w:t>Adoption of EBS and ESC on European trucks. These assume that a European design trailer is being towed.</w:t>
      </w:r>
    </w:p>
    <w:p w:rsidR="00B11F8A" w:rsidRDefault="00B11F8A" w:rsidP="005A74F9">
      <w:pPr>
        <w:pStyle w:val="ListParagraph"/>
        <w:numPr>
          <w:ilvl w:val="0"/>
          <w:numId w:val="24"/>
        </w:numPr>
      </w:pPr>
      <w:r>
        <w:t>[Differing performance of] trailers that comply with R</w:t>
      </w:r>
      <w:r w:rsidR="004D72CD">
        <w:t> </w:t>
      </w:r>
      <w:r>
        <w:t>13 compared to the ADRs as written.</w:t>
      </w:r>
    </w:p>
    <w:p w:rsidR="00B11F8A" w:rsidRDefault="00B11F8A" w:rsidP="005A74F9">
      <w:pPr>
        <w:pStyle w:val="ListParagraph"/>
        <w:numPr>
          <w:ilvl w:val="0"/>
          <w:numId w:val="24"/>
        </w:numPr>
      </w:pPr>
      <w:r>
        <w:t>Mixing of adaptive braked trucks with non-adaptive trailers.</w:t>
      </w:r>
    </w:p>
    <w:p w:rsidR="00B11F8A" w:rsidRDefault="00B11F8A" w:rsidP="005A74F9">
      <w:pPr>
        <w:pStyle w:val="ListParagraph"/>
        <w:numPr>
          <w:ilvl w:val="0"/>
          <w:numId w:val="24"/>
        </w:numPr>
      </w:pPr>
      <w:r>
        <w:t>[Electrical power and signal sources such as] 12V/24V.</w:t>
      </w:r>
    </w:p>
    <w:p w:rsidR="00B11F8A" w:rsidRPr="003C7B50" w:rsidRDefault="00B11F8A" w:rsidP="00B11F8A">
      <w:bookmarkStart w:id="40" w:name="codeofpractice1"/>
      <w:bookmarkEnd w:id="40"/>
      <w:r>
        <w:t xml:space="preserve">The ARTSA has worked with the Australian Trucking Association (ATA) and with some state and territory governments in continuing to develop a Brake Code of Practice.  The code deals with (amongst other things) issues of </w:t>
      </w:r>
      <w:r w:rsidRPr="00E41457">
        <w:t xml:space="preserve">compatibility </w:t>
      </w:r>
      <w:r w:rsidR="005A74F9" w:rsidRPr="00E41457">
        <w:t>(ARTSA, 2011)</w:t>
      </w:r>
      <w:r w:rsidRPr="00E41457">
        <w:t>. The</w:t>
      </w:r>
      <w:r>
        <w:t xml:space="preserve"> ATA have also produced an Austral</w:t>
      </w:r>
      <w:r w:rsidR="003F50B0">
        <w:t>ian Air Brake Code of Practice (</w:t>
      </w:r>
      <w:r w:rsidR="003F50B0" w:rsidRPr="003C7B50">
        <w:t>Australian Trucking Association, 2000)</w:t>
      </w:r>
      <w:r w:rsidRPr="003C7B50">
        <w:t xml:space="preserve"> and more recently an Advisory Procedure for Heavy Vehicle Combinations and the use of Electronic Braking Systems </w:t>
      </w:r>
      <w:r w:rsidR="003F50B0" w:rsidRPr="003C7B50">
        <w:t>(Australian Trucking Association, 2012)</w:t>
      </w:r>
      <w:r w:rsidRPr="003C7B50">
        <w:t xml:space="preserve">.  </w:t>
      </w:r>
    </w:p>
    <w:p w:rsidR="00B11F8A" w:rsidRDefault="00B11F8A" w:rsidP="00B11F8A">
      <w:r w:rsidRPr="003C7B50">
        <w:t>While ADRs 35 and 38 can and do specify primary compatibility levels, in practice only the careful matching of truck and trailer(s) can ensure optimum braking performance. To this end, industry codes and advisories play a vital role in the matching of vehicles with different levels of braking technology fitted, including when new and old vehicles are combined in-</w:t>
      </w:r>
      <w:r w:rsidRPr="003C7B50">
        <w:lastRenderedPageBreak/>
        <w:t>service.  A good example of the task at hand is given in</w:t>
      </w:r>
      <w:r w:rsidR="00B137C0" w:rsidRPr="003C7B50">
        <w:t xml:space="preserve"> </w:t>
      </w:r>
      <w:r w:rsidR="009169FE">
        <w:fldChar w:fldCharType="begin"/>
      </w:r>
      <w:r w:rsidR="009169FE">
        <w:instrText xml:space="preserve"> REF _Ref343073267 \h  \* MERGEFORMAT </w:instrText>
      </w:r>
      <w:r w:rsidR="009169FE">
        <w:fldChar w:fldCharType="separate"/>
      </w:r>
      <w:r w:rsidR="00546CD0">
        <w:t>Appendix 12—Compatibility</w:t>
      </w:r>
      <w:r w:rsidR="009169FE">
        <w:fldChar w:fldCharType="end"/>
      </w:r>
      <w:r w:rsidRPr="003C7B50">
        <w:t xml:space="preserve">, which shows the level of compatibility of various current heavy vehicle braking technologies that exist in the fleet today, technologies which are proposed under Phase I of the NHVBS </w:t>
      </w:r>
      <w:r w:rsidR="001178C6" w:rsidRPr="003C7B50">
        <w:t>(Byrnes, 2009)</w:t>
      </w:r>
      <w:r w:rsidRPr="003C7B50">
        <w:t>.</w:t>
      </w:r>
    </w:p>
    <w:p w:rsidR="00B11F8A" w:rsidRDefault="00B11F8A" w:rsidP="00B11F8A">
      <w:r>
        <w:t>The codes and advisories above are a valuable part of the heavy commercial vehicle braking picture.  The efforts made by industry so far in this regard are commendable.  They must be encouraged as a complement to regulated requirements which, due to the nature of the ADRs (single vehicle type approval) are unable to fully deal with combinations (truck and trailer(s) operating together).</w:t>
      </w:r>
    </w:p>
    <w:p w:rsidR="009E11D0" w:rsidRDefault="00AE409A" w:rsidP="00AE409A">
      <w:pPr>
        <w:pStyle w:val="Heading3"/>
      </w:pPr>
      <w:bookmarkStart w:id="41" w:name="_Ref342913359"/>
      <w:r>
        <w:t>Electronic Braking Systems</w:t>
      </w:r>
      <w:bookmarkEnd w:id="41"/>
    </w:p>
    <w:p w:rsidR="0090681C" w:rsidRDefault="0090681C" w:rsidP="0090681C">
      <w:r>
        <w:t xml:space="preserve">EBS </w:t>
      </w:r>
      <w:r w:rsidR="000A3935">
        <w:t>(</w:t>
      </w:r>
      <w:r>
        <w:t xml:space="preserve">or for trailers TEBS) overlay conventional pneumatically controlled brake systems and instead control brake actuation through electrical signals (the pneumatic control is used as a backup). </w:t>
      </w:r>
      <w:r w:rsidR="00A23081">
        <w:t xml:space="preserve"> </w:t>
      </w:r>
      <w:r>
        <w:t xml:space="preserve">Also more generally known </w:t>
      </w:r>
      <w:r w:rsidRPr="003C7B50">
        <w:t>as Electronically controlled Braking systems (ELB), these systems provide optimum braking in terms of faster response times and better distribution of braking forces</w:t>
      </w:r>
      <w:r w:rsidR="00A23081" w:rsidRPr="003C7B50">
        <w:t xml:space="preserve"> (Bosch, 2007)</w:t>
      </w:r>
      <w:r w:rsidRPr="003C7B50">
        <w:t>.</w:t>
      </w:r>
      <w:r>
        <w:t xml:space="preserve">  </w:t>
      </w:r>
    </w:p>
    <w:p w:rsidR="0090681C" w:rsidRDefault="0090681C" w:rsidP="0090681C">
      <w:r>
        <w:t>An important feature of EBS is the ability to allow communication between elements of the braking system on all vehicles in a combination (</w:t>
      </w:r>
      <w:r w:rsidR="00480D2B">
        <w:t>i.e.</w:t>
      </w:r>
      <w:r>
        <w:t xml:space="preserve"> truck and trailer(s)) via a communications network that operates on set protocols (a Controller Area Network (CAN) bus) system.</w:t>
      </w:r>
    </w:p>
    <w:p w:rsidR="0090681C" w:rsidRDefault="0090681C" w:rsidP="0090681C">
      <w:r>
        <w:t>When EBS is fitted, ABS is always incorporated, as it provides the emergency braking component of the electronic control of the braking system.</w:t>
      </w:r>
    </w:p>
    <w:p w:rsidR="00111A07" w:rsidRPr="00CA3FCA" w:rsidRDefault="0090681C" w:rsidP="0090681C">
      <w:r>
        <w:t>EBS is not mandated in R</w:t>
      </w:r>
      <w:r w:rsidR="00480D2B">
        <w:t> </w:t>
      </w:r>
      <w:r>
        <w:t>13 but if fitted, it must not affect the safe operation of other mandated systems.  It must also have safe operation and warn the driver under fault conditions.  These same requirements are proposed to be adopted by the ADRs.  In addition, and in alignment with R</w:t>
      </w:r>
      <w:r w:rsidR="008B5B28">
        <w:t> </w:t>
      </w:r>
      <w:r>
        <w:t>13, where a tow coupling is fitted to a vehicle, an ABS connector will have to be provided and where a CAN connection is provided, it must be compatible with the ABS power voltage.  These requirements will ensure that all prime movers and other trucks and buses with trailer connections will not only have ABS themselves, but will provide power for an ABS system if they are connected to a trailer with ABS fitted. Similarly, where a trailer has an EBS (TEBS) system fitted, the voltage of the communications network between truck and t</w:t>
      </w:r>
      <w:r w:rsidR="00CA3FCA">
        <w:t>railer will also be compatible.</w:t>
      </w:r>
    </w:p>
    <w:p w:rsidR="00D345D0" w:rsidRDefault="00D345D0" w:rsidP="00D345D0">
      <w:r w:rsidRPr="00680664">
        <w:t xml:space="preserve">The above proposals, including those relating to </w:t>
      </w:r>
      <w:r w:rsidR="00680664" w:rsidRPr="00680664">
        <w:t>LP</w:t>
      </w:r>
      <w:r w:rsidRPr="00680664">
        <w:t>, Compatibility and</w:t>
      </w:r>
      <w:r w:rsidR="00680664" w:rsidRPr="00680664">
        <w:t xml:space="preserve"> EBS</w:t>
      </w:r>
      <w:r w:rsidRPr="00680664">
        <w:t>, are second order matters in relation to the more fundamental question of mandating ABS and so have not been analysed further for the purposes of this RIS.  However, they are direct</w:t>
      </w:r>
      <w:r w:rsidR="009D07F3">
        <w:t>ly</w:t>
      </w:r>
      <w:r w:rsidRPr="00680664">
        <w:t xml:space="preserve"> </w:t>
      </w:r>
      <w:r w:rsidR="009D07F3">
        <w:t>related to</w:t>
      </w:r>
      <w:r w:rsidRPr="00680664">
        <w:t xml:space="preserve"> the original report and NTC response to the NHVBS (refer </w:t>
      </w:r>
      <w:r w:rsidR="00E41457" w:rsidRPr="00680664">
        <w:t>Section</w:t>
      </w:r>
      <w:r w:rsidRPr="00680664">
        <w:t xml:space="preserve"> </w:t>
      </w:r>
      <w:fldSimple w:instr=" REF _Ref342916322 \r  \* MERGEFORMAT ">
        <w:r w:rsidR="00546CD0">
          <w:t>2.2</w:t>
        </w:r>
      </w:fldSimple>
      <w:r w:rsidRPr="00680664">
        <w:t>) and have been discussed with industry on an ongoing basis.</w:t>
      </w:r>
    </w:p>
    <w:p w:rsidR="00617DC5" w:rsidRDefault="0090681C" w:rsidP="0090681C">
      <w:r>
        <w:t xml:space="preserve">A further refinement of EBS is Electronic Stability Control (ESC, ESP (Program) or Vehicle Stability Control </w:t>
      </w:r>
      <w:r w:rsidR="005D5D08">
        <w:t>(</w:t>
      </w:r>
      <w:r>
        <w:t xml:space="preserve">VSC). </w:t>
      </w:r>
      <w:r w:rsidR="005D5D08">
        <w:t xml:space="preserve"> </w:t>
      </w:r>
      <w:r>
        <w:t xml:space="preserve">ESC detects gross vehicle dynamics, such as rate of cornering </w:t>
      </w:r>
      <w:r>
        <w:lastRenderedPageBreak/>
        <w:t>(lateral acceleration and yaw rate), steering angle, centre of gravity location, and provides corrective braking to stabilise a vehicle that is at risk of going out of control.  ESC is the subject of Phase II of the NHVBS and is not considered further in this analysis.</w:t>
      </w:r>
    </w:p>
    <w:p w:rsidR="006D10B0" w:rsidRPr="006D10B0" w:rsidRDefault="006D10B0" w:rsidP="006D10B0">
      <w:pPr>
        <w:pStyle w:val="Heading2"/>
      </w:pPr>
      <w:r>
        <w:t>Draft ADRs</w:t>
      </w:r>
    </w:p>
    <w:p w:rsidR="004F694A" w:rsidRDefault="008C506E" w:rsidP="000375E5">
      <w:r>
        <w:t xml:space="preserve">Draft ADRs 35/04 and 38/04 </w:t>
      </w:r>
      <w:r w:rsidR="002556B8">
        <w:t xml:space="preserve">were </w:t>
      </w:r>
      <w:r>
        <w:t xml:space="preserve">developed that detail the above agreed requirements.  A tabulated form of the proposed changes is at </w:t>
      </w:r>
      <w:r w:rsidR="00C036A7">
        <w:fldChar w:fldCharType="begin"/>
      </w:r>
      <w:r w:rsidR="00FA2C51">
        <w:instrText xml:space="preserve"> REF _Ref341973363 \h </w:instrText>
      </w:r>
      <w:r w:rsidR="00C036A7">
        <w:fldChar w:fldCharType="separate"/>
      </w:r>
      <w:r w:rsidR="00546CD0">
        <w:t>Appendix 5—</w:t>
      </w:r>
      <w:proofErr w:type="gramStart"/>
      <w:r w:rsidR="00546CD0">
        <w:t>Proposed</w:t>
      </w:r>
      <w:proofErr w:type="gramEnd"/>
      <w:r w:rsidR="00546CD0">
        <w:t xml:space="preserve"> Changes to the Current ADR Versions</w:t>
      </w:r>
      <w:r w:rsidR="00C036A7">
        <w:fldChar w:fldCharType="end"/>
      </w:r>
      <w:r w:rsidR="00FA2C51">
        <w:t>.</w:t>
      </w:r>
    </w:p>
    <w:p w:rsidR="000375E5" w:rsidRDefault="000375E5" w:rsidP="000375E5">
      <w:r w:rsidRPr="000375E5">
        <w:t xml:space="preserve">The ADR amendments are proposed to come into force from 1 January 2014.  A transition date in order to phase in new models first has not </w:t>
      </w:r>
      <w:r w:rsidR="00A0535C">
        <w:t xml:space="preserve">at this point </w:t>
      </w:r>
      <w:r w:rsidRPr="000375E5">
        <w:t>been sought by industry.</w:t>
      </w:r>
    </w:p>
    <w:p w:rsidR="006D10B0" w:rsidRDefault="006D10B0" w:rsidP="006D10B0">
      <w:pPr>
        <w:pStyle w:val="Heading2"/>
      </w:pPr>
      <w:bookmarkStart w:id="42" w:name="_Ref343206338"/>
      <w:r>
        <w:t>General Consultation Arrangements</w:t>
      </w:r>
      <w:bookmarkEnd w:id="42"/>
    </w:p>
    <w:p w:rsidR="00C51D3F" w:rsidRDefault="00C51D3F" w:rsidP="00C51D3F">
      <w:r>
        <w:t xml:space="preserve">Development of the ADRs under the MVSA is the responsibility of the Vehicle Safety Standards Branch of the </w:t>
      </w:r>
      <w:r w:rsidR="00580934" w:rsidRPr="00580934">
        <w:t>Department of Infrastructure and Regional Development</w:t>
      </w:r>
      <w:r>
        <w:t>.  It is carried out in consultation with representatives of the Australian Government, state and territory governments, manufacturing and operating industries, road user groups and experts in the field of road safety.</w:t>
      </w:r>
    </w:p>
    <w:p w:rsidR="00C51D3F" w:rsidRDefault="00C51D3F" w:rsidP="00C51D3F">
      <w:r>
        <w:t xml:space="preserve">The Department undertakes public consultation on significant proposals. Under Part 2, section 8 of the MVSA the Minister may consult with state and territory agencies responsible for road safety, organizations and persons involved in the road vehicle industry and organisations representing road vehicle users before determining a design rule. </w:t>
      </w:r>
    </w:p>
    <w:p w:rsidR="00C51D3F" w:rsidRDefault="00C51D3F" w:rsidP="00C51D3F">
      <w:r>
        <w:t>Depending on the nature of the proposed changes, consultation could involve the TLG, SVSEG, Transport and Infrastructure Senior Officials’ Committee (TISOC) and the Standing Council on Transport and Infrastructure (SCOTI).</w:t>
      </w:r>
    </w:p>
    <w:p w:rsidR="00C51D3F" w:rsidRDefault="00C51D3F" w:rsidP="002045ED">
      <w:pPr>
        <w:pStyle w:val="ListParagraph"/>
        <w:numPr>
          <w:ilvl w:val="0"/>
          <w:numId w:val="18"/>
        </w:numPr>
      </w:pPr>
      <w:r>
        <w:t xml:space="preserve">TLG consists of technical representatives of government (Australian and state/territory), the manufacturing and operational arms of the industry (including organisations such as the Federal Chamber of Automotive Industries </w:t>
      </w:r>
      <w:r w:rsidR="00697B1F">
        <w:t xml:space="preserve">(FCAI) </w:t>
      </w:r>
      <w:r>
        <w:t xml:space="preserve">and the </w:t>
      </w:r>
      <w:r w:rsidR="00697B1F">
        <w:t>ATA</w:t>
      </w:r>
      <w:r>
        <w:t>) and of representative organisations of consumers and road users (particularly through the Australian Automobile Association</w:t>
      </w:r>
      <w:r w:rsidR="00697B1F">
        <w:t xml:space="preserve"> (AAA)</w:t>
      </w:r>
      <w:r>
        <w:t>).</w:t>
      </w:r>
    </w:p>
    <w:p w:rsidR="00C51D3F" w:rsidRDefault="00C51D3F" w:rsidP="002045ED">
      <w:pPr>
        <w:pStyle w:val="ListParagraph"/>
        <w:numPr>
          <w:ilvl w:val="0"/>
          <w:numId w:val="18"/>
        </w:numPr>
      </w:pPr>
      <w:r>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rsidR="00C51D3F" w:rsidRDefault="00C51D3F" w:rsidP="002045ED">
      <w:pPr>
        <w:pStyle w:val="ListParagraph"/>
        <w:numPr>
          <w:ilvl w:val="0"/>
          <w:numId w:val="18"/>
        </w:numPr>
      </w:pPr>
      <w:r>
        <w:t xml:space="preserve">TISOC consists of state and territory transport and/or infrastructure Chief Executive Officers (CEO) (or equivalents), the CEO of the </w:t>
      </w:r>
      <w:r w:rsidR="00EC49DE">
        <w:t>NTC</w:t>
      </w:r>
      <w:r>
        <w:t>, New Zealand and the Australian Local Government Association.</w:t>
      </w:r>
    </w:p>
    <w:p w:rsidR="00C51D3F" w:rsidRDefault="00C51D3F" w:rsidP="002045ED">
      <w:pPr>
        <w:pStyle w:val="ListParagraph"/>
        <w:numPr>
          <w:ilvl w:val="0"/>
          <w:numId w:val="18"/>
        </w:numPr>
      </w:pPr>
      <w:r>
        <w:lastRenderedPageBreak/>
        <w:t>SCOTI consists of the Australian, state/territory and New Zealand Ministers with responsibility for transport and infrastructure issues.</w:t>
      </w:r>
    </w:p>
    <w:p w:rsidR="006D10B0" w:rsidRDefault="00C51D3F" w:rsidP="00C51D3F">
      <w:r>
        <w:t>Up until 2010, the TLG was the principal consultative forum for advising on ADR proposals.  The TLG has since been reconstituted under the higher level SVSEG forum, although its role in ADR development continues in a similar way to before.  Membership of the</w:t>
      </w:r>
      <w:r w:rsidR="00464329">
        <w:t xml:space="preserve"> </w:t>
      </w:r>
      <w:r>
        <w:t>TLG is shown at</w:t>
      </w:r>
      <w:r w:rsidR="00B05C48">
        <w:t xml:space="preserve"> </w:t>
      </w:r>
      <w:r w:rsidR="00C036A7">
        <w:fldChar w:fldCharType="begin"/>
      </w:r>
      <w:r w:rsidR="00B05C48">
        <w:instrText xml:space="preserve"> REF _Ref342916260 \h </w:instrText>
      </w:r>
      <w:r w:rsidR="00C036A7">
        <w:fldChar w:fldCharType="separate"/>
      </w:r>
      <w:r w:rsidR="00546CD0" w:rsidRPr="00E8595D">
        <w:t>Appendix 1</w:t>
      </w:r>
      <w:r w:rsidR="00546CD0">
        <w:t>3</w:t>
      </w:r>
      <w:r w:rsidR="00546CD0" w:rsidRPr="00E8595D">
        <w:t>—</w:t>
      </w:r>
      <w:r w:rsidR="00546CD0">
        <w:t xml:space="preserve">Membership of the </w:t>
      </w:r>
      <w:r w:rsidR="00546CD0" w:rsidRPr="00E8595D">
        <w:t>Technical Liaison Group (TLG)</w:t>
      </w:r>
      <w:r w:rsidR="00C036A7">
        <w:fldChar w:fldCharType="end"/>
      </w:r>
      <w:r w:rsidR="00B05C48">
        <w:t>.</w:t>
      </w:r>
    </w:p>
    <w:p w:rsidR="004F694A" w:rsidRDefault="006D10B0" w:rsidP="004F694A">
      <w:pPr>
        <w:pStyle w:val="Heading2"/>
      </w:pPr>
      <w:bookmarkStart w:id="43" w:name="_Ref347237780"/>
      <w:r>
        <w:t>Specific Consultation for this RIS</w:t>
      </w:r>
      <w:bookmarkEnd w:id="43"/>
    </w:p>
    <w:p w:rsidR="00D428B2" w:rsidRDefault="00D428B2" w:rsidP="00D428B2">
      <w:r>
        <w:t xml:space="preserve">As outlined in Section </w:t>
      </w:r>
      <w:r w:rsidR="00C036A7">
        <w:fldChar w:fldCharType="begin"/>
      </w:r>
      <w:r>
        <w:instrText xml:space="preserve"> REF _Ref342916322 \r \h </w:instrText>
      </w:r>
      <w:r w:rsidR="00C036A7">
        <w:fldChar w:fldCharType="separate"/>
      </w:r>
      <w:r w:rsidR="00546CD0">
        <w:t>2.2</w:t>
      </w:r>
      <w:r w:rsidR="00C036A7">
        <w:fldChar w:fldCharType="end"/>
      </w:r>
      <w:r>
        <w:t xml:space="preserve">, the consultation process for the proposed amendments to ADRs 35 and 38 has been ongoing in nature.  It has followed on from a full review of these ADRs </w:t>
      </w:r>
      <w:r w:rsidR="000375E5" w:rsidRPr="0013664A">
        <w:t xml:space="preserve">starting </w:t>
      </w:r>
      <w:r w:rsidRPr="0013664A">
        <w:t>2006 (with amendments coming into force in 2009) with one of the outcomes being the NHVBS.  The NHVBS then fed into the NRSS.  A detailed public consultation process was carried out initially in the forming of the NHVBS and this was subsequently supported through the public comment process for the NRSS.</w:t>
      </w:r>
    </w:p>
    <w:p w:rsidR="007F36FF" w:rsidRPr="0013664A" w:rsidRDefault="007B0271" w:rsidP="00D428B2">
      <w:r>
        <w:t xml:space="preserve">The original proposal </w:t>
      </w:r>
      <w:r w:rsidR="007D2F3D">
        <w:t>(relating</w:t>
      </w:r>
      <w:r>
        <w:t xml:space="preserve"> to ABS</w:t>
      </w:r>
      <w:r w:rsidR="007D2F3D">
        <w:t>)</w:t>
      </w:r>
      <w:r>
        <w:t xml:space="preserve"> that was taken to the public consultation process was under Strategic Objective 3 of the January 2006 discussion paper; that is to “ …require wheel lock-up protection (ABS function) on new [commercial] motor vehicles and all single and B-double trailers that carry dangerous goods”.  The proposal for ABS on motor vehicles drew support for and against, but with many regarding it as “inevitable”.</w:t>
      </w:r>
      <w:r w:rsidR="007F36FF">
        <w:t xml:space="preserve">  There was modest support at best for ABS on trailers, mainly from ABS and axle suppliers, arguing that it would protect against “trailer swing” arising from wheel lock up when unladen.  Operators were generally against it, citing reliability problems</w:t>
      </w:r>
      <w:r w:rsidR="00116879">
        <w:t xml:space="preserve"> </w:t>
      </w:r>
      <w:r w:rsidR="00DF05C6">
        <w:t>(</w:t>
      </w:r>
      <w:r w:rsidR="0068491A">
        <w:t>Hart</w:t>
      </w:r>
      <w:r w:rsidR="00DF05C6">
        <w:t xml:space="preserve"> 2008)</w:t>
      </w:r>
      <w:r w:rsidR="007F36FF">
        <w:t>. This helped shape the final proposal, which was to require trailers to at least meet compatibility limits (achievable through the use of load proportioning</w:t>
      </w:r>
      <w:r w:rsidR="007D2F3D">
        <w:t xml:space="preserve"> (LP)</w:t>
      </w:r>
      <w:r w:rsidR="007F36FF">
        <w:t xml:space="preserve"> systems).</w:t>
      </w:r>
    </w:p>
    <w:p w:rsidR="00D428B2" w:rsidRDefault="00D428B2" w:rsidP="00D428B2">
      <w:r w:rsidRPr="0013664A">
        <w:t>In terms of details of the proposed amendments, the NHVBS report was released publicly via the NTC and was used as a basis for continuing to develop the recomm</w:t>
      </w:r>
      <w:r w:rsidR="00111A07" w:rsidRPr="0013664A">
        <w:t>ended requirements through the standards d</w:t>
      </w:r>
      <w:r w:rsidRPr="0013664A">
        <w:t>evelopment forums, the TLG and SVSEG, where they were discussed within the forums as well as within member’s</w:t>
      </w:r>
      <w:r>
        <w:t xml:space="preserve"> organisations a number of times.  </w:t>
      </w:r>
      <w:r w:rsidR="007D2F3D">
        <w:t xml:space="preserve">With further penetration into the trailer market in the subsequent years and perhaps resulting changes in the perception of </w:t>
      </w:r>
      <w:r w:rsidR="00102BAF">
        <w:t>robustness of electronic systems</w:t>
      </w:r>
      <w:r w:rsidR="007D2F3D">
        <w:t>, the fitting of</w:t>
      </w:r>
      <w:r w:rsidR="00102BAF">
        <w:t xml:space="preserve"> ABS to trailers again became the more favoured</w:t>
      </w:r>
      <w:r w:rsidR="007D2F3D">
        <w:t xml:space="preserve"> option</w:t>
      </w:r>
      <w:r w:rsidR="00102BAF">
        <w:t xml:space="preserve"> by some</w:t>
      </w:r>
      <w:r w:rsidR="007D2F3D">
        <w:t xml:space="preserve">, at least in terms of ABS and LP being proposed as alternatives. </w:t>
      </w:r>
      <w:r>
        <w:t xml:space="preserve">This resulted in the proposed changes as set down in </w:t>
      </w:r>
      <w:r w:rsidR="00C036A7">
        <w:fldChar w:fldCharType="begin"/>
      </w:r>
      <w:r w:rsidR="008615DE">
        <w:instrText xml:space="preserve"> REF _Ref350419820 \h </w:instrText>
      </w:r>
      <w:r w:rsidR="00C036A7">
        <w:fldChar w:fldCharType="separate"/>
      </w:r>
      <w:r w:rsidR="00546CD0">
        <w:t xml:space="preserve">Table </w:t>
      </w:r>
      <w:r w:rsidR="00546CD0">
        <w:rPr>
          <w:noProof/>
        </w:rPr>
        <w:t>2</w:t>
      </w:r>
      <w:r w:rsidR="00C036A7">
        <w:fldChar w:fldCharType="end"/>
      </w:r>
      <w:r w:rsidR="008615DE">
        <w:t xml:space="preserve"> </w:t>
      </w:r>
      <w:r>
        <w:t>being developed</w:t>
      </w:r>
      <w:r w:rsidR="007D2F3D">
        <w:t xml:space="preserve"> and taken through the National Road Safety Strategy 2011-20 </w:t>
      </w:r>
      <w:proofErr w:type="gramStart"/>
      <w:r w:rsidR="007D2F3D">
        <w:t>process</w:t>
      </w:r>
      <w:proofErr w:type="gramEnd"/>
      <w:r w:rsidR="007D2F3D">
        <w:t xml:space="preserve"> in 2011</w:t>
      </w:r>
      <w:r>
        <w:t xml:space="preserve">.  </w:t>
      </w:r>
    </w:p>
    <w:p w:rsidR="00D428B2" w:rsidRDefault="00D428B2" w:rsidP="00D428B2">
      <w:r>
        <w:t>This approach was reconfirmed by SVSEG in April 2011</w:t>
      </w:r>
      <w:r w:rsidR="008615DE">
        <w:t xml:space="preserve"> </w:t>
      </w:r>
      <w:r>
        <w:t xml:space="preserve">and furthermore; strong support was given for an accelerated process to be undertaken.  It was agreed that a simplified RIS would be acceptable and that this need only to be circulated within the SVSEG/TLG forum.  </w:t>
      </w:r>
    </w:p>
    <w:p w:rsidR="00D428B2" w:rsidRDefault="00D428B2" w:rsidP="00D428B2">
      <w:r>
        <w:t>As SVSEG members agreed that further consultation through the public comment process was not necessary, and state and territory members represented the views of their jurisdictions, there is also no need for further consultation through TISOC</w:t>
      </w:r>
      <w:r w:rsidR="00E36590">
        <w:t xml:space="preserve"> or </w:t>
      </w:r>
      <w:r>
        <w:t>SCOTI.</w:t>
      </w:r>
    </w:p>
    <w:p w:rsidR="00D940B4" w:rsidRPr="006756F3" w:rsidRDefault="00D428B2" w:rsidP="00D428B2">
      <w:r>
        <w:lastRenderedPageBreak/>
        <w:t xml:space="preserve">This RIS </w:t>
      </w:r>
      <w:r w:rsidR="00B931D3">
        <w:t xml:space="preserve">was </w:t>
      </w:r>
      <w:r>
        <w:t>therefore circulated within the SVSEG and TLG forums</w:t>
      </w:r>
      <w:r w:rsidR="00004CBC">
        <w:t xml:space="preserve"> in </w:t>
      </w:r>
      <w:r w:rsidR="002556B8">
        <w:t>June</w:t>
      </w:r>
      <w:r w:rsidR="00004CBC">
        <w:t xml:space="preserve"> 2013</w:t>
      </w:r>
      <w:r>
        <w:t xml:space="preserve"> for a period of one month, with the intention that the final draft text of the amendments to ADRs 35 and 38 be agreed before being submitted to the </w:t>
      </w:r>
      <w:r w:rsidR="00AF74CA">
        <w:t xml:space="preserve">Federal </w:t>
      </w:r>
      <w:r w:rsidR="00160C36">
        <w:t xml:space="preserve">Minister </w:t>
      </w:r>
      <w:r w:rsidR="00AF74CA">
        <w:t xml:space="preserve">for </w:t>
      </w:r>
      <w:r w:rsidR="00160C36" w:rsidRPr="00160C36">
        <w:t>Infrastructure and Regional Development</w:t>
      </w:r>
      <w:r>
        <w:t xml:space="preserve"> for signature.</w:t>
      </w:r>
      <w:r w:rsidR="002F04C5">
        <w:t xml:space="preserve">  </w:t>
      </w:r>
      <w:r w:rsidR="002F04C5" w:rsidRPr="002F04C5">
        <w:t xml:space="preserve">All responses were collated and considered and revisions to the proposal were </w:t>
      </w:r>
      <w:r w:rsidR="002F04C5" w:rsidRPr="002556B8">
        <w:t xml:space="preserve">made </w:t>
      </w:r>
      <w:r w:rsidR="004D59D2" w:rsidRPr="008A332D">
        <w:t>where necessary</w:t>
      </w:r>
      <w:r w:rsidR="002F04C5" w:rsidRPr="002556B8">
        <w:t>. A</w:t>
      </w:r>
      <w:r w:rsidR="002F04C5" w:rsidRPr="002F04C5">
        <w:t xml:space="preserve"> discussion of the points raised by respondents and the Department’s response to those points has been included in </w:t>
      </w:r>
      <w:r w:rsidR="00C036A7">
        <w:fldChar w:fldCharType="begin"/>
      </w:r>
      <w:r w:rsidR="002F04C5">
        <w:instrText xml:space="preserve"> REF _Ref357885575 \h </w:instrText>
      </w:r>
      <w:r w:rsidR="00C036A7">
        <w:fldChar w:fldCharType="separate"/>
      </w:r>
      <w:r w:rsidR="00546CD0">
        <w:t>Appendix 15—SVSEG and TLG forum comment</w:t>
      </w:r>
      <w:r w:rsidR="00C036A7">
        <w:fldChar w:fldCharType="end"/>
      </w:r>
      <w:r w:rsidR="002F04C5" w:rsidRPr="002F04C5">
        <w:t xml:space="preserve">, along with the Department’s analysis.  The analysis includes reference to </w:t>
      </w:r>
      <w:r w:rsidR="002F04C5" w:rsidRPr="006756F3">
        <w:t>any revisions made to the proposal.</w:t>
      </w:r>
    </w:p>
    <w:p w:rsidR="00253AC4" w:rsidRDefault="006756F3" w:rsidP="00D428B2">
      <w:r w:rsidRPr="006756F3">
        <w:t xml:space="preserve">There was broad agreement from </w:t>
      </w:r>
      <w:r>
        <w:t>most parties that responded</w:t>
      </w:r>
      <w:r w:rsidR="006B14CA">
        <w:t xml:space="preserve"> although (</w:t>
      </w:r>
      <w:r w:rsidRPr="006756F3">
        <w:t xml:space="preserve">due to its </w:t>
      </w:r>
      <w:r w:rsidR="006B14CA">
        <w:t xml:space="preserve">great </w:t>
      </w:r>
      <w:r w:rsidRPr="006756F3">
        <w:t xml:space="preserve">diversity) this included some views </w:t>
      </w:r>
      <w:r>
        <w:t>from industry that</w:t>
      </w:r>
      <w:r w:rsidRPr="006756F3">
        <w:t xml:space="preserve"> the proposal </w:t>
      </w:r>
      <w:r>
        <w:t xml:space="preserve">would </w:t>
      </w:r>
      <w:r w:rsidRPr="006756F3">
        <w:t xml:space="preserve">not go far enough as well as views that it would be going too far. </w:t>
      </w:r>
      <w:r w:rsidR="00253AC4">
        <w:t xml:space="preserve">Reasons for support included that the improvement in braking and overall </w:t>
      </w:r>
      <w:r w:rsidR="00291EC8">
        <w:t xml:space="preserve">safety </w:t>
      </w:r>
      <w:r w:rsidR="00253AC4">
        <w:t>were worth pursuing</w:t>
      </w:r>
      <w:r w:rsidR="00291EC8">
        <w:t xml:space="preserve">, and that the preferred option was a reasonable way to achieve this. While agreeing broadly with the proposal many stakeholders thought that it went too far in places. In particular, the ABS off switch component drew </w:t>
      </w:r>
      <w:r w:rsidR="00317B83">
        <w:t>some</w:t>
      </w:r>
      <w:r w:rsidR="00291EC8">
        <w:t xml:space="preserve"> criticism. As previously noted </w:t>
      </w:r>
      <w:r w:rsidR="008C65A8">
        <w:t>the proposal has been altered in response to this feedback.</w:t>
      </w:r>
      <w:r w:rsidR="00291EC8">
        <w:t xml:space="preserve"> </w:t>
      </w:r>
      <w:r w:rsidR="00253AC4">
        <w:t xml:space="preserve">Some stakeholders, including WA and the CVIAA stated their preference for a move directly to </w:t>
      </w:r>
      <w:r w:rsidR="00317B83">
        <w:t>P</w:t>
      </w:r>
      <w:r w:rsidR="00253AC4">
        <w:t>hase II. However, a</w:t>
      </w:r>
      <w:r w:rsidR="00253AC4" w:rsidRPr="00253AC4">
        <w:t xml:space="preserve"> stepped approach (Phase I, Phase II) </w:t>
      </w:r>
      <w:r w:rsidR="00253AC4">
        <w:t xml:space="preserve">for this issue </w:t>
      </w:r>
      <w:r w:rsidR="00253AC4" w:rsidRPr="00253AC4">
        <w:t>has been agreed and endorsed a number of times</w:t>
      </w:r>
      <w:r w:rsidR="00253AC4">
        <w:t>.</w:t>
      </w:r>
    </w:p>
    <w:p w:rsidR="006756F3" w:rsidRDefault="006756F3" w:rsidP="00D428B2">
      <w:r>
        <w:t>State and territories generally supported the proposal throughout its development within the consultati</w:t>
      </w:r>
      <w:r w:rsidR="00FC0282">
        <w:t>ve groups.  However, only Western Australia made a formal submission.  This urged the government to look at moving to Phase II straight away, while at the same time expressing some local manufacturer’s concerns with the current proposal</w:t>
      </w:r>
      <w:r w:rsidR="00BE456A">
        <w:t xml:space="preserve"> relating to the proposed “ABS off switch”, the use of load proportioning on mechanical suspensions, and the general concern of mixed braking technology within combinations.</w:t>
      </w:r>
      <w:r w:rsidR="006B14CA">
        <w:t xml:space="preserve">  These latter two points were also raised by the CVIAA with concerns about mechanical suspensions and more generally ABS reliability in harsh conditions also included </w:t>
      </w:r>
      <w:r w:rsidR="00DA0FDE">
        <w:t>as part of</w:t>
      </w:r>
      <w:r w:rsidR="006B14CA">
        <w:t xml:space="preserve"> the ALRTA submission.</w:t>
      </w:r>
    </w:p>
    <w:p w:rsidR="00317B83" w:rsidRDefault="00FC0282" w:rsidP="00D428B2">
      <w:r>
        <w:t>A number of responses included additional technical proposals not directly related to the</w:t>
      </w:r>
      <w:r w:rsidR="00BE456A">
        <w:t xml:space="preserve"> question of ABS and load proportioning</w:t>
      </w:r>
      <w:r w:rsidR="006B14CA">
        <w:t xml:space="preserve"> such as Dangerous Goods plated trailers, </w:t>
      </w:r>
      <w:r w:rsidR="005D391A">
        <w:t>auxiliary brakes, road train release times and brake lamp activation</w:t>
      </w:r>
      <w:r w:rsidR="00BE456A">
        <w:t xml:space="preserve">. These had to be set aside as topics for Phase II unless they were minor, had </w:t>
      </w:r>
      <w:r w:rsidR="00DA0FDE">
        <w:t xml:space="preserve">previously </w:t>
      </w:r>
      <w:r w:rsidR="00BE456A">
        <w:t xml:space="preserve">been discussed </w:t>
      </w:r>
      <w:r w:rsidR="005D391A">
        <w:t xml:space="preserve">within the groups or there was </w:t>
      </w:r>
      <w:r w:rsidR="00DA0FDE">
        <w:t xml:space="preserve">reasonable </w:t>
      </w:r>
      <w:r w:rsidR="005D391A">
        <w:t>agreement on them. Proposals agreed to were</w:t>
      </w:r>
      <w:r w:rsidR="00317B83">
        <w:t>:</w:t>
      </w:r>
    </w:p>
    <w:p w:rsidR="00317B83" w:rsidRDefault="00534507" w:rsidP="00534507">
      <w:pPr>
        <w:pStyle w:val="ListParagraph"/>
        <w:numPr>
          <w:ilvl w:val="0"/>
          <w:numId w:val="87"/>
        </w:numPr>
      </w:pPr>
      <w:r>
        <w:t>A</w:t>
      </w:r>
      <w:r w:rsidR="005D391A">
        <w:t xml:space="preserve"> relaxation on the fitment of an off switch</w:t>
      </w:r>
      <w:r>
        <w:t>.  This</w:t>
      </w:r>
      <w:r w:rsidR="00E15A86">
        <w:t xml:space="preserve"> had come through a few </w:t>
      </w:r>
      <w:r>
        <w:t xml:space="preserve">of the </w:t>
      </w:r>
      <w:r w:rsidR="00E15A86">
        <w:t>comments</w:t>
      </w:r>
      <w:r>
        <w:t>;</w:t>
      </w:r>
    </w:p>
    <w:p w:rsidR="00317B83" w:rsidRDefault="00534507" w:rsidP="00534507">
      <w:pPr>
        <w:pStyle w:val="ListParagraph"/>
        <w:numPr>
          <w:ilvl w:val="0"/>
          <w:numId w:val="87"/>
        </w:numPr>
      </w:pPr>
      <w:r>
        <w:t>A</w:t>
      </w:r>
      <w:r w:rsidR="005D391A">
        <w:t xml:space="preserve"> relaxation to the load sensing requireme</w:t>
      </w:r>
      <w:r w:rsidR="00E15A86">
        <w:t>nts</w:t>
      </w:r>
      <w:r>
        <w:t xml:space="preserve">.  This </w:t>
      </w:r>
      <w:r w:rsidR="005D391A">
        <w:t>reflected previous work within the TLG</w:t>
      </w:r>
      <w:r>
        <w:t>;</w:t>
      </w:r>
    </w:p>
    <w:p w:rsidR="00317B83" w:rsidRDefault="00534507" w:rsidP="00534507">
      <w:pPr>
        <w:pStyle w:val="ListParagraph"/>
        <w:numPr>
          <w:ilvl w:val="0"/>
          <w:numId w:val="87"/>
        </w:numPr>
      </w:pPr>
      <w:r>
        <w:t>A</w:t>
      </w:r>
      <w:r w:rsidR="005D391A">
        <w:t xml:space="preserve"> relaxation </w:t>
      </w:r>
      <w:r w:rsidR="00E15A86">
        <w:t>for trailers of unusual design</w:t>
      </w:r>
      <w:r>
        <w:t xml:space="preserve">. This </w:t>
      </w:r>
      <w:r w:rsidR="002C0199">
        <w:t>had previously been raised at TLG</w:t>
      </w:r>
      <w:r>
        <w:t>;</w:t>
      </w:r>
    </w:p>
    <w:p w:rsidR="00534507" w:rsidRDefault="00534507" w:rsidP="00534507">
      <w:pPr>
        <w:pStyle w:val="ListParagraph"/>
        <w:numPr>
          <w:ilvl w:val="0"/>
          <w:numId w:val="87"/>
        </w:numPr>
      </w:pPr>
      <w:r>
        <w:t>A</w:t>
      </w:r>
      <w:r w:rsidR="00E15A86">
        <w:t xml:space="preserve"> minor increase</w:t>
      </w:r>
      <w:r w:rsidR="002C0199">
        <w:t xml:space="preserve"> in stringency to mandate automatic wear compensation devices (slack-adjusters)</w:t>
      </w:r>
      <w:r>
        <w:t>.  T</w:t>
      </w:r>
      <w:r w:rsidR="002C0199">
        <w:t>his would contribute to optimal ABS performance</w:t>
      </w:r>
      <w:r>
        <w:t>;</w:t>
      </w:r>
    </w:p>
    <w:p w:rsidR="00534507" w:rsidRDefault="00534507" w:rsidP="00534507">
      <w:pPr>
        <w:pStyle w:val="ListParagraph"/>
        <w:numPr>
          <w:ilvl w:val="0"/>
          <w:numId w:val="87"/>
        </w:numPr>
      </w:pPr>
      <w:r>
        <w:lastRenderedPageBreak/>
        <w:t>P</w:t>
      </w:r>
      <w:r w:rsidR="002C0199">
        <w:t>lugs and wiring to be provided where a trailer tows another trailer</w:t>
      </w:r>
      <w:r>
        <w:t xml:space="preserve">.  This would </w:t>
      </w:r>
      <w:r w:rsidR="002C0199">
        <w:t>provide for ABS/EBS trailers being connected into a combination in the future</w:t>
      </w:r>
      <w:r>
        <w:t>.  The feature would be a</w:t>
      </w:r>
      <w:r w:rsidR="002C0199">
        <w:t xml:space="preserve"> very good</w:t>
      </w:r>
      <w:r>
        <w:t xml:space="preserve"> for </w:t>
      </w:r>
      <w:r w:rsidR="002C0199">
        <w:t xml:space="preserve">“future-proofing” </w:t>
      </w:r>
      <w:r>
        <w:t xml:space="preserve">and had been </w:t>
      </w:r>
      <w:r w:rsidR="002C0199">
        <w:t>discussed amongst and promoted by</w:t>
      </w:r>
      <w:r w:rsidR="00D84854">
        <w:t xml:space="preserve"> industry</w:t>
      </w:r>
      <w:r>
        <w:t>; and</w:t>
      </w:r>
    </w:p>
    <w:p w:rsidR="00FC0282" w:rsidRDefault="00534507" w:rsidP="00D428B2">
      <w:pPr>
        <w:pStyle w:val="ListParagraph"/>
        <w:numPr>
          <w:ilvl w:val="0"/>
          <w:numId w:val="87"/>
        </w:numPr>
      </w:pPr>
      <w:r>
        <w:t>C</w:t>
      </w:r>
      <w:r w:rsidR="00D84854">
        <w:t>onsideration of relaxations of load proportioning requirements for mechanical suspensions and/or trailers of high unladen mass</w:t>
      </w:r>
      <w:r>
        <w:t>. This would be</w:t>
      </w:r>
      <w:r w:rsidR="004C085A">
        <w:t xml:space="preserve"> mostly applicable to the approximately 10 per cent of trailers </w:t>
      </w:r>
      <w:r>
        <w:t xml:space="preserve">that are </w:t>
      </w:r>
      <w:r w:rsidR="004C085A">
        <w:t>used in remote areas or otherwise harsh conditions</w:t>
      </w:r>
      <w:r w:rsidR="00D84854">
        <w:t>.</w:t>
      </w:r>
    </w:p>
    <w:p w:rsidR="00DA0FDE" w:rsidRDefault="003E0135" w:rsidP="00D428B2">
      <w:bookmarkStart w:id="44" w:name="absfornb1"/>
      <w:bookmarkEnd w:id="44"/>
      <w:r>
        <w:t>In terms of the scope of the proposed ADR changes and w</w:t>
      </w:r>
      <w:r w:rsidRPr="003E0135">
        <w:t xml:space="preserve">ith the further agreement of </w:t>
      </w:r>
      <w:r w:rsidR="00DA0FDE">
        <w:t>the vehicle manufacturers</w:t>
      </w:r>
      <w:r w:rsidR="00DF68E5">
        <w:t xml:space="preserve"> as represented by the peak industry body the Truck Industry Council</w:t>
      </w:r>
      <w:r w:rsidRPr="003E0135">
        <w:t>, the proposal was also broadened to include new goods vehicles greater than 3.5 tonnes GVM and less than 4.5 tonnes. These vehicles are represented by the ADR vehicle category of NB1, which also falls within the scope of ADR 35.</w:t>
      </w:r>
      <w:r>
        <w:t xml:space="preserve">  </w:t>
      </w:r>
      <w:r w:rsidR="00DF68E5">
        <w:t>They consist of the larger vans and smaller two axle trucks used mainly for local transportation duties, or with specialist bodies built on to them such as for motor homes.</w:t>
      </w:r>
      <w:r w:rsidR="004C085A">
        <w:t xml:space="preserve"> They make up around 20 per cent of the vehicles considered under this RIS.</w:t>
      </w:r>
    </w:p>
    <w:p w:rsidR="00B85986" w:rsidRDefault="003E0135" w:rsidP="00D428B2">
      <w:r w:rsidRPr="003E0135">
        <w:t xml:space="preserve">For consistency, the scope of the requirements in the draft ADRs </w:t>
      </w:r>
      <w:r>
        <w:t xml:space="preserve">had already </w:t>
      </w:r>
      <w:r w:rsidRPr="003E0135">
        <w:t>mirror</w:t>
      </w:r>
      <w:r>
        <w:t>ed</w:t>
      </w:r>
      <w:r w:rsidRPr="003E0135">
        <w:t xml:space="preserve"> that </w:t>
      </w:r>
      <w:r>
        <w:t>for NB1 within</w:t>
      </w:r>
      <w:r w:rsidRPr="003E0135">
        <w:t xml:space="preserve"> the international braking stand</w:t>
      </w:r>
      <w:r>
        <w:t>ard UNECE R13</w:t>
      </w:r>
      <w:r w:rsidR="00B85986">
        <w:t>, with ABS being required</w:t>
      </w:r>
      <w:r w:rsidRPr="003E0135">
        <w:t>.</w:t>
      </w:r>
      <w:r w:rsidR="006A5C6D">
        <w:t xml:space="preserve"> </w:t>
      </w:r>
      <w:r w:rsidRPr="003E0135">
        <w:t xml:space="preserve"> </w:t>
      </w:r>
      <w:r w:rsidR="006A5C6D">
        <w:t xml:space="preserve">While </w:t>
      </w:r>
      <w:r w:rsidR="00DA0FDE">
        <w:t xml:space="preserve">within Australia </w:t>
      </w:r>
      <w:r w:rsidR="006A5C6D">
        <w:t xml:space="preserve">crash data was not able to be </w:t>
      </w:r>
      <w:r w:rsidR="00626178">
        <w:t>identified just</w:t>
      </w:r>
      <w:r w:rsidR="006A5C6D">
        <w:t xml:space="preserve"> for these types of vehicles and so benefits have not been included with the analysis, the </w:t>
      </w:r>
      <w:r w:rsidR="00B85986">
        <w:t>benefits would be expected to be consistent with the heavy vehicle case.</w:t>
      </w:r>
    </w:p>
    <w:p w:rsidR="004F694A" w:rsidRDefault="006D10B0" w:rsidP="004F694A">
      <w:pPr>
        <w:pStyle w:val="Heading1"/>
      </w:pPr>
      <w:bookmarkStart w:id="45" w:name="_Toc360572060"/>
      <w:bookmarkStart w:id="46" w:name="_Toc375302802"/>
      <w:bookmarkEnd w:id="45"/>
      <w:r>
        <w:t>Conclusions and Recommendations</w:t>
      </w:r>
      <w:bookmarkEnd w:id="46"/>
    </w:p>
    <w:p w:rsidR="001523DD" w:rsidRDefault="001523DD" w:rsidP="001523DD">
      <w:r w:rsidRPr="0013664A">
        <w:t>Option 2</w:t>
      </w:r>
      <w:r w:rsidR="00102BAF">
        <w:t>, including the variation</w:t>
      </w:r>
      <w:r w:rsidR="009D07F3">
        <w:t xml:space="preserve"> (sub-option)</w:t>
      </w:r>
      <w:r w:rsidR="00102BAF">
        <w:t xml:space="preserve"> under 2(a)</w:t>
      </w:r>
      <w:r w:rsidR="008D610C">
        <w:t>,</w:t>
      </w:r>
      <w:r w:rsidRPr="0013664A">
        <w:t xml:space="preserve"> is the most effective solution in terms of achieving the objective established earlier.  Under this option </w:t>
      </w:r>
      <w:r w:rsidR="00116879">
        <w:t xml:space="preserve">and in line with the National Heavy Vehicle Braking Strategy (NHVBS) Phase I requirements and the National Road Safety Strategy 2011-20 (NRSS), </w:t>
      </w:r>
      <w:r w:rsidRPr="0013664A">
        <w:t xml:space="preserve">ADR 35/03 and ADR 38/03 would be amended to </w:t>
      </w:r>
      <w:r w:rsidR="00116879">
        <w:t xml:space="preserve">mandate ABS for heavy commercial vehicles (trucks, trailers and buses) </w:t>
      </w:r>
      <w:r w:rsidR="008D610C">
        <w:t xml:space="preserve">but </w:t>
      </w:r>
      <w:r w:rsidR="00116879">
        <w:t xml:space="preserve">with Load Proportioning (LP) braking systems an option for heavy trailers.  </w:t>
      </w:r>
      <w:r w:rsidR="00F006A8">
        <w:t xml:space="preserve">Medium trucks of the NB1 category would also be included.  </w:t>
      </w:r>
      <w:r w:rsidR="00116879">
        <w:t xml:space="preserve">The ADRs would </w:t>
      </w:r>
      <w:r w:rsidRPr="0013664A">
        <w:t xml:space="preserve">become ADR 35/04 and ADR 38/04 respectively and as part of this would also accommodate the latest revision of </w:t>
      </w:r>
      <w:r w:rsidR="00BB158B" w:rsidRPr="0013664A">
        <w:t>R </w:t>
      </w:r>
      <w:r w:rsidRPr="0013664A">
        <w:t>13 within its alternative standards provisions.</w:t>
      </w:r>
      <w:r w:rsidR="0013664A" w:rsidRPr="0013664A">
        <w:t xml:space="preserve">  </w:t>
      </w:r>
      <w:r w:rsidR="00CA3FCA" w:rsidRPr="0013664A">
        <w:t>The ADR amendments are proposed to come into force from 1 January 2014.</w:t>
      </w:r>
    </w:p>
    <w:p w:rsidR="00B0726F" w:rsidRPr="0072358C" w:rsidRDefault="00B0726F" w:rsidP="00B0726F">
      <w:proofErr w:type="gramStart"/>
      <w:r w:rsidRPr="0072358C">
        <w:t>Option 1</w:t>
      </w:r>
      <w:r>
        <w:t>—</w:t>
      </w:r>
      <w:r w:rsidRPr="0072358C">
        <w:t>taking no action</w:t>
      </w:r>
      <w:r>
        <w:t>.</w:t>
      </w:r>
      <w:proofErr w:type="gramEnd"/>
      <w:r>
        <w:t xml:space="preserve"> Based on the most recent industry estimates of voluntary ABS installation (90% of trucks), </w:t>
      </w:r>
      <w:r w:rsidRPr="0072358C">
        <w:t xml:space="preserve"> </w:t>
      </w:r>
      <w:r>
        <w:t>this option is achieving the</w:t>
      </w:r>
      <w:r w:rsidRPr="0072358C">
        <w:t xml:space="preserve"> objective to reduce the road trauma arising from crashes involving the stability of heavy commercial vehicles under braking</w:t>
      </w:r>
      <w:r>
        <w:t xml:space="preserve"> to a large extent</w:t>
      </w:r>
      <w:r w:rsidRPr="0072358C">
        <w:t xml:space="preserve">. </w:t>
      </w:r>
      <w:r>
        <w:t>However, industry wide installation is unlikely to be achieved in the medium term.</w:t>
      </w:r>
    </w:p>
    <w:p w:rsidR="00076C3B" w:rsidRDefault="00076C3B" w:rsidP="001523DD">
      <w:r>
        <w:t xml:space="preserve">Options 3 and 4, to delete ADRs 35 and 38 and possibly use non-regulatory mechanisms instead, were </w:t>
      </w:r>
      <w:r w:rsidR="00102BAF">
        <w:t xml:space="preserve">also </w:t>
      </w:r>
      <w:r>
        <w:t>rejected.  The</w:t>
      </w:r>
      <w:r w:rsidR="00102BAF">
        <w:t>se</w:t>
      </w:r>
      <w:r>
        <w:t xml:space="preserve"> options were rejected at the last full review of these ADRs </w:t>
      </w:r>
      <w:r>
        <w:lastRenderedPageBreak/>
        <w:t xml:space="preserve">in 2006 and so </w:t>
      </w:r>
      <w:r w:rsidR="00102BAF">
        <w:t>would</w:t>
      </w:r>
      <w:r>
        <w:t xml:space="preserve"> </w:t>
      </w:r>
      <w:r w:rsidR="00102BAF">
        <w:t xml:space="preserve">only </w:t>
      </w:r>
      <w:r>
        <w:t>be considered as part of the next full review.</w:t>
      </w:r>
      <w:r w:rsidR="00BE40F0">
        <w:t xml:space="preserve">  They had previously been rejected as not being appropriate for such </w:t>
      </w:r>
      <w:r w:rsidR="00BE40F0" w:rsidRPr="00D8705D">
        <w:t>a high impact, high risk area of public safety.</w:t>
      </w:r>
    </w:p>
    <w:p w:rsidR="00A259D4" w:rsidRDefault="001523DD" w:rsidP="001523DD">
      <w:r>
        <w:t>Option 2, adopting the proposed amendments</w:t>
      </w:r>
      <w:r w:rsidR="00A0535C">
        <w:t xml:space="preserve"> to mandate ABS for heavy commercial vehicles</w:t>
      </w:r>
      <w:r w:rsidR="00360A59">
        <w:t>, including medium trucks</w:t>
      </w:r>
      <w:r w:rsidR="00A0535C">
        <w:t xml:space="preserve"> and allowing LP for heavy trailers</w:t>
      </w:r>
      <w:r>
        <w:t xml:space="preserve">, would reduce road trauma.  It would provide a net benefit to the wider community without presenting a technical barrier to vehicle manufacturers wishing to supply Australia with new vehicles meeting a higher level of safety and it.  </w:t>
      </w:r>
      <w:r w:rsidR="00A0535C">
        <w:t xml:space="preserve">This is because the international regulations UNECE R 13 would be acceptable as alternative standard to comply with.  Option </w:t>
      </w:r>
      <w:r w:rsidR="006B21F1">
        <w:t>2 (including variations (a) for LP and (b) for allowing international standards)</w:t>
      </w:r>
      <w:r>
        <w:t xml:space="preserve"> is the recommended option.</w:t>
      </w:r>
    </w:p>
    <w:p w:rsidR="00116879" w:rsidRDefault="00116879" w:rsidP="001523DD">
      <w:r>
        <w:t>The focus of Phase II is the adoption of ESC systems.  If implemented</w:t>
      </w:r>
      <w:r w:rsidR="00FA52A5">
        <w:t xml:space="preserve"> further in</w:t>
      </w:r>
      <w:r w:rsidR="00102BAF">
        <w:t>to</w:t>
      </w:r>
      <w:r w:rsidR="00FA52A5">
        <w:t xml:space="preserve"> the future</w:t>
      </w:r>
      <w:r>
        <w:t xml:space="preserve">, Phase II would </w:t>
      </w:r>
      <w:r w:rsidR="009D07F3">
        <w:t xml:space="preserve">follow </w:t>
      </w:r>
      <w:r>
        <w:t xml:space="preserve">Phase I, that is, new vehicles would need to comply with Phase I requirements under ADRs 35 and 38 until these changed under Phase II requirements.  Existing vehicles in service would not be affected by such a change.  Phase II requirements would also be compatible with Phase I </w:t>
      </w:r>
      <w:proofErr w:type="spellStart"/>
      <w:r>
        <w:t>ie</w:t>
      </w:r>
      <w:proofErr w:type="spellEnd"/>
      <w:r>
        <w:t xml:space="preserve"> a vehicle model that meets Phase II requirements early would also meet Phase I requirements.</w:t>
      </w:r>
    </w:p>
    <w:p w:rsidR="00CA3FCA" w:rsidRDefault="00CA3FCA" w:rsidP="00CA3FCA">
      <w:r w:rsidRPr="0013664A">
        <w:t xml:space="preserve">Industry codes and advisories </w:t>
      </w:r>
      <w:r w:rsidR="009D07F3">
        <w:t>would</w:t>
      </w:r>
      <w:r w:rsidR="009D07F3" w:rsidRPr="0013664A">
        <w:t xml:space="preserve"> </w:t>
      </w:r>
      <w:r w:rsidRPr="0013664A">
        <w:t>be encouraged as a complement to regulated requirements for compatibility which, due to the nature of the ADRs (single vehicle type approval) are unable to fully deal with combinations (truck and trailer(s) operating together).</w:t>
      </w:r>
    </w:p>
    <w:p w:rsidR="00195BB4" w:rsidRDefault="006D10B0" w:rsidP="00195BB4">
      <w:pPr>
        <w:pStyle w:val="Heading1"/>
      </w:pPr>
      <w:bookmarkStart w:id="47" w:name="_Toc375302803"/>
      <w:r>
        <w:t>Implementation and Review</w:t>
      </w:r>
      <w:bookmarkEnd w:id="47"/>
    </w:p>
    <w:p w:rsidR="006126F9" w:rsidRDefault="006126F9" w:rsidP="006126F9">
      <w:r>
        <w:t xml:space="preserve">Amendments to the ADRs are determined by the </w:t>
      </w:r>
      <w:r w:rsidR="00AF74CA">
        <w:t xml:space="preserve">Federal Minister for </w:t>
      </w:r>
      <w:r w:rsidR="00BC28FC" w:rsidRPr="00BC28FC">
        <w:t>Infrastructure and Regional Development</w:t>
      </w:r>
      <w:r>
        <w:t xml:space="preserve"> under section 7 of the </w:t>
      </w:r>
      <w:r w:rsidRPr="006126F9">
        <w:t>MVSA</w:t>
      </w:r>
      <w:r>
        <w:t xml:space="preserve">.  At the time that the amendment is signed by the </w:t>
      </w:r>
      <w:r w:rsidR="00AF74CA">
        <w:t>Minister</w:t>
      </w:r>
      <w:r>
        <w:t>, registered subscribers to the ADRs are e-mailed directly notifying them of the amendment to the ADR.  Registered subscribers to the ADRs include but are not limited to; various industry groups such as vehicle manufacturers, designers and test facilities, and vehicle user organisations.</w:t>
      </w:r>
    </w:p>
    <w:p w:rsidR="00CA3FCA" w:rsidRPr="0013664A" w:rsidRDefault="006126F9" w:rsidP="006126F9">
      <w:r w:rsidRPr="00A54ECA">
        <w:t xml:space="preserve">As Australian Government regulations, </w:t>
      </w:r>
      <w:r>
        <w:t>ADRs</w:t>
      </w:r>
      <w:r w:rsidRPr="00A54ECA">
        <w:t xml:space="preserve"> are subject to review every ten years</w:t>
      </w:r>
      <w:r>
        <w:t xml:space="preserve"> as resources permit</w:t>
      </w:r>
      <w:r w:rsidRPr="00A54ECA">
        <w:t>. This ensures that they remain relevant, cost effective and do not become a barrier to the importation of safer vehicles and vehicle components.</w:t>
      </w:r>
      <w:r w:rsidRPr="009B1FD8">
        <w:t xml:space="preserve">  ADR</w:t>
      </w:r>
      <w:r>
        <w:t xml:space="preserve">s 35 and 38 </w:t>
      </w:r>
      <w:r w:rsidRPr="009B1FD8">
        <w:t>will be scheduled for a full review on an ongoing basis and in accordance with the Australian</w:t>
      </w:r>
      <w:r>
        <w:t xml:space="preserve"> Government’s Business Review Agenda.  The timing for review is to be determined.  In the interim, consideration of full stability systems under Phase II of the NHVBS will begin at the completion of Phase I.  </w:t>
      </w:r>
      <w:r w:rsidR="00E57A27" w:rsidRPr="0013664A">
        <w:t xml:space="preserve">This is scheduled within the NRSS for 2014+ and it is </w:t>
      </w:r>
      <w:r w:rsidR="00FA52A5">
        <w:t>anticipated</w:t>
      </w:r>
      <w:r w:rsidR="00FA52A5" w:rsidRPr="0013664A">
        <w:t xml:space="preserve"> </w:t>
      </w:r>
      <w:r w:rsidR="00E57A27" w:rsidRPr="0013664A">
        <w:t>that this work will begin at the start of 2014.</w:t>
      </w:r>
    </w:p>
    <w:p w:rsidR="00CA3FCA" w:rsidRDefault="00CA3FCA">
      <w:pPr>
        <w:tabs>
          <w:tab w:val="clear" w:pos="851"/>
        </w:tabs>
        <w:spacing w:before="0" w:after="200" w:line="276" w:lineRule="auto"/>
        <w:rPr>
          <w:highlight w:val="magenta"/>
        </w:rPr>
      </w:pPr>
      <w:r>
        <w:rPr>
          <w:highlight w:val="magenta"/>
        </w:rPr>
        <w:br w:type="page"/>
      </w:r>
    </w:p>
    <w:p w:rsidR="001F3CAB" w:rsidRDefault="009E5A30" w:rsidP="001F3CAB">
      <w:pPr>
        <w:pStyle w:val="Heading1"/>
      </w:pPr>
      <w:bookmarkStart w:id="48" w:name="_Toc319933947"/>
      <w:bookmarkStart w:id="49" w:name="_Toc375302804"/>
      <w:r w:rsidRPr="00C45A5F">
        <w:lastRenderedPageBreak/>
        <w:t>R</w:t>
      </w:r>
      <w:r w:rsidR="001F3CAB" w:rsidRPr="00C45A5F">
        <w:t>eferences</w:t>
      </w:r>
      <w:bookmarkEnd w:id="48"/>
      <w:bookmarkEnd w:id="49"/>
    </w:p>
    <w:p w:rsidR="006304D5" w:rsidRPr="0013664A" w:rsidRDefault="006304D5" w:rsidP="006304D5">
      <w:pPr>
        <w:pStyle w:val="references"/>
      </w:pPr>
      <w:r w:rsidRPr="00B73921">
        <w:t xml:space="preserve">Allen, K. (2010). </w:t>
      </w:r>
      <w:proofErr w:type="gramStart"/>
      <w:r w:rsidRPr="00B73921">
        <w:rPr>
          <w:i/>
        </w:rPr>
        <w:t>The Effectiveness of ABS in Heavy Truck Tractors and Trailers</w:t>
      </w:r>
      <w:r w:rsidRPr="00B73921">
        <w:t>.</w:t>
      </w:r>
      <w:proofErr w:type="gramEnd"/>
      <w:r w:rsidRPr="00B73921">
        <w:t xml:space="preserve"> (Report</w:t>
      </w:r>
      <w:r>
        <w:t xml:space="preserve"> No. </w:t>
      </w:r>
      <w:proofErr w:type="gramStart"/>
      <w:r>
        <w:t>DOT HS 811 339).</w:t>
      </w:r>
      <w:proofErr w:type="gramEnd"/>
      <w:r>
        <w:t xml:space="preserve"> </w:t>
      </w:r>
      <w:proofErr w:type="gramStart"/>
      <w:r>
        <w:t>National Highway Traffic Safety Administration.</w:t>
      </w:r>
      <w:proofErr w:type="gramEnd"/>
      <w:r>
        <w:t xml:space="preserve"> Retrieved 21 November 2012 from </w:t>
      </w:r>
      <w:r w:rsidRPr="00E43FFB">
        <w:rPr>
          <w:rStyle w:val="Hyperlink"/>
        </w:rPr>
        <w:t>www-nrd.nhtsa.dot.gov/Pubs/811339.pdf</w:t>
      </w:r>
      <w:r w:rsidRPr="00B710F6">
        <w:t xml:space="preserve"> </w:t>
      </w:r>
    </w:p>
    <w:p w:rsidR="005E11E9" w:rsidRPr="0013664A" w:rsidRDefault="005E11E9" w:rsidP="006304D5">
      <w:pPr>
        <w:pStyle w:val="references"/>
      </w:pPr>
      <w:proofErr w:type="gramStart"/>
      <w:r w:rsidRPr="0013664A">
        <w:t xml:space="preserve">ARTSA </w:t>
      </w:r>
      <w:r w:rsidR="001A47DA" w:rsidRPr="0013664A">
        <w:t>(2011).</w:t>
      </w:r>
      <w:proofErr w:type="gramEnd"/>
      <w:r w:rsidR="001A47DA" w:rsidRPr="0013664A">
        <w:t xml:space="preserve"> Combination Vehicle Brake Code of Practice: </w:t>
      </w:r>
      <w:r w:rsidR="001A47DA" w:rsidRPr="0013664A">
        <w:rPr>
          <w:i/>
        </w:rPr>
        <w:t>Part 5—Review of Electronically-Controlled Brake Technologies for Heavy Vehicles</w:t>
      </w:r>
      <w:r w:rsidR="00A47D2F" w:rsidRPr="0013664A">
        <w:t xml:space="preserve">. Retrieved 3 December 2012 from </w:t>
      </w:r>
      <w:hyperlink r:id="rId15" w:history="1">
        <w:r w:rsidR="009643B6" w:rsidRPr="0013664A">
          <w:rPr>
            <w:rStyle w:val="Hyperlink"/>
          </w:rPr>
          <w:t>www.artsa.com.au/library/2011/Part_5_2011.docx</w:t>
        </w:r>
      </w:hyperlink>
      <w:r w:rsidR="009643B6" w:rsidRPr="0013664A">
        <w:t xml:space="preserve"> </w:t>
      </w:r>
    </w:p>
    <w:p w:rsidR="002F6258" w:rsidRPr="0013664A" w:rsidRDefault="002F6258" w:rsidP="002F6258">
      <w:pPr>
        <w:pStyle w:val="references"/>
        <w:rPr>
          <w:rStyle w:val="Hyperlink"/>
        </w:rPr>
      </w:pPr>
      <w:proofErr w:type="gramStart"/>
      <w:r w:rsidRPr="0013664A">
        <w:t>Australian Bureau of Statistics (2010).</w:t>
      </w:r>
      <w:proofErr w:type="gramEnd"/>
      <w:r w:rsidRPr="0013664A">
        <w:t xml:space="preserve"> </w:t>
      </w:r>
      <w:r w:rsidRPr="0013664A">
        <w:rPr>
          <w:i/>
        </w:rPr>
        <w:t>Consumer Price Index, Australia, June 2010</w:t>
      </w:r>
      <w:r w:rsidRPr="0013664A">
        <w:t xml:space="preserve">. Report No. 6401.0. Retrieved from </w:t>
      </w:r>
      <w:hyperlink r:id="rId16" w:history="1">
        <w:r w:rsidRPr="0013664A">
          <w:rPr>
            <w:rStyle w:val="Hyperlink"/>
          </w:rPr>
          <w:t>http://www.abs.gov.au/AUSSTATS/abs@.nsf/DetailsPage/6401.0Jun%202010?OpenDocument</w:t>
        </w:r>
      </w:hyperlink>
    </w:p>
    <w:p w:rsidR="005C59D1" w:rsidRPr="0013664A" w:rsidRDefault="005C59D1" w:rsidP="005C59D1">
      <w:pPr>
        <w:pStyle w:val="references"/>
        <w:rPr>
          <w:rStyle w:val="Hyperlink"/>
        </w:rPr>
      </w:pPr>
      <w:proofErr w:type="gramStart"/>
      <w:r w:rsidRPr="0013664A">
        <w:t>Australian Bureau of Statistics (2011).</w:t>
      </w:r>
      <w:proofErr w:type="gramEnd"/>
      <w:r w:rsidRPr="0013664A">
        <w:t xml:space="preserve"> </w:t>
      </w:r>
      <w:proofErr w:type="gramStart"/>
      <w:r w:rsidRPr="0013664A">
        <w:t>Survey of Motor Vehicle Use.</w:t>
      </w:r>
      <w:proofErr w:type="gramEnd"/>
      <w:r w:rsidRPr="0013664A">
        <w:t xml:space="preserve"> Report No 9208.0. Retrieved November 2012 from </w:t>
      </w:r>
      <w:hyperlink r:id="rId17" w:history="1">
        <w:r w:rsidRPr="0013664A">
          <w:rPr>
            <w:rStyle w:val="Hyperlink"/>
          </w:rPr>
          <w:t>http://www.ausstats.abs.gov.au/Ausstats/subscriber.nsf/0/4576F71CCF2E9F65CA2578F4001E5E98/$File/92080_12%20months%20ended%2031%20october%202010.pdf</w:t>
        </w:r>
      </w:hyperlink>
    </w:p>
    <w:p w:rsidR="00046D86" w:rsidRPr="0013664A" w:rsidRDefault="00046D86" w:rsidP="00046D86">
      <w:pPr>
        <w:pStyle w:val="references"/>
      </w:pPr>
      <w:proofErr w:type="gramStart"/>
      <w:r w:rsidRPr="0013664A">
        <w:t>Australian Bureau of Statistics (2012).</w:t>
      </w:r>
      <w:proofErr w:type="gramEnd"/>
      <w:r w:rsidRPr="0013664A">
        <w:t xml:space="preserve"> </w:t>
      </w:r>
      <w:proofErr w:type="gramStart"/>
      <w:r w:rsidRPr="0013664A">
        <w:rPr>
          <w:i/>
        </w:rPr>
        <w:t>Motor Vehicle Census</w:t>
      </w:r>
      <w:r w:rsidRPr="0013664A">
        <w:t>.</w:t>
      </w:r>
      <w:proofErr w:type="gramEnd"/>
      <w:r w:rsidRPr="0013664A">
        <w:t xml:space="preserve"> Report No 9309.0. Retrieved November 2012 from </w:t>
      </w:r>
      <w:hyperlink r:id="rId18" w:history="1">
        <w:r w:rsidRPr="0013664A">
          <w:rPr>
            <w:rStyle w:val="Hyperlink"/>
          </w:rPr>
          <w:t>http://www.ausstats.abs.gov.au/Ausstats/subscriber.nsf/0/3BF838E102AE5743CA257A7600186000/$File/93090_31%20jan%202012.pdf</w:t>
        </w:r>
      </w:hyperlink>
    </w:p>
    <w:p w:rsidR="00DD73A1" w:rsidRPr="00DD73A1" w:rsidRDefault="00DD73A1" w:rsidP="00DD73A1">
      <w:pPr>
        <w:pStyle w:val="references"/>
        <w:rPr>
          <w:u w:val="single"/>
        </w:rPr>
      </w:pPr>
      <w:proofErr w:type="gramStart"/>
      <w:r>
        <w:rPr>
          <w:rStyle w:val="Hyperlink"/>
        </w:rPr>
        <w:t>Australian Government.</w:t>
      </w:r>
      <w:proofErr w:type="gramEnd"/>
      <w:r>
        <w:rPr>
          <w:rStyle w:val="Hyperlink"/>
        </w:rPr>
        <w:t xml:space="preserve"> </w:t>
      </w:r>
      <w:proofErr w:type="gramStart"/>
      <w:r>
        <w:rPr>
          <w:rStyle w:val="Hyperlink"/>
        </w:rPr>
        <w:t xml:space="preserve">(2010). </w:t>
      </w:r>
      <w:r>
        <w:rPr>
          <w:rStyle w:val="Hyperlink"/>
          <w:i/>
        </w:rPr>
        <w:t>Best Practice Regulation Handbook</w:t>
      </w:r>
      <w:r>
        <w:rPr>
          <w:rStyle w:val="Hyperlink"/>
        </w:rPr>
        <w:t>.</w:t>
      </w:r>
      <w:proofErr w:type="gramEnd"/>
      <w:r>
        <w:rPr>
          <w:rStyle w:val="Hyperlink"/>
        </w:rPr>
        <w:t xml:space="preserve">  Canberra.  Retrieved 12 October, 2012 from http://www.finance.gov.au/obpr/proposal/gov-requirements.html#handbook</w:t>
      </w:r>
    </w:p>
    <w:p w:rsidR="00FC3DBA" w:rsidRPr="0013664A" w:rsidRDefault="00FC3DBA" w:rsidP="002F6258">
      <w:pPr>
        <w:pStyle w:val="references"/>
      </w:pPr>
      <w:proofErr w:type="gramStart"/>
      <w:r w:rsidRPr="0013664A">
        <w:t>Australian Trucking Association (</w:t>
      </w:r>
      <w:r w:rsidR="00487196" w:rsidRPr="0013664A">
        <w:t>2000).</w:t>
      </w:r>
      <w:proofErr w:type="gramEnd"/>
      <w:r w:rsidR="00487196" w:rsidRPr="0013664A">
        <w:t xml:space="preserve"> </w:t>
      </w:r>
      <w:proofErr w:type="gramStart"/>
      <w:r w:rsidR="00150660" w:rsidRPr="0013664A">
        <w:rPr>
          <w:i/>
        </w:rPr>
        <w:t>Australian Air Brake Code of Practice</w:t>
      </w:r>
      <w:r w:rsidR="00150660" w:rsidRPr="0013664A">
        <w:t>.</w:t>
      </w:r>
      <w:proofErr w:type="gramEnd"/>
      <w:r w:rsidR="00150660" w:rsidRPr="0013664A">
        <w:t xml:space="preserve">  </w:t>
      </w:r>
    </w:p>
    <w:p w:rsidR="009C71B7" w:rsidRPr="0013664A" w:rsidRDefault="0076368F" w:rsidP="002F6258">
      <w:pPr>
        <w:pStyle w:val="references"/>
      </w:pPr>
      <w:proofErr w:type="gramStart"/>
      <w:r w:rsidRPr="0013664A">
        <w:t>Australian Trucking Association (2012)</w:t>
      </w:r>
      <w:r w:rsidR="005904FA" w:rsidRPr="0013664A">
        <w:t>.</w:t>
      </w:r>
      <w:proofErr w:type="gramEnd"/>
      <w:r w:rsidR="005904FA" w:rsidRPr="0013664A">
        <w:t xml:space="preserve"> </w:t>
      </w:r>
      <w:r w:rsidR="005904FA" w:rsidRPr="0013664A">
        <w:rPr>
          <w:i/>
        </w:rPr>
        <w:t>Industry Technical Council Advisory Procedure</w:t>
      </w:r>
      <w:r w:rsidR="009C71B7" w:rsidRPr="0013664A">
        <w:t>—</w:t>
      </w:r>
      <w:r w:rsidR="009C71B7" w:rsidRPr="0013664A">
        <w:rPr>
          <w:i/>
        </w:rPr>
        <w:t>Heavy Vehicle Combinations—Electronic Braking Systems</w:t>
      </w:r>
      <w:r w:rsidR="009C71B7" w:rsidRPr="0013664A">
        <w:t xml:space="preserve">. Retrieved 4 December 2012 from </w:t>
      </w:r>
      <w:hyperlink r:id="rId19" w:history="1">
        <w:r w:rsidR="00A0551B" w:rsidRPr="0013664A">
          <w:rPr>
            <w:rStyle w:val="Hyperlink"/>
          </w:rPr>
          <w:t>http://www.truck.net.au/industry-resources/electronic-braking-systems-ebs-advisory-procedure</w:t>
        </w:r>
      </w:hyperlink>
      <w:r w:rsidR="00A0551B" w:rsidRPr="0013664A">
        <w:t xml:space="preserve"> </w:t>
      </w:r>
    </w:p>
    <w:p w:rsidR="007D61E6" w:rsidRPr="0013664A" w:rsidRDefault="007D61E6" w:rsidP="007D61E6">
      <w:pPr>
        <w:pStyle w:val="references"/>
      </w:pPr>
      <w:proofErr w:type="gramStart"/>
      <w:r w:rsidRPr="0013664A">
        <w:t>Bosch (2007)</w:t>
      </w:r>
      <w:r w:rsidR="00BF41AA" w:rsidRPr="0013664A">
        <w:t>.</w:t>
      </w:r>
      <w:proofErr w:type="gramEnd"/>
      <w:r w:rsidR="00BF41AA" w:rsidRPr="0013664A">
        <w:t xml:space="preserve"> </w:t>
      </w:r>
      <w:proofErr w:type="gramStart"/>
      <w:r w:rsidR="00BF41AA" w:rsidRPr="0013664A">
        <w:rPr>
          <w:i/>
        </w:rPr>
        <w:t>Automotive Handbook.</w:t>
      </w:r>
      <w:proofErr w:type="gramEnd"/>
      <w:r w:rsidR="00BF41AA" w:rsidRPr="0013664A">
        <w:t xml:space="preserve"> </w:t>
      </w:r>
      <w:proofErr w:type="gramStart"/>
      <w:r w:rsidR="00BF41AA" w:rsidRPr="0013664A">
        <w:t>7</w:t>
      </w:r>
      <w:r w:rsidR="00BF41AA" w:rsidRPr="0013664A">
        <w:rPr>
          <w:vertAlign w:val="superscript"/>
        </w:rPr>
        <w:t>th</w:t>
      </w:r>
      <w:r w:rsidR="00BF41AA" w:rsidRPr="0013664A">
        <w:t xml:space="preserve"> edition.</w:t>
      </w:r>
      <w:proofErr w:type="gramEnd"/>
      <w:r w:rsidR="00BF41AA" w:rsidRPr="0013664A">
        <w:t xml:space="preserve"> Robert Bosch </w:t>
      </w:r>
      <w:r w:rsidR="008C6A2A" w:rsidRPr="0013664A">
        <w:t>G</w:t>
      </w:r>
      <w:r w:rsidR="00935B3C" w:rsidRPr="0013664A">
        <w:t>m</w:t>
      </w:r>
      <w:r w:rsidR="008C6A2A" w:rsidRPr="0013664A">
        <w:t>bH</w:t>
      </w:r>
      <w:r w:rsidR="00BF41AA" w:rsidRPr="0013664A">
        <w:t xml:space="preserve"> </w:t>
      </w:r>
    </w:p>
    <w:p w:rsidR="00426D8E" w:rsidRPr="0013664A" w:rsidRDefault="00426D8E" w:rsidP="00426D8E">
      <w:pPr>
        <w:pStyle w:val="references"/>
      </w:pPr>
      <w:proofErr w:type="gramStart"/>
      <w:r w:rsidRPr="0013664A">
        <w:t>Bureau of Transport Economics.</w:t>
      </w:r>
      <w:proofErr w:type="gramEnd"/>
      <w:r w:rsidRPr="0013664A">
        <w:t xml:space="preserve"> (2000). </w:t>
      </w:r>
      <w:r w:rsidRPr="0013664A">
        <w:rPr>
          <w:i/>
        </w:rPr>
        <w:t>Road Crash Costs in Australia</w:t>
      </w:r>
      <w:r w:rsidRPr="0013664A">
        <w:t>. (Report No. 102).  Canberra, Australia.</w:t>
      </w:r>
    </w:p>
    <w:p w:rsidR="00C1729B" w:rsidRPr="0013664A" w:rsidRDefault="00C1729B" w:rsidP="002F6258">
      <w:pPr>
        <w:pStyle w:val="references"/>
        <w:rPr>
          <w:rStyle w:val="Hyperlink"/>
        </w:rPr>
      </w:pPr>
      <w:proofErr w:type="gramStart"/>
      <w:r w:rsidRPr="0013664A">
        <w:t>Bureau of Infrastructure, Transport and Regional Economics (2011).</w:t>
      </w:r>
      <w:proofErr w:type="gramEnd"/>
      <w:r w:rsidRPr="0013664A">
        <w:t xml:space="preserve"> </w:t>
      </w:r>
      <w:r w:rsidRPr="0013664A">
        <w:rPr>
          <w:i/>
        </w:rPr>
        <w:t xml:space="preserve">Fatal heavy vehicle crashes </w:t>
      </w:r>
      <w:r w:rsidR="00153EF4" w:rsidRPr="0013664A">
        <w:rPr>
          <w:i/>
        </w:rPr>
        <w:t xml:space="preserve">Australia </w:t>
      </w:r>
      <w:r w:rsidRPr="0013664A">
        <w:rPr>
          <w:i/>
        </w:rPr>
        <w:t>quarterly bulletin, July—Sept 2011</w:t>
      </w:r>
      <w:r w:rsidR="00153EF4" w:rsidRPr="0013664A">
        <w:t xml:space="preserve">. </w:t>
      </w:r>
      <w:r w:rsidR="00CA04A4" w:rsidRPr="0013664A">
        <w:t xml:space="preserve"> </w:t>
      </w:r>
      <w:proofErr w:type="gramStart"/>
      <w:r w:rsidR="00CA04A4" w:rsidRPr="0013664A">
        <w:t>Department of Infrastructure and Transport.</w:t>
      </w:r>
      <w:proofErr w:type="gramEnd"/>
      <w:r w:rsidR="00CA04A4" w:rsidRPr="0013664A">
        <w:t xml:space="preserve">  Retrieved 30 November 2012 from </w:t>
      </w:r>
      <w:r w:rsidR="00CA04A4" w:rsidRPr="0013664A">
        <w:rPr>
          <w:rStyle w:val="Hyperlink"/>
        </w:rPr>
        <w:t>www.bitre.gov.au/publications/2012/files/fhvc_2011_july-sept.pdf</w:t>
      </w:r>
    </w:p>
    <w:p w:rsidR="0038302D" w:rsidRPr="0013664A" w:rsidRDefault="0038302D" w:rsidP="002F6258">
      <w:pPr>
        <w:pStyle w:val="references"/>
        <w:rPr>
          <w:i/>
        </w:rPr>
      </w:pPr>
      <w:r w:rsidRPr="0013664A">
        <w:lastRenderedPageBreak/>
        <w:t>Byrnes, G. (</w:t>
      </w:r>
      <w:r w:rsidR="00714B10" w:rsidRPr="0013664A">
        <w:t xml:space="preserve">2009). Comment on NTC response dated November 2008 to the </w:t>
      </w:r>
      <w:r w:rsidR="006F2B05" w:rsidRPr="0013664A">
        <w:t>National Heavy Vehicle Braking Strategy</w:t>
      </w:r>
      <w:r w:rsidR="00714B10" w:rsidRPr="0013664A">
        <w:t xml:space="preserve"> report by Hartwood Consulting dated June 2008. </w:t>
      </w:r>
      <w:proofErr w:type="gramStart"/>
      <w:r w:rsidR="00E931C7" w:rsidRPr="0013664A">
        <w:t>Air Brake Corporation of Australia.</w:t>
      </w:r>
      <w:proofErr w:type="gramEnd"/>
      <w:r w:rsidR="00E931C7" w:rsidRPr="0013664A">
        <w:t xml:space="preserve"> Reference: 0717NTC.doc.</w:t>
      </w:r>
      <w:r w:rsidR="002A6931" w:rsidRPr="0013664A">
        <w:t xml:space="preserve"> </w:t>
      </w:r>
    </w:p>
    <w:p w:rsidR="0081199C" w:rsidRPr="0013664A" w:rsidRDefault="0081199C" w:rsidP="002F6258">
      <w:pPr>
        <w:pStyle w:val="references"/>
      </w:pPr>
      <w:proofErr w:type="gramStart"/>
      <w:r w:rsidRPr="0013664A">
        <w:t xml:space="preserve">Clarke, R., </w:t>
      </w:r>
      <w:proofErr w:type="spellStart"/>
      <w:r w:rsidRPr="0013664A">
        <w:t>Radlinski</w:t>
      </w:r>
      <w:proofErr w:type="spellEnd"/>
      <w:r w:rsidRPr="0013664A">
        <w:t xml:space="preserve">, R. &amp; </w:t>
      </w:r>
      <w:proofErr w:type="spellStart"/>
      <w:r w:rsidRPr="0013664A">
        <w:t>Knipling</w:t>
      </w:r>
      <w:proofErr w:type="spellEnd"/>
      <w:r w:rsidRPr="0013664A">
        <w:t>, R. (1991).</w:t>
      </w:r>
      <w:proofErr w:type="gramEnd"/>
      <w:r w:rsidRPr="0013664A">
        <w:t xml:space="preserve"> </w:t>
      </w:r>
      <w:proofErr w:type="gramStart"/>
      <w:r w:rsidR="00892737" w:rsidRPr="0013664A">
        <w:rPr>
          <w:i/>
        </w:rPr>
        <w:t>Improved Brake Systems for Commercial Motor Vehicles.</w:t>
      </w:r>
      <w:proofErr w:type="gramEnd"/>
      <w:r w:rsidR="00892737" w:rsidRPr="0013664A">
        <w:rPr>
          <w:i/>
        </w:rPr>
        <w:t xml:space="preserve"> </w:t>
      </w:r>
      <w:proofErr w:type="gramStart"/>
      <w:r w:rsidR="00892737" w:rsidRPr="0013664A">
        <w:t>National Highway Traffic Safety Administration.</w:t>
      </w:r>
      <w:proofErr w:type="gramEnd"/>
      <w:r w:rsidR="00892737" w:rsidRPr="0013664A">
        <w:t xml:space="preserve"> </w:t>
      </w:r>
      <w:proofErr w:type="gramStart"/>
      <w:r w:rsidR="00892737" w:rsidRPr="0013664A">
        <w:t>Publication no.</w:t>
      </w:r>
      <w:proofErr w:type="gramEnd"/>
      <w:r w:rsidR="00892737" w:rsidRPr="0013664A">
        <w:t xml:space="preserve"> </w:t>
      </w:r>
      <w:proofErr w:type="gramStart"/>
      <w:r w:rsidR="00892737" w:rsidRPr="0013664A">
        <w:t>DOT HS 807 706</w:t>
      </w:r>
      <w:r w:rsidR="00D900C6" w:rsidRPr="0013664A">
        <w:t>.</w:t>
      </w:r>
      <w:proofErr w:type="gramEnd"/>
      <w:r w:rsidR="00A11C04" w:rsidRPr="0013664A">
        <w:t xml:space="preserve"> </w:t>
      </w:r>
    </w:p>
    <w:p w:rsidR="00CF1162" w:rsidRDefault="00CF1162" w:rsidP="00CF1162">
      <w:pPr>
        <w:pStyle w:val="references"/>
      </w:pPr>
      <w:proofErr w:type="gramStart"/>
      <w:r w:rsidRPr="0013664A">
        <w:t>Council of Australian Governments (2004).</w:t>
      </w:r>
      <w:proofErr w:type="gramEnd"/>
      <w:r w:rsidRPr="0013664A">
        <w:t xml:space="preserve"> </w:t>
      </w:r>
      <w:proofErr w:type="gramStart"/>
      <w:r w:rsidRPr="0013664A">
        <w:rPr>
          <w:i/>
        </w:rPr>
        <w:t>Principles and Guidelines for National Standard Setting and Regulatory Action by Ministerial Councils and Standard-Setting Bodies.</w:t>
      </w:r>
      <w:proofErr w:type="gramEnd"/>
      <w:r w:rsidRPr="0013664A">
        <w:t xml:space="preserve"> </w:t>
      </w:r>
      <w:r w:rsidR="007F4AB1" w:rsidRPr="0013664A">
        <w:t>Canberra.</w:t>
      </w:r>
    </w:p>
    <w:p w:rsidR="001E4EF5" w:rsidRPr="00C72883" w:rsidRDefault="001E4EF5" w:rsidP="003A6271">
      <w:pPr>
        <w:pStyle w:val="references"/>
        <w:rPr>
          <w:i/>
        </w:rPr>
      </w:pPr>
      <w:proofErr w:type="gramStart"/>
      <w:r>
        <w:t>Department of Transport</w:t>
      </w:r>
      <w:r w:rsidRPr="001E4EF5">
        <w:t xml:space="preserve"> and Regional Services</w:t>
      </w:r>
      <w:r w:rsidRPr="0013664A">
        <w:t xml:space="preserve"> (</w:t>
      </w:r>
      <w:r>
        <w:t>2006</w:t>
      </w:r>
      <w:r w:rsidRPr="0013664A">
        <w:t>).</w:t>
      </w:r>
      <w:proofErr w:type="gramEnd"/>
      <w:r w:rsidRPr="0013664A">
        <w:t xml:space="preserve"> </w:t>
      </w:r>
      <w:proofErr w:type="gramStart"/>
      <w:r w:rsidRPr="00C72883">
        <w:rPr>
          <w:i/>
        </w:rPr>
        <w:t>Regulation Impact Statement -</w:t>
      </w:r>
      <w:r>
        <w:t xml:space="preserve"> </w:t>
      </w:r>
      <w:r>
        <w:rPr>
          <w:i/>
        </w:rPr>
        <w:t xml:space="preserve">ADRs 35 and 38 - </w:t>
      </w:r>
      <w:r w:rsidRPr="001E4EF5">
        <w:rPr>
          <w:i/>
        </w:rPr>
        <w:t>Commercial Vehicle Brake Systems and Trailer Brake Systems</w:t>
      </w:r>
      <w:r>
        <w:t>.</w:t>
      </w:r>
      <w:proofErr w:type="gramEnd"/>
    </w:p>
    <w:p w:rsidR="00430B06" w:rsidRPr="0013664A" w:rsidRDefault="00430B06" w:rsidP="002F6258">
      <w:pPr>
        <w:pStyle w:val="references"/>
      </w:pPr>
      <w:proofErr w:type="spellStart"/>
      <w:proofErr w:type="gramStart"/>
      <w:r w:rsidRPr="0013664A">
        <w:t>Esber</w:t>
      </w:r>
      <w:proofErr w:type="spellEnd"/>
      <w:r w:rsidRPr="0013664A">
        <w:t xml:space="preserve">, P., Shaffer, S., </w:t>
      </w:r>
      <w:proofErr w:type="spellStart"/>
      <w:r w:rsidRPr="0013664A">
        <w:t>Pape</w:t>
      </w:r>
      <w:proofErr w:type="spellEnd"/>
      <w:r w:rsidRPr="0013664A">
        <w:t xml:space="preserve">, D., Gordon, T., Winkler, C., &amp; </w:t>
      </w:r>
      <w:proofErr w:type="spellStart"/>
      <w:r w:rsidRPr="0013664A">
        <w:t>Landes</w:t>
      </w:r>
      <w:proofErr w:type="spellEnd"/>
      <w:r w:rsidRPr="0013664A">
        <w:t>, R. (2007).</w:t>
      </w:r>
      <w:proofErr w:type="gramEnd"/>
      <w:r w:rsidRPr="0013664A">
        <w:t xml:space="preserve"> </w:t>
      </w:r>
      <w:proofErr w:type="gramStart"/>
      <w:r w:rsidRPr="0013664A">
        <w:rPr>
          <w:i/>
        </w:rPr>
        <w:t>Engineering Assessment of Current and Future Vehicle Technologies</w:t>
      </w:r>
      <w:r w:rsidRPr="0013664A">
        <w:t>.</w:t>
      </w:r>
      <w:proofErr w:type="gramEnd"/>
      <w:r w:rsidRPr="0013664A">
        <w:t xml:space="preserve"> FMVSS No. 121, Air Brake Systems</w:t>
      </w:r>
      <w:r w:rsidR="009510A9" w:rsidRPr="0013664A">
        <w:t xml:space="preserve">. </w:t>
      </w:r>
      <w:proofErr w:type="gramStart"/>
      <w:r w:rsidR="00C337DE" w:rsidRPr="0013664A">
        <w:t xml:space="preserve">Prepared for </w:t>
      </w:r>
      <w:r w:rsidR="009510A9" w:rsidRPr="0013664A">
        <w:t>National Highway Traffic Safety Administration.</w:t>
      </w:r>
      <w:proofErr w:type="gramEnd"/>
      <w:r w:rsidR="002C3285" w:rsidRPr="0013664A">
        <w:t xml:space="preserve"> </w:t>
      </w:r>
    </w:p>
    <w:p w:rsidR="00E8795B" w:rsidRPr="0013664A" w:rsidRDefault="00E8795B" w:rsidP="00E8795B">
      <w:pPr>
        <w:pStyle w:val="references"/>
      </w:pPr>
      <w:proofErr w:type="gramStart"/>
      <w:r w:rsidRPr="0013664A">
        <w:t>Federal Office of Road Safety &amp; ARRB Transport Research Ltd (1996).</w:t>
      </w:r>
      <w:proofErr w:type="gramEnd"/>
      <w:r w:rsidRPr="0013664A">
        <w:t xml:space="preserve"> </w:t>
      </w:r>
      <w:r w:rsidRPr="0013664A">
        <w:rPr>
          <w:i/>
        </w:rPr>
        <w:t>Estimated Crash Savings—Anti-Lock Braking Systems Study Stage 2</w:t>
      </w:r>
      <w:r w:rsidRPr="0013664A">
        <w:t xml:space="preserve">. </w:t>
      </w:r>
      <w:proofErr w:type="gramStart"/>
      <w:r w:rsidRPr="0013664A">
        <w:t>National Road Transport Commission.</w:t>
      </w:r>
      <w:proofErr w:type="gramEnd"/>
      <w:r w:rsidRPr="0013664A">
        <w:t xml:space="preserve"> </w:t>
      </w:r>
    </w:p>
    <w:p w:rsidR="00892737" w:rsidRPr="0013664A" w:rsidRDefault="00177173" w:rsidP="002F6258">
      <w:pPr>
        <w:pStyle w:val="references"/>
      </w:pPr>
      <w:r w:rsidRPr="0013664A">
        <w:t xml:space="preserve">Gascoyne, A. (1985). </w:t>
      </w:r>
      <w:proofErr w:type="gramStart"/>
      <w:r w:rsidRPr="0013664A">
        <w:rPr>
          <w:i/>
        </w:rPr>
        <w:t>Review of Braking Design Rule Requirements for Heavy Vehicles and Trailers</w:t>
      </w:r>
      <w:r w:rsidR="00CD4B92" w:rsidRPr="0013664A">
        <w:t xml:space="preserve"> </w:t>
      </w:r>
      <w:r w:rsidR="00CD4B92" w:rsidRPr="0013664A">
        <w:rPr>
          <w:i/>
        </w:rPr>
        <w:t>– Draft Only</w:t>
      </w:r>
      <w:r w:rsidRPr="0013664A">
        <w:t>.</w:t>
      </w:r>
      <w:proofErr w:type="gramEnd"/>
      <w:r w:rsidRPr="0013664A">
        <w:t xml:space="preserve"> Federal Office of Road Safety, Department of Transport, Australia.</w:t>
      </w:r>
      <w:r w:rsidR="0004695F" w:rsidRPr="0013664A">
        <w:t xml:space="preserve"> </w:t>
      </w:r>
    </w:p>
    <w:p w:rsidR="00465FB2" w:rsidRPr="0013664A" w:rsidRDefault="00465FB2" w:rsidP="002F6258">
      <w:pPr>
        <w:pStyle w:val="references"/>
      </w:pPr>
      <w:r w:rsidRPr="0013664A">
        <w:t xml:space="preserve">Gargett, D. (2012). </w:t>
      </w:r>
      <w:proofErr w:type="gramStart"/>
      <w:r w:rsidRPr="0013664A">
        <w:rPr>
          <w:i/>
        </w:rPr>
        <w:t>Trend in Road Freight</w:t>
      </w:r>
      <w:r w:rsidRPr="0013664A">
        <w:t>.</w:t>
      </w:r>
      <w:proofErr w:type="gramEnd"/>
      <w:r w:rsidRPr="0013664A">
        <w:t xml:space="preserve">  </w:t>
      </w:r>
      <w:proofErr w:type="gramStart"/>
      <w:r w:rsidR="009869F8" w:rsidRPr="0013664A">
        <w:t>PowerPoint p</w:t>
      </w:r>
      <w:r w:rsidRPr="0013664A">
        <w:t>resentation.</w:t>
      </w:r>
      <w:proofErr w:type="gramEnd"/>
      <w:r w:rsidRPr="0013664A">
        <w:t xml:space="preserve">  </w:t>
      </w:r>
      <w:proofErr w:type="gramStart"/>
      <w:r w:rsidRPr="0013664A">
        <w:t>Department of Infrastructure and Transport—Bureau of Infrastructure, Transport and Regional Economics.</w:t>
      </w:r>
      <w:proofErr w:type="gramEnd"/>
    </w:p>
    <w:p w:rsidR="00C4276B" w:rsidRPr="0013664A" w:rsidRDefault="00C4276B" w:rsidP="002F6258">
      <w:pPr>
        <w:pStyle w:val="references"/>
      </w:pPr>
      <w:r w:rsidRPr="0013664A">
        <w:t xml:space="preserve">Gascoyne, A., </w:t>
      </w:r>
      <w:proofErr w:type="spellStart"/>
      <w:r w:rsidRPr="0013664A">
        <w:t>Coplin</w:t>
      </w:r>
      <w:proofErr w:type="spellEnd"/>
      <w:r w:rsidRPr="0013664A">
        <w:t xml:space="preserve">, N. &amp; Preston, S. (1994). </w:t>
      </w:r>
      <w:proofErr w:type="gramStart"/>
      <w:r w:rsidRPr="0013664A">
        <w:rPr>
          <w:i/>
        </w:rPr>
        <w:t>Low Pressure Brake Testing—February 1993</w:t>
      </w:r>
      <w:r w:rsidRPr="0013664A">
        <w:t>.</w:t>
      </w:r>
      <w:proofErr w:type="gramEnd"/>
      <w:r w:rsidRPr="0013664A">
        <w:t xml:space="preserve"> </w:t>
      </w:r>
      <w:proofErr w:type="gramStart"/>
      <w:r w:rsidRPr="0013664A">
        <w:t>Federal Office of Road Safety.</w:t>
      </w:r>
      <w:proofErr w:type="gramEnd"/>
      <w:r w:rsidR="00061972" w:rsidRPr="0013664A">
        <w:t xml:space="preserve"> </w:t>
      </w:r>
    </w:p>
    <w:p w:rsidR="00C66442" w:rsidRPr="0013664A" w:rsidRDefault="00C66442" w:rsidP="006E296A">
      <w:pPr>
        <w:pStyle w:val="references"/>
      </w:pPr>
      <w:r w:rsidRPr="0013664A">
        <w:t xml:space="preserve">Hart, P (1996). </w:t>
      </w:r>
      <w:r w:rsidR="001E30A0" w:rsidRPr="0013664A">
        <w:rPr>
          <w:i/>
        </w:rPr>
        <w:t xml:space="preserve">An Investigation </w:t>
      </w:r>
      <w:proofErr w:type="gramStart"/>
      <w:r w:rsidR="001E30A0" w:rsidRPr="0013664A">
        <w:rPr>
          <w:i/>
        </w:rPr>
        <w:t>Into</w:t>
      </w:r>
      <w:proofErr w:type="gramEnd"/>
      <w:r w:rsidR="001E30A0" w:rsidRPr="0013664A">
        <w:rPr>
          <w:i/>
        </w:rPr>
        <w:t xml:space="preserve"> Heavy Vehicle Brake Innovations</w:t>
      </w:r>
      <w:r w:rsidR="001E30A0" w:rsidRPr="0013664A">
        <w:t>.</w:t>
      </w:r>
      <w:r w:rsidR="00D138BB" w:rsidRPr="0013664A">
        <w:t xml:space="preserve"> </w:t>
      </w:r>
      <w:proofErr w:type="gramStart"/>
      <w:r w:rsidR="00980B18" w:rsidRPr="0013664A">
        <w:t>National Road Transp</w:t>
      </w:r>
      <w:r w:rsidR="004807B6" w:rsidRPr="0013664A">
        <w:t xml:space="preserve">ort Commission &amp; the </w:t>
      </w:r>
      <w:r w:rsidR="00980B18" w:rsidRPr="0013664A">
        <w:t>Federal Office of Road Safety</w:t>
      </w:r>
      <w:r w:rsidR="006E296A" w:rsidRPr="0013664A">
        <w:t>.</w:t>
      </w:r>
      <w:proofErr w:type="gramEnd"/>
    </w:p>
    <w:p w:rsidR="00116138" w:rsidRPr="0013664A" w:rsidRDefault="00116138" w:rsidP="00116138">
      <w:pPr>
        <w:pStyle w:val="references"/>
      </w:pPr>
      <w:r w:rsidRPr="0013664A">
        <w:t xml:space="preserve">Hart, P. (2003). Prime Mover Standards Project: </w:t>
      </w:r>
      <w:r w:rsidRPr="0013664A">
        <w:rPr>
          <w:i/>
        </w:rPr>
        <w:t>ABS Braking Requirements (Stage 3)</w:t>
      </w:r>
      <w:r w:rsidRPr="0013664A">
        <w:t xml:space="preserve">. Retrieved 21 November 2012 from </w:t>
      </w:r>
      <w:hyperlink r:id="rId20" w:history="1">
        <w:r w:rsidR="005B7A35" w:rsidRPr="0013664A">
          <w:rPr>
            <w:rStyle w:val="Hyperlink"/>
          </w:rPr>
          <w:t>http://www.ntc.gov.au/DocView.aspx?DocumentId=893</w:t>
        </w:r>
      </w:hyperlink>
      <w:r w:rsidRPr="0013664A">
        <w:t xml:space="preserve"> </w:t>
      </w:r>
    </w:p>
    <w:p w:rsidR="00E002BB" w:rsidRPr="0013664A" w:rsidRDefault="00E002BB" w:rsidP="00116138">
      <w:pPr>
        <w:pStyle w:val="references"/>
      </w:pPr>
      <w:r w:rsidRPr="0013664A">
        <w:t>Hart, P. (2006a)</w:t>
      </w:r>
      <w:r w:rsidR="00FE3B8D" w:rsidRPr="0013664A">
        <w:t xml:space="preserve">. </w:t>
      </w:r>
      <w:r w:rsidR="00FE3B8D" w:rsidRPr="0013664A">
        <w:rPr>
          <w:i/>
        </w:rPr>
        <w:t>National Heavy Vehicle Braking Strategy: Discussion Paper—January 2006</w:t>
      </w:r>
      <w:r w:rsidR="00FE3B8D" w:rsidRPr="0013664A">
        <w:t xml:space="preserve">. </w:t>
      </w:r>
      <w:proofErr w:type="gramStart"/>
      <w:r w:rsidR="00FE3B8D" w:rsidRPr="0013664A">
        <w:t>National Transport Commission.</w:t>
      </w:r>
      <w:proofErr w:type="gramEnd"/>
      <w:r w:rsidR="00FE3B8D" w:rsidRPr="0013664A">
        <w:t xml:space="preserve"> </w:t>
      </w:r>
    </w:p>
    <w:p w:rsidR="00404E86" w:rsidRPr="0013664A" w:rsidRDefault="002F6E7D" w:rsidP="00116138">
      <w:pPr>
        <w:pStyle w:val="references"/>
      </w:pPr>
      <w:r w:rsidRPr="0013664A">
        <w:t>Hart, P. (200</w:t>
      </w:r>
      <w:r w:rsidR="00E002BB" w:rsidRPr="0013664A">
        <w:t>6b</w:t>
      </w:r>
      <w:r w:rsidR="00404E86" w:rsidRPr="0013664A">
        <w:t xml:space="preserve">). </w:t>
      </w:r>
      <w:r w:rsidR="00404E86" w:rsidRPr="0013664A">
        <w:rPr>
          <w:i/>
        </w:rPr>
        <w:t>National Heavy Vehicle Braking Strategy: Discussion Paper</w:t>
      </w:r>
      <w:r w:rsidR="00E002BB" w:rsidRPr="0013664A">
        <w:rPr>
          <w:i/>
        </w:rPr>
        <w:t>—February 2006</w:t>
      </w:r>
      <w:r w:rsidR="00404E86" w:rsidRPr="0013664A">
        <w:t xml:space="preserve">. </w:t>
      </w:r>
      <w:proofErr w:type="gramStart"/>
      <w:r w:rsidR="00404E86" w:rsidRPr="0013664A">
        <w:t>National Transport Commission.</w:t>
      </w:r>
      <w:proofErr w:type="gramEnd"/>
      <w:r w:rsidR="00404E86" w:rsidRPr="0013664A">
        <w:t xml:space="preserve"> </w:t>
      </w:r>
      <w:r w:rsidR="000D6FB4" w:rsidRPr="0013664A">
        <w:t xml:space="preserve">Retrieved 22 November 2012 from </w:t>
      </w:r>
      <w:hyperlink r:id="rId21" w:history="1">
        <w:r w:rsidR="000D6FB4" w:rsidRPr="0013664A">
          <w:rPr>
            <w:rStyle w:val="Hyperlink"/>
          </w:rPr>
          <w:t>http://www.ntc.gov.au/DocView.aspx?DocumentId=1252</w:t>
        </w:r>
      </w:hyperlink>
      <w:r w:rsidR="000D6FB4" w:rsidRPr="0013664A">
        <w:t xml:space="preserve"> </w:t>
      </w:r>
    </w:p>
    <w:p w:rsidR="009E48F7" w:rsidRPr="0013664A" w:rsidRDefault="009E48F7" w:rsidP="00116138">
      <w:pPr>
        <w:pStyle w:val="references"/>
      </w:pPr>
      <w:r w:rsidRPr="0013664A">
        <w:lastRenderedPageBreak/>
        <w:t>Hart, P. (200</w:t>
      </w:r>
      <w:r w:rsidR="00742FD6">
        <w:t>8</w:t>
      </w:r>
      <w:r w:rsidRPr="0013664A">
        <w:t xml:space="preserve">). </w:t>
      </w:r>
      <w:r w:rsidRPr="0013664A">
        <w:rPr>
          <w:i/>
        </w:rPr>
        <w:t>National Heavy Vehicle Braking Strategy: Final Report</w:t>
      </w:r>
      <w:r w:rsidR="00C5261C" w:rsidRPr="0013664A">
        <w:t xml:space="preserve">. </w:t>
      </w:r>
      <w:proofErr w:type="gramStart"/>
      <w:r w:rsidR="0070105E" w:rsidRPr="0013664A">
        <w:t>National Transport Commission.</w:t>
      </w:r>
      <w:proofErr w:type="gramEnd"/>
      <w:r w:rsidR="00B93C47" w:rsidRPr="0013664A">
        <w:t xml:space="preserve"> </w:t>
      </w:r>
    </w:p>
    <w:p w:rsidR="00526808" w:rsidRPr="0013664A" w:rsidRDefault="00526808" w:rsidP="00C72883">
      <w:pPr>
        <w:pStyle w:val="references"/>
      </w:pPr>
      <w:r w:rsidRPr="0013664A">
        <w:t>Hart, P. (2011).</w:t>
      </w:r>
      <w:r w:rsidR="00A32492" w:rsidRPr="0013664A">
        <w:t xml:space="preserve"> </w:t>
      </w:r>
      <w:proofErr w:type="gramStart"/>
      <w:r w:rsidR="00A32492" w:rsidRPr="0013664A">
        <w:t>September 2011 Strategic Vehicle Safety and Environment Group (SVSEG) presentation by the Australian Road Transport Suppliers Association (ARTSA)</w:t>
      </w:r>
      <w:r w:rsidR="005E21A5">
        <w:t>.</w:t>
      </w:r>
      <w:proofErr w:type="gramEnd"/>
    </w:p>
    <w:p w:rsidR="00C66442" w:rsidRPr="0013664A" w:rsidRDefault="009958B6" w:rsidP="0098242B">
      <w:pPr>
        <w:pStyle w:val="references"/>
      </w:pPr>
      <w:proofErr w:type="gramStart"/>
      <w:r w:rsidRPr="0013664A">
        <w:t xml:space="preserve">Hartwood Consulting Pty Ltd &amp; </w:t>
      </w:r>
      <w:r w:rsidR="00B50D1A" w:rsidRPr="0013664A">
        <w:t>Nelson English Loxton and Andrews Pty Ltd. (1995).</w:t>
      </w:r>
      <w:proofErr w:type="gramEnd"/>
      <w:r w:rsidR="00B50D1A" w:rsidRPr="0013664A">
        <w:t xml:space="preserve"> </w:t>
      </w:r>
      <w:proofErr w:type="gramStart"/>
      <w:r w:rsidR="00B50D1A" w:rsidRPr="0013664A">
        <w:rPr>
          <w:i/>
        </w:rPr>
        <w:t>An Investigation into Heavy-Vehicle Brake Innovations</w:t>
      </w:r>
      <w:r w:rsidR="00B50D1A" w:rsidRPr="0013664A">
        <w:t>.</w:t>
      </w:r>
      <w:proofErr w:type="gramEnd"/>
      <w:r w:rsidR="00B50D1A" w:rsidRPr="0013664A">
        <w:t xml:space="preserve"> </w:t>
      </w:r>
      <w:proofErr w:type="gramStart"/>
      <w:r w:rsidR="004807B6" w:rsidRPr="0013664A">
        <w:t>National Road Transport Commission &amp; the Federal Office of Road Safety.</w:t>
      </w:r>
      <w:proofErr w:type="gramEnd"/>
    </w:p>
    <w:p w:rsidR="00D2544B" w:rsidRPr="0013664A" w:rsidRDefault="00D2544B" w:rsidP="00D2544B">
      <w:pPr>
        <w:pStyle w:val="references"/>
      </w:pPr>
      <w:proofErr w:type="gramStart"/>
      <w:r w:rsidRPr="0013664A">
        <w:t>Insurance Institute for Highway Safety &amp; Highway Loss Data Institute (2012).</w:t>
      </w:r>
      <w:proofErr w:type="gramEnd"/>
      <w:r w:rsidRPr="0013664A">
        <w:t xml:space="preserve"> Q&amp;A: </w:t>
      </w:r>
      <w:r w:rsidRPr="0013664A">
        <w:rPr>
          <w:i/>
        </w:rPr>
        <w:t>Antilock brakes</w:t>
      </w:r>
      <w:r w:rsidRPr="0013664A">
        <w:t xml:space="preserve">.  Retrieved 22 November 2012 from </w:t>
      </w:r>
      <w:hyperlink r:id="rId22" w:history="1">
        <w:r w:rsidRPr="0013664A">
          <w:rPr>
            <w:rStyle w:val="Hyperlink"/>
          </w:rPr>
          <w:t>http://www.iihs.org/research/qanda/antilock.aspx</w:t>
        </w:r>
      </w:hyperlink>
      <w:r w:rsidRPr="0013664A">
        <w:t xml:space="preserve"> [A]</w:t>
      </w:r>
    </w:p>
    <w:p w:rsidR="000A3D1E" w:rsidRPr="0013664A" w:rsidRDefault="000A3D1E" w:rsidP="00C72883">
      <w:pPr>
        <w:pStyle w:val="references"/>
      </w:pPr>
      <w:proofErr w:type="gramStart"/>
      <w:r w:rsidRPr="0013664A">
        <w:t>National Road Transport Commission &amp; the Federal Office of Road Safety (1994).</w:t>
      </w:r>
      <w:proofErr w:type="gramEnd"/>
      <w:r w:rsidRPr="0013664A">
        <w:t xml:space="preserve"> </w:t>
      </w:r>
      <w:proofErr w:type="spellStart"/>
      <w:proofErr w:type="gramStart"/>
      <w:r w:rsidRPr="0013664A">
        <w:rPr>
          <w:i/>
        </w:rPr>
        <w:t>Anti Lock</w:t>
      </w:r>
      <w:proofErr w:type="spellEnd"/>
      <w:r w:rsidRPr="0013664A">
        <w:rPr>
          <w:i/>
        </w:rPr>
        <w:t xml:space="preserve"> Braking Systems for Heavy Vehicles: Stage 1</w:t>
      </w:r>
      <w:r w:rsidRPr="0013664A">
        <w:t>.</w:t>
      </w:r>
      <w:proofErr w:type="gramEnd"/>
      <w:r w:rsidR="00BE3A95" w:rsidRPr="0013664A">
        <w:t xml:space="preserve"> [3]</w:t>
      </w:r>
    </w:p>
    <w:p w:rsidR="001024D4" w:rsidRPr="0013664A" w:rsidRDefault="000573D1" w:rsidP="00221C16">
      <w:pPr>
        <w:pStyle w:val="references"/>
      </w:pPr>
      <w:proofErr w:type="gramStart"/>
      <w:r w:rsidRPr="0013664A">
        <w:t>National Road Transport Commission &amp; the Federal Office of Road Safety (1996</w:t>
      </w:r>
      <w:r w:rsidR="008B7D03" w:rsidRPr="0013664A">
        <w:t>).</w:t>
      </w:r>
      <w:proofErr w:type="gramEnd"/>
      <w:r w:rsidR="00E1746A" w:rsidRPr="0013664A">
        <w:t xml:space="preserve"> </w:t>
      </w:r>
      <w:proofErr w:type="spellStart"/>
      <w:proofErr w:type="gramStart"/>
      <w:r w:rsidR="00E1746A" w:rsidRPr="0013664A">
        <w:rPr>
          <w:i/>
        </w:rPr>
        <w:t>Anti Lock</w:t>
      </w:r>
      <w:proofErr w:type="spellEnd"/>
      <w:r w:rsidR="00E1746A" w:rsidRPr="0013664A">
        <w:rPr>
          <w:i/>
        </w:rPr>
        <w:t xml:space="preserve"> Braking Systems for Heavy Vehicles: Stage 2</w:t>
      </w:r>
      <w:r w:rsidR="00E1746A" w:rsidRPr="0013664A">
        <w:t>.</w:t>
      </w:r>
      <w:proofErr w:type="gramEnd"/>
      <w:r w:rsidR="001024D4" w:rsidRPr="0013664A">
        <w:t xml:space="preserve"> </w:t>
      </w:r>
      <w:r w:rsidR="0093796B" w:rsidRPr="0013664A">
        <w:t xml:space="preserve">Retrieved 22 November 2012 from </w:t>
      </w:r>
      <w:hyperlink r:id="rId23" w:history="1">
        <w:r w:rsidR="0093796B" w:rsidRPr="0013664A">
          <w:rPr>
            <w:rStyle w:val="Hyperlink"/>
          </w:rPr>
          <w:t>http://www.ntc.gov.au/DocView.aspx?DocumentId=285</w:t>
        </w:r>
      </w:hyperlink>
    </w:p>
    <w:p w:rsidR="00890CC9" w:rsidRPr="0013664A" w:rsidRDefault="00890CC9" w:rsidP="00F37470">
      <w:pPr>
        <w:pStyle w:val="references"/>
      </w:pPr>
      <w:proofErr w:type="gramStart"/>
      <w:r w:rsidRPr="0013664A">
        <w:t>National Transport Commission (2004).</w:t>
      </w:r>
      <w:proofErr w:type="gramEnd"/>
      <w:r w:rsidRPr="0013664A">
        <w:t xml:space="preserve"> </w:t>
      </w:r>
      <w:r w:rsidR="00F37470" w:rsidRPr="0013664A">
        <w:t xml:space="preserve">Project Brief: </w:t>
      </w:r>
      <w:r w:rsidR="00F37470" w:rsidRPr="0013664A">
        <w:rPr>
          <w:i/>
        </w:rPr>
        <w:t>Review of Heavy Vehicle Braking Systems, Requirements and Developments: Towards a National Heavy Vehicle Braking Strategy</w:t>
      </w:r>
      <w:r w:rsidR="00F37470" w:rsidRPr="0013664A">
        <w:t>.  Project Number P29.</w:t>
      </w:r>
      <w:r w:rsidR="00C66442" w:rsidRPr="0013664A">
        <w:t xml:space="preserve"> </w:t>
      </w:r>
    </w:p>
    <w:p w:rsidR="00B33BDD" w:rsidRPr="0013664A" w:rsidRDefault="00B33BDD" w:rsidP="00B33BDD">
      <w:pPr>
        <w:pStyle w:val="references"/>
      </w:pPr>
      <w:proofErr w:type="gramStart"/>
      <w:r w:rsidRPr="0013664A">
        <w:t>National Transport Commission (2008).</w:t>
      </w:r>
      <w:proofErr w:type="gramEnd"/>
      <w:r w:rsidRPr="0013664A">
        <w:t xml:space="preserve">  </w:t>
      </w:r>
      <w:proofErr w:type="gramStart"/>
      <w:r w:rsidRPr="0013664A">
        <w:t>Response to the Report on the National Heavy Vehicle Braking Strategy.</w:t>
      </w:r>
      <w:proofErr w:type="gramEnd"/>
      <w:r w:rsidR="00D94584" w:rsidRPr="0013664A">
        <w:t xml:space="preserve"> </w:t>
      </w:r>
    </w:p>
    <w:p w:rsidR="001E5012" w:rsidRPr="0013664A" w:rsidRDefault="001E5012" w:rsidP="001E5012">
      <w:pPr>
        <w:pStyle w:val="references"/>
        <w:rPr>
          <w:rStyle w:val="Hyperlink"/>
        </w:rPr>
      </w:pPr>
      <w:proofErr w:type="gramStart"/>
      <w:r w:rsidRPr="0013664A">
        <w:t>National Transport Commission (2010).</w:t>
      </w:r>
      <w:proofErr w:type="gramEnd"/>
      <w:r w:rsidRPr="0013664A">
        <w:t xml:space="preserve"> </w:t>
      </w:r>
      <w:proofErr w:type="gramStart"/>
      <w:r w:rsidRPr="0013664A">
        <w:rPr>
          <w:i/>
        </w:rPr>
        <w:t>Heavy Vehicle Types and Charges</w:t>
      </w:r>
      <w:r w:rsidRPr="0013664A">
        <w:t>.</w:t>
      </w:r>
      <w:proofErr w:type="gramEnd"/>
      <w:r w:rsidRPr="0013664A">
        <w:t xml:space="preserve"> Retrieved </w:t>
      </w:r>
      <w:r w:rsidR="005572B5" w:rsidRPr="0013664A">
        <w:t xml:space="preserve">26 November 2012 </w:t>
      </w:r>
      <w:r w:rsidRPr="0013664A">
        <w:t xml:space="preserve">from </w:t>
      </w:r>
      <w:hyperlink r:id="rId24" w:history="1">
        <w:r w:rsidR="003532D1" w:rsidRPr="0013664A">
          <w:rPr>
            <w:rStyle w:val="Hyperlink"/>
          </w:rPr>
          <w:t>www.ntc.gov.au/filemedia/Publications/2010RegistrationCharges.pdf</w:t>
        </w:r>
      </w:hyperlink>
      <w:r w:rsidR="003532D1" w:rsidRPr="0013664A">
        <w:rPr>
          <w:rStyle w:val="Hyperlink"/>
        </w:rPr>
        <w:t xml:space="preserve"> </w:t>
      </w:r>
    </w:p>
    <w:p w:rsidR="00EA0A78" w:rsidRPr="0013664A" w:rsidRDefault="00EB327A" w:rsidP="0047661E">
      <w:pPr>
        <w:pStyle w:val="references"/>
        <w:rPr>
          <w:rStyle w:val="Hyperlink"/>
        </w:rPr>
      </w:pPr>
      <w:proofErr w:type="gramStart"/>
      <w:r w:rsidRPr="0013664A">
        <w:t>Pearson, B. &amp; Gardner, B. (2011).</w:t>
      </w:r>
      <w:proofErr w:type="gramEnd"/>
      <w:r w:rsidRPr="0013664A">
        <w:t xml:space="preserve"> Report to Queensland Department of Transport and Main Roads: </w:t>
      </w:r>
      <w:r w:rsidRPr="0013664A">
        <w:rPr>
          <w:i/>
        </w:rPr>
        <w:t xml:space="preserve">Benefits </w:t>
      </w:r>
      <w:r w:rsidR="00B55A32" w:rsidRPr="0013664A">
        <w:rPr>
          <w:i/>
        </w:rPr>
        <w:t>of Heavy Vehicle Stability Safety Technologies</w:t>
      </w:r>
      <w:r w:rsidR="0047661E" w:rsidRPr="0013664A">
        <w:t xml:space="preserve">. Project RSSM 07-11. Retrieved 4 December 2012 from </w:t>
      </w:r>
      <w:hyperlink r:id="rId25" w:history="1">
        <w:r w:rsidR="00864E62" w:rsidRPr="0013664A">
          <w:rPr>
            <w:rStyle w:val="Hyperlink"/>
          </w:rPr>
          <w:t>http://www.tmr.qld.gov.au/~/media/busind/Heavy%20vehicles/stabsafetytech/Report_Benefits_of_heavy_vehicle_stability_safety_technologies.pdf</w:t>
        </w:r>
      </w:hyperlink>
    </w:p>
    <w:p w:rsidR="00DA7BA1" w:rsidRPr="0013664A" w:rsidRDefault="002F6258" w:rsidP="00DA7BA1">
      <w:pPr>
        <w:pStyle w:val="references"/>
      </w:pPr>
      <w:proofErr w:type="spellStart"/>
      <w:proofErr w:type="gramStart"/>
      <w:r w:rsidRPr="0013664A">
        <w:t>Raftery</w:t>
      </w:r>
      <w:proofErr w:type="spellEnd"/>
      <w:r w:rsidRPr="0013664A">
        <w:t xml:space="preserve">, S., </w:t>
      </w:r>
      <w:proofErr w:type="spellStart"/>
      <w:r w:rsidRPr="0013664A">
        <w:t>Grigo</w:t>
      </w:r>
      <w:proofErr w:type="spellEnd"/>
      <w:r w:rsidRPr="0013664A">
        <w:t>, J. &amp; Woolley, J. (2011).</w:t>
      </w:r>
      <w:proofErr w:type="gramEnd"/>
      <w:r w:rsidRPr="0013664A">
        <w:t xml:space="preserve"> </w:t>
      </w:r>
      <w:r w:rsidRPr="0013664A">
        <w:rPr>
          <w:i/>
        </w:rPr>
        <w:t>Heavy vehicle road safety: Research scan</w:t>
      </w:r>
      <w:r w:rsidR="00DA7BA1" w:rsidRPr="0013664A">
        <w:t xml:space="preserve">. (Report No. CASR100). The University of Adelaide: Centre for Automotive Safety Research. </w:t>
      </w:r>
      <w:r w:rsidR="00900827" w:rsidRPr="0013664A">
        <w:t>Retrieved</w:t>
      </w:r>
      <w:r w:rsidR="0041799D" w:rsidRPr="0013664A">
        <w:t xml:space="preserve"> 22 November 2012 from </w:t>
      </w:r>
      <w:hyperlink r:id="rId26" w:history="1">
        <w:r w:rsidR="0041799D" w:rsidRPr="0013664A">
          <w:rPr>
            <w:rStyle w:val="Hyperlink"/>
          </w:rPr>
          <w:t>http://casr.adelaide.edu.au/publications/list/?id=1223</w:t>
        </w:r>
      </w:hyperlink>
      <w:r w:rsidR="0041799D" w:rsidRPr="0013664A">
        <w:t xml:space="preserve"> </w:t>
      </w:r>
    </w:p>
    <w:p w:rsidR="003B0DE4" w:rsidRPr="0013664A" w:rsidRDefault="003B0DE4" w:rsidP="00DA7BA1">
      <w:pPr>
        <w:pStyle w:val="references"/>
      </w:pPr>
      <w:proofErr w:type="gramStart"/>
      <w:r w:rsidRPr="0013664A">
        <w:t>Reserve Bank of Australia.</w:t>
      </w:r>
      <w:proofErr w:type="gramEnd"/>
      <w:r w:rsidRPr="0013664A">
        <w:t xml:space="preserve"> </w:t>
      </w:r>
      <w:proofErr w:type="gramStart"/>
      <w:r w:rsidRPr="0013664A">
        <w:t xml:space="preserve">(2012). </w:t>
      </w:r>
      <w:r w:rsidRPr="0013664A">
        <w:rPr>
          <w:i/>
        </w:rPr>
        <w:t>Inflation Calculator</w:t>
      </w:r>
      <w:r w:rsidRPr="0013664A">
        <w:t>.</w:t>
      </w:r>
      <w:proofErr w:type="gramEnd"/>
      <w:r w:rsidRPr="0013664A">
        <w:t xml:space="preserve"> Retrieved November 2012 from </w:t>
      </w:r>
      <w:hyperlink r:id="rId27" w:history="1">
        <w:r w:rsidRPr="0013664A">
          <w:rPr>
            <w:rStyle w:val="Hyperlink"/>
          </w:rPr>
          <w:t>http://www.rba.ov.au/calculator/annualDecimal.html</w:t>
        </w:r>
      </w:hyperlink>
    </w:p>
    <w:p w:rsidR="00544D1A" w:rsidRPr="0013664A" w:rsidRDefault="00544D1A" w:rsidP="00DA7BA1">
      <w:pPr>
        <w:pStyle w:val="references"/>
      </w:pPr>
      <w:proofErr w:type="spellStart"/>
      <w:r w:rsidRPr="0013664A">
        <w:lastRenderedPageBreak/>
        <w:t>Smedley</w:t>
      </w:r>
      <w:proofErr w:type="spellEnd"/>
      <w:r w:rsidRPr="0013664A">
        <w:t xml:space="preserve">, R. (2011). </w:t>
      </w:r>
      <w:proofErr w:type="gramStart"/>
      <w:r w:rsidR="00395A5C" w:rsidRPr="0013664A">
        <w:rPr>
          <w:i/>
        </w:rPr>
        <w:t>European, American and Australian Braking Systems</w:t>
      </w:r>
      <w:r w:rsidR="00395A5C" w:rsidRPr="0013664A">
        <w:t>.</w:t>
      </w:r>
      <w:proofErr w:type="gramEnd"/>
      <w:r w:rsidR="00395A5C" w:rsidRPr="0013664A">
        <w:t xml:space="preserve"> </w:t>
      </w:r>
      <w:proofErr w:type="gramStart"/>
      <w:r w:rsidR="00133DCD" w:rsidRPr="0013664A">
        <w:t>Australian Road Transport Suppliers Association.</w:t>
      </w:r>
      <w:proofErr w:type="gramEnd"/>
      <w:r w:rsidR="00DD4612" w:rsidRPr="0013664A">
        <w:t xml:space="preserve"> Retrieved 21 November 2012 from </w:t>
      </w:r>
      <w:hyperlink r:id="rId28" w:history="1">
        <w:r w:rsidR="00DD4612" w:rsidRPr="0013664A">
          <w:rPr>
            <w:rStyle w:val="Hyperlink"/>
          </w:rPr>
          <w:t>http://www.artsa.com.au/articles/</w:t>
        </w:r>
      </w:hyperlink>
      <w:r w:rsidR="00DD4612" w:rsidRPr="0013664A">
        <w:t xml:space="preserve"> </w:t>
      </w:r>
    </w:p>
    <w:p w:rsidR="000065FE" w:rsidRPr="0013664A" w:rsidRDefault="000065FE" w:rsidP="00DA7BA1">
      <w:pPr>
        <w:pStyle w:val="references"/>
      </w:pPr>
      <w:proofErr w:type="spellStart"/>
      <w:proofErr w:type="gramStart"/>
      <w:r w:rsidRPr="0013664A">
        <w:t>Sweatman</w:t>
      </w:r>
      <w:proofErr w:type="spellEnd"/>
      <w:r w:rsidRPr="0013664A">
        <w:t xml:space="preserve">, P., Ogden, K., Haworth, B., </w:t>
      </w:r>
      <w:proofErr w:type="spellStart"/>
      <w:r w:rsidRPr="0013664A">
        <w:t>Corben</w:t>
      </w:r>
      <w:proofErr w:type="spellEnd"/>
      <w:r w:rsidRPr="0013664A">
        <w:t xml:space="preserve">, B., </w:t>
      </w:r>
      <w:proofErr w:type="spellStart"/>
      <w:r w:rsidRPr="0013664A">
        <w:t>Rechnitzer</w:t>
      </w:r>
      <w:proofErr w:type="spellEnd"/>
      <w:r w:rsidRPr="0013664A">
        <w:t xml:space="preserve">, G. &amp; </w:t>
      </w:r>
      <w:proofErr w:type="spellStart"/>
      <w:r w:rsidRPr="0013664A">
        <w:t>Diamantopoulou</w:t>
      </w:r>
      <w:proofErr w:type="spellEnd"/>
      <w:r w:rsidRPr="0013664A">
        <w:t>, (1995).</w:t>
      </w:r>
      <w:proofErr w:type="gramEnd"/>
      <w:r w:rsidRPr="0013664A">
        <w:t xml:space="preserve"> </w:t>
      </w:r>
      <w:r w:rsidRPr="0013664A">
        <w:rPr>
          <w:i/>
        </w:rPr>
        <w:t>Heavy vehicle crashes in urban areas.</w:t>
      </w:r>
      <w:r w:rsidRPr="0013664A">
        <w:t xml:space="preserve"> Report CR155, the Federal Office of Road Safety.</w:t>
      </w:r>
    </w:p>
    <w:p w:rsidR="00E2752B" w:rsidRPr="0013664A" w:rsidRDefault="00E2752B" w:rsidP="00DA7BA1">
      <w:pPr>
        <w:pStyle w:val="references"/>
      </w:pPr>
      <w:proofErr w:type="gramStart"/>
      <w:r w:rsidRPr="0013664A">
        <w:t>Truck Industry Council (2004).</w:t>
      </w:r>
      <w:proofErr w:type="gramEnd"/>
      <w:r w:rsidRPr="0013664A">
        <w:t xml:space="preserve"> </w:t>
      </w:r>
      <w:proofErr w:type="gramStart"/>
      <w:r w:rsidRPr="0013664A">
        <w:rPr>
          <w:i/>
        </w:rPr>
        <w:t>Trucks to Meet the Future Road Freight Task</w:t>
      </w:r>
      <w:r w:rsidRPr="0013664A">
        <w:t>—</w:t>
      </w:r>
      <w:r w:rsidRPr="0013664A">
        <w:rPr>
          <w:i/>
        </w:rPr>
        <w:t>challenges and directions</w:t>
      </w:r>
      <w:r w:rsidR="00FB1AA0" w:rsidRPr="0013664A">
        <w:t>.</w:t>
      </w:r>
      <w:proofErr w:type="gramEnd"/>
      <w:r w:rsidR="00FB1AA0" w:rsidRPr="0013664A">
        <w:t xml:space="preserve">  </w:t>
      </w:r>
      <w:proofErr w:type="gramStart"/>
      <w:r w:rsidR="00FB1AA0" w:rsidRPr="0013664A">
        <w:t>Industry Issues Paper.</w:t>
      </w:r>
      <w:proofErr w:type="gramEnd"/>
      <w:r w:rsidR="00FB1AA0" w:rsidRPr="0013664A">
        <w:t xml:space="preserve">  Retrieved 30 November from </w:t>
      </w:r>
      <w:hyperlink r:id="rId29" w:history="1">
        <w:r w:rsidR="00FB1AA0" w:rsidRPr="0013664A">
          <w:rPr>
            <w:rStyle w:val="Hyperlink"/>
          </w:rPr>
          <w:t>http://www.cviaq.asn.au/</w:t>
        </w:r>
      </w:hyperlink>
      <w:r w:rsidR="00FB1AA0" w:rsidRPr="0013664A">
        <w:t xml:space="preserve"> </w:t>
      </w:r>
    </w:p>
    <w:p w:rsidR="00116138" w:rsidRDefault="00F328E3" w:rsidP="00DA7BA1">
      <w:pPr>
        <w:pStyle w:val="references"/>
      </w:pPr>
      <w:r w:rsidRPr="0013664A">
        <w:t xml:space="preserve">Working Group of the Joint Transport Research Centre on Heavy Vehicles: Regulatory, Operational and Productivity Improvements (2010). </w:t>
      </w:r>
      <w:proofErr w:type="gramStart"/>
      <w:r w:rsidRPr="0013664A">
        <w:rPr>
          <w:i/>
        </w:rPr>
        <w:t>Moving Freight with Better Trucks—Improving Safety, Productivity and Sustainability</w:t>
      </w:r>
      <w:r w:rsidRPr="0013664A">
        <w:t>.</w:t>
      </w:r>
      <w:proofErr w:type="gramEnd"/>
      <w:r w:rsidRPr="0013664A">
        <w:t xml:space="preserve">  </w:t>
      </w:r>
      <w:proofErr w:type="gramStart"/>
      <w:r w:rsidRPr="0013664A">
        <w:t>Final Report.</w:t>
      </w:r>
      <w:proofErr w:type="gramEnd"/>
      <w:r w:rsidRPr="0013664A">
        <w:t xml:space="preserve">  </w:t>
      </w:r>
      <w:proofErr w:type="gramStart"/>
      <w:r w:rsidR="00C936FB" w:rsidRPr="0013664A">
        <w:t>International Transport Forum</w:t>
      </w:r>
      <w:r w:rsidR="000A2EDB" w:rsidRPr="0013664A">
        <w:t>.</w:t>
      </w:r>
      <w:proofErr w:type="gramEnd"/>
      <w:r w:rsidR="000A2EDB" w:rsidRPr="0013664A">
        <w:t xml:space="preserve"> </w:t>
      </w:r>
    </w:p>
    <w:p w:rsidR="003E7EBE" w:rsidRPr="00F328E3" w:rsidRDefault="003E7EBE" w:rsidP="00DA7BA1">
      <w:pPr>
        <w:pStyle w:val="references"/>
      </w:pPr>
    </w:p>
    <w:p w:rsidR="00C11BAE" w:rsidRDefault="00C11BAE">
      <w:pPr>
        <w:tabs>
          <w:tab w:val="clear" w:pos="851"/>
        </w:tabs>
        <w:spacing w:before="0" w:after="200" w:line="276" w:lineRule="auto"/>
      </w:pPr>
      <w:r>
        <w:br w:type="page"/>
      </w:r>
    </w:p>
    <w:p w:rsidR="0062195C" w:rsidRDefault="00DA32D6" w:rsidP="00350154">
      <w:pPr>
        <w:pStyle w:val="Heading1"/>
        <w:numPr>
          <w:ilvl w:val="0"/>
          <w:numId w:val="0"/>
        </w:numPr>
      </w:pPr>
      <w:bookmarkStart w:id="50" w:name="_Toc319933948"/>
      <w:bookmarkStart w:id="51" w:name="_Ref334794441"/>
      <w:bookmarkStart w:id="52" w:name="_Ref341864811"/>
      <w:bookmarkStart w:id="53" w:name="_Toc375302805"/>
      <w:r>
        <w:lastRenderedPageBreak/>
        <w:t>A</w:t>
      </w:r>
      <w:r w:rsidR="0062195C">
        <w:t>ppendix 1—</w:t>
      </w:r>
      <w:bookmarkEnd w:id="50"/>
      <w:bookmarkEnd w:id="51"/>
      <w:r w:rsidR="000538A4">
        <w:t>Heavy Commercial Vehicle Categories</w:t>
      </w:r>
      <w:bookmarkEnd w:id="52"/>
      <w:bookmarkEnd w:id="53"/>
    </w:p>
    <w:p w:rsidR="00C364D9" w:rsidRDefault="00147A17" w:rsidP="00C364D9">
      <w:pPr>
        <w:widowControl w:val="0"/>
      </w:pPr>
      <w:r w:rsidRPr="00811AA8">
        <w:t xml:space="preserve">A two-character vehicle category code is shown for each vehicle category. </w:t>
      </w:r>
      <w:r>
        <w:t xml:space="preserve"> </w:t>
      </w:r>
      <w:r w:rsidRPr="00811AA8">
        <w:t>This code is used to designate the relevant vehicles in the national standards, as represented by the ADRs, and in related documentation.</w:t>
      </w:r>
    </w:p>
    <w:p w:rsidR="009C70F2" w:rsidRDefault="00300737" w:rsidP="000A05BF">
      <w:pPr>
        <w:widowControl w:val="0"/>
        <w:tabs>
          <w:tab w:val="right" w:pos="9026"/>
        </w:tabs>
      </w:pPr>
      <w:r w:rsidRPr="000A05BF">
        <w:t>The categories listed below are those relevant to vehicles greater than 4.5 tonnes GVM.</w:t>
      </w:r>
    </w:p>
    <w:p w:rsidR="00147A17" w:rsidRDefault="00147A17" w:rsidP="00E92F5E">
      <w:pPr>
        <w:pStyle w:val="Subheading1"/>
      </w:pPr>
      <w:r>
        <w:t>Omnibuses</w:t>
      </w:r>
    </w:p>
    <w:p w:rsidR="00123BCA" w:rsidRDefault="00123BCA" w:rsidP="00123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811AA8">
        <w:t>A passenger vehicle having more than 9 seating positions</w:t>
      </w:r>
      <w:r>
        <w:t>, including that of the driver.</w:t>
      </w:r>
      <w:proofErr w:type="gramEnd"/>
      <w:r>
        <w:br/>
      </w:r>
      <w:r w:rsidRPr="00811AA8">
        <w:t xml:space="preserve">An omnibus comprising 2 or more non-separable but articulated units shall be </w:t>
      </w:r>
      <w:r>
        <w:t>considered as a single vehicle.</w:t>
      </w:r>
    </w:p>
    <w:p w:rsidR="00062E5D" w:rsidRDefault="00062E5D" w:rsidP="00062E5D">
      <w:pPr>
        <w:pStyle w:val="Subheading1"/>
      </w:pPr>
      <w:r>
        <w:t>Light Omnibus (MD)</w:t>
      </w:r>
    </w:p>
    <w:p w:rsidR="00062E5D" w:rsidRDefault="00062E5D" w:rsidP="00062E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rsidRPr="00811AA8">
        <w:t>An omnibus with a ‘</w:t>
      </w:r>
      <w:r w:rsidR="00012E2D">
        <w:rPr>
          <w:i/>
        </w:rPr>
        <w:t>GVM</w:t>
      </w:r>
      <w:r>
        <w:t>’</w:t>
      </w:r>
      <w:r w:rsidRPr="00811AA8">
        <w:t xml:space="preserve"> not exceeding 5.0 tonnes.</w:t>
      </w:r>
      <w:proofErr w:type="gramEnd"/>
    </w:p>
    <w:p w:rsidR="00B51BF3" w:rsidRDefault="00B51BF3" w:rsidP="00062E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16AE3">
        <w:rPr>
          <w:rStyle w:val="boldleftalignedChar"/>
        </w:rPr>
        <w:t>Sub-category</w:t>
      </w:r>
      <w:r>
        <w:br/>
      </w:r>
      <w:r>
        <w:tab/>
        <w:t xml:space="preserve">MD4 – </w:t>
      </w:r>
      <w:r w:rsidRPr="00811AA8">
        <w:t>over</w:t>
      </w:r>
      <w:r>
        <w:t xml:space="preserve"> </w:t>
      </w:r>
      <w:r w:rsidRPr="00811AA8">
        <w:t>4.5 tonnes, up to 5 tonnes ‘</w:t>
      </w:r>
      <w:r w:rsidRPr="00811AA8">
        <w:rPr>
          <w:i/>
        </w:rPr>
        <w:t>GVM</w:t>
      </w:r>
      <w:r>
        <w:t>’</w:t>
      </w:r>
    </w:p>
    <w:p w:rsidR="00062E5D" w:rsidRDefault="00062E5D" w:rsidP="00062E5D">
      <w:pPr>
        <w:pStyle w:val="Subheading1"/>
      </w:pPr>
      <w:r>
        <w:t>Heavy Omnibus (ME)</w:t>
      </w:r>
    </w:p>
    <w:p w:rsidR="00062E5D" w:rsidRPr="003F17DD" w:rsidRDefault="00062E5D" w:rsidP="00062E5D">
      <w:proofErr w:type="gramStart"/>
      <w:r>
        <w:t>An omnibus with a ‘</w:t>
      </w:r>
      <w:r>
        <w:rPr>
          <w:i/>
        </w:rPr>
        <w:t>G</w:t>
      </w:r>
      <w:r w:rsidR="00012E2D">
        <w:rPr>
          <w:i/>
        </w:rPr>
        <w:t>V</w:t>
      </w:r>
      <w:r>
        <w:rPr>
          <w:i/>
        </w:rPr>
        <w:t>M</w:t>
      </w:r>
      <w:r>
        <w:t>’ exceeding 5.0 tonnes.</w:t>
      </w:r>
      <w:proofErr w:type="gramEnd"/>
    </w:p>
    <w:p w:rsidR="0009616B" w:rsidRDefault="0009616B" w:rsidP="00E92F5E">
      <w:pPr>
        <w:pStyle w:val="Subheading1"/>
      </w:pPr>
      <w:r>
        <w:t>Goods Vehicles</w:t>
      </w:r>
    </w:p>
    <w:p w:rsidR="00912942" w:rsidRPr="00912942" w:rsidRDefault="00912942" w:rsidP="00912942">
      <w:proofErr w:type="gramStart"/>
      <w:r>
        <w:t>A motor vehicle constructed primarily for the carriage of goods and having at least 4 wheels; or 3 wheels and a ‘</w:t>
      </w:r>
      <w:r>
        <w:rPr>
          <w:i/>
        </w:rPr>
        <w:t>Gross Vehicle Mass</w:t>
      </w:r>
      <w:r>
        <w:t>’ exceeding 1.0 tonne.</w:t>
      </w:r>
      <w:proofErr w:type="gramEnd"/>
      <w:r>
        <w:br/>
        <w:t>A vehicle constructed for both the carriage of persons and the carriage of good</w:t>
      </w:r>
      <w:r w:rsidR="007E7A4F">
        <w:t>s</w:t>
      </w:r>
      <w:r>
        <w:t xml:space="preserve"> shall be considered </w:t>
      </w:r>
      <w:r w:rsidRPr="00811AA8">
        <w:t>to be primarily for the carriage of goods if the number of seating positi</w:t>
      </w:r>
      <w:r>
        <w:t>ons times 68 kg is less than 50 per </w:t>
      </w:r>
      <w:r w:rsidRPr="00811AA8">
        <w:t>cent</w:t>
      </w:r>
      <w:r>
        <w:t xml:space="preserve"> </w:t>
      </w:r>
      <w:r w:rsidRPr="00811AA8">
        <w:t>of the difference between the ‘</w:t>
      </w:r>
      <w:r w:rsidRPr="00811AA8">
        <w:rPr>
          <w:i/>
        </w:rPr>
        <w:t>GVM</w:t>
      </w:r>
      <w:r w:rsidRPr="00811AA8">
        <w:t>‘ and the ‘</w:t>
      </w:r>
      <w:r w:rsidRPr="00811AA8">
        <w:rPr>
          <w:i/>
        </w:rPr>
        <w:t>Unladen Mass</w:t>
      </w:r>
      <w:r>
        <w:t>‘.</w:t>
      </w:r>
      <w:r>
        <w:br/>
      </w:r>
      <w:r w:rsidRPr="00811AA8">
        <w:t>The equipment and installations carried on certain special-purpose vehicles not designed for the carriage of passengers (crane vehicles, workshop vehicles, publicity vehicles, etc.) are regarded as being equivalent to goods for the purposes of this definition.</w:t>
      </w:r>
      <w:r>
        <w:br/>
      </w:r>
      <w:r w:rsidRPr="00811AA8">
        <w:t>A goods vehicle comprising 2 or more non-separable but articulated units shall be considered as a single vehicle.</w:t>
      </w:r>
    </w:p>
    <w:p w:rsidR="0009616B" w:rsidRDefault="0009616B" w:rsidP="0009616B">
      <w:pPr>
        <w:pStyle w:val="Subheading1"/>
      </w:pPr>
      <w:r>
        <w:t>Medium Goods Vehicles (NB)</w:t>
      </w:r>
    </w:p>
    <w:p w:rsidR="0009616B" w:rsidRDefault="0009616B" w:rsidP="0009616B">
      <w:proofErr w:type="gramStart"/>
      <w:r>
        <w:t>A goods vehicle with a ‘</w:t>
      </w:r>
      <w:r w:rsidR="00544943">
        <w:rPr>
          <w:i/>
        </w:rPr>
        <w:t>GVM</w:t>
      </w:r>
      <w:r>
        <w:t>’ exceeding 3.5 tonnes but not exceeding 12.0 tonnes.</w:t>
      </w:r>
      <w:proofErr w:type="gramEnd"/>
    </w:p>
    <w:p w:rsidR="007E7A4F" w:rsidRPr="007E7A4F" w:rsidRDefault="007E7A4F" w:rsidP="007E7A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r w:rsidRPr="00616AE3">
        <w:rPr>
          <w:rStyle w:val="boldleftalignedChar"/>
        </w:rPr>
        <w:t>Sub-category</w:t>
      </w:r>
      <w:r>
        <w:br/>
      </w:r>
      <w:r>
        <w:tab/>
      </w:r>
      <w:r w:rsidRPr="00811AA8">
        <w:t xml:space="preserve">NB2 </w:t>
      </w:r>
      <w:r>
        <w:t xml:space="preserve">– </w:t>
      </w:r>
      <w:r w:rsidRPr="00811AA8">
        <w:t>over</w:t>
      </w:r>
      <w:r>
        <w:t xml:space="preserve"> </w:t>
      </w:r>
      <w:r w:rsidRPr="00811AA8">
        <w:t>4.5 tonnes, up to 12 tonnes ‘</w:t>
      </w:r>
      <w:r w:rsidRPr="00811AA8">
        <w:rPr>
          <w:i/>
          <w:iCs/>
        </w:rPr>
        <w:t>GVM</w:t>
      </w:r>
      <w:r>
        <w:rPr>
          <w:iCs/>
        </w:rPr>
        <w:t>’</w:t>
      </w:r>
    </w:p>
    <w:p w:rsidR="00012E2D" w:rsidRDefault="00012E2D" w:rsidP="00012E2D">
      <w:pPr>
        <w:pStyle w:val="Subheading1"/>
      </w:pPr>
      <w:r>
        <w:t>Heavy Goods Vehicle (NC)</w:t>
      </w:r>
    </w:p>
    <w:p w:rsidR="0009616B" w:rsidRPr="00544943" w:rsidRDefault="00012E2D" w:rsidP="0009616B">
      <w:proofErr w:type="gramStart"/>
      <w:r>
        <w:t xml:space="preserve">A goods vehicle with a </w:t>
      </w:r>
      <w:r w:rsidR="00544943">
        <w:t>‘</w:t>
      </w:r>
      <w:r w:rsidR="00544943">
        <w:rPr>
          <w:i/>
        </w:rPr>
        <w:t>GVM</w:t>
      </w:r>
      <w:r w:rsidR="00544943">
        <w:t xml:space="preserve">’ </w:t>
      </w:r>
      <w:r w:rsidR="00633269">
        <w:t>exceeding 12.0 ton</w:t>
      </w:r>
      <w:r w:rsidR="006B582D">
        <w:t>n</w:t>
      </w:r>
      <w:r w:rsidR="00633269">
        <w:t>es.</w:t>
      </w:r>
      <w:proofErr w:type="gramEnd"/>
    </w:p>
    <w:p w:rsidR="00147A17" w:rsidRDefault="00633269" w:rsidP="00E92F5E">
      <w:pPr>
        <w:pStyle w:val="Subheading1"/>
      </w:pPr>
      <w:r>
        <w:lastRenderedPageBreak/>
        <w:t>Trailers</w:t>
      </w:r>
    </w:p>
    <w:p w:rsidR="00633269" w:rsidRDefault="00463C95" w:rsidP="00633269">
      <w:r>
        <w:t>A vehicle without motive power constructed to be drawn behind a motor vehicle.</w:t>
      </w:r>
    </w:p>
    <w:p w:rsidR="00B7134F" w:rsidRDefault="00B7134F" w:rsidP="00B7134F">
      <w:pPr>
        <w:pStyle w:val="Subheading1"/>
      </w:pPr>
      <w:r>
        <w:t>Medium Trailer (TC)</w:t>
      </w:r>
    </w:p>
    <w:p w:rsidR="00DA3813" w:rsidRDefault="00DA3813" w:rsidP="00DA3813">
      <w:r>
        <w:t>A trailer with a ‘</w:t>
      </w:r>
      <w:r>
        <w:rPr>
          <w:i/>
        </w:rPr>
        <w:t>GVM</w:t>
      </w:r>
      <w:r>
        <w:t xml:space="preserve">’ </w:t>
      </w:r>
      <w:r w:rsidR="004643CB">
        <w:t>exceeding 3.5 tonnes but not exceeding 10 tonnes</w:t>
      </w:r>
    </w:p>
    <w:p w:rsidR="004643CB" w:rsidRDefault="004643CB" w:rsidP="004643CB">
      <w:pPr>
        <w:pStyle w:val="Subheading1"/>
      </w:pPr>
      <w:r>
        <w:t>Heavy Trailer (TD)</w:t>
      </w:r>
    </w:p>
    <w:p w:rsidR="004643CB" w:rsidRDefault="004643CB" w:rsidP="004643CB">
      <w:r>
        <w:t>A trailer with a ‘</w:t>
      </w:r>
      <w:r>
        <w:rPr>
          <w:i/>
        </w:rPr>
        <w:t>GVM</w:t>
      </w:r>
      <w:r>
        <w:t>’ exceeding 3.5 tonnes but not exceeding 10 tonnes</w:t>
      </w:r>
    </w:p>
    <w:p w:rsidR="0088158F" w:rsidRDefault="0088158F">
      <w:pPr>
        <w:tabs>
          <w:tab w:val="clear" w:pos="851"/>
        </w:tabs>
        <w:spacing w:before="0" w:after="200" w:line="276" w:lineRule="auto"/>
        <w:rPr>
          <w:iCs/>
        </w:rPr>
      </w:pPr>
      <w:r>
        <w:rPr>
          <w:iCs/>
        </w:rPr>
        <w:br w:type="page"/>
      </w:r>
    </w:p>
    <w:p w:rsidR="00147A17" w:rsidRDefault="00147A17" w:rsidP="00147A17">
      <w:pPr>
        <w:pStyle w:val="Heading1"/>
        <w:numPr>
          <w:ilvl w:val="0"/>
          <w:numId w:val="0"/>
        </w:numPr>
      </w:pPr>
      <w:bookmarkStart w:id="54" w:name="_Ref341865550"/>
      <w:bookmarkStart w:id="55" w:name="_Toc375302806"/>
      <w:r w:rsidRPr="00BD0E13">
        <w:lastRenderedPageBreak/>
        <w:t xml:space="preserve">Appendix </w:t>
      </w:r>
      <w:r w:rsidR="004E06C9">
        <w:t>2</w:t>
      </w:r>
      <w:r w:rsidRPr="00BD0E13">
        <w:t>—</w:t>
      </w:r>
      <w:r w:rsidR="004E06C9">
        <w:t>Common Types of Medium and Heavy Trucks</w:t>
      </w:r>
      <w:bookmarkEnd w:id="54"/>
      <w:bookmarkEnd w:id="55"/>
    </w:p>
    <w:p w:rsidR="004E06C9" w:rsidRDefault="004E06C9" w:rsidP="004E06C9">
      <w:pPr>
        <w:widowControl w:val="0"/>
      </w:pPr>
      <w:r>
        <w:t>Rigid heavy commercial vehicles offer a load carrying area and may be equipped with a tow bar or other coupling on the rear of the vehicle.  Articulated heavy commercial vehicles consist of a prime mover (towing vehicle) which has no significant load carrying area but linked with a turntable device to a semi-trailer.</w:t>
      </w:r>
    </w:p>
    <w:p w:rsidR="004E06C9" w:rsidRDefault="004E06C9" w:rsidP="004E06C9">
      <w:pPr>
        <w:widowControl w:val="0"/>
      </w:pPr>
      <w:r>
        <w:t>The various types of heavy commercial vehicles operating in Australia are detailed below. In summary, there are five main operating classes of heavy commercial vehicles. These are:</w:t>
      </w:r>
    </w:p>
    <w:p w:rsidR="004E06C9" w:rsidRDefault="004E06C9" w:rsidP="00666E66">
      <w:pPr>
        <w:pStyle w:val="ListParagraph"/>
        <w:widowControl w:val="0"/>
        <w:numPr>
          <w:ilvl w:val="0"/>
          <w:numId w:val="6"/>
        </w:numPr>
      </w:pPr>
      <w:r>
        <w:t>Rigid commercial vehicles</w:t>
      </w:r>
    </w:p>
    <w:p w:rsidR="004E06C9" w:rsidRDefault="004E06C9" w:rsidP="00666E66">
      <w:pPr>
        <w:pStyle w:val="ListParagraph"/>
        <w:widowControl w:val="0"/>
        <w:numPr>
          <w:ilvl w:val="0"/>
          <w:numId w:val="6"/>
        </w:numPr>
      </w:pPr>
      <w:r>
        <w:t>Rigid commercial vehicles with trailers</w:t>
      </w:r>
    </w:p>
    <w:p w:rsidR="004E06C9" w:rsidRDefault="004E06C9" w:rsidP="00666E66">
      <w:pPr>
        <w:pStyle w:val="ListParagraph"/>
        <w:widowControl w:val="0"/>
        <w:numPr>
          <w:ilvl w:val="0"/>
          <w:numId w:val="6"/>
        </w:numPr>
      </w:pPr>
      <w:r>
        <w:t>Semi-trailers</w:t>
      </w:r>
    </w:p>
    <w:p w:rsidR="004E06C9" w:rsidRDefault="004E06C9" w:rsidP="00666E66">
      <w:pPr>
        <w:pStyle w:val="ListParagraph"/>
        <w:widowControl w:val="0"/>
        <w:numPr>
          <w:ilvl w:val="0"/>
          <w:numId w:val="6"/>
        </w:numPr>
      </w:pPr>
      <w:r>
        <w:t>B-Doubles</w:t>
      </w:r>
    </w:p>
    <w:p w:rsidR="004E06C9" w:rsidRDefault="004E06C9" w:rsidP="00666E66">
      <w:pPr>
        <w:pStyle w:val="ListParagraph"/>
        <w:widowControl w:val="0"/>
        <w:numPr>
          <w:ilvl w:val="0"/>
          <w:numId w:val="6"/>
        </w:numPr>
      </w:pPr>
      <w:r>
        <w:t>Road trains</w:t>
      </w:r>
    </w:p>
    <w:p w:rsidR="004E06C9" w:rsidRDefault="004E06C9" w:rsidP="004E06C9">
      <w:pPr>
        <w:widowControl w:val="0"/>
      </w:pPr>
      <w:r>
        <w:t>A B-Double combination consists of a prime mover towing two semi-trailers.  The first trailer includes a turntable, which links to the second trailer, rather than using a dolly to link the trailers as in road train configurations.  A road train comprises of a prime mover hauling two or more trailers and employing a dolly or a rigid heavy commercial vehicle hauling two or more trailers.</w:t>
      </w:r>
    </w:p>
    <w:p w:rsidR="004E06C9" w:rsidRDefault="004E06C9" w:rsidP="00281B84">
      <w:pPr>
        <w:pStyle w:val="SUBHEADING2"/>
      </w:pPr>
      <w:r>
        <w:t>RIGID HEAVY COMMERCIAL VEHICLES</w:t>
      </w:r>
    </w:p>
    <w:p w:rsidR="004E06C9" w:rsidRDefault="00E95EBE" w:rsidP="00666E66">
      <w:pPr>
        <w:pStyle w:val="ListParagraph"/>
        <w:widowControl w:val="0"/>
        <w:numPr>
          <w:ilvl w:val="0"/>
          <w:numId w:val="7"/>
        </w:numPr>
      </w:pPr>
      <w:r>
        <w:t>TWO AXLE</w:t>
      </w:r>
    </w:p>
    <w:p w:rsidR="00D43D5D" w:rsidRDefault="002C444E" w:rsidP="00D43D5D">
      <w:pPr>
        <w:widowControl w:val="0"/>
      </w:pPr>
      <w:r>
        <w:rPr>
          <w:rFonts w:ascii="Tahoma" w:hAnsi="Tahoma" w:cs="Tahoma"/>
          <w:noProof/>
          <w:sz w:val="20"/>
          <w:szCs w:val="20"/>
          <w:lang w:eastAsia="en-AU"/>
        </w:rPr>
        <w:drawing>
          <wp:inline distT="0" distB="0" distL="0" distR="0">
            <wp:extent cx="1460500" cy="653415"/>
            <wp:effectExtent l="0" t="0" r="6350" b="0"/>
            <wp:docPr id="2" name="Picture 2" descr="Two Axle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wo Axle Rigid Tru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0500" cy="653415"/>
                    </a:xfrm>
                    <a:prstGeom prst="rect">
                      <a:avLst/>
                    </a:prstGeom>
                    <a:noFill/>
                    <a:ln>
                      <a:noFill/>
                    </a:ln>
                  </pic:spPr>
                </pic:pic>
              </a:graphicData>
            </a:graphic>
          </wp:inline>
        </w:drawing>
      </w:r>
    </w:p>
    <w:p w:rsidR="00D43D5D" w:rsidRDefault="00E95EBE" w:rsidP="00666E66">
      <w:pPr>
        <w:pStyle w:val="ListParagraph"/>
        <w:widowControl w:val="0"/>
        <w:numPr>
          <w:ilvl w:val="0"/>
          <w:numId w:val="7"/>
        </w:numPr>
      </w:pPr>
      <w:r>
        <w:t>THREE AXLE</w:t>
      </w:r>
    </w:p>
    <w:p w:rsidR="00D43D5D" w:rsidRDefault="002C444E" w:rsidP="00D43D5D">
      <w:pPr>
        <w:widowControl w:val="0"/>
      </w:pPr>
      <w:r>
        <w:rPr>
          <w:rFonts w:ascii="Tahoma" w:hAnsi="Tahoma" w:cs="Tahoma"/>
          <w:noProof/>
          <w:sz w:val="20"/>
          <w:szCs w:val="20"/>
          <w:lang w:eastAsia="en-AU"/>
        </w:rPr>
        <w:drawing>
          <wp:inline distT="0" distB="0" distL="0" distR="0">
            <wp:extent cx="1567815" cy="700405"/>
            <wp:effectExtent l="0" t="0" r="0" b="4445"/>
            <wp:docPr id="4" name="Picture 4" descr="Three Axle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ree Axle Rigid Tru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7815" cy="700405"/>
                    </a:xfrm>
                    <a:prstGeom prst="rect">
                      <a:avLst/>
                    </a:prstGeom>
                    <a:noFill/>
                    <a:ln>
                      <a:noFill/>
                    </a:ln>
                  </pic:spPr>
                </pic:pic>
              </a:graphicData>
            </a:graphic>
          </wp:inline>
        </w:drawing>
      </w:r>
    </w:p>
    <w:p w:rsidR="00E95EBE" w:rsidRDefault="00E95EBE" w:rsidP="00666E66">
      <w:pPr>
        <w:pStyle w:val="ListParagraph"/>
        <w:widowControl w:val="0"/>
        <w:numPr>
          <w:ilvl w:val="0"/>
          <w:numId w:val="7"/>
        </w:numPr>
      </w:pPr>
      <w:r>
        <w:t>FOUR AXLE TWIN-STEER</w:t>
      </w:r>
    </w:p>
    <w:p w:rsidR="00D43D5D" w:rsidRDefault="00DF76FF" w:rsidP="00D43D5D">
      <w:pPr>
        <w:widowControl w:val="0"/>
      </w:pPr>
      <w:r>
        <w:rPr>
          <w:rFonts w:ascii="Tahoma" w:hAnsi="Tahoma" w:cs="Tahoma"/>
          <w:noProof/>
          <w:sz w:val="20"/>
          <w:szCs w:val="20"/>
          <w:lang w:eastAsia="en-AU"/>
        </w:rPr>
        <w:drawing>
          <wp:inline distT="0" distB="0" distL="0" distR="0">
            <wp:extent cx="1781175" cy="795655"/>
            <wp:effectExtent l="0" t="0" r="9525" b="4445"/>
            <wp:docPr id="7" name="Picture 7" descr="Four Axle Twin-Steer Rigi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ur Axle Twin-Steer Rigid Tru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795655"/>
                    </a:xfrm>
                    <a:prstGeom prst="rect">
                      <a:avLst/>
                    </a:prstGeom>
                    <a:noFill/>
                    <a:ln>
                      <a:noFill/>
                    </a:ln>
                  </pic:spPr>
                </pic:pic>
              </a:graphicData>
            </a:graphic>
          </wp:inline>
        </w:drawing>
      </w:r>
    </w:p>
    <w:p w:rsidR="00E95EBE" w:rsidRDefault="00E95EBE" w:rsidP="00666E66">
      <w:pPr>
        <w:pStyle w:val="ListParagraph"/>
        <w:widowControl w:val="0"/>
        <w:numPr>
          <w:ilvl w:val="0"/>
          <w:numId w:val="7"/>
        </w:numPr>
      </w:pPr>
      <w:r>
        <w:lastRenderedPageBreak/>
        <w:t>TWO AXLE WITH TWO AXLE DOG TRAILER</w:t>
      </w:r>
    </w:p>
    <w:p w:rsidR="00D43D5D" w:rsidRDefault="00DF76FF" w:rsidP="00D43D5D">
      <w:pPr>
        <w:widowControl w:val="0"/>
      </w:pPr>
      <w:r>
        <w:rPr>
          <w:rFonts w:ascii="Tahoma" w:hAnsi="Tahoma" w:cs="Tahoma"/>
          <w:noProof/>
          <w:sz w:val="20"/>
          <w:szCs w:val="20"/>
          <w:lang w:eastAsia="en-AU"/>
        </w:rPr>
        <w:drawing>
          <wp:inline distT="0" distB="0" distL="0" distR="0">
            <wp:extent cx="2161540" cy="593725"/>
            <wp:effectExtent l="0" t="0" r="0" b="0"/>
            <wp:docPr id="51" name="Picture 51" descr="Two Axle Rigid Truck with Two Axle Dog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o Axle Rigid Truck with Two Axle Dog Trail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1540" cy="593725"/>
                    </a:xfrm>
                    <a:prstGeom prst="rect">
                      <a:avLst/>
                    </a:prstGeom>
                    <a:noFill/>
                    <a:ln>
                      <a:noFill/>
                    </a:ln>
                  </pic:spPr>
                </pic:pic>
              </a:graphicData>
            </a:graphic>
          </wp:inline>
        </w:drawing>
      </w:r>
    </w:p>
    <w:p w:rsidR="00E95EBE" w:rsidRDefault="00E95EBE" w:rsidP="00666E66">
      <w:pPr>
        <w:pStyle w:val="ListParagraph"/>
        <w:widowControl w:val="0"/>
        <w:numPr>
          <w:ilvl w:val="0"/>
          <w:numId w:val="7"/>
        </w:numPr>
      </w:pPr>
      <w:r>
        <w:t>THREE AXLE WITH THREE AXLE DOG TRAILER</w:t>
      </w:r>
    </w:p>
    <w:p w:rsidR="00D43D5D" w:rsidRDefault="00DF76FF" w:rsidP="00D43D5D">
      <w:pPr>
        <w:widowControl w:val="0"/>
      </w:pPr>
      <w:r>
        <w:rPr>
          <w:rFonts w:ascii="Tahoma" w:hAnsi="Tahoma" w:cs="Tahoma"/>
          <w:noProof/>
          <w:sz w:val="20"/>
          <w:szCs w:val="20"/>
          <w:lang w:eastAsia="en-AU"/>
        </w:rPr>
        <w:drawing>
          <wp:inline distT="0" distB="0" distL="0" distR="0">
            <wp:extent cx="2137410" cy="558165"/>
            <wp:effectExtent l="0" t="0" r="0" b="0"/>
            <wp:docPr id="56" name="Picture 56" descr="Three Axle Rigid Truck with Three Axle Dog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ree Axle Rigid Truck with Three Axle Dog Trai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410" cy="558165"/>
                    </a:xfrm>
                    <a:prstGeom prst="rect">
                      <a:avLst/>
                    </a:prstGeom>
                    <a:noFill/>
                    <a:ln>
                      <a:noFill/>
                    </a:ln>
                  </pic:spPr>
                </pic:pic>
              </a:graphicData>
            </a:graphic>
          </wp:inline>
        </w:drawing>
      </w:r>
    </w:p>
    <w:p w:rsidR="00281B84" w:rsidRDefault="00281B84" w:rsidP="00281B84">
      <w:pPr>
        <w:pStyle w:val="SUBHEADING2"/>
      </w:pPr>
      <w:r>
        <w:t>Articulated Heavy Commercial Vehicles</w:t>
      </w:r>
    </w:p>
    <w:p w:rsidR="00E95EBE" w:rsidRDefault="002E2476" w:rsidP="00666E66">
      <w:pPr>
        <w:pStyle w:val="ListParagraph"/>
        <w:widowControl w:val="0"/>
        <w:numPr>
          <w:ilvl w:val="0"/>
          <w:numId w:val="7"/>
        </w:numPr>
      </w:pPr>
      <w:r>
        <w:t>THREE AXLE SEMI-TRAILER</w:t>
      </w:r>
    </w:p>
    <w:p w:rsidR="00D43D5D" w:rsidRDefault="008C0224" w:rsidP="00D43D5D">
      <w:pPr>
        <w:widowControl w:val="0"/>
      </w:pPr>
      <w:r>
        <w:rPr>
          <w:rFonts w:ascii="Tahoma" w:hAnsi="Tahoma" w:cs="Tahoma"/>
          <w:noProof/>
          <w:sz w:val="20"/>
          <w:szCs w:val="20"/>
          <w:lang w:eastAsia="en-AU"/>
        </w:rPr>
        <w:drawing>
          <wp:inline distT="0" distB="0" distL="0" distR="0">
            <wp:extent cx="2363470" cy="558165"/>
            <wp:effectExtent l="0" t="0" r="0" b="0"/>
            <wp:docPr id="9" name="Picture 9" descr="Three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ree Axle Semi-Trail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rsidR="002E2476" w:rsidRDefault="002E2476" w:rsidP="00666E66">
      <w:pPr>
        <w:pStyle w:val="ListParagraph"/>
        <w:widowControl w:val="0"/>
        <w:numPr>
          <w:ilvl w:val="0"/>
          <w:numId w:val="7"/>
        </w:numPr>
      </w:pPr>
      <w:r>
        <w:t>FIVE AXLE SEMI-TRAILER</w:t>
      </w:r>
    </w:p>
    <w:p w:rsidR="00D43D5D" w:rsidRDefault="008C0224" w:rsidP="00D43D5D">
      <w:pPr>
        <w:widowControl w:val="0"/>
      </w:pPr>
      <w:r>
        <w:rPr>
          <w:rFonts w:ascii="Tahoma" w:hAnsi="Tahoma" w:cs="Tahoma"/>
          <w:noProof/>
          <w:sz w:val="20"/>
          <w:szCs w:val="20"/>
          <w:lang w:eastAsia="en-AU"/>
        </w:rPr>
        <w:drawing>
          <wp:inline distT="0" distB="0" distL="0" distR="0">
            <wp:extent cx="2363470" cy="558165"/>
            <wp:effectExtent l="0" t="0" r="0" b="0"/>
            <wp:docPr id="41" name="Picture 41" descr="Five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ve Axle Semi-Trai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rsidR="002E2476" w:rsidRDefault="002E2476" w:rsidP="00666E66">
      <w:pPr>
        <w:pStyle w:val="ListParagraph"/>
        <w:widowControl w:val="0"/>
        <w:numPr>
          <w:ilvl w:val="0"/>
          <w:numId w:val="7"/>
        </w:numPr>
      </w:pPr>
      <w:r>
        <w:t>SIX AXLE SEMI-TRAILER</w:t>
      </w:r>
    </w:p>
    <w:p w:rsidR="00D43D5D" w:rsidRDefault="008C0224" w:rsidP="00D43D5D">
      <w:pPr>
        <w:widowControl w:val="0"/>
      </w:pPr>
      <w:r>
        <w:rPr>
          <w:rFonts w:ascii="Tahoma" w:hAnsi="Tahoma" w:cs="Tahoma"/>
          <w:noProof/>
          <w:sz w:val="20"/>
          <w:szCs w:val="20"/>
          <w:lang w:eastAsia="en-AU"/>
        </w:rPr>
        <w:drawing>
          <wp:inline distT="0" distB="0" distL="0" distR="0">
            <wp:extent cx="2363470" cy="558165"/>
            <wp:effectExtent l="0" t="0" r="0" b="0"/>
            <wp:docPr id="42" name="Picture 42" descr="Six Axle Semi-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x Axle Semi-Trai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3470" cy="558165"/>
                    </a:xfrm>
                    <a:prstGeom prst="rect">
                      <a:avLst/>
                    </a:prstGeom>
                    <a:noFill/>
                    <a:ln>
                      <a:noFill/>
                    </a:ln>
                  </pic:spPr>
                </pic:pic>
              </a:graphicData>
            </a:graphic>
          </wp:inline>
        </w:drawing>
      </w:r>
    </w:p>
    <w:p w:rsidR="00D43D5D" w:rsidRDefault="00D43D5D" w:rsidP="00666E66">
      <w:pPr>
        <w:pStyle w:val="ListParagraph"/>
        <w:widowControl w:val="0"/>
        <w:numPr>
          <w:ilvl w:val="0"/>
          <w:numId w:val="7"/>
        </w:numPr>
      </w:pPr>
      <w:r>
        <w:t>SEVEN AXLE B-DOUBLE</w:t>
      </w:r>
    </w:p>
    <w:p w:rsidR="00D43D5D" w:rsidRDefault="008C0224" w:rsidP="00D43D5D">
      <w:pPr>
        <w:widowControl w:val="0"/>
      </w:pPr>
      <w:r>
        <w:rPr>
          <w:rFonts w:ascii="Tahoma" w:hAnsi="Tahoma" w:cs="Tahoma"/>
          <w:noProof/>
          <w:sz w:val="20"/>
          <w:szCs w:val="20"/>
          <w:lang w:eastAsia="en-AU"/>
        </w:rPr>
        <w:drawing>
          <wp:inline distT="0" distB="0" distL="0" distR="0">
            <wp:extent cx="2719705" cy="510540"/>
            <wp:effectExtent l="0" t="0" r="4445" b="3810"/>
            <wp:docPr id="43" name="Picture 43" descr="Seven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ven Axle B-Doub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9705" cy="510540"/>
                    </a:xfrm>
                    <a:prstGeom prst="rect">
                      <a:avLst/>
                    </a:prstGeom>
                    <a:noFill/>
                    <a:ln>
                      <a:noFill/>
                    </a:ln>
                  </pic:spPr>
                </pic:pic>
              </a:graphicData>
            </a:graphic>
          </wp:inline>
        </w:drawing>
      </w:r>
    </w:p>
    <w:p w:rsidR="00D43D5D" w:rsidRDefault="00D43D5D" w:rsidP="00666E66">
      <w:pPr>
        <w:pStyle w:val="ListParagraph"/>
        <w:widowControl w:val="0"/>
        <w:numPr>
          <w:ilvl w:val="0"/>
          <w:numId w:val="7"/>
        </w:numPr>
      </w:pPr>
      <w:r>
        <w:t>EIGHT AXLE B-DOUBLE</w:t>
      </w:r>
    </w:p>
    <w:p w:rsidR="00EE641A" w:rsidRDefault="008C0224" w:rsidP="00D43D5D">
      <w:pPr>
        <w:widowControl w:val="0"/>
      </w:pPr>
      <w:r>
        <w:rPr>
          <w:rFonts w:ascii="Tahoma" w:hAnsi="Tahoma" w:cs="Tahoma"/>
          <w:noProof/>
          <w:sz w:val="20"/>
          <w:szCs w:val="20"/>
          <w:lang w:eastAsia="en-AU"/>
        </w:rPr>
        <w:drawing>
          <wp:inline distT="0" distB="0" distL="0" distR="0">
            <wp:extent cx="2766695" cy="522605"/>
            <wp:effectExtent l="0" t="0" r="0" b="0"/>
            <wp:docPr id="44" name="Picture 44" descr="Eight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ght Axle B-Dou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695" cy="522605"/>
                    </a:xfrm>
                    <a:prstGeom prst="rect">
                      <a:avLst/>
                    </a:prstGeom>
                    <a:noFill/>
                    <a:ln>
                      <a:noFill/>
                    </a:ln>
                  </pic:spPr>
                </pic:pic>
              </a:graphicData>
            </a:graphic>
          </wp:inline>
        </w:drawing>
      </w:r>
    </w:p>
    <w:p w:rsidR="00EE641A" w:rsidRDefault="00EE641A">
      <w:pPr>
        <w:tabs>
          <w:tab w:val="clear" w:pos="851"/>
        </w:tabs>
        <w:spacing w:before="0" w:after="200" w:line="276" w:lineRule="auto"/>
      </w:pPr>
      <w:r>
        <w:br w:type="page"/>
      </w:r>
    </w:p>
    <w:p w:rsidR="00D43D5D" w:rsidRDefault="00D43D5D" w:rsidP="00666E66">
      <w:pPr>
        <w:pStyle w:val="ListParagraph"/>
        <w:widowControl w:val="0"/>
        <w:numPr>
          <w:ilvl w:val="0"/>
          <w:numId w:val="7"/>
        </w:numPr>
      </w:pPr>
      <w:r>
        <w:lastRenderedPageBreak/>
        <w:t>NINE AXLE B-DOUBLE</w:t>
      </w:r>
    </w:p>
    <w:p w:rsidR="00D43D5D" w:rsidRDefault="008C0224" w:rsidP="00D43D5D">
      <w:pPr>
        <w:widowControl w:val="0"/>
      </w:pPr>
      <w:r>
        <w:rPr>
          <w:rFonts w:ascii="Tahoma" w:hAnsi="Tahoma" w:cs="Tahoma"/>
          <w:noProof/>
          <w:sz w:val="20"/>
          <w:szCs w:val="20"/>
          <w:lang w:eastAsia="en-AU"/>
        </w:rPr>
        <w:drawing>
          <wp:inline distT="0" distB="0" distL="0" distR="0">
            <wp:extent cx="2766695" cy="522605"/>
            <wp:effectExtent l="0" t="0" r="0" b="0"/>
            <wp:docPr id="45" name="Picture 45" descr="Nine Axle B-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ine Axle B-Dou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6695" cy="522605"/>
                    </a:xfrm>
                    <a:prstGeom prst="rect">
                      <a:avLst/>
                    </a:prstGeom>
                    <a:noFill/>
                    <a:ln>
                      <a:noFill/>
                    </a:ln>
                  </pic:spPr>
                </pic:pic>
              </a:graphicData>
            </a:graphic>
          </wp:inline>
        </w:drawing>
      </w:r>
    </w:p>
    <w:p w:rsidR="00D43D5D" w:rsidRDefault="00D43D5D" w:rsidP="00666E66">
      <w:pPr>
        <w:pStyle w:val="ListParagraph"/>
        <w:widowControl w:val="0"/>
        <w:numPr>
          <w:ilvl w:val="0"/>
          <w:numId w:val="7"/>
        </w:numPr>
      </w:pPr>
      <w:r>
        <w:t>DOUBLE ROAD TRAIN</w:t>
      </w:r>
    </w:p>
    <w:p w:rsidR="00D43D5D" w:rsidRDefault="008C0224" w:rsidP="00D43D5D">
      <w:pPr>
        <w:widowControl w:val="0"/>
      </w:pPr>
      <w:r>
        <w:rPr>
          <w:rFonts w:ascii="Tahoma" w:hAnsi="Tahoma" w:cs="Tahoma"/>
          <w:noProof/>
          <w:sz w:val="20"/>
          <w:szCs w:val="20"/>
          <w:lang w:eastAsia="en-AU"/>
        </w:rPr>
        <w:drawing>
          <wp:inline distT="0" distB="0" distL="0" distR="0">
            <wp:extent cx="4274820" cy="546100"/>
            <wp:effectExtent l="0" t="0" r="0" b="6350"/>
            <wp:docPr id="46" name="Picture 46" descr="Double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uble Road Tra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4820" cy="546100"/>
                    </a:xfrm>
                    <a:prstGeom prst="rect">
                      <a:avLst/>
                    </a:prstGeom>
                    <a:noFill/>
                    <a:ln>
                      <a:noFill/>
                    </a:ln>
                  </pic:spPr>
                </pic:pic>
              </a:graphicData>
            </a:graphic>
          </wp:inline>
        </w:drawing>
      </w:r>
    </w:p>
    <w:p w:rsidR="00D43D5D" w:rsidRDefault="00D43D5D" w:rsidP="00666E66">
      <w:pPr>
        <w:pStyle w:val="ListParagraph"/>
        <w:widowControl w:val="0"/>
        <w:numPr>
          <w:ilvl w:val="0"/>
          <w:numId w:val="7"/>
        </w:numPr>
      </w:pPr>
      <w:r>
        <w:t>TRIPLE ROAD TRAIN</w:t>
      </w:r>
    </w:p>
    <w:p w:rsidR="00D43D5D" w:rsidRDefault="008C0224" w:rsidP="00D43D5D">
      <w:pPr>
        <w:widowControl w:val="0"/>
      </w:pPr>
      <w:r>
        <w:rPr>
          <w:rFonts w:ascii="Tahoma" w:hAnsi="Tahoma" w:cs="Tahoma"/>
          <w:noProof/>
          <w:sz w:val="20"/>
          <w:szCs w:val="20"/>
          <w:lang w:eastAsia="en-AU"/>
        </w:rPr>
        <w:drawing>
          <wp:inline distT="0" distB="0" distL="0" distR="0">
            <wp:extent cx="4263390" cy="498475"/>
            <wp:effectExtent l="0" t="0" r="3810" b="0"/>
            <wp:docPr id="47" name="Picture 47" descr="Triple Roa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iple Road Tra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3390" cy="498475"/>
                    </a:xfrm>
                    <a:prstGeom prst="rect">
                      <a:avLst/>
                    </a:prstGeom>
                    <a:noFill/>
                    <a:ln>
                      <a:noFill/>
                    </a:ln>
                  </pic:spPr>
                </pic:pic>
              </a:graphicData>
            </a:graphic>
          </wp:inline>
        </w:drawing>
      </w:r>
    </w:p>
    <w:p w:rsidR="00147A17" w:rsidRPr="002A3471" w:rsidRDefault="008C0224" w:rsidP="004E06C9">
      <w:pPr>
        <w:widowControl w:val="0"/>
      </w:pPr>
      <w:r>
        <w:t>(</w:t>
      </w:r>
      <w:r w:rsidR="004E06C9" w:rsidRPr="00EE641A">
        <w:t>National Transport Commission,</w:t>
      </w:r>
      <w:r w:rsidR="00EE641A" w:rsidRPr="00EE641A">
        <w:t xml:space="preserve"> 2010</w:t>
      </w:r>
      <w:r w:rsidRPr="00EE641A">
        <w:t>)</w:t>
      </w:r>
    </w:p>
    <w:p w:rsidR="009A61F7" w:rsidRDefault="009A61F7">
      <w:pPr>
        <w:spacing w:after="200" w:line="276" w:lineRule="auto"/>
      </w:pPr>
      <w:r>
        <w:br w:type="page"/>
      </w:r>
    </w:p>
    <w:p w:rsidR="0062195C" w:rsidRDefault="00DA32D6" w:rsidP="00350154">
      <w:pPr>
        <w:pStyle w:val="Heading1"/>
        <w:numPr>
          <w:ilvl w:val="0"/>
          <w:numId w:val="0"/>
        </w:numPr>
      </w:pPr>
      <w:bookmarkStart w:id="56" w:name="_Toc319933949"/>
      <w:bookmarkStart w:id="57" w:name="_Ref341969844"/>
      <w:bookmarkStart w:id="58" w:name="_Ref347008323"/>
      <w:bookmarkStart w:id="59" w:name="_Ref347008333"/>
      <w:bookmarkStart w:id="60" w:name="_Ref347008344"/>
      <w:bookmarkStart w:id="61" w:name="_Toc375302807"/>
      <w:r>
        <w:lastRenderedPageBreak/>
        <w:t>A</w:t>
      </w:r>
      <w:r w:rsidR="009A61F7">
        <w:t xml:space="preserve">ppendix </w:t>
      </w:r>
      <w:r w:rsidR="00D2411A">
        <w:t>3</w:t>
      </w:r>
      <w:r w:rsidR="009A61F7">
        <w:t>—</w:t>
      </w:r>
      <w:r w:rsidR="00D2411A">
        <w:t>Extract from the Executive Summary of the National Heavy Vehicle Braking Strategy Report</w:t>
      </w:r>
      <w:bookmarkEnd w:id="56"/>
      <w:bookmarkEnd w:id="57"/>
      <w:bookmarkEnd w:id="58"/>
      <w:bookmarkEnd w:id="59"/>
      <w:bookmarkEnd w:id="60"/>
      <w:bookmarkEnd w:id="61"/>
    </w:p>
    <w:p w:rsidR="00A84A48" w:rsidRDefault="00A84A48" w:rsidP="00A84A48">
      <w:r>
        <w:rPr>
          <w:noProof/>
          <w:lang w:eastAsia="en-AU"/>
        </w:rPr>
        <w:drawing>
          <wp:inline distT="0" distB="0" distL="0" distR="0">
            <wp:extent cx="4860000" cy="80483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0000" cy="8048302"/>
                    </a:xfrm>
                    <a:prstGeom prst="rect">
                      <a:avLst/>
                    </a:prstGeom>
                    <a:noFill/>
                    <a:ln>
                      <a:noFill/>
                    </a:ln>
                  </pic:spPr>
                </pic:pic>
              </a:graphicData>
            </a:graphic>
          </wp:inline>
        </w:drawing>
      </w:r>
    </w:p>
    <w:p w:rsidR="00A84A48" w:rsidRPr="00A84A48" w:rsidRDefault="00A84A48" w:rsidP="00A84A48">
      <w:r>
        <w:rPr>
          <w:noProof/>
          <w:lang w:eastAsia="en-AU"/>
        </w:rPr>
        <w:lastRenderedPageBreak/>
        <w:drawing>
          <wp:inline distT="0" distB="0" distL="0" distR="0">
            <wp:extent cx="4932000" cy="84966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2000" cy="8496639"/>
                    </a:xfrm>
                    <a:prstGeom prst="rect">
                      <a:avLst/>
                    </a:prstGeom>
                    <a:noFill/>
                    <a:ln>
                      <a:noFill/>
                    </a:ln>
                  </pic:spPr>
                </pic:pic>
              </a:graphicData>
            </a:graphic>
          </wp:inline>
        </w:drawing>
      </w:r>
    </w:p>
    <w:p w:rsidR="00A84A48" w:rsidRPr="00AC158D" w:rsidRDefault="00A84A48" w:rsidP="00AC158D">
      <w:bookmarkStart w:id="62" w:name="_Toc319933950"/>
      <w:r w:rsidRPr="00AC158D">
        <w:rPr>
          <w:noProof/>
          <w:lang w:eastAsia="en-AU"/>
        </w:rPr>
        <w:lastRenderedPageBreak/>
        <w:drawing>
          <wp:inline distT="0" distB="0" distL="0" distR="0">
            <wp:extent cx="4932000" cy="83381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2000" cy="8338159"/>
                    </a:xfrm>
                    <a:prstGeom prst="rect">
                      <a:avLst/>
                    </a:prstGeom>
                    <a:noFill/>
                    <a:ln>
                      <a:noFill/>
                    </a:ln>
                  </pic:spPr>
                </pic:pic>
              </a:graphicData>
            </a:graphic>
          </wp:inline>
        </w:drawing>
      </w:r>
      <w:r w:rsidRPr="00AC158D">
        <w:t xml:space="preserve"> </w:t>
      </w:r>
    </w:p>
    <w:p w:rsidR="00A84A48" w:rsidRPr="00AC158D" w:rsidRDefault="00A84A48" w:rsidP="00AC158D">
      <w:r w:rsidRPr="00AC158D">
        <w:rPr>
          <w:noProof/>
          <w:lang w:eastAsia="en-AU"/>
        </w:rPr>
        <w:lastRenderedPageBreak/>
        <w:drawing>
          <wp:inline distT="0" distB="0" distL="0" distR="0">
            <wp:extent cx="4932000" cy="841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32000" cy="8416653"/>
                    </a:xfrm>
                    <a:prstGeom prst="rect">
                      <a:avLst/>
                    </a:prstGeom>
                    <a:noFill/>
                    <a:ln>
                      <a:noFill/>
                    </a:ln>
                  </pic:spPr>
                </pic:pic>
              </a:graphicData>
            </a:graphic>
          </wp:inline>
        </w:drawing>
      </w:r>
      <w:r w:rsidRPr="00AC158D">
        <w:br w:type="page"/>
      </w:r>
      <w:r w:rsidRPr="00AC158D">
        <w:rPr>
          <w:noProof/>
          <w:lang w:eastAsia="en-AU"/>
        </w:rPr>
        <w:lastRenderedPageBreak/>
        <w:drawing>
          <wp:inline distT="0" distB="0" distL="0" distR="0">
            <wp:extent cx="4932000" cy="84367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32000" cy="8436773"/>
                    </a:xfrm>
                    <a:prstGeom prst="rect">
                      <a:avLst/>
                    </a:prstGeom>
                    <a:noFill/>
                    <a:ln>
                      <a:noFill/>
                    </a:ln>
                  </pic:spPr>
                </pic:pic>
              </a:graphicData>
            </a:graphic>
          </wp:inline>
        </w:drawing>
      </w:r>
      <w:r w:rsidRPr="00AC158D">
        <w:t xml:space="preserve"> </w:t>
      </w:r>
    </w:p>
    <w:p w:rsidR="00A84A48" w:rsidRPr="00AC158D" w:rsidRDefault="00A84A48" w:rsidP="00AC158D">
      <w:r w:rsidRPr="00AC158D">
        <w:rPr>
          <w:noProof/>
          <w:lang w:eastAsia="en-AU"/>
        </w:rPr>
        <w:lastRenderedPageBreak/>
        <w:drawing>
          <wp:inline distT="0" distB="0" distL="0" distR="0">
            <wp:extent cx="4932000" cy="8397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32000" cy="8397680"/>
                    </a:xfrm>
                    <a:prstGeom prst="rect">
                      <a:avLst/>
                    </a:prstGeom>
                    <a:noFill/>
                    <a:ln>
                      <a:noFill/>
                    </a:ln>
                  </pic:spPr>
                </pic:pic>
              </a:graphicData>
            </a:graphic>
          </wp:inline>
        </w:drawing>
      </w:r>
      <w:r w:rsidRPr="00AC158D">
        <w:br w:type="page"/>
      </w:r>
      <w:r w:rsidRPr="00AC158D">
        <w:rPr>
          <w:noProof/>
          <w:lang w:eastAsia="en-AU"/>
        </w:rPr>
        <w:lastRenderedPageBreak/>
        <w:drawing>
          <wp:inline distT="0" distB="0" distL="0" distR="0">
            <wp:extent cx="4932000" cy="8298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2000" cy="8298210"/>
                    </a:xfrm>
                    <a:prstGeom prst="rect">
                      <a:avLst/>
                    </a:prstGeom>
                    <a:noFill/>
                    <a:ln>
                      <a:noFill/>
                    </a:ln>
                  </pic:spPr>
                </pic:pic>
              </a:graphicData>
            </a:graphic>
          </wp:inline>
        </w:drawing>
      </w:r>
      <w:r w:rsidRPr="00AC158D">
        <w:t xml:space="preserve"> </w:t>
      </w:r>
    </w:p>
    <w:p w:rsidR="00A84A48" w:rsidRPr="00AC158D" w:rsidRDefault="00A84A48" w:rsidP="00AC158D">
      <w:r w:rsidRPr="00AC158D">
        <w:rPr>
          <w:noProof/>
          <w:lang w:eastAsia="en-AU"/>
        </w:rPr>
        <w:lastRenderedPageBreak/>
        <w:drawing>
          <wp:inline distT="0" distB="0" distL="0" distR="0">
            <wp:extent cx="4932000" cy="83659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2000" cy="8365921"/>
                    </a:xfrm>
                    <a:prstGeom prst="rect">
                      <a:avLst/>
                    </a:prstGeom>
                    <a:noFill/>
                    <a:ln>
                      <a:noFill/>
                    </a:ln>
                  </pic:spPr>
                </pic:pic>
              </a:graphicData>
            </a:graphic>
          </wp:inline>
        </w:drawing>
      </w:r>
      <w:r w:rsidRPr="00AC158D">
        <w:br w:type="page"/>
      </w:r>
      <w:r w:rsidRPr="00AC158D">
        <w:rPr>
          <w:noProof/>
          <w:lang w:eastAsia="en-AU"/>
        </w:rPr>
        <w:lastRenderedPageBreak/>
        <w:drawing>
          <wp:inline distT="0" distB="0" distL="0" distR="0">
            <wp:extent cx="4932000" cy="8298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32000" cy="8298210"/>
                    </a:xfrm>
                    <a:prstGeom prst="rect">
                      <a:avLst/>
                    </a:prstGeom>
                    <a:noFill/>
                    <a:ln>
                      <a:noFill/>
                    </a:ln>
                  </pic:spPr>
                </pic:pic>
              </a:graphicData>
            </a:graphic>
          </wp:inline>
        </w:drawing>
      </w:r>
      <w:r w:rsidRPr="00AC158D">
        <w:t xml:space="preserve"> </w:t>
      </w:r>
    </w:p>
    <w:p w:rsidR="00A84A48" w:rsidRDefault="00A84A48" w:rsidP="00A84A48">
      <w:pPr>
        <w:tabs>
          <w:tab w:val="clear" w:pos="851"/>
        </w:tabs>
        <w:spacing w:before="0" w:after="200" w:line="276" w:lineRule="auto"/>
        <w:rPr>
          <w:b/>
          <w:bCs/>
          <w:caps/>
        </w:rPr>
      </w:pPr>
      <w:r>
        <w:rPr>
          <w:noProof/>
          <w:lang w:eastAsia="en-AU"/>
        </w:rPr>
        <w:lastRenderedPageBreak/>
        <w:drawing>
          <wp:inline distT="0" distB="0" distL="0" distR="0">
            <wp:extent cx="4932000" cy="8342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32000" cy="8342760"/>
                    </a:xfrm>
                    <a:prstGeom prst="rect">
                      <a:avLst/>
                    </a:prstGeom>
                    <a:noFill/>
                    <a:ln>
                      <a:noFill/>
                    </a:ln>
                  </pic:spPr>
                </pic:pic>
              </a:graphicData>
            </a:graphic>
          </wp:inline>
        </w:drawing>
      </w:r>
      <w:r>
        <w:br w:type="page"/>
      </w:r>
      <w:r>
        <w:rPr>
          <w:noProof/>
          <w:lang w:eastAsia="en-AU"/>
        </w:rPr>
        <w:lastRenderedPageBreak/>
        <w:drawing>
          <wp:inline distT="0" distB="0" distL="0" distR="0">
            <wp:extent cx="4932000" cy="77095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32000" cy="7709554"/>
                    </a:xfrm>
                    <a:prstGeom prst="rect">
                      <a:avLst/>
                    </a:prstGeom>
                    <a:noFill/>
                    <a:ln>
                      <a:noFill/>
                    </a:ln>
                  </pic:spPr>
                </pic:pic>
              </a:graphicData>
            </a:graphic>
          </wp:inline>
        </w:drawing>
      </w:r>
      <w:r w:rsidRPr="002A3471">
        <w:br w:type="page"/>
      </w:r>
      <w:r>
        <w:rPr>
          <w:noProof/>
          <w:lang w:eastAsia="en-AU"/>
        </w:rPr>
        <w:lastRenderedPageBreak/>
        <w:drawing>
          <wp:inline distT="0" distB="0" distL="0" distR="0">
            <wp:extent cx="4932000" cy="82091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2000" cy="8209110"/>
                    </a:xfrm>
                    <a:prstGeom prst="rect">
                      <a:avLst/>
                    </a:prstGeom>
                    <a:noFill/>
                    <a:ln>
                      <a:noFill/>
                    </a:ln>
                  </pic:spPr>
                </pic:pic>
              </a:graphicData>
            </a:graphic>
          </wp:inline>
        </w:drawing>
      </w:r>
      <w:r>
        <w:br w:type="page"/>
      </w:r>
    </w:p>
    <w:p w:rsidR="00A84A48" w:rsidRDefault="00A84A48">
      <w:pPr>
        <w:tabs>
          <w:tab w:val="clear" w:pos="851"/>
        </w:tabs>
        <w:spacing w:before="0" w:after="200" w:line="276" w:lineRule="auto"/>
        <w:rPr>
          <w:b/>
          <w:bCs/>
          <w:caps/>
        </w:rPr>
      </w:pPr>
      <w:r>
        <w:rPr>
          <w:noProof/>
          <w:lang w:eastAsia="en-AU"/>
        </w:rPr>
        <w:lastRenderedPageBreak/>
        <w:drawing>
          <wp:inline distT="0" distB="0" distL="0" distR="0">
            <wp:extent cx="4932000" cy="5188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2000" cy="5188015"/>
                    </a:xfrm>
                    <a:prstGeom prst="rect">
                      <a:avLst/>
                    </a:prstGeom>
                    <a:noFill/>
                    <a:ln>
                      <a:noFill/>
                    </a:ln>
                  </pic:spPr>
                </pic:pic>
              </a:graphicData>
            </a:graphic>
          </wp:inline>
        </w:drawing>
      </w:r>
    </w:p>
    <w:p w:rsidR="00D2411A" w:rsidRDefault="00D2411A">
      <w:pPr>
        <w:tabs>
          <w:tab w:val="clear" w:pos="851"/>
        </w:tabs>
        <w:spacing w:before="0" w:after="200" w:line="276" w:lineRule="auto"/>
      </w:pPr>
      <w:r>
        <w:rPr>
          <w:b/>
          <w:bCs/>
          <w:caps/>
        </w:rPr>
        <w:br w:type="page"/>
      </w:r>
    </w:p>
    <w:p w:rsidR="0044597D" w:rsidRDefault="00DA32D6" w:rsidP="00350154">
      <w:pPr>
        <w:pStyle w:val="Heading1"/>
        <w:numPr>
          <w:ilvl w:val="0"/>
          <w:numId w:val="0"/>
        </w:numPr>
      </w:pPr>
      <w:bookmarkStart w:id="63" w:name="_Ref341970034"/>
      <w:bookmarkStart w:id="64" w:name="_Toc375302808"/>
      <w:r w:rsidRPr="00BD0E13">
        <w:lastRenderedPageBreak/>
        <w:t xml:space="preserve">Appendix </w:t>
      </w:r>
      <w:r w:rsidR="003004D6">
        <w:t>4</w:t>
      </w:r>
      <w:r w:rsidRPr="00BD0E13">
        <w:t>—</w:t>
      </w:r>
      <w:bookmarkEnd w:id="62"/>
      <w:r w:rsidR="00F21777">
        <w:t xml:space="preserve">The </w:t>
      </w:r>
      <w:r w:rsidR="003004D6">
        <w:t>NTC Response to the National Heavy Veh</w:t>
      </w:r>
      <w:r w:rsidR="00AD6799">
        <w:t>ic</w:t>
      </w:r>
      <w:r w:rsidR="003004D6">
        <w:t>le Braking Strategy Report</w:t>
      </w:r>
      <w:bookmarkEnd w:id="63"/>
      <w:bookmarkEnd w:id="64"/>
    </w:p>
    <w:p w:rsidR="00EA6022" w:rsidRDefault="00EA6022" w:rsidP="002D611C">
      <w:pPr>
        <w:pStyle w:val="Subheading4"/>
      </w:pPr>
      <w:r>
        <w:t>Purpose</w:t>
      </w:r>
    </w:p>
    <w:p w:rsidR="00EA6022" w:rsidRDefault="00EA6022" w:rsidP="00930405">
      <w:r>
        <w:t>The purpose of the National Heavy Vehicle Braking Strategy is to provide a plan for the development of brake rules and codes of practice into the foreseeable future. It underpins the NTC’s broader strategic objectives with regard to safety and technology, specifically:</w:t>
      </w:r>
    </w:p>
    <w:p w:rsidR="00EA6022" w:rsidRDefault="00EA6022" w:rsidP="00666E66">
      <w:pPr>
        <w:pStyle w:val="ListParagraph"/>
        <w:numPr>
          <w:ilvl w:val="0"/>
          <w:numId w:val="8"/>
        </w:numPr>
        <w:spacing w:after="200" w:line="276" w:lineRule="auto"/>
      </w:pPr>
      <w:r>
        <w:t xml:space="preserve">To make progress towards the National Heavy Vehicle Safety Strategy target. </w:t>
      </w:r>
    </w:p>
    <w:p w:rsidR="00EA6022" w:rsidRDefault="00EA6022" w:rsidP="00666E66">
      <w:pPr>
        <w:pStyle w:val="ListParagraph"/>
        <w:numPr>
          <w:ilvl w:val="0"/>
          <w:numId w:val="8"/>
        </w:numPr>
        <w:spacing w:after="200" w:line="276" w:lineRule="auto"/>
      </w:pPr>
      <w:r>
        <w:t>To bring the Australian heavy vehicle crash rate as close as possible to world’s best practice</w:t>
      </w:r>
      <w:r w:rsidR="002D611C">
        <w:rPr>
          <w:rStyle w:val="FootnoteReference"/>
        </w:rPr>
        <w:footnoteReference w:id="1"/>
      </w:r>
      <w:r>
        <w:t xml:space="preserve">. </w:t>
      </w:r>
    </w:p>
    <w:p w:rsidR="00EA6022" w:rsidRDefault="00EA6022" w:rsidP="00666E66">
      <w:pPr>
        <w:pStyle w:val="ListParagraph"/>
        <w:numPr>
          <w:ilvl w:val="0"/>
          <w:numId w:val="8"/>
        </w:numPr>
        <w:spacing w:after="200" w:line="276" w:lineRule="auto"/>
      </w:pPr>
      <w:r>
        <w:t>For regulation to keep pace with and take advantage of technology</w:t>
      </w:r>
      <w:r w:rsidR="002D611C">
        <w:t>.</w:t>
      </w:r>
    </w:p>
    <w:p w:rsidR="00EA6022" w:rsidRDefault="00EA6022" w:rsidP="008979AA">
      <w:pPr>
        <w:pStyle w:val="Subheading4"/>
      </w:pPr>
      <w:r>
        <w:t>Background</w:t>
      </w:r>
    </w:p>
    <w:p w:rsidR="00EA6022" w:rsidRDefault="00EA6022" w:rsidP="00181027">
      <w:r>
        <w:t>The need to review and reform heavy vehicle brake regulation arises be</w:t>
      </w:r>
      <w:r w:rsidR="005F14CF">
        <w:t>cause of the following reasons:</w:t>
      </w:r>
    </w:p>
    <w:p w:rsidR="00EA6022" w:rsidRDefault="00EA6022" w:rsidP="00666E66">
      <w:pPr>
        <w:pStyle w:val="ListParagraph"/>
        <w:numPr>
          <w:ilvl w:val="0"/>
          <w:numId w:val="9"/>
        </w:numPr>
        <w:spacing w:after="200" w:line="276" w:lineRule="auto"/>
      </w:pPr>
      <w:r>
        <w:t>A request from Standing Committee on Transport (SCOT) to the NTC to review the case for mandating antilock braking systems (ABS)</w:t>
      </w:r>
    </w:p>
    <w:p w:rsidR="00EA6022" w:rsidRDefault="00EA6022" w:rsidP="00666E66">
      <w:pPr>
        <w:pStyle w:val="ListParagraph"/>
        <w:numPr>
          <w:ilvl w:val="0"/>
          <w:numId w:val="9"/>
        </w:numPr>
        <w:spacing w:after="200" w:line="276" w:lineRule="auto"/>
      </w:pPr>
      <w:r>
        <w:t>The agenda to harmonize the ADR with The United Nations Economic Commission for Europe (UN ECE) Regulations</w:t>
      </w:r>
    </w:p>
    <w:p w:rsidR="00EA6022" w:rsidRDefault="00EA6022" w:rsidP="00666E66">
      <w:pPr>
        <w:pStyle w:val="ListParagraph"/>
        <w:numPr>
          <w:ilvl w:val="0"/>
          <w:numId w:val="9"/>
        </w:numPr>
        <w:spacing w:after="200" w:line="276" w:lineRule="auto"/>
      </w:pPr>
      <w:r>
        <w:t>Inconsistencies between ADR, AVSR and PBS braking standards.</w:t>
      </w:r>
    </w:p>
    <w:p w:rsidR="00EA6022" w:rsidRDefault="00EA6022" w:rsidP="00666E66">
      <w:pPr>
        <w:pStyle w:val="ListParagraph"/>
        <w:numPr>
          <w:ilvl w:val="0"/>
          <w:numId w:val="9"/>
        </w:numPr>
        <w:spacing w:after="200" w:line="276" w:lineRule="auto"/>
      </w:pPr>
      <w:r>
        <w:t>New technologies and the potential to improve stopping distance standard and stability standards.</w:t>
      </w:r>
    </w:p>
    <w:p w:rsidR="00EA6022" w:rsidRDefault="00EA6022" w:rsidP="00666E66">
      <w:pPr>
        <w:pStyle w:val="ListParagraph"/>
        <w:numPr>
          <w:ilvl w:val="0"/>
          <w:numId w:val="9"/>
        </w:numPr>
        <w:spacing w:after="200" w:line="276" w:lineRule="auto"/>
      </w:pPr>
      <w:r>
        <w:t>Existing incompatibilities between trucks and trailers in combination</w:t>
      </w:r>
    </w:p>
    <w:p w:rsidR="00EA6022" w:rsidRDefault="00EA6022" w:rsidP="00181027">
      <w:pPr>
        <w:pStyle w:val="Subheading4"/>
      </w:pPr>
      <w:r>
        <w:t>Discussion/Issues</w:t>
      </w:r>
    </w:p>
    <w:p w:rsidR="00EA6022" w:rsidRDefault="00EA6022" w:rsidP="00930405">
      <w:r>
        <w:t xml:space="preserve">The NTC commissioned </w:t>
      </w:r>
      <w:proofErr w:type="spellStart"/>
      <w:r>
        <w:t>Dr.</w:t>
      </w:r>
      <w:proofErr w:type="spellEnd"/>
      <w:r>
        <w:t xml:space="preserve"> Peter Hart to develop a discussion paper and undertake a consultation process to develop the National Heavy Vehicle Braking Strategy. A discussion paper with six strategic objectives was produced and an extensive consultation process was then undertaken. </w:t>
      </w:r>
    </w:p>
    <w:p w:rsidR="00EA6022" w:rsidRDefault="00EA6022" w:rsidP="00930405">
      <w:proofErr w:type="spellStart"/>
      <w:r>
        <w:lastRenderedPageBreak/>
        <w:t>Dr.</w:t>
      </w:r>
      <w:proofErr w:type="spellEnd"/>
      <w:r>
        <w:t xml:space="preserve"> Hart’s investigation included an assessment of the crash record. Evidently the accident record doesn’t contain enough information to establish a direct link between accidents and brake performance. Although international evidence suggests poor brake performance is a factor in 20-25% of crashes, currently there is no faithful economic case which provides the imperative to move forward with reform. However, it is clear that Australia lags behind Europe, Japan, China and America in mandating anti-lock braking systems and because of the large mix of equipment there is a greater chance of poor compatibili</w:t>
      </w:r>
      <w:r w:rsidR="00181027">
        <w:t>ty between trucks and trailers.</w:t>
      </w:r>
    </w:p>
    <w:p w:rsidR="00EA6022" w:rsidRDefault="00EA6022" w:rsidP="00930405">
      <w:r>
        <w:t xml:space="preserve">The economic benefits of anti-lock braking systems include anticipated reduction in crash costs and improved tyre wear rates. The economic costs include installation costs (which have reduced over recent years), enforcement </w:t>
      </w:r>
      <w:r w:rsidR="00181027">
        <w:t>and workshop maintenance costs.</w:t>
      </w:r>
    </w:p>
    <w:p w:rsidR="00EA6022" w:rsidRDefault="00EA6022" w:rsidP="00930405">
      <w:proofErr w:type="spellStart"/>
      <w:r>
        <w:t>Dr.</w:t>
      </w:r>
      <w:proofErr w:type="spellEnd"/>
      <w:r>
        <w:t xml:space="preserve"> Hart’s final report includes ten strategic objectives, thirty eight action items and forty three recommendations. </w:t>
      </w:r>
    </w:p>
    <w:p w:rsidR="00EA6022" w:rsidRDefault="00EA6022" w:rsidP="00181027">
      <w:pPr>
        <w:pStyle w:val="Subheading4"/>
      </w:pPr>
      <w:r>
        <w:t>Recommendation</w:t>
      </w:r>
    </w:p>
    <w:p w:rsidR="00EA6022" w:rsidRDefault="00EA6022" w:rsidP="00930405">
      <w:r>
        <w:t xml:space="preserve">To proceed in delivering on the recommendations contained in the Hart report, the following activities should be undertaken. </w:t>
      </w:r>
    </w:p>
    <w:p w:rsidR="00EA6022" w:rsidRDefault="00EA6022" w:rsidP="00666E66">
      <w:pPr>
        <w:pStyle w:val="ListParagraph"/>
        <w:numPr>
          <w:ilvl w:val="0"/>
          <w:numId w:val="10"/>
        </w:numPr>
        <w:spacing w:after="200" w:line="276" w:lineRule="auto"/>
      </w:pPr>
      <w:r>
        <w:t>Amendments to the ADR Braking Standards, aligning with ECE R13 where sensible</w:t>
      </w:r>
    </w:p>
    <w:p w:rsidR="00EA6022" w:rsidRDefault="00EA6022" w:rsidP="00666E66">
      <w:pPr>
        <w:pStyle w:val="ListParagraph"/>
        <w:numPr>
          <w:ilvl w:val="0"/>
          <w:numId w:val="10"/>
        </w:numPr>
        <w:spacing w:after="200" w:line="276" w:lineRule="auto"/>
      </w:pPr>
      <w:r>
        <w:t xml:space="preserve">Specification of higher national stopping distances and control performance standards. </w:t>
      </w:r>
    </w:p>
    <w:p w:rsidR="00EA6022" w:rsidRDefault="00EA6022" w:rsidP="00666E66">
      <w:pPr>
        <w:pStyle w:val="ListParagraph"/>
        <w:numPr>
          <w:ilvl w:val="0"/>
          <w:numId w:val="10"/>
        </w:numPr>
        <w:spacing w:after="200" w:line="276" w:lineRule="auto"/>
      </w:pPr>
      <w:r>
        <w:t>Development of an Industry Brake Balance Code of Practice</w:t>
      </w:r>
    </w:p>
    <w:p w:rsidR="00EA6022" w:rsidRDefault="00EA6022" w:rsidP="00666E66">
      <w:pPr>
        <w:pStyle w:val="ListParagraph"/>
        <w:numPr>
          <w:ilvl w:val="0"/>
          <w:numId w:val="10"/>
        </w:numPr>
        <w:spacing w:after="200" w:line="276" w:lineRule="auto"/>
      </w:pPr>
      <w:r>
        <w:t>Review alternative strategies, including mandatory regulations, to increase the uptake of electronically controlled braking systems.</w:t>
      </w:r>
    </w:p>
    <w:p w:rsidR="00EA6022" w:rsidRDefault="00EA6022" w:rsidP="00930405">
      <w:r>
        <w:t>The scope of these activities will ensure that the main findings of the Hart Report are addressed. Further details are contained in Appendix A.</w:t>
      </w:r>
    </w:p>
    <w:p w:rsidR="00EA6022" w:rsidRDefault="00EA6022" w:rsidP="00930405">
      <w:r>
        <w:t>To implement these recommendations the follow actions are required:</w:t>
      </w:r>
    </w:p>
    <w:p w:rsidR="00EA6022" w:rsidRDefault="00EA6022" w:rsidP="00666E66">
      <w:pPr>
        <w:pStyle w:val="ListParagraph"/>
        <w:numPr>
          <w:ilvl w:val="0"/>
          <w:numId w:val="11"/>
        </w:numPr>
        <w:spacing w:after="200" w:line="276" w:lineRule="auto"/>
      </w:pPr>
      <w:r>
        <w:t>The Department of Infrastructure, Transport, Regional Development and Local Government must undertake to amend the ADR Braking Standards, aligning with ECE where sensible. Priority actions, namely amendments concerning mandating ABS on new motor vehicles, should be undertaken in 2008. Other amendments should be reviewed and implemented before 2010.</w:t>
      </w:r>
    </w:p>
    <w:p w:rsidR="00EA6022" w:rsidRDefault="00EA6022" w:rsidP="00666E66">
      <w:pPr>
        <w:pStyle w:val="ListParagraph"/>
        <w:numPr>
          <w:ilvl w:val="0"/>
          <w:numId w:val="11"/>
        </w:numPr>
        <w:spacing w:after="200" w:line="276" w:lineRule="auto"/>
      </w:pPr>
      <w:r>
        <w:t>The NTC will need to develop a proposal for a project to define higher national stopping distance and control performance standards. This proposal will need to be approved for inclusion on the NTC’s 2008/09 work program.</w:t>
      </w:r>
    </w:p>
    <w:p w:rsidR="00EA6022" w:rsidRDefault="00EA6022" w:rsidP="00666E66">
      <w:pPr>
        <w:pStyle w:val="ListParagraph"/>
        <w:numPr>
          <w:ilvl w:val="0"/>
          <w:numId w:val="11"/>
        </w:numPr>
        <w:spacing w:after="200" w:line="276" w:lineRule="auto"/>
      </w:pPr>
      <w:r>
        <w:lastRenderedPageBreak/>
        <w:t>The NTC will need to develop a proposal for a project to oversee and partially fund the development of an industry Brake Code of Practice. This will need to be approved by for inclusion in the NTC’s 2008/09 work program.</w:t>
      </w:r>
    </w:p>
    <w:p w:rsidR="00EA6022" w:rsidRDefault="00EA6022" w:rsidP="00666E66">
      <w:pPr>
        <w:pStyle w:val="ListParagraph"/>
        <w:numPr>
          <w:ilvl w:val="0"/>
          <w:numId w:val="11"/>
        </w:numPr>
        <w:spacing w:after="200" w:line="276" w:lineRule="auto"/>
      </w:pPr>
      <w:r>
        <w:t>The NTC to develop a proposal for a project to review alternative strategies, including mandatory regulation, to increase the uptake of electronically controlled braking systems. This will need to be approved for inclusion in the NTC’s 2008/09 work program.</w:t>
      </w:r>
    </w:p>
    <w:p w:rsidR="00EA6022" w:rsidRDefault="00EA6022" w:rsidP="00930405">
      <w:r>
        <w:t xml:space="preserve">To better understand the implications of poor brake balance crash data collection needs to be improved. This is a significant issue that needs to be addressed by Jurisdictions and Police in conjunction with the Australian Transport Safety Bureau. It will require that a nationally consistent minimum set of relevant crash data be recorded. </w:t>
      </w:r>
    </w:p>
    <w:p w:rsidR="00EA6022" w:rsidRDefault="00EA6022" w:rsidP="00D01E5B">
      <w:pPr>
        <w:pStyle w:val="Subheading4"/>
      </w:pPr>
      <w:r>
        <w:t>Appendix A</w:t>
      </w:r>
    </w:p>
    <w:p w:rsidR="00EA6022" w:rsidRDefault="00EA6022" w:rsidP="00D01E5B">
      <w:pPr>
        <w:pStyle w:val="Subheading4"/>
      </w:pPr>
      <w:r>
        <w:t>The National Heavy Vehicle Brake Rule</w:t>
      </w:r>
    </w:p>
    <w:p w:rsidR="00EA6022" w:rsidRDefault="00EA6022" w:rsidP="00195E7B">
      <w:r>
        <w:t>A key element presented in the Hart report is the idea of a national heavy vehicle brake rule, which would in time replace the existing brake rules. During the consultation after the discussion paper, support for the performance based approach was ‘near universal’. Now, a project is needed to set and review national stopping-distance and control performance standards.</w:t>
      </w:r>
    </w:p>
    <w:p w:rsidR="00EA6022" w:rsidRDefault="00EA6022" w:rsidP="00195E7B">
      <w:proofErr w:type="spellStart"/>
      <w:r>
        <w:t>Dr.</w:t>
      </w:r>
      <w:proofErr w:type="spellEnd"/>
      <w:r>
        <w:t xml:space="preserve"> Hart proposes that the current format of the PBS braking standard is appropriate for overarching performance standard, but recognises that further work needs to be done to arrive upon the correct PBS Levels. Currently the PBS requirements are not setting minimum stopping distances – rather they are ensuring directional control and the implication is that shorter stopping distances are possible. </w:t>
      </w:r>
    </w:p>
    <w:p w:rsidR="00EA6022" w:rsidRDefault="00EA6022" w:rsidP="00195E7B">
      <w:r>
        <w:t xml:space="preserve">PBS provides a regulatory framework for implementing national performance standard that recognises the uniqueness of Australian heavy vehicle combinations and road networks. It has the advantage of being applicable to new and in-service vehicles and also provides a means by which compliance can be shown using computer simulation and physical testing. </w:t>
      </w:r>
    </w:p>
    <w:p w:rsidR="00EA6022" w:rsidRDefault="00EA6022" w:rsidP="00195E7B">
      <w:r>
        <w:t xml:space="preserve">A national heavy vehicle brake rule would require additional, prescriptive requirements like those contained in the ADR and ECE brake regulations. </w:t>
      </w:r>
    </w:p>
    <w:p w:rsidR="00EA6022" w:rsidRDefault="00EA6022" w:rsidP="00195E7B">
      <w:r>
        <w:t xml:space="preserve">The development of this overarching performance standard will be a consultative process which draws upon technical expertise from the vehicle manufacturing industry, largely through the process of developing an Industry Brake Code of Practice. It will also be draw upon details contained in the ADR and ECE brake regulations. </w:t>
      </w:r>
    </w:p>
    <w:p w:rsidR="00EA6022" w:rsidRDefault="00EA6022" w:rsidP="00195E7B">
      <w:r>
        <w:t xml:space="preserve">It is worth noting that the ECE braking standard goes to some lengths to optimize the brake performance by maximizing the friction utilization during braking. It does this by accounting for dynamic load shift which occurs during braking. ADR’s don’t do this. However, the ECE </w:t>
      </w:r>
      <w:r>
        <w:lastRenderedPageBreak/>
        <w:t xml:space="preserve">rule is based around a European semi-trailer, and it has not clear that the methodology would translate to b-doubles, b-triples, road trains and SMART Heavy (PBS) vehicles. </w:t>
      </w:r>
    </w:p>
    <w:p w:rsidR="00EA6022" w:rsidRDefault="00EA6022" w:rsidP="005868B7">
      <w:pPr>
        <w:pStyle w:val="Subheading4"/>
      </w:pPr>
      <w:r>
        <w:t>ADR Amendments</w:t>
      </w:r>
    </w:p>
    <w:p w:rsidR="00EA6022" w:rsidRDefault="00EA6022" w:rsidP="00195E7B">
      <w:r>
        <w:t xml:space="preserve">The Department of Infrastructure, Transport, Regional Development and Local Government have begun the process of working through each applicable recommendation in the Hart report. Generally any ADR amendments will require a regulatory impact statement (RIS). However, there was a procedural provision that would allow amendments to be fast tracked if they were consistent with harmonization with ECE regulations. </w:t>
      </w:r>
    </w:p>
    <w:p w:rsidR="008D70C1" w:rsidRDefault="00EA6022" w:rsidP="008D70C1">
      <w:r>
        <w:t xml:space="preserve">The Hart report proposes that a number of specific changes be made to the ADR’s. They fall into seven categories. </w:t>
      </w:r>
    </w:p>
    <w:p w:rsidR="00D7446E" w:rsidRPr="00182614" w:rsidRDefault="00D7446E" w:rsidP="008D70C1">
      <w:pPr>
        <w:rPr>
          <w:b/>
        </w:rPr>
      </w:pPr>
      <w:r w:rsidRPr="00182614">
        <w:rPr>
          <w:b/>
        </w:rPr>
        <w:t>1.</w:t>
      </w:r>
      <w:r w:rsidRPr="00182614">
        <w:rPr>
          <w:b/>
        </w:rPr>
        <w:tab/>
        <w:t>Mandating antilock braking systems on new motor vehicles</w:t>
      </w:r>
    </w:p>
    <w:p w:rsidR="00D7446E" w:rsidRDefault="00D7446E" w:rsidP="00666E66">
      <w:pPr>
        <w:pStyle w:val="ListParagraph"/>
        <w:numPr>
          <w:ilvl w:val="0"/>
          <w:numId w:val="12"/>
        </w:numPr>
      </w:pPr>
      <w:r>
        <w:t>Mandating ABS on new motor vehicles</w:t>
      </w:r>
    </w:p>
    <w:p w:rsidR="00D7446E" w:rsidRDefault="00D7446E" w:rsidP="00666E66">
      <w:pPr>
        <w:pStyle w:val="ListParagraph"/>
        <w:numPr>
          <w:ilvl w:val="0"/>
          <w:numId w:val="12"/>
        </w:numPr>
      </w:pPr>
      <w:r>
        <w:t>Vehicles fitted with antilock braking systems should be exempt from unladen brake compatibility limits (requirement 1).</w:t>
      </w:r>
    </w:p>
    <w:p w:rsidR="00D7446E" w:rsidRDefault="00D7446E" w:rsidP="00666E66">
      <w:pPr>
        <w:pStyle w:val="ListParagraph"/>
        <w:numPr>
          <w:ilvl w:val="0"/>
          <w:numId w:val="12"/>
        </w:numPr>
      </w:pPr>
      <w:r>
        <w:t>Road train components to be exempt from requiring antilock braking system (requirement 9) or unladen brake compatibility requirements.</w:t>
      </w:r>
    </w:p>
    <w:p w:rsidR="00D7446E" w:rsidRDefault="00D7446E" w:rsidP="00666E66">
      <w:pPr>
        <w:pStyle w:val="ListParagraph"/>
        <w:numPr>
          <w:ilvl w:val="0"/>
          <w:numId w:val="12"/>
        </w:numPr>
      </w:pPr>
      <w:r>
        <w:t>Require unladen brake compatibility limits.</w:t>
      </w:r>
    </w:p>
    <w:p w:rsidR="00D7446E" w:rsidRDefault="00D7446E" w:rsidP="00666E66">
      <w:pPr>
        <w:pStyle w:val="ListParagraph"/>
        <w:numPr>
          <w:ilvl w:val="0"/>
          <w:numId w:val="12"/>
        </w:numPr>
      </w:pPr>
      <w:r>
        <w:t>Allow a mechanism to disengage the antilock braking system when operating on gravel roads</w:t>
      </w:r>
    </w:p>
    <w:p w:rsidR="00D7446E" w:rsidRDefault="00D7446E" w:rsidP="00666E66">
      <w:pPr>
        <w:pStyle w:val="ListParagraph"/>
        <w:numPr>
          <w:ilvl w:val="0"/>
          <w:numId w:val="12"/>
        </w:numPr>
      </w:pPr>
      <w:r>
        <w:t>Antilock braking systems to have split-mu capability</w:t>
      </w:r>
    </w:p>
    <w:p w:rsidR="00D7446E" w:rsidRDefault="00D7446E" w:rsidP="00666E66">
      <w:pPr>
        <w:pStyle w:val="ListParagraph"/>
        <w:numPr>
          <w:ilvl w:val="0"/>
          <w:numId w:val="12"/>
        </w:numPr>
      </w:pPr>
      <w:r>
        <w:t>Steerable trailer axles with antilock braking systems are not required to have split-mu capability</w:t>
      </w:r>
    </w:p>
    <w:p w:rsidR="00D7446E" w:rsidRDefault="00D7446E" w:rsidP="00666E66">
      <w:pPr>
        <w:pStyle w:val="ListParagraph"/>
        <w:numPr>
          <w:ilvl w:val="0"/>
          <w:numId w:val="12"/>
        </w:numPr>
      </w:pPr>
      <w:r>
        <w:t>Vehicles that are fitted with a tow coupling should provide an electrical ABS connector.</w:t>
      </w:r>
    </w:p>
    <w:p w:rsidR="00D7446E" w:rsidRDefault="00D7446E" w:rsidP="00666E66">
      <w:pPr>
        <w:pStyle w:val="ListParagraph"/>
        <w:numPr>
          <w:ilvl w:val="0"/>
          <w:numId w:val="12"/>
        </w:numPr>
      </w:pPr>
      <w:r>
        <w:t>Mandate automatic brake adjustment on vehicles fitted with ABS</w:t>
      </w:r>
    </w:p>
    <w:p w:rsidR="00D7446E" w:rsidRDefault="00D7446E" w:rsidP="00666E66">
      <w:pPr>
        <w:pStyle w:val="ListParagraph"/>
        <w:numPr>
          <w:ilvl w:val="0"/>
          <w:numId w:val="12"/>
        </w:numPr>
      </w:pPr>
      <w:r>
        <w:t>No release times to apply to air that passes through an ABS modulation valve</w:t>
      </w:r>
    </w:p>
    <w:p w:rsidR="00D7446E" w:rsidRDefault="00D7446E" w:rsidP="00666E66">
      <w:pPr>
        <w:pStyle w:val="ListParagraph"/>
        <w:numPr>
          <w:ilvl w:val="0"/>
          <w:numId w:val="12"/>
        </w:numPr>
      </w:pPr>
      <w:r>
        <w:t>ADR 35 and 38 to be able to achieve national stopping distance requirements irrespective of the ABS system being activated</w:t>
      </w:r>
    </w:p>
    <w:p w:rsidR="00D7446E" w:rsidRPr="00182614" w:rsidRDefault="00182614" w:rsidP="00D7446E">
      <w:pPr>
        <w:rPr>
          <w:b/>
        </w:rPr>
      </w:pPr>
      <w:r w:rsidRPr="00182614">
        <w:rPr>
          <w:b/>
        </w:rPr>
        <w:t>2</w:t>
      </w:r>
      <w:r w:rsidR="00D7446E" w:rsidRPr="00182614">
        <w:rPr>
          <w:b/>
        </w:rPr>
        <w:t>.</w:t>
      </w:r>
      <w:r w:rsidR="00D7446E" w:rsidRPr="00182614">
        <w:rPr>
          <w:b/>
        </w:rPr>
        <w:tab/>
        <w:t>Foundation brake certification</w:t>
      </w:r>
    </w:p>
    <w:p w:rsidR="00182614" w:rsidRDefault="00182614" w:rsidP="00666E66">
      <w:pPr>
        <w:pStyle w:val="ListParagraph"/>
        <w:numPr>
          <w:ilvl w:val="0"/>
          <w:numId w:val="12"/>
        </w:numPr>
      </w:pPr>
      <w:r>
        <w:t>SARN reports to show;</w:t>
      </w:r>
    </w:p>
    <w:p w:rsidR="00182614" w:rsidRDefault="00182614" w:rsidP="00666E66">
      <w:pPr>
        <w:pStyle w:val="ListParagraph"/>
        <w:numPr>
          <w:ilvl w:val="1"/>
          <w:numId w:val="13"/>
        </w:numPr>
      </w:pPr>
      <w:r>
        <w:lastRenderedPageBreak/>
        <w:t>Actuator size</w:t>
      </w:r>
    </w:p>
    <w:p w:rsidR="00182614" w:rsidRDefault="00182614" w:rsidP="00666E66">
      <w:pPr>
        <w:pStyle w:val="ListParagraph"/>
        <w:numPr>
          <w:ilvl w:val="1"/>
          <w:numId w:val="13"/>
        </w:numPr>
      </w:pPr>
      <w:r>
        <w:t>Lever length (if applicable)</w:t>
      </w:r>
    </w:p>
    <w:p w:rsidR="00182614" w:rsidRDefault="00182614" w:rsidP="00666E66">
      <w:pPr>
        <w:pStyle w:val="ListParagraph"/>
        <w:numPr>
          <w:ilvl w:val="1"/>
          <w:numId w:val="13"/>
        </w:numPr>
      </w:pPr>
      <w:r>
        <w:t>Brake dimensions</w:t>
      </w:r>
    </w:p>
    <w:p w:rsidR="00182614" w:rsidRDefault="00182614" w:rsidP="00666E66">
      <w:pPr>
        <w:pStyle w:val="ListParagraph"/>
        <w:numPr>
          <w:ilvl w:val="1"/>
          <w:numId w:val="13"/>
        </w:numPr>
      </w:pPr>
      <w:r>
        <w:t>Disc or drum brakes used</w:t>
      </w:r>
    </w:p>
    <w:p w:rsidR="00182614" w:rsidRDefault="00182614" w:rsidP="00666E66">
      <w:pPr>
        <w:pStyle w:val="ListParagraph"/>
        <w:numPr>
          <w:ilvl w:val="1"/>
          <w:numId w:val="13"/>
        </w:numPr>
      </w:pPr>
      <w:r>
        <w:t>Average torque values</w:t>
      </w:r>
    </w:p>
    <w:p w:rsidR="00182614" w:rsidRDefault="00182614" w:rsidP="00666E66">
      <w:pPr>
        <w:pStyle w:val="ListParagraph"/>
        <w:numPr>
          <w:ilvl w:val="1"/>
          <w:numId w:val="13"/>
        </w:numPr>
      </w:pPr>
      <w:r>
        <w:t>Manufacturers nominal lining friction rating</w:t>
      </w:r>
    </w:p>
    <w:p w:rsidR="00182614" w:rsidRDefault="00182614" w:rsidP="00666E66">
      <w:pPr>
        <w:pStyle w:val="ListParagraph"/>
        <w:numPr>
          <w:ilvl w:val="1"/>
          <w:numId w:val="13"/>
        </w:numPr>
      </w:pPr>
      <w:r>
        <w:t>Manufacturers nominal lining friction rating</w:t>
      </w:r>
    </w:p>
    <w:p w:rsidR="00182614" w:rsidRDefault="00182614" w:rsidP="00666E66">
      <w:pPr>
        <w:pStyle w:val="ListParagraph"/>
        <w:numPr>
          <w:ilvl w:val="0"/>
          <w:numId w:val="12"/>
        </w:numPr>
      </w:pPr>
      <w:r>
        <w:t>Historical SARN data available</w:t>
      </w:r>
    </w:p>
    <w:p w:rsidR="00182614" w:rsidRDefault="00182614" w:rsidP="00666E66">
      <w:pPr>
        <w:pStyle w:val="ListParagraph"/>
        <w:numPr>
          <w:ilvl w:val="0"/>
          <w:numId w:val="12"/>
        </w:numPr>
      </w:pPr>
      <w:r>
        <w:t>SARN number for foundation brakes to be available for each vehicle</w:t>
      </w:r>
    </w:p>
    <w:p w:rsidR="00182614" w:rsidRDefault="00182614" w:rsidP="00666E66">
      <w:pPr>
        <w:pStyle w:val="ListParagraph"/>
        <w:numPr>
          <w:ilvl w:val="0"/>
          <w:numId w:val="12"/>
        </w:numPr>
      </w:pPr>
      <w:r>
        <w:t>Inertia dynamometer be an acceptable method of certifying foundation brakes, and that FMVSS 121, ECE R13 and EU 86/12/EC test reports be acceptable in Australia</w:t>
      </w:r>
    </w:p>
    <w:p w:rsidR="00CF257E" w:rsidRDefault="00182614" w:rsidP="00666E66">
      <w:pPr>
        <w:pStyle w:val="ListParagraph"/>
        <w:numPr>
          <w:ilvl w:val="0"/>
          <w:numId w:val="12"/>
        </w:numPr>
      </w:pPr>
      <w:r>
        <w:t>ADR 35 and ADR 38 to specify a burnishing procedure</w:t>
      </w:r>
    </w:p>
    <w:p w:rsidR="00C4281B" w:rsidRPr="00182614" w:rsidRDefault="00C4281B" w:rsidP="00C4281B">
      <w:pPr>
        <w:rPr>
          <w:b/>
        </w:rPr>
      </w:pPr>
      <w:r>
        <w:rPr>
          <w:b/>
        </w:rPr>
        <w:t>3</w:t>
      </w:r>
      <w:r w:rsidRPr="00182614">
        <w:rPr>
          <w:b/>
        </w:rPr>
        <w:t>.</w:t>
      </w:r>
      <w:r w:rsidRPr="00182614">
        <w:rPr>
          <w:b/>
        </w:rPr>
        <w:tab/>
      </w:r>
      <w:r w:rsidRPr="00B46A2E">
        <w:rPr>
          <w:b/>
          <w:szCs w:val="20"/>
        </w:rPr>
        <w:t>ECE R13 as an alternative standard</w:t>
      </w:r>
    </w:p>
    <w:p w:rsidR="004803CD" w:rsidRDefault="004803CD" w:rsidP="00666E66">
      <w:pPr>
        <w:pStyle w:val="ListParagraph"/>
        <w:numPr>
          <w:ilvl w:val="0"/>
          <w:numId w:val="12"/>
        </w:numPr>
        <w:spacing w:after="200" w:line="276" w:lineRule="auto"/>
      </w:pPr>
      <w:r>
        <w:t>Require certification based on ECE approval to declare test weights at which compatibility test was done.</w:t>
      </w:r>
    </w:p>
    <w:p w:rsidR="00C4281B" w:rsidRDefault="004803CD" w:rsidP="00666E66">
      <w:pPr>
        <w:pStyle w:val="ListParagraph"/>
        <w:numPr>
          <w:ilvl w:val="0"/>
          <w:numId w:val="12"/>
        </w:numPr>
        <w:spacing w:after="200" w:line="276" w:lineRule="auto"/>
      </w:pPr>
      <w:r>
        <w:t>Develop summary of evidence form that is tailored to ECE regulation 13</w:t>
      </w:r>
    </w:p>
    <w:p w:rsidR="00C4281B" w:rsidRPr="00182614" w:rsidRDefault="00C4281B" w:rsidP="00C4281B">
      <w:pPr>
        <w:rPr>
          <w:b/>
        </w:rPr>
      </w:pPr>
      <w:r>
        <w:rPr>
          <w:b/>
        </w:rPr>
        <w:t>4</w:t>
      </w:r>
      <w:r w:rsidRPr="00182614">
        <w:rPr>
          <w:b/>
        </w:rPr>
        <w:t>.</w:t>
      </w:r>
      <w:r w:rsidRPr="00182614">
        <w:rPr>
          <w:b/>
        </w:rPr>
        <w:tab/>
      </w:r>
      <w:r w:rsidRPr="00B46A2E">
        <w:rPr>
          <w:b/>
          <w:szCs w:val="20"/>
        </w:rPr>
        <w:t>Trailer brake controls – ‘spring to off’</w:t>
      </w:r>
    </w:p>
    <w:p w:rsidR="00C4281B" w:rsidRDefault="004803CD" w:rsidP="00666E66">
      <w:pPr>
        <w:pStyle w:val="ListParagraph"/>
        <w:numPr>
          <w:ilvl w:val="0"/>
          <w:numId w:val="12"/>
        </w:numPr>
        <w:spacing w:after="200" w:line="276" w:lineRule="auto"/>
      </w:pPr>
      <w:r>
        <w:t>ADR 35 to require that when trailer brake controls are fitted they are ‘spring to off’</w:t>
      </w:r>
    </w:p>
    <w:p w:rsidR="00C4281B" w:rsidRPr="00182614" w:rsidRDefault="00C4281B" w:rsidP="00C4281B">
      <w:pPr>
        <w:rPr>
          <w:b/>
        </w:rPr>
      </w:pPr>
      <w:r>
        <w:rPr>
          <w:b/>
        </w:rPr>
        <w:t>5</w:t>
      </w:r>
      <w:r w:rsidRPr="00182614">
        <w:rPr>
          <w:b/>
        </w:rPr>
        <w:t>.</w:t>
      </w:r>
      <w:r w:rsidRPr="00182614">
        <w:rPr>
          <w:b/>
        </w:rPr>
        <w:tab/>
      </w:r>
      <w:r w:rsidRPr="00B46A2E">
        <w:rPr>
          <w:b/>
          <w:szCs w:val="20"/>
        </w:rPr>
        <w:t>Auxiliary braking systems</w:t>
      </w:r>
    </w:p>
    <w:p w:rsidR="004803CD" w:rsidRDefault="004803CD" w:rsidP="00666E66">
      <w:pPr>
        <w:pStyle w:val="ListParagraph"/>
        <w:numPr>
          <w:ilvl w:val="0"/>
          <w:numId w:val="12"/>
        </w:numPr>
        <w:spacing w:after="200" w:line="276" w:lineRule="auto"/>
      </w:pPr>
      <w:r>
        <w:t>ABS to have veto control over the auxiliary brakes (retarder)</w:t>
      </w:r>
    </w:p>
    <w:p w:rsidR="004803CD" w:rsidRDefault="004803CD" w:rsidP="00666E66">
      <w:pPr>
        <w:pStyle w:val="ListParagraph"/>
        <w:numPr>
          <w:ilvl w:val="0"/>
          <w:numId w:val="12"/>
        </w:numPr>
        <w:spacing w:after="200" w:line="276" w:lineRule="auto"/>
      </w:pPr>
      <w:r>
        <w:t>Stop lamps to illuminate when an auxiliary brake is active that could cause a 0.1g deceleration</w:t>
      </w:r>
    </w:p>
    <w:p w:rsidR="00C4281B" w:rsidRPr="00182614" w:rsidRDefault="00C4281B" w:rsidP="00C4281B">
      <w:pPr>
        <w:rPr>
          <w:b/>
        </w:rPr>
      </w:pPr>
      <w:r>
        <w:rPr>
          <w:b/>
        </w:rPr>
        <w:t>6</w:t>
      </w:r>
      <w:r w:rsidRPr="00182614">
        <w:rPr>
          <w:b/>
        </w:rPr>
        <w:t>.</w:t>
      </w:r>
      <w:r w:rsidRPr="00182614">
        <w:rPr>
          <w:b/>
        </w:rPr>
        <w:tab/>
      </w:r>
      <w:r w:rsidRPr="00B46A2E">
        <w:rPr>
          <w:b/>
          <w:szCs w:val="20"/>
        </w:rPr>
        <w:t>Intelligent braking systems</w:t>
      </w:r>
    </w:p>
    <w:p w:rsidR="004803CD" w:rsidRDefault="004803CD" w:rsidP="00666E66">
      <w:pPr>
        <w:pStyle w:val="ListParagraph"/>
        <w:numPr>
          <w:ilvl w:val="0"/>
          <w:numId w:val="12"/>
        </w:numPr>
        <w:spacing w:after="200" w:line="276" w:lineRule="auto"/>
      </w:pPr>
      <w:r>
        <w:t xml:space="preserve">Adoption of section in ADRs 35 &amp; 38 that specifically to concerns the performance, control and warning features and interfaces of intelligent braking systems </w:t>
      </w:r>
    </w:p>
    <w:p w:rsidR="00C4281B" w:rsidRDefault="00C4281B" w:rsidP="00CF257E">
      <w:pPr>
        <w:spacing w:after="200" w:line="276" w:lineRule="auto"/>
      </w:pPr>
    </w:p>
    <w:p w:rsidR="00C4281B" w:rsidRPr="00182614" w:rsidRDefault="00C4281B" w:rsidP="00C4281B">
      <w:pPr>
        <w:rPr>
          <w:b/>
        </w:rPr>
      </w:pPr>
      <w:r>
        <w:rPr>
          <w:b/>
        </w:rPr>
        <w:lastRenderedPageBreak/>
        <w:t>7</w:t>
      </w:r>
      <w:r w:rsidRPr="00182614">
        <w:rPr>
          <w:b/>
        </w:rPr>
        <w:t>.</w:t>
      </w:r>
      <w:r w:rsidRPr="00182614">
        <w:rPr>
          <w:b/>
        </w:rPr>
        <w:tab/>
      </w:r>
      <w:r w:rsidRPr="00B46A2E">
        <w:rPr>
          <w:b/>
          <w:szCs w:val="20"/>
        </w:rPr>
        <w:t>Road Train Pneumatic Systems</w:t>
      </w:r>
    </w:p>
    <w:p w:rsidR="004803CD" w:rsidRDefault="004803CD" w:rsidP="00666E66">
      <w:pPr>
        <w:pStyle w:val="ListParagraph"/>
        <w:numPr>
          <w:ilvl w:val="0"/>
          <w:numId w:val="12"/>
        </w:numPr>
        <w:spacing w:after="200" w:line="276" w:lineRule="auto"/>
      </w:pPr>
      <w:r>
        <w:t>ADR 64 to specify a maximum pneumatic resistance under specified conditions for the charging path on road train vehicles that have a rear tow coupling</w:t>
      </w:r>
    </w:p>
    <w:p w:rsidR="00EA6022" w:rsidRDefault="00EA6022" w:rsidP="00AC43A4">
      <w:r>
        <w:t xml:space="preserve">The recommendations that relate to Mandating ABS on new motor vehicles should be considered with the highest priority. Also, the requirements for antilock braking systems to have veto power over the auxiliary braking should be considered in the context of mandatory antilock braking systems. </w:t>
      </w:r>
    </w:p>
    <w:p w:rsidR="00EA6022" w:rsidRDefault="00EA6022" w:rsidP="00AC43A4">
      <w:r>
        <w:t xml:space="preserve">The requirement for foundation brake certification is discussed in the context of requiring data publicly available for the purposes of computer simulation. This proposal will be referred to the PBS policy steering committee in the broader context of making vehicle component data on the public record for the purposes of computer simulation. </w:t>
      </w:r>
    </w:p>
    <w:p w:rsidR="00EA6022" w:rsidRDefault="00EA6022" w:rsidP="00AC43A4">
      <w:pPr>
        <w:pStyle w:val="AppendixHeading2"/>
      </w:pPr>
      <w:r>
        <w:t>Industry Brake Code of Practice</w:t>
      </w:r>
    </w:p>
    <w:p w:rsidR="00EA6022" w:rsidRDefault="00EA6022" w:rsidP="00EA6022">
      <w:pPr>
        <w:spacing w:after="200" w:line="276" w:lineRule="auto"/>
      </w:pPr>
      <w:proofErr w:type="spellStart"/>
      <w:r>
        <w:t>Dr.</w:t>
      </w:r>
      <w:proofErr w:type="spellEnd"/>
      <w:r>
        <w:t xml:space="preserve"> Hart’s report proposes that the existing Air Brake Code of Practice be extended to:</w:t>
      </w:r>
    </w:p>
    <w:p w:rsidR="00EA6022" w:rsidRDefault="00EA6022" w:rsidP="00666E66">
      <w:pPr>
        <w:pStyle w:val="ListParagraph"/>
        <w:numPr>
          <w:ilvl w:val="0"/>
          <w:numId w:val="14"/>
        </w:numPr>
        <w:spacing w:after="200" w:line="276" w:lineRule="auto"/>
      </w:pPr>
      <w:r>
        <w:t>Provide guidance on the procedures to be applied to correct poor brake balance on combination vehicles.</w:t>
      </w:r>
    </w:p>
    <w:p w:rsidR="00EA6022" w:rsidRDefault="00EA6022" w:rsidP="00666E66">
      <w:pPr>
        <w:pStyle w:val="ListParagraph"/>
        <w:numPr>
          <w:ilvl w:val="0"/>
          <w:numId w:val="14"/>
        </w:numPr>
        <w:spacing w:after="200" w:line="276" w:lineRule="auto"/>
      </w:pPr>
      <w:r>
        <w:t>Include the definition of a figure of merit for brake balance and proposed minimum values for the figure of merit.</w:t>
      </w:r>
    </w:p>
    <w:p w:rsidR="00EA6022" w:rsidRDefault="00EA6022" w:rsidP="00AC43A4">
      <w:r>
        <w:t>A number of other recommendations offered in the Hart report may be undertaken by the industry within the scope of a code of practice, these include:</w:t>
      </w:r>
    </w:p>
    <w:p w:rsidR="00EA6022" w:rsidRDefault="00EA6022" w:rsidP="00666E66">
      <w:pPr>
        <w:pStyle w:val="ListParagraph"/>
        <w:numPr>
          <w:ilvl w:val="0"/>
          <w:numId w:val="14"/>
        </w:numPr>
        <w:spacing w:after="200" w:line="276" w:lineRule="auto"/>
      </w:pPr>
      <w:r>
        <w:t>A replacement part code of practice</w:t>
      </w:r>
    </w:p>
    <w:p w:rsidR="00EA6022" w:rsidRDefault="00EA6022" w:rsidP="00666E66">
      <w:pPr>
        <w:pStyle w:val="ListParagraph"/>
        <w:numPr>
          <w:ilvl w:val="0"/>
          <w:numId w:val="14"/>
        </w:numPr>
        <w:spacing w:after="200" w:line="276" w:lineRule="auto"/>
      </w:pPr>
      <w:r>
        <w:t>Roller brake testing procedures</w:t>
      </w:r>
    </w:p>
    <w:p w:rsidR="00EA6022" w:rsidRDefault="00EA6022" w:rsidP="00666E66">
      <w:pPr>
        <w:pStyle w:val="ListParagraph"/>
        <w:numPr>
          <w:ilvl w:val="0"/>
          <w:numId w:val="14"/>
        </w:numPr>
        <w:spacing w:after="200" w:line="276" w:lineRule="auto"/>
      </w:pPr>
      <w:r>
        <w:t>Brake Technician Accreditation</w:t>
      </w:r>
    </w:p>
    <w:p w:rsidR="00EA6022" w:rsidRDefault="00EA6022" w:rsidP="00666E66">
      <w:pPr>
        <w:pStyle w:val="ListParagraph"/>
        <w:numPr>
          <w:ilvl w:val="0"/>
          <w:numId w:val="14"/>
        </w:numPr>
        <w:spacing w:after="200" w:line="276" w:lineRule="auto"/>
      </w:pPr>
      <w:r>
        <w:t>Guidance for modifications undertaken via VSB 6.0</w:t>
      </w:r>
    </w:p>
    <w:p w:rsidR="00EA6022" w:rsidRDefault="00EA6022" w:rsidP="00666E66">
      <w:pPr>
        <w:pStyle w:val="ListParagraph"/>
        <w:numPr>
          <w:ilvl w:val="0"/>
          <w:numId w:val="14"/>
        </w:numPr>
        <w:spacing w:after="200" w:line="276" w:lineRule="auto"/>
      </w:pPr>
      <w:r>
        <w:t>Information for drivers on brake performance</w:t>
      </w:r>
    </w:p>
    <w:p w:rsidR="00EA6022" w:rsidRDefault="00EA6022" w:rsidP="00AC43A4">
      <w:r>
        <w:t>It is proposed that a Code of Practice be developed by industry which should provide a practical perspective on how acceptable braking performance may be achieved and improved upon. It is expected that this work will be at least partly government funded. The terms of reference for the code of practice will include an overriding imperative to ensure public safety and focus on delivering world’s best practice.</w:t>
      </w:r>
    </w:p>
    <w:p w:rsidR="00CF1F32" w:rsidRDefault="00CF1F32" w:rsidP="00EA6022">
      <w:pPr>
        <w:spacing w:after="200" w:line="276" w:lineRule="auto"/>
      </w:pPr>
    </w:p>
    <w:p w:rsidR="00EA6022" w:rsidRDefault="00EA6022" w:rsidP="00EA6022">
      <w:pPr>
        <w:spacing w:after="200" w:line="276" w:lineRule="auto"/>
      </w:pPr>
      <w:proofErr w:type="spellStart"/>
      <w:r>
        <w:lastRenderedPageBreak/>
        <w:t>Dr.</w:t>
      </w:r>
      <w:proofErr w:type="spellEnd"/>
      <w:r>
        <w:t xml:space="preserve"> Hart has also suggested that it would be desirable to be able to simulate braking performance using computer software. This would be beneficial to engineers because: </w:t>
      </w:r>
    </w:p>
    <w:p w:rsidR="00EA6022" w:rsidRDefault="00EA6022" w:rsidP="00666E66">
      <w:pPr>
        <w:pStyle w:val="ListParagraph"/>
        <w:numPr>
          <w:ilvl w:val="0"/>
          <w:numId w:val="15"/>
        </w:numPr>
        <w:spacing w:after="200" w:line="276" w:lineRule="auto"/>
      </w:pPr>
      <w:r>
        <w:t>It would make it easier to assess the likely performance of vehicle combinations</w:t>
      </w:r>
    </w:p>
    <w:p w:rsidR="00EA6022" w:rsidRDefault="00EA6022" w:rsidP="00666E66">
      <w:pPr>
        <w:pStyle w:val="ListParagraph"/>
        <w:numPr>
          <w:ilvl w:val="0"/>
          <w:numId w:val="15"/>
        </w:numPr>
        <w:spacing w:after="200" w:line="276" w:lineRule="auto"/>
      </w:pPr>
      <w:r>
        <w:t>Provide a means of assessment with performance based standards</w:t>
      </w:r>
    </w:p>
    <w:p w:rsidR="00EA6022" w:rsidRDefault="00EA6022" w:rsidP="00666E66">
      <w:pPr>
        <w:pStyle w:val="ListParagraph"/>
        <w:numPr>
          <w:ilvl w:val="0"/>
          <w:numId w:val="15"/>
        </w:numPr>
        <w:spacing w:after="200" w:line="276" w:lineRule="auto"/>
      </w:pPr>
      <w:r>
        <w:t xml:space="preserve">And a means to assess the suitability of modifications undertaken in accordance with VSB 6.0. </w:t>
      </w:r>
    </w:p>
    <w:p w:rsidR="00EA6022" w:rsidRDefault="00EA6022" w:rsidP="00AC43A4">
      <w:r>
        <w:t>In addition it has been recommended that foundation brake data should be made available on the public record to enable performance to be simulated. Whilst this is a desirable outcome, currently PBS standards are determined using computer simulation and information is not required to be on the public record. In practice equipment suppliers make this information available because it is demanded by customers. There is merit in having physical characteristics on the public record to aid assessors. However, manufacturers do have issues with making certain technical data available because it is considered to be commercially sensitive. Nevertheless, the proposal should be referred to the PBS policy steering committee within a broader context of making vehicle technical information available on the public record for the purposes of simulating performance.</w:t>
      </w:r>
    </w:p>
    <w:p w:rsidR="00EA6022" w:rsidRDefault="00EA6022" w:rsidP="00AC43A4">
      <w:pPr>
        <w:pStyle w:val="AppendixHeading2"/>
      </w:pPr>
      <w:r>
        <w:t>Mandatory electronic braking systems with vehicle stability function</w:t>
      </w:r>
    </w:p>
    <w:p w:rsidR="00160DF3" w:rsidRDefault="00EA6022" w:rsidP="00AC43A4">
      <w:proofErr w:type="spellStart"/>
      <w:r>
        <w:t>Dr.</w:t>
      </w:r>
      <w:proofErr w:type="spellEnd"/>
      <w:r>
        <w:t xml:space="preserve"> Hart has recognised that brake technologies, in particular electronic brake controls are advancing rapidly, and offer the safety benefits by improving brake balance and active intervention to correct unsafe dynamic modes. The ECE brake regulations have gone some way in characterising these systems and are due to phase in their mandatory application within the next few years. Given the safety benefits of these systems it is appropriate to review the alternative strategies, including mandatory regulation, that might be employed to increase the uptake of these systems.</w:t>
      </w:r>
    </w:p>
    <w:p w:rsidR="00CF1F32" w:rsidRDefault="00CF1F32" w:rsidP="00AC43A4">
      <w:pPr>
        <w:tabs>
          <w:tab w:val="clear" w:pos="851"/>
        </w:tabs>
        <w:spacing w:before="0" w:after="200" w:line="276" w:lineRule="auto"/>
        <w:sectPr w:rsidR="00CF1F32" w:rsidSect="00697EA1">
          <w:headerReference w:type="default" r:id="rId56"/>
          <w:footerReference w:type="default" r:id="rId57"/>
          <w:type w:val="continuous"/>
          <w:pgSz w:w="11906" w:h="16838"/>
          <w:pgMar w:top="1440" w:right="1440" w:bottom="1440" w:left="1440" w:header="708" w:footer="708" w:gutter="0"/>
          <w:cols w:space="708"/>
          <w:titlePg/>
          <w:docGrid w:linePitch="360"/>
        </w:sectPr>
      </w:pPr>
    </w:p>
    <w:p w:rsidR="00AC43A4" w:rsidRDefault="00CF1F32" w:rsidP="00EE0E75">
      <w:pPr>
        <w:pStyle w:val="Heading1"/>
        <w:numPr>
          <w:ilvl w:val="0"/>
          <w:numId w:val="0"/>
        </w:numPr>
        <w:ind w:left="851" w:hanging="851"/>
      </w:pPr>
      <w:bookmarkStart w:id="65" w:name="_Ref341973363"/>
      <w:bookmarkStart w:id="66" w:name="_Toc375302809"/>
      <w:r>
        <w:lastRenderedPageBreak/>
        <w:t>Appendix 5</w:t>
      </w:r>
      <w:r w:rsidR="009E2DEB">
        <w:t>—</w:t>
      </w:r>
      <w:r>
        <w:t>Proposed Changes to the Current ADR Versions</w:t>
      </w:r>
      <w:bookmarkEnd w:id="65"/>
      <w:bookmarkEnd w:id="66"/>
    </w:p>
    <w:p w:rsidR="0049713F" w:rsidRDefault="0049713F" w:rsidP="0049713F">
      <w:pPr>
        <w:pStyle w:val="Caption"/>
        <w:keepNext/>
      </w:pPr>
      <w:r>
        <w:t xml:space="preserve">Table </w:t>
      </w:r>
      <w:r w:rsidR="00C036A7">
        <w:fldChar w:fldCharType="begin"/>
      </w:r>
      <w:r w:rsidR="00D05042">
        <w:instrText xml:space="preserve"> SEQ Table \* ARABIC </w:instrText>
      </w:r>
      <w:r w:rsidR="00C036A7">
        <w:fldChar w:fldCharType="separate"/>
      </w:r>
      <w:r w:rsidR="00546CD0">
        <w:rPr>
          <w:noProof/>
        </w:rPr>
        <w:t>6</w:t>
      </w:r>
      <w:r w:rsidR="00C036A7">
        <w:rPr>
          <w:noProof/>
        </w:rPr>
        <w:fldChar w:fldCharType="end"/>
      </w:r>
      <w:r>
        <w:t xml:space="preserve"> Phase I—ADR 35/04 Commercial Vehicle Braking Systems</w:t>
      </w:r>
    </w:p>
    <w:tbl>
      <w:tblPr>
        <w:tblStyle w:val="TableGrid"/>
        <w:tblW w:w="0" w:type="auto"/>
        <w:tblLook w:val="04A0" w:firstRow="1" w:lastRow="0" w:firstColumn="1" w:lastColumn="0" w:noHBand="0" w:noVBand="1"/>
      </w:tblPr>
      <w:tblGrid>
        <w:gridCol w:w="2602"/>
        <w:gridCol w:w="4452"/>
        <w:gridCol w:w="1677"/>
        <w:gridCol w:w="1677"/>
        <w:gridCol w:w="2603"/>
        <w:gridCol w:w="2603"/>
      </w:tblGrid>
      <w:tr w:rsidR="0049713F" w:rsidTr="00DA5506">
        <w:tc>
          <w:tcPr>
            <w:tcW w:w="2602" w:type="dxa"/>
            <w:vAlign w:val="center"/>
          </w:tcPr>
          <w:p w:rsidR="0049713F" w:rsidRDefault="008151BD" w:rsidP="008151BD">
            <w:pPr>
              <w:pStyle w:val="Table2heading"/>
              <w:jc w:val="left"/>
            </w:pPr>
            <w:r>
              <w:t>Amendment no. and title</w:t>
            </w:r>
          </w:p>
        </w:tc>
        <w:tc>
          <w:tcPr>
            <w:tcW w:w="4452" w:type="dxa"/>
            <w:vAlign w:val="center"/>
          </w:tcPr>
          <w:p w:rsidR="0049713F" w:rsidRDefault="008151BD" w:rsidP="008151BD">
            <w:pPr>
              <w:pStyle w:val="Table2heading"/>
              <w:jc w:val="left"/>
            </w:pPr>
            <w:r>
              <w:t>Description</w:t>
            </w:r>
          </w:p>
        </w:tc>
        <w:tc>
          <w:tcPr>
            <w:tcW w:w="1677" w:type="dxa"/>
            <w:vAlign w:val="center"/>
          </w:tcPr>
          <w:p w:rsidR="0049713F" w:rsidRDefault="008151BD" w:rsidP="008151BD">
            <w:pPr>
              <w:pStyle w:val="Table2heading"/>
              <w:jc w:val="left"/>
            </w:pPr>
            <w:r>
              <w:t>UNECE/ADR category</w:t>
            </w:r>
          </w:p>
        </w:tc>
        <w:tc>
          <w:tcPr>
            <w:tcW w:w="1677" w:type="dxa"/>
            <w:vAlign w:val="center"/>
          </w:tcPr>
          <w:p w:rsidR="0049713F" w:rsidRDefault="008151BD" w:rsidP="008151BD">
            <w:pPr>
              <w:pStyle w:val="Table2heading"/>
              <w:jc w:val="left"/>
            </w:pPr>
            <w:r>
              <w:t>Draft ADR clause</w:t>
            </w:r>
          </w:p>
        </w:tc>
        <w:tc>
          <w:tcPr>
            <w:tcW w:w="2603" w:type="dxa"/>
            <w:vAlign w:val="center"/>
          </w:tcPr>
          <w:p w:rsidR="0049713F" w:rsidRDefault="008151BD" w:rsidP="008151BD">
            <w:pPr>
              <w:pStyle w:val="Table2heading"/>
              <w:jc w:val="left"/>
            </w:pPr>
            <w:r>
              <w:t>Notes</w:t>
            </w:r>
          </w:p>
        </w:tc>
        <w:tc>
          <w:tcPr>
            <w:tcW w:w="2603" w:type="dxa"/>
            <w:vAlign w:val="center"/>
          </w:tcPr>
          <w:p w:rsidR="0049713F" w:rsidRDefault="008151BD" w:rsidP="008151BD">
            <w:pPr>
              <w:pStyle w:val="Table2heading"/>
              <w:jc w:val="left"/>
            </w:pPr>
            <w:r>
              <w:t>R 13 paragraph</w:t>
            </w:r>
          </w:p>
        </w:tc>
      </w:tr>
      <w:tr w:rsidR="00DA5506" w:rsidTr="00DA5506">
        <w:tc>
          <w:tcPr>
            <w:tcW w:w="2602" w:type="dxa"/>
          </w:tcPr>
          <w:p w:rsidR="00DA5506" w:rsidRPr="00E94A3F" w:rsidRDefault="00DA5506" w:rsidP="00DA5506">
            <w:pPr>
              <w:pStyle w:val="Table4"/>
            </w:pPr>
            <w:r>
              <w:t>Table 1 A</w:t>
            </w:r>
            <w:r w:rsidRPr="00E94A3F">
              <w:t>ntilock Braking System (ABS)</w:t>
            </w:r>
          </w:p>
        </w:tc>
        <w:tc>
          <w:tcPr>
            <w:tcW w:w="4452" w:type="dxa"/>
          </w:tcPr>
          <w:p w:rsidR="00DA5506" w:rsidRPr="00E94A3F" w:rsidRDefault="00DA5506" w:rsidP="00DA5506">
            <w:pPr>
              <w:pStyle w:val="Table4"/>
            </w:pPr>
            <w:r w:rsidRPr="00E94A3F">
              <w:t>Require trucks and b</w:t>
            </w:r>
            <w:r w:rsidR="00A91F94">
              <w:t xml:space="preserve">uses (&gt;3.5t).to have ABS fitted.  </w:t>
            </w:r>
            <w:r w:rsidRPr="00E94A3F">
              <w:t>Must be fitted if not over 4 axles.</w:t>
            </w:r>
          </w:p>
        </w:tc>
        <w:tc>
          <w:tcPr>
            <w:tcW w:w="1677" w:type="dxa"/>
          </w:tcPr>
          <w:p w:rsidR="00DA5506" w:rsidRPr="006A2B6F" w:rsidRDefault="00DA5506" w:rsidP="00DA5506">
            <w:pPr>
              <w:pStyle w:val="Table4"/>
              <w:rPr>
                <w:lang w:val="fr-FR"/>
              </w:rPr>
            </w:pPr>
            <w:r w:rsidRPr="006A2B6F">
              <w:rPr>
                <w:lang w:val="fr-FR"/>
              </w:rPr>
              <w:t>M2, M3, N2, N3 (MD3, MD4,</w:t>
            </w:r>
            <w:r w:rsidR="00A91F94" w:rsidRPr="006A2B6F">
              <w:rPr>
                <w:lang w:val="fr-FR"/>
              </w:rPr>
              <w:t xml:space="preserve"> </w:t>
            </w:r>
            <w:r w:rsidRPr="006A2B6F">
              <w:rPr>
                <w:lang w:val="fr-FR"/>
              </w:rPr>
              <w:t>ME, NB, NC)</w:t>
            </w:r>
          </w:p>
        </w:tc>
        <w:tc>
          <w:tcPr>
            <w:tcW w:w="1677" w:type="dxa"/>
          </w:tcPr>
          <w:p w:rsidR="00DA5506" w:rsidRPr="00E94A3F" w:rsidRDefault="00DA5506" w:rsidP="00DA5506">
            <w:pPr>
              <w:pStyle w:val="Table4"/>
            </w:pPr>
            <w:r w:rsidRPr="00E94A3F">
              <w:t>4.1.5.1, 8.4</w:t>
            </w:r>
          </w:p>
        </w:tc>
        <w:tc>
          <w:tcPr>
            <w:tcW w:w="2603" w:type="dxa"/>
          </w:tcPr>
          <w:p w:rsidR="00DA5506" w:rsidRPr="00E94A3F" w:rsidRDefault="007E249F" w:rsidP="00DA5506">
            <w:pPr>
              <w:pStyle w:val="Table4"/>
            </w:pPr>
            <w:r>
              <w:t>May meet ADR 35/.. Appendix </w:t>
            </w:r>
            <w:r w:rsidR="00DA5506" w:rsidRPr="00E94A3F">
              <w:t>1 or UNECE R13.</w:t>
            </w:r>
          </w:p>
        </w:tc>
        <w:tc>
          <w:tcPr>
            <w:tcW w:w="2603" w:type="dxa"/>
          </w:tcPr>
          <w:p w:rsidR="00DA5506" w:rsidRPr="00E94A3F" w:rsidRDefault="00DA5506" w:rsidP="00DA5506">
            <w:pPr>
              <w:pStyle w:val="Table4"/>
            </w:pPr>
            <w:r w:rsidRPr="00E94A3F">
              <w:t>5.2.1.22 and Annex 13</w:t>
            </w:r>
          </w:p>
        </w:tc>
      </w:tr>
      <w:tr w:rsidR="00DA5506" w:rsidTr="00DA5506">
        <w:tc>
          <w:tcPr>
            <w:tcW w:w="2602" w:type="dxa"/>
          </w:tcPr>
          <w:p w:rsidR="00DA5506" w:rsidRPr="00E94A3F" w:rsidRDefault="00DA5506" w:rsidP="00DA5506">
            <w:pPr>
              <w:pStyle w:val="Table4"/>
            </w:pPr>
            <w:r>
              <w:t xml:space="preserve">Table 2 (a) </w:t>
            </w:r>
            <w:r w:rsidRPr="00E94A3F">
              <w:t>Allow ABS as an alternative to meeting unloaded limits where variable proportioning is fitted.</w:t>
            </w:r>
          </w:p>
        </w:tc>
        <w:tc>
          <w:tcPr>
            <w:tcW w:w="4452" w:type="dxa"/>
          </w:tcPr>
          <w:p w:rsidR="00DA5506" w:rsidRPr="00E94A3F" w:rsidRDefault="00DA5506" w:rsidP="00DA5506">
            <w:pPr>
              <w:pStyle w:val="Table4"/>
            </w:pPr>
            <w:r w:rsidRPr="00E94A3F">
              <w:t xml:space="preserve">If vehicle is equipped to tow an </w:t>
            </w:r>
            <w:proofErr w:type="spellStart"/>
            <w:r w:rsidRPr="00E94A3F">
              <w:t>airbraked</w:t>
            </w:r>
            <w:proofErr w:type="spellEnd"/>
            <w:r w:rsidRPr="00E94A3F">
              <w:t xml:space="preserve"> trailer, distribution and compatibility requirements in both unladen and laden condition must be met if ABS is not fitted; at least laden compatibility requirements if ABS. Compatibility requirements to be met for any additional electrical control of the braking signal.</w:t>
            </w:r>
          </w:p>
        </w:tc>
        <w:tc>
          <w:tcPr>
            <w:tcW w:w="1677" w:type="dxa"/>
          </w:tcPr>
          <w:p w:rsidR="00DA5506" w:rsidRPr="00E94A3F" w:rsidRDefault="00DA5506" w:rsidP="00DA5506">
            <w:pPr>
              <w:pStyle w:val="Table4"/>
            </w:pPr>
            <w:r w:rsidRPr="00E94A3F">
              <w:t>All</w:t>
            </w:r>
          </w:p>
          <w:p w:rsidR="00DA5506" w:rsidRPr="00E94A3F" w:rsidRDefault="00DA5506" w:rsidP="00DA5506">
            <w:pPr>
              <w:pStyle w:val="Table4"/>
            </w:pPr>
          </w:p>
          <w:p w:rsidR="00DA5506" w:rsidRPr="00E94A3F" w:rsidRDefault="00DA5506" w:rsidP="00DA5506">
            <w:pPr>
              <w:pStyle w:val="Table4"/>
            </w:pPr>
          </w:p>
        </w:tc>
        <w:tc>
          <w:tcPr>
            <w:tcW w:w="1677" w:type="dxa"/>
          </w:tcPr>
          <w:p w:rsidR="00DA5506" w:rsidRPr="00E94A3F" w:rsidRDefault="00DA5506" w:rsidP="00DA5506">
            <w:pPr>
              <w:pStyle w:val="Table4"/>
            </w:pPr>
            <w:r w:rsidRPr="00E94A3F">
              <w:t>4.1.9.2, 4.1.9.3, 4.1.9.5</w:t>
            </w:r>
          </w:p>
        </w:tc>
        <w:tc>
          <w:tcPr>
            <w:tcW w:w="2603" w:type="dxa"/>
          </w:tcPr>
          <w:p w:rsidR="00DA5506" w:rsidRPr="00E94A3F" w:rsidRDefault="00DA5506" w:rsidP="00565311">
            <w:pPr>
              <w:pStyle w:val="Table4"/>
            </w:pPr>
            <w:r w:rsidRPr="00E94A3F">
              <w:t>Relaxation of current ADR requirement as it allows ABS in lieu of unladen compatibility. Aligns with R</w:t>
            </w:r>
            <w:r w:rsidR="00981B98">
              <w:t> </w:t>
            </w:r>
            <w:r w:rsidRPr="00E94A3F">
              <w:t xml:space="preserve">13. </w:t>
            </w:r>
            <w:r w:rsidR="00981B98">
              <w:t xml:space="preserve"> </w:t>
            </w:r>
            <w:r w:rsidRPr="00E94A3F">
              <w:t>Compatibility requirements for the electrical control of the braking signal raised by industry at TLG 35.</w:t>
            </w:r>
          </w:p>
        </w:tc>
        <w:tc>
          <w:tcPr>
            <w:tcW w:w="2603" w:type="dxa"/>
          </w:tcPr>
          <w:p w:rsidR="00DA5506" w:rsidRPr="00E94A3F" w:rsidRDefault="007E249F" w:rsidP="007E249F">
            <w:pPr>
              <w:pStyle w:val="Table4"/>
            </w:pPr>
            <w:r>
              <w:t xml:space="preserve">Annex 10, paragraph </w:t>
            </w:r>
            <w:r w:rsidR="00DA5506" w:rsidRPr="00E94A3F">
              <w:t>1.1, 1.2 and</w:t>
            </w:r>
            <w:r>
              <w:t xml:space="preserve"> </w:t>
            </w:r>
            <w:r w:rsidR="00DA5506" w:rsidRPr="00E94A3F">
              <w:t>Annex 13</w:t>
            </w:r>
            <w:r>
              <w:t>,</w:t>
            </w:r>
            <w:r w:rsidR="00DA5506" w:rsidRPr="00E94A3F">
              <w:t xml:space="preserve"> para</w:t>
            </w:r>
            <w:r>
              <w:t>graph </w:t>
            </w:r>
            <w:r w:rsidR="00DA5506" w:rsidRPr="00E94A3F">
              <w:t>1.1</w:t>
            </w:r>
          </w:p>
        </w:tc>
      </w:tr>
      <w:tr w:rsidR="00DA5506" w:rsidTr="00DA5506">
        <w:tc>
          <w:tcPr>
            <w:tcW w:w="2602" w:type="dxa"/>
          </w:tcPr>
          <w:p w:rsidR="00DA5506" w:rsidRPr="00E94A3F" w:rsidRDefault="00DA5506" w:rsidP="00DA5506">
            <w:pPr>
              <w:pStyle w:val="Table4"/>
            </w:pPr>
            <w:r w:rsidRPr="00E94A3F">
              <w:t xml:space="preserve">Table </w:t>
            </w:r>
            <w:r w:rsidRPr="00923086">
              <w:t xml:space="preserve">2 </w:t>
            </w:r>
            <w:r w:rsidRPr="00574B11">
              <w:t>(c)</w:t>
            </w:r>
            <w:r w:rsidRPr="00923086">
              <w:t xml:space="preserve"> E</w:t>
            </w:r>
            <w:r w:rsidRPr="00E94A3F">
              <w:t>lectrical ABS connector</w:t>
            </w:r>
          </w:p>
        </w:tc>
        <w:tc>
          <w:tcPr>
            <w:tcW w:w="4452" w:type="dxa"/>
          </w:tcPr>
          <w:p w:rsidR="00DA5506" w:rsidRPr="00E94A3F" w:rsidRDefault="00DA5506" w:rsidP="00DA5506">
            <w:pPr>
              <w:pStyle w:val="Table4"/>
            </w:pPr>
            <w:r w:rsidRPr="00E94A3F">
              <w:t>Trucks and buses fitted with a tow coupling must provide an electrical ABS connector. Where EBS (electric control transmission) is fitted, the CAN signal is to be compatible with the supply voltage.</w:t>
            </w:r>
          </w:p>
        </w:tc>
        <w:tc>
          <w:tcPr>
            <w:tcW w:w="1677" w:type="dxa"/>
          </w:tcPr>
          <w:p w:rsidR="00DA5506" w:rsidRPr="006A2B6F" w:rsidRDefault="00DA5506" w:rsidP="00DA5506">
            <w:pPr>
              <w:pStyle w:val="Table4"/>
              <w:rPr>
                <w:lang w:val="fr-FR"/>
              </w:rPr>
            </w:pPr>
            <w:r w:rsidRPr="006A2B6F">
              <w:rPr>
                <w:lang w:val="fr-FR"/>
              </w:rPr>
              <w:t>M2, M3, N2, N3 (MD3, MD4, ME, NB, NC)</w:t>
            </w:r>
          </w:p>
        </w:tc>
        <w:tc>
          <w:tcPr>
            <w:tcW w:w="1677" w:type="dxa"/>
          </w:tcPr>
          <w:p w:rsidR="00DA5506" w:rsidRPr="006A2B6F" w:rsidRDefault="00DD30EB" w:rsidP="00DD30EB">
            <w:pPr>
              <w:pStyle w:val="Table4"/>
              <w:rPr>
                <w:lang w:val="fr-FR"/>
              </w:rPr>
            </w:pPr>
            <w:proofErr w:type="spellStart"/>
            <w:r w:rsidRPr="006A2B6F">
              <w:rPr>
                <w:lang w:val="fr-FR"/>
              </w:rPr>
              <w:t>Appendix</w:t>
            </w:r>
            <w:proofErr w:type="spellEnd"/>
            <w:r w:rsidRPr="006A2B6F">
              <w:rPr>
                <w:lang w:val="fr-FR"/>
              </w:rPr>
              <w:t xml:space="preserve"> 1, clauses </w:t>
            </w:r>
            <w:r w:rsidR="00DA5506" w:rsidRPr="006A2B6F">
              <w:rPr>
                <w:lang w:val="fr-FR"/>
              </w:rPr>
              <w:t>1.3.1</w:t>
            </w:r>
            <w:r w:rsidRPr="006A2B6F">
              <w:rPr>
                <w:lang w:val="fr-FR"/>
              </w:rPr>
              <w:noBreakHyphen/>
            </w:r>
            <w:r w:rsidR="00DA5506" w:rsidRPr="006A2B6F">
              <w:rPr>
                <w:lang w:val="fr-FR"/>
              </w:rPr>
              <w:t xml:space="preserve">1.3.3, </w:t>
            </w:r>
            <w:proofErr w:type="spellStart"/>
            <w:r w:rsidR="00DA5506" w:rsidRPr="006A2B6F">
              <w:rPr>
                <w:lang w:val="fr-FR"/>
              </w:rPr>
              <w:t>Appendix</w:t>
            </w:r>
            <w:proofErr w:type="spellEnd"/>
            <w:r w:rsidR="00DA5506" w:rsidRPr="006A2B6F">
              <w:rPr>
                <w:lang w:val="fr-FR"/>
              </w:rPr>
              <w:t xml:space="preserve"> 1 </w:t>
            </w:r>
            <w:proofErr w:type="spellStart"/>
            <w:r w:rsidR="00DA5506" w:rsidRPr="006A2B6F">
              <w:rPr>
                <w:lang w:val="fr-FR"/>
              </w:rPr>
              <w:t>Annex</w:t>
            </w:r>
            <w:proofErr w:type="spellEnd"/>
            <w:r w:rsidRPr="006A2B6F">
              <w:rPr>
                <w:lang w:val="fr-FR"/>
              </w:rPr>
              <w:t> </w:t>
            </w:r>
            <w:r w:rsidR="00DA5506" w:rsidRPr="006A2B6F">
              <w:rPr>
                <w:lang w:val="fr-FR"/>
              </w:rPr>
              <w:t xml:space="preserve">1, </w:t>
            </w:r>
            <w:r w:rsidRPr="006A2B6F">
              <w:rPr>
                <w:lang w:val="fr-FR"/>
              </w:rPr>
              <w:t>clauses </w:t>
            </w:r>
            <w:r w:rsidR="00DA5506" w:rsidRPr="006A2B6F">
              <w:rPr>
                <w:lang w:val="fr-FR"/>
              </w:rPr>
              <w:t>1</w:t>
            </w:r>
            <w:r w:rsidRPr="006A2B6F">
              <w:rPr>
                <w:lang w:val="fr-FR"/>
              </w:rPr>
              <w:noBreakHyphen/>
            </w:r>
            <w:r w:rsidR="00DA5506" w:rsidRPr="006A2B6F">
              <w:rPr>
                <w:lang w:val="fr-FR"/>
              </w:rPr>
              <w:t>1.1.1</w:t>
            </w:r>
          </w:p>
        </w:tc>
        <w:tc>
          <w:tcPr>
            <w:tcW w:w="2603" w:type="dxa"/>
          </w:tcPr>
          <w:p w:rsidR="00DA5506" w:rsidRPr="00E94A3F" w:rsidRDefault="00DA5506" w:rsidP="00DA5506">
            <w:pPr>
              <w:pStyle w:val="Table4"/>
            </w:pPr>
            <w:r w:rsidRPr="00E94A3F">
              <w:t>Allow for 1997 version of ISO/DIN 7638</w:t>
            </w:r>
          </w:p>
        </w:tc>
        <w:tc>
          <w:tcPr>
            <w:tcW w:w="2603" w:type="dxa"/>
          </w:tcPr>
          <w:p w:rsidR="00DA5506" w:rsidRPr="00E94A3F" w:rsidRDefault="00DA5506" w:rsidP="00DA5506">
            <w:pPr>
              <w:pStyle w:val="Table4"/>
            </w:pPr>
            <w:r w:rsidRPr="00E94A3F">
              <w:t>5.1.3.6, 5.2.1.23, 5.2.2.18</w:t>
            </w:r>
          </w:p>
        </w:tc>
      </w:tr>
      <w:tr w:rsidR="00DA5506" w:rsidTr="00DA5506">
        <w:tc>
          <w:tcPr>
            <w:tcW w:w="2602" w:type="dxa"/>
          </w:tcPr>
          <w:p w:rsidR="00DA5506" w:rsidRPr="00E94A3F" w:rsidRDefault="00DA5506" w:rsidP="00DA5506">
            <w:pPr>
              <w:pStyle w:val="Table4"/>
            </w:pPr>
            <w:r w:rsidRPr="00E94A3F">
              <w:t>Table 2(</w:t>
            </w:r>
            <w:r>
              <w:t>b</w:t>
            </w:r>
            <w:r w:rsidRPr="00E94A3F">
              <w:t>) Deactivation</w:t>
            </w:r>
          </w:p>
        </w:tc>
        <w:tc>
          <w:tcPr>
            <w:tcW w:w="4452" w:type="dxa"/>
          </w:tcPr>
          <w:p w:rsidR="00DA5506" w:rsidRPr="00E94A3F" w:rsidRDefault="00DA5506" w:rsidP="00DA5506">
            <w:pPr>
              <w:pStyle w:val="Table4"/>
            </w:pPr>
            <w:r w:rsidRPr="00E94A3F">
              <w:t>On/off switch optional if off-road design (must reset on ignition cycle and must have warning).</w:t>
            </w:r>
          </w:p>
        </w:tc>
        <w:tc>
          <w:tcPr>
            <w:tcW w:w="1677" w:type="dxa"/>
          </w:tcPr>
          <w:p w:rsidR="00DA5506" w:rsidRPr="00E94A3F" w:rsidRDefault="00DA5506" w:rsidP="00DA5506">
            <w:pPr>
              <w:pStyle w:val="Table4"/>
            </w:pPr>
            <w:r w:rsidRPr="00E94A3F">
              <w:t>N2, N3 (NB, NC)</w:t>
            </w:r>
          </w:p>
        </w:tc>
        <w:tc>
          <w:tcPr>
            <w:tcW w:w="1677" w:type="dxa"/>
          </w:tcPr>
          <w:p w:rsidR="00DA5506" w:rsidRPr="00E94A3F" w:rsidRDefault="00DA5506" w:rsidP="00DA5506">
            <w:pPr>
              <w:pStyle w:val="Table4"/>
            </w:pPr>
            <w:r w:rsidRPr="00E94A3F">
              <w:t>4.1.5.</w:t>
            </w:r>
            <w:r>
              <w:t>2</w:t>
            </w:r>
          </w:p>
        </w:tc>
        <w:tc>
          <w:tcPr>
            <w:tcW w:w="2603" w:type="dxa"/>
          </w:tcPr>
          <w:p w:rsidR="00DA5506" w:rsidRPr="00E94A3F" w:rsidRDefault="00DA5506" w:rsidP="00DA5506">
            <w:pPr>
              <w:pStyle w:val="Table4"/>
            </w:pPr>
          </w:p>
        </w:tc>
        <w:tc>
          <w:tcPr>
            <w:tcW w:w="2603" w:type="dxa"/>
          </w:tcPr>
          <w:p w:rsidR="00DA5506" w:rsidRPr="00E94A3F" w:rsidRDefault="00DA5506" w:rsidP="00DA5506">
            <w:pPr>
              <w:pStyle w:val="Table4"/>
            </w:pPr>
            <w:r w:rsidRPr="00E94A3F">
              <w:t>Annex 13, para</w:t>
            </w:r>
            <w:r w:rsidR="00A16AA6">
              <w:t>graph</w:t>
            </w:r>
            <w:r w:rsidRPr="00E94A3F">
              <w:t xml:space="preserve"> 4.5</w:t>
            </w:r>
          </w:p>
        </w:tc>
      </w:tr>
      <w:tr w:rsidR="00DA5506" w:rsidTr="00DA5506">
        <w:tc>
          <w:tcPr>
            <w:tcW w:w="2602" w:type="dxa"/>
          </w:tcPr>
          <w:p w:rsidR="00DA5506" w:rsidRPr="00E94A3F" w:rsidRDefault="00DA5506" w:rsidP="00DA5506">
            <w:pPr>
              <w:pStyle w:val="Table4"/>
            </w:pPr>
            <w:r w:rsidRPr="00E94A3F">
              <w:t>Tabl</w:t>
            </w:r>
            <w:r w:rsidRPr="00923086">
              <w:t>e 2</w:t>
            </w:r>
            <w:r w:rsidRPr="00574B11">
              <w:t>(e)</w:t>
            </w:r>
            <w:r w:rsidRPr="00923086">
              <w:t xml:space="preserve"> No release times for circuits controlled by ABS modulation val</w:t>
            </w:r>
            <w:r w:rsidRPr="00E94A3F">
              <w:t>ves</w:t>
            </w:r>
          </w:p>
        </w:tc>
        <w:tc>
          <w:tcPr>
            <w:tcW w:w="4452" w:type="dxa"/>
          </w:tcPr>
          <w:p w:rsidR="00DA5506" w:rsidRPr="00E94A3F" w:rsidRDefault="00DA5506" w:rsidP="00DA5506">
            <w:pPr>
              <w:pStyle w:val="Table4"/>
            </w:pPr>
          </w:p>
        </w:tc>
        <w:tc>
          <w:tcPr>
            <w:tcW w:w="1677" w:type="dxa"/>
          </w:tcPr>
          <w:p w:rsidR="00DA5506" w:rsidRPr="00E94A3F" w:rsidRDefault="00DA5506" w:rsidP="00DA5506">
            <w:pPr>
              <w:pStyle w:val="Table4"/>
            </w:pPr>
          </w:p>
        </w:tc>
        <w:tc>
          <w:tcPr>
            <w:tcW w:w="1677" w:type="dxa"/>
          </w:tcPr>
          <w:p w:rsidR="00DA5506" w:rsidRPr="00E94A3F" w:rsidRDefault="00DA5506" w:rsidP="00DA5506">
            <w:pPr>
              <w:pStyle w:val="Table4"/>
            </w:pPr>
            <w:r w:rsidRPr="00E94A3F">
              <w:t>Nil</w:t>
            </w:r>
          </w:p>
        </w:tc>
        <w:tc>
          <w:tcPr>
            <w:tcW w:w="2603" w:type="dxa"/>
          </w:tcPr>
          <w:p w:rsidR="00DA5506" w:rsidRPr="00E94A3F" w:rsidRDefault="00DA5506" w:rsidP="00DA5506">
            <w:pPr>
              <w:pStyle w:val="Table4"/>
            </w:pPr>
            <w:r w:rsidRPr="00E94A3F">
              <w:t>Currently the only release times required are at the coupling head of Road Trains (since the amendment of ADR 35/02)</w:t>
            </w:r>
          </w:p>
        </w:tc>
        <w:tc>
          <w:tcPr>
            <w:tcW w:w="2603" w:type="dxa"/>
          </w:tcPr>
          <w:p w:rsidR="00DA5506" w:rsidRPr="00E94A3F" w:rsidRDefault="00DA5506" w:rsidP="00DA5506">
            <w:pPr>
              <w:pStyle w:val="Table4"/>
            </w:pPr>
            <w:r w:rsidRPr="00E94A3F">
              <w:t>Nil</w:t>
            </w:r>
          </w:p>
        </w:tc>
      </w:tr>
      <w:tr w:rsidR="00DA5506" w:rsidTr="00DA5506">
        <w:tc>
          <w:tcPr>
            <w:tcW w:w="2602" w:type="dxa"/>
          </w:tcPr>
          <w:p w:rsidR="00DA5506" w:rsidRPr="00E94A3F" w:rsidRDefault="00DA5506" w:rsidP="00DA5506">
            <w:pPr>
              <w:pStyle w:val="Table4"/>
            </w:pPr>
            <w:r w:rsidRPr="00E94A3F">
              <w:t xml:space="preserve">Table </w:t>
            </w:r>
            <w:r w:rsidRPr="00923086">
              <w:t>2</w:t>
            </w:r>
            <w:r w:rsidRPr="00574B11">
              <w:t>(d)</w:t>
            </w:r>
            <w:r w:rsidRPr="00923086">
              <w:t xml:space="preserve"> Split</w:t>
            </w:r>
            <w:r w:rsidRPr="00E94A3F">
              <w:t xml:space="preserve"> mu capability for ABS on other than steerable axles</w:t>
            </w:r>
          </w:p>
        </w:tc>
        <w:tc>
          <w:tcPr>
            <w:tcW w:w="4452" w:type="dxa"/>
          </w:tcPr>
          <w:p w:rsidR="00DA5506" w:rsidRPr="00E94A3F" w:rsidRDefault="00DA5506" w:rsidP="00DA5506">
            <w:pPr>
              <w:pStyle w:val="Table4"/>
            </w:pPr>
          </w:p>
        </w:tc>
        <w:tc>
          <w:tcPr>
            <w:tcW w:w="1677" w:type="dxa"/>
          </w:tcPr>
          <w:p w:rsidR="00DA5506" w:rsidRPr="00E94A3F" w:rsidRDefault="00DA5506" w:rsidP="00DA5506">
            <w:pPr>
              <w:pStyle w:val="Table4"/>
            </w:pPr>
          </w:p>
        </w:tc>
        <w:tc>
          <w:tcPr>
            <w:tcW w:w="1677" w:type="dxa"/>
          </w:tcPr>
          <w:p w:rsidR="00DA5506" w:rsidRPr="00E94A3F" w:rsidRDefault="00DA5506" w:rsidP="00DA5506">
            <w:pPr>
              <w:pStyle w:val="Table4"/>
            </w:pPr>
            <w:r>
              <w:t>Possibly n</w:t>
            </w:r>
            <w:r w:rsidRPr="00E94A3F">
              <w:t xml:space="preserve">il for </w:t>
            </w:r>
            <w:r>
              <w:t>P</w:t>
            </w:r>
            <w:r w:rsidRPr="00E94A3F">
              <w:t>hase I</w:t>
            </w:r>
            <w:r>
              <w:t>. To be discussed with industry.</w:t>
            </w:r>
          </w:p>
        </w:tc>
        <w:tc>
          <w:tcPr>
            <w:tcW w:w="2603" w:type="dxa"/>
          </w:tcPr>
          <w:p w:rsidR="00DA5506" w:rsidRPr="00E94A3F" w:rsidRDefault="00DA5506" w:rsidP="00981B98">
            <w:pPr>
              <w:pStyle w:val="Table4"/>
            </w:pPr>
            <w:r w:rsidRPr="00E94A3F">
              <w:t>Cat 1 type requires split mu performance in R</w:t>
            </w:r>
            <w:r w:rsidR="00981B98">
              <w:t> </w:t>
            </w:r>
            <w:r w:rsidRPr="00E94A3F">
              <w:t>13. No current requirement in ADR.</w:t>
            </w:r>
          </w:p>
        </w:tc>
        <w:tc>
          <w:tcPr>
            <w:tcW w:w="2603" w:type="dxa"/>
          </w:tcPr>
          <w:p w:rsidR="00DA5506" w:rsidRPr="00E94A3F" w:rsidRDefault="00DA5506" w:rsidP="00A16AA6">
            <w:pPr>
              <w:pStyle w:val="Table4"/>
            </w:pPr>
            <w:r w:rsidRPr="00E94A3F">
              <w:t>Annex 13, para</w:t>
            </w:r>
            <w:r w:rsidR="00A16AA6">
              <w:t>graph </w:t>
            </w:r>
            <w:r>
              <w:t>5.3.5</w:t>
            </w:r>
            <w:r w:rsidRPr="00E94A3F">
              <w:t xml:space="preserve"> (no distinction given to steerable axles)</w:t>
            </w:r>
          </w:p>
        </w:tc>
      </w:tr>
      <w:tr w:rsidR="00DA5506" w:rsidTr="00DA5506">
        <w:tc>
          <w:tcPr>
            <w:tcW w:w="2602" w:type="dxa"/>
          </w:tcPr>
          <w:p w:rsidR="00DA5506" w:rsidRPr="00E94A3F" w:rsidRDefault="00DA5506" w:rsidP="00062321">
            <w:pPr>
              <w:pStyle w:val="Table4"/>
            </w:pPr>
            <w:r>
              <w:t xml:space="preserve">Table 2 (h) </w:t>
            </w:r>
            <w:r w:rsidRPr="00E94A3F">
              <w:t>Remove RFS from being applicable to a standard vehicle</w:t>
            </w:r>
          </w:p>
        </w:tc>
        <w:tc>
          <w:tcPr>
            <w:tcW w:w="4452" w:type="dxa"/>
          </w:tcPr>
          <w:p w:rsidR="00DA5506" w:rsidRPr="00E94A3F" w:rsidRDefault="00DA5506" w:rsidP="00DA5506">
            <w:pPr>
              <w:pStyle w:val="Table4"/>
            </w:pPr>
          </w:p>
        </w:tc>
        <w:tc>
          <w:tcPr>
            <w:tcW w:w="1677" w:type="dxa"/>
          </w:tcPr>
          <w:p w:rsidR="00DA5506" w:rsidRPr="00E94A3F" w:rsidRDefault="00DA5506" w:rsidP="00DA5506">
            <w:pPr>
              <w:pStyle w:val="Table4"/>
            </w:pPr>
            <w:r w:rsidRPr="00E94A3F">
              <w:t>All</w:t>
            </w:r>
          </w:p>
        </w:tc>
        <w:tc>
          <w:tcPr>
            <w:tcW w:w="1677" w:type="dxa"/>
          </w:tcPr>
          <w:p w:rsidR="00DA5506" w:rsidRPr="00E94A3F" w:rsidRDefault="00DA5506" w:rsidP="00DA5506">
            <w:pPr>
              <w:pStyle w:val="Table4"/>
            </w:pPr>
            <w:r w:rsidRPr="00E94A3F">
              <w:t>Table 2</w:t>
            </w:r>
          </w:p>
        </w:tc>
        <w:tc>
          <w:tcPr>
            <w:tcW w:w="2603" w:type="dxa"/>
          </w:tcPr>
          <w:p w:rsidR="00DA5506" w:rsidRPr="00E94A3F" w:rsidRDefault="00DA5506" w:rsidP="00DA5506">
            <w:pPr>
              <w:pStyle w:val="Table4"/>
            </w:pPr>
            <w:r w:rsidRPr="00E94A3F">
              <w:t>RFS can still be kept in the ADR for information. Raised by industry at TLG</w:t>
            </w:r>
          </w:p>
        </w:tc>
        <w:tc>
          <w:tcPr>
            <w:tcW w:w="2603" w:type="dxa"/>
          </w:tcPr>
          <w:p w:rsidR="00DA5506" w:rsidRPr="00E94A3F" w:rsidRDefault="00DA5506" w:rsidP="00DA5506">
            <w:pPr>
              <w:pStyle w:val="Table4"/>
            </w:pPr>
            <w:r w:rsidRPr="00E94A3F">
              <w:t>Nil</w:t>
            </w:r>
          </w:p>
        </w:tc>
      </w:tr>
      <w:tr w:rsidR="00DA5506" w:rsidTr="00DA5506">
        <w:tc>
          <w:tcPr>
            <w:tcW w:w="2602" w:type="dxa"/>
          </w:tcPr>
          <w:p w:rsidR="00DA5506" w:rsidRPr="00E94A3F" w:rsidRDefault="00DA5506" w:rsidP="00DA5506">
            <w:pPr>
              <w:pStyle w:val="Table4"/>
            </w:pPr>
            <w:r w:rsidRPr="00E94A3F">
              <w:t>Add unladen requirements where a vehicle has a Rated Towing Capacity of &gt; 4.5 t and variable proportioning is fitted.</w:t>
            </w:r>
          </w:p>
        </w:tc>
        <w:tc>
          <w:tcPr>
            <w:tcW w:w="4452" w:type="dxa"/>
          </w:tcPr>
          <w:p w:rsidR="00DA5506" w:rsidRPr="00E94A3F" w:rsidRDefault="00DA5506" w:rsidP="00DA5506">
            <w:pPr>
              <w:pStyle w:val="Table4"/>
            </w:pPr>
            <w:r w:rsidRPr="00E94A3F">
              <w:t>Where unloaded limits are required to be reported on the basis of a vehicle’s rated towing capacity rather than being equipped to tow a trailer, this must include the unladen condition where variable proportioning is fitted.</w:t>
            </w:r>
          </w:p>
        </w:tc>
        <w:tc>
          <w:tcPr>
            <w:tcW w:w="1677" w:type="dxa"/>
          </w:tcPr>
          <w:p w:rsidR="00DA5506" w:rsidRPr="00E94A3F" w:rsidRDefault="00DA5506" w:rsidP="00DA5506">
            <w:pPr>
              <w:pStyle w:val="Table4"/>
            </w:pPr>
            <w:r w:rsidRPr="00E94A3F">
              <w:t>All</w:t>
            </w:r>
          </w:p>
        </w:tc>
        <w:tc>
          <w:tcPr>
            <w:tcW w:w="1677" w:type="dxa"/>
          </w:tcPr>
          <w:p w:rsidR="00DA5506" w:rsidRPr="00E94A3F" w:rsidRDefault="00DA5506" w:rsidP="00DA5506">
            <w:pPr>
              <w:pStyle w:val="Table4"/>
            </w:pPr>
            <w:r w:rsidRPr="00E94A3F">
              <w:t>4.1.10.2, 7.13.2</w:t>
            </w:r>
          </w:p>
        </w:tc>
        <w:tc>
          <w:tcPr>
            <w:tcW w:w="2603" w:type="dxa"/>
          </w:tcPr>
          <w:p w:rsidR="00DA5506" w:rsidRPr="00E94A3F" w:rsidRDefault="00DA5506" w:rsidP="00DA5506">
            <w:pPr>
              <w:pStyle w:val="Table4"/>
            </w:pPr>
            <w:r w:rsidRPr="00E94A3F">
              <w:t>Extension of existing requirement</w:t>
            </w:r>
          </w:p>
        </w:tc>
        <w:tc>
          <w:tcPr>
            <w:tcW w:w="2603" w:type="dxa"/>
          </w:tcPr>
          <w:p w:rsidR="00DA5506" w:rsidRPr="00E94A3F" w:rsidRDefault="00DA5506" w:rsidP="00DA5506">
            <w:pPr>
              <w:pStyle w:val="Table4"/>
            </w:pPr>
            <w:r w:rsidRPr="00E94A3F">
              <w:t>Nil</w:t>
            </w:r>
          </w:p>
        </w:tc>
      </w:tr>
    </w:tbl>
    <w:p w:rsidR="00CF1F32" w:rsidRDefault="00CF1F32" w:rsidP="00AC43A4">
      <w:pPr>
        <w:tabs>
          <w:tab w:val="clear" w:pos="851"/>
        </w:tabs>
        <w:spacing w:before="0" w:after="200" w:line="276" w:lineRule="auto"/>
      </w:pPr>
    </w:p>
    <w:p w:rsidR="00CF1F32" w:rsidRDefault="00CF1F32" w:rsidP="00AC43A4">
      <w:pPr>
        <w:tabs>
          <w:tab w:val="clear" w:pos="851"/>
        </w:tabs>
        <w:spacing w:before="0" w:after="200" w:line="276" w:lineRule="auto"/>
      </w:pPr>
    </w:p>
    <w:p w:rsidR="00745577" w:rsidRDefault="00745577" w:rsidP="00745577">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7</w:t>
      </w:r>
      <w:r w:rsidR="00C036A7">
        <w:rPr>
          <w:noProof/>
        </w:rPr>
        <w:fldChar w:fldCharType="end"/>
      </w:r>
      <w:r>
        <w:t xml:space="preserve"> Phase I—</w:t>
      </w:r>
      <w:r w:rsidRPr="00745577">
        <w:t xml:space="preserve"> </w:t>
      </w:r>
      <w:r>
        <w:t>ADR 38/04 Trailer Brake Systems</w:t>
      </w:r>
    </w:p>
    <w:tbl>
      <w:tblPr>
        <w:tblStyle w:val="TableGrid"/>
        <w:tblW w:w="0" w:type="auto"/>
        <w:tblLook w:val="04A0" w:firstRow="1" w:lastRow="0" w:firstColumn="1" w:lastColumn="0" w:noHBand="0" w:noVBand="1"/>
      </w:tblPr>
      <w:tblGrid>
        <w:gridCol w:w="2602"/>
        <w:gridCol w:w="4452"/>
        <w:gridCol w:w="1677"/>
        <w:gridCol w:w="1677"/>
        <w:gridCol w:w="2603"/>
        <w:gridCol w:w="2603"/>
      </w:tblGrid>
      <w:tr w:rsidR="00745577" w:rsidTr="00737F6B">
        <w:tc>
          <w:tcPr>
            <w:tcW w:w="2602" w:type="dxa"/>
            <w:vAlign w:val="center"/>
          </w:tcPr>
          <w:p w:rsidR="00745577" w:rsidRDefault="00745577" w:rsidP="00737F6B">
            <w:pPr>
              <w:pStyle w:val="Table2heading"/>
              <w:jc w:val="left"/>
            </w:pPr>
            <w:r>
              <w:t>Amendment no. and title</w:t>
            </w:r>
          </w:p>
        </w:tc>
        <w:tc>
          <w:tcPr>
            <w:tcW w:w="4452" w:type="dxa"/>
            <w:vAlign w:val="center"/>
          </w:tcPr>
          <w:p w:rsidR="00745577" w:rsidRDefault="00745577" w:rsidP="00737F6B">
            <w:pPr>
              <w:pStyle w:val="Table2heading"/>
              <w:jc w:val="left"/>
            </w:pPr>
            <w:r>
              <w:t>Description</w:t>
            </w:r>
          </w:p>
        </w:tc>
        <w:tc>
          <w:tcPr>
            <w:tcW w:w="1677" w:type="dxa"/>
            <w:vAlign w:val="center"/>
          </w:tcPr>
          <w:p w:rsidR="00745577" w:rsidRDefault="00745577" w:rsidP="00737F6B">
            <w:pPr>
              <w:pStyle w:val="Table2heading"/>
              <w:jc w:val="left"/>
            </w:pPr>
            <w:r>
              <w:t>UNECE/ADR category</w:t>
            </w:r>
          </w:p>
        </w:tc>
        <w:tc>
          <w:tcPr>
            <w:tcW w:w="1677" w:type="dxa"/>
            <w:vAlign w:val="center"/>
          </w:tcPr>
          <w:p w:rsidR="00745577" w:rsidRDefault="00745577" w:rsidP="00737F6B">
            <w:pPr>
              <w:pStyle w:val="Table2heading"/>
              <w:jc w:val="left"/>
            </w:pPr>
            <w:r>
              <w:t>Draft ADR clause</w:t>
            </w:r>
          </w:p>
        </w:tc>
        <w:tc>
          <w:tcPr>
            <w:tcW w:w="2603" w:type="dxa"/>
            <w:vAlign w:val="center"/>
          </w:tcPr>
          <w:p w:rsidR="00745577" w:rsidRDefault="00745577" w:rsidP="00737F6B">
            <w:pPr>
              <w:pStyle w:val="Table2heading"/>
              <w:jc w:val="left"/>
            </w:pPr>
            <w:r>
              <w:t>Notes</w:t>
            </w:r>
          </w:p>
        </w:tc>
        <w:tc>
          <w:tcPr>
            <w:tcW w:w="2603" w:type="dxa"/>
            <w:vAlign w:val="center"/>
          </w:tcPr>
          <w:p w:rsidR="00745577" w:rsidRDefault="00745577" w:rsidP="00737F6B">
            <w:pPr>
              <w:pStyle w:val="Table2heading"/>
              <w:jc w:val="left"/>
            </w:pPr>
            <w:r>
              <w:t>R 13 paragraph</w:t>
            </w:r>
          </w:p>
        </w:tc>
      </w:tr>
      <w:tr w:rsidR="00B4516C" w:rsidTr="00737F6B">
        <w:tc>
          <w:tcPr>
            <w:tcW w:w="2602" w:type="dxa"/>
          </w:tcPr>
          <w:p w:rsidR="00B4516C" w:rsidRPr="008C1B8A" w:rsidRDefault="00B4516C" w:rsidP="00B4516C">
            <w:pPr>
              <w:pStyle w:val="Table4"/>
            </w:pPr>
            <w:r>
              <w:t xml:space="preserve">Table 1 </w:t>
            </w:r>
            <w:r w:rsidRPr="008C1B8A">
              <w:t>Antilock Braking System (ABS)</w:t>
            </w:r>
          </w:p>
        </w:tc>
        <w:tc>
          <w:tcPr>
            <w:tcW w:w="4452" w:type="dxa"/>
          </w:tcPr>
          <w:p w:rsidR="00B4516C" w:rsidRPr="008C1B8A" w:rsidRDefault="00B4516C" w:rsidP="00B4516C">
            <w:pPr>
              <w:pStyle w:val="Table4"/>
            </w:pPr>
            <w:r w:rsidRPr="008C1B8A">
              <w:t>Require trailers (&gt;3.5t) to have variable proportioning or ABS fitted.</w:t>
            </w:r>
          </w:p>
        </w:tc>
        <w:tc>
          <w:tcPr>
            <w:tcW w:w="1677" w:type="dxa"/>
          </w:tcPr>
          <w:p w:rsidR="00B4516C" w:rsidRPr="008C1B8A" w:rsidRDefault="00B4516C" w:rsidP="00B4516C">
            <w:pPr>
              <w:pStyle w:val="Table4"/>
            </w:pPr>
            <w:r w:rsidRPr="008C1B8A">
              <w:t>O3, O4 (TC, TD)</w:t>
            </w:r>
          </w:p>
        </w:tc>
        <w:tc>
          <w:tcPr>
            <w:tcW w:w="1677" w:type="dxa"/>
          </w:tcPr>
          <w:p w:rsidR="00B4516C" w:rsidRPr="008C1B8A" w:rsidRDefault="00B4516C" w:rsidP="00B4516C">
            <w:pPr>
              <w:pStyle w:val="Table4"/>
            </w:pPr>
            <w:r w:rsidRPr="008C1B8A">
              <w:t>4.5 (new text) 6.7, 22.1, 22.3</w:t>
            </w:r>
          </w:p>
        </w:tc>
        <w:tc>
          <w:tcPr>
            <w:tcW w:w="2603" w:type="dxa"/>
          </w:tcPr>
          <w:p w:rsidR="00B4516C" w:rsidRPr="008C1B8A" w:rsidRDefault="00B4516C" w:rsidP="00B4516C">
            <w:pPr>
              <w:pStyle w:val="Table4"/>
            </w:pPr>
            <w:r w:rsidRPr="008C1B8A">
              <w:t>May meet ADR 38/.. Appendix 1 or UNECE R13</w:t>
            </w:r>
          </w:p>
        </w:tc>
        <w:tc>
          <w:tcPr>
            <w:tcW w:w="2603" w:type="dxa"/>
          </w:tcPr>
          <w:p w:rsidR="00B4516C" w:rsidRPr="008C1B8A" w:rsidRDefault="00B4516C" w:rsidP="00CD4A67">
            <w:pPr>
              <w:pStyle w:val="Table4"/>
            </w:pPr>
            <w:r w:rsidRPr="008C1B8A">
              <w:t>5.2.2.13 and Annex 13</w:t>
            </w:r>
          </w:p>
        </w:tc>
      </w:tr>
      <w:tr w:rsidR="00B4516C" w:rsidTr="00737F6B">
        <w:tc>
          <w:tcPr>
            <w:tcW w:w="2602" w:type="dxa"/>
          </w:tcPr>
          <w:p w:rsidR="00B4516C" w:rsidRPr="00923086" w:rsidRDefault="00B4516C" w:rsidP="00B4516C">
            <w:pPr>
              <w:pStyle w:val="Table4"/>
            </w:pPr>
            <w:r>
              <w:t xml:space="preserve">Table 2 (a) </w:t>
            </w:r>
            <w:r w:rsidRPr="00923086">
              <w:t>Allow ABS as an alternative to meeting unloaded limits where variable proportioning is fitted.</w:t>
            </w:r>
          </w:p>
        </w:tc>
        <w:tc>
          <w:tcPr>
            <w:tcW w:w="4452" w:type="dxa"/>
          </w:tcPr>
          <w:p w:rsidR="00B4516C" w:rsidRPr="008C1B8A" w:rsidRDefault="00B4516C" w:rsidP="00B4516C">
            <w:pPr>
              <w:pStyle w:val="Table4"/>
            </w:pPr>
            <w:r w:rsidRPr="008C1B8A">
              <w:t>Distribution and compatibility requirements in both unladen and laden condition must be met if ABS is not fitted; at least laden compatibility requirements if ABS. Compatibility requirements to be met for any additional electrical control of the braking signal.</w:t>
            </w:r>
          </w:p>
        </w:tc>
        <w:tc>
          <w:tcPr>
            <w:tcW w:w="1677" w:type="dxa"/>
          </w:tcPr>
          <w:p w:rsidR="00B4516C" w:rsidRPr="008C1B8A" w:rsidRDefault="00B4516C" w:rsidP="00B4516C">
            <w:pPr>
              <w:pStyle w:val="Table4"/>
            </w:pPr>
            <w:bookmarkStart w:id="67" w:name="OLE_LINK12"/>
            <w:r w:rsidRPr="008C1B8A">
              <w:t>O3, O4 (TC, TD)</w:t>
            </w:r>
            <w:bookmarkEnd w:id="67"/>
          </w:p>
        </w:tc>
        <w:tc>
          <w:tcPr>
            <w:tcW w:w="1677" w:type="dxa"/>
          </w:tcPr>
          <w:p w:rsidR="00B4516C" w:rsidRPr="008C1B8A" w:rsidRDefault="00B4516C" w:rsidP="00B4516C">
            <w:pPr>
              <w:pStyle w:val="Table4"/>
            </w:pPr>
            <w:r w:rsidRPr="008C1B8A">
              <w:t>6.5.2, 6.5.3, 6.5.4</w:t>
            </w:r>
          </w:p>
        </w:tc>
        <w:tc>
          <w:tcPr>
            <w:tcW w:w="2603" w:type="dxa"/>
          </w:tcPr>
          <w:p w:rsidR="00B4516C" w:rsidRPr="008C1B8A" w:rsidRDefault="00B4516C" w:rsidP="00BA1850">
            <w:pPr>
              <w:pStyle w:val="Table4"/>
            </w:pPr>
            <w:r w:rsidRPr="008C1B8A">
              <w:t>Relaxation of current ADR requirement as it allows ABS in lieu of unladen compatibility. Aligns with R</w:t>
            </w:r>
            <w:r w:rsidR="00BA1850">
              <w:t> </w:t>
            </w:r>
            <w:r w:rsidRPr="008C1B8A">
              <w:t>13</w:t>
            </w:r>
          </w:p>
        </w:tc>
        <w:tc>
          <w:tcPr>
            <w:tcW w:w="2603" w:type="dxa"/>
          </w:tcPr>
          <w:p w:rsidR="00B4516C" w:rsidRPr="008C1B8A" w:rsidRDefault="00B4516C" w:rsidP="00CD4A67">
            <w:pPr>
              <w:pStyle w:val="Table4"/>
            </w:pPr>
            <w:r w:rsidRPr="008C1B8A">
              <w:t>Annex 10</w:t>
            </w:r>
            <w:r w:rsidR="00F25EFB">
              <w:t>,</w:t>
            </w:r>
            <w:r w:rsidRPr="008C1B8A">
              <w:t xml:space="preserve"> </w:t>
            </w:r>
            <w:r w:rsidR="00F25EFB">
              <w:t xml:space="preserve">paragraphs </w:t>
            </w:r>
            <w:r w:rsidRPr="008C1B8A">
              <w:t>1.1, 1.2 and</w:t>
            </w:r>
            <w:r w:rsidR="00F25EFB">
              <w:t xml:space="preserve"> Annex </w:t>
            </w:r>
            <w:r w:rsidRPr="008C1B8A">
              <w:t>13</w:t>
            </w:r>
            <w:r w:rsidR="00F25EFB">
              <w:t>, paragraph</w:t>
            </w:r>
            <w:r w:rsidRPr="008C1B8A">
              <w:t xml:space="preserve"> 1.1</w:t>
            </w:r>
          </w:p>
        </w:tc>
      </w:tr>
      <w:tr w:rsidR="00B4516C" w:rsidTr="00737F6B">
        <w:tc>
          <w:tcPr>
            <w:tcW w:w="2602" w:type="dxa"/>
          </w:tcPr>
          <w:p w:rsidR="00B4516C" w:rsidRPr="00923086" w:rsidRDefault="00B4516C" w:rsidP="00B4516C">
            <w:pPr>
              <w:pStyle w:val="Table4"/>
            </w:pPr>
            <w:r>
              <w:t xml:space="preserve">Table 1 </w:t>
            </w:r>
            <w:r w:rsidRPr="00923086">
              <w:t>Relax the requirement for trailers to meet unloaded limits if variable proportioning is fitted.</w:t>
            </w:r>
          </w:p>
        </w:tc>
        <w:tc>
          <w:tcPr>
            <w:tcW w:w="4452" w:type="dxa"/>
          </w:tcPr>
          <w:p w:rsidR="00B4516C" w:rsidRPr="008C1B8A" w:rsidRDefault="00B4516C" w:rsidP="00B4516C">
            <w:pPr>
              <w:pStyle w:val="Table4"/>
            </w:pPr>
          </w:p>
        </w:tc>
        <w:tc>
          <w:tcPr>
            <w:tcW w:w="1677" w:type="dxa"/>
          </w:tcPr>
          <w:p w:rsidR="00B4516C" w:rsidRPr="008C1B8A" w:rsidRDefault="00B4516C" w:rsidP="00B4516C">
            <w:pPr>
              <w:pStyle w:val="Table4"/>
            </w:pPr>
          </w:p>
        </w:tc>
        <w:tc>
          <w:tcPr>
            <w:tcW w:w="1677" w:type="dxa"/>
          </w:tcPr>
          <w:p w:rsidR="00B4516C" w:rsidRPr="008C1B8A" w:rsidRDefault="00B4516C" w:rsidP="00B4516C">
            <w:pPr>
              <w:pStyle w:val="Table4"/>
            </w:pPr>
            <w:r w:rsidRPr="008C1B8A">
              <w:t>Figure 2, Note 2</w:t>
            </w:r>
          </w:p>
        </w:tc>
        <w:tc>
          <w:tcPr>
            <w:tcW w:w="2603" w:type="dxa"/>
          </w:tcPr>
          <w:p w:rsidR="00B4516C" w:rsidRPr="008C1B8A" w:rsidRDefault="00E55F13" w:rsidP="00BA2EFA">
            <w:pPr>
              <w:pStyle w:val="Table4"/>
            </w:pPr>
            <w:r>
              <w:t>Requested by industry at TLG </w:t>
            </w:r>
            <w:r w:rsidR="00B4516C" w:rsidRPr="008C1B8A">
              <w:t>31.</w:t>
            </w:r>
            <w:r w:rsidR="00C30D6C">
              <w:t xml:space="preserve">  </w:t>
            </w:r>
            <w:r w:rsidR="00B4516C" w:rsidRPr="008C1B8A">
              <w:t xml:space="preserve">Limiting to other than electronic </w:t>
            </w:r>
            <w:r w:rsidR="00BA2EFA">
              <w:t>LP</w:t>
            </w:r>
          </w:p>
        </w:tc>
        <w:tc>
          <w:tcPr>
            <w:tcW w:w="2603" w:type="dxa"/>
          </w:tcPr>
          <w:p w:rsidR="00B4516C" w:rsidRPr="008C1B8A" w:rsidRDefault="00B4516C" w:rsidP="00CD4A67">
            <w:pPr>
              <w:pStyle w:val="Table4"/>
            </w:pPr>
            <w:r w:rsidRPr="008C1B8A">
              <w:t>Nil</w:t>
            </w:r>
          </w:p>
        </w:tc>
      </w:tr>
      <w:tr w:rsidR="00B4516C" w:rsidTr="00737F6B">
        <w:tc>
          <w:tcPr>
            <w:tcW w:w="2602" w:type="dxa"/>
          </w:tcPr>
          <w:p w:rsidR="00B4516C" w:rsidRPr="00923086" w:rsidRDefault="00B4516C" w:rsidP="00B4516C">
            <w:pPr>
              <w:pStyle w:val="Table4"/>
            </w:pPr>
            <w:r w:rsidRPr="00923086">
              <w:t xml:space="preserve">Table 2 </w:t>
            </w:r>
            <w:r w:rsidRPr="00574B11">
              <w:t>(c)</w:t>
            </w:r>
            <w:r w:rsidRPr="00923086">
              <w:t xml:space="preserve"> Electrical ABS connector</w:t>
            </w:r>
          </w:p>
        </w:tc>
        <w:tc>
          <w:tcPr>
            <w:tcW w:w="4452" w:type="dxa"/>
          </w:tcPr>
          <w:p w:rsidR="00B4516C" w:rsidRPr="008C1B8A" w:rsidRDefault="00B4516C" w:rsidP="00B4516C">
            <w:pPr>
              <w:pStyle w:val="Table4"/>
            </w:pPr>
            <w:r w:rsidRPr="008C1B8A">
              <w:t>For trailers fitted with an electrical ABS connector, any CAN signal received is to be compatible with the supply voltage.</w:t>
            </w:r>
          </w:p>
        </w:tc>
        <w:tc>
          <w:tcPr>
            <w:tcW w:w="1677" w:type="dxa"/>
          </w:tcPr>
          <w:p w:rsidR="00B4516C" w:rsidRPr="008C1B8A" w:rsidRDefault="00B4516C" w:rsidP="00B4516C">
            <w:pPr>
              <w:pStyle w:val="Table4"/>
            </w:pPr>
            <w:r w:rsidRPr="008C1B8A">
              <w:t>O3, O4 (TC, TD)</w:t>
            </w:r>
          </w:p>
        </w:tc>
        <w:tc>
          <w:tcPr>
            <w:tcW w:w="1677" w:type="dxa"/>
          </w:tcPr>
          <w:p w:rsidR="00B4516C" w:rsidRPr="008C1B8A" w:rsidRDefault="00B4516C" w:rsidP="00062321">
            <w:pPr>
              <w:pStyle w:val="Table4"/>
            </w:pPr>
            <w:r w:rsidRPr="008C1B8A">
              <w:t xml:space="preserve">Appendix 1, </w:t>
            </w:r>
            <w:r w:rsidR="00062321">
              <w:t>clauses 3.1</w:t>
            </w:r>
            <w:r w:rsidR="00062321">
              <w:noBreakHyphen/>
            </w:r>
            <w:r>
              <w:t>3.5</w:t>
            </w:r>
          </w:p>
        </w:tc>
        <w:tc>
          <w:tcPr>
            <w:tcW w:w="2603" w:type="dxa"/>
          </w:tcPr>
          <w:p w:rsidR="00B4516C" w:rsidRPr="008C1B8A" w:rsidRDefault="00B4516C" w:rsidP="00B4516C">
            <w:pPr>
              <w:pStyle w:val="Table4"/>
            </w:pPr>
            <w:r w:rsidRPr="008C1B8A">
              <w:t>Allow for 1997 and 2003 version of ISO/DIN 7638</w:t>
            </w:r>
          </w:p>
        </w:tc>
        <w:tc>
          <w:tcPr>
            <w:tcW w:w="2603" w:type="dxa"/>
          </w:tcPr>
          <w:p w:rsidR="00B4516C" w:rsidRPr="008C1B8A" w:rsidRDefault="00B4516C" w:rsidP="00CD4A67">
            <w:pPr>
              <w:pStyle w:val="Table4"/>
            </w:pPr>
            <w:r w:rsidRPr="008C1B8A">
              <w:t>5.1.3.6, 5.2.2.17, 5.2.2.18</w:t>
            </w:r>
          </w:p>
        </w:tc>
      </w:tr>
      <w:tr w:rsidR="00B4516C" w:rsidTr="00737F6B">
        <w:tc>
          <w:tcPr>
            <w:tcW w:w="2602" w:type="dxa"/>
          </w:tcPr>
          <w:p w:rsidR="00B4516C" w:rsidRPr="00923086" w:rsidRDefault="00B4516C" w:rsidP="00B4516C">
            <w:pPr>
              <w:pStyle w:val="Table4"/>
            </w:pPr>
            <w:r w:rsidRPr="00923086">
              <w:t>Table 2</w:t>
            </w:r>
            <w:r w:rsidRPr="00574B11">
              <w:t xml:space="preserve">(e) </w:t>
            </w:r>
            <w:r w:rsidRPr="00923086">
              <w:t>No release times for circuits controlled by ABS modulation valves</w:t>
            </w:r>
          </w:p>
        </w:tc>
        <w:tc>
          <w:tcPr>
            <w:tcW w:w="4452" w:type="dxa"/>
          </w:tcPr>
          <w:p w:rsidR="00B4516C" w:rsidRPr="008C1B8A" w:rsidRDefault="00B4516C" w:rsidP="00B4516C">
            <w:pPr>
              <w:pStyle w:val="Table4"/>
            </w:pPr>
          </w:p>
        </w:tc>
        <w:tc>
          <w:tcPr>
            <w:tcW w:w="1677" w:type="dxa"/>
          </w:tcPr>
          <w:p w:rsidR="00B4516C" w:rsidRPr="008C1B8A" w:rsidRDefault="00B4516C" w:rsidP="00B4516C">
            <w:pPr>
              <w:pStyle w:val="Table4"/>
            </w:pPr>
          </w:p>
        </w:tc>
        <w:tc>
          <w:tcPr>
            <w:tcW w:w="1677" w:type="dxa"/>
          </w:tcPr>
          <w:p w:rsidR="00B4516C" w:rsidRPr="008C1B8A" w:rsidRDefault="00B4516C" w:rsidP="00B4516C">
            <w:pPr>
              <w:pStyle w:val="Table4"/>
            </w:pPr>
            <w:r w:rsidRPr="008C1B8A">
              <w:t>Nil</w:t>
            </w:r>
          </w:p>
        </w:tc>
        <w:tc>
          <w:tcPr>
            <w:tcW w:w="2603" w:type="dxa"/>
          </w:tcPr>
          <w:p w:rsidR="00B4516C" w:rsidRPr="008C1B8A" w:rsidRDefault="00B4516C" w:rsidP="00B4516C">
            <w:pPr>
              <w:pStyle w:val="Table4"/>
            </w:pPr>
            <w:r w:rsidRPr="008C1B8A">
              <w:t>Currently the only release times required are at the rear service couplings of Road Train trailers (since the amendment of ADR 38/03)</w:t>
            </w:r>
          </w:p>
        </w:tc>
        <w:tc>
          <w:tcPr>
            <w:tcW w:w="2603" w:type="dxa"/>
          </w:tcPr>
          <w:p w:rsidR="00B4516C" w:rsidRPr="008C1B8A" w:rsidRDefault="00B4516C" w:rsidP="00CD4A67">
            <w:pPr>
              <w:pStyle w:val="Table4"/>
            </w:pPr>
            <w:r w:rsidRPr="008C1B8A">
              <w:t>Nil</w:t>
            </w:r>
          </w:p>
        </w:tc>
      </w:tr>
      <w:tr w:rsidR="00B4516C" w:rsidTr="00737F6B">
        <w:tc>
          <w:tcPr>
            <w:tcW w:w="2602" w:type="dxa"/>
          </w:tcPr>
          <w:p w:rsidR="00B4516C" w:rsidRPr="00923086" w:rsidRDefault="00B4516C" w:rsidP="00B4516C">
            <w:pPr>
              <w:pStyle w:val="Table4"/>
            </w:pPr>
            <w:r w:rsidRPr="00923086">
              <w:t>Table 2</w:t>
            </w:r>
            <w:r w:rsidRPr="00574B11">
              <w:t>(d)</w:t>
            </w:r>
            <w:r w:rsidRPr="00923086">
              <w:t xml:space="preserve"> Split mu capability for ABS on other than steerable axles</w:t>
            </w:r>
          </w:p>
        </w:tc>
        <w:tc>
          <w:tcPr>
            <w:tcW w:w="4452" w:type="dxa"/>
          </w:tcPr>
          <w:p w:rsidR="00B4516C" w:rsidRPr="008C1B8A" w:rsidRDefault="00B4516C" w:rsidP="00B4516C">
            <w:pPr>
              <w:pStyle w:val="Table4"/>
            </w:pPr>
          </w:p>
        </w:tc>
        <w:tc>
          <w:tcPr>
            <w:tcW w:w="1677" w:type="dxa"/>
          </w:tcPr>
          <w:p w:rsidR="00B4516C" w:rsidRPr="008C1B8A" w:rsidRDefault="00B4516C" w:rsidP="00B4516C">
            <w:pPr>
              <w:pStyle w:val="Table4"/>
            </w:pPr>
          </w:p>
        </w:tc>
        <w:tc>
          <w:tcPr>
            <w:tcW w:w="1677" w:type="dxa"/>
          </w:tcPr>
          <w:p w:rsidR="00B4516C" w:rsidRPr="008C1B8A" w:rsidRDefault="00B4516C" w:rsidP="00B4516C">
            <w:pPr>
              <w:pStyle w:val="Table4"/>
            </w:pPr>
            <w:r>
              <w:t>Possibly n</w:t>
            </w:r>
            <w:r w:rsidRPr="00E94A3F">
              <w:t xml:space="preserve">il for </w:t>
            </w:r>
            <w:r>
              <w:t>P</w:t>
            </w:r>
            <w:r w:rsidRPr="00E94A3F">
              <w:t>hase I</w:t>
            </w:r>
            <w:r>
              <w:t>.</w:t>
            </w:r>
            <w:r w:rsidR="00565311">
              <w:t xml:space="preserve"> </w:t>
            </w:r>
            <w:r>
              <w:t xml:space="preserve"> To be discussed with industry.</w:t>
            </w:r>
          </w:p>
        </w:tc>
        <w:tc>
          <w:tcPr>
            <w:tcW w:w="2603" w:type="dxa"/>
          </w:tcPr>
          <w:p w:rsidR="00B4516C" w:rsidRPr="008C1B8A" w:rsidRDefault="00B4516C" w:rsidP="00C30D6C">
            <w:pPr>
              <w:pStyle w:val="Table4"/>
            </w:pPr>
            <w:r w:rsidRPr="008C1B8A">
              <w:t xml:space="preserve">Cat </w:t>
            </w:r>
            <w:r>
              <w:t>A</w:t>
            </w:r>
            <w:r w:rsidRPr="008C1B8A">
              <w:t xml:space="preserve"> type</w:t>
            </w:r>
            <w:r>
              <w:t xml:space="preserve"> for &gt; 10t (O4)</w:t>
            </w:r>
            <w:r w:rsidRPr="008C1B8A">
              <w:t xml:space="preserve"> re</w:t>
            </w:r>
            <w:r w:rsidR="00C30D6C">
              <w:t xml:space="preserve">quires split mu performance in </w:t>
            </w:r>
            <w:r w:rsidRPr="008C1B8A">
              <w:t>R</w:t>
            </w:r>
            <w:r w:rsidR="00C30D6C">
              <w:t> </w:t>
            </w:r>
            <w:r w:rsidRPr="008C1B8A">
              <w:t>13. No current requirement in ADR.</w:t>
            </w:r>
          </w:p>
        </w:tc>
        <w:tc>
          <w:tcPr>
            <w:tcW w:w="2603" w:type="dxa"/>
          </w:tcPr>
          <w:p w:rsidR="00B4516C" w:rsidRPr="008C1B8A" w:rsidRDefault="00B4516C" w:rsidP="00CD4A67">
            <w:pPr>
              <w:pStyle w:val="Table4"/>
            </w:pPr>
            <w:r w:rsidRPr="008C1B8A">
              <w:t>Annex 13, para</w:t>
            </w:r>
            <w:r w:rsidR="008C14CF">
              <w:t>graph</w:t>
            </w:r>
            <w:r w:rsidRPr="008C1B8A">
              <w:t xml:space="preserve"> 6.3.2 (no distinction given to steerable axles)</w:t>
            </w:r>
          </w:p>
        </w:tc>
      </w:tr>
      <w:tr w:rsidR="00B4516C" w:rsidTr="00737F6B">
        <w:tc>
          <w:tcPr>
            <w:tcW w:w="2602" w:type="dxa"/>
          </w:tcPr>
          <w:p w:rsidR="00B4516C" w:rsidRPr="008C1B8A" w:rsidRDefault="00B4516C" w:rsidP="00B4516C">
            <w:pPr>
              <w:pStyle w:val="Table4"/>
            </w:pPr>
            <w:r>
              <w:t xml:space="preserve">Table 2 (h) </w:t>
            </w:r>
            <w:r w:rsidRPr="008C1B8A">
              <w:t>Remove Road Friendly Suspension (RFS) from being applicable to a standard vehicle</w:t>
            </w:r>
          </w:p>
        </w:tc>
        <w:tc>
          <w:tcPr>
            <w:tcW w:w="4452" w:type="dxa"/>
          </w:tcPr>
          <w:p w:rsidR="00B4516C" w:rsidRPr="008C1B8A" w:rsidRDefault="00B4516C" w:rsidP="00B4516C">
            <w:pPr>
              <w:pStyle w:val="Table4"/>
            </w:pPr>
          </w:p>
        </w:tc>
        <w:tc>
          <w:tcPr>
            <w:tcW w:w="1677" w:type="dxa"/>
          </w:tcPr>
          <w:p w:rsidR="00B4516C" w:rsidRPr="008C1B8A" w:rsidRDefault="00B4516C" w:rsidP="00B4516C">
            <w:pPr>
              <w:pStyle w:val="Table4"/>
            </w:pPr>
            <w:r w:rsidRPr="008C1B8A">
              <w:t>All</w:t>
            </w:r>
          </w:p>
        </w:tc>
        <w:tc>
          <w:tcPr>
            <w:tcW w:w="1677" w:type="dxa"/>
          </w:tcPr>
          <w:p w:rsidR="00B4516C" w:rsidRPr="008C1B8A" w:rsidRDefault="00B4516C" w:rsidP="00B4516C">
            <w:pPr>
              <w:pStyle w:val="Table4"/>
            </w:pPr>
            <w:r w:rsidRPr="008C1B8A">
              <w:t>Table 1</w:t>
            </w:r>
          </w:p>
        </w:tc>
        <w:tc>
          <w:tcPr>
            <w:tcW w:w="2603" w:type="dxa"/>
          </w:tcPr>
          <w:p w:rsidR="00B4516C" w:rsidRPr="008C1B8A" w:rsidRDefault="00B4516C" w:rsidP="00B4516C">
            <w:pPr>
              <w:pStyle w:val="Table4"/>
            </w:pPr>
            <w:r w:rsidRPr="008C1B8A">
              <w:t>RFS can still be kept in the ADR for information. Raised by industry at TLG</w:t>
            </w:r>
          </w:p>
        </w:tc>
        <w:tc>
          <w:tcPr>
            <w:tcW w:w="2603" w:type="dxa"/>
          </w:tcPr>
          <w:p w:rsidR="00B4516C" w:rsidRPr="008C1B8A" w:rsidRDefault="00B4516C" w:rsidP="00CD4A67">
            <w:pPr>
              <w:pStyle w:val="Table4"/>
            </w:pPr>
            <w:r w:rsidRPr="008C1B8A">
              <w:t>Nil</w:t>
            </w:r>
          </w:p>
        </w:tc>
      </w:tr>
      <w:tr w:rsidR="00B4516C" w:rsidTr="00737F6B">
        <w:tc>
          <w:tcPr>
            <w:tcW w:w="2602" w:type="dxa"/>
          </w:tcPr>
          <w:p w:rsidR="00B4516C" w:rsidRPr="008C1B8A" w:rsidRDefault="00B4516C" w:rsidP="00B4516C">
            <w:pPr>
              <w:pStyle w:val="Table4"/>
            </w:pPr>
            <w:r w:rsidRPr="008C1B8A">
              <w:t>Remove transitional arrangements only relevant in moving from ADR 38/02 to 38/03</w:t>
            </w:r>
          </w:p>
        </w:tc>
        <w:tc>
          <w:tcPr>
            <w:tcW w:w="4452" w:type="dxa"/>
          </w:tcPr>
          <w:p w:rsidR="00B4516C" w:rsidRPr="008C1B8A" w:rsidRDefault="00B4516C" w:rsidP="00B4516C">
            <w:pPr>
              <w:pStyle w:val="Table4"/>
            </w:pPr>
          </w:p>
        </w:tc>
        <w:tc>
          <w:tcPr>
            <w:tcW w:w="1677" w:type="dxa"/>
          </w:tcPr>
          <w:p w:rsidR="00B4516C" w:rsidRPr="008C1B8A" w:rsidRDefault="00B4516C" w:rsidP="00B4516C">
            <w:pPr>
              <w:pStyle w:val="Table4"/>
            </w:pPr>
            <w:r w:rsidRPr="008C1B8A">
              <w:t>All</w:t>
            </w:r>
          </w:p>
        </w:tc>
        <w:tc>
          <w:tcPr>
            <w:tcW w:w="1677" w:type="dxa"/>
          </w:tcPr>
          <w:p w:rsidR="00B4516C" w:rsidRPr="008C1B8A" w:rsidRDefault="00B4516C" w:rsidP="00B4516C">
            <w:pPr>
              <w:pStyle w:val="Table4"/>
            </w:pPr>
            <w:r w:rsidRPr="008C1B8A">
              <w:t>22.3</w:t>
            </w:r>
          </w:p>
        </w:tc>
        <w:tc>
          <w:tcPr>
            <w:tcW w:w="2603" w:type="dxa"/>
          </w:tcPr>
          <w:p w:rsidR="00B4516C" w:rsidRPr="008C1B8A" w:rsidRDefault="00B4516C" w:rsidP="00B4516C">
            <w:pPr>
              <w:pStyle w:val="Table4"/>
            </w:pPr>
            <w:r w:rsidRPr="008C1B8A">
              <w:t>Relates to certification of trailers without variable proportioning brake systems under ADR 38/03.</w:t>
            </w:r>
            <w:r w:rsidR="00C30D6C">
              <w:t xml:space="preserve"> </w:t>
            </w:r>
            <w:r w:rsidRPr="008C1B8A">
              <w:t xml:space="preserve"> Now superseded</w:t>
            </w:r>
          </w:p>
        </w:tc>
        <w:tc>
          <w:tcPr>
            <w:tcW w:w="2603" w:type="dxa"/>
          </w:tcPr>
          <w:p w:rsidR="00B4516C" w:rsidRPr="008C1B8A" w:rsidRDefault="00B4516C" w:rsidP="00CD4A67">
            <w:pPr>
              <w:pStyle w:val="Table4"/>
            </w:pPr>
            <w:r w:rsidRPr="008C1B8A">
              <w:t>Nil</w:t>
            </w:r>
          </w:p>
        </w:tc>
      </w:tr>
    </w:tbl>
    <w:p w:rsidR="00745577" w:rsidRDefault="00745577" w:rsidP="00AC43A4">
      <w:pPr>
        <w:tabs>
          <w:tab w:val="clear" w:pos="851"/>
        </w:tabs>
        <w:spacing w:before="0" w:after="200" w:line="276" w:lineRule="auto"/>
      </w:pPr>
    </w:p>
    <w:p w:rsidR="0049713F" w:rsidRDefault="0049713F" w:rsidP="00AC43A4">
      <w:pPr>
        <w:tabs>
          <w:tab w:val="clear" w:pos="851"/>
        </w:tabs>
        <w:spacing w:before="0" w:after="200" w:line="276" w:lineRule="auto"/>
      </w:pPr>
    </w:p>
    <w:p w:rsidR="0049713F" w:rsidRDefault="0049713F" w:rsidP="00AC43A4">
      <w:pPr>
        <w:tabs>
          <w:tab w:val="clear" w:pos="851"/>
        </w:tabs>
        <w:spacing w:before="0" w:after="200" w:line="276" w:lineRule="auto"/>
        <w:sectPr w:rsidR="0049713F" w:rsidSect="00CF1F32">
          <w:headerReference w:type="default" r:id="rId58"/>
          <w:pgSz w:w="16838" w:h="11906" w:orient="landscape"/>
          <w:pgMar w:top="720" w:right="720" w:bottom="720" w:left="720" w:header="0" w:footer="708" w:gutter="0"/>
          <w:cols w:space="708"/>
          <w:docGrid w:linePitch="360"/>
        </w:sectPr>
      </w:pPr>
    </w:p>
    <w:p w:rsidR="00CD0E15" w:rsidRDefault="00DA32D6" w:rsidP="00350154">
      <w:pPr>
        <w:pStyle w:val="Heading1"/>
        <w:numPr>
          <w:ilvl w:val="0"/>
          <w:numId w:val="0"/>
        </w:numPr>
      </w:pPr>
      <w:bookmarkStart w:id="68" w:name="_Toc319933953"/>
      <w:bookmarkStart w:id="69" w:name="_Ref332274676"/>
      <w:bookmarkStart w:id="70" w:name="_Ref342402523"/>
      <w:bookmarkStart w:id="71" w:name="_Ref342464321"/>
      <w:bookmarkStart w:id="72" w:name="_Toc375302810"/>
      <w:r>
        <w:lastRenderedPageBreak/>
        <w:t xml:space="preserve">Appendix </w:t>
      </w:r>
      <w:r w:rsidR="009E2DEB">
        <w:t>6</w:t>
      </w:r>
      <w:r>
        <w:t>—</w:t>
      </w:r>
      <w:bookmarkEnd w:id="68"/>
      <w:bookmarkEnd w:id="69"/>
      <w:r w:rsidR="00CB5CB3">
        <w:t>Types of Antilock Brake Systems</w:t>
      </w:r>
      <w:bookmarkEnd w:id="70"/>
      <w:bookmarkEnd w:id="71"/>
      <w:bookmarkEnd w:id="72"/>
    </w:p>
    <w:p w:rsidR="00AA0F04" w:rsidRPr="003C7B50" w:rsidRDefault="00AA0F04" w:rsidP="00AA0F04">
      <w:r>
        <w:t xml:space="preserve">Antilock brake systems (ABS) may be grouped according to how wheel braking is controlled.  The basic types are </w:t>
      </w:r>
      <w:r w:rsidRPr="003C7B50">
        <w:t>(Bosch, 2007):</w:t>
      </w:r>
    </w:p>
    <w:p w:rsidR="00AA0F04" w:rsidRPr="003C7B50" w:rsidRDefault="00AA0F04" w:rsidP="00654275">
      <w:pPr>
        <w:pStyle w:val="underlinedleft"/>
      </w:pPr>
      <w:r w:rsidRPr="003C7B50">
        <w:t>Individual control (IR)</w:t>
      </w:r>
    </w:p>
    <w:p w:rsidR="00AA0F04" w:rsidRPr="003C7B50" w:rsidRDefault="00AA0F04" w:rsidP="00AA0F04">
      <w:r w:rsidRPr="003C7B50">
        <w:t>This controls braking individually for each wheel. Giving the shortest stopping distances, it can also produce higher yaw moments when road adhesion is different between right and left wheels (known as split-µ conditions).  It is normally only used on non-steer axles.</w:t>
      </w:r>
    </w:p>
    <w:p w:rsidR="00AA0F04" w:rsidRPr="003C7B50" w:rsidRDefault="00AA0F04" w:rsidP="00654275">
      <w:pPr>
        <w:pStyle w:val="underlinedleft"/>
      </w:pPr>
      <w:r w:rsidRPr="003C7B50">
        <w:t>Select-low control (SL)</w:t>
      </w:r>
    </w:p>
    <w:p w:rsidR="00AA0F04" w:rsidRPr="003C7B50" w:rsidRDefault="00AA0F04" w:rsidP="00AA0F04">
      <w:r w:rsidRPr="003C7B50">
        <w:t>This controls braking at the same level across an axle, giving no yaw moments in split-µ conditions.  The braking is set to that of the wheel with the least grip.  In split-µ conditions the stopping distances are longer than IR but in normal conditions they are the same.</w:t>
      </w:r>
    </w:p>
    <w:p w:rsidR="00AA0F04" w:rsidRPr="003C7B50" w:rsidRDefault="00AA0F04" w:rsidP="00654275">
      <w:pPr>
        <w:pStyle w:val="underlinedleft"/>
      </w:pPr>
      <w:r w:rsidRPr="003C7B50">
        <w:t>Select-smart control (SSM)</w:t>
      </w:r>
    </w:p>
    <w:p w:rsidR="00AA0F04" w:rsidRPr="003C7B50" w:rsidRDefault="00AA0F04" w:rsidP="00AA0F04">
      <w:r w:rsidRPr="003C7B50">
        <w:t>This controls braking at the same level across an axle and so is similar to SL.</w:t>
      </w:r>
      <w:r w:rsidR="00022A26" w:rsidRPr="003C7B50">
        <w:t xml:space="preserve"> </w:t>
      </w:r>
      <w:r w:rsidRPr="003C7B50">
        <w:t xml:space="preserve"> However in this case the wheel with the least grip is allowed to lock a limited amount and so stopping distances are shortened when compared to SL, with only a minor reduction in steerability in split-µ conditions.</w:t>
      </w:r>
    </w:p>
    <w:p w:rsidR="00AA0F04" w:rsidRPr="003C7B50" w:rsidRDefault="00AA0F04" w:rsidP="00654275">
      <w:pPr>
        <w:pStyle w:val="underlinedleft"/>
      </w:pPr>
      <w:r w:rsidRPr="003C7B50">
        <w:t>Individual control modified (IRM)</w:t>
      </w:r>
    </w:p>
    <w:p w:rsidR="00AA0F04" w:rsidRPr="003C7B50" w:rsidRDefault="00AA0F04" w:rsidP="00AA0F04">
      <w:r w:rsidRPr="003C7B50">
        <w:t>This controls braking individually for each wheel but modifies it slightly to reduce yaw moments.</w:t>
      </w:r>
    </w:p>
    <w:p w:rsidR="00AA0F04" w:rsidRPr="003C7B50" w:rsidRDefault="00C41B4D" w:rsidP="00AA0F04">
      <w:r w:rsidRPr="003C7B50">
        <w:t xml:space="preserve">ARTSA (2011) </w:t>
      </w:r>
      <w:r w:rsidR="00AA0F04" w:rsidRPr="003C7B50">
        <w:t>outlines the systems in terms of the numbers of wheel speed Sensors (S) and Modulators (M) used and their fitment to Australian vehicles.</w:t>
      </w:r>
    </w:p>
    <w:p w:rsidR="00AA0F04" w:rsidRPr="00654275" w:rsidRDefault="00AA0F04" w:rsidP="00AA0F04">
      <w:pPr>
        <w:rPr>
          <w:i/>
        </w:rPr>
      </w:pPr>
      <w:r w:rsidRPr="003C7B50">
        <w:rPr>
          <w:i/>
        </w:rPr>
        <w:t>Trucks</w:t>
      </w:r>
    </w:p>
    <w:p w:rsidR="00AA0F04" w:rsidRDefault="00654275" w:rsidP="00AA0F04">
      <w:proofErr w:type="gramStart"/>
      <w:r>
        <w:t>2S/2M—</w:t>
      </w:r>
      <w:r w:rsidR="00AA0F04">
        <w:t>A single-axle system.</w:t>
      </w:r>
      <w:proofErr w:type="gramEnd"/>
      <w:r w:rsidR="00AA0F04">
        <w:t xml:space="preserve"> </w:t>
      </w:r>
      <w:r>
        <w:t xml:space="preserve"> </w:t>
      </w:r>
      <w:r w:rsidR="00AA0F04">
        <w:t>Two sensed wheel ends on one axle and two modulators controlling that axle. This system is not used on trucks in Australia as it does not meet the ADR requirement that all wheels on the vehicle be controlled.</w:t>
      </w:r>
    </w:p>
    <w:p w:rsidR="00AA0F04" w:rsidRDefault="00AA0F04" w:rsidP="00AA0F04">
      <w:proofErr w:type="gramStart"/>
      <w:r>
        <w:t>4S/3M</w:t>
      </w:r>
      <w:r w:rsidR="00022A26">
        <w:t>—</w:t>
      </w:r>
      <w:r>
        <w:t xml:space="preserve"> Sensors on four wheels on two axles (a front and a rear axle).</w:t>
      </w:r>
      <w:proofErr w:type="gramEnd"/>
      <w:r>
        <w:t xml:space="preserve"> </w:t>
      </w:r>
      <w:r w:rsidR="00022A26">
        <w:t xml:space="preserve"> </w:t>
      </w:r>
      <w:r>
        <w:t xml:space="preserve">The steer axle wheels are modulated together (one modulator) and the rear axle has two modulators.  The rear axle(s) have independent side modulation. </w:t>
      </w:r>
      <w:r w:rsidR="00022A26">
        <w:t xml:space="preserve"> </w:t>
      </w:r>
      <w:r>
        <w:t xml:space="preserve">This scheme is rarely if ever used in Australia. </w:t>
      </w:r>
      <w:r w:rsidR="00022A26">
        <w:t xml:space="preserve"> </w:t>
      </w:r>
      <w:r>
        <w:t>The rationale for it is that ABS modulation on one side of a steer axle might cause a steering effect under heavy braking.</w:t>
      </w:r>
      <w:r w:rsidR="00022A26">
        <w:t xml:space="preserve"> </w:t>
      </w:r>
      <w:r>
        <w:t xml:space="preserve"> Hence the steer axle has a single modulator that controls both sides. </w:t>
      </w:r>
    </w:p>
    <w:p w:rsidR="00AA0F04" w:rsidRDefault="00AA0F04" w:rsidP="00AA0F04">
      <w:r>
        <w:lastRenderedPageBreak/>
        <w:t xml:space="preserve">This configuration is often used on air-over-hydraulic (AOH) brake systems that are common on light-medium commercial vehicles. </w:t>
      </w:r>
      <w:r w:rsidR="00A50977">
        <w:t xml:space="preserve"> </w:t>
      </w:r>
      <w:r>
        <w:t>Only one AOH booster is required for the steer axle ABS.</w:t>
      </w:r>
    </w:p>
    <w:p w:rsidR="00AA0F04" w:rsidRDefault="00A50977" w:rsidP="00AA0F04">
      <w:r>
        <w:t>4S/4M—</w:t>
      </w:r>
      <w:proofErr w:type="gramStart"/>
      <w:r w:rsidR="00AA0F04">
        <w:t>Four</w:t>
      </w:r>
      <w:proofErr w:type="gramEnd"/>
      <w:r w:rsidR="00AA0F04">
        <w:t xml:space="preserve"> sensed wheel ends and four modulators. </w:t>
      </w:r>
      <w:r>
        <w:t xml:space="preserve"> </w:t>
      </w:r>
      <w:r w:rsidR="00AA0F04">
        <w:t xml:space="preserve">The usual scheme on Australian motive trucks whether they have singe-axle or multi-axle groups. </w:t>
      </w:r>
      <w:r>
        <w:t xml:space="preserve"> </w:t>
      </w:r>
      <w:r w:rsidR="00AA0F04">
        <w:t xml:space="preserve">Each rear modulator controls one or two wheels on each side of both rear axles. </w:t>
      </w:r>
    </w:p>
    <w:p w:rsidR="00AA0F04" w:rsidRDefault="00AA0F04" w:rsidP="00AA0F04">
      <w:r>
        <w:t>6S/4M</w:t>
      </w:r>
      <w:r w:rsidR="00A50977">
        <w:t>—</w:t>
      </w:r>
      <w:proofErr w:type="gramStart"/>
      <w:r>
        <w:t>Six</w:t>
      </w:r>
      <w:proofErr w:type="gramEnd"/>
      <w:r>
        <w:t xml:space="preserve"> sensed wheel ends and four modulators. </w:t>
      </w:r>
      <w:r w:rsidR="00A50977">
        <w:t xml:space="preserve"> </w:t>
      </w:r>
      <w:r>
        <w:t xml:space="preserve">The rear wheels are controlled in pairs so the ABS responds to pending lock-up on any of the rear wheels. </w:t>
      </w:r>
      <w:r w:rsidR="00193F45">
        <w:t xml:space="preserve"> </w:t>
      </w:r>
      <w:r>
        <w:t>A 4S/4M system will have comparable ABS performance to a 6S/4M system if its sensors are installed on the rear axle most likely to lock-up first.</w:t>
      </w:r>
    </w:p>
    <w:p w:rsidR="00AA0F04" w:rsidRDefault="00AA0F04" w:rsidP="00AA0F04">
      <w:r>
        <w:t xml:space="preserve">This configuration can be beneficial for Automatic Traction Control </w:t>
      </w:r>
      <w:r w:rsidR="00A966D4">
        <w:t xml:space="preserve">(ATC) </w:t>
      </w:r>
      <w:r>
        <w:t>systems installed on reactive drive axle suspensions. The axle that spins first on acceleration does not usually lock first under braking. Therefore individual wheel sensing is desirable when ABS and ATC are both installed. A 6S/6M has the added benefit of independent wheel control.</w:t>
      </w:r>
    </w:p>
    <w:p w:rsidR="00AA0F04" w:rsidRDefault="00193F45" w:rsidP="00AA0F04">
      <w:proofErr w:type="gramStart"/>
      <w:r>
        <w:t>6S/6M—</w:t>
      </w:r>
      <w:r w:rsidR="00AA0F04">
        <w:t>A fully controlled and modulated system for three-axle vehicles.</w:t>
      </w:r>
      <w:proofErr w:type="gramEnd"/>
      <w:r w:rsidR="00AA0F04">
        <w:t xml:space="preserve"> </w:t>
      </w:r>
    </w:p>
    <w:p w:rsidR="00AA0F04" w:rsidRPr="00193F45" w:rsidRDefault="00AA0F04" w:rsidP="00AA0F04">
      <w:pPr>
        <w:rPr>
          <w:i/>
        </w:rPr>
      </w:pPr>
      <w:r w:rsidRPr="00193F45">
        <w:rPr>
          <w:i/>
        </w:rPr>
        <w:t>Trailers</w:t>
      </w:r>
    </w:p>
    <w:p w:rsidR="00AA0F04" w:rsidRDefault="00AA0F04" w:rsidP="00AA0F04">
      <w:r>
        <w:t>2S/</w:t>
      </w:r>
      <w:r w:rsidR="00193F45">
        <w:t>1M—</w:t>
      </w:r>
      <w:proofErr w:type="gramStart"/>
      <w:r>
        <w:t>Two</w:t>
      </w:r>
      <w:proofErr w:type="gramEnd"/>
      <w:r>
        <w:t xml:space="preserve"> wheel ends are sensed and all wheels on the group are controlled. </w:t>
      </w:r>
      <w:r w:rsidR="00193F45">
        <w:t xml:space="preserve"> </w:t>
      </w:r>
      <w:r>
        <w:t xml:space="preserve">This scheme is sometimes used on steerable axles at the front of a trailer (or dolly trailer). </w:t>
      </w:r>
      <w:r w:rsidR="00193F45">
        <w:t xml:space="preserve"> </w:t>
      </w:r>
      <w:r>
        <w:t>The advantage is that there is no steering effect arising from modulation of the wheels on one side only. Consequently 2S/1M systems with a SL strategy are used on steerable dolly axles.</w:t>
      </w:r>
    </w:p>
    <w:p w:rsidR="00AA0F04" w:rsidRDefault="00AA0F04" w:rsidP="00AA0F04">
      <w:r>
        <w:t xml:space="preserve">2S/1M systems are widely used on North American trailers (which tend to have bogie axles, both of which are controlled) and occasionally used in Australia. </w:t>
      </w:r>
      <w:r w:rsidR="004D24CA">
        <w:t xml:space="preserve"> </w:t>
      </w:r>
      <w:r>
        <w:t>When used in Australia, 2S/1M ABS is applied to steerable dolly trailer axles.</w:t>
      </w:r>
    </w:p>
    <w:p w:rsidR="00AA0F04" w:rsidRDefault="00AA0F04" w:rsidP="00AA0F04">
      <w:r>
        <w:t xml:space="preserve">2S/2M systems are commonly used on dual-axle and tri-axle axle groups. Occasionally used on dolly trailers. </w:t>
      </w:r>
      <w:r w:rsidR="004D24CA">
        <w:t xml:space="preserve"> </w:t>
      </w:r>
      <w:r>
        <w:t>They are also commonly used on European tri-axle semi-trailers and Australian semi-trailers with a bi-axle rear group.</w:t>
      </w:r>
    </w:p>
    <w:p w:rsidR="00AA0F04" w:rsidRDefault="00AA0F04" w:rsidP="00AA0F04">
      <w:r>
        <w:t xml:space="preserve">4S/2M systems are commonly used on semi-trailers. </w:t>
      </w:r>
      <w:r w:rsidR="004D24CA">
        <w:t xml:space="preserve"> </w:t>
      </w:r>
      <w:r>
        <w:t>The front and the rear axl</w:t>
      </w:r>
      <w:r w:rsidR="00193F45">
        <w:t xml:space="preserve">es in the rear group are sensed </w:t>
      </w:r>
      <w:r>
        <w:t xml:space="preserve">independently. </w:t>
      </w:r>
    </w:p>
    <w:p w:rsidR="00AA0F04" w:rsidRDefault="00A966D4" w:rsidP="00AA0F04">
      <w:r>
        <w:t>4S/3M—t</w:t>
      </w:r>
      <w:r w:rsidR="00AA0F04">
        <w:t>he usual ‘dog’ trailer configuration. Rarely used on dual-axle or tri-axle semi-trailers.</w:t>
      </w:r>
    </w:p>
    <w:p w:rsidR="00AA0F04" w:rsidRDefault="00AA0F04" w:rsidP="00AA0F04">
      <w:r>
        <w:t>6S/3M - is available although seldom used and 4S/4M - is not currently used on Australian trailers.</w:t>
      </w:r>
    </w:p>
    <w:p w:rsidR="004D24CA" w:rsidRDefault="004D24CA" w:rsidP="00AA0F04"/>
    <w:p w:rsidR="004D24CA" w:rsidRDefault="004D24CA" w:rsidP="00AA0F04"/>
    <w:p w:rsidR="00AA0F04" w:rsidRPr="004D24CA" w:rsidRDefault="00AA0F04" w:rsidP="00AA0F04">
      <w:pPr>
        <w:rPr>
          <w:i/>
        </w:rPr>
      </w:pPr>
      <w:r w:rsidRPr="004D24CA">
        <w:rPr>
          <w:i/>
        </w:rPr>
        <w:lastRenderedPageBreak/>
        <w:t>Technical Standards</w:t>
      </w:r>
    </w:p>
    <w:p w:rsidR="00AA0F04" w:rsidRDefault="00AA0F04" w:rsidP="00AA0F04">
      <w:r>
        <w:t xml:space="preserve">When fitted to new heavy vehicles in Australia, ABS must comply with the design and </w:t>
      </w:r>
      <w:r w:rsidR="00DF74FC">
        <w:t>performance requirements in ADR</w:t>
      </w:r>
      <w:r>
        <w:t xml:space="preserve">s 35/03 and 38/03. </w:t>
      </w:r>
    </w:p>
    <w:p w:rsidR="00AA0F04" w:rsidRDefault="00AA0F04" w:rsidP="00AA0F04">
      <w:r>
        <w:t xml:space="preserve">Both require that at least one axle in each axle group must remain unlocked (above 15 km/h speed) when a full-force brake application is made. </w:t>
      </w:r>
      <w:r w:rsidR="00DF74FC">
        <w:t xml:space="preserve"> </w:t>
      </w:r>
      <w:r>
        <w:t xml:space="preserve">The test, which must be conducted for motive trucks, is conducted in both laden and unladen states on a dry, sealed high-friction road surface at 40 km/h and at 80 km/h. </w:t>
      </w:r>
    </w:p>
    <w:p w:rsidR="00850D5F" w:rsidRDefault="00AA0F04" w:rsidP="00AA0F04">
      <w:r>
        <w:t xml:space="preserve">ADRs 35/03 and 38/03 allow </w:t>
      </w:r>
      <w:r w:rsidR="004D24CA">
        <w:t>R </w:t>
      </w:r>
      <w:r>
        <w:t>13 as an alternative standard, and this includes UN ABS requirements.  While the basic test is similar to the ADRs, there is the addition of an adhesion utilisation tests, and heavy vehicles must have a Category 1 (in the case of trucks) and Category A (in the case of trailers systems.  These systems are split-µ meaning that they control left side braking and right side braking individually.</w:t>
      </w:r>
    </w:p>
    <w:p w:rsidR="001947A3" w:rsidRDefault="001947A3" w:rsidP="00850D5F"/>
    <w:p w:rsidR="00361E37" w:rsidRDefault="00361E37" w:rsidP="00850D5F">
      <w:pPr>
        <w:sectPr w:rsidR="00361E37" w:rsidSect="00CF1F32">
          <w:headerReference w:type="default" r:id="rId59"/>
          <w:pgSz w:w="11906" w:h="16838"/>
          <w:pgMar w:top="1440" w:right="1440" w:bottom="1440" w:left="1440" w:header="708" w:footer="708" w:gutter="0"/>
          <w:cols w:space="708"/>
          <w:docGrid w:linePitch="360"/>
        </w:sectPr>
      </w:pPr>
    </w:p>
    <w:p w:rsidR="00733FD5" w:rsidRDefault="00733FD5" w:rsidP="00733FD5">
      <w:pPr>
        <w:pStyle w:val="Heading1"/>
        <w:numPr>
          <w:ilvl w:val="0"/>
          <w:numId w:val="0"/>
        </w:numPr>
      </w:pPr>
      <w:bookmarkStart w:id="73" w:name="_Ref343074283"/>
      <w:bookmarkStart w:id="74" w:name="_Toc375302811"/>
      <w:r>
        <w:lastRenderedPageBreak/>
        <w:t>Appendix 7—Heavy Vehicle Crashes in Australia</w:t>
      </w:r>
      <w:bookmarkEnd w:id="73"/>
      <w:bookmarkEnd w:id="74"/>
    </w:p>
    <w:p w:rsidR="00D85E26" w:rsidRDefault="00D85E26" w:rsidP="00D85E26">
      <w:pPr>
        <w:pStyle w:val="Caption"/>
        <w:keepNext/>
      </w:pPr>
      <w:bookmarkStart w:id="75" w:name="_Ref342979036"/>
      <w:r>
        <w:t xml:space="preserve">Table </w:t>
      </w:r>
      <w:r w:rsidR="00C036A7">
        <w:fldChar w:fldCharType="begin"/>
      </w:r>
      <w:r w:rsidR="00D05042">
        <w:instrText xml:space="preserve"> SEQ Table \* ARABIC </w:instrText>
      </w:r>
      <w:r w:rsidR="00C036A7">
        <w:fldChar w:fldCharType="separate"/>
      </w:r>
      <w:r w:rsidR="00546CD0">
        <w:rPr>
          <w:noProof/>
        </w:rPr>
        <w:t>8</w:t>
      </w:r>
      <w:r w:rsidR="00C036A7">
        <w:rPr>
          <w:noProof/>
        </w:rPr>
        <w:fldChar w:fldCharType="end"/>
      </w:r>
      <w:bookmarkEnd w:id="75"/>
      <w:r>
        <w:t xml:space="preserve"> Fatalities from crashes involving heavy commercial vehicles, Australia: 1989</w:t>
      </w:r>
      <w:r>
        <w:noBreakHyphen/>
        <w:t>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887"/>
        <w:gridCol w:w="560"/>
        <w:gridCol w:w="553"/>
        <w:gridCol w:w="553"/>
        <w:gridCol w:w="553"/>
        <w:gridCol w:w="554"/>
        <w:gridCol w:w="554"/>
        <w:gridCol w:w="554"/>
        <w:gridCol w:w="555"/>
        <w:gridCol w:w="555"/>
        <w:gridCol w:w="555"/>
        <w:gridCol w:w="556"/>
        <w:gridCol w:w="556"/>
        <w:gridCol w:w="556"/>
        <w:gridCol w:w="556"/>
        <w:gridCol w:w="556"/>
        <w:gridCol w:w="556"/>
        <w:gridCol w:w="556"/>
        <w:gridCol w:w="556"/>
        <w:gridCol w:w="556"/>
        <w:gridCol w:w="596"/>
        <w:gridCol w:w="556"/>
        <w:gridCol w:w="556"/>
        <w:gridCol w:w="556"/>
        <w:gridCol w:w="816"/>
      </w:tblGrid>
      <w:tr w:rsidR="00737F6B" w:rsidTr="004B295C">
        <w:tc>
          <w:tcPr>
            <w:tcW w:w="1097" w:type="dxa"/>
            <w:vMerge w:val="restart"/>
            <w:tcBorders>
              <w:top w:val="single" w:sz="8" w:space="0" w:color="auto"/>
            </w:tcBorders>
            <w:vAlign w:val="center"/>
          </w:tcPr>
          <w:p w:rsidR="00737F6B" w:rsidRPr="00737F6B" w:rsidRDefault="00737F6B" w:rsidP="00737F6B">
            <w:pPr>
              <w:pStyle w:val="Table3heading"/>
              <w:rPr>
                <w:b/>
              </w:rPr>
            </w:pPr>
          </w:p>
        </w:tc>
        <w:tc>
          <w:tcPr>
            <w:tcW w:w="887" w:type="dxa"/>
            <w:vMerge w:val="restart"/>
            <w:tcBorders>
              <w:top w:val="single" w:sz="8" w:space="0" w:color="auto"/>
            </w:tcBorders>
            <w:vAlign w:val="center"/>
          </w:tcPr>
          <w:p w:rsidR="00737F6B" w:rsidRPr="004B295C" w:rsidRDefault="00737F6B" w:rsidP="00737F6B">
            <w:pPr>
              <w:pStyle w:val="Table3heading"/>
              <w:rPr>
                <w:b/>
              </w:rPr>
            </w:pPr>
            <w:r w:rsidRPr="004B295C">
              <w:rPr>
                <w:b/>
              </w:rPr>
              <w:t>State/</w:t>
            </w:r>
            <w:r w:rsidRPr="004B295C">
              <w:rPr>
                <w:b/>
              </w:rPr>
              <w:br/>
              <w:t>territory</w:t>
            </w:r>
          </w:p>
        </w:tc>
        <w:tc>
          <w:tcPr>
            <w:tcW w:w="12814" w:type="dxa"/>
            <w:gridSpan w:val="23"/>
            <w:tcBorders>
              <w:top w:val="single" w:sz="8" w:space="0" w:color="auto"/>
            </w:tcBorders>
            <w:vAlign w:val="center"/>
          </w:tcPr>
          <w:p w:rsidR="00737F6B" w:rsidRPr="004B295C" w:rsidRDefault="00737F6B" w:rsidP="004D7BFB">
            <w:pPr>
              <w:pStyle w:val="Table3heading"/>
              <w:jc w:val="center"/>
              <w:rPr>
                <w:b/>
              </w:rPr>
            </w:pPr>
            <w:r w:rsidRPr="004B295C">
              <w:rPr>
                <w:b/>
              </w:rPr>
              <w:t>Year</w:t>
            </w:r>
          </w:p>
        </w:tc>
        <w:tc>
          <w:tcPr>
            <w:tcW w:w="816" w:type="dxa"/>
            <w:vMerge w:val="restart"/>
            <w:tcBorders>
              <w:top w:val="single" w:sz="8" w:space="0" w:color="auto"/>
            </w:tcBorders>
            <w:vAlign w:val="center"/>
          </w:tcPr>
          <w:p w:rsidR="00737F6B" w:rsidRPr="004B295C" w:rsidRDefault="00737F6B" w:rsidP="00737F6B">
            <w:pPr>
              <w:pStyle w:val="Table3heading"/>
              <w:rPr>
                <w:b/>
              </w:rPr>
            </w:pPr>
            <w:r w:rsidRPr="004B295C">
              <w:rPr>
                <w:b/>
              </w:rPr>
              <w:t>10-year</w:t>
            </w:r>
            <w:r w:rsidRPr="004B295C">
              <w:rPr>
                <w:b/>
              </w:rPr>
              <w:br/>
              <w:t>average</w:t>
            </w:r>
          </w:p>
        </w:tc>
      </w:tr>
      <w:tr w:rsidR="00737F6B" w:rsidTr="004B295C">
        <w:tc>
          <w:tcPr>
            <w:tcW w:w="1097" w:type="dxa"/>
            <w:vMerge/>
            <w:tcBorders>
              <w:bottom w:val="single" w:sz="8" w:space="0" w:color="auto"/>
            </w:tcBorders>
            <w:vAlign w:val="center"/>
          </w:tcPr>
          <w:p w:rsidR="00737F6B" w:rsidRDefault="00737F6B" w:rsidP="00737F6B">
            <w:pPr>
              <w:pStyle w:val="Table3heading"/>
            </w:pPr>
          </w:p>
        </w:tc>
        <w:tc>
          <w:tcPr>
            <w:tcW w:w="887" w:type="dxa"/>
            <w:vMerge/>
            <w:tcBorders>
              <w:bottom w:val="single" w:sz="8" w:space="0" w:color="auto"/>
            </w:tcBorders>
            <w:vAlign w:val="center"/>
          </w:tcPr>
          <w:p w:rsidR="00737F6B" w:rsidRDefault="00737F6B" w:rsidP="00737F6B">
            <w:pPr>
              <w:pStyle w:val="Table3heading"/>
            </w:pPr>
          </w:p>
        </w:tc>
        <w:tc>
          <w:tcPr>
            <w:tcW w:w="560" w:type="dxa"/>
            <w:tcBorders>
              <w:bottom w:val="single" w:sz="8" w:space="0" w:color="auto"/>
            </w:tcBorders>
            <w:vAlign w:val="center"/>
          </w:tcPr>
          <w:p w:rsidR="00737F6B" w:rsidRDefault="00737F6B" w:rsidP="00737F6B">
            <w:pPr>
              <w:pStyle w:val="Table3heading"/>
            </w:pPr>
            <w:r>
              <w:t>89</w:t>
            </w:r>
          </w:p>
        </w:tc>
        <w:tc>
          <w:tcPr>
            <w:tcW w:w="553" w:type="dxa"/>
            <w:tcBorders>
              <w:bottom w:val="single" w:sz="8" w:space="0" w:color="auto"/>
            </w:tcBorders>
            <w:vAlign w:val="center"/>
          </w:tcPr>
          <w:p w:rsidR="00737F6B" w:rsidRDefault="00737F6B" w:rsidP="00737F6B">
            <w:pPr>
              <w:pStyle w:val="Table3heading"/>
            </w:pPr>
            <w:r>
              <w:t>90</w:t>
            </w:r>
          </w:p>
        </w:tc>
        <w:tc>
          <w:tcPr>
            <w:tcW w:w="553" w:type="dxa"/>
            <w:tcBorders>
              <w:bottom w:val="single" w:sz="8" w:space="0" w:color="auto"/>
            </w:tcBorders>
            <w:vAlign w:val="center"/>
          </w:tcPr>
          <w:p w:rsidR="00737F6B" w:rsidRDefault="00737F6B" w:rsidP="00737F6B">
            <w:pPr>
              <w:pStyle w:val="Table3heading"/>
            </w:pPr>
            <w:r>
              <w:t>91</w:t>
            </w:r>
          </w:p>
        </w:tc>
        <w:tc>
          <w:tcPr>
            <w:tcW w:w="553" w:type="dxa"/>
            <w:tcBorders>
              <w:bottom w:val="single" w:sz="8" w:space="0" w:color="auto"/>
            </w:tcBorders>
            <w:vAlign w:val="center"/>
          </w:tcPr>
          <w:p w:rsidR="00737F6B" w:rsidRDefault="00737F6B" w:rsidP="00737F6B">
            <w:pPr>
              <w:pStyle w:val="Table3heading"/>
            </w:pPr>
            <w:r>
              <w:t>92</w:t>
            </w:r>
          </w:p>
        </w:tc>
        <w:tc>
          <w:tcPr>
            <w:tcW w:w="554" w:type="dxa"/>
            <w:tcBorders>
              <w:bottom w:val="single" w:sz="8" w:space="0" w:color="auto"/>
            </w:tcBorders>
            <w:vAlign w:val="center"/>
          </w:tcPr>
          <w:p w:rsidR="00737F6B" w:rsidRDefault="00737F6B" w:rsidP="00737F6B">
            <w:pPr>
              <w:pStyle w:val="Table3heading"/>
            </w:pPr>
            <w:r>
              <w:t>93</w:t>
            </w:r>
          </w:p>
        </w:tc>
        <w:tc>
          <w:tcPr>
            <w:tcW w:w="554" w:type="dxa"/>
            <w:tcBorders>
              <w:bottom w:val="single" w:sz="8" w:space="0" w:color="auto"/>
            </w:tcBorders>
            <w:vAlign w:val="center"/>
          </w:tcPr>
          <w:p w:rsidR="00737F6B" w:rsidRDefault="00737F6B" w:rsidP="00737F6B">
            <w:pPr>
              <w:pStyle w:val="Table3heading"/>
            </w:pPr>
            <w:r>
              <w:t>94</w:t>
            </w:r>
          </w:p>
        </w:tc>
        <w:tc>
          <w:tcPr>
            <w:tcW w:w="554" w:type="dxa"/>
            <w:tcBorders>
              <w:bottom w:val="single" w:sz="8" w:space="0" w:color="auto"/>
            </w:tcBorders>
            <w:vAlign w:val="center"/>
          </w:tcPr>
          <w:p w:rsidR="00737F6B" w:rsidRDefault="00737F6B" w:rsidP="00737F6B">
            <w:pPr>
              <w:pStyle w:val="Table3heading"/>
            </w:pPr>
            <w:r>
              <w:t>95</w:t>
            </w:r>
          </w:p>
        </w:tc>
        <w:tc>
          <w:tcPr>
            <w:tcW w:w="555" w:type="dxa"/>
            <w:tcBorders>
              <w:bottom w:val="single" w:sz="8" w:space="0" w:color="auto"/>
            </w:tcBorders>
            <w:vAlign w:val="center"/>
          </w:tcPr>
          <w:p w:rsidR="00737F6B" w:rsidRDefault="00737F6B" w:rsidP="00737F6B">
            <w:pPr>
              <w:pStyle w:val="Table3heading"/>
            </w:pPr>
            <w:r>
              <w:t>96</w:t>
            </w:r>
          </w:p>
        </w:tc>
        <w:tc>
          <w:tcPr>
            <w:tcW w:w="555" w:type="dxa"/>
            <w:tcBorders>
              <w:bottom w:val="single" w:sz="8" w:space="0" w:color="auto"/>
            </w:tcBorders>
            <w:vAlign w:val="center"/>
          </w:tcPr>
          <w:p w:rsidR="00737F6B" w:rsidRDefault="00737F6B" w:rsidP="00737F6B">
            <w:pPr>
              <w:pStyle w:val="Table3heading"/>
            </w:pPr>
            <w:r>
              <w:t>97</w:t>
            </w:r>
          </w:p>
        </w:tc>
        <w:tc>
          <w:tcPr>
            <w:tcW w:w="555" w:type="dxa"/>
            <w:tcBorders>
              <w:bottom w:val="single" w:sz="8" w:space="0" w:color="auto"/>
            </w:tcBorders>
            <w:vAlign w:val="center"/>
          </w:tcPr>
          <w:p w:rsidR="00737F6B" w:rsidRDefault="00737F6B" w:rsidP="00737F6B">
            <w:pPr>
              <w:pStyle w:val="Table3heading"/>
            </w:pPr>
            <w:r>
              <w:t>98</w:t>
            </w:r>
          </w:p>
        </w:tc>
        <w:tc>
          <w:tcPr>
            <w:tcW w:w="556" w:type="dxa"/>
            <w:tcBorders>
              <w:bottom w:val="single" w:sz="8" w:space="0" w:color="auto"/>
            </w:tcBorders>
            <w:vAlign w:val="center"/>
          </w:tcPr>
          <w:p w:rsidR="00737F6B" w:rsidRDefault="00737F6B" w:rsidP="00737F6B">
            <w:pPr>
              <w:pStyle w:val="Table3heading"/>
            </w:pPr>
            <w:r>
              <w:t>99</w:t>
            </w:r>
          </w:p>
        </w:tc>
        <w:tc>
          <w:tcPr>
            <w:tcW w:w="556" w:type="dxa"/>
            <w:tcBorders>
              <w:bottom w:val="single" w:sz="8" w:space="0" w:color="auto"/>
            </w:tcBorders>
            <w:vAlign w:val="center"/>
          </w:tcPr>
          <w:p w:rsidR="00737F6B" w:rsidRDefault="00737F6B" w:rsidP="00737F6B">
            <w:pPr>
              <w:pStyle w:val="Table3heading"/>
            </w:pPr>
            <w:r>
              <w:t>00</w:t>
            </w:r>
          </w:p>
        </w:tc>
        <w:tc>
          <w:tcPr>
            <w:tcW w:w="556" w:type="dxa"/>
            <w:tcBorders>
              <w:bottom w:val="single" w:sz="8" w:space="0" w:color="auto"/>
            </w:tcBorders>
            <w:vAlign w:val="center"/>
          </w:tcPr>
          <w:p w:rsidR="00737F6B" w:rsidRDefault="00737F6B" w:rsidP="00737F6B">
            <w:pPr>
              <w:pStyle w:val="Table3heading"/>
            </w:pPr>
            <w:r>
              <w:t>01</w:t>
            </w:r>
          </w:p>
        </w:tc>
        <w:tc>
          <w:tcPr>
            <w:tcW w:w="556" w:type="dxa"/>
            <w:tcBorders>
              <w:bottom w:val="single" w:sz="8" w:space="0" w:color="auto"/>
            </w:tcBorders>
            <w:vAlign w:val="center"/>
          </w:tcPr>
          <w:p w:rsidR="00737F6B" w:rsidRDefault="00737F6B" w:rsidP="00737F6B">
            <w:pPr>
              <w:pStyle w:val="Table3heading"/>
            </w:pPr>
            <w:r>
              <w:t>02</w:t>
            </w:r>
          </w:p>
        </w:tc>
        <w:tc>
          <w:tcPr>
            <w:tcW w:w="556" w:type="dxa"/>
            <w:tcBorders>
              <w:bottom w:val="single" w:sz="8" w:space="0" w:color="auto"/>
            </w:tcBorders>
            <w:vAlign w:val="center"/>
          </w:tcPr>
          <w:p w:rsidR="00737F6B" w:rsidRDefault="00737F6B" w:rsidP="00737F6B">
            <w:pPr>
              <w:pStyle w:val="Table3heading"/>
            </w:pPr>
            <w:r>
              <w:t>03</w:t>
            </w:r>
          </w:p>
        </w:tc>
        <w:tc>
          <w:tcPr>
            <w:tcW w:w="556" w:type="dxa"/>
            <w:tcBorders>
              <w:bottom w:val="single" w:sz="8" w:space="0" w:color="auto"/>
            </w:tcBorders>
            <w:vAlign w:val="center"/>
          </w:tcPr>
          <w:p w:rsidR="00737F6B" w:rsidRDefault="00737F6B" w:rsidP="00737F6B">
            <w:pPr>
              <w:pStyle w:val="Table3heading"/>
            </w:pPr>
            <w:r>
              <w:t>04</w:t>
            </w:r>
          </w:p>
        </w:tc>
        <w:tc>
          <w:tcPr>
            <w:tcW w:w="556" w:type="dxa"/>
            <w:tcBorders>
              <w:bottom w:val="single" w:sz="8" w:space="0" w:color="auto"/>
            </w:tcBorders>
            <w:vAlign w:val="center"/>
          </w:tcPr>
          <w:p w:rsidR="00737F6B" w:rsidRDefault="00737F6B" w:rsidP="00737F6B">
            <w:pPr>
              <w:pStyle w:val="Table3heading"/>
            </w:pPr>
            <w:r>
              <w:t>05</w:t>
            </w:r>
          </w:p>
        </w:tc>
        <w:tc>
          <w:tcPr>
            <w:tcW w:w="556" w:type="dxa"/>
            <w:tcBorders>
              <w:bottom w:val="single" w:sz="8" w:space="0" w:color="auto"/>
            </w:tcBorders>
            <w:vAlign w:val="center"/>
          </w:tcPr>
          <w:p w:rsidR="00737F6B" w:rsidRDefault="00737F6B" w:rsidP="00737F6B">
            <w:pPr>
              <w:pStyle w:val="Table3heading"/>
            </w:pPr>
            <w:r>
              <w:t>06</w:t>
            </w:r>
          </w:p>
        </w:tc>
        <w:tc>
          <w:tcPr>
            <w:tcW w:w="556" w:type="dxa"/>
            <w:tcBorders>
              <w:bottom w:val="single" w:sz="8" w:space="0" w:color="auto"/>
            </w:tcBorders>
            <w:vAlign w:val="center"/>
          </w:tcPr>
          <w:p w:rsidR="00737F6B" w:rsidRDefault="00737F6B" w:rsidP="00737F6B">
            <w:pPr>
              <w:pStyle w:val="Table3heading"/>
            </w:pPr>
            <w:r>
              <w:t>07</w:t>
            </w:r>
          </w:p>
        </w:tc>
        <w:tc>
          <w:tcPr>
            <w:tcW w:w="596" w:type="dxa"/>
            <w:tcBorders>
              <w:bottom w:val="single" w:sz="8" w:space="0" w:color="auto"/>
            </w:tcBorders>
            <w:vAlign w:val="center"/>
          </w:tcPr>
          <w:p w:rsidR="00737F6B" w:rsidRDefault="00737F6B" w:rsidP="00737F6B">
            <w:pPr>
              <w:pStyle w:val="Table3heading"/>
            </w:pPr>
            <w:r>
              <w:t>08</w:t>
            </w:r>
          </w:p>
        </w:tc>
        <w:tc>
          <w:tcPr>
            <w:tcW w:w="556" w:type="dxa"/>
            <w:tcBorders>
              <w:bottom w:val="single" w:sz="8" w:space="0" w:color="auto"/>
            </w:tcBorders>
            <w:vAlign w:val="center"/>
          </w:tcPr>
          <w:p w:rsidR="00737F6B" w:rsidRDefault="00737F6B" w:rsidP="00737F6B">
            <w:pPr>
              <w:pStyle w:val="Table3heading"/>
            </w:pPr>
            <w:r>
              <w:t>09</w:t>
            </w:r>
          </w:p>
        </w:tc>
        <w:tc>
          <w:tcPr>
            <w:tcW w:w="556" w:type="dxa"/>
            <w:tcBorders>
              <w:bottom w:val="single" w:sz="8" w:space="0" w:color="auto"/>
            </w:tcBorders>
            <w:vAlign w:val="center"/>
          </w:tcPr>
          <w:p w:rsidR="00737F6B" w:rsidRDefault="00737F6B" w:rsidP="00737F6B">
            <w:pPr>
              <w:pStyle w:val="Table3heading"/>
            </w:pPr>
            <w:r>
              <w:t>10</w:t>
            </w:r>
          </w:p>
        </w:tc>
        <w:tc>
          <w:tcPr>
            <w:tcW w:w="556" w:type="dxa"/>
            <w:tcBorders>
              <w:bottom w:val="single" w:sz="8" w:space="0" w:color="auto"/>
            </w:tcBorders>
            <w:vAlign w:val="center"/>
          </w:tcPr>
          <w:p w:rsidR="00737F6B" w:rsidRDefault="00737F6B" w:rsidP="00737F6B">
            <w:pPr>
              <w:pStyle w:val="Table3heading"/>
            </w:pPr>
            <w:r>
              <w:t>11</w:t>
            </w:r>
          </w:p>
        </w:tc>
        <w:tc>
          <w:tcPr>
            <w:tcW w:w="816" w:type="dxa"/>
            <w:vMerge/>
            <w:tcBorders>
              <w:bottom w:val="single" w:sz="8" w:space="0" w:color="auto"/>
            </w:tcBorders>
            <w:vAlign w:val="center"/>
          </w:tcPr>
          <w:p w:rsidR="00737F6B" w:rsidRDefault="00737F6B" w:rsidP="00737F6B">
            <w:pPr>
              <w:pStyle w:val="Table3heading"/>
            </w:pPr>
          </w:p>
        </w:tc>
      </w:tr>
      <w:tr w:rsidR="0019170B" w:rsidTr="004B295C">
        <w:tc>
          <w:tcPr>
            <w:tcW w:w="1097" w:type="dxa"/>
            <w:vMerge w:val="restart"/>
            <w:tcBorders>
              <w:top w:val="single" w:sz="8" w:space="0" w:color="auto"/>
            </w:tcBorders>
            <w:vAlign w:val="center"/>
          </w:tcPr>
          <w:p w:rsidR="0019170B" w:rsidRDefault="0019170B" w:rsidP="00737F6B">
            <w:pPr>
              <w:pStyle w:val="Table3heading"/>
            </w:pPr>
            <w:r w:rsidRPr="00737F6B">
              <w:rPr>
                <w:b/>
              </w:rPr>
              <w:t>Articulated</w:t>
            </w:r>
            <w:r w:rsidRPr="00737F6B">
              <w:rPr>
                <w:b/>
              </w:rPr>
              <w:br/>
              <w:t>vehicles</w:t>
            </w:r>
          </w:p>
        </w:tc>
        <w:tc>
          <w:tcPr>
            <w:tcW w:w="887" w:type="dxa"/>
            <w:tcBorders>
              <w:top w:val="single" w:sz="8" w:space="0" w:color="auto"/>
            </w:tcBorders>
            <w:vAlign w:val="center"/>
          </w:tcPr>
          <w:p w:rsidR="0019170B" w:rsidRPr="0019170B" w:rsidRDefault="0019170B" w:rsidP="0019170B">
            <w:pPr>
              <w:pStyle w:val="Table3heading"/>
            </w:pPr>
            <w:r w:rsidRPr="0019170B">
              <w:t>NSW</w:t>
            </w:r>
          </w:p>
        </w:tc>
        <w:tc>
          <w:tcPr>
            <w:tcW w:w="560" w:type="dxa"/>
            <w:tcBorders>
              <w:top w:val="single" w:sz="8" w:space="0" w:color="auto"/>
            </w:tcBorders>
            <w:vAlign w:val="center"/>
          </w:tcPr>
          <w:p w:rsidR="0019170B" w:rsidRPr="0019170B" w:rsidRDefault="0019170B" w:rsidP="0019170B">
            <w:pPr>
              <w:pStyle w:val="Table3heading"/>
            </w:pPr>
            <w:r w:rsidRPr="0019170B">
              <w:t>143</w:t>
            </w:r>
          </w:p>
        </w:tc>
        <w:tc>
          <w:tcPr>
            <w:tcW w:w="553" w:type="dxa"/>
            <w:tcBorders>
              <w:top w:val="single" w:sz="8" w:space="0" w:color="auto"/>
            </w:tcBorders>
            <w:vAlign w:val="center"/>
          </w:tcPr>
          <w:p w:rsidR="0019170B" w:rsidRPr="0019170B" w:rsidRDefault="0019170B" w:rsidP="0019170B">
            <w:pPr>
              <w:pStyle w:val="Table3heading"/>
            </w:pPr>
            <w:r w:rsidRPr="0019170B">
              <w:t>94</w:t>
            </w:r>
          </w:p>
        </w:tc>
        <w:tc>
          <w:tcPr>
            <w:tcW w:w="553" w:type="dxa"/>
            <w:tcBorders>
              <w:top w:val="single" w:sz="8" w:space="0" w:color="auto"/>
            </w:tcBorders>
            <w:vAlign w:val="center"/>
          </w:tcPr>
          <w:p w:rsidR="0019170B" w:rsidRPr="0019170B" w:rsidRDefault="0019170B" w:rsidP="0019170B">
            <w:pPr>
              <w:pStyle w:val="Table3heading"/>
            </w:pPr>
            <w:r w:rsidRPr="0019170B">
              <w:t>78</w:t>
            </w:r>
          </w:p>
        </w:tc>
        <w:tc>
          <w:tcPr>
            <w:tcW w:w="553" w:type="dxa"/>
            <w:tcBorders>
              <w:top w:val="single" w:sz="8" w:space="0" w:color="auto"/>
            </w:tcBorders>
            <w:vAlign w:val="center"/>
          </w:tcPr>
          <w:p w:rsidR="0019170B" w:rsidRPr="0019170B" w:rsidRDefault="0019170B" w:rsidP="0019170B">
            <w:pPr>
              <w:pStyle w:val="Table3heading"/>
            </w:pPr>
            <w:r w:rsidRPr="0019170B">
              <w:t>84</w:t>
            </w:r>
          </w:p>
        </w:tc>
        <w:tc>
          <w:tcPr>
            <w:tcW w:w="554" w:type="dxa"/>
            <w:tcBorders>
              <w:top w:val="single" w:sz="8" w:space="0" w:color="auto"/>
            </w:tcBorders>
            <w:vAlign w:val="center"/>
          </w:tcPr>
          <w:p w:rsidR="0019170B" w:rsidRPr="0019170B" w:rsidRDefault="0019170B" w:rsidP="0019170B">
            <w:pPr>
              <w:pStyle w:val="Table3heading"/>
            </w:pPr>
            <w:r w:rsidRPr="0019170B">
              <w:t>69</w:t>
            </w:r>
          </w:p>
        </w:tc>
        <w:tc>
          <w:tcPr>
            <w:tcW w:w="554" w:type="dxa"/>
            <w:tcBorders>
              <w:top w:val="single" w:sz="8" w:space="0" w:color="auto"/>
            </w:tcBorders>
            <w:vAlign w:val="center"/>
          </w:tcPr>
          <w:p w:rsidR="0019170B" w:rsidRPr="0019170B" w:rsidRDefault="0019170B" w:rsidP="0019170B">
            <w:pPr>
              <w:pStyle w:val="Table3heading"/>
            </w:pPr>
            <w:r w:rsidRPr="0019170B">
              <w:t>67</w:t>
            </w:r>
          </w:p>
        </w:tc>
        <w:tc>
          <w:tcPr>
            <w:tcW w:w="554" w:type="dxa"/>
            <w:tcBorders>
              <w:top w:val="single" w:sz="8" w:space="0" w:color="auto"/>
            </w:tcBorders>
            <w:vAlign w:val="center"/>
          </w:tcPr>
          <w:p w:rsidR="0019170B" w:rsidRPr="0019170B" w:rsidRDefault="0019170B" w:rsidP="0019170B">
            <w:pPr>
              <w:pStyle w:val="Table3heading"/>
            </w:pPr>
            <w:r w:rsidRPr="0019170B">
              <w:t>63</w:t>
            </w:r>
          </w:p>
        </w:tc>
        <w:tc>
          <w:tcPr>
            <w:tcW w:w="555" w:type="dxa"/>
            <w:tcBorders>
              <w:top w:val="single" w:sz="8" w:space="0" w:color="auto"/>
            </w:tcBorders>
            <w:vAlign w:val="center"/>
          </w:tcPr>
          <w:p w:rsidR="0019170B" w:rsidRPr="0019170B" w:rsidRDefault="0019170B" w:rsidP="0019170B">
            <w:pPr>
              <w:pStyle w:val="Table3heading"/>
            </w:pPr>
            <w:r w:rsidRPr="0019170B">
              <w:t>56</w:t>
            </w:r>
          </w:p>
        </w:tc>
        <w:tc>
          <w:tcPr>
            <w:tcW w:w="555" w:type="dxa"/>
            <w:tcBorders>
              <w:top w:val="single" w:sz="8" w:space="0" w:color="auto"/>
            </w:tcBorders>
            <w:vAlign w:val="center"/>
          </w:tcPr>
          <w:p w:rsidR="0019170B" w:rsidRPr="0019170B" w:rsidRDefault="0019170B" w:rsidP="0019170B">
            <w:pPr>
              <w:pStyle w:val="Table3heading"/>
            </w:pPr>
            <w:r w:rsidRPr="0019170B">
              <w:t>71</w:t>
            </w:r>
          </w:p>
        </w:tc>
        <w:tc>
          <w:tcPr>
            <w:tcW w:w="555" w:type="dxa"/>
            <w:tcBorders>
              <w:top w:val="single" w:sz="8" w:space="0" w:color="auto"/>
            </w:tcBorders>
            <w:vAlign w:val="center"/>
          </w:tcPr>
          <w:p w:rsidR="0019170B" w:rsidRPr="0019170B" w:rsidRDefault="0019170B" w:rsidP="0019170B">
            <w:pPr>
              <w:pStyle w:val="Table3heading"/>
            </w:pPr>
            <w:r w:rsidRPr="0019170B">
              <w:t>71</w:t>
            </w:r>
          </w:p>
        </w:tc>
        <w:tc>
          <w:tcPr>
            <w:tcW w:w="556" w:type="dxa"/>
            <w:tcBorders>
              <w:top w:val="single" w:sz="8" w:space="0" w:color="auto"/>
            </w:tcBorders>
            <w:vAlign w:val="center"/>
          </w:tcPr>
          <w:p w:rsidR="0019170B" w:rsidRPr="0019170B" w:rsidRDefault="0019170B" w:rsidP="0019170B">
            <w:pPr>
              <w:pStyle w:val="Table3heading"/>
            </w:pPr>
            <w:r w:rsidRPr="0019170B">
              <w:t>64</w:t>
            </w:r>
          </w:p>
        </w:tc>
        <w:tc>
          <w:tcPr>
            <w:tcW w:w="556" w:type="dxa"/>
            <w:tcBorders>
              <w:top w:val="single" w:sz="8" w:space="0" w:color="auto"/>
            </w:tcBorders>
            <w:vAlign w:val="center"/>
          </w:tcPr>
          <w:p w:rsidR="0019170B" w:rsidRPr="0019170B" w:rsidRDefault="0019170B" w:rsidP="0019170B">
            <w:pPr>
              <w:pStyle w:val="Table3heading"/>
            </w:pPr>
            <w:r w:rsidRPr="0019170B">
              <w:t>84</w:t>
            </w:r>
          </w:p>
        </w:tc>
        <w:tc>
          <w:tcPr>
            <w:tcW w:w="556" w:type="dxa"/>
            <w:tcBorders>
              <w:top w:val="single" w:sz="8" w:space="0" w:color="auto"/>
            </w:tcBorders>
            <w:vAlign w:val="center"/>
          </w:tcPr>
          <w:p w:rsidR="0019170B" w:rsidRPr="0019170B" w:rsidRDefault="0019170B" w:rsidP="0019170B">
            <w:pPr>
              <w:pStyle w:val="Table3heading"/>
            </w:pPr>
            <w:r w:rsidRPr="0019170B">
              <w:t>60</w:t>
            </w:r>
          </w:p>
        </w:tc>
        <w:tc>
          <w:tcPr>
            <w:tcW w:w="556" w:type="dxa"/>
            <w:tcBorders>
              <w:top w:val="single" w:sz="8" w:space="0" w:color="auto"/>
            </w:tcBorders>
            <w:vAlign w:val="center"/>
          </w:tcPr>
          <w:p w:rsidR="0019170B" w:rsidRPr="0019170B" w:rsidRDefault="0019170B" w:rsidP="0019170B">
            <w:pPr>
              <w:pStyle w:val="Table3heading"/>
            </w:pPr>
            <w:r w:rsidRPr="0019170B">
              <w:t>86</w:t>
            </w:r>
          </w:p>
        </w:tc>
        <w:tc>
          <w:tcPr>
            <w:tcW w:w="556" w:type="dxa"/>
            <w:tcBorders>
              <w:top w:val="single" w:sz="8" w:space="0" w:color="auto"/>
            </w:tcBorders>
            <w:vAlign w:val="center"/>
          </w:tcPr>
          <w:p w:rsidR="0019170B" w:rsidRPr="0019170B" w:rsidRDefault="0019170B" w:rsidP="0019170B">
            <w:pPr>
              <w:pStyle w:val="Table3heading"/>
            </w:pPr>
            <w:r w:rsidRPr="0019170B">
              <w:t>63</w:t>
            </w:r>
          </w:p>
        </w:tc>
        <w:tc>
          <w:tcPr>
            <w:tcW w:w="556" w:type="dxa"/>
            <w:tcBorders>
              <w:top w:val="single" w:sz="8" w:space="0" w:color="auto"/>
            </w:tcBorders>
            <w:vAlign w:val="center"/>
          </w:tcPr>
          <w:p w:rsidR="0019170B" w:rsidRPr="0019170B" w:rsidRDefault="0019170B" w:rsidP="0019170B">
            <w:pPr>
              <w:pStyle w:val="Table3heading"/>
            </w:pPr>
            <w:r w:rsidRPr="0019170B">
              <w:t>64</w:t>
            </w:r>
          </w:p>
        </w:tc>
        <w:tc>
          <w:tcPr>
            <w:tcW w:w="556" w:type="dxa"/>
            <w:tcBorders>
              <w:top w:val="single" w:sz="8" w:space="0" w:color="auto"/>
            </w:tcBorders>
            <w:vAlign w:val="center"/>
          </w:tcPr>
          <w:p w:rsidR="0019170B" w:rsidRPr="0019170B" w:rsidRDefault="0019170B" w:rsidP="0019170B">
            <w:pPr>
              <w:pStyle w:val="Table3heading"/>
            </w:pPr>
            <w:r w:rsidRPr="0019170B">
              <w:t>52</w:t>
            </w:r>
          </w:p>
        </w:tc>
        <w:tc>
          <w:tcPr>
            <w:tcW w:w="556" w:type="dxa"/>
            <w:tcBorders>
              <w:top w:val="single" w:sz="8" w:space="0" w:color="auto"/>
            </w:tcBorders>
            <w:vAlign w:val="center"/>
          </w:tcPr>
          <w:p w:rsidR="0019170B" w:rsidRPr="0019170B" w:rsidRDefault="0019170B" w:rsidP="0019170B">
            <w:pPr>
              <w:pStyle w:val="Table3heading"/>
            </w:pPr>
            <w:r w:rsidRPr="0019170B">
              <w:t>69</w:t>
            </w:r>
          </w:p>
        </w:tc>
        <w:tc>
          <w:tcPr>
            <w:tcW w:w="556" w:type="dxa"/>
            <w:tcBorders>
              <w:top w:val="single" w:sz="8" w:space="0" w:color="auto"/>
            </w:tcBorders>
            <w:vAlign w:val="center"/>
          </w:tcPr>
          <w:p w:rsidR="0019170B" w:rsidRPr="0019170B" w:rsidRDefault="0019170B" w:rsidP="0019170B">
            <w:pPr>
              <w:pStyle w:val="Table3heading"/>
            </w:pPr>
            <w:r w:rsidRPr="0019170B">
              <w:t>59</w:t>
            </w:r>
          </w:p>
        </w:tc>
        <w:tc>
          <w:tcPr>
            <w:tcW w:w="596" w:type="dxa"/>
            <w:tcBorders>
              <w:top w:val="single" w:sz="8" w:space="0" w:color="auto"/>
            </w:tcBorders>
            <w:vAlign w:val="center"/>
          </w:tcPr>
          <w:p w:rsidR="0019170B" w:rsidRPr="0019170B" w:rsidRDefault="0019170B" w:rsidP="0019170B">
            <w:pPr>
              <w:pStyle w:val="Table3heading"/>
            </w:pPr>
            <w:r w:rsidRPr="0019170B">
              <w:t>53</w:t>
            </w:r>
          </w:p>
        </w:tc>
        <w:tc>
          <w:tcPr>
            <w:tcW w:w="556" w:type="dxa"/>
            <w:tcBorders>
              <w:top w:val="single" w:sz="8" w:space="0" w:color="auto"/>
            </w:tcBorders>
            <w:vAlign w:val="center"/>
          </w:tcPr>
          <w:p w:rsidR="0019170B" w:rsidRPr="0019170B" w:rsidRDefault="0019170B" w:rsidP="0019170B">
            <w:pPr>
              <w:pStyle w:val="Table3heading"/>
            </w:pPr>
            <w:r w:rsidRPr="0019170B">
              <w:t>47</w:t>
            </w:r>
          </w:p>
        </w:tc>
        <w:tc>
          <w:tcPr>
            <w:tcW w:w="556" w:type="dxa"/>
            <w:tcBorders>
              <w:top w:val="single" w:sz="8" w:space="0" w:color="auto"/>
            </w:tcBorders>
            <w:vAlign w:val="center"/>
          </w:tcPr>
          <w:p w:rsidR="0019170B" w:rsidRPr="0019170B" w:rsidRDefault="0019170B" w:rsidP="0019170B">
            <w:pPr>
              <w:pStyle w:val="Table3heading"/>
            </w:pPr>
            <w:r w:rsidRPr="0019170B">
              <w:t>51</w:t>
            </w:r>
          </w:p>
        </w:tc>
        <w:tc>
          <w:tcPr>
            <w:tcW w:w="556" w:type="dxa"/>
            <w:tcBorders>
              <w:top w:val="single" w:sz="8" w:space="0" w:color="auto"/>
            </w:tcBorders>
            <w:vAlign w:val="center"/>
          </w:tcPr>
          <w:p w:rsidR="0019170B" w:rsidRPr="0019170B" w:rsidRDefault="0019170B" w:rsidP="0019170B">
            <w:pPr>
              <w:pStyle w:val="Table3heading"/>
            </w:pPr>
            <w:r w:rsidRPr="0019170B">
              <w:t>51</w:t>
            </w:r>
          </w:p>
        </w:tc>
        <w:tc>
          <w:tcPr>
            <w:tcW w:w="816" w:type="dxa"/>
            <w:tcBorders>
              <w:top w:val="single" w:sz="8" w:space="0" w:color="auto"/>
            </w:tcBorders>
            <w:vAlign w:val="center"/>
          </w:tcPr>
          <w:p w:rsidR="0019170B" w:rsidRPr="0019170B" w:rsidRDefault="0019170B" w:rsidP="0019170B">
            <w:pPr>
              <w:pStyle w:val="Table3heading"/>
            </w:pPr>
            <w:r w:rsidRPr="0019170B">
              <w:t>62</w:t>
            </w:r>
          </w:p>
        </w:tc>
      </w:tr>
      <w:tr w:rsidR="0019170B" w:rsidTr="004B295C">
        <w:tc>
          <w:tcPr>
            <w:tcW w:w="1097" w:type="dxa"/>
            <w:vMerge/>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VIC</w:t>
            </w:r>
          </w:p>
        </w:tc>
        <w:tc>
          <w:tcPr>
            <w:tcW w:w="560" w:type="dxa"/>
            <w:vAlign w:val="center"/>
          </w:tcPr>
          <w:p w:rsidR="0019170B" w:rsidRPr="0019170B" w:rsidRDefault="0019170B" w:rsidP="0019170B">
            <w:pPr>
              <w:pStyle w:val="Table3heading"/>
            </w:pPr>
            <w:r w:rsidRPr="0019170B">
              <w:t>68</w:t>
            </w:r>
          </w:p>
        </w:tc>
        <w:tc>
          <w:tcPr>
            <w:tcW w:w="553" w:type="dxa"/>
            <w:vAlign w:val="center"/>
          </w:tcPr>
          <w:p w:rsidR="0019170B" w:rsidRPr="0019170B" w:rsidRDefault="0019170B" w:rsidP="0019170B">
            <w:pPr>
              <w:pStyle w:val="Table3heading"/>
            </w:pPr>
            <w:r w:rsidRPr="0019170B">
              <w:t>68</w:t>
            </w:r>
          </w:p>
        </w:tc>
        <w:tc>
          <w:tcPr>
            <w:tcW w:w="553" w:type="dxa"/>
            <w:vAlign w:val="center"/>
          </w:tcPr>
          <w:p w:rsidR="0019170B" w:rsidRPr="0019170B" w:rsidRDefault="0019170B" w:rsidP="0019170B">
            <w:pPr>
              <w:pStyle w:val="Table3heading"/>
            </w:pPr>
            <w:r w:rsidRPr="0019170B">
              <w:t>40</w:t>
            </w:r>
          </w:p>
        </w:tc>
        <w:tc>
          <w:tcPr>
            <w:tcW w:w="553" w:type="dxa"/>
            <w:vAlign w:val="center"/>
          </w:tcPr>
          <w:p w:rsidR="0019170B" w:rsidRPr="0019170B" w:rsidRDefault="0019170B" w:rsidP="0019170B">
            <w:pPr>
              <w:pStyle w:val="Table3heading"/>
            </w:pPr>
            <w:r w:rsidRPr="0019170B">
              <w:t>32</w:t>
            </w:r>
          </w:p>
        </w:tc>
        <w:tc>
          <w:tcPr>
            <w:tcW w:w="554" w:type="dxa"/>
            <w:vAlign w:val="center"/>
          </w:tcPr>
          <w:p w:rsidR="0019170B" w:rsidRPr="0019170B" w:rsidRDefault="0019170B" w:rsidP="0019170B">
            <w:pPr>
              <w:pStyle w:val="Table3heading"/>
            </w:pPr>
            <w:r w:rsidRPr="0019170B">
              <w:t>50</w:t>
            </w:r>
          </w:p>
        </w:tc>
        <w:tc>
          <w:tcPr>
            <w:tcW w:w="554" w:type="dxa"/>
            <w:vAlign w:val="center"/>
          </w:tcPr>
          <w:p w:rsidR="0019170B" w:rsidRPr="0019170B" w:rsidRDefault="0019170B" w:rsidP="0019170B">
            <w:pPr>
              <w:pStyle w:val="Table3heading"/>
            </w:pPr>
            <w:r w:rsidRPr="0019170B">
              <w:t>38</w:t>
            </w:r>
          </w:p>
        </w:tc>
        <w:tc>
          <w:tcPr>
            <w:tcW w:w="554" w:type="dxa"/>
            <w:vAlign w:val="center"/>
          </w:tcPr>
          <w:p w:rsidR="0019170B" w:rsidRPr="0019170B" w:rsidRDefault="0019170B" w:rsidP="0019170B">
            <w:pPr>
              <w:pStyle w:val="Table3heading"/>
            </w:pPr>
            <w:r w:rsidRPr="0019170B">
              <w:t>38</w:t>
            </w:r>
          </w:p>
        </w:tc>
        <w:tc>
          <w:tcPr>
            <w:tcW w:w="555" w:type="dxa"/>
            <w:vAlign w:val="center"/>
          </w:tcPr>
          <w:p w:rsidR="0019170B" w:rsidRPr="0019170B" w:rsidRDefault="0019170B" w:rsidP="0019170B">
            <w:pPr>
              <w:pStyle w:val="Table3heading"/>
            </w:pPr>
            <w:r w:rsidRPr="0019170B">
              <w:t>39</w:t>
            </w:r>
          </w:p>
        </w:tc>
        <w:tc>
          <w:tcPr>
            <w:tcW w:w="555" w:type="dxa"/>
            <w:vAlign w:val="center"/>
          </w:tcPr>
          <w:p w:rsidR="0019170B" w:rsidRPr="0019170B" w:rsidRDefault="0019170B" w:rsidP="0019170B">
            <w:pPr>
              <w:pStyle w:val="Table3heading"/>
            </w:pPr>
            <w:r w:rsidRPr="0019170B">
              <w:t>27</w:t>
            </w:r>
          </w:p>
        </w:tc>
        <w:tc>
          <w:tcPr>
            <w:tcW w:w="555" w:type="dxa"/>
            <w:vAlign w:val="center"/>
          </w:tcPr>
          <w:p w:rsidR="0019170B" w:rsidRPr="0019170B" w:rsidRDefault="0019170B" w:rsidP="0019170B">
            <w:pPr>
              <w:pStyle w:val="Table3heading"/>
            </w:pPr>
            <w:r w:rsidRPr="0019170B">
              <w:t>32</w:t>
            </w:r>
          </w:p>
        </w:tc>
        <w:tc>
          <w:tcPr>
            <w:tcW w:w="556" w:type="dxa"/>
            <w:vAlign w:val="center"/>
          </w:tcPr>
          <w:p w:rsidR="0019170B" w:rsidRPr="0019170B" w:rsidRDefault="0019170B" w:rsidP="0019170B">
            <w:pPr>
              <w:pStyle w:val="Table3heading"/>
            </w:pPr>
            <w:r w:rsidRPr="0019170B">
              <w:t>39</w:t>
            </w:r>
          </w:p>
        </w:tc>
        <w:tc>
          <w:tcPr>
            <w:tcW w:w="556" w:type="dxa"/>
            <w:vAlign w:val="center"/>
          </w:tcPr>
          <w:p w:rsidR="0019170B" w:rsidRPr="0019170B" w:rsidRDefault="0019170B" w:rsidP="0019170B">
            <w:pPr>
              <w:pStyle w:val="Table3heading"/>
            </w:pPr>
            <w:r w:rsidRPr="0019170B">
              <w:t>40</w:t>
            </w:r>
          </w:p>
        </w:tc>
        <w:tc>
          <w:tcPr>
            <w:tcW w:w="556" w:type="dxa"/>
            <w:vAlign w:val="center"/>
          </w:tcPr>
          <w:p w:rsidR="0019170B" w:rsidRPr="0019170B" w:rsidRDefault="0019170B" w:rsidP="0019170B">
            <w:pPr>
              <w:pStyle w:val="Table3heading"/>
            </w:pPr>
            <w:r w:rsidRPr="0019170B">
              <w:t>45</w:t>
            </w:r>
          </w:p>
        </w:tc>
        <w:tc>
          <w:tcPr>
            <w:tcW w:w="556" w:type="dxa"/>
            <w:vAlign w:val="center"/>
          </w:tcPr>
          <w:p w:rsidR="0019170B" w:rsidRPr="0019170B" w:rsidRDefault="0019170B" w:rsidP="0019170B">
            <w:pPr>
              <w:pStyle w:val="Table3heading"/>
            </w:pPr>
            <w:r w:rsidRPr="0019170B">
              <w:t>49</w:t>
            </w:r>
          </w:p>
        </w:tc>
        <w:tc>
          <w:tcPr>
            <w:tcW w:w="556" w:type="dxa"/>
            <w:vAlign w:val="center"/>
          </w:tcPr>
          <w:p w:rsidR="0019170B" w:rsidRPr="0019170B" w:rsidRDefault="0019170B" w:rsidP="0019170B">
            <w:pPr>
              <w:pStyle w:val="Table3heading"/>
            </w:pPr>
            <w:r w:rsidRPr="0019170B">
              <w:t>41</w:t>
            </w:r>
          </w:p>
        </w:tc>
        <w:tc>
          <w:tcPr>
            <w:tcW w:w="556" w:type="dxa"/>
            <w:vAlign w:val="center"/>
          </w:tcPr>
          <w:p w:rsidR="0019170B" w:rsidRPr="0019170B" w:rsidRDefault="0019170B" w:rsidP="0019170B">
            <w:pPr>
              <w:pStyle w:val="Table3heading"/>
            </w:pPr>
            <w:r w:rsidRPr="0019170B">
              <w:t>37</w:t>
            </w:r>
          </w:p>
        </w:tc>
        <w:tc>
          <w:tcPr>
            <w:tcW w:w="556" w:type="dxa"/>
            <w:vAlign w:val="center"/>
          </w:tcPr>
          <w:p w:rsidR="0019170B" w:rsidRPr="0019170B" w:rsidRDefault="0019170B" w:rsidP="0019170B">
            <w:pPr>
              <w:pStyle w:val="Table3heading"/>
            </w:pPr>
            <w:r w:rsidRPr="0019170B">
              <w:t>32</w:t>
            </w:r>
          </w:p>
        </w:tc>
        <w:tc>
          <w:tcPr>
            <w:tcW w:w="556" w:type="dxa"/>
            <w:vAlign w:val="center"/>
          </w:tcPr>
          <w:p w:rsidR="0019170B" w:rsidRPr="0019170B" w:rsidRDefault="0019170B" w:rsidP="0019170B">
            <w:pPr>
              <w:pStyle w:val="Table3heading"/>
            </w:pPr>
            <w:r w:rsidRPr="0019170B">
              <w:t>31</w:t>
            </w:r>
          </w:p>
        </w:tc>
        <w:tc>
          <w:tcPr>
            <w:tcW w:w="556" w:type="dxa"/>
            <w:vAlign w:val="center"/>
          </w:tcPr>
          <w:p w:rsidR="0019170B" w:rsidRPr="0019170B" w:rsidRDefault="0019170B" w:rsidP="0019170B">
            <w:pPr>
              <w:pStyle w:val="Table3heading"/>
            </w:pPr>
            <w:r w:rsidRPr="0019170B">
              <w:t>48</w:t>
            </w:r>
          </w:p>
        </w:tc>
        <w:tc>
          <w:tcPr>
            <w:tcW w:w="596" w:type="dxa"/>
            <w:vAlign w:val="center"/>
          </w:tcPr>
          <w:p w:rsidR="0019170B" w:rsidRPr="0019170B" w:rsidRDefault="0019170B" w:rsidP="0019170B">
            <w:pPr>
              <w:pStyle w:val="Table3heading"/>
            </w:pPr>
            <w:r w:rsidRPr="0019170B">
              <w:t>23</w:t>
            </w:r>
          </w:p>
        </w:tc>
        <w:tc>
          <w:tcPr>
            <w:tcW w:w="556" w:type="dxa"/>
            <w:vAlign w:val="center"/>
          </w:tcPr>
          <w:p w:rsidR="0019170B" w:rsidRPr="0019170B" w:rsidRDefault="0019170B" w:rsidP="0019170B">
            <w:pPr>
              <w:pStyle w:val="Table3heading"/>
            </w:pPr>
            <w:r w:rsidRPr="0019170B">
              <w:t>20</w:t>
            </w:r>
          </w:p>
        </w:tc>
        <w:tc>
          <w:tcPr>
            <w:tcW w:w="556" w:type="dxa"/>
            <w:vAlign w:val="center"/>
          </w:tcPr>
          <w:p w:rsidR="0019170B" w:rsidRPr="0019170B" w:rsidRDefault="0019170B" w:rsidP="0019170B">
            <w:pPr>
              <w:pStyle w:val="Table3heading"/>
            </w:pPr>
            <w:r w:rsidRPr="0019170B">
              <w:t>36</w:t>
            </w:r>
          </w:p>
        </w:tc>
        <w:tc>
          <w:tcPr>
            <w:tcW w:w="556" w:type="dxa"/>
            <w:vAlign w:val="center"/>
          </w:tcPr>
          <w:p w:rsidR="0019170B" w:rsidRPr="0019170B" w:rsidRDefault="0019170B" w:rsidP="0019170B">
            <w:pPr>
              <w:pStyle w:val="Table3heading"/>
            </w:pPr>
            <w:r w:rsidRPr="0019170B">
              <w:t>23</w:t>
            </w:r>
          </w:p>
        </w:tc>
        <w:tc>
          <w:tcPr>
            <w:tcW w:w="816" w:type="dxa"/>
            <w:vAlign w:val="center"/>
          </w:tcPr>
          <w:p w:rsidR="0019170B" w:rsidRPr="0019170B" w:rsidRDefault="0019170B" w:rsidP="0019170B">
            <w:pPr>
              <w:pStyle w:val="Table3heading"/>
            </w:pPr>
            <w:r w:rsidRPr="0019170B">
              <w:t>35</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QLD</w:t>
            </w:r>
          </w:p>
        </w:tc>
        <w:tc>
          <w:tcPr>
            <w:tcW w:w="560" w:type="dxa"/>
            <w:vAlign w:val="center"/>
          </w:tcPr>
          <w:p w:rsidR="0019170B" w:rsidRPr="0019170B" w:rsidRDefault="0019170B" w:rsidP="0019170B">
            <w:pPr>
              <w:pStyle w:val="Table3heading"/>
            </w:pPr>
            <w:r w:rsidRPr="0019170B">
              <w:t>60</w:t>
            </w:r>
          </w:p>
        </w:tc>
        <w:tc>
          <w:tcPr>
            <w:tcW w:w="553" w:type="dxa"/>
            <w:vAlign w:val="center"/>
          </w:tcPr>
          <w:p w:rsidR="0019170B" w:rsidRPr="0019170B" w:rsidRDefault="0019170B" w:rsidP="0019170B">
            <w:pPr>
              <w:pStyle w:val="Table3heading"/>
            </w:pPr>
            <w:r w:rsidRPr="0019170B">
              <w:t>37</w:t>
            </w:r>
          </w:p>
        </w:tc>
        <w:tc>
          <w:tcPr>
            <w:tcW w:w="553" w:type="dxa"/>
            <w:vAlign w:val="center"/>
          </w:tcPr>
          <w:p w:rsidR="0019170B" w:rsidRPr="0019170B" w:rsidRDefault="0019170B" w:rsidP="0019170B">
            <w:pPr>
              <w:pStyle w:val="Table3heading"/>
            </w:pPr>
            <w:r w:rsidRPr="0019170B">
              <w:t>26</w:t>
            </w:r>
          </w:p>
        </w:tc>
        <w:tc>
          <w:tcPr>
            <w:tcW w:w="553" w:type="dxa"/>
            <w:vAlign w:val="center"/>
          </w:tcPr>
          <w:p w:rsidR="0019170B" w:rsidRPr="0019170B" w:rsidRDefault="0019170B" w:rsidP="0019170B">
            <w:pPr>
              <w:pStyle w:val="Table3heading"/>
            </w:pPr>
            <w:r w:rsidRPr="0019170B">
              <w:t>38</w:t>
            </w:r>
          </w:p>
        </w:tc>
        <w:tc>
          <w:tcPr>
            <w:tcW w:w="554" w:type="dxa"/>
            <w:vAlign w:val="center"/>
          </w:tcPr>
          <w:p w:rsidR="0019170B" w:rsidRPr="0019170B" w:rsidRDefault="0019170B" w:rsidP="0019170B">
            <w:pPr>
              <w:pStyle w:val="Table3heading"/>
            </w:pPr>
            <w:r w:rsidRPr="0019170B">
              <w:t>42</w:t>
            </w:r>
          </w:p>
        </w:tc>
        <w:tc>
          <w:tcPr>
            <w:tcW w:w="554" w:type="dxa"/>
            <w:vAlign w:val="center"/>
          </w:tcPr>
          <w:p w:rsidR="0019170B" w:rsidRPr="0019170B" w:rsidRDefault="0019170B" w:rsidP="0019170B">
            <w:pPr>
              <w:pStyle w:val="Table3heading"/>
            </w:pPr>
            <w:r w:rsidRPr="0019170B">
              <w:t>41</w:t>
            </w:r>
          </w:p>
        </w:tc>
        <w:tc>
          <w:tcPr>
            <w:tcW w:w="554" w:type="dxa"/>
            <w:vAlign w:val="center"/>
          </w:tcPr>
          <w:p w:rsidR="0019170B" w:rsidRPr="0019170B" w:rsidRDefault="0019170B" w:rsidP="0019170B">
            <w:pPr>
              <w:pStyle w:val="Table3heading"/>
            </w:pPr>
            <w:r w:rsidRPr="0019170B">
              <w:t>55</w:t>
            </w:r>
          </w:p>
        </w:tc>
        <w:tc>
          <w:tcPr>
            <w:tcW w:w="555" w:type="dxa"/>
            <w:vAlign w:val="center"/>
          </w:tcPr>
          <w:p w:rsidR="0019170B" w:rsidRPr="0019170B" w:rsidRDefault="0019170B" w:rsidP="0019170B">
            <w:pPr>
              <w:pStyle w:val="Table3heading"/>
            </w:pPr>
            <w:r w:rsidRPr="0019170B">
              <w:t>42</w:t>
            </w:r>
          </w:p>
        </w:tc>
        <w:tc>
          <w:tcPr>
            <w:tcW w:w="555" w:type="dxa"/>
            <w:vAlign w:val="center"/>
          </w:tcPr>
          <w:p w:rsidR="0019170B" w:rsidRPr="0019170B" w:rsidRDefault="0019170B" w:rsidP="0019170B">
            <w:pPr>
              <w:pStyle w:val="Table3heading"/>
            </w:pPr>
            <w:r w:rsidRPr="0019170B">
              <w:t>35</w:t>
            </w:r>
          </w:p>
        </w:tc>
        <w:tc>
          <w:tcPr>
            <w:tcW w:w="555" w:type="dxa"/>
            <w:vAlign w:val="center"/>
          </w:tcPr>
          <w:p w:rsidR="0019170B" w:rsidRPr="0019170B" w:rsidRDefault="0019170B" w:rsidP="0019170B">
            <w:pPr>
              <w:pStyle w:val="Table3heading"/>
            </w:pPr>
            <w:r w:rsidRPr="0019170B">
              <w:t>33</w:t>
            </w:r>
          </w:p>
        </w:tc>
        <w:tc>
          <w:tcPr>
            <w:tcW w:w="556" w:type="dxa"/>
            <w:vAlign w:val="center"/>
          </w:tcPr>
          <w:p w:rsidR="0019170B" w:rsidRPr="0019170B" w:rsidRDefault="0019170B" w:rsidP="0019170B">
            <w:pPr>
              <w:pStyle w:val="Table3heading"/>
            </w:pPr>
            <w:r w:rsidRPr="0019170B">
              <w:t>38</w:t>
            </w:r>
          </w:p>
        </w:tc>
        <w:tc>
          <w:tcPr>
            <w:tcW w:w="556" w:type="dxa"/>
            <w:vAlign w:val="center"/>
          </w:tcPr>
          <w:p w:rsidR="0019170B" w:rsidRPr="0019170B" w:rsidRDefault="0019170B" w:rsidP="0019170B">
            <w:pPr>
              <w:pStyle w:val="Table3heading"/>
            </w:pPr>
            <w:r w:rsidRPr="0019170B">
              <w:t>40</w:t>
            </w:r>
          </w:p>
        </w:tc>
        <w:tc>
          <w:tcPr>
            <w:tcW w:w="556" w:type="dxa"/>
            <w:vAlign w:val="center"/>
          </w:tcPr>
          <w:p w:rsidR="0019170B" w:rsidRPr="0019170B" w:rsidRDefault="0019170B" w:rsidP="0019170B">
            <w:pPr>
              <w:pStyle w:val="Table3heading"/>
            </w:pPr>
            <w:r w:rsidRPr="0019170B">
              <w:t>33</w:t>
            </w:r>
          </w:p>
        </w:tc>
        <w:tc>
          <w:tcPr>
            <w:tcW w:w="556" w:type="dxa"/>
            <w:vAlign w:val="center"/>
          </w:tcPr>
          <w:p w:rsidR="0019170B" w:rsidRPr="0019170B" w:rsidRDefault="0019170B" w:rsidP="0019170B">
            <w:pPr>
              <w:pStyle w:val="Table3heading"/>
            </w:pPr>
            <w:r w:rsidRPr="0019170B">
              <w:t>28</w:t>
            </w:r>
          </w:p>
        </w:tc>
        <w:tc>
          <w:tcPr>
            <w:tcW w:w="556" w:type="dxa"/>
            <w:vAlign w:val="center"/>
          </w:tcPr>
          <w:p w:rsidR="0019170B" w:rsidRPr="0019170B" w:rsidRDefault="0019170B" w:rsidP="0019170B">
            <w:pPr>
              <w:pStyle w:val="Table3heading"/>
            </w:pPr>
            <w:r w:rsidRPr="0019170B">
              <w:t>35</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35</w:t>
            </w:r>
          </w:p>
        </w:tc>
        <w:tc>
          <w:tcPr>
            <w:tcW w:w="556" w:type="dxa"/>
            <w:vAlign w:val="center"/>
          </w:tcPr>
          <w:p w:rsidR="0019170B" w:rsidRPr="0019170B" w:rsidRDefault="0019170B" w:rsidP="0019170B">
            <w:pPr>
              <w:pStyle w:val="Table3heading"/>
            </w:pPr>
            <w:r w:rsidRPr="0019170B">
              <w:t>37</w:t>
            </w:r>
          </w:p>
        </w:tc>
        <w:tc>
          <w:tcPr>
            <w:tcW w:w="556" w:type="dxa"/>
            <w:vAlign w:val="center"/>
          </w:tcPr>
          <w:p w:rsidR="0019170B" w:rsidRPr="0019170B" w:rsidRDefault="0019170B" w:rsidP="0019170B">
            <w:pPr>
              <w:pStyle w:val="Table3heading"/>
            </w:pPr>
            <w:r w:rsidRPr="0019170B">
              <w:t>41</w:t>
            </w:r>
          </w:p>
        </w:tc>
        <w:tc>
          <w:tcPr>
            <w:tcW w:w="596" w:type="dxa"/>
            <w:vAlign w:val="center"/>
          </w:tcPr>
          <w:p w:rsidR="0019170B" w:rsidRPr="0019170B" w:rsidRDefault="0019170B" w:rsidP="0019170B">
            <w:pPr>
              <w:pStyle w:val="Table3heading"/>
            </w:pPr>
            <w:r w:rsidRPr="0019170B">
              <w:t>46</w:t>
            </w:r>
          </w:p>
        </w:tc>
        <w:tc>
          <w:tcPr>
            <w:tcW w:w="556" w:type="dxa"/>
            <w:vAlign w:val="center"/>
          </w:tcPr>
          <w:p w:rsidR="0019170B" w:rsidRPr="0019170B" w:rsidRDefault="0019170B" w:rsidP="0019170B">
            <w:pPr>
              <w:pStyle w:val="Table3heading"/>
            </w:pPr>
            <w:r w:rsidRPr="0019170B">
              <w:t>40</w:t>
            </w:r>
          </w:p>
        </w:tc>
        <w:tc>
          <w:tcPr>
            <w:tcW w:w="556" w:type="dxa"/>
            <w:vAlign w:val="center"/>
          </w:tcPr>
          <w:p w:rsidR="0019170B" w:rsidRPr="0019170B" w:rsidRDefault="0019170B" w:rsidP="0019170B">
            <w:pPr>
              <w:pStyle w:val="Table3heading"/>
            </w:pPr>
            <w:r w:rsidRPr="0019170B">
              <w:t>29</w:t>
            </w:r>
          </w:p>
        </w:tc>
        <w:tc>
          <w:tcPr>
            <w:tcW w:w="556" w:type="dxa"/>
            <w:vAlign w:val="center"/>
          </w:tcPr>
          <w:p w:rsidR="0019170B" w:rsidRPr="0019170B" w:rsidRDefault="0019170B" w:rsidP="0019170B">
            <w:pPr>
              <w:pStyle w:val="Table3heading"/>
            </w:pPr>
            <w:r w:rsidRPr="0019170B">
              <w:t>39</w:t>
            </w:r>
          </w:p>
        </w:tc>
        <w:tc>
          <w:tcPr>
            <w:tcW w:w="816" w:type="dxa"/>
            <w:vAlign w:val="center"/>
          </w:tcPr>
          <w:p w:rsidR="0019170B" w:rsidRPr="0019170B" w:rsidRDefault="0019170B" w:rsidP="0019170B">
            <w:pPr>
              <w:pStyle w:val="Table3heading"/>
            </w:pPr>
            <w:r w:rsidRPr="0019170B">
              <w:t>35</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SA</w:t>
            </w:r>
          </w:p>
        </w:tc>
        <w:tc>
          <w:tcPr>
            <w:tcW w:w="560" w:type="dxa"/>
            <w:vAlign w:val="center"/>
          </w:tcPr>
          <w:p w:rsidR="0019170B" w:rsidRPr="0019170B" w:rsidRDefault="0019170B" w:rsidP="0019170B">
            <w:pPr>
              <w:pStyle w:val="Table3heading"/>
            </w:pPr>
            <w:r w:rsidRPr="0019170B">
              <w:t>31</w:t>
            </w:r>
          </w:p>
        </w:tc>
        <w:tc>
          <w:tcPr>
            <w:tcW w:w="553" w:type="dxa"/>
            <w:vAlign w:val="center"/>
          </w:tcPr>
          <w:p w:rsidR="0019170B" w:rsidRPr="0019170B" w:rsidRDefault="0019170B" w:rsidP="0019170B">
            <w:pPr>
              <w:pStyle w:val="Table3heading"/>
            </w:pPr>
            <w:r w:rsidRPr="0019170B">
              <w:t>26</w:t>
            </w:r>
          </w:p>
        </w:tc>
        <w:tc>
          <w:tcPr>
            <w:tcW w:w="553" w:type="dxa"/>
            <w:vAlign w:val="center"/>
          </w:tcPr>
          <w:p w:rsidR="0019170B" w:rsidRPr="0019170B" w:rsidRDefault="0019170B" w:rsidP="0019170B">
            <w:pPr>
              <w:pStyle w:val="Table3heading"/>
            </w:pPr>
            <w:r w:rsidRPr="0019170B">
              <w:t>22</w:t>
            </w:r>
          </w:p>
        </w:tc>
        <w:tc>
          <w:tcPr>
            <w:tcW w:w="553" w:type="dxa"/>
            <w:vAlign w:val="center"/>
          </w:tcPr>
          <w:p w:rsidR="0019170B" w:rsidRPr="0019170B" w:rsidRDefault="0019170B" w:rsidP="0019170B">
            <w:pPr>
              <w:pStyle w:val="Table3heading"/>
            </w:pPr>
            <w:r w:rsidRPr="0019170B">
              <w:t>14</w:t>
            </w:r>
          </w:p>
        </w:tc>
        <w:tc>
          <w:tcPr>
            <w:tcW w:w="554" w:type="dxa"/>
            <w:vAlign w:val="center"/>
          </w:tcPr>
          <w:p w:rsidR="0019170B" w:rsidRPr="0019170B" w:rsidRDefault="0019170B" w:rsidP="0019170B">
            <w:pPr>
              <w:pStyle w:val="Table3heading"/>
            </w:pPr>
            <w:r w:rsidRPr="0019170B">
              <w:t>18</w:t>
            </w:r>
          </w:p>
        </w:tc>
        <w:tc>
          <w:tcPr>
            <w:tcW w:w="554" w:type="dxa"/>
            <w:vAlign w:val="center"/>
          </w:tcPr>
          <w:p w:rsidR="0019170B" w:rsidRPr="0019170B" w:rsidRDefault="0019170B" w:rsidP="0019170B">
            <w:pPr>
              <w:pStyle w:val="Table3heading"/>
            </w:pPr>
            <w:r w:rsidRPr="0019170B">
              <w:t>15</w:t>
            </w:r>
          </w:p>
        </w:tc>
        <w:tc>
          <w:tcPr>
            <w:tcW w:w="554" w:type="dxa"/>
            <w:vAlign w:val="center"/>
          </w:tcPr>
          <w:p w:rsidR="0019170B" w:rsidRPr="0019170B" w:rsidRDefault="0019170B" w:rsidP="0019170B">
            <w:pPr>
              <w:pStyle w:val="Table3heading"/>
            </w:pPr>
            <w:r w:rsidRPr="0019170B">
              <w:t>19</w:t>
            </w:r>
          </w:p>
        </w:tc>
        <w:tc>
          <w:tcPr>
            <w:tcW w:w="555" w:type="dxa"/>
            <w:vAlign w:val="center"/>
          </w:tcPr>
          <w:p w:rsidR="0019170B" w:rsidRPr="0019170B" w:rsidRDefault="0019170B" w:rsidP="0019170B">
            <w:pPr>
              <w:pStyle w:val="Table3heading"/>
            </w:pPr>
            <w:r w:rsidRPr="0019170B">
              <w:t>25</w:t>
            </w:r>
          </w:p>
        </w:tc>
        <w:tc>
          <w:tcPr>
            <w:tcW w:w="555" w:type="dxa"/>
            <w:vAlign w:val="center"/>
          </w:tcPr>
          <w:p w:rsidR="0019170B" w:rsidRPr="0019170B" w:rsidRDefault="0019170B" w:rsidP="0019170B">
            <w:pPr>
              <w:pStyle w:val="Table3heading"/>
            </w:pPr>
            <w:r w:rsidRPr="0019170B">
              <w:t>18</w:t>
            </w:r>
          </w:p>
        </w:tc>
        <w:tc>
          <w:tcPr>
            <w:tcW w:w="555" w:type="dxa"/>
            <w:vAlign w:val="center"/>
          </w:tcPr>
          <w:p w:rsidR="0019170B" w:rsidRPr="0019170B" w:rsidRDefault="0019170B" w:rsidP="0019170B">
            <w:pPr>
              <w:pStyle w:val="Table3heading"/>
            </w:pPr>
            <w:r w:rsidRPr="0019170B">
              <w:t>24</w:t>
            </w:r>
          </w:p>
        </w:tc>
        <w:tc>
          <w:tcPr>
            <w:tcW w:w="556" w:type="dxa"/>
            <w:vAlign w:val="center"/>
          </w:tcPr>
          <w:p w:rsidR="0019170B" w:rsidRPr="0019170B" w:rsidRDefault="0019170B" w:rsidP="0019170B">
            <w:pPr>
              <w:pStyle w:val="Table3heading"/>
            </w:pPr>
            <w:r w:rsidRPr="0019170B">
              <w:t>21</w:t>
            </w:r>
          </w:p>
        </w:tc>
        <w:tc>
          <w:tcPr>
            <w:tcW w:w="556" w:type="dxa"/>
            <w:vAlign w:val="center"/>
          </w:tcPr>
          <w:p w:rsidR="0019170B" w:rsidRPr="0019170B" w:rsidRDefault="0019170B" w:rsidP="0019170B">
            <w:pPr>
              <w:pStyle w:val="Table3heading"/>
            </w:pPr>
            <w:r w:rsidRPr="0019170B">
              <w:t>19</w:t>
            </w:r>
          </w:p>
        </w:tc>
        <w:tc>
          <w:tcPr>
            <w:tcW w:w="556" w:type="dxa"/>
            <w:vAlign w:val="center"/>
          </w:tcPr>
          <w:p w:rsidR="0019170B" w:rsidRPr="0019170B" w:rsidRDefault="0019170B" w:rsidP="0019170B">
            <w:pPr>
              <w:pStyle w:val="Table3heading"/>
            </w:pPr>
            <w:r w:rsidRPr="0019170B">
              <w:t>18</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17</w:t>
            </w:r>
          </w:p>
        </w:tc>
        <w:tc>
          <w:tcPr>
            <w:tcW w:w="556" w:type="dxa"/>
            <w:vAlign w:val="center"/>
          </w:tcPr>
          <w:p w:rsidR="0019170B" w:rsidRPr="0019170B" w:rsidRDefault="0019170B" w:rsidP="0019170B">
            <w:pPr>
              <w:pStyle w:val="Table3heading"/>
            </w:pPr>
            <w:r w:rsidRPr="0019170B">
              <w:t>10</w:t>
            </w:r>
          </w:p>
        </w:tc>
        <w:tc>
          <w:tcPr>
            <w:tcW w:w="556" w:type="dxa"/>
            <w:vAlign w:val="center"/>
          </w:tcPr>
          <w:p w:rsidR="0019170B" w:rsidRPr="0019170B" w:rsidRDefault="0019170B" w:rsidP="0019170B">
            <w:pPr>
              <w:pStyle w:val="Table3heading"/>
            </w:pPr>
            <w:r w:rsidRPr="0019170B">
              <w:t>7</w:t>
            </w:r>
          </w:p>
        </w:tc>
        <w:tc>
          <w:tcPr>
            <w:tcW w:w="596" w:type="dxa"/>
            <w:vAlign w:val="center"/>
          </w:tcPr>
          <w:p w:rsidR="0019170B" w:rsidRPr="0019170B" w:rsidRDefault="0019170B" w:rsidP="0019170B">
            <w:pPr>
              <w:pStyle w:val="Table3heading"/>
            </w:pPr>
            <w:r w:rsidRPr="0019170B">
              <w:t>10</w:t>
            </w:r>
          </w:p>
        </w:tc>
        <w:tc>
          <w:tcPr>
            <w:tcW w:w="556" w:type="dxa"/>
            <w:vAlign w:val="center"/>
          </w:tcPr>
          <w:p w:rsidR="0019170B" w:rsidRPr="0019170B" w:rsidRDefault="0019170B" w:rsidP="0019170B">
            <w:pPr>
              <w:pStyle w:val="Table3heading"/>
            </w:pPr>
            <w:r w:rsidRPr="0019170B">
              <w:t>11</w:t>
            </w:r>
          </w:p>
        </w:tc>
        <w:tc>
          <w:tcPr>
            <w:tcW w:w="556" w:type="dxa"/>
            <w:vAlign w:val="center"/>
          </w:tcPr>
          <w:p w:rsidR="0019170B" w:rsidRPr="0019170B" w:rsidRDefault="0019170B" w:rsidP="0019170B">
            <w:pPr>
              <w:pStyle w:val="Table3heading"/>
            </w:pPr>
            <w:r w:rsidRPr="0019170B">
              <w:t>7</w:t>
            </w:r>
          </w:p>
        </w:tc>
        <w:tc>
          <w:tcPr>
            <w:tcW w:w="556" w:type="dxa"/>
            <w:vAlign w:val="center"/>
          </w:tcPr>
          <w:p w:rsidR="0019170B" w:rsidRPr="0019170B" w:rsidRDefault="0019170B" w:rsidP="0019170B">
            <w:pPr>
              <w:pStyle w:val="Table3heading"/>
            </w:pPr>
            <w:r w:rsidRPr="0019170B">
              <w:t>13</w:t>
            </w:r>
          </w:p>
        </w:tc>
        <w:tc>
          <w:tcPr>
            <w:tcW w:w="816" w:type="dxa"/>
            <w:vAlign w:val="center"/>
          </w:tcPr>
          <w:p w:rsidR="0019170B" w:rsidRPr="0019170B" w:rsidRDefault="0019170B" w:rsidP="0019170B">
            <w:pPr>
              <w:pStyle w:val="Table3heading"/>
            </w:pPr>
            <w:r w:rsidRPr="0019170B">
              <w:t>13</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WA</w:t>
            </w:r>
          </w:p>
        </w:tc>
        <w:tc>
          <w:tcPr>
            <w:tcW w:w="560" w:type="dxa"/>
            <w:vAlign w:val="center"/>
          </w:tcPr>
          <w:p w:rsidR="0019170B" w:rsidRPr="0019170B" w:rsidRDefault="0019170B" w:rsidP="0019170B">
            <w:pPr>
              <w:pStyle w:val="Table3heading"/>
            </w:pPr>
            <w:r w:rsidRPr="0019170B">
              <w:t>20</w:t>
            </w:r>
          </w:p>
        </w:tc>
        <w:tc>
          <w:tcPr>
            <w:tcW w:w="553" w:type="dxa"/>
            <w:vAlign w:val="center"/>
          </w:tcPr>
          <w:p w:rsidR="0019170B" w:rsidRPr="0019170B" w:rsidRDefault="0019170B" w:rsidP="0019170B">
            <w:pPr>
              <w:pStyle w:val="Table3heading"/>
            </w:pPr>
            <w:r w:rsidRPr="0019170B">
              <w:t>17</w:t>
            </w:r>
          </w:p>
        </w:tc>
        <w:tc>
          <w:tcPr>
            <w:tcW w:w="553" w:type="dxa"/>
            <w:vAlign w:val="center"/>
          </w:tcPr>
          <w:p w:rsidR="0019170B" w:rsidRPr="0019170B" w:rsidRDefault="0019170B" w:rsidP="0019170B">
            <w:pPr>
              <w:pStyle w:val="Table3heading"/>
            </w:pPr>
            <w:r w:rsidRPr="0019170B">
              <w:t>12</w:t>
            </w:r>
          </w:p>
        </w:tc>
        <w:tc>
          <w:tcPr>
            <w:tcW w:w="553" w:type="dxa"/>
            <w:vAlign w:val="center"/>
          </w:tcPr>
          <w:p w:rsidR="0019170B" w:rsidRPr="0019170B" w:rsidRDefault="0019170B" w:rsidP="0019170B">
            <w:pPr>
              <w:pStyle w:val="Table3heading"/>
            </w:pPr>
            <w:r w:rsidRPr="0019170B">
              <w:t>10</w:t>
            </w:r>
          </w:p>
        </w:tc>
        <w:tc>
          <w:tcPr>
            <w:tcW w:w="554" w:type="dxa"/>
            <w:vAlign w:val="center"/>
          </w:tcPr>
          <w:p w:rsidR="0019170B" w:rsidRPr="0019170B" w:rsidRDefault="0019170B" w:rsidP="0019170B">
            <w:pPr>
              <w:pStyle w:val="Table3heading"/>
            </w:pPr>
            <w:r w:rsidRPr="0019170B">
              <w:t>21</w:t>
            </w:r>
          </w:p>
        </w:tc>
        <w:tc>
          <w:tcPr>
            <w:tcW w:w="554" w:type="dxa"/>
            <w:vAlign w:val="center"/>
          </w:tcPr>
          <w:p w:rsidR="0019170B" w:rsidRPr="0019170B" w:rsidRDefault="0019170B" w:rsidP="0019170B">
            <w:pPr>
              <w:pStyle w:val="Table3heading"/>
            </w:pPr>
            <w:r w:rsidRPr="0019170B">
              <w:t>16</w:t>
            </w:r>
          </w:p>
        </w:tc>
        <w:tc>
          <w:tcPr>
            <w:tcW w:w="554" w:type="dxa"/>
            <w:vAlign w:val="center"/>
          </w:tcPr>
          <w:p w:rsidR="0019170B" w:rsidRPr="0019170B" w:rsidRDefault="0019170B" w:rsidP="0019170B">
            <w:pPr>
              <w:pStyle w:val="Table3heading"/>
            </w:pPr>
            <w:r w:rsidRPr="0019170B">
              <w:t>14</w:t>
            </w:r>
          </w:p>
        </w:tc>
        <w:tc>
          <w:tcPr>
            <w:tcW w:w="555" w:type="dxa"/>
            <w:vAlign w:val="center"/>
          </w:tcPr>
          <w:p w:rsidR="0019170B" w:rsidRPr="0019170B" w:rsidRDefault="0019170B" w:rsidP="0019170B">
            <w:pPr>
              <w:pStyle w:val="Table3heading"/>
            </w:pPr>
            <w:r w:rsidRPr="0019170B">
              <w:t>26</w:t>
            </w:r>
          </w:p>
        </w:tc>
        <w:tc>
          <w:tcPr>
            <w:tcW w:w="555" w:type="dxa"/>
            <w:vAlign w:val="center"/>
          </w:tcPr>
          <w:p w:rsidR="0019170B" w:rsidRPr="0019170B" w:rsidRDefault="0019170B" w:rsidP="0019170B">
            <w:pPr>
              <w:pStyle w:val="Table3heading"/>
            </w:pPr>
            <w:r w:rsidRPr="0019170B">
              <w:t>14</w:t>
            </w:r>
          </w:p>
        </w:tc>
        <w:tc>
          <w:tcPr>
            <w:tcW w:w="555"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23</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14</w:t>
            </w:r>
          </w:p>
        </w:tc>
        <w:tc>
          <w:tcPr>
            <w:tcW w:w="556" w:type="dxa"/>
            <w:vAlign w:val="center"/>
          </w:tcPr>
          <w:p w:rsidR="0019170B" w:rsidRPr="0019170B" w:rsidRDefault="0019170B" w:rsidP="0019170B">
            <w:pPr>
              <w:pStyle w:val="Table3heading"/>
            </w:pPr>
            <w:r w:rsidRPr="0019170B">
              <w:t>14</w:t>
            </w:r>
          </w:p>
        </w:tc>
        <w:tc>
          <w:tcPr>
            <w:tcW w:w="556" w:type="dxa"/>
            <w:vAlign w:val="center"/>
          </w:tcPr>
          <w:p w:rsidR="0019170B" w:rsidRPr="0019170B" w:rsidRDefault="0019170B" w:rsidP="0019170B">
            <w:pPr>
              <w:pStyle w:val="Table3heading"/>
            </w:pPr>
            <w:r w:rsidRPr="0019170B">
              <w:t>17</w:t>
            </w:r>
          </w:p>
        </w:tc>
        <w:tc>
          <w:tcPr>
            <w:tcW w:w="556" w:type="dxa"/>
            <w:vAlign w:val="center"/>
          </w:tcPr>
          <w:p w:rsidR="0019170B" w:rsidRPr="0019170B" w:rsidRDefault="0019170B" w:rsidP="0019170B">
            <w:pPr>
              <w:pStyle w:val="Table3heading"/>
            </w:pPr>
            <w:r w:rsidRPr="0019170B">
              <w:t>18</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14</w:t>
            </w:r>
          </w:p>
        </w:tc>
        <w:tc>
          <w:tcPr>
            <w:tcW w:w="556" w:type="dxa"/>
            <w:vAlign w:val="center"/>
          </w:tcPr>
          <w:p w:rsidR="0019170B" w:rsidRPr="0019170B" w:rsidRDefault="0019170B" w:rsidP="0019170B">
            <w:pPr>
              <w:pStyle w:val="Table3heading"/>
            </w:pPr>
            <w:r w:rsidRPr="0019170B">
              <w:t>20</w:t>
            </w:r>
          </w:p>
        </w:tc>
        <w:tc>
          <w:tcPr>
            <w:tcW w:w="596" w:type="dxa"/>
            <w:vAlign w:val="center"/>
          </w:tcPr>
          <w:p w:rsidR="0019170B" w:rsidRPr="0019170B" w:rsidRDefault="0019170B" w:rsidP="0019170B">
            <w:pPr>
              <w:pStyle w:val="Table3heading"/>
            </w:pPr>
            <w:r w:rsidRPr="0019170B">
              <w:t>10</w:t>
            </w:r>
          </w:p>
        </w:tc>
        <w:tc>
          <w:tcPr>
            <w:tcW w:w="556" w:type="dxa"/>
            <w:vAlign w:val="center"/>
          </w:tcPr>
          <w:p w:rsidR="0019170B" w:rsidRPr="0019170B" w:rsidRDefault="0019170B" w:rsidP="0019170B">
            <w:pPr>
              <w:pStyle w:val="Table3heading"/>
            </w:pPr>
            <w:r w:rsidRPr="0019170B">
              <w:t>15</w:t>
            </w:r>
          </w:p>
        </w:tc>
        <w:tc>
          <w:tcPr>
            <w:tcW w:w="556" w:type="dxa"/>
            <w:vAlign w:val="center"/>
          </w:tcPr>
          <w:p w:rsidR="0019170B" w:rsidRPr="0019170B" w:rsidRDefault="0019170B" w:rsidP="0019170B">
            <w:pPr>
              <w:pStyle w:val="Table3heading"/>
            </w:pPr>
            <w:r w:rsidRPr="0019170B">
              <w:t>13</w:t>
            </w:r>
          </w:p>
        </w:tc>
        <w:tc>
          <w:tcPr>
            <w:tcW w:w="556" w:type="dxa"/>
            <w:vAlign w:val="center"/>
          </w:tcPr>
          <w:p w:rsidR="0019170B" w:rsidRPr="0019170B" w:rsidRDefault="0019170B" w:rsidP="0019170B">
            <w:pPr>
              <w:pStyle w:val="Table3heading"/>
            </w:pPr>
            <w:r w:rsidRPr="0019170B">
              <w:t>12</w:t>
            </w:r>
          </w:p>
        </w:tc>
        <w:tc>
          <w:tcPr>
            <w:tcW w:w="816" w:type="dxa"/>
            <w:vAlign w:val="center"/>
          </w:tcPr>
          <w:p w:rsidR="0019170B" w:rsidRPr="0019170B" w:rsidRDefault="0019170B" w:rsidP="0019170B">
            <w:pPr>
              <w:pStyle w:val="Table3heading"/>
            </w:pPr>
            <w:r w:rsidRPr="0019170B">
              <w:t>14</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TAS</w:t>
            </w:r>
          </w:p>
        </w:tc>
        <w:tc>
          <w:tcPr>
            <w:tcW w:w="560" w:type="dxa"/>
            <w:vAlign w:val="center"/>
          </w:tcPr>
          <w:p w:rsidR="0019170B" w:rsidRPr="0019170B" w:rsidRDefault="0019170B" w:rsidP="0019170B">
            <w:pPr>
              <w:pStyle w:val="Table3heading"/>
            </w:pPr>
            <w:r w:rsidRPr="0019170B">
              <w:t>9</w:t>
            </w:r>
          </w:p>
        </w:tc>
        <w:tc>
          <w:tcPr>
            <w:tcW w:w="553" w:type="dxa"/>
            <w:vAlign w:val="center"/>
          </w:tcPr>
          <w:p w:rsidR="0019170B" w:rsidRPr="0019170B" w:rsidRDefault="0019170B" w:rsidP="0019170B">
            <w:pPr>
              <w:pStyle w:val="Table3heading"/>
            </w:pPr>
            <w:r w:rsidRPr="0019170B">
              <w:t>13</w:t>
            </w:r>
          </w:p>
        </w:tc>
        <w:tc>
          <w:tcPr>
            <w:tcW w:w="553" w:type="dxa"/>
            <w:vAlign w:val="center"/>
          </w:tcPr>
          <w:p w:rsidR="0019170B" w:rsidRPr="0019170B" w:rsidRDefault="0019170B" w:rsidP="0019170B">
            <w:pPr>
              <w:pStyle w:val="Table3heading"/>
            </w:pPr>
            <w:r w:rsidRPr="0019170B">
              <w:t>4</w:t>
            </w:r>
          </w:p>
        </w:tc>
        <w:tc>
          <w:tcPr>
            <w:tcW w:w="553" w:type="dxa"/>
            <w:vAlign w:val="center"/>
          </w:tcPr>
          <w:p w:rsidR="0019170B" w:rsidRPr="0019170B" w:rsidRDefault="0019170B" w:rsidP="0019170B">
            <w:pPr>
              <w:pStyle w:val="Table3heading"/>
            </w:pPr>
            <w:r w:rsidRPr="0019170B">
              <w:t>1</w:t>
            </w:r>
          </w:p>
        </w:tc>
        <w:tc>
          <w:tcPr>
            <w:tcW w:w="554" w:type="dxa"/>
            <w:vAlign w:val="center"/>
          </w:tcPr>
          <w:p w:rsidR="0019170B" w:rsidRPr="0019170B" w:rsidRDefault="0019170B" w:rsidP="0019170B">
            <w:pPr>
              <w:pStyle w:val="Table3heading"/>
            </w:pPr>
            <w:r w:rsidRPr="0019170B">
              <w:t>3</w:t>
            </w:r>
          </w:p>
        </w:tc>
        <w:tc>
          <w:tcPr>
            <w:tcW w:w="554" w:type="dxa"/>
            <w:vAlign w:val="center"/>
          </w:tcPr>
          <w:p w:rsidR="0019170B" w:rsidRPr="0019170B" w:rsidRDefault="0019170B" w:rsidP="0019170B">
            <w:pPr>
              <w:pStyle w:val="Table3heading"/>
            </w:pPr>
            <w:r w:rsidRPr="0019170B">
              <w:t>1</w:t>
            </w:r>
          </w:p>
        </w:tc>
        <w:tc>
          <w:tcPr>
            <w:tcW w:w="554" w:type="dxa"/>
            <w:vAlign w:val="center"/>
          </w:tcPr>
          <w:p w:rsidR="0019170B" w:rsidRPr="0019170B" w:rsidRDefault="0019170B" w:rsidP="0019170B">
            <w:pPr>
              <w:pStyle w:val="Table3heading"/>
            </w:pPr>
            <w:r w:rsidRPr="0019170B">
              <w:t>5</w:t>
            </w:r>
          </w:p>
        </w:tc>
        <w:tc>
          <w:tcPr>
            <w:tcW w:w="555" w:type="dxa"/>
            <w:vAlign w:val="center"/>
          </w:tcPr>
          <w:p w:rsidR="0019170B" w:rsidRPr="0019170B" w:rsidRDefault="0019170B" w:rsidP="0019170B">
            <w:pPr>
              <w:pStyle w:val="Table3heading"/>
            </w:pPr>
            <w:r w:rsidRPr="0019170B">
              <w:t>2</w:t>
            </w:r>
          </w:p>
        </w:tc>
        <w:tc>
          <w:tcPr>
            <w:tcW w:w="555" w:type="dxa"/>
            <w:vAlign w:val="center"/>
          </w:tcPr>
          <w:p w:rsidR="0019170B" w:rsidRPr="0019170B" w:rsidRDefault="0019170B" w:rsidP="0019170B">
            <w:pPr>
              <w:pStyle w:val="Table3heading"/>
            </w:pPr>
            <w:r w:rsidRPr="0019170B">
              <w:t>4</w:t>
            </w:r>
          </w:p>
        </w:tc>
        <w:tc>
          <w:tcPr>
            <w:tcW w:w="555"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6</w:t>
            </w:r>
          </w:p>
        </w:tc>
        <w:tc>
          <w:tcPr>
            <w:tcW w:w="556" w:type="dxa"/>
            <w:vAlign w:val="center"/>
          </w:tcPr>
          <w:p w:rsidR="0019170B" w:rsidRPr="0019170B" w:rsidRDefault="0019170B" w:rsidP="0019170B">
            <w:pPr>
              <w:pStyle w:val="Table3heading"/>
            </w:pPr>
            <w:r w:rsidRPr="0019170B">
              <w:t>5</w:t>
            </w:r>
          </w:p>
        </w:tc>
        <w:tc>
          <w:tcPr>
            <w:tcW w:w="556" w:type="dxa"/>
            <w:vAlign w:val="center"/>
          </w:tcPr>
          <w:p w:rsidR="0019170B" w:rsidRPr="0019170B" w:rsidRDefault="0019170B" w:rsidP="0019170B">
            <w:pPr>
              <w:pStyle w:val="Table3heading"/>
            </w:pPr>
            <w:r w:rsidRPr="0019170B">
              <w:t>3</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4</w:t>
            </w:r>
          </w:p>
        </w:tc>
        <w:tc>
          <w:tcPr>
            <w:tcW w:w="556" w:type="dxa"/>
            <w:vAlign w:val="center"/>
          </w:tcPr>
          <w:p w:rsidR="0019170B" w:rsidRPr="0019170B" w:rsidRDefault="0019170B" w:rsidP="0019170B">
            <w:pPr>
              <w:pStyle w:val="Table3heading"/>
            </w:pPr>
            <w:r w:rsidRPr="0019170B">
              <w:t>5</w:t>
            </w:r>
          </w:p>
        </w:tc>
        <w:tc>
          <w:tcPr>
            <w:tcW w:w="556" w:type="dxa"/>
            <w:vAlign w:val="center"/>
          </w:tcPr>
          <w:p w:rsidR="0019170B" w:rsidRPr="0019170B" w:rsidRDefault="0019170B" w:rsidP="0019170B">
            <w:pPr>
              <w:pStyle w:val="Table3heading"/>
            </w:pPr>
            <w:r w:rsidRPr="0019170B">
              <w:t>7</w:t>
            </w:r>
          </w:p>
        </w:tc>
        <w:tc>
          <w:tcPr>
            <w:tcW w:w="556" w:type="dxa"/>
            <w:vAlign w:val="center"/>
          </w:tcPr>
          <w:p w:rsidR="0019170B" w:rsidRPr="0019170B" w:rsidRDefault="0019170B" w:rsidP="0019170B">
            <w:pPr>
              <w:pStyle w:val="Table3heading"/>
            </w:pPr>
            <w:r w:rsidRPr="0019170B">
              <w:t>5</w:t>
            </w:r>
          </w:p>
        </w:tc>
        <w:tc>
          <w:tcPr>
            <w:tcW w:w="596" w:type="dxa"/>
            <w:vAlign w:val="center"/>
          </w:tcPr>
          <w:p w:rsidR="0019170B" w:rsidRPr="0019170B" w:rsidRDefault="0019170B" w:rsidP="0019170B">
            <w:pPr>
              <w:pStyle w:val="Table3heading"/>
            </w:pPr>
            <w:r w:rsidRPr="0019170B">
              <w:t>6</w:t>
            </w:r>
          </w:p>
        </w:tc>
        <w:tc>
          <w:tcPr>
            <w:tcW w:w="556" w:type="dxa"/>
            <w:vAlign w:val="center"/>
          </w:tcPr>
          <w:p w:rsidR="0019170B" w:rsidRPr="0019170B" w:rsidRDefault="0019170B" w:rsidP="0019170B">
            <w:pPr>
              <w:pStyle w:val="Table3heading"/>
            </w:pPr>
            <w:r w:rsidRPr="0019170B">
              <w:t>11</w:t>
            </w:r>
          </w:p>
        </w:tc>
        <w:tc>
          <w:tcPr>
            <w:tcW w:w="556" w:type="dxa"/>
            <w:vAlign w:val="center"/>
          </w:tcPr>
          <w:p w:rsidR="0019170B" w:rsidRPr="0019170B" w:rsidRDefault="0019170B" w:rsidP="0019170B">
            <w:pPr>
              <w:pStyle w:val="Table3heading"/>
            </w:pPr>
            <w:r w:rsidRPr="0019170B">
              <w:t>3</w:t>
            </w:r>
          </w:p>
        </w:tc>
        <w:tc>
          <w:tcPr>
            <w:tcW w:w="556" w:type="dxa"/>
            <w:vAlign w:val="center"/>
          </w:tcPr>
          <w:p w:rsidR="0019170B" w:rsidRPr="0019170B" w:rsidRDefault="0019170B" w:rsidP="0019170B">
            <w:pPr>
              <w:pStyle w:val="Table3heading"/>
            </w:pPr>
            <w:r w:rsidRPr="0019170B">
              <w:t>2</w:t>
            </w:r>
          </w:p>
        </w:tc>
        <w:tc>
          <w:tcPr>
            <w:tcW w:w="816" w:type="dxa"/>
            <w:vAlign w:val="center"/>
          </w:tcPr>
          <w:p w:rsidR="0019170B" w:rsidRPr="0019170B" w:rsidRDefault="0019170B" w:rsidP="0019170B">
            <w:pPr>
              <w:pStyle w:val="Table3heading"/>
            </w:pPr>
            <w:r w:rsidRPr="0019170B">
              <w:t>5</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NT</w:t>
            </w:r>
          </w:p>
        </w:tc>
        <w:tc>
          <w:tcPr>
            <w:tcW w:w="560" w:type="dxa"/>
            <w:vAlign w:val="center"/>
          </w:tcPr>
          <w:p w:rsidR="0019170B" w:rsidRPr="0019170B" w:rsidRDefault="0019170B" w:rsidP="0019170B">
            <w:pPr>
              <w:pStyle w:val="Table3heading"/>
            </w:pPr>
            <w:r w:rsidRPr="0019170B">
              <w:t>3</w:t>
            </w:r>
          </w:p>
        </w:tc>
        <w:tc>
          <w:tcPr>
            <w:tcW w:w="553" w:type="dxa"/>
            <w:vAlign w:val="center"/>
          </w:tcPr>
          <w:p w:rsidR="0019170B" w:rsidRPr="0019170B" w:rsidRDefault="0019170B" w:rsidP="0019170B">
            <w:pPr>
              <w:pStyle w:val="Table3heading"/>
            </w:pPr>
            <w:r w:rsidRPr="0019170B">
              <w:t>8</w:t>
            </w:r>
          </w:p>
        </w:tc>
        <w:tc>
          <w:tcPr>
            <w:tcW w:w="553" w:type="dxa"/>
            <w:vAlign w:val="center"/>
          </w:tcPr>
          <w:p w:rsidR="0019170B" w:rsidRPr="0019170B" w:rsidRDefault="0019170B" w:rsidP="0019170B">
            <w:pPr>
              <w:pStyle w:val="Table3heading"/>
            </w:pPr>
            <w:r w:rsidRPr="0019170B">
              <w:t>1</w:t>
            </w:r>
          </w:p>
        </w:tc>
        <w:tc>
          <w:tcPr>
            <w:tcW w:w="553" w:type="dxa"/>
            <w:vAlign w:val="center"/>
          </w:tcPr>
          <w:p w:rsidR="0019170B" w:rsidRPr="0019170B" w:rsidRDefault="0019170B" w:rsidP="0019170B">
            <w:pPr>
              <w:pStyle w:val="Table3heading"/>
            </w:pPr>
            <w:r w:rsidRPr="0019170B">
              <w:t>2</w:t>
            </w:r>
          </w:p>
        </w:tc>
        <w:tc>
          <w:tcPr>
            <w:tcW w:w="554" w:type="dxa"/>
            <w:vAlign w:val="center"/>
          </w:tcPr>
          <w:p w:rsidR="0019170B" w:rsidRPr="0019170B" w:rsidRDefault="0019170B" w:rsidP="0019170B">
            <w:pPr>
              <w:pStyle w:val="Table3heading"/>
            </w:pPr>
            <w:r w:rsidRPr="0019170B">
              <w:t>1</w:t>
            </w:r>
          </w:p>
        </w:tc>
        <w:tc>
          <w:tcPr>
            <w:tcW w:w="554" w:type="dxa"/>
            <w:vAlign w:val="center"/>
          </w:tcPr>
          <w:p w:rsidR="0019170B" w:rsidRPr="0019170B" w:rsidRDefault="0019170B" w:rsidP="0019170B">
            <w:pPr>
              <w:pStyle w:val="Table3heading"/>
            </w:pPr>
            <w:r w:rsidRPr="0019170B">
              <w:t>1</w:t>
            </w:r>
          </w:p>
        </w:tc>
        <w:tc>
          <w:tcPr>
            <w:tcW w:w="554" w:type="dxa"/>
            <w:vAlign w:val="center"/>
          </w:tcPr>
          <w:p w:rsidR="0019170B" w:rsidRPr="0019170B" w:rsidRDefault="0019170B" w:rsidP="0019170B">
            <w:pPr>
              <w:pStyle w:val="Table3heading"/>
            </w:pPr>
            <w:r w:rsidRPr="0019170B">
              <w:t>4</w:t>
            </w:r>
          </w:p>
        </w:tc>
        <w:tc>
          <w:tcPr>
            <w:tcW w:w="555" w:type="dxa"/>
            <w:vAlign w:val="center"/>
          </w:tcPr>
          <w:p w:rsidR="0019170B" w:rsidRPr="0019170B" w:rsidRDefault="0019170B" w:rsidP="0019170B">
            <w:pPr>
              <w:pStyle w:val="Table3heading"/>
            </w:pPr>
            <w:r w:rsidRPr="0019170B">
              <w:t>2</w:t>
            </w:r>
          </w:p>
        </w:tc>
        <w:tc>
          <w:tcPr>
            <w:tcW w:w="555" w:type="dxa"/>
            <w:vAlign w:val="center"/>
          </w:tcPr>
          <w:p w:rsidR="0019170B" w:rsidRPr="0019170B" w:rsidRDefault="0019170B" w:rsidP="0019170B">
            <w:pPr>
              <w:pStyle w:val="Table3heading"/>
            </w:pPr>
            <w:r w:rsidRPr="0019170B">
              <w:t>2</w:t>
            </w:r>
          </w:p>
        </w:tc>
        <w:tc>
          <w:tcPr>
            <w:tcW w:w="555"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3</w:t>
            </w:r>
          </w:p>
        </w:tc>
        <w:tc>
          <w:tcPr>
            <w:tcW w:w="556" w:type="dxa"/>
            <w:vAlign w:val="center"/>
          </w:tcPr>
          <w:p w:rsidR="0019170B" w:rsidRPr="0019170B" w:rsidRDefault="0019170B" w:rsidP="0019170B">
            <w:pPr>
              <w:pStyle w:val="Table3heading"/>
            </w:pPr>
            <w:r w:rsidRPr="0019170B">
              <w:t>6</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7</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2</w:t>
            </w:r>
          </w:p>
        </w:tc>
        <w:tc>
          <w:tcPr>
            <w:tcW w:w="596" w:type="dxa"/>
            <w:vAlign w:val="center"/>
          </w:tcPr>
          <w:p w:rsidR="0019170B" w:rsidRPr="0019170B" w:rsidRDefault="0019170B" w:rsidP="0019170B">
            <w:pPr>
              <w:pStyle w:val="Table3heading"/>
            </w:pPr>
            <w:r w:rsidRPr="0019170B">
              <w:t>3</w:t>
            </w:r>
          </w:p>
        </w:tc>
        <w:tc>
          <w:tcPr>
            <w:tcW w:w="556"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2</w:t>
            </w:r>
          </w:p>
        </w:tc>
        <w:tc>
          <w:tcPr>
            <w:tcW w:w="816" w:type="dxa"/>
            <w:vAlign w:val="center"/>
          </w:tcPr>
          <w:p w:rsidR="0019170B" w:rsidRPr="0019170B" w:rsidRDefault="0019170B" w:rsidP="0019170B">
            <w:pPr>
              <w:pStyle w:val="Table3heading"/>
            </w:pPr>
            <w:r w:rsidRPr="0019170B">
              <w:t>2</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ACT</w:t>
            </w:r>
          </w:p>
        </w:tc>
        <w:tc>
          <w:tcPr>
            <w:tcW w:w="560" w:type="dxa"/>
            <w:vAlign w:val="center"/>
          </w:tcPr>
          <w:p w:rsidR="0019170B" w:rsidRPr="0019170B" w:rsidRDefault="0019170B" w:rsidP="0019170B">
            <w:pPr>
              <w:pStyle w:val="Table3heading"/>
            </w:pPr>
            <w:r w:rsidRPr="0019170B">
              <w:t>1</w:t>
            </w:r>
          </w:p>
        </w:tc>
        <w:tc>
          <w:tcPr>
            <w:tcW w:w="553" w:type="dxa"/>
            <w:vAlign w:val="center"/>
          </w:tcPr>
          <w:p w:rsidR="0019170B" w:rsidRPr="0019170B" w:rsidRDefault="0019170B" w:rsidP="0019170B">
            <w:pPr>
              <w:pStyle w:val="Table3heading"/>
            </w:pPr>
            <w:r w:rsidRPr="0019170B">
              <w:t>0</w:t>
            </w:r>
          </w:p>
        </w:tc>
        <w:tc>
          <w:tcPr>
            <w:tcW w:w="553" w:type="dxa"/>
            <w:vAlign w:val="center"/>
          </w:tcPr>
          <w:p w:rsidR="0019170B" w:rsidRPr="0019170B" w:rsidRDefault="0019170B" w:rsidP="0019170B">
            <w:pPr>
              <w:pStyle w:val="Table3heading"/>
            </w:pPr>
            <w:r w:rsidRPr="0019170B">
              <w:t>0</w:t>
            </w:r>
          </w:p>
        </w:tc>
        <w:tc>
          <w:tcPr>
            <w:tcW w:w="553" w:type="dxa"/>
            <w:vAlign w:val="center"/>
          </w:tcPr>
          <w:p w:rsidR="0019170B" w:rsidRPr="0019170B" w:rsidRDefault="0019170B" w:rsidP="0019170B">
            <w:pPr>
              <w:pStyle w:val="Table3heading"/>
            </w:pPr>
            <w:r w:rsidRPr="0019170B">
              <w:t>0</w:t>
            </w:r>
          </w:p>
        </w:tc>
        <w:tc>
          <w:tcPr>
            <w:tcW w:w="554" w:type="dxa"/>
            <w:vAlign w:val="center"/>
          </w:tcPr>
          <w:p w:rsidR="0019170B" w:rsidRPr="0019170B" w:rsidRDefault="0019170B" w:rsidP="0019170B">
            <w:pPr>
              <w:pStyle w:val="Table3heading"/>
            </w:pPr>
            <w:r w:rsidRPr="0019170B">
              <w:t>0</w:t>
            </w:r>
          </w:p>
        </w:tc>
        <w:tc>
          <w:tcPr>
            <w:tcW w:w="554" w:type="dxa"/>
            <w:vAlign w:val="center"/>
          </w:tcPr>
          <w:p w:rsidR="0019170B" w:rsidRPr="0019170B" w:rsidRDefault="0019170B" w:rsidP="0019170B">
            <w:pPr>
              <w:pStyle w:val="Table3heading"/>
            </w:pPr>
            <w:r w:rsidRPr="0019170B">
              <w:t>0</w:t>
            </w:r>
          </w:p>
        </w:tc>
        <w:tc>
          <w:tcPr>
            <w:tcW w:w="554" w:type="dxa"/>
            <w:vAlign w:val="center"/>
          </w:tcPr>
          <w:p w:rsidR="0019170B" w:rsidRPr="0019170B" w:rsidRDefault="0019170B" w:rsidP="0019170B">
            <w:pPr>
              <w:pStyle w:val="Table3heading"/>
            </w:pPr>
            <w:r w:rsidRPr="0019170B">
              <w:t>1</w:t>
            </w:r>
          </w:p>
        </w:tc>
        <w:tc>
          <w:tcPr>
            <w:tcW w:w="555" w:type="dxa"/>
            <w:vAlign w:val="center"/>
          </w:tcPr>
          <w:p w:rsidR="0019170B" w:rsidRPr="0019170B" w:rsidRDefault="0019170B" w:rsidP="0019170B">
            <w:pPr>
              <w:pStyle w:val="Table3heading"/>
            </w:pPr>
            <w:r w:rsidRPr="0019170B">
              <w:t>2</w:t>
            </w:r>
          </w:p>
        </w:tc>
        <w:tc>
          <w:tcPr>
            <w:tcW w:w="555" w:type="dxa"/>
            <w:vAlign w:val="center"/>
          </w:tcPr>
          <w:p w:rsidR="0019170B" w:rsidRPr="0019170B" w:rsidRDefault="0019170B" w:rsidP="0019170B">
            <w:pPr>
              <w:pStyle w:val="Table3heading"/>
            </w:pPr>
            <w:r w:rsidRPr="0019170B">
              <w:t>0</w:t>
            </w:r>
          </w:p>
        </w:tc>
        <w:tc>
          <w:tcPr>
            <w:tcW w:w="555"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3</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0</w:t>
            </w:r>
          </w:p>
        </w:tc>
        <w:tc>
          <w:tcPr>
            <w:tcW w:w="596" w:type="dxa"/>
            <w:vAlign w:val="center"/>
          </w:tcPr>
          <w:p w:rsidR="0019170B" w:rsidRPr="0019170B" w:rsidRDefault="0019170B" w:rsidP="0019170B">
            <w:pPr>
              <w:pStyle w:val="Table3heading"/>
            </w:pPr>
            <w:r w:rsidRPr="0019170B">
              <w:t>0</w:t>
            </w:r>
          </w:p>
        </w:tc>
        <w:tc>
          <w:tcPr>
            <w:tcW w:w="556" w:type="dxa"/>
            <w:vAlign w:val="center"/>
          </w:tcPr>
          <w:p w:rsidR="0019170B" w:rsidRPr="0019170B" w:rsidRDefault="0019170B" w:rsidP="0019170B">
            <w:pPr>
              <w:pStyle w:val="Table3heading"/>
            </w:pPr>
            <w:r w:rsidRPr="0019170B">
              <w:t>2</w:t>
            </w:r>
          </w:p>
        </w:tc>
        <w:tc>
          <w:tcPr>
            <w:tcW w:w="556" w:type="dxa"/>
            <w:vAlign w:val="center"/>
          </w:tcPr>
          <w:p w:rsidR="0019170B" w:rsidRPr="0019170B" w:rsidRDefault="0019170B" w:rsidP="0019170B">
            <w:pPr>
              <w:pStyle w:val="Table3heading"/>
            </w:pPr>
            <w:r w:rsidRPr="0019170B">
              <w:t>1</w:t>
            </w:r>
          </w:p>
        </w:tc>
        <w:tc>
          <w:tcPr>
            <w:tcW w:w="556" w:type="dxa"/>
            <w:vAlign w:val="center"/>
          </w:tcPr>
          <w:p w:rsidR="0019170B" w:rsidRPr="0019170B" w:rsidRDefault="0019170B" w:rsidP="0019170B">
            <w:pPr>
              <w:pStyle w:val="Table3heading"/>
            </w:pPr>
            <w:r w:rsidRPr="0019170B">
              <w:t>0</w:t>
            </w:r>
          </w:p>
        </w:tc>
        <w:tc>
          <w:tcPr>
            <w:tcW w:w="816" w:type="dxa"/>
            <w:vAlign w:val="center"/>
          </w:tcPr>
          <w:p w:rsidR="0019170B" w:rsidRPr="0019170B" w:rsidRDefault="0019170B" w:rsidP="0019170B">
            <w:pPr>
              <w:pStyle w:val="Table3heading"/>
            </w:pPr>
            <w:r w:rsidRPr="0019170B">
              <w:t>1</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p>
        </w:tc>
        <w:tc>
          <w:tcPr>
            <w:tcW w:w="560"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9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816" w:type="dxa"/>
            <w:vAlign w:val="center"/>
          </w:tcPr>
          <w:p w:rsidR="0019170B" w:rsidRPr="0019170B" w:rsidRDefault="0019170B" w:rsidP="0019170B">
            <w:pPr>
              <w:pStyle w:val="Table3heading"/>
            </w:pP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Australia</w:t>
            </w:r>
          </w:p>
        </w:tc>
        <w:tc>
          <w:tcPr>
            <w:tcW w:w="560" w:type="dxa"/>
            <w:vAlign w:val="bottom"/>
          </w:tcPr>
          <w:p w:rsidR="0019170B" w:rsidRPr="0019170B" w:rsidRDefault="0019170B" w:rsidP="0019170B">
            <w:pPr>
              <w:pStyle w:val="Table3heading"/>
              <w:rPr>
                <w:b/>
              </w:rPr>
            </w:pPr>
            <w:r w:rsidRPr="0019170B">
              <w:rPr>
                <w:b/>
              </w:rPr>
              <w:t>335</w:t>
            </w:r>
          </w:p>
        </w:tc>
        <w:tc>
          <w:tcPr>
            <w:tcW w:w="553" w:type="dxa"/>
            <w:vAlign w:val="bottom"/>
          </w:tcPr>
          <w:p w:rsidR="0019170B" w:rsidRPr="0019170B" w:rsidRDefault="0019170B" w:rsidP="0019170B">
            <w:pPr>
              <w:pStyle w:val="Table3heading"/>
              <w:rPr>
                <w:b/>
              </w:rPr>
            </w:pPr>
            <w:r w:rsidRPr="0019170B">
              <w:rPr>
                <w:b/>
              </w:rPr>
              <w:t>263</w:t>
            </w:r>
          </w:p>
        </w:tc>
        <w:tc>
          <w:tcPr>
            <w:tcW w:w="553" w:type="dxa"/>
            <w:vAlign w:val="bottom"/>
          </w:tcPr>
          <w:p w:rsidR="0019170B" w:rsidRPr="0019170B" w:rsidRDefault="0019170B" w:rsidP="0019170B">
            <w:pPr>
              <w:pStyle w:val="Table3heading"/>
              <w:rPr>
                <w:b/>
              </w:rPr>
            </w:pPr>
            <w:r w:rsidRPr="0019170B">
              <w:rPr>
                <w:b/>
              </w:rPr>
              <w:t>183</w:t>
            </w:r>
          </w:p>
        </w:tc>
        <w:tc>
          <w:tcPr>
            <w:tcW w:w="553" w:type="dxa"/>
            <w:vAlign w:val="bottom"/>
          </w:tcPr>
          <w:p w:rsidR="0019170B" w:rsidRPr="0019170B" w:rsidRDefault="0019170B" w:rsidP="0019170B">
            <w:pPr>
              <w:pStyle w:val="Table3heading"/>
              <w:rPr>
                <w:b/>
              </w:rPr>
            </w:pPr>
            <w:r w:rsidRPr="0019170B">
              <w:rPr>
                <w:b/>
              </w:rPr>
              <w:t>181</w:t>
            </w:r>
          </w:p>
        </w:tc>
        <w:tc>
          <w:tcPr>
            <w:tcW w:w="554" w:type="dxa"/>
            <w:vAlign w:val="bottom"/>
          </w:tcPr>
          <w:p w:rsidR="0019170B" w:rsidRPr="0019170B" w:rsidRDefault="0019170B" w:rsidP="0019170B">
            <w:pPr>
              <w:pStyle w:val="Table3heading"/>
              <w:rPr>
                <w:b/>
              </w:rPr>
            </w:pPr>
            <w:r w:rsidRPr="0019170B">
              <w:rPr>
                <w:b/>
              </w:rPr>
              <w:t>204</w:t>
            </w:r>
          </w:p>
        </w:tc>
        <w:tc>
          <w:tcPr>
            <w:tcW w:w="554" w:type="dxa"/>
            <w:vAlign w:val="bottom"/>
          </w:tcPr>
          <w:p w:rsidR="0019170B" w:rsidRPr="0019170B" w:rsidRDefault="0019170B" w:rsidP="0019170B">
            <w:pPr>
              <w:pStyle w:val="Table3heading"/>
              <w:rPr>
                <w:b/>
              </w:rPr>
            </w:pPr>
            <w:r w:rsidRPr="0019170B">
              <w:rPr>
                <w:b/>
              </w:rPr>
              <w:t>179</w:t>
            </w:r>
          </w:p>
        </w:tc>
        <w:tc>
          <w:tcPr>
            <w:tcW w:w="554" w:type="dxa"/>
            <w:vAlign w:val="bottom"/>
          </w:tcPr>
          <w:p w:rsidR="0019170B" w:rsidRPr="0019170B" w:rsidRDefault="0019170B" w:rsidP="0019170B">
            <w:pPr>
              <w:pStyle w:val="Table3heading"/>
              <w:rPr>
                <w:b/>
              </w:rPr>
            </w:pPr>
            <w:r w:rsidRPr="0019170B">
              <w:rPr>
                <w:b/>
              </w:rPr>
              <w:t>199</w:t>
            </w:r>
          </w:p>
        </w:tc>
        <w:tc>
          <w:tcPr>
            <w:tcW w:w="555" w:type="dxa"/>
            <w:vAlign w:val="bottom"/>
          </w:tcPr>
          <w:p w:rsidR="0019170B" w:rsidRPr="0019170B" w:rsidRDefault="0019170B" w:rsidP="0019170B">
            <w:pPr>
              <w:pStyle w:val="Table3heading"/>
              <w:rPr>
                <w:b/>
              </w:rPr>
            </w:pPr>
            <w:r w:rsidRPr="0019170B">
              <w:rPr>
                <w:b/>
              </w:rPr>
              <w:t>194</w:t>
            </w:r>
          </w:p>
        </w:tc>
        <w:tc>
          <w:tcPr>
            <w:tcW w:w="555" w:type="dxa"/>
            <w:vAlign w:val="bottom"/>
          </w:tcPr>
          <w:p w:rsidR="0019170B" w:rsidRPr="0019170B" w:rsidRDefault="0019170B" w:rsidP="0019170B">
            <w:pPr>
              <w:pStyle w:val="Table3heading"/>
              <w:rPr>
                <w:b/>
              </w:rPr>
            </w:pPr>
            <w:r w:rsidRPr="0019170B">
              <w:rPr>
                <w:b/>
              </w:rPr>
              <w:t>171</w:t>
            </w:r>
          </w:p>
        </w:tc>
        <w:tc>
          <w:tcPr>
            <w:tcW w:w="555" w:type="dxa"/>
            <w:vAlign w:val="bottom"/>
          </w:tcPr>
          <w:p w:rsidR="0019170B" w:rsidRPr="0019170B" w:rsidRDefault="0019170B" w:rsidP="0019170B">
            <w:pPr>
              <w:pStyle w:val="Table3heading"/>
              <w:rPr>
                <w:b/>
              </w:rPr>
            </w:pPr>
            <w:r w:rsidRPr="0019170B">
              <w:rPr>
                <w:b/>
              </w:rPr>
              <w:t>179</w:t>
            </w:r>
          </w:p>
        </w:tc>
        <w:tc>
          <w:tcPr>
            <w:tcW w:w="556" w:type="dxa"/>
            <w:vAlign w:val="bottom"/>
          </w:tcPr>
          <w:p w:rsidR="0019170B" w:rsidRPr="0019170B" w:rsidRDefault="0019170B" w:rsidP="0019170B">
            <w:pPr>
              <w:pStyle w:val="Table3heading"/>
              <w:rPr>
                <w:b/>
              </w:rPr>
            </w:pPr>
            <w:r w:rsidRPr="0019170B">
              <w:rPr>
                <w:b/>
              </w:rPr>
              <w:t>191</w:t>
            </w:r>
          </w:p>
        </w:tc>
        <w:tc>
          <w:tcPr>
            <w:tcW w:w="556" w:type="dxa"/>
            <w:vAlign w:val="bottom"/>
          </w:tcPr>
          <w:p w:rsidR="0019170B" w:rsidRPr="0019170B" w:rsidRDefault="0019170B" w:rsidP="0019170B">
            <w:pPr>
              <w:pStyle w:val="Table3heading"/>
              <w:rPr>
                <w:b/>
              </w:rPr>
            </w:pPr>
            <w:r w:rsidRPr="0019170B">
              <w:rPr>
                <w:b/>
              </w:rPr>
              <w:t>208</w:t>
            </w:r>
          </w:p>
        </w:tc>
        <w:tc>
          <w:tcPr>
            <w:tcW w:w="556" w:type="dxa"/>
            <w:vAlign w:val="bottom"/>
          </w:tcPr>
          <w:p w:rsidR="0019170B" w:rsidRPr="0019170B" w:rsidRDefault="0019170B" w:rsidP="0019170B">
            <w:pPr>
              <w:pStyle w:val="Table3heading"/>
              <w:rPr>
                <w:b/>
              </w:rPr>
            </w:pPr>
            <w:r w:rsidRPr="0019170B">
              <w:rPr>
                <w:b/>
              </w:rPr>
              <w:t>178</w:t>
            </w:r>
          </w:p>
        </w:tc>
        <w:tc>
          <w:tcPr>
            <w:tcW w:w="556" w:type="dxa"/>
            <w:vAlign w:val="bottom"/>
          </w:tcPr>
          <w:p w:rsidR="0019170B" w:rsidRPr="0019170B" w:rsidRDefault="0019170B" w:rsidP="0019170B">
            <w:pPr>
              <w:pStyle w:val="Table3heading"/>
              <w:rPr>
                <w:b/>
              </w:rPr>
            </w:pPr>
            <w:r w:rsidRPr="0019170B">
              <w:rPr>
                <w:b/>
              </w:rPr>
              <w:t>200</w:t>
            </w:r>
          </w:p>
        </w:tc>
        <w:tc>
          <w:tcPr>
            <w:tcW w:w="556" w:type="dxa"/>
            <w:vAlign w:val="bottom"/>
          </w:tcPr>
          <w:p w:rsidR="0019170B" w:rsidRPr="0019170B" w:rsidRDefault="0019170B" w:rsidP="0019170B">
            <w:pPr>
              <w:pStyle w:val="Table3heading"/>
              <w:rPr>
                <w:b/>
              </w:rPr>
            </w:pPr>
            <w:r w:rsidRPr="0019170B">
              <w:rPr>
                <w:b/>
              </w:rPr>
              <w:t>171</w:t>
            </w:r>
          </w:p>
        </w:tc>
        <w:tc>
          <w:tcPr>
            <w:tcW w:w="556" w:type="dxa"/>
            <w:vAlign w:val="bottom"/>
          </w:tcPr>
          <w:p w:rsidR="0019170B" w:rsidRPr="0019170B" w:rsidRDefault="0019170B" w:rsidP="0019170B">
            <w:pPr>
              <w:pStyle w:val="Table3heading"/>
              <w:rPr>
                <w:b/>
              </w:rPr>
            </w:pPr>
            <w:r w:rsidRPr="0019170B">
              <w:rPr>
                <w:b/>
              </w:rPr>
              <w:t>151</w:t>
            </w:r>
          </w:p>
        </w:tc>
        <w:tc>
          <w:tcPr>
            <w:tcW w:w="556" w:type="dxa"/>
            <w:vAlign w:val="bottom"/>
          </w:tcPr>
          <w:p w:rsidR="0019170B" w:rsidRPr="0019170B" w:rsidRDefault="0019170B" w:rsidP="0019170B">
            <w:pPr>
              <w:pStyle w:val="Table3heading"/>
              <w:rPr>
                <w:b/>
              </w:rPr>
            </w:pPr>
            <w:r w:rsidRPr="0019170B">
              <w:rPr>
                <w:b/>
              </w:rPr>
              <w:t>155</w:t>
            </w:r>
          </w:p>
        </w:tc>
        <w:tc>
          <w:tcPr>
            <w:tcW w:w="556" w:type="dxa"/>
            <w:vAlign w:val="bottom"/>
          </w:tcPr>
          <w:p w:rsidR="0019170B" w:rsidRPr="0019170B" w:rsidRDefault="0019170B" w:rsidP="0019170B">
            <w:pPr>
              <w:pStyle w:val="Table3heading"/>
              <w:rPr>
                <w:b/>
              </w:rPr>
            </w:pPr>
            <w:r w:rsidRPr="0019170B">
              <w:rPr>
                <w:b/>
              </w:rPr>
              <w:t>170</w:t>
            </w:r>
          </w:p>
        </w:tc>
        <w:tc>
          <w:tcPr>
            <w:tcW w:w="556" w:type="dxa"/>
            <w:vAlign w:val="bottom"/>
          </w:tcPr>
          <w:p w:rsidR="0019170B" w:rsidRPr="0019170B" w:rsidRDefault="0019170B" w:rsidP="0019170B">
            <w:pPr>
              <w:pStyle w:val="Table3heading"/>
              <w:rPr>
                <w:b/>
              </w:rPr>
            </w:pPr>
            <w:r w:rsidRPr="0019170B">
              <w:rPr>
                <w:b/>
              </w:rPr>
              <w:t>182</w:t>
            </w:r>
          </w:p>
        </w:tc>
        <w:tc>
          <w:tcPr>
            <w:tcW w:w="596" w:type="dxa"/>
            <w:vAlign w:val="bottom"/>
          </w:tcPr>
          <w:p w:rsidR="0019170B" w:rsidRPr="0019170B" w:rsidRDefault="0019170B" w:rsidP="0019170B">
            <w:pPr>
              <w:pStyle w:val="Table3heading"/>
              <w:rPr>
                <w:b/>
              </w:rPr>
            </w:pPr>
            <w:r w:rsidRPr="0019170B">
              <w:rPr>
                <w:b/>
              </w:rPr>
              <w:t>151</w:t>
            </w:r>
          </w:p>
        </w:tc>
        <w:tc>
          <w:tcPr>
            <w:tcW w:w="556" w:type="dxa"/>
            <w:vAlign w:val="bottom"/>
          </w:tcPr>
          <w:p w:rsidR="0019170B" w:rsidRPr="0019170B" w:rsidRDefault="0019170B" w:rsidP="0019170B">
            <w:pPr>
              <w:pStyle w:val="Table3heading"/>
              <w:rPr>
                <w:b/>
              </w:rPr>
            </w:pPr>
            <w:r w:rsidRPr="0019170B">
              <w:rPr>
                <w:b/>
              </w:rPr>
              <w:t>148</w:t>
            </w:r>
          </w:p>
        </w:tc>
        <w:tc>
          <w:tcPr>
            <w:tcW w:w="556" w:type="dxa"/>
            <w:vAlign w:val="bottom"/>
          </w:tcPr>
          <w:p w:rsidR="0019170B" w:rsidRPr="0019170B" w:rsidRDefault="0019170B" w:rsidP="0019170B">
            <w:pPr>
              <w:pStyle w:val="Table3heading"/>
              <w:rPr>
                <w:b/>
              </w:rPr>
            </w:pPr>
            <w:r w:rsidRPr="0019170B">
              <w:rPr>
                <w:b/>
              </w:rPr>
              <w:t>141</w:t>
            </w:r>
          </w:p>
        </w:tc>
        <w:tc>
          <w:tcPr>
            <w:tcW w:w="556" w:type="dxa"/>
            <w:vAlign w:val="bottom"/>
          </w:tcPr>
          <w:p w:rsidR="0019170B" w:rsidRPr="0019170B" w:rsidRDefault="0019170B" w:rsidP="0019170B">
            <w:pPr>
              <w:pStyle w:val="Table3heading"/>
              <w:rPr>
                <w:b/>
              </w:rPr>
            </w:pPr>
            <w:r w:rsidRPr="0019170B">
              <w:rPr>
                <w:b/>
              </w:rPr>
              <w:t>142</w:t>
            </w:r>
          </w:p>
        </w:tc>
        <w:tc>
          <w:tcPr>
            <w:tcW w:w="816" w:type="dxa"/>
            <w:vAlign w:val="bottom"/>
          </w:tcPr>
          <w:p w:rsidR="0019170B" w:rsidRPr="0019170B" w:rsidRDefault="0019170B" w:rsidP="0019170B">
            <w:pPr>
              <w:pStyle w:val="Table3heading"/>
              <w:rPr>
                <w:b/>
              </w:rPr>
            </w:pPr>
            <w:r w:rsidRPr="0019170B">
              <w:rPr>
                <w:b/>
              </w:rPr>
              <w:t>166</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p>
        </w:tc>
        <w:tc>
          <w:tcPr>
            <w:tcW w:w="560"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9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816" w:type="dxa"/>
            <w:vAlign w:val="center"/>
          </w:tcPr>
          <w:p w:rsidR="0019170B" w:rsidRPr="0019170B" w:rsidRDefault="0019170B" w:rsidP="0019170B">
            <w:pPr>
              <w:pStyle w:val="Table3heading"/>
            </w:pPr>
          </w:p>
        </w:tc>
      </w:tr>
      <w:tr w:rsidR="0019170B" w:rsidTr="004B295C">
        <w:tc>
          <w:tcPr>
            <w:tcW w:w="1097" w:type="dxa"/>
            <w:vMerge w:val="restart"/>
            <w:vAlign w:val="center"/>
          </w:tcPr>
          <w:p w:rsidR="0019170B" w:rsidRPr="00737F6B" w:rsidRDefault="0019170B" w:rsidP="00737F6B">
            <w:pPr>
              <w:pStyle w:val="Table3heading"/>
              <w:rPr>
                <w:b/>
              </w:rPr>
            </w:pPr>
            <w:r w:rsidRPr="00737F6B">
              <w:rPr>
                <w:b/>
              </w:rPr>
              <w:t>Rigid</w:t>
            </w:r>
            <w:r w:rsidRPr="00737F6B">
              <w:rPr>
                <w:b/>
              </w:rPr>
              <w:br/>
              <w:t>vehicles</w:t>
            </w:r>
          </w:p>
        </w:tc>
        <w:tc>
          <w:tcPr>
            <w:tcW w:w="887" w:type="dxa"/>
            <w:vAlign w:val="center"/>
          </w:tcPr>
          <w:p w:rsidR="0019170B" w:rsidRPr="0019170B" w:rsidRDefault="0019170B" w:rsidP="0019170B">
            <w:pPr>
              <w:pStyle w:val="Table3heading"/>
            </w:pPr>
            <w:r w:rsidRPr="0019170B">
              <w:t>NSW</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41</w:t>
            </w:r>
          </w:p>
        </w:tc>
        <w:tc>
          <w:tcPr>
            <w:tcW w:w="556" w:type="dxa"/>
            <w:vAlign w:val="bottom"/>
          </w:tcPr>
          <w:p w:rsidR="0019170B" w:rsidRPr="0019170B" w:rsidRDefault="0019170B" w:rsidP="0019170B">
            <w:pPr>
              <w:pStyle w:val="Table3heading"/>
            </w:pPr>
            <w:r w:rsidRPr="0019170B">
              <w:t>23</w:t>
            </w:r>
          </w:p>
        </w:tc>
        <w:tc>
          <w:tcPr>
            <w:tcW w:w="556" w:type="dxa"/>
            <w:vAlign w:val="bottom"/>
          </w:tcPr>
          <w:p w:rsidR="0019170B" w:rsidRPr="0019170B" w:rsidRDefault="0019170B" w:rsidP="0019170B">
            <w:pPr>
              <w:pStyle w:val="Table3heading"/>
            </w:pPr>
            <w:r w:rsidRPr="0019170B">
              <w:t>38</w:t>
            </w:r>
          </w:p>
        </w:tc>
        <w:tc>
          <w:tcPr>
            <w:tcW w:w="556" w:type="dxa"/>
            <w:vAlign w:val="bottom"/>
          </w:tcPr>
          <w:p w:rsidR="0019170B" w:rsidRPr="0019170B" w:rsidRDefault="0019170B" w:rsidP="0019170B">
            <w:pPr>
              <w:pStyle w:val="Table3heading"/>
            </w:pPr>
            <w:r w:rsidRPr="0019170B">
              <w:t>28</w:t>
            </w:r>
          </w:p>
        </w:tc>
        <w:tc>
          <w:tcPr>
            <w:tcW w:w="556" w:type="dxa"/>
            <w:vAlign w:val="bottom"/>
          </w:tcPr>
          <w:p w:rsidR="0019170B" w:rsidRPr="0019170B" w:rsidRDefault="0019170B" w:rsidP="0019170B">
            <w:pPr>
              <w:pStyle w:val="Table3heading"/>
            </w:pPr>
            <w:r w:rsidRPr="0019170B">
              <w:t>30</w:t>
            </w:r>
          </w:p>
        </w:tc>
        <w:tc>
          <w:tcPr>
            <w:tcW w:w="556" w:type="dxa"/>
            <w:vAlign w:val="bottom"/>
          </w:tcPr>
          <w:p w:rsidR="0019170B" w:rsidRPr="0019170B" w:rsidRDefault="0019170B" w:rsidP="0019170B">
            <w:pPr>
              <w:pStyle w:val="Table3heading"/>
            </w:pPr>
            <w:r w:rsidRPr="0019170B">
              <w:t>29</w:t>
            </w:r>
          </w:p>
        </w:tc>
        <w:tc>
          <w:tcPr>
            <w:tcW w:w="596" w:type="dxa"/>
            <w:vAlign w:val="bottom"/>
          </w:tcPr>
          <w:p w:rsidR="0019170B" w:rsidRPr="0019170B" w:rsidRDefault="0019170B" w:rsidP="0019170B">
            <w:pPr>
              <w:pStyle w:val="Table3heading"/>
            </w:pPr>
            <w:r w:rsidRPr="0019170B">
              <w:t>12</w:t>
            </w:r>
          </w:p>
        </w:tc>
        <w:tc>
          <w:tcPr>
            <w:tcW w:w="556" w:type="dxa"/>
            <w:vAlign w:val="bottom"/>
          </w:tcPr>
          <w:p w:rsidR="0019170B" w:rsidRPr="0019170B" w:rsidRDefault="0019170B" w:rsidP="0019170B">
            <w:pPr>
              <w:pStyle w:val="Table3heading"/>
            </w:pPr>
            <w:r w:rsidRPr="0019170B">
              <w:t>24</w:t>
            </w:r>
          </w:p>
        </w:tc>
        <w:tc>
          <w:tcPr>
            <w:tcW w:w="556" w:type="dxa"/>
            <w:vAlign w:val="bottom"/>
          </w:tcPr>
          <w:p w:rsidR="0019170B" w:rsidRPr="0019170B" w:rsidRDefault="0019170B" w:rsidP="0019170B">
            <w:pPr>
              <w:pStyle w:val="Table3heading"/>
            </w:pPr>
            <w:r w:rsidRPr="0019170B">
              <w:t>24</w:t>
            </w:r>
          </w:p>
        </w:tc>
        <w:tc>
          <w:tcPr>
            <w:tcW w:w="556" w:type="dxa"/>
            <w:vAlign w:val="bottom"/>
          </w:tcPr>
          <w:p w:rsidR="0019170B" w:rsidRPr="0019170B" w:rsidRDefault="0019170B" w:rsidP="0019170B">
            <w:pPr>
              <w:pStyle w:val="Table3heading"/>
            </w:pPr>
            <w:r w:rsidRPr="0019170B">
              <w:t>17</w:t>
            </w:r>
          </w:p>
        </w:tc>
        <w:tc>
          <w:tcPr>
            <w:tcW w:w="816" w:type="dxa"/>
            <w:vAlign w:val="bottom"/>
          </w:tcPr>
          <w:p w:rsidR="0019170B" w:rsidRPr="0019170B" w:rsidRDefault="0019170B" w:rsidP="0019170B">
            <w:pPr>
              <w:pStyle w:val="Table3heading"/>
            </w:pPr>
            <w:r w:rsidRPr="0019170B">
              <w:t>22</w:t>
            </w:r>
          </w:p>
        </w:tc>
      </w:tr>
      <w:tr w:rsidR="0019170B" w:rsidTr="004B295C">
        <w:tc>
          <w:tcPr>
            <w:tcW w:w="1097" w:type="dxa"/>
            <w:vMerge/>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VIC</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21</w:t>
            </w:r>
          </w:p>
        </w:tc>
        <w:tc>
          <w:tcPr>
            <w:tcW w:w="556" w:type="dxa"/>
            <w:vAlign w:val="bottom"/>
          </w:tcPr>
          <w:p w:rsidR="0019170B" w:rsidRPr="0019170B" w:rsidRDefault="0019170B" w:rsidP="0019170B">
            <w:pPr>
              <w:pStyle w:val="Table3heading"/>
            </w:pPr>
            <w:r w:rsidRPr="0019170B">
              <w:t>30</w:t>
            </w:r>
          </w:p>
        </w:tc>
        <w:tc>
          <w:tcPr>
            <w:tcW w:w="556" w:type="dxa"/>
            <w:vAlign w:val="bottom"/>
          </w:tcPr>
          <w:p w:rsidR="0019170B" w:rsidRPr="0019170B" w:rsidRDefault="0019170B" w:rsidP="0019170B">
            <w:pPr>
              <w:pStyle w:val="Table3heading"/>
            </w:pPr>
            <w:r w:rsidRPr="0019170B">
              <w:t>33</w:t>
            </w:r>
          </w:p>
        </w:tc>
        <w:tc>
          <w:tcPr>
            <w:tcW w:w="556" w:type="dxa"/>
            <w:vAlign w:val="bottom"/>
          </w:tcPr>
          <w:p w:rsidR="0019170B" w:rsidRPr="0019170B" w:rsidRDefault="0019170B" w:rsidP="0019170B">
            <w:pPr>
              <w:pStyle w:val="Table3heading"/>
            </w:pPr>
            <w:r w:rsidRPr="0019170B">
              <w:t>15</w:t>
            </w:r>
          </w:p>
        </w:tc>
        <w:tc>
          <w:tcPr>
            <w:tcW w:w="556" w:type="dxa"/>
            <w:vAlign w:val="bottom"/>
          </w:tcPr>
          <w:p w:rsidR="0019170B" w:rsidRPr="0019170B" w:rsidRDefault="0019170B" w:rsidP="0019170B">
            <w:pPr>
              <w:pStyle w:val="Table3heading"/>
            </w:pPr>
            <w:r w:rsidRPr="0019170B">
              <w:t>26</w:t>
            </w:r>
          </w:p>
        </w:tc>
        <w:tc>
          <w:tcPr>
            <w:tcW w:w="596" w:type="dxa"/>
            <w:vAlign w:val="bottom"/>
          </w:tcPr>
          <w:p w:rsidR="0019170B" w:rsidRPr="0019170B" w:rsidRDefault="0019170B" w:rsidP="0019170B">
            <w:pPr>
              <w:pStyle w:val="Table3heading"/>
            </w:pPr>
            <w:r w:rsidRPr="0019170B">
              <w:t>25</w:t>
            </w:r>
          </w:p>
        </w:tc>
        <w:tc>
          <w:tcPr>
            <w:tcW w:w="556" w:type="dxa"/>
            <w:vAlign w:val="bottom"/>
          </w:tcPr>
          <w:p w:rsidR="0019170B" w:rsidRPr="0019170B" w:rsidRDefault="0019170B" w:rsidP="0019170B">
            <w:pPr>
              <w:pStyle w:val="Table3heading"/>
            </w:pPr>
            <w:r w:rsidRPr="0019170B">
              <w:t>19</w:t>
            </w:r>
          </w:p>
        </w:tc>
        <w:tc>
          <w:tcPr>
            <w:tcW w:w="556" w:type="dxa"/>
            <w:vAlign w:val="bottom"/>
          </w:tcPr>
          <w:p w:rsidR="0019170B" w:rsidRPr="0019170B" w:rsidRDefault="0019170B" w:rsidP="0019170B">
            <w:pPr>
              <w:pStyle w:val="Table3heading"/>
            </w:pPr>
            <w:r w:rsidRPr="0019170B">
              <w:t>24</w:t>
            </w:r>
          </w:p>
        </w:tc>
        <w:tc>
          <w:tcPr>
            <w:tcW w:w="556" w:type="dxa"/>
            <w:vAlign w:val="bottom"/>
          </w:tcPr>
          <w:p w:rsidR="0019170B" w:rsidRPr="0019170B" w:rsidRDefault="0019170B" w:rsidP="0019170B">
            <w:pPr>
              <w:pStyle w:val="Table3heading"/>
            </w:pPr>
            <w:r w:rsidRPr="0019170B">
              <w:t>11</w:t>
            </w:r>
          </w:p>
        </w:tc>
        <w:tc>
          <w:tcPr>
            <w:tcW w:w="816" w:type="dxa"/>
            <w:vAlign w:val="bottom"/>
          </w:tcPr>
          <w:p w:rsidR="0019170B" w:rsidRPr="0019170B" w:rsidRDefault="0019170B" w:rsidP="0019170B">
            <w:pPr>
              <w:pStyle w:val="Table3heading"/>
            </w:pPr>
            <w:r w:rsidRPr="0019170B">
              <w:t>17</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QLD</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19</w:t>
            </w:r>
          </w:p>
        </w:tc>
        <w:tc>
          <w:tcPr>
            <w:tcW w:w="556" w:type="dxa"/>
            <w:vAlign w:val="bottom"/>
          </w:tcPr>
          <w:p w:rsidR="0019170B" w:rsidRPr="0019170B" w:rsidRDefault="0019170B" w:rsidP="0019170B">
            <w:pPr>
              <w:pStyle w:val="Table3heading"/>
            </w:pPr>
            <w:r w:rsidRPr="0019170B">
              <w:t>18</w:t>
            </w:r>
          </w:p>
        </w:tc>
        <w:tc>
          <w:tcPr>
            <w:tcW w:w="556" w:type="dxa"/>
            <w:vAlign w:val="bottom"/>
          </w:tcPr>
          <w:p w:rsidR="0019170B" w:rsidRPr="0019170B" w:rsidRDefault="0019170B" w:rsidP="0019170B">
            <w:pPr>
              <w:pStyle w:val="Table3heading"/>
            </w:pPr>
            <w:r w:rsidRPr="0019170B">
              <w:t>22</w:t>
            </w:r>
          </w:p>
        </w:tc>
        <w:tc>
          <w:tcPr>
            <w:tcW w:w="556" w:type="dxa"/>
            <w:vAlign w:val="bottom"/>
          </w:tcPr>
          <w:p w:rsidR="0019170B" w:rsidRPr="0019170B" w:rsidRDefault="0019170B" w:rsidP="0019170B">
            <w:pPr>
              <w:pStyle w:val="Table3heading"/>
            </w:pPr>
            <w:r w:rsidRPr="0019170B">
              <w:t>13</w:t>
            </w:r>
          </w:p>
        </w:tc>
        <w:tc>
          <w:tcPr>
            <w:tcW w:w="556" w:type="dxa"/>
            <w:vAlign w:val="bottom"/>
          </w:tcPr>
          <w:p w:rsidR="0019170B" w:rsidRPr="0019170B" w:rsidRDefault="0019170B" w:rsidP="0019170B">
            <w:pPr>
              <w:pStyle w:val="Table3heading"/>
            </w:pPr>
            <w:r w:rsidRPr="0019170B">
              <w:t>16</w:t>
            </w:r>
          </w:p>
        </w:tc>
        <w:tc>
          <w:tcPr>
            <w:tcW w:w="556" w:type="dxa"/>
            <w:vAlign w:val="bottom"/>
          </w:tcPr>
          <w:p w:rsidR="0019170B" w:rsidRPr="0019170B" w:rsidRDefault="0019170B" w:rsidP="0019170B">
            <w:pPr>
              <w:pStyle w:val="Table3heading"/>
            </w:pPr>
            <w:r w:rsidRPr="0019170B">
              <w:t>11</w:t>
            </w:r>
          </w:p>
        </w:tc>
        <w:tc>
          <w:tcPr>
            <w:tcW w:w="596" w:type="dxa"/>
            <w:vAlign w:val="bottom"/>
          </w:tcPr>
          <w:p w:rsidR="0019170B" w:rsidRPr="0019170B" w:rsidRDefault="0019170B" w:rsidP="0019170B">
            <w:pPr>
              <w:pStyle w:val="Table3heading"/>
            </w:pPr>
            <w:r w:rsidRPr="0019170B">
              <w:t>24</w:t>
            </w:r>
          </w:p>
        </w:tc>
        <w:tc>
          <w:tcPr>
            <w:tcW w:w="556" w:type="dxa"/>
            <w:vAlign w:val="bottom"/>
          </w:tcPr>
          <w:p w:rsidR="0019170B" w:rsidRPr="0019170B" w:rsidRDefault="0019170B" w:rsidP="0019170B">
            <w:pPr>
              <w:pStyle w:val="Table3heading"/>
            </w:pPr>
            <w:r w:rsidRPr="0019170B">
              <w:t>13</w:t>
            </w:r>
          </w:p>
        </w:tc>
        <w:tc>
          <w:tcPr>
            <w:tcW w:w="556" w:type="dxa"/>
            <w:vAlign w:val="bottom"/>
          </w:tcPr>
          <w:p w:rsidR="0019170B" w:rsidRPr="0019170B" w:rsidRDefault="0019170B" w:rsidP="0019170B">
            <w:pPr>
              <w:pStyle w:val="Table3heading"/>
            </w:pPr>
            <w:r w:rsidRPr="0019170B">
              <w:t>15</w:t>
            </w:r>
          </w:p>
        </w:tc>
        <w:tc>
          <w:tcPr>
            <w:tcW w:w="556" w:type="dxa"/>
            <w:vAlign w:val="bottom"/>
          </w:tcPr>
          <w:p w:rsidR="0019170B" w:rsidRPr="0019170B" w:rsidRDefault="0019170B" w:rsidP="0019170B">
            <w:pPr>
              <w:pStyle w:val="Table3heading"/>
            </w:pPr>
            <w:r w:rsidRPr="0019170B">
              <w:t>13</w:t>
            </w:r>
          </w:p>
        </w:tc>
        <w:tc>
          <w:tcPr>
            <w:tcW w:w="816" w:type="dxa"/>
            <w:vAlign w:val="bottom"/>
          </w:tcPr>
          <w:p w:rsidR="0019170B" w:rsidRPr="0019170B" w:rsidRDefault="0019170B" w:rsidP="0019170B">
            <w:pPr>
              <w:pStyle w:val="Table3heading"/>
            </w:pPr>
            <w:r w:rsidRPr="0019170B">
              <w:t>14</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SA</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11</w:t>
            </w:r>
          </w:p>
        </w:tc>
        <w:tc>
          <w:tcPr>
            <w:tcW w:w="556" w:type="dxa"/>
            <w:vAlign w:val="bottom"/>
          </w:tcPr>
          <w:p w:rsidR="0019170B" w:rsidRPr="0019170B" w:rsidRDefault="0019170B" w:rsidP="0019170B">
            <w:pPr>
              <w:pStyle w:val="Table3heading"/>
            </w:pPr>
            <w:r w:rsidRPr="0019170B">
              <w:t>8</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5</w:t>
            </w:r>
          </w:p>
        </w:tc>
        <w:tc>
          <w:tcPr>
            <w:tcW w:w="596" w:type="dxa"/>
            <w:vAlign w:val="bottom"/>
          </w:tcPr>
          <w:p w:rsidR="0019170B" w:rsidRPr="0019170B" w:rsidRDefault="0019170B" w:rsidP="0019170B">
            <w:pPr>
              <w:pStyle w:val="Table3heading"/>
            </w:pPr>
            <w:r w:rsidRPr="0019170B">
              <w:t>10</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6</w:t>
            </w:r>
          </w:p>
        </w:tc>
        <w:tc>
          <w:tcPr>
            <w:tcW w:w="816" w:type="dxa"/>
            <w:vAlign w:val="bottom"/>
          </w:tcPr>
          <w:p w:rsidR="0019170B" w:rsidRPr="0019170B" w:rsidRDefault="0019170B" w:rsidP="0019170B">
            <w:pPr>
              <w:pStyle w:val="Table3heading"/>
            </w:pPr>
            <w:r w:rsidRPr="0019170B">
              <w:t>5</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WA</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10</w:t>
            </w:r>
          </w:p>
        </w:tc>
        <w:tc>
          <w:tcPr>
            <w:tcW w:w="596" w:type="dxa"/>
            <w:vAlign w:val="bottom"/>
          </w:tcPr>
          <w:p w:rsidR="0019170B" w:rsidRPr="0019170B" w:rsidRDefault="0019170B" w:rsidP="0019170B">
            <w:pPr>
              <w:pStyle w:val="Table3heading"/>
            </w:pPr>
            <w:r w:rsidRPr="0019170B">
              <w:t>18</w:t>
            </w:r>
          </w:p>
        </w:tc>
        <w:tc>
          <w:tcPr>
            <w:tcW w:w="556" w:type="dxa"/>
            <w:vAlign w:val="bottom"/>
          </w:tcPr>
          <w:p w:rsidR="0019170B" w:rsidRPr="0019170B" w:rsidRDefault="0019170B" w:rsidP="0019170B">
            <w:pPr>
              <w:pStyle w:val="Table3heading"/>
            </w:pPr>
            <w:r w:rsidRPr="0019170B">
              <w:t>18</w:t>
            </w:r>
          </w:p>
        </w:tc>
        <w:tc>
          <w:tcPr>
            <w:tcW w:w="556" w:type="dxa"/>
            <w:vAlign w:val="bottom"/>
          </w:tcPr>
          <w:p w:rsidR="0019170B" w:rsidRPr="0019170B" w:rsidRDefault="0019170B" w:rsidP="0019170B">
            <w:pPr>
              <w:pStyle w:val="Table3heading"/>
            </w:pPr>
            <w:r w:rsidRPr="0019170B">
              <w:t>12</w:t>
            </w:r>
          </w:p>
        </w:tc>
        <w:tc>
          <w:tcPr>
            <w:tcW w:w="556" w:type="dxa"/>
            <w:vAlign w:val="bottom"/>
          </w:tcPr>
          <w:p w:rsidR="0019170B" w:rsidRPr="0019170B" w:rsidRDefault="0019170B" w:rsidP="0019170B">
            <w:pPr>
              <w:pStyle w:val="Table3heading"/>
            </w:pPr>
            <w:r w:rsidRPr="0019170B">
              <w:t>9</w:t>
            </w:r>
          </w:p>
        </w:tc>
        <w:tc>
          <w:tcPr>
            <w:tcW w:w="816" w:type="dxa"/>
            <w:vAlign w:val="bottom"/>
          </w:tcPr>
          <w:p w:rsidR="0019170B" w:rsidRPr="0019170B" w:rsidRDefault="0019170B" w:rsidP="0019170B">
            <w:pPr>
              <w:pStyle w:val="Table3heading"/>
            </w:pPr>
            <w:r w:rsidRPr="0019170B">
              <w:t>8</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TAS</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4</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1</w:t>
            </w:r>
          </w:p>
        </w:tc>
        <w:tc>
          <w:tcPr>
            <w:tcW w:w="59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2</w:t>
            </w:r>
          </w:p>
        </w:tc>
        <w:tc>
          <w:tcPr>
            <w:tcW w:w="816" w:type="dxa"/>
            <w:vAlign w:val="bottom"/>
          </w:tcPr>
          <w:p w:rsidR="0019170B" w:rsidRPr="0019170B" w:rsidRDefault="0019170B" w:rsidP="0019170B">
            <w:pPr>
              <w:pStyle w:val="Table3heading"/>
            </w:pPr>
            <w:r w:rsidRPr="0019170B">
              <w:t>2</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NT</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2</w:t>
            </w:r>
          </w:p>
        </w:tc>
        <w:tc>
          <w:tcPr>
            <w:tcW w:w="59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4</w:t>
            </w:r>
          </w:p>
        </w:tc>
        <w:tc>
          <w:tcPr>
            <w:tcW w:w="816" w:type="dxa"/>
            <w:vAlign w:val="bottom"/>
          </w:tcPr>
          <w:p w:rsidR="0019170B" w:rsidRPr="0019170B" w:rsidRDefault="0019170B" w:rsidP="0019170B">
            <w:pPr>
              <w:pStyle w:val="Table3heading"/>
            </w:pPr>
            <w:r w:rsidRPr="0019170B">
              <w:t>1</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ACT</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9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816" w:type="dxa"/>
            <w:vAlign w:val="bottom"/>
          </w:tcPr>
          <w:p w:rsidR="0019170B" w:rsidRPr="0019170B" w:rsidRDefault="0019170B" w:rsidP="0019170B">
            <w:pPr>
              <w:pStyle w:val="Table3heading"/>
            </w:pPr>
            <w:r w:rsidRPr="0019170B">
              <w:t>1</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p>
        </w:tc>
        <w:tc>
          <w:tcPr>
            <w:tcW w:w="560" w:type="dxa"/>
            <w:vAlign w:val="bottom"/>
          </w:tcPr>
          <w:p w:rsidR="0019170B" w:rsidRPr="0019170B" w:rsidRDefault="0019170B" w:rsidP="0019170B">
            <w:pPr>
              <w:pStyle w:val="Table3heading"/>
            </w:pPr>
          </w:p>
        </w:tc>
        <w:tc>
          <w:tcPr>
            <w:tcW w:w="553" w:type="dxa"/>
            <w:vAlign w:val="bottom"/>
          </w:tcPr>
          <w:p w:rsidR="0019170B" w:rsidRPr="0019170B" w:rsidRDefault="0019170B" w:rsidP="0019170B">
            <w:pPr>
              <w:pStyle w:val="Table3heading"/>
            </w:pPr>
          </w:p>
        </w:tc>
        <w:tc>
          <w:tcPr>
            <w:tcW w:w="553" w:type="dxa"/>
            <w:vAlign w:val="bottom"/>
          </w:tcPr>
          <w:p w:rsidR="0019170B" w:rsidRPr="0019170B" w:rsidRDefault="0019170B" w:rsidP="0019170B">
            <w:pPr>
              <w:pStyle w:val="Table3heading"/>
            </w:pPr>
          </w:p>
        </w:tc>
        <w:tc>
          <w:tcPr>
            <w:tcW w:w="553" w:type="dxa"/>
            <w:vAlign w:val="bottom"/>
          </w:tcPr>
          <w:p w:rsidR="0019170B" w:rsidRPr="0019170B" w:rsidRDefault="0019170B" w:rsidP="0019170B">
            <w:pPr>
              <w:pStyle w:val="Table3heading"/>
            </w:pPr>
          </w:p>
        </w:tc>
        <w:tc>
          <w:tcPr>
            <w:tcW w:w="554" w:type="dxa"/>
            <w:vAlign w:val="bottom"/>
          </w:tcPr>
          <w:p w:rsidR="0019170B" w:rsidRPr="0019170B" w:rsidRDefault="0019170B" w:rsidP="0019170B">
            <w:pPr>
              <w:pStyle w:val="Table3heading"/>
            </w:pPr>
          </w:p>
        </w:tc>
        <w:tc>
          <w:tcPr>
            <w:tcW w:w="554" w:type="dxa"/>
            <w:vAlign w:val="bottom"/>
          </w:tcPr>
          <w:p w:rsidR="0019170B" w:rsidRPr="0019170B" w:rsidRDefault="0019170B" w:rsidP="0019170B">
            <w:pPr>
              <w:pStyle w:val="Table3heading"/>
            </w:pPr>
          </w:p>
        </w:tc>
        <w:tc>
          <w:tcPr>
            <w:tcW w:w="554" w:type="dxa"/>
            <w:vAlign w:val="bottom"/>
          </w:tcPr>
          <w:p w:rsidR="0019170B" w:rsidRPr="0019170B" w:rsidRDefault="0019170B" w:rsidP="0019170B">
            <w:pPr>
              <w:pStyle w:val="Table3heading"/>
            </w:pPr>
          </w:p>
        </w:tc>
        <w:tc>
          <w:tcPr>
            <w:tcW w:w="555" w:type="dxa"/>
            <w:vAlign w:val="bottom"/>
          </w:tcPr>
          <w:p w:rsidR="0019170B" w:rsidRPr="0019170B" w:rsidRDefault="0019170B" w:rsidP="0019170B">
            <w:pPr>
              <w:pStyle w:val="Table3heading"/>
            </w:pPr>
          </w:p>
        </w:tc>
        <w:tc>
          <w:tcPr>
            <w:tcW w:w="555" w:type="dxa"/>
            <w:vAlign w:val="bottom"/>
          </w:tcPr>
          <w:p w:rsidR="0019170B" w:rsidRPr="0019170B" w:rsidRDefault="0019170B" w:rsidP="0019170B">
            <w:pPr>
              <w:pStyle w:val="Table3heading"/>
            </w:pPr>
          </w:p>
        </w:tc>
        <w:tc>
          <w:tcPr>
            <w:tcW w:w="555"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9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556" w:type="dxa"/>
            <w:vAlign w:val="bottom"/>
          </w:tcPr>
          <w:p w:rsidR="0019170B" w:rsidRPr="0019170B" w:rsidRDefault="0019170B" w:rsidP="0019170B">
            <w:pPr>
              <w:pStyle w:val="Table3heading"/>
            </w:pPr>
          </w:p>
        </w:tc>
        <w:tc>
          <w:tcPr>
            <w:tcW w:w="816" w:type="dxa"/>
            <w:vAlign w:val="bottom"/>
          </w:tcPr>
          <w:p w:rsidR="0019170B" w:rsidRPr="0019170B" w:rsidRDefault="0019170B" w:rsidP="0019170B">
            <w:pPr>
              <w:pStyle w:val="Table3heading"/>
            </w:pP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Australia</w:t>
            </w:r>
          </w:p>
        </w:tc>
        <w:tc>
          <w:tcPr>
            <w:tcW w:w="560" w:type="dxa"/>
            <w:vAlign w:val="bottom"/>
          </w:tcPr>
          <w:p w:rsidR="0019170B" w:rsidRPr="0019170B" w:rsidRDefault="0019170B" w:rsidP="0019170B">
            <w:pPr>
              <w:pStyle w:val="Table3heading"/>
              <w:rPr>
                <w:b/>
                <w:bCs/>
              </w:rPr>
            </w:pPr>
            <w:r w:rsidRPr="0019170B">
              <w:rPr>
                <w:b/>
                <w:bCs/>
              </w:rPr>
              <w:t>0</w:t>
            </w:r>
          </w:p>
        </w:tc>
        <w:tc>
          <w:tcPr>
            <w:tcW w:w="553" w:type="dxa"/>
            <w:vAlign w:val="bottom"/>
          </w:tcPr>
          <w:p w:rsidR="0019170B" w:rsidRPr="0019170B" w:rsidRDefault="0019170B" w:rsidP="0019170B">
            <w:pPr>
              <w:pStyle w:val="Table3heading"/>
              <w:rPr>
                <w:b/>
                <w:bCs/>
              </w:rPr>
            </w:pPr>
            <w:r w:rsidRPr="0019170B">
              <w:rPr>
                <w:b/>
                <w:bCs/>
              </w:rPr>
              <w:t>0</w:t>
            </w:r>
          </w:p>
        </w:tc>
        <w:tc>
          <w:tcPr>
            <w:tcW w:w="553" w:type="dxa"/>
            <w:vAlign w:val="bottom"/>
          </w:tcPr>
          <w:p w:rsidR="0019170B" w:rsidRPr="0019170B" w:rsidRDefault="0019170B" w:rsidP="0019170B">
            <w:pPr>
              <w:pStyle w:val="Table3heading"/>
              <w:rPr>
                <w:b/>
                <w:bCs/>
              </w:rPr>
            </w:pPr>
            <w:r w:rsidRPr="0019170B">
              <w:rPr>
                <w:b/>
                <w:bCs/>
              </w:rPr>
              <w:t>0</w:t>
            </w:r>
          </w:p>
        </w:tc>
        <w:tc>
          <w:tcPr>
            <w:tcW w:w="553" w:type="dxa"/>
            <w:vAlign w:val="bottom"/>
          </w:tcPr>
          <w:p w:rsidR="0019170B" w:rsidRPr="0019170B" w:rsidRDefault="0019170B" w:rsidP="0019170B">
            <w:pPr>
              <w:pStyle w:val="Table3heading"/>
              <w:rPr>
                <w:b/>
                <w:bCs/>
              </w:rPr>
            </w:pPr>
            <w:r w:rsidRPr="0019170B">
              <w:rPr>
                <w:b/>
                <w:bCs/>
              </w:rPr>
              <w:t>0</w:t>
            </w:r>
          </w:p>
        </w:tc>
        <w:tc>
          <w:tcPr>
            <w:tcW w:w="554" w:type="dxa"/>
            <w:vAlign w:val="bottom"/>
          </w:tcPr>
          <w:p w:rsidR="0019170B" w:rsidRPr="0019170B" w:rsidRDefault="0019170B" w:rsidP="0019170B">
            <w:pPr>
              <w:pStyle w:val="Table3heading"/>
              <w:rPr>
                <w:b/>
                <w:bCs/>
              </w:rPr>
            </w:pPr>
            <w:r w:rsidRPr="0019170B">
              <w:rPr>
                <w:b/>
                <w:bCs/>
              </w:rPr>
              <w:t>0</w:t>
            </w:r>
          </w:p>
        </w:tc>
        <w:tc>
          <w:tcPr>
            <w:tcW w:w="554" w:type="dxa"/>
            <w:vAlign w:val="bottom"/>
          </w:tcPr>
          <w:p w:rsidR="0019170B" w:rsidRPr="0019170B" w:rsidRDefault="0019170B" w:rsidP="0019170B">
            <w:pPr>
              <w:pStyle w:val="Table3heading"/>
              <w:rPr>
                <w:b/>
                <w:bCs/>
              </w:rPr>
            </w:pPr>
            <w:r w:rsidRPr="0019170B">
              <w:rPr>
                <w:b/>
                <w:bCs/>
              </w:rPr>
              <w:t>0</w:t>
            </w:r>
          </w:p>
        </w:tc>
        <w:tc>
          <w:tcPr>
            <w:tcW w:w="554" w:type="dxa"/>
            <w:vAlign w:val="bottom"/>
          </w:tcPr>
          <w:p w:rsidR="0019170B" w:rsidRPr="0019170B" w:rsidRDefault="0019170B" w:rsidP="0019170B">
            <w:pPr>
              <w:pStyle w:val="Table3heading"/>
              <w:rPr>
                <w:b/>
                <w:bCs/>
              </w:rPr>
            </w:pPr>
            <w:r w:rsidRPr="0019170B">
              <w:rPr>
                <w:b/>
                <w:bCs/>
              </w:rPr>
              <w:t>0</w:t>
            </w:r>
          </w:p>
        </w:tc>
        <w:tc>
          <w:tcPr>
            <w:tcW w:w="555" w:type="dxa"/>
            <w:vAlign w:val="bottom"/>
          </w:tcPr>
          <w:p w:rsidR="0019170B" w:rsidRPr="0019170B" w:rsidRDefault="0019170B" w:rsidP="0019170B">
            <w:pPr>
              <w:pStyle w:val="Table3heading"/>
              <w:rPr>
                <w:b/>
                <w:bCs/>
              </w:rPr>
            </w:pPr>
            <w:r w:rsidRPr="0019170B">
              <w:rPr>
                <w:b/>
                <w:bCs/>
              </w:rPr>
              <w:t>0</w:t>
            </w:r>
          </w:p>
        </w:tc>
        <w:tc>
          <w:tcPr>
            <w:tcW w:w="555" w:type="dxa"/>
            <w:vAlign w:val="bottom"/>
          </w:tcPr>
          <w:p w:rsidR="0019170B" w:rsidRPr="0019170B" w:rsidRDefault="0019170B" w:rsidP="0019170B">
            <w:pPr>
              <w:pStyle w:val="Table3heading"/>
              <w:rPr>
                <w:b/>
                <w:bCs/>
              </w:rPr>
            </w:pPr>
            <w:r w:rsidRPr="0019170B">
              <w:rPr>
                <w:b/>
                <w:bCs/>
              </w:rPr>
              <w:t>0</w:t>
            </w:r>
          </w:p>
        </w:tc>
        <w:tc>
          <w:tcPr>
            <w:tcW w:w="555" w:type="dxa"/>
            <w:vAlign w:val="bottom"/>
          </w:tcPr>
          <w:p w:rsidR="0019170B" w:rsidRPr="0019170B" w:rsidRDefault="0019170B" w:rsidP="0019170B">
            <w:pPr>
              <w:pStyle w:val="Table3heading"/>
              <w:rPr>
                <w:b/>
                <w:bCs/>
              </w:rPr>
            </w:pPr>
            <w:r w:rsidRPr="0019170B">
              <w:rPr>
                <w:b/>
                <w:bCs/>
              </w:rPr>
              <w:t>0</w:t>
            </w:r>
          </w:p>
        </w:tc>
        <w:tc>
          <w:tcPr>
            <w:tcW w:w="556" w:type="dxa"/>
            <w:vAlign w:val="bottom"/>
          </w:tcPr>
          <w:p w:rsidR="0019170B" w:rsidRPr="0019170B" w:rsidRDefault="0019170B" w:rsidP="0019170B">
            <w:pPr>
              <w:pStyle w:val="Table3heading"/>
              <w:rPr>
                <w:b/>
                <w:bCs/>
              </w:rPr>
            </w:pPr>
            <w:r w:rsidRPr="0019170B">
              <w:rPr>
                <w:b/>
                <w:bCs/>
              </w:rPr>
              <w:t>0</w:t>
            </w:r>
          </w:p>
        </w:tc>
        <w:tc>
          <w:tcPr>
            <w:tcW w:w="556" w:type="dxa"/>
            <w:vAlign w:val="bottom"/>
          </w:tcPr>
          <w:p w:rsidR="0019170B" w:rsidRPr="0019170B" w:rsidRDefault="0019170B" w:rsidP="0019170B">
            <w:pPr>
              <w:pStyle w:val="Table3heading"/>
              <w:rPr>
                <w:b/>
                <w:bCs/>
              </w:rPr>
            </w:pPr>
            <w:r w:rsidRPr="0019170B">
              <w:rPr>
                <w:b/>
                <w:bCs/>
              </w:rPr>
              <w:t>0</w:t>
            </w:r>
          </w:p>
        </w:tc>
        <w:tc>
          <w:tcPr>
            <w:tcW w:w="556" w:type="dxa"/>
            <w:vAlign w:val="bottom"/>
          </w:tcPr>
          <w:p w:rsidR="0019170B" w:rsidRPr="0019170B" w:rsidRDefault="0019170B" w:rsidP="0019170B">
            <w:pPr>
              <w:pStyle w:val="Table3heading"/>
              <w:rPr>
                <w:b/>
                <w:bCs/>
              </w:rPr>
            </w:pPr>
            <w:r w:rsidRPr="0019170B">
              <w:rPr>
                <w:b/>
                <w:bCs/>
              </w:rPr>
              <w:t>0</w:t>
            </w:r>
          </w:p>
        </w:tc>
        <w:tc>
          <w:tcPr>
            <w:tcW w:w="556" w:type="dxa"/>
            <w:vAlign w:val="bottom"/>
          </w:tcPr>
          <w:p w:rsidR="0019170B" w:rsidRPr="0019170B" w:rsidRDefault="0019170B" w:rsidP="0019170B">
            <w:pPr>
              <w:pStyle w:val="Table3heading"/>
              <w:rPr>
                <w:b/>
                <w:bCs/>
              </w:rPr>
            </w:pPr>
            <w:r w:rsidRPr="0019170B">
              <w:rPr>
                <w:b/>
                <w:bCs/>
              </w:rPr>
              <w:t>75</w:t>
            </w:r>
          </w:p>
        </w:tc>
        <w:tc>
          <w:tcPr>
            <w:tcW w:w="556" w:type="dxa"/>
            <w:vAlign w:val="bottom"/>
          </w:tcPr>
          <w:p w:rsidR="0019170B" w:rsidRPr="0019170B" w:rsidRDefault="0019170B" w:rsidP="0019170B">
            <w:pPr>
              <w:pStyle w:val="Table3heading"/>
              <w:rPr>
                <w:b/>
                <w:bCs/>
              </w:rPr>
            </w:pPr>
            <w:r w:rsidRPr="0019170B">
              <w:rPr>
                <w:b/>
                <w:bCs/>
              </w:rPr>
              <w:t>74</w:t>
            </w:r>
          </w:p>
        </w:tc>
        <w:tc>
          <w:tcPr>
            <w:tcW w:w="556" w:type="dxa"/>
            <w:vAlign w:val="bottom"/>
          </w:tcPr>
          <w:p w:rsidR="0019170B" w:rsidRPr="0019170B" w:rsidRDefault="0019170B" w:rsidP="0019170B">
            <w:pPr>
              <w:pStyle w:val="Table3heading"/>
              <w:rPr>
                <w:b/>
                <w:bCs/>
              </w:rPr>
            </w:pPr>
            <w:r w:rsidRPr="0019170B">
              <w:rPr>
                <w:b/>
                <w:bCs/>
              </w:rPr>
              <w:t>108</w:t>
            </w:r>
          </w:p>
        </w:tc>
        <w:tc>
          <w:tcPr>
            <w:tcW w:w="556" w:type="dxa"/>
            <w:vAlign w:val="bottom"/>
          </w:tcPr>
          <w:p w:rsidR="0019170B" w:rsidRPr="0019170B" w:rsidRDefault="0019170B" w:rsidP="0019170B">
            <w:pPr>
              <w:pStyle w:val="Table3heading"/>
              <w:rPr>
                <w:b/>
                <w:bCs/>
              </w:rPr>
            </w:pPr>
            <w:r w:rsidRPr="0019170B">
              <w:rPr>
                <w:b/>
                <w:bCs/>
              </w:rPr>
              <w:t>88</w:t>
            </w:r>
          </w:p>
        </w:tc>
        <w:tc>
          <w:tcPr>
            <w:tcW w:w="556" w:type="dxa"/>
            <w:vAlign w:val="bottom"/>
          </w:tcPr>
          <w:p w:rsidR="0019170B" w:rsidRPr="0019170B" w:rsidRDefault="0019170B" w:rsidP="0019170B">
            <w:pPr>
              <w:pStyle w:val="Table3heading"/>
              <w:rPr>
                <w:b/>
                <w:bCs/>
              </w:rPr>
            </w:pPr>
            <w:r w:rsidRPr="0019170B">
              <w:rPr>
                <w:b/>
                <w:bCs/>
              </w:rPr>
              <w:t>80</w:t>
            </w:r>
          </w:p>
        </w:tc>
        <w:tc>
          <w:tcPr>
            <w:tcW w:w="556" w:type="dxa"/>
            <w:vAlign w:val="bottom"/>
          </w:tcPr>
          <w:p w:rsidR="0019170B" w:rsidRPr="0019170B" w:rsidRDefault="0019170B" w:rsidP="0019170B">
            <w:pPr>
              <w:pStyle w:val="Table3heading"/>
              <w:rPr>
                <w:b/>
                <w:bCs/>
              </w:rPr>
            </w:pPr>
            <w:r w:rsidRPr="0019170B">
              <w:rPr>
                <w:b/>
                <w:bCs/>
              </w:rPr>
              <w:t>85</w:t>
            </w:r>
          </w:p>
        </w:tc>
        <w:tc>
          <w:tcPr>
            <w:tcW w:w="596" w:type="dxa"/>
            <w:vAlign w:val="bottom"/>
          </w:tcPr>
          <w:p w:rsidR="0019170B" w:rsidRPr="0019170B" w:rsidRDefault="0019170B" w:rsidP="0019170B">
            <w:pPr>
              <w:pStyle w:val="Table3heading"/>
              <w:rPr>
                <w:b/>
                <w:bCs/>
              </w:rPr>
            </w:pPr>
            <w:r w:rsidRPr="0019170B">
              <w:rPr>
                <w:b/>
                <w:bCs/>
              </w:rPr>
              <w:t>93</w:t>
            </w:r>
          </w:p>
        </w:tc>
        <w:tc>
          <w:tcPr>
            <w:tcW w:w="556" w:type="dxa"/>
            <w:vAlign w:val="bottom"/>
          </w:tcPr>
          <w:p w:rsidR="0019170B" w:rsidRPr="0019170B" w:rsidRDefault="0019170B" w:rsidP="0019170B">
            <w:pPr>
              <w:pStyle w:val="Table3heading"/>
              <w:rPr>
                <w:b/>
                <w:bCs/>
              </w:rPr>
            </w:pPr>
            <w:r w:rsidRPr="0019170B">
              <w:rPr>
                <w:b/>
                <w:bCs/>
              </w:rPr>
              <w:t>78</w:t>
            </w:r>
          </w:p>
        </w:tc>
        <w:tc>
          <w:tcPr>
            <w:tcW w:w="556" w:type="dxa"/>
            <w:vAlign w:val="bottom"/>
          </w:tcPr>
          <w:p w:rsidR="0019170B" w:rsidRPr="0019170B" w:rsidRDefault="0019170B" w:rsidP="0019170B">
            <w:pPr>
              <w:pStyle w:val="Table3heading"/>
              <w:rPr>
                <w:b/>
                <w:bCs/>
              </w:rPr>
            </w:pPr>
            <w:r w:rsidRPr="0019170B">
              <w:rPr>
                <w:b/>
                <w:bCs/>
              </w:rPr>
              <w:t>83</w:t>
            </w:r>
          </w:p>
        </w:tc>
        <w:tc>
          <w:tcPr>
            <w:tcW w:w="556" w:type="dxa"/>
            <w:vAlign w:val="bottom"/>
          </w:tcPr>
          <w:p w:rsidR="0019170B" w:rsidRPr="0019170B" w:rsidRDefault="0019170B" w:rsidP="0019170B">
            <w:pPr>
              <w:pStyle w:val="Table3heading"/>
              <w:rPr>
                <w:b/>
                <w:bCs/>
              </w:rPr>
            </w:pPr>
            <w:r w:rsidRPr="0019170B">
              <w:rPr>
                <w:b/>
                <w:bCs/>
              </w:rPr>
              <w:t>62</w:t>
            </w:r>
          </w:p>
        </w:tc>
        <w:tc>
          <w:tcPr>
            <w:tcW w:w="816" w:type="dxa"/>
            <w:vAlign w:val="bottom"/>
          </w:tcPr>
          <w:p w:rsidR="0019170B" w:rsidRPr="00C71C80" w:rsidRDefault="0019170B" w:rsidP="0019170B">
            <w:pPr>
              <w:pStyle w:val="Table3heading"/>
              <w:rPr>
                <w:b/>
              </w:rPr>
            </w:pPr>
            <w:r w:rsidRPr="00C71C80">
              <w:rPr>
                <w:b/>
              </w:rPr>
              <w:t>69</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p>
        </w:tc>
        <w:tc>
          <w:tcPr>
            <w:tcW w:w="560"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3"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4"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5"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9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556" w:type="dxa"/>
            <w:vAlign w:val="center"/>
          </w:tcPr>
          <w:p w:rsidR="0019170B" w:rsidRPr="0019170B" w:rsidRDefault="0019170B" w:rsidP="0019170B">
            <w:pPr>
              <w:pStyle w:val="Table3heading"/>
            </w:pPr>
          </w:p>
        </w:tc>
        <w:tc>
          <w:tcPr>
            <w:tcW w:w="816" w:type="dxa"/>
            <w:vAlign w:val="center"/>
          </w:tcPr>
          <w:p w:rsidR="0019170B" w:rsidRPr="0019170B" w:rsidRDefault="0019170B" w:rsidP="0019170B">
            <w:pPr>
              <w:pStyle w:val="Table3heading"/>
            </w:pPr>
          </w:p>
        </w:tc>
      </w:tr>
      <w:tr w:rsidR="004B295C" w:rsidTr="004B295C">
        <w:tc>
          <w:tcPr>
            <w:tcW w:w="1097" w:type="dxa"/>
            <w:vAlign w:val="center"/>
          </w:tcPr>
          <w:p w:rsidR="0019170B" w:rsidRPr="00737F6B" w:rsidRDefault="0019170B" w:rsidP="00A25243">
            <w:pPr>
              <w:pStyle w:val="Table3heading"/>
              <w:rPr>
                <w:b/>
              </w:rPr>
            </w:pPr>
            <w:r>
              <w:rPr>
                <w:b/>
              </w:rPr>
              <w:t>Buses</w:t>
            </w:r>
          </w:p>
        </w:tc>
        <w:tc>
          <w:tcPr>
            <w:tcW w:w="887" w:type="dxa"/>
            <w:vAlign w:val="center"/>
          </w:tcPr>
          <w:p w:rsidR="0019170B" w:rsidRPr="0019170B" w:rsidRDefault="0019170B" w:rsidP="0019170B">
            <w:pPr>
              <w:pStyle w:val="Table3heading"/>
            </w:pPr>
            <w:r w:rsidRPr="0019170B">
              <w:t>NSW</w:t>
            </w:r>
          </w:p>
        </w:tc>
        <w:tc>
          <w:tcPr>
            <w:tcW w:w="560" w:type="dxa"/>
            <w:vAlign w:val="bottom"/>
          </w:tcPr>
          <w:p w:rsidR="0019170B" w:rsidRPr="0019170B" w:rsidRDefault="0019170B" w:rsidP="0019170B">
            <w:pPr>
              <w:pStyle w:val="Table3heading"/>
            </w:pPr>
            <w:r w:rsidRPr="0019170B">
              <w:t>84</w:t>
            </w:r>
          </w:p>
        </w:tc>
        <w:tc>
          <w:tcPr>
            <w:tcW w:w="553" w:type="dxa"/>
            <w:vAlign w:val="bottom"/>
          </w:tcPr>
          <w:p w:rsidR="0019170B" w:rsidRPr="0019170B" w:rsidRDefault="0019170B" w:rsidP="0019170B">
            <w:pPr>
              <w:pStyle w:val="Table3heading"/>
            </w:pPr>
            <w:r w:rsidRPr="0019170B">
              <w:t>16</w:t>
            </w:r>
          </w:p>
        </w:tc>
        <w:tc>
          <w:tcPr>
            <w:tcW w:w="553" w:type="dxa"/>
            <w:vAlign w:val="bottom"/>
          </w:tcPr>
          <w:p w:rsidR="0019170B" w:rsidRPr="0019170B" w:rsidRDefault="0019170B" w:rsidP="0019170B">
            <w:pPr>
              <w:pStyle w:val="Table3heading"/>
            </w:pPr>
            <w:r w:rsidRPr="0019170B">
              <w:t>7</w:t>
            </w:r>
          </w:p>
        </w:tc>
        <w:tc>
          <w:tcPr>
            <w:tcW w:w="553" w:type="dxa"/>
            <w:vAlign w:val="bottom"/>
          </w:tcPr>
          <w:p w:rsidR="0019170B" w:rsidRPr="0019170B" w:rsidRDefault="0019170B" w:rsidP="0019170B">
            <w:pPr>
              <w:pStyle w:val="Table3heading"/>
            </w:pPr>
            <w:r w:rsidRPr="0019170B">
              <w:t>20</w:t>
            </w:r>
          </w:p>
        </w:tc>
        <w:tc>
          <w:tcPr>
            <w:tcW w:w="554" w:type="dxa"/>
            <w:vAlign w:val="bottom"/>
          </w:tcPr>
          <w:p w:rsidR="0019170B" w:rsidRPr="0019170B" w:rsidRDefault="0019170B" w:rsidP="0019170B">
            <w:pPr>
              <w:pStyle w:val="Table3heading"/>
            </w:pPr>
            <w:r w:rsidRPr="0019170B">
              <w:t>15</w:t>
            </w:r>
          </w:p>
        </w:tc>
        <w:tc>
          <w:tcPr>
            <w:tcW w:w="554" w:type="dxa"/>
            <w:vAlign w:val="bottom"/>
          </w:tcPr>
          <w:p w:rsidR="0019170B" w:rsidRPr="0019170B" w:rsidRDefault="0019170B" w:rsidP="0019170B">
            <w:pPr>
              <w:pStyle w:val="Table3heading"/>
            </w:pPr>
            <w:r w:rsidRPr="0019170B">
              <w:t>8</w:t>
            </w:r>
          </w:p>
        </w:tc>
        <w:tc>
          <w:tcPr>
            <w:tcW w:w="554" w:type="dxa"/>
            <w:vAlign w:val="bottom"/>
          </w:tcPr>
          <w:p w:rsidR="0019170B" w:rsidRPr="0019170B" w:rsidRDefault="0019170B" w:rsidP="0019170B">
            <w:pPr>
              <w:pStyle w:val="Table3heading"/>
            </w:pPr>
            <w:r w:rsidRPr="0019170B">
              <w:t>9</w:t>
            </w:r>
          </w:p>
        </w:tc>
        <w:tc>
          <w:tcPr>
            <w:tcW w:w="555" w:type="dxa"/>
            <w:vAlign w:val="bottom"/>
          </w:tcPr>
          <w:p w:rsidR="0019170B" w:rsidRPr="0019170B" w:rsidRDefault="0019170B" w:rsidP="0019170B">
            <w:pPr>
              <w:pStyle w:val="Table3heading"/>
            </w:pPr>
            <w:r w:rsidRPr="0019170B">
              <w:t>18</w:t>
            </w:r>
          </w:p>
        </w:tc>
        <w:tc>
          <w:tcPr>
            <w:tcW w:w="555" w:type="dxa"/>
            <w:vAlign w:val="bottom"/>
          </w:tcPr>
          <w:p w:rsidR="0019170B" w:rsidRPr="0019170B" w:rsidRDefault="0019170B" w:rsidP="0019170B">
            <w:pPr>
              <w:pStyle w:val="Table3heading"/>
            </w:pPr>
            <w:r w:rsidRPr="0019170B">
              <w:t>14</w:t>
            </w:r>
          </w:p>
        </w:tc>
        <w:tc>
          <w:tcPr>
            <w:tcW w:w="555" w:type="dxa"/>
            <w:vAlign w:val="bottom"/>
          </w:tcPr>
          <w:p w:rsidR="0019170B" w:rsidRPr="0019170B" w:rsidRDefault="0019170B" w:rsidP="0019170B">
            <w:pPr>
              <w:pStyle w:val="Table3heading"/>
            </w:pPr>
            <w:r w:rsidRPr="0019170B">
              <w:t>15</w:t>
            </w:r>
          </w:p>
        </w:tc>
        <w:tc>
          <w:tcPr>
            <w:tcW w:w="556" w:type="dxa"/>
            <w:vAlign w:val="bottom"/>
          </w:tcPr>
          <w:p w:rsidR="0019170B" w:rsidRPr="0019170B" w:rsidRDefault="0019170B" w:rsidP="0019170B">
            <w:pPr>
              <w:pStyle w:val="Table3heading"/>
            </w:pPr>
            <w:r w:rsidRPr="0019170B">
              <w:t>13</w:t>
            </w:r>
          </w:p>
        </w:tc>
        <w:tc>
          <w:tcPr>
            <w:tcW w:w="556" w:type="dxa"/>
            <w:vAlign w:val="bottom"/>
          </w:tcPr>
          <w:p w:rsidR="0019170B" w:rsidRPr="0019170B" w:rsidRDefault="0019170B" w:rsidP="0019170B">
            <w:pPr>
              <w:pStyle w:val="Table3heading"/>
            </w:pPr>
            <w:r w:rsidRPr="0019170B">
              <w:t>13</w:t>
            </w:r>
          </w:p>
        </w:tc>
        <w:tc>
          <w:tcPr>
            <w:tcW w:w="556" w:type="dxa"/>
            <w:vAlign w:val="bottom"/>
          </w:tcPr>
          <w:p w:rsidR="0019170B" w:rsidRPr="0019170B" w:rsidRDefault="0019170B" w:rsidP="0019170B">
            <w:pPr>
              <w:pStyle w:val="Table3heading"/>
            </w:pPr>
            <w:r w:rsidRPr="0019170B">
              <w:t>12</w:t>
            </w:r>
          </w:p>
        </w:tc>
        <w:tc>
          <w:tcPr>
            <w:tcW w:w="556" w:type="dxa"/>
            <w:vAlign w:val="bottom"/>
          </w:tcPr>
          <w:p w:rsidR="0019170B" w:rsidRPr="0019170B" w:rsidRDefault="0019170B" w:rsidP="0019170B">
            <w:pPr>
              <w:pStyle w:val="Table3heading"/>
            </w:pPr>
            <w:r w:rsidRPr="0019170B">
              <w:t>16</w:t>
            </w:r>
          </w:p>
        </w:tc>
        <w:tc>
          <w:tcPr>
            <w:tcW w:w="556" w:type="dxa"/>
            <w:vAlign w:val="bottom"/>
          </w:tcPr>
          <w:p w:rsidR="0019170B" w:rsidRPr="0019170B" w:rsidRDefault="0019170B" w:rsidP="0019170B">
            <w:pPr>
              <w:pStyle w:val="Table3heading"/>
            </w:pPr>
            <w:r w:rsidRPr="0019170B">
              <w:t>15</w:t>
            </w:r>
          </w:p>
        </w:tc>
        <w:tc>
          <w:tcPr>
            <w:tcW w:w="556" w:type="dxa"/>
            <w:vAlign w:val="bottom"/>
          </w:tcPr>
          <w:p w:rsidR="0019170B" w:rsidRPr="0019170B" w:rsidRDefault="0019170B" w:rsidP="0019170B">
            <w:pPr>
              <w:pStyle w:val="Table3heading"/>
            </w:pPr>
            <w:r w:rsidRPr="0019170B">
              <w:t>15</w:t>
            </w:r>
          </w:p>
        </w:tc>
        <w:tc>
          <w:tcPr>
            <w:tcW w:w="556" w:type="dxa"/>
            <w:vAlign w:val="bottom"/>
          </w:tcPr>
          <w:p w:rsidR="0019170B" w:rsidRPr="0019170B" w:rsidRDefault="0019170B" w:rsidP="0019170B">
            <w:pPr>
              <w:pStyle w:val="Table3heading"/>
            </w:pPr>
            <w:r w:rsidRPr="0019170B">
              <w:t>21</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11</w:t>
            </w:r>
          </w:p>
        </w:tc>
        <w:tc>
          <w:tcPr>
            <w:tcW w:w="59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11</w:t>
            </w:r>
          </w:p>
        </w:tc>
        <w:tc>
          <w:tcPr>
            <w:tcW w:w="816" w:type="dxa"/>
            <w:vAlign w:val="bottom"/>
          </w:tcPr>
          <w:p w:rsidR="0019170B" w:rsidRPr="0019170B" w:rsidRDefault="0019170B" w:rsidP="0019170B">
            <w:pPr>
              <w:pStyle w:val="Table3heading"/>
            </w:pPr>
            <w:r w:rsidRPr="0019170B">
              <w:t>12</w:t>
            </w:r>
          </w:p>
        </w:tc>
      </w:tr>
      <w:tr w:rsidR="004B295C" w:rsidTr="004B295C">
        <w:tc>
          <w:tcPr>
            <w:tcW w:w="1097" w:type="dxa"/>
            <w:vAlign w:val="center"/>
          </w:tcPr>
          <w:p w:rsidR="0019170B" w:rsidRDefault="0019170B" w:rsidP="00A25243">
            <w:pPr>
              <w:pStyle w:val="Table3heading"/>
            </w:pPr>
          </w:p>
        </w:tc>
        <w:tc>
          <w:tcPr>
            <w:tcW w:w="887" w:type="dxa"/>
            <w:vAlign w:val="center"/>
          </w:tcPr>
          <w:p w:rsidR="0019170B" w:rsidRPr="0019170B" w:rsidRDefault="0019170B" w:rsidP="0019170B">
            <w:pPr>
              <w:pStyle w:val="Table3heading"/>
            </w:pPr>
            <w:r w:rsidRPr="0019170B">
              <w:t>VIC</w:t>
            </w:r>
          </w:p>
        </w:tc>
        <w:tc>
          <w:tcPr>
            <w:tcW w:w="560" w:type="dxa"/>
            <w:vAlign w:val="bottom"/>
          </w:tcPr>
          <w:p w:rsidR="0019170B" w:rsidRPr="0019170B" w:rsidRDefault="0019170B" w:rsidP="0019170B">
            <w:pPr>
              <w:pStyle w:val="Table3heading"/>
            </w:pPr>
            <w:r w:rsidRPr="0019170B">
              <w:t>5</w:t>
            </w:r>
          </w:p>
        </w:tc>
        <w:tc>
          <w:tcPr>
            <w:tcW w:w="553" w:type="dxa"/>
            <w:vAlign w:val="bottom"/>
          </w:tcPr>
          <w:p w:rsidR="0019170B" w:rsidRPr="0019170B" w:rsidRDefault="0019170B" w:rsidP="0019170B">
            <w:pPr>
              <w:pStyle w:val="Table3heading"/>
            </w:pPr>
            <w:r w:rsidRPr="0019170B">
              <w:t>6</w:t>
            </w:r>
          </w:p>
        </w:tc>
        <w:tc>
          <w:tcPr>
            <w:tcW w:w="553" w:type="dxa"/>
            <w:vAlign w:val="bottom"/>
          </w:tcPr>
          <w:p w:rsidR="0019170B" w:rsidRPr="0019170B" w:rsidRDefault="0019170B" w:rsidP="0019170B">
            <w:pPr>
              <w:pStyle w:val="Table3heading"/>
            </w:pPr>
            <w:r w:rsidRPr="0019170B">
              <w:t>6</w:t>
            </w:r>
          </w:p>
        </w:tc>
        <w:tc>
          <w:tcPr>
            <w:tcW w:w="553" w:type="dxa"/>
            <w:vAlign w:val="bottom"/>
          </w:tcPr>
          <w:p w:rsidR="0019170B" w:rsidRPr="0019170B" w:rsidRDefault="0019170B" w:rsidP="0019170B">
            <w:pPr>
              <w:pStyle w:val="Table3heading"/>
            </w:pPr>
            <w:r w:rsidRPr="0019170B">
              <w:t>4</w:t>
            </w:r>
          </w:p>
        </w:tc>
        <w:tc>
          <w:tcPr>
            <w:tcW w:w="554" w:type="dxa"/>
            <w:vAlign w:val="bottom"/>
          </w:tcPr>
          <w:p w:rsidR="0019170B" w:rsidRPr="0019170B" w:rsidRDefault="0019170B" w:rsidP="0019170B">
            <w:pPr>
              <w:pStyle w:val="Table3heading"/>
            </w:pPr>
            <w:r w:rsidRPr="0019170B">
              <w:t>15</w:t>
            </w:r>
          </w:p>
        </w:tc>
        <w:tc>
          <w:tcPr>
            <w:tcW w:w="554" w:type="dxa"/>
            <w:vAlign w:val="bottom"/>
          </w:tcPr>
          <w:p w:rsidR="0019170B" w:rsidRPr="0019170B" w:rsidRDefault="0019170B" w:rsidP="0019170B">
            <w:pPr>
              <w:pStyle w:val="Table3heading"/>
            </w:pPr>
            <w:r w:rsidRPr="0019170B">
              <w:t>7</w:t>
            </w:r>
          </w:p>
        </w:tc>
        <w:tc>
          <w:tcPr>
            <w:tcW w:w="554" w:type="dxa"/>
            <w:vAlign w:val="bottom"/>
          </w:tcPr>
          <w:p w:rsidR="0019170B" w:rsidRPr="0019170B" w:rsidRDefault="0019170B" w:rsidP="0019170B">
            <w:pPr>
              <w:pStyle w:val="Table3heading"/>
            </w:pPr>
            <w:r w:rsidRPr="0019170B">
              <w:t>3</w:t>
            </w:r>
          </w:p>
        </w:tc>
        <w:tc>
          <w:tcPr>
            <w:tcW w:w="555" w:type="dxa"/>
            <w:vAlign w:val="bottom"/>
          </w:tcPr>
          <w:p w:rsidR="0019170B" w:rsidRPr="0019170B" w:rsidRDefault="0019170B" w:rsidP="0019170B">
            <w:pPr>
              <w:pStyle w:val="Table3heading"/>
            </w:pPr>
            <w:r w:rsidRPr="0019170B">
              <w:t>5</w:t>
            </w:r>
          </w:p>
        </w:tc>
        <w:tc>
          <w:tcPr>
            <w:tcW w:w="555" w:type="dxa"/>
            <w:vAlign w:val="bottom"/>
          </w:tcPr>
          <w:p w:rsidR="0019170B" w:rsidRPr="0019170B" w:rsidRDefault="0019170B" w:rsidP="0019170B">
            <w:pPr>
              <w:pStyle w:val="Table3heading"/>
            </w:pPr>
            <w:r w:rsidRPr="0019170B">
              <w:t>1</w:t>
            </w:r>
          </w:p>
        </w:tc>
        <w:tc>
          <w:tcPr>
            <w:tcW w:w="555"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6</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6</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4</w:t>
            </w:r>
          </w:p>
        </w:tc>
        <w:tc>
          <w:tcPr>
            <w:tcW w:w="596" w:type="dxa"/>
            <w:vAlign w:val="bottom"/>
          </w:tcPr>
          <w:p w:rsidR="0019170B" w:rsidRPr="0019170B" w:rsidRDefault="0019170B" w:rsidP="0019170B">
            <w:pPr>
              <w:pStyle w:val="Table3heading"/>
            </w:pPr>
            <w:r w:rsidRPr="0019170B">
              <w:t>4</w:t>
            </w:r>
          </w:p>
        </w:tc>
        <w:tc>
          <w:tcPr>
            <w:tcW w:w="55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5</w:t>
            </w:r>
          </w:p>
        </w:tc>
        <w:tc>
          <w:tcPr>
            <w:tcW w:w="816" w:type="dxa"/>
            <w:vAlign w:val="bottom"/>
          </w:tcPr>
          <w:p w:rsidR="0019170B" w:rsidRPr="0019170B" w:rsidRDefault="0019170B" w:rsidP="0019170B">
            <w:pPr>
              <w:pStyle w:val="Table3heading"/>
            </w:pPr>
            <w:r w:rsidRPr="0019170B">
              <w:t>5</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QLD</w:t>
            </w:r>
          </w:p>
        </w:tc>
        <w:tc>
          <w:tcPr>
            <w:tcW w:w="560" w:type="dxa"/>
            <w:vAlign w:val="bottom"/>
          </w:tcPr>
          <w:p w:rsidR="0019170B" w:rsidRPr="0019170B" w:rsidRDefault="0019170B" w:rsidP="0019170B">
            <w:pPr>
              <w:pStyle w:val="Table3heading"/>
            </w:pPr>
            <w:r w:rsidRPr="0019170B">
              <w:t>9</w:t>
            </w:r>
          </w:p>
        </w:tc>
        <w:tc>
          <w:tcPr>
            <w:tcW w:w="553" w:type="dxa"/>
            <w:vAlign w:val="bottom"/>
          </w:tcPr>
          <w:p w:rsidR="0019170B" w:rsidRPr="0019170B" w:rsidRDefault="0019170B" w:rsidP="0019170B">
            <w:pPr>
              <w:pStyle w:val="Table3heading"/>
            </w:pPr>
            <w:r w:rsidRPr="0019170B">
              <w:t>15</w:t>
            </w:r>
          </w:p>
        </w:tc>
        <w:tc>
          <w:tcPr>
            <w:tcW w:w="553" w:type="dxa"/>
            <w:vAlign w:val="bottom"/>
          </w:tcPr>
          <w:p w:rsidR="0019170B" w:rsidRPr="0019170B" w:rsidRDefault="0019170B" w:rsidP="0019170B">
            <w:pPr>
              <w:pStyle w:val="Table3heading"/>
            </w:pPr>
            <w:r w:rsidRPr="0019170B">
              <w:t>13</w:t>
            </w:r>
          </w:p>
        </w:tc>
        <w:tc>
          <w:tcPr>
            <w:tcW w:w="553" w:type="dxa"/>
            <w:vAlign w:val="bottom"/>
          </w:tcPr>
          <w:p w:rsidR="0019170B" w:rsidRPr="0019170B" w:rsidRDefault="0019170B" w:rsidP="0019170B">
            <w:pPr>
              <w:pStyle w:val="Table3heading"/>
            </w:pPr>
            <w:r w:rsidRPr="0019170B">
              <w:t>4</w:t>
            </w:r>
          </w:p>
        </w:tc>
        <w:tc>
          <w:tcPr>
            <w:tcW w:w="554" w:type="dxa"/>
            <w:vAlign w:val="bottom"/>
          </w:tcPr>
          <w:p w:rsidR="0019170B" w:rsidRPr="0019170B" w:rsidRDefault="0019170B" w:rsidP="0019170B">
            <w:pPr>
              <w:pStyle w:val="Table3heading"/>
            </w:pPr>
            <w:r w:rsidRPr="0019170B">
              <w:t>8</w:t>
            </w:r>
          </w:p>
        </w:tc>
        <w:tc>
          <w:tcPr>
            <w:tcW w:w="554" w:type="dxa"/>
            <w:vAlign w:val="bottom"/>
          </w:tcPr>
          <w:p w:rsidR="0019170B" w:rsidRPr="0019170B" w:rsidRDefault="0019170B" w:rsidP="0019170B">
            <w:pPr>
              <w:pStyle w:val="Table3heading"/>
            </w:pPr>
            <w:r w:rsidRPr="0019170B">
              <w:t>19</w:t>
            </w:r>
          </w:p>
        </w:tc>
        <w:tc>
          <w:tcPr>
            <w:tcW w:w="554" w:type="dxa"/>
            <w:vAlign w:val="bottom"/>
          </w:tcPr>
          <w:p w:rsidR="0019170B" w:rsidRPr="0019170B" w:rsidRDefault="0019170B" w:rsidP="0019170B">
            <w:pPr>
              <w:pStyle w:val="Table3heading"/>
            </w:pPr>
            <w:r w:rsidRPr="0019170B">
              <w:t>6</w:t>
            </w:r>
          </w:p>
        </w:tc>
        <w:tc>
          <w:tcPr>
            <w:tcW w:w="555" w:type="dxa"/>
            <w:vAlign w:val="bottom"/>
          </w:tcPr>
          <w:p w:rsidR="0019170B" w:rsidRPr="0019170B" w:rsidRDefault="0019170B" w:rsidP="0019170B">
            <w:pPr>
              <w:pStyle w:val="Table3heading"/>
            </w:pPr>
            <w:r w:rsidRPr="0019170B">
              <w:t>9</w:t>
            </w:r>
          </w:p>
        </w:tc>
        <w:tc>
          <w:tcPr>
            <w:tcW w:w="555" w:type="dxa"/>
            <w:vAlign w:val="bottom"/>
          </w:tcPr>
          <w:p w:rsidR="0019170B" w:rsidRPr="0019170B" w:rsidRDefault="0019170B" w:rsidP="0019170B">
            <w:pPr>
              <w:pStyle w:val="Table3heading"/>
            </w:pPr>
            <w:r w:rsidRPr="0019170B">
              <w:t>3</w:t>
            </w:r>
          </w:p>
        </w:tc>
        <w:tc>
          <w:tcPr>
            <w:tcW w:w="555" w:type="dxa"/>
            <w:vAlign w:val="bottom"/>
          </w:tcPr>
          <w:p w:rsidR="0019170B" w:rsidRPr="0019170B" w:rsidRDefault="0019170B" w:rsidP="0019170B">
            <w:pPr>
              <w:pStyle w:val="Table3heading"/>
            </w:pPr>
            <w:r w:rsidRPr="0019170B">
              <w:t>10</w:t>
            </w:r>
          </w:p>
        </w:tc>
        <w:tc>
          <w:tcPr>
            <w:tcW w:w="556" w:type="dxa"/>
            <w:vAlign w:val="bottom"/>
          </w:tcPr>
          <w:p w:rsidR="0019170B" w:rsidRPr="0019170B" w:rsidRDefault="0019170B" w:rsidP="0019170B">
            <w:pPr>
              <w:pStyle w:val="Table3heading"/>
            </w:pPr>
            <w:r w:rsidRPr="0019170B">
              <w:t>12</w:t>
            </w:r>
          </w:p>
        </w:tc>
        <w:tc>
          <w:tcPr>
            <w:tcW w:w="556" w:type="dxa"/>
            <w:vAlign w:val="bottom"/>
          </w:tcPr>
          <w:p w:rsidR="0019170B" w:rsidRPr="0019170B" w:rsidRDefault="0019170B" w:rsidP="0019170B">
            <w:pPr>
              <w:pStyle w:val="Table3heading"/>
            </w:pPr>
            <w:r w:rsidRPr="0019170B">
              <w:t>6</w:t>
            </w:r>
          </w:p>
        </w:tc>
        <w:tc>
          <w:tcPr>
            <w:tcW w:w="556" w:type="dxa"/>
            <w:vAlign w:val="bottom"/>
          </w:tcPr>
          <w:p w:rsidR="0019170B" w:rsidRPr="0019170B" w:rsidRDefault="0019170B" w:rsidP="0019170B">
            <w:pPr>
              <w:pStyle w:val="Table3heading"/>
            </w:pPr>
            <w:r w:rsidRPr="0019170B">
              <w:t>4</w:t>
            </w:r>
          </w:p>
        </w:tc>
        <w:tc>
          <w:tcPr>
            <w:tcW w:w="556" w:type="dxa"/>
            <w:vAlign w:val="bottom"/>
          </w:tcPr>
          <w:p w:rsidR="0019170B" w:rsidRPr="0019170B" w:rsidRDefault="0019170B" w:rsidP="0019170B">
            <w:pPr>
              <w:pStyle w:val="Table3heading"/>
            </w:pPr>
            <w:r w:rsidRPr="0019170B">
              <w:t>7</w:t>
            </w:r>
          </w:p>
        </w:tc>
        <w:tc>
          <w:tcPr>
            <w:tcW w:w="556" w:type="dxa"/>
            <w:vAlign w:val="bottom"/>
          </w:tcPr>
          <w:p w:rsidR="0019170B" w:rsidRPr="0019170B" w:rsidRDefault="0019170B" w:rsidP="0019170B">
            <w:pPr>
              <w:pStyle w:val="Table3heading"/>
            </w:pPr>
            <w:r w:rsidRPr="0019170B">
              <w:t>4</w:t>
            </w:r>
          </w:p>
        </w:tc>
        <w:tc>
          <w:tcPr>
            <w:tcW w:w="556" w:type="dxa"/>
            <w:vAlign w:val="bottom"/>
          </w:tcPr>
          <w:p w:rsidR="0019170B" w:rsidRPr="0019170B" w:rsidRDefault="0019170B" w:rsidP="0019170B">
            <w:pPr>
              <w:pStyle w:val="Table3heading"/>
            </w:pPr>
            <w:r w:rsidRPr="0019170B">
              <w:t>6</w:t>
            </w:r>
          </w:p>
        </w:tc>
        <w:tc>
          <w:tcPr>
            <w:tcW w:w="55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7</w:t>
            </w:r>
          </w:p>
        </w:tc>
        <w:tc>
          <w:tcPr>
            <w:tcW w:w="596" w:type="dxa"/>
            <w:vAlign w:val="bottom"/>
          </w:tcPr>
          <w:p w:rsidR="0019170B" w:rsidRPr="0019170B" w:rsidRDefault="0019170B" w:rsidP="0019170B">
            <w:pPr>
              <w:pStyle w:val="Table3heading"/>
            </w:pPr>
            <w:r w:rsidRPr="0019170B">
              <w:t>9</w:t>
            </w:r>
          </w:p>
        </w:tc>
        <w:tc>
          <w:tcPr>
            <w:tcW w:w="556" w:type="dxa"/>
            <w:vAlign w:val="bottom"/>
          </w:tcPr>
          <w:p w:rsidR="0019170B" w:rsidRPr="0019170B" w:rsidRDefault="0019170B" w:rsidP="0019170B">
            <w:pPr>
              <w:pStyle w:val="Table3heading"/>
            </w:pPr>
            <w:r w:rsidRPr="0019170B">
              <w:t>10</w:t>
            </w:r>
          </w:p>
        </w:tc>
        <w:tc>
          <w:tcPr>
            <w:tcW w:w="556" w:type="dxa"/>
            <w:vAlign w:val="bottom"/>
          </w:tcPr>
          <w:p w:rsidR="0019170B" w:rsidRPr="0019170B" w:rsidRDefault="0019170B" w:rsidP="0019170B">
            <w:pPr>
              <w:pStyle w:val="Table3heading"/>
            </w:pPr>
            <w:r w:rsidRPr="0019170B">
              <w:t>4</w:t>
            </w:r>
          </w:p>
        </w:tc>
        <w:tc>
          <w:tcPr>
            <w:tcW w:w="556" w:type="dxa"/>
            <w:vAlign w:val="bottom"/>
          </w:tcPr>
          <w:p w:rsidR="0019170B" w:rsidRPr="0019170B" w:rsidRDefault="0019170B" w:rsidP="0019170B">
            <w:pPr>
              <w:pStyle w:val="Table3heading"/>
            </w:pPr>
            <w:r w:rsidRPr="0019170B">
              <w:t>8</w:t>
            </w:r>
          </w:p>
        </w:tc>
        <w:tc>
          <w:tcPr>
            <w:tcW w:w="816" w:type="dxa"/>
            <w:vAlign w:val="bottom"/>
          </w:tcPr>
          <w:p w:rsidR="0019170B" w:rsidRPr="0019170B" w:rsidRDefault="0019170B" w:rsidP="0019170B">
            <w:pPr>
              <w:pStyle w:val="Table3heading"/>
            </w:pPr>
            <w:r w:rsidRPr="0019170B">
              <w:t>7</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SA</w:t>
            </w:r>
          </w:p>
        </w:tc>
        <w:tc>
          <w:tcPr>
            <w:tcW w:w="560" w:type="dxa"/>
            <w:vAlign w:val="bottom"/>
          </w:tcPr>
          <w:p w:rsidR="0019170B" w:rsidRPr="0019170B" w:rsidRDefault="0019170B" w:rsidP="0019170B">
            <w:pPr>
              <w:pStyle w:val="Table3heading"/>
            </w:pPr>
            <w:r w:rsidRPr="0019170B">
              <w:t>2</w:t>
            </w:r>
          </w:p>
        </w:tc>
        <w:tc>
          <w:tcPr>
            <w:tcW w:w="553" w:type="dxa"/>
            <w:vAlign w:val="bottom"/>
          </w:tcPr>
          <w:p w:rsidR="0019170B" w:rsidRPr="0019170B" w:rsidRDefault="0019170B" w:rsidP="0019170B">
            <w:pPr>
              <w:pStyle w:val="Table3heading"/>
            </w:pPr>
            <w:r w:rsidRPr="0019170B">
              <w:t>5</w:t>
            </w:r>
          </w:p>
        </w:tc>
        <w:tc>
          <w:tcPr>
            <w:tcW w:w="553" w:type="dxa"/>
            <w:vAlign w:val="bottom"/>
          </w:tcPr>
          <w:p w:rsidR="0019170B" w:rsidRPr="0019170B" w:rsidRDefault="0019170B" w:rsidP="0019170B">
            <w:pPr>
              <w:pStyle w:val="Table3heading"/>
            </w:pPr>
            <w:r w:rsidRPr="0019170B">
              <w:t>3</w:t>
            </w:r>
          </w:p>
        </w:tc>
        <w:tc>
          <w:tcPr>
            <w:tcW w:w="553" w:type="dxa"/>
            <w:vAlign w:val="bottom"/>
          </w:tcPr>
          <w:p w:rsidR="0019170B" w:rsidRPr="0019170B" w:rsidRDefault="0019170B" w:rsidP="0019170B">
            <w:pPr>
              <w:pStyle w:val="Table3heading"/>
            </w:pPr>
            <w:r w:rsidRPr="0019170B">
              <w:t>3</w:t>
            </w:r>
          </w:p>
        </w:tc>
        <w:tc>
          <w:tcPr>
            <w:tcW w:w="554" w:type="dxa"/>
            <w:vAlign w:val="bottom"/>
          </w:tcPr>
          <w:p w:rsidR="0019170B" w:rsidRPr="0019170B" w:rsidRDefault="0019170B" w:rsidP="0019170B">
            <w:pPr>
              <w:pStyle w:val="Table3heading"/>
            </w:pPr>
            <w:r w:rsidRPr="0019170B">
              <w:t>2</w:t>
            </w:r>
          </w:p>
        </w:tc>
        <w:tc>
          <w:tcPr>
            <w:tcW w:w="554"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2</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9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0</w:t>
            </w:r>
          </w:p>
        </w:tc>
        <w:tc>
          <w:tcPr>
            <w:tcW w:w="816" w:type="dxa"/>
            <w:vAlign w:val="bottom"/>
          </w:tcPr>
          <w:p w:rsidR="0019170B" w:rsidRPr="0019170B" w:rsidRDefault="0019170B" w:rsidP="0019170B">
            <w:pPr>
              <w:pStyle w:val="Table3heading"/>
            </w:pPr>
            <w:r w:rsidRPr="0019170B">
              <w:t>2</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WA</w:t>
            </w:r>
          </w:p>
        </w:tc>
        <w:tc>
          <w:tcPr>
            <w:tcW w:w="560" w:type="dxa"/>
            <w:vAlign w:val="bottom"/>
          </w:tcPr>
          <w:p w:rsidR="0019170B" w:rsidRPr="0019170B" w:rsidRDefault="0019170B" w:rsidP="0019170B">
            <w:pPr>
              <w:pStyle w:val="Table3heading"/>
            </w:pPr>
            <w:r w:rsidRPr="0019170B">
              <w:t>1</w:t>
            </w:r>
          </w:p>
        </w:tc>
        <w:tc>
          <w:tcPr>
            <w:tcW w:w="553" w:type="dxa"/>
            <w:vAlign w:val="bottom"/>
          </w:tcPr>
          <w:p w:rsidR="0019170B" w:rsidRPr="0019170B" w:rsidRDefault="0019170B" w:rsidP="0019170B">
            <w:pPr>
              <w:pStyle w:val="Table3heading"/>
            </w:pPr>
            <w:r w:rsidRPr="0019170B">
              <w:t>3</w:t>
            </w:r>
          </w:p>
        </w:tc>
        <w:tc>
          <w:tcPr>
            <w:tcW w:w="553" w:type="dxa"/>
            <w:vAlign w:val="bottom"/>
          </w:tcPr>
          <w:p w:rsidR="0019170B" w:rsidRPr="0019170B" w:rsidRDefault="0019170B" w:rsidP="0019170B">
            <w:pPr>
              <w:pStyle w:val="Table3heading"/>
            </w:pPr>
            <w:r w:rsidRPr="0019170B">
              <w:t>1</w:t>
            </w:r>
          </w:p>
        </w:tc>
        <w:tc>
          <w:tcPr>
            <w:tcW w:w="553" w:type="dxa"/>
            <w:vAlign w:val="bottom"/>
          </w:tcPr>
          <w:p w:rsidR="0019170B" w:rsidRPr="0019170B" w:rsidRDefault="0019170B" w:rsidP="0019170B">
            <w:pPr>
              <w:pStyle w:val="Table3heading"/>
            </w:pPr>
            <w:r w:rsidRPr="0019170B">
              <w:t>2</w:t>
            </w:r>
          </w:p>
        </w:tc>
        <w:tc>
          <w:tcPr>
            <w:tcW w:w="554" w:type="dxa"/>
            <w:vAlign w:val="bottom"/>
          </w:tcPr>
          <w:p w:rsidR="0019170B" w:rsidRPr="0019170B" w:rsidRDefault="0019170B" w:rsidP="0019170B">
            <w:pPr>
              <w:pStyle w:val="Table3heading"/>
            </w:pPr>
            <w:r w:rsidRPr="0019170B">
              <w:t>6</w:t>
            </w:r>
          </w:p>
        </w:tc>
        <w:tc>
          <w:tcPr>
            <w:tcW w:w="554" w:type="dxa"/>
            <w:vAlign w:val="bottom"/>
          </w:tcPr>
          <w:p w:rsidR="0019170B" w:rsidRPr="0019170B" w:rsidRDefault="0019170B" w:rsidP="0019170B">
            <w:pPr>
              <w:pStyle w:val="Table3heading"/>
            </w:pPr>
            <w:r w:rsidRPr="0019170B">
              <w:t>3</w:t>
            </w:r>
          </w:p>
        </w:tc>
        <w:tc>
          <w:tcPr>
            <w:tcW w:w="554" w:type="dxa"/>
            <w:vAlign w:val="bottom"/>
          </w:tcPr>
          <w:p w:rsidR="0019170B" w:rsidRPr="0019170B" w:rsidRDefault="0019170B" w:rsidP="0019170B">
            <w:pPr>
              <w:pStyle w:val="Table3heading"/>
            </w:pPr>
            <w:r w:rsidRPr="0019170B">
              <w:t>2</w:t>
            </w:r>
          </w:p>
        </w:tc>
        <w:tc>
          <w:tcPr>
            <w:tcW w:w="555" w:type="dxa"/>
            <w:vAlign w:val="bottom"/>
          </w:tcPr>
          <w:p w:rsidR="0019170B" w:rsidRPr="0019170B" w:rsidRDefault="0019170B" w:rsidP="0019170B">
            <w:pPr>
              <w:pStyle w:val="Table3heading"/>
            </w:pPr>
            <w:r w:rsidRPr="0019170B">
              <w:t>3</w:t>
            </w:r>
          </w:p>
        </w:tc>
        <w:tc>
          <w:tcPr>
            <w:tcW w:w="555" w:type="dxa"/>
            <w:vAlign w:val="bottom"/>
          </w:tcPr>
          <w:p w:rsidR="0019170B" w:rsidRPr="0019170B" w:rsidRDefault="0019170B" w:rsidP="0019170B">
            <w:pPr>
              <w:pStyle w:val="Table3heading"/>
            </w:pPr>
            <w:r w:rsidRPr="0019170B">
              <w:t>5</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2</w:t>
            </w:r>
          </w:p>
        </w:tc>
        <w:tc>
          <w:tcPr>
            <w:tcW w:w="596" w:type="dxa"/>
            <w:vAlign w:val="bottom"/>
          </w:tcPr>
          <w:p w:rsidR="0019170B" w:rsidRPr="0019170B" w:rsidRDefault="0019170B" w:rsidP="0019170B">
            <w:pPr>
              <w:pStyle w:val="Table3heading"/>
            </w:pPr>
            <w:r w:rsidRPr="0019170B">
              <w:t>3</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816" w:type="dxa"/>
            <w:vAlign w:val="bottom"/>
          </w:tcPr>
          <w:p w:rsidR="0019170B" w:rsidRPr="0019170B" w:rsidRDefault="0019170B" w:rsidP="0019170B">
            <w:pPr>
              <w:pStyle w:val="Table3heading"/>
            </w:pPr>
            <w:r w:rsidRPr="0019170B">
              <w:t>1</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TAS</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1</w:t>
            </w:r>
          </w:p>
        </w:tc>
        <w:tc>
          <w:tcPr>
            <w:tcW w:w="553" w:type="dxa"/>
            <w:vAlign w:val="bottom"/>
          </w:tcPr>
          <w:p w:rsidR="0019170B" w:rsidRPr="0019170B" w:rsidRDefault="0019170B" w:rsidP="0019170B">
            <w:pPr>
              <w:pStyle w:val="Table3heading"/>
            </w:pPr>
            <w:r w:rsidRPr="0019170B">
              <w:t>5</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1</w:t>
            </w:r>
          </w:p>
        </w:tc>
        <w:tc>
          <w:tcPr>
            <w:tcW w:w="555" w:type="dxa"/>
            <w:vAlign w:val="bottom"/>
          </w:tcPr>
          <w:p w:rsidR="0019170B" w:rsidRPr="0019170B" w:rsidRDefault="0019170B" w:rsidP="0019170B">
            <w:pPr>
              <w:pStyle w:val="Table3heading"/>
            </w:pPr>
            <w:r w:rsidRPr="0019170B">
              <w:t>1</w:t>
            </w:r>
          </w:p>
        </w:tc>
        <w:tc>
          <w:tcPr>
            <w:tcW w:w="555" w:type="dxa"/>
            <w:vAlign w:val="bottom"/>
          </w:tcPr>
          <w:p w:rsidR="0019170B" w:rsidRPr="0019170B" w:rsidRDefault="0019170B" w:rsidP="0019170B">
            <w:pPr>
              <w:pStyle w:val="Table3heading"/>
            </w:pPr>
            <w:r w:rsidRPr="0019170B">
              <w:t>2</w:t>
            </w:r>
          </w:p>
        </w:tc>
        <w:tc>
          <w:tcPr>
            <w:tcW w:w="555"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5</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9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816" w:type="dxa"/>
            <w:vAlign w:val="bottom"/>
          </w:tcPr>
          <w:p w:rsidR="0019170B" w:rsidRPr="0019170B" w:rsidRDefault="0019170B" w:rsidP="0019170B">
            <w:pPr>
              <w:pStyle w:val="Table3heading"/>
            </w:pPr>
            <w:r w:rsidRPr="0019170B">
              <w:t>1</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NT</w:t>
            </w:r>
          </w:p>
        </w:tc>
        <w:tc>
          <w:tcPr>
            <w:tcW w:w="560"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1</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0</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1</w:t>
            </w:r>
          </w:p>
        </w:tc>
        <w:tc>
          <w:tcPr>
            <w:tcW w:w="555"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9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816" w:type="dxa"/>
            <w:vAlign w:val="bottom"/>
          </w:tcPr>
          <w:p w:rsidR="0019170B" w:rsidRPr="0019170B" w:rsidRDefault="0019170B" w:rsidP="0019170B">
            <w:pPr>
              <w:pStyle w:val="Table3heading"/>
            </w:pPr>
            <w:r w:rsidRPr="0019170B">
              <w:t>0</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ACT</w:t>
            </w:r>
          </w:p>
        </w:tc>
        <w:tc>
          <w:tcPr>
            <w:tcW w:w="560" w:type="dxa"/>
            <w:vAlign w:val="bottom"/>
          </w:tcPr>
          <w:p w:rsidR="0019170B" w:rsidRPr="0019170B" w:rsidRDefault="0019170B" w:rsidP="0019170B">
            <w:pPr>
              <w:pStyle w:val="Table3heading"/>
            </w:pPr>
            <w:r w:rsidRPr="0019170B">
              <w:t>3</w:t>
            </w:r>
          </w:p>
        </w:tc>
        <w:tc>
          <w:tcPr>
            <w:tcW w:w="553" w:type="dxa"/>
            <w:vAlign w:val="bottom"/>
          </w:tcPr>
          <w:p w:rsidR="0019170B" w:rsidRPr="0019170B" w:rsidRDefault="0019170B" w:rsidP="0019170B">
            <w:pPr>
              <w:pStyle w:val="Table3heading"/>
            </w:pPr>
            <w:r w:rsidRPr="0019170B">
              <w:t>0</w:t>
            </w:r>
          </w:p>
        </w:tc>
        <w:tc>
          <w:tcPr>
            <w:tcW w:w="553" w:type="dxa"/>
            <w:vAlign w:val="bottom"/>
          </w:tcPr>
          <w:p w:rsidR="0019170B" w:rsidRPr="0019170B" w:rsidRDefault="0019170B" w:rsidP="0019170B">
            <w:pPr>
              <w:pStyle w:val="Table3heading"/>
            </w:pPr>
            <w:r w:rsidRPr="0019170B">
              <w:t>1</w:t>
            </w:r>
          </w:p>
        </w:tc>
        <w:tc>
          <w:tcPr>
            <w:tcW w:w="553"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1</w:t>
            </w:r>
          </w:p>
        </w:tc>
        <w:tc>
          <w:tcPr>
            <w:tcW w:w="554" w:type="dxa"/>
            <w:vAlign w:val="bottom"/>
          </w:tcPr>
          <w:p w:rsidR="0019170B" w:rsidRPr="0019170B" w:rsidRDefault="0019170B" w:rsidP="0019170B">
            <w:pPr>
              <w:pStyle w:val="Table3heading"/>
            </w:pPr>
            <w:r w:rsidRPr="0019170B">
              <w:t>0</w:t>
            </w:r>
          </w:p>
        </w:tc>
        <w:tc>
          <w:tcPr>
            <w:tcW w:w="555" w:type="dxa"/>
            <w:vAlign w:val="bottom"/>
          </w:tcPr>
          <w:p w:rsidR="0019170B" w:rsidRPr="0019170B" w:rsidRDefault="0019170B" w:rsidP="0019170B">
            <w:pPr>
              <w:pStyle w:val="Table3heading"/>
            </w:pPr>
            <w:r w:rsidRPr="0019170B">
              <w:t>2</w:t>
            </w:r>
          </w:p>
        </w:tc>
        <w:tc>
          <w:tcPr>
            <w:tcW w:w="555" w:type="dxa"/>
            <w:vAlign w:val="bottom"/>
          </w:tcPr>
          <w:p w:rsidR="0019170B" w:rsidRPr="0019170B" w:rsidRDefault="0019170B" w:rsidP="0019170B">
            <w:pPr>
              <w:pStyle w:val="Table3heading"/>
            </w:pPr>
            <w:r w:rsidRPr="0019170B">
              <w:t>1</w:t>
            </w:r>
          </w:p>
        </w:tc>
        <w:tc>
          <w:tcPr>
            <w:tcW w:w="555"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2</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9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0</w:t>
            </w:r>
          </w:p>
        </w:tc>
        <w:tc>
          <w:tcPr>
            <w:tcW w:w="556" w:type="dxa"/>
            <w:vAlign w:val="bottom"/>
          </w:tcPr>
          <w:p w:rsidR="0019170B" w:rsidRPr="0019170B" w:rsidRDefault="0019170B" w:rsidP="0019170B">
            <w:pPr>
              <w:pStyle w:val="Table3heading"/>
            </w:pPr>
            <w:r w:rsidRPr="0019170B">
              <w:t>1</w:t>
            </w:r>
          </w:p>
        </w:tc>
        <w:tc>
          <w:tcPr>
            <w:tcW w:w="556" w:type="dxa"/>
            <w:vAlign w:val="bottom"/>
          </w:tcPr>
          <w:p w:rsidR="0019170B" w:rsidRPr="0019170B" w:rsidRDefault="0019170B" w:rsidP="0019170B">
            <w:pPr>
              <w:pStyle w:val="Table3heading"/>
            </w:pPr>
            <w:r w:rsidRPr="0019170B">
              <w:t>0</w:t>
            </w:r>
          </w:p>
        </w:tc>
        <w:tc>
          <w:tcPr>
            <w:tcW w:w="816" w:type="dxa"/>
            <w:vAlign w:val="bottom"/>
          </w:tcPr>
          <w:p w:rsidR="0019170B" w:rsidRPr="0019170B" w:rsidRDefault="0019170B" w:rsidP="0019170B">
            <w:pPr>
              <w:pStyle w:val="Table3heading"/>
            </w:pPr>
            <w:r w:rsidRPr="0019170B">
              <w:t>0</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p>
        </w:tc>
        <w:tc>
          <w:tcPr>
            <w:tcW w:w="560" w:type="dxa"/>
            <w:vAlign w:val="bottom"/>
          </w:tcPr>
          <w:p w:rsidR="0019170B" w:rsidRPr="0019170B" w:rsidRDefault="0019170B" w:rsidP="0019170B">
            <w:pPr>
              <w:pStyle w:val="Table3heading"/>
              <w:rPr>
                <w:b/>
                <w:bCs/>
              </w:rPr>
            </w:pPr>
          </w:p>
        </w:tc>
        <w:tc>
          <w:tcPr>
            <w:tcW w:w="553" w:type="dxa"/>
            <w:vAlign w:val="bottom"/>
          </w:tcPr>
          <w:p w:rsidR="0019170B" w:rsidRPr="0019170B" w:rsidRDefault="0019170B" w:rsidP="0019170B">
            <w:pPr>
              <w:pStyle w:val="Table3heading"/>
              <w:rPr>
                <w:b/>
                <w:bCs/>
              </w:rPr>
            </w:pPr>
          </w:p>
        </w:tc>
        <w:tc>
          <w:tcPr>
            <w:tcW w:w="553" w:type="dxa"/>
            <w:vAlign w:val="bottom"/>
          </w:tcPr>
          <w:p w:rsidR="0019170B" w:rsidRPr="0019170B" w:rsidRDefault="0019170B" w:rsidP="0019170B">
            <w:pPr>
              <w:pStyle w:val="Table3heading"/>
              <w:rPr>
                <w:b/>
                <w:bCs/>
              </w:rPr>
            </w:pPr>
          </w:p>
        </w:tc>
        <w:tc>
          <w:tcPr>
            <w:tcW w:w="553" w:type="dxa"/>
            <w:vAlign w:val="bottom"/>
          </w:tcPr>
          <w:p w:rsidR="0019170B" w:rsidRPr="0019170B" w:rsidRDefault="0019170B" w:rsidP="0019170B">
            <w:pPr>
              <w:pStyle w:val="Table3heading"/>
              <w:rPr>
                <w:b/>
                <w:bCs/>
              </w:rPr>
            </w:pPr>
          </w:p>
        </w:tc>
        <w:tc>
          <w:tcPr>
            <w:tcW w:w="554" w:type="dxa"/>
            <w:vAlign w:val="bottom"/>
          </w:tcPr>
          <w:p w:rsidR="0019170B" w:rsidRPr="0019170B" w:rsidRDefault="0019170B" w:rsidP="0019170B">
            <w:pPr>
              <w:pStyle w:val="Table3heading"/>
              <w:rPr>
                <w:b/>
                <w:bCs/>
              </w:rPr>
            </w:pPr>
          </w:p>
        </w:tc>
        <w:tc>
          <w:tcPr>
            <w:tcW w:w="554" w:type="dxa"/>
            <w:vAlign w:val="bottom"/>
          </w:tcPr>
          <w:p w:rsidR="0019170B" w:rsidRPr="0019170B" w:rsidRDefault="0019170B" w:rsidP="0019170B">
            <w:pPr>
              <w:pStyle w:val="Table3heading"/>
              <w:rPr>
                <w:b/>
                <w:bCs/>
              </w:rPr>
            </w:pPr>
          </w:p>
        </w:tc>
        <w:tc>
          <w:tcPr>
            <w:tcW w:w="554" w:type="dxa"/>
            <w:vAlign w:val="bottom"/>
          </w:tcPr>
          <w:p w:rsidR="0019170B" w:rsidRPr="0019170B" w:rsidRDefault="0019170B" w:rsidP="0019170B">
            <w:pPr>
              <w:pStyle w:val="Table3heading"/>
              <w:rPr>
                <w:b/>
                <w:bCs/>
              </w:rPr>
            </w:pPr>
          </w:p>
        </w:tc>
        <w:tc>
          <w:tcPr>
            <w:tcW w:w="555" w:type="dxa"/>
            <w:vAlign w:val="bottom"/>
          </w:tcPr>
          <w:p w:rsidR="0019170B" w:rsidRPr="0019170B" w:rsidRDefault="0019170B" w:rsidP="0019170B">
            <w:pPr>
              <w:pStyle w:val="Table3heading"/>
              <w:rPr>
                <w:b/>
                <w:bCs/>
              </w:rPr>
            </w:pPr>
          </w:p>
        </w:tc>
        <w:tc>
          <w:tcPr>
            <w:tcW w:w="555" w:type="dxa"/>
            <w:vAlign w:val="bottom"/>
          </w:tcPr>
          <w:p w:rsidR="0019170B" w:rsidRPr="0019170B" w:rsidRDefault="0019170B" w:rsidP="0019170B">
            <w:pPr>
              <w:pStyle w:val="Table3heading"/>
              <w:rPr>
                <w:b/>
                <w:bCs/>
              </w:rPr>
            </w:pPr>
          </w:p>
        </w:tc>
        <w:tc>
          <w:tcPr>
            <w:tcW w:w="555"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9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556" w:type="dxa"/>
            <w:vAlign w:val="bottom"/>
          </w:tcPr>
          <w:p w:rsidR="0019170B" w:rsidRPr="0019170B" w:rsidRDefault="0019170B" w:rsidP="0019170B">
            <w:pPr>
              <w:pStyle w:val="Table3heading"/>
              <w:rPr>
                <w:b/>
                <w:bCs/>
              </w:rPr>
            </w:pPr>
          </w:p>
        </w:tc>
        <w:tc>
          <w:tcPr>
            <w:tcW w:w="816" w:type="dxa"/>
            <w:vAlign w:val="bottom"/>
          </w:tcPr>
          <w:p w:rsidR="0019170B" w:rsidRPr="0019170B" w:rsidRDefault="0019170B" w:rsidP="0019170B">
            <w:pPr>
              <w:pStyle w:val="Table3heading"/>
            </w:pP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Pr="0019170B" w:rsidRDefault="0019170B" w:rsidP="0019170B">
            <w:pPr>
              <w:pStyle w:val="Table3heading"/>
            </w:pPr>
            <w:r w:rsidRPr="0019170B">
              <w:t>Australia</w:t>
            </w:r>
          </w:p>
        </w:tc>
        <w:tc>
          <w:tcPr>
            <w:tcW w:w="560" w:type="dxa"/>
            <w:vAlign w:val="bottom"/>
          </w:tcPr>
          <w:p w:rsidR="0019170B" w:rsidRPr="0019170B" w:rsidRDefault="0019170B" w:rsidP="0019170B">
            <w:pPr>
              <w:pStyle w:val="Table3heading"/>
              <w:rPr>
                <w:b/>
                <w:bCs/>
              </w:rPr>
            </w:pPr>
            <w:r w:rsidRPr="0019170B">
              <w:rPr>
                <w:b/>
                <w:bCs/>
              </w:rPr>
              <w:t>104</w:t>
            </w:r>
          </w:p>
        </w:tc>
        <w:tc>
          <w:tcPr>
            <w:tcW w:w="553" w:type="dxa"/>
            <w:vAlign w:val="bottom"/>
          </w:tcPr>
          <w:p w:rsidR="0019170B" w:rsidRPr="0019170B" w:rsidRDefault="0019170B" w:rsidP="0019170B">
            <w:pPr>
              <w:pStyle w:val="Table3heading"/>
              <w:rPr>
                <w:b/>
                <w:bCs/>
              </w:rPr>
            </w:pPr>
            <w:r w:rsidRPr="0019170B">
              <w:rPr>
                <w:b/>
                <w:bCs/>
              </w:rPr>
              <w:t>46</w:t>
            </w:r>
          </w:p>
        </w:tc>
        <w:tc>
          <w:tcPr>
            <w:tcW w:w="553" w:type="dxa"/>
            <w:vAlign w:val="bottom"/>
          </w:tcPr>
          <w:p w:rsidR="0019170B" w:rsidRPr="0019170B" w:rsidRDefault="0019170B" w:rsidP="0019170B">
            <w:pPr>
              <w:pStyle w:val="Table3heading"/>
              <w:rPr>
                <w:b/>
                <w:bCs/>
              </w:rPr>
            </w:pPr>
            <w:r w:rsidRPr="0019170B">
              <w:rPr>
                <w:b/>
                <w:bCs/>
              </w:rPr>
              <w:t>32</w:t>
            </w:r>
          </w:p>
        </w:tc>
        <w:tc>
          <w:tcPr>
            <w:tcW w:w="553" w:type="dxa"/>
            <w:vAlign w:val="bottom"/>
          </w:tcPr>
          <w:p w:rsidR="0019170B" w:rsidRPr="0019170B" w:rsidRDefault="0019170B" w:rsidP="0019170B">
            <w:pPr>
              <w:pStyle w:val="Table3heading"/>
              <w:rPr>
                <w:b/>
                <w:bCs/>
              </w:rPr>
            </w:pPr>
            <w:r w:rsidRPr="0019170B">
              <w:rPr>
                <w:b/>
                <w:bCs/>
              </w:rPr>
              <w:t>39</w:t>
            </w:r>
          </w:p>
        </w:tc>
        <w:tc>
          <w:tcPr>
            <w:tcW w:w="554" w:type="dxa"/>
            <w:vAlign w:val="bottom"/>
          </w:tcPr>
          <w:p w:rsidR="0019170B" w:rsidRPr="0019170B" w:rsidRDefault="0019170B" w:rsidP="0019170B">
            <w:pPr>
              <w:pStyle w:val="Table3heading"/>
              <w:rPr>
                <w:b/>
                <w:bCs/>
              </w:rPr>
            </w:pPr>
            <w:r w:rsidRPr="0019170B">
              <w:rPr>
                <w:b/>
                <w:bCs/>
              </w:rPr>
              <w:t>49</w:t>
            </w:r>
          </w:p>
        </w:tc>
        <w:tc>
          <w:tcPr>
            <w:tcW w:w="554" w:type="dxa"/>
            <w:vAlign w:val="bottom"/>
          </w:tcPr>
          <w:p w:rsidR="0019170B" w:rsidRPr="0019170B" w:rsidRDefault="0019170B" w:rsidP="0019170B">
            <w:pPr>
              <w:pStyle w:val="Table3heading"/>
              <w:rPr>
                <w:b/>
                <w:bCs/>
              </w:rPr>
            </w:pPr>
            <w:r w:rsidRPr="0019170B">
              <w:rPr>
                <w:b/>
                <w:bCs/>
              </w:rPr>
              <w:t>40</w:t>
            </w:r>
          </w:p>
        </w:tc>
        <w:tc>
          <w:tcPr>
            <w:tcW w:w="554" w:type="dxa"/>
            <w:vAlign w:val="bottom"/>
          </w:tcPr>
          <w:p w:rsidR="0019170B" w:rsidRPr="0019170B" w:rsidRDefault="0019170B" w:rsidP="0019170B">
            <w:pPr>
              <w:pStyle w:val="Table3heading"/>
              <w:rPr>
                <w:b/>
                <w:bCs/>
              </w:rPr>
            </w:pPr>
            <w:r w:rsidRPr="0019170B">
              <w:rPr>
                <w:b/>
                <w:bCs/>
              </w:rPr>
              <w:t>23</w:t>
            </w:r>
          </w:p>
        </w:tc>
        <w:tc>
          <w:tcPr>
            <w:tcW w:w="555" w:type="dxa"/>
            <w:vAlign w:val="bottom"/>
          </w:tcPr>
          <w:p w:rsidR="0019170B" w:rsidRPr="0019170B" w:rsidRDefault="0019170B" w:rsidP="0019170B">
            <w:pPr>
              <w:pStyle w:val="Table3heading"/>
              <w:rPr>
                <w:b/>
                <w:bCs/>
              </w:rPr>
            </w:pPr>
            <w:r w:rsidRPr="0019170B">
              <w:rPr>
                <w:b/>
                <w:bCs/>
              </w:rPr>
              <w:t>38</w:t>
            </w:r>
          </w:p>
        </w:tc>
        <w:tc>
          <w:tcPr>
            <w:tcW w:w="555" w:type="dxa"/>
            <w:vAlign w:val="bottom"/>
          </w:tcPr>
          <w:p w:rsidR="0019170B" w:rsidRPr="0019170B" w:rsidRDefault="0019170B" w:rsidP="0019170B">
            <w:pPr>
              <w:pStyle w:val="Table3heading"/>
              <w:rPr>
                <w:b/>
                <w:bCs/>
              </w:rPr>
            </w:pPr>
            <w:r w:rsidRPr="0019170B">
              <w:rPr>
                <w:b/>
                <w:bCs/>
              </w:rPr>
              <w:t>27</w:t>
            </w:r>
          </w:p>
        </w:tc>
        <w:tc>
          <w:tcPr>
            <w:tcW w:w="555" w:type="dxa"/>
            <w:vAlign w:val="bottom"/>
          </w:tcPr>
          <w:p w:rsidR="0019170B" w:rsidRPr="0019170B" w:rsidRDefault="0019170B" w:rsidP="0019170B">
            <w:pPr>
              <w:pStyle w:val="Table3heading"/>
              <w:rPr>
                <w:b/>
                <w:bCs/>
              </w:rPr>
            </w:pPr>
            <w:r w:rsidRPr="0019170B">
              <w:rPr>
                <w:b/>
                <w:bCs/>
              </w:rPr>
              <w:t>29</w:t>
            </w:r>
          </w:p>
        </w:tc>
        <w:tc>
          <w:tcPr>
            <w:tcW w:w="556" w:type="dxa"/>
            <w:vAlign w:val="bottom"/>
          </w:tcPr>
          <w:p w:rsidR="0019170B" w:rsidRPr="0019170B" w:rsidRDefault="0019170B" w:rsidP="0019170B">
            <w:pPr>
              <w:pStyle w:val="Table3heading"/>
              <w:rPr>
                <w:b/>
                <w:bCs/>
              </w:rPr>
            </w:pPr>
            <w:r w:rsidRPr="0019170B">
              <w:rPr>
                <w:b/>
                <w:bCs/>
              </w:rPr>
              <w:t>32</w:t>
            </w:r>
          </w:p>
        </w:tc>
        <w:tc>
          <w:tcPr>
            <w:tcW w:w="556" w:type="dxa"/>
            <w:vAlign w:val="bottom"/>
          </w:tcPr>
          <w:p w:rsidR="0019170B" w:rsidRPr="0019170B" w:rsidRDefault="0019170B" w:rsidP="0019170B">
            <w:pPr>
              <w:pStyle w:val="Table3heading"/>
              <w:rPr>
                <w:b/>
                <w:bCs/>
              </w:rPr>
            </w:pPr>
            <w:r w:rsidRPr="0019170B">
              <w:rPr>
                <w:b/>
                <w:bCs/>
              </w:rPr>
              <w:t>24</w:t>
            </w:r>
          </w:p>
        </w:tc>
        <w:tc>
          <w:tcPr>
            <w:tcW w:w="556" w:type="dxa"/>
            <w:vAlign w:val="bottom"/>
          </w:tcPr>
          <w:p w:rsidR="0019170B" w:rsidRPr="0019170B" w:rsidRDefault="0019170B" w:rsidP="0019170B">
            <w:pPr>
              <w:pStyle w:val="Table3heading"/>
              <w:rPr>
                <w:b/>
                <w:bCs/>
              </w:rPr>
            </w:pPr>
            <w:r w:rsidRPr="0019170B">
              <w:rPr>
                <w:b/>
                <w:bCs/>
              </w:rPr>
              <w:t>32</w:t>
            </w:r>
          </w:p>
        </w:tc>
        <w:tc>
          <w:tcPr>
            <w:tcW w:w="556" w:type="dxa"/>
            <w:vAlign w:val="bottom"/>
          </w:tcPr>
          <w:p w:rsidR="0019170B" w:rsidRPr="0019170B" w:rsidRDefault="0019170B" w:rsidP="0019170B">
            <w:pPr>
              <w:pStyle w:val="Table3heading"/>
              <w:rPr>
                <w:b/>
                <w:bCs/>
              </w:rPr>
            </w:pPr>
            <w:r w:rsidRPr="0019170B">
              <w:rPr>
                <w:b/>
                <w:bCs/>
              </w:rPr>
              <w:t>36</w:t>
            </w:r>
          </w:p>
        </w:tc>
        <w:tc>
          <w:tcPr>
            <w:tcW w:w="556" w:type="dxa"/>
            <w:vAlign w:val="bottom"/>
          </w:tcPr>
          <w:p w:rsidR="0019170B" w:rsidRPr="0019170B" w:rsidRDefault="0019170B" w:rsidP="0019170B">
            <w:pPr>
              <w:pStyle w:val="Table3heading"/>
              <w:rPr>
                <w:b/>
                <w:bCs/>
              </w:rPr>
            </w:pPr>
            <w:r w:rsidRPr="0019170B">
              <w:rPr>
                <w:b/>
                <w:bCs/>
              </w:rPr>
              <w:t>29</w:t>
            </w:r>
          </w:p>
        </w:tc>
        <w:tc>
          <w:tcPr>
            <w:tcW w:w="556" w:type="dxa"/>
            <w:vAlign w:val="bottom"/>
          </w:tcPr>
          <w:p w:rsidR="0019170B" w:rsidRPr="0019170B" w:rsidRDefault="0019170B" w:rsidP="0019170B">
            <w:pPr>
              <w:pStyle w:val="Table3heading"/>
              <w:rPr>
                <w:b/>
                <w:bCs/>
              </w:rPr>
            </w:pPr>
            <w:r w:rsidRPr="0019170B">
              <w:rPr>
                <w:b/>
                <w:bCs/>
              </w:rPr>
              <w:t>30</w:t>
            </w:r>
          </w:p>
        </w:tc>
        <w:tc>
          <w:tcPr>
            <w:tcW w:w="556" w:type="dxa"/>
            <w:vAlign w:val="bottom"/>
          </w:tcPr>
          <w:p w:rsidR="0019170B" w:rsidRPr="0019170B" w:rsidRDefault="0019170B" w:rsidP="0019170B">
            <w:pPr>
              <w:pStyle w:val="Table3heading"/>
              <w:rPr>
                <w:b/>
                <w:bCs/>
              </w:rPr>
            </w:pPr>
            <w:r w:rsidRPr="0019170B">
              <w:rPr>
                <w:b/>
                <w:bCs/>
              </w:rPr>
              <w:t>38</w:t>
            </w:r>
          </w:p>
        </w:tc>
        <w:tc>
          <w:tcPr>
            <w:tcW w:w="556" w:type="dxa"/>
            <w:vAlign w:val="bottom"/>
          </w:tcPr>
          <w:p w:rsidR="0019170B" w:rsidRPr="0019170B" w:rsidRDefault="0019170B" w:rsidP="0019170B">
            <w:pPr>
              <w:pStyle w:val="Table3heading"/>
              <w:rPr>
                <w:b/>
                <w:bCs/>
              </w:rPr>
            </w:pPr>
            <w:r w:rsidRPr="0019170B">
              <w:rPr>
                <w:b/>
                <w:bCs/>
              </w:rPr>
              <w:t>19</w:t>
            </w:r>
          </w:p>
        </w:tc>
        <w:tc>
          <w:tcPr>
            <w:tcW w:w="556" w:type="dxa"/>
            <w:vAlign w:val="bottom"/>
          </w:tcPr>
          <w:p w:rsidR="0019170B" w:rsidRPr="0019170B" w:rsidRDefault="0019170B" w:rsidP="0019170B">
            <w:pPr>
              <w:pStyle w:val="Table3heading"/>
              <w:rPr>
                <w:b/>
                <w:bCs/>
              </w:rPr>
            </w:pPr>
            <w:r w:rsidRPr="0019170B">
              <w:rPr>
                <w:b/>
                <w:bCs/>
              </w:rPr>
              <w:t>25</w:t>
            </w:r>
          </w:p>
        </w:tc>
        <w:tc>
          <w:tcPr>
            <w:tcW w:w="596" w:type="dxa"/>
            <w:vAlign w:val="bottom"/>
          </w:tcPr>
          <w:p w:rsidR="0019170B" w:rsidRPr="0019170B" w:rsidRDefault="0019170B" w:rsidP="0019170B">
            <w:pPr>
              <w:pStyle w:val="Table3heading"/>
              <w:rPr>
                <w:b/>
                <w:bCs/>
              </w:rPr>
            </w:pPr>
            <w:r w:rsidRPr="0019170B">
              <w:rPr>
                <w:b/>
                <w:bCs/>
              </w:rPr>
              <w:t>22</w:t>
            </w:r>
          </w:p>
        </w:tc>
        <w:tc>
          <w:tcPr>
            <w:tcW w:w="556" w:type="dxa"/>
            <w:vAlign w:val="bottom"/>
          </w:tcPr>
          <w:p w:rsidR="0019170B" w:rsidRPr="0019170B" w:rsidRDefault="0019170B" w:rsidP="0019170B">
            <w:pPr>
              <w:pStyle w:val="Table3heading"/>
              <w:rPr>
                <w:b/>
                <w:bCs/>
              </w:rPr>
            </w:pPr>
            <w:r w:rsidRPr="0019170B">
              <w:rPr>
                <w:b/>
                <w:bCs/>
              </w:rPr>
              <w:t>31</w:t>
            </w:r>
          </w:p>
        </w:tc>
        <w:tc>
          <w:tcPr>
            <w:tcW w:w="556" w:type="dxa"/>
            <w:vAlign w:val="bottom"/>
          </w:tcPr>
          <w:p w:rsidR="0019170B" w:rsidRPr="0019170B" w:rsidRDefault="0019170B" w:rsidP="0019170B">
            <w:pPr>
              <w:pStyle w:val="Table3heading"/>
              <w:rPr>
                <w:b/>
                <w:bCs/>
              </w:rPr>
            </w:pPr>
            <w:r w:rsidRPr="0019170B">
              <w:rPr>
                <w:b/>
                <w:bCs/>
              </w:rPr>
              <w:t>21</w:t>
            </w:r>
          </w:p>
        </w:tc>
        <w:tc>
          <w:tcPr>
            <w:tcW w:w="556" w:type="dxa"/>
            <w:vAlign w:val="bottom"/>
          </w:tcPr>
          <w:p w:rsidR="0019170B" w:rsidRPr="0019170B" w:rsidRDefault="0019170B" w:rsidP="0019170B">
            <w:pPr>
              <w:pStyle w:val="Table3heading"/>
              <w:rPr>
                <w:b/>
                <w:bCs/>
              </w:rPr>
            </w:pPr>
            <w:r w:rsidRPr="0019170B">
              <w:rPr>
                <w:b/>
                <w:bCs/>
              </w:rPr>
              <w:t>25</w:t>
            </w:r>
          </w:p>
        </w:tc>
        <w:tc>
          <w:tcPr>
            <w:tcW w:w="816" w:type="dxa"/>
            <w:vAlign w:val="bottom"/>
          </w:tcPr>
          <w:p w:rsidR="0019170B" w:rsidRPr="00C71C80" w:rsidRDefault="0019170B" w:rsidP="0019170B">
            <w:pPr>
              <w:pStyle w:val="Table3heading"/>
              <w:rPr>
                <w:b/>
              </w:rPr>
            </w:pPr>
            <w:r w:rsidRPr="00C71C80">
              <w:rPr>
                <w:b/>
              </w:rPr>
              <w:t>28</w:t>
            </w:r>
          </w:p>
        </w:tc>
      </w:tr>
      <w:tr w:rsidR="0019170B" w:rsidTr="004B295C">
        <w:tc>
          <w:tcPr>
            <w:tcW w:w="1097" w:type="dxa"/>
            <w:vAlign w:val="center"/>
          </w:tcPr>
          <w:p w:rsidR="0019170B" w:rsidRDefault="0019170B" w:rsidP="00737F6B">
            <w:pPr>
              <w:pStyle w:val="Table3heading"/>
            </w:pPr>
          </w:p>
        </w:tc>
        <w:tc>
          <w:tcPr>
            <w:tcW w:w="887" w:type="dxa"/>
            <w:vAlign w:val="center"/>
          </w:tcPr>
          <w:p w:rsidR="0019170B" w:rsidRDefault="0019170B" w:rsidP="00737F6B">
            <w:pPr>
              <w:pStyle w:val="Table3heading"/>
            </w:pPr>
          </w:p>
        </w:tc>
        <w:tc>
          <w:tcPr>
            <w:tcW w:w="560" w:type="dxa"/>
            <w:vAlign w:val="center"/>
          </w:tcPr>
          <w:p w:rsidR="0019170B" w:rsidRDefault="0019170B" w:rsidP="0019170B">
            <w:pPr>
              <w:pStyle w:val="Table3heading"/>
            </w:pPr>
          </w:p>
        </w:tc>
        <w:tc>
          <w:tcPr>
            <w:tcW w:w="553" w:type="dxa"/>
            <w:vAlign w:val="center"/>
          </w:tcPr>
          <w:p w:rsidR="0019170B" w:rsidRDefault="0019170B" w:rsidP="0019170B">
            <w:pPr>
              <w:pStyle w:val="Table3heading"/>
            </w:pPr>
          </w:p>
        </w:tc>
        <w:tc>
          <w:tcPr>
            <w:tcW w:w="553" w:type="dxa"/>
            <w:vAlign w:val="center"/>
          </w:tcPr>
          <w:p w:rsidR="0019170B" w:rsidRDefault="0019170B" w:rsidP="0019170B">
            <w:pPr>
              <w:pStyle w:val="Table3heading"/>
            </w:pPr>
          </w:p>
        </w:tc>
        <w:tc>
          <w:tcPr>
            <w:tcW w:w="553" w:type="dxa"/>
            <w:vAlign w:val="center"/>
          </w:tcPr>
          <w:p w:rsidR="0019170B" w:rsidRDefault="0019170B" w:rsidP="0019170B">
            <w:pPr>
              <w:pStyle w:val="Table3heading"/>
            </w:pPr>
          </w:p>
        </w:tc>
        <w:tc>
          <w:tcPr>
            <w:tcW w:w="554" w:type="dxa"/>
            <w:vAlign w:val="center"/>
          </w:tcPr>
          <w:p w:rsidR="0019170B" w:rsidRDefault="0019170B" w:rsidP="0019170B">
            <w:pPr>
              <w:pStyle w:val="Table3heading"/>
            </w:pPr>
          </w:p>
        </w:tc>
        <w:tc>
          <w:tcPr>
            <w:tcW w:w="554" w:type="dxa"/>
            <w:vAlign w:val="center"/>
          </w:tcPr>
          <w:p w:rsidR="0019170B" w:rsidRDefault="0019170B" w:rsidP="0019170B">
            <w:pPr>
              <w:pStyle w:val="Table3heading"/>
            </w:pPr>
          </w:p>
        </w:tc>
        <w:tc>
          <w:tcPr>
            <w:tcW w:w="554" w:type="dxa"/>
            <w:vAlign w:val="center"/>
          </w:tcPr>
          <w:p w:rsidR="0019170B" w:rsidRDefault="0019170B" w:rsidP="0019170B">
            <w:pPr>
              <w:pStyle w:val="Table3heading"/>
            </w:pPr>
          </w:p>
        </w:tc>
        <w:tc>
          <w:tcPr>
            <w:tcW w:w="555" w:type="dxa"/>
            <w:vAlign w:val="center"/>
          </w:tcPr>
          <w:p w:rsidR="0019170B" w:rsidRDefault="0019170B" w:rsidP="0019170B">
            <w:pPr>
              <w:pStyle w:val="Table3heading"/>
            </w:pPr>
          </w:p>
        </w:tc>
        <w:tc>
          <w:tcPr>
            <w:tcW w:w="555" w:type="dxa"/>
            <w:vAlign w:val="center"/>
          </w:tcPr>
          <w:p w:rsidR="0019170B" w:rsidRDefault="0019170B" w:rsidP="0019170B">
            <w:pPr>
              <w:pStyle w:val="Table3heading"/>
            </w:pPr>
          </w:p>
        </w:tc>
        <w:tc>
          <w:tcPr>
            <w:tcW w:w="555"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9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556" w:type="dxa"/>
            <w:vAlign w:val="center"/>
          </w:tcPr>
          <w:p w:rsidR="0019170B" w:rsidRDefault="0019170B" w:rsidP="0019170B">
            <w:pPr>
              <w:pStyle w:val="Table3heading"/>
            </w:pPr>
          </w:p>
        </w:tc>
        <w:tc>
          <w:tcPr>
            <w:tcW w:w="816" w:type="dxa"/>
            <w:vAlign w:val="center"/>
          </w:tcPr>
          <w:p w:rsidR="0019170B" w:rsidRPr="0019170B" w:rsidRDefault="0019170B" w:rsidP="0019170B">
            <w:pPr>
              <w:pStyle w:val="Table3heading"/>
            </w:pPr>
          </w:p>
        </w:tc>
      </w:tr>
      <w:tr w:rsidR="004B295C" w:rsidTr="00D233A8">
        <w:tc>
          <w:tcPr>
            <w:tcW w:w="14798" w:type="dxa"/>
            <w:gridSpan w:val="25"/>
            <w:tcBorders>
              <w:bottom w:val="single" w:sz="8" w:space="0" w:color="auto"/>
            </w:tcBorders>
            <w:vAlign w:val="center"/>
          </w:tcPr>
          <w:p w:rsidR="004B295C" w:rsidRPr="004B295C" w:rsidRDefault="004B295C" w:rsidP="004B295C">
            <w:pPr>
              <w:pStyle w:val="Table3heading"/>
              <w:jc w:val="right"/>
              <w:rPr>
                <w:b/>
              </w:rPr>
            </w:pPr>
            <w:r w:rsidRPr="004B295C">
              <w:rPr>
                <w:b/>
              </w:rPr>
              <w:t>Total</w:t>
            </w:r>
            <w:r>
              <w:rPr>
                <w:b/>
              </w:rPr>
              <w:t xml:space="preserve"> average</w:t>
            </w:r>
          </w:p>
        </w:tc>
        <w:tc>
          <w:tcPr>
            <w:tcW w:w="816" w:type="dxa"/>
            <w:tcBorders>
              <w:bottom w:val="single" w:sz="8" w:space="0" w:color="auto"/>
            </w:tcBorders>
            <w:vAlign w:val="center"/>
          </w:tcPr>
          <w:p w:rsidR="004B295C" w:rsidRPr="00C71C80" w:rsidRDefault="004B295C" w:rsidP="0019170B">
            <w:pPr>
              <w:pStyle w:val="Table3heading"/>
              <w:rPr>
                <w:b/>
              </w:rPr>
            </w:pPr>
            <w:r w:rsidRPr="00C71C80">
              <w:rPr>
                <w:b/>
              </w:rPr>
              <w:t>263</w:t>
            </w:r>
          </w:p>
        </w:tc>
      </w:tr>
      <w:tr w:rsidR="002352B7" w:rsidTr="00A25243">
        <w:tc>
          <w:tcPr>
            <w:tcW w:w="15614" w:type="dxa"/>
            <w:gridSpan w:val="26"/>
            <w:tcBorders>
              <w:top w:val="single" w:sz="8" w:space="0" w:color="auto"/>
            </w:tcBorders>
            <w:vAlign w:val="center"/>
          </w:tcPr>
          <w:p w:rsidR="002352B7" w:rsidRPr="0019170B" w:rsidRDefault="002352B7" w:rsidP="0019170B">
            <w:pPr>
              <w:pStyle w:val="Table3heading"/>
            </w:pPr>
            <w:r>
              <w:t>Source: Australian Road Deaths Database</w:t>
            </w:r>
          </w:p>
        </w:tc>
      </w:tr>
    </w:tbl>
    <w:p w:rsidR="00361E37" w:rsidRDefault="00361E37">
      <w:pPr>
        <w:tabs>
          <w:tab w:val="clear" w:pos="851"/>
        </w:tabs>
        <w:spacing w:before="0" w:after="200" w:line="276" w:lineRule="auto"/>
        <w:sectPr w:rsidR="00361E37" w:rsidSect="0003168B">
          <w:headerReference w:type="default" r:id="rId60"/>
          <w:footerReference w:type="default" r:id="rId61"/>
          <w:pgSz w:w="16838" w:h="11906" w:orient="landscape"/>
          <w:pgMar w:top="720" w:right="720" w:bottom="720" w:left="720" w:header="0" w:footer="567" w:gutter="0"/>
          <w:cols w:space="708"/>
          <w:docGrid w:linePitch="360"/>
        </w:sectPr>
      </w:pPr>
    </w:p>
    <w:p w:rsidR="008570AC" w:rsidRDefault="008570AC" w:rsidP="008570AC">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9</w:t>
      </w:r>
      <w:r w:rsidR="00C036A7">
        <w:rPr>
          <w:noProof/>
        </w:rPr>
        <w:fldChar w:fldCharType="end"/>
      </w:r>
      <w:r>
        <w:t xml:space="preserve"> Ratio between injury types: 2012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8"/>
        <w:gridCol w:w="1848"/>
        <w:gridCol w:w="1849"/>
        <w:gridCol w:w="1849"/>
      </w:tblGrid>
      <w:tr w:rsidR="00BA54F5" w:rsidTr="007438D5">
        <w:tc>
          <w:tcPr>
            <w:tcW w:w="1848" w:type="dxa"/>
            <w:tcBorders>
              <w:top w:val="single" w:sz="8" w:space="0" w:color="auto"/>
              <w:bottom w:val="single" w:sz="8" w:space="0" w:color="auto"/>
            </w:tcBorders>
          </w:tcPr>
          <w:p w:rsidR="00BA54F5" w:rsidRDefault="00BA54F5" w:rsidP="00BA54F5">
            <w:pPr>
              <w:pStyle w:val="Table2heading"/>
            </w:pPr>
          </w:p>
        </w:tc>
        <w:tc>
          <w:tcPr>
            <w:tcW w:w="1848" w:type="dxa"/>
            <w:tcBorders>
              <w:top w:val="single" w:sz="8" w:space="0" w:color="auto"/>
              <w:bottom w:val="single" w:sz="8" w:space="0" w:color="auto"/>
            </w:tcBorders>
            <w:vAlign w:val="center"/>
          </w:tcPr>
          <w:p w:rsidR="00BA54F5" w:rsidRDefault="008570AC" w:rsidP="00BE508F">
            <w:pPr>
              <w:pStyle w:val="Table2heading"/>
              <w:jc w:val="left"/>
            </w:pPr>
            <w:r>
              <w:t>Victoria (5 year)</w:t>
            </w:r>
          </w:p>
        </w:tc>
        <w:tc>
          <w:tcPr>
            <w:tcW w:w="1848" w:type="dxa"/>
            <w:tcBorders>
              <w:top w:val="single" w:sz="8" w:space="0" w:color="auto"/>
              <w:bottom w:val="single" w:sz="8" w:space="0" w:color="auto"/>
            </w:tcBorders>
            <w:vAlign w:val="center"/>
          </w:tcPr>
          <w:p w:rsidR="00BA54F5" w:rsidRDefault="008570AC" w:rsidP="00BE508F">
            <w:pPr>
              <w:pStyle w:val="Table2heading"/>
              <w:jc w:val="left"/>
            </w:pPr>
            <w:r>
              <w:t>Victoria (1 year)</w:t>
            </w:r>
          </w:p>
        </w:tc>
        <w:tc>
          <w:tcPr>
            <w:tcW w:w="1849" w:type="dxa"/>
            <w:tcBorders>
              <w:top w:val="single" w:sz="8" w:space="0" w:color="auto"/>
              <w:bottom w:val="single" w:sz="8" w:space="0" w:color="auto"/>
            </w:tcBorders>
            <w:vAlign w:val="center"/>
          </w:tcPr>
          <w:p w:rsidR="00BA54F5" w:rsidRDefault="008570AC" w:rsidP="00BE508F">
            <w:pPr>
              <w:pStyle w:val="Table2heading"/>
              <w:jc w:val="left"/>
            </w:pPr>
            <w:r>
              <w:t>Percentage</w:t>
            </w:r>
          </w:p>
        </w:tc>
        <w:tc>
          <w:tcPr>
            <w:tcW w:w="1849" w:type="dxa"/>
            <w:tcBorders>
              <w:top w:val="single" w:sz="8" w:space="0" w:color="auto"/>
              <w:bottom w:val="single" w:sz="8" w:space="0" w:color="auto"/>
            </w:tcBorders>
            <w:vAlign w:val="center"/>
          </w:tcPr>
          <w:p w:rsidR="00BA54F5" w:rsidRDefault="008570AC" w:rsidP="00BE508F">
            <w:pPr>
              <w:pStyle w:val="Table2heading"/>
              <w:jc w:val="left"/>
            </w:pPr>
            <w:r>
              <w:t xml:space="preserve">Australia (extrapolated from </w:t>
            </w:r>
            <w:r w:rsidR="009169FE">
              <w:fldChar w:fldCharType="begin"/>
            </w:r>
            <w:r w:rsidR="009169FE">
              <w:instrText xml:space="preserve"> REF _Ref342979036 \h  \* MERGEFORMAT </w:instrText>
            </w:r>
            <w:r w:rsidR="009169FE">
              <w:fldChar w:fldCharType="separate"/>
            </w:r>
            <w:r w:rsidR="00546CD0">
              <w:t>Table 8</w:t>
            </w:r>
            <w:r w:rsidR="009169FE">
              <w:fldChar w:fldCharType="end"/>
            </w:r>
            <w:r>
              <w:t>)</w:t>
            </w:r>
          </w:p>
        </w:tc>
      </w:tr>
      <w:tr w:rsidR="00BA54F5" w:rsidTr="007438D5">
        <w:tc>
          <w:tcPr>
            <w:tcW w:w="1848" w:type="dxa"/>
            <w:tcBorders>
              <w:top w:val="single" w:sz="8" w:space="0" w:color="auto"/>
            </w:tcBorders>
          </w:tcPr>
          <w:p w:rsidR="00BA54F5" w:rsidRDefault="00E762CF" w:rsidP="00BA54F5">
            <w:pPr>
              <w:pStyle w:val="Table2"/>
            </w:pPr>
            <w:r>
              <w:t>Fatal</w:t>
            </w:r>
          </w:p>
        </w:tc>
        <w:tc>
          <w:tcPr>
            <w:tcW w:w="1848" w:type="dxa"/>
            <w:tcBorders>
              <w:top w:val="single" w:sz="8" w:space="0" w:color="auto"/>
            </w:tcBorders>
          </w:tcPr>
          <w:p w:rsidR="00BA54F5" w:rsidRDefault="00E762CF" w:rsidP="00BA54F5">
            <w:pPr>
              <w:pStyle w:val="Table2"/>
            </w:pPr>
            <w:r>
              <w:t>216</w:t>
            </w:r>
          </w:p>
        </w:tc>
        <w:tc>
          <w:tcPr>
            <w:tcW w:w="1848" w:type="dxa"/>
            <w:tcBorders>
              <w:top w:val="single" w:sz="8" w:space="0" w:color="auto"/>
            </w:tcBorders>
          </w:tcPr>
          <w:p w:rsidR="00BA54F5" w:rsidRDefault="00BE508F" w:rsidP="00BA54F5">
            <w:pPr>
              <w:pStyle w:val="Table2"/>
            </w:pPr>
            <w:r>
              <w:t>43</w:t>
            </w:r>
          </w:p>
        </w:tc>
        <w:tc>
          <w:tcPr>
            <w:tcW w:w="1849" w:type="dxa"/>
            <w:tcBorders>
              <w:top w:val="single" w:sz="8" w:space="0" w:color="auto"/>
            </w:tcBorders>
          </w:tcPr>
          <w:p w:rsidR="00BA54F5" w:rsidRDefault="00BE508F" w:rsidP="00BA54F5">
            <w:pPr>
              <w:pStyle w:val="Table2"/>
            </w:pPr>
            <w:r>
              <w:t>6</w:t>
            </w:r>
          </w:p>
        </w:tc>
        <w:tc>
          <w:tcPr>
            <w:tcW w:w="1849" w:type="dxa"/>
            <w:tcBorders>
              <w:top w:val="single" w:sz="8" w:space="0" w:color="auto"/>
            </w:tcBorders>
          </w:tcPr>
          <w:p w:rsidR="00BA54F5" w:rsidRDefault="007438D5" w:rsidP="00BA54F5">
            <w:pPr>
              <w:pStyle w:val="Table2"/>
            </w:pPr>
            <w:r>
              <w:t>199</w:t>
            </w:r>
          </w:p>
        </w:tc>
      </w:tr>
      <w:tr w:rsidR="00BA54F5" w:rsidTr="007438D5">
        <w:tc>
          <w:tcPr>
            <w:tcW w:w="1848" w:type="dxa"/>
          </w:tcPr>
          <w:p w:rsidR="00BA54F5" w:rsidRDefault="00E762CF" w:rsidP="00BA54F5">
            <w:pPr>
              <w:pStyle w:val="Table2"/>
            </w:pPr>
            <w:r>
              <w:t>Serious injury</w:t>
            </w:r>
          </w:p>
        </w:tc>
        <w:tc>
          <w:tcPr>
            <w:tcW w:w="1848" w:type="dxa"/>
          </w:tcPr>
          <w:p w:rsidR="00BA54F5" w:rsidRDefault="00E762CF" w:rsidP="00BA54F5">
            <w:pPr>
              <w:pStyle w:val="Table2"/>
            </w:pPr>
            <w:r>
              <w:t>1,586</w:t>
            </w:r>
          </w:p>
        </w:tc>
        <w:tc>
          <w:tcPr>
            <w:tcW w:w="1848" w:type="dxa"/>
          </w:tcPr>
          <w:p w:rsidR="00BA54F5" w:rsidRDefault="00BE508F" w:rsidP="00BA54F5">
            <w:pPr>
              <w:pStyle w:val="Table2"/>
            </w:pPr>
            <w:r>
              <w:t>317</w:t>
            </w:r>
          </w:p>
        </w:tc>
        <w:tc>
          <w:tcPr>
            <w:tcW w:w="1849" w:type="dxa"/>
          </w:tcPr>
          <w:p w:rsidR="00BA54F5" w:rsidRDefault="00BE508F" w:rsidP="00BA54F5">
            <w:pPr>
              <w:pStyle w:val="Table2"/>
            </w:pPr>
            <w:r>
              <w:t>43</w:t>
            </w:r>
          </w:p>
        </w:tc>
        <w:tc>
          <w:tcPr>
            <w:tcW w:w="1849" w:type="dxa"/>
          </w:tcPr>
          <w:p w:rsidR="00BA54F5" w:rsidRDefault="007438D5" w:rsidP="00BA54F5">
            <w:pPr>
              <w:pStyle w:val="Table2"/>
            </w:pPr>
            <w:r>
              <w:t>1,459</w:t>
            </w:r>
          </w:p>
        </w:tc>
      </w:tr>
      <w:tr w:rsidR="00BA54F5" w:rsidTr="007438D5">
        <w:tc>
          <w:tcPr>
            <w:tcW w:w="1848" w:type="dxa"/>
          </w:tcPr>
          <w:p w:rsidR="00BA54F5" w:rsidRDefault="00E762CF" w:rsidP="00BA54F5">
            <w:pPr>
              <w:pStyle w:val="Table2"/>
            </w:pPr>
            <w:r>
              <w:t>Other injury</w:t>
            </w:r>
          </w:p>
        </w:tc>
        <w:tc>
          <w:tcPr>
            <w:tcW w:w="1848" w:type="dxa"/>
          </w:tcPr>
          <w:p w:rsidR="00BA54F5" w:rsidRDefault="00E762CF" w:rsidP="00BA54F5">
            <w:pPr>
              <w:pStyle w:val="Table2"/>
            </w:pPr>
            <w:r>
              <w:t>1,908</w:t>
            </w:r>
          </w:p>
        </w:tc>
        <w:tc>
          <w:tcPr>
            <w:tcW w:w="1848" w:type="dxa"/>
          </w:tcPr>
          <w:p w:rsidR="00BA54F5" w:rsidRDefault="00BE508F" w:rsidP="00BA54F5">
            <w:pPr>
              <w:pStyle w:val="Table2"/>
            </w:pPr>
            <w:r>
              <w:t>382</w:t>
            </w:r>
          </w:p>
        </w:tc>
        <w:tc>
          <w:tcPr>
            <w:tcW w:w="1849" w:type="dxa"/>
          </w:tcPr>
          <w:p w:rsidR="00BA54F5" w:rsidRDefault="00BE508F" w:rsidP="00BA54F5">
            <w:pPr>
              <w:pStyle w:val="Table2"/>
            </w:pPr>
            <w:r>
              <w:t>51</w:t>
            </w:r>
          </w:p>
        </w:tc>
        <w:tc>
          <w:tcPr>
            <w:tcW w:w="1849" w:type="dxa"/>
          </w:tcPr>
          <w:p w:rsidR="00BA54F5" w:rsidRDefault="007438D5" w:rsidP="00BA54F5">
            <w:pPr>
              <w:pStyle w:val="Table2"/>
            </w:pPr>
            <w:r>
              <w:t>1,755</w:t>
            </w:r>
          </w:p>
        </w:tc>
      </w:tr>
      <w:tr w:rsidR="00BA54F5" w:rsidTr="007438D5">
        <w:tc>
          <w:tcPr>
            <w:tcW w:w="1848" w:type="dxa"/>
            <w:tcBorders>
              <w:bottom w:val="single" w:sz="8" w:space="0" w:color="auto"/>
            </w:tcBorders>
          </w:tcPr>
          <w:p w:rsidR="00BA54F5" w:rsidRDefault="00E762CF" w:rsidP="00BA54F5">
            <w:pPr>
              <w:pStyle w:val="Table2"/>
            </w:pPr>
            <w:r>
              <w:t>Total</w:t>
            </w:r>
          </w:p>
        </w:tc>
        <w:tc>
          <w:tcPr>
            <w:tcW w:w="1848" w:type="dxa"/>
            <w:tcBorders>
              <w:bottom w:val="single" w:sz="8" w:space="0" w:color="auto"/>
            </w:tcBorders>
          </w:tcPr>
          <w:p w:rsidR="00BA54F5" w:rsidRDefault="00BE508F" w:rsidP="00BA54F5">
            <w:pPr>
              <w:pStyle w:val="Table2"/>
            </w:pPr>
            <w:r>
              <w:t>3,710</w:t>
            </w:r>
          </w:p>
        </w:tc>
        <w:tc>
          <w:tcPr>
            <w:tcW w:w="1848" w:type="dxa"/>
            <w:tcBorders>
              <w:bottom w:val="single" w:sz="8" w:space="0" w:color="auto"/>
            </w:tcBorders>
          </w:tcPr>
          <w:p w:rsidR="00BA54F5" w:rsidRDefault="00BA54F5" w:rsidP="00BA54F5">
            <w:pPr>
              <w:pStyle w:val="Table2"/>
            </w:pPr>
          </w:p>
        </w:tc>
        <w:tc>
          <w:tcPr>
            <w:tcW w:w="1849" w:type="dxa"/>
            <w:tcBorders>
              <w:bottom w:val="single" w:sz="8" w:space="0" w:color="auto"/>
            </w:tcBorders>
          </w:tcPr>
          <w:p w:rsidR="00BA54F5" w:rsidRDefault="00BA54F5" w:rsidP="00BA54F5">
            <w:pPr>
              <w:pStyle w:val="Table2"/>
            </w:pPr>
          </w:p>
        </w:tc>
        <w:tc>
          <w:tcPr>
            <w:tcW w:w="1849" w:type="dxa"/>
            <w:tcBorders>
              <w:bottom w:val="single" w:sz="8" w:space="0" w:color="auto"/>
            </w:tcBorders>
          </w:tcPr>
          <w:p w:rsidR="00BA54F5" w:rsidRDefault="007438D5" w:rsidP="00BA54F5">
            <w:pPr>
              <w:pStyle w:val="Table2"/>
            </w:pPr>
            <w:r>
              <w:t>3,413</w:t>
            </w:r>
          </w:p>
        </w:tc>
      </w:tr>
      <w:tr w:rsidR="007438D5" w:rsidTr="0074387C">
        <w:tc>
          <w:tcPr>
            <w:tcW w:w="9242" w:type="dxa"/>
            <w:gridSpan w:val="5"/>
            <w:tcBorders>
              <w:top w:val="single" w:sz="8" w:space="0" w:color="auto"/>
            </w:tcBorders>
          </w:tcPr>
          <w:p w:rsidR="007438D5" w:rsidRDefault="007438D5" w:rsidP="00BA54F5">
            <w:pPr>
              <w:pStyle w:val="Table2"/>
            </w:pPr>
            <w:r>
              <w:t>Source: VicRoads CrashStats database</w:t>
            </w:r>
          </w:p>
        </w:tc>
      </w:tr>
    </w:tbl>
    <w:p w:rsidR="00A25243" w:rsidRDefault="00A25243">
      <w:pPr>
        <w:tabs>
          <w:tab w:val="clear" w:pos="851"/>
        </w:tabs>
        <w:spacing w:before="0" w:after="200" w:line="276" w:lineRule="auto"/>
      </w:pPr>
    </w:p>
    <w:p w:rsidR="00A25243" w:rsidRDefault="00A25243">
      <w:pPr>
        <w:tabs>
          <w:tab w:val="clear" w:pos="851"/>
        </w:tabs>
        <w:spacing w:before="0" w:after="200" w:line="276" w:lineRule="auto"/>
        <w:rPr>
          <w:rFonts w:eastAsiaTheme="majorEastAsia" w:cstheme="majorBidi"/>
          <w:b/>
          <w:bCs/>
          <w:caps/>
          <w:szCs w:val="28"/>
        </w:rPr>
      </w:pPr>
      <w:r>
        <w:br w:type="page"/>
      </w:r>
    </w:p>
    <w:p w:rsidR="00B56798" w:rsidRDefault="00DA32D6" w:rsidP="00350154">
      <w:pPr>
        <w:pStyle w:val="Heading1"/>
        <w:numPr>
          <w:ilvl w:val="0"/>
          <w:numId w:val="0"/>
        </w:numPr>
      </w:pPr>
      <w:bookmarkStart w:id="76" w:name="_Ref342998223"/>
      <w:bookmarkStart w:id="77" w:name="_Toc375302812"/>
      <w:r>
        <w:lastRenderedPageBreak/>
        <w:t>A</w:t>
      </w:r>
      <w:r w:rsidR="00B56798">
        <w:t xml:space="preserve">ppendix </w:t>
      </w:r>
      <w:r w:rsidR="00D14372">
        <w:t>8</w:t>
      </w:r>
      <w:r w:rsidR="00B56798">
        <w:t>—</w:t>
      </w:r>
      <w:r w:rsidR="00850D5F">
        <w:t>Benefit-Cost Analysis—Methodology</w:t>
      </w:r>
      <w:bookmarkEnd w:id="76"/>
      <w:bookmarkEnd w:id="77"/>
    </w:p>
    <w:p w:rsidR="00D14372" w:rsidRDefault="00D14372" w:rsidP="00D14372">
      <w:r>
        <w:t>The model used in this analysis was the Net Present Value (NPV) model.  The costs and expected benefits associated with the option for government intervention were summed over time.  The further the cost or benefit occurred from the nominal starting date, the more they were discounted.  This allowed all costs and benefits to be compared equally, no matter when they occurred.  The analysis was broken up into the following steps:</w:t>
      </w:r>
    </w:p>
    <w:p w:rsidR="00D14372" w:rsidRDefault="00D14372" w:rsidP="00D14372">
      <w:pPr>
        <w:pStyle w:val="ListParagraph"/>
        <w:numPr>
          <w:ilvl w:val="0"/>
          <w:numId w:val="19"/>
        </w:numPr>
      </w:pPr>
      <w:r>
        <w:t>The trend in new vehicle sales data for heavy trucks, trailers and buses was established for the years 2003 to 2011.  Registration data for this period showed a large r</w:t>
      </w:r>
      <w:r w:rsidR="00177783">
        <w:t>ise in vehicle sales of around eight per </w:t>
      </w:r>
      <w:r>
        <w:t xml:space="preserve">cent per year.  However, to avoid any chance that it is a temporary trend, the annual growth rate in new vehicle sales was halved to </w:t>
      </w:r>
      <w:r w:rsidR="002D1397">
        <w:t>four </w:t>
      </w:r>
      <w:r>
        <w:t>per</w:t>
      </w:r>
      <w:r w:rsidR="002D1397">
        <w:t> </w:t>
      </w:r>
      <w:r>
        <w:t>cent instead.</w:t>
      </w:r>
    </w:p>
    <w:p w:rsidR="00D14372" w:rsidRDefault="00D14372" w:rsidP="00D14372">
      <w:pPr>
        <w:pStyle w:val="ListParagraph"/>
        <w:numPr>
          <w:ilvl w:val="0"/>
          <w:numId w:val="19"/>
        </w:numPr>
      </w:pPr>
      <w:r>
        <w:t xml:space="preserve">The voluntary fitment rates of ABS in trucks, trailers and buses were established for the BAU case, starting at </w:t>
      </w:r>
      <w:r w:rsidR="00077A49">
        <w:t xml:space="preserve">a </w:t>
      </w:r>
      <w:r>
        <w:t xml:space="preserve">current rate of </w:t>
      </w:r>
      <w:r w:rsidR="00077A49">
        <w:t>36</w:t>
      </w:r>
      <w:r w:rsidR="00BB72F8">
        <w:t> </w:t>
      </w:r>
      <w:r w:rsidR="00F467F4">
        <w:t>per </w:t>
      </w:r>
      <w:r>
        <w:t>cent of all trucks and t</w:t>
      </w:r>
      <w:r w:rsidR="00F467F4">
        <w:t>railers above 4.5 tonnes and 90 per </w:t>
      </w:r>
      <w:r>
        <w:t xml:space="preserve">cent of buses above 4.5 tonnes.  The fitment rate was then established </w:t>
      </w:r>
      <w:r w:rsidR="0056102E">
        <w:t>for the mandatory option as 100 per </w:t>
      </w:r>
      <w:r>
        <w:t>cent.</w:t>
      </w:r>
    </w:p>
    <w:p w:rsidR="00D14372" w:rsidRDefault="00D14372" w:rsidP="00D14372">
      <w:pPr>
        <w:pStyle w:val="ListParagraph"/>
        <w:numPr>
          <w:ilvl w:val="0"/>
          <w:numId w:val="19"/>
        </w:numPr>
      </w:pPr>
      <w:r>
        <w:t>The likelihood of a registered vehicle having a crash where an occupant is injured (including fatally) was established for each year of a vehicle’s life using the method described in Fildes (2002).  The method includes histori</w:t>
      </w:r>
      <w:r w:rsidR="0056102E">
        <w:t>cal data of crash rates over 26 </w:t>
      </w:r>
      <w:r>
        <w:t>years.</w:t>
      </w:r>
    </w:p>
    <w:p w:rsidR="00D14372" w:rsidRDefault="00D14372" w:rsidP="00D14372">
      <w:pPr>
        <w:pStyle w:val="ListParagraph"/>
        <w:numPr>
          <w:ilvl w:val="0"/>
          <w:numId w:val="19"/>
        </w:numPr>
      </w:pPr>
      <w:r>
        <w:t>The difference between the BAU and the option was calculated, resulting in the net number of vehicles fitted with ABS in a particular year that would be attributable to the option.</w:t>
      </w:r>
    </w:p>
    <w:p w:rsidR="00D14372" w:rsidRDefault="00D14372" w:rsidP="00D14372">
      <w:pPr>
        <w:pStyle w:val="ListParagraph"/>
        <w:numPr>
          <w:ilvl w:val="0"/>
          <w:numId w:val="19"/>
        </w:numPr>
      </w:pPr>
      <w:r>
        <w:t>For each year, the net number of vehicles fitted with ABS for the option was multiplied by the likelihood of an injury crash per registration in that first year.  This was then added to the likelihoods of older vehicles crashing during that year.  The likelihood of an injury crash per registration</w:t>
      </w:r>
      <w:r w:rsidR="005C7FF2">
        <w:t xml:space="preserve"> was calculated by taking a ten-</w:t>
      </w:r>
      <w:r>
        <w:t>year average of heavy vehicle fatalities and adding serious injuries and minor (other) injuries.</w:t>
      </w:r>
      <w:r w:rsidR="0056102E">
        <w:t xml:space="preserve"> </w:t>
      </w:r>
      <w:r>
        <w:t xml:space="preserve"> The number of serious injuries and other injuries was calculated by reference to Vicroads crash statistics.  These showed that in Victoria, for 216 fatalities relating to heavy commercial vehicles over a five year period, there were also 1,586 serious injuries and 1,908 other injuries.  These ratios were extrapolated nationally to give an injury crash rate of (199 +1459+1755) / 492,071 registered heavy commercial vehicles.  This equated to 0.00694 injuries per registered vehicle. </w:t>
      </w:r>
      <w:r w:rsidR="00177783">
        <w:t xml:space="preserve"> </w:t>
      </w:r>
      <w:r>
        <w:t xml:space="preserve">Refer </w:t>
      </w:r>
      <w:r w:rsidR="00C036A7">
        <w:fldChar w:fldCharType="begin"/>
      </w:r>
      <w:r w:rsidR="00382C85">
        <w:instrText xml:space="preserve"> REF _Ref343074283 \h </w:instrText>
      </w:r>
      <w:r w:rsidR="00C036A7">
        <w:fldChar w:fldCharType="separate"/>
      </w:r>
      <w:r w:rsidR="00546CD0">
        <w:t>Appendix 7—Heavy Vehicle Crashes in Australia</w:t>
      </w:r>
      <w:r w:rsidR="00C036A7">
        <w:fldChar w:fldCharType="end"/>
      </w:r>
      <w:r w:rsidR="00382C85">
        <w:t xml:space="preserve"> </w:t>
      </w:r>
      <w:r w:rsidR="00D15417">
        <w:t>for details</w:t>
      </w:r>
      <w:r>
        <w:t>.</w:t>
      </w:r>
    </w:p>
    <w:p w:rsidR="00177783" w:rsidRDefault="00D14372" w:rsidP="00D14372">
      <w:pPr>
        <w:pStyle w:val="ListParagraph"/>
        <w:numPr>
          <w:ilvl w:val="0"/>
          <w:numId w:val="19"/>
        </w:numPr>
      </w:pPr>
      <w:r>
        <w:t xml:space="preserve">The net number of vehicles from Step 4 was multiplied by the number of expected crashes for that year as determined in Step 5.  The result was then multiplied by the </w:t>
      </w:r>
      <w:r w:rsidRPr="00555F42">
        <w:t xml:space="preserve">overall effectiveness of ABS (as determined in </w:t>
      </w:r>
      <w:fldSimple w:instr=" REF _Ref343207331  \* MERGEFORMAT ">
        <w:r w:rsidR="00546CD0" w:rsidRPr="00B137C0">
          <w:t>Appendix 11—Effectiveness of Antilock Braking System Technology for Heavy Vehicles</w:t>
        </w:r>
      </w:fldSimple>
      <w:r w:rsidR="005C7FF2" w:rsidRPr="00555F42">
        <w:t>)</w:t>
      </w:r>
      <w:r w:rsidR="004E2D09" w:rsidRPr="00555F42">
        <w:t>, the</w:t>
      </w:r>
      <w:r w:rsidR="004E2D09">
        <w:t xml:space="preserve"> outcome being the number of crashes that could be influenced by ABS due to the intervention option.</w:t>
      </w:r>
    </w:p>
    <w:p w:rsidR="00D14372" w:rsidRPr="003C7B50" w:rsidRDefault="00D14372" w:rsidP="00D14372">
      <w:pPr>
        <w:pStyle w:val="ListParagraph"/>
        <w:numPr>
          <w:ilvl w:val="0"/>
          <w:numId w:val="19"/>
        </w:numPr>
      </w:pPr>
      <w:r>
        <w:lastRenderedPageBreak/>
        <w:t xml:space="preserve">The crashes in Step 6 were multiplied by the value of an average casualty crash.  This gave the savings associated with the reduction in the number and severity of crashes, which in turn became the benefits for the option.  Research undertaken by the Bureau of Transport Economics (2000) in Australia found that the cost in 1996 dollars of a road crash was $1.65 million for a fatal crash, $407,990 for a serious injury crash, and $13,776 for a minor injury crash.  The costs for a serious injury crash and a minor injury </w:t>
      </w:r>
      <w:r w:rsidRPr="003C7B50">
        <w:t>crash were updated to 2012 dollars, using an annual inflation rate of 2.6 per cent (Reserve Bank of Australia, 2012), to $615,187 and $20,772 respectively.  The cost of a fatality was then modified to reflect willingness to pay terms.  This was done using a base cost of $3.587m (Abelson, 2007), with added other costs from the Bureau of Transport Economics (2000) to a value of $922, 551, to reach a final value for a fatal crash of $4.51m (in 2008 dollars).  This value was updated to 2012 dollars, using an inflation rate of 2.6 per cent (Reserve Bank of Australia, 2012), to $5m.  The values for fatal, serious injury and minor injury crashes were proportioned using the ratio between injuries calculated in Step 5:</w:t>
      </w:r>
    </w:p>
    <w:p w:rsidR="00850D5F" w:rsidRDefault="00D14372" w:rsidP="00D14372">
      <w:pPr>
        <w:pStyle w:val="ListParagraph"/>
        <w:numPr>
          <w:ilvl w:val="0"/>
          <w:numId w:val="19"/>
        </w:numPr>
      </w:pPr>
      <w:r w:rsidRPr="003C7B50">
        <w:t xml:space="preserve">All calculated values were discounted and summed, allowing calculations of net benefits, total costs, </w:t>
      </w:r>
      <w:r w:rsidR="00420D70" w:rsidRPr="003C7B50">
        <w:t>BCRs</w:t>
      </w:r>
      <w:r w:rsidRPr="003C7B50">
        <w:t xml:space="preserve"> and number of lives and serious injuries saved.  A discount</w:t>
      </w:r>
      <w:r>
        <w:t xml:space="preserve"> rate of </w:t>
      </w:r>
      <w:r w:rsidR="00B05A9E">
        <w:t>seven per </w:t>
      </w:r>
      <w:r>
        <w:t>cent was assumed, this being in line with similar studie</w:t>
      </w:r>
      <w:r w:rsidR="00B05A9E">
        <w:t>s.  However, discount rates of three per </w:t>
      </w:r>
      <w:r>
        <w:t xml:space="preserve">cent and </w:t>
      </w:r>
      <w:r w:rsidR="007348C1">
        <w:t xml:space="preserve">ten </w:t>
      </w:r>
      <w:r>
        <w:t>per cent were used as part of a sensitivity check.</w:t>
      </w:r>
    </w:p>
    <w:p w:rsidR="00CC0EB4" w:rsidRDefault="00CC0EB4" w:rsidP="00CC0EB4"/>
    <w:p w:rsidR="00CC0EB4" w:rsidRDefault="00CC0EB4">
      <w:pPr>
        <w:spacing w:after="200" w:line="276" w:lineRule="auto"/>
      </w:pPr>
      <w:r>
        <w:br w:type="page"/>
      </w:r>
    </w:p>
    <w:p w:rsidR="0038106F" w:rsidRDefault="00DA32D6" w:rsidP="00350154">
      <w:pPr>
        <w:pStyle w:val="Heading1"/>
        <w:numPr>
          <w:ilvl w:val="0"/>
          <w:numId w:val="0"/>
        </w:numPr>
      </w:pPr>
      <w:bookmarkStart w:id="78" w:name="_Toc319933957"/>
      <w:bookmarkStart w:id="79" w:name="_Ref331425884"/>
      <w:bookmarkStart w:id="80" w:name="_Ref332625058"/>
      <w:bookmarkStart w:id="81" w:name="_Ref334513369"/>
      <w:bookmarkStart w:id="82" w:name="_Ref342659649"/>
      <w:bookmarkStart w:id="83" w:name="_Toc375302813"/>
      <w:r w:rsidRPr="00ED6730">
        <w:lastRenderedPageBreak/>
        <w:t xml:space="preserve">Appendix </w:t>
      </w:r>
      <w:r w:rsidR="00AA17C3">
        <w:t>9</w:t>
      </w:r>
      <w:r w:rsidR="0038106F" w:rsidRPr="00ED6730">
        <w:t>—</w:t>
      </w:r>
      <w:bookmarkEnd w:id="78"/>
      <w:bookmarkEnd w:id="79"/>
      <w:bookmarkEnd w:id="80"/>
      <w:bookmarkEnd w:id="81"/>
      <w:r w:rsidR="00850D5F">
        <w:t>Assumptions</w:t>
      </w:r>
      <w:bookmarkEnd w:id="82"/>
      <w:bookmarkEnd w:id="83"/>
    </w:p>
    <w:p w:rsidR="00BE2B6E" w:rsidRDefault="00BE2B6E" w:rsidP="00BE2B6E">
      <w:pPr>
        <w:spacing w:after="200" w:line="276" w:lineRule="auto"/>
      </w:pPr>
      <w:r>
        <w:t>A number of assumptions were made in the benefit-cost analysis.  These are listed below (in no particular order).</w:t>
      </w:r>
    </w:p>
    <w:p w:rsidR="00BE2B6E" w:rsidRDefault="00BE2B6E" w:rsidP="00BE2B6E">
      <w:pPr>
        <w:pStyle w:val="ListParagraph"/>
        <w:numPr>
          <w:ilvl w:val="0"/>
          <w:numId w:val="20"/>
        </w:numPr>
        <w:spacing w:after="200" w:line="276" w:lineRule="auto"/>
      </w:pPr>
      <w:r>
        <w:t>The potential benefits were based on the identified cost of a fatality, serious injury and minor injury for a heavy commercial vehicle crash in Australia.  The ratio between fatalities, serious injuries and minor injuries could not be obtained at a national level.  Therefore, this ratio was determined from statistics for heavy commercial vehicle crashes in Victoria, sourced from the Victorian CrashStats database.  It was assumed that the ratio calculated from the Victorian statistics is representative of the national case.</w:t>
      </w:r>
    </w:p>
    <w:p w:rsidR="00BE2B6E" w:rsidRDefault="00BE2B6E" w:rsidP="00BE2B6E">
      <w:pPr>
        <w:pStyle w:val="ListParagraph"/>
        <w:numPr>
          <w:ilvl w:val="0"/>
          <w:numId w:val="20"/>
        </w:numPr>
        <w:spacing w:after="200" w:line="276" w:lineRule="auto"/>
      </w:pPr>
      <w:r>
        <w:t>The effectiveness of ABS was based on a number of studies that ranged in results.  The final value was taken approximately midway between the low value of recent, but less relevant, US based research and the high value of older, but highly relevant, Australian research.</w:t>
      </w:r>
    </w:p>
    <w:p w:rsidR="00BE2B6E" w:rsidRDefault="00BE2B6E" w:rsidP="00BE2B6E">
      <w:pPr>
        <w:pStyle w:val="ListParagraph"/>
        <w:numPr>
          <w:ilvl w:val="0"/>
          <w:numId w:val="20"/>
        </w:numPr>
        <w:spacing w:after="200" w:line="276" w:lineRule="auto"/>
      </w:pPr>
      <w:r>
        <w:t xml:space="preserve">A discount rate of </w:t>
      </w:r>
      <w:r w:rsidR="00E9100E">
        <w:t>seven per </w:t>
      </w:r>
      <w:r>
        <w:t xml:space="preserve">cent was assumed, this being in line with similar </w:t>
      </w:r>
      <w:r w:rsidR="00906099">
        <w:t xml:space="preserve">studies.  However, a rate of </w:t>
      </w:r>
      <w:r w:rsidR="007348C1">
        <w:t>ten </w:t>
      </w:r>
      <w:r w:rsidR="00906099">
        <w:t>per </w:t>
      </w:r>
      <w:r>
        <w:t xml:space="preserve">cent was used as part of the sensitivity checks.  The expected crash life of a vehicle was set at 26 years as per the historical data used for the calculations.  Refer </w:t>
      </w:r>
      <w:r w:rsidR="00C036A7">
        <w:fldChar w:fldCharType="begin"/>
      </w:r>
      <w:r>
        <w:instrText xml:space="preserve"> REF _Ref342998223 \h </w:instrText>
      </w:r>
      <w:r w:rsidR="00C036A7">
        <w:fldChar w:fldCharType="separate"/>
      </w:r>
      <w:r w:rsidR="00546CD0">
        <w:t>Appendix 8—Benefit-Cost Analysis—Methodology</w:t>
      </w:r>
      <w:r w:rsidR="00C036A7">
        <w:fldChar w:fldCharType="end"/>
      </w:r>
      <w:r>
        <w:t>.  This may affect the final values slightly.</w:t>
      </w:r>
    </w:p>
    <w:p w:rsidR="00BE2B6E" w:rsidRDefault="00BE2B6E" w:rsidP="00BE2B6E">
      <w:pPr>
        <w:pStyle w:val="ListParagraph"/>
        <w:numPr>
          <w:ilvl w:val="0"/>
          <w:numId w:val="20"/>
        </w:numPr>
        <w:spacing w:after="200" w:line="276" w:lineRule="auto"/>
      </w:pPr>
      <w:r>
        <w:t xml:space="preserve">A historically based fleet profile was used to adjust the contribution that each vehicle fitted with ABS would provide towards the total benefit.  This contribution was based on both the proportion of vehicles in the fleet of any particular age, and the tendency for vehicles of a particular age to be involved in road crashes.  It was assumed that this profile, which was based on light vehicles, could represent the heavy commercial vehicle fleet now and into the future.  Refer </w:t>
      </w:r>
      <w:r w:rsidR="00C036A7">
        <w:fldChar w:fldCharType="begin"/>
      </w:r>
      <w:r>
        <w:instrText xml:space="preserve"> REF _Ref342998223 \h </w:instrText>
      </w:r>
      <w:r w:rsidR="00C036A7">
        <w:fldChar w:fldCharType="separate"/>
      </w:r>
      <w:r w:rsidR="00546CD0">
        <w:t>Appendix 8—Benefit-Cost Analysis—Methodology</w:t>
      </w:r>
      <w:r w:rsidR="00C036A7">
        <w:fldChar w:fldCharType="end"/>
      </w:r>
      <w:r>
        <w:t>.  This may affect how rapidly the benefits would be realised and so change their final values slightly.</w:t>
      </w:r>
    </w:p>
    <w:p w:rsidR="00850D5F" w:rsidRDefault="00BE2B6E" w:rsidP="00BE2B6E">
      <w:pPr>
        <w:pStyle w:val="ListParagraph"/>
        <w:numPr>
          <w:ilvl w:val="0"/>
          <w:numId w:val="20"/>
        </w:numPr>
        <w:spacing w:after="200" w:line="276" w:lineRule="auto"/>
      </w:pPr>
      <w:r>
        <w:t xml:space="preserve">It was assumed that the rate of fatalities and injuries would remain constant for the foreseeable future.  However, the predicted trend of vehicle numbers and crash rates increasing by around </w:t>
      </w:r>
      <w:r w:rsidR="00906099">
        <w:t>eight </w:t>
      </w:r>
      <w:r>
        <w:t>per</w:t>
      </w:r>
      <w:r w:rsidR="00906099">
        <w:t> </w:t>
      </w:r>
      <w:r>
        <w:t xml:space="preserve">cent was halved to </w:t>
      </w:r>
      <w:r w:rsidR="00906099">
        <w:t>four per </w:t>
      </w:r>
      <w:r>
        <w:t>cent in the analysis, in the interests of being conservative.</w:t>
      </w:r>
      <w:r w:rsidR="00B550AE">
        <w:t xml:space="preserve">  A </w:t>
      </w:r>
      <w:r w:rsidR="00077A49">
        <w:t>large increase in</w:t>
      </w:r>
      <w:r w:rsidR="00B550AE">
        <w:t xml:space="preserve"> the current voluntary fitment rate was also brought in in order to be even more conservative.</w:t>
      </w:r>
    </w:p>
    <w:p w:rsidR="00850D5F" w:rsidRDefault="00850D5F">
      <w:pPr>
        <w:spacing w:after="200" w:line="276" w:lineRule="auto"/>
      </w:pPr>
    </w:p>
    <w:p w:rsidR="0038106F" w:rsidRDefault="0038106F">
      <w:pPr>
        <w:spacing w:after="200" w:line="276" w:lineRule="auto"/>
      </w:pPr>
      <w:r>
        <w:br w:type="page"/>
      </w:r>
    </w:p>
    <w:p w:rsidR="0038106F" w:rsidRDefault="00DA32D6" w:rsidP="00350154">
      <w:pPr>
        <w:pStyle w:val="Heading1"/>
        <w:numPr>
          <w:ilvl w:val="0"/>
          <w:numId w:val="0"/>
        </w:numPr>
      </w:pPr>
      <w:bookmarkStart w:id="84" w:name="_Toc319933958"/>
      <w:bookmarkStart w:id="85" w:name="_Ref332897200"/>
      <w:bookmarkStart w:id="86" w:name="_Ref333218380"/>
      <w:bookmarkStart w:id="87" w:name="_Ref343074812"/>
      <w:bookmarkStart w:id="88" w:name="_Ref343082733"/>
      <w:bookmarkStart w:id="89" w:name="_Toc375302814"/>
      <w:r>
        <w:lastRenderedPageBreak/>
        <w:t>A</w:t>
      </w:r>
      <w:r w:rsidR="0038106F">
        <w:t xml:space="preserve">ppendix </w:t>
      </w:r>
      <w:r w:rsidR="00AA17C3">
        <w:t>10</w:t>
      </w:r>
      <w:r w:rsidR="0038106F">
        <w:t>—</w:t>
      </w:r>
      <w:r>
        <w:t>B</w:t>
      </w:r>
      <w:r w:rsidR="007A1525">
        <w:t>enefit-</w:t>
      </w:r>
      <w:r>
        <w:t>C</w:t>
      </w:r>
      <w:r w:rsidR="007A1525">
        <w:t xml:space="preserve">ost </w:t>
      </w:r>
      <w:r>
        <w:t>A</w:t>
      </w:r>
      <w:r w:rsidR="007A1525">
        <w:t>nalysis—</w:t>
      </w:r>
      <w:r>
        <w:t>D</w:t>
      </w:r>
      <w:r w:rsidR="007A1525">
        <w:t xml:space="preserve">etails of </w:t>
      </w:r>
      <w:r>
        <w:t>R</w:t>
      </w:r>
      <w:r w:rsidR="007A1525">
        <w:t>esults</w:t>
      </w:r>
      <w:bookmarkEnd w:id="84"/>
      <w:bookmarkEnd w:id="85"/>
      <w:bookmarkEnd w:id="86"/>
      <w:bookmarkEnd w:id="87"/>
      <w:bookmarkEnd w:id="88"/>
      <w:bookmarkEnd w:id="89"/>
    </w:p>
    <w:p w:rsidR="00EC1CFB" w:rsidRDefault="005D6A07" w:rsidP="005D6A07">
      <w:pPr>
        <w:pStyle w:val="ListParagraph"/>
        <w:numPr>
          <w:ilvl w:val="0"/>
          <w:numId w:val="21"/>
        </w:numPr>
      </w:pPr>
      <w:r w:rsidRPr="005D6A07">
        <w:t>Establish the trend in new vehicle sales data for heavy trucks, trailers and buses for the years 2003 to 2011.  Extrapolate to 2042 by assuming an annual growth rate in new vehicle sales of 4 per cent.</w:t>
      </w:r>
    </w:p>
    <w:p w:rsidR="005D6A07" w:rsidRDefault="005D6A07" w:rsidP="005D6A07">
      <w:pPr>
        <w:pStyle w:val="Caption"/>
        <w:keepNext/>
      </w:pPr>
      <w:bookmarkStart w:id="90" w:name="_Ref343082701"/>
      <w:r>
        <w:t xml:space="preserve">Table </w:t>
      </w:r>
      <w:r w:rsidR="00C036A7">
        <w:fldChar w:fldCharType="begin"/>
      </w:r>
      <w:r w:rsidR="00D05042">
        <w:instrText xml:space="preserve"> SEQ Table \* ARABIC </w:instrText>
      </w:r>
      <w:r w:rsidR="00C036A7">
        <w:fldChar w:fldCharType="separate"/>
      </w:r>
      <w:r w:rsidR="00546CD0">
        <w:rPr>
          <w:noProof/>
        </w:rPr>
        <w:t>10</w:t>
      </w:r>
      <w:r w:rsidR="00C036A7">
        <w:rPr>
          <w:noProof/>
        </w:rPr>
        <w:fldChar w:fldCharType="end"/>
      </w:r>
      <w:bookmarkEnd w:id="90"/>
      <w:r>
        <w:t xml:space="preserve"> New heavy commercial vehicle sales 2003-</w:t>
      </w:r>
      <w:r w:rsidRPr="00555F42">
        <w:t>2042 (ABS, 2012 &amp; the Department of Infrastructure and Transport,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2068"/>
        <w:gridCol w:w="2068"/>
      </w:tblGrid>
      <w:tr w:rsidR="005D6A07" w:rsidTr="00953A8C">
        <w:tc>
          <w:tcPr>
            <w:tcW w:w="2068" w:type="dxa"/>
            <w:tcBorders>
              <w:top w:val="single" w:sz="8" w:space="0" w:color="auto"/>
              <w:bottom w:val="single" w:sz="8" w:space="0" w:color="auto"/>
            </w:tcBorders>
            <w:vAlign w:val="center"/>
          </w:tcPr>
          <w:p w:rsidR="005D6A07" w:rsidRDefault="005D6A07" w:rsidP="005D6A07">
            <w:pPr>
              <w:pStyle w:val="Table2heading"/>
              <w:jc w:val="left"/>
            </w:pPr>
            <w:r>
              <w:t>Year</w:t>
            </w:r>
          </w:p>
        </w:tc>
        <w:tc>
          <w:tcPr>
            <w:tcW w:w="2068" w:type="dxa"/>
            <w:tcBorders>
              <w:top w:val="single" w:sz="8" w:space="0" w:color="auto"/>
              <w:bottom w:val="single" w:sz="8" w:space="0" w:color="auto"/>
            </w:tcBorders>
            <w:vAlign w:val="center"/>
          </w:tcPr>
          <w:p w:rsidR="005D6A07" w:rsidRDefault="005D6A07" w:rsidP="005D6A07">
            <w:pPr>
              <w:pStyle w:val="Table2heading"/>
              <w:jc w:val="left"/>
            </w:pPr>
            <w:r>
              <w:t>Trucks and trailers</w:t>
            </w:r>
          </w:p>
        </w:tc>
        <w:tc>
          <w:tcPr>
            <w:tcW w:w="2068" w:type="dxa"/>
            <w:tcBorders>
              <w:top w:val="single" w:sz="8" w:space="0" w:color="auto"/>
              <w:bottom w:val="single" w:sz="8" w:space="0" w:color="auto"/>
            </w:tcBorders>
            <w:vAlign w:val="center"/>
          </w:tcPr>
          <w:p w:rsidR="005D6A07" w:rsidRDefault="005D6A07" w:rsidP="005D6A07">
            <w:pPr>
              <w:pStyle w:val="Table2heading"/>
              <w:jc w:val="left"/>
            </w:pPr>
            <w:r>
              <w:t>Buses</w:t>
            </w:r>
          </w:p>
        </w:tc>
      </w:tr>
      <w:tr w:rsidR="0074387C" w:rsidTr="00953A8C">
        <w:tc>
          <w:tcPr>
            <w:tcW w:w="2068" w:type="dxa"/>
            <w:tcBorders>
              <w:top w:val="single" w:sz="8" w:space="0" w:color="auto"/>
            </w:tcBorders>
          </w:tcPr>
          <w:p w:rsidR="0074387C" w:rsidRDefault="0074387C" w:rsidP="005D6A07">
            <w:pPr>
              <w:pStyle w:val="Table3heading"/>
            </w:pPr>
            <w:r>
              <w:t>2003</w:t>
            </w:r>
          </w:p>
        </w:tc>
        <w:tc>
          <w:tcPr>
            <w:tcW w:w="2068" w:type="dxa"/>
            <w:tcBorders>
              <w:top w:val="single" w:sz="8" w:space="0" w:color="auto"/>
            </w:tcBorders>
          </w:tcPr>
          <w:p w:rsidR="0074387C" w:rsidRPr="00440B1A" w:rsidRDefault="0074387C" w:rsidP="00440B1A">
            <w:pPr>
              <w:pStyle w:val="Table3heading"/>
            </w:pPr>
            <w:r w:rsidRPr="00440B1A">
              <w:t>29947</w:t>
            </w:r>
          </w:p>
        </w:tc>
        <w:tc>
          <w:tcPr>
            <w:tcW w:w="2068" w:type="dxa"/>
            <w:tcBorders>
              <w:top w:val="single" w:sz="8" w:space="0" w:color="auto"/>
            </w:tcBorders>
          </w:tcPr>
          <w:p w:rsidR="0074387C" w:rsidRPr="00440B1A" w:rsidRDefault="0074387C" w:rsidP="00440B1A">
            <w:pPr>
              <w:pStyle w:val="Table3heading"/>
            </w:pPr>
            <w:r w:rsidRPr="00440B1A">
              <w:t>3296</w:t>
            </w:r>
          </w:p>
        </w:tc>
      </w:tr>
      <w:tr w:rsidR="0074387C" w:rsidTr="00953A8C">
        <w:tc>
          <w:tcPr>
            <w:tcW w:w="2068" w:type="dxa"/>
          </w:tcPr>
          <w:p w:rsidR="0074387C" w:rsidRDefault="0074387C" w:rsidP="005D6A07">
            <w:pPr>
              <w:pStyle w:val="Table3heading"/>
            </w:pPr>
            <w:r>
              <w:t>2004</w:t>
            </w:r>
          </w:p>
        </w:tc>
        <w:tc>
          <w:tcPr>
            <w:tcW w:w="2068" w:type="dxa"/>
          </w:tcPr>
          <w:p w:rsidR="0074387C" w:rsidRPr="00440B1A" w:rsidRDefault="0074387C" w:rsidP="00440B1A">
            <w:pPr>
              <w:pStyle w:val="Table3heading"/>
            </w:pPr>
            <w:r w:rsidRPr="00440B1A">
              <w:t>32654</w:t>
            </w:r>
          </w:p>
        </w:tc>
        <w:tc>
          <w:tcPr>
            <w:tcW w:w="2068" w:type="dxa"/>
          </w:tcPr>
          <w:p w:rsidR="0074387C" w:rsidRPr="00440B1A" w:rsidRDefault="0074387C" w:rsidP="00440B1A">
            <w:pPr>
              <w:pStyle w:val="Table3heading"/>
            </w:pPr>
            <w:r w:rsidRPr="00440B1A">
              <w:t>3445</w:t>
            </w:r>
          </w:p>
        </w:tc>
      </w:tr>
      <w:tr w:rsidR="0074387C" w:rsidTr="00953A8C">
        <w:tc>
          <w:tcPr>
            <w:tcW w:w="2068" w:type="dxa"/>
          </w:tcPr>
          <w:p w:rsidR="0074387C" w:rsidRDefault="0074387C" w:rsidP="005D6A07">
            <w:pPr>
              <w:pStyle w:val="Table3heading"/>
            </w:pPr>
            <w:r>
              <w:t>2005</w:t>
            </w:r>
          </w:p>
        </w:tc>
        <w:tc>
          <w:tcPr>
            <w:tcW w:w="2068" w:type="dxa"/>
          </w:tcPr>
          <w:p w:rsidR="0074387C" w:rsidRPr="00440B1A" w:rsidRDefault="0074387C" w:rsidP="00440B1A">
            <w:pPr>
              <w:pStyle w:val="Table3heading"/>
            </w:pPr>
            <w:r w:rsidRPr="00440B1A">
              <w:t>34446</w:t>
            </w:r>
          </w:p>
        </w:tc>
        <w:tc>
          <w:tcPr>
            <w:tcW w:w="2068" w:type="dxa"/>
          </w:tcPr>
          <w:p w:rsidR="0074387C" w:rsidRPr="00440B1A" w:rsidRDefault="0074387C" w:rsidP="00440B1A">
            <w:pPr>
              <w:pStyle w:val="Table3heading"/>
            </w:pPr>
            <w:r w:rsidRPr="00440B1A">
              <w:t>4934</w:t>
            </w:r>
          </w:p>
        </w:tc>
      </w:tr>
      <w:tr w:rsidR="0074387C" w:rsidTr="00953A8C">
        <w:tc>
          <w:tcPr>
            <w:tcW w:w="2068" w:type="dxa"/>
          </w:tcPr>
          <w:p w:rsidR="0074387C" w:rsidRDefault="0074387C" w:rsidP="005D6A07">
            <w:pPr>
              <w:pStyle w:val="Table3heading"/>
            </w:pPr>
            <w:r>
              <w:t>2006</w:t>
            </w:r>
          </w:p>
        </w:tc>
        <w:tc>
          <w:tcPr>
            <w:tcW w:w="2068" w:type="dxa"/>
          </w:tcPr>
          <w:p w:rsidR="0074387C" w:rsidRPr="00440B1A" w:rsidRDefault="0074387C" w:rsidP="00440B1A">
            <w:pPr>
              <w:pStyle w:val="Table3heading"/>
            </w:pPr>
            <w:r w:rsidRPr="00440B1A">
              <w:t>34446</w:t>
            </w:r>
          </w:p>
        </w:tc>
        <w:tc>
          <w:tcPr>
            <w:tcW w:w="2068" w:type="dxa"/>
          </w:tcPr>
          <w:p w:rsidR="0074387C" w:rsidRPr="00440B1A" w:rsidRDefault="0074387C" w:rsidP="00440B1A">
            <w:pPr>
              <w:pStyle w:val="Table3heading"/>
            </w:pPr>
            <w:r w:rsidRPr="00440B1A">
              <w:t>4934</w:t>
            </w:r>
          </w:p>
        </w:tc>
      </w:tr>
      <w:tr w:rsidR="0074387C" w:rsidTr="00953A8C">
        <w:tc>
          <w:tcPr>
            <w:tcW w:w="2068" w:type="dxa"/>
          </w:tcPr>
          <w:p w:rsidR="0074387C" w:rsidRDefault="0074387C" w:rsidP="005D6A07">
            <w:pPr>
              <w:pStyle w:val="Table3heading"/>
            </w:pPr>
            <w:r>
              <w:t>2007</w:t>
            </w:r>
          </w:p>
        </w:tc>
        <w:tc>
          <w:tcPr>
            <w:tcW w:w="2068" w:type="dxa"/>
          </w:tcPr>
          <w:p w:rsidR="0074387C" w:rsidRPr="00440B1A" w:rsidRDefault="0074387C" w:rsidP="00440B1A">
            <w:pPr>
              <w:pStyle w:val="Table3heading"/>
            </w:pPr>
            <w:r w:rsidRPr="00440B1A">
              <w:t>34056</w:t>
            </w:r>
          </w:p>
        </w:tc>
        <w:tc>
          <w:tcPr>
            <w:tcW w:w="2068" w:type="dxa"/>
          </w:tcPr>
          <w:p w:rsidR="0074387C" w:rsidRPr="00440B1A" w:rsidRDefault="0074387C" w:rsidP="00440B1A">
            <w:pPr>
              <w:pStyle w:val="Table3heading"/>
            </w:pPr>
            <w:r w:rsidRPr="00440B1A">
              <w:t>4448</w:t>
            </w:r>
          </w:p>
        </w:tc>
      </w:tr>
      <w:tr w:rsidR="0074387C" w:rsidTr="00953A8C">
        <w:tc>
          <w:tcPr>
            <w:tcW w:w="2068" w:type="dxa"/>
          </w:tcPr>
          <w:p w:rsidR="0074387C" w:rsidRDefault="0074387C" w:rsidP="005D6A07">
            <w:pPr>
              <w:pStyle w:val="Table3heading"/>
            </w:pPr>
            <w:r>
              <w:t>2008</w:t>
            </w:r>
          </w:p>
        </w:tc>
        <w:tc>
          <w:tcPr>
            <w:tcW w:w="2068" w:type="dxa"/>
          </w:tcPr>
          <w:p w:rsidR="0074387C" w:rsidRPr="00440B1A" w:rsidRDefault="0074387C" w:rsidP="00440B1A">
            <w:pPr>
              <w:pStyle w:val="Table3heading"/>
            </w:pPr>
            <w:r w:rsidRPr="00440B1A">
              <w:t>39686</w:t>
            </w:r>
          </w:p>
        </w:tc>
        <w:tc>
          <w:tcPr>
            <w:tcW w:w="2068" w:type="dxa"/>
          </w:tcPr>
          <w:p w:rsidR="0074387C" w:rsidRPr="00440B1A" w:rsidRDefault="0074387C" w:rsidP="00440B1A">
            <w:pPr>
              <w:pStyle w:val="Table3heading"/>
            </w:pPr>
            <w:r w:rsidRPr="00440B1A">
              <w:t>5346</w:t>
            </w:r>
          </w:p>
        </w:tc>
      </w:tr>
      <w:tr w:rsidR="0074387C" w:rsidTr="00953A8C">
        <w:tc>
          <w:tcPr>
            <w:tcW w:w="2068" w:type="dxa"/>
          </w:tcPr>
          <w:p w:rsidR="0074387C" w:rsidRDefault="0074387C" w:rsidP="005D6A07">
            <w:pPr>
              <w:pStyle w:val="Table3heading"/>
            </w:pPr>
            <w:r>
              <w:t>2009</w:t>
            </w:r>
          </w:p>
        </w:tc>
        <w:tc>
          <w:tcPr>
            <w:tcW w:w="2068" w:type="dxa"/>
          </w:tcPr>
          <w:p w:rsidR="0074387C" w:rsidRPr="00440B1A" w:rsidRDefault="0074387C" w:rsidP="00440B1A">
            <w:pPr>
              <w:pStyle w:val="Table3heading"/>
            </w:pPr>
            <w:r w:rsidRPr="00440B1A">
              <w:t>33032</w:t>
            </w:r>
          </w:p>
        </w:tc>
        <w:tc>
          <w:tcPr>
            <w:tcW w:w="2068" w:type="dxa"/>
          </w:tcPr>
          <w:p w:rsidR="0074387C" w:rsidRPr="00440B1A" w:rsidRDefault="0074387C" w:rsidP="00440B1A">
            <w:pPr>
              <w:pStyle w:val="Table3heading"/>
            </w:pPr>
            <w:r w:rsidRPr="00440B1A">
              <w:t>6249</w:t>
            </w:r>
          </w:p>
        </w:tc>
      </w:tr>
      <w:tr w:rsidR="0074387C" w:rsidTr="00953A8C">
        <w:tc>
          <w:tcPr>
            <w:tcW w:w="2068" w:type="dxa"/>
          </w:tcPr>
          <w:p w:rsidR="0074387C" w:rsidRDefault="0074387C" w:rsidP="005D6A07">
            <w:pPr>
              <w:pStyle w:val="Table3heading"/>
            </w:pPr>
            <w:r>
              <w:t>2010</w:t>
            </w:r>
          </w:p>
        </w:tc>
        <w:tc>
          <w:tcPr>
            <w:tcW w:w="2068" w:type="dxa"/>
          </w:tcPr>
          <w:p w:rsidR="0074387C" w:rsidRPr="00440B1A" w:rsidRDefault="0074387C" w:rsidP="00440B1A">
            <w:pPr>
              <w:pStyle w:val="Table3heading"/>
            </w:pPr>
            <w:r w:rsidRPr="00440B1A">
              <w:t>31141</w:t>
            </w:r>
          </w:p>
        </w:tc>
        <w:tc>
          <w:tcPr>
            <w:tcW w:w="2068" w:type="dxa"/>
          </w:tcPr>
          <w:p w:rsidR="0074387C" w:rsidRPr="00440B1A" w:rsidRDefault="0074387C" w:rsidP="00440B1A">
            <w:pPr>
              <w:pStyle w:val="Table3heading"/>
            </w:pPr>
            <w:r w:rsidRPr="00440B1A">
              <w:t>4486</w:t>
            </w:r>
          </w:p>
        </w:tc>
      </w:tr>
      <w:tr w:rsidR="0074387C" w:rsidTr="00953A8C">
        <w:tc>
          <w:tcPr>
            <w:tcW w:w="2068" w:type="dxa"/>
          </w:tcPr>
          <w:p w:rsidR="0074387C" w:rsidRDefault="0074387C" w:rsidP="005D6A07">
            <w:pPr>
              <w:pStyle w:val="Table3heading"/>
            </w:pPr>
            <w:r>
              <w:t>2011</w:t>
            </w:r>
          </w:p>
        </w:tc>
        <w:tc>
          <w:tcPr>
            <w:tcW w:w="2068" w:type="dxa"/>
          </w:tcPr>
          <w:p w:rsidR="0074387C" w:rsidRPr="00440B1A" w:rsidRDefault="0074387C" w:rsidP="00440B1A">
            <w:pPr>
              <w:pStyle w:val="Table3heading"/>
            </w:pPr>
            <w:r w:rsidRPr="00440B1A">
              <w:t>31918</w:t>
            </w:r>
          </w:p>
        </w:tc>
        <w:tc>
          <w:tcPr>
            <w:tcW w:w="2068" w:type="dxa"/>
          </w:tcPr>
          <w:p w:rsidR="0074387C" w:rsidRPr="00440B1A" w:rsidRDefault="0074387C" w:rsidP="00440B1A">
            <w:pPr>
              <w:pStyle w:val="Table3heading"/>
            </w:pPr>
            <w:r w:rsidRPr="00440B1A">
              <w:t>4107</w:t>
            </w:r>
          </w:p>
        </w:tc>
      </w:tr>
      <w:tr w:rsidR="0074387C" w:rsidTr="00953A8C">
        <w:tc>
          <w:tcPr>
            <w:tcW w:w="2068" w:type="dxa"/>
          </w:tcPr>
          <w:p w:rsidR="0074387C" w:rsidRDefault="0074387C" w:rsidP="005D6A07">
            <w:pPr>
              <w:pStyle w:val="Table3heading"/>
            </w:pPr>
            <w:r>
              <w:t>2012</w:t>
            </w:r>
          </w:p>
        </w:tc>
        <w:tc>
          <w:tcPr>
            <w:tcW w:w="2068" w:type="dxa"/>
          </w:tcPr>
          <w:p w:rsidR="0074387C" w:rsidRPr="00440B1A" w:rsidRDefault="0074387C" w:rsidP="00440B1A">
            <w:pPr>
              <w:pStyle w:val="Table3heading"/>
            </w:pPr>
            <w:r w:rsidRPr="00440B1A">
              <w:t>33195</w:t>
            </w:r>
          </w:p>
        </w:tc>
        <w:tc>
          <w:tcPr>
            <w:tcW w:w="2068" w:type="dxa"/>
          </w:tcPr>
          <w:p w:rsidR="0074387C" w:rsidRPr="00440B1A" w:rsidRDefault="0074387C" w:rsidP="00440B1A">
            <w:pPr>
              <w:pStyle w:val="Table3heading"/>
            </w:pPr>
            <w:r w:rsidRPr="00440B1A">
              <w:t>4271</w:t>
            </w:r>
          </w:p>
        </w:tc>
      </w:tr>
      <w:tr w:rsidR="0074387C" w:rsidTr="00953A8C">
        <w:tc>
          <w:tcPr>
            <w:tcW w:w="2068" w:type="dxa"/>
          </w:tcPr>
          <w:p w:rsidR="0074387C" w:rsidRDefault="0074387C" w:rsidP="005D6A07">
            <w:pPr>
              <w:pStyle w:val="Table3heading"/>
            </w:pPr>
            <w:r>
              <w:t>2013</w:t>
            </w:r>
          </w:p>
        </w:tc>
        <w:tc>
          <w:tcPr>
            <w:tcW w:w="2068" w:type="dxa"/>
          </w:tcPr>
          <w:p w:rsidR="0074387C" w:rsidRPr="00440B1A" w:rsidRDefault="0074387C" w:rsidP="00440B1A">
            <w:pPr>
              <w:pStyle w:val="Table3heading"/>
            </w:pPr>
            <w:r w:rsidRPr="00440B1A">
              <w:t>34523</w:t>
            </w:r>
          </w:p>
        </w:tc>
        <w:tc>
          <w:tcPr>
            <w:tcW w:w="2068" w:type="dxa"/>
          </w:tcPr>
          <w:p w:rsidR="0074387C" w:rsidRPr="00440B1A" w:rsidRDefault="0074387C" w:rsidP="00440B1A">
            <w:pPr>
              <w:pStyle w:val="Table3heading"/>
            </w:pPr>
            <w:r w:rsidRPr="00440B1A">
              <w:t>4442</w:t>
            </w:r>
          </w:p>
        </w:tc>
      </w:tr>
      <w:tr w:rsidR="0074387C" w:rsidTr="00953A8C">
        <w:tc>
          <w:tcPr>
            <w:tcW w:w="2068" w:type="dxa"/>
          </w:tcPr>
          <w:p w:rsidR="0074387C" w:rsidRDefault="0074387C" w:rsidP="005D6A07">
            <w:pPr>
              <w:pStyle w:val="Table3heading"/>
            </w:pPr>
            <w:r>
              <w:t>2014</w:t>
            </w:r>
          </w:p>
        </w:tc>
        <w:tc>
          <w:tcPr>
            <w:tcW w:w="2068" w:type="dxa"/>
          </w:tcPr>
          <w:p w:rsidR="0074387C" w:rsidRPr="00440B1A" w:rsidRDefault="0074387C" w:rsidP="00440B1A">
            <w:pPr>
              <w:pStyle w:val="Table3heading"/>
            </w:pPr>
            <w:r w:rsidRPr="00440B1A">
              <w:t>35903</w:t>
            </w:r>
          </w:p>
        </w:tc>
        <w:tc>
          <w:tcPr>
            <w:tcW w:w="2068" w:type="dxa"/>
          </w:tcPr>
          <w:p w:rsidR="0074387C" w:rsidRPr="00440B1A" w:rsidRDefault="0074387C" w:rsidP="00440B1A">
            <w:pPr>
              <w:pStyle w:val="Table3heading"/>
            </w:pPr>
            <w:r w:rsidRPr="00440B1A">
              <w:t>4620</w:t>
            </w:r>
          </w:p>
        </w:tc>
      </w:tr>
      <w:tr w:rsidR="0074387C" w:rsidTr="00953A8C">
        <w:tc>
          <w:tcPr>
            <w:tcW w:w="2068" w:type="dxa"/>
          </w:tcPr>
          <w:p w:rsidR="0074387C" w:rsidRDefault="0074387C" w:rsidP="005D6A07">
            <w:pPr>
              <w:pStyle w:val="Table3heading"/>
            </w:pPr>
            <w:r>
              <w:t>2015</w:t>
            </w:r>
          </w:p>
        </w:tc>
        <w:tc>
          <w:tcPr>
            <w:tcW w:w="2068" w:type="dxa"/>
          </w:tcPr>
          <w:p w:rsidR="0074387C" w:rsidRPr="00440B1A" w:rsidRDefault="0074387C" w:rsidP="00440B1A">
            <w:pPr>
              <w:pStyle w:val="Table3heading"/>
            </w:pPr>
            <w:r w:rsidRPr="00440B1A">
              <w:t>37340</w:t>
            </w:r>
          </w:p>
        </w:tc>
        <w:tc>
          <w:tcPr>
            <w:tcW w:w="2068" w:type="dxa"/>
          </w:tcPr>
          <w:p w:rsidR="0074387C" w:rsidRPr="00440B1A" w:rsidRDefault="0074387C" w:rsidP="00440B1A">
            <w:pPr>
              <w:pStyle w:val="Table3heading"/>
            </w:pPr>
            <w:r w:rsidRPr="00440B1A">
              <w:t>4805</w:t>
            </w:r>
          </w:p>
        </w:tc>
      </w:tr>
      <w:tr w:rsidR="0074387C" w:rsidTr="00953A8C">
        <w:tc>
          <w:tcPr>
            <w:tcW w:w="2068" w:type="dxa"/>
          </w:tcPr>
          <w:p w:rsidR="0074387C" w:rsidRDefault="0074387C" w:rsidP="005D6A07">
            <w:pPr>
              <w:pStyle w:val="Table3heading"/>
            </w:pPr>
            <w:r>
              <w:t>2016</w:t>
            </w:r>
          </w:p>
        </w:tc>
        <w:tc>
          <w:tcPr>
            <w:tcW w:w="2068" w:type="dxa"/>
          </w:tcPr>
          <w:p w:rsidR="0074387C" w:rsidRPr="00440B1A" w:rsidRDefault="0074387C" w:rsidP="00440B1A">
            <w:pPr>
              <w:pStyle w:val="Table3heading"/>
            </w:pPr>
            <w:r w:rsidRPr="00440B1A">
              <w:t>38833</w:t>
            </w:r>
          </w:p>
        </w:tc>
        <w:tc>
          <w:tcPr>
            <w:tcW w:w="2068" w:type="dxa"/>
          </w:tcPr>
          <w:p w:rsidR="0074387C" w:rsidRPr="00440B1A" w:rsidRDefault="0074387C" w:rsidP="00440B1A">
            <w:pPr>
              <w:pStyle w:val="Table3heading"/>
            </w:pPr>
            <w:r w:rsidRPr="00440B1A">
              <w:t>4997</w:t>
            </w:r>
          </w:p>
        </w:tc>
      </w:tr>
      <w:tr w:rsidR="0074387C" w:rsidTr="00953A8C">
        <w:tc>
          <w:tcPr>
            <w:tcW w:w="2068" w:type="dxa"/>
          </w:tcPr>
          <w:p w:rsidR="0074387C" w:rsidRDefault="0074387C" w:rsidP="005D6A07">
            <w:pPr>
              <w:pStyle w:val="Table3heading"/>
            </w:pPr>
            <w:r>
              <w:t>2017</w:t>
            </w:r>
          </w:p>
        </w:tc>
        <w:tc>
          <w:tcPr>
            <w:tcW w:w="2068" w:type="dxa"/>
          </w:tcPr>
          <w:p w:rsidR="0074387C" w:rsidRPr="00440B1A" w:rsidRDefault="0074387C" w:rsidP="00440B1A">
            <w:pPr>
              <w:pStyle w:val="Table3heading"/>
            </w:pPr>
            <w:r w:rsidRPr="00440B1A">
              <w:t>40387</w:t>
            </w:r>
          </w:p>
        </w:tc>
        <w:tc>
          <w:tcPr>
            <w:tcW w:w="2068" w:type="dxa"/>
          </w:tcPr>
          <w:p w:rsidR="0074387C" w:rsidRPr="00440B1A" w:rsidRDefault="0074387C" w:rsidP="00440B1A">
            <w:pPr>
              <w:pStyle w:val="Table3heading"/>
            </w:pPr>
            <w:r w:rsidRPr="00440B1A">
              <w:t>5197</w:t>
            </w:r>
          </w:p>
        </w:tc>
      </w:tr>
      <w:tr w:rsidR="0074387C" w:rsidTr="00953A8C">
        <w:tc>
          <w:tcPr>
            <w:tcW w:w="2068" w:type="dxa"/>
          </w:tcPr>
          <w:p w:rsidR="0074387C" w:rsidRDefault="0074387C" w:rsidP="005D6A07">
            <w:pPr>
              <w:pStyle w:val="Table3heading"/>
            </w:pPr>
            <w:r>
              <w:t>2018</w:t>
            </w:r>
          </w:p>
        </w:tc>
        <w:tc>
          <w:tcPr>
            <w:tcW w:w="2068" w:type="dxa"/>
          </w:tcPr>
          <w:p w:rsidR="0074387C" w:rsidRPr="00440B1A" w:rsidRDefault="0074387C" w:rsidP="00440B1A">
            <w:pPr>
              <w:pStyle w:val="Table3heading"/>
            </w:pPr>
            <w:r w:rsidRPr="00440B1A">
              <w:t>42002</w:t>
            </w:r>
          </w:p>
        </w:tc>
        <w:tc>
          <w:tcPr>
            <w:tcW w:w="2068" w:type="dxa"/>
          </w:tcPr>
          <w:p w:rsidR="0074387C" w:rsidRPr="00440B1A" w:rsidRDefault="0074387C" w:rsidP="00440B1A">
            <w:pPr>
              <w:pStyle w:val="Table3heading"/>
            </w:pPr>
            <w:r w:rsidRPr="00440B1A">
              <w:t>5405</w:t>
            </w:r>
          </w:p>
        </w:tc>
      </w:tr>
      <w:tr w:rsidR="0074387C" w:rsidTr="00953A8C">
        <w:tc>
          <w:tcPr>
            <w:tcW w:w="2068" w:type="dxa"/>
          </w:tcPr>
          <w:p w:rsidR="0074387C" w:rsidRDefault="0074387C" w:rsidP="005D6A07">
            <w:pPr>
              <w:pStyle w:val="Table3heading"/>
            </w:pPr>
            <w:r>
              <w:t>2019</w:t>
            </w:r>
          </w:p>
        </w:tc>
        <w:tc>
          <w:tcPr>
            <w:tcW w:w="2068" w:type="dxa"/>
          </w:tcPr>
          <w:p w:rsidR="0074387C" w:rsidRPr="00440B1A" w:rsidRDefault="0074387C" w:rsidP="00440B1A">
            <w:pPr>
              <w:pStyle w:val="Table3heading"/>
            </w:pPr>
            <w:r w:rsidRPr="00440B1A">
              <w:t>43682</w:t>
            </w:r>
          </w:p>
        </w:tc>
        <w:tc>
          <w:tcPr>
            <w:tcW w:w="2068" w:type="dxa"/>
          </w:tcPr>
          <w:p w:rsidR="0074387C" w:rsidRPr="00440B1A" w:rsidRDefault="0074387C" w:rsidP="00440B1A">
            <w:pPr>
              <w:pStyle w:val="Table3heading"/>
            </w:pPr>
            <w:r w:rsidRPr="00440B1A">
              <w:t>5621</w:t>
            </w:r>
          </w:p>
        </w:tc>
      </w:tr>
      <w:tr w:rsidR="0074387C" w:rsidTr="00953A8C">
        <w:tc>
          <w:tcPr>
            <w:tcW w:w="2068" w:type="dxa"/>
          </w:tcPr>
          <w:p w:rsidR="0074387C" w:rsidRDefault="0074387C" w:rsidP="005D6A07">
            <w:pPr>
              <w:pStyle w:val="Table3heading"/>
            </w:pPr>
            <w:r>
              <w:t>2020</w:t>
            </w:r>
          </w:p>
        </w:tc>
        <w:tc>
          <w:tcPr>
            <w:tcW w:w="2068" w:type="dxa"/>
          </w:tcPr>
          <w:p w:rsidR="0074387C" w:rsidRPr="00440B1A" w:rsidRDefault="0074387C" w:rsidP="00440B1A">
            <w:pPr>
              <w:pStyle w:val="Table3heading"/>
            </w:pPr>
            <w:r w:rsidRPr="00440B1A">
              <w:t>45429</w:t>
            </w:r>
          </w:p>
        </w:tc>
        <w:tc>
          <w:tcPr>
            <w:tcW w:w="2068" w:type="dxa"/>
          </w:tcPr>
          <w:p w:rsidR="0074387C" w:rsidRPr="00440B1A" w:rsidRDefault="0074387C" w:rsidP="00440B1A">
            <w:pPr>
              <w:pStyle w:val="Table3heading"/>
            </w:pPr>
            <w:r w:rsidRPr="00440B1A">
              <w:t>5846</w:t>
            </w:r>
          </w:p>
        </w:tc>
      </w:tr>
      <w:tr w:rsidR="0074387C" w:rsidTr="00953A8C">
        <w:tc>
          <w:tcPr>
            <w:tcW w:w="2068" w:type="dxa"/>
          </w:tcPr>
          <w:p w:rsidR="0074387C" w:rsidRDefault="0074387C" w:rsidP="005D6A07">
            <w:pPr>
              <w:pStyle w:val="Table3heading"/>
            </w:pPr>
            <w:r>
              <w:t>2021</w:t>
            </w:r>
          </w:p>
        </w:tc>
        <w:tc>
          <w:tcPr>
            <w:tcW w:w="2068" w:type="dxa"/>
          </w:tcPr>
          <w:p w:rsidR="0074387C" w:rsidRPr="00440B1A" w:rsidRDefault="0074387C" w:rsidP="00440B1A">
            <w:pPr>
              <w:pStyle w:val="Table3heading"/>
            </w:pPr>
            <w:r w:rsidRPr="00440B1A">
              <w:t>47247</w:t>
            </w:r>
          </w:p>
        </w:tc>
        <w:tc>
          <w:tcPr>
            <w:tcW w:w="2068" w:type="dxa"/>
          </w:tcPr>
          <w:p w:rsidR="0074387C" w:rsidRPr="00440B1A" w:rsidRDefault="0074387C" w:rsidP="00440B1A">
            <w:pPr>
              <w:pStyle w:val="Table3heading"/>
            </w:pPr>
            <w:r w:rsidRPr="00440B1A">
              <w:t>6079</w:t>
            </w:r>
          </w:p>
        </w:tc>
      </w:tr>
      <w:tr w:rsidR="0074387C" w:rsidTr="00953A8C">
        <w:tc>
          <w:tcPr>
            <w:tcW w:w="2068" w:type="dxa"/>
          </w:tcPr>
          <w:p w:rsidR="0074387C" w:rsidRDefault="0074387C" w:rsidP="005D6A07">
            <w:pPr>
              <w:pStyle w:val="Table3heading"/>
            </w:pPr>
            <w:r>
              <w:t>2022</w:t>
            </w:r>
          </w:p>
        </w:tc>
        <w:tc>
          <w:tcPr>
            <w:tcW w:w="2068" w:type="dxa"/>
          </w:tcPr>
          <w:p w:rsidR="0074387C" w:rsidRPr="00440B1A" w:rsidRDefault="0074387C" w:rsidP="00440B1A">
            <w:pPr>
              <w:pStyle w:val="Table3heading"/>
            </w:pPr>
            <w:r w:rsidRPr="00440B1A">
              <w:t>49136</w:t>
            </w:r>
          </w:p>
        </w:tc>
        <w:tc>
          <w:tcPr>
            <w:tcW w:w="2068" w:type="dxa"/>
          </w:tcPr>
          <w:p w:rsidR="0074387C" w:rsidRPr="00440B1A" w:rsidRDefault="0074387C" w:rsidP="00440B1A">
            <w:pPr>
              <w:pStyle w:val="Table3heading"/>
            </w:pPr>
            <w:r w:rsidRPr="00440B1A">
              <w:t>6323</w:t>
            </w:r>
          </w:p>
        </w:tc>
      </w:tr>
      <w:tr w:rsidR="0074387C" w:rsidTr="00953A8C">
        <w:tc>
          <w:tcPr>
            <w:tcW w:w="2068" w:type="dxa"/>
          </w:tcPr>
          <w:p w:rsidR="0074387C" w:rsidRDefault="0074387C" w:rsidP="005D6A07">
            <w:pPr>
              <w:pStyle w:val="Table3heading"/>
            </w:pPr>
            <w:r>
              <w:t>2023</w:t>
            </w:r>
          </w:p>
        </w:tc>
        <w:tc>
          <w:tcPr>
            <w:tcW w:w="2068" w:type="dxa"/>
          </w:tcPr>
          <w:p w:rsidR="0074387C" w:rsidRPr="00440B1A" w:rsidRDefault="0074387C" w:rsidP="00440B1A">
            <w:pPr>
              <w:pStyle w:val="Table3heading"/>
            </w:pPr>
            <w:r w:rsidRPr="00440B1A">
              <w:t>51102</w:t>
            </w:r>
          </w:p>
        </w:tc>
        <w:tc>
          <w:tcPr>
            <w:tcW w:w="2068" w:type="dxa"/>
          </w:tcPr>
          <w:p w:rsidR="0074387C" w:rsidRPr="00440B1A" w:rsidRDefault="0074387C" w:rsidP="00440B1A">
            <w:pPr>
              <w:pStyle w:val="Table3heading"/>
            </w:pPr>
            <w:r w:rsidRPr="00440B1A">
              <w:t>6575</w:t>
            </w:r>
          </w:p>
        </w:tc>
      </w:tr>
      <w:tr w:rsidR="0074387C" w:rsidTr="00953A8C">
        <w:tc>
          <w:tcPr>
            <w:tcW w:w="2068" w:type="dxa"/>
          </w:tcPr>
          <w:p w:rsidR="0074387C" w:rsidRDefault="0074387C" w:rsidP="005D6A07">
            <w:pPr>
              <w:pStyle w:val="Table3heading"/>
            </w:pPr>
            <w:r>
              <w:t>2024</w:t>
            </w:r>
          </w:p>
        </w:tc>
        <w:tc>
          <w:tcPr>
            <w:tcW w:w="2068" w:type="dxa"/>
          </w:tcPr>
          <w:p w:rsidR="0074387C" w:rsidRPr="00440B1A" w:rsidRDefault="0074387C" w:rsidP="00440B1A">
            <w:pPr>
              <w:pStyle w:val="Table3heading"/>
            </w:pPr>
            <w:r w:rsidRPr="00440B1A">
              <w:t>53146</w:t>
            </w:r>
          </w:p>
        </w:tc>
        <w:tc>
          <w:tcPr>
            <w:tcW w:w="2068" w:type="dxa"/>
          </w:tcPr>
          <w:p w:rsidR="0074387C" w:rsidRPr="00440B1A" w:rsidRDefault="0074387C" w:rsidP="00440B1A">
            <w:pPr>
              <w:pStyle w:val="Table3heading"/>
            </w:pPr>
            <w:r w:rsidRPr="00440B1A">
              <w:t>6838</w:t>
            </w:r>
          </w:p>
        </w:tc>
      </w:tr>
      <w:tr w:rsidR="0074387C" w:rsidTr="00953A8C">
        <w:tc>
          <w:tcPr>
            <w:tcW w:w="2068" w:type="dxa"/>
          </w:tcPr>
          <w:p w:rsidR="0074387C" w:rsidRDefault="0074387C" w:rsidP="005D6A07">
            <w:pPr>
              <w:pStyle w:val="Table3heading"/>
            </w:pPr>
            <w:r>
              <w:t>2025</w:t>
            </w:r>
          </w:p>
        </w:tc>
        <w:tc>
          <w:tcPr>
            <w:tcW w:w="2068" w:type="dxa"/>
          </w:tcPr>
          <w:p w:rsidR="0074387C" w:rsidRPr="00440B1A" w:rsidRDefault="0074387C" w:rsidP="00440B1A">
            <w:pPr>
              <w:pStyle w:val="Table3heading"/>
            </w:pPr>
            <w:r w:rsidRPr="00440B1A">
              <w:t>55272</w:t>
            </w:r>
          </w:p>
        </w:tc>
        <w:tc>
          <w:tcPr>
            <w:tcW w:w="2068" w:type="dxa"/>
          </w:tcPr>
          <w:p w:rsidR="0074387C" w:rsidRPr="00440B1A" w:rsidRDefault="0074387C" w:rsidP="00440B1A">
            <w:pPr>
              <w:pStyle w:val="Table3heading"/>
            </w:pPr>
            <w:r w:rsidRPr="00440B1A">
              <w:t>7112</w:t>
            </w:r>
          </w:p>
        </w:tc>
      </w:tr>
      <w:tr w:rsidR="0074387C" w:rsidTr="00953A8C">
        <w:tc>
          <w:tcPr>
            <w:tcW w:w="2068" w:type="dxa"/>
          </w:tcPr>
          <w:p w:rsidR="0074387C" w:rsidRDefault="0074387C" w:rsidP="005D6A07">
            <w:pPr>
              <w:pStyle w:val="Table3heading"/>
            </w:pPr>
            <w:r>
              <w:t>2026</w:t>
            </w:r>
          </w:p>
        </w:tc>
        <w:tc>
          <w:tcPr>
            <w:tcW w:w="2068" w:type="dxa"/>
          </w:tcPr>
          <w:p w:rsidR="0074387C" w:rsidRPr="00440B1A" w:rsidRDefault="0074387C" w:rsidP="00440B1A">
            <w:pPr>
              <w:pStyle w:val="Table3heading"/>
            </w:pPr>
            <w:r w:rsidRPr="00440B1A">
              <w:t>57483</w:t>
            </w:r>
          </w:p>
        </w:tc>
        <w:tc>
          <w:tcPr>
            <w:tcW w:w="2068" w:type="dxa"/>
          </w:tcPr>
          <w:p w:rsidR="0074387C" w:rsidRPr="00440B1A" w:rsidRDefault="0074387C" w:rsidP="00440B1A">
            <w:pPr>
              <w:pStyle w:val="Table3heading"/>
            </w:pPr>
            <w:r w:rsidRPr="00440B1A">
              <w:t>7396</w:t>
            </w:r>
          </w:p>
        </w:tc>
      </w:tr>
      <w:tr w:rsidR="0074387C" w:rsidTr="00953A8C">
        <w:tc>
          <w:tcPr>
            <w:tcW w:w="2068" w:type="dxa"/>
          </w:tcPr>
          <w:p w:rsidR="0074387C" w:rsidRDefault="0074387C" w:rsidP="005D6A07">
            <w:pPr>
              <w:pStyle w:val="Table3heading"/>
            </w:pPr>
            <w:r>
              <w:t>2027</w:t>
            </w:r>
          </w:p>
        </w:tc>
        <w:tc>
          <w:tcPr>
            <w:tcW w:w="2068" w:type="dxa"/>
          </w:tcPr>
          <w:p w:rsidR="0074387C" w:rsidRPr="00440B1A" w:rsidRDefault="0074387C" w:rsidP="00440B1A">
            <w:pPr>
              <w:pStyle w:val="Table3heading"/>
            </w:pPr>
            <w:r w:rsidRPr="00440B1A">
              <w:t>59782</w:t>
            </w:r>
          </w:p>
        </w:tc>
        <w:tc>
          <w:tcPr>
            <w:tcW w:w="2068" w:type="dxa"/>
          </w:tcPr>
          <w:p w:rsidR="0074387C" w:rsidRPr="00440B1A" w:rsidRDefault="0074387C" w:rsidP="00440B1A">
            <w:pPr>
              <w:pStyle w:val="Table3heading"/>
            </w:pPr>
            <w:r w:rsidRPr="00440B1A">
              <w:t>7692</w:t>
            </w:r>
          </w:p>
        </w:tc>
      </w:tr>
      <w:tr w:rsidR="0074387C" w:rsidTr="00953A8C">
        <w:tc>
          <w:tcPr>
            <w:tcW w:w="2068" w:type="dxa"/>
          </w:tcPr>
          <w:p w:rsidR="0074387C" w:rsidRDefault="0074387C" w:rsidP="005D6A07">
            <w:pPr>
              <w:pStyle w:val="Table3heading"/>
            </w:pPr>
            <w:r>
              <w:t>2028</w:t>
            </w:r>
          </w:p>
        </w:tc>
        <w:tc>
          <w:tcPr>
            <w:tcW w:w="2068" w:type="dxa"/>
          </w:tcPr>
          <w:p w:rsidR="0074387C" w:rsidRPr="00440B1A" w:rsidRDefault="0074387C" w:rsidP="00440B1A">
            <w:pPr>
              <w:pStyle w:val="Table3heading"/>
            </w:pPr>
            <w:r w:rsidRPr="00440B1A">
              <w:t>62173</w:t>
            </w:r>
          </w:p>
        </w:tc>
        <w:tc>
          <w:tcPr>
            <w:tcW w:w="2068" w:type="dxa"/>
          </w:tcPr>
          <w:p w:rsidR="0074387C" w:rsidRPr="00440B1A" w:rsidRDefault="0074387C" w:rsidP="00440B1A">
            <w:pPr>
              <w:pStyle w:val="Table3heading"/>
            </w:pPr>
            <w:r w:rsidRPr="00440B1A">
              <w:t>8000</w:t>
            </w:r>
          </w:p>
        </w:tc>
      </w:tr>
      <w:tr w:rsidR="0074387C" w:rsidTr="00953A8C">
        <w:tc>
          <w:tcPr>
            <w:tcW w:w="2068" w:type="dxa"/>
          </w:tcPr>
          <w:p w:rsidR="0074387C" w:rsidRDefault="0074387C" w:rsidP="005D6A07">
            <w:pPr>
              <w:pStyle w:val="Table3heading"/>
            </w:pPr>
            <w:r>
              <w:t>2029</w:t>
            </w:r>
          </w:p>
        </w:tc>
        <w:tc>
          <w:tcPr>
            <w:tcW w:w="2068" w:type="dxa"/>
          </w:tcPr>
          <w:p w:rsidR="0074387C" w:rsidRPr="00440B1A" w:rsidRDefault="0074387C" w:rsidP="00440B1A">
            <w:pPr>
              <w:pStyle w:val="Table3heading"/>
            </w:pPr>
            <w:r w:rsidRPr="00440B1A">
              <w:t>64660</w:t>
            </w:r>
          </w:p>
        </w:tc>
        <w:tc>
          <w:tcPr>
            <w:tcW w:w="2068" w:type="dxa"/>
          </w:tcPr>
          <w:p w:rsidR="0074387C" w:rsidRPr="00440B1A" w:rsidRDefault="0074387C" w:rsidP="00440B1A">
            <w:pPr>
              <w:pStyle w:val="Table3heading"/>
            </w:pPr>
            <w:r w:rsidRPr="00440B1A">
              <w:t>8320</w:t>
            </w:r>
          </w:p>
        </w:tc>
      </w:tr>
      <w:tr w:rsidR="0074387C" w:rsidTr="00953A8C">
        <w:tc>
          <w:tcPr>
            <w:tcW w:w="2068" w:type="dxa"/>
          </w:tcPr>
          <w:p w:rsidR="0074387C" w:rsidRDefault="0074387C" w:rsidP="005D6A07">
            <w:pPr>
              <w:pStyle w:val="Table3heading"/>
            </w:pPr>
            <w:r>
              <w:t>2030</w:t>
            </w:r>
          </w:p>
        </w:tc>
        <w:tc>
          <w:tcPr>
            <w:tcW w:w="2068" w:type="dxa"/>
          </w:tcPr>
          <w:p w:rsidR="0074387C" w:rsidRPr="00440B1A" w:rsidRDefault="0074387C" w:rsidP="00440B1A">
            <w:pPr>
              <w:pStyle w:val="Table3heading"/>
            </w:pPr>
            <w:r w:rsidRPr="00440B1A">
              <w:t>67247</w:t>
            </w:r>
          </w:p>
        </w:tc>
        <w:tc>
          <w:tcPr>
            <w:tcW w:w="2068" w:type="dxa"/>
          </w:tcPr>
          <w:p w:rsidR="0074387C" w:rsidRPr="00440B1A" w:rsidRDefault="0074387C" w:rsidP="00440B1A">
            <w:pPr>
              <w:pStyle w:val="Table3heading"/>
            </w:pPr>
            <w:r w:rsidRPr="00440B1A">
              <w:t>8653</w:t>
            </w:r>
          </w:p>
        </w:tc>
      </w:tr>
      <w:tr w:rsidR="0074387C" w:rsidTr="00953A8C">
        <w:tc>
          <w:tcPr>
            <w:tcW w:w="2068" w:type="dxa"/>
          </w:tcPr>
          <w:p w:rsidR="0074387C" w:rsidRDefault="0074387C" w:rsidP="005D6A07">
            <w:pPr>
              <w:pStyle w:val="Table3heading"/>
            </w:pPr>
            <w:r>
              <w:t>2031</w:t>
            </w:r>
          </w:p>
        </w:tc>
        <w:tc>
          <w:tcPr>
            <w:tcW w:w="2068" w:type="dxa"/>
          </w:tcPr>
          <w:p w:rsidR="0074387C" w:rsidRPr="00440B1A" w:rsidRDefault="0074387C" w:rsidP="00440B1A">
            <w:pPr>
              <w:pStyle w:val="Table3heading"/>
            </w:pPr>
            <w:r w:rsidRPr="00440B1A">
              <w:t>69936</w:t>
            </w:r>
          </w:p>
        </w:tc>
        <w:tc>
          <w:tcPr>
            <w:tcW w:w="2068" w:type="dxa"/>
          </w:tcPr>
          <w:p w:rsidR="0074387C" w:rsidRPr="00440B1A" w:rsidRDefault="0074387C" w:rsidP="00440B1A">
            <w:pPr>
              <w:pStyle w:val="Table3heading"/>
            </w:pPr>
            <w:r w:rsidRPr="00440B1A">
              <w:t>8999</w:t>
            </w:r>
          </w:p>
        </w:tc>
      </w:tr>
      <w:tr w:rsidR="0074387C" w:rsidTr="00953A8C">
        <w:tc>
          <w:tcPr>
            <w:tcW w:w="2068" w:type="dxa"/>
          </w:tcPr>
          <w:p w:rsidR="0074387C" w:rsidRDefault="0074387C" w:rsidP="005D6A07">
            <w:pPr>
              <w:pStyle w:val="Table3heading"/>
            </w:pPr>
            <w:r>
              <w:t>2032</w:t>
            </w:r>
          </w:p>
        </w:tc>
        <w:tc>
          <w:tcPr>
            <w:tcW w:w="2068" w:type="dxa"/>
          </w:tcPr>
          <w:p w:rsidR="0074387C" w:rsidRPr="00440B1A" w:rsidRDefault="0074387C" w:rsidP="00440B1A">
            <w:pPr>
              <w:pStyle w:val="Table3heading"/>
            </w:pPr>
            <w:r w:rsidRPr="00440B1A">
              <w:t>72734</w:t>
            </w:r>
          </w:p>
        </w:tc>
        <w:tc>
          <w:tcPr>
            <w:tcW w:w="2068" w:type="dxa"/>
          </w:tcPr>
          <w:p w:rsidR="0074387C" w:rsidRPr="00440B1A" w:rsidRDefault="0074387C" w:rsidP="00440B1A">
            <w:pPr>
              <w:pStyle w:val="Table3heading"/>
            </w:pPr>
            <w:r w:rsidRPr="00440B1A">
              <w:t>9359</w:t>
            </w:r>
          </w:p>
        </w:tc>
      </w:tr>
      <w:tr w:rsidR="0074387C" w:rsidTr="00953A8C">
        <w:tc>
          <w:tcPr>
            <w:tcW w:w="2068" w:type="dxa"/>
          </w:tcPr>
          <w:p w:rsidR="0074387C" w:rsidRDefault="0074387C" w:rsidP="005D6A07">
            <w:pPr>
              <w:pStyle w:val="Table3heading"/>
            </w:pPr>
            <w:r>
              <w:t>2033</w:t>
            </w:r>
          </w:p>
        </w:tc>
        <w:tc>
          <w:tcPr>
            <w:tcW w:w="2068" w:type="dxa"/>
          </w:tcPr>
          <w:p w:rsidR="0074387C" w:rsidRPr="00440B1A" w:rsidRDefault="0074387C" w:rsidP="00440B1A">
            <w:pPr>
              <w:pStyle w:val="Table3heading"/>
            </w:pPr>
            <w:r w:rsidRPr="00440B1A">
              <w:t>75643</w:t>
            </w:r>
          </w:p>
        </w:tc>
        <w:tc>
          <w:tcPr>
            <w:tcW w:w="2068" w:type="dxa"/>
          </w:tcPr>
          <w:p w:rsidR="0074387C" w:rsidRPr="00440B1A" w:rsidRDefault="0074387C" w:rsidP="00440B1A">
            <w:pPr>
              <w:pStyle w:val="Table3heading"/>
            </w:pPr>
            <w:r w:rsidRPr="00440B1A">
              <w:t>9733</w:t>
            </w:r>
          </w:p>
        </w:tc>
      </w:tr>
      <w:tr w:rsidR="0074387C" w:rsidTr="00953A8C">
        <w:tc>
          <w:tcPr>
            <w:tcW w:w="2068" w:type="dxa"/>
          </w:tcPr>
          <w:p w:rsidR="0074387C" w:rsidRDefault="0074387C" w:rsidP="005D6A07">
            <w:pPr>
              <w:pStyle w:val="Table3heading"/>
            </w:pPr>
            <w:r>
              <w:t>2034</w:t>
            </w:r>
          </w:p>
        </w:tc>
        <w:tc>
          <w:tcPr>
            <w:tcW w:w="2068" w:type="dxa"/>
          </w:tcPr>
          <w:p w:rsidR="0074387C" w:rsidRPr="00440B1A" w:rsidRDefault="0074387C" w:rsidP="00440B1A">
            <w:pPr>
              <w:pStyle w:val="Table3heading"/>
            </w:pPr>
            <w:r w:rsidRPr="00440B1A">
              <w:t>78669</w:t>
            </w:r>
          </w:p>
        </w:tc>
        <w:tc>
          <w:tcPr>
            <w:tcW w:w="2068" w:type="dxa"/>
          </w:tcPr>
          <w:p w:rsidR="0074387C" w:rsidRPr="00440B1A" w:rsidRDefault="0074387C" w:rsidP="00440B1A">
            <w:pPr>
              <w:pStyle w:val="Table3heading"/>
            </w:pPr>
            <w:r w:rsidRPr="00440B1A">
              <w:t>10123</w:t>
            </w:r>
          </w:p>
        </w:tc>
      </w:tr>
      <w:tr w:rsidR="0074387C" w:rsidTr="00953A8C">
        <w:tc>
          <w:tcPr>
            <w:tcW w:w="2068" w:type="dxa"/>
          </w:tcPr>
          <w:p w:rsidR="0074387C" w:rsidRDefault="0074387C" w:rsidP="005D6A07">
            <w:pPr>
              <w:pStyle w:val="Table3heading"/>
            </w:pPr>
            <w:r>
              <w:t>2035</w:t>
            </w:r>
          </w:p>
        </w:tc>
        <w:tc>
          <w:tcPr>
            <w:tcW w:w="2068" w:type="dxa"/>
          </w:tcPr>
          <w:p w:rsidR="0074387C" w:rsidRPr="00440B1A" w:rsidRDefault="0074387C" w:rsidP="00440B1A">
            <w:pPr>
              <w:pStyle w:val="Table3heading"/>
            </w:pPr>
            <w:r w:rsidRPr="00440B1A">
              <w:t>81816</w:t>
            </w:r>
          </w:p>
        </w:tc>
        <w:tc>
          <w:tcPr>
            <w:tcW w:w="2068" w:type="dxa"/>
          </w:tcPr>
          <w:p w:rsidR="0074387C" w:rsidRPr="00440B1A" w:rsidRDefault="0074387C" w:rsidP="00440B1A">
            <w:pPr>
              <w:pStyle w:val="Table3heading"/>
            </w:pPr>
            <w:r w:rsidRPr="00440B1A">
              <w:t>10528</w:t>
            </w:r>
          </w:p>
        </w:tc>
      </w:tr>
      <w:tr w:rsidR="0074387C" w:rsidTr="00953A8C">
        <w:tc>
          <w:tcPr>
            <w:tcW w:w="2068" w:type="dxa"/>
          </w:tcPr>
          <w:p w:rsidR="0074387C" w:rsidRDefault="0074387C" w:rsidP="005D6A07">
            <w:pPr>
              <w:pStyle w:val="Table3heading"/>
            </w:pPr>
            <w:r>
              <w:t>2036</w:t>
            </w:r>
          </w:p>
        </w:tc>
        <w:tc>
          <w:tcPr>
            <w:tcW w:w="2068" w:type="dxa"/>
          </w:tcPr>
          <w:p w:rsidR="0074387C" w:rsidRPr="00440B1A" w:rsidRDefault="0074387C" w:rsidP="00440B1A">
            <w:pPr>
              <w:pStyle w:val="Table3heading"/>
            </w:pPr>
            <w:r w:rsidRPr="00440B1A">
              <w:t>85088</w:t>
            </w:r>
          </w:p>
        </w:tc>
        <w:tc>
          <w:tcPr>
            <w:tcW w:w="2068" w:type="dxa"/>
          </w:tcPr>
          <w:p w:rsidR="0074387C" w:rsidRPr="00440B1A" w:rsidRDefault="0074387C" w:rsidP="00440B1A">
            <w:pPr>
              <w:pStyle w:val="Table3heading"/>
            </w:pPr>
            <w:r w:rsidRPr="00440B1A">
              <w:t>10949</w:t>
            </w:r>
          </w:p>
        </w:tc>
      </w:tr>
      <w:tr w:rsidR="0074387C" w:rsidTr="00953A8C">
        <w:tc>
          <w:tcPr>
            <w:tcW w:w="2068" w:type="dxa"/>
          </w:tcPr>
          <w:p w:rsidR="0074387C" w:rsidRDefault="0074387C" w:rsidP="005D6A07">
            <w:pPr>
              <w:pStyle w:val="Table3heading"/>
            </w:pPr>
            <w:r>
              <w:t>2037</w:t>
            </w:r>
          </w:p>
        </w:tc>
        <w:tc>
          <w:tcPr>
            <w:tcW w:w="2068" w:type="dxa"/>
          </w:tcPr>
          <w:p w:rsidR="0074387C" w:rsidRPr="00440B1A" w:rsidRDefault="0074387C" w:rsidP="00440B1A">
            <w:pPr>
              <w:pStyle w:val="Table3heading"/>
            </w:pPr>
            <w:r w:rsidRPr="00440B1A">
              <w:t>88492</w:t>
            </w:r>
          </w:p>
        </w:tc>
        <w:tc>
          <w:tcPr>
            <w:tcW w:w="2068" w:type="dxa"/>
          </w:tcPr>
          <w:p w:rsidR="0074387C" w:rsidRPr="00440B1A" w:rsidRDefault="0074387C" w:rsidP="00440B1A">
            <w:pPr>
              <w:pStyle w:val="Table3heading"/>
            </w:pPr>
            <w:r w:rsidRPr="00440B1A">
              <w:t>11387</w:t>
            </w:r>
          </w:p>
        </w:tc>
      </w:tr>
      <w:tr w:rsidR="0074387C" w:rsidTr="00953A8C">
        <w:tc>
          <w:tcPr>
            <w:tcW w:w="2068" w:type="dxa"/>
          </w:tcPr>
          <w:p w:rsidR="0074387C" w:rsidRDefault="0074387C" w:rsidP="005D6A07">
            <w:pPr>
              <w:pStyle w:val="Table3heading"/>
            </w:pPr>
            <w:r>
              <w:t>2038</w:t>
            </w:r>
          </w:p>
        </w:tc>
        <w:tc>
          <w:tcPr>
            <w:tcW w:w="2068" w:type="dxa"/>
          </w:tcPr>
          <w:p w:rsidR="0074387C" w:rsidRPr="00440B1A" w:rsidRDefault="0074387C" w:rsidP="00440B1A">
            <w:pPr>
              <w:pStyle w:val="Table3heading"/>
            </w:pPr>
            <w:r w:rsidRPr="00440B1A">
              <w:t>92032</w:t>
            </w:r>
          </w:p>
        </w:tc>
        <w:tc>
          <w:tcPr>
            <w:tcW w:w="2068" w:type="dxa"/>
          </w:tcPr>
          <w:p w:rsidR="0074387C" w:rsidRPr="00440B1A" w:rsidRDefault="0074387C" w:rsidP="00440B1A">
            <w:pPr>
              <w:pStyle w:val="Table3heading"/>
            </w:pPr>
            <w:r w:rsidRPr="00440B1A">
              <w:t>11842</w:t>
            </w:r>
          </w:p>
        </w:tc>
      </w:tr>
      <w:tr w:rsidR="0074387C" w:rsidTr="00953A8C">
        <w:tc>
          <w:tcPr>
            <w:tcW w:w="2068" w:type="dxa"/>
          </w:tcPr>
          <w:p w:rsidR="0074387C" w:rsidRDefault="0074387C" w:rsidP="005D6A07">
            <w:pPr>
              <w:pStyle w:val="Table3heading"/>
            </w:pPr>
            <w:r>
              <w:t>2039</w:t>
            </w:r>
          </w:p>
        </w:tc>
        <w:tc>
          <w:tcPr>
            <w:tcW w:w="2068" w:type="dxa"/>
          </w:tcPr>
          <w:p w:rsidR="0074387C" w:rsidRPr="00440B1A" w:rsidRDefault="0074387C" w:rsidP="00440B1A">
            <w:pPr>
              <w:pStyle w:val="Table3heading"/>
            </w:pPr>
            <w:r w:rsidRPr="00440B1A">
              <w:t>95713</w:t>
            </w:r>
          </w:p>
        </w:tc>
        <w:tc>
          <w:tcPr>
            <w:tcW w:w="2068" w:type="dxa"/>
          </w:tcPr>
          <w:p w:rsidR="0074387C" w:rsidRPr="00440B1A" w:rsidRDefault="0074387C" w:rsidP="00440B1A">
            <w:pPr>
              <w:pStyle w:val="Table3heading"/>
            </w:pPr>
            <w:r w:rsidRPr="00440B1A">
              <w:t>12316</w:t>
            </w:r>
          </w:p>
        </w:tc>
      </w:tr>
      <w:tr w:rsidR="0074387C" w:rsidTr="00953A8C">
        <w:tc>
          <w:tcPr>
            <w:tcW w:w="2068" w:type="dxa"/>
          </w:tcPr>
          <w:p w:rsidR="0074387C" w:rsidRDefault="0074387C" w:rsidP="005D6A07">
            <w:pPr>
              <w:pStyle w:val="Table3heading"/>
            </w:pPr>
            <w:r>
              <w:t>2040</w:t>
            </w:r>
          </w:p>
        </w:tc>
        <w:tc>
          <w:tcPr>
            <w:tcW w:w="2068" w:type="dxa"/>
          </w:tcPr>
          <w:p w:rsidR="0074387C" w:rsidRPr="00440B1A" w:rsidRDefault="0074387C" w:rsidP="00440B1A">
            <w:pPr>
              <w:pStyle w:val="Table3heading"/>
            </w:pPr>
            <w:r w:rsidRPr="00440B1A">
              <w:t>99541</w:t>
            </w:r>
          </w:p>
        </w:tc>
        <w:tc>
          <w:tcPr>
            <w:tcW w:w="2068" w:type="dxa"/>
          </w:tcPr>
          <w:p w:rsidR="0074387C" w:rsidRPr="00440B1A" w:rsidRDefault="0074387C" w:rsidP="00440B1A">
            <w:pPr>
              <w:pStyle w:val="Table3heading"/>
            </w:pPr>
            <w:r w:rsidRPr="00440B1A">
              <w:t>12808</w:t>
            </w:r>
          </w:p>
        </w:tc>
      </w:tr>
      <w:tr w:rsidR="0074387C" w:rsidTr="00953A8C">
        <w:tc>
          <w:tcPr>
            <w:tcW w:w="2068" w:type="dxa"/>
          </w:tcPr>
          <w:p w:rsidR="0074387C" w:rsidRDefault="0074387C" w:rsidP="005D6A07">
            <w:pPr>
              <w:pStyle w:val="Table3heading"/>
            </w:pPr>
            <w:r>
              <w:t>2041</w:t>
            </w:r>
          </w:p>
        </w:tc>
        <w:tc>
          <w:tcPr>
            <w:tcW w:w="2068" w:type="dxa"/>
          </w:tcPr>
          <w:p w:rsidR="0074387C" w:rsidRPr="00440B1A" w:rsidRDefault="0074387C" w:rsidP="00440B1A">
            <w:pPr>
              <w:pStyle w:val="Table3heading"/>
            </w:pPr>
            <w:r w:rsidRPr="00440B1A">
              <w:t>103523</w:t>
            </w:r>
          </w:p>
        </w:tc>
        <w:tc>
          <w:tcPr>
            <w:tcW w:w="2068" w:type="dxa"/>
          </w:tcPr>
          <w:p w:rsidR="0074387C" w:rsidRPr="00440B1A" w:rsidRDefault="0074387C" w:rsidP="00440B1A">
            <w:pPr>
              <w:pStyle w:val="Table3heading"/>
            </w:pPr>
            <w:r w:rsidRPr="00440B1A">
              <w:t>13321</w:t>
            </w:r>
          </w:p>
        </w:tc>
      </w:tr>
      <w:tr w:rsidR="0074387C" w:rsidTr="00953A8C">
        <w:tc>
          <w:tcPr>
            <w:tcW w:w="2068" w:type="dxa"/>
            <w:tcBorders>
              <w:bottom w:val="single" w:sz="8" w:space="0" w:color="auto"/>
            </w:tcBorders>
          </w:tcPr>
          <w:p w:rsidR="0074387C" w:rsidRDefault="0074387C" w:rsidP="005D6A07">
            <w:pPr>
              <w:pStyle w:val="Table3heading"/>
            </w:pPr>
            <w:r>
              <w:t>2042</w:t>
            </w:r>
          </w:p>
        </w:tc>
        <w:tc>
          <w:tcPr>
            <w:tcW w:w="2068" w:type="dxa"/>
            <w:tcBorders>
              <w:bottom w:val="single" w:sz="8" w:space="0" w:color="auto"/>
            </w:tcBorders>
          </w:tcPr>
          <w:p w:rsidR="0074387C" w:rsidRPr="00440B1A" w:rsidRDefault="0074387C" w:rsidP="00440B1A">
            <w:pPr>
              <w:pStyle w:val="Table3heading"/>
            </w:pPr>
            <w:r w:rsidRPr="00440B1A">
              <w:t>107664</w:t>
            </w:r>
          </w:p>
        </w:tc>
        <w:tc>
          <w:tcPr>
            <w:tcW w:w="2068" w:type="dxa"/>
            <w:tcBorders>
              <w:bottom w:val="single" w:sz="8" w:space="0" w:color="auto"/>
            </w:tcBorders>
          </w:tcPr>
          <w:p w:rsidR="0074387C" w:rsidRPr="00440B1A" w:rsidRDefault="0074387C" w:rsidP="00440B1A">
            <w:pPr>
              <w:pStyle w:val="Table3heading"/>
            </w:pPr>
            <w:r w:rsidRPr="00440B1A">
              <w:t>13853</w:t>
            </w:r>
          </w:p>
        </w:tc>
      </w:tr>
    </w:tbl>
    <w:p w:rsidR="00EF1878" w:rsidRDefault="00EF1878" w:rsidP="00927782"/>
    <w:p w:rsidR="00DC406A" w:rsidRDefault="00DC406A" w:rsidP="00DC406A">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11</w:t>
      </w:r>
      <w:r w:rsidR="00C036A7">
        <w:rPr>
          <w:noProof/>
        </w:rPr>
        <w:fldChar w:fldCharType="end"/>
      </w:r>
      <w:r>
        <w:t xml:space="preserve"> New vehicle sales from 2003 to 2042</w:t>
      </w:r>
    </w:p>
    <w:p w:rsidR="00B01DD1" w:rsidRDefault="00B01DD1" w:rsidP="00927782">
      <w:r>
        <w:rPr>
          <w:noProof/>
          <w:lang w:eastAsia="en-AU"/>
        </w:rPr>
        <w:drawing>
          <wp:inline distT="0" distB="0" distL="0" distR="0">
            <wp:extent cx="5731510" cy="4145915"/>
            <wp:effectExtent l="0" t="0" r="21590" b="26035"/>
            <wp:docPr id="26" name="Chart 26" descr="shows trucks, trailers and buses sales peaking briefly in 2009, then predicted to gradually increase from around 40,000 per year in 2012 to a total of 120,000 per year in 2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01DD1" w:rsidRDefault="00B01DD1" w:rsidP="00B01DD1">
      <w:r>
        <w:br w:type="page"/>
      </w:r>
    </w:p>
    <w:p w:rsidR="005D6A07" w:rsidRDefault="00FD7FA8" w:rsidP="00FD7FA8">
      <w:pPr>
        <w:pStyle w:val="ListParagraph"/>
        <w:numPr>
          <w:ilvl w:val="0"/>
          <w:numId w:val="21"/>
        </w:numPr>
      </w:pPr>
      <w:r w:rsidRPr="00FD7FA8">
        <w:lastRenderedPageBreak/>
        <w:t>Establish the fitment rate of ABS for the BAU case.  Establish the fitment rate for the option</w:t>
      </w:r>
      <w:r>
        <w:t>.</w:t>
      </w:r>
    </w:p>
    <w:p w:rsidR="00953A8C" w:rsidRDefault="00953A8C" w:rsidP="00953A8C">
      <w:pPr>
        <w:pStyle w:val="Caption"/>
        <w:keepNext/>
      </w:pPr>
      <w:r>
        <w:t xml:space="preserve">Table </w:t>
      </w:r>
      <w:r w:rsidR="00C036A7">
        <w:fldChar w:fldCharType="begin"/>
      </w:r>
      <w:r w:rsidR="00D05042">
        <w:instrText xml:space="preserve"> SEQ Table \* ARABIC </w:instrText>
      </w:r>
      <w:r w:rsidR="00C036A7">
        <w:fldChar w:fldCharType="separate"/>
      </w:r>
      <w:r w:rsidR="00546CD0">
        <w:rPr>
          <w:noProof/>
        </w:rPr>
        <w:t>12</w:t>
      </w:r>
      <w:r w:rsidR="00C036A7">
        <w:rPr>
          <w:noProof/>
        </w:rPr>
        <w:fldChar w:fldCharType="end"/>
      </w:r>
      <w:r>
        <w:t xml:space="preserve"> </w:t>
      </w:r>
      <w:proofErr w:type="gramStart"/>
      <w:r>
        <w:t>Establishing</w:t>
      </w:r>
      <w:proofErr w:type="gramEnd"/>
      <w:r>
        <w:t xml:space="preserve"> the fitment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320"/>
        <w:gridCol w:w="1320"/>
        <w:gridCol w:w="1320"/>
        <w:gridCol w:w="1320"/>
        <w:gridCol w:w="1321"/>
        <w:gridCol w:w="1321"/>
      </w:tblGrid>
      <w:tr w:rsidR="00953A8C" w:rsidTr="004D1D8D">
        <w:tc>
          <w:tcPr>
            <w:tcW w:w="1320" w:type="dxa"/>
            <w:tcBorders>
              <w:top w:val="single" w:sz="8" w:space="0" w:color="auto"/>
            </w:tcBorders>
            <w:vAlign w:val="center"/>
          </w:tcPr>
          <w:p w:rsidR="00953A8C" w:rsidRPr="00AC4098" w:rsidRDefault="00953A8C" w:rsidP="004D1D8D">
            <w:pPr>
              <w:pStyle w:val="Table2heading"/>
              <w:jc w:val="left"/>
            </w:pPr>
          </w:p>
        </w:tc>
        <w:tc>
          <w:tcPr>
            <w:tcW w:w="2640" w:type="dxa"/>
            <w:gridSpan w:val="2"/>
            <w:tcBorders>
              <w:top w:val="single" w:sz="8" w:space="0" w:color="auto"/>
            </w:tcBorders>
            <w:vAlign w:val="center"/>
          </w:tcPr>
          <w:p w:rsidR="00953A8C" w:rsidRPr="00AC4098" w:rsidRDefault="00953A8C" w:rsidP="004D1D8D">
            <w:pPr>
              <w:pStyle w:val="Table2heading"/>
              <w:jc w:val="left"/>
            </w:pPr>
            <w:r w:rsidRPr="00AC4098">
              <w:t>Trucks and trailers</w:t>
            </w:r>
          </w:p>
        </w:tc>
        <w:tc>
          <w:tcPr>
            <w:tcW w:w="2640" w:type="dxa"/>
            <w:gridSpan w:val="2"/>
            <w:tcBorders>
              <w:top w:val="single" w:sz="8" w:space="0" w:color="auto"/>
            </w:tcBorders>
            <w:vAlign w:val="center"/>
          </w:tcPr>
          <w:p w:rsidR="00953A8C" w:rsidRPr="00AC4098" w:rsidRDefault="00953A8C" w:rsidP="004D1D8D">
            <w:pPr>
              <w:pStyle w:val="Table2heading"/>
              <w:jc w:val="left"/>
            </w:pPr>
            <w:r w:rsidRPr="00AC4098">
              <w:t>Buses</w:t>
            </w:r>
          </w:p>
        </w:tc>
        <w:tc>
          <w:tcPr>
            <w:tcW w:w="2642" w:type="dxa"/>
            <w:gridSpan w:val="2"/>
            <w:tcBorders>
              <w:top w:val="single" w:sz="8" w:space="0" w:color="auto"/>
            </w:tcBorders>
            <w:vAlign w:val="center"/>
          </w:tcPr>
          <w:p w:rsidR="00953A8C" w:rsidRPr="00AC4098" w:rsidRDefault="00953A8C" w:rsidP="004D1D8D">
            <w:pPr>
              <w:pStyle w:val="Table2heading"/>
              <w:jc w:val="left"/>
            </w:pPr>
            <w:r w:rsidRPr="00AC4098">
              <w:t>Total</w:t>
            </w:r>
          </w:p>
        </w:tc>
      </w:tr>
      <w:tr w:rsidR="00953A8C" w:rsidTr="004D1D8D">
        <w:tc>
          <w:tcPr>
            <w:tcW w:w="1320" w:type="dxa"/>
            <w:tcBorders>
              <w:bottom w:val="single" w:sz="8" w:space="0" w:color="auto"/>
            </w:tcBorders>
            <w:vAlign w:val="center"/>
          </w:tcPr>
          <w:p w:rsidR="00953A8C" w:rsidRPr="00AC4098" w:rsidRDefault="00953A8C" w:rsidP="004D1D8D">
            <w:pPr>
              <w:pStyle w:val="Table2heading"/>
              <w:jc w:val="left"/>
            </w:pPr>
          </w:p>
        </w:tc>
        <w:tc>
          <w:tcPr>
            <w:tcW w:w="1320" w:type="dxa"/>
            <w:tcBorders>
              <w:bottom w:val="single" w:sz="8" w:space="0" w:color="auto"/>
            </w:tcBorders>
            <w:vAlign w:val="center"/>
          </w:tcPr>
          <w:p w:rsidR="00953A8C" w:rsidRPr="00AC4098" w:rsidRDefault="00953A8C" w:rsidP="004D1D8D">
            <w:pPr>
              <w:pStyle w:val="Table2"/>
            </w:pPr>
            <w:r w:rsidRPr="00AC4098">
              <w:t>BAU</w:t>
            </w:r>
          </w:p>
        </w:tc>
        <w:tc>
          <w:tcPr>
            <w:tcW w:w="1320" w:type="dxa"/>
            <w:tcBorders>
              <w:bottom w:val="single" w:sz="8" w:space="0" w:color="auto"/>
            </w:tcBorders>
            <w:vAlign w:val="center"/>
          </w:tcPr>
          <w:p w:rsidR="00953A8C" w:rsidRPr="00AC4098" w:rsidRDefault="00953A8C" w:rsidP="004D1D8D">
            <w:pPr>
              <w:pStyle w:val="Table2"/>
            </w:pPr>
            <w:r w:rsidRPr="00AC4098">
              <w:t>Option</w:t>
            </w:r>
          </w:p>
        </w:tc>
        <w:tc>
          <w:tcPr>
            <w:tcW w:w="1320" w:type="dxa"/>
            <w:tcBorders>
              <w:bottom w:val="single" w:sz="8" w:space="0" w:color="auto"/>
            </w:tcBorders>
            <w:vAlign w:val="center"/>
          </w:tcPr>
          <w:p w:rsidR="00953A8C" w:rsidRPr="00AC4098" w:rsidRDefault="00953A8C" w:rsidP="004D1D8D">
            <w:pPr>
              <w:pStyle w:val="Table2"/>
            </w:pPr>
            <w:r w:rsidRPr="00AC4098">
              <w:t>BAU</w:t>
            </w:r>
          </w:p>
        </w:tc>
        <w:tc>
          <w:tcPr>
            <w:tcW w:w="1320" w:type="dxa"/>
            <w:tcBorders>
              <w:bottom w:val="single" w:sz="8" w:space="0" w:color="auto"/>
            </w:tcBorders>
            <w:vAlign w:val="center"/>
          </w:tcPr>
          <w:p w:rsidR="00953A8C" w:rsidRPr="00AC4098" w:rsidRDefault="00953A8C" w:rsidP="004D1D8D">
            <w:pPr>
              <w:pStyle w:val="Table2"/>
            </w:pPr>
            <w:r w:rsidRPr="00AC4098">
              <w:t>Option</w:t>
            </w:r>
          </w:p>
        </w:tc>
        <w:tc>
          <w:tcPr>
            <w:tcW w:w="1321" w:type="dxa"/>
            <w:tcBorders>
              <w:bottom w:val="single" w:sz="8" w:space="0" w:color="auto"/>
            </w:tcBorders>
            <w:vAlign w:val="center"/>
          </w:tcPr>
          <w:p w:rsidR="00953A8C" w:rsidRPr="00AC4098" w:rsidRDefault="00953A8C" w:rsidP="004D1D8D">
            <w:pPr>
              <w:pStyle w:val="Table2"/>
            </w:pPr>
            <w:r w:rsidRPr="00AC4098">
              <w:t>BAU</w:t>
            </w:r>
          </w:p>
        </w:tc>
        <w:tc>
          <w:tcPr>
            <w:tcW w:w="1321" w:type="dxa"/>
            <w:tcBorders>
              <w:bottom w:val="single" w:sz="8" w:space="0" w:color="auto"/>
            </w:tcBorders>
            <w:vAlign w:val="center"/>
          </w:tcPr>
          <w:p w:rsidR="00953A8C" w:rsidRPr="00AC4098" w:rsidRDefault="00953A8C" w:rsidP="004D1D8D">
            <w:pPr>
              <w:pStyle w:val="Table2"/>
            </w:pPr>
            <w:r w:rsidRPr="00AC4098">
              <w:t>Option</w:t>
            </w:r>
          </w:p>
        </w:tc>
      </w:tr>
      <w:tr w:rsidR="00BB72F8" w:rsidTr="00D53A7B">
        <w:tc>
          <w:tcPr>
            <w:tcW w:w="1320" w:type="dxa"/>
            <w:tcBorders>
              <w:top w:val="single" w:sz="8" w:space="0" w:color="auto"/>
            </w:tcBorders>
            <w:vAlign w:val="center"/>
          </w:tcPr>
          <w:p w:rsidR="00BB72F8" w:rsidRPr="00AC4098" w:rsidRDefault="00BB72F8" w:rsidP="004A2CA3">
            <w:pPr>
              <w:pStyle w:val="Table2"/>
            </w:pPr>
            <w:r w:rsidRPr="00AC4098">
              <w:t>2012</w:t>
            </w:r>
          </w:p>
        </w:tc>
        <w:tc>
          <w:tcPr>
            <w:tcW w:w="1320" w:type="dxa"/>
            <w:tcBorders>
              <w:top w:val="single" w:sz="8" w:space="0" w:color="auto"/>
            </w:tcBorders>
          </w:tcPr>
          <w:p w:rsidR="00BB72F8" w:rsidRPr="00AC4098" w:rsidRDefault="007348C1" w:rsidP="004A2CA3">
            <w:pPr>
              <w:pStyle w:val="Table2"/>
            </w:pPr>
            <w:r w:rsidRPr="00AC4098">
              <w:t>0.360</w:t>
            </w:r>
          </w:p>
        </w:tc>
        <w:tc>
          <w:tcPr>
            <w:tcW w:w="1320" w:type="dxa"/>
            <w:tcBorders>
              <w:top w:val="single" w:sz="8" w:space="0" w:color="auto"/>
            </w:tcBorders>
          </w:tcPr>
          <w:p w:rsidR="00BB72F8" w:rsidRPr="00AC4098" w:rsidRDefault="00BB72F8">
            <w:pPr>
              <w:pStyle w:val="Table2"/>
            </w:pPr>
            <w:r w:rsidRPr="00AC4098">
              <w:t>0.</w:t>
            </w:r>
            <w:r w:rsidR="000C38AF" w:rsidRPr="00AC4098">
              <w:t>36</w:t>
            </w:r>
            <w:r w:rsidRPr="00AC4098">
              <w:t>0</w:t>
            </w:r>
          </w:p>
        </w:tc>
        <w:tc>
          <w:tcPr>
            <w:tcW w:w="1320" w:type="dxa"/>
            <w:tcBorders>
              <w:top w:val="single" w:sz="8" w:space="0" w:color="auto"/>
            </w:tcBorders>
          </w:tcPr>
          <w:p w:rsidR="00BB72F8" w:rsidRPr="00AC4098" w:rsidRDefault="00BB72F8" w:rsidP="004A2CA3">
            <w:pPr>
              <w:pStyle w:val="Table2"/>
            </w:pPr>
            <w:r w:rsidRPr="00AC4098">
              <w:t>0.900</w:t>
            </w:r>
          </w:p>
        </w:tc>
        <w:tc>
          <w:tcPr>
            <w:tcW w:w="1320" w:type="dxa"/>
            <w:tcBorders>
              <w:top w:val="single" w:sz="8" w:space="0" w:color="auto"/>
            </w:tcBorders>
          </w:tcPr>
          <w:p w:rsidR="00BB72F8" w:rsidRPr="00AC4098" w:rsidRDefault="00BB72F8" w:rsidP="004A2CA3">
            <w:pPr>
              <w:pStyle w:val="Table2"/>
            </w:pPr>
            <w:r w:rsidRPr="00AC4098">
              <w:t>0.900</w:t>
            </w:r>
          </w:p>
        </w:tc>
        <w:tc>
          <w:tcPr>
            <w:tcW w:w="1321" w:type="dxa"/>
            <w:tcBorders>
              <w:top w:val="single" w:sz="8" w:space="0" w:color="auto"/>
            </w:tcBorders>
          </w:tcPr>
          <w:p w:rsidR="00BB72F8" w:rsidRPr="00AC4098" w:rsidRDefault="00BB72F8">
            <w:pPr>
              <w:pStyle w:val="Table2"/>
            </w:pPr>
            <w:r w:rsidRPr="00AC4098">
              <w:t>0.</w:t>
            </w:r>
            <w:r w:rsidR="000C38AF" w:rsidRPr="00AC4098">
              <w:t>422</w:t>
            </w:r>
          </w:p>
        </w:tc>
        <w:tc>
          <w:tcPr>
            <w:tcW w:w="1321" w:type="dxa"/>
            <w:tcBorders>
              <w:top w:val="single" w:sz="8" w:space="0" w:color="auto"/>
            </w:tcBorders>
          </w:tcPr>
          <w:p w:rsidR="00BB72F8" w:rsidRPr="00AC4098" w:rsidRDefault="00BB72F8">
            <w:pPr>
              <w:pStyle w:val="Table2"/>
            </w:pPr>
            <w:r w:rsidRPr="00AC4098">
              <w:t>0.</w:t>
            </w:r>
            <w:r w:rsidR="000C38AF" w:rsidRPr="00AC4098">
              <w:t>422</w:t>
            </w:r>
          </w:p>
        </w:tc>
      </w:tr>
      <w:tr w:rsidR="007348C1" w:rsidTr="00D53A7B">
        <w:tc>
          <w:tcPr>
            <w:tcW w:w="1320" w:type="dxa"/>
            <w:vAlign w:val="center"/>
          </w:tcPr>
          <w:p w:rsidR="007348C1" w:rsidRPr="00AC4098" w:rsidRDefault="007348C1" w:rsidP="004A2CA3">
            <w:pPr>
              <w:pStyle w:val="Table2"/>
            </w:pPr>
            <w:r w:rsidRPr="00AC4098">
              <w:t>2013</w:t>
            </w:r>
          </w:p>
        </w:tc>
        <w:tc>
          <w:tcPr>
            <w:tcW w:w="1320" w:type="dxa"/>
          </w:tcPr>
          <w:p w:rsidR="007348C1" w:rsidRPr="00AC4098" w:rsidRDefault="007348C1" w:rsidP="004A2CA3">
            <w:pPr>
              <w:pStyle w:val="Table2"/>
            </w:pPr>
            <w:r w:rsidRPr="00AC4098">
              <w:t>0.360</w:t>
            </w:r>
          </w:p>
        </w:tc>
        <w:tc>
          <w:tcPr>
            <w:tcW w:w="1320" w:type="dxa"/>
          </w:tcPr>
          <w:p w:rsidR="007348C1" w:rsidRPr="00AC4098" w:rsidRDefault="007348C1">
            <w:pPr>
              <w:pStyle w:val="Table2"/>
            </w:pPr>
            <w:r w:rsidRPr="00AC4098">
              <w:t>0.360</w:t>
            </w:r>
          </w:p>
        </w:tc>
        <w:tc>
          <w:tcPr>
            <w:tcW w:w="1320" w:type="dxa"/>
          </w:tcPr>
          <w:p w:rsidR="007348C1" w:rsidRPr="00AC4098" w:rsidRDefault="007348C1" w:rsidP="004A2CA3">
            <w:pPr>
              <w:pStyle w:val="Table2"/>
            </w:pPr>
            <w:r w:rsidRPr="00AC4098">
              <w:t>0.900</w:t>
            </w:r>
          </w:p>
        </w:tc>
        <w:tc>
          <w:tcPr>
            <w:tcW w:w="1320" w:type="dxa"/>
          </w:tcPr>
          <w:p w:rsidR="007348C1" w:rsidRPr="00AC4098" w:rsidRDefault="007348C1" w:rsidP="004A2CA3">
            <w:pPr>
              <w:pStyle w:val="Table2"/>
            </w:pPr>
            <w:r w:rsidRPr="00AC4098">
              <w:t>0.900</w:t>
            </w:r>
          </w:p>
        </w:tc>
        <w:tc>
          <w:tcPr>
            <w:tcW w:w="1321" w:type="dxa"/>
          </w:tcPr>
          <w:p w:rsidR="007348C1" w:rsidRPr="00AC4098" w:rsidRDefault="007348C1" w:rsidP="004A2CA3">
            <w:pPr>
              <w:pStyle w:val="Table2"/>
            </w:pPr>
            <w:r w:rsidRPr="00AC4098">
              <w:t>0.422</w:t>
            </w:r>
          </w:p>
        </w:tc>
        <w:tc>
          <w:tcPr>
            <w:tcW w:w="1321" w:type="dxa"/>
          </w:tcPr>
          <w:p w:rsidR="007348C1" w:rsidRPr="00AC4098" w:rsidRDefault="007348C1" w:rsidP="004A2CA3">
            <w:pPr>
              <w:pStyle w:val="Table2"/>
            </w:pPr>
            <w:r w:rsidRPr="00AC4098">
              <w:t>0.422</w:t>
            </w:r>
          </w:p>
        </w:tc>
      </w:tr>
      <w:tr w:rsidR="007348C1" w:rsidTr="00A16684">
        <w:tc>
          <w:tcPr>
            <w:tcW w:w="1320" w:type="dxa"/>
            <w:vAlign w:val="center"/>
          </w:tcPr>
          <w:p w:rsidR="007348C1" w:rsidRPr="00AC4098" w:rsidRDefault="007348C1" w:rsidP="004A2CA3">
            <w:pPr>
              <w:pStyle w:val="Table2"/>
            </w:pPr>
            <w:r w:rsidRPr="00AC4098">
              <w:t>2014</w:t>
            </w:r>
          </w:p>
        </w:tc>
        <w:tc>
          <w:tcPr>
            <w:tcW w:w="1320" w:type="dxa"/>
          </w:tcPr>
          <w:p w:rsidR="007348C1" w:rsidRPr="00AC4098" w:rsidRDefault="007348C1" w:rsidP="004A2CA3">
            <w:pPr>
              <w:pStyle w:val="Table2"/>
            </w:pPr>
            <w:r w:rsidRPr="00AC4098">
              <w:t>0.360</w:t>
            </w:r>
          </w:p>
        </w:tc>
        <w:tc>
          <w:tcPr>
            <w:tcW w:w="1320" w:type="dxa"/>
            <w:vAlign w:val="bottom"/>
          </w:tcPr>
          <w:p w:rsidR="007348C1" w:rsidRPr="00AC4098" w:rsidRDefault="007348C1" w:rsidP="004A2CA3">
            <w:pPr>
              <w:pStyle w:val="Table2"/>
            </w:pPr>
            <w:r w:rsidRPr="00AC4098">
              <w:t>1.000</w:t>
            </w:r>
          </w:p>
        </w:tc>
        <w:tc>
          <w:tcPr>
            <w:tcW w:w="1320" w:type="dxa"/>
          </w:tcPr>
          <w:p w:rsidR="007348C1" w:rsidRPr="00AC4098" w:rsidRDefault="007348C1" w:rsidP="004A2CA3">
            <w:pPr>
              <w:pStyle w:val="Table2"/>
            </w:pPr>
            <w:r w:rsidRPr="00AC4098">
              <w:t>0.900</w:t>
            </w:r>
          </w:p>
        </w:tc>
        <w:tc>
          <w:tcPr>
            <w:tcW w:w="1320" w:type="dxa"/>
          </w:tcPr>
          <w:p w:rsidR="007348C1" w:rsidRPr="00AC4098" w:rsidRDefault="007348C1" w:rsidP="004A2CA3">
            <w:pPr>
              <w:pStyle w:val="Table2"/>
            </w:pPr>
            <w:r w:rsidRPr="00AC4098">
              <w:t>1.000</w:t>
            </w:r>
          </w:p>
        </w:tc>
        <w:tc>
          <w:tcPr>
            <w:tcW w:w="1321" w:type="dxa"/>
          </w:tcPr>
          <w:p w:rsidR="007348C1" w:rsidRPr="00AC4098" w:rsidRDefault="007348C1" w:rsidP="004A2CA3">
            <w:pPr>
              <w:pStyle w:val="Table2"/>
            </w:pPr>
            <w:r w:rsidRPr="00AC4098">
              <w:t>0.422</w:t>
            </w:r>
          </w:p>
        </w:tc>
        <w:tc>
          <w:tcPr>
            <w:tcW w:w="1321" w:type="dxa"/>
          </w:tcPr>
          <w:p w:rsidR="007348C1" w:rsidRPr="00AC4098" w:rsidRDefault="007348C1" w:rsidP="004A2CA3">
            <w:pPr>
              <w:pStyle w:val="Table2"/>
            </w:pPr>
            <w:r w:rsidRPr="00AC4098">
              <w:t>1.000</w:t>
            </w:r>
          </w:p>
        </w:tc>
      </w:tr>
      <w:tr w:rsidR="007348C1" w:rsidTr="00A16684">
        <w:tc>
          <w:tcPr>
            <w:tcW w:w="1320" w:type="dxa"/>
            <w:vAlign w:val="center"/>
          </w:tcPr>
          <w:p w:rsidR="007348C1" w:rsidRPr="00AC4098" w:rsidRDefault="007348C1" w:rsidP="004A2CA3">
            <w:pPr>
              <w:pStyle w:val="Table2"/>
            </w:pPr>
            <w:r w:rsidRPr="00AC4098">
              <w:t>2015</w:t>
            </w:r>
          </w:p>
        </w:tc>
        <w:tc>
          <w:tcPr>
            <w:tcW w:w="1320" w:type="dxa"/>
          </w:tcPr>
          <w:p w:rsidR="007348C1" w:rsidRPr="00AC4098" w:rsidRDefault="007348C1" w:rsidP="004A2CA3">
            <w:pPr>
              <w:pStyle w:val="Table2"/>
            </w:pPr>
            <w:r w:rsidRPr="00AC4098">
              <w:t>0.360</w:t>
            </w:r>
          </w:p>
        </w:tc>
        <w:tc>
          <w:tcPr>
            <w:tcW w:w="1320" w:type="dxa"/>
            <w:vAlign w:val="bottom"/>
          </w:tcPr>
          <w:p w:rsidR="007348C1" w:rsidRPr="00AC4098" w:rsidRDefault="007348C1" w:rsidP="004A2CA3">
            <w:pPr>
              <w:pStyle w:val="Table2"/>
            </w:pPr>
            <w:r w:rsidRPr="00AC4098">
              <w:t>1.000</w:t>
            </w:r>
          </w:p>
        </w:tc>
        <w:tc>
          <w:tcPr>
            <w:tcW w:w="1320" w:type="dxa"/>
          </w:tcPr>
          <w:p w:rsidR="007348C1" w:rsidRPr="00AC4098" w:rsidRDefault="007348C1" w:rsidP="004A2CA3">
            <w:pPr>
              <w:pStyle w:val="Table2"/>
            </w:pPr>
            <w:r w:rsidRPr="00AC4098">
              <w:t>0.900</w:t>
            </w:r>
          </w:p>
        </w:tc>
        <w:tc>
          <w:tcPr>
            <w:tcW w:w="1320" w:type="dxa"/>
          </w:tcPr>
          <w:p w:rsidR="007348C1" w:rsidRPr="00AC4098" w:rsidRDefault="007348C1" w:rsidP="004A2CA3">
            <w:pPr>
              <w:pStyle w:val="Table2"/>
            </w:pPr>
            <w:r w:rsidRPr="00AC4098">
              <w:t>1.000</w:t>
            </w:r>
          </w:p>
        </w:tc>
        <w:tc>
          <w:tcPr>
            <w:tcW w:w="1321" w:type="dxa"/>
          </w:tcPr>
          <w:p w:rsidR="007348C1" w:rsidRPr="00AC4098" w:rsidRDefault="007348C1" w:rsidP="004A2CA3">
            <w:pPr>
              <w:pStyle w:val="Table2"/>
            </w:pPr>
            <w:r w:rsidRPr="00AC4098">
              <w:t>0.422</w:t>
            </w:r>
          </w:p>
        </w:tc>
        <w:tc>
          <w:tcPr>
            <w:tcW w:w="1321" w:type="dxa"/>
          </w:tcPr>
          <w:p w:rsidR="007348C1" w:rsidRPr="00AC4098" w:rsidRDefault="007348C1" w:rsidP="004A2CA3">
            <w:pPr>
              <w:pStyle w:val="Table2"/>
            </w:pPr>
            <w:r w:rsidRPr="00AC4098">
              <w:t>1.000</w:t>
            </w:r>
          </w:p>
        </w:tc>
      </w:tr>
      <w:tr w:rsidR="007348C1" w:rsidTr="00A16684">
        <w:tc>
          <w:tcPr>
            <w:tcW w:w="1320" w:type="dxa"/>
            <w:vAlign w:val="center"/>
          </w:tcPr>
          <w:p w:rsidR="007348C1" w:rsidRPr="00AC4098" w:rsidRDefault="007348C1" w:rsidP="004A2CA3">
            <w:pPr>
              <w:pStyle w:val="Table2"/>
            </w:pPr>
            <w:r w:rsidRPr="00AC4098">
              <w:t>2016</w:t>
            </w:r>
          </w:p>
        </w:tc>
        <w:tc>
          <w:tcPr>
            <w:tcW w:w="1320" w:type="dxa"/>
          </w:tcPr>
          <w:p w:rsidR="007348C1" w:rsidRPr="00AC4098" w:rsidRDefault="007348C1" w:rsidP="004A2CA3">
            <w:pPr>
              <w:pStyle w:val="Table2"/>
            </w:pPr>
            <w:r w:rsidRPr="00AC4098">
              <w:t>0.360</w:t>
            </w:r>
          </w:p>
        </w:tc>
        <w:tc>
          <w:tcPr>
            <w:tcW w:w="1320" w:type="dxa"/>
            <w:vAlign w:val="bottom"/>
          </w:tcPr>
          <w:p w:rsidR="007348C1" w:rsidRPr="00AC4098" w:rsidRDefault="007348C1" w:rsidP="004A2CA3">
            <w:pPr>
              <w:pStyle w:val="Table2"/>
            </w:pPr>
            <w:r w:rsidRPr="00AC4098">
              <w:t>1.000</w:t>
            </w:r>
          </w:p>
        </w:tc>
        <w:tc>
          <w:tcPr>
            <w:tcW w:w="1320" w:type="dxa"/>
          </w:tcPr>
          <w:p w:rsidR="007348C1" w:rsidRPr="00AC4098" w:rsidRDefault="007348C1" w:rsidP="004A2CA3">
            <w:pPr>
              <w:pStyle w:val="Table2"/>
            </w:pPr>
            <w:r w:rsidRPr="00AC4098">
              <w:t>0.900</w:t>
            </w:r>
          </w:p>
        </w:tc>
        <w:tc>
          <w:tcPr>
            <w:tcW w:w="1320" w:type="dxa"/>
          </w:tcPr>
          <w:p w:rsidR="007348C1" w:rsidRPr="00AC4098" w:rsidRDefault="007348C1" w:rsidP="004A2CA3">
            <w:pPr>
              <w:pStyle w:val="Table2"/>
            </w:pPr>
            <w:r w:rsidRPr="00AC4098">
              <w:t>1.000</w:t>
            </w:r>
          </w:p>
        </w:tc>
        <w:tc>
          <w:tcPr>
            <w:tcW w:w="1321" w:type="dxa"/>
          </w:tcPr>
          <w:p w:rsidR="007348C1" w:rsidRPr="00AC4098" w:rsidRDefault="007348C1" w:rsidP="004A2CA3">
            <w:pPr>
              <w:pStyle w:val="Table2"/>
            </w:pPr>
            <w:r w:rsidRPr="00AC4098">
              <w:t>0.422</w:t>
            </w:r>
          </w:p>
        </w:tc>
        <w:tc>
          <w:tcPr>
            <w:tcW w:w="1321" w:type="dxa"/>
          </w:tcPr>
          <w:p w:rsidR="007348C1" w:rsidRPr="00AC4098" w:rsidRDefault="007348C1" w:rsidP="004A2CA3">
            <w:pPr>
              <w:pStyle w:val="Table2"/>
            </w:pPr>
            <w:r w:rsidRPr="00AC4098">
              <w:t>1.000</w:t>
            </w:r>
          </w:p>
        </w:tc>
      </w:tr>
      <w:tr w:rsidR="007348C1" w:rsidTr="00A16684">
        <w:tc>
          <w:tcPr>
            <w:tcW w:w="1320" w:type="dxa"/>
            <w:vAlign w:val="center"/>
          </w:tcPr>
          <w:p w:rsidR="007348C1" w:rsidRPr="00AC4098" w:rsidRDefault="007348C1" w:rsidP="004A2CA3">
            <w:pPr>
              <w:pStyle w:val="Table2"/>
            </w:pPr>
            <w:r w:rsidRPr="00AC4098">
              <w:t>2017</w:t>
            </w:r>
          </w:p>
        </w:tc>
        <w:tc>
          <w:tcPr>
            <w:tcW w:w="1320" w:type="dxa"/>
          </w:tcPr>
          <w:p w:rsidR="007348C1" w:rsidRPr="00AC4098" w:rsidRDefault="007348C1" w:rsidP="004A2CA3">
            <w:pPr>
              <w:pStyle w:val="Table2"/>
            </w:pPr>
            <w:r w:rsidRPr="00AC4098">
              <w:t>0.360</w:t>
            </w:r>
          </w:p>
        </w:tc>
        <w:tc>
          <w:tcPr>
            <w:tcW w:w="1320" w:type="dxa"/>
            <w:vAlign w:val="bottom"/>
          </w:tcPr>
          <w:p w:rsidR="007348C1" w:rsidRPr="00AC4098" w:rsidRDefault="007348C1" w:rsidP="004A2CA3">
            <w:pPr>
              <w:pStyle w:val="Table2"/>
            </w:pPr>
            <w:r w:rsidRPr="00AC4098">
              <w:t>1.000</w:t>
            </w:r>
          </w:p>
        </w:tc>
        <w:tc>
          <w:tcPr>
            <w:tcW w:w="1320" w:type="dxa"/>
          </w:tcPr>
          <w:p w:rsidR="007348C1" w:rsidRPr="00AC4098" w:rsidRDefault="007348C1" w:rsidP="004A2CA3">
            <w:pPr>
              <w:pStyle w:val="Table2"/>
            </w:pPr>
            <w:r w:rsidRPr="00AC4098">
              <w:t>0.900</w:t>
            </w:r>
          </w:p>
        </w:tc>
        <w:tc>
          <w:tcPr>
            <w:tcW w:w="1320" w:type="dxa"/>
          </w:tcPr>
          <w:p w:rsidR="007348C1" w:rsidRPr="00AC4098" w:rsidRDefault="007348C1" w:rsidP="004A2CA3">
            <w:pPr>
              <w:pStyle w:val="Table2"/>
            </w:pPr>
            <w:r w:rsidRPr="00AC4098">
              <w:t>1.000</w:t>
            </w:r>
          </w:p>
        </w:tc>
        <w:tc>
          <w:tcPr>
            <w:tcW w:w="1321" w:type="dxa"/>
          </w:tcPr>
          <w:p w:rsidR="007348C1" w:rsidRPr="00AC4098" w:rsidRDefault="007348C1" w:rsidP="004A2CA3">
            <w:pPr>
              <w:pStyle w:val="Table2"/>
            </w:pPr>
            <w:r w:rsidRPr="00AC4098">
              <w:t>0.422</w:t>
            </w:r>
          </w:p>
        </w:tc>
        <w:tc>
          <w:tcPr>
            <w:tcW w:w="1321" w:type="dxa"/>
          </w:tcPr>
          <w:p w:rsidR="007348C1" w:rsidRPr="00AC4098" w:rsidRDefault="007348C1" w:rsidP="004A2CA3">
            <w:pPr>
              <w:pStyle w:val="Table2"/>
            </w:pPr>
            <w:r w:rsidRPr="00AC4098">
              <w:t>1.000</w:t>
            </w:r>
          </w:p>
        </w:tc>
      </w:tr>
      <w:tr w:rsidR="0041117A" w:rsidTr="00A16684">
        <w:tc>
          <w:tcPr>
            <w:tcW w:w="1320" w:type="dxa"/>
            <w:vAlign w:val="center"/>
          </w:tcPr>
          <w:p w:rsidR="0041117A" w:rsidRPr="00AC4098" w:rsidRDefault="0041117A" w:rsidP="004A2CA3">
            <w:pPr>
              <w:pStyle w:val="Table2"/>
            </w:pPr>
            <w:r w:rsidRPr="00AC4098">
              <w:t>2018</w:t>
            </w:r>
          </w:p>
        </w:tc>
        <w:tc>
          <w:tcPr>
            <w:tcW w:w="1320" w:type="dxa"/>
          </w:tcPr>
          <w:p w:rsidR="0041117A" w:rsidRPr="00AC4098" w:rsidRDefault="0041117A" w:rsidP="004A2CA3">
            <w:pPr>
              <w:pStyle w:val="Table2"/>
            </w:pPr>
            <w:r>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2019</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2020</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2021</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2022</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2023</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2024</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2025</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2026</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2027</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2028</w:t>
            </w:r>
          </w:p>
        </w:tc>
        <w:tc>
          <w:tcPr>
            <w:tcW w:w="1320" w:type="dxa"/>
          </w:tcPr>
          <w:p w:rsidR="0041117A" w:rsidRPr="00AC4098" w:rsidRDefault="0041117A" w:rsidP="004A2CA3">
            <w:pPr>
              <w:pStyle w:val="Table2"/>
            </w:pPr>
            <w:r w:rsidRPr="00B668F3">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vAlign w:val="center"/>
          </w:tcPr>
          <w:p w:rsidR="0041117A" w:rsidRPr="00AC4098" w:rsidRDefault="0041117A" w:rsidP="004A2CA3">
            <w:pPr>
              <w:pStyle w:val="Table2"/>
            </w:pPr>
            <w:r w:rsidRPr="00AC4098">
              <w:t>2029</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2030</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2031</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2032</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2033</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2034</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2035</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2036</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2037</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2038</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2039</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2040</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A16684">
        <w:tc>
          <w:tcPr>
            <w:tcW w:w="1320" w:type="dxa"/>
          </w:tcPr>
          <w:p w:rsidR="0041117A" w:rsidRPr="00AC4098" w:rsidRDefault="0041117A" w:rsidP="004A2CA3">
            <w:pPr>
              <w:pStyle w:val="Table2"/>
            </w:pPr>
            <w:r w:rsidRPr="00AC4098">
              <w:t>2041</w:t>
            </w:r>
          </w:p>
        </w:tc>
        <w:tc>
          <w:tcPr>
            <w:tcW w:w="1320" w:type="dxa"/>
          </w:tcPr>
          <w:p w:rsidR="0041117A" w:rsidRPr="00AC4098" w:rsidRDefault="0041117A" w:rsidP="004A2CA3">
            <w:pPr>
              <w:pStyle w:val="Table2"/>
            </w:pPr>
            <w:r w:rsidRPr="008869D7">
              <w:t>-</w:t>
            </w:r>
          </w:p>
        </w:tc>
        <w:tc>
          <w:tcPr>
            <w:tcW w:w="1320" w:type="dxa"/>
            <w:vAlign w:val="bottom"/>
          </w:tcPr>
          <w:p w:rsidR="0041117A" w:rsidRPr="00AC4098" w:rsidRDefault="0041117A" w:rsidP="004A2CA3">
            <w:pPr>
              <w:pStyle w:val="Table2"/>
            </w:pPr>
            <w:r>
              <w:t>-</w:t>
            </w:r>
          </w:p>
        </w:tc>
        <w:tc>
          <w:tcPr>
            <w:tcW w:w="1320" w:type="dxa"/>
          </w:tcPr>
          <w:p w:rsidR="0041117A" w:rsidRPr="00AC4098" w:rsidRDefault="0041117A" w:rsidP="004A2CA3">
            <w:pPr>
              <w:pStyle w:val="Table2"/>
            </w:pPr>
            <w:r w:rsidRPr="00CA1621">
              <w:t>-</w:t>
            </w:r>
          </w:p>
        </w:tc>
        <w:tc>
          <w:tcPr>
            <w:tcW w:w="1320" w:type="dxa"/>
          </w:tcPr>
          <w:p w:rsidR="0041117A" w:rsidRPr="00AC4098" w:rsidRDefault="0041117A" w:rsidP="004A2CA3">
            <w:pPr>
              <w:pStyle w:val="Table2"/>
            </w:pPr>
            <w:r>
              <w:t>-</w:t>
            </w:r>
          </w:p>
        </w:tc>
        <w:tc>
          <w:tcPr>
            <w:tcW w:w="1321" w:type="dxa"/>
          </w:tcPr>
          <w:p w:rsidR="0041117A" w:rsidRPr="00AC4098" w:rsidRDefault="0041117A" w:rsidP="004A2CA3">
            <w:pPr>
              <w:pStyle w:val="Table2"/>
            </w:pPr>
            <w:r w:rsidRPr="00422F93">
              <w:t>-</w:t>
            </w:r>
          </w:p>
        </w:tc>
        <w:tc>
          <w:tcPr>
            <w:tcW w:w="1321" w:type="dxa"/>
          </w:tcPr>
          <w:p w:rsidR="0041117A" w:rsidRPr="00AC4098" w:rsidRDefault="0041117A" w:rsidP="004A2CA3">
            <w:pPr>
              <w:pStyle w:val="Table2"/>
            </w:pPr>
            <w:r>
              <w:t>-</w:t>
            </w:r>
          </w:p>
        </w:tc>
      </w:tr>
      <w:tr w:rsidR="0041117A" w:rsidTr="00D53A7B">
        <w:tc>
          <w:tcPr>
            <w:tcW w:w="1320" w:type="dxa"/>
            <w:tcBorders>
              <w:bottom w:val="single" w:sz="8" w:space="0" w:color="auto"/>
            </w:tcBorders>
          </w:tcPr>
          <w:p w:rsidR="0041117A" w:rsidRPr="00AC4098" w:rsidRDefault="0041117A" w:rsidP="004A2CA3">
            <w:pPr>
              <w:pStyle w:val="Table2"/>
            </w:pPr>
            <w:r w:rsidRPr="00AC4098">
              <w:t>2042</w:t>
            </w:r>
          </w:p>
        </w:tc>
        <w:tc>
          <w:tcPr>
            <w:tcW w:w="1320" w:type="dxa"/>
            <w:tcBorders>
              <w:bottom w:val="single" w:sz="8" w:space="0" w:color="auto"/>
            </w:tcBorders>
          </w:tcPr>
          <w:p w:rsidR="0041117A" w:rsidRPr="00AC4098" w:rsidRDefault="0041117A" w:rsidP="004A2CA3">
            <w:pPr>
              <w:pStyle w:val="Table2"/>
            </w:pPr>
            <w:r w:rsidRPr="008869D7">
              <w:t>-</w:t>
            </w:r>
          </w:p>
        </w:tc>
        <w:tc>
          <w:tcPr>
            <w:tcW w:w="1320" w:type="dxa"/>
            <w:tcBorders>
              <w:bottom w:val="single" w:sz="8" w:space="0" w:color="auto"/>
            </w:tcBorders>
            <w:vAlign w:val="bottom"/>
          </w:tcPr>
          <w:p w:rsidR="0041117A" w:rsidRPr="00AC4098" w:rsidRDefault="0041117A" w:rsidP="004A2CA3">
            <w:pPr>
              <w:pStyle w:val="Table2"/>
            </w:pPr>
            <w:r>
              <w:t>-</w:t>
            </w:r>
          </w:p>
        </w:tc>
        <w:tc>
          <w:tcPr>
            <w:tcW w:w="1320" w:type="dxa"/>
            <w:tcBorders>
              <w:bottom w:val="single" w:sz="8" w:space="0" w:color="auto"/>
            </w:tcBorders>
          </w:tcPr>
          <w:p w:rsidR="0041117A" w:rsidRPr="00AC4098" w:rsidRDefault="0041117A" w:rsidP="004A2CA3">
            <w:pPr>
              <w:pStyle w:val="Table2"/>
            </w:pPr>
            <w:r w:rsidRPr="00CA1621">
              <w:t>-</w:t>
            </w:r>
          </w:p>
        </w:tc>
        <w:tc>
          <w:tcPr>
            <w:tcW w:w="1320" w:type="dxa"/>
            <w:tcBorders>
              <w:bottom w:val="single" w:sz="8" w:space="0" w:color="auto"/>
            </w:tcBorders>
          </w:tcPr>
          <w:p w:rsidR="0041117A" w:rsidRPr="00AC4098" w:rsidRDefault="0041117A" w:rsidP="004A2CA3">
            <w:pPr>
              <w:pStyle w:val="Table2"/>
            </w:pPr>
            <w:r>
              <w:t>-</w:t>
            </w:r>
          </w:p>
        </w:tc>
        <w:tc>
          <w:tcPr>
            <w:tcW w:w="1321" w:type="dxa"/>
            <w:tcBorders>
              <w:bottom w:val="single" w:sz="8" w:space="0" w:color="auto"/>
            </w:tcBorders>
          </w:tcPr>
          <w:p w:rsidR="0041117A" w:rsidRPr="00AC4098" w:rsidRDefault="0041117A" w:rsidP="004A2CA3">
            <w:pPr>
              <w:pStyle w:val="Table2"/>
            </w:pPr>
            <w:r w:rsidRPr="00422F93">
              <w:t>-</w:t>
            </w:r>
          </w:p>
        </w:tc>
        <w:tc>
          <w:tcPr>
            <w:tcW w:w="1321" w:type="dxa"/>
            <w:tcBorders>
              <w:bottom w:val="single" w:sz="8" w:space="0" w:color="auto"/>
            </w:tcBorders>
          </w:tcPr>
          <w:p w:rsidR="0041117A" w:rsidRPr="00AC4098" w:rsidRDefault="0041117A" w:rsidP="004A2CA3">
            <w:pPr>
              <w:pStyle w:val="Table2"/>
            </w:pPr>
            <w:r>
              <w:t>-</w:t>
            </w:r>
          </w:p>
        </w:tc>
      </w:tr>
    </w:tbl>
    <w:p w:rsidR="00D034B9" w:rsidRDefault="00D034B9" w:rsidP="00FD7FA8"/>
    <w:p w:rsidR="00D034B9" w:rsidRDefault="00D034B9">
      <w:pPr>
        <w:tabs>
          <w:tab w:val="clear" w:pos="851"/>
        </w:tabs>
        <w:spacing w:before="0" w:after="200" w:line="276" w:lineRule="auto"/>
      </w:pPr>
      <w:r>
        <w:br w:type="page"/>
      </w:r>
    </w:p>
    <w:p w:rsidR="00FD7FA8" w:rsidRPr="003C7B50" w:rsidRDefault="00D034B9" w:rsidP="00D034B9">
      <w:pPr>
        <w:pStyle w:val="ListParagraph"/>
        <w:numPr>
          <w:ilvl w:val="0"/>
          <w:numId w:val="21"/>
        </w:numPr>
      </w:pPr>
      <w:r>
        <w:lastRenderedPageBreak/>
        <w:t xml:space="preserve">Establish </w:t>
      </w:r>
      <w:r w:rsidRPr="00D034B9">
        <w:t xml:space="preserve">the likelihood of a registered vehicle having a crash where an occupant is injured in some way (including fatally) for each year of a vehicle’s life as given in </w:t>
      </w:r>
      <w:r w:rsidRPr="003C7B50">
        <w:t>Fildes (2002).</w:t>
      </w:r>
    </w:p>
    <w:p w:rsidR="00C81F7A" w:rsidRDefault="00C81F7A" w:rsidP="00C81F7A">
      <w:pPr>
        <w:pStyle w:val="Caption"/>
        <w:keepNext/>
      </w:pPr>
      <w:r>
        <w:t xml:space="preserve">Table </w:t>
      </w:r>
      <w:r w:rsidR="00C036A7">
        <w:fldChar w:fldCharType="begin"/>
      </w:r>
      <w:r w:rsidR="00D05042">
        <w:instrText xml:space="preserve"> SEQ Table \* ARABIC </w:instrText>
      </w:r>
      <w:r w:rsidR="00C036A7">
        <w:fldChar w:fldCharType="separate"/>
      </w:r>
      <w:r w:rsidR="00546CD0">
        <w:rPr>
          <w:noProof/>
        </w:rPr>
        <w:t>13</w:t>
      </w:r>
      <w:r w:rsidR="00C036A7">
        <w:rPr>
          <w:noProof/>
        </w:rPr>
        <w:fldChar w:fldCharType="end"/>
      </w:r>
      <w:r>
        <w:t xml:space="preserve"> </w:t>
      </w:r>
      <w:proofErr w:type="gramStart"/>
      <w:r>
        <w:t>Establishing</w:t>
      </w:r>
      <w:proofErr w:type="gramEnd"/>
      <w:r>
        <w:t xml:space="preserve"> the likelihood of a registered vehicle crashing where an occupant is injured</w:t>
      </w:r>
    </w:p>
    <w:tbl>
      <w:tblPr>
        <w:tblStyle w:val="TableGrid"/>
        <w:tblW w:w="0" w:type="auto"/>
        <w:tblLook w:val="04A0" w:firstRow="1" w:lastRow="0" w:firstColumn="1" w:lastColumn="0" w:noHBand="0" w:noVBand="1"/>
      </w:tblPr>
      <w:tblGrid>
        <w:gridCol w:w="1873"/>
        <w:gridCol w:w="1873"/>
        <w:gridCol w:w="1873"/>
        <w:gridCol w:w="1874"/>
      </w:tblGrid>
      <w:tr w:rsidR="004D1D8D" w:rsidTr="004A2CA3">
        <w:tc>
          <w:tcPr>
            <w:tcW w:w="1873" w:type="dxa"/>
            <w:vAlign w:val="center"/>
          </w:tcPr>
          <w:p w:rsidR="004D1D8D" w:rsidRDefault="004D1D8D" w:rsidP="004A2CA3">
            <w:pPr>
              <w:pStyle w:val="Table2heading"/>
              <w:jc w:val="left"/>
            </w:pPr>
            <w:r>
              <w:t>Age of vehicle</w:t>
            </w:r>
          </w:p>
        </w:tc>
        <w:tc>
          <w:tcPr>
            <w:tcW w:w="1873" w:type="dxa"/>
            <w:vAlign w:val="center"/>
          </w:tcPr>
          <w:p w:rsidR="004D1D8D" w:rsidRDefault="004A2CA3" w:rsidP="004A2CA3">
            <w:pPr>
              <w:pStyle w:val="Table2heading"/>
              <w:jc w:val="left"/>
            </w:pPr>
            <w:r>
              <w:t>Crashes</w:t>
            </w:r>
          </w:p>
        </w:tc>
        <w:tc>
          <w:tcPr>
            <w:tcW w:w="1873" w:type="dxa"/>
            <w:vAlign w:val="center"/>
          </w:tcPr>
          <w:p w:rsidR="004D1D8D" w:rsidRDefault="004A2CA3" w:rsidP="004A2CA3">
            <w:pPr>
              <w:pStyle w:val="Table2heading"/>
              <w:jc w:val="left"/>
            </w:pPr>
            <w:r>
              <w:t>Annual registrations</w:t>
            </w:r>
          </w:p>
        </w:tc>
        <w:tc>
          <w:tcPr>
            <w:tcW w:w="1874" w:type="dxa"/>
            <w:vAlign w:val="center"/>
          </w:tcPr>
          <w:p w:rsidR="004D1D8D" w:rsidRDefault="004A2CA3" w:rsidP="004A2CA3">
            <w:pPr>
              <w:pStyle w:val="Table2heading"/>
              <w:jc w:val="left"/>
            </w:pPr>
            <w:r>
              <w:t>Likelihood of casualty crash</w:t>
            </w:r>
          </w:p>
        </w:tc>
      </w:tr>
      <w:tr w:rsidR="004A2CA3" w:rsidTr="00A16684">
        <w:tc>
          <w:tcPr>
            <w:tcW w:w="1873" w:type="dxa"/>
          </w:tcPr>
          <w:p w:rsidR="004A2CA3" w:rsidRDefault="004A2CA3" w:rsidP="004A2CA3">
            <w:pPr>
              <w:pStyle w:val="Table2"/>
            </w:pPr>
            <w:r>
              <w:t>1</w:t>
            </w:r>
          </w:p>
        </w:tc>
        <w:tc>
          <w:tcPr>
            <w:tcW w:w="1873" w:type="dxa"/>
            <w:vAlign w:val="bottom"/>
          </w:tcPr>
          <w:p w:rsidR="004A2CA3" w:rsidRPr="00F14767" w:rsidRDefault="004A2CA3" w:rsidP="004A2CA3">
            <w:pPr>
              <w:pStyle w:val="Table2"/>
            </w:pPr>
            <w:r w:rsidRPr="00F14767">
              <w:t>1087</w:t>
            </w:r>
          </w:p>
        </w:tc>
        <w:tc>
          <w:tcPr>
            <w:tcW w:w="1873" w:type="dxa"/>
            <w:vAlign w:val="bottom"/>
          </w:tcPr>
          <w:p w:rsidR="004A2CA3" w:rsidRPr="00F14767" w:rsidRDefault="004A2CA3" w:rsidP="004A2CA3">
            <w:pPr>
              <w:pStyle w:val="Table2"/>
            </w:pPr>
            <w:r w:rsidRPr="00F14767">
              <w:t>760523</w:t>
            </w:r>
          </w:p>
        </w:tc>
        <w:tc>
          <w:tcPr>
            <w:tcW w:w="1874" w:type="dxa"/>
          </w:tcPr>
          <w:p w:rsidR="004A2CA3" w:rsidRPr="00FD5A5A" w:rsidRDefault="004A2CA3" w:rsidP="004A2CA3">
            <w:pPr>
              <w:pStyle w:val="Table2"/>
            </w:pPr>
            <w:r w:rsidRPr="00FD5A5A">
              <w:t>0.0038</w:t>
            </w:r>
          </w:p>
        </w:tc>
      </w:tr>
      <w:tr w:rsidR="004A2CA3" w:rsidTr="00A16684">
        <w:tc>
          <w:tcPr>
            <w:tcW w:w="1873" w:type="dxa"/>
          </w:tcPr>
          <w:p w:rsidR="004A2CA3" w:rsidRDefault="004A2CA3" w:rsidP="004A2CA3">
            <w:pPr>
              <w:pStyle w:val="Table2"/>
            </w:pPr>
            <w:r>
              <w:t>2</w:t>
            </w:r>
          </w:p>
        </w:tc>
        <w:tc>
          <w:tcPr>
            <w:tcW w:w="1873" w:type="dxa"/>
            <w:vAlign w:val="bottom"/>
          </w:tcPr>
          <w:p w:rsidR="004A2CA3" w:rsidRPr="00F14767" w:rsidRDefault="004A2CA3" w:rsidP="004A2CA3">
            <w:pPr>
              <w:pStyle w:val="Table2"/>
            </w:pPr>
            <w:r w:rsidRPr="00F14767">
              <w:t>2556</w:t>
            </w:r>
          </w:p>
        </w:tc>
        <w:tc>
          <w:tcPr>
            <w:tcW w:w="1873" w:type="dxa"/>
            <w:vAlign w:val="bottom"/>
          </w:tcPr>
          <w:p w:rsidR="004A2CA3" w:rsidRPr="00F14767" w:rsidRDefault="004A2CA3" w:rsidP="004A2CA3">
            <w:pPr>
              <w:pStyle w:val="Table2"/>
            </w:pPr>
            <w:r w:rsidRPr="00F14767">
              <w:t>740998</w:t>
            </w:r>
          </w:p>
        </w:tc>
        <w:tc>
          <w:tcPr>
            <w:tcW w:w="1874" w:type="dxa"/>
          </w:tcPr>
          <w:p w:rsidR="004A2CA3" w:rsidRPr="00FD5A5A" w:rsidRDefault="004A2CA3" w:rsidP="004A2CA3">
            <w:pPr>
              <w:pStyle w:val="Table2"/>
            </w:pPr>
            <w:r w:rsidRPr="00FD5A5A">
              <w:t>0.0091</w:t>
            </w:r>
          </w:p>
        </w:tc>
      </w:tr>
      <w:tr w:rsidR="004A2CA3" w:rsidTr="00A16684">
        <w:tc>
          <w:tcPr>
            <w:tcW w:w="1873" w:type="dxa"/>
          </w:tcPr>
          <w:p w:rsidR="004A2CA3" w:rsidRDefault="004A2CA3" w:rsidP="004A2CA3">
            <w:pPr>
              <w:pStyle w:val="Table2"/>
            </w:pPr>
            <w:r>
              <w:t>3</w:t>
            </w:r>
          </w:p>
        </w:tc>
        <w:tc>
          <w:tcPr>
            <w:tcW w:w="1873" w:type="dxa"/>
            <w:vAlign w:val="bottom"/>
          </w:tcPr>
          <w:p w:rsidR="004A2CA3" w:rsidRPr="00F14767" w:rsidRDefault="004A2CA3" w:rsidP="004A2CA3">
            <w:pPr>
              <w:pStyle w:val="Table2"/>
            </w:pPr>
            <w:r w:rsidRPr="00F14767">
              <w:t>2572</w:t>
            </w:r>
          </w:p>
        </w:tc>
        <w:tc>
          <w:tcPr>
            <w:tcW w:w="1873" w:type="dxa"/>
            <w:vAlign w:val="bottom"/>
          </w:tcPr>
          <w:p w:rsidR="004A2CA3" w:rsidRPr="00F14767" w:rsidRDefault="004A2CA3" w:rsidP="004A2CA3">
            <w:pPr>
              <w:pStyle w:val="Table2"/>
            </w:pPr>
            <w:r w:rsidRPr="00F14767">
              <w:t>778997</w:t>
            </w:r>
          </w:p>
        </w:tc>
        <w:tc>
          <w:tcPr>
            <w:tcW w:w="1874" w:type="dxa"/>
          </w:tcPr>
          <w:p w:rsidR="004A2CA3" w:rsidRPr="00FD5A5A" w:rsidRDefault="004A2CA3" w:rsidP="004A2CA3">
            <w:pPr>
              <w:pStyle w:val="Table2"/>
            </w:pPr>
            <w:r w:rsidRPr="00FD5A5A">
              <w:t>0.0087</w:t>
            </w:r>
          </w:p>
        </w:tc>
      </w:tr>
      <w:tr w:rsidR="004A2CA3" w:rsidTr="00A16684">
        <w:tc>
          <w:tcPr>
            <w:tcW w:w="1873" w:type="dxa"/>
          </w:tcPr>
          <w:p w:rsidR="004A2CA3" w:rsidRDefault="004A2CA3" w:rsidP="004A2CA3">
            <w:pPr>
              <w:pStyle w:val="Table2"/>
            </w:pPr>
            <w:r>
              <w:t>4</w:t>
            </w:r>
          </w:p>
        </w:tc>
        <w:tc>
          <w:tcPr>
            <w:tcW w:w="1873" w:type="dxa"/>
            <w:vAlign w:val="bottom"/>
          </w:tcPr>
          <w:p w:rsidR="004A2CA3" w:rsidRPr="00F14767" w:rsidRDefault="004A2CA3" w:rsidP="004A2CA3">
            <w:pPr>
              <w:pStyle w:val="Table2"/>
            </w:pPr>
            <w:r w:rsidRPr="00F14767">
              <w:t>2412</w:t>
            </w:r>
          </w:p>
        </w:tc>
        <w:tc>
          <w:tcPr>
            <w:tcW w:w="1873" w:type="dxa"/>
            <w:vAlign w:val="bottom"/>
          </w:tcPr>
          <w:p w:rsidR="004A2CA3" w:rsidRPr="00F14767" w:rsidRDefault="004A2CA3" w:rsidP="004A2CA3">
            <w:pPr>
              <w:pStyle w:val="Table2"/>
            </w:pPr>
            <w:r w:rsidRPr="00F14767">
              <w:t>698916</w:t>
            </w:r>
          </w:p>
        </w:tc>
        <w:tc>
          <w:tcPr>
            <w:tcW w:w="1874" w:type="dxa"/>
          </w:tcPr>
          <w:p w:rsidR="004A2CA3" w:rsidRPr="00FD5A5A" w:rsidRDefault="004A2CA3" w:rsidP="004A2CA3">
            <w:pPr>
              <w:pStyle w:val="Table2"/>
            </w:pPr>
            <w:r w:rsidRPr="00FD5A5A">
              <w:t>0.0091</w:t>
            </w:r>
          </w:p>
        </w:tc>
      </w:tr>
      <w:tr w:rsidR="004A2CA3" w:rsidTr="00A16684">
        <w:tc>
          <w:tcPr>
            <w:tcW w:w="1873" w:type="dxa"/>
          </w:tcPr>
          <w:p w:rsidR="004A2CA3" w:rsidRDefault="004A2CA3" w:rsidP="004A2CA3">
            <w:pPr>
              <w:pStyle w:val="Table2"/>
            </w:pPr>
            <w:r>
              <w:t>5</w:t>
            </w:r>
          </w:p>
        </w:tc>
        <w:tc>
          <w:tcPr>
            <w:tcW w:w="1873" w:type="dxa"/>
            <w:vAlign w:val="bottom"/>
          </w:tcPr>
          <w:p w:rsidR="004A2CA3" w:rsidRPr="00F14767" w:rsidRDefault="004A2CA3" w:rsidP="004A2CA3">
            <w:pPr>
              <w:pStyle w:val="Table2"/>
            </w:pPr>
            <w:r w:rsidRPr="00F14767">
              <w:t>2194</w:t>
            </w:r>
          </w:p>
        </w:tc>
        <w:tc>
          <w:tcPr>
            <w:tcW w:w="1873" w:type="dxa"/>
            <w:vAlign w:val="bottom"/>
          </w:tcPr>
          <w:p w:rsidR="004A2CA3" w:rsidRPr="00F14767" w:rsidRDefault="004A2CA3" w:rsidP="004A2CA3">
            <w:pPr>
              <w:pStyle w:val="Table2"/>
            </w:pPr>
            <w:r w:rsidRPr="00F14767">
              <w:t>630869</w:t>
            </w:r>
          </w:p>
        </w:tc>
        <w:tc>
          <w:tcPr>
            <w:tcW w:w="1874" w:type="dxa"/>
          </w:tcPr>
          <w:p w:rsidR="004A2CA3" w:rsidRPr="00FD5A5A" w:rsidRDefault="004A2CA3" w:rsidP="004A2CA3">
            <w:pPr>
              <w:pStyle w:val="Table2"/>
            </w:pPr>
            <w:r w:rsidRPr="00FD5A5A">
              <w:t>0.0092</w:t>
            </w:r>
          </w:p>
        </w:tc>
      </w:tr>
      <w:tr w:rsidR="004A2CA3" w:rsidTr="00A16684">
        <w:tc>
          <w:tcPr>
            <w:tcW w:w="1873" w:type="dxa"/>
          </w:tcPr>
          <w:p w:rsidR="004A2CA3" w:rsidRDefault="004A2CA3" w:rsidP="004A2CA3">
            <w:pPr>
              <w:pStyle w:val="Table2"/>
            </w:pPr>
            <w:r>
              <w:t>6</w:t>
            </w:r>
          </w:p>
        </w:tc>
        <w:tc>
          <w:tcPr>
            <w:tcW w:w="1873" w:type="dxa"/>
            <w:vAlign w:val="bottom"/>
          </w:tcPr>
          <w:p w:rsidR="004A2CA3" w:rsidRPr="00F14767" w:rsidRDefault="004A2CA3" w:rsidP="004A2CA3">
            <w:pPr>
              <w:pStyle w:val="Table2"/>
            </w:pPr>
            <w:r w:rsidRPr="00F14767">
              <w:t>2142</w:t>
            </w:r>
          </w:p>
        </w:tc>
        <w:tc>
          <w:tcPr>
            <w:tcW w:w="1873" w:type="dxa"/>
            <w:vAlign w:val="bottom"/>
          </w:tcPr>
          <w:p w:rsidR="004A2CA3" w:rsidRPr="00F14767" w:rsidRDefault="004A2CA3" w:rsidP="004A2CA3">
            <w:pPr>
              <w:pStyle w:val="Table2"/>
            </w:pPr>
            <w:r w:rsidRPr="00F14767">
              <w:t>613261</w:t>
            </w:r>
          </w:p>
        </w:tc>
        <w:tc>
          <w:tcPr>
            <w:tcW w:w="1874" w:type="dxa"/>
          </w:tcPr>
          <w:p w:rsidR="004A2CA3" w:rsidRPr="00FD5A5A" w:rsidRDefault="004A2CA3" w:rsidP="004A2CA3">
            <w:pPr>
              <w:pStyle w:val="Table2"/>
            </w:pPr>
            <w:r w:rsidRPr="00FD5A5A">
              <w:t>0.0092</w:t>
            </w:r>
          </w:p>
        </w:tc>
      </w:tr>
      <w:tr w:rsidR="004A2CA3" w:rsidTr="00A16684">
        <w:tc>
          <w:tcPr>
            <w:tcW w:w="1873" w:type="dxa"/>
          </w:tcPr>
          <w:p w:rsidR="004A2CA3" w:rsidRDefault="004A2CA3" w:rsidP="004A2CA3">
            <w:pPr>
              <w:pStyle w:val="Table2"/>
            </w:pPr>
            <w:r>
              <w:t>7</w:t>
            </w:r>
          </w:p>
        </w:tc>
        <w:tc>
          <w:tcPr>
            <w:tcW w:w="1873" w:type="dxa"/>
            <w:vAlign w:val="bottom"/>
          </w:tcPr>
          <w:p w:rsidR="004A2CA3" w:rsidRPr="00F14767" w:rsidRDefault="004A2CA3" w:rsidP="004A2CA3">
            <w:pPr>
              <w:pStyle w:val="Table2"/>
            </w:pPr>
            <w:r w:rsidRPr="00F14767">
              <w:t>1990</w:t>
            </w:r>
          </w:p>
        </w:tc>
        <w:tc>
          <w:tcPr>
            <w:tcW w:w="1873" w:type="dxa"/>
            <w:vAlign w:val="bottom"/>
          </w:tcPr>
          <w:p w:rsidR="004A2CA3" w:rsidRPr="00F14767" w:rsidRDefault="004A2CA3" w:rsidP="004A2CA3">
            <w:pPr>
              <w:pStyle w:val="Table2"/>
            </w:pPr>
            <w:r w:rsidRPr="00F14767">
              <w:t>588550</w:t>
            </w:r>
          </w:p>
        </w:tc>
        <w:tc>
          <w:tcPr>
            <w:tcW w:w="1874" w:type="dxa"/>
          </w:tcPr>
          <w:p w:rsidR="004A2CA3" w:rsidRPr="00FD5A5A" w:rsidRDefault="004A2CA3" w:rsidP="004A2CA3">
            <w:pPr>
              <w:pStyle w:val="Table2"/>
            </w:pPr>
            <w:r w:rsidRPr="00FD5A5A">
              <w:t>0.0089</w:t>
            </w:r>
          </w:p>
        </w:tc>
      </w:tr>
      <w:tr w:rsidR="004A2CA3" w:rsidTr="00A16684">
        <w:tc>
          <w:tcPr>
            <w:tcW w:w="1873" w:type="dxa"/>
          </w:tcPr>
          <w:p w:rsidR="004A2CA3" w:rsidRDefault="004A2CA3" w:rsidP="004A2CA3">
            <w:pPr>
              <w:pStyle w:val="Table2"/>
            </w:pPr>
            <w:r>
              <w:t>8</w:t>
            </w:r>
          </w:p>
        </w:tc>
        <w:tc>
          <w:tcPr>
            <w:tcW w:w="1873" w:type="dxa"/>
            <w:vAlign w:val="bottom"/>
          </w:tcPr>
          <w:p w:rsidR="004A2CA3" w:rsidRPr="00F14767" w:rsidRDefault="004A2CA3" w:rsidP="004A2CA3">
            <w:pPr>
              <w:pStyle w:val="Table2"/>
            </w:pPr>
            <w:r w:rsidRPr="00F14767">
              <w:t>1637</w:t>
            </w:r>
          </w:p>
        </w:tc>
        <w:tc>
          <w:tcPr>
            <w:tcW w:w="1873" w:type="dxa"/>
            <w:vAlign w:val="bottom"/>
          </w:tcPr>
          <w:p w:rsidR="004A2CA3" w:rsidRPr="00F14767" w:rsidRDefault="004A2CA3" w:rsidP="004A2CA3">
            <w:pPr>
              <w:pStyle w:val="Table2"/>
            </w:pPr>
            <w:r w:rsidRPr="00F14767">
              <w:t>530947</w:t>
            </w:r>
          </w:p>
        </w:tc>
        <w:tc>
          <w:tcPr>
            <w:tcW w:w="1874" w:type="dxa"/>
          </w:tcPr>
          <w:p w:rsidR="004A2CA3" w:rsidRPr="00FD5A5A" w:rsidRDefault="004A2CA3" w:rsidP="004A2CA3">
            <w:pPr>
              <w:pStyle w:val="Table2"/>
            </w:pPr>
            <w:r w:rsidRPr="00FD5A5A">
              <w:t>0.0081</w:t>
            </w:r>
          </w:p>
        </w:tc>
      </w:tr>
      <w:tr w:rsidR="004A2CA3" w:rsidTr="00A16684">
        <w:tc>
          <w:tcPr>
            <w:tcW w:w="1873" w:type="dxa"/>
          </w:tcPr>
          <w:p w:rsidR="004A2CA3" w:rsidRDefault="004A2CA3" w:rsidP="004A2CA3">
            <w:pPr>
              <w:pStyle w:val="Table2"/>
            </w:pPr>
            <w:r>
              <w:t>9</w:t>
            </w:r>
          </w:p>
        </w:tc>
        <w:tc>
          <w:tcPr>
            <w:tcW w:w="1873" w:type="dxa"/>
            <w:vAlign w:val="bottom"/>
          </w:tcPr>
          <w:p w:rsidR="004A2CA3" w:rsidRPr="00F14767" w:rsidRDefault="004A2CA3" w:rsidP="004A2CA3">
            <w:pPr>
              <w:pStyle w:val="Table2"/>
            </w:pPr>
            <w:r w:rsidRPr="00F14767">
              <w:t>1635</w:t>
            </w:r>
          </w:p>
        </w:tc>
        <w:tc>
          <w:tcPr>
            <w:tcW w:w="1873" w:type="dxa"/>
            <w:vAlign w:val="bottom"/>
          </w:tcPr>
          <w:p w:rsidR="004A2CA3" w:rsidRPr="00F14767" w:rsidRDefault="004A2CA3" w:rsidP="004A2CA3">
            <w:pPr>
              <w:pStyle w:val="Table2"/>
            </w:pPr>
            <w:r w:rsidRPr="00F14767">
              <w:t>526303</w:t>
            </w:r>
          </w:p>
        </w:tc>
        <w:tc>
          <w:tcPr>
            <w:tcW w:w="1874" w:type="dxa"/>
          </w:tcPr>
          <w:p w:rsidR="004A2CA3" w:rsidRPr="00FD5A5A" w:rsidRDefault="004A2CA3" w:rsidP="004A2CA3">
            <w:pPr>
              <w:pStyle w:val="Table2"/>
            </w:pPr>
            <w:r w:rsidRPr="00FD5A5A">
              <w:t>0.0082</w:t>
            </w:r>
          </w:p>
        </w:tc>
      </w:tr>
      <w:tr w:rsidR="004A2CA3" w:rsidTr="00A16684">
        <w:tc>
          <w:tcPr>
            <w:tcW w:w="1873" w:type="dxa"/>
          </w:tcPr>
          <w:p w:rsidR="004A2CA3" w:rsidRDefault="004A2CA3" w:rsidP="004A2CA3">
            <w:pPr>
              <w:pStyle w:val="Table2"/>
            </w:pPr>
            <w:r>
              <w:t>10</w:t>
            </w:r>
          </w:p>
        </w:tc>
        <w:tc>
          <w:tcPr>
            <w:tcW w:w="1873" w:type="dxa"/>
            <w:vAlign w:val="bottom"/>
          </w:tcPr>
          <w:p w:rsidR="004A2CA3" w:rsidRPr="00F14767" w:rsidRDefault="004A2CA3" w:rsidP="004A2CA3">
            <w:pPr>
              <w:pStyle w:val="Table2"/>
            </w:pPr>
            <w:r w:rsidRPr="00F14767">
              <w:t>1591</w:t>
            </w:r>
          </w:p>
        </w:tc>
        <w:tc>
          <w:tcPr>
            <w:tcW w:w="1873" w:type="dxa"/>
            <w:vAlign w:val="bottom"/>
          </w:tcPr>
          <w:p w:rsidR="004A2CA3" w:rsidRPr="00F14767" w:rsidRDefault="004A2CA3" w:rsidP="004A2CA3">
            <w:pPr>
              <w:pStyle w:val="Table2"/>
            </w:pPr>
            <w:r w:rsidRPr="00F14767">
              <w:t>482099</w:t>
            </w:r>
          </w:p>
        </w:tc>
        <w:tc>
          <w:tcPr>
            <w:tcW w:w="1874" w:type="dxa"/>
          </w:tcPr>
          <w:p w:rsidR="004A2CA3" w:rsidRPr="00FD5A5A" w:rsidRDefault="004A2CA3" w:rsidP="004A2CA3">
            <w:pPr>
              <w:pStyle w:val="Table2"/>
            </w:pPr>
            <w:r w:rsidRPr="00FD5A5A">
              <w:t>0.0087</w:t>
            </w:r>
          </w:p>
        </w:tc>
      </w:tr>
      <w:tr w:rsidR="004A2CA3" w:rsidTr="00A16684">
        <w:tc>
          <w:tcPr>
            <w:tcW w:w="1873" w:type="dxa"/>
          </w:tcPr>
          <w:p w:rsidR="004A2CA3" w:rsidRDefault="004A2CA3" w:rsidP="004A2CA3">
            <w:pPr>
              <w:pStyle w:val="Table2"/>
            </w:pPr>
            <w:r>
              <w:t>11</w:t>
            </w:r>
          </w:p>
        </w:tc>
        <w:tc>
          <w:tcPr>
            <w:tcW w:w="1873" w:type="dxa"/>
            <w:vAlign w:val="bottom"/>
          </w:tcPr>
          <w:p w:rsidR="004A2CA3" w:rsidRPr="00F14767" w:rsidRDefault="004A2CA3" w:rsidP="004A2CA3">
            <w:pPr>
              <w:pStyle w:val="Table2"/>
            </w:pPr>
            <w:r w:rsidRPr="00F14767">
              <w:t>2038</w:t>
            </w:r>
          </w:p>
        </w:tc>
        <w:tc>
          <w:tcPr>
            <w:tcW w:w="1873" w:type="dxa"/>
            <w:vAlign w:val="bottom"/>
          </w:tcPr>
          <w:p w:rsidR="004A2CA3" w:rsidRPr="00F14767" w:rsidRDefault="004A2CA3" w:rsidP="004A2CA3">
            <w:pPr>
              <w:pStyle w:val="Table2"/>
            </w:pPr>
            <w:r w:rsidRPr="00F14767">
              <w:t>567202</w:t>
            </w:r>
          </w:p>
        </w:tc>
        <w:tc>
          <w:tcPr>
            <w:tcW w:w="1874" w:type="dxa"/>
          </w:tcPr>
          <w:p w:rsidR="004A2CA3" w:rsidRPr="00FD5A5A" w:rsidRDefault="004A2CA3" w:rsidP="004A2CA3">
            <w:pPr>
              <w:pStyle w:val="Table2"/>
            </w:pPr>
            <w:r w:rsidRPr="00FD5A5A">
              <w:t>0.0095</w:t>
            </w:r>
          </w:p>
        </w:tc>
      </w:tr>
      <w:tr w:rsidR="004A2CA3" w:rsidTr="00A16684">
        <w:tc>
          <w:tcPr>
            <w:tcW w:w="1873" w:type="dxa"/>
          </w:tcPr>
          <w:p w:rsidR="004A2CA3" w:rsidRDefault="004A2CA3" w:rsidP="004A2CA3">
            <w:pPr>
              <w:pStyle w:val="Table2"/>
            </w:pPr>
            <w:r>
              <w:t>12</w:t>
            </w:r>
          </w:p>
        </w:tc>
        <w:tc>
          <w:tcPr>
            <w:tcW w:w="1873" w:type="dxa"/>
            <w:vAlign w:val="bottom"/>
          </w:tcPr>
          <w:p w:rsidR="004A2CA3" w:rsidRPr="00F14767" w:rsidRDefault="004A2CA3" w:rsidP="004A2CA3">
            <w:pPr>
              <w:pStyle w:val="Table2"/>
            </w:pPr>
            <w:r w:rsidRPr="00F14767">
              <w:t>2008</w:t>
            </w:r>
          </w:p>
        </w:tc>
        <w:tc>
          <w:tcPr>
            <w:tcW w:w="1873" w:type="dxa"/>
            <w:vAlign w:val="bottom"/>
          </w:tcPr>
          <w:p w:rsidR="004A2CA3" w:rsidRPr="00F14767" w:rsidRDefault="004A2CA3" w:rsidP="004A2CA3">
            <w:pPr>
              <w:pStyle w:val="Table2"/>
            </w:pPr>
            <w:r w:rsidRPr="00F14767">
              <w:t>544296</w:t>
            </w:r>
          </w:p>
        </w:tc>
        <w:tc>
          <w:tcPr>
            <w:tcW w:w="1874" w:type="dxa"/>
          </w:tcPr>
          <w:p w:rsidR="004A2CA3" w:rsidRPr="00FD5A5A" w:rsidRDefault="004A2CA3" w:rsidP="004A2CA3">
            <w:pPr>
              <w:pStyle w:val="Table2"/>
            </w:pPr>
            <w:r w:rsidRPr="00FD5A5A">
              <w:t>0.0097</w:t>
            </w:r>
          </w:p>
        </w:tc>
      </w:tr>
      <w:tr w:rsidR="004A2CA3" w:rsidTr="00A16684">
        <w:tc>
          <w:tcPr>
            <w:tcW w:w="1873" w:type="dxa"/>
          </w:tcPr>
          <w:p w:rsidR="004A2CA3" w:rsidRDefault="004A2CA3" w:rsidP="004A2CA3">
            <w:pPr>
              <w:pStyle w:val="Table2"/>
            </w:pPr>
            <w:r>
              <w:t>13</w:t>
            </w:r>
          </w:p>
        </w:tc>
        <w:tc>
          <w:tcPr>
            <w:tcW w:w="1873" w:type="dxa"/>
            <w:vAlign w:val="bottom"/>
          </w:tcPr>
          <w:p w:rsidR="004A2CA3" w:rsidRPr="00F14767" w:rsidRDefault="004A2CA3" w:rsidP="004A2CA3">
            <w:pPr>
              <w:pStyle w:val="Table2"/>
            </w:pPr>
            <w:r w:rsidRPr="00F14767">
              <w:t>1790</w:t>
            </w:r>
          </w:p>
        </w:tc>
        <w:tc>
          <w:tcPr>
            <w:tcW w:w="1873" w:type="dxa"/>
            <w:vAlign w:val="bottom"/>
          </w:tcPr>
          <w:p w:rsidR="004A2CA3" w:rsidRPr="00F14767" w:rsidRDefault="004A2CA3" w:rsidP="004A2CA3">
            <w:pPr>
              <w:pStyle w:val="Table2"/>
            </w:pPr>
            <w:r w:rsidRPr="00F14767">
              <w:t>477461</w:t>
            </w:r>
          </w:p>
        </w:tc>
        <w:tc>
          <w:tcPr>
            <w:tcW w:w="1874" w:type="dxa"/>
          </w:tcPr>
          <w:p w:rsidR="004A2CA3" w:rsidRPr="00FD5A5A" w:rsidRDefault="004A2CA3" w:rsidP="004A2CA3">
            <w:pPr>
              <w:pStyle w:val="Table2"/>
            </w:pPr>
            <w:r w:rsidRPr="00FD5A5A">
              <w:t>0.0099</w:t>
            </w:r>
          </w:p>
        </w:tc>
      </w:tr>
      <w:tr w:rsidR="004A2CA3" w:rsidTr="00A16684">
        <w:tc>
          <w:tcPr>
            <w:tcW w:w="1873" w:type="dxa"/>
          </w:tcPr>
          <w:p w:rsidR="004A2CA3" w:rsidRDefault="004A2CA3" w:rsidP="004A2CA3">
            <w:pPr>
              <w:pStyle w:val="Table2"/>
            </w:pPr>
            <w:r>
              <w:t>14</w:t>
            </w:r>
          </w:p>
        </w:tc>
        <w:tc>
          <w:tcPr>
            <w:tcW w:w="1873" w:type="dxa"/>
            <w:vAlign w:val="bottom"/>
          </w:tcPr>
          <w:p w:rsidR="004A2CA3" w:rsidRPr="00F14767" w:rsidRDefault="004A2CA3" w:rsidP="004A2CA3">
            <w:pPr>
              <w:pStyle w:val="Table2"/>
            </w:pPr>
            <w:r w:rsidRPr="00F14767">
              <w:t>1510</w:t>
            </w:r>
          </w:p>
        </w:tc>
        <w:tc>
          <w:tcPr>
            <w:tcW w:w="1873" w:type="dxa"/>
            <w:vAlign w:val="bottom"/>
          </w:tcPr>
          <w:p w:rsidR="004A2CA3" w:rsidRPr="00F14767" w:rsidRDefault="004A2CA3" w:rsidP="004A2CA3">
            <w:pPr>
              <w:pStyle w:val="Table2"/>
            </w:pPr>
            <w:r w:rsidRPr="00F14767">
              <w:t>414467</w:t>
            </w:r>
          </w:p>
        </w:tc>
        <w:tc>
          <w:tcPr>
            <w:tcW w:w="1874" w:type="dxa"/>
          </w:tcPr>
          <w:p w:rsidR="004A2CA3" w:rsidRPr="00FD5A5A" w:rsidRDefault="004A2CA3" w:rsidP="004A2CA3">
            <w:pPr>
              <w:pStyle w:val="Table2"/>
            </w:pPr>
            <w:r w:rsidRPr="00FD5A5A">
              <w:t>0.0096</w:t>
            </w:r>
          </w:p>
        </w:tc>
      </w:tr>
      <w:tr w:rsidR="004A2CA3" w:rsidTr="00A16684">
        <w:tc>
          <w:tcPr>
            <w:tcW w:w="1873" w:type="dxa"/>
          </w:tcPr>
          <w:p w:rsidR="004A2CA3" w:rsidRDefault="004A2CA3" w:rsidP="004A2CA3">
            <w:pPr>
              <w:pStyle w:val="Table2"/>
            </w:pPr>
            <w:r>
              <w:t>15</w:t>
            </w:r>
          </w:p>
        </w:tc>
        <w:tc>
          <w:tcPr>
            <w:tcW w:w="1873" w:type="dxa"/>
            <w:vAlign w:val="bottom"/>
          </w:tcPr>
          <w:p w:rsidR="004A2CA3" w:rsidRPr="00F14767" w:rsidRDefault="004A2CA3" w:rsidP="004A2CA3">
            <w:pPr>
              <w:pStyle w:val="Table2"/>
            </w:pPr>
            <w:r w:rsidRPr="00F14767">
              <w:t>1636</w:t>
            </w:r>
          </w:p>
        </w:tc>
        <w:tc>
          <w:tcPr>
            <w:tcW w:w="1873" w:type="dxa"/>
            <w:vAlign w:val="bottom"/>
          </w:tcPr>
          <w:p w:rsidR="004A2CA3" w:rsidRPr="00F14767" w:rsidRDefault="004A2CA3" w:rsidP="004A2CA3">
            <w:pPr>
              <w:pStyle w:val="Table2"/>
            </w:pPr>
            <w:r w:rsidRPr="00F14767">
              <w:t>478197</w:t>
            </w:r>
          </w:p>
        </w:tc>
        <w:tc>
          <w:tcPr>
            <w:tcW w:w="1874" w:type="dxa"/>
          </w:tcPr>
          <w:p w:rsidR="004A2CA3" w:rsidRPr="00FD5A5A" w:rsidRDefault="004A2CA3" w:rsidP="004A2CA3">
            <w:pPr>
              <w:pStyle w:val="Table2"/>
            </w:pPr>
            <w:r w:rsidRPr="00FD5A5A">
              <w:t>0.0090</w:t>
            </w:r>
          </w:p>
        </w:tc>
      </w:tr>
      <w:tr w:rsidR="004A2CA3" w:rsidTr="00A16684">
        <w:tc>
          <w:tcPr>
            <w:tcW w:w="1873" w:type="dxa"/>
          </w:tcPr>
          <w:p w:rsidR="004A2CA3" w:rsidRDefault="004A2CA3" w:rsidP="004A2CA3">
            <w:pPr>
              <w:pStyle w:val="Table2"/>
            </w:pPr>
            <w:r>
              <w:t>16</w:t>
            </w:r>
          </w:p>
        </w:tc>
        <w:tc>
          <w:tcPr>
            <w:tcW w:w="1873" w:type="dxa"/>
            <w:vAlign w:val="bottom"/>
          </w:tcPr>
          <w:p w:rsidR="004A2CA3" w:rsidRPr="00F14767" w:rsidRDefault="004A2CA3" w:rsidP="004A2CA3">
            <w:pPr>
              <w:pStyle w:val="Table2"/>
            </w:pPr>
            <w:r w:rsidRPr="00F14767">
              <w:t>2176</w:t>
            </w:r>
          </w:p>
        </w:tc>
        <w:tc>
          <w:tcPr>
            <w:tcW w:w="1873" w:type="dxa"/>
            <w:vAlign w:val="bottom"/>
          </w:tcPr>
          <w:p w:rsidR="004A2CA3" w:rsidRPr="00F14767" w:rsidRDefault="004A2CA3" w:rsidP="004A2CA3">
            <w:pPr>
              <w:pStyle w:val="Table2"/>
            </w:pPr>
            <w:r w:rsidRPr="00F14767">
              <w:t>625061</w:t>
            </w:r>
          </w:p>
        </w:tc>
        <w:tc>
          <w:tcPr>
            <w:tcW w:w="1874" w:type="dxa"/>
          </w:tcPr>
          <w:p w:rsidR="004A2CA3" w:rsidRPr="00FD5A5A" w:rsidRDefault="004A2CA3" w:rsidP="004A2CA3">
            <w:pPr>
              <w:pStyle w:val="Table2"/>
            </w:pPr>
            <w:r w:rsidRPr="00FD5A5A">
              <w:t>0.0092</w:t>
            </w:r>
          </w:p>
        </w:tc>
      </w:tr>
      <w:tr w:rsidR="004A2CA3" w:rsidTr="00A16684">
        <w:tc>
          <w:tcPr>
            <w:tcW w:w="1873" w:type="dxa"/>
          </w:tcPr>
          <w:p w:rsidR="004A2CA3" w:rsidRDefault="004A2CA3" w:rsidP="004A2CA3">
            <w:pPr>
              <w:pStyle w:val="Table2"/>
            </w:pPr>
            <w:r>
              <w:t>17</w:t>
            </w:r>
          </w:p>
        </w:tc>
        <w:tc>
          <w:tcPr>
            <w:tcW w:w="1873" w:type="dxa"/>
            <w:vAlign w:val="bottom"/>
          </w:tcPr>
          <w:p w:rsidR="004A2CA3" w:rsidRPr="00F14767" w:rsidRDefault="004A2CA3" w:rsidP="004A2CA3">
            <w:pPr>
              <w:pStyle w:val="Table2"/>
            </w:pPr>
            <w:r w:rsidRPr="00F14767">
              <w:t>1827</w:t>
            </w:r>
          </w:p>
        </w:tc>
        <w:tc>
          <w:tcPr>
            <w:tcW w:w="1873" w:type="dxa"/>
            <w:vAlign w:val="bottom"/>
          </w:tcPr>
          <w:p w:rsidR="004A2CA3" w:rsidRPr="00F14767" w:rsidRDefault="004A2CA3" w:rsidP="004A2CA3">
            <w:pPr>
              <w:pStyle w:val="Table2"/>
            </w:pPr>
            <w:r w:rsidRPr="00F14767">
              <w:t>579925</w:t>
            </w:r>
          </w:p>
        </w:tc>
        <w:tc>
          <w:tcPr>
            <w:tcW w:w="1874" w:type="dxa"/>
          </w:tcPr>
          <w:p w:rsidR="004A2CA3" w:rsidRPr="00FD5A5A" w:rsidRDefault="004A2CA3" w:rsidP="004A2CA3">
            <w:pPr>
              <w:pStyle w:val="Table2"/>
            </w:pPr>
            <w:r w:rsidRPr="00FD5A5A">
              <w:t>0.0083</w:t>
            </w:r>
          </w:p>
        </w:tc>
      </w:tr>
      <w:tr w:rsidR="004A2CA3" w:rsidTr="00A16684">
        <w:tc>
          <w:tcPr>
            <w:tcW w:w="1873" w:type="dxa"/>
          </w:tcPr>
          <w:p w:rsidR="004A2CA3" w:rsidRDefault="004A2CA3" w:rsidP="004A2CA3">
            <w:pPr>
              <w:pStyle w:val="Table2"/>
            </w:pPr>
            <w:r>
              <w:t>18</w:t>
            </w:r>
          </w:p>
        </w:tc>
        <w:tc>
          <w:tcPr>
            <w:tcW w:w="1873" w:type="dxa"/>
            <w:vAlign w:val="bottom"/>
          </w:tcPr>
          <w:p w:rsidR="004A2CA3" w:rsidRPr="00F14767" w:rsidRDefault="004A2CA3" w:rsidP="004A2CA3">
            <w:pPr>
              <w:pStyle w:val="Table2"/>
            </w:pPr>
            <w:r w:rsidRPr="00F14767">
              <w:t>1297</w:t>
            </w:r>
          </w:p>
        </w:tc>
        <w:tc>
          <w:tcPr>
            <w:tcW w:w="1873" w:type="dxa"/>
            <w:vAlign w:val="bottom"/>
          </w:tcPr>
          <w:p w:rsidR="004A2CA3" w:rsidRPr="00F14767" w:rsidRDefault="004A2CA3" w:rsidP="004A2CA3">
            <w:pPr>
              <w:pStyle w:val="Table2"/>
            </w:pPr>
            <w:r w:rsidRPr="00F14767">
              <w:t>524515</w:t>
            </w:r>
          </w:p>
        </w:tc>
        <w:tc>
          <w:tcPr>
            <w:tcW w:w="1874" w:type="dxa"/>
          </w:tcPr>
          <w:p w:rsidR="004A2CA3" w:rsidRPr="00FD5A5A" w:rsidRDefault="004A2CA3" w:rsidP="004A2CA3">
            <w:pPr>
              <w:pStyle w:val="Table2"/>
            </w:pPr>
            <w:r w:rsidRPr="00FD5A5A">
              <w:t>0.0065</w:t>
            </w:r>
          </w:p>
        </w:tc>
      </w:tr>
      <w:tr w:rsidR="004A2CA3" w:rsidTr="00A16684">
        <w:tc>
          <w:tcPr>
            <w:tcW w:w="1873" w:type="dxa"/>
          </w:tcPr>
          <w:p w:rsidR="004A2CA3" w:rsidRDefault="004A2CA3" w:rsidP="004A2CA3">
            <w:pPr>
              <w:pStyle w:val="Table2"/>
            </w:pPr>
            <w:r>
              <w:t>19</w:t>
            </w:r>
          </w:p>
        </w:tc>
        <w:tc>
          <w:tcPr>
            <w:tcW w:w="1873" w:type="dxa"/>
            <w:vAlign w:val="bottom"/>
          </w:tcPr>
          <w:p w:rsidR="004A2CA3" w:rsidRPr="00F14767" w:rsidRDefault="004A2CA3" w:rsidP="004A2CA3">
            <w:pPr>
              <w:pStyle w:val="Table2"/>
            </w:pPr>
            <w:r w:rsidRPr="00F14767">
              <w:t>1330</w:t>
            </w:r>
          </w:p>
        </w:tc>
        <w:tc>
          <w:tcPr>
            <w:tcW w:w="1873" w:type="dxa"/>
            <w:vAlign w:val="bottom"/>
          </w:tcPr>
          <w:p w:rsidR="004A2CA3" w:rsidRPr="00F14767" w:rsidRDefault="004A2CA3" w:rsidP="004A2CA3">
            <w:pPr>
              <w:pStyle w:val="Table2"/>
            </w:pPr>
            <w:r w:rsidRPr="00F14767">
              <w:t>580654</w:t>
            </w:r>
          </w:p>
        </w:tc>
        <w:tc>
          <w:tcPr>
            <w:tcW w:w="1874" w:type="dxa"/>
          </w:tcPr>
          <w:p w:rsidR="004A2CA3" w:rsidRPr="00FD5A5A" w:rsidRDefault="004A2CA3" w:rsidP="004A2CA3">
            <w:pPr>
              <w:pStyle w:val="Table2"/>
            </w:pPr>
            <w:r w:rsidRPr="00FD5A5A">
              <w:t>0.0061</w:t>
            </w:r>
          </w:p>
        </w:tc>
      </w:tr>
      <w:tr w:rsidR="004A2CA3" w:rsidTr="00A16684">
        <w:tc>
          <w:tcPr>
            <w:tcW w:w="1873" w:type="dxa"/>
          </w:tcPr>
          <w:p w:rsidR="004A2CA3" w:rsidRDefault="004A2CA3" w:rsidP="004A2CA3">
            <w:pPr>
              <w:pStyle w:val="Table2"/>
            </w:pPr>
            <w:r>
              <w:t>20</w:t>
            </w:r>
          </w:p>
        </w:tc>
        <w:tc>
          <w:tcPr>
            <w:tcW w:w="1873" w:type="dxa"/>
            <w:vAlign w:val="bottom"/>
          </w:tcPr>
          <w:p w:rsidR="004A2CA3" w:rsidRPr="00F14767" w:rsidRDefault="004A2CA3" w:rsidP="004A2CA3">
            <w:pPr>
              <w:pStyle w:val="Table2"/>
            </w:pPr>
            <w:r w:rsidRPr="00F14767">
              <w:t>1082</w:t>
            </w:r>
          </w:p>
        </w:tc>
        <w:tc>
          <w:tcPr>
            <w:tcW w:w="1873" w:type="dxa"/>
            <w:vAlign w:val="bottom"/>
          </w:tcPr>
          <w:p w:rsidR="004A2CA3" w:rsidRPr="00F14767" w:rsidRDefault="004A2CA3" w:rsidP="004A2CA3">
            <w:pPr>
              <w:pStyle w:val="Table2"/>
            </w:pPr>
            <w:r w:rsidRPr="00F14767">
              <w:t>555753</w:t>
            </w:r>
          </w:p>
        </w:tc>
        <w:tc>
          <w:tcPr>
            <w:tcW w:w="1874" w:type="dxa"/>
          </w:tcPr>
          <w:p w:rsidR="004A2CA3" w:rsidRPr="00FD5A5A" w:rsidRDefault="004A2CA3" w:rsidP="004A2CA3">
            <w:pPr>
              <w:pStyle w:val="Table2"/>
            </w:pPr>
            <w:r w:rsidRPr="00FD5A5A">
              <w:t>0.0051</w:t>
            </w:r>
          </w:p>
        </w:tc>
      </w:tr>
      <w:tr w:rsidR="004A2CA3" w:rsidTr="00A16684">
        <w:tc>
          <w:tcPr>
            <w:tcW w:w="1873" w:type="dxa"/>
          </w:tcPr>
          <w:p w:rsidR="004A2CA3" w:rsidRDefault="004A2CA3" w:rsidP="004A2CA3">
            <w:pPr>
              <w:pStyle w:val="Table2"/>
            </w:pPr>
            <w:r>
              <w:t>21</w:t>
            </w:r>
          </w:p>
        </w:tc>
        <w:tc>
          <w:tcPr>
            <w:tcW w:w="1873" w:type="dxa"/>
            <w:vAlign w:val="bottom"/>
          </w:tcPr>
          <w:p w:rsidR="004A2CA3" w:rsidRPr="00F14767" w:rsidRDefault="004A2CA3" w:rsidP="004A2CA3">
            <w:pPr>
              <w:pStyle w:val="Table2"/>
            </w:pPr>
            <w:r w:rsidRPr="00F14767">
              <w:t>804</w:t>
            </w:r>
          </w:p>
        </w:tc>
        <w:tc>
          <w:tcPr>
            <w:tcW w:w="1873" w:type="dxa"/>
            <w:vAlign w:val="bottom"/>
          </w:tcPr>
          <w:p w:rsidR="004A2CA3" w:rsidRPr="00F14767" w:rsidRDefault="004A2CA3" w:rsidP="004A2CA3">
            <w:pPr>
              <w:pStyle w:val="Table2"/>
            </w:pPr>
            <w:r w:rsidRPr="00F14767">
              <w:t>565653</w:t>
            </w:r>
          </w:p>
        </w:tc>
        <w:tc>
          <w:tcPr>
            <w:tcW w:w="1874" w:type="dxa"/>
          </w:tcPr>
          <w:p w:rsidR="004A2CA3" w:rsidRPr="00FD5A5A" w:rsidRDefault="004A2CA3" w:rsidP="004A2CA3">
            <w:pPr>
              <w:pStyle w:val="Table2"/>
            </w:pPr>
            <w:r w:rsidRPr="00FD5A5A">
              <w:t>0.0038</w:t>
            </w:r>
          </w:p>
        </w:tc>
      </w:tr>
      <w:tr w:rsidR="004A2CA3" w:rsidTr="00A16684">
        <w:tc>
          <w:tcPr>
            <w:tcW w:w="1873" w:type="dxa"/>
          </w:tcPr>
          <w:p w:rsidR="004A2CA3" w:rsidRDefault="004A2CA3" w:rsidP="004A2CA3">
            <w:pPr>
              <w:pStyle w:val="Table2"/>
            </w:pPr>
            <w:r>
              <w:t>22</w:t>
            </w:r>
          </w:p>
        </w:tc>
        <w:tc>
          <w:tcPr>
            <w:tcW w:w="1873" w:type="dxa"/>
            <w:vAlign w:val="bottom"/>
          </w:tcPr>
          <w:p w:rsidR="004A2CA3" w:rsidRPr="00F14767" w:rsidRDefault="004A2CA3" w:rsidP="004A2CA3">
            <w:pPr>
              <w:pStyle w:val="Table2"/>
            </w:pPr>
            <w:r w:rsidRPr="00F14767">
              <w:t>667</w:t>
            </w:r>
          </w:p>
        </w:tc>
        <w:tc>
          <w:tcPr>
            <w:tcW w:w="1873" w:type="dxa"/>
            <w:vAlign w:val="bottom"/>
          </w:tcPr>
          <w:p w:rsidR="004A2CA3" w:rsidRPr="00F14767" w:rsidRDefault="004A2CA3" w:rsidP="004A2CA3">
            <w:pPr>
              <w:pStyle w:val="Table2"/>
            </w:pPr>
            <w:r w:rsidRPr="00F14767">
              <w:t>532710</w:t>
            </w:r>
          </w:p>
        </w:tc>
        <w:tc>
          <w:tcPr>
            <w:tcW w:w="1874" w:type="dxa"/>
          </w:tcPr>
          <w:p w:rsidR="004A2CA3" w:rsidRPr="00FD5A5A" w:rsidRDefault="004A2CA3" w:rsidP="004A2CA3">
            <w:pPr>
              <w:pStyle w:val="Table2"/>
            </w:pPr>
            <w:r w:rsidRPr="00FD5A5A">
              <w:t>0.0033</w:t>
            </w:r>
          </w:p>
        </w:tc>
      </w:tr>
      <w:tr w:rsidR="004A2CA3" w:rsidTr="00A16684">
        <w:tc>
          <w:tcPr>
            <w:tcW w:w="1873" w:type="dxa"/>
          </w:tcPr>
          <w:p w:rsidR="004A2CA3" w:rsidRDefault="004A2CA3" w:rsidP="004A2CA3">
            <w:pPr>
              <w:pStyle w:val="Table2"/>
            </w:pPr>
            <w:r>
              <w:t>23</w:t>
            </w:r>
          </w:p>
        </w:tc>
        <w:tc>
          <w:tcPr>
            <w:tcW w:w="1873" w:type="dxa"/>
            <w:vAlign w:val="bottom"/>
          </w:tcPr>
          <w:p w:rsidR="004A2CA3" w:rsidRPr="00F14767" w:rsidRDefault="004A2CA3" w:rsidP="004A2CA3">
            <w:pPr>
              <w:pStyle w:val="Table2"/>
            </w:pPr>
            <w:r w:rsidRPr="00F14767">
              <w:t>489</w:t>
            </w:r>
          </w:p>
        </w:tc>
        <w:tc>
          <w:tcPr>
            <w:tcW w:w="1873" w:type="dxa"/>
            <w:vAlign w:val="bottom"/>
          </w:tcPr>
          <w:p w:rsidR="004A2CA3" w:rsidRPr="00F14767" w:rsidRDefault="004A2CA3" w:rsidP="004A2CA3">
            <w:pPr>
              <w:pStyle w:val="Table2"/>
            </w:pPr>
            <w:r w:rsidRPr="00F14767">
              <w:t>532473</w:t>
            </w:r>
          </w:p>
        </w:tc>
        <w:tc>
          <w:tcPr>
            <w:tcW w:w="1874" w:type="dxa"/>
          </w:tcPr>
          <w:p w:rsidR="004A2CA3" w:rsidRPr="00FD5A5A" w:rsidRDefault="004A2CA3" w:rsidP="004A2CA3">
            <w:pPr>
              <w:pStyle w:val="Table2"/>
            </w:pPr>
            <w:r w:rsidRPr="00FD5A5A">
              <w:t>0.0024</w:t>
            </w:r>
          </w:p>
        </w:tc>
      </w:tr>
      <w:tr w:rsidR="004A2CA3" w:rsidTr="00A16684">
        <w:tc>
          <w:tcPr>
            <w:tcW w:w="1873" w:type="dxa"/>
          </w:tcPr>
          <w:p w:rsidR="004A2CA3" w:rsidRDefault="004A2CA3" w:rsidP="004A2CA3">
            <w:pPr>
              <w:pStyle w:val="Table2"/>
            </w:pPr>
            <w:r>
              <w:t>24</w:t>
            </w:r>
          </w:p>
        </w:tc>
        <w:tc>
          <w:tcPr>
            <w:tcW w:w="1873" w:type="dxa"/>
            <w:vAlign w:val="bottom"/>
          </w:tcPr>
          <w:p w:rsidR="004A2CA3" w:rsidRPr="00F14767" w:rsidRDefault="004A2CA3" w:rsidP="004A2CA3">
            <w:pPr>
              <w:pStyle w:val="Table2"/>
            </w:pPr>
            <w:r w:rsidRPr="00F14767">
              <w:t>360</w:t>
            </w:r>
          </w:p>
        </w:tc>
        <w:tc>
          <w:tcPr>
            <w:tcW w:w="1873" w:type="dxa"/>
            <w:vAlign w:val="bottom"/>
          </w:tcPr>
          <w:p w:rsidR="004A2CA3" w:rsidRPr="00F14767" w:rsidRDefault="004A2CA3" w:rsidP="004A2CA3">
            <w:pPr>
              <w:pStyle w:val="Table2"/>
            </w:pPr>
            <w:r w:rsidRPr="00F14767">
              <w:t>517449</w:t>
            </w:r>
          </w:p>
        </w:tc>
        <w:tc>
          <w:tcPr>
            <w:tcW w:w="1874" w:type="dxa"/>
          </w:tcPr>
          <w:p w:rsidR="004A2CA3" w:rsidRPr="00FD5A5A" w:rsidRDefault="004A2CA3" w:rsidP="004A2CA3">
            <w:pPr>
              <w:pStyle w:val="Table2"/>
            </w:pPr>
            <w:r w:rsidRPr="00FD5A5A">
              <w:t>0.0018</w:t>
            </w:r>
          </w:p>
        </w:tc>
      </w:tr>
      <w:tr w:rsidR="004A2CA3" w:rsidTr="00A16684">
        <w:tc>
          <w:tcPr>
            <w:tcW w:w="1873" w:type="dxa"/>
          </w:tcPr>
          <w:p w:rsidR="004A2CA3" w:rsidRDefault="004A2CA3" w:rsidP="004A2CA3">
            <w:pPr>
              <w:pStyle w:val="Table2"/>
            </w:pPr>
            <w:r>
              <w:t>25</w:t>
            </w:r>
          </w:p>
        </w:tc>
        <w:tc>
          <w:tcPr>
            <w:tcW w:w="1873" w:type="dxa"/>
            <w:vAlign w:val="bottom"/>
          </w:tcPr>
          <w:p w:rsidR="004A2CA3" w:rsidRPr="00F14767" w:rsidRDefault="004A2CA3" w:rsidP="004A2CA3">
            <w:pPr>
              <w:pStyle w:val="Table2"/>
            </w:pPr>
            <w:r w:rsidRPr="00F14767">
              <w:t>314</w:t>
            </w:r>
          </w:p>
        </w:tc>
        <w:tc>
          <w:tcPr>
            <w:tcW w:w="1873" w:type="dxa"/>
            <w:vAlign w:val="bottom"/>
          </w:tcPr>
          <w:p w:rsidR="004A2CA3" w:rsidRPr="00F14767" w:rsidRDefault="004A2CA3" w:rsidP="004A2CA3">
            <w:pPr>
              <w:pStyle w:val="Table2"/>
            </w:pPr>
            <w:r w:rsidRPr="00F14767">
              <w:t>556300</w:t>
            </w:r>
          </w:p>
        </w:tc>
        <w:tc>
          <w:tcPr>
            <w:tcW w:w="1874" w:type="dxa"/>
          </w:tcPr>
          <w:p w:rsidR="004A2CA3" w:rsidRPr="00FD5A5A" w:rsidRDefault="004A2CA3" w:rsidP="004A2CA3">
            <w:pPr>
              <w:pStyle w:val="Table2"/>
            </w:pPr>
            <w:r w:rsidRPr="00FD5A5A">
              <w:t>0.0015</w:t>
            </w:r>
          </w:p>
        </w:tc>
      </w:tr>
      <w:tr w:rsidR="004A2CA3" w:rsidTr="00A16684">
        <w:tc>
          <w:tcPr>
            <w:tcW w:w="1873" w:type="dxa"/>
          </w:tcPr>
          <w:p w:rsidR="004A2CA3" w:rsidRDefault="004A2CA3" w:rsidP="004A2CA3">
            <w:pPr>
              <w:pStyle w:val="Table2"/>
            </w:pPr>
            <w:r>
              <w:t>26</w:t>
            </w:r>
          </w:p>
        </w:tc>
        <w:tc>
          <w:tcPr>
            <w:tcW w:w="1873" w:type="dxa"/>
            <w:vAlign w:val="bottom"/>
          </w:tcPr>
          <w:p w:rsidR="004A2CA3" w:rsidRPr="00F14767" w:rsidRDefault="004A2CA3" w:rsidP="004A2CA3">
            <w:pPr>
              <w:pStyle w:val="Table2"/>
            </w:pPr>
            <w:r w:rsidRPr="00F14767">
              <w:t>263</w:t>
            </w:r>
          </w:p>
        </w:tc>
        <w:tc>
          <w:tcPr>
            <w:tcW w:w="1873" w:type="dxa"/>
            <w:vAlign w:val="bottom"/>
          </w:tcPr>
          <w:p w:rsidR="004A2CA3" w:rsidRPr="00F14767" w:rsidRDefault="004A2CA3" w:rsidP="004A2CA3">
            <w:pPr>
              <w:pStyle w:val="Table2"/>
            </w:pPr>
            <w:r w:rsidRPr="00F14767">
              <w:t>551011</w:t>
            </w:r>
          </w:p>
        </w:tc>
        <w:tc>
          <w:tcPr>
            <w:tcW w:w="1874" w:type="dxa"/>
          </w:tcPr>
          <w:p w:rsidR="004A2CA3" w:rsidRPr="00FD5A5A" w:rsidRDefault="004A2CA3" w:rsidP="004A2CA3">
            <w:pPr>
              <w:pStyle w:val="Table2"/>
            </w:pPr>
            <w:r w:rsidRPr="00FD5A5A">
              <w:t>0.0013</w:t>
            </w:r>
          </w:p>
        </w:tc>
      </w:tr>
    </w:tbl>
    <w:p w:rsidR="00816097" w:rsidRDefault="00816097" w:rsidP="00927782"/>
    <w:p w:rsidR="00816097" w:rsidRDefault="00816097">
      <w:pPr>
        <w:tabs>
          <w:tab w:val="clear" w:pos="851"/>
        </w:tabs>
        <w:spacing w:before="0" w:after="200" w:line="276" w:lineRule="auto"/>
      </w:pPr>
      <w:r>
        <w:br w:type="page"/>
      </w:r>
    </w:p>
    <w:p w:rsidR="005D6A07" w:rsidRDefault="00816097" w:rsidP="00927782">
      <w:r>
        <w:rPr>
          <w:noProof/>
          <w:lang w:eastAsia="en-AU"/>
        </w:rPr>
        <w:lastRenderedPageBreak/>
        <w:drawing>
          <wp:inline distT="0" distB="0" distL="0" distR="0">
            <wp:extent cx="5731510" cy="3358077"/>
            <wp:effectExtent l="0" t="0" r="21590"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16684" w:rsidRDefault="00A16684" w:rsidP="00A16684">
      <w:pPr>
        <w:pStyle w:val="ListParagraph"/>
        <w:numPr>
          <w:ilvl w:val="0"/>
          <w:numId w:val="21"/>
        </w:numPr>
      </w:pPr>
      <w:r>
        <w:t>Calculate the net difference in the number of vehicles fitted with ABS between the BAU and the option.</w:t>
      </w:r>
    </w:p>
    <w:p w:rsidR="00A16684" w:rsidRDefault="00A16684" w:rsidP="00A16684">
      <w:pPr>
        <w:pStyle w:val="ListParagraph"/>
        <w:numPr>
          <w:ilvl w:val="0"/>
          <w:numId w:val="21"/>
        </w:numPr>
      </w:pPr>
      <w:r>
        <w:t>For each year under the option, multiply the net number of vehicles fitted with ABS by the likelihood of an injury crash per registration in that first year.  Add this to the likelihoods of all older vehicles crashing during that year.</w:t>
      </w:r>
    </w:p>
    <w:p w:rsidR="00A16684" w:rsidRDefault="00A16684" w:rsidP="00A16684">
      <w:pPr>
        <w:pStyle w:val="ListParagraph"/>
        <w:numPr>
          <w:ilvl w:val="0"/>
          <w:numId w:val="21"/>
        </w:numPr>
      </w:pPr>
      <w:r>
        <w:t>For each year under the option, multiply the result from step 5 by the overall effectiveness of ABS.</w:t>
      </w:r>
    </w:p>
    <w:p w:rsidR="00816097" w:rsidRDefault="00A16684" w:rsidP="00A16684">
      <w:pPr>
        <w:pStyle w:val="ListParagraph"/>
        <w:numPr>
          <w:ilvl w:val="0"/>
          <w:numId w:val="21"/>
        </w:numPr>
      </w:pPr>
      <w:r>
        <w:t>Multiply the result from step 6 by the costs associated with the average casualty crash.  This gives the benefits.</w:t>
      </w:r>
    </w:p>
    <w:p w:rsidR="00816097" w:rsidRDefault="00816097" w:rsidP="00927782"/>
    <w:p w:rsidR="00A16684" w:rsidRDefault="00A16684" w:rsidP="00927782">
      <w:pPr>
        <w:sectPr w:rsidR="00A16684" w:rsidSect="00CF1F32">
          <w:headerReference w:type="default" r:id="rId64"/>
          <w:footerReference w:type="default" r:id="rId65"/>
          <w:pgSz w:w="11906" w:h="16838"/>
          <w:pgMar w:top="1440" w:right="1440" w:bottom="1440" w:left="1440" w:header="708" w:footer="708" w:gutter="0"/>
          <w:cols w:space="708"/>
          <w:docGrid w:linePitch="360"/>
        </w:sectPr>
      </w:pPr>
    </w:p>
    <w:p w:rsidR="00D2336B" w:rsidRDefault="00D2336B" w:rsidP="00D2336B">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14</w:t>
      </w:r>
      <w:r w:rsidR="00C036A7">
        <w:rPr>
          <w:noProof/>
        </w:rPr>
        <w:fldChar w:fldCharType="end"/>
      </w:r>
      <w:r>
        <w:t xml:space="preserve"> Option 2—amend ADRs 35 and 38 on heavy commercial vehicles (regulation)</w:t>
      </w:r>
      <w:r w:rsidR="009462A6">
        <w:t>—trucks and trailers</w:t>
      </w:r>
    </w:p>
    <w:tbl>
      <w:tblPr>
        <w:tblW w:w="16019" w:type="dxa"/>
        <w:tblInd w:w="-176" w:type="dxa"/>
        <w:tblLayout w:type="fixed"/>
        <w:tblLook w:val="04A0" w:firstRow="1" w:lastRow="0" w:firstColumn="1" w:lastColumn="0" w:noHBand="0" w:noVBand="1"/>
      </w:tblPr>
      <w:tblGrid>
        <w:gridCol w:w="426"/>
        <w:gridCol w:w="709"/>
        <w:gridCol w:w="624"/>
        <w:gridCol w:w="441"/>
        <w:gridCol w:w="442"/>
        <w:gridCol w:w="442"/>
        <w:gridCol w:w="441"/>
        <w:gridCol w:w="442"/>
        <w:gridCol w:w="442"/>
        <w:gridCol w:w="441"/>
        <w:gridCol w:w="442"/>
        <w:gridCol w:w="442"/>
        <w:gridCol w:w="442"/>
        <w:gridCol w:w="441"/>
        <w:gridCol w:w="442"/>
        <w:gridCol w:w="442"/>
        <w:gridCol w:w="441"/>
        <w:gridCol w:w="442"/>
        <w:gridCol w:w="442"/>
        <w:gridCol w:w="442"/>
        <w:gridCol w:w="441"/>
        <w:gridCol w:w="442"/>
        <w:gridCol w:w="442"/>
        <w:gridCol w:w="441"/>
        <w:gridCol w:w="442"/>
        <w:gridCol w:w="442"/>
        <w:gridCol w:w="442"/>
        <w:gridCol w:w="441"/>
        <w:gridCol w:w="442"/>
        <w:gridCol w:w="442"/>
        <w:gridCol w:w="441"/>
        <w:gridCol w:w="442"/>
        <w:gridCol w:w="442"/>
        <w:gridCol w:w="442"/>
        <w:gridCol w:w="567"/>
      </w:tblGrid>
      <w:tr w:rsidR="00A16684" w:rsidRPr="003E3F01" w:rsidTr="008B6C7A">
        <w:trPr>
          <w:cantSplit/>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6684" w:rsidRPr="00555F72" w:rsidRDefault="00A16684" w:rsidP="00555F72">
            <w:pPr>
              <w:pStyle w:val="Table3heading"/>
            </w:pPr>
            <w:r w:rsidRPr="00555F72">
              <w:t>Year</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6684" w:rsidRPr="00555F72" w:rsidRDefault="00A16684" w:rsidP="00555F72">
            <w:pPr>
              <w:pStyle w:val="Table3heading"/>
            </w:pPr>
            <w:r w:rsidRPr="00555F72">
              <w:t>Likelihood of crash per vehicle</w:t>
            </w:r>
          </w:p>
        </w:tc>
        <w:tc>
          <w:tcPr>
            <w:tcW w:w="6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6684" w:rsidRPr="00555F72" w:rsidRDefault="00A16684" w:rsidP="00555F72">
            <w:pPr>
              <w:pStyle w:val="Table3heading"/>
            </w:pPr>
            <w:r w:rsidRPr="00555F72">
              <w:t>Option minus BAU</w:t>
            </w:r>
          </w:p>
        </w:tc>
        <w:tc>
          <w:tcPr>
            <w:tcW w:w="13693" w:type="dxa"/>
            <w:gridSpan w:val="31"/>
            <w:tcBorders>
              <w:top w:val="single" w:sz="4" w:space="0" w:color="auto"/>
              <w:left w:val="single" w:sz="4" w:space="0" w:color="auto"/>
              <w:bottom w:val="nil"/>
              <w:right w:val="single" w:sz="4" w:space="0" w:color="auto"/>
            </w:tcBorders>
            <w:vAlign w:val="center"/>
          </w:tcPr>
          <w:p w:rsidR="00555F72" w:rsidRDefault="00555F72" w:rsidP="00555F72">
            <w:pPr>
              <w:pStyle w:val="Table3heading"/>
              <w:jc w:val="center"/>
            </w:pPr>
          </w:p>
          <w:p w:rsidR="00A16684" w:rsidRDefault="00A16684" w:rsidP="00555F72">
            <w:pPr>
              <w:pStyle w:val="Table3heading"/>
              <w:jc w:val="center"/>
            </w:pPr>
            <w:r w:rsidRPr="00555F72">
              <w:t>Year</w:t>
            </w:r>
          </w:p>
          <w:p w:rsidR="00555F72" w:rsidRPr="00555F72" w:rsidRDefault="00555F72" w:rsidP="008B6C7A">
            <w:pPr>
              <w:pStyle w:val="Table3heading"/>
              <w:jc w:val="cente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6684" w:rsidRPr="00555F72" w:rsidRDefault="00A16684" w:rsidP="00555F72">
            <w:pPr>
              <w:pStyle w:val="Table3heading"/>
            </w:pPr>
            <w:r w:rsidRPr="00555F72">
              <w:t>Total vehicles</w:t>
            </w:r>
          </w:p>
        </w:tc>
      </w:tr>
      <w:tr w:rsidR="008B6C7A" w:rsidRPr="003E3F01" w:rsidTr="008B6C7A">
        <w:trPr>
          <w:cantSplit/>
          <w:trHeight w:val="118"/>
        </w:trPr>
        <w:tc>
          <w:tcPr>
            <w:tcW w:w="426" w:type="dxa"/>
            <w:vMerge/>
            <w:tcBorders>
              <w:top w:val="single" w:sz="4" w:space="0" w:color="auto"/>
              <w:left w:val="single" w:sz="4" w:space="0" w:color="auto"/>
              <w:bottom w:val="single" w:sz="4" w:space="0" w:color="auto"/>
              <w:right w:val="single" w:sz="4" w:space="0" w:color="auto"/>
            </w:tcBorders>
            <w:vAlign w:val="center"/>
          </w:tcPr>
          <w:p w:rsidR="00A16684" w:rsidRPr="005012E6" w:rsidRDefault="00A16684" w:rsidP="00A16684">
            <w:pPr>
              <w:pStyle w:val="Table3heading"/>
            </w:pPr>
          </w:p>
        </w:tc>
        <w:tc>
          <w:tcPr>
            <w:tcW w:w="709" w:type="dxa"/>
            <w:vMerge/>
            <w:tcBorders>
              <w:top w:val="single" w:sz="4" w:space="0" w:color="auto"/>
              <w:left w:val="single" w:sz="4" w:space="0" w:color="auto"/>
              <w:bottom w:val="single" w:sz="4" w:space="0" w:color="auto"/>
              <w:right w:val="single" w:sz="4" w:space="0" w:color="auto"/>
            </w:tcBorders>
            <w:vAlign w:val="center"/>
          </w:tcPr>
          <w:p w:rsidR="00A16684" w:rsidRPr="005012E6" w:rsidRDefault="00A16684" w:rsidP="00A16684">
            <w:pPr>
              <w:pStyle w:val="Table3heading"/>
            </w:pPr>
          </w:p>
        </w:tc>
        <w:tc>
          <w:tcPr>
            <w:tcW w:w="624" w:type="dxa"/>
            <w:vMerge/>
            <w:tcBorders>
              <w:left w:val="single" w:sz="4" w:space="0" w:color="auto"/>
              <w:bottom w:val="single" w:sz="4" w:space="0" w:color="auto"/>
              <w:right w:val="single" w:sz="4" w:space="0" w:color="auto"/>
            </w:tcBorders>
            <w:vAlign w:val="center"/>
          </w:tcPr>
          <w:p w:rsidR="00A16684" w:rsidRPr="005012E6" w:rsidRDefault="00A16684" w:rsidP="00A16684">
            <w:pPr>
              <w:pStyle w:val="Table3heading"/>
            </w:pPr>
          </w:p>
        </w:tc>
        <w:tc>
          <w:tcPr>
            <w:tcW w:w="441" w:type="dxa"/>
            <w:tcBorders>
              <w:top w:val="nil"/>
              <w:left w:val="single" w:sz="4" w:space="0" w:color="auto"/>
              <w:bottom w:val="single" w:sz="4" w:space="0" w:color="auto"/>
              <w:right w:val="nil"/>
            </w:tcBorders>
            <w:vAlign w:val="center"/>
          </w:tcPr>
          <w:p w:rsidR="00A16684" w:rsidRPr="005012E6" w:rsidRDefault="00A16684" w:rsidP="00555F72">
            <w:pPr>
              <w:pStyle w:val="Table3heading"/>
            </w:pPr>
            <w:r w:rsidRPr="005012E6">
              <w:t>0</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3</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4</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5</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6</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7</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8</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9</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10</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11</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12</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13</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14</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15</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16</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17</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18</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19</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20</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21</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22</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23</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24</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25</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26</w:t>
            </w:r>
          </w:p>
        </w:tc>
        <w:tc>
          <w:tcPr>
            <w:tcW w:w="441" w:type="dxa"/>
            <w:tcBorders>
              <w:top w:val="nil"/>
              <w:left w:val="nil"/>
              <w:bottom w:val="single" w:sz="4" w:space="0" w:color="auto"/>
              <w:right w:val="nil"/>
            </w:tcBorders>
            <w:vAlign w:val="center"/>
          </w:tcPr>
          <w:p w:rsidR="00A16684" w:rsidRPr="005012E6" w:rsidRDefault="00A16684" w:rsidP="00555F72">
            <w:pPr>
              <w:pStyle w:val="Table3heading"/>
            </w:pPr>
            <w:r w:rsidRPr="005012E6">
              <w:t>27</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28</w:t>
            </w:r>
          </w:p>
        </w:tc>
        <w:tc>
          <w:tcPr>
            <w:tcW w:w="442" w:type="dxa"/>
            <w:tcBorders>
              <w:top w:val="nil"/>
              <w:left w:val="nil"/>
              <w:bottom w:val="single" w:sz="4" w:space="0" w:color="auto"/>
              <w:right w:val="nil"/>
            </w:tcBorders>
            <w:vAlign w:val="center"/>
          </w:tcPr>
          <w:p w:rsidR="00A16684" w:rsidRPr="005012E6" w:rsidRDefault="00A16684" w:rsidP="00555F72">
            <w:pPr>
              <w:pStyle w:val="Table3heading"/>
            </w:pPr>
            <w:r w:rsidRPr="005012E6">
              <w:t>29</w:t>
            </w:r>
          </w:p>
        </w:tc>
        <w:tc>
          <w:tcPr>
            <w:tcW w:w="442" w:type="dxa"/>
            <w:tcBorders>
              <w:top w:val="nil"/>
              <w:left w:val="nil"/>
              <w:bottom w:val="single" w:sz="4" w:space="0" w:color="auto"/>
              <w:right w:val="single" w:sz="4" w:space="0" w:color="auto"/>
            </w:tcBorders>
            <w:vAlign w:val="center"/>
          </w:tcPr>
          <w:p w:rsidR="00A16684" w:rsidRPr="005012E6" w:rsidRDefault="00A16684" w:rsidP="00555F72">
            <w:pPr>
              <w:pStyle w:val="Table3heading"/>
            </w:pPr>
            <w:r w:rsidRPr="005012E6">
              <w:t>30</w:t>
            </w:r>
          </w:p>
        </w:tc>
        <w:tc>
          <w:tcPr>
            <w:tcW w:w="567" w:type="dxa"/>
            <w:vMerge/>
            <w:tcBorders>
              <w:left w:val="single" w:sz="4" w:space="0" w:color="auto"/>
              <w:bottom w:val="single" w:sz="4" w:space="0" w:color="auto"/>
              <w:right w:val="single" w:sz="4" w:space="0" w:color="auto"/>
            </w:tcBorders>
            <w:vAlign w:val="center"/>
          </w:tcPr>
          <w:p w:rsidR="00A16684" w:rsidRPr="005012E6" w:rsidRDefault="00A16684" w:rsidP="00A16684">
            <w:pPr>
              <w:pStyle w:val="Table3heading"/>
            </w:pPr>
          </w:p>
        </w:tc>
      </w:tr>
      <w:tr w:rsidR="00666C55" w:rsidRPr="003E3F01" w:rsidTr="000015E0">
        <w:tc>
          <w:tcPr>
            <w:tcW w:w="426" w:type="dxa"/>
            <w:tcBorders>
              <w:top w:val="single" w:sz="4" w:space="0" w:color="auto"/>
              <w:left w:val="single" w:sz="4" w:space="0" w:color="auto"/>
              <w:bottom w:val="nil"/>
              <w:right w:val="single" w:sz="4" w:space="0" w:color="auto"/>
            </w:tcBorders>
            <w:vAlign w:val="center"/>
          </w:tcPr>
          <w:p w:rsidR="00666C55" w:rsidRPr="00555F72" w:rsidRDefault="00666C55" w:rsidP="00555F72">
            <w:pPr>
              <w:pStyle w:val="Table3"/>
            </w:pPr>
            <w:r w:rsidRPr="00555F72">
              <w:t>1</w:t>
            </w:r>
          </w:p>
        </w:tc>
        <w:tc>
          <w:tcPr>
            <w:tcW w:w="709" w:type="dxa"/>
            <w:tcBorders>
              <w:top w:val="single" w:sz="4" w:space="0" w:color="auto"/>
              <w:left w:val="single" w:sz="4" w:space="0" w:color="auto"/>
              <w:bottom w:val="nil"/>
              <w:right w:val="single" w:sz="4" w:space="0" w:color="auto"/>
            </w:tcBorders>
          </w:tcPr>
          <w:p w:rsidR="00666C55" w:rsidRPr="00555F72" w:rsidRDefault="00666C55" w:rsidP="00555F72">
            <w:pPr>
              <w:pStyle w:val="Table3"/>
            </w:pPr>
            <w:r w:rsidRPr="00555F72">
              <w:t>0.0038</w:t>
            </w:r>
          </w:p>
        </w:tc>
        <w:tc>
          <w:tcPr>
            <w:tcW w:w="624" w:type="dxa"/>
            <w:tcBorders>
              <w:top w:val="single" w:sz="4" w:space="0" w:color="auto"/>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single" w:sz="4" w:space="0" w:color="auto"/>
              <w:left w:val="single" w:sz="4" w:space="0" w:color="auto"/>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r>
              <w:t>0</w:t>
            </w: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1"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nil"/>
            </w:tcBorders>
            <w:vAlign w:val="bottom"/>
          </w:tcPr>
          <w:p w:rsidR="00666C55" w:rsidRDefault="00666C55" w:rsidP="00666C55">
            <w:pPr>
              <w:pStyle w:val="Table3"/>
            </w:pPr>
          </w:p>
        </w:tc>
        <w:tc>
          <w:tcPr>
            <w:tcW w:w="442" w:type="dxa"/>
            <w:tcBorders>
              <w:top w:val="single" w:sz="4" w:space="0" w:color="auto"/>
              <w:left w:val="nil"/>
              <w:bottom w:val="nil"/>
              <w:right w:val="single" w:sz="4" w:space="0" w:color="auto"/>
            </w:tcBorders>
            <w:vAlign w:val="bottom"/>
          </w:tcPr>
          <w:p w:rsidR="00666C55" w:rsidRDefault="00666C55" w:rsidP="00666C55">
            <w:pPr>
              <w:pStyle w:val="Table3"/>
            </w:pPr>
          </w:p>
        </w:tc>
        <w:tc>
          <w:tcPr>
            <w:tcW w:w="567" w:type="dxa"/>
            <w:tcBorders>
              <w:top w:val="single" w:sz="4" w:space="0" w:color="auto"/>
              <w:left w:val="single" w:sz="4" w:space="0" w:color="auto"/>
              <w:bottom w:val="nil"/>
              <w:right w:val="single" w:sz="4" w:space="0" w:color="auto"/>
            </w:tcBorders>
            <w:vAlign w:val="bottom"/>
          </w:tcPr>
          <w:p w:rsidR="00666C55" w:rsidRDefault="00666C55" w:rsidP="00666C55">
            <w:pPr>
              <w:pStyle w:val="Table3"/>
            </w:pPr>
            <w:r>
              <w:t>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0.0091</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22978</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87</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87</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3</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0.0087</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23897</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209</w:t>
            </w:r>
          </w:p>
        </w:tc>
        <w:tc>
          <w:tcPr>
            <w:tcW w:w="441" w:type="dxa"/>
            <w:tcBorders>
              <w:top w:val="nil"/>
              <w:left w:val="nil"/>
              <w:bottom w:val="nil"/>
              <w:right w:val="nil"/>
            </w:tcBorders>
            <w:vAlign w:val="bottom"/>
          </w:tcPr>
          <w:p w:rsidR="00666C55" w:rsidRDefault="00666C55" w:rsidP="00666C55">
            <w:pPr>
              <w:pStyle w:val="Table3"/>
            </w:pPr>
            <w:r>
              <w:t>90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300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4</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0.0091</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24853</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200</w:t>
            </w:r>
          </w:p>
        </w:tc>
        <w:tc>
          <w:tcPr>
            <w:tcW w:w="441" w:type="dxa"/>
            <w:tcBorders>
              <w:top w:val="nil"/>
              <w:left w:val="nil"/>
              <w:bottom w:val="nil"/>
              <w:right w:val="nil"/>
            </w:tcBorders>
            <w:vAlign w:val="bottom"/>
          </w:tcPr>
          <w:p w:rsidR="00666C55" w:rsidRDefault="00666C55" w:rsidP="00666C55">
            <w:pPr>
              <w:pStyle w:val="Table3"/>
            </w:pPr>
            <w:r>
              <w:t>218</w:t>
            </w:r>
          </w:p>
        </w:tc>
        <w:tc>
          <w:tcPr>
            <w:tcW w:w="442" w:type="dxa"/>
            <w:tcBorders>
              <w:top w:val="nil"/>
              <w:left w:val="nil"/>
              <w:bottom w:val="nil"/>
              <w:right w:val="nil"/>
            </w:tcBorders>
            <w:vAlign w:val="bottom"/>
          </w:tcPr>
          <w:p w:rsidR="00666C55" w:rsidRDefault="00666C55" w:rsidP="00666C55">
            <w:pPr>
              <w:pStyle w:val="Table3"/>
            </w:pPr>
            <w:r>
              <w:t>94</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512</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5</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0.0092</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25847</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210</w:t>
            </w:r>
          </w:p>
        </w:tc>
        <w:tc>
          <w:tcPr>
            <w:tcW w:w="441" w:type="dxa"/>
            <w:tcBorders>
              <w:top w:val="nil"/>
              <w:left w:val="nil"/>
              <w:bottom w:val="nil"/>
              <w:right w:val="nil"/>
            </w:tcBorders>
            <w:vAlign w:val="bottom"/>
          </w:tcPr>
          <w:p w:rsidR="00666C55" w:rsidRDefault="00666C55" w:rsidP="00666C55">
            <w:pPr>
              <w:pStyle w:val="Table3"/>
            </w:pPr>
            <w:r>
              <w:t>208</w:t>
            </w:r>
          </w:p>
        </w:tc>
        <w:tc>
          <w:tcPr>
            <w:tcW w:w="442" w:type="dxa"/>
            <w:tcBorders>
              <w:top w:val="nil"/>
              <w:left w:val="nil"/>
              <w:bottom w:val="nil"/>
              <w:right w:val="nil"/>
            </w:tcBorders>
            <w:vAlign w:val="bottom"/>
          </w:tcPr>
          <w:p w:rsidR="00666C55" w:rsidRDefault="00666C55" w:rsidP="00666C55">
            <w:pPr>
              <w:pStyle w:val="Table3"/>
            </w:pPr>
            <w:r>
              <w:t>227</w:t>
            </w:r>
          </w:p>
        </w:tc>
        <w:tc>
          <w:tcPr>
            <w:tcW w:w="442" w:type="dxa"/>
            <w:tcBorders>
              <w:top w:val="nil"/>
              <w:left w:val="nil"/>
              <w:bottom w:val="nil"/>
              <w:right w:val="nil"/>
            </w:tcBorders>
            <w:vAlign w:val="bottom"/>
          </w:tcPr>
          <w:p w:rsidR="00666C55" w:rsidRDefault="00666C55" w:rsidP="00666C55">
            <w:pPr>
              <w:pStyle w:val="Table3"/>
            </w:pPr>
            <w:r>
              <w:t>98</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742</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6</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0.0092</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211</w:t>
            </w:r>
          </w:p>
        </w:tc>
        <w:tc>
          <w:tcPr>
            <w:tcW w:w="441" w:type="dxa"/>
            <w:tcBorders>
              <w:top w:val="nil"/>
              <w:left w:val="nil"/>
              <w:bottom w:val="nil"/>
              <w:right w:val="nil"/>
            </w:tcBorders>
            <w:vAlign w:val="bottom"/>
          </w:tcPr>
          <w:p w:rsidR="00666C55" w:rsidRDefault="00666C55" w:rsidP="00666C55">
            <w:pPr>
              <w:pStyle w:val="Table3"/>
            </w:pPr>
            <w:r>
              <w:t>218</w:t>
            </w:r>
          </w:p>
        </w:tc>
        <w:tc>
          <w:tcPr>
            <w:tcW w:w="442" w:type="dxa"/>
            <w:tcBorders>
              <w:top w:val="nil"/>
              <w:left w:val="nil"/>
              <w:bottom w:val="nil"/>
              <w:right w:val="nil"/>
            </w:tcBorders>
            <w:vAlign w:val="bottom"/>
          </w:tcPr>
          <w:p w:rsidR="00666C55" w:rsidRDefault="00666C55" w:rsidP="00666C55">
            <w:pPr>
              <w:pStyle w:val="Table3"/>
            </w:pPr>
            <w:r>
              <w:t>217</w:t>
            </w:r>
          </w:p>
        </w:tc>
        <w:tc>
          <w:tcPr>
            <w:tcW w:w="442" w:type="dxa"/>
            <w:tcBorders>
              <w:top w:val="nil"/>
              <w:left w:val="nil"/>
              <w:bottom w:val="nil"/>
              <w:right w:val="nil"/>
            </w:tcBorders>
            <w:vAlign w:val="bottom"/>
          </w:tcPr>
          <w:p w:rsidR="00666C55" w:rsidRDefault="00666C55" w:rsidP="00666C55">
            <w:pPr>
              <w:pStyle w:val="Table3"/>
            </w:pPr>
            <w:r>
              <w:t>236</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881</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7</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0.0089</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212</w:t>
            </w:r>
          </w:p>
        </w:tc>
        <w:tc>
          <w:tcPr>
            <w:tcW w:w="441" w:type="dxa"/>
            <w:tcBorders>
              <w:top w:val="nil"/>
              <w:left w:val="nil"/>
              <w:bottom w:val="nil"/>
              <w:right w:val="nil"/>
            </w:tcBorders>
            <w:vAlign w:val="bottom"/>
          </w:tcPr>
          <w:p w:rsidR="00666C55" w:rsidRDefault="00666C55" w:rsidP="00666C55">
            <w:pPr>
              <w:pStyle w:val="Table3"/>
            </w:pPr>
            <w:r>
              <w:t>220</w:t>
            </w:r>
          </w:p>
        </w:tc>
        <w:tc>
          <w:tcPr>
            <w:tcW w:w="442" w:type="dxa"/>
            <w:tcBorders>
              <w:top w:val="nil"/>
              <w:left w:val="nil"/>
              <w:bottom w:val="nil"/>
              <w:right w:val="nil"/>
            </w:tcBorders>
            <w:vAlign w:val="bottom"/>
          </w:tcPr>
          <w:p w:rsidR="00666C55" w:rsidRDefault="00666C55" w:rsidP="00666C55">
            <w:pPr>
              <w:pStyle w:val="Table3"/>
            </w:pPr>
            <w:r>
              <w:t>227</w:t>
            </w:r>
          </w:p>
        </w:tc>
        <w:tc>
          <w:tcPr>
            <w:tcW w:w="442" w:type="dxa"/>
            <w:tcBorders>
              <w:top w:val="nil"/>
              <w:left w:val="nil"/>
              <w:bottom w:val="nil"/>
              <w:right w:val="nil"/>
            </w:tcBorders>
            <w:vAlign w:val="bottom"/>
          </w:tcPr>
          <w:p w:rsidR="00666C55" w:rsidRDefault="00666C55" w:rsidP="00666C55">
            <w:pPr>
              <w:pStyle w:val="Table3"/>
            </w:pPr>
            <w:r>
              <w:t>225</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884</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8</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0.0081</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205</w:t>
            </w:r>
          </w:p>
        </w:tc>
        <w:tc>
          <w:tcPr>
            <w:tcW w:w="441" w:type="dxa"/>
            <w:tcBorders>
              <w:top w:val="nil"/>
              <w:left w:val="nil"/>
              <w:bottom w:val="nil"/>
              <w:right w:val="nil"/>
            </w:tcBorders>
            <w:vAlign w:val="bottom"/>
          </w:tcPr>
          <w:p w:rsidR="00666C55" w:rsidRDefault="00666C55" w:rsidP="00666C55">
            <w:pPr>
              <w:pStyle w:val="Table3"/>
            </w:pPr>
            <w:r>
              <w:t>221</w:t>
            </w:r>
          </w:p>
        </w:tc>
        <w:tc>
          <w:tcPr>
            <w:tcW w:w="442" w:type="dxa"/>
            <w:tcBorders>
              <w:top w:val="nil"/>
              <w:left w:val="nil"/>
              <w:bottom w:val="nil"/>
              <w:right w:val="nil"/>
            </w:tcBorders>
            <w:vAlign w:val="bottom"/>
          </w:tcPr>
          <w:p w:rsidR="00666C55" w:rsidRDefault="00666C55" w:rsidP="00666C55">
            <w:pPr>
              <w:pStyle w:val="Table3"/>
            </w:pPr>
            <w:r>
              <w:t>228</w:t>
            </w:r>
          </w:p>
        </w:tc>
        <w:tc>
          <w:tcPr>
            <w:tcW w:w="442" w:type="dxa"/>
            <w:tcBorders>
              <w:top w:val="nil"/>
              <w:left w:val="nil"/>
              <w:bottom w:val="nil"/>
              <w:right w:val="nil"/>
            </w:tcBorders>
            <w:vAlign w:val="bottom"/>
          </w:tcPr>
          <w:p w:rsidR="00666C55" w:rsidRDefault="00666C55" w:rsidP="00666C55">
            <w:pPr>
              <w:pStyle w:val="Table3"/>
            </w:pPr>
            <w:r>
              <w:t>236</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890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9</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0.0082</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187</w:t>
            </w:r>
          </w:p>
        </w:tc>
        <w:tc>
          <w:tcPr>
            <w:tcW w:w="441" w:type="dxa"/>
            <w:tcBorders>
              <w:top w:val="nil"/>
              <w:left w:val="nil"/>
              <w:bottom w:val="nil"/>
              <w:right w:val="nil"/>
            </w:tcBorders>
            <w:vAlign w:val="bottom"/>
          </w:tcPr>
          <w:p w:rsidR="00666C55" w:rsidRDefault="00666C55" w:rsidP="00666C55">
            <w:pPr>
              <w:pStyle w:val="Table3"/>
            </w:pPr>
            <w:r>
              <w:t>214</w:t>
            </w:r>
          </w:p>
        </w:tc>
        <w:tc>
          <w:tcPr>
            <w:tcW w:w="442" w:type="dxa"/>
            <w:tcBorders>
              <w:top w:val="nil"/>
              <w:left w:val="nil"/>
              <w:bottom w:val="nil"/>
              <w:right w:val="nil"/>
            </w:tcBorders>
            <w:vAlign w:val="bottom"/>
          </w:tcPr>
          <w:p w:rsidR="00666C55" w:rsidRDefault="00666C55" w:rsidP="00666C55">
            <w:pPr>
              <w:pStyle w:val="Table3"/>
            </w:pPr>
            <w:r>
              <w:t>229</w:t>
            </w:r>
          </w:p>
        </w:tc>
        <w:tc>
          <w:tcPr>
            <w:tcW w:w="442" w:type="dxa"/>
            <w:tcBorders>
              <w:top w:val="nil"/>
              <w:left w:val="nil"/>
              <w:bottom w:val="nil"/>
              <w:right w:val="nil"/>
            </w:tcBorders>
            <w:vAlign w:val="bottom"/>
          </w:tcPr>
          <w:p w:rsidR="00666C55" w:rsidRDefault="00666C55" w:rsidP="00666C55">
            <w:pPr>
              <w:pStyle w:val="Table3"/>
            </w:pPr>
            <w:r>
              <w:t>238</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868</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10</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0.0087</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189</w:t>
            </w:r>
          </w:p>
        </w:tc>
        <w:tc>
          <w:tcPr>
            <w:tcW w:w="441" w:type="dxa"/>
            <w:tcBorders>
              <w:top w:val="nil"/>
              <w:left w:val="nil"/>
              <w:bottom w:val="nil"/>
              <w:right w:val="nil"/>
            </w:tcBorders>
            <w:vAlign w:val="bottom"/>
          </w:tcPr>
          <w:p w:rsidR="00666C55" w:rsidRDefault="00666C55" w:rsidP="00666C55">
            <w:pPr>
              <w:pStyle w:val="Table3"/>
            </w:pPr>
            <w:r>
              <w:t>195</w:t>
            </w:r>
          </w:p>
        </w:tc>
        <w:tc>
          <w:tcPr>
            <w:tcW w:w="442" w:type="dxa"/>
            <w:tcBorders>
              <w:top w:val="nil"/>
              <w:left w:val="nil"/>
              <w:bottom w:val="nil"/>
              <w:right w:val="nil"/>
            </w:tcBorders>
            <w:vAlign w:val="bottom"/>
          </w:tcPr>
          <w:p w:rsidR="00666C55" w:rsidRDefault="00666C55" w:rsidP="00666C55">
            <w:pPr>
              <w:pStyle w:val="Table3"/>
            </w:pPr>
            <w:r>
              <w:t>222</w:t>
            </w:r>
          </w:p>
        </w:tc>
        <w:tc>
          <w:tcPr>
            <w:tcW w:w="442" w:type="dxa"/>
            <w:tcBorders>
              <w:top w:val="nil"/>
              <w:left w:val="nil"/>
              <w:bottom w:val="nil"/>
              <w:right w:val="nil"/>
            </w:tcBorders>
            <w:vAlign w:val="bottom"/>
          </w:tcPr>
          <w:p w:rsidR="00666C55" w:rsidRDefault="00666C55" w:rsidP="00666C55">
            <w:pPr>
              <w:pStyle w:val="Table3"/>
            </w:pPr>
            <w:r>
              <w:t>239</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844</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11</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0.0095</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200</w:t>
            </w:r>
          </w:p>
        </w:tc>
        <w:tc>
          <w:tcPr>
            <w:tcW w:w="441" w:type="dxa"/>
            <w:tcBorders>
              <w:top w:val="nil"/>
              <w:left w:val="nil"/>
              <w:bottom w:val="nil"/>
              <w:right w:val="nil"/>
            </w:tcBorders>
            <w:vAlign w:val="bottom"/>
          </w:tcPr>
          <w:p w:rsidR="00666C55" w:rsidRDefault="00666C55" w:rsidP="00666C55">
            <w:pPr>
              <w:pStyle w:val="Table3"/>
            </w:pPr>
            <w:r>
              <w:t>196</w:t>
            </w:r>
          </w:p>
        </w:tc>
        <w:tc>
          <w:tcPr>
            <w:tcW w:w="442" w:type="dxa"/>
            <w:tcBorders>
              <w:top w:val="nil"/>
              <w:left w:val="nil"/>
              <w:bottom w:val="nil"/>
              <w:right w:val="nil"/>
            </w:tcBorders>
            <w:vAlign w:val="bottom"/>
          </w:tcPr>
          <w:p w:rsidR="00666C55" w:rsidRDefault="00666C55" w:rsidP="00666C55">
            <w:pPr>
              <w:pStyle w:val="Table3"/>
            </w:pPr>
            <w:r>
              <w:t>202</w:t>
            </w:r>
          </w:p>
        </w:tc>
        <w:tc>
          <w:tcPr>
            <w:tcW w:w="442" w:type="dxa"/>
            <w:tcBorders>
              <w:top w:val="nil"/>
              <w:left w:val="nil"/>
              <w:bottom w:val="nil"/>
              <w:right w:val="nil"/>
            </w:tcBorders>
            <w:vAlign w:val="bottom"/>
          </w:tcPr>
          <w:p w:rsidR="00666C55" w:rsidRDefault="00666C55" w:rsidP="00666C55">
            <w:pPr>
              <w:pStyle w:val="Table3"/>
            </w:pPr>
            <w:r>
              <w:t>231</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830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12</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0.0097</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218</w:t>
            </w:r>
          </w:p>
        </w:tc>
        <w:tc>
          <w:tcPr>
            <w:tcW w:w="441" w:type="dxa"/>
            <w:tcBorders>
              <w:top w:val="nil"/>
              <w:left w:val="nil"/>
              <w:bottom w:val="nil"/>
              <w:right w:val="nil"/>
            </w:tcBorders>
            <w:vAlign w:val="bottom"/>
          </w:tcPr>
          <w:p w:rsidR="00666C55" w:rsidRDefault="00666C55" w:rsidP="00666C55">
            <w:pPr>
              <w:pStyle w:val="Table3"/>
            </w:pPr>
            <w:r>
              <w:t>208</w:t>
            </w:r>
          </w:p>
        </w:tc>
        <w:tc>
          <w:tcPr>
            <w:tcW w:w="442" w:type="dxa"/>
            <w:tcBorders>
              <w:top w:val="nil"/>
              <w:left w:val="nil"/>
              <w:bottom w:val="nil"/>
              <w:right w:val="nil"/>
            </w:tcBorders>
            <w:vAlign w:val="bottom"/>
          </w:tcPr>
          <w:p w:rsidR="00666C55" w:rsidRDefault="00666C55" w:rsidP="00666C55">
            <w:pPr>
              <w:pStyle w:val="Table3"/>
            </w:pPr>
            <w:r>
              <w:t>204</w:t>
            </w:r>
          </w:p>
        </w:tc>
        <w:tc>
          <w:tcPr>
            <w:tcW w:w="442" w:type="dxa"/>
            <w:tcBorders>
              <w:top w:val="nil"/>
              <w:left w:val="nil"/>
              <w:bottom w:val="nil"/>
              <w:right w:val="nil"/>
            </w:tcBorders>
            <w:vAlign w:val="bottom"/>
          </w:tcPr>
          <w:p w:rsidR="00666C55" w:rsidRDefault="00666C55" w:rsidP="00666C55">
            <w:pPr>
              <w:pStyle w:val="Table3"/>
            </w:pPr>
            <w:r>
              <w:t>211</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841</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13</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0.0099</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224</w:t>
            </w:r>
          </w:p>
        </w:tc>
        <w:tc>
          <w:tcPr>
            <w:tcW w:w="441" w:type="dxa"/>
            <w:tcBorders>
              <w:top w:val="nil"/>
              <w:left w:val="nil"/>
              <w:bottom w:val="nil"/>
              <w:right w:val="nil"/>
            </w:tcBorders>
            <w:vAlign w:val="bottom"/>
          </w:tcPr>
          <w:p w:rsidR="00666C55" w:rsidRDefault="00666C55" w:rsidP="00666C55">
            <w:pPr>
              <w:pStyle w:val="Table3"/>
            </w:pPr>
            <w:r>
              <w:t>227</w:t>
            </w:r>
          </w:p>
        </w:tc>
        <w:tc>
          <w:tcPr>
            <w:tcW w:w="442" w:type="dxa"/>
            <w:tcBorders>
              <w:top w:val="nil"/>
              <w:left w:val="nil"/>
              <w:bottom w:val="nil"/>
              <w:right w:val="nil"/>
            </w:tcBorders>
            <w:vAlign w:val="bottom"/>
          </w:tcPr>
          <w:p w:rsidR="00666C55" w:rsidRDefault="00666C55" w:rsidP="00666C55">
            <w:pPr>
              <w:pStyle w:val="Table3"/>
            </w:pPr>
            <w:r>
              <w:t>217</w:t>
            </w:r>
          </w:p>
        </w:tc>
        <w:tc>
          <w:tcPr>
            <w:tcW w:w="442" w:type="dxa"/>
            <w:tcBorders>
              <w:top w:val="nil"/>
              <w:left w:val="nil"/>
              <w:bottom w:val="nil"/>
              <w:right w:val="nil"/>
            </w:tcBorders>
            <w:vAlign w:val="bottom"/>
          </w:tcPr>
          <w:p w:rsidR="00666C55" w:rsidRDefault="00666C55" w:rsidP="00666C55">
            <w:pPr>
              <w:pStyle w:val="Table3"/>
            </w:pPr>
            <w:r>
              <w:t>212</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880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14</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0.0096</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228</w:t>
            </w:r>
          </w:p>
        </w:tc>
        <w:tc>
          <w:tcPr>
            <w:tcW w:w="441" w:type="dxa"/>
            <w:tcBorders>
              <w:top w:val="nil"/>
              <w:left w:val="nil"/>
              <w:bottom w:val="nil"/>
              <w:right w:val="nil"/>
            </w:tcBorders>
            <w:vAlign w:val="bottom"/>
          </w:tcPr>
          <w:p w:rsidR="00666C55" w:rsidRDefault="00666C55" w:rsidP="00666C55">
            <w:pPr>
              <w:pStyle w:val="Table3"/>
            </w:pPr>
            <w:r>
              <w:t>233</w:t>
            </w:r>
          </w:p>
        </w:tc>
        <w:tc>
          <w:tcPr>
            <w:tcW w:w="442" w:type="dxa"/>
            <w:tcBorders>
              <w:top w:val="nil"/>
              <w:left w:val="nil"/>
              <w:bottom w:val="nil"/>
              <w:right w:val="nil"/>
            </w:tcBorders>
            <w:vAlign w:val="bottom"/>
          </w:tcPr>
          <w:p w:rsidR="00666C55" w:rsidRDefault="00666C55" w:rsidP="00666C55">
            <w:pPr>
              <w:pStyle w:val="Table3"/>
            </w:pPr>
            <w:r>
              <w:t>236</w:t>
            </w:r>
          </w:p>
        </w:tc>
        <w:tc>
          <w:tcPr>
            <w:tcW w:w="442" w:type="dxa"/>
            <w:tcBorders>
              <w:top w:val="nil"/>
              <w:left w:val="nil"/>
              <w:bottom w:val="nil"/>
              <w:right w:val="nil"/>
            </w:tcBorders>
            <w:vAlign w:val="bottom"/>
          </w:tcPr>
          <w:p w:rsidR="00666C55" w:rsidRDefault="00666C55" w:rsidP="00666C55">
            <w:pPr>
              <w:pStyle w:val="Table3"/>
            </w:pPr>
            <w:r>
              <w:t>225</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922</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15</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0.0090</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221</w:t>
            </w:r>
          </w:p>
        </w:tc>
        <w:tc>
          <w:tcPr>
            <w:tcW w:w="441" w:type="dxa"/>
            <w:tcBorders>
              <w:top w:val="nil"/>
              <w:left w:val="nil"/>
              <w:bottom w:val="nil"/>
              <w:right w:val="nil"/>
            </w:tcBorders>
            <w:vAlign w:val="bottom"/>
          </w:tcPr>
          <w:p w:rsidR="00666C55" w:rsidRDefault="00666C55" w:rsidP="00666C55">
            <w:pPr>
              <w:pStyle w:val="Table3"/>
            </w:pPr>
            <w:r>
              <w:t>237</w:t>
            </w:r>
          </w:p>
        </w:tc>
        <w:tc>
          <w:tcPr>
            <w:tcW w:w="442" w:type="dxa"/>
            <w:tcBorders>
              <w:top w:val="nil"/>
              <w:left w:val="nil"/>
              <w:bottom w:val="nil"/>
              <w:right w:val="nil"/>
            </w:tcBorders>
            <w:vAlign w:val="bottom"/>
          </w:tcPr>
          <w:p w:rsidR="00666C55" w:rsidRDefault="00666C55" w:rsidP="00666C55">
            <w:pPr>
              <w:pStyle w:val="Table3"/>
            </w:pPr>
            <w:r>
              <w:t>242</w:t>
            </w:r>
          </w:p>
        </w:tc>
        <w:tc>
          <w:tcPr>
            <w:tcW w:w="442" w:type="dxa"/>
            <w:tcBorders>
              <w:top w:val="nil"/>
              <w:left w:val="nil"/>
              <w:bottom w:val="nil"/>
              <w:right w:val="nil"/>
            </w:tcBorders>
            <w:vAlign w:val="bottom"/>
          </w:tcPr>
          <w:p w:rsidR="00666C55" w:rsidRDefault="00666C55" w:rsidP="00666C55">
            <w:pPr>
              <w:pStyle w:val="Table3"/>
            </w:pPr>
            <w:r>
              <w:t>245</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946</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16</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0.0092</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208</w:t>
            </w:r>
          </w:p>
        </w:tc>
        <w:tc>
          <w:tcPr>
            <w:tcW w:w="441" w:type="dxa"/>
            <w:tcBorders>
              <w:top w:val="nil"/>
              <w:left w:val="nil"/>
              <w:bottom w:val="nil"/>
              <w:right w:val="nil"/>
            </w:tcBorders>
            <w:vAlign w:val="bottom"/>
          </w:tcPr>
          <w:p w:rsidR="00666C55" w:rsidRDefault="00666C55" w:rsidP="00666C55">
            <w:pPr>
              <w:pStyle w:val="Table3"/>
            </w:pPr>
            <w:r>
              <w:t>230</w:t>
            </w:r>
          </w:p>
        </w:tc>
        <w:tc>
          <w:tcPr>
            <w:tcW w:w="442" w:type="dxa"/>
            <w:tcBorders>
              <w:top w:val="nil"/>
              <w:left w:val="nil"/>
              <w:bottom w:val="nil"/>
              <w:right w:val="nil"/>
            </w:tcBorders>
            <w:vAlign w:val="bottom"/>
          </w:tcPr>
          <w:p w:rsidR="00666C55" w:rsidRDefault="00666C55" w:rsidP="00666C55">
            <w:pPr>
              <w:pStyle w:val="Table3"/>
            </w:pPr>
            <w:r>
              <w:t>246</w:t>
            </w:r>
          </w:p>
        </w:tc>
        <w:tc>
          <w:tcPr>
            <w:tcW w:w="442" w:type="dxa"/>
            <w:tcBorders>
              <w:top w:val="nil"/>
              <w:left w:val="nil"/>
              <w:bottom w:val="nil"/>
              <w:right w:val="nil"/>
            </w:tcBorders>
            <w:vAlign w:val="bottom"/>
          </w:tcPr>
          <w:p w:rsidR="00666C55" w:rsidRDefault="00666C55" w:rsidP="00666C55">
            <w:pPr>
              <w:pStyle w:val="Table3"/>
            </w:pPr>
            <w:r>
              <w:t>252</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936</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17</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0.0083</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211</w:t>
            </w:r>
          </w:p>
        </w:tc>
        <w:tc>
          <w:tcPr>
            <w:tcW w:w="441" w:type="dxa"/>
            <w:tcBorders>
              <w:top w:val="nil"/>
              <w:left w:val="nil"/>
              <w:bottom w:val="nil"/>
              <w:right w:val="nil"/>
            </w:tcBorders>
            <w:vAlign w:val="bottom"/>
          </w:tcPr>
          <w:p w:rsidR="00666C55" w:rsidRDefault="00666C55" w:rsidP="00666C55">
            <w:pPr>
              <w:pStyle w:val="Table3"/>
            </w:pPr>
            <w:r>
              <w:t>216</w:t>
            </w:r>
          </w:p>
        </w:tc>
        <w:tc>
          <w:tcPr>
            <w:tcW w:w="442" w:type="dxa"/>
            <w:tcBorders>
              <w:top w:val="nil"/>
              <w:left w:val="nil"/>
              <w:bottom w:val="nil"/>
              <w:right w:val="nil"/>
            </w:tcBorders>
            <w:vAlign w:val="bottom"/>
          </w:tcPr>
          <w:p w:rsidR="00666C55" w:rsidRDefault="00666C55" w:rsidP="00666C55">
            <w:pPr>
              <w:pStyle w:val="Table3"/>
            </w:pPr>
            <w:r>
              <w:t>239</w:t>
            </w:r>
          </w:p>
        </w:tc>
        <w:tc>
          <w:tcPr>
            <w:tcW w:w="442" w:type="dxa"/>
            <w:tcBorders>
              <w:top w:val="nil"/>
              <w:left w:val="nil"/>
              <w:bottom w:val="nil"/>
              <w:right w:val="nil"/>
            </w:tcBorders>
            <w:vAlign w:val="bottom"/>
          </w:tcPr>
          <w:p w:rsidR="00666C55" w:rsidRDefault="00666C55" w:rsidP="00666C55">
            <w:pPr>
              <w:pStyle w:val="Table3"/>
            </w:pPr>
            <w:r>
              <w:t>256</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923</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18</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0.0065</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191</w:t>
            </w:r>
          </w:p>
        </w:tc>
        <w:tc>
          <w:tcPr>
            <w:tcW w:w="441" w:type="dxa"/>
            <w:tcBorders>
              <w:top w:val="nil"/>
              <w:left w:val="nil"/>
              <w:bottom w:val="nil"/>
              <w:right w:val="nil"/>
            </w:tcBorders>
            <w:vAlign w:val="bottom"/>
          </w:tcPr>
          <w:p w:rsidR="00666C55" w:rsidRDefault="00666C55" w:rsidP="00666C55">
            <w:pPr>
              <w:pStyle w:val="Table3"/>
            </w:pPr>
            <w:r>
              <w:t>220</w:t>
            </w:r>
          </w:p>
        </w:tc>
        <w:tc>
          <w:tcPr>
            <w:tcW w:w="442" w:type="dxa"/>
            <w:tcBorders>
              <w:top w:val="nil"/>
              <w:left w:val="nil"/>
              <w:bottom w:val="nil"/>
              <w:right w:val="nil"/>
            </w:tcBorders>
            <w:vAlign w:val="bottom"/>
          </w:tcPr>
          <w:p w:rsidR="00666C55" w:rsidRDefault="00666C55" w:rsidP="00666C55">
            <w:pPr>
              <w:pStyle w:val="Table3"/>
            </w:pPr>
            <w:r>
              <w:t>225</w:t>
            </w:r>
          </w:p>
        </w:tc>
        <w:tc>
          <w:tcPr>
            <w:tcW w:w="442" w:type="dxa"/>
            <w:tcBorders>
              <w:top w:val="nil"/>
              <w:left w:val="nil"/>
              <w:bottom w:val="nil"/>
              <w:right w:val="nil"/>
            </w:tcBorders>
            <w:vAlign w:val="bottom"/>
          </w:tcPr>
          <w:p w:rsidR="00666C55" w:rsidRDefault="00666C55" w:rsidP="00666C55">
            <w:pPr>
              <w:pStyle w:val="Table3"/>
            </w:pPr>
            <w:r>
              <w:t>249</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885</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19</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0.0061</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150</w:t>
            </w:r>
          </w:p>
        </w:tc>
        <w:tc>
          <w:tcPr>
            <w:tcW w:w="441" w:type="dxa"/>
            <w:tcBorders>
              <w:top w:val="nil"/>
              <w:left w:val="nil"/>
              <w:bottom w:val="nil"/>
              <w:right w:val="nil"/>
            </w:tcBorders>
            <w:vAlign w:val="bottom"/>
          </w:tcPr>
          <w:p w:rsidR="00666C55" w:rsidRDefault="00666C55" w:rsidP="00666C55">
            <w:pPr>
              <w:pStyle w:val="Table3"/>
            </w:pPr>
            <w:r>
              <w:t>199</w:t>
            </w:r>
          </w:p>
        </w:tc>
        <w:tc>
          <w:tcPr>
            <w:tcW w:w="442" w:type="dxa"/>
            <w:tcBorders>
              <w:top w:val="nil"/>
              <w:left w:val="nil"/>
              <w:bottom w:val="nil"/>
              <w:right w:val="nil"/>
            </w:tcBorders>
            <w:vAlign w:val="bottom"/>
          </w:tcPr>
          <w:p w:rsidR="00666C55" w:rsidRDefault="00666C55" w:rsidP="00666C55">
            <w:pPr>
              <w:pStyle w:val="Table3"/>
            </w:pPr>
            <w:r>
              <w:t>229</w:t>
            </w:r>
          </w:p>
        </w:tc>
        <w:tc>
          <w:tcPr>
            <w:tcW w:w="442" w:type="dxa"/>
            <w:tcBorders>
              <w:top w:val="nil"/>
              <w:left w:val="nil"/>
              <w:bottom w:val="nil"/>
              <w:right w:val="nil"/>
            </w:tcBorders>
            <w:vAlign w:val="bottom"/>
          </w:tcPr>
          <w:p w:rsidR="00666C55" w:rsidRDefault="00666C55" w:rsidP="00666C55">
            <w:pPr>
              <w:pStyle w:val="Table3"/>
            </w:pPr>
            <w:r>
              <w:t>234</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811</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20</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0.0051</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139</w:t>
            </w:r>
          </w:p>
        </w:tc>
        <w:tc>
          <w:tcPr>
            <w:tcW w:w="441" w:type="dxa"/>
            <w:tcBorders>
              <w:top w:val="nil"/>
              <w:left w:val="nil"/>
              <w:bottom w:val="nil"/>
              <w:right w:val="nil"/>
            </w:tcBorders>
            <w:vAlign w:val="bottom"/>
          </w:tcPr>
          <w:p w:rsidR="00666C55" w:rsidRDefault="00666C55" w:rsidP="00666C55">
            <w:pPr>
              <w:pStyle w:val="Table3"/>
            </w:pPr>
            <w:r>
              <w:t>156</w:t>
            </w:r>
          </w:p>
        </w:tc>
        <w:tc>
          <w:tcPr>
            <w:tcW w:w="442" w:type="dxa"/>
            <w:tcBorders>
              <w:top w:val="nil"/>
              <w:left w:val="nil"/>
              <w:bottom w:val="nil"/>
              <w:right w:val="nil"/>
            </w:tcBorders>
            <w:vAlign w:val="bottom"/>
          </w:tcPr>
          <w:p w:rsidR="00666C55" w:rsidRDefault="00666C55" w:rsidP="00666C55">
            <w:pPr>
              <w:pStyle w:val="Table3"/>
            </w:pPr>
            <w:r>
              <w:t>207</w:t>
            </w:r>
          </w:p>
        </w:tc>
        <w:tc>
          <w:tcPr>
            <w:tcW w:w="442" w:type="dxa"/>
            <w:tcBorders>
              <w:top w:val="nil"/>
              <w:left w:val="nil"/>
              <w:bottom w:val="nil"/>
              <w:right w:val="nil"/>
            </w:tcBorders>
            <w:vAlign w:val="bottom"/>
          </w:tcPr>
          <w:p w:rsidR="00666C55" w:rsidRDefault="00666C55" w:rsidP="00666C55">
            <w:pPr>
              <w:pStyle w:val="Table3"/>
            </w:pPr>
            <w:r>
              <w:t>238</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740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21</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0.0038</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118</w:t>
            </w:r>
          </w:p>
        </w:tc>
        <w:tc>
          <w:tcPr>
            <w:tcW w:w="441" w:type="dxa"/>
            <w:tcBorders>
              <w:top w:val="nil"/>
              <w:left w:val="nil"/>
              <w:bottom w:val="nil"/>
              <w:right w:val="nil"/>
            </w:tcBorders>
            <w:vAlign w:val="bottom"/>
          </w:tcPr>
          <w:p w:rsidR="00666C55" w:rsidRDefault="00666C55" w:rsidP="00666C55">
            <w:pPr>
              <w:pStyle w:val="Table3"/>
            </w:pPr>
            <w:r>
              <w:t>145</w:t>
            </w:r>
          </w:p>
        </w:tc>
        <w:tc>
          <w:tcPr>
            <w:tcW w:w="442" w:type="dxa"/>
            <w:tcBorders>
              <w:top w:val="nil"/>
              <w:left w:val="nil"/>
              <w:bottom w:val="nil"/>
              <w:right w:val="nil"/>
            </w:tcBorders>
            <w:vAlign w:val="bottom"/>
          </w:tcPr>
          <w:p w:rsidR="00666C55" w:rsidRDefault="00666C55" w:rsidP="00666C55">
            <w:pPr>
              <w:pStyle w:val="Table3"/>
            </w:pPr>
            <w:r>
              <w:t>162</w:t>
            </w:r>
          </w:p>
        </w:tc>
        <w:tc>
          <w:tcPr>
            <w:tcW w:w="442" w:type="dxa"/>
            <w:tcBorders>
              <w:top w:val="nil"/>
              <w:left w:val="nil"/>
              <w:bottom w:val="nil"/>
              <w:right w:val="nil"/>
            </w:tcBorders>
            <w:vAlign w:val="bottom"/>
          </w:tcPr>
          <w:p w:rsidR="00666C55" w:rsidRDefault="00666C55" w:rsidP="00666C55">
            <w:pPr>
              <w:pStyle w:val="Table3"/>
            </w:pPr>
            <w:r>
              <w:t>215</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640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22</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0.0033</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86</w:t>
            </w:r>
          </w:p>
        </w:tc>
        <w:tc>
          <w:tcPr>
            <w:tcW w:w="441" w:type="dxa"/>
            <w:tcBorders>
              <w:top w:val="nil"/>
              <w:left w:val="nil"/>
              <w:bottom w:val="nil"/>
              <w:right w:val="nil"/>
            </w:tcBorders>
            <w:vAlign w:val="bottom"/>
          </w:tcPr>
          <w:p w:rsidR="00666C55" w:rsidRDefault="00666C55" w:rsidP="00666C55">
            <w:pPr>
              <w:pStyle w:val="Table3"/>
            </w:pPr>
            <w:r>
              <w:t>123</w:t>
            </w:r>
          </w:p>
        </w:tc>
        <w:tc>
          <w:tcPr>
            <w:tcW w:w="442" w:type="dxa"/>
            <w:tcBorders>
              <w:top w:val="nil"/>
              <w:left w:val="nil"/>
              <w:bottom w:val="nil"/>
              <w:right w:val="nil"/>
            </w:tcBorders>
            <w:vAlign w:val="bottom"/>
          </w:tcPr>
          <w:p w:rsidR="00666C55" w:rsidRDefault="00666C55" w:rsidP="00666C55">
            <w:pPr>
              <w:pStyle w:val="Table3"/>
            </w:pPr>
            <w:r>
              <w:t>150</w:t>
            </w:r>
          </w:p>
        </w:tc>
        <w:tc>
          <w:tcPr>
            <w:tcW w:w="442" w:type="dxa"/>
            <w:tcBorders>
              <w:top w:val="nil"/>
              <w:left w:val="nil"/>
              <w:bottom w:val="nil"/>
              <w:right w:val="nil"/>
            </w:tcBorders>
            <w:vAlign w:val="bottom"/>
          </w:tcPr>
          <w:p w:rsidR="00666C55" w:rsidRDefault="00666C55" w:rsidP="00666C55">
            <w:pPr>
              <w:pStyle w:val="Table3"/>
            </w:pPr>
            <w:r>
              <w:t>169</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529</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23</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0.0024</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76</w:t>
            </w:r>
          </w:p>
        </w:tc>
        <w:tc>
          <w:tcPr>
            <w:tcW w:w="441" w:type="dxa"/>
            <w:tcBorders>
              <w:top w:val="nil"/>
              <w:left w:val="nil"/>
              <w:bottom w:val="nil"/>
              <w:right w:val="nil"/>
            </w:tcBorders>
            <w:vAlign w:val="bottom"/>
          </w:tcPr>
          <w:p w:rsidR="00666C55" w:rsidRDefault="00666C55" w:rsidP="00666C55">
            <w:pPr>
              <w:pStyle w:val="Table3"/>
            </w:pPr>
            <w:r>
              <w:t>90</w:t>
            </w:r>
          </w:p>
        </w:tc>
        <w:tc>
          <w:tcPr>
            <w:tcW w:w="442" w:type="dxa"/>
            <w:tcBorders>
              <w:top w:val="nil"/>
              <w:left w:val="nil"/>
              <w:bottom w:val="nil"/>
              <w:right w:val="nil"/>
            </w:tcBorders>
            <w:vAlign w:val="bottom"/>
          </w:tcPr>
          <w:p w:rsidR="00666C55" w:rsidRDefault="00666C55" w:rsidP="00666C55">
            <w:pPr>
              <w:pStyle w:val="Table3"/>
            </w:pPr>
            <w:r>
              <w:t>128</w:t>
            </w:r>
          </w:p>
        </w:tc>
        <w:tc>
          <w:tcPr>
            <w:tcW w:w="442" w:type="dxa"/>
            <w:tcBorders>
              <w:top w:val="nil"/>
              <w:left w:val="nil"/>
              <w:bottom w:val="nil"/>
              <w:right w:val="nil"/>
            </w:tcBorders>
            <w:vAlign w:val="bottom"/>
          </w:tcPr>
          <w:p w:rsidR="00666C55" w:rsidRDefault="00666C55" w:rsidP="00666C55">
            <w:pPr>
              <w:pStyle w:val="Table3"/>
            </w:pPr>
            <w:r>
              <w:t>156</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450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24</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0.0018</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56</w:t>
            </w:r>
          </w:p>
        </w:tc>
        <w:tc>
          <w:tcPr>
            <w:tcW w:w="441" w:type="dxa"/>
            <w:tcBorders>
              <w:top w:val="nil"/>
              <w:left w:val="nil"/>
              <w:bottom w:val="nil"/>
              <w:right w:val="nil"/>
            </w:tcBorders>
            <w:vAlign w:val="bottom"/>
          </w:tcPr>
          <w:p w:rsidR="00666C55" w:rsidRDefault="00666C55" w:rsidP="00666C55">
            <w:pPr>
              <w:pStyle w:val="Table3"/>
            </w:pPr>
            <w:r>
              <w:t>79</w:t>
            </w:r>
          </w:p>
        </w:tc>
        <w:tc>
          <w:tcPr>
            <w:tcW w:w="442" w:type="dxa"/>
            <w:tcBorders>
              <w:top w:val="nil"/>
              <w:left w:val="nil"/>
              <w:bottom w:val="nil"/>
              <w:right w:val="nil"/>
            </w:tcBorders>
            <w:vAlign w:val="bottom"/>
          </w:tcPr>
          <w:p w:rsidR="00666C55" w:rsidRDefault="00666C55" w:rsidP="00666C55">
            <w:pPr>
              <w:pStyle w:val="Table3"/>
            </w:pPr>
            <w:r>
              <w:t>93</w:t>
            </w:r>
          </w:p>
        </w:tc>
        <w:tc>
          <w:tcPr>
            <w:tcW w:w="442" w:type="dxa"/>
            <w:tcBorders>
              <w:top w:val="nil"/>
              <w:left w:val="nil"/>
              <w:bottom w:val="nil"/>
              <w:right w:val="nil"/>
            </w:tcBorders>
            <w:vAlign w:val="bottom"/>
          </w:tcPr>
          <w:p w:rsidR="00666C55" w:rsidRDefault="00666C55" w:rsidP="00666C55">
            <w:pPr>
              <w:pStyle w:val="Table3"/>
            </w:pPr>
            <w:r>
              <w:t>133</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361</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25</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0.0015</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42</w:t>
            </w:r>
          </w:p>
        </w:tc>
        <w:tc>
          <w:tcPr>
            <w:tcW w:w="441" w:type="dxa"/>
            <w:tcBorders>
              <w:top w:val="nil"/>
              <w:left w:val="nil"/>
              <w:bottom w:val="nil"/>
              <w:right w:val="nil"/>
            </w:tcBorders>
            <w:vAlign w:val="bottom"/>
          </w:tcPr>
          <w:p w:rsidR="00666C55" w:rsidRDefault="00666C55" w:rsidP="00666C55">
            <w:pPr>
              <w:pStyle w:val="Table3"/>
            </w:pPr>
            <w:r>
              <w:t>58</w:t>
            </w:r>
          </w:p>
        </w:tc>
        <w:tc>
          <w:tcPr>
            <w:tcW w:w="442" w:type="dxa"/>
            <w:tcBorders>
              <w:top w:val="nil"/>
              <w:left w:val="nil"/>
              <w:bottom w:val="nil"/>
              <w:right w:val="nil"/>
            </w:tcBorders>
            <w:vAlign w:val="bottom"/>
          </w:tcPr>
          <w:p w:rsidR="00666C55" w:rsidRDefault="00666C55" w:rsidP="00666C55">
            <w:pPr>
              <w:pStyle w:val="Table3"/>
            </w:pPr>
            <w:r>
              <w:t>82</w:t>
            </w:r>
          </w:p>
        </w:tc>
        <w:tc>
          <w:tcPr>
            <w:tcW w:w="442" w:type="dxa"/>
            <w:tcBorders>
              <w:top w:val="nil"/>
              <w:left w:val="nil"/>
              <w:bottom w:val="nil"/>
              <w:right w:val="nil"/>
            </w:tcBorders>
            <w:vAlign w:val="bottom"/>
          </w:tcPr>
          <w:p w:rsidR="00666C55" w:rsidRDefault="00666C55" w:rsidP="00666C55">
            <w:pPr>
              <w:pStyle w:val="Table3"/>
            </w:pPr>
            <w:r>
              <w:t>97</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280</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26</w:t>
            </w:r>
          </w:p>
        </w:tc>
        <w:tc>
          <w:tcPr>
            <w:tcW w:w="709" w:type="dxa"/>
            <w:tcBorders>
              <w:top w:val="nil"/>
              <w:left w:val="single" w:sz="4" w:space="0" w:color="auto"/>
              <w:bottom w:val="nil"/>
              <w:right w:val="single" w:sz="4" w:space="0" w:color="auto"/>
            </w:tcBorders>
          </w:tcPr>
          <w:p w:rsidR="00666C55" w:rsidRPr="00555F72" w:rsidRDefault="00666C55" w:rsidP="00555F72">
            <w:pPr>
              <w:pStyle w:val="Table3"/>
            </w:pPr>
            <w:r w:rsidRPr="00555F72">
              <w:t>0.0013</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34</w:t>
            </w:r>
          </w:p>
        </w:tc>
        <w:tc>
          <w:tcPr>
            <w:tcW w:w="441" w:type="dxa"/>
            <w:tcBorders>
              <w:top w:val="nil"/>
              <w:left w:val="nil"/>
              <w:bottom w:val="nil"/>
              <w:right w:val="nil"/>
            </w:tcBorders>
            <w:vAlign w:val="bottom"/>
          </w:tcPr>
          <w:p w:rsidR="00666C55" w:rsidRDefault="00666C55" w:rsidP="00666C55">
            <w:pPr>
              <w:pStyle w:val="Table3"/>
            </w:pPr>
            <w:r>
              <w:t>44</w:t>
            </w:r>
          </w:p>
        </w:tc>
        <w:tc>
          <w:tcPr>
            <w:tcW w:w="442" w:type="dxa"/>
            <w:tcBorders>
              <w:top w:val="nil"/>
              <w:left w:val="nil"/>
              <w:bottom w:val="nil"/>
              <w:right w:val="nil"/>
            </w:tcBorders>
            <w:vAlign w:val="bottom"/>
          </w:tcPr>
          <w:p w:rsidR="00666C55" w:rsidRDefault="00666C55" w:rsidP="00666C55">
            <w:pPr>
              <w:pStyle w:val="Table3"/>
            </w:pPr>
            <w:r>
              <w:t>60</w:t>
            </w:r>
          </w:p>
        </w:tc>
        <w:tc>
          <w:tcPr>
            <w:tcW w:w="442" w:type="dxa"/>
            <w:tcBorders>
              <w:top w:val="nil"/>
              <w:left w:val="nil"/>
              <w:bottom w:val="nil"/>
              <w:right w:val="nil"/>
            </w:tcBorders>
            <w:vAlign w:val="bottom"/>
          </w:tcPr>
          <w:p w:rsidR="00666C55" w:rsidRDefault="00666C55" w:rsidP="00666C55">
            <w:pPr>
              <w:pStyle w:val="Table3"/>
            </w:pPr>
            <w:r>
              <w:t>86</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224</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27</w:t>
            </w:r>
          </w:p>
        </w:tc>
        <w:tc>
          <w:tcPr>
            <w:tcW w:w="709"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0.0000</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29</w:t>
            </w:r>
          </w:p>
        </w:tc>
        <w:tc>
          <w:tcPr>
            <w:tcW w:w="441" w:type="dxa"/>
            <w:tcBorders>
              <w:top w:val="nil"/>
              <w:left w:val="nil"/>
              <w:bottom w:val="nil"/>
              <w:right w:val="nil"/>
            </w:tcBorders>
            <w:vAlign w:val="bottom"/>
          </w:tcPr>
          <w:p w:rsidR="00666C55" w:rsidRDefault="00666C55" w:rsidP="00666C55">
            <w:pPr>
              <w:pStyle w:val="Table3"/>
            </w:pPr>
            <w:r>
              <w:t>36</w:t>
            </w:r>
          </w:p>
        </w:tc>
        <w:tc>
          <w:tcPr>
            <w:tcW w:w="442" w:type="dxa"/>
            <w:tcBorders>
              <w:top w:val="nil"/>
              <w:left w:val="nil"/>
              <w:bottom w:val="nil"/>
              <w:right w:val="nil"/>
            </w:tcBorders>
            <w:vAlign w:val="bottom"/>
          </w:tcPr>
          <w:p w:rsidR="00666C55" w:rsidRDefault="00666C55" w:rsidP="00666C55">
            <w:pPr>
              <w:pStyle w:val="Table3"/>
            </w:pPr>
            <w:r>
              <w:t>46</w:t>
            </w:r>
          </w:p>
        </w:tc>
        <w:tc>
          <w:tcPr>
            <w:tcW w:w="442" w:type="dxa"/>
            <w:tcBorders>
              <w:top w:val="nil"/>
              <w:left w:val="nil"/>
              <w:bottom w:val="nil"/>
              <w:right w:val="nil"/>
            </w:tcBorders>
            <w:vAlign w:val="bottom"/>
          </w:tcPr>
          <w:p w:rsidR="00666C55" w:rsidRDefault="00666C55" w:rsidP="00666C55">
            <w:pPr>
              <w:pStyle w:val="Table3"/>
            </w:pPr>
            <w:r>
              <w:t>63</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173</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28</w:t>
            </w:r>
          </w:p>
        </w:tc>
        <w:tc>
          <w:tcPr>
            <w:tcW w:w="709"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0.0000</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r>
              <w:t>30</w:t>
            </w:r>
          </w:p>
        </w:tc>
        <w:tc>
          <w:tcPr>
            <w:tcW w:w="442" w:type="dxa"/>
            <w:tcBorders>
              <w:top w:val="nil"/>
              <w:left w:val="nil"/>
              <w:bottom w:val="nil"/>
              <w:right w:val="nil"/>
            </w:tcBorders>
            <w:vAlign w:val="bottom"/>
          </w:tcPr>
          <w:p w:rsidR="00666C55" w:rsidRDefault="00666C55" w:rsidP="00666C55">
            <w:pPr>
              <w:pStyle w:val="Table3"/>
            </w:pPr>
            <w:r>
              <w:t>37</w:t>
            </w:r>
          </w:p>
        </w:tc>
        <w:tc>
          <w:tcPr>
            <w:tcW w:w="442" w:type="dxa"/>
            <w:tcBorders>
              <w:top w:val="nil"/>
              <w:left w:val="nil"/>
              <w:bottom w:val="nil"/>
              <w:right w:val="nil"/>
            </w:tcBorders>
            <w:vAlign w:val="bottom"/>
          </w:tcPr>
          <w:p w:rsidR="00666C55" w:rsidRDefault="00666C55" w:rsidP="00666C55">
            <w:pPr>
              <w:pStyle w:val="Table3"/>
            </w:pPr>
            <w:r>
              <w:t>48</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115</w:t>
            </w:r>
          </w:p>
        </w:tc>
      </w:tr>
      <w:tr w:rsidR="00666C55" w:rsidRPr="003E3F01" w:rsidTr="000015E0">
        <w:tc>
          <w:tcPr>
            <w:tcW w:w="426"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29</w:t>
            </w:r>
          </w:p>
        </w:tc>
        <w:tc>
          <w:tcPr>
            <w:tcW w:w="709" w:type="dxa"/>
            <w:tcBorders>
              <w:top w:val="nil"/>
              <w:left w:val="single" w:sz="4" w:space="0" w:color="auto"/>
              <w:bottom w:val="nil"/>
              <w:right w:val="single" w:sz="4" w:space="0" w:color="auto"/>
            </w:tcBorders>
            <w:vAlign w:val="center"/>
          </w:tcPr>
          <w:p w:rsidR="00666C55" w:rsidRPr="00555F72" w:rsidRDefault="00666C55" w:rsidP="00555F72">
            <w:pPr>
              <w:pStyle w:val="Table3"/>
            </w:pPr>
            <w:r w:rsidRPr="00555F72">
              <w:t>0.0000</w:t>
            </w:r>
          </w:p>
        </w:tc>
        <w:tc>
          <w:tcPr>
            <w:tcW w:w="624" w:type="dxa"/>
            <w:tcBorders>
              <w:top w:val="nil"/>
              <w:left w:val="single" w:sz="4" w:space="0" w:color="auto"/>
              <w:bottom w:val="nil"/>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p>
        </w:tc>
        <w:tc>
          <w:tcPr>
            <w:tcW w:w="441" w:type="dxa"/>
            <w:tcBorders>
              <w:top w:val="nil"/>
              <w:left w:val="nil"/>
              <w:bottom w:val="nil"/>
              <w:right w:val="nil"/>
            </w:tcBorders>
            <w:vAlign w:val="bottom"/>
          </w:tcPr>
          <w:p w:rsidR="00666C55" w:rsidRDefault="00666C55" w:rsidP="00666C55">
            <w:pPr>
              <w:pStyle w:val="Table3"/>
            </w:pPr>
          </w:p>
        </w:tc>
        <w:tc>
          <w:tcPr>
            <w:tcW w:w="442" w:type="dxa"/>
            <w:tcBorders>
              <w:top w:val="nil"/>
              <w:left w:val="nil"/>
              <w:bottom w:val="nil"/>
              <w:right w:val="nil"/>
            </w:tcBorders>
            <w:vAlign w:val="bottom"/>
          </w:tcPr>
          <w:p w:rsidR="00666C55" w:rsidRDefault="00666C55" w:rsidP="00666C55">
            <w:pPr>
              <w:pStyle w:val="Table3"/>
            </w:pPr>
            <w:r>
              <w:t>31</w:t>
            </w:r>
          </w:p>
        </w:tc>
        <w:tc>
          <w:tcPr>
            <w:tcW w:w="442" w:type="dxa"/>
            <w:tcBorders>
              <w:top w:val="nil"/>
              <w:left w:val="nil"/>
              <w:bottom w:val="nil"/>
              <w:right w:val="nil"/>
            </w:tcBorders>
            <w:vAlign w:val="bottom"/>
          </w:tcPr>
          <w:p w:rsidR="00666C55" w:rsidRDefault="00666C55" w:rsidP="00666C55">
            <w:pPr>
              <w:pStyle w:val="Table3"/>
            </w:pPr>
            <w:r>
              <w:t>39</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1"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nil"/>
            </w:tcBorders>
            <w:vAlign w:val="bottom"/>
          </w:tcPr>
          <w:p w:rsidR="00666C55" w:rsidRDefault="00666C55" w:rsidP="00666C55">
            <w:pPr>
              <w:pStyle w:val="Table3"/>
            </w:pPr>
            <w:r>
              <w:t>0</w:t>
            </w:r>
          </w:p>
        </w:tc>
        <w:tc>
          <w:tcPr>
            <w:tcW w:w="442" w:type="dxa"/>
            <w:tcBorders>
              <w:top w:val="nil"/>
              <w:left w:val="nil"/>
              <w:bottom w:val="nil"/>
              <w:right w:val="single" w:sz="4" w:space="0" w:color="auto"/>
            </w:tcBorders>
            <w:vAlign w:val="bottom"/>
          </w:tcPr>
          <w:p w:rsidR="00666C55" w:rsidRDefault="00666C55" w:rsidP="00666C55">
            <w:pPr>
              <w:pStyle w:val="Table3"/>
            </w:pPr>
          </w:p>
        </w:tc>
        <w:tc>
          <w:tcPr>
            <w:tcW w:w="567" w:type="dxa"/>
            <w:tcBorders>
              <w:top w:val="nil"/>
              <w:left w:val="single" w:sz="4" w:space="0" w:color="auto"/>
              <w:bottom w:val="nil"/>
              <w:right w:val="single" w:sz="4" w:space="0" w:color="auto"/>
            </w:tcBorders>
            <w:vAlign w:val="bottom"/>
          </w:tcPr>
          <w:p w:rsidR="00666C55" w:rsidRDefault="00666C55" w:rsidP="00666C55">
            <w:pPr>
              <w:pStyle w:val="Table3"/>
            </w:pPr>
            <w:r>
              <w:t>70</w:t>
            </w:r>
          </w:p>
        </w:tc>
      </w:tr>
      <w:tr w:rsidR="00666C55" w:rsidRPr="003E3F01" w:rsidTr="000015E0">
        <w:tc>
          <w:tcPr>
            <w:tcW w:w="426" w:type="dxa"/>
            <w:tcBorders>
              <w:top w:val="nil"/>
              <w:left w:val="single" w:sz="4" w:space="0" w:color="auto"/>
              <w:bottom w:val="single" w:sz="8" w:space="0" w:color="auto"/>
              <w:right w:val="single" w:sz="4" w:space="0" w:color="auto"/>
            </w:tcBorders>
            <w:vAlign w:val="center"/>
          </w:tcPr>
          <w:p w:rsidR="00666C55" w:rsidRPr="00555F72" w:rsidRDefault="00666C55" w:rsidP="00555F72">
            <w:pPr>
              <w:pStyle w:val="Table3"/>
            </w:pPr>
            <w:r w:rsidRPr="00555F72">
              <w:t>30</w:t>
            </w:r>
          </w:p>
        </w:tc>
        <w:tc>
          <w:tcPr>
            <w:tcW w:w="709" w:type="dxa"/>
            <w:tcBorders>
              <w:top w:val="nil"/>
              <w:left w:val="single" w:sz="4" w:space="0" w:color="auto"/>
              <w:bottom w:val="single" w:sz="8" w:space="0" w:color="auto"/>
              <w:right w:val="single" w:sz="4" w:space="0" w:color="auto"/>
            </w:tcBorders>
            <w:vAlign w:val="center"/>
          </w:tcPr>
          <w:p w:rsidR="00666C55" w:rsidRPr="00555F72" w:rsidRDefault="00666C55" w:rsidP="00555F72">
            <w:pPr>
              <w:pStyle w:val="Table3"/>
            </w:pPr>
            <w:r w:rsidRPr="00555F72">
              <w:t>0.0000</w:t>
            </w:r>
          </w:p>
        </w:tc>
        <w:tc>
          <w:tcPr>
            <w:tcW w:w="624" w:type="dxa"/>
            <w:tcBorders>
              <w:top w:val="nil"/>
              <w:left w:val="single" w:sz="4" w:space="0" w:color="auto"/>
              <w:bottom w:val="single" w:sz="8" w:space="0" w:color="auto"/>
              <w:right w:val="single" w:sz="4" w:space="0" w:color="auto"/>
            </w:tcBorders>
            <w:vAlign w:val="bottom"/>
          </w:tcPr>
          <w:p w:rsidR="00666C55" w:rsidRDefault="00666C55" w:rsidP="00666C55">
            <w:pPr>
              <w:pStyle w:val="Table3"/>
            </w:pPr>
            <w:r>
              <w:t>0</w:t>
            </w:r>
          </w:p>
        </w:tc>
        <w:tc>
          <w:tcPr>
            <w:tcW w:w="441" w:type="dxa"/>
            <w:tcBorders>
              <w:top w:val="nil"/>
              <w:left w:val="single" w:sz="4" w:space="0" w:color="auto"/>
              <w:bottom w:val="single" w:sz="8" w:space="0" w:color="auto"/>
              <w:right w:val="nil"/>
            </w:tcBorders>
            <w:vAlign w:val="bottom"/>
          </w:tcPr>
          <w:p w:rsidR="00666C55" w:rsidRDefault="00666C55" w:rsidP="00666C55">
            <w:pPr>
              <w:pStyle w:val="Table3"/>
            </w:pPr>
          </w:p>
        </w:tc>
        <w:tc>
          <w:tcPr>
            <w:tcW w:w="442" w:type="dxa"/>
            <w:tcBorders>
              <w:top w:val="nil"/>
              <w:left w:val="nil"/>
              <w:bottom w:val="single" w:sz="8" w:space="0" w:color="auto"/>
              <w:right w:val="nil"/>
            </w:tcBorders>
            <w:vAlign w:val="bottom"/>
          </w:tcPr>
          <w:p w:rsidR="00666C55" w:rsidRDefault="00666C55" w:rsidP="00666C55">
            <w:pPr>
              <w:pStyle w:val="Table3"/>
            </w:pPr>
          </w:p>
        </w:tc>
        <w:tc>
          <w:tcPr>
            <w:tcW w:w="442" w:type="dxa"/>
            <w:tcBorders>
              <w:top w:val="nil"/>
              <w:left w:val="nil"/>
              <w:bottom w:val="single" w:sz="8" w:space="0" w:color="auto"/>
              <w:right w:val="nil"/>
            </w:tcBorders>
            <w:vAlign w:val="bottom"/>
          </w:tcPr>
          <w:p w:rsidR="00666C55" w:rsidRDefault="00666C55" w:rsidP="00666C55">
            <w:pPr>
              <w:pStyle w:val="Table3"/>
            </w:pPr>
          </w:p>
        </w:tc>
        <w:tc>
          <w:tcPr>
            <w:tcW w:w="441" w:type="dxa"/>
            <w:tcBorders>
              <w:top w:val="nil"/>
              <w:left w:val="nil"/>
              <w:bottom w:val="single" w:sz="8" w:space="0" w:color="auto"/>
              <w:right w:val="nil"/>
            </w:tcBorders>
            <w:vAlign w:val="bottom"/>
          </w:tcPr>
          <w:p w:rsidR="00666C55" w:rsidRDefault="00666C55" w:rsidP="00666C55">
            <w:pPr>
              <w:pStyle w:val="Table3"/>
            </w:pPr>
          </w:p>
        </w:tc>
        <w:tc>
          <w:tcPr>
            <w:tcW w:w="442" w:type="dxa"/>
            <w:tcBorders>
              <w:top w:val="nil"/>
              <w:left w:val="nil"/>
              <w:bottom w:val="single" w:sz="8" w:space="0" w:color="auto"/>
              <w:right w:val="nil"/>
            </w:tcBorders>
            <w:vAlign w:val="bottom"/>
          </w:tcPr>
          <w:p w:rsidR="00666C55" w:rsidRDefault="00666C55" w:rsidP="00666C55">
            <w:pPr>
              <w:pStyle w:val="Table3"/>
            </w:pPr>
          </w:p>
        </w:tc>
        <w:tc>
          <w:tcPr>
            <w:tcW w:w="442" w:type="dxa"/>
            <w:tcBorders>
              <w:top w:val="nil"/>
              <w:left w:val="nil"/>
              <w:bottom w:val="single" w:sz="8" w:space="0" w:color="auto"/>
              <w:right w:val="nil"/>
            </w:tcBorders>
            <w:vAlign w:val="bottom"/>
          </w:tcPr>
          <w:p w:rsidR="00666C55" w:rsidRDefault="00666C55" w:rsidP="00666C55">
            <w:pPr>
              <w:pStyle w:val="Table3"/>
            </w:pPr>
            <w:r>
              <w:t>33</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1"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nil"/>
            </w:tcBorders>
            <w:vAlign w:val="bottom"/>
          </w:tcPr>
          <w:p w:rsidR="00666C55" w:rsidRDefault="00666C55" w:rsidP="00666C55">
            <w:pPr>
              <w:pStyle w:val="Table3"/>
            </w:pPr>
            <w:r>
              <w:t>0</w:t>
            </w:r>
          </w:p>
        </w:tc>
        <w:tc>
          <w:tcPr>
            <w:tcW w:w="442" w:type="dxa"/>
            <w:tcBorders>
              <w:top w:val="nil"/>
              <w:left w:val="nil"/>
              <w:bottom w:val="single" w:sz="8" w:space="0" w:color="auto"/>
              <w:right w:val="single" w:sz="4" w:space="0" w:color="auto"/>
            </w:tcBorders>
            <w:vAlign w:val="bottom"/>
          </w:tcPr>
          <w:p w:rsidR="00666C55" w:rsidRDefault="00666C55" w:rsidP="00666C55">
            <w:pPr>
              <w:pStyle w:val="Table3"/>
            </w:pPr>
            <w:r>
              <w:t>0</w:t>
            </w:r>
          </w:p>
        </w:tc>
        <w:tc>
          <w:tcPr>
            <w:tcW w:w="567" w:type="dxa"/>
            <w:tcBorders>
              <w:top w:val="nil"/>
              <w:left w:val="single" w:sz="4" w:space="0" w:color="auto"/>
              <w:bottom w:val="single" w:sz="8" w:space="0" w:color="auto"/>
              <w:right w:val="single" w:sz="4" w:space="0" w:color="auto"/>
            </w:tcBorders>
            <w:vAlign w:val="bottom"/>
          </w:tcPr>
          <w:p w:rsidR="00666C55" w:rsidRDefault="00666C55" w:rsidP="00666C55">
            <w:pPr>
              <w:pStyle w:val="Table3"/>
            </w:pPr>
            <w:r>
              <w:t>33</w:t>
            </w:r>
          </w:p>
        </w:tc>
      </w:tr>
    </w:tbl>
    <w:p w:rsidR="00A16684" w:rsidRDefault="00A16684" w:rsidP="00927782"/>
    <w:p w:rsidR="00C20B69" w:rsidRDefault="00C20B69">
      <w:pPr>
        <w:tabs>
          <w:tab w:val="clear" w:pos="851"/>
        </w:tabs>
        <w:spacing w:before="0" w:after="200" w:line="276" w:lineRule="auto"/>
      </w:pPr>
      <w:r>
        <w:br w:type="page"/>
      </w:r>
    </w:p>
    <w:p w:rsidR="00C20B69" w:rsidRDefault="00C20B69" w:rsidP="00C20B69">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15</w:t>
      </w:r>
      <w:r w:rsidR="00C036A7">
        <w:rPr>
          <w:noProof/>
        </w:rPr>
        <w:fldChar w:fldCharType="end"/>
      </w:r>
      <w:r>
        <w:t xml:space="preserve"> Option 2—amend ADRs 35 and 38 on heavy commercial vehicles (regulation)</w:t>
      </w:r>
      <w:r w:rsidR="00DA684E">
        <w:t>—buses</w:t>
      </w:r>
    </w:p>
    <w:tbl>
      <w:tblPr>
        <w:tblW w:w="16019" w:type="dxa"/>
        <w:tblInd w:w="-176" w:type="dxa"/>
        <w:tblLayout w:type="fixed"/>
        <w:tblLook w:val="04A0" w:firstRow="1" w:lastRow="0" w:firstColumn="1" w:lastColumn="0" w:noHBand="0" w:noVBand="1"/>
      </w:tblPr>
      <w:tblGrid>
        <w:gridCol w:w="426"/>
        <w:gridCol w:w="709"/>
        <w:gridCol w:w="624"/>
        <w:gridCol w:w="441"/>
        <w:gridCol w:w="442"/>
        <w:gridCol w:w="442"/>
        <w:gridCol w:w="441"/>
        <w:gridCol w:w="442"/>
        <w:gridCol w:w="442"/>
        <w:gridCol w:w="441"/>
        <w:gridCol w:w="442"/>
        <w:gridCol w:w="442"/>
        <w:gridCol w:w="442"/>
        <w:gridCol w:w="441"/>
        <w:gridCol w:w="442"/>
        <w:gridCol w:w="442"/>
        <w:gridCol w:w="441"/>
        <w:gridCol w:w="442"/>
        <w:gridCol w:w="442"/>
        <w:gridCol w:w="442"/>
        <w:gridCol w:w="441"/>
        <w:gridCol w:w="442"/>
        <w:gridCol w:w="442"/>
        <w:gridCol w:w="441"/>
        <w:gridCol w:w="442"/>
        <w:gridCol w:w="442"/>
        <w:gridCol w:w="442"/>
        <w:gridCol w:w="441"/>
        <w:gridCol w:w="442"/>
        <w:gridCol w:w="442"/>
        <w:gridCol w:w="441"/>
        <w:gridCol w:w="442"/>
        <w:gridCol w:w="442"/>
        <w:gridCol w:w="442"/>
        <w:gridCol w:w="567"/>
      </w:tblGrid>
      <w:tr w:rsidR="00666C55" w:rsidRPr="003E3F01" w:rsidTr="000015E0">
        <w:trPr>
          <w:cantSplit/>
          <w:trHeight w:val="330"/>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6C55" w:rsidRPr="00555F72" w:rsidRDefault="00666C55" w:rsidP="000015E0">
            <w:pPr>
              <w:pStyle w:val="Table3heading"/>
            </w:pPr>
            <w:r w:rsidRPr="00555F72">
              <w:t>Year</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6C55" w:rsidRPr="00555F72" w:rsidRDefault="00666C55" w:rsidP="000015E0">
            <w:pPr>
              <w:pStyle w:val="Table3heading"/>
            </w:pPr>
            <w:r w:rsidRPr="00555F72">
              <w:t>Likelihood of crash per vehicle</w:t>
            </w:r>
          </w:p>
        </w:tc>
        <w:tc>
          <w:tcPr>
            <w:tcW w:w="6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6C55" w:rsidRPr="00555F72" w:rsidRDefault="00666C55" w:rsidP="000015E0">
            <w:pPr>
              <w:pStyle w:val="Table3heading"/>
            </w:pPr>
            <w:r w:rsidRPr="00555F72">
              <w:t>Option minus BAU</w:t>
            </w:r>
          </w:p>
        </w:tc>
        <w:tc>
          <w:tcPr>
            <w:tcW w:w="13693" w:type="dxa"/>
            <w:gridSpan w:val="31"/>
            <w:tcBorders>
              <w:top w:val="single" w:sz="4" w:space="0" w:color="auto"/>
              <w:left w:val="single" w:sz="4" w:space="0" w:color="auto"/>
              <w:bottom w:val="nil"/>
              <w:right w:val="single" w:sz="4" w:space="0" w:color="auto"/>
            </w:tcBorders>
            <w:vAlign w:val="center"/>
          </w:tcPr>
          <w:p w:rsidR="00666C55" w:rsidRDefault="00666C55" w:rsidP="000015E0">
            <w:pPr>
              <w:pStyle w:val="Table3heading"/>
              <w:jc w:val="center"/>
            </w:pPr>
          </w:p>
          <w:p w:rsidR="00666C55" w:rsidRDefault="00666C55" w:rsidP="000015E0">
            <w:pPr>
              <w:pStyle w:val="Table3heading"/>
              <w:jc w:val="center"/>
            </w:pPr>
            <w:r w:rsidRPr="00555F72">
              <w:t>Year</w:t>
            </w:r>
          </w:p>
          <w:p w:rsidR="00666C55" w:rsidRPr="00555F72" w:rsidRDefault="00666C55" w:rsidP="000015E0">
            <w:pPr>
              <w:pStyle w:val="Table3heading"/>
              <w:jc w:val="cente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66C55" w:rsidRPr="00555F72" w:rsidRDefault="00666C55" w:rsidP="000015E0">
            <w:pPr>
              <w:pStyle w:val="Table3heading"/>
            </w:pPr>
            <w:r w:rsidRPr="00555F72">
              <w:t>Total vehicles</w:t>
            </w:r>
          </w:p>
        </w:tc>
      </w:tr>
      <w:tr w:rsidR="00666C55" w:rsidRPr="003E3F01" w:rsidTr="000015E0">
        <w:trPr>
          <w:cantSplit/>
          <w:trHeight w:val="118"/>
        </w:trPr>
        <w:tc>
          <w:tcPr>
            <w:tcW w:w="426" w:type="dxa"/>
            <w:vMerge/>
            <w:tcBorders>
              <w:top w:val="single" w:sz="4" w:space="0" w:color="auto"/>
              <w:left w:val="single" w:sz="4" w:space="0" w:color="auto"/>
              <w:bottom w:val="single" w:sz="4" w:space="0" w:color="auto"/>
              <w:right w:val="single" w:sz="4" w:space="0" w:color="auto"/>
            </w:tcBorders>
            <w:vAlign w:val="center"/>
          </w:tcPr>
          <w:p w:rsidR="00666C55" w:rsidRPr="005012E6" w:rsidRDefault="00666C55" w:rsidP="000015E0">
            <w:pPr>
              <w:pStyle w:val="Table3heading"/>
            </w:pPr>
          </w:p>
        </w:tc>
        <w:tc>
          <w:tcPr>
            <w:tcW w:w="709" w:type="dxa"/>
            <w:vMerge/>
            <w:tcBorders>
              <w:top w:val="single" w:sz="4" w:space="0" w:color="auto"/>
              <w:left w:val="single" w:sz="4" w:space="0" w:color="auto"/>
              <w:bottom w:val="single" w:sz="4" w:space="0" w:color="auto"/>
              <w:right w:val="single" w:sz="4" w:space="0" w:color="auto"/>
            </w:tcBorders>
            <w:vAlign w:val="center"/>
          </w:tcPr>
          <w:p w:rsidR="00666C55" w:rsidRPr="005012E6" w:rsidRDefault="00666C55" w:rsidP="000015E0">
            <w:pPr>
              <w:pStyle w:val="Table3heading"/>
            </w:pPr>
          </w:p>
        </w:tc>
        <w:tc>
          <w:tcPr>
            <w:tcW w:w="624" w:type="dxa"/>
            <w:vMerge/>
            <w:tcBorders>
              <w:left w:val="single" w:sz="4" w:space="0" w:color="auto"/>
              <w:bottom w:val="single" w:sz="4" w:space="0" w:color="auto"/>
              <w:right w:val="single" w:sz="4" w:space="0" w:color="auto"/>
            </w:tcBorders>
            <w:vAlign w:val="center"/>
          </w:tcPr>
          <w:p w:rsidR="00666C55" w:rsidRPr="005012E6" w:rsidRDefault="00666C55" w:rsidP="000015E0">
            <w:pPr>
              <w:pStyle w:val="Table3heading"/>
            </w:pPr>
          </w:p>
        </w:tc>
        <w:tc>
          <w:tcPr>
            <w:tcW w:w="441" w:type="dxa"/>
            <w:tcBorders>
              <w:top w:val="nil"/>
              <w:left w:val="single" w:sz="4" w:space="0" w:color="auto"/>
              <w:bottom w:val="single" w:sz="4" w:space="0" w:color="auto"/>
              <w:right w:val="nil"/>
            </w:tcBorders>
            <w:vAlign w:val="center"/>
          </w:tcPr>
          <w:p w:rsidR="00666C55" w:rsidRPr="005012E6" w:rsidRDefault="00666C55" w:rsidP="000015E0">
            <w:pPr>
              <w:pStyle w:val="Table3heading"/>
            </w:pPr>
            <w:r w:rsidRPr="005012E6">
              <w:t>0</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3</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4</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5</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6</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7</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8</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9</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10</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11</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12</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13</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14</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15</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16</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17</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18</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19</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20</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21</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22</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23</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24</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25</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26</w:t>
            </w:r>
          </w:p>
        </w:tc>
        <w:tc>
          <w:tcPr>
            <w:tcW w:w="441" w:type="dxa"/>
            <w:tcBorders>
              <w:top w:val="nil"/>
              <w:left w:val="nil"/>
              <w:bottom w:val="single" w:sz="4" w:space="0" w:color="auto"/>
              <w:right w:val="nil"/>
            </w:tcBorders>
            <w:vAlign w:val="center"/>
          </w:tcPr>
          <w:p w:rsidR="00666C55" w:rsidRPr="005012E6" w:rsidRDefault="00666C55" w:rsidP="000015E0">
            <w:pPr>
              <w:pStyle w:val="Table3heading"/>
            </w:pPr>
            <w:r w:rsidRPr="005012E6">
              <w:t>27</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28</w:t>
            </w:r>
          </w:p>
        </w:tc>
        <w:tc>
          <w:tcPr>
            <w:tcW w:w="442" w:type="dxa"/>
            <w:tcBorders>
              <w:top w:val="nil"/>
              <w:left w:val="nil"/>
              <w:bottom w:val="single" w:sz="4" w:space="0" w:color="auto"/>
              <w:right w:val="nil"/>
            </w:tcBorders>
            <w:vAlign w:val="center"/>
          </w:tcPr>
          <w:p w:rsidR="00666C55" w:rsidRPr="005012E6" w:rsidRDefault="00666C55" w:rsidP="000015E0">
            <w:pPr>
              <w:pStyle w:val="Table3heading"/>
            </w:pPr>
            <w:r w:rsidRPr="005012E6">
              <w:t>29</w:t>
            </w:r>
          </w:p>
        </w:tc>
        <w:tc>
          <w:tcPr>
            <w:tcW w:w="442" w:type="dxa"/>
            <w:tcBorders>
              <w:top w:val="nil"/>
              <w:left w:val="nil"/>
              <w:bottom w:val="single" w:sz="4" w:space="0" w:color="auto"/>
              <w:right w:val="single" w:sz="4" w:space="0" w:color="auto"/>
            </w:tcBorders>
            <w:vAlign w:val="center"/>
          </w:tcPr>
          <w:p w:rsidR="00666C55" w:rsidRPr="005012E6" w:rsidRDefault="00666C55" w:rsidP="000015E0">
            <w:pPr>
              <w:pStyle w:val="Table3heading"/>
            </w:pPr>
            <w:r w:rsidRPr="005012E6">
              <w:t>30</w:t>
            </w:r>
          </w:p>
        </w:tc>
        <w:tc>
          <w:tcPr>
            <w:tcW w:w="567" w:type="dxa"/>
            <w:vMerge/>
            <w:tcBorders>
              <w:left w:val="single" w:sz="4" w:space="0" w:color="auto"/>
              <w:bottom w:val="single" w:sz="4" w:space="0" w:color="auto"/>
              <w:right w:val="single" w:sz="4" w:space="0" w:color="auto"/>
            </w:tcBorders>
            <w:vAlign w:val="center"/>
          </w:tcPr>
          <w:p w:rsidR="00666C55" w:rsidRPr="005012E6" w:rsidRDefault="00666C55" w:rsidP="000015E0">
            <w:pPr>
              <w:pStyle w:val="Table3heading"/>
            </w:pPr>
          </w:p>
        </w:tc>
      </w:tr>
      <w:tr w:rsidR="00D45D5F" w:rsidRPr="003E3F01" w:rsidTr="000015E0">
        <w:tc>
          <w:tcPr>
            <w:tcW w:w="426" w:type="dxa"/>
            <w:tcBorders>
              <w:top w:val="single" w:sz="4" w:space="0" w:color="auto"/>
              <w:left w:val="single" w:sz="4" w:space="0" w:color="auto"/>
              <w:bottom w:val="nil"/>
              <w:right w:val="single" w:sz="4" w:space="0" w:color="auto"/>
            </w:tcBorders>
            <w:vAlign w:val="center"/>
          </w:tcPr>
          <w:p w:rsidR="00D45D5F" w:rsidRPr="00555F72" w:rsidRDefault="00D45D5F" w:rsidP="000015E0">
            <w:pPr>
              <w:pStyle w:val="Table3"/>
            </w:pPr>
            <w:r w:rsidRPr="00555F72">
              <w:t>1</w:t>
            </w:r>
          </w:p>
        </w:tc>
        <w:tc>
          <w:tcPr>
            <w:tcW w:w="709" w:type="dxa"/>
            <w:tcBorders>
              <w:top w:val="single" w:sz="4" w:space="0" w:color="auto"/>
              <w:left w:val="single" w:sz="4" w:space="0" w:color="auto"/>
              <w:bottom w:val="nil"/>
              <w:right w:val="single" w:sz="4" w:space="0" w:color="auto"/>
            </w:tcBorders>
          </w:tcPr>
          <w:p w:rsidR="00D45D5F" w:rsidRPr="00555F72" w:rsidRDefault="00D45D5F" w:rsidP="000015E0">
            <w:pPr>
              <w:pStyle w:val="Table3"/>
            </w:pPr>
            <w:r w:rsidRPr="00555F72">
              <w:t>0.0038</w:t>
            </w:r>
          </w:p>
        </w:tc>
        <w:tc>
          <w:tcPr>
            <w:tcW w:w="624" w:type="dxa"/>
            <w:tcBorders>
              <w:top w:val="single" w:sz="4" w:space="0" w:color="auto"/>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single" w:sz="4" w:space="0" w:color="auto"/>
              <w:left w:val="single" w:sz="4" w:space="0" w:color="auto"/>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r>
              <w:t>0</w:t>
            </w: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1"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nil"/>
            </w:tcBorders>
            <w:vAlign w:val="bottom"/>
          </w:tcPr>
          <w:p w:rsidR="00D45D5F" w:rsidRDefault="00D45D5F" w:rsidP="00D45D5F">
            <w:pPr>
              <w:pStyle w:val="Table3"/>
            </w:pPr>
          </w:p>
        </w:tc>
        <w:tc>
          <w:tcPr>
            <w:tcW w:w="442" w:type="dxa"/>
            <w:tcBorders>
              <w:top w:val="single" w:sz="4" w:space="0" w:color="auto"/>
              <w:left w:val="nil"/>
              <w:bottom w:val="nil"/>
              <w:right w:val="single" w:sz="4" w:space="0" w:color="auto"/>
            </w:tcBorders>
            <w:vAlign w:val="bottom"/>
          </w:tcPr>
          <w:p w:rsidR="00D45D5F" w:rsidRDefault="00D45D5F" w:rsidP="00D45D5F">
            <w:pPr>
              <w:pStyle w:val="Table3"/>
            </w:pPr>
          </w:p>
        </w:tc>
        <w:tc>
          <w:tcPr>
            <w:tcW w:w="567" w:type="dxa"/>
            <w:tcBorders>
              <w:top w:val="single" w:sz="4" w:space="0" w:color="auto"/>
              <w:left w:val="single" w:sz="4" w:space="0" w:color="auto"/>
              <w:bottom w:val="nil"/>
              <w:right w:val="single" w:sz="4" w:space="0" w:color="auto"/>
            </w:tcBorders>
            <w:vAlign w:val="bottom"/>
          </w:tcPr>
          <w:p w:rsidR="00D45D5F" w:rsidRDefault="00D45D5F" w:rsidP="00D45D5F">
            <w:pPr>
              <w:pStyle w:val="Table3"/>
            </w:pPr>
            <w:r>
              <w:t>0</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0.0091</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462</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2</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3</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0.0087</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480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6</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4</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0.0091</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500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10</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5</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0.0092</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520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15</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6</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0.0092</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18</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7</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0.0089</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18</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8</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0.0081</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18</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9</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0.0082</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17</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10</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0.0087</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17</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11</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0.0095</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17</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12</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0.0097</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17</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13</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0.0099</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18</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14</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0.0096</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19</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15</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0.0090</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19</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16</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0.0092</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19</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17</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0.0083</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19</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18</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0.0065</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18</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19</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0.0061</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3</w:t>
            </w:r>
          </w:p>
        </w:tc>
        <w:tc>
          <w:tcPr>
            <w:tcW w:w="441"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16</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20</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0.0051</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3</w:t>
            </w:r>
          </w:p>
        </w:tc>
        <w:tc>
          <w:tcPr>
            <w:tcW w:w="441" w:type="dxa"/>
            <w:tcBorders>
              <w:top w:val="nil"/>
              <w:left w:val="nil"/>
              <w:bottom w:val="nil"/>
              <w:right w:val="nil"/>
            </w:tcBorders>
            <w:vAlign w:val="bottom"/>
          </w:tcPr>
          <w:p w:rsidR="00D45D5F" w:rsidRDefault="00D45D5F" w:rsidP="00D45D5F">
            <w:pPr>
              <w:pStyle w:val="Table3"/>
            </w:pPr>
            <w:r>
              <w:t>3</w:t>
            </w:r>
          </w:p>
        </w:tc>
        <w:tc>
          <w:tcPr>
            <w:tcW w:w="442" w:type="dxa"/>
            <w:tcBorders>
              <w:top w:val="nil"/>
              <w:left w:val="nil"/>
              <w:bottom w:val="nil"/>
              <w:right w:val="nil"/>
            </w:tcBorders>
            <w:vAlign w:val="bottom"/>
          </w:tcPr>
          <w:p w:rsidR="00D45D5F" w:rsidRDefault="00D45D5F" w:rsidP="00D45D5F">
            <w:pPr>
              <w:pStyle w:val="Table3"/>
            </w:pPr>
            <w:r>
              <w:t>4</w:t>
            </w:r>
          </w:p>
        </w:tc>
        <w:tc>
          <w:tcPr>
            <w:tcW w:w="442" w:type="dxa"/>
            <w:tcBorders>
              <w:top w:val="nil"/>
              <w:left w:val="nil"/>
              <w:bottom w:val="nil"/>
              <w:right w:val="nil"/>
            </w:tcBorders>
            <w:vAlign w:val="bottom"/>
          </w:tcPr>
          <w:p w:rsidR="00D45D5F" w:rsidRDefault="00D45D5F" w:rsidP="00D45D5F">
            <w:pPr>
              <w:pStyle w:val="Table3"/>
            </w:pPr>
            <w:r>
              <w:t>5</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15</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21</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0.0038</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r>
              <w:t>3</w:t>
            </w:r>
          </w:p>
        </w:tc>
        <w:tc>
          <w:tcPr>
            <w:tcW w:w="442" w:type="dxa"/>
            <w:tcBorders>
              <w:top w:val="nil"/>
              <w:left w:val="nil"/>
              <w:bottom w:val="nil"/>
              <w:right w:val="nil"/>
            </w:tcBorders>
            <w:vAlign w:val="bottom"/>
          </w:tcPr>
          <w:p w:rsidR="00D45D5F" w:rsidRDefault="00D45D5F" w:rsidP="00D45D5F">
            <w:pPr>
              <w:pStyle w:val="Table3"/>
            </w:pPr>
            <w:r>
              <w:t>3</w:t>
            </w:r>
          </w:p>
        </w:tc>
        <w:tc>
          <w:tcPr>
            <w:tcW w:w="442" w:type="dxa"/>
            <w:tcBorders>
              <w:top w:val="nil"/>
              <w:left w:val="nil"/>
              <w:bottom w:val="nil"/>
              <w:right w:val="nil"/>
            </w:tcBorders>
            <w:vAlign w:val="bottom"/>
          </w:tcPr>
          <w:p w:rsidR="00D45D5F" w:rsidRDefault="00D45D5F" w:rsidP="00D45D5F">
            <w:pPr>
              <w:pStyle w:val="Table3"/>
            </w:pPr>
            <w:r>
              <w:t>4</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13</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22</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0.0033</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r>
              <w:t>3</w:t>
            </w:r>
          </w:p>
        </w:tc>
        <w:tc>
          <w:tcPr>
            <w:tcW w:w="442" w:type="dxa"/>
            <w:tcBorders>
              <w:top w:val="nil"/>
              <w:left w:val="nil"/>
              <w:bottom w:val="nil"/>
              <w:right w:val="nil"/>
            </w:tcBorders>
            <w:vAlign w:val="bottom"/>
          </w:tcPr>
          <w:p w:rsidR="00D45D5F" w:rsidRDefault="00D45D5F" w:rsidP="00D45D5F">
            <w:pPr>
              <w:pStyle w:val="Table3"/>
            </w:pPr>
            <w:r>
              <w:t>3</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11</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23</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0.0024</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r>
              <w:t>3</w:t>
            </w:r>
          </w:p>
        </w:tc>
        <w:tc>
          <w:tcPr>
            <w:tcW w:w="442" w:type="dxa"/>
            <w:tcBorders>
              <w:top w:val="nil"/>
              <w:left w:val="nil"/>
              <w:bottom w:val="nil"/>
              <w:right w:val="nil"/>
            </w:tcBorders>
            <w:vAlign w:val="bottom"/>
          </w:tcPr>
          <w:p w:rsidR="00D45D5F" w:rsidRDefault="00D45D5F" w:rsidP="00D45D5F">
            <w:pPr>
              <w:pStyle w:val="Table3"/>
            </w:pPr>
            <w:r>
              <w:t>3</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9</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24</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0.0018</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r>
              <w:t>3</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7</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25</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0.0015</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2</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6</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26</w:t>
            </w:r>
          </w:p>
        </w:tc>
        <w:tc>
          <w:tcPr>
            <w:tcW w:w="709" w:type="dxa"/>
            <w:tcBorders>
              <w:top w:val="nil"/>
              <w:left w:val="single" w:sz="4" w:space="0" w:color="auto"/>
              <w:bottom w:val="nil"/>
              <w:right w:val="single" w:sz="4" w:space="0" w:color="auto"/>
            </w:tcBorders>
          </w:tcPr>
          <w:p w:rsidR="00D45D5F" w:rsidRPr="00555F72" w:rsidRDefault="00D45D5F" w:rsidP="000015E0">
            <w:pPr>
              <w:pStyle w:val="Table3"/>
            </w:pPr>
            <w:r w:rsidRPr="00555F72">
              <w:t>0.0013</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2</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5</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27</w:t>
            </w:r>
          </w:p>
        </w:tc>
        <w:tc>
          <w:tcPr>
            <w:tcW w:w="709"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0.0000</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3</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28</w:t>
            </w:r>
          </w:p>
        </w:tc>
        <w:tc>
          <w:tcPr>
            <w:tcW w:w="709"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0.0000</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2</w:t>
            </w:r>
          </w:p>
        </w:tc>
      </w:tr>
      <w:tr w:rsidR="00D45D5F" w:rsidRPr="003E3F01" w:rsidTr="000015E0">
        <w:tc>
          <w:tcPr>
            <w:tcW w:w="426"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29</w:t>
            </w:r>
          </w:p>
        </w:tc>
        <w:tc>
          <w:tcPr>
            <w:tcW w:w="709" w:type="dxa"/>
            <w:tcBorders>
              <w:top w:val="nil"/>
              <w:left w:val="single" w:sz="4" w:space="0" w:color="auto"/>
              <w:bottom w:val="nil"/>
              <w:right w:val="single" w:sz="4" w:space="0" w:color="auto"/>
            </w:tcBorders>
            <w:vAlign w:val="center"/>
          </w:tcPr>
          <w:p w:rsidR="00D45D5F" w:rsidRPr="00555F72" w:rsidRDefault="00D45D5F" w:rsidP="000015E0">
            <w:pPr>
              <w:pStyle w:val="Table3"/>
            </w:pPr>
            <w:r w:rsidRPr="00555F72">
              <w:t>0.0000</w:t>
            </w:r>
          </w:p>
        </w:tc>
        <w:tc>
          <w:tcPr>
            <w:tcW w:w="624" w:type="dxa"/>
            <w:tcBorders>
              <w:top w:val="nil"/>
              <w:left w:val="single" w:sz="4" w:space="0" w:color="auto"/>
              <w:bottom w:val="nil"/>
              <w:right w:val="single" w:sz="4" w:space="0" w:color="auto"/>
            </w:tcBorders>
            <w:vAlign w:val="bottom"/>
          </w:tcPr>
          <w:p w:rsidR="00D45D5F" w:rsidRDefault="00D45D5F" w:rsidP="00D45D5F">
            <w:pPr>
              <w:pStyle w:val="Table3"/>
            </w:pPr>
            <w:r>
              <w:t>0</w:t>
            </w:r>
          </w:p>
        </w:tc>
        <w:tc>
          <w:tcPr>
            <w:tcW w:w="441" w:type="dxa"/>
            <w:tcBorders>
              <w:top w:val="nil"/>
              <w:left w:val="single" w:sz="4" w:space="0" w:color="auto"/>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p>
        </w:tc>
        <w:tc>
          <w:tcPr>
            <w:tcW w:w="441" w:type="dxa"/>
            <w:tcBorders>
              <w:top w:val="nil"/>
              <w:left w:val="nil"/>
              <w:bottom w:val="nil"/>
              <w:right w:val="nil"/>
            </w:tcBorders>
            <w:vAlign w:val="bottom"/>
          </w:tcPr>
          <w:p w:rsidR="00D45D5F" w:rsidRDefault="00D45D5F" w:rsidP="00D45D5F">
            <w:pPr>
              <w:pStyle w:val="Table3"/>
            </w:pPr>
          </w:p>
        </w:tc>
        <w:tc>
          <w:tcPr>
            <w:tcW w:w="442" w:type="dxa"/>
            <w:tcBorders>
              <w:top w:val="nil"/>
              <w:left w:val="nil"/>
              <w:bottom w:val="nil"/>
              <w:right w:val="nil"/>
            </w:tcBorders>
            <w:vAlign w:val="bottom"/>
          </w:tcPr>
          <w:p w:rsidR="00D45D5F" w:rsidRDefault="00D45D5F" w:rsidP="00D45D5F">
            <w:pPr>
              <w:pStyle w:val="Table3"/>
            </w:pPr>
            <w:r>
              <w:t>1</w:t>
            </w:r>
          </w:p>
        </w:tc>
        <w:tc>
          <w:tcPr>
            <w:tcW w:w="442" w:type="dxa"/>
            <w:tcBorders>
              <w:top w:val="nil"/>
              <w:left w:val="nil"/>
              <w:bottom w:val="nil"/>
              <w:right w:val="nil"/>
            </w:tcBorders>
            <w:vAlign w:val="bottom"/>
          </w:tcPr>
          <w:p w:rsidR="00D45D5F" w:rsidRDefault="00D45D5F" w:rsidP="00D45D5F">
            <w:pPr>
              <w:pStyle w:val="Table3"/>
            </w:pPr>
            <w:r>
              <w:t>1</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1"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nil"/>
            </w:tcBorders>
            <w:vAlign w:val="bottom"/>
          </w:tcPr>
          <w:p w:rsidR="00D45D5F" w:rsidRDefault="00D45D5F" w:rsidP="00D45D5F">
            <w:pPr>
              <w:pStyle w:val="Table3"/>
            </w:pPr>
            <w:r>
              <w:t>0</w:t>
            </w:r>
          </w:p>
        </w:tc>
        <w:tc>
          <w:tcPr>
            <w:tcW w:w="442" w:type="dxa"/>
            <w:tcBorders>
              <w:top w:val="nil"/>
              <w:left w:val="nil"/>
              <w:bottom w:val="nil"/>
              <w:right w:val="single" w:sz="4" w:space="0" w:color="auto"/>
            </w:tcBorders>
            <w:vAlign w:val="bottom"/>
          </w:tcPr>
          <w:p w:rsidR="00D45D5F" w:rsidRDefault="00D45D5F" w:rsidP="00D45D5F">
            <w:pPr>
              <w:pStyle w:val="Table3"/>
            </w:pPr>
          </w:p>
        </w:tc>
        <w:tc>
          <w:tcPr>
            <w:tcW w:w="567" w:type="dxa"/>
            <w:tcBorders>
              <w:top w:val="nil"/>
              <w:left w:val="single" w:sz="4" w:space="0" w:color="auto"/>
              <w:bottom w:val="nil"/>
              <w:right w:val="single" w:sz="4" w:space="0" w:color="auto"/>
            </w:tcBorders>
            <w:vAlign w:val="bottom"/>
          </w:tcPr>
          <w:p w:rsidR="00D45D5F" w:rsidRDefault="00D45D5F" w:rsidP="00D45D5F">
            <w:pPr>
              <w:pStyle w:val="Table3"/>
            </w:pPr>
            <w:r>
              <w:t>1</w:t>
            </w:r>
          </w:p>
        </w:tc>
      </w:tr>
      <w:tr w:rsidR="00D45D5F" w:rsidRPr="003E3F01" w:rsidTr="000015E0">
        <w:tc>
          <w:tcPr>
            <w:tcW w:w="426" w:type="dxa"/>
            <w:tcBorders>
              <w:top w:val="nil"/>
              <w:left w:val="single" w:sz="4" w:space="0" w:color="auto"/>
              <w:bottom w:val="single" w:sz="8" w:space="0" w:color="auto"/>
              <w:right w:val="single" w:sz="4" w:space="0" w:color="auto"/>
            </w:tcBorders>
            <w:vAlign w:val="center"/>
          </w:tcPr>
          <w:p w:rsidR="00D45D5F" w:rsidRPr="00555F72" w:rsidRDefault="00D45D5F" w:rsidP="000015E0">
            <w:pPr>
              <w:pStyle w:val="Table3"/>
            </w:pPr>
            <w:r w:rsidRPr="00555F72">
              <w:t>30</w:t>
            </w:r>
          </w:p>
        </w:tc>
        <w:tc>
          <w:tcPr>
            <w:tcW w:w="709" w:type="dxa"/>
            <w:tcBorders>
              <w:top w:val="nil"/>
              <w:left w:val="single" w:sz="4" w:space="0" w:color="auto"/>
              <w:bottom w:val="single" w:sz="8" w:space="0" w:color="auto"/>
              <w:right w:val="single" w:sz="4" w:space="0" w:color="auto"/>
            </w:tcBorders>
            <w:vAlign w:val="center"/>
          </w:tcPr>
          <w:p w:rsidR="00D45D5F" w:rsidRPr="00555F72" w:rsidRDefault="00D45D5F" w:rsidP="000015E0">
            <w:pPr>
              <w:pStyle w:val="Table3"/>
            </w:pPr>
            <w:r w:rsidRPr="00555F72">
              <w:t>0.0000</w:t>
            </w:r>
          </w:p>
        </w:tc>
        <w:tc>
          <w:tcPr>
            <w:tcW w:w="624" w:type="dxa"/>
            <w:tcBorders>
              <w:top w:val="nil"/>
              <w:left w:val="single" w:sz="4" w:space="0" w:color="auto"/>
              <w:bottom w:val="single" w:sz="8" w:space="0" w:color="auto"/>
              <w:right w:val="single" w:sz="4" w:space="0" w:color="auto"/>
            </w:tcBorders>
            <w:vAlign w:val="bottom"/>
          </w:tcPr>
          <w:p w:rsidR="00D45D5F" w:rsidRDefault="00D45D5F" w:rsidP="00D45D5F">
            <w:pPr>
              <w:pStyle w:val="Table3"/>
              <w:rPr>
                <w:color w:val="969696"/>
              </w:rPr>
            </w:pPr>
            <w:r>
              <w:rPr>
                <w:color w:val="969696"/>
              </w:rPr>
              <w:t>0</w:t>
            </w:r>
          </w:p>
        </w:tc>
        <w:tc>
          <w:tcPr>
            <w:tcW w:w="441" w:type="dxa"/>
            <w:tcBorders>
              <w:top w:val="nil"/>
              <w:left w:val="single" w:sz="4" w:space="0" w:color="auto"/>
              <w:bottom w:val="single" w:sz="8" w:space="0" w:color="auto"/>
              <w:right w:val="nil"/>
            </w:tcBorders>
            <w:vAlign w:val="bottom"/>
          </w:tcPr>
          <w:p w:rsidR="00D45D5F" w:rsidRDefault="00D45D5F" w:rsidP="00D45D5F">
            <w:pPr>
              <w:pStyle w:val="Table3"/>
            </w:pPr>
            <w:r>
              <w:t> </w:t>
            </w:r>
          </w:p>
        </w:tc>
        <w:tc>
          <w:tcPr>
            <w:tcW w:w="442" w:type="dxa"/>
            <w:tcBorders>
              <w:top w:val="nil"/>
              <w:left w:val="nil"/>
              <w:bottom w:val="single" w:sz="8" w:space="0" w:color="auto"/>
              <w:right w:val="nil"/>
            </w:tcBorders>
            <w:vAlign w:val="bottom"/>
          </w:tcPr>
          <w:p w:rsidR="00D45D5F" w:rsidRDefault="00D45D5F" w:rsidP="00D45D5F">
            <w:pPr>
              <w:pStyle w:val="Table3"/>
            </w:pPr>
            <w:r>
              <w:t> </w:t>
            </w:r>
          </w:p>
        </w:tc>
        <w:tc>
          <w:tcPr>
            <w:tcW w:w="442" w:type="dxa"/>
            <w:tcBorders>
              <w:top w:val="nil"/>
              <w:left w:val="nil"/>
              <w:bottom w:val="single" w:sz="8" w:space="0" w:color="auto"/>
              <w:right w:val="nil"/>
            </w:tcBorders>
            <w:vAlign w:val="bottom"/>
          </w:tcPr>
          <w:p w:rsidR="00D45D5F" w:rsidRDefault="00D45D5F" w:rsidP="00D45D5F">
            <w:pPr>
              <w:pStyle w:val="Table3"/>
            </w:pPr>
            <w:r>
              <w:t> </w:t>
            </w:r>
          </w:p>
        </w:tc>
        <w:tc>
          <w:tcPr>
            <w:tcW w:w="441" w:type="dxa"/>
            <w:tcBorders>
              <w:top w:val="nil"/>
              <w:left w:val="nil"/>
              <w:bottom w:val="single" w:sz="8" w:space="0" w:color="auto"/>
              <w:right w:val="nil"/>
            </w:tcBorders>
            <w:vAlign w:val="bottom"/>
          </w:tcPr>
          <w:p w:rsidR="00D45D5F" w:rsidRDefault="00D45D5F" w:rsidP="00D45D5F">
            <w:pPr>
              <w:pStyle w:val="Table3"/>
            </w:pPr>
            <w:r>
              <w:t> </w:t>
            </w:r>
          </w:p>
        </w:tc>
        <w:tc>
          <w:tcPr>
            <w:tcW w:w="442" w:type="dxa"/>
            <w:tcBorders>
              <w:top w:val="nil"/>
              <w:left w:val="nil"/>
              <w:bottom w:val="single" w:sz="8" w:space="0" w:color="auto"/>
              <w:right w:val="nil"/>
            </w:tcBorders>
            <w:vAlign w:val="bottom"/>
          </w:tcPr>
          <w:p w:rsidR="00D45D5F" w:rsidRDefault="00D45D5F" w:rsidP="00D45D5F">
            <w:pPr>
              <w:pStyle w:val="Table3"/>
            </w:pPr>
            <w:r>
              <w:t> </w:t>
            </w:r>
          </w:p>
        </w:tc>
        <w:tc>
          <w:tcPr>
            <w:tcW w:w="442" w:type="dxa"/>
            <w:tcBorders>
              <w:top w:val="nil"/>
              <w:left w:val="nil"/>
              <w:bottom w:val="single" w:sz="8" w:space="0" w:color="auto"/>
              <w:right w:val="nil"/>
            </w:tcBorders>
            <w:vAlign w:val="bottom"/>
          </w:tcPr>
          <w:p w:rsidR="00D45D5F" w:rsidRDefault="00D45D5F" w:rsidP="00D45D5F">
            <w:pPr>
              <w:pStyle w:val="Table3"/>
            </w:pPr>
            <w:r>
              <w:t>1</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1"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nil"/>
            </w:tcBorders>
            <w:vAlign w:val="bottom"/>
          </w:tcPr>
          <w:p w:rsidR="00D45D5F" w:rsidRDefault="00D45D5F" w:rsidP="00D45D5F">
            <w:pPr>
              <w:pStyle w:val="Table3"/>
            </w:pPr>
            <w:r>
              <w:t>0</w:t>
            </w:r>
          </w:p>
        </w:tc>
        <w:tc>
          <w:tcPr>
            <w:tcW w:w="442" w:type="dxa"/>
            <w:tcBorders>
              <w:top w:val="nil"/>
              <w:left w:val="nil"/>
              <w:bottom w:val="single" w:sz="8" w:space="0" w:color="auto"/>
              <w:right w:val="single" w:sz="4" w:space="0" w:color="auto"/>
            </w:tcBorders>
            <w:vAlign w:val="bottom"/>
          </w:tcPr>
          <w:p w:rsidR="00D45D5F" w:rsidRDefault="00D45D5F" w:rsidP="00D45D5F">
            <w:pPr>
              <w:pStyle w:val="Table3"/>
            </w:pPr>
            <w:r>
              <w:t>0</w:t>
            </w:r>
          </w:p>
        </w:tc>
        <w:tc>
          <w:tcPr>
            <w:tcW w:w="567" w:type="dxa"/>
            <w:tcBorders>
              <w:top w:val="nil"/>
              <w:left w:val="single" w:sz="4" w:space="0" w:color="auto"/>
              <w:bottom w:val="single" w:sz="8" w:space="0" w:color="auto"/>
              <w:right w:val="single" w:sz="4" w:space="0" w:color="auto"/>
            </w:tcBorders>
            <w:vAlign w:val="bottom"/>
          </w:tcPr>
          <w:p w:rsidR="00D45D5F" w:rsidRDefault="00D45D5F" w:rsidP="00D45D5F">
            <w:pPr>
              <w:pStyle w:val="Table3"/>
            </w:pPr>
            <w:r>
              <w:t>1</w:t>
            </w:r>
          </w:p>
        </w:tc>
      </w:tr>
    </w:tbl>
    <w:p w:rsidR="00C20B69" w:rsidRDefault="00C20B69" w:rsidP="00C20B69"/>
    <w:p w:rsidR="00816097" w:rsidRDefault="00816097" w:rsidP="00927782"/>
    <w:p w:rsidR="00C20B69" w:rsidRDefault="00C20B69" w:rsidP="00927782"/>
    <w:p w:rsidR="00B14E3A" w:rsidRDefault="00B14E3A" w:rsidP="00B14E3A">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16</w:t>
      </w:r>
      <w:r w:rsidR="00C036A7">
        <w:rPr>
          <w:noProof/>
        </w:rPr>
        <w:fldChar w:fldCharType="end"/>
      </w:r>
      <w:r>
        <w:t xml:space="preserve"> Option 2—amend ADRs 35 and 38 to require ABS on heavy commercial vehicles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719"/>
        <w:gridCol w:w="763"/>
        <w:gridCol w:w="742"/>
        <w:gridCol w:w="736"/>
        <w:gridCol w:w="761"/>
        <w:gridCol w:w="741"/>
        <w:gridCol w:w="736"/>
        <w:gridCol w:w="762"/>
        <w:gridCol w:w="741"/>
        <w:gridCol w:w="736"/>
        <w:gridCol w:w="762"/>
        <w:gridCol w:w="741"/>
        <w:gridCol w:w="736"/>
        <w:gridCol w:w="762"/>
        <w:gridCol w:w="741"/>
        <w:gridCol w:w="727"/>
        <w:gridCol w:w="1041"/>
        <w:gridCol w:w="966"/>
        <w:gridCol w:w="1041"/>
      </w:tblGrid>
      <w:tr w:rsidR="009E3E0C" w:rsidTr="000015E0">
        <w:tc>
          <w:tcPr>
            <w:tcW w:w="1379" w:type="dxa"/>
            <w:gridSpan w:val="2"/>
            <w:tcBorders>
              <w:top w:val="single" w:sz="8" w:space="0" w:color="auto"/>
              <w:left w:val="single" w:sz="8" w:space="0" w:color="auto"/>
              <w:right w:val="single" w:sz="8" w:space="0" w:color="auto"/>
            </w:tcBorders>
          </w:tcPr>
          <w:p w:rsidR="005B5E53" w:rsidRPr="00B65982" w:rsidRDefault="005B5E53" w:rsidP="005B5E53">
            <w:pPr>
              <w:pStyle w:val="Table3heading"/>
              <w:rPr>
                <w:highlight w:val="yellow"/>
              </w:rPr>
            </w:pPr>
          </w:p>
        </w:tc>
        <w:tc>
          <w:tcPr>
            <w:tcW w:w="2241"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Vehicle sales</w:t>
            </w:r>
          </w:p>
        </w:tc>
        <w:tc>
          <w:tcPr>
            <w:tcW w:w="2238"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Option’s expected fitment rate</w:t>
            </w:r>
          </w:p>
        </w:tc>
        <w:tc>
          <w:tcPr>
            <w:tcW w:w="2239"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BAU expected (voluntary) fitment rate</w:t>
            </w:r>
          </w:p>
        </w:tc>
        <w:tc>
          <w:tcPr>
            <w:tcW w:w="2239"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Option minus BAU</w:t>
            </w:r>
          </w:p>
        </w:tc>
        <w:tc>
          <w:tcPr>
            <w:tcW w:w="2230"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Net vehicle crashes influenced</w:t>
            </w:r>
          </w:p>
        </w:tc>
        <w:tc>
          <w:tcPr>
            <w:tcW w:w="3048" w:type="dxa"/>
            <w:gridSpan w:val="3"/>
            <w:tcBorders>
              <w:top w:val="single" w:sz="8" w:space="0" w:color="auto"/>
              <w:left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Value of net vehicle crashes influenced</w:t>
            </w:r>
          </w:p>
        </w:tc>
      </w:tr>
      <w:tr w:rsidR="009E3E0C" w:rsidTr="000015E0">
        <w:tc>
          <w:tcPr>
            <w:tcW w:w="660" w:type="dxa"/>
            <w:tcBorders>
              <w:left w:val="single" w:sz="8" w:space="0" w:color="auto"/>
              <w:bottom w:val="single" w:sz="8" w:space="0" w:color="auto"/>
            </w:tcBorders>
          </w:tcPr>
          <w:p w:rsidR="005B5E53" w:rsidRPr="000015E0" w:rsidRDefault="005B5E53" w:rsidP="005B5E53">
            <w:pPr>
              <w:pStyle w:val="Table3heading"/>
            </w:pPr>
          </w:p>
        </w:tc>
        <w:tc>
          <w:tcPr>
            <w:tcW w:w="719" w:type="dxa"/>
            <w:tcBorders>
              <w:bottom w:val="single" w:sz="8" w:space="0" w:color="auto"/>
              <w:right w:val="single" w:sz="8" w:space="0" w:color="auto"/>
            </w:tcBorders>
            <w:vAlign w:val="bottom"/>
          </w:tcPr>
          <w:p w:rsidR="005B5E53" w:rsidRPr="000015E0" w:rsidRDefault="005B5E53" w:rsidP="005B5E53">
            <w:pPr>
              <w:pStyle w:val="Table3heading"/>
            </w:pPr>
            <w:r w:rsidRPr="000015E0">
              <w:t>Year</w:t>
            </w:r>
          </w:p>
        </w:tc>
        <w:tc>
          <w:tcPr>
            <w:tcW w:w="763" w:type="dxa"/>
            <w:tcBorders>
              <w:top w:val="single" w:sz="8" w:space="0" w:color="auto"/>
              <w:left w:val="single" w:sz="8" w:space="0" w:color="auto"/>
              <w:bottom w:val="single" w:sz="8" w:space="0" w:color="auto"/>
            </w:tcBorders>
            <w:vAlign w:val="bottom"/>
          </w:tcPr>
          <w:p w:rsidR="005B5E53" w:rsidRPr="000015E0" w:rsidRDefault="005B5E53" w:rsidP="005B5E53">
            <w:pPr>
              <w:pStyle w:val="Table3heading"/>
            </w:pPr>
            <w:r w:rsidRPr="000015E0">
              <w:t>Trucks and trailers</w:t>
            </w:r>
          </w:p>
        </w:tc>
        <w:tc>
          <w:tcPr>
            <w:tcW w:w="742" w:type="dxa"/>
            <w:tcBorders>
              <w:top w:val="single" w:sz="8" w:space="0" w:color="auto"/>
              <w:bottom w:val="single" w:sz="8" w:space="0" w:color="auto"/>
            </w:tcBorders>
            <w:vAlign w:val="bottom"/>
          </w:tcPr>
          <w:p w:rsidR="005B5E53" w:rsidRPr="000015E0" w:rsidRDefault="005B5E53" w:rsidP="005B5E53">
            <w:pPr>
              <w:pStyle w:val="Table3heading"/>
            </w:pPr>
            <w:r w:rsidRPr="000015E0">
              <w:t>Buses</w:t>
            </w:r>
          </w:p>
        </w:tc>
        <w:tc>
          <w:tcPr>
            <w:tcW w:w="736"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c>
          <w:tcPr>
            <w:tcW w:w="761" w:type="dxa"/>
            <w:tcBorders>
              <w:top w:val="single" w:sz="8" w:space="0" w:color="auto"/>
              <w:left w:val="single" w:sz="8" w:space="0" w:color="auto"/>
              <w:bottom w:val="single" w:sz="8" w:space="0" w:color="auto"/>
            </w:tcBorders>
            <w:vAlign w:val="center"/>
          </w:tcPr>
          <w:p w:rsidR="005B5E53" w:rsidRPr="000015E0" w:rsidRDefault="005B5E53" w:rsidP="000015E0">
            <w:pPr>
              <w:pStyle w:val="Table3heading"/>
            </w:pPr>
            <w:r w:rsidRPr="000015E0">
              <w:t>Trucks and trailers</w:t>
            </w:r>
          </w:p>
        </w:tc>
        <w:tc>
          <w:tcPr>
            <w:tcW w:w="741" w:type="dxa"/>
            <w:tcBorders>
              <w:top w:val="single" w:sz="8" w:space="0" w:color="auto"/>
              <w:bottom w:val="single" w:sz="8" w:space="0" w:color="auto"/>
            </w:tcBorders>
            <w:vAlign w:val="center"/>
          </w:tcPr>
          <w:p w:rsidR="005B5E53" w:rsidRPr="000015E0" w:rsidRDefault="005B5E53" w:rsidP="000015E0">
            <w:pPr>
              <w:pStyle w:val="Table3heading"/>
            </w:pPr>
            <w:r w:rsidRPr="000015E0">
              <w:t>Buses</w:t>
            </w:r>
          </w:p>
        </w:tc>
        <w:tc>
          <w:tcPr>
            <w:tcW w:w="736"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c>
          <w:tcPr>
            <w:tcW w:w="762" w:type="dxa"/>
            <w:tcBorders>
              <w:top w:val="single" w:sz="8" w:space="0" w:color="auto"/>
              <w:left w:val="single" w:sz="8" w:space="0" w:color="auto"/>
              <w:bottom w:val="single" w:sz="8" w:space="0" w:color="auto"/>
            </w:tcBorders>
            <w:vAlign w:val="center"/>
          </w:tcPr>
          <w:p w:rsidR="005B5E53" w:rsidRPr="000015E0" w:rsidRDefault="005B5E53" w:rsidP="000015E0">
            <w:pPr>
              <w:pStyle w:val="Table3heading"/>
            </w:pPr>
            <w:r w:rsidRPr="000015E0">
              <w:t>Trucks and trailers</w:t>
            </w:r>
          </w:p>
        </w:tc>
        <w:tc>
          <w:tcPr>
            <w:tcW w:w="741" w:type="dxa"/>
            <w:tcBorders>
              <w:top w:val="single" w:sz="8" w:space="0" w:color="auto"/>
              <w:bottom w:val="single" w:sz="8" w:space="0" w:color="auto"/>
            </w:tcBorders>
            <w:vAlign w:val="center"/>
          </w:tcPr>
          <w:p w:rsidR="005B5E53" w:rsidRPr="000015E0" w:rsidRDefault="005B5E53" w:rsidP="000015E0">
            <w:pPr>
              <w:pStyle w:val="Table3heading"/>
            </w:pPr>
            <w:r w:rsidRPr="000015E0">
              <w:t>Buses</w:t>
            </w:r>
          </w:p>
        </w:tc>
        <w:tc>
          <w:tcPr>
            <w:tcW w:w="736"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c>
          <w:tcPr>
            <w:tcW w:w="762" w:type="dxa"/>
            <w:tcBorders>
              <w:top w:val="single" w:sz="8" w:space="0" w:color="auto"/>
              <w:left w:val="single" w:sz="8" w:space="0" w:color="auto"/>
              <w:bottom w:val="single" w:sz="8" w:space="0" w:color="auto"/>
            </w:tcBorders>
            <w:vAlign w:val="center"/>
          </w:tcPr>
          <w:p w:rsidR="005B5E53" w:rsidRPr="000015E0" w:rsidRDefault="005B5E53" w:rsidP="000015E0">
            <w:pPr>
              <w:pStyle w:val="Table3heading"/>
            </w:pPr>
            <w:r w:rsidRPr="000015E0">
              <w:t>Trucks and trailers</w:t>
            </w:r>
          </w:p>
        </w:tc>
        <w:tc>
          <w:tcPr>
            <w:tcW w:w="741" w:type="dxa"/>
            <w:tcBorders>
              <w:top w:val="single" w:sz="8" w:space="0" w:color="auto"/>
              <w:bottom w:val="single" w:sz="8" w:space="0" w:color="auto"/>
            </w:tcBorders>
            <w:vAlign w:val="center"/>
          </w:tcPr>
          <w:p w:rsidR="005B5E53" w:rsidRPr="000015E0" w:rsidRDefault="005B5E53" w:rsidP="000015E0">
            <w:pPr>
              <w:pStyle w:val="Table3heading"/>
            </w:pPr>
            <w:r w:rsidRPr="000015E0">
              <w:t>Buses</w:t>
            </w:r>
          </w:p>
        </w:tc>
        <w:tc>
          <w:tcPr>
            <w:tcW w:w="736"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c>
          <w:tcPr>
            <w:tcW w:w="762" w:type="dxa"/>
            <w:tcBorders>
              <w:top w:val="single" w:sz="8" w:space="0" w:color="auto"/>
              <w:left w:val="single" w:sz="8" w:space="0" w:color="auto"/>
              <w:bottom w:val="single" w:sz="8" w:space="0" w:color="auto"/>
            </w:tcBorders>
            <w:vAlign w:val="center"/>
          </w:tcPr>
          <w:p w:rsidR="005B5E53" w:rsidRPr="000015E0" w:rsidRDefault="005B5E53" w:rsidP="000015E0">
            <w:pPr>
              <w:pStyle w:val="Table3heading"/>
            </w:pPr>
            <w:r w:rsidRPr="000015E0">
              <w:t>Trucks and trailers</w:t>
            </w:r>
          </w:p>
        </w:tc>
        <w:tc>
          <w:tcPr>
            <w:tcW w:w="741" w:type="dxa"/>
            <w:tcBorders>
              <w:top w:val="single" w:sz="8" w:space="0" w:color="auto"/>
              <w:bottom w:val="single" w:sz="8" w:space="0" w:color="auto"/>
            </w:tcBorders>
            <w:vAlign w:val="center"/>
          </w:tcPr>
          <w:p w:rsidR="005B5E53" w:rsidRPr="000015E0" w:rsidRDefault="005B5E53" w:rsidP="000015E0">
            <w:pPr>
              <w:pStyle w:val="Table3heading"/>
            </w:pPr>
            <w:r w:rsidRPr="000015E0">
              <w:t>Buses</w:t>
            </w:r>
          </w:p>
        </w:tc>
        <w:tc>
          <w:tcPr>
            <w:tcW w:w="727"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c>
          <w:tcPr>
            <w:tcW w:w="1041" w:type="dxa"/>
            <w:tcBorders>
              <w:top w:val="single" w:sz="8" w:space="0" w:color="auto"/>
              <w:left w:val="single" w:sz="8" w:space="0" w:color="auto"/>
              <w:bottom w:val="single" w:sz="8" w:space="0" w:color="auto"/>
            </w:tcBorders>
            <w:vAlign w:val="center"/>
          </w:tcPr>
          <w:p w:rsidR="005B5E53" w:rsidRPr="000015E0" w:rsidRDefault="005B5E53" w:rsidP="000015E0">
            <w:pPr>
              <w:pStyle w:val="Table3heading"/>
            </w:pPr>
            <w:r w:rsidRPr="000015E0">
              <w:t>Trucks and trailers</w:t>
            </w:r>
          </w:p>
        </w:tc>
        <w:tc>
          <w:tcPr>
            <w:tcW w:w="966" w:type="dxa"/>
            <w:tcBorders>
              <w:top w:val="single" w:sz="8" w:space="0" w:color="auto"/>
              <w:bottom w:val="single" w:sz="8" w:space="0" w:color="auto"/>
            </w:tcBorders>
            <w:vAlign w:val="center"/>
          </w:tcPr>
          <w:p w:rsidR="005B5E53" w:rsidRPr="000015E0" w:rsidRDefault="005B5E53" w:rsidP="000015E0">
            <w:pPr>
              <w:pStyle w:val="Table3heading"/>
            </w:pPr>
            <w:r w:rsidRPr="000015E0">
              <w:t>Buses</w:t>
            </w:r>
          </w:p>
        </w:tc>
        <w:tc>
          <w:tcPr>
            <w:tcW w:w="1041" w:type="dxa"/>
            <w:tcBorders>
              <w:top w:val="single" w:sz="8" w:space="0" w:color="auto"/>
              <w:bottom w:val="single" w:sz="8" w:space="0" w:color="auto"/>
              <w:right w:val="single" w:sz="8" w:space="0" w:color="auto"/>
            </w:tcBorders>
            <w:vAlign w:val="center"/>
          </w:tcPr>
          <w:p w:rsidR="005B5E53" w:rsidRPr="000015E0" w:rsidRDefault="005B5E53" w:rsidP="000015E0">
            <w:pPr>
              <w:pStyle w:val="Table3heading"/>
            </w:pPr>
            <w:r w:rsidRPr="000015E0">
              <w:t>Total</w:t>
            </w:r>
          </w:p>
        </w:tc>
      </w:tr>
      <w:tr w:rsidR="003F4AEC" w:rsidTr="003F4AEC">
        <w:tc>
          <w:tcPr>
            <w:tcW w:w="660" w:type="dxa"/>
            <w:tcBorders>
              <w:top w:val="single" w:sz="8" w:space="0" w:color="auto"/>
              <w:left w:val="single" w:sz="8" w:space="0" w:color="auto"/>
            </w:tcBorders>
          </w:tcPr>
          <w:p w:rsidR="003F4AEC" w:rsidRPr="003F4AEC" w:rsidRDefault="003F4AEC" w:rsidP="003F4AEC">
            <w:pPr>
              <w:pStyle w:val="Table3"/>
            </w:pPr>
            <w:r w:rsidRPr="003F4AEC">
              <w:t>0</w:t>
            </w:r>
          </w:p>
        </w:tc>
        <w:tc>
          <w:tcPr>
            <w:tcW w:w="719" w:type="dxa"/>
            <w:tcBorders>
              <w:top w:val="single" w:sz="8" w:space="0" w:color="auto"/>
              <w:right w:val="single" w:sz="8" w:space="0" w:color="auto"/>
            </w:tcBorders>
            <w:vAlign w:val="center"/>
          </w:tcPr>
          <w:p w:rsidR="003F4AEC" w:rsidRPr="003F4AEC" w:rsidRDefault="003F4AEC" w:rsidP="003F4AEC">
            <w:pPr>
              <w:pStyle w:val="Table3"/>
            </w:pPr>
            <w:r w:rsidRPr="003F4AEC">
              <w:t>2012</w:t>
            </w:r>
          </w:p>
        </w:tc>
        <w:tc>
          <w:tcPr>
            <w:tcW w:w="763" w:type="dxa"/>
            <w:tcBorders>
              <w:top w:val="single" w:sz="8" w:space="0" w:color="auto"/>
              <w:left w:val="single" w:sz="8" w:space="0" w:color="auto"/>
            </w:tcBorders>
          </w:tcPr>
          <w:p w:rsidR="003F4AEC" w:rsidRPr="003F4AEC" w:rsidRDefault="003F4AEC" w:rsidP="003F4AEC">
            <w:pPr>
              <w:pStyle w:val="Table3"/>
            </w:pPr>
            <w:r w:rsidRPr="003F4AEC">
              <w:t>33,195</w:t>
            </w:r>
          </w:p>
        </w:tc>
        <w:tc>
          <w:tcPr>
            <w:tcW w:w="742" w:type="dxa"/>
            <w:tcBorders>
              <w:top w:val="single" w:sz="8" w:space="0" w:color="auto"/>
            </w:tcBorders>
          </w:tcPr>
          <w:p w:rsidR="003F4AEC" w:rsidRPr="003F4AEC" w:rsidRDefault="003F4AEC" w:rsidP="003F4AEC">
            <w:pPr>
              <w:pStyle w:val="Table3"/>
            </w:pPr>
            <w:r w:rsidRPr="003F4AEC">
              <w:t>4,271</w:t>
            </w:r>
          </w:p>
        </w:tc>
        <w:tc>
          <w:tcPr>
            <w:tcW w:w="736" w:type="dxa"/>
            <w:tcBorders>
              <w:top w:val="single" w:sz="8" w:space="0" w:color="auto"/>
              <w:right w:val="single" w:sz="8" w:space="0" w:color="auto"/>
            </w:tcBorders>
          </w:tcPr>
          <w:p w:rsidR="003F4AEC" w:rsidRPr="003F4AEC" w:rsidRDefault="003F4AEC" w:rsidP="003F4AEC">
            <w:pPr>
              <w:pStyle w:val="Table3"/>
            </w:pPr>
            <w:r w:rsidRPr="003F4AEC">
              <w:t>37,466</w:t>
            </w:r>
          </w:p>
        </w:tc>
        <w:tc>
          <w:tcPr>
            <w:tcW w:w="761" w:type="dxa"/>
            <w:tcBorders>
              <w:top w:val="single" w:sz="8" w:space="0" w:color="auto"/>
              <w:left w:val="single" w:sz="8" w:space="0" w:color="auto"/>
            </w:tcBorders>
            <w:vAlign w:val="bottom"/>
          </w:tcPr>
          <w:p w:rsidR="003F4AEC" w:rsidRPr="003F4AEC" w:rsidRDefault="003F4AEC" w:rsidP="003F4AEC">
            <w:pPr>
              <w:pStyle w:val="Table3"/>
            </w:pPr>
            <w:r w:rsidRPr="003F4AEC">
              <w:t>11,950</w:t>
            </w:r>
          </w:p>
        </w:tc>
        <w:tc>
          <w:tcPr>
            <w:tcW w:w="741" w:type="dxa"/>
            <w:tcBorders>
              <w:top w:val="single" w:sz="8" w:space="0" w:color="auto"/>
            </w:tcBorders>
            <w:vAlign w:val="bottom"/>
          </w:tcPr>
          <w:p w:rsidR="003F4AEC" w:rsidRPr="003F4AEC" w:rsidRDefault="003F4AEC" w:rsidP="003F4AEC">
            <w:pPr>
              <w:pStyle w:val="Table3"/>
            </w:pPr>
            <w:r w:rsidRPr="003F4AEC">
              <w:t>3,844</w:t>
            </w:r>
          </w:p>
        </w:tc>
        <w:tc>
          <w:tcPr>
            <w:tcW w:w="736" w:type="dxa"/>
            <w:tcBorders>
              <w:top w:val="single" w:sz="8" w:space="0" w:color="auto"/>
              <w:right w:val="single" w:sz="8" w:space="0" w:color="auto"/>
            </w:tcBorders>
            <w:vAlign w:val="bottom"/>
          </w:tcPr>
          <w:p w:rsidR="003F4AEC" w:rsidRPr="003F4AEC" w:rsidRDefault="003F4AEC" w:rsidP="003F4AEC">
            <w:pPr>
              <w:pStyle w:val="Table3"/>
            </w:pPr>
            <w:r w:rsidRPr="003F4AEC">
              <w:t>15,794</w:t>
            </w:r>
          </w:p>
        </w:tc>
        <w:tc>
          <w:tcPr>
            <w:tcW w:w="762" w:type="dxa"/>
            <w:tcBorders>
              <w:top w:val="single" w:sz="8" w:space="0" w:color="auto"/>
              <w:left w:val="single" w:sz="8" w:space="0" w:color="auto"/>
            </w:tcBorders>
            <w:vAlign w:val="bottom"/>
          </w:tcPr>
          <w:p w:rsidR="003F4AEC" w:rsidRPr="003F4AEC" w:rsidRDefault="003F4AEC" w:rsidP="003F4AEC">
            <w:pPr>
              <w:pStyle w:val="Table3"/>
            </w:pPr>
            <w:r w:rsidRPr="003F4AEC">
              <w:t>11,950</w:t>
            </w:r>
          </w:p>
        </w:tc>
        <w:tc>
          <w:tcPr>
            <w:tcW w:w="741" w:type="dxa"/>
            <w:tcBorders>
              <w:top w:val="single" w:sz="8" w:space="0" w:color="auto"/>
            </w:tcBorders>
            <w:vAlign w:val="bottom"/>
          </w:tcPr>
          <w:p w:rsidR="003F4AEC" w:rsidRPr="003F4AEC" w:rsidRDefault="003F4AEC" w:rsidP="003F4AEC">
            <w:pPr>
              <w:pStyle w:val="Table3"/>
            </w:pPr>
            <w:r w:rsidRPr="003F4AEC">
              <w:t>3,844</w:t>
            </w:r>
          </w:p>
        </w:tc>
        <w:tc>
          <w:tcPr>
            <w:tcW w:w="736" w:type="dxa"/>
            <w:tcBorders>
              <w:top w:val="single" w:sz="8" w:space="0" w:color="auto"/>
              <w:right w:val="single" w:sz="8" w:space="0" w:color="auto"/>
            </w:tcBorders>
            <w:vAlign w:val="bottom"/>
          </w:tcPr>
          <w:p w:rsidR="003F4AEC" w:rsidRPr="003F4AEC" w:rsidRDefault="003F4AEC" w:rsidP="003F4AEC">
            <w:pPr>
              <w:pStyle w:val="Table3"/>
            </w:pPr>
            <w:r w:rsidRPr="003F4AEC">
              <w:t>15,794</w:t>
            </w:r>
          </w:p>
        </w:tc>
        <w:tc>
          <w:tcPr>
            <w:tcW w:w="762" w:type="dxa"/>
            <w:tcBorders>
              <w:top w:val="single" w:sz="8" w:space="0" w:color="auto"/>
              <w:left w:val="single" w:sz="8" w:space="0" w:color="auto"/>
            </w:tcBorders>
          </w:tcPr>
          <w:p w:rsidR="003F4AEC" w:rsidRPr="003F4AEC" w:rsidRDefault="003F4AEC" w:rsidP="003F4AEC">
            <w:pPr>
              <w:pStyle w:val="Table3"/>
            </w:pPr>
            <w:r>
              <w:noBreakHyphen/>
            </w:r>
          </w:p>
        </w:tc>
        <w:tc>
          <w:tcPr>
            <w:tcW w:w="741" w:type="dxa"/>
            <w:tcBorders>
              <w:top w:val="single" w:sz="8" w:space="0" w:color="auto"/>
            </w:tcBorders>
          </w:tcPr>
          <w:p w:rsidR="003F4AEC" w:rsidRPr="003F4AEC" w:rsidRDefault="003F4AEC" w:rsidP="003F4AEC">
            <w:pPr>
              <w:pStyle w:val="Table3"/>
            </w:pPr>
            <w:r>
              <w:noBreakHyphen/>
            </w:r>
          </w:p>
        </w:tc>
        <w:tc>
          <w:tcPr>
            <w:tcW w:w="736" w:type="dxa"/>
            <w:tcBorders>
              <w:top w:val="single" w:sz="8" w:space="0" w:color="auto"/>
              <w:right w:val="single" w:sz="8" w:space="0" w:color="auto"/>
            </w:tcBorders>
          </w:tcPr>
          <w:p w:rsidR="003F4AEC" w:rsidRPr="003F4AEC" w:rsidRDefault="003F4AEC" w:rsidP="003F4AEC">
            <w:pPr>
              <w:pStyle w:val="Table3"/>
            </w:pPr>
            <w:r>
              <w:noBreakHyphen/>
            </w:r>
          </w:p>
        </w:tc>
        <w:tc>
          <w:tcPr>
            <w:tcW w:w="762" w:type="dxa"/>
            <w:tcBorders>
              <w:top w:val="single" w:sz="8" w:space="0" w:color="auto"/>
              <w:left w:val="single" w:sz="8" w:space="0" w:color="auto"/>
            </w:tcBorders>
          </w:tcPr>
          <w:p w:rsidR="003F4AEC" w:rsidRPr="003F4AEC" w:rsidRDefault="003F4AEC" w:rsidP="003F4AEC">
            <w:pPr>
              <w:pStyle w:val="Table3"/>
            </w:pPr>
            <w:r>
              <w:noBreakHyphen/>
            </w:r>
          </w:p>
        </w:tc>
        <w:tc>
          <w:tcPr>
            <w:tcW w:w="741" w:type="dxa"/>
            <w:tcBorders>
              <w:top w:val="single" w:sz="8" w:space="0" w:color="auto"/>
            </w:tcBorders>
          </w:tcPr>
          <w:p w:rsidR="003F4AEC" w:rsidRPr="003F4AEC" w:rsidRDefault="003F4AEC" w:rsidP="003F4AEC">
            <w:pPr>
              <w:pStyle w:val="Table3"/>
            </w:pPr>
            <w:r>
              <w:noBreakHyphen/>
            </w:r>
          </w:p>
        </w:tc>
        <w:tc>
          <w:tcPr>
            <w:tcW w:w="727" w:type="dxa"/>
            <w:tcBorders>
              <w:top w:val="single" w:sz="8" w:space="0" w:color="auto"/>
              <w:right w:val="single" w:sz="8" w:space="0" w:color="auto"/>
            </w:tcBorders>
          </w:tcPr>
          <w:p w:rsidR="003F4AEC" w:rsidRPr="003F4AEC" w:rsidRDefault="003F4AEC" w:rsidP="003F4AEC">
            <w:pPr>
              <w:pStyle w:val="Table3"/>
            </w:pPr>
            <w:r>
              <w:noBreakHyphen/>
            </w:r>
          </w:p>
        </w:tc>
        <w:tc>
          <w:tcPr>
            <w:tcW w:w="1041" w:type="dxa"/>
            <w:tcBorders>
              <w:top w:val="single" w:sz="8" w:space="0" w:color="auto"/>
              <w:left w:val="single" w:sz="8" w:space="0" w:color="auto"/>
            </w:tcBorders>
          </w:tcPr>
          <w:p w:rsidR="003F4AEC" w:rsidRPr="003F4AEC" w:rsidRDefault="003F4AEC" w:rsidP="003F4AEC">
            <w:pPr>
              <w:pStyle w:val="Table3"/>
            </w:pPr>
            <w:r>
              <w:noBreakHyphen/>
            </w:r>
          </w:p>
        </w:tc>
        <w:tc>
          <w:tcPr>
            <w:tcW w:w="966" w:type="dxa"/>
            <w:tcBorders>
              <w:top w:val="single" w:sz="8" w:space="0" w:color="auto"/>
            </w:tcBorders>
          </w:tcPr>
          <w:p w:rsidR="003F4AEC" w:rsidRPr="003F4AEC" w:rsidRDefault="003F4AEC" w:rsidP="003F4AEC">
            <w:pPr>
              <w:pStyle w:val="Table3"/>
            </w:pPr>
            <w:r>
              <w:noBreakHyphen/>
            </w:r>
          </w:p>
        </w:tc>
        <w:tc>
          <w:tcPr>
            <w:tcW w:w="1041" w:type="dxa"/>
            <w:tcBorders>
              <w:top w:val="single" w:sz="8" w:space="0" w:color="auto"/>
              <w:right w:val="single" w:sz="8" w:space="0" w:color="auto"/>
            </w:tcBorders>
          </w:tcPr>
          <w:p w:rsidR="003F4AEC" w:rsidRPr="003F4AEC" w:rsidRDefault="003F4AEC" w:rsidP="003F4AEC">
            <w:pPr>
              <w:pStyle w:val="Table3"/>
            </w:pPr>
            <w:r>
              <w:noBreakHyphen/>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w:t>
            </w:r>
          </w:p>
        </w:tc>
        <w:tc>
          <w:tcPr>
            <w:tcW w:w="719" w:type="dxa"/>
            <w:tcBorders>
              <w:right w:val="single" w:sz="8" w:space="0" w:color="auto"/>
            </w:tcBorders>
            <w:vAlign w:val="center"/>
          </w:tcPr>
          <w:p w:rsidR="003F4AEC" w:rsidRPr="003F4AEC" w:rsidRDefault="003F4AEC" w:rsidP="003F4AEC">
            <w:pPr>
              <w:pStyle w:val="Table3"/>
            </w:pPr>
            <w:r w:rsidRPr="003F4AEC">
              <w:t>2013</w:t>
            </w:r>
          </w:p>
        </w:tc>
        <w:tc>
          <w:tcPr>
            <w:tcW w:w="763" w:type="dxa"/>
            <w:tcBorders>
              <w:left w:val="single" w:sz="8" w:space="0" w:color="auto"/>
            </w:tcBorders>
          </w:tcPr>
          <w:p w:rsidR="003F4AEC" w:rsidRPr="003F4AEC" w:rsidRDefault="003F4AEC" w:rsidP="003F4AEC">
            <w:pPr>
              <w:pStyle w:val="Table3"/>
            </w:pPr>
            <w:r w:rsidRPr="003F4AEC">
              <w:t>34,523</w:t>
            </w:r>
          </w:p>
        </w:tc>
        <w:tc>
          <w:tcPr>
            <w:tcW w:w="742" w:type="dxa"/>
          </w:tcPr>
          <w:p w:rsidR="003F4AEC" w:rsidRPr="003F4AEC" w:rsidRDefault="003F4AEC" w:rsidP="003F4AEC">
            <w:pPr>
              <w:pStyle w:val="Table3"/>
            </w:pPr>
            <w:r w:rsidRPr="003F4AEC">
              <w:t>4,442</w:t>
            </w:r>
          </w:p>
        </w:tc>
        <w:tc>
          <w:tcPr>
            <w:tcW w:w="736" w:type="dxa"/>
            <w:tcBorders>
              <w:right w:val="single" w:sz="8" w:space="0" w:color="auto"/>
            </w:tcBorders>
          </w:tcPr>
          <w:p w:rsidR="003F4AEC" w:rsidRPr="003F4AEC" w:rsidRDefault="003F4AEC" w:rsidP="003F4AEC">
            <w:pPr>
              <w:pStyle w:val="Table3"/>
            </w:pPr>
            <w:r w:rsidRPr="003F4AEC">
              <w:t>38,965</w:t>
            </w:r>
          </w:p>
        </w:tc>
        <w:tc>
          <w:tcPr>
            <w:tcW w:w="761" w:type="dxa"/>
            <w:tcBorders>
              <w:left w:val="single" w:sz="8" w:space="0" w:color="auto"/>
            </w:tcBorders>
            <w:vAlign w:val="bottom"/>
          </w:tcPr>
          <w:p w:rsidR="003F4AEC" w:rsidRPr="003F4AEC" w:rsidRDefault="003F4AEC" w:rsidP="003F4AEC">
            <w:pPr>
              <w:pStyle w:val="Table3"/>
            </w:pPr>
            <w:r w:rsidRPr="003F4AEC">
              <w:t>12,428</w:t>
            </w:r>
          </w:p>
        </w:tc>
        <w:tc>
          <w:tcPr>
            <w:tcW w:w="741" w:type="dxa"/>
            <w:vAlign w:val="bottom"/>
          </w:tcPr>
          <w:p w:rsidR="003F4AEC" w:rsidRPr="003F4AEC" w:rsidRDefault="003F4AEC" w:rsidP="003F4AEC">
            <w:pPr>
              <w:pStyle w:val="Table3"/>
            </w:pPr>
            <w:r w:rsidRPr="003F4AEC">
              <w:t>3,998</w:t>
            </w:r>
          </w:p>
        </w:tc>
        <w:tc>
          <w:tcPr>
            <w:tcW w:w="736" w:type="dxa"/>
            <w:tcBorders>
              <w:right w:val="single" w:sz="8" w:space="0" w:color="auto"/>
            </w:tcBorders>
            <w:vAlign w:val="bottom"/>
          </w:tcPr>
          <w:p w:rsidR="003F4AEC" w:rsidRPr="003F4AEC" w:rsidRDefault="003F4AEC" w:rsidP="003F4AEC">
            <w:pPr>
              <w:pStyle w:val="Table3"/>
            </w:pPr>
            <w:r w:rsidRPr="003F4AEC">
              <w:t>16,426</w:t>
            </w:r>
          </w:p>
        </w:tc>
        <w:tc>
          <w:tcPr>
            <w:tcW w:w="762" w:type="dxa"/>
            <w:tcBorders>
              <w:left w:val="single" w:sz="8" w:space="0" w:color="auto"/>
            </w:tcBorders>
            <w:vAlign w:val="bottom"/>
          </w:tcPr>
          <w:p w:rsidR="003F4AEC" w:rsidRPr="003F4AEC" w:rsidRDefault="003F4AEC" w:rsidP="003F4AEC">
            <w:pPr>
              <w:pStyle w:val="Table3"/>
            </w:pPr>
            <w:r w:rsidRPr="003F4AEC">
              <w:t>12,428</w:t>
            </w:r>
          </w:p>
        </w:tc>
        <w:tc>
          <w:tcPr>
            <w:tcW w:w="741" w:type="dxa"/>
            <w:vAlign w:val="bottom"/>
          </w:tcPr>
          <w:p w:rsidR="003F4AEC" w:rsidRPr="003F4AEC" w:rsidRDefault="003F4AEC" w:rsidP="003F4AEC">
            <w:pPr>
              <w:pStyle w:val="Table3"/>
            </w:pPr>
            <w:r w:rsidRPr="003F4AEC">
              <w:t>3,998</w:t>
            </w:r>
          </w:p>
        </w:tc>
        <w:tc>
          <w:tcPr>
            <w:tcW w:w="736" w:type="dxa"/>
            <w:tcBorders>
              <w:right w:val="single" w:sz="8" w:space="0" w:color="auto"/>
            </w:tcBorders>
            <w:vAlign w:val="bottom"/>
          </w:tcPr>
          <w:p w:rsidR="003F4AEC" w:rsidRPr="003F4AEC" w:rsidRDefault="003F4AEC" w:rsidP="003F4AEC">
            <w:pPr>
              <w:pStyle w:val="Table3"/>
            </w:pPr>
            <w:r w:rsidRPr="003F4AEC">
              <w:t>16,426</w:t>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27" w:type="dxa"/>
            <w:tcBorders>
              <w:right w:val="single" w:sz="8" w:space="0" w:color="auto"/>
            </w:tcBorders>
          </w:tcPr>
          <w:p w:rsidR="003F4AEC" w:rsidRPr="003F4AEC" w:rsidRDefault="003F4AEC" w:rsidP="003F4AEC">
            <w:pPr>
              <w:pStyle w:val="Table3"/>
            </w:pPr>
            <w:r>
              <w:noBreakHyphen/>
            </w:r>
          </w:p>
        </w:tc>
        <w:tc>
          <w:tcPr>
            <w:tcW w:w="1041" w:type="dxa"/>
            <w:tcBorders>
              <w:left w:val="single" w:sz="8" w:space="0" w:color="auto"/>
            </w:tcBorders>
          </w:tcPr>
          <w:p w:rsidR="003F4AEC" w:rsidRPr="003F4AEC" w:rsidRDefault="003F4AEC" w:rsidP="003F4AEC">
            <w:pPr>
              <w:pStyle w:val="Table3"/>
            </w:pPr>
            <w:r>
              <w:noBreakHyphen/>
            </w:r>
          </w:p>
        </w:tc>
        <w:tc>
          <w:tcPr>
            <w:tcW w:w="966" w:type="dxa"/>
          </w:tcPr>
          <w:p w:rsidR="003F4AEC" w:rsidRPr="003F4AEC" w:rsidRDefault="003F4AEC" w:rsidP="003F4AEC">
            <w:pPr>
              <w:pStyle w:val="Table3"/>
            </w:pPr>
            <w:r>
              <w:noBreakHyphen/>
            </w:r>
          </w:p>
        </w:tc>
        <w:tc>
          <w:tcPr>
            <w:tcW w:w="1041" w:type="dxa"/>
            <w:tcBorders>
              <w:right w:val="single" w:sz="8" w:space="0" w:color="auto"/>
            </w:tcBorders>
          </w:tcPr>
          <w:p w:rsidR="003F4AEC" w:rsidRPr="003F4AEC" w:rsidRDefault="003F4AEC" w:rsidP="003F4AEC">
            <w:pPr>
              <w:pStyle w:val="Table3"/>
            </w:pPr>
            <w:r>
              <w:noBreakHyphen/>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w:t>
            </w:r>
          </w:p>
        </w:tc>
        <w:tc>
          <w:tcPr>
            <w:tcW w:w="719" w:type="dxa"/>
            <w:tcBorders>
              <w:right w:val="single" w:sz="8" w:space="0" w:color="auto"/>
            </w:tcBorders>
            <w:vAlign w:val="center"/>
          </w:tcPr>
          <w:p w:rsidR="003F4AEC" w:rsidRPr="003F4AEC" w:rsidRDefault="003F4AEC" w:rsidP="003F4AEC">
            <w:pPr>
              <w:pStyle w:val="Table3"/>
            </w:pPr>
            <w:r w:rsidRPr="003F4AEC">
              <w:t>2014</w:t>
            </w:r>
          </w:p>
        </w:tc>
        <w:tc>
          <w:tcPr>
            <w:tcW w:w="763" w:type="dxa"/>
            <w:tcBorders>
              <w:left w:val="single" w:sz="8" w:space="0" w:color="auto"/>
            </w:tcBorders>
          </w:tcPr>
          <w:p w:rsidR="003F4AEC" w:rsidRPr="003F4AEC" w:rsidRDefault="003F4AEC" w:rsidP="003F4AEC">
            <w:pPr>
              <w:pStyle w:val="Table3"/>
            </w:pPr>
            <w:r w:rsidRPr="003F4AEC">
              <w:t>35,903</w:t>
            </w:r>
          </w:p>
        </w:tc>
        <w:tc>
          <w:tcPr>
            <w:tcW w:w="742" w:type="dxa"/>
          </w:tcPr>
          <w:p w:rsidR="003F4AEC" w:rsidRPr="003F4AEC" w:rsidRDefault="003F4AEC" w:rsidP="003F4AEC">
            <w:pPr>
              <w:pStyle w:val="Table3"/>
            </w:pPr>
            <w:r w:rsidRPr="003F4AEC">
              <w:t>4,620</w:t>
            </w:r>
          </w:p>
        </w:tc>
        <w:tc>
          <w:tcPr>
            <w:tcW w:w="736" w:type="dxa"/>
            <w:tcBorders>
              <w:right w:val="single" w:sz="8" w:space="0" w:color="auto"/>
            </w:tcBorders>
          </w:tcPr>
          <w:p w:rsidR="003F4AEC" w:rsidRPr="003F4AEC" w:rsidRDefault="003F4AEC" w:rsidP="003F4AEC">
            <w:pPr>
              <w:pStyle w:val="Table3"/>
            </w:pPr>
            <w:r w:rsidRPr="003F4AEC">
              <w:t>40,523</w:t>
            </w:r>
          </w:p>
        </w:tc>
        <w:tc>
          <w:tcPr>
            <w:tcW w:w="761" w:type="dxa"/>
            <w:tcBorders>
              <w:left w:val="single" w:sz="8" w:space="0" w:color="auto"/>
            </w:tcBorders>
            <w:vAlign w:val="bottom"/>
          </w:tcPr>
          <w:p w:rsidR="003F4AEC" w:rsidRPr="003F4AEC" w:rsidRDefault="003F4AEC" w:rsidP="003F4AEC">
            <w:pPr>
              <w:pStyle w:val="Table3"/>
            </w:pPr>
            <w:r w:rsidRPr="003F4AEC">
              <w:t>35,903</w:t>
            </w:r>
          </w:p>
        </w:tc>
        <w:tc>
          <w:tcPr>
            <w:tcW w:w="741" w:type="dxa"/>
            <w:vAlign w:val="bottom"/>
          </w:tcPr>
          <w:p w:rsidR="003F4AEC" w:rsidRPr="003F4AEC" w:rsidRDefault="003F4AEC" w:rsidP="003F4AEC">
            <w:pPr>
              <w:pStyle w:val="Table3"/>
            </w:pPr>
            <w:r w:rsidRPr="003F4AEC">
              <w:t>4,620</w:t>
            </w:r>
          </w:p>
        </w:tc>
        <w:tc>
          <w:tcPr>
            <w:tcW w:w="736" w:type="dxa"/>
            <w:tcBorders>
              <w:right w:val="single" w:sz="8" w:space="0" w:color="auto"/>
            </w:tcBorders>
            <w:vAlign w:val="bottom"/>
          </w:tcPr>
          <w:p w:rsidR="003F4AEC" w:rsidRPr="003F4AEC" w:rsidRDefault="003F4AEC" w:rsidP="003F4AEC">
            <w:pPr>
              <w:pStyle w:val="Table3"/>
            </w:pPr>
            <w:r w:rsidRPr="003F4AEC">
              <w:t>40,523</w:t>
            </w:r>
          </w:p>
        </w:tc>
        <w:tc>
          <w:tcPr>
            <w:tcW w:w="762" w:type="dxa"/>
            <w:tcBorders>
              <w:left w:val="single" w:sz="8" w:space="0" w:color="auto"/>
            </w:tcBorders>
            <w:vAlign w:val="bottom"/>
          </w:tcPr>
          <w:p w:rsidR="003F4AEC" w:rsidRPr="003F4AEC" w:rsidRDefault="003F4AEC" w:rsidP="003F4AEC">
            <w:pPr>
              <w:pStyle w:val="Table3"/>
            </w:pPr>
            <w:r w:rsidRPr="003F4AEC">
              <w:t>12,925</w:t>
            </w:r>
          </w:p>
        </w:tc>
        <w:tc>
          <w:tcPr>
            <w:tcW w:w="741" w:type="dxa"/>
            <w:vAlign w:val="bottom"/>
          </w:tcPr>
          <w:p w:rsidR="003F4AEC" w:rsidRPr="003F4AEC" w:rsidRDefault="003F4AEC" w:rsidP="003F4AEC">
            <w:pPr>
              <w:pStyle w:val="Table3"/>
            </w:pPr>
            <w:r w:rsidRPr="003F4AEC">
              <w:t>4,158</w:t>
            </w:r>
          </w:p>
        </w:tc>
        <w:tc>
          <w:tcPr>
            <w:tcW w:w="736" w:type="dxa"/>
            <w:tcBorders>
              <w:right w:val="single" w:sz="8" w:space="0" w:color="auto"/>
            </w:tcBorders>
            <w:vAlign w:val="bottom"/>
          </w:tcPr>
          <w:p w:rsidR="003F4AEC" w:rsidRPr="003F4AEC" w:rsidRDefault="003F4AEC" w:rsidP="003F4AEC">
            <w:pPr>
              <w:pStyle w:val="Table3"/>
            </w:pPr>
            <w:r w:rsidRPr="003F4AEC">
              <w:t>17,083</w:t>
            </w:r>
          </w:p>
        </w:tc>
        <w:tc>
          <w:tcPr>
            <w:tcW w:w="762" w:type="dxa"/>
            <w:tcBorders>
              <w:left w:val="single" w:sz="8" w:space="0" w:color="auto"/>
            </w:tcBorders>
            <w:vAlign w:val="bottom"/>
          </w:tcPr>
          <w:p w:rsidR="003F4AEC" w:rsidRPr="003F4AEC" w:rsidRDefault="003F4AEC" w:rsidP="003F4AEC">
            <w:pPr>
              <w:pStyle w:val="Table3"/>
            </w:pPr>
            <w:r w:rsidRPr="003F4AEC">
              <w:t>22,978</w:t>
            </w:r>
          </w:p>
        </w:tc>
        <w:tc>
          <w:tcPr>
            <w:tcW w:w="741" w:type="dxa"/>
            <w:vAlign w:val="bottom"/>
          </w:tcPr>
          <w:p w:rsidR="003F4AEC" w:rsidRPr="003F4AEC" w:rsidRDefault="003F4AEC" w:rsidP="003F4AEC">
            <w:pPr>
              <w:pStyle w:val="Table3"/>
            </w:pPr>
            <w:r w:rsidRPr="003F4AEC">
              <w:t>462</w:t>
            </w:r>
          </w:p>
        </w:tc>
        <w:tc>
          <w:tcPr>
            <w:tcW w:w="736" w:type="dxa"/>
            <w:tcBorders>
              <w:right w:val="single" w:sz="8" w:space="0" w:color="auto"/>
            </w:tcBorders>
            <w:vAlign w:val="bottom"/>
          </w:tcPr>
          <w:p w:rsidR="003F4AEC" w:rsidRPr="003F4AEC" w:rsidRDefault="003F4AEC" w:rsidP="003F4AEC">
            <w:pPr>
              <w:pStyle w:val="Table3"/>
            </w:pPr>
            <w:r w:rsidRPr="003F4AEC">
              <w:t>23,440</w:t>
            </w:r>
          </w:p>
        </w:tc>
        <w:tc>
          <w:tcPr>
            <w:tcW w:w="762" w:type="dxa"/>
            <w:tcBorders>
              <w:left w:val="single" w:sz="8" w:space="0" w:color="auto"/>
            </w:tcBorders>
            <w:vAlign w:val="bottom"/>
          </w:tcPr>
          <w:p w:rsidR="003F4AEC" w:rsidRPr="003F4AEC" w:rsidRDefault="003F4AEC" w:rsidP="003F4AEC">
            <w:pPr>
              <w:pStyle w:val="Table3"/>
            </w:pPr>
            <w:r w:rsidRPr="003F4AEC">
              <w:t>5</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5</w:t>
            </w:r>
          </w:p>
        </w:tc>
        <w:tc>
          <w:tcPr>
            <w:tcW w:w="1041" w:type="dxa"/>
            <w:tcBorders>
              <w:left w:val="single" w:sz="8" w:space="0" w:color="auto"/>
            </w:tcBorders>
            <w:vAlign w:val="bottom"/>
          </w:tcPr>
          <w:p w:rsidR="003F4AEC" w:rsidRPr="003F4AEC" w:rsidRDefault="003F4AEC" w:rsidP="003F4AEC">
            <w:pPr>
              <w:pStyle w:val="Table3"/>
            </w:pPr>
            <w:r w:rsidRPr="003F4AEC">
              <w:t>2,694,835</w:t>
            </w:r>
          </w:p>
        </w:tc>
        <w:tc>
          <w:tcPr>
            <w:tcW w:w="966" w:type="dxa"/>
            <w:vAlign w:val="bottom"/>
          </w:tcPr>
          <w:p w:rsidR="003F4AEC" w:rsidRPr="003F4AEC" w:rsidRDefault="003F4AEC" w:rsidP="003F4AEC">
            <w:pPr>
              <w:pStyle w:val="Table3"/>
            </w:pPr>
            <w:r w:rsidRPr="003F4AEC">
              <w:t>54,180</w:t>
            </w:r>
          </w:p>
        </w:tc>
        <w:tc>
          <w:tcPr>
            <w:tcW w:w="1041" w:type="dxa"/>
            <w:tcBorders>
              <w:right w:val="single" w:sz="8" w:space="0" w:color="auto"/>
            </w:tcBorders>
            <w:vAlign w:val="bottom"/>
          </w:tcPr>
          <w:p w:rsidR="003F4AEC" w:rsidRPr="003F4AEC" w:rsidRDefault="003F4AEC" w:rsidP="003F4AEC">
            <w:pPr>
              <w:pStyle w:val="Table3"/>
            </w:pPr>
            <w:r w:rsidRPr="003F4AEC">
              <w:t>2,749,015</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3</w:t>
            </w:r>
          </w:p>
        </w:tc>
        <w:tc>
          <w:tcPr>
            <w:tcW w:w="719" w:type="dxa"/>
            <w:tcBorders>
              <w:right w:val="single" w:sz="8" w:space="0" w:color="auto"/>
            </w:tcBorders>
            <w:vAlign w:val="center"/>
          </w:tcPr>
          <w:p w:rsidR="003F4AEC" w:rsidRPr="003F4AEC" w:rsidRDefault="003F4AEC" w:rsidP="003F4AEC">
            <w:pPr>
              <w:pStyle w:val="Table3"/>
            </w:pPr>
            <w:r w:rsidRPr="003F4AEC">
              <w:t>2015</w:t>
            </w:r>
          </w:p>
        </w:tc>
        <w:tc>
          <w:tcPr>
            <w:tcW w:w="763" w:type="dxa"/>
            <w:tcBorders>
              <w:left w:val="single" w:sz="8" w:space="0" w:color="auto"/>
            </w:tcBorders>
          </w:tcPr>
          <w:p w:rsidR="003F4AEC" w:rsidRPr="003F4AEC" w:rsidRDefault="003F4AEC" w:rsidP="003F4AEC">
            <w:pPr>
              <w:pStyle w:val="Table3"/>
            </w:pPr>
            <w:r w:rsidRPr="003F4AEC">
              <w:t>37,340</w:t>
            </w:r>
          </w:p>
        </w:tc>
        <w:tc>
          <w:tcPr>
            <w:tcW w:w="742" w:type="dxa"/>
          </w:tcPr>
          <w:p w:rsidR="003F4AEC" w:rsidRPr="003F4AEC" w:rsidRDefault="003F4AEC" w:rsidP="003F4AEC">
            <w:pPr>
              <w:pStyle w:val="Table3"/>
            </w:pPr>
            <w:r w:rsidRPr="003F4AEC">
              <w:t>4,805</w:t>
            </w:r>
          </w:p>
        </w:tc>
        <w:tc>
          <w:tcPr>
            <w:tcW w:w="736" w:type="dxa"/>
            <w:tcBorders>
              <w:right w:val="single" w:sz="8" w:space="0" w:color="auto"/>
            </w:tcBorders>
          </w:tcPr>
          <w:p w:rsidR="003F4AEC" w:rsidRPr="003F4AEC" w:rsidRDefault="003F4AEC" w:rsidP="003F4AEC">
            <w:pPr>
              <w:pStyle w:val="Table3"/>
            </w:pPr>
            <w:r w:rsidRPr="003F4AEC">
              <w:t>42,144</w:t>
            </w:r>
          </w:p>
        </w:tc>
        <w:tc>
          <w:tcPr>
            <w:tcW w:w="761" w:type="dxa"/>
            <w:tcBorders>
              <w:left w:val="single" w:sz="8" w:space="0" w:color="auto"/>
            </w:tcBorders>
            <w:vAlign w:val="bottom"/>
          </w:tcPr>
          <w:p w:rsidR="003F4AEC" w:rsidRPr="003F4AEC" w:rsidRDefault="003F4AEC" w:rsidP="003F4AEC">
            <w:pPr>
              <w:pStyle w:val="Table3"/>
            </w:pPr>
            <w:r w:rsidRPr="003F4AEC">
              <w:t>37,340</w:t>
            </w:r>
          </w:p>
        </w:tc>
        <w:tc>
          <w:tcPr>
            <w:tcW w:w="741" w:type="dxa"/>
            <w:vAlign w:val="bottom"/>
          </w:tcPr>
          <w:p w:rsidR="003F4AEC" w:rsidRPr="003F4AEC" w:rsidRDefault="003F4AEC" w:rsidP="003F4AEC">
            <w:pPr>
              <w:pStyle w:val="Table3"/>
            </w:pPr>
            <w:r w:rsidRPr="003F4AEC">
              <w:t>4,805</w:t>
            </w:r>
          </w:p>
        </w:tc>
        <w:tc>
          <w:tcPr>
            <w:tcW w:w="736" w:type="dxa"/>
            <w:tcBorders>
              <w:right w:val="single" w:sz="8" w:space="0" w:color="auto"/>
            </w:tcBorders>
            <w:vAlign w:val="bottom"/>
          </w:tcPr>
          <w:p w:rsidR="003F4AEC" w:rsidRPr="003F4AEC" w:rsidRDefault="003F4AEC" w:rsidP="003F4AEC">
            <w:pPr>
              <w:pStyle w:val="Table3"/>
            </w:pPr>
            <w:r w:rsidRPr="003F4AEC">
              <w:t>42,144</w:t>
            </w:r>
          </w:p>
        </w:tc>
        <w:tc>
          <w:tcPr>
            <w:tcW w:w="762" w:type="dxa"/>
            <w:tcBorders>
              <w:left w:val="single" w:sz="8" w:space="0" w:color="auto"/>
            </w:tcBorders>
            <w:vAlign w:val="bottom"/>
          </w:tcPr>
          <w:p w:rsidR="003F4AEC" w:rsidRPr="003F4AEC" w:rsidRDefault="003F4AEC" w:rsidP="003F4AEC">
            <w:pPr>
              <w:pStyle w:val="Table3"/>
            </w:pPr>
            <w:r w:rsidRPr="003F4AEC">
              <w:t>13,442</w:t>
            </w:r>
          </w:p>
        </w:tc>
        <w:tc>
          <w:tcPr>
            <w:tcW w:w="741" w:type="dxa"/>
            <w:vAlign w:val="bottom"/>
          </w:tcPr>
          <w:p w:rsidR="003F4AEC" w:rsidRPr="003F4AEC" w:rsidRDefault="003F4AEC" w:rsidP="003F4AEC">
            <w:pPr>
              <w:pStyle w:val="Table3"/>
            </w:pPr>
            <w:r w:rsidRPr="003F4AEC">
              <w:t>4,324</w:t>
            </w:r>
          </w:p>
        </w:tc>
        <w:tc>
          <w:tcPr>
            <w:tcW w:w="736" w:type="dxa"/>
            <w:tcBorders>
              <w:right w:val="single" w:sz="8" w:space="0" w:color="auto"/>
            </w:tcBorders>
            <w:vAlign w:val="bottom"/>
          </w:tcPr>
          <w:p w:rsidR="003F4AEC" w:rsidRPr="003F4AEC" w:rsidRDefault="003F4AEC" w:rsidP="003F4AEC">
            <w:pPr>
              <w:pStyle w:val="Table3"/>
            </w:pPr>
            <w:r w:rsidRPr="003F4AEC">
              <w:t>17,766</w:t>
            </w:r>
          </w:p>
        </w:tc>
        <w:tc>
          <w:tcPr>
            <w:tcW w:w="762" w:type="dxa"/>
            <w:tcBorders>
              <w:left w:val="single" w:sz="8" w:space="0" w:color="auto"/>
            </w:tcBorders>
            <w:vAlign w:val="bottom"/>
          </w:tcPr>
          <w:p w:rsidR="003F4AEC" w:rsidRPr="003F4AEC" w:rsidRDefault="003F4AEC" w:rsidP="003F4AEC">
            <w:pPr>
              <w:pStyle w:val="Table3"/>
            </w:pPr>
            <w:r w:rsidRPr="003F4AEC">
              <w:t>23,897</w:t>
            </w:r>
          </w:p>
        </w:tc>
        <w:tc>
          <w:tcPr>
            <w:tcW w:w="741" w:type="dxa"/>
            <w:vAlign w:val="bottom"/>
          </w:tcPr>
          <w:p w:rsidR="003F4AEC" w:rsidRPr="003F4AEC" w:rsidRDefault="003F4AEC" w:rsidP="003F4AEC">
            <w:pPr>
              <w:pStyle w:val="Table3"/>
            </w:pPr>
            <w:r w:rsidRPr="003F4AEC">
              <w:t>480</w:t>
            </w:r>
          </w:p>
        </w:tc>
        <w:tc>
          <w:tcPr>
            <w:tcW w:w="736" w:type="dxa"/>
            <w:tcBorders>
              <w:right w:val="single" w:sz="8" w:space="0" w:color="auto"/>
            </w:tcBorders>
            <w:vAlign w:val="bottom"/>
          </w:tcPr>
          <w:p w:rsidR="003F4AEC" w:rsidRPr="003F4AEC" w:rsidRDefault="003F4AEC" w:rsidP="003F4AEC">
            <w:pPr>
              <w:pStyle w:val="Table3"/>
            </w:pPr>
            <w:r w:rsidRPr="003F4AEC">
              <w:t>24,378</w:t>
            </w:r>
          </w:p>
        </w:tc>
        <w:tc>
          <w:tcPr>
            <w:tcW w:w="762" w:type="dxa"/>
            <w:tcBorders>
              <w:left w:val="single" w:sz="8" w:space="0" w:color="auto"/>
            </w:tcBorders>
            <w:vAlign w:val="bottom"/>
          </w:tcPr>
          <w:p w:rsidR="003F4AEC" w:rsidRPr="003F4AEC" w:rsidRDefault="003F4AEC" w:rsidP="003F4AEC">
            <w:pPr>
              <w:pStyle w:val="Table3"/>
            </w:pPr>
            <w:r w:rsidRPr="003F4AEC">
              <w:t>16</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17</w:t>
            </w:r>
          </w:p>
        </w:tc>
        <w:tc>
          <w:tcPr>
            <w:tcW w:w="1041" w:type="dxa"/>
            <w:tcBorders>
              <w:left w:val="single" w:sz="8" w:space="0" w:color="auto"/>
            </w:tcBorders>
            <w:vAlign w:val="bottom"/>
          </w:tcPr>
          <w:p w:rsidR="003F4AEC" w:rsidRPr="003F4AEC" w:rsidRDefault="003F4AEC" w:rsidP="003F4AEC">
            <w:pPr>
              <w:pStyle w:val="Table3"/>
            </w:pPr>
            <w:r w:rsidRPr="003F4AEC">
              <w:t>9,306,303</w:t>
            </w:r>
          </w:p>
        </w:tc>
        <w:tc>
          <w:tcPr>
            <w:tcW w:w="966" w:type="dxa"/>
            <w:vAlign w:val="bottom"/>
          </w:tcPr>
          <w:p w:rsidR="003F4AEC" w:rsidRPr="003F4AEC" w:rsidRDefault="003F4AEC" w:rsidP="003F4AEC">
            <w:pPr>
              <w:pStyle w:val="Table3"/>
            </w:pPr>
            <w:r w:rsidRPr="003F4AEC">
              <w:t>187,105</w:t>
            </w:r>
          </w:p>
        </w:tc>
        <w:tc>
          <w:tcPr>
            <w:tcW w:w="1041" w:type="dxa"/>
            <w:tcBorders>
              <w:right w:val="single" w:sz="8" w:space="0" w:color="auto"/>
            </w:tcBorders>
            <w:vAlign w:val="bottom"/>
          </w:tcPr>
          <w:p w:rsidR="003F4AEC" w:rsidRPr="003F4AEC" w:rsidRDefault="003F4AEC" w:rsidP="003F4AEC">
            <w:pPr>
              <w:pStyle w:val="Table3"/>
            </w:pPr>
            <w:r w:rsidRPr="003F4AEC">
              <w:t>9,493,409</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4</w:t>
            </w:r>
          </w:p>
        </w:tc>
        <w:tc>
          <w:tcPr>
            <w:tcW w:w="719" w:type="dxa"/>
            <w:tcBorders>
              <w:right w:val="single" w:sz="8" w:space="0" w:color="auto"/>
            </w:tcBorders>
            <w:vAlign w:val="center"/>
          </w:tcPr>
          <w:p w:rsidR="003F4AEC" w:rsidRPr="003F4AEC" w:rsidRDefault="003F4AEC" w:rsidP="003F4AEC">
            <w:pPr>
              <w:pStyle w:val="Table3"/>
            </w:pPr>
            <w:r w:rsidRPr="003F4AEC">
              <w:t>2016</w:t>
            </w:r>
          </w:p>
        </w:tc>
        <w:tc>
          <w:tcPr>
            <w:tcW w:w="763" w:type="dxa"/>
            <w:tcBorders>
              <w:left w:val="single" w:sz="8" w:space="0" w:color="auto"/>
            </w:tcBorders>
          </w:tcPr>
          <w:p w:rsidR="003F4AEC" w:rsidRPr="003F4AEC" w:rsidRDefault="003F4AEC" w:rsidP="003F4AEC">
            <w:pPr>
              <w:pStyle w:val="Table3"/>
            </w:pPr>
            <w:r w:rsidRPr="003F4AEC">
              <w:t>38,833</w:t>
            </w:r>
          </w:p>
        </w:tc>
        <w:tc>
          <w:tcPr>
            <w:tcW w:w="742" w:type="dxa"/>
          </w:tcPr>
          <w:p w:rsidR="003F4AEC" w:rsidRPr="003F4AEC" w:rsidRDefault="003F4AEC" w:rsidP="003F4AEC">
            <w:pPr>
              <w:pStyle w:val="Table3"/>
            </w:pPr>
            <w:r w:rsidRPr="003F4AEC">
              <w:t>4,997</w:t>
            </w:r>
          </w:p>
        </w:tc>
        <w:tc>
          <w:tcPr>
            <w:tcW w:w="736" w:type="dxa"/>
            <w:tcBorders>
              <w:right w:val="single" w:sz="8" w:space="0" w:color="auto"/>
            </w:tcBorders>
          </w:tcPr>
          <w:p w:rsidR="003F4AEC" w:rsidRPr="003F4AEC" w:rsidRDefault="003F4AEC" w:rsidP="003F4AEC">
            <w:pPr>
              <w:pStyle w:val="Table3"/>
            </w:pPr>
            <w:r w:rsidRPr="003F4AEC">
              <w:t>43,830</w:t>
            </w:r>
          </w:p>
        </w:tc>
        <w:tc>
          <w:tcPr>
            <w:tcW w:w="761" w:type="dxa"/>
            <w:tcBorders>
              <w:left w:val="single" w:sz="8" w:space="0" w:color="auto"/>
            </w:tcBorders>
            <w:vAlign w:val="bottom"/>
          </w:tcPr>
          <w:p w:rsidR="003F4AEC" w:rsidRPr="003F4AEC" w:rsidRDefault="003F4AEC" w:rsidP="003F4AEC">
            <w:pPr>
              <w:pStyle w:val="Table3"/>
            </w:pPr>
            <w:r w:rsidRPr="003F4AEC">
              <w:t>38,833</w:t>
            </w:r>
          </w:p>
        </w:tc>
        <w:tc>
          <w:tcPr>
            <w:tcW w:w="741" w:type="dxa"/>
            <w:vAlign w:val="bottom"/>
          </w:tcPr>
          <w:p w:rsidR="003F4AEC" w:rsidRPr="003F4AEC" w:rsidRDefault="003F4AEC" w:rsidP="003F4AEC">
            <w:pPr>
              <w:pStyle w:val="Table3"/>
            </w:pPr>
            <w:r w:rsidRPr="003F4AEC">
              <w:t>4,997</w:t>
            </w:r>
          </w:p>
        </w:tc>
        <w:tc>
          <w:tcPr>
            <w:tcW w:w="736" w:type="dxa"/>
            <w:tcBorders>
              <w:right w:val="single" w:sz="8" w:space="0" w:color="auto"/>
            </w:tcBorders>
            <w:vAlign w:val="bottom"/>
          </w:tcPr>
          <w:p w:rsidR="003F4AEC" w:rsidRPr="003F4AEC" w:rsidRDefault="003F4AEC" w:rsidP="003F4AEC">
            <w:pPr>
              <w:pStyle w:val="Table3"/>
            </w:pPr>
            <w:r w:rsidRPr="003F4AEC">
              <w:t>43,830</w:t>
            </w:r>
          </w:p>
        </w:tc>
        <w:tc>
          <w:tcPr>
            <w:tcW w:w="762" w:type="dxa"/>
            <w:tcBorders>
              <w:left w:val="single" w:sz="8" w:space="0" w:color="auto"/>
            </w:tcBorders>
            <w:vAlign w:val="bottom"/>
          </w:tcPr>
          <w:p w:rsidR="003F4AEC" w:rsidRPr="003F4AEC" w:rsidRDefault="003F4AEC" w:rsidP="003F4AEC">
            <w:pPr>
              <w:pStyle w:val="Table3"/>
            </w:pPr>
            <w:r w:rsidRPr="003F4AEC">
              <w:t>13,980</w:t>
            </w:r>
          </w:p>
        </w:tc>
        <w:tc>
          <w:tcPr>
            <w:tcW w:w="741" w:type="dxa"/>
            <w:vAlign w:val="bottom"/>
          </w:tcPr>
          <w:p w:rsidR="003F4AEC" w:rsidRPr="003F4AEC" w:rsidRDefault="003F4AEC" w:rsidP="003F4AEC">
            <w:pPr>
              <w:pStyle w:val="Table3"/>
            </w:pPr>
            <w:r w:rsidRPr="003F4AEC">
              <w:t>4,497</w:t>
            </w:r>
          </w:p>
        </w:tc>
        <w:tc>
          <w:tcPr>
            <w:tcW w:w="736" w:type="dxa"/>
            <w:tcBorders>
              <w:right w:val="single" w:sz="8" w:space="0" w:color="auto"/>
            </w:tcBorders>
            <w:vAlign w:val="bottom"/>
          </w:tcPr>
          <w:p w:rsidR="003F4AEC" w:rsidRPr="003F4AEC" w:rsidRDefault="003F4AEC" w:rsidP="003F4AEC">
            <w:pPr>
              <w:pStyle w:val="Table3"/>
            </w:pPr>
            <w:r w:rsidRPr="003F4AEC">
              <w:t>18,477</w:t>
            </w:r>
          </w:p>
        </w:tc>
        <w:tc>
          <w:tcPr>
            <w:tcW w:w="762" w:type="dxa"/>
            <w:tcBorders>
              <w:left w:val="single" w:sz="8" w:space="0" w:color="auto"/>
            </w:tcBorders>
            <w:vAlign w:val="bottom"/>
          </w:tcPr>
          <w:p w:rsidR="003F4AEC" w:rsidRPr="003F4AEC" w:rsidRDefault="003F4AEC" w:rsidP="003F4AEC">
            <w:pPr>
              <w:pStyle w:val="Table3"/>
            </w:pPr>
            <w:r w:rsidRPr="003F4AEC">
              <w:t>24,853</w:t>
            </w:r>
          </w:p>
        </w:tc>
        <w:tc>
          <w:tcPr>
            <w:tcW w:w="741" w:type="dxa"/>
            <w:vAlign w:val="bottom"/>
          </w:tcPr>
          <w:p w:rsidR="003F4AEC" w:rsidRPr="003F4AEC" w:rsidRDefault="003F4AEC" w:rsidP="003F4AEC">
            <w:pPr>
              <w:pStyle w:val="Table3"/>
            </w:pPr>
            <w:r w:rsidRPr="003F4AEC">
              <w:t>500</w:t>
            </w:r>
          </w:p>
        </w:tc>
        <w:tc>
          <w:tcPr>
            <w:tcW w:w="736" w:type="dxa"/>
            <w:tcBorders>
              <w:right w:val="single" w:sz="8" w:space="0" w:color="auto"/>
            </w:tcBorders>
            <w:vAlign w:val="bottom"/>
          </w:tcPr>
          <w:p w:rsidR="003F4AEC" w:rsidRPr="003F4AEC" w:rsidRDefault="003F4AEC" w:rsidP="003F4AEC">
            <w:pPr>
              <w:pStyle w:val="Table3"/>
            </w:pPr>
            <w:r w:rsidRPr="003F4AEC">
              <w:t>25,353</w:t>
            </w:r>
          </w:p>
        </w:tc>
        <w:tc>
          <w:tcPr>
            <w:tcW w:w="762" w:type="dxa"/>
            <w:tcBorders>
              <w:left w:val="single" w:sz="8" w:space="0" w:color="auto"/>
            </w:tcBorders>
            <w:vAlign w:val="bottom"/>
          </w:tcPr>
          <w:p w:rsidR="003F4AEC" w:rsidRPr="003F4AEC" w:rsidRDefault="003F4AEC" w:rsidP="003F4AEC">
            <w:pPr>
              <w:pStyle w:val="Table3"/>
            </w:pPr>
            <w:r w:rsidRPr="003F4AEC">
              <w:t>28</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29</w:t>
            </w:r>
          </w:p>
        </w:tc>
        <w:tc>
          <w:tcPr>
            <w:tcW w:w="1041" w:type="dxa"/>
            <w:tcBorders>
              <w:left w:val="single" w:sz="8" w:space="0" w:color="auto"/>
            </w:tcBorders>
            <w:vAlign w:val="bottom"/>
          </w:tcPr>
          <w:p w:rsidR="003F4AEC" w:rsidRPr="003F4AEC" w:rsidRDefault="003F4AEC" w:rsidP="003F4AEC">
            <w:pPr>
              <w:pStyle w:val="Table3"/>
            </w:pPr>
            <w:r w:rsidRPr="003F4AEC">
              <w:t>15,903,710</w:t>
            </w:r>
          </w:p>
        </w:tc>
        <w:tc>
          <w:tcPr>
            <w:tcW w:w="966" w:type="dxa"/>
            <w:vAlign w:val="bottom"/>
          </w:tcPr>
          <w:p w:rsidR="003F4AEC" w:rsidRPr="003F4AEC" w:rsidRDefault="003F4AEC" w:rsidP="003F4AEC">
            <w:pPr>
              <w:pStyle w:val="Table3"/>
            </w:pPr>
            <w:r w:rsidRPr="003F4AEC">
              <w:t>319,748</w:t>
            </w:r>
          </w:p>
        </w:tc>
        <w:tc>
          <w:tcPr>
            <w:tcW w:w="1041" w:type="dxa"/>
            <w:tcBorders>
              <w:right w:val="single" w:sz="8" w:space="0" w:color="auto"/>
            </w:tcBorders>
            <w:vAlign w:val="bottom"/>
          </w:tcPr>
          <w:p w:rsidR="003F4AEC" w:rsidRPr="003F4AEC" w:rsidRDefault="003F4AEC" w:rsidP="003F4AEC">
            <w:pPr>
              <w:pStyle w:val="Table3"/>
            </w:pPr>
            <w:r w:rsidRPr="003F4AEC">
              <w:t>16,223,458</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5</w:t>
            </w:r>
          </w:p>
        </w:tc>
        <w:tc>
          <w:tcPr>
            <w:tcW w:w="719" w:type="dxa"/>
            <w:tcBorders>
              <w:right w:val="single" w:sz="8" w:space="0" w:color="auto"/>
            </w:tcBorders>
            <w:vAlign w:val="center"/>
          </w:tcPr>
          <w:p w:rsidR="003F4AEC" w:rsidRPr="003F4AEC" w:rsidRDefault="003F4AEC" w:rsidP="003F4AEC">
            <w:pPr>
              <w:pStyle w:val="Table3"/>
            </w:pPr>
            <w:r w:rsidRPr="003F4AEC">
              <w:t>2017</w:t>
            </w:r>
          </w:p>
        </w:tc>
        <w:tc>
          <w:tcPr>
            <w:tcW w:w="763" w:type="dxa"/>
            <w:tcBorders>
              <w:left w:val="single" w:sz="8" w:space="0" w:color="auto"/>
            </w:tcBorders>
          </w:tcPr>
          <w:p w:rsidR="003F4AEC" w:rsidRPr="003F4AEC" w:rsidRDefault="003F4AEC" w:rsidP="003F4AEC">
            <w:pPr>
              <w:pStyle w:val="Table3"/>
            </w:pPr>
            <w:r w:rsidRPr="003F4AEC">
              <w:t>40,387</w:t>
            </w:r>
          </w:p>
        </w:tc>
        <w:tc>
          <w:tcPr>
            <w:tcW w:w="742" w:type="dxa"/>
          </w:tcPr>
          <w:p w:rsidR="003F4AEC" w:rsidRPr="003F4AEC" w:rsidRDefault="003F4AEC" w:rsidP="003F4AEC">
            <w:pPr>
              <w:pStyle w:val="Table3"/>
            </w:pPr>
            <w:r w:rsidRPr="003F4AEC">
              <w:t>5,197</w:t>
            </w:r>
          </w:p>
        </w:tc>
        <w:tc>
          <w:tcPr>
            <w:tcW w:w="736" w:type="dxa"/>
            <w:tcBorders>
              <w:right w:val="single" w:sz="8" w:space="0" w:color="auto"/>
            </w:tcBorders>
          </w:tcPr>
          <w:p w:rsidR="003F4AEC" w:rsidRPr="003F4AEC" w:rsidRDefault="003F4AEC" w:rsidP="003F4AEC">
            <w:pPr>
              <w:pStyle w:val="Table3"/>
            </w:pPr>
            <w:r w:rsidRPr="003F4AEC">
              <w:t>45,583</w:t>
            </w:r>
          </w:p>
        </w:tc>
        <w:tc>
          <w:tcPr>
            <w:tcW w:w="761" w:type="dxa"/>
            <w:tcBorders>
              <w:left w:val="single" w:sz="8" w:space="0" w:color="auto"/>
            </w:tcBorders>
            <w:vAlign w:val="bottom"/>
          </w:tcPr>
          <w:p w:rsidR="003F4AEC" w:rsidRPr="003F4AEC" w:rsidRDefault="003F4AEC" w:rsidP="003F4AEC">
            <w:pPr>
              <w:pStyle w:val="Table3"/>
            </w:pPr>
            <w:r w:rsidRPr="003F4AEC">
              <w:t>40,387</w:t>
            </w:r>
          </w:p>
        </w:tc>
        <w:tc>
          <w:tcPr>
            <w:tcW w:w="741" w:type="dxa"/>
            <w:vAlign w:val="bottom"/>
          </w:tcPr>
          <w:p w:rsidR="003F4AEC" w:rsidRPr="003F4AEC" w:rsidRDefault="003F4AEC" w:rsidP="003F4AEC">
            <w:pPr>
              <w:pStyle w:val="Table3"/>
            </w:pPr>
            <w:r w:rsidRPr="003F4AEC">
              <w:t>5,197</w:t>
            </w:r>
          </w:p>
        </w:tc>
        <w:tc>
          <w:tcPr>
            <w:tcW w:w="736" w:type="dxa"/>
            <w:tcBorders>
              <w:right w:val="single" w:sz="8" w:space="0" w:color="auto"/>
            </w:tcBorders>
            <w:vAlign w:val="bottom"/>
          </w:tcPr>
          <w:p w:rsidR="003F4AEC" w:rsidRPr="003F4AEC" w:rsidRDefault="003F4AEC" w:rsidP="003F4AEC">
            <w:pPr>
              <w:pStyle w:val="Table3"/>
            </w:pPr>
            <w:r w:rsidRPr="003F4AEC">
              <w:t>45,583</w:t>
            </w:r>
          </w:p>
        </w:tc>
        <w:tc>
          <w:tcPr>
            <w:tcW w:w="762" w:type="dxa"/>
            <w:tcBorders>
              <w:left w:val="single" w:sz="8" w:space="0" w:color="auto"/>
            </w:tcBorders>
            <w:vAlign w:val="bottom"/>
          </w:tcPr>
          <w:p w:rsidR="003F4AEC" w:rsidRPr="003F4AEC" w:rsidRDefault="003F4AEC" w:rsidP="003F4AEC">
            <w:pPr>
              <w:pStyle w:val="Table3"/>
            </w:pPr>
            <w:r w:rsidRPr="003F4AEC">
              <w:t>14,539</w:t>
            </w:r>
          </w:p>
        </w:tc>
        <w:tc>
          <w:tcPr>
            <w:tcW w:w="741" w:type="dxa"/>
            <w:vAlign w:val="bottom"/>
          </w:tcPr>
          <w:p w:rsidR="003F4AEC" w:rsidRPr="003F4AEC" w:rsidRDefault="003F4AEC" w:rsidP="003F4AEC">
            <w:pPr>
              <w:pStyle w:val="Table3"/>
            </w:pPr>
            <w:r w:rsidRPr="003F4AEC">
              <w:t>4,677</w:t>
            </w:r>
          </w:p>
        </w:tc>
        <w:tc>
          <w:tcPr>
            <w:tcW w:w="736" w:type="dxa"/>
            <w:tcBorders>
              <w:right w:val="single" w:sz="8" w:space="0" w:color="auto"/>
            </w:tcBorders>
            <w:vAlign w:val="bottom"/>
          </w:tcPr>
          <w:p w:rsidR="003F4AEC" w:rsidRPr="003F4AEC" w:rsidRDefault="003F4AEC" w:rsidP="003F4AEC">
            <w:pPr>
              <w:pStyle w:val="Table3"/>
            </w:pPr>
            <w:r w:rsidRPr="003F4AEC">
              <w:t>19,216</w:t>
            </w:r>
          </w:p>
        </w:tc>
        <w:tc>
          <w:tcPr>
            <w:tcW w:w="762" w:type="dxa"/>
            <w:tcBorders>
              <w:left w:val="single" w:sz="8" w:space="0" w:color="auto"/>
            </w:tcBorders>
            <w:vAlign w:val="bottom"/>
          </w:tcPr>
          <w:p w:rsidR="003F4AEC" w:rsidRPr="003F4AEC" w:rsidRDefault="003F4AEC" w:rsidP="003F4AEC">
            <w:pPr>
              <w:pStyle w:val="Table3"/>
            </w:pPr>
            <w:r w:rsidRPr="003F4AEC">
              <w:t>25,847</w:t>
            </w:r>
          </w:p>
        </w:tc>
        <w:tc>
          <w:tcPr>
            <w:tcW w:w="741" w:type="dxa"/>
            <w:vAlign w:val="bottom"/>
          </w:tcPr>
          <w:p w:rsidR="003F4AEC" w:rsidRPr="003F4AEC" w:rsidRDefault="003F4AEC" w:rsidP="003F4AEC">
            <w:pPr>
              <w:pStyle w:val="Table3"/>
            </w:pPr>
            <w:r w:rsidRPr="003F4AEC">
              <w:t>520</w:t>
            </w:r>
          </w:p>
        </w:tc>
        <w:tc>
          <w:tcPr>
            <w:tcW w:w="736" w:type="dxa"/>
            <w:tcBorders>
              <w:right w:val="single" w:sz="8" w:space="0" w:color="auto"/>
            </w:tcBorders>
            <w:vAlign w:val="bottom"/>
          </w:tcPr>
          <w:p w:rsidR="003F4AEC" w:rsidRPr="003F4AEC" w:rsidRDefault="003F4AEC" w:rsidP="003F4AEC">
            <w:pPr>
              <w:pStyle w:val="Table3"/>
            </w:pPr>
            <w:r w:rsidRPr="003F4AEC">
              <w:t>26,367</w:t>
            </w:r>
          </w:p>
        </w:tc>
        <w:tc>
          <w:tcPr>
            <w:tcW w:w="762" w:type="dxa"/>
            <w:tcBorders>
              <w:left w:val="single" w:sz="8" w:space="0" w:color="auto"/>
            </w:tcBorders>
            <w:vAlign w:val="bottom"/>
          </w:tcPr>
          <w:p w:rsidR="003F4AEC" w:rsidRPr="003F4AEC" w:rsidRDefault="003F4AEC" w:rsidP="003F4AEC">
            <w:pPr>
              <w:pStyle w:val="Table3"/>
            </w:pPr>
            <w:r w:rsidRPr="003F4AEC">
              <w:t>41</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42</w:t>
            </w:r>
          </w:p>
        </w:tc>
        <w:tc>
          <w:tcPr>
            <w:tcW w:w="1041" w:type="dxa"/>
            <w:tcBorders>
              <w:left w:val="single" w:sz="8" w:space="0" w:color="auto"/>
            </w:tcBorders>
            <w:vAlign w:val="bottom"/>
          </w:tcPr>
          <w:p w:rsidR="003F4AEC" w:rsidRPr="003F4AEC" w:rsidRDefault="003F4AEC" w:rsidP="003F4AEC">
            <w:pPr>
              <w:pStyle w:val="Table3"/>
            </w:pPr>
            <w:r w:rsidRPr="003F4AEC">
              <w:t>23,046,657</w:t>
            </w:r>
          </w:p>
        </w:tc>
        <w:tc>
          <w:tcPr>
            <w:tcW w:w="966" w:type="dxa"/>
            <w:vAlign w:val="bottom"/>
          </w:tcPr>
          <w:p w:rsidR="003F4AEC" w:rsidRPr="003F4AEC" w:rsidRDefault="003F4AEC" w:rsidP="003F4AEC">
            <w:pPr>
              <w:pStyle w:val="Table3"/>
            </w:pPr>
            <w:r w:rsidRPr="003F4AEC">
              <w:t>463,358</w:t>
            </w:r>
          </w:p>
        </w:tc>
        <w:tc>
          <w:tcPr>
            <w:tcW w:w="1041" w:type="dxa"/>
            <w:tcBorders>
              <w:right w:val="single" w:sz="8" w:space="0" w:color="auto"/>
            </w:tcBorders>
            <w:vAlign w:val="bottom"/>
          </w:tcPr>
          <w:p w:rsidR="003F4AEC" w:rsidRPr="003F4AEC" w:rsidRDefault="003F4AEC" w:rsidP="003F4AEC">
            <w:pPr>
              <w:pStyle w:val="Table3"/>
            </w:pPr>
            <w:r w:rsidRPr="003F4AEC">
              <w:t>23,510,015</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6</w:t>
            </w:r>
          </w:p>
        </w:tc>
        <w:tc>
          <w:tcPr>
            <w:tcW w:w="719" w:type="dxa"/>
            <w:tcBorders>
              <w:right w:val="single" w:sz="8" w:space="0" w:color="auto"/>
            </w:tcBorders>
            <w:vAlign w:val="center"/>
          </w:tcPr>
          <w:p w:rsidR="003F4AEC" w:rsidRPr="003F4AEC" w:rsidRDefault="003F4AEC" w:rsidP="003F4AEC">
            <w:pPr>
              <w:pStyle w:val="Table3"/>
            </w:pPr>
            <w:r w:rsidRPr="003F4AEC">
              <w:t>2018</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48</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49</w:t>
            </w:r>
          </w:p>
        </w:tc>
        <w:tc>
          <w:tcPr>
            <w:tcW w:w="1041" w:type="dxa"/>
            <w:tcBorders>
              <w:left w:val="single" w:sz="8" w:space="0" w:color="auto"/>
            </w:tcBorders>
            <w:vAlign w:val="bottom"/>
          </w:tcPr>
          <w:p w:rsidR="003F4AEC" w:rsidRPr="003F4AEC" w:rsidRDefault="003F4AEC" w:rsidP="003F4AEC">
            <w:pPr>
              <w:pStyle w:val="Table3"/>
            </w:pPr>
            <w:r w:rsidRPr="003F4AEC">
              <w:t>27,373,056</w:t>
            </w:r>
          </w:p>
        </w:tc>
        <w:tc>
          <w:tcPr>
            <w:tcW w:w="966" w:type="dxa"/>
            <w:vAlign w:val="bottom"/>
          </w:tcPr>
          <w:p w:rsidR="003F4AEC" w:rsidRPr="003F4AEC" w:rsidRDefault="003F4AEC" w:rsidP="003F4AEC">
            <w:pPr>
              <w:pStyle w:val="Table3"/>
            </w:pPr>
            <w:r w:rsidRPr="003F4AEC">
              <w:t>550,342</w:t>
            </w:r>
          </w:p>
        </w:tc>
        <w:tc>
          <w:tcPr>
            <w:tcW w:w="1041" w:type="dxa"/>
            <w:tcBorders>
              <w:right w:val="single" w:sz="8" w:space="0" w:color="auto"/>
            </w:tcBorders>
            <w:vAlign w:val="bottom"/>
          </w:tcPr>
          <w:p w:rsidR="003F4AEC" w:rsidRPr="003F4AEC" w:rsidRDefault="003F4AEC" w:rsidP="003F4AEC">
            <w:pPr>
              <w:pStyle w:val="Table3"/>
            </w:pPr>
            <w:r w:rsidRPr="003F4AEC">
              <w:t>27,923,398</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7</w:t>
            </w:r>
          </w:p>
        </w:tc>
        <w:tc>
          <w:tcPr>
            <w:tcW w:w="719" w:type="dxa"/>
            <w:tcBorders>
              <w:right w:val="single" w:sz="8" w:space="0" w:color="auto"/>
            </w:tcBorders>
            <w:vAlign w:val="center"/>
          </w:tcPr>
          <w:p w:rsidR="003F4AEC" w:rsidRPr="003F4AEC" w:rsidRDefault="003F4AEC" w:rsidP="003F4AEC">
            <w:pPr>
              <w:pStyle w:val="Table3"/>
            </w:pPr>
            <w:r w:rsidRPr="003F4AEC">
              <w:t>2019</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49</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50</w:t>
            </w:r>
          </w:p>
        </w:tc>
        <w:tc>
          <w:tcPr>
            <w:tcW w:w="1041" w:type="dxa"/>
            <w:tcBorders>
              <w:left w:val="single" w:sz="8" w:space="0" w:color="auto"/>
            </w:tcBorders>
            <w:vAlign w:val="bottom"/>
          </w:tcPr>
          <w:p w:rsidR="003F4AEC" w:rsidRPr="003F4AEC" w:rsidRDefault="003F4AEC" w:rsidP="003F4AEC">
            <w:pPr>
              <w:pStyle w:val="Table3"/>
            </w:pPr>
            <w:r w:rsidRPr="003F4AEC">
              <w:t>27,445,105</w:t>
            </w:r>
          </w:p>
        </w:tc>
        <w:tc>
          <w:tcPr>
            <w:tcW w:w="966" w:type="dxa"/>
            <w:vAlign w:val="bottom"/>
          </w:tcPr>
          <w:p w:rsidR="003F4AEC" w:rsidRPr="003F4AEC" w:rsidRDefault="003F4AEC" w:rsidP="003F4AEC">
            <w:pPr>
              <w:pStyle w:val="Table3"/>
            </w:pPr>
            <w:r w:rsidRPr="003F4AEC">
              <w:t>551,790</w:t>
            </w:r>
          </w:p>
        </w:tc>
        <w:tc>
          <w:tcPr>
            <w:tcW w:w="1041" w:type="dxa"/>
            <w:tcBorders>
              <w:right w:val="single" w:sz="8" w:space="0" w:color="auto"/>
            </w:tcBorders>
            <w:vAlign w:val="bottom"/>
          </w:tcPr>
          <w:p w:rsidR="003F4AEC" w:rsidRPr="003F4AEC" w:rsidRDefault="003F4AEC" w:rsidP="003F4AEC">
            <w:pPr>
              <w:pStyle w:val="Table3"/>
            </w:pPr>
            <w:r w:rsidRPr="003F4AEC">
              <w:t>27,996,895</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8</w:t>
            </w:r>
          </w:p>
        </w:tc>
        <w:tc>
          <w:tcPr>
            <w:tcW w:w="719" w:type="dxa"/>
            <w:tcBorders>
              <w:right w:val="single" w:sz="8" w:space="0" w:color="auto"/>
            </w:tcBorders>
            <w:vAlign w:val="center"/>
          </w:tcPr>
          <w:p w:rsidR="003F4AEC" w:rsidRPr="003F4AEC" w:rsidRDefault="003F4AEC" w:rsidP="003F4AEC">
            <w:pPr>
              <w:pStyle w:val="Table3"/>
            </w:pPr>
            <w:r w:rsidRPr="003F4AEC">
              <w:t>2020</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49</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50</w:t>
            </w:r>
          </w:p>
        </w:tc>
        <w:tc>
          <w:tcPr>
            <w:tcW w:w="1041" w:type="dxa"/>
            <w:tcBorders>
              <w:left w:val="single" w:sz="8" w:space="0" w:color="auto"/>
            </w:tcBorders>
            <w:vAlign w:val="bottom"/>
          </w:tcPr>
          <w:p w:rsidR="003F4AEC" w:rsidRPr="003F4AEC" w:rsidRDefault="003F4AEC" w:rsidP="003F4AEC">
            <w:pPr>
              <w:pStyle w:val="Table3"/>
            </w:pPr>
            <w:r w:rsidRPr="003F4AEC">
              <w:t>27,635,424</w:t>
            </w:r>
          </w:p>
        </w:tc>
        <w:tc>
          <w:tcPr>
            <w:tcW w:w="966" w:type="dxa"/>
            <w:vAlign w:val="bottom"/>
          </w:tcPr>
          <w:p w:rsidR="003F4AEC" w:rsidRPr="003F4AEC" w:rsidRDefault="003F4AEC" w:rsidP="003F4AEC">
            <w:pPr>
              <w:pStyle w:val="Table3"/>
            </w:pPr>
            <w:r w:rsidRPr="003F4AEC">
              <w:t>555,617</w:t>
            </w:r>
          </w:p>
        </w:tc>
        <w:tc>
          <w:tcPr>
            <w:tcW w:w="1041" w:type="dxa"/>
            <w:tcBorders>
              <w:right w:val="single" w:sz="8" w:space="0" w:color="auto"/>
            </w:tcBorders>
            <w:vAlign w:val="bottom"/>
          </w:tcPr>
          <w:p w:rsidR="003F4AEC" w:rsidRPr="003F4AEC" w:rsidRDefault="003F4AEC" w:rsidP="003F4AEC">
            <w:pPr>
              <w:pStyle w:val="Table3"/>
            </w:pPr>
            <w:r w:rsidRPr="003F4AEC">
              <w:t>28,191,041</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9</w:t>
            </w:r>
          </w:p>
        </w:tc>
        <w:tc>
          <w:tcPr>
            <w:tcW w:w="719" w:type="dxa"/>
            <w:tcBorders>
              <w:right w:val="single" w:sz="8" w:space="0" w:color="auto"/>
            </w:tcBorders>
            <w:vAlign w:val="center"/>
          </w:tcPr>
          <w:p w:rsidR="003F4AEC" w:rsidRPr="003F4AEC" w:rsidRDefault="003F4AEC" w:rsidP="003F4AEC">
            <w:pPr>
              <w:pStyle w:val="Table3"/>
            </w:pPr>
            <w:r w:rsidRPr="003F4AEC">
              <w:t>2021</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48</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49</w:t>
            </w:r>
          </w:p>
        </w:tc>
        <w:tc>
          <w:tcPr>
            <w:tcW w:w="1041" w:type="dxa"/>
            <w:tcBorders>
              <w:left w:val="single" w:sz="8" w:space="0" w:color="auto"/>
            </w:tcBorders>
            <w:vAlign w:val="bottom"/>
          </w:tcPr>
          <w:p w:rsidR="003F4AEC" w:rsidRPr="003F4AEC" w:rsidRDefault="003F4AEC" w:rsidP="003F4AEC">
            <w:pPr>
              <w:pStyle w:val="Table3"/>
            </w:pPr>
            <w:r w:rsidRPr="003F4AEC">
              <w:t>26,941,971</w:t>
            </w:r>
          </w:p>
        </w:tc>
        <w:tc>
          <w:tcPr>
            <w:tcW w:w="966" w:type="dxa"/>
            <w:vAlign w:val="bottom"/>
          </w:tcPr>
          <w:p w:rsidR="003F4AEC" w:rsidRPr="003F4AEC" w:rsidRDefault="003F4AEC" w:rsidP="003F4AEC">
            <w:pPr>
              <w:pStyle w:val="Table3"/>
            </w:pPr>
            <w:r w:rsidRPr="003F4AEC">
              <w:t>541,675</w:t>
            </w:r>
          </w:p>
        </w:tc>
        <w:tc>
          <w:tcPr>
            <w:tcW w:w="1041" w:type="dxa"/>
            <w:tcBorders>
              <w:right w:val="single" w:sz="8" w:space="0" w:color="auto"/>
            </w:tcBorders>
            <w:vAlign w:val="bottom"/>
          </w:tcPr>
          <w:p w:rsidR="003F4AEC" w:rsidRPr="003F4AEC" w:rsidRDefault="003F4AEC" w:rsidP="003F4AEC">
            <w:pPr>
              <w:pStyle w:val="Table3"/>
            </w:pPr>
            <w:r w:rsidRPr="003F4AEC">
              <w:t>27,483,646</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10</w:t>
            </w:r>
          </w:p>
        </w:tc>
        <w:tc>
          <w:tcPr>
            <w:tcW w:w="719" w:type="dxa"/>
            <w:tcBorders>
              <w:right w:val="single" w:sz="8" w:space="0" w:color="auto"/>
            </w:tcBorders>
            <w:vAlign w:val="center"/>
          </w:tcPr>
          <w:p w:rsidR="003F4AEC" w:rsidRPr="003F4AEC" w:rsidRDefault="003F4AEC" w:rsidP="003F4AEC">
            <w:pPr>
              <w:pStyle w:val="Table3"/>
            </w:pPr>
            <w:r w:rsidRPr="003F4AEC">
              <w:t>2022</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46</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47</w:t>
            </w:r>
          </w:p>
        </w:tc>
        <w:tc>
          <w:tcPr>
            <w:tcW w:w="1041" w:type="dxa"/>
            <w:tcBorders>
              <w:left w:val="single" w:sz="8" w:space="0" w:color="auto"/>
            </w:tcBorders>
            <w:vAlign w:val="bottom"/>
          </w:tcPr>
          <w:p w:rsidR="003F4AEC" w:rsidRPr="003F4AEC" w:rsidRDefault="003F4AEC" w:rsidP="003F4AEC">
            <w:pPr>
              <w:pStyle w:val="Table3"/>
            </w:pPr>
            <w:r w:rsidRPr="003F4AEC">
              <w:t>26,206,052</w:t>
            </w:r>
          </w:p>
        </w:tc>
        <w:tc>
          <w:tcPr>
            <w:tcW w:w="966" w:type="dxa"/>
            <w:vAlign w:val="bottom"/>
          </w:tcPr>
          <w:p w:rsidR="003F4AEC" w:rsidRPr="003F4AEC" w:rsidRDefault="003F4AEC" w:rsidP="003F4AEC">
            <w:pPr>
              <w:pStyle w:val="Table3"/>
            </w:pPr>
            <w:r w:rsidRPr="003F4AEC">
              <w:t>526,879</w:t>
            </w:r>
          </w:p>
        </w:tc>
        <w:tc>
          <w:tcPr>
            <w:tcW w:w="1041" w:type="dxa"/>
            <w:tcBorders>
              <w:right w:val="single" w:sz="8" w:space="0" w:color="auto"/>
            </w:tcBorders>
            <w:vAlign w:val="bottom"/>
          </w:tcPr>
          <w:p w:rsidR="003F4AEC" w:rsidRPr="003F4AEC" w:rsidRDefault="003F4AEC" w:rsidP="003F4AEC">
            <w:pPr>
              <w:pStyle w:val="Table3"/>
            </w:pPr>
            <w:r w:rsidRPr="003F4AEC">
              <w:t>26,732,931</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11</w:t>
            </w:r>
          </w:p>
        </w:tc>
        <w:tc>
          <w:tcPr>
            <w:tcW w:w="719" w:type="dxa"/>
            <w:tcBorders>
              <w:right w:val="single" w:sz="8" w:space="0" w:color="auto"/>
            </w:tcBorders>
            <w:vAlign w:val="center"/>
          </w:tcPr>
          <w:p w:rsidR="003F4AEC" w:rsidRPr="003F4AEC" w:rsidRDefault="003F4AEC" w:rsidP="003F4AEC">
            <w:pPr>
              <w:pStyle w:val="Table3"/>
            </w:pPr>
            <w:r w:rsidRPr="003F4AEC">
              <w:t>2023</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46</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47</w:t>
            </w:r>
          </w:p>
        </w:tc>
        <w:tc>
          <w:tcPr>
            <w:tcW w:w="1041" w:type="dxa"/>
            <w:tcBorders>
              <w:left w:val="single" w:sz="8" w:space="0" w:color="auto"/>
            </w:tcBorders>
            <w:vAlign w:val="bottom"/>
          </w:tcPr>
          <w:p w:rsidR="003F4AEC" w:rsidRPr="003F4AEC" w:rsidRDefault="003F4AEC" w:rsidP="003F4AEC">
            <w:pPr>
              <w:pStyle w:val="Table3"/>
            </w:pPr>
            <w:r w:rsidRPr="003F4AEC">
              <w:t>25,772,455</w:t>
            </w:r>
          </w:p>
        </w:tc>
        <w:tc>
          <w:tcPr>
            <w:tcW w:w="966" w:type="dxa"/>
            <w:vAlign w:val="bottom"/>
          </w:tcPr>
          <w:p w:rsidR="003F4AEC" w:rsidRPr="003F4AEC" w:rsidRDefault="003F4AEC" w:rsidP="003F4AEC">
            <w:pPr>
              <w:pStyle w:val="Table3"/>
            </w:pPr>
            <w:r w:rsidRPr="003F4AEC">
              <w:t>518,161</w:t>
            </w:r>
          </w:p>
        </w:tc>
        <w:tc>
          <w:tcPr>
            <w:tcW w:w="1041" w:type="dxa"/>
            <w:tcBorders>
              <w:right w:val="single" w:sz="8" w:space="0" w:color="auto"/>
            </w:tcBorders>
            <w:vAlign w:val="bottom"/>
          </w:tcPr>
          <w:p w:rsidR="003F4AEC" w:rsidRPr="003F4AEC" w:rsidRDefault="003F4AEC" w:rsidP="003F4AEC">
            <w:pPr>
              <w:pStyle w:val="Table3"/>
            </w:pPr>
            <w:r w:rsidRPr="003F4AEC">
              <w:t>26,290,616</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12</w:t>
            </w:r>
          </w:p>
        </w:tc>
        <w:tc>
          <w:tcPr>
            <w:tcW w:w="719" w:type="dxa"/>
            <w:tcBorders>
              <w:right w:val="single" w:sz="8" w:space="0" w:color="auto"/>
            </w:tcBorders>
            <w:vAlign w:val="center"/>
          </w:tcPr>
          <w:p w:rsidR="003F4AEC" w:rsidRPr="003F4AEC" w:rsidRDefault="003F4AEC" w:rsidP="003F4AEC">
            <w:pPr>
              <w:pStyle w:val="Table3"/>
            </w:pPr>
            <w:r w:rsidRPr="003F4AEC">
              <w:t>2024</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46</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47</w:t>
            </w:r>
          </w:p>
        </w:tc>
        <w:tc>
          <w:tcPr>
            <w:tcW w:w="1041" w:type="dxa"/>
            <w:tcBorders>
              <w:left w:val="single" w:sz="8" w:space="0" w:color="auto"/>
            </w:tcBorders>
            <w:vAlign w:val="bottom"/>
          </w:tcPr>
          <w:p w:rsidR="003F4AEC" w:rsidRPr="003F4AEC" w:rsidRDefault="003F4AEC" w:rsidP="003F4AEC">
            <w:pPr>
              <w:pStyle w:val="Table3"/>
            </w:pPr>
            <w:r w:rsidRPr="003F4AEC">
              <w:t>26,119,993</w:t>
            </w:r>
          </w:p>
        </w:tc>
        <w:tc>
          <w:tcPr>
            <w:tcW w:w="966" w:type="dxa"/>
            <w:vAlign w:val="bottom"/>
          </w:tcPr>
          <w:p w:rsidR="003F4AEC" w:rsidRPr="003F4AEC" w:rsidRDefault="003F4AEC" w:rsidP="003F4AEC">
            <w:pPr>
              <w:pStyle w:val="Table3"/>
            </w:pPr>
            <w:r w:rsidRPr="003F4AEC">
              <w:t>525,149</w:t>
            </w:r>
          </w:p>
        </w:tc>
        <w:tc>
          <w:tcPr>
            <w:tcW w:w="1041" w:type="dxa"/>
            <w:tcBorders>
              <w:right w:val="single" w:sz="8" w:space="0" w:color="auto"/>
            </w:tcBorders>
            <w:vAlign w:val="bottom"/>
          </w:tcPr>
          <w:p w:rsidR="003F4AEC" w:rsidRPr="003F4AEC" w:rsidRDefault="003F4AEC" w:rsidP="003F4AEC">
            <w:pPr>
              <w:pStyle w:val="Table3"/>
            </w:pPr>
            <w:r w:rsidRPr="003F4AEC">
              <w:t>26,645,141</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13</w:t>
            </w:r>
          </w:p>
        </w:tc>
        <w:tc>
          <w:tcPr>
            <w:tcW w:w="719" w:type="dxa"/>
            <w:tcBorders>
              <w:right w:val="single" w:sz="8" w:space="0" w:color="auto"/>
            </w:tcBorders>
            <w:vAlign w:val="center"/>
          </w:tcPr>
          <w:p w:rsidR="003F4AEC" w:rsidRPr="003F4AEC" w:rsidRDefault="003F4AEC" w:rsidP="003F4AEC">
            <w:pPr>
              <w:pStyle w:val="Table3"/>
            </w:pPr>
            <w:r w:rsidRPr="003F4AEC">
              <w:t>2025</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48</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49</w:t>
            </w:r>
          </w:p>
        </w:tc>
        <w:tc>
          <w:tcPr>
            <w:tcW w:w="1041" w:type="dxa"/>
            <w:tcBorders>
              <w:left w:val="single" w:sz="8" w:space="0" w:color="auto"/>
            </w:tcBorders>
            <w:vAlign w:val="bottom"/>
          </w:tcPr>
          <w:p w:rsidR="003F4AEC" w:rsidRPr="003F4AEC" w:rsidRDefault="003F4AEC" w:rsidP="003F4AEC">
            <w:pPr>
              <w:pStyle w:val="Table3"/>
            </w:pPr>
            <w:r w:rsidRPr="003F4AEC">
              <w:t>27,319,957</w:t>
            </w:r>
          </w:p>
        </w:tc>
        <w:tc>
          <w:tcPr>
            <w:tcW w:w="966" w:type="dxa"/>
            <w:vAlign w:val="bottom"/>
          </w:tcPr>
          <w:p w:rsidR="003F4AEC" w:rsidRPr="003F4AEC" w:rsidRDefault="003F4AEC" w:rsidP="003F4AEC">
            <w:pPr>
              <w:pStyle w:val="Table3"/>
            </w:pPr>
            <w:r w:rsidRPr="003F4AEC">
              <w:t>549,274</w:t>
            </w:r>
          </w:p>
        </w:tc>
        <w:tc>
          <w:tcPr>
            <w:tcW w:w="1041" w:type="dxa"/>
            <w:tcBorders>
              <w:right w:val="single" w:sz="8" w:space="0" w:color="auto"/>
            </w:tcBorders>
            <w:vAlign w:val="bottom"/>
          </w:tcPr>
          <w:p w:rsidR="003F4AEC" w:rsidRPr="003F4AEC" w:rsidRDefault="003F4AEC" w:rsidP="003F4AEC">
            <w:pPr>
              <w:pStyle w:val="Table3"/>
            </w:pPr>
            <w:r w:rsidRPr="003F4AEC">
              <w:t>27,869,231</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14</w:t>
            </w:r>
          </w:p>
        </w:tc>
        <w:tc>
          <w:tcPr>
            <w:tcW w:w="719" w:type="dxa"/>
            <w:tcBorders>
              <w:right w:val="single" w:sz="8" w:space="0" w:color="auto"/>
            </w:tcBorders>
            <w:vAlign w:val="center"/>
          </w:tcPr>
          <w:p w:rsidR="003F4AEC" w:rsidRPr="003F4AEC" w:rsidRDefault="003F4AEC" w:rsidP="003F4AEC">
            <w:pPr>
              <w:pStyle w:val="Table3"/>
            </w:pPr>
            <w:r w:rsidRPr="003F4AEC">
              <w:t>2026</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51</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52</w:t>
            </w:r>
          </w:p>
        </w:tc>
        <w:tc>
          <w:tcPr>
            <w:tcW w:w="1041" w:type="dxa"/>
            <w:tcBorders>
              <w:left w:val="single" w:sz="8" w:space="0" w:color="auto"/>
            </w:tcBorders>
            <w:vAlign w:val="bottom"/>
          </w:tcPr>
          <w:p w:rsidR="003F4AEC" w:rsidRPr="003F4AEC" w:rsidRDefault="003F4AEC" w:rsidP="003F4AEC">
            <w:pPr>
              <w:pStyle w:val="Table3"/>
            </w:pPr>
            <w:r w:rsidRPr="003F4AEC">
              <w:t>28,629,098</w:t>
            </w:r>
          </w:p>
        </w:tc>
        <w:tc>
          <w:tcPr>
            <w:tcW w:w="966" w:type="dxa"/>
            <w:vAlign w:val="bottom"/>
          </w:tcPr>
          <w:p w:rsidR="003F4AEC" w:rsidRPr="003F4AEC" w:rsidRDefault="003F4AEC" w:rsidP="003F4AEC">
            <w:pPr>
              <w:pStyle w:val="Table3"/>
            </w:pPr>
            <w:r w:rsidRPr="003F4AEC">
              <w:t>575,595</w:t>
            </w:r>
          </w:p>
        </w:tc>
        <w:tc>
          <w:tcPr>
            <w:tcW w:w="1041" w:type="dxa"/>
            <w:tcBorders>
              <w:right w:val="single" w:sz="8" w:space="0" w:color="auto"/>
            </w:tcBorders>
            <w:vAlign w:val="bottom"/>
          </w:tcPr>
          <w:p w:rsidR="003F4AEC" w:rsidRPr="003F4AEC" w:rsidRDefault="003F4AEC" w:rsidP="003F4AEC">
            <w:pPr>
              <w:pStyle w:val="Table3"/>
            </w:pPr>
            <w:r w:rsidRPr="003F4AEC">
              <w:t>29,204,693</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15</w:t>
            </w:r>
          </w:p>
        </w:tc>
        <w:tc>
          <w:tcPr>
            <w:tcW w:w="719" w:type="dxa"/>
            <w:tcBorders>
              <w:right w:val="single" w:sz="8" w:space="0" w:color="auto"/>
            </w:tcBorders>
            <w:vAlign w:val="center"/>
          </w:tcPr>
          <w:p w:rsidR="003F4AEC" w:rsidRPr="003F4AEC" w:rsidRDefault="003F4AEC" w:rsidP="003F4AEC">
            <w:pPr>
              <w:pStyle w:val="Table3"/>
            </w:pPr>
            <w:r w:rsidRPr="003F4AEC">
              <w:t>2027</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52</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53</w:t>
            </w:r>
          </w:p>
        </w:tc>
        <w:tc>
          <w:tcPr>
            <w:tcW w:w="1041" w:type="dxa"/>
            <w:tcBorders>
              <w:left w:val="single" w:sz="8" w:space="0" w:color="auto"/>
            </w:tcBorders>
            <w:vAlign w:val="bottom"/>
          </w:tcPr>
          <w:p w:rsidR="003F4AEC" w:rsidRPr="003F4AEC" w:rsidRDefault="003F4AEC" w:rsidP="003F4AEC">
            <w:pPr>
              <w:pStyle w:val="Table3"/>
            </w:pPr>
            <w:r w:rsidRPr="003F4AEC">
              <w:t>29,364,219</w:t>
            </w:r>
          </w:p>
        </w:tc>
        <w:tc>
          <w:tcPr>
            <w:tcW w:w="966" w:type="dxa"/>
            <w:vAlign w:val="bottom"/>
          </w:tcPr>
          <w:p w:rsidR="003F4AEC" w:rsidRPr="003F4AEC" w:rsidRDefault="003F4AEC" w:rsidP="003F4AEC">
            <w:pPr>
              <w:pStyle w:val="Table3"/>
            </w:pPr>
            <w:r w:rsidRPr="003F4AEC">
              <w:t>590,375</w:t>
            </w:r>
          </w:p>
        </w:tc>
        <w:tc>
          <w:tcPr>
            <w:tcW w:w="1041" w:type="dxa"/>
            <w:tcBorders>
              <w:right w:val="single" w:sz="8" w:space="0" w:color="auto"/>
            </w:tcBorders>
            <w:vAlign w:val="bottom"/>
          </w:tcPr>
          <w:p w:rsidR="003F4AEC" w:rsidRPr="003F4AEC" w:rsidRDefault="003F4AEC" w:rsidP="003F4AEC">
            <w:pPr>
              <w:pStyle w:val="Table3"/>
            </w:pPr>
            <w:r w:rsidRPr="003F4AEC">
              <w:t>29,954,594</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16</w:t>
            </w:r>
          </w:p>
        </w:tc>
        <w:tc>
          <w:tcPr>
            <w:tcW w:w="719" w:type="dxa"/>
            <w:tcBorders>
              <w:right w:val="single" w:sz="8" w:space="0" w:color="auto"/>
            </w:tcBorders>
            <w:vAlign w:val="center"/>
          </w:tcPr>
          <w:p w:rsidR="003F4AEC" w:rsidRPr="003F4AEC" w:rsidRDefault="003F4AEC" w:rsidP="003F4AEC">
            <w:pPr>
              <w:pStyle w:val="Table3"/>
            </w:pPr>
            <w:r w:rsidRPr="003F4AEC">
              <w:t>2028</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51</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53</w:t>
            </w:r>
          </w:p>
        </w:tc>
        <w:tc>
          <w:tcPr>
            <w:tcW w:w="1041" w:type="dxa"/>
            <w:tcBorders>
              <w:left w:val="single" w:sz="8" w:space="0" w:color="auto"/>
            </w:tcBorders>
            <w:vAlign w:val="bottom"/>
          </w:tcPr>
          <w:p w:rsidR="003F4AEC" w:rsidRPr="003F4AEC" w:rsidRDefault="003F4AEC" w:rsidP="003F4AEC">
            <w:pPr>
              <w:pStyle w:val="Table3"/>
            </w:pPr>
            <w:r w:rsidRPr="003F4AEC">
              <w:t>29,063,976</w:t>
            </w:r>
          </w:p>
        </w:tc>
        <w:tc>
          <w:tcPr>
            <w:tcW w:w="966" w:type="dxa"/>
            <w:vAlign w:val="bottom"/>
          </w:tcPr>
          <w:p w:rsidR="003F4AEC" w:rsidRPr="003F4AEC" w:rsidRDefault="003F4AEC" w:rsidP="003F4AEC">
            <w:pPr>
              <w:pStyle w:val="Table3"/>
            </w:pPr>
            <w:r w:rsidRPr="003F4AEC">
              <w:t>584,338</w:t>
            </w:r>
          </w:p>
        </w:tc>
        <w:tc>
          <w:tcPr>
            <w:tcW w:w="1041" w:type="dxa"/>
            <w:tcBorders>
              <w:right w:val="single" w:sz="8" w:space="0" w:color="auto"/>
            </w:tcBorders>
            <w:vAlign w:val="bottom"/>
          </w:tcPr>
          <w:p w:rsidR="003F4AEC" w:rsidRPr="003F4AEC" w:rsidRDefault="003F4AEC" w:rsidP="003F4AEC">
            <w:pPr>
              <w:pStyle w:val="Table3"/>
            </w:pPr>
            <w:r w:rsidRPr="003F4AEC">
              <w:t>29,648,314</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17</w:t>
            </w:r>
          </w:p>
        </w:tc>
        <w:tc>
          <w:tcPr>
            <w:tcW w:w="719" w:type="dxa"/>
            <w:tcBorders>
              <w:right w:val="single" w:sz="8" w:space="0" w:color="auto"/>
            </w:tcBorders>
            <w:vAlign w:val="center"/>
          </w:tcPr>
          <w:p w:rsidR="003F4AEC" w:rsidRPr="003F4AEC" w:rsidRDefault="003F4AEC" w:rsidP="003F4AEC">
            <w:pPr>
              <w:pStyle w:val="Table3"/>
            </w:pPr>
            <w:r w:rsidRPr="003F4AEC">
              <w:t>2029</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51</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52</w:t>
            </w:r>
          </w:p>
        </w:tc>
        <w:tc>
          <w:tcPr>
            <w:tcW w:w="1041" w:type="dxa"/>
            <w:tcBorders>
              <w:left w:val="single" w:sz="8" w:space="0" w:color="auto"/>
            </w:tcBorders>
            <w:vAlign w:val="bottom"/>
          </w:tcPr>
          <w:p w:rsidR="003F4AEC" w:rsidRPr="003F4AEC" w:rsidRDefault="003F4AEC" w:rsidP="003F4AEC">
            <w:pPr>
              <w:pStyle w:val="Table3"/>
            </w:pPr>
            <w:r w:rsidRPr="003F4AEC">
              <w:t>28,653,041</w:t>
            </w:r>
          </w:p>
        </w:tc>
        <w:tc>
          <w:tcPr>
            <w:tcW w:w="966" w:type="dxa"/>
            <w:vAlign w:val="bottom"/>
          </w:tcPr>
          <w:p w:rsidR="003F4AEC" w:rsidRPr="003F4AEC" w:rsidRDefault="003F4AEC" w:rsidP="003F4AEC">
            <w:pPr>
              <w:pStyle w:val="Table3"/>
            </w:pPr>
            <w:r w:rsidRPr="003F4AEC">
              <w:t>576,076</w:t>
            </w:r>
          </w:p>
        </w:tc>
        <w:tc>
          <w:tcPr>
            <w:tcW w:w="1041" w:type="dxa"/>
            <w:tcBorders>
              <w:right w:val="single" w:sz="8" w:space="0" w:color="auto"/>
            </w:tcBorders>
            <w:vAlign w:val="bottom"/>
          </w:tcPr>
          <w:p w:rsidR="003F4AEC" w:rsidRPr="003F4AEC" w:rsidRDefault="003F4AEC" w:rsidP="003F4AEC">
            <w:pPr>
              <w:pStyle w:val="Table3"/>
            </w:pPr>
            <w:r w:rsidRPr="003F4AEC">
              <w:t>29,229,117</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18</w:t>
            </w:r>
          </w:p>
        </w:tc>
        <w:tc>
          <w:tcPr>
            <w:tcW w:w="719" w:type="dxa"/>
            <w:tcBorders>
              <w:right w:val="single" w:sz="8" w:space="0" w:color="auto"/>
            </w:tcBorders>
          </w:tcPr>
          <w:p w:rsidR="003F4AEC" w:rsidRPr="003F4AEC" w:rsidRDefault="003F4AEC" w:rsidP="003F4AEC">
            <w:pPr>
              <w:pStyle w:val="Table3"/>
            </w:pPr>
            <w:r w:rsidRPr="003F4AEC">
              <w:t>2030</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49</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50</w:t>
            </w:r>
          </w:p>
        </w:tc>
        <w:tc>
          <w:tcPr>
            <w:tcW w:w="1041" w:type="dxa"/>
            <w:tcBorders>
              <w:left w:val="single" w:sz="8" w:space="0" w:color="auto"/>
            </w:tcBorders>
            <w:vAlign w:val="bottom"/>
          </w:tcPr>
          <w:p w:rsidR="003F4AEC" w:rsidRPr="003F4AEC" w:rsidRDefault="003F4AEC" w:rsidP="003F4AEC">
            <w:pPr>
              <w:pStyle w:val="Table3"/>
            </w:pPr>
            <w:r w:rsidRPr="003F4AEC">
              <w:t>27,469,898</w:t>
            </w:r>
          </w:p>
        </w:tc>
        <w:tc>
          <w:tcPr>
            <w:tcW w:w="966" w:type="dxa"/>
            <w:vAlign w:val="bottom"/>
          </w:tcPr>
          <w:p w:rsidR="003F4AEC" w:rsidRPr="003F4AEC" w:rsidRDefault="003F4AEC" w:rsidP="003F4AEC">
            <w:pPr>
              <w:pStyle w:val="Table3"/>
            </w:pPr>
            <w:r w:rsidRPr="003F4AEC">
              <w:t>552,289</w:t>
            </w:r>
          </w:p>
        </w:tc>
        <w:tc>
          <w:tcPr>
            <w:tcW w:w="1041" w:type="dxa"/>
            <w:tcBorders>
              <w:right w:val="single" w:sz="8" w:space="0" w:color="auto"/>
            </w:tcBorders>
            <w:vAlign w:val="bottom"/>
          </w:tcPr>
          <w:p w:rsidR="003F4AEC" w:rsidRPr="003F4AEC" w:rsidRDefault="003F4AEC" w:rsidP="003F4AEC">
            <w:pPr>
              <w:pStyle w:val="Table3"/>
            </w:pPr>
            <w:r w:rsidRPr="003F4AEC">
              <w:t>28,022,187</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19</w:t>
            </w:r>
          </w:p>
        </w:tc>
        <w:tc>
          <w:tcPr>
            <w:tcW w:w="719" w:type="dxa"/>
            <w:tcBorders>
              <w:right w:val="single" w:sz="8" w:space="0" w:color="auto"/>
            </w:tcBorders>
          </w:tcPr>
          <w:p w:rsidR="003F4AEC" w:rsidRPr="003F4AEC" w:rsidRDefault="003F4AEC" w:rsidP="003F4AEC">
            <w:pPr>
              <w:pStyle w:val="Table3"/>
            </w:pPr>
            <w:r w:rsidRPr="003F4AEC">
              <w:t>2031</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45</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46</w:t>
            </w:r>
          </w:p>
        </w:tc>
        <w:tc>
          <w:tcPr>
            <w:tcW w:w="1041" w:type="dxa"/>
            <w:tcBorders>
              <w:left w:val="single" w:sz="8" w:space="0" w:color="auto"/>
            </w:tcBorders>
            <w:vAlign w:val="bottom"/>
          </w:tcPr>
          <w:p w:rsidR="003F4AEC" w:rsidRPr="003F4AEC" w:rsidRDefault="003F4AEC" w:rsidP="003F4AEC">
            <w:pPr>
              <w:pStyle w:val="Table3"/>
            </w:pPr>
            <w:r w:rsidRPr="003F4AEC">
              <w:t>25,195,045</w:t>
            </w:r>
          </w:p>
        </w:tc>
        <w:tc>
          <w:tcPr>
            <w:tcW w:w="966" w:type="dxa"/>
            <w:vAlign w:val="bottom"/>
          </w:tcPr>
          <w:p w:rsidR="003F4AEC" w:rsidRPr="003F4AEC" w:rsidRDefault="003F4AEC" w:rsidP="003F4AEC">
            <w:pPr>
              <w:pStyle w:val="Table3"/>
            </w:pPr>
            <w:r w:rsidRPr="003F4AEC">
              <w:t>506,552</w:t>
            </w:r>
          </w:p>
        </w:tc>
        <w:tc>
          <w:tcPr>
            <w:tcW w:w="1041" w:type="dxa"/>
            <w:tcBorders>
              <w:right w:val="single" w:sz="8" w:space="0" w:color="auto"/>
            </w:tcBorders>
            <w:vAlign w:val="bottom"/>
          </w:tcPr>
          <w:p w:rsidR="003F4AEC" w:rsidRPr="003F4AEC" w:rsidRDefault="003F4AEC" w:rsidP="003F4AEC">
            <w:pPr>
              <w:pStyle w:val="Table3"/>
            </w:pPr>
            <w:r w:rsidRPr="003F4AEC">
              <w:t>25,701,597</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20</w:t>
            </w:r>
          </w:p>
        </w:tc>
        <w:tc>
          <w:tcPr>
            <w:tcW w:w="719" w:type="dxa"/>
            <w:tcBorders>
              <w:right w:val="single" w:sz="8" w:space="0" w:color="auto"/>
            </w:tcBorders>
          </w:tcPr>
          <w:p w:rsidR="003F4AEC" w:rsidRPr="003F4AEC" w:rsidRDefault="003F4AEC" w:rsidP="003F4AEC">
            <w:pPr>
              <w:pStyle w:val="Table3"/>
            </w:pPr>
            <w:r w:rsidRPr="003F4AEC">
              <w:t>2032</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41</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42</w:t>
            </w:r>
          </w:p>
        </w:tc>
        <w:tc>
          <w:tcPr>
            <w:tcW w:w="1041" w:type="dxa"/>
            <w:tcBorders>
              <w:left w:val="single" w:sz="8" w:space="0" w:color="auto"/>
            </w:tcBorders>
            <w:vAlign w:val="bottom"/>
          </w:tcPr>
          <w:p w:rsidR="003F4AEC" w:rsidRPr="003F4AEC" w:rsidRDefault="003F4AEC" w:rsidP="003F4AEC">
            <w:pPr>
              <w:pStyle w:val="Table3"/>
            </w:pPr>
            <w:r w:rsidRPr="003F4AEC">
              <w:t>22,975,370</w:t>
            </w:r>
          </w:p>
        </w:tc>
        <w:tc>
          <w:tcPr>
            <w:tcW w:w="966" w:type="dxa"/>
            <w:vAlign w:val="bottom"/>
          </w:tcPr>
          <w:p w:rsidR="003F4AEC" w:rsidRPr="003F4AEC" w:rsidRDefault="003F4AEC" w:rsidP="003F4AEC">
            <w:pPr>
              <w:pStyle w:val="Table3"/>
            </w:pPr>
            <w:r w:rsidRPr="003F4AEC">
              <w:t>461,925</w:t>
            </w:r>
          </w:p>
        </w:tc>
        <w:tc>
          <w:tcPr>
            <w:tcW w:w="1041" w:type="dxa"/>
            <w:tcBorders>
              <w:right w:val="single" w:sz="8" w:space="0" w:color="auto"/>
            </w:tcBorders>
            <w:vAlign w:val="bottom"/>
          </w:tcPr>
          <w:p w:rsidR="003F4AEC" w:rsidRPr="003F4AEC" w:rsidRDefault="003F4AEC" w:rsidP="003F4AEC">
            <w:pPr>
              <w:pStyle w:val="Table3"/>
            </w:pPr>
            <w:r w:rsidRPr="003F4AEC">
              <w:t>23,437,295</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21</w:t>
            </w:r>
          </w:p>
        </w:tc>
        <w:tc>
          <w:tcPr>
            <w:tcW w:w="719" w:type="dxa"/>
            <w:tcBorders>
              <w:right w:val="single" w:sz="8" w:space="0" w:color="auto"/>
            </w:tcBorders>
          </w:tcPr>
          <w:p w:rsidR="003F4AEC" w:rsidRPr="003F4AEC" w:rsidRDefault="003F4AEC" w:rsidP="003F4AEC">
            <w:pPr>
              <w:pStyle w:val="Table3"/>
            </w:pPr>
            <w:r w:rsidRPr="003F4AEC">
              <w:t>2033</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35</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36</w:t>
            </w:r>
          </w:p>
        </w:tc>
        <w:tc>
          <w:tcPr>
            <w:tcW w:w="1041" w:type="dxa"/>
            <w:tcBorders>
              <w:left w:val="single" w:sz="8" w:space="0" w:color="auto"/>
            </w:tcBorders>
            <w:vAlign w:val="bottom"/>
          </w:tcPr>
          <w:p w:rsidR="003F4AEC" w:rsidRPr="003F4AEC" w:rsidRDefault="003F4AEC" w:rsidP="003F4AEC">
            <w:pPr>
              <w:pStyle w:val="Table3"/>
            </w:pPr>
            <w:r w:rsidRPr="003F4AEC">
              <w:t>19,886,532</w:t>
            </w:r>
          </w:p>
        </w:tc>
        <w:tc>
          <w:tcPr>
            <w:tcW w:w="966" w:type="dxa"/>
            <w:vAlign w:val="bottom"/>
          </w:tcPr>
          <w:p w:rsidR="003F4AEC" w:rsidRPr="003F4AEC" w:rsidRDefault="003F4AEC" w:rsidP="003F4AEC">
            <w:pPr>
              <w:pStyle w:val="Table3"/>
            </w:pPr>
            <w:r w:rsidRPr="003F4AEC">
              <w:t>399,823</w:t>
            </w:r>
          </w:p>
        </w:tc>
        <w:tc>
          <w:tcPr>
            <w:tcW w:w="1041" w:type="dxa"/>
            <w:tcBorders>
              <w:right w:val="single" w:sz="8" w:space="0" w:color="auto"/>
            </w:tcBorders>
            <w:vAlign w:val="bottom"/>
          </w:tcPr>
          <w:p w:rsidR="003F4AEC" w:rsidRPr="003F4AEC" w:rsidRDefault="003F4AEC" w:rsidP="003F4AEC">
            <w:pPr>
              <w:pStyle w:val="Table3"/>
            </w:pPr>
            <w:r w:rsidRPr="003F4AEC">
              <w:t>20,286,356</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22</w:t>
            </w:r>
          </w:p>
        </w:tc>
        <w:tc>
          <w:tcPr>
            <w:tcW w:w="719" w:type="dxa"/>
            <w:tcBorders>
              <w:right w:val="single" w:sz="8" w:space="0" w:color="auto"/>
            </w:tcBorders>
          </w:tcPr>
          <w:p w:rsidR="003F4AEC" w:rsidRPr="003F4AEC" w:rsidRDefault="003F4AEC" w:rsidP="003F4AEC">
            <w:pPr>
              <w:pStyle w:val="Table3"/>
            </w:pPr>
            <w:r w:rsidRPr="003F4AEC">
              <w:t>2034</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29</w:t>
            </w:r>
          </w:p>
        </w:tc>
        <w:tc>
          <w:tcPr>
            <w:tcW w:w="741" w:type="dxa"/>
            <w:vAlign w:val="bottom"/>
          </w:tcPr>
          <w:p w:rsidR="003F4AEC" w:rsidRPr="003F4AEC" w:rsidRDefault="003F4AEC" w:rsidP="003F4AEC">
            <w:pPr>
              <w:pStyle w:val="Table3"/>
            </w:pPr>
            <w:r w:rsidRPr="003F4AEC">
              <w:t>1</w:t>
            </w:r>
          </w:p>
        </w:tc>
        <w:tc>
          <w:tcPr>
            <w:tcW w:w="727" w:type="dxa"/>
            <w:tcBorders>
              <w:right w:val="single" w:sz="8" w:space="0" w:color="auto"/>
            </w:tcBorders>
            <w:vAlign w:val="bottom"/>
          </w:tcPr>
          <w:p w:rsidR="003F4AEC" w:rsidRPr="003F4AEC" w:rsidRDefault="003F4AEC" w:rsidP="003F4AEC">
            <w:pPr>
              <w:pStyle w:val="Table3"/>
            </w:pPr>
            <w:r w:rsidRPr="003F4AEC">
              <w:t>30</w:t>
            </w:r>
          </w:p>
        </w:tc>
        <w:tc>
          <w:tcPr>
            <w:tcW w:w="1041" w:type="dxa"/>
            <w:tcBorders>
              <w:left w:val="single" w:sz="8" w:space="0" w:color="auto"/>
            </w:tcBorders>
            <w:vAlign w:val="bottom"/>
          </w:tcPr>
          <w:p w:rsidR="003F4AEC" w:rsidRPr="003F4AEC" w:rsidRDefault="003F4AEC" w:rsidP="003F4AEC">
            <w:pPr>
              <w:pStyle w:val="Table3"/>
            </w:pPr>
            <w:r w:rsidRPr="003F4AEC">
              <w:t>16,413,024</w:t>
            </w:r>
          </w:p>
        </w:tc>
        <w:tc>
          <w:tcPr>
            <w:tcW w:w="966" w:type="dxa"/>
            <w:vAlign w:val="bottom"/>
          </w:tcPr>
          <w:p w:rsidR="003F4AEC" w:rsidRPr="003F4AEC" w:rsidRDefault="003F4AEC" w:rsidP="003F4AEC">
            <w:pPr>
              <w:pStyle w:val="Table3"/>
            </w:pPr>
            <w:r w:rsidRPr="003F4AEC">
              <w:t>329,988</w:t>
            </w:r>
          </w:p>
        </w:tc>
        <w:tc>
          <w:tcPr>
            <w:tcW w:w="1041" w:type="dxa"/>
            <w:tcBorders>
              <w:right w:val="single" w:sz="8" w:space="0" w:color="auto"/>
            </w:tcBorders>
            <w:vAlign w:val="bottom"/>
          </w:tcPr>
          <w:p w:rsidR="003F4AEC" w:rsidRPr="003F4AEC" w:rsidRDefault="003F4AEC" w:rsidP="003F4AEC">
            <w:pPr>
              <w:pStyle w:val="Table3"/>
            </w:pPr>
            <w:r w:rsidRPr="003F4AEC">
              <w:t>16,743,012</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23</w:t>
            </w:r>
          </w:p>
        </w:tc>
        <w:tc>
          <w:tcPr>
            <w:tcW w:w="719" w:type="dxa"/>
            <w:tcBorders>
              <w:right w:val="single" w:sz="8" w:space="0" w:color="auto"/>
            </w:tcBorders>
          </w:tcPr>
          <w:p w:rsidR="003F4AEC" w:rsidRPr="003F4AEC" w:rsidRDefault="003F4AEC" w:rsidP="003F4AEC">
            <w:pPr>
              <w:pStyle w:val="Table3"/>
            </w:pPr>
            <w:r w:rsidRPr="003F4AEC">
              <w:t>2035</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25</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25</w:t>
            </w:r>
          </w:p>
        </w:tc>
        <w:tc>
          <w:tcPr>
            <w:tcW w:w="1041" w:type="dxa"/>
            <w:tcBorders>
              <w:left w:val="single" w:sz="8" w:space="0" w:color="auto"/>
            </w:tcBorders>
            <w:vAlign w:val="bottom"/>
          </w:tcPr>
          <w:p w:rsidR="003F4AEC" w:rsidRPr="003F4AEC" w:rsidRDefault="003F4AEC" w:rsidP="003F4AEC">
            <w:pPr>
              <w:pStyle w:val="Table3"/>
            </w:pPr>
            <w:r w:rsidRPr="003F4AEC">
              <w:t>13,976,103</w:t>
            </w:r>
          </w:p>
        </w:tc>
        <w:tc>
          <w:tcPr>
            <w:tcW w:w="966" w:type="dxa"/>
            <w:vAlign w:val="bottom"/>
          </w:tcPr>
          <w:p w:rsidR="003F4AEC" w:rsidRPr="003F4AEC" w:rsidRDefault="003F4AEC" w:rsidP="003F4AEC">
            <w:pPr>
              <w:pStyle w:val="Table3"/>
            </w:pPr>
            <w:r w:rsidRPr="003F4AEC">
              <w:t>280,993</w:t>
            </w:r>
          </w:p>
        </w:tc>
        <w:tc>
          <w:tcPr>
            <w:tcW w:w="1041" w:type="dxa"/>
            <w:tcBorders>
              <w:right w:val="single" w:sz="8" w:space="0" w:color="auto"/>
            </w:tcBorders>
            <w:vAlign w:val="bottom"/>
          </w:tcPr>
          <w:p w:rsidR="003F4AEC" w:rsidRPr="003F4AEC" w:rsidRDefault="003F4AEC" w:rsidP="003F4AEC">
            <w:pPr>
              <w:pStyle w:val="Table3"/>
            </w:pPr>
            <w:r w:rsidRPr="003F4AEC">
              <w:t>14,257,096</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24</w:t>
            </w:r>
          </w:p>
        </w:tc>
        <w:tc>
          <w:tcPr>
            <w:tcW w:w="719" w:type="dxa"/>
            <w:tcBorders>
              <w:right w:val="single" w:sz="8" w:space="0" w:color="auto"/>
            </w:tcBorders>
          </w:tcPr>
          <w:p w:rsidR="003F4AEC" w:rsidRPr="003F4AEC" w:rsidRDefault="003F4AEC" w:rsidP="003F4AEC">
            <w:pPr>
              <w:pStyle w:val="Table3"/>
            </w:pPr>
            <w:r w:rsidRPr="003F4AEC">
              <w:t>2036</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20</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20</w:t>
            </w:r>
          </w:p>
        </w:tc>
        <w:tc>
          <w:tcPr>
            <w:tcW w:w="1041" w:type="dxa"/>
            <w:tcBorders>
              <w:left w:val="single" w:sz="8" w:space="0" w:color="auto"/>
            </w:tcBorders>
            <w:vAlign w:val="bottom"/>
          </w:tcPr>
          <w:p w:rsidR="003F4AEC" w:rsidRPr="003F4AEC" w:rsidRDefault="003F4AEC" w:rsidP="003F4AEC">
            <w:pPr>
              <w:pStyle w:val="Table3"/>
            </w:pPr>
            <w:r w:rsidRPr="003F4AEC">
              <w:t>11,214,439</w:t>
            </w:r>
          </w:p>
        </w:tc>
        <w:tc>
          <w:tcPr>
            <w:tcW w:w="966" w:type="dxa"/>
            <w:vAlign w:val="bottom"/>
          </w:tcPr>
          <w:p w:rsidR="003F4AEC" w:rsidRPr="003F4AEC" w:rsidRDefault="003F4AEC" w:rsidP="003F4AEC">
            <w:pPr>
              <w:pStyle w:val="Table3"/>
            </w:pPr>
            <w:r w:rsidRPr="003F4AEC">
              <w:t>225,469</w:t>
            </w:r>
          </w:p>
        </w:tc>
        <w:tc>
          <w:tcPr>
            <w:tcW w:w="1041" w:type="dxa"/>
            <w:tcBorders>
              <w:right w:val="single" w:sz="8" w:space="0" w:color="auto"/>
            </w:tcBorders>
            <w:vAlign w:val="bottom"/>
          </w:tcPr>
          <w:p w:rsidR="003F4AEC" w:rsidRPr="003F4AEC" w:rsidRDefault="003F4AEC" w:rsidP="003F4AEC">
            <w:pPr>
              <w:pStyle w:val="Table3"/>
            </w:pPr>
            <w:r w:rsidRPr="003F4AEC">
              <w:t>11,439,908</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25</w:t>
            </w:r>
          </w:p>
        </w:tc>
        <w:tc>
          <w:tcPr>
            <w:tcW w:w="719" w:type="dxa"/>
            <w:tcBorders>
              <w:right w:val="single" w:sz="8" w:space="0" w:color="auto"/>
            </w:tcBorders>
          </w:tcPr>
          <w:p w:rsidR="003F4AEC" w:rsidRPr="003F4AEC" w:rsidRDefault="003F4AEC" w:rsidP="003F4AEC">
            <w:pPr>
              <w:pStyle w:val="Table3"/>
            </w:pPr>
            <w:r w:rsidRPr="003F4AEC">
              <w:t>2037</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15</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16</w:t>
            </w:r>
          </w:p>
        </w:tc>
        <w:tc>
          <w:tcPr>
            <w:tcW w:w="1041" w:type="dxa"/>
            <w:tcBorders>
              <w:left w:val="single" w:sz="8" w:space="0" w:color="auto"/>
            </w:tcBorders>
            <w:vAlign w:val="bottom"/>
          </w:tcPr>
          <w:p w:rsidR="003F4AEC" w:rsidRPr="003F4AEC" w:rsidRDefault="003F4AEC" w:rsidP="003F4AEC">
            <w:pPr>
              <w:pStyle w:val="Table3"/>
            </w:pPr>
            <w:r w:rsidRPr="003F4AEC">
              <w:t>8,680,449</w:t>
            </w:r>
          </w:p>
        </w:tc>
        <w:tc>
          <w:tcPr>
            <w:tcW w:w="966" w:type="dxa"/>
            <w:vAlign w:val="bottom"/>
          </w:tcPr>
          <w:p w:rsidR="003F4AEC" w:rsidRPr="003F4AEC" w:rsidRDefault="003F4AEC" w:rsidP="003F4AEC">
            <w:pPr>
              <w:pStyle w:val="Table3"/>
            </w:pPr>
            <w:r w:rsidRPr="003F4AEC">
              <w:t>174,522</w:t>
            </w:r>
          </w:p>
        </w:tc>
        <w:tc>
          <w:tcPr>
            <w:tcW w:w="1041" w:type="dxa"/>
            <w:tcBorders>
              <w:right w:val="single" w:sz="8" w:space="0" w:color="auto"/>
            </w:tcBorders>
            <w:vAlign w:val="bottom"/>
          </w:tcPr>
          <w:p w:rsidR="003F4AEC" w:rsidRPr="003F4AEC" w:rsidRDefault="003F4AEC" w:rsidP="003F4AEC">
            <w:pPr>
              <w:pStyle w:val="Table3"/>
            </w:pPr>
            <w:r w:rsidRPr="003F4AEC">
              <w:t>8,854,971</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26</w:t>
            </w:r>
          </w:p>
        </w:tc>
        <w:tc>
          <w:tcPr>
            <w:tcW w:w="719" w:type="dxa"/>
            <w:tcBorders>
              <w:right w:val="single" w:sz="8" w:space="0" w:color="auto"/>
            </w:tcBorders>
          </w:tcPr>
          <w:p w:rsidR="003F4AEC" w:rsidRPr="003F4AEC" w:rsidRDefault="003F4AEC" w:rsidP="003F4AEC">
            <w:pPr>
              <w:pStyle w:val="Table3"/>
            </w:pPr>
            <w:r w:rsidRPr="003F4AEC">
              <w:t>2038</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12</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13</w:t>
            </w:r>
          </w:p>
        </w:tc>
        <w:tc>
          <w:tcPr>
            <w:tcW w:w="1041" w:type="dxa"/>
            <w:tcBorders>
              <w:left w:val="single" w:sz="8" w:space="0" w:color="auto"/>
            </w:tcBorders>
            <w:vAlign w:val="bottom"/>
          </w:tcPr>
          <w:p w:rsidR="003F4AEC" w:rsidRPr="003F4AEC" w:rsidRDefault="003F4AEC" w:rsidP="003F4AEC">
            <w:pPr>
              <w:pStyle w:val="Table3"/>
            </w:pPr>
            <w:r w:rsidRPr="003F4AEC">
              <w:t>6,956,776</w:t>
            </w:r>
          </w:p>
        </w:tc>
        <w:tc>
          <w:tcPr>
            <w:tcW w:w="966" w:type="dxa"/>
            <w:vAlign w:val="bottom"/>
          </w:tcPr>
          <w:p w:rsidR="003F4AEC" w:rsidRPr="003F4AEC" w:rsidRDefault="003F4AEC" w:rsidP="003F4AEC">
            <w:pPr>
              <w:pStyle w:val="Table3"/>
            </w:pPr>
            <w:r w:rsidRPr="003F4AEC">
              <w:t>139,868</w:t>
            </w:r>
          </w:p>
        </w:tc>
        <w:tc>
          <w:tcPr>
            <w:tcW w:w="1041" w:type="dxa"/>
            <w:tcBorders>
              <w:right w:val="single" w:sz="8" w:space="0" w:color="auto"/>
            </w:tcBorders>
            <w:vAlign w:val="bottom"/>
          </w:tcPr>
          <w:p w:rsidR="003F4AEC" w:rsidRPr="003F4AEC" w:rsidRDefault="003F4AEC" w:rsidP="003F4AEC">
            <w:pPr>
              <w:pStyle w:val="Table3"/>
            </w:pPr>
            <w:r w:rsidRPr="003F4AEC">
              <w:t>7,096,644</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27</w:t>
            </w:r>
          </w:p>
        </w:tc>
        <w:tc>
          <w:tcPr>
            <w:tcW w:w="719" w:type="dxa"/>
            <w:tcBorders>
              <w:right w:val="single" w:sz="8" w:space="0" w:color="auto"/>
            </w:tcBorders>
          </w:tcPr>
          <w:p w:rsidR="003F4AEC" w:rsidRPr="003F4AEC" w:rsidRDefault="003F4AEC" w:rsidP="003F4AEC">
            <w:pPr>
              <w:pStyle w:val="Table3"/>
            </w:pPr>
            <w:r w:rsidRPr="003F4AEC">
              <w:t>2039</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10</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10</w:t>
            </w:r>
          </w:p>
        </w:tc>
        <w:tc>
          <w:tcPr>
            <w:tcW w:w="1041" w:type="dxa"/>
            <w:tcBorders>
              <w:left w:val="single" w:sz="8" w:space="0" w:color="auto"/>
            </w:tcBorders>
            <w:vAlign w:val="bottom"/>
          </w:tcPr>
          <w:p w:rsidR="003F4AEC" w:rsidRPr="003F4AEC" w:rsidRDefault="003F4AEC" w:rsidP="003F4AEC">
            <w:pPr>
              <w:pStyle w:val="Table3"/>
            </w:pPr>
            <w:r w:rsidRPr="003F4AEC">
              <w:t>5,373,237</w:t>
            </w:r>
          </w:p>
        </w:tc>
        <w:tc>
          <w:tcPr>
            <w:tcW w:w="966" w:type="dxa"/>
            <w:vAlign w:val="bottom"/>
          </w:tcPr>
          <w:p w:rsidR="003F4AEC" w:rsidRPr="003F4AEC" w:rsidRDefault="003F4AEC" w:rsidP="003F4AEC">
            <w:pPr>
              <w:pStyle w:val="Table3"/>
            </w:pPr>
            <w:r w:rsidRPr="003F4AEC">
              <w:t>108,030</w:t>
            </w:r>
          </w:p>
        </w:tc>
        <w:tc>
          <w:tcPr>
            <w:tcW w:w="1041" w:type="dxa"/>
            <w:tcBorders>
              <w:right w:val="single" w:sz="8" w:space="0" w:color="auto"/>
            </w:tcBorders>
            <w:vAlign w:val="bottom"/>
          </w:tcPr>
          <w:p w:rsidR="003F4AEC" w:rsidRPr="003F4AEC" w:rsidRDefault="003F4AEC" w:rsidP="003F4AEC">
            <w:pPr>
              <w:pStyle w:val="Table3"/>
            </w:pPr>
            <w:r w:rsidRPr="003F4AEC">
              <w:t>5,481,267</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28</w:t>
            </w:r>
          </w:p>
        </w:tc>
        <w:tc>
          <w:tcPr>
            <w:tcW w:w="719" w:type="dxa"/>
            <w:tcBorders>
              <w:right w:val="single" w:sz="8" w:space="0" w:color="auto"/>
            </w:tcBorders>
          </w:tcPr>
          <w:p w:rsidR="003F4AEC" w:rsidRPr="003F4AEC" w:rsidRDefault="003F4AEC" w:rsidP="003F4AEC">
            <w:pPr>
              <w:pStyle w:val="Table3"/>
            </w:pPr>
            <w:r w:rsidRPr="003F4AEC">
              <w:t>2040</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6</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6</w:t>
            </w:r>
          </w:p>
        </w:tc>
        <w:tc>
          <w:tcPr>
            <w:tcW w:w="1041" w:type="dxa"/>
            <w:tcBorders>
              <w:left w:val="single" w:sz="8" w:space="0" w:color="auto"/>
            </w:tcBorders>
            <w:vAlign w:val="bottom"/>
          </w:tcPr>
          <w:p w:rsidR="003F4AEC" w:rsidRPr="003F4AEC" w:rsidRDefault="003F4AEC" w:rsidP="003F4AEC">
            <w:pPr>
              <w:pStyle w:val="Table3"/>
            </w:pPr>
            <w:r w:rsidRPr="003F4AEC">
              <w:t>3,562,539</w:t>
            </w:r>
          </w:p>
        </w:tc>
        <w:tc>
          <w:tcPr>
            <w:tcW w:w="966" w:type="dxa"/>
            <w:vAlign w:val="bottom"/>
          </w:tcPr>
          <w:p w:rsidR="003F4AEC" w:rsidRPr="003F4AEC" w:rsidRDefault="003F4AEC" w:rsidP="003F4AEC">
            <w:pPr>
              <w:pStyle w:val="Table3"/>
            </w:pPr>
            <w:r w:rsidRPr="003F4AEC">
              <w:t>71,626</w:t>
            </w:r>
          </w:p>
        </w:tc>
        <w:tc>
          <w:tcPr>
            <w:tcW w:w="1041" w:type="dxa"/>
            <w:tcBorders>
              <w:right w:val="single" w:sz="8" w:space="0" w:color="auto"/>
            </w:tcBorders>
            <w:vAlign w:val="bottom"/>
          </w:tcPr>
          <w:p w:rsidR="003F4AEC" w:rsidRPr="003F4AEC" w:rsidRDefault="003F4AEC" w:rsidP="003F4AEC">
            <w:pPr>
              <w:pStyle w:val="Table3"/>
            </w:pPr>
            <w:r w:rsidRPr="003F4AEC">
              <w:t>3,634,165</w:t>
            </w:r>
          </w:p>
        </w:tc>
      </w:tr>
      <w:tr w:rsidR="003F4AEC" w:rsidTr="003F4AEC">
        <w:tc>
          <w:tcPr>
            <w:tcW w:w="660" w:type="dxa"/>
            <w:tcBorders>
              <w:left w:val="single" w:sz="8" w:space="0" w:color="auto"/>
            </w:tcBorders>
            <w:vAlign w:val="center"/>
          </w:tcPr>
          <w:p w:rsidR="003F4AEC" w:rsidRPr="003F4AEC" w:rsidRDefault="003F4AEC" w:rsidP="003F4AEC">
            <w:pPr>
              <w:pStyle w:val="Table3"/>
            </w:pPr>
            <w:r w:rsidRPr="003F4AEC">
              <w:t>29</w:t>
            </w:r>
          </w:p>
        </w:tc>
        <w:tc>
          <w:tcPr>
            <w:tcW w:w="719" w:type="dxa"/>
            <w:tcBorders>
              <w:right w:val="single" w:sz="8" w:space="0" w:color="auto"/>
            </w:tcBorders>
          </w:tcPr>
          <w:p w:rsidR="003F4AEC" w:rsidRPr="003F4AEC" w:rsidRDefault="003F4AEC" w:rsidP="003F4AEC">
            <w:pPr>
              <w:pStyle w:val="Table3"/>
            </w:pPr>
            <w:r w:rsidRPr="003F4AEC">
              <w:t>2041</w:t>
            </w:r>
          </w:p>
        </w:tc>
        <w:tc>
          <w:tcPr>
            <w:tcW w:w="763" w:type="dxa"/>
            <w:tcBorders>
              <w:left w:val="single" w:sz="8" w:space="0" w:color="auto"/>
            </w:tcBorders>
          </w:tcPr>
          <w:p w:rsidR="003F4AEC" w:rsidRPr="003F4AEC" w:rsidRDefault="003F4AEC" w:rsidP="003F4AEC">
            <w:pPr>
              <w:pStyle w:val="Table3"/>
            </w:pPr>
            <w:r>
              <w:noBreakHyphen/>
            </w:r>
          </w:p>
        </w:tc>
        <w:tc>
          <w:tcPr>
            <w:tcW w:w="742"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1"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tcPr>
          <w:p w:rsidR="003F4AEC" w:rsidRPr="003F4AEC" w:rsidRDefault="003F4AEC" w:rsidP="003F4AEC">
            <w:pPr>
              <w:pStyle w:val="Table3"/>
            </w:pPr>
            <w:r>
              <w:noBreakHyphen/>
            </w:r>
          </w:p>
        </w:tc>
        <w:tc>
          <w:tcPr>
            <w:tcW w:w="741" w:type="dxa"/>
          </w:tcPr>
          <w:p w:rsidR="003F4AEC" w:rsidRPr="003F4AEC" w:rsidRDefault="003F4AEC" w:rsidP="003F4AEC">
            <w:pPr>
              <w:pStyle w:val="Table3"/>
            </w:pPr>
            <w:r>
              <w:noBreakHyphen/>
            </w:r>
          </w:p>
        </w:tc>
        <w:tc>
          <w:tcPr>
            <w:tcW w:w="736" w:type="dxa"/>
            <w:tcBorders>
              <w:right w:val="single" w:sz="8" w:space="0" w:color="auto"/>
            </w:tcBorders>
          </w:tcPr>
          <w:p w:rsidR="003F4AEC" w:rsidRPr="003F4AEC" w:rsidRDefault="003F4AEC" w:rsidP="003F4AEC">
            <w:pPr>
              <w:pStyle w:val="Table3"/>
            </w:pPr>
            <w:r>
              <w:noBreakHyphen/>
            </w:r>
          </w:p>
        </w:tc>
        <w:tc>
          <w:tcPr>
            <w:tcW w:w="762" w:type="dxa"/>
            <w:tcBorders>
              <w:left w:val="single" w:sz="8" w:space="0" w:color="auto"/>
            </w:tcBorders>
            <w:vAlign w:val="bottom"/>
          </w:tcPr>
          <w:p w:rsidR="003F4AEC" w:rsidRPr="003F4AEC" w:rsidRDefault="003F4AEC" w:rsidP="003F4AEC">
            <w:pPr>
              <w:pStyle w:val="Table3"/>
            </w:pPr>
            <w:r w:rsidRPr="003F4AEC">
              <w:t>4</w:t>
            </w:r>
          </w:p>
        </w:tc>
        <w:tc>
          <w:tcPr>
            <w:tcW w:w="741" w:type="dxa"/>
            <w:vAlign w:val="bottom"/>
          </w:tcPr>
          <w:p w:rsidR="003F4AEC" w:rsidRPr="003F4AEC" w:rsidRDefault="003F4AEC" w:rsidP="003F4AEC">
            <w:pPr>
              <w:pStyle w:val="Table3"/>
            </w:pPr>
            <w:r w:rsidRPr="003F4AEC">
              <w:t>0</w:t>
            </w:r>
          </w:p>
        </w:tc>
        <w:tc>
          <w:tcPr>
            <w:tcW w:w="727" w:type="dxa"/>
            <w:tcBorders>
              <w:right w:val="single" w:sz="8" w:space="0" w:color="auto"/>
            </w:tcBorders>
            <w:vAlign w:val="bottom"/>
          </w:tcPr>
          <w:p w:rsidR="003F4AEC" w:rsidRPr="003F4AEC" w:rsidRDefault="003F4AEC" w:rsidP="003F4AEC">
            <w:pPr>
              <w:pStyle w:val="Table3"/>
            </w:pPr>
            <w:r w:rsidRPr="003F4AEC">
              <w:t>4</w:t>
            </w:r>
          </w:p>
        </w:tc>
        <w:tc>
          <w:tcPr>
            <w:tcW w:w="1041" w:type="dxa"/>
            <w:tcBorders>
              <w:left w:val="single" w:sz="8" w:space="0" w:color="auto"/>
            </w:tcBorders>
            <w:vAlign w:val="bottom"/>
          </w:tcPr>
          <w:p w:rsidR="003F4AEC" w:rsidRPr="003F4AEC" w:rsidRDefault="003F4AEC" w:rsidP="003F4AEC">
            <w:pPr>
              <w:pStyle w:val="Table3"/>
            </w:pPr>
            <w:r w:rsidRPr="003F4AEC">
              <w:t>2,170,482</w:t>
            </w:r>
          </w:p>
        </w:tc>
        <w:tc>
          <w:tcPr>
            <w:tcW w:w="966" w:type="dxa"/>
            <w:vAlign w:val="bottom"/>
          </w:tcPr>
          <w:p w:rsidR="003F4AEC" w:rsidRPr="003F4AEC" w:rsidRDefault="003F4AEC" w:rsidP="003F4AEC">
            <w:pPr>
              <w:pStyle w:val="Table3"/>
            </w:pPr>
            <w:r w:rsidRPr="003F4AEC">
              <w:t>43,638</w:t>
            </w:r>
          </w:p>
        </w:tc>
        <w:tc>
          <w:tcPr>
            <w:tcW w:w="1041" w:type="dxa"/>
            <w:tcBorders>
              <w:right w:val="single" w:sz="8" w:space="0" w:color="auto"/>
            </w:tcBorders>
            <w:vAlign w:val="bottom"/>
          </w:tcPr>
          <w:p w:rsidR="003F4AEC" w:rsidRPr="003F4AEC" w:rsidRDefault="003F4AEC" w:rsidP="003F4AEC">
            <w:pPr>
              <w:pStyle w:val="Table3"/>
            </w:pPr>
            <w:r w:rsidRPr="003F4AEC">
              <w:t>2,214,121</w:t>
            </w:r>
          </w:p>
        </w:tc>
      </w:tr>
      <w:tr w:rsidR="003F4AEC" w:rsidTr="003F4AEC">
        <w:tc>
          <w:tcPr>
            <w:tcW w:w="660" w:type="dxa"/>
            <w:tcBorders>
              <w:left w:val="single" w:sz="8" w:space="0" w:color="auto"/>
              <w:bottom w:val="single" w:sz="8" w:space="0" w:color="auto"/>
            </w:tcBorders>
            <w:vAlign w:val="center"/>
          </w:tcPr>
          <w:p w:rsidR="003F4AEC" w:rsidRPr="003F4AEC" w:rsidRDefault="003F4AEC" w:rsidP="003F4AEC">
            <w:pPr>
              <w:pStyle w:val="Table3"/>
            </w:pPr>
            <w:r w:rsidRPr="003F4AEC">
              <w:t>30</w:t>
            </w:r>
          </w:p>
        </w:tc>
        <w:tc>
          <w:tcPr>
            <w:tcW w:w="719" w:type="dxa"/>
            <w:tcBorders>
              <w:bottom w:val="single" w:sz="8" w:space="0" w:color="auto"/>
              <w:right w:val="single" w:sz="8" w:space="0" w:color="auto"/>
            </w:tcBorders>
          </w:tcPr>
          <w:p w:rsidR="003F4AEC" w:rsidRPr="003F4AEC" w:rsidRDefault="003F4AEC" w:rsidP="003F4AEC">
            <w:pPr>
              <w:pStyle w:val="Table3"/>
            </w:pPr>
            <w:r w:rsidRPr="003F4AEC">
              <w:t>2042</w:t>
            </w:r>
          </w:p>
        </w:tc>
        <w:tc>
          <w:tcPr>
            <w:tcW w:w="763" w:type="dxa"/>
            <w:tcBorders>
              <w:left w:val="single" w:sz="8" w:space="0" w:color="auto"/>
              <w:bottom w:val="single" w:sz="8" w:space="0" w:color="auto"/>
            </w:tcBorders>
          </w:tcPr>
          <w:p w:rsidR="003F4AEC" w:rsidRPr="003F4AEC" w:rsidRDefault="003F4AEC" w:rsidP="003F4AEC">
            <w:pPr>
              <w:pStyle w:val="Table3"/>
            </w:pPr>
            <w:r>
              <w:noBreakHyphen/>
            </w:r>
          </w:p>
        </w:tc>
        <w:tc>
          <w:tcPr>
            <w:tcW w:w="742" w:type="dxa"/>
            <w:tcBorders>
              <w:bottom w:val="single" w:sz="8" w:space="0" w:color="auto"/>
            </w:tcBorders>
          </w:tcPr>
          <w:p w:rsidR="003F4AEC" w:rsidRPr="003F4AEC" w:rsidRDefault="003F4AEC" w:rsidP="003F4AEC">
            <w:pPr>
              <w:pStyle w:val="Table3"/>
            </w:pPr>
            <w:r>
              <w:noBreakHyphen/>
            </w:r>
          </w:p>
        </w:tc>
        <w:tc>
          <w:tcPr>
            <w:tcW w:w="736" w:type="dxa"/>
            <w:tcBorders>
              <w:bottom w:val="single" w:sz="8" w:space="0" w:color="auto"/>
              <w:right w:val="single" w:sz="8" w:space="0" w:color="auto"/>
            </w:tcBorders>
          </w:tcPr>
          <w:p w:rsidR="003F4AEC" w:rsidRPr="003F4AEC" w:rsidRDefault="003F4AEC" w:rsidP="003F4AEC">
            <w:pPr>
              <w:pStyle w:val="Table3"/>
            </w:pPr>
            <w:r>
              <w:noBreakHyphen/>
            </w:r>
          </w:p>
        </w:tc>
        <w:tc>
          <w:tcPr>
            <w:tcW w:w="761" w:type="dxa"/>
            <w:tcBorders>
              <w:left w:val="single" w:sz="8" w:space="0" w:color="auto"/>
              <w:bottom w:val="single" w:sz="8" w:space="0" w:color="auto"/>
            </w:tcBorders>
          </w:tcPr>
          <w:p w:rsidR="003F4AEC" w:rsidRPr="003F4AEC" w:rsidRDefault="003F4AEC" w:rsidP="003F4AEC">
            <w:pPr>
              <w:pStyle w:val="Table3"/>
            </w:pPr>
            <w:r>
              <w:noBreakHyphen/>
            </w:r>
          </w:p>
        </w:tc>
        <w:tc>
          <w:tcPr>
            <w:tcW w:w="741" w:type="dxa"/>
            <w:tcBorders>
              <w:bottom w:val="single" w:sz="8" w:space="0" w:color="auto"/>
            </w:tcBorders>
          </w:tcPr>
          <w:p w:rsidR="003F4AEC" w:rsidRPr="003F4AEC" w:rsidRDefault="003F4AEC" w:rsidP="003F4AEC">
            <w:pPr>
              <w:pStyle w:val="Table3"/>
            </w:pPr>
            <w:r>
              <w:noBreakHyphen/>
            </w:r>
          </w:p>
        </w:tc>
        <w:tc>
          <w:tcPr>
            <w:tcW w:w="736" w:type="dxa"/>
            <w:tcBorders>
              <w:bottom w:val="single" w:sz="8" w:space="0" w:color="auto"/>
              <w:right w:val="single" w:sz="8" w:space="0" w:color="auto"/>
            </w:tcBorders>
          </w:tcPr>
          <w:p w:rsidR="003F4AEC" w:rsidRPr="003F4AEC" w:rsidRDefault="003F4AEC" w:rsidP="003F4AEC">
            <w:pPr>
              <w:pStyle w:val="Table3"/>
            </w:pPr>
            <w:r>
              <w:noBreakHyphen/>
            </w:r>
          </w:p>
        </w:tc>
        <w:tc>
          <w:tcPr>
            <w:tcW w:w="762" w:type="dxa"/>
            <w:tcBorders>
              <w:left w:val="single" w:sz="8" w:space="0" w:color="auto"/>
              <w:bottom w:val="single" w:sz="8" w:space="0" w:color="auto"/>
            </w:tcBorders>
          </w:tcPr>
          <w:p w:rsidR="003F4AEC" w:rsidRPr="003F4AEC" w:rsidRDefault="003F4AEC" w:rsidP="003F4AEC">
            <w:pPr>
              <w:pStyle w:val="Table3"/>
            </w:pPr>
            <w:r>
              <w:noBreakHyphen/>
            </w:r>
          </w:p>
        </w:tc>
        <w:tc>
          <w:tcPr>
            <w:tcW w:w="741" w:type="dxa"/>
            <w:tcBorders>
              <w:bottom w:val="single" w:sz="8" w:space="0" w:color="auto"/>
            </w:tcBorders>
          </w:tcPr>
          <w:p w:rsidR="003F4AEC" w:rsidRPr="003F4AEC" w:rsidRDefault="003F4AEC" w:rsidP="003F4AEC">
            <w:pPr>
              <w:pStyle w:val="Table3"/>
            </w:pPr>
            <w:r>
              <w:noBreakHyphen/>
            </w:r>
          </w:p>
        </w:tc>
        <w:tc>
          <w:tcPr>
            <w:tcW w:w="736" w:type="dxa"/>
            <w:tcBorders>
              <w:bottom w:val="single" w:sz="8" w:space="0" w:color="auto"/>
              <w:right w:val="single" w:sz="8" w:space="0" w:color="auto"/>
            </w:tcBorders>
          </w:tcPr>
          <w:p w:rsidR="003F4AEC" w:rsidRPr="003F4AEC" w:rsidRDefault="003F4AEC" w:rsidP="003F4AEC">
            <w:pPr>
              <w:pStyle w:val="Table3"/>
            </w:pPr>
            <w:r>
              <w:noBreakHyphen/>
            </w:r>
          </w:p>
        </w:tc>
        <w:tc>
          <w:tcPr>
            <w:tcW w:w="762" w:type="dxa"/>
            <w:tcBorders>
              <w:left w:val="single" w:sz="8" w:space="0" w:color="auto"/>
              <w:bottom w:val="single" w:sz="8" w:space="0" w:color="auto"/>
            </w:tcBorders>
          </w:tcPr>
          <w:p w:rsidR="003F4AEC" w:rsidRPr="003F4AEC" w:rsidRDefault="003F4AEC" w:rsidP="003F4AEC">
            <w:pPr>
              <w:pStyle w:val="Table3"/>
            </w:pPr>
            <w:r>
              <w:noBreakHyphen/>
            </w:r>
          </w:p>
        </w:tc>
        <w:tc>
          <w:tcPr>
            <w:tcW w:w="741" w:type="dxa"/>
            <w:tcBorders>
              <w:bottom w:val="single" w:sz="8" w:space="0" w:color="auto"/>
            </w:tcBorders>
          </w:tcPr>
          <w:p w:rsidR="003F4AEC" w:rsidRPr="003F4AEC" w:rsidRDefault="003F4AEC" w:rsidP="003F4AEC">
            <w:pPr>
              <w:pStyle w:val="Table3"/>
            </w:pPr>
            <w:r>
              <w:noBreakHyphen/>
            </w:r>
          </w:p>
        </w:tc>
        <w:tc>
          <w:tcPr>
            <w:tcW w:w="736" w:type="dxa"/>
            <w:tcBorders>
              <w:bottom w:val="single" w:sz="8" w:space="0" w:color="auto"/>
              <w:right w:val="single" w:sz="8" w:space="0" w:color="auto"/>
            </w:tcBorders>
          </w:tcPr>
          <w:p w:rsidR="003F4AEC" w:rsidRPr="003F4AEC" w:rsidRDefault="003F4AEC" w:rsidP="003F4AEC">
            <w:pPr>
              <w:pStyle w:val="Table3"/>
            </w:pPr>
            <w:r>
              <w:noBreakHyphen/>
            </w:r>
          </w:p>
        </w:tc>
        <w:tc>
          <w:tcPr>
            <w:tcW w:w="762" w:type="dxa"/>
            <w:tcBorders>
              <w:left w:val="single" w:sz="8" w:space="0" w:color="auto"/>
              <w:bottom w:val="single" w:sz="8" w:space="0" w:color="auto"/>
            </w:tcBorders>
            <w:vAlign w:val="bottom"/>
          </w:tcPr>
          <w:p w:rsidR="003F4AEC" w:rsidRPr="003F4AEC" w:rsidRDefault="003F4AEC" w:rsidP="003F4AEC">
            <w:pPr>
              <w:pStyle w:val="Table3"/>
            </w:pPr>
            <w:r w:rsidRPr="003F4AEC">
              <w:t>2</w:t>
            </w:r>
          </w:p>
        </w:tc>
        <w:tc>
          <w:tcPr>
            <w:tcW w:w="741" w:type="dxa"/>
            <w:tcBorders>
              <w:bottom w:val="single" w:sz="8" w:space="0" w:color="auto"/>
            </w:tcBorders>
            <w:vAlign w:val="bottom"/>
          </w:tcPr>
          <w:p w:rsidR="003F4AEC" w:rsidRPr="003F4AEC" w:rsidRDefault="003F4AEC" w:rsidP="003F4AEC">
            <w:pPr>
              <w:pStyle w:val="Table3"/>
            </w:pPr>
            <w:r w:rsidRPr="003F4AEC">
              <w:t>0</w:t>
            </w:r>
          </w:p>
        </w:tc>
        <w:tc>
          <w:tcPr>
            <w:tcW w:w="727" w:type="dxa"/>
            <w:tcBorders>
              <w:bottom w:val="single" w:sz="8" w:space="0" w:color="auto"/>
              <w:right w:val="single" w:sz="8" w:space="0" w:color="auto"/>
            </w:tcBorders>
            <w:vAlign w:val="bottom"/>
          </w:tcPr>
          <w:p w:rsidR="003F4AEC" w:rsidRPr="003F4AEC" w:rsidRDefault="003F4AEC" w:rsidP="003F4AEC">
            <w:pPr>
              <w:pStyle w:val="Table3"/>
            </w:pPr>
            <w:r w:rsidRPr="003F4AEC">
              <w:t>2</w:t>
            </w:r>
          </w:p>
        </w:tc>
        <w:tc>
          <w:tcPr>
            <w:tcW w:w="1041" w:type="dxa"/>
            <w:tcBorders>
              <w:left w:val="single" w:sz="8" w:space="0" w:color="auto"/>
              <w:bottom w:val="single" w:sz="8" w:space="0" w:color="auto"/>
            </w:tcBorders>
            <w:vAlign w:val="bottom"/>
          </w:tcPr>
          <w:p w:rsidR="003F4AEC" w:rsidRPr="003F4AEC" w:rsidRDefault="003F4AEC" w:rsidP="003F4AEC">
            <w:pPr>
              <w:pStyle w:val="Table3"/>
            </w:pPr>
            <w:r w:rsidRPr="003F4AEC">
              <w:t>1,012,303</w:t>
            </w:r>
          </w:p>
        </w:tc>
        <w:tc>
          <w:tcPr>
            <w:tcW w:w="966" w:type="dxa"/>
            <w:tcBorders>
              <w:bottom w:val="single" w:sz="8" w:space="0" w:color="auto"/>
            </w:tcBorders>
            <w:vAlign w:val="bottom"/>
          </w:tcPr>
          <w:p w:rsidR="003F4AEC" w:rsidRPr="003F4AEC" w:rsidRDefault="003F4AEC" w:rsidP="003F4AEC">
            <w:pPr>
              <w:pStyle w:val="Table3"/>
            </w:pPr>
            <w:r w:rsidRPr="003F4AEC">
              <w:t>20,353</w:t>
            </w:r>
          </w:p>
        </w:tc>
        <w:tc>
          <w:tcPr>
            <w:tcW w:w="1041" w:type="dxa"/>
            <w:tcBorders>
              <w:bottom w:val="single" w:sz="8" w:space="0" w:color="auto"/>
              <w:right w:val="single" w:sz="8" w:space="0" w:color="auto"/>
            </w:tcBorders>
            <w:vAlign w:val="bottom"/>
          </w:tcPr>
          <w:p w:rsidR="003F4AEC" w:rsidRPr="003F4AEC" w:rsidRDefault="003F4AEC" w:rsidP="003F4AEC">
            <w:pPr>
              <w:pStyle w:val="Table3"/>
            </w:pPr>
            <w:r w:rsidRPr="003F4AEC">
              <w:t>1,032,656</w:t>
            </w:r>
          </w:p>
        </w:tc>
      </w:tr>
      <w:tr w:rsidR="004A6935" w:rsidTr="00924808">
        <w:tc>
          <w:tcPr>
            <w:tcW w:w="660" w:type="dxa"/>
            <w:tcBorders>
              <w:top w:val="single" w:sz="8" w:space="0" w:color="auto"/>
            </w:tcBorders>
            <w:vAlign w:val="center"/>
          </w:tcPr>
          <w:p w:rsidR="004A6935" w:rsidRPr="00B65982" w:rsidRDefault="004A6935" w:rsidP="007B51B5">
            <w:pPr>
              <w:pStyle w:val="Table3"/>
              <w:jc w:val="center"/>
              <w:rPr>
                <w:highlight w:val="yellow"/>
              </w:rPr>
            </w:pPr>
          </w:p>
        </w:tc>
        <w:tc>
          <w:tcPr>
            <w:tcW w:w="719" w:type="dxa"/>
            <w:tcBorders>
              <w:top w:val="single" w:sz="8" w:space="0" w:color="auto"/>
            </w:tcBorders>
          </w:tcPr>
          <w:p w:rsidR="004A6935" w:rsidRPr="00B65982" w:rsidRDefault="004A6935" w:rsidP="00EF3333">
            <w:pPr>
              <w:pStyle w:val="Table3"/>
              <w:rPr>
                <w:highlight w:val="yellow"/>
              </w:rPr>
            </w:pPr>
          </w:p>
        </w:tc>
        <w:tc>
          <w:tcPr>
            <w:tcW w:w="763" w:type="dxa"/>
            <w:tcBorders>
              <w:top w:val="single" w:sz="8" w:space="0" w:color="auto"/>
            </w:tcBorders>
            <w:vAlign w:val="bottom"/>
          </w:tcPr>
          <w:p w:rsidR="004A6935" w:rsidRPr="00B65982" w:rsidRDefault="004A6935" w:rsidP="00EF3333">
            <w:pPr>
              <w:pStyle w:val="Table3"/>
              <w:rPr>
                <w:highlight w:val="yellow"/>
              </w:rPr>
            </w:pPr>
          </w:p>
        </w:tc>
        <w:tc>
          <w:tcPr>
            <w:tcW w:w="742" w:type="dxa"/>
            <w:tcBorders>
              <w:top w:val="single" w:sz="8" w:space="0" w:color="auto"/>
            </w:tcBorders>
            <w:vAlign w:val="bottom"/>
          </w:tcPr>
          <w:p w:rsidR="004A6935" w:rsidRPr="00B65982" w:rsidRDefault="004A6935" w:rsidP="00EF3333">
            <w:pPr>
              <w:pStyle w:val="Table3"/>
              <w:rPr>
                <w:highlight w:val="yellow"/>
              </w:rPr>
            </w:pPr>
          </w:p>
        </w:tc>
        <w:tc>
          <w:tcPr>
            <w:tcW w:w="736" w:type="dxa"/>
            <w:tcBorders>
              <w:top w:val="single" w:sz="8" w:space="0" w:color="auto"/>
            </w:tcBorders>
            <w:vAlign w:val="bottom"/>
          </w:tcPr>
          <w:p w:rsidR="004A6935" w:rsidRPr="00B65982" w:rsidRDefault="004A6935" w:rsidP="00EF3333">
            <w:pPr>
              <w:pStyle w:val="Table3"/>
              <w:rPr>
                <w:highlight w:val="yellow"/>
              </w:rPr>
            </w:pPr>
          </w:p>
        </w:tc>
        <w:tc>
          <w:tcPr>
            <w:tcW w:w="761" w:type="dxa"/>
            <w:tcBorders>
              <w:top w:val="single" w:sz="8" w:space="0" w:color="auto"/>
            </w:tcBorders>
            <w:vAlign w:val="bottom"/>
          </w:tcPr>
          <w:p w:rsidR="004A6935" w:rsidRPr="00B65982" w:rsidRDefault="004A6935" w:rsidP="00EF3333">
            <w:pPr>
              <w:pStyle w:val="Table3"/>
              <w:rPr>
                <w:highlight w:val="yellow"/>
              </w:rPr>
            </w:pPr>
          </w:p>
        </w:tc>
        <w:tc>
          <w:tcPr>
            <w:tcW w:w="741" w:type="dxa"/>
            <w:tcBorders>
              <w:top w:val="single" w:sz="8" w:space="0" w:color="auto"/>
            </w:tcBorders>
            <w:vAlign w:val="bottom"/>
          </w:tcPr>
          <w:p w:rsidR="004A6935" w:rsidRPr="00B65982" w:rsidRDefault="004A6935" w:rsidP="00EF3333">
            <w:pPr>
              <w:pStyle w:val="Table3"/>
              <w:rPr>
                <w:highlight w:val="yellow"/>
              </w:rPr>
            </w:pPr>
          </w:p>
        </w:tc>
        <w:tc>
          <w:tcPr>
            <w:tcW w:w="736" w:type="dxa"/>
            <w:tcBorders>
              <w:top w:val="single" w:sz="8" w:space="0" w:color="auto"/>
            </w:tcBorders>
            <w:vAlign w:val="bottom"/>
          </w:tcPr>
          <w:p w:rsidR="004A6935" w:rsidRPr="00B65982" w:rsidRDefault="004A6935" w:rsidP="00EF3333">
            <w:pPr>
              <w:pStyle w:val="Table3"/>
              <w:rPr>
                <w:highlight w:val="yellow"/>
              </w:rPr>
            </w:pPr>
          </w:p>
        </w:tc>
        <w:tc>
          <w:tcPr>
            <w:tcW w:w="762" w:type="dxa"/>
            <w:tcBorders>
              <w:top w:val="single" w:sz="8" w:space="0" w:color="auto"/>
            </w:tcBorders>
            <w:vAlign w:val="bottom"/>
          </w:tcPr>
          <w:p w:rsidR="004A6935" w:rsidRPr="00B65982" w:rsidRDefault="004A6935" w:rsidP="00EF3333">
            <w:pPr>
              <w:pStyle w:val="Table3"/>
              <w:rPr>
                <w:highlight w:val="yellow"/>
              </w:rPr>
            </w:pPr>
          </w:p>
        </w:tc>
        <w:tc>
          <w:tcPr>
            <w:tcW w:w="741" w:type="dxa"/>
            <w:tcBorders>
              <w:top w:val="single" w:sz="8" w:space="0" w:color="auto"/>
            </w:tcBorders>
            <w:vAlign w:val="bottom"/>
          </w:tcPr>
          <w:p w:rsidR="004A6935" w:rsidRPr="00B65982" w:rsidRDefault="004A6935" w:rsidP="00EF3333">
            <w:pPr>
              <w:pStyle w:val="Table3"/>
              <w:rPr>
                <w:highlight w:val="yellow"/>
              </w:rPr>
            </w:pPr>
          </w:p>
        </w:tc>
        <w:tc>
          <w:tcPr>
            <w:tcW w:w="736" w:type="dxa"/>
            <w:tcBorders>
              <w:top w:val="single" w:sz="8" w:space="0" w:color="auto"/>
            </w:tcBorders>
            <w:vAlign w:val="bottom"/>
          </w:tcPr>
          <w:p w:rsidR="004A6935" w:rsidRPr="00B65982" w:rsidRDefault="004A6935" w:rsidP="00EF3333">
            <w:pPr>
              <w:pStyle w:val="Table3"/>
              <w:rPr>
                <w:highlight w:val="yellow"/>
              </w:rPr>
            </w:pPr>
          </w:p>
        </w:tc>
        <w:tc>
          <w:tcPr>
            <w:tcW w:w="762" w:type="dxa"/>
            <w:tcBorders>
              <w:top w:val="single" w:sz="8" w:space="0" w:color="auto"/>
            </w:tcBorders>
            <w:vAlign w:val="bottom"/>
          </w:tcPr>
          <w:p w:rsidR="004A6935" w:rsidRPr="00B65982" w:rsidRDefault="004A6935" w:rsidP="00EF3333">
            <w:pPr>
              <w:pStyle w:val="Table3"/>
              <w:rPr>
                <w:highlight w:val="yellow"/>
              </w:rPr>
            </w:pPr>
          </w:p>
        </w:tc>
        <w:tc>
          <w:tcPr>
            <w:tcW w:w="741" w:type="dxa"/>
            <w:tcBorders>
              <w:top w:val="single" w:sz="8" w:space="0" w:color="auto"/>
            </w:tcBorders>
            <w:vAlign w:val="bottom"/>
          </w:tcPr>
          <w:p w:rsidR="004A6935" w:rsidRPr="00B65982" w:rsidRDefault="004A6935" w:rsidP="00EF3333">
            <w:pPr>
              <w:pStyle w:val="Table3"/>
              <w:rPr>
                <w:highlight w:val="yellow"/>
              </w:rPr>
            </w:pPr>
          </w:p>
        </w:tc>
        <w:tc>
          <w:tcPr>
            <w:tcW w:w="736" w:type="dxa"/>
            <w:tcBorders>
              <w:top w:val="single" w:sz="8" w:space="0" w:color="auto"/>
              <w:right w:val="single" w:sz="8" w:space="0" w:color="auto"/>
            </w:tcBorders>
            <w:vAlign w:val="bottom"/>
          </w:tcPr>
          <w:p w:rsidR="004A6935" w:rsidRPr="00B65982" w:rsidRDefault="004A6935" w:rsidP="00EF3333">
            <w:pPr>
              <w:pStyle w:val="Table3"/>
              <w:rPr>
                <w:highlight w:val="yellow"/>
              </w:rPr>
            </w:pPr>
          </w:p>
        </w:tc>
        <w:tc>
          <w:tcPr>
            <w:tcW w:w="2230" w:type="dxa"/>
            <w:gridSpan w:val="3"/>
            <w:tcBorders>
              <w:top w:val="single" w:sz="8" w:space="0" w:color="auto"/>
              <w:left w:val="single" w:sz="8" w:space="0" w:color="auto"/>
              <w:bottom w:val="single" w:sz="8" w:space="0" w:color="auto"/>
              <w:right w:val="single" w:sz="8" w:space="0" w:color="auto"/>
            </w:tcBorders>
            <w:vAlign w:val="bottom"/>
          </w:tcPr>
          <w:p w:rsidR="004A6935" w:rsidRPr="00924808" w:rsidRDefault="004A6935" w:rsidP="00C54E92">
            <w:pPr>
              <w:pStyle w:val="Table3heading"/>
              <w:rPr>
                <w:b/>
                <w:highlight w:val="yellow"/>
              </w:rPr>
            </w:pPr>
            <w:r w:rsidRPr="00924808">
              <w:rPr>
                <w:b/>
              </w:rPr>
              <w:t>NPV 30 years</w:t>
            </w:r>
          </w:p>
        </w:tc>
        <w:tc>
          <w:tcPr>
            <w:tcW w:w="1041" w:type="dxa"/>
            <w:tcBorders>
              <w:top w:val="single" w:sz="8" w:space="0" w:color="auto"/>
              <w:left w:val="single" w:sz="8" w:space="0" w:color="auto"/>
              <w:bottom w:val="single" w:sz="8" w:space="0" w:color="auto"/>
            </w:tcBorders>
            <w:vAlign w:val="center"/>
          </w:tcPr>
          <w:p w:rsidR="004A6935" w:rsidRPr="00924808" w:rsidRDefault="004A6935" w:rsidP="00924808">
            <w:pPr>
              <w:pStyle w:val="Table3"/>
              <w:rPr>
                <w:b/>
              </w:rPr>
            </w:pPr>
            <w:r w:rsidRPr="00924808">
              <w:rPr>
                <w:b/>
              </w:rPr>
              <w:t>$217,832,858</w:t>
            </w:r>
          </w:p>
        </w:tc>
        <w:tc>
          <w:tcPr>
            <w:tcW w:w="966" w:type="dxa"/>
            <w:tcBorders>
              <w:top w:val="single" w:sz="8" w:space="0" w:color="auto"/>
              <w:bottom w:val="single" w:sz="8" w:space="0" w:color="auto"/>
            </w:tcBorders>
            <w:vAlign w:val="center"/>
          </w:tcPr>
          <w:p w:rsidR="004A6935" w:rsidRPr="00924808" w:rsidRDefault="004A6935" w:rsidP="00924808">
            <w:pPr>
              <w:pStyle w:val="Table3"/>
              <w:rPr>
                <w:b/>
              </w:rPr>
            </w:pPr>
            <w:r w:rsidRPr="00924808">
              <w:rPr>
                <w:b/>
              </w:rPr>
              <w:t>$4,379,581</w:t>
            </w:r>
          </w:p>
        </w:tc>
        <w:tc>
          <w:tcPr>
            <w:tcW w:w="1041" w:type="dxa"/>
            <w:tcBorders>
              <w:top w:val="single" w:sz="8" w:space="0" w:color="auto"/>
              <w:bottom w:val="single" w:sz="8" w:space="0" w:color="auto"/>
              <w:right w:val="single" w:sz="8" w:space="0" w:color="auto"/>
            </w:tcBorders>
            <w:vAlign w:val="center"/>
          </w:tcPr>
          <w:p w:rsidR="004A6935" w:rsidRPr="00924808" w:rsidRDefault="004A6935" w:rsidP="00924808">
            <w:pPr>
              <w:pStyle w:val="Table3"/>
              <w:rPr>
                <w:b/>
              </w:rPr>
            </w:pPr>
            <w:r w:rsidRPr="00924808">
              <w:rPr>
                <w:b/>
              </w:rPr>
              <w:t>$222,212,439</w:t>
            </w:r>
          </w:p>
        </w:tc>
      </w:tr>
    </w:tbl>
    <w:p w:rsidR="00994F7F" w:rsidRDefault="00994F7F" w:rsidP="00927782"/>
    <w:p w:rsidR="00994F7F" w:rsidRDefault="00994F7F">
      <w:pPr>
        <w:tabs>
          <w:tab w:val="clear" w:pos="851"/>
        </w:tabs>
        <w:spacing w:before="0" w:after="200" w:line="276" w:lineRule="auto"/>
      </w:pPr>
    </w:p>
    <w:p w:rsidR="00A53967" w:rsidRDefault="00A53967" w:rsidP="00A53967">
      <w:pPr>
        <w:tabs>
          <w:tab w:val="clear" w:pos="851"/>
        </w:tabs>
        <w:spacing w:before="0" w:after="200" w:line="276" w:lineRule="auto"/>
        <w:sectPr w:rsidR="00A53967" w:rsidSect="00A16684">
          <w:headerReference w:type="default" r:id="rId66"/>
          <w:pgSz w:w="16838" w:h="11906" w:orient="landscape"/>
          <w:pgMar w:top="720" w:right="720" w:bottom="720" w:left="720" w:header="709" w:footer="567" w:gutter="0"/>
          <w:cols w:space="708"/>
          <w:docGrid w:linePitch="360"/>
        </w:sectPr>
      </w:pPr>
    </w:p>
    <w:p w:rsidR="00A53967" w:rsidRDefault="00A53967" w:rsidP="00A53967">
      <w:pPr>
        <w:pStyle w:val="ListParagraph"/>
        <w:numPr>
          <w:ilvl w:val="0"/>
          <w:numId w:val="21"/>
        </w:numPr>
        <w:tabs>
          <w:tab w:val="clear" w:pos="851"/>
        </w:tabs>
        <w:spacing w:before="0" w:after="200" w:line="276" w:lineRule="auto"/>
      </w:pPr>
      <w:r w:rsidRPr="00A53967">
        <w:lastRenderedPageBreak/>
        <w:t xml:space="preserve">Calculate the implementation costs for the option.  Sum and discount all the calculated values for each year using a discount rate of </w:t>
      </w:r>
      <w:r w:rsidR="007B51B5">
        <w:t>seven</w:t>
      </w:r>
      <w:r w:rsidRPr="00A53967">
        <w:t> per cent.  Calculate the net benefits, total costs, benefit-cost ratios and number of lives saved.</w:t>
      </w:r>
    </w:p>
    <w:p w:rsidR="00C47E21" w:rsidRDefault="00C47E21" w:rsidP="00C47E21">
      <w:pPr>
        <w:pStyle w:val="Caption"/>
        <w:keepNext/>
      </w:pPr>
      <w:bookmarkStart w:id="91" w:name="_Ref343082708"/>
      <w:r>
        <w:t xml:space="preserve">Table </w:t>
      </w:r>
      <w:r w:rsidR="00C036A7">
        <w:fldChar w:fldCharType="begin"/>
      </w:r>
      <w:r w:rsidR="00D05042">
        <w:instrText xml:space="preserve"> SEQ Table \* ARABIC </w:instrText>
      </w:r>
      <w:r w:rsidR="00C036A7">
        <w:fldChar w:fldCharType="separate"/>
      </w:r>
      <w:r w:rsidR="00546CD0">
        <w:rPr>
          <w:noProof/>
        </w:rPr>
        <w:t>17</w:t>
      </w:r>
      <w:r w:rsidR="00C036A7">
        <w:rPr>
          <w:noProof/>
        </w:rPr>
        <w:fldChar w:fldCharType="end"/>
      </w:r>
      <w:bookmarkEnd w:id="91"/>
      <w:r>
        <w:t xml:space="preserve"> Option 2—amend ADRs 35 and 38 to require ABS on heavy commercial vehicles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09"/>
        <w:gridCol w:w="1871"/>
        <w:gridCol w:w="1871"/>
        <w:gridCol w:w="1871"/>
      </w:tblGrid>
      <w:tr w:rsidR="00235A7C" w:rsidTr="00203EAF">
        <w:tc>
          <w:tcPr>
            <w:tcW w:w="1384" w:type="dxa"/>
            <w:gridSpan w:val="2"/>
            <w:tcBorders>
              <w:top w:val="single" w:sz="8" w:space="0" w:color="auto"/>
              <w:left w:val="single" w:sz="8" w:space="0" w:color="auto"/>
              <w:right w:val="single" w:sz="8" w:space="0" w:color="auto"/>
            </w:tcBorders>
          </w:tcPr>
          <w:p w:rsidR="00235A7C" w:rsidRPr="00155E83" w:rsidRDefault="00235A7C" w:rsidP="00235A7C">
            <w:pPr>
              <w:pStyle w:val="Table2heading"/>
            </w:pPr>
            <w:r w:rsidRPr="00155E83">
              <w:t>Year</w:t>
            </w:r>
          </w:p>
        </w:tc>
        <w:tc>
          <w:tcPr>
            <w:tcW w:w="1871" w:type="dxa"/>
            <w:tcBorders>
              <w:top w:val="single" w:sz="8" w:space="0" w:color="auto"/>
              <w:left w:val="single" w:sz="8" w:space="0" w:color="auto"/>
              <w:right w:val="single" w:sz="8" w:space="0" w:color="auto"/>
            </w:tcBorders>
          </w:tcPr>
          <w:p w:rsidR="00235A7C" w:rsidRPr="00155E83" w:rsidRDefault="00235A7C" w:rsidP="00866E83">
            <w:pPr>
              <w:pStyle w:val="Table2heading"/>
            </w:pPr>
            <w:r w:rsidRPr="00155E83">
              <w:t>Net fitment costs</w:t>
            </w:r>
          </w:p>
        </w:tc>
        <w:tc>
          <w:tcPr>
            <w:tcW w:w="1871" w:type="dxa"/>
            <w:tcBorders>
              <w:top w:val="single" w:sz="8" w:space="0" w:color="auto"/>
              <w:left w:val="single" w:sz="8" w:space="0" w:color="auto"/>
              <w:right w:val="single" w:sz="8" w:space="0" w:color="auto"/>
            </w:tcBorders>
          </w:tcPr>
          <w:p w:rsidR="00235A7C" w:rsidRPr="00155E83" w:rsidRDefault="00235A7C" w:rsidP="00866E83">
            <w:pPr>
              <w:pStyle w:val="Table2heading"/>
            </w:pPr>
            <w:r w:rsidRPr="00155E83">
              <w:t>Net benefits</w:t>
            </w:r>
          </w:p>
        </w:tc>
        <w:tc>
          <w:tcPr>
            <w:tcW w:w="1871" w:type="dxa"/>
            <w:tcBorders>
              <w:top w:val="single" w:sz="8" w:space="0" w:color="auto"/>
              <w:left w:val="single" w:sz="8" w:space="0" w:color="auto"/>
              <w:right w:val="single" w:sz="8" w:space="0" w:color="auto"/>
            </w:tcBorders>
          </w:tcPr>
          <w:p w:rsidR="00235A7C" w:rsidRPr="00155E83" w:rsidRDefault="00235A7C" w:rsidP="00866E83">
            <w:pPr>
              <w:pStyle w:val="Table2heading"/>
            </w:pPr>
            <w:r w:rsidRPr="00155E83">
              <w:t>Lives saved</w:t>
            </w:r>
          </w:p>
        </w:tc>
      </w:tr>
      <w:tr w:rsidR="00155E83" w:rsidTr="00155E83">
        <w:tc>
          <w:tcPr>
            <w:tcW w:w="675" w:type="dxa"/>
            <w:tcBorders>
              <w:left w:val="single" w:sz="8" w:space="0" w:color="auto"/>
            </w:tcBorders>
          </w:tcPr>
          <w:p w:rsidR="00155E83" w:rsidRPr="00155E83" w:rsidRDefault="00155E83" w:rsidP="00235A7C">
            <w:pPr>
              <w:pStyle w:val="Table2"/>
            </w:pPr>
            <w:r w:rsidRPr="00155E83">
              <w:t>0</w:t>
            </w:r>
          </w:p>
        </w:tc>
        <w:tc>
          <w:tcPr>
            <w:tcW w:w="709" w:type="dxa"/>
            <w:tcBorders>
              <w:right w:val="single" w:sz="8" w:space="0" w:color="auto"/>
            </w:tcBorders>
            <w:vAlign w:val="center"/>
          </w:tcPr>
          <w:p w:rsidR="00155E83" w:rsidRPr="00155E83" w:rsidRDefault="00155E83" w:rsidP="00866E83">
            <w:pPr>
              <w:pStyle w:val="Table2"/>
            </w:pPr>
            <w:r w:rsidRPr="00155E83">
              <w:t>2012</w:t>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r>
      <w:tr w:rsidR="00155E83" w:rsidTr="00155E83">
        <w:tc>
          <w:tcPr>
            <w:tcW w:w="675" w:type="dxa"/>
            <w:tcBorders>
              <w:left w:val="single" w:sz="8" w:space="0" w:color="auto"/>
            </w:tcBorders>
          </w:tcPr>
          <w:p w:rsidR="00155E83" w:rsidRPr="00155E83" w:rsidRDefault="00155E83" w:rsidP="00866E83">
            <w:pPr>
              <w:pStyle w:val="Table2"/>
            </w:pPr>
            <w:r w:rsidRPr="00155E83">
              <w:t>1</w:t>
            </w:r>
          </w:p>
        </w:tc>
        <w:tc>
          <w:tcPr>
            <w:tcW w:w="709" w:type="dxa"/>
            <w:tcBorders>
              <w:right w:val="single" w:sz="8" w:space="0" w:color="auto"/>
            </w:tcBorders>
            <w:vAlign w:val="center"/>
          </w:tcPr>
          <w:p w:rsidR="00155E83" w:rsidRPr="00155E83" w:rsidRDefault="00155E83" w:rsidP="00866E83">
            <w:pPr>
              <w:pStyle w:val="Table2"/>
            </w:pPr>
            <w:r w:rsidRPr="00155E83">
              <w:t>2013</w:t>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c>
          <w:tcPr>
            <w:tcW w:w="1871" w:type="dxa"/>
            <w:tcBorders>
              <w:left w:val="single" w:sz="8" w:space="0" w:color="auto"/>
              <w:right w:val="single" w:sz="8" w:space="0" w:color="auto"/>
            </w:tcBorders>
            <w:vAlign w:val="bottom"/>
          </w:tcPr>
          <w:p w:rsidR="00155E83" w:rsidRDefault="00155E83" w:rsidP="00155E83">
            <w:pPr>
              <w:pStyle w:val="Table2"/>
            </w:pPr>
            <w:r>
              <w:noBreakHyphen/>
            </w:r>
          </w:p>
        </w:tc>
      </w:tr>
      <w:tr w:rsidR="00CB6DBF" w:rsidTr="00D851DE">
        <w:tc>
          <w:tcPr>
            <w:tcW w:w="675" w:type="dxa"/>
            <w:tcBorders>
              <w:left w:val="single" w:sz="8" w:space="0" w:color="auto"/>
            </w:tcBorders>
          </w:tcPr>
          <w:p w:rsidR="00CB6DBF" w:rsidRPr="00155E83" w:rsidRDefault="00CB6DBF" w:rsidP="00866E83">
            <w:pPr>
              <w:pStyle w:val="Table2"/>
            </w:pPr>
            <w:r w:rsidRPr="00155E83">
              <w:t>2</w:t>
            </w:r>
          </w:p>
        </w:tc>
        <w:tc>
          <w:tcPr>
            <w:tcW w:w="709" w:type="dxa"/>
            <w:tcBorders>
              <w:right w:val="single" w:sz="8" w:space="0" w:color="auto"/>
            </w:tcBorders>
            <w:vAlign w:val="center"/>
          </w:tcPr>
          <w:p w:rsidR="00CB6DBF" w:rsidRPr="00155E83" w:rsidRDefault="00CB6DBF" w:rsidP="00866E83">
            <w:pPr>
              <w:pStyle w:val="Table2"/>
            </w:pPr>
            <w:r w:rsidRPr="00155E83">
              <w:t>2014</w:t>
            </w:r>
          </w:p>
        </w:tc>
        <w:tc>
          <w:tcPr>
            <w:tcW w:w="1871" w:type="dxa"/>
            <w:tcBorders>
              <w:left w:val="single" w:sz="8" w:space="0" w:color="auto"/>
              <w:right w:val="single" w:sz="8" w:space="0" w:color="auto"/>
            </w:tcBorders>
          </w:tcPr>
          <w:p w:rsidR="00CB6DBF" w:rsidRDefault="00CB6DBF" w:rsidP="00155E83">
            <w:pPr>
              <w:pStyle w:val="Table2"/>
            </w:pPr>
            <w:r w:rsidRPr="00EA44A5">
              <w:t xml:space="preserve"> 47,744,424 </w:t>
            </w:r>
          </w:p>
        </w:tc>
        <w:tc>
          <w:tcPr>
            <w:tcW w:w="1871" w:type="dxa"/>
            <w:tcBorders>
              <w:left w:val="single" w:sz="8" w:space="0" w:color="auto"/>
              <w:right w:val="single" w:sz="8" w:space="0" w:color="auto"/>
            </w:tcBorders>
          </w:tcPr>
          <w:p w:rsidR="00CB6DBF" w:rsidRDefault="00CB6DBF" w:rsidP="00155E83">
            <w:pPr>
              <w:pStyle w:val="Table2"/>
            </w:pPr>
            <w:r w:rsidRPr="00104467">
              <w:t xml:space="preserve">-44,995,408 </w:t>
            </w:r>
          </w:p>
        </w:tc>
        <w:tc>
          <w:tcPr>
            <w:tcW w:w="1871" w:type="dxa"/>
            <w:tcBorders>
              <w:left w:val="single" w:sz="8" w:space="0" w:color="auto"/>
              <w:right w:val="single" w:sz="8" w:space="0" w:color="auto"/>
            </w:tcBorders>
            <w:vAlign w:val="bottom"/>
          </w:tcPr>
          <w:p w:rsidR="00CB6DBF" w:rsidRDefault="00CB6DBF" w:rsidP="00155E83">
            <w:pPr>
              <w:pStyle w:val="Table2"/>
            </w:pPr>
            <w:r>
              <w:t>0.3</w:t>
            </w:r>
          </w:p>
        </w:tc>
      </w:tr>
      <w:tr w:rsidR="00CB6DBF" w:rsidTr="00D851DE">
        <w:tc>
          <w:tcPr>
            <w:tcW w:w="675" w:type="dxa"/>
            <w:tcBorders>
              <w:left w:val="single" w:sz="8" w:space="0" w:color="auto"/>
            </w:tcBorders>
          </w:tcPr>
          <w:p w:rsidR="00CB6DBF" w:rsidRPr="00155E83" w:rsidRDefault="00CB6DBF" w:rsidP="00866E83">
            <w:pPr>
              <w:pStyle w:val="Table2"/>
            </w:pPr>
            <w:r w:rsidRPr="00155E83">
              <w:t>3</w:t>
            </w:r>
          </w:p>
        </w:tc>
        <w:tc>
          <w:tcPr>
            <w:tcW w:w="709" w:type="dxa"/>
            <w:tcBorders>
              <w:right w:val="single" w:sz="8" w:space="0" w:color="auto"/>
            </w:tcBorders>
            <w:vAlign w:val="center"/>
          </w:tcPr>
          <w:p w:rsidR="00CB6DBF" w:rsidRPr="00155E83" w:rsidRDefault="00CB6DBF" w:rsidP="00866E83">
            <w:pPr>
              <w:pStyle w:val="Table2"/>
            </w:pPr>
            <w:r w:rsidRPr="00155E83">
              <w:t>2015</w:t>
            </w:r>
          </w:p>
        </w:tc>
        <w:tc>
          <w:tcPr>
            <w:tcW w:w="1871" w:type="dxa"/>
            <w:tcBorders>
              <w:left w:val="single" w:sz="8" w:space="0" w:color="auto"/>
              <w:right w:val="single" w:sz="8" w:space="0" w:color="auto"/>
            </w:tcBorders>
          </w:tcPr>
          <w:p w:rsidR="00CB6DBF" w:rsidRDefault="00CB6DBF" w:rsidP="00155E83">
            <w:pPr>
              <w:pStyle w:val="Table2"/>
            </w:pPr>
            <w:r w:rsidRPr="00EA44A5">
              <w:t xml:space="preserve"> 49,654,201 </w:t>
            </w:r>
          </w:p>
        </w:tc>
        <w:tc>
          <w:tcPr>
            <w:tcW w:w="1871" w:type="dxa"/>
            <w:tcBorders>
              <w:left w:val="single" w:sz="8" w:space="0" w:color="auto"/>
              <w:right w:val="single" w:sz="8" w:space="0" w:color="auto"/>
            </w:tcBorders>
          </w:tcPr>
          <w:p w:rsidR="00CB6DBF" w:rsidRDefault="00CB6DBF" w:rsidP="00155E83">
            <w:pPr>
              <w:pStyle w:val="Table2"/>
            </w:pPr>
            <w:r w:rsidRPr="00104467">
              <w:t xml:space="preserve">-40,160,792 </w:t>
            </w:r>
          </w:p>
        </w:tc>
        <w:tc>
          <w:tcPr>
            <w:tcW w:w="1871" w:type="dxa"/>
            <w:tcBorders>
              <w:left w:val="single" w:sz="8" w:space="0" w:color="auto"/>
              <w:right w:val="single" w:sz="8" w:space="0" w:color="auto"/>
            </w:tcBorders>
            <w:vAlign w:val="bottom"/>
          </w:tcPr>
          <w:p w:rsidR="00CB6DBF" w:rsidRDefault="00CB6DBF" w:rsidP="00155E83">
            <w:pPr>
              <w:pStyle w:val="Table2"/>
            </w:pPr>
            <w:r>
              <w:t>1.0</w:t>
            </w:r>
          </w:p>
        </w:tc>
      </w:tr>
      <w:tr w:rsidR="00CB6DBF" w:rsidTr="00D851DE">
        <w:tc>
          <w:tcPr>
            <w:tcW w:w="675" w:type="dxa"/>
            <w:tcBorders>
              <w:left w:val="single" w:sz="8" w:space="0" w:color="auto"/>
            </w:tcBorders>
          </w:tcPr>
          <w:p w:rsidR="00CB6DBF" w:rsidRPr="00155E83" w:rsidRDefault="00CB6DBF" w:rsidP="00866E83">
            <w:pPr>
              <w:pStyle w:val="Table2"/>
            </w:pPr>
            <w:r w:rsidRPr="00155E83">
              <w:t>4</w:t>
            </w:r>
          </w:p>
        </w:tc>
        <w:tc>
          <w:tcPr>
            <w:tcW w:w="709" w:type="dxa"/>
            <w:tcBorders>
              <w:right w:val="single" w:sz="8" w:space="0" w:color="auto"/>
            </w:tcBorders>
            <w:vAlign w:val="center"/>
          </w:tcPr>
          <w:p w:rsidR="00CB6DBF" w:rsidRPr="00155E83" w:rsidRDefault="00CB6DBF" w:rsidP="00866E83">
            <w:pPr>
              <w:pStyle w:val="Table2"/>
            </w:pPr>
            <w:r w:rsidRPr="00155E83">
              <w:t>2016</w:t>
            </w:r>
          </w:p>
        </w:tc>
        <w:tc>
          <w:tcPr>
            <w:tcW w:w="1871" w:type="dxa"/>
            <w:tcBorders>
              <w:left w:val="single" w:sz="8" w:space="0" w:color="auto"/>
              <w:right w:val="single" w:sz="8" w:space="0" w:color="auto"/>
            </w:tcBorders>
          </w:tcPr>
          <w:p w:rsidR="00CB6DBF" w:rsidRDefault="00CB6DBF" w:rsidP="00155E83">
            <w:pPr>
              <w:pStyle w:val="Table2"/>
            </w:pPr>
            <w:r w:rsidRPr="00EA44A5">
              <w:t xml:space="preserve"> 51,640,369 </w:t>
            </w:r>
          </w:p>
        </w:tc>
        <w:tc>
          <w:tcPr>
            <w:tcW w:w="1871" w:type="dxa"/>
            <w:tcBorders>
              <w:left w:val="single" w:sz="8" w:space="0" w:color="auto"/>
              <w:right w:val="single" w:sz="8" w:space="0" w:color="auto"/>
            </w:tcBorders>
          </w:tcPr>
          <w:p w:rsidR="00CB6DBF" w:rsidRDefault="00CB6DBF" w:rsidP="00155E83">
            <w:pPr>
              <w:pStyle w:val="Table2"/>
            </w:pPr>
            <w:r w:rsidRPr="00104467">
              <w:t xml:space="preserve">-35,416,910 </w:t>
            </w:r>
          </w:p>
        </w:tc>
        <w:tc>
          <w:tcPr>
            <w:tcW w:w="1871" w:type="dxa"/>
            <w:tcBorders>
              <w:left w:val="single" w:sz="8" w:space="0" w:color="auto"/>
              <w:right w:val="single" w:sz="8" w:space="0" w:color="auto"/>
            </w:tcBorders>
            <w:vAlign w:val="bottom"/>
          </w:tcPr>
          <w:p w:rsidR="00CB6DBF" w:rsidRDefault="00CB6DBF" w:rsidP="00155E83">
            <w:pPr>
              <w:pStyle w:val="Table2"/>
            </w:pPr>
            <w:r>
              <w:t>1.7</w:t>
            </w:r>
          </w:p>
        </w:tc>
      </w:tr>
      <w:tr w:rsidR="00CB6DBF" w:rsidTr="00D851DE">
        <w:tc>
          <w:tcPr>
            <w:tcW w:w="675" w:type="dxa"/>
            <w:tcBorders>
              <w:left w:val="single" w:sz="8" w:space="0" w:color="auto"/>
            </w:tcBorders>
          </w:tcPr>
          <w:p w:rsidR="00CB6DBF" w:rsidRPr="00155E83" w:rsidRDefault="00CB6DBF" w:rsidP="00866E83">
            <w:pPr>
              <w:pStyle w:val="Table2"/>
            </w:pPr>
            <w:r w:rsidRPr="00155E83">
              <w:t>5</w:t>
            </w:r>
          </w:p>
        </w:tc>
        <w:tc>
          <w:tcPr>
            <w:tcW w:w="709" w:type="dxa"/>
            <w:tcBorders>
              <w:right w:val="single" w:sz="8" w:space="0" w:color="auto"/>
            </w:tcBorders>
            <w:vAlign w:val="center"/>
          </w:tcPr>
          <w:p w:rsidR="00CB6DBF" w:rsidRPr="00155E83" w:rsidRDefault="00CB6DBF" w:rsidP="00866E83">
            <w:pPr>
              <w:pStyle w:val="Table2"/>
            </w:pPr>
            <w:r w:rsidRPr="00155E83">
              <w:t>2017</w:t>
            </w:r>
          </w:p>
        </w:tc>
        <w:tc>
          <w:tcPr>
            <w:tcW w:w="1871" w:type="dxa"/>
            <w:tcBorders>
              <w:left w:val="single" w:sz="8" w:space="0" w:color="auto"/>
              <w:right w:val="single" w:sz="8" w:space="0" w:color="auto"/>
            </w:tcBorders>
          </w:tcPr>
          <w:p w:rsidR="00CB6DBF" w:rsidRDefault="00CB6DBF" w:rsidP="00155E83">
            <w:pPr>
              <w:pStyle w:val="Table2"/>
            </w:pPr>
            <w:r w:rsidRPr="00EA44A5">
              <w:t xml:space="preserve"> 53,705,983 </w:t>
            </w:r>
          </w:p>
        </w:tc>
        <w:tc>
          <w:tcPr>
            <w:tcW w:w="1871" w:type="dxa"/>
            <w:tcBorders>
              <w:left w:val="single" w:sz="8" w:space="0" w:color="auto"/>
              <w:right w:val="single" w:sz="8" w:space="0" w:color="auto"/>
            </w:tcBorders>
          </w:tcPr>
          <w:p w:rsidR="00CB6DBF" w:rsidRDefault="00CB6DBF" w:rsidP="00155E83">
            <w:pPr>
              <w:pStyle w:val="Table2"/>
            </w:pPr>
            <w:r w:rsidRPr="00104467">
              <w:t xml:space="preserve">-30,195,968 </w:t>
            </w:r>
          </w:p>
        </w:tc>
        <w:tc>
          <w:tcPr>
            <w:tcW w:w="1871" w:type="dxa"/>
            <w:tcBorders>
              <w:left w:val="single" w:sz="8" w:space="0" w:color="auto"/>
              <w:right w:val="single" w:sz="8" w:space="0" w:color="auto"/>
            </w:tcBorders>
            <w:vAlign w:val="bottom"/>
          </w:tcPr>
          <w:p w:rsidR="00CB6DBF" w:rsidRDefault="00CB6DBF" w:rsidP="00155E83">
            <w:pPr>
              <w:pStyle w:val="Table2"/>
            </w:pPr>
            <w:r>
              <w:t>2.4</w:t>
            </w:r>
          </w:p>
        </w:tc>
      </w:tr>
      <w:tr w:rsidR="00CB6DBF" w:rsidTr="00D851DE">
        <w:tc>
          <w:tcPr>
            <w:tcW w:w="675" w:type="dxa"/>
            <w:tcBorders>
              <w:left w:val="single" w:sz="8" w:space="0" w:color="auto"/>
            </w:tcBorders>
          </w:tcPr>
          <w:p w:rsidR="00CB6DBF" w:rsidRPr="00155E83" w:rsidRDefault="00CB6DBF" w:rsidP="00866E83">
            <w:pPr>
              <w:pStyle w:val="Table2"/>
            </w:pPr>
            <w:r w:rsidRPr="00155E83">
              <w:t>6</w:t>
            </w:r>
          </w:p>
        </w:tc>
        <w:tc>
          <w:tcPr>
            <w:tcW w:w="709" w:type="dxa"/>
            <w:tcBorders>
              <w:right w:val="single" w:sz="8" w:space="0" w:color="auto"/>
            </w:tcBorders>
            <w:vAlign w:val="center"/>
          </w:tcPr>
          <w:p w:rsidR="00CB6DBF" w:rsidRPr="00155E83" w:rsidRDefault="00CB6DBF" w:rsidP="00866E83">
            <w:pPr>
              <w:pStyle w:val="Table2"/>
            </w:pPr>
            <w:r w:rsidRPr="00155E83">
              <w:t>2018</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27,923,398 </w:t>
            </w:r>
          </w:p>
        </w:tc>
        <w:tc>
          <w:tcPr>
            <w:tcW w:w="1871" w:type="dxa"/>
            <w:tcBorders>
              <w:left w:val="single" w:sz="8" w:space="0" w:color="auto"/>
              <w:right w:val="single" w:sz="8" w:space="0" w:color="auto"/>
            </w:tcBorders>
            <w:vAlign w:val="bottom"/>
          </w:tcPr>
          <w:p w:rsidR="00CB6DBF" w:rsidRDefault="00CB6DBF" w:rsidP="00155E83">
            <w:pPr>
              <w:pStyle w:val="Table2"/>
            </w:pPr>
            <w:r>
              <w:t>2.9</w:t>
            </w:r>
          </w:p>
        </w:tc>
      </w:tr>
      <w:tr w:rsidR="00CB6DBF" w:rsidTr="00D851DE">
        <w:tc>
          <w:tcPr>
            <w:tcW w:w="675" w:type="dxa"/>
            <w:tcBorders>
              <w:left w:val="single" w:sz="8" w:space="0" w:color="auto"/>
            </w:tcBorders>
          </w:tcPr>
          <w:p w:rsidR="00CB6DBF" w:rsidRPr="00155E83" w:rsidRDefault="00CB6DBF" w:rsidP="00866E83">
            <w:pPr>
              <w:pStyle w:val="Table2"/>
            </w:pPr>
            <w:r w:rsidRPr="00155E83">
              <w:t>7</w:t>
            </w:r>
          </w:p>
        </w:tc>
        <w:tc>
          <w:tcPr>
            <w:tcW w:w="709" w:type="dxa"/>
            <w:tcBorders>
              <w:right w:val="single" w:sz="8" w:space="0" w:color="auto"/>
            </w:tcBorders>
            <w:vAlign w:val="center"/>
          </w:tcPr>
          <w:p w:rsidR="00CB6DBF" w:rsidRPr="00155E83" w:rsidRDefault="00CB6DBF" w:rsidP="00866E83">
            <w:pPr>
              <w:pStyle w:val="Table2"/>
            </w:pPr>
            <w:r w:rsidRPr="00155E83">
              <w:t>2019</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27,996,895 </w:t>
            </w:r>
          </w:p>
        </w:tc>
        <w:tc>
          <w:tcPr>
            <w:tcW w:w="1871" w:type="dxa"/>
            <w:tcBorders>
              <w:left w:val="single" w:sz="8" w:space="0" w:color="auto"/>
              <w:right w:val="single" w:sz="8" w:space="0" w:color="auto"/>
            </w:tcBorders>
            <w:vAlign w:val="bottom"/>
          </w:tcPr>
          <w:p w:rsidR="00CB6DBF" w:rsidRDefault="00CB6DBF" w:rsidP="00155E83">
            <w:pPr>
              <w:pStyle w:val="Table2"/>
            </w:pPr>
            <w:r>
              <w:t>2.9</w:t>
            </w:r>
          </w:p>
        </w:tc>
      </w:tr>
      <w:tr w:rsidR="00CB6DBF" w:rsidTr="00D851DE">
        <w:tc>
          <w:tcPr>
            <w:tcW w:w="675" w:type="dxa"/>
            <w:tcBorders>
              <w:left w:val="single" w:sz="8" w:space="0" w:color="auto"/>
            </w:tcBorders>
          </w:tcPr>
          <w:p w:rsidR="00CB6DBF" w:rsidRPr="00155E83" w:rsidRDefault="00CB6DBF" w:rsidP="00866E83">
            <w:pPr>
              <w:pStyle w:val="Table2"/>
            </w:pPr>
            <w:r w:rsidRPr="00155E83">
              <w:t>8</w:t>
            </w:r>
          </w:p>
        </w:tc>
        <w:tc>
          <w:tcPr>
            <w:tcW w:w="709" w:type="dxa"/>
            <w:tcBorders>
              <w:right w:val="single" w:sz="8" w:space="0" w:color="auto"/>
            </w:tcBorders>
            <w:vAlign w:val="center"/>
          </w:tcPr>
          <w:p w:rsidR="00CB6DBF" w:rsidRPr="00155E83" w:rsidRDefault="00CB6DBF" w:rsidP="00866E83">
            <w:pPr>
              <w:pStyle w:val="Table2"/>
            </w:pPr>
            <w:r w:rsidRPr="00155E83">
              <w:t>2020</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28,191,041 </w:t>
            </w:r>
          </w:p>
        </w:tc>
        <w:tc>
          <w:tcPr>
            <w:tcW w:w="1871" w:type="dxa"/>
            <w:tcBorders>
              <w:left w:val="single" w:sz="8" w:space="0" w:color="auto"/>
              <w:right w:val="single" w:sz="8" w:space="0" w:color="auto"/>
            </w:tcBorders>
            <w:vAlign w:val="bottom"/>
          </w:tcPr>
          <w:p w:rsidR="00CB6DBF" w:rsidRDefault="00CB6DBF" w:rsidP="00155E83">
            <w:pPr>
              <w:pStyle w:val="Table2"/>
            </w:pPr>
            <w:r>
              <w:t>2.9</w:t>
            </w:r>
          </w:p>
        </w:tc>
      </w:tr>
      <w:tr w:rsidR="00CB6DBF" w:rsidTr="00D851DE">
        <w:tc>
          <w:tcPr>
            <w:tcW w:w="675" w:type="dxa"/>
            <w:tcBorders>
              <w:left w:val="single" w:sz="8" w:space="0" w:color="auto"/>
            </w:tcBorders>
          </w:tcPr>
          <w:p w:rsidR="00CB6DBF" w:rsidRPr="00155E83" w:rsidRDefault="00CB6DBF" w:rsidP="00866E83">
            <w:pPr>
              <w:pStyle w:val="Table2"/>
            </w:pPr>
            <w:r w:rsidRPr="00155E83">
              <w:t>9</w:t>
            </w:r>
          </w:p>
        </w:tc>
        <w:tc>
          <w:tcPr>
            <w:tcW w:w="709" w:type="dxa"/>
            <w:tcBorders>
              <w:right w:val="single" w:sz="8" w:space="0" w:color="auto"/>
            </w:tcBorders>
            <w:vAlign w:val="center"/>
          </w:tcPr>
          <w:p w:rsidR="00CB6DBF" w:rsidRPr="00155E83" w:rsidRDefault="00CB6DBF" w:rsidP="00866E83">
            <w:pPr>
              <w:pStyle w:val="Table2"/>
            </w:pPr>
            <w:r w:rsidRPr="00155E83">
              <w:t>2021</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27,483,646 </w:t>
            </w:r>
          </w:p>
        </w:tc>
        <w:tc>
          <w:tcPr>
            <w:tcW w:w="1871" w:type="dxa"/>
            <w:tcBorders>
              <w:left w:val="single" w:sz="8" w:space="0" w:color="auto"/>
              <w:right w:val="single" w:sz="8" w:space="0" w:color="auto"/>
            </w:tcBorders>
            <w:vAlign w:val="bottom"/>
          </w:tcPr>
          <w:p w:rsidR="00CB6DBF" w:rsidRDefault="00CB6DBF" w:rsidP="00155E83">
            <w:pPr>
              <w:pStyle w:val="Table2"/>
            </w:pPr>
            <w:r>
              <w:t>2.8</w:t>
            </w:r>
          </w:p>
        </w:tc>
      </w:tr>
      <w:tr w:rsidR="00CB6DBF" w:rsidTr="00D851DE">
        <w:tc>
          <w:tcPr>
            <w:tcW w:w="675" w:type="dxa"/>
            <w:tcBorders>
              <w:left w:val="single" w:sz="8" w:space="0" w:color="auto"/>
            </w:tcBorders>
          </w:tcPr>
          <w:p w:rsidR="00CB6DBF" w:rsidRPr="00155E83" w:rsidRDefault="00CB6DBF" w:rsidP="00866E83">
            <w:pPr>
              <w:pStyle w:val="Table2"/>
            </w:pPr>
            <w:r w:rsidRPr="00155E83">
              <w:t>10</w:t>
            </w:r>
          </w:p>
        </w:tc>
        <w:tc>
          <w:tcPr>
            <w:tcW w:w="709" w:type="dxa"/>
            <w:tcBorders>
              <w:right w:val="single" w:sz="8" w:space="0" w:color="auto"/>
            </w:tcBorders>
            <w:vAlign w:val="center"/>
          </w:tcPr>
          <w:p w:rsidR="00CB6DBF" w:rsidRPr="00155E83" w:rsidRDefault="00CB6DBF" w:rsidP="00866E83">
            <w:pPr>
              <w:pStyle w:val="Table2"/>
            </w:pPr>
            <w:r w:rsidRPr="00155E83">
              <w:t>2022</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26,732,931 </w:t>
            </w:r>
          </w:p>
        </w:tc>
        <w:tc>
          <w:tcPr>
            <w:tcW w:w="1871" w:type="dxa"/>
            <w:tcBorders>
              <w:left w:val="single" w:sz="8" w:space="0" w:color="auto"/>
              <w:right w:val="single" w:sz="8" w:space="0" w:color="auto"/>
            </w:tcBorders>
            <w:vAlign w:val="bottom"/>
          </w:tcPr>
          <w:p w:rsidR="00CB6DBF" w:rsidRDefault="00CB6DBF" w:rsidP="00155E83">
            <w:pPr>
              <w:pStyle w:val="Table2"/>
            </w:pPr>
            <w:r>
              <w:t>2.8</w:t>
            </w:r>
          </w:p>
        </w:tc>
      </w:tr>
      <w:tr w:rsidR="00CB6DBF" w:rsidTr="00D851DE">
        <w:tc>
          <w:tcPr>
            <w:tcW w:w="675" w:type="dxa"/>
            <w:tcBorders>
              <w:left w:val="single" w:sz="8" w:space="0" w:color="auto"/>
            </w:tcBorders>
          </w:tcPr>
          <w:p w:rsidR="00CB6DBF" w:rsidRPr="00155E83" w:rsidRDefault="00CB6DBF" w:rsidP="00866E83">
            <w:pPr>
              <w:pStyle w:val="Table2"/>
            </w:pPr>
            <w:r w:rsidRPr="00155E83">
              <w:t>11</w:t>
            </w:r>
          </w:p>
        </w:tc>
        <w:tc>
          <w:tcPr>
            <w:tcW w:w="709" w:type="dxa"/>
            <w:tcBorders>
              <w:right w:val="single" w:sz="8" w:space="0" w:color="auto"/>
            </w:tcBorders>
            <w:vAlign w:val="center"/>
          </w:tcPr>
          <w:p w:rsidR="00CB6DBF" w:rsidRPr="00155E83" w:rsidRDefault="00CB6DBF" w:rsidP="00866E83">
            <w:pPr>
              <w:pStyle w:val="Table2"/>
            </w:pPr>
            <w:r w:rsidRPr="00155E83">
              <w:t>2023</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26,290,616 </w:t>
            </w:r>
          </w:p>
        </w:tc>
        <w:tc>
          <w:tcPr>
            <w:tcW w:w="1871" w:type="dxa"/>
            <w:tcBorders>
              <w:left w:val="single" w:sz="8" w:space="0" w:color="auto"/>
              <w:right w:val="single" w:sz="8" w:space="0" w:color="auto"/>
            </w:tcBorders>
            <w:vAlign w:val="bottom"/>
          </w:tcPr>
          <w:p w:rsidR="00CB6DBF" w:rsidRDefault="00CB6DBF" w:rsidP="00155E83">
            <w:pPr>
              <w:pStyle w:val="Table2"/>
            </w:pPr>
            <w:r>
              <w:t>2.7</w:t>
            </w:r>
          </w:p>
        </w:tc>
      </w:tr>
      <w:tr w:rsidR="00CB6DBF" w:rsidTr="00D851DE">
        <w:tc>
          <w:tcPr>
            <w:tcW w:w="675" w:type="dxa"/>
            <w:tcBorders>
              <w:left w:val="single" w:sz="8" w:space="0" w:color="auto"/>
            </w:tcBorders>
          </w:tcPr>
          <w:p w:rsidR="00CB6DBF" w:rsidRPr="00155E83" w:rsidRDefault="00CB6DBF" w:rsidP="00866E83">
            <w:pPr>
              <w:pStyle w:val="Table2"/>
            </w:pPr>
            <w:r w:rsidRPr="00155E83">
              <w:t>12</w:t>
            </w:r>
          </w:p>
        </w:tc>
        <w:tc>
          <w:tcPr>
            <w:tcW w:w="709" w:type="dxa"/>
            <w:tcBorders>
              <w:right w:val="single" w:sz="8" w:space="0" w:color="auto"/>
            </w:tcBorders>
            <w:vAlign w:val="center"/>
          </w:tcPr>
          <w:p w:rsidR="00CB6DBF" w:rsidRPr="00155E83" w:rsidRDefault="00CB6DBF" w:rsidP="00866E83">
            <w:pPr>
              <w:pStyle w:val="Table2"/>
            </w:pPr>
            <w:r w:rsidRPr="00155E83">
              <w:t>2024</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104467">
              <w:t xml:space="preserve"> 26,645,141 </w:t>
            </w:r>
          </w:p>
        </w:tc>
        <w:tc>
          <w:tcPr>
            <w:tcW w:w="1871" w:type="dxa"/>
            <w:tcBorders>
              <w:left w:val="single" w:sz="8" w:space="0" w:color="auto"/>
              <w:right w:val="single" w:sz="8" w:space="0" w:color="auto"/>
            </w:tcBorders>
            <w:vAlign w:val="bottom"/>
          </w:tcPr>
          <w:p w:rsidR="00CB6DBF" w:rsidRDefault="00CB6DBF" w:rsidP="00155E83">
            <w:pPr>
              <w:pStyle w:val="Table2"/>
            </w:pPr>
            <w:r>
              <w:t>2.7</w:t>
            </w:r>
          </w:p>
        </w:tc>
      </w:tr>
      <w:tr w:rsidR="00CB6DBF" w:rsidTr="00D851DE">
        <w:tc>
          <w:tcPr>
            <w:tcW w:w="675" w:type="dxa"/>
            <w:tcBorders>
              <w:left w:val="single" w:sz="8" w:space="0" w:color="auto"/>
            </w:tcBorders>
          </w:tcPr>
          <w:p w:rsidR="00CB6DBF" w:rsidRPr="00155E83" w:rsidRDefault="00CB6DBF" w:rsidP="00866E83">
            <w:pPr>
              <w:pStyle w:val="Table2"/>
            </w:pPr>
            <w:r w:rsidRPr="00155E83">
              <w:t>13</w:t>
            </w:r>
          </w:p>
        </w:tc>
        <w:tc>
          <w:tcPr>
            <w:tcW w:w="709" w:type="dxa"/>
            <w:tcBorders>
              <w:right w:val="single" w:sz="8" w:space="0" w:color="auto"/>
            </w:tcBorders>
            <w:vAlign w:val="center"/>
          </w:tcPr>
          <w:p w:rsidR="00CB6DBF" w:rsidRPr="00155E83" w:rsidRDefault="00CB6DBF" w:rsidP="00866E83">
            <w:pPr>
              <w:pStyle w:val="Table2"/>
            </w:pPr>
            <w:r w:rsidRPr="00155E83">
              <w:t>2025</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27,869,231 </w:t>
            </w:r>
          </w:p>
        </w:tc>
        <w:tc>
          <w:tcPr>
            <w:tcW w:w="1871" w:type="dxa"/>
            <w:tcBorders>
              <w:left w:val="single" w:sz="8" w:space="0" w:color="auto"/>
              <w:right w:val="single" w:sz="8" w:space="0" w:color="auto"/>
            </w:tcBorders>
            <w:vAlign w:val="bottom"/>
          </w:tcPr>
          <w:p w:rsidR="00CB6DBF" w:rsidRDefault="00CB6DBF" w:rsidP="00155E83">
            <w:pPr>
              <w:pStyle w:val="Table2"/>
            </w:pPr>
            <w:r>
              <w:t>2.9</w:t>
            </w:r>
          </w:p>
        </w:tc>
      </w:tr>
      <w:tr w:rsidR="00CB6DBF" w:rsidTr="00D851DE">
        <w:tc>
          <w:tcPr>
            <w:tcW w:w="675" w:type="dxa"/>
            <w:tcBorders>
              <w:left w:val="single" w:sz="8" w:space="0" w:color="auto"/>
            </w:tcBorders>
          </w:tcPr>
          <w:p w:rsidR="00CB6DBF" w:rsidRPr="00155E83" w:rsidRDefault="00CB6DBF" w:rsidP="00866E83">
            <w:pPr>
              <w:pStyle w:val="Table2"/>
            </w:pPr>
            <w:r w:rsidRPr="00155E83">
              <w:t>14</w:t>
            </w:r>
          </w:p>
        </w:tc>
        <w:tc>
          <w:tcPr>
            <w:tcW w:w="709" w:type="dxa"/>
            <w:tcBorders>
              <w:right w:val="single" w:sz="8" w:space="0" w:color="auto"/>
            </w:tcBorders>
            <w:vAlign w:val="center"/>
          </w:tcPr>
          <w:p w:rsidR="00CB6DBF" w:rsidRPr="00155E83" w:rsidRDefault="00CB6DBF" w:rsidP="00866E83">
            <w:pPr>
              <w:pStyle w:val="Table2"/>
            </w:pPr>
            <w:r w:rsidRPr="00155E83">
              <w:t>2026</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29,204,693 </w:t>
            </w:r>
          </w:p>
        </w:tc>
        <w:tc>
          <w:tcPr>
            <w:tcW w:w="1871" w:type="dxa"/>
            <w:tcBorders>
              <w:left w:val="single" w:sz="8" w:space="0" w:color="auto"/>
              <w:right w:val="single" w:sz="8" w:space="0" w:color="auto"/>
            </w:tcBorders>
            <w:vAlign w:val="bottom"/>
          </w:tcPr>
          <w:p w:rsidR="00CB6DBF" w:rsidRDefault="00CB6DBF" w:rsidP="00155E83">
            <w:pPr>
              <w:pStyle w:val="Table2"/>
            </w:pPr>
            <w:r>
              <w:t>3.0</w:t>
            </w:r>
          </w:p>
        </w:tc>
      </w:tr>
      <w:tr w:rsidR="00CB6DBF" w:rsidTr="00D851DE">
        <w:tc>
          <w:tcPr>
            <w:tcW w:w="675" w:type="dxa"/>
            <w:tcBorders>
              <w:left w:val="single" w:sz="8" w:space="0" w:color="auto"/>
            </w:tcBorders>
          </w:tcPr>
          <w:p w:rsidR="00CB6DBF" w:rsidRPr="00155E83" w:rsidRDefault="00CB6DBF" w:rsidP="00866E83">
            <w:pPr>
              <w:pStyle w:val="Table2"/>
            </w:pPr>
            <w:r w:rsidRPr="00155E83">
              <w:t>15</w:t>
            </w:r>
          </w:p>
        </w:tc>
        <w:tc>
          <w:tcPr>
            <w:tcW w:w="709" w:type="dxa"/>
            <w:tcBorders>
              <w:right w:val="single" w:sz="8" w:space="0" w:color="auto"/>
            </w:tcBorders>
            <w:vAlign w:val="center"/>
          </w:tcPr>
          <w:p w:rsidR="00CB6DBF" w:rsidRPr="00155E83" w:rsidRDefault="00CB6DBF" w:rsidP="00866E83">
            <w:pPr>
              <w:pStyle w:val="Table2"/>
            </w:pPr>
            <w:r w:rsidRPr="00155E83">
              <w:t>2027</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29,954,594 </w:t>
            </w:r>
          </w:p>
        </w:tc>
        <w:tc>
          <w:tcPr>
            <w:tcW w:w="1871" w:type="dxa"/>
            <w:tcBorders>
              <w:left w:val="single" w:sz="8" w:space="0" w:color="auto"/>
              <w:right w:val="single" w:sz="8" w:space="0" w:color="auto"/>
            </w:tcBorders>
            <w:vAlign w:val="bottom"/>
          </w:tcPr>
          <w:p w:rsidR="00CB6DBF" w:rsidRDefault="00CB6DBF" w:rsidP="00155E83">
            <w:pPr>
              <w:pStyle w:val="Table2"/>
            </w:pPr>
            <w:r>
              <w:t>3.1</w:t>
            </w:r>
          </w:p>
        </w:tc>
      </w:tr>
      <w:tr w:rsidR="00CB6DBF" w:rsidTr="00D851DE">
        <w:tc>
          <w:tcPr>
            <w:tcW w:w="675" w:type="dxa"/>
            <w:tcBorders>
              <w:left w:val="single" w:sz="8" w:space="0" w:color="auto"/>
            </w:tcBorders>
          </w:tcPr>
          <w:p w:rsidR="00CB6DBF" w:rsidRPr="00155E83" w:rsidRDefault="00CB6DBF" w:rsidP="00866E83">
            <w:pPr>
              <w:pStyle w:val="Table2"/>
            </w:pPr>
            <w:r w:rsidRPr="00155E83">
              <w:t>16</w:t>
            </w:r>
          </w:p>
        </w:tc>
        <w:tc>
          <w:tcPr>
            <w:tcW w:w="709" w:type="dxa"/>
            <w:tcBorders>
              <w:right w:val="single" w:sz="8" w:space="0" w:color="auto"/>
            </w:tcBorders>
            <w:vAlign w:val="center"/>
          </w:tcPr>
          <w:p w:rsidR="00CB6DBF" w:rsidRPr="00155E83" w:rsidRDefault="00CB6DBF" w:rsidP="00866E83">
            <w:pPr>
              <w:pStyle w:val="Table2"/>
            </w:pPr>
            <w:r w:rsidRPr="00155E83">
              <w:t>2028</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29,648,314 </w:t>
            </w:r>
          </w:p>
        </w:tc>
        <w:tc>
          <w:tcPr>
            <w:tcW w:w="1871" w:type="dxa"/>
            <w:tcBorders>
              <w:left w:val="single" w:sz="8" w:space="0" w:color="auto"/>
              <w:right w:val="single" w:sz="8" w:space="0" w:color="auto"/>
            </w:tcBorders>
            <w:vAlign w:val="bottom"/>
          </w:tcPr>
          <w:p w:rsidR="00CB6DBF" w:rsidRDefault="00CB6DBF" w:rsidP="00155E83">
            <w:pPr>
              <w:pStyle w:val="Table2"/>
            </w:pPr>
            <w:r>
              <w:t>3.1</w:t>
            </w:r>
          </w:p>
        </w:tc>
      </w:tr>
      <w:tr w:rsidR="00CB6DBF" w:rsidTr="00D851DE">
        <w:tc>
          <w:tcPr>
            <w:tcW w:w="675" w:type="dxa"/>
            <w:tcBorders>
              <w:left w:val="single" w:sz="8" w:space="0" w:color="auto"/>
            </w:tcBorders>
          </w:tcPr>
          <w:p w:rsidR="00CB6DBF" w:rsidRPr="00155E83" w:rsidRDefault="00CB6DBF" w:rsidP="00866E83">
            <w:pPr>
              <w:pStyle w:val="Table2"/>
            </w:pPr>
            <w:r w:rsidRPr="00155E83">
              <w:t>17</w:t>
            </w:r>
          </w:p>
        </w:tc>
        <w:tc>
          <w:tcPr>
            <w:tcW w:w="709" w:type="dxa"/>
            <w:tcBorders>
              <w:right w:val="single" w:sz="8" w:space="0" w:color="auto"/>
            </w:tcBorders>
            <w:vAlign w:val="center"/>
          </w:tcPr>
          <w:p w:rsidR="00CB6DBF" w:rsidRPr="00155E83" w:rsidRDefault="00CB6DBF" w:rsidP="00866E83">
            <w:pPr>
              <w:pStyle w:val="Table2"/>
            </w:pPr>
            <w:r w:rsidRPr="00155E83">
              <w:t>2029</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29,229,117 </w:t>
            </w:r>
          </w:p>
        </w:tc>
        <w:tc>
          <w:tcPr>
            <w:tcW w:w="1871" w:type="dxa"/>
            <w:tcBorders>
              <w:left w:val="single" w:sz="8" w:space="0" w:color="auto"/>
              <w:right w:val="single" w:sz="8" w:space="0" w:color="auto"/>
            </w:tcBorders>
            <w:vAlign w:val="bottom"/>
          </w:tcPr>
          <w:p w:rsidR="00CB6DBF" w:rsidRDefault="00CB6DBF" w:rsidP="00155E83">
            <w:pPr>
              <w:pStyle w:val="Table2"/>
            </w:pPr>
            <w:r>
              <w:t>3.0</w:t>
            </w:r>
          </w:p>
        </w:tc>
      </w:tr>
      <w:tr w:rsidR="00CB6DBF" w:rsidTr="00D851DE">
        <w:tc>
          <w:tcPr>
            <w:tcW w:w="675" w:type="dxa"/>
            <w:tcBorders>
              <w:left w:val="single" w:sz="8" w:space="0" w:color="auto"/>
            </w:tcBorders>
          </w:tcPr>
          <w:p w:rsidR="00CB6DBF" w:rsidRPr="00155E83" w:rsidRDefault="00CB6DBF" w:rsidP="00866E83">
            <w:pPr>
              <w:pStyle w:val="Table2"/>
            </w:pPr>
            <w:r w:rsidRPr="00155E83">
              <w:t>18</w:t>
            </w:r>
          </w:p>
        </w:tc>
        <w:tc>
          <w:tcPr>
            <w:tcW w:w="709" w:type="dxa"/>
            <w:tcBorders>
              <w:right w:val="single" w:sz="8" w:space="0" w:color="auto"/>
            </w:tcBorders>
          </w:tcPr>
          <w:p w:rsidR="00CB6DBF" w:rsidRPr="00155E83" w:rsidRDefault="00CB6DBF" w:rsidP="00866E83">
            <w:pPr>
              <w:pStyle w:val="Table2"/>
            </w:pPr>
            <w:r w:rsidRPr="00155E83">
              <w:t>2030</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28,022,187 </w:t>
            </w:r>
          </w:p>
        </w:tc>
        <w:tc>
          <w:tcPr>
            <w:tcW w:w="1871" w:type="dxa"/>
            <w:tcBorders>
              <w:left w:val="single" w:sz="8" w:space="0" w:color="auto"/>
              <w:right w:val="single" w:sz="8" w:space="0" w:color="auto"/>
            </w:tcBorders>
            <w:vAlign w:val="bottom"/>
          </w:tcPr>
          <w:p w:rsidR="00CB6DBF" w:rsidRDefault="00CB6DBF" w:rsidP="00155E83">
            <w:pPr>
              <w:pStyle w:val="Table2"/>
            </w:pPr>
            <w:r>
              <w:t>2.9</w:t>
            </w:r>
          </w:p>
        </w:tc>
      </w:tr>
      <w:tr w:rsidR="00CB6DBF" w:rsidTr="00D851DE">
        <w:tc>
          <w:tcPr>
            <w:tcW w:w="675" w:type="dxa"/>
            <w:tcBorders>
              <w:left w:val="single" w:sz="8" w:space="0" w:color="auto"/>
            </w:tcBorders>
          </w:tcPr>
          <w:p w:rsidR="00CB6DBF" w:rsidRPr="00155E83" w:rsidRDefault="00CB6DBF" w:rsidP="00866E83">
            <w:pPr>
              <w:pStyle w:val="Table2"/>
            </w:pPr>
            <w:r w:rsidRPr="00155E83">
              <w:t>19</w:t>
            </w:r>
          </w:p>
        </w:tc>
        <w:tc>
          <w:tcPr>
            <w:tcW w:w="709" w:type="dxa"/>
            <w:tcBorders>
              <w:right w:val="single" w:sz="8" w:space="0" w:color="auto"/>
            </w:tcBorders>
          </w:tcPr>
          <w:p w:rsidR="00CB6DBF" w:rsidRPr="00155E83" w:rsidRDefault="00CB6DBF" w:rsidP="00866E83">
            <w:pPr>
              <w:pStyle w:val="Table2"/>
            </w:pPr>
            <w:r w:rsidRPr="00155E83">
              <w:t>2031</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25,701,597 </w:t>
            </w:r>
          </w:p>
        </w:tc>
        <w:tc>
          <w:tcPr>
            <w:tcW w:w="1871" w:type="dxa"/>
            <w:tcBorders>
              <w:left w:val="single" w:sz="8" w:space="0" w:color="auto"/>
              <w:right w:val="single" w:sz="8" w:space="0" w:color="auto"/>
            </w:tcBorders>
            <w:vAlign w:val="bottom"/>
          </w:tcPr>
          <w:p w:rsidR="00CB6DBF" w:rsidRDefault="00CB6DBF" w:rsidP="00155E83">
            <w:pPr>
              <w:pStyle w:val="Table2"/>
            </w:pPr>
            <w:r>
              <w:t>2.7</w:t>
            </w:r>
          </w:p>
        </w:tc>
      </w:tr>
      <w:tr w:rsidR="00CB6DBF" w:rsidTr="00D851DE">
        <w:tc>
          <w:tcPr>
            <w:tcW w:w="675" w:type="dxa"/>
            <w:tcBorders>
              <w:left w:val="single" w:sz="8" w:space="0" w:color="auto"/>
            </w:tcBorders>
          </w:tcPr>
          <w:p w:rsidR="00CB6DBF" w:rsidRPr="00155E83" w:rsidRDefault="00CB6DBF" w:rsidP="00866E83">
            <w:pPr>
              <w:pStyle w:val="Table2"/>
            </w:pPr>
            <w:r w:rsidRPr="00155E83">
              <w:t>20</w:t>
            </w:r>
          </w:p>
        </w:tc>
        <w:tc>
          <w:tcPr>
            <w:tcW w:w="709" w:type="dxa"/>
            <w:tcBorders>
              <w:right w:val="single" w:sz="8" w:space="0" w:color="auto"/>
            </w:tcBorders>
          </w:tcPr>
          <w:p w:rsidR="00CB6DBF" w:rsidRPr="00155E83" w:rsidRDefault="00CB6DBF" w:rsidP="00866E83">
            <w:pPr>
              <w:pStyle w:val="Table2"/>
            </w:pPr>
            <w:r w:rsidRPr="00155E83">
              <w:t>2032</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23,437,295 </w:t>
            </w:r>
          </w:p>
        </w:tc>
        <w:tc>
          <w:tcPr>
            <w:tcW w:w="1871" w:type="dxa"/>
            <w:tcBorders>
              <w:left w:val="single" w:sz="8" w:space="0" w:color="auto"/>
              <w:right w:val="single" w:sz="8" w:space="0" w:color="auto"/>
            </w:tcBorders>
            <w:vAlign w:val="bottom"/>
          </w:tcPr>
          <w:p w:rsidR="00CB6DBF" w:rsidRDefault="00CB6DBF" w:rsidP="00155E83">
            <w:pPr>
              <w:pStyle w:val="Table2"/>
            </w:pPr>
            <w:r>
              <w:t>2.4</w:t>
            </w:r>
          </w:p>
        </w:tc>
      </w:tr>
      <w:tr w:rsidR="00CB6DBF" w:rsidTr="00D851DE">
        <w:tc>
          <w:tcPr>
            <w:tcW w:w="675" w:type="dxa"/>
            <w:tcBorders>
              <w:left w:val="single" w:sz="8" w:space="0" w:color="auto"/>
            </w:tcBorders>
          </w:tcPr>
          <w:p w:rsidR="00CB6DBF" w:rsidRPr="00155E83" w:rsidRDefault="00CB6DBF" w:rsidP="00866E83">
            <w:pPr>
              <w:pStyle w:val="Table2"/>
            </w:pPr>
            <w:r w:rsidRPr="00155E83">
              <w:t>21</w:t>
            </w:r>
          </w:p>
        </w:tc>
        <w:tc>
          <w:tcPr>
            <w:tcW w:w="709" w:type="dxa"/>
            <w:tcBorders>
              <w:right w:val="single" w:sz="8" w:space="0" w:color="auto"/>
            </w:tcBorders>
          </w:tcPr>
          <w:p w:rsidR="00CB6DBF" w:rsidRPr="00155E83" w:rsidRDefault="00CB6DBF" w:rsidP="00866E83">
            <w:pPr>
              <w:pStyle w:val="Table2"/>
            </w:pPr>
            <w:r w:rsidRPr="00155E83">
              <w:t>2033</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20,286,356 </w:t>
            </w:r>
          </w:p>
        </w:tc>
        <w:tc>
          <w:tcPr>
            <w:tcW w:w="1871" w:type="dxa"/>
            <w:tcBorders>
              <w:left w:val="single" w:sz="8" w:space="0" w:color="auto"/>
              <w:right w:val="single" w:sz="8" w:space="0" w:color="auto"/>
            </w:tcBorders>
            <w:vAlign w:val="bottom"/>
          </w:tcPr>
          <w:p w:rsidR="00CB6DBF" w:rsidRDefault="00CB6DBF" w:rsidP="00155E83">
            <w:pPr>
              <w:pStyle w:val="Table2"/>
            </w:pPr>
            <w:r>
              <w:t>2.1</w:t>
            </w:r>
          </w:p>
        </w:tc>
      </w:tr>
      <w:tr w:rsidR="00CB6DBF" w:rsidTr="00D851DE">
        <w:tc>
          <w:tcPr>
            <w:tcW w:w="675" w:type="dxa"/>
            <w:tcBorders>
              <w:left w:val="single" w:sz="8" w:space="0" w:color="auto"/>
            </w:tcBorders>
          </w:tcPr>
          <w:p w:rsidR="00CB6DBF" w:rsidRPr="00155E83" w:rsidRDefault="00CB6DBF" w:rsidP="00866E83">
            <w:pPr>
              <w:pStyle w:val="Table2"/>
            </w:pPr>
            <w:r w:rsidRPr="00155E83">
              <w:t>22</w:t>
            </w:r>
          </w:p>
        </w:tc>
        <w:tc>
          <w:tcPr>
            <w:tcW w:w="709" w:type="dxa"/>
            <w:tcBorders>
              <w:right w:val="single" w:sz="8" w:space="0" w:color="auto"/>
            </w:tcBorders>
          </w:tcPr>
          <w:p w:rsidR="00CB6DBF" w:rsidRPr="00155E83" w:rsidRDefault="00CB6DBF" w:rsidP="00866E83">
            <w:pPr>
              <w:pStyle w:val="Table2"/>
            </w:pPr>
            <w:r w:rsidRPr="00155E83">
              <w:t>2034</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16,743,012 </w:t>
            </w:r>
          </w:p>
        </w:tc>
        <w:tc>
          <w:tcPr>
            <w:tcW w:w="1871" w:type="dxa"/>
            <w:tcBorders>
              <w:left w:val="single" w:sz="8" w:space="0" w:color="auto"/>
              <w:right w:val="single" w:sz="8" w:space="0" w:color="auto"/>
            </w:tcBorders>
            <w:vAlign w:val="bottom"/>
          </w:tcPr>
          <w:p w:rsidR="00CB6DBF" w:rsidRDefault="00CB6DBF" w:rsidP="00155E83">
            <w:pPr>
              <w:pStyle w:val="Table2"/>
            </w:pPr>
            <w:r>
              <w:t>1.7</w:t>
            </w:r>
          </w:p>
        </w:tc>
      </w:tr>
      <w:tr w:rsidR="00CB6DBF" w:rsidTr="00D851DE">
        <w:tc>
          <w:tcPr>
            <w:tcW w:w="675" w:type="dxa"/>
            <w:tcBorders>
              <w:left w:val="single" w:sz="8" w:space="0" w:color="auto"/>
            </w:tcBorders>
          </w:tcPr>
          <w:p w:rsidR="00CB6DBF" w:rsidRPr="00155E83" w:rsidRDefault="00CB6DBF" w:rsidP="00866E83">
            <w:pPr>
              <w:pStyle w:val="Table2"/>
            </w:pPr>
            <w:r w:rsidRPr="00155E83">
              <w:t>23</w:t>
            </w:r>
          </w:p>
        </w:tc>
        <w:tc>
          <w:tcPr>
            <w:tcW w:w="709" w:type="dxa"/>
            <w:tcBorders>
              <w:right w:val="single" w:sz="8" w:space="0" w:color="auto"/>
            </w:tcBorders>
          </w:tcPr>
          <w:p w:rsidR="00CB6DBF" w:rsidRPr="00155E83" w:rsidRDefault="00CB6DBF" w:rsidP="00866E83">
            <w:pPr>
              <w:pStyle w:val="Table2"/>
            </w:pPr>
            <w:r w:rsidRPr="00155E83">
              <w:t>2035</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14,257,096 </w:t>
            </w:r>
          </w:p>
        </w:tc>
        <w:tc>
          <w:tcPr>
            <w:tcW w:w="1871" w:type="dxa"/>
            <w:tcBorders>
              <w:left w:val="single" w:sz="8" w:space="0" w:color="auto"/>
              <w:right w:val="single" w:sz="8" w:space="0" w:color="auto"/>
            </w:tcBorders>
            <w:vAlign w:val="bottom"/>
          </w:tcPr>
          <w:p w:rsidR="00CB6DBF" w:rsidRDefault="00CB6DBF" w:rsidP="00155E83">
            <w:pPr>
              <w:pStyle w:val="Table2"/>
            </w:pPr>
            <w:r>
              <w:t>1.5</w:t>
            </w:r>
          </w:p>
        </w:tc>
      </w:tr>
      <w:tr w:rsidR="00CB6DBF" w:rsidTr="00D851DE">
        <w:tc>
          <w:tcPr>
            <w:tcW w:w="675" w:type="dxa"/>
            <w:tcBorders>
              <w:left w:val="single" w:sz="8" w:space="0" w:color="auto"/>
            </w:tcBorders>
          </w:tcPr>
          <w:p w:rsidR="00CB6DBF" w:rsidRPr="00155E83" w:rsidRDefault="00CB6DBF" w:rsidP="00866E83">
            <w:pPr>
              <w:pStyle w:val="Table2"/>
            </w:pPr>
            <w:r w:rsidRPr="00155E83">
              <w:t>24</w:t>
            </w:r>
          </w:p>
        </w:tc>
        <w:tc>
          <w:tcPr>
            <w:tcW w:w="709" w:type="dxa"/>
            <w:tcBorders>
              <w:right w:val="single" w:sz="8" w:space="0" w:color="auto"/>
            </w:tcBorders>
          </w:tcPr>
          <w:p w:rsidR="00CB6DBF" w:rsidRPr="00155E83" w:rsidRDefault="00CB6DBF" w:rsidP="00866E83">
            <w:pPr>
              <w:pStyle w:val="Table2"/>
            </w:pPr>
            <w:r w:rsidRPr="00155E83">
              <w:t>2036</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11,439,908 </w:t>
            </w:r>
          </w:p>
        </w:tc>
        <w:tc>
          <w:tcPr>
            <w:tcW w:w="1871" w:type="dxa"/>
            <w:tcBorders>
              <w:left w:val="single" w:sz="8" w:space="0" w:color="auto"/>
              <w:right w:val="single" w:sz="8" w:space="0" w:color="auto"/>
            </w:tcBorders>
            <w:vAlign w:val="bottom"/>
          </w:tcPr>
          <w:p w:rsidR="00CB6DBF" w:rsidRDefault="00CB6DBF" w:rsidP="00155E83">
            <w:pPr>
              <w:pStyle w:val="Table2"/>
            </w:pPr>
            <w:r>
              <w:t>1.2</w:t>
            </w:r>
          </w:p>
        </w:tc>
      </w:tr>
      <w:tr w:rsidR="00CB6DBF" w:rsidTr="00D851DE">
        <w:tc>
          <w:tcPr>
            <w:tcW w:w="675" w:type="dxa"/>
            <w:tcBorders>
              <w:left w:val="single" w:sz="8" w:space="0" w:color="auto"/>
            </w:tcBorders>
          </w:tcPr>
          <w:p w:rsidR="00CB6DBF" w:rsidRPr="00155E83" w:rsidRDefault="00CB6DBF" w:rsidP="00866E83">
            <w:pPr>
              <w:pStyle w:val="Table2"/>
            </w:pPr>
            <w:r w:rsidRPr="00155E83">
              <w:t>25</w:t>
            </w:r>
          </w:p>
        </w:tc>
        <w:tc>
          <w:tcPr>
            <w:tcW w:w="709" w:type="dxa"/>
            <w:tcBorders>
              <w:right w:val="single" w:sz="8" w:space="0" w:color="auto"/>
            </w:tcBorders>
          </w:tcPr>
          <w:p w:rsidR="00CB6DBF" w:rsidRPr="00155E83" w:rsidRDefault="00CB6DBF" w:rsidP="00866E83">
            <w:pPr>
              <w:pStyle w:val="Table2"/>
            </w:pPr>
            <w:r w:rsidRPr="00155E83">
              <w:t>2037</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8,854,971 </w:t>
            </w:r>
          </w:p>
        </w:tc>
        <w:tc>
          <w:tcPr>
            <w:tcW w:w="1871" w:type="dxa"/>
            <w:tcBorders>
              <w:left w:val="single" w:sz="8" w:space="0" w:color="auto"/>
              <w:right w:val="single" w:sz="8" w:space="0" w:color="auto"/>
            </w:tcBorders>
            <w:vAlign w:val="bottom"/>
          </w:tcPr>
          <w:p w:rsidR="00CB6DBF" w:rsidRDefault="00CB6DBF" w:rsidP="00155E83">
            <w:pPr>
              <w:pStyle w:val="Table2"/>
            </w:pPr>
            <w:r>
              <w:t>0.9</w:t>
            </w:r>
          </w:p>
        </w:tc>
      </w:tr>
      <w:tr w:rsidR="00CB6DBF" w:rsidTr="00D851DE">
        <w:tc>
          <w:tcPr>
            <w:tcW w:w="675" w:type="dxa"/>
            <w:tcBorders>
              <w:left w:val="single" w:sz="8" w:space="0" w:color="auto"/>
            </w:tcBorders>
          </w:tcPr>
          <w:p w:rsidR="00CB6DBF" w:rsidRPr="00155E83" w:rsidRDefault="00CB6DBF" w:rsidP="00866E83">
            <w:pPr>
              <w:pStyle w:val="Table2"/>
            </w:pPr>
            <w:r w:rsidRPr="00155E83">
              <w:t>26</w:t>
            </w:r>
          </w:p>
        </w:tc>
        <w:tc>
          <w:tcPr>
            <w:tcW w:w="709" w:type="dxa"/>
            <w:tcBorders>
              <w:right w:val="single" w:sz="8" w:space="0" w:color="auto"/>
            </w:tcBorders>
          </w:tcPr>
          <w:p w:rsidR="00CB6DBF" w:rsidRPr="00155E83" w:rsidRDefault="00CB6DBF" w:rsidP="00866E83">
            <w:pPr>
              <w:pStyle w:val="Table2"/>
            </w:pPr>
            <w:r w:rsidRPr="00155E83">
              <w:t>2038</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7,096,644 </w:t>
            </w:r>
          </w:p>
        </w:tc>
        <w:tc>
          <w:tcPr>
            <w:tcW w:w="1871" w:type="dxa"/>
            <w:tcBorders>
              <w:left w:val="single" w:sz="8" w:space="0" w:color="auto"/>
              <w:right w:val="single" w:sz="8" w:space="0" w:color="auto"/>
            </w:tcBorders>
            <w:vAlign w:val="bottom"/>
          </w:tcPr>
          <w:p w:rsidR="00CB6DBF" w:rsidRDefault="00CB6DBF" w:rsidP="00155E83">
            <w:pPr>
              <w:pStyle w:val="Table2"/>
            </w:pPr>
            <w:r>
              <w:t>0.7</w:t>
            </w:r>
          </w:p>
        </w:tc>
      </w:tr>
      <w:tr w:rsidR="00CB6DBF" w:rsidTr="00D851DE">
        <w:tc>
          <w:tcPr>
            <w:tcW w:w="675" w:type="dxa"/>
            <w:tcBorders>
              <w:left w:val="single" w:sz="8" w:space="0" w:color="auto"/>
            </w:tcBorders>
          </w:tcPr>
          <w:p w:rsidR="00CB6DBF" w:rsidRPr="00155E83" w:rsidRDefault="00CB6DBF" w:rsidP="00235A7C">
            <w:pPr>
              <w:pStyle w:val="Table2"/>
            </w:pPr>
            <w:r w:rsidRPr="00155E83">
              <w:t>27</w:t>
            </w:r>
          </w:p>
        </w:tc>
        <w:tc>
          <w:tcPr>
            <w:tcW w:w="709" w:type="dxa"/>
            <w:tcBorders>
              <w:right w:val="single" w:sz="8" w:space="0" w:color="auto"/>
            </w:tcBorders>
          </w:tcPr>
          <w:p w:rsidR="00CB6DBF" w:rsidRPr="00155E83" w:rsidRDefault="00CB6DBF" w:rsidP="00866E83">
            <w:pPr>
              <w:pStyle w:val="Table2"/>
            </w:pPr>
            <w:r w:rsidRPr="00155E83">
              <w:t>2039</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5,481,267 </w:t>
            </w:r>
          </w:p>
        </w:tc>
        <w:tc>
          <w:tcPr>
            <w:tcW w:w="1871" w:type="dxa"/>
            <w:tcBorders>
              <w:left w:val="single" w:sz="8" w:space="0" w:color="auto"/>
              <w:right w:val="single" w:sz="8" w:space="0" w:color="auto"/>
            </w:tcBorders>
            <w:vAlign w:val="bottom"/>
          </w:tcPr>
          <w:p w:rsidR="00CB6DBF" w:rsidRDefault="00CB6DBF" w:rsidP="00155E83">
            <w:pPr>
              <w:pStyle w:val="Table2"/>
            </w:pPr>
            <w:r>
              <w:t>0.6</w:t>
            </w:r>
          </w:p>
        </w:tc>
      </w:tr>
      <w:tr w:rsidR="00CB6DBF" w:rsidTr="00D851DE">
        <w:tc>
          <w:tcPr>
            <w:tcW w:w="675" w:type="dxa"/>
            <w:tcBorders>
              <w:left w:val="single" w:sz="8" w:space="0" w:color="auto"/>
            </w:tcBorders>
          </w:tcPr>
          <w:p w:rsidR="00CB6DBF" w:rsidRPr="00155E83" w:rsidRDefault="00CB6DBF" w:rsidP="00235A7C">
            <w:pPr>
              <w:pStyle w:val="Table2"/>
            </w:pPr>
            <w:r w:rsidRPr="00155E83">
              <w:t>28</w:t>
            </w:r>
          </w:p>
        </w:tc>
        <w:tc>
          <w:tcPr>
            <w:tcW w:w="709" w:type="dxa"/>
            <w:tcBorders>
              <w:right w:val="single" w:sz="8" w:space="0" w:color="auto"/>
            </w:tcBorders>
          </w:tcPr>
          <w:p w:rsidR="00CB6DBF" w:rsidRPr="00155E83" w:rsidRDefault="00CB6DBF" w:rsidP="00866E83">
            <w:pPr>
              <w:pStyle w:val="Table2"/>
            </w:pPr>
            <w:r w:rsidRPr="00155E83">
              <w:t>2040</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3,634,165 </w:t>
            </w:r>
          </w:p>
        </w:tc>
        <w:tc>
          <w:tcPr>
            <w:tcW w:w="1871" w:type="dxa"/>
            <w:tcBorders>
              <w:left w:val="single" w:sz="8" w:space="0" w:color="auto"/>
              <w:right w:val="single" w:sz="8" w:space="0" w:color="auto"/>
            </w:tcBorders>
            <w:vAlign w:val="bottom"/>
          </w:tcPr>
          <w:p w:rsidR="00CB6DBF" w:rsidRDefault="00CB6DBF" w:rsidP="00155E83">
            <w:pPr>
              <w:pStyle w:val="Table2"/>
            </w:pPr>
            <w:r>
              <w:t>0.4</w:t>
            </w:r>
          </w:p>
        </w:tc>
      </w:tr>
      <w:tr w:rsidR="00CB6DBF" w:rsidTr="00D851DE">
        <w:tc>
          <w:tcPr>
            <w:tcW w:w="675" w:type="dxa"/>
            <w:tcBorders>
              <w:left w:val="single" w:sz="8" w:space="0" w:color="auto"/>
            </w:tcBorders>
          </w:tcPr>
          <w:p w:rsidR="00CB6DBF" w:rsidRPr="00155E83" w:rsidRDefault="00CB6DBF" w:rsidP="00235A7C">
            <w:pPr>
              <w:pStyle w:val="Table2"/>
            </w:pPr>
            <w:r w:rsidRPr="00155E83">
              <w:t>29</w:t>
            </w:r>
          </w:p>
        </w:tc>
        <w:tc>
          <w:tcPr>
            <w:tcW w:w="709" w:type="dxa"/>
            <w:tcBorders>
              <w:right w:val="single" w:sz="8" w:space="0" w:color="auto"/>
            </w:tcBorders>
          </w:tcPr>
          <w:p w:rsidR="00CB6DBF" w:rsidRPr="00155E83" w:rsidRDefault="00CB6DBF" w:rsidP="00866E83">
            <w:pPr>
              <w:pStyle w:val="Table2"/>
            </w:pPr>
            <w:r w:rsidRPr="00155E83">
              <w:t>2041</w:t>
            </w:r>
          </w:p>
        </w:tc>
        <w:tc>
          <w:tcPr>
            <w:tcW w:w="1871" w:type="dxa"/>
            <w:tcBorders>
              <w:left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right w:val="single" w:sz="8" w:space="0" w:color="auto"/>
            </w:tcBorders>
          </w:tcPr>
          <w:p w:rsidR="00CB6DBF" w:rsidRDefault="00CB6DBF" w:rsidP="00155E83">
            <w:pPr>
              <w:pStyle w:val="Table2"/>
            </w:pPr>
            <w:r w:rsidRPr="00DA14B6">
              <w:t xml:space="preserve"> 2,214,121 </w:t>
            </w:r>
          </w:p>
        </w:tc>
        <w:tc>
          <w:tcPr>
            <w:tcW w:w="1871" w:type="dxa"/>
            <w:tcBorders>
              <w:left w:val="single" w:sz="8" w:space="0" w:color="auto"/>
              <w:right w:val="single" w:sz="8" w:space="0" w:color="auto"/>
            </w:tcBorders>
            <w:vAlign w:val="bottom"/>
          </w:tcPr>
          <w:p w:rsidR="00CB6DBF" w:rsidRDefault="00CB6DBF" w:rsidP="00155E83">
            <w:pPr>
              <w:pStyle w:val="Table2"/>
            </w:pPr>
            <w:r>
              <w:t>0.2</w:t>
            </w:r>
          </w:p>
        </w:tc>
      </w:tr>
      <w:tr w:rsidR="00CB6DBF" w:rsidTr="00D851DE">
        <w:tc>
          <w:tcPr>
            <w:tcW w:w="675" w:type="dxa"/>
            <w:tcBorders>
              <w:left w:val="single" w:sz="8" w:space="0" w:color="auto"/>
              <w:bottom w:val="single" w:sz="8" w:space="0" w:color="auto"/>
            </w:tcBorders>
          </w:tcPr>
          <w:p w:rsidR="00CB6DBF" w:rsidRPr="00155E83" w:rsidRDefault="00CB6DBF" w:rsidP="00235A7C">
            <w:pPr>
              <w:pStyle w:val="Table2"/>
            </w:pPr>
            <w:r w:rsidRPr="00155E83">
              <w:t>30</w:t>
            </w:r>
          </w:p>
        </w:tc>
        <w:tc>
          <w:tcPr>
            <w:tcW w:w="709" w:type="dxa"/>
            <w:tcBorders>
              <w:bottom w:val="single" w:sz="8" w:space="0" w:color="auto"/>
              <w:right w:val="single" w:sz="8" w:space="0" w:color="auto"/>
            </w:tcBorders>
          </w:tcPr>
          <w:p w:rsidR="00CB6DBF" w:rsidRPr="00155E83" w:rsidRDefault="00CB6DBF" w:rsidP="00866E83">
            <w:pPr>
              <w:pStyle w:val="Table2"/>
            </w:pPr>
            <w:r w:rsidRPr="00155E83">
              <w:t>2042</w:t>
            </w:r>
          </w:p>
        </w:tc>
        <w:tc>
          <w:tcPr>
            <w:tcW w:w="1871" w:type="dxa"/>
            <w:tcBorders>
              <w:left w:val="single" w:sz="8" w:space="0" w:color="auto"/>
              <w:bottom w:val="single" w:sz="8" w:space="0" w:color="auto"/>
              <w:right w:val="single" w:sz="8" w:space="0" w:color="auto"/>
            </w:tcBorders>
            <w:vAlign w:val="bottom"/>
          </w:tcPr>
          <w:p w:rsidR="00CB6DBF" w:rsidRDefault="00CB6DBF" w:rsidP="00155E83">
            <w:pPr>
              <w:pStyle w:val="Table2"/>
            </w:pPr>
            <w:r>
              <w:noBreakHyphen/>
            </w:r>
          </w:p>
        </w:tc>
        <w:tc>
          <w:tcPr>
            <w:tcW w:w="1871" w:type="dxa"/>
            <w:tcBorders>
              <w:left w:val="single" w:sz="8" w:space="0" w:color="auto"/>
              <w:bottom w:val="single" w:sz="8" w:space="0" w:color="auto"/>
              <w:right w:val="single" w:sz="8" w:space="0" w:color="auto"/>
            </w:tcBorders>
          </w:tcPr>
          <w:p w:rsidR="00CB6DBF" w:rsidRDefault="00CB6DBF" w:rsidP="00155E83">
            <w:pPr>
              <w:pStyle w:val="Table2"/>
            </w:pPr>
            <w:r w:rsidRPr="00DA14B6">
              <w:t xml:space="preserve"> 1,032,656 </w:t>
            </w:r>
          </w:p>
        </w:tc>
        <w:tc>
          <w:tcPr>
            <w:tcW w:w="1871" w:type="dxa"/>
            <w:tcBorders>
              <w:left w:val="single" w:sz="8" w:space="0" w:color="auto"/>
              <w:bottom w:val="single" w:sz="8" w:space="0" w:color="auto"/>
              <w:right w:val="single" w:sz="8" w:space="0" w:color="auto"/>
            </w:tcBorders>
            <w:vAlign w:val="bottom"/>
          </w:tcPr>
          <w:p w:rsidR="00CB6DBF" w:rsidRDefault="00CB6DBF" w:rsidP="00155E83">
            <w:pPr>
              <w:pStyle w:val="Table2"/>
            </w:pPr>
            <w:r>
              <w:t>0.1</w:t>
            </w:r>
          </w:p>
        </w:tc>
      </w:tr>
      <w:tr w:rsidR="00155E83" w:rsidTr="00203EAF">
        <w:tc>
          <w:tcPr>
            <w:tcW w:w="1384" w:type="dxa"/>
            <w:gridSpan w:val="2"/>
            <w:vMerge w:val="restart"/>
            <w:tcBorders>
              <w:top w:val="single" w:sz="8" w:space="0" w:color="auto"/>
              <w:right w:val="single" w:sz="8" w:space="0" w:color="auto"/>
            </w:tcBorders>
          </w:tcPr>
          <w:p w:rsidR="00155E83" w:rsidRPr="00B65982" w:rsidRDefault="00155E83" w:rsidP="00235A7C">
            <w:pPr>
              <w:pStyle w:val="Table2"/>
              <w:rPr>
                <w:highlight w:val="yellow"/>
              </w:rPr>
            </w:pPr>
          </w:p>
        </w:tc>
        <w:tc>
          <w:tcPr>
            <w:tcW w:w="1871" w:type="dxa"/>
            <w:tcBorders>
              <w:top w:val="single" w:sz="8" w:space="0" w:color="auto"/>
              <w:left w:val="single" w:sz="8" w:space="0" w:color="auto"/>
              <w:bottom w:val="single" w:sz="8" w:space="0" w:color="auto"/>
              <w:right w:val="single" w:sz="8" w:space="0" w:color="auto"/>
            </w:tcBorders>
            <w:vAlign w:val="center"/>
          </w:tcPr>
          <w:p w:rsidR="00155E83" w:rsidRPr="00155E83" w:rsidRDefault="00155E83" w:rsidP="00155E83">
            <w:pPr>
              <w:pStyle w:val="Table2"/>
              <w:rPr>
                <w:b/>
              </w:rPr>
            </w:pPr>
            <w:r w:rsidRPr="00155E83">
              <w:rPr>
                <w:b/>
              </w:rPr>
              <w:t>$149,460,057</w:t>
            </w:r>
            <w:r w:rsidR="00CA5E6D">
              <w:rPr>
                <w:b/>
              </w:rPr>
              <w:t>*</w:t>
            </w:r>
          </w:p>
        </w:tc>
        <w:tc>
          <w:tcPr>
            <w:tcW w:w="1871" w:type="dxa"/>
            <w:tcBorders>
              <w:top w:val="single" w:sz="8" w:space="0" w:color="auto"/>
              <w:left w:val="single" w:sz="8" w:space="0" w:color="auto"/>
              <w:bottom w:val="single" w:sz="8" w:space="0" w:color="auto"/>
              <w:right w:val="single" w:sz="8" w:space="0" w:color="auto"/>
            </w:tcBorders>
            <w:vAlign w:val="center"/>
          </w:tcPr>
          <w:p w:rsidR="00155E83" w:rsidRPr="00155E83" w:rsidRDefault="00155E83" w:rsidP="00155E83">
            <w:pPr>
              <w:pStyle w:val="Table2"/>
              <w:rPr>
                <w:b/>
                <w:bCs/>
              </w:rPr>
            </w:pPr>
            <w:r w:rsidRPr="00155E83">
              <w:rPr>
                <w:b/>
                <w:bCs/>
              </w:rPr>
              <w:t>$72,752,382</w:t>
            </w:r>
            <w:r w:rsidR="00CA5E6D">
              <w:rPr>
                <w:b/>
                <w:bCs/>
              </w:rPr>
              <w:t>*</w:t>
            </w:r>
          </w:p>
        </w:tc>
        <w:tc>
          <w:tcPr>
            <w:tcW w:w="1871" w:type="dxa"/>
            <w:tcBorders>
              <w:top w:val="single" w:sz="8" w:space="0" w:color="auto"/>
              <w:left w:val="single" w:sz="8" w:space="0" w:color="auto"/>
              <w:bottom w:val="single" w:sz="8" w:space="0" w:color="auto"/>
              <w:right w:val="single" w:sz="8" w:space="0" w:color="auto"/>
            </w:tcBorders>
            <w:vAlign w:val="center"/>
          </w:tcPr>
          <w:p w:rsidR="00155E83" w:rsidRPr="00155E83" w:rsidRDefault="00155E83" w:rsidP="00155E83">
            <w:pPr>
              <w:pStyle w:val="Table2"/>
              <w:rPr>
                <w:b/>
                <w:bCs/>
              </w:rPr>
            </w:pPr>
            <w:r w:rsidRPr="00155E83">
              <w:rPr>
                <w:b/>
                <w:bCs/>
              </w:rPr>
              <w:t>57</w:t>
            </w:r>
          </w:p>
        </w:tc>
      </w:tr>
      <w:tr w:rsidR="00155E83" w:rsidTr="00203EAF">
        <w:tc>
          <w:tcPr>
            <w:tcW w:w="1384" w:type="dxa"/>
            <w:gridSpan w:val="2"/>
            <w:vMerge/>
            <w:tcBorders>
              <w:right w:val="single" w:sz="8" w:space="0" w:color="auto"/>
            </w:tcBorders>
          </w:tcPr>
          <w:p w:rsidR="00155E83" w:rsidRPr="00B65982" w:rsidRDefault="00155E83" w:rsidP="00235A7C">
            <w:pPr>
              <w:pStyle w:val="Table2"/>
              <w:rPr>
                <w:highlight w:val="yellow"/>
              </w:rPr>
            </w:pPr>
          </w:p>
        </w:tc>
        <w:tc>
          <w:tcPr>
            <w:tcW w:w="5613" w:type="dxa"/>
            <w:gridSpan w:val="3"/>
            <w:tcBorders>
              <w:top w:val="single" w:sz="8" w:space="0" w:color="auto"/>
              <w:left w:val="single" w:sz="8" w:space="0" w:color="auto"/>
              <w:bottom w:val="single" w:sz="8" w:space="0" w:color="auto"/>
              <w:right w:val="single" w:sz="8" w:space="0" w:color="auto"/>
            </w:tcBorders>
          </w:tcPr>
          <w:p w:rsidR="00155E83" w:rsidRPr="00B65982" w:rsidRDefault="00155E83" w:rsidP="00E056ED">
            <w:pPr>
              <w:pStyle w:val="Table2heading"/>
              <w:jc w:val="left"/>
              <w:rPr>
                <w:highlight w:val="yellow"/>
              </w:rPr>
            </w:pPr>
            <w:r w:rsidRPr="00155E83">
              <w:t>Benefit-Cost Ratio (BCR) = 1.5</w:t>
            </w:r>
          </w:p>
        </w:tc>
      </w:tr>
    </w:tbl>
    <w:p w:rsidR="00FE37EC" w:rsidRDefault="00CA5E6D" w:rsidP="00D851DE">
      <w:pPr>
        <w:pStyle w:val="Caption"/>
        <w:keepNext/>
      </w:pPr>
      <w:r>
        <w:tab/>
      </w:r>
      <w:r>
        <w:tab/>
        <w:t>*Discounted totals shown.</w:t>
      </w:r>
    </w:p>
    <w:p w:rsidR="007B51B5" w:rsidRPr="00A53967" w:rsidRDefault="007B51B5" w:rsidP="007B51B5">
      <w:pPr>
        <w:tabs>
          <w:tab w:val="clear" w:pos="851"/>
        </w:tabs>
        <w:spacing w:before="0" w:after="200" w:line="276" w:lineRule="auto"/>
      </w:pPr>
    </w:p>
    <w:p w:rsidR="00C47E21" w:rsidRDefault="00C47E21">
      <w:pPr>
        <w:tabs>
          <w:tab w:val="clear" w:pos="851"/>
        </w:tabs>
        <w:spacing w:before="0" w:after="200" w:line="276" w:lineRule="auto"/>
        <w:rPr>
          <w:highlight w:val="yellow"/>
        </w:rPr>
      </w:pPr>
      <w:r>
        <w:rPr>
          <w:highlight w:val="yellow"/>
        </w:rPr>
        <w:br w:type="page"/>
      </w:r>
    </w:p>
    <w:p w:rsidR="00A53967" w:rsidRPr="00C47E21" w:rsidRDefault="00C47E21" w:rsidP="00C47E21">
      <w:pPr>
        <w:pStyle w:val="boldleftaligned"/>
      </w:pPr>
      <w:r w:rsidRPr="00F2196E">
        <w:lastRenderedPageBreak/>
        <w:t>Summary and Sensitivities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0"/>
        <w:gridCol w:w="1540"/>
        <w:gridCol w:w="1541"/>
        <w:gridCol w:w="1540"/>
        <w:gridCol w:w="1540"/>
        <w:gridCol w:w="1541"/>
      </w:tblGrid>
      <w:tr w:rsidR="00F32B7D" w:rsidTr="00790E6A">
        <w:tc>
          <w:tcPr>
            <w:tcW w:w="1540" w:type="dxa"/>
            <w:tcBorders>
              <w:top w:val="single" w:sz="8" w:space="0" w:color="auto"/>
              <w:bottom w:val="single" w:sz="8" w:space="0" w:color="auto"/>
            </w:tcBorders>
          </w:tcPr>
          <w:p w:rsidR="009B0665" w:rsidRDefault="009B0665" w:rsidP="009B0665">
            <w:pPr>
              <w:pStyle w:val="Table2heading"/>
            </w:pPr>
          </w:p>
        </w:tc>
        <w:tc>
          <w:tcPr>
            <w:tcW w:w="1540" w:type="dxa"/>
            <w:tcBorders>
              <w:top w:val="single" w:sz="8" w:space="0" w:color="auto"/>
              <w:bottom w:val="single" w:sz="8" w:space="0" w:color="auto"/>
            </w:tcBorders>
            <w:vAlign w:val="center"/>
          </w:tcPr>
          <w:p w:rsidR="009B0665" w:rsidRDefault="009B0665" w:rsidP="00087B08">
            <w:pPr>
              <w:pStyle w:val="Table2heading"/>
              <w:jc w:val="left"/>
            </w:pPr>
            <w:r>
              <w:t>Net benefit</w:t>
            </w:r>
          </w:p>
        </w:tc>
        <w:tc>
          <w:tcPr>
            <w:tcW w:w="1541" w:type="dxa"/>
            <w:tcBorders>
              <w:top w:val="single" w:sz="8" w:space="0" w:color="auto"/>
              <w:bottom w:val="single" w:sz="8" w:space="0" w:color="auto"/>
            </w:tcBorders>
            <w:vAlign w:val="center"/>
          </w:tcPr>
          <w:p w:rsidR="009B0665" w:rsidRDefault="009B0665" w:rsidP="00087B08">
            <w:pPr>
              <w:pStyle w:val="Table2heading"/>
              <w:jc w:val="left"/>
            </w:pPr>
            <w:r>
              <w:t>Cost to business</w:t>
            </w:r>
          </w:p>
        </w:tc>
        <w:tc>
          <w:tcPr>
            <w:tcW w:w="1540" w:type="dxa"/>
            <w:tcBorders>
              <w:top w:val="single" w:sz="8" w:space="0" w:color="auto"/>
              <w:bottom w:val="single" w:sz="8" w:space="0" w:color="auto"/>
            </w:tcBorders>
            <w:vAlign w:val="center"/>
          </w:tcPr>
          <w:p w:rsidR="009B0665" w:rsidRDefault="009B0665" w:rsidP="00087B08">
            <w:pPr>
              <w:pStyle w:val="Table2heading"/>
              <w:jc w:val="left"/>
            </w:pPr>
            <w:r>
              <w:t>Cost to government</w:t>
            </w:r>
          </w:p>
        </w:tc>
        <w:tc>
          <w:tcPr>
            <w:tcW w:w="1540" w:type="dxa"/>
            <w:tcBorders>
              <w:top w:val="single" w:sz="8" w:space="0" w:color="auto"/>
              <w:bottom w:val="single" w:sz="8" w:space="0" w:color="auto"/>
            </w:tcBorders>
            <w:vAlign w:val="center"/>
          </w:tcPr>
          <w:p w:rsidR="009B0665" w:rsidRDefault="009B0665" w:rsidP="00087B08">
            <w:pPr>
              <w:pStyle w:val="Table2heading"/>
              <w:jc w:val="left"/>
            </w:pPr>
            <w:r>
              <w:t>BCR</w:t>
            </w:r>
          </w:p>
        </w:tc>
        <w:tc>
          <w:tcPr>
            <w:tcW w:w="1541" w:type="dxa"/>
            <w:tcBorders>
              <w:top w:val="single" w:sz="8" w:space="0" w:color="auto"/>
              <w:bottom w:val="single" w:sz="8" w:space="0" w:color="auto"/>
            </w:tcBorders>
            <w:vAlign w:val="center"/>
          </w:tcPr>
          <w:p w:rsidR="009B0665" w:rsidRDefault="009B0665" w:rsidP="00087B08">
            <w:pPr>
              <w:pStyle w:val="Table2heading"/>
              <w:jc w:val="left"/>
            </w:pPr>
            <w:r>
              <w:t>Lives saved</w:t>
            </w:r>
          </w:p>
        </w:tc>
      </w:tr>
      <w:tr w:rsidR="00790E6A" w:rsidTr="00790E6A">
        <w:tc>
          <w:tcPr>
            <w:tcW w:w="1540" w:type="dxa"/>
            <w:tcBorders>
              <w:top w:val="single" w:sz="8" w:space="0" w:color="auto"/>
            </w:tcBorders>
          </w:tcPr>
          <w:p w:rsidR="00790E6A" w:rsidRDefault="00790E6A" w:rsidP="009B0665">
            <w:pPr>
              <w:pStyle w:val="Table2"/>
            </w:pPr>
            <w:r>
              <w:t>Best case</w:t>
            </w:r>
          </w:p>
        </w:tc>
        <w:tc>
          <w:tcPr>
            <w:tcW w:w="1540" w:type="dxa"/>
            <w:tcBorders>
              <w:top w:val="single" w:sz="8" w:space="0" w:color="auto"/>
            </w:tcBorders>
          </w:tcPr>
          <w:p w:rsidR="00790E6A" w:rsidRPr="00F32B7D" w:rsidRDefault="00790E6A">
            <w:pPr>
              <w:pStyle w:val="Table2"/>
            </w:pPr>
            <w:r w:rsidRPr="00624BC0">
              <w:t>$353,950,624</w:t>
            </w:r>
          </w:p>
        </w:tc>
        <w:tc>
          <w:tcPr>
            <w:tcW w:w="1541" w:type="dxa"/>
            <w:tcBorders>
              <w:top w:val="single" w:sz="8" w:space="0" w:color="auto"/>
            </w:tcBorders>
          </w:tcPr>
          <w:p w:rsidR="00790E6A" w:rsidRPr="00F32B7D" w:rsidRDefault="00790E6A" w:rsidP="009B0665">
            <w:pPr>
              <w:pStyle w:val="Table2"/>
            </w:pPr>
            <w:r w:rsidRPr="00624BC0">
              <w:t>$177,333,376</w:t>
            </w:r>
          </w:p>
        </w:tc>
        <w:tc>
          <w:tcPr>
            <w:tcW w:w="1540" w:type="dxa"/>
            <w:tcBorders>
              <w:top w:val="single" w:sz="8" w:space="0" w:color="auto"/>
            </w:tcBorders>
          </w:tcPr>
          <w:p w:rsidR="00790E6A" w:rsidRPr="009B0665" w:rsidRDefault="003D4B23" w:rsidP="00790E6A">
            <w:pPr>
              <w:pStyle w:val="Table2"/>
            </w:pPr>
            <w:r>
              <w:noBreakHyphen/>
            </w:r>
          </w:p>
        </w:tc>
        <w:tc>
          <w:tcPr>
            <w:tcW w:w="1540" w:type="dxa"/>
            <w:tcBorders>
              <w:top w:val="single" w:sz="8" w:space="0" w:color="auto"/>
            </w:tcBorders>
          </w:tcPr>
          <w:p w:rsidR="00790E6A" w:rsidRPr="009B0665" w:rsidRDefault="00790E6A" w:rsidP="00790E6A">
            <w:pPr>
              <w:pStyle w:val="Table2"/>
            </w:pPr>
            <w:r w:rsidRPr="00624BC0">
              <w:t>3.0</w:t>
            </w:r>
          </w:p>
        </w:tc>
        <w:tc>
          <w:tcPr>
            <w:tcW w:w="1541" w:type="dxa"/>
            <w:tcBorders>
              <w:top w:val="single" w:sz="8" w:space="0" w:color="auto"/>
            </w:tcBorders>
          </w:tcPr>
          <w:p w:rsidR="00790E6A" w:rsidRPr="009B0665" w:rsidRDefault="00790E6A" w:rsidP="00790E6A">
            <w:pPr>
              <w:pStyle w:val="Table2"/>
            </w:pPr>
            <w:r w:rsidRPr="00624BC0">
              <w:t>84</w:t>
            </w:r>
          </w:p>
        </w:tc>
      </w:tr>
      <w:tr w:rsidR="00790E6A" w:rsidTr="00790E6A">
        <w:tc>
          <w:tcPr>
            <w:tcW w:w="1540" w:type="dxa"/>
          </w:tcPr>
          <w:p w:rsidR="00790E6A" w:rsidRPr="009B0665" w:rsidRDefault="00790E6A" w:rsidP="009B0665">
            <w:pPr>
              <w:pStyle w:val="Table2"/>
              <w:rPr>
                <w:b/>
              </w:rPr>
            </w:pPr>
            <w:r w:rsidRPr="009B0665">
              <w:rPr>
                <w:b/>
              </w:rPr>
              <w:t>Likely case</w:t>
            </w:r>
          </w:p>
        </w:tc>
        <w:tc>
          <w:tcPr>
            <w:tcW w:w="1540" w:type="dxa"/>
          </w:tcPr>
          <w:p w:rsidR="00790E6A" w:rsidRPr="000C38AF" w:rsidRDefault="00790E6A">
            <w:pPr>
              <w:pStyle w:val="Table2"/>
              <w:rPr>
                <w:b/>
              </w:rPr>
            </w:pPr>
            <w:r w:rsidRPr="00790E6A">
              <w:rPr>
                <w:b/>
              </w:rPr>
              <w:t>$72,752,382</w:t>
            </w:r>
          </w:p>
        </w:tc>
        <w:tc>
          <w:tcPr>
            <w:tcW w:w="1541" w:type="dxa"/>
          </w:tcPr>
          <w:p w:rsidR="00790E6A" w:rsidRPr="000C38AF" w:rsidRDefault="00790E6A">
            <w:pPr>
              <w:pStyle w:val="Table2"/>
              <w:rPr>
                <w:b/>
              </w:rPr>
            </w:pPr>
            <w:r w:rsidRPr="00790E6A">
              <w:rPr>
                <w:b/>
              </w:rPr>
              <w:t>$149,460,057</w:t>
            </w:r>
          </w:p>
        </w:tc>
        <w:tc>
          <w:tcPr>
            <w:tcW w:w="1540" w:type="dxa"/>
          </w:tcPr>
          <w:p w:rsidR="00790E6A" w:rsidRPr="000C38AF" w:rsidRDefault="003D4B23" w:rsidP="00790E6A">
            <w:pPr>
              <w:pStyle w:val="Table2"/>
              <w:rPr>
                <w:b/>
              </w:rPr>
            </w:pPr>
            <w:r>
              <w:rPr>
                <w:b/>
              </w:rPr>
              <w:noBreakHyphen/>
            </w:r>
          </w:p>
        </w:tc>
        <w:tc>
          <w:tcPr>
            <w:tcW w:w="1540" w:type="dxa"/>
          </w:tcPr>
          <w:p w:rsidR="00790E6A" w:rsidRPr="000C38AF" w:rsidRDefault="00790E6A" w:rsidP="00790E6A">
            <w:pPr>
              <w:pStyle w:val="Table2"/>
              <w:rPr>
                <w:b/>
              </w:rPr>
            </w:pPr>
            <w:r w:rsidRPr="00790E6A">
              <w:rPr>
                <w:b/>
              </w:rPr>
              <w:t>1.5</w:t>
            </w:r>
          </w:p>
        </w:tc>
        <w:tc>
          <w:tcPr>
            <w:tcW w:w="1541" w:type="dxa"/>
          </w:tcPr>
          <w:p w:rsidR="00790E6A" w:rsidRPr="000C38AF" w:rsidRDefault="00790E6A" w:rsidP="00790E6A">
            <w:pPr>
              <w:pStyle w:val="Table2"/>
              <w:rPr>
                <w:b/>
              </w:rPr>
            </w:pPr>
            <w:r w:rsidRPr="00790E6A">
              <w:rPr>
                <w:b/>
              </w:rPr>
              <w:t>57</w:t>
            </w:r>
          </w:p>
        </w:tc>
      </w:tr>
      <w:tr w:rsidR="00790E6A" w:rsidTr="00790E6A">
        <w:tc>
          <w:tcPr>
            <w:tcW w:w="1540" w:type="dxa"/>
            <w:tcBorders>
              <w:bottom w:val="single" w:sz="8" w:space="0" w:color="auto"/>
            </w:tcBorders>
          </w:tcPr>
          <w:p w:rsidR="00790E6A" w:rsidRDefault="00790E6A" w:rsidP="009B0665">
            <w:pPr>
              <w:pStyle w:val="Table2"/>
            </w:pPr>
            <w:r>
              <w:t>Worst case</w:t>
            </w:r>
          </w:p>
        </w:tc>
        <w:tc>
          <w:tcPr>
            <w:tcW w:w="1540" w:type="dxa"/>
            <w:tcBorders>
              <w:bottom w:val="single" w:sz="8" w:space="0" w:color="auto"/>
            </w:tcBorders>
          </w:tcPr>
          <w:p w:rsidR="00790E6A" w:rsidRPr="00F32B7D" w:rsidRDefault="00790E6A">
            <w:pPr>
              <w:pStyle w:val="Table2"/>
            </w:pPr>
            <w:r w:rsidRPr="00624BC0">
              <w:t>-$45,012,408</w:t>
            </w:r>
          </w:p>
        </w:tc>
        <w:tc>
          <w:tcPr>
            <w:tcW w:w="1541" w:type="dxa"/>
            <w:tcBorders>
              <w:bottom w:val="single" w:sz="8" w:space="0" w:color="auto"/>
            </w:tcBorders>
          </w:tcPr>
          <w:p w:rsidR="00790E6A" w:rsidRPr="00F32B7D" w:rsidRDefault="00790E6A">
            <w:pPr>
              <w:pStyle w:val="Table2"/>
            </w:pPr>
            <w:r w:rsidRPr="00624BC0">
              <w:t>$132,165,813</w:t>
            </w:r>
          </w:p>
        </w:tc>
        <w:tc>
          <w:tcPr>
            <w:tcW w:w="1540" w:type="dxa"/>
            <w:tcBorders>
              <w:bottom w:val="single" w:sz="8" w:space="0" w:color="auto"/>
            </w:tcBorders>
          </w:tcPr>
          <w:p w:rsidR="00790E6A" w:rsidRPr="009B0665" w:rsidRDefault="003D4B23" w:rsidP="00790E6A">
            <w:pPr>
              <w:pStyle w:val="Table2"/>
            </w:pPr>
            <w:r>
              <w:noBreakHyphen/>
            </w:r>
          </w:p>
        </w:tc>
        <w:tc>
          <w:tcPr>
            <w:tcW w:w="1540" w:type="dxa"/>
            <w:tcBorders>
              <w:bottom w:val="single" w:sz="8" w:space="0" w:color="auto"/>
            </w:tcBorders>
          </w:tcPr>
          <w:p w:rsidR="00790E6A" w:rsidRPr="009B0665" w:rsidRDefault="00790E6A" w:rsidP="00790E6A">
            <w:pPr>
              <w:pStyle w:val="Table2"/>
            </w:pPr>
            <w:r w:rsidRPr="00624BC0">
              <w:t>0.7</w:t>
            </w:r>
          </w:p>
        </w:tc>
        <w:tc>
          <w:tcPr>
            <w:tcW w:w="1541" w:type="dxa"/>
            <w:tcBorders>
              <w:bottom w:val="single" w:sz="8" w:space="0" w:color="auto"/>
            </w:tcBorders>
          </w:tcPr>
          <w:p w:rsidR="00790E6A" w:rsidRPr="009B0665" w:rsidRDefault="00790E6A" w:rsidP="00790E6A">
            <w:pPr>
              <w:pStyle w:val="Table2"/>
            </w:pPr>
            <w:r w:rsidRPr="00624BC0">
              <w:t>31</w:t>
            </w:r>
          </w:p>
        </w:tc>
      </w:tr>
    </w:tbl>
    <w:p w:rsidR="00087B08" w:rsidRDefault="00087B08" w:rsidP="00087B08">
      <w:pPr>
        <w:pStyle w:val="Table2"/>
      </w:pPr>
      <w:r>
        <w:t>Note:</w:t>
      </w:r>
    </w:p>
    <w:p w:rsidR="000C38AF" w:rsidRPr="00C779B7" w:rsidRDefault="000C38AF" w:rsidP="000C38AF">
      <w:pPr>
        <w:pStyle w:val="Table2"/>
      </w:pPr>
      <w:r w:rsidRPr="00C779B7">
        <w:t>Best case—</w:t>
      </w:r>
      <w:r w:rsidR="00422624">
        <w:t>4</w:t>
      </w:r>
      <w:r w:rsidRPr="00C779B7">
        <w:t xml:space="preserve">-year period; </w:t>
      </w:r>
      <w:r w:rsidR="00422624">
        <w:t>3</w:t>
      </w:r>
      <w:r w:rsidRPr="00C779B7">
        <w:t xml:space="preserve"> per cent discount rate; </w:t>
      </w:r>
      <w:r w:rsidR="00422624">
        <w:t>8</w:t>
      </w:r>
      <w:r w:rsidRPr="00C779B7">
        <w:t> per cent effectiveness of ABS</w:t>
      </w:r>
    </w:p>
    <w:p w:rsidR="000C38AF" w:rsidRPr="00C779B7" w:rsidRDefault="000C38AF" w:rsidP="000C38AF">
      <w:pPr>
        <w:pStyle w:val="Table2"/>
      </w:pPr>
      <w:r w:rsidRPr="00C779B7">
        <w:t>Likely case—</w:t>
      </w:r>
      <w:r w:rsidR="00422624">
        <w:t>4</w:t>
      </w:r>
      <w:r w:rsidRPr="00C779B7">
        <w:t xml:space="preserve">-year period; </w:t>
      </w:r>
      <w:r w:rsidR="00422624">
        <w:t>7</w:t>
      </w:r>
      <w:r w:rsidRPr="00C779B7">
        <w:t> per cent discount rate; 5.5 per cent effectiveness of ABS</w:t>
      </w:r>
    </w:p>
    <w:p w:rsidR="000C38AF" w:rsidRPr="00C779B7" w:rsidRDefault="000C38AF" w:rsidP="000C38AF">
      <w:pPr>
        <w:pStyle w:val="Table2"/>
      </w:pPr>
      <w:r w:rsidRPr="00C779B7">
        <w:t>Worst case—</w:t>
      </w:r>
      <w:r w:rsidR="00422624">
        <w:t>4</w:t>
      </w:r>
      <w:r w:rsidRPr="00C779B7">
        <w:t xml:space="preserve">-year period; </w:t>
      </w:r>
      <w:r>
        <w:t>10</w:t>
      </w:r>
      <w:r w:rsidRPr="00C779B7">
        <w:t> per cent discount rate;</w:t>
      </w:r>
      <w:r w:rsidR="00D4034B">
        <w:t xml:space="preserve"> </w:t>
      </w:r>
      <w:r w:rsidR="00422624">
        <w:t>3</w:t>
      </w:r>
      <w:r w:rsidRPr="00C779B7">
        <w:t> per cent effectiveness of ABS</w:t>
      </w:r>
    </w:p>
    <w:p w:rsidR="00C47E21" w:rsidRPr="00C47E21" w:rsidRDefault="00C47E21">
      <w:pPr>
        <w:tabs>
          <w:tab w:val="clear" w:pos="851"/>
        </w:tabs>
        <w:spacing w:before="0" w:after="200" w:line="276" w:lineRule="auto"/>
      </w:pPr>
    </w:p>
    <w:p w:rsidR="00A53967" w:rsidRDefault="00A53967">
      <w:pPr>
        <w:tabs>
          <w:tab w:val="clear" w:pos="851"/>
        </w:tabs>
        <w:spacing w:before="0" w:after="200" w:line="276" w:lineRule="auto"/>
        <w:rPr>
          <w:highlight w:val="yellow"/>
        </w:rPr>
      </w:pPr>
    </w:p>
    <w:p w:rsidR="00AA17C3" w:rsidRDefault="00AA17C3">
      <w:pPr>
        <w:tabs>
          <w:tab w:val="clear" w:pos="851"/>
        </w:tabs>
        <w:spacing w:before="0" w:after="200" w:line="276" w:lineRule="auto"/>
      </w:pPr>
      <w:r>
        <w:br w:type="page"/>
      </w:r>
    </w:p>
    <w:p w:rsidR="003B4D77" w:rsidRPr="00B137C0" w:rsidRDefault="00DA32D6" w:rsidP="00B137C0">
      <w:pPr>
        <w:pStyle w:val="Heading1"/>
        <w:numPr>
          <w:ilvl w:val="0"/>
          <w:numId w:val="0"/>
        </w:numPr>
      </w:pPr>
      <w:bookmarkStart w:id="92" w:name="_Toc319933960"/>
      <w:bookmarkStart w:id="93" w:name="_Ref333416631"/>
      <w:bookmarkStart w:id="94" w:name="_Ref342903888"/>
      <w:bookmarkStart w:id="95" w:name="_Ref343207323"/>
      <w:bookmarkStart w:id="96" w:name="_Ref343207331"/>
      <w:bookmarkStart w:id="97" w:name="_Toc375302815"/>
      <w:r w:rsidRPr="00B137C0">
        <w:lastRenderedPageBreak/>
        <w:t>A</w:t>
      </w:r>
      <w:r w:rsidR="007A1525" w:rsidRPr="00B137C0">
        <w:t xml:space="preserve">ppendix </w:t>
      </w:r>
      <w:r w:rsidR="0093639B" w:rsidRPr="00B137C0">
        <w:t>1</w:t>
      </w:r>
      <w:r w:rsidR="00A7586C" w:rsidRPr="00B137C0">
        <w:t>1</w:t>
      </w:r>
      <w:r w:rsidR="007A1525" w:rsidRPr="00B137C0">
        <w:t>—</w:t>
      </w:r>
      <w:r w:rsidR="00A7586C" w:rsidRPr="00B137C0">
        <w:t>Effe</w:t>
      </w:r>
      <w:r w:rsidR="00D27B5B" w:rsidRPr="00B137C0">
        <w:t>ctiveness of Antilock Braking Sy</w:t>
      </w:r>
      <w:r w:rsidR="00A7586C" w:rsidRPr="00B137C0">
        <w:t>stem Technology for Heavy Vehicles</w:t>
      </w:r>
      <w:bookmarkEnd w:id="92"/>
      <w:bookmarkEnd w:id="93"/>
      <w:bookmarkEnd w:id="94"/>
      <w:bookmarkEnd w:id="95"/>
      <w:bookmarkEnd w:id="96"/>
      <w:bookmarkEnd w:id="97"/>
    </w:p>
    <w:p w:rsidR="00AC52D7" w:rsidRPr="003C7B50" w:rsidRDefault="00AC52D7" w:rsidP="00A40814">
      <w:r>
        <w:t xml:space="preserve">Multiple studies from around the world have demonstrated the </w:t>
      </w:r>
      <w:r w:rsidRPr="003C7B50">
        <w:t xml:space="preserve">effectiveness of ABS in helping to reduce heavy vehicle crashes. </w:t>
      </w:r>
    </w:p>
    <w:p w:rsidR="00AC52D7" w:rsidRPr="003C7B50" w:rsidRDefault="00AC52D7" w:rsidP="00A40814">
      <w:r w:rsidRPr="003C7B50">
        <w:t xml:space="preserve">ABS has been mandated on both prime-movers and trailers in the US since March 1997 (model year 1998). </w:t>
      </w:r>
      <w:r w:rsidR="004B52B8" w:rsidRPr="003C7B50">
        <w:t xml:space="preserve"> </w:t>
      </w:r>
      <w:r w:rsidRPr="003C7B50">
        <w:t xml:space="preserve">In its Final Economic Assessment for the updated braking standard, FMVSS 121, the US used data from an earlier German study in 1984 by </w:t>
      </w:r>
      <w:proofErr w:type="spellStart"/>
      <w:r w:rsidRPr="003C7B50">
        <w:t>Otte</w:t>
      </w:r>
      <w:proofErr w:type="spellEnd"/>
      <w:r w:rsidRPr="003C7B50">
        <w:t xml:space="preserve"> et al.  This study looked at crashes involving heavy vehicles in the Hamburg region and concluded that</w:t>
      </w:r>
      <w:r w:rsidR="00E858F4" w:rsidRPr="003C7B50">
        <w:t>,</w:t>
      </w:r>
      <w:r w:rsidRPr="003C7B50">
        <w:t xml:space="preserve"> as a consequence of ABS use</w:t>
      </w:r>
      <w:r w:rsidR="00E858F4" w:rsidRPr="003C7B50">
        <w:t>,</w:t>
      </w:r>
      <w:r w:rsidRPr="003C7B50">
        <w:t xml:space="preserve"> personal injuries suffered by occupants of commercial vehicles were preventable or reducible in severity in 8.7 per cent of cases. In the case of personal injuries suffered by others involved in the crash 7.2 per cent were estimated to be preventable and 3.6 per cent estimated to be reducible in severity </w:t>
      </w:r>
      <w:r w:rsidR="00B6167A" w:rsidRPr="003C7B50">
        <w:t>(Hart, 2003)</w:t>
      </w:r>
      <w:r w:rsidRPr="003C7B50">
        <w:t>.  In re-examining the crash reports</w:t>
      </w:r>
      <w:r w:rsidR="00626DD1" w:rsidRPr="003C7B50">
        <w:t>,</w:t>
      </w:r>
      <w:r w:rsidRPr="003C7B50">
        <w:t xml:space="preserve"> NHTSA determined that for the US case, combination vehicles would have had 8.86 per cent and single-unit vehicles 5.83 per cent fewer crashes if they had been fitted with ABS </w:t>
      </w:r>
      <w:r w:rsidR="001D487B" w:rsidRPr="003C7B50">
        <w:t>(Hart, 200</w:t>
      </w:r>
      <w:r w:rsidR="00742FD6">
        <w:t>8</w:t>
      </w:r>
      <w:r w:rsidR="001D487B" w:rsidRPr="003C7B50">
        <w:t>)</w:t>
      </w:r>
      <w:r w:rsidRPr="003C7B50">
        <w:t xml:space="preserve">.  Other studies from Europe during the early 90s were around 10 per cent </w:t>
      </w:r>
      <w:r w:rsidR="0011293A" w:rsidRPr="003C7B50">
        <w:t>(National Road Transport Commission &amp; the Federal Office of Road Safety, 1994)</w:t>
      </w:r>
      <w:r w:rsidRPr="003C7B50">
        <w:t>.</w:t>
      </w:r>
    </w:p>
    <w:p w:rsidR="00AC52D7" w:rsidRPr="003C7B50" w:rsidRDefault="00AC52D7" w:rsidP="00A40814">
      <w:r w:rsidRPr="003C7B50">
        <w:t xml:space="preserve">NHTSA had previously studied the correlation between ABS application on passenger cars and their associated crash rates, finding little or no net crash reduction associated with ABS </w:t>
      </w:r>
      <w:r w:rsidR="0073026A" w:rsidRPr="003C7B50">
        <w:t>(Hart, 2003)</w:t>
      </w:r>
      <w:r w:rsidRPr="003C7B50">
        <w:t xml:space="preserve">.  This was reinforced by further statistical research by NHTSA in 2009 </w:t>
      </w:r>
      <w:r w:rsidR="005C50EC" w:rsidRPr="003C7B50">
        <w:t>(Hart, 200</w:t>
      </w:r>
      <w:r w:rsidR="00742FD6">
        <w:t>8</w:t>
      </w:r>
      <w:r w:rsidR="005C50EC" w:rsidRPr="003C7B50">
        <w:t>)</w:t>
      </w:r>
      <w:r w:rsidRPr="003C7B50">
        <w:t xml:space="preserve">.  However, extrapolating this to heavy truck-related ABS experience is not appropriate, because “heavy trucks experience great variations in weight that could affect wheel slip and potentially have more complex dynamic modes during heavy braking” </w:t>
      </w:r>
      <w:r w:rsidR="0073026A" w:rsidRPr="003C7B50">
        <w:t>(Hart, 2003)</w:t>
      </w:r>
      <w:r w:rsidRPr="003C7B50">
        <w:t>.</w:t>
      </w:r>
    </w:p>
    <w:p w:rsidR="00AC52D7" w:rsidRPr="003C7B50" w:rsidRDefault="00AC52D7" w:rsidP="00A40814">
      <w:r w:rsidRPr="003C7B50">
        <w:t>In 2010, the US Office of Evaluation and Regulatory Analysis within NHTSA followed up its original FMVSS 121 analysis for heavy vehicles with a statistical analysis, using data from a number of states, of crashes between 1998 and 2007.  The intent was to capture the expected effect of mandating the technology from the 1998 model years.</w:t>
      </w:r>
    </w:p>
    <w:p w:rsidR="00AC52D7" w:rsidRPr="003C7B50" w:rsidRDefault="00AC52D7" w:rsidP="00A40814">
      <w:r w:rsidRPr="003C7B50">
        <w:t xml:space="preserve">The best estimate of a reduction in all levels of police-reported crashes for air </w:t>
      </w:r>
      <w:proofErr w:type="gramStart"/>
      <w:r w:rsidRPr="003C7B50">
        <w:t>braked</w:t>
      </w:r>
      <w:proofErr w:type="gramEnd"/>
      <w:r w:rsidRPr="003C7B50">
        <w:t xml:space="preserve"> tractor trailers (truck/trailer combination) for a tractor unit (prime-mover) fitted with ABS was found to be 3 per cent.  This represented a statistically significant 6 per cent reduction in the</w:t>
      </w:r>
      <w:r w:rsidR="006A0050" w:rsidRPr="003C7B50">
        <w:t xml:space="preserve"> </w:t>
      </w:r>
      <w:r w:rsidRPr="003C7B50">
        <w:t xml:space="preserve">crashes where ABS is assumed to be potentially influential, relative to a control group, of about the same number of crashes, where ABS was likely to be irrelevant.  In fatal crashes there was found to be a non-significant 2 per cent reduction in crash involvement, resulting from a 4 per cent reduction in crashes where ABS should be potentially influential </w:t>
      </w:r>
      <w:r w:rsidR="005C50EC" w:rsidRPr="003C7B50">
        <w:t>(Hart, 200</w:t>
      </w:r>
      <w:r w:rsidR="00742FD6">
        <w:t>8</w:t>
      </w:r>
      <w:r w:rsidR="005C50EC" w:rsidRPr="003C7B50">
        <w:t>)</w:t>
      </w:r>
      <w:r w:rsidRPr="003C7B50">
        <w:t>.</w:t>
      </w:r>
    </w:p>
    <w:p w:rsidR="00AC52D7" w:rsidRPr="003C7B50" w:rsidRDefault="00AC52D7" w:rsidP="00A40814">
      <w:r w:rsidRPr="003C7B50">
        <w:t>The report noted that among the types of crashes ABS has the potential to influence: large</w:t>
      </w:r>
      <w:r w:rsidR="005B1CF4" w:rsidRPr="003C7B50">
        <w:t xml:space="preserve"> </w:t>
      </w:r>
      <w:r w:rsidRPr="003C7B50">
        <w:t>reductions in jack-knives, off-road overturns, and at-fault crashes with other vehicles (except front-to-rear crashes) were observed.  However, some increases in the number of involvements of hitting animals, pedestrians, or bicycles, and rear-ending lead vehicles (for fatal crashes only) were also observed.</w:t>
      </w:r>
    </w:p>
    <w:p w:rsidR="00AC52D7" w:rsidRPr="003C7B50" w:rsidRDefault="00AC52D7" w:rsidP="00A40814">
      <w:r w:rsidRPr="003C7B50">
        <w:lastRenderedPageBreak/>
        <w:t>Within Australia, there has been a series of studies undertaken in the mid-nineties by the National Road Transport Commission (NRTC, now the National Transport Commission</w:t>
      </w:r>
      <w:r w:rsidR="005B1CF4" w:rsidRPr="003C7B50">
        <w:t>,</w:t>
      </w:r>
      <w:r w:rsidRPr="003C7B50">
        <w:t xml:space="preserve"> NTC) and the Federal Office of Road Safety (FORS, now the Vehicle Safety Standards Branch in the Department) relating to the regulatory case for an Australian Design Rule (ADR) for ABS on heavy vehicles.</w:t>
      </w:r>
    </w:p>
    <w:p w:rsidR="00AC52D7" w:rsidRPr="003C7B50" w:rsidRDefault="00AC52D7" w:rsidP="00A40814">
      <w:r w:rsidRPr="003C7B50">
        <w:t xml:space="preserve">The NRTC/FORS Stages 1 </w:t>
      </w:r>
      <w:r w:rsidR="0073026A" w:rsidRPr="003C7B50">
        <w:t>(National Road Transport Commission &amp; the Federal Office of Road Safety, 1994)</w:t>
      </w:r>
      <w:r w:rsidRPr="003C7B50">
        <w:t xml:space="preserve"> and 2 </w:t>
      </w:r>
      <w:r w:rsidR="0073026A" w:rsidRPr="003C7B50">
        <w:t xml:space="preserve">(National Road Transport Commission &amp; the Federal Office of Road Safety, 1996) </w:t>
      </w:r>
      <w:r w:rsidR="00E1317F" w:rsidRPr="003C7B50">
        <w:t>s</w:t>
      </w:r>
      <w:r w:rsidRPr="003C7B50">
        <w:t xml:space="preserve">tudies estimated potential reductions in crash rates by analysing 241 fatal Australian truck crashes from the year 1990 and 1992 from </w:t>
      </w:r>
      <w:r w:rsidR="00AF2F22" w:rsidRPr="003C7B50">
        <w:t>n</w:t>
      </w:r>
      <w:r w:rsidRPr="003C7B50">
        <w:t>ational data as well as fatal and non-fatal crashes for the years between 1987 and 1993, depending on the state or territory that the data was sourced from.</w:t>
      </w:r>
    </w:p>
    <w:p w:rsidR="00AC52D7" w:rsidRPr="003C7B50" w:rsidRDefault="00AC52D7" w:rsidP="00A40814">
      <w:r w:rsidRPr="003C7B50">
        <w:t xml:space="preserve">In Stage 1, </w:t>
      </w:r>
      <w:r w:rsidR="00AD60EF" w:rsidRPr="003C7B50">
        <w:t>FORS</w:t>
      </w:r>
      <w:r w:rsidRPr="003C7B50">
        <w:t xml:space="preserve"> found that just under half of the fatal crashes involve</w:t>
      </w:r>
      <w:r w:rsidR="00CE3B39" w:rsidRPr="003C7B50">
        <w:t>d braking or swerving and that eight </w:t>
      </w:r>
      <w:r w:rsidRPr="003C7B50">
        <w:t xml:space="preserve">per cent of all crashes in 1990 that involve articulated trucks would have been avoided if the trucks had ABS and a further </w:t>
      </w:r>
      <w:r w:rsidR="00DC10F2" w:rsidRPr="003C7B50">
        <w:t>two per </w:t>
      </w:r>
      <w:r w:rsidRPr="003C7B50">
        <w:t>cent of such crashes would be ‘reduced to injury</w:t>
      </w:r>
      <w:r w:rsidR="00DC10F2" w:rsidRPr="003C7B50">
        <w:t xml:space="preserve"> crashes’.  These figures were five</w:t>
      </w:r>
      <w:r w:rsidRPr="003C7B50">
        <w:t xml:space="preserve"> and </w:t>
      </w:r>
      <w:r w:rsidR="00DC10F2" w:rsidRPr="003C7B50">
        <w:t>eight</w:t>
      </w:r>
      <w:r w:rsidRPr="003C7B50">
        <w:t xml:space="preserve"> per cent respectively for rigid vehicles, as well as </w:t>
      </w:r>
      <w:r w:rsidR="00E14AC4" w:rsidRPr="003C7B50">
        <w:t>six</w:t>
      </w:r>
      <w:r w:rsidRPr="003C7B50">
        <w:t xml:space="preserve"> and </w:t>
      </w:r>
      <w:r w:rsidR="00E14AC4" w:rsidRPr="003C7B50">
        <w:t>seven</w:t>
      </w:r>
      <w:r w:rsidRPr="003C7B50">
        <w:t xml:space="preserve"> per cent for buses.  The total for all vehicles was </w:t>
      </w:r>
      <w:r w:rsidR="00E14AC4" w:rsidRPr="003C7B50">
        <w:t>seven per </w:t>
      </w:r>
      <w:r w:rsidRPr="003C7B50">
        <w:t xml:space="preserve">cent avoided and </w:t>
      </w:r>
      <w:r w:rsidR="00777D43" w:rsidRPr="003C7B50">
        <w:t>three per </w:t>
      </w:r>
      <w:r w:rsidRPr="003C7B50">
        <w:t xml:space="preserve">cent reduced to injury </w:t>
      </w:r>
      <w:r w:rsidR="0073026A" w:rsidRPr="003C7B50">
        <w:t>(National Road Transport Commission &amp; the Federal Office of Road Safety, 1996)</w:t>
      </w:r>
      <w:r w:rsidRPr="003C7B50">
        <w:t>. These figures were subsequently reviewed by an expert panel and upheld.  The Australian Road Research Board (ARRB), acting as consultant to the NRTC, then analysed reported crashes (all injuries or property damage only) in NSW, Queensland and Victoria using the analysis from the fatal crashes.  When the data was extrapolated Australia-wide the medium estimates of effe</w:t>
      </w:r>
      <w:r w:rsidR="00AB6F6E" w:rsidRPr="003C7B50">
        <w:t>ctiveness were 6.1 per </w:t>
      </w:r>
      <w:r w:rsidRPr="003C7B50">
        <w:t>cent of all articulated crashes being avoided</w:t>
      </w:r>
      <w:r w:rsidR="00AB6F6E" w:rsidRPr="003C7B50">
        <w:t xml:space="preserve"> if the trucks had ABS, 1.4 per </w:t>
      </w:r>
      <w:r w:rsidRPr="003C7B50">
        <w:t>cent for rigid vehicles and 7.4</w:t>
      </w:r>
      <w:r w:rsidR="00D028BB" w:rsidRPr="003C7B50">
        <w:t> per </w:t>
      </w:r>
      <w:r w:rsidRPr="003C7B50">
        <w:t xml:space="preserve">cent for buses </w:t>
      </w:r>
      <w:r w:rsidR="0073026A" w:rsidRPr="003C7B50">
        <w:t>(National Road Transport Commission &amp; the Federal Office of Road Safety, 1994 &amp; National Road Transport Commission &amp; the Federal Office of Road Safety, 1996)</w:t>
      </w:r>
      <w:r w:rsidRPr="003C7B50">
        <w:t>.</w:t>
      </w:r>
      <w:r w:rsidR="0042425A" w:rsidRPr="003C7B50">
        <w:t xml:space="preserve">  </w:t>
      </w:r>
      <w:r w:rsidRPr="003C7B50">
        <w:t xml:space="preserve">These were the final results used to calculate benefits. </w:t>
      </w:r>
      <w:r w:rsidR="00982C7C" w:rsidRPr="003C7B50">
        <w:t xml:space="preserve"> </w:t>
      </w:r>
      <w:r w:rsidRPr="003C7B50">
        <w:t>Potential savings in property damage crashes only, while anecdotally considered to be significant, were unable to be determined.  At the time regulatory action was unable to clearly be justified on a benefit-cost basis.</w:t>
      </w:r>
      <w:r w:rsidR="0021537F" w:rsidRPr="003C7B50">
        <w:t xml:space="preserve"> </w:t>
      </w:r>
      <w:r w:rsidRPr="003C7B50">
        <w:t xml:space="preserve"> Stage 2 was then undertaken in an effort to determine more accurate estimates of the costs and benefits. </w:t>
      </w:r>
    </w:p>
    <w:p w:rsidR="00AC52D7" w:rsidRDefault="00AC52D7" w:rsidP="00A40814">
      <w:r w:rsidRPr="003C7B50">
        <w:t>In Stage 2, it was found that just over three quarters of the fatal crashes involved braking or swerving and that 5.3</w:t>
      </w:r>
      <w:r w:rsidR="001D7EBC" w:rsidRPr="003C7B50">
        <w:t> per </w:t>
      </w:r>
      <w:r w:rsidRPr="003C7B50">
        <w:t xml:space="preserve">cent of all crashes in 1992 that involve articulated trucks would have been avoided if the trucks had </w:t>
      </w:r>
      <w:r w:rsidR="001D7EBC" w:rsidRPr="003C7B50">
        <w:t>ABS and a further three per </w:t>
      </w:r>
      <w:r w:rsidRPr="003C7B50">
        <w:t xml:space="preserve">cent of such crashes would be ‘reduced to injury crashes’. </w:t>
      </w:r>
      <w:r w:rsidR="001D7EBC" w:rsidRPr="003C7B50">
        <w:t xml:space="preserve"> These figures were 8.3 and 2.8 per </w:t>
      </w:r>
      <w:r w:rsidRPr="003C7B50">
        <w:t xml:space="preserve">cent respectively for rigid vehicles, as well as </w:t>
      </w:r>
      <w:r w:rsidR="001D7EBC" w:rsidRPr="003C7B50">
        <w:t>one</w:t>
      </w:r>
      <w:r w:rsidRPr="003C7B50">
        <w:t xml:space="preserve"> and </w:t>
      </w:r>
      <w:r w:rsidR="001D7EBC" w:rsidRPr="003C7B50">
        <w:t>two per </w:t>
      </w:r>
      <w:r w:rsidRPr="003C7B50">
        <w:t>cent for buses.  The tot</w:t>
      </w:r>
      <w:r w:rsidR="00905DB9" w:rsidRPr="003C7B50">
        <w:t>al for all vehicles was 6.2 per </w:t>
      </w:r>
      <w:r w:rsidRPr="003C7B50">
        <w:t>cent avoided and 2.9</w:t>
      </w:r>
      <w:r w:rsidR="00905DB9" w:rsidRPr="003C7B50">
        <w:t> per </w:t>
      </w:r>
      <w:r w:rsidRPr="003C7B50">
        <w:t xml:space="preserve">cent reduced to injury </w:t>
      </w:r>
      <w:r w:rsidR="0073026A" w:rsidRPr="003C7B50">
        <w:t>(National Road Transport Commission &amp; the Federal Office of Road Safety, 1996)</w:t>
      </w:r>
      <w:r w:rsidRPr="003C7B50">
        <w:t>.  Again the ARRB performed more detailed work that gave medium estimates of effectiveness of 6.4</w:t>
      </w:r>
      <w:r w:rsidR="00887D21" w:rsidRPr="003C7B50">
        <w:t> per </w:t>
      </w:r>
      <w:r w:rsidRPr="003C7B50">
        <w:t>cent for all articulated crashes being avo</w:t>
      </w:r>
      <w:r w:rsidR="00C21CD2" w:rsidRPr="003C7B50">
        <w:t>ided if the trucks had ABS, 8.3 </w:t>
      </w:r>
      <w:r w:rsidRPr="003C7B50">
        <w:t>per</w:t>
      </w:r>
      <w:r w:rsidR="00C21CD2" w:rsidRPr="003C7B50">
        <w:t> </w:t>
      </w:r>
      <w:r w:rsidRPr="003C7B50">
        <w:t>cent for rigid vehicles and 2.8</w:t>
      </w:r>
      <w:r w:rsidR="00436130" w:rsidRPr="003C7B50">
        <w:t> per </w:t>
      </w:r>
      <w:r w:rsidRPr="003C7B50">
        <w:t>cent for buses.  The</w:t>
      </w:r>
      <w:r>
        <w:t xml:space="preserve"> variation in the results for rigid vehicles and buses when compared to Stage 1 was attributed to an increase in rigid vehicle crashes over the period as well as differences in state and territory reporting procedures.</w:t>
      </w:r>
    </w:p>
    <w:p w:rsidR="00AC52D7" w:rsidRDefault="00AC52D7" w:rsidP="00A40814">
      <w:r>
        <w:lastRenderedPageBreak/>
        <w:t xml:space="preserve">The NRTC commissioned further work in 2003 (Stage 3) through the Prime Mover Ratings Project that was concerned with ABS requirements for prime-movers.  It was assumed from the Stage 2 results that use of </w:t>
      </w:r>
      <w:r w:rsidR="00A75530">
        <w:t>ABS</w:t>
      </w:r>
      <w:r>
        <w:t xml:space="preserve"> on all parts of a heavy articulated truck would potentially reduce crash cost exposure by 6.1</w:t>
      </w:r>
      <w:r w:rsidR="00240B59">
        <w:t> per cent</w:t>
      </w:r>
      <w:r>
        <w:t>. This value was taken from the Stage 2 study.  It was also assumed that a potential reduction</w:t>
      </w:r>
      <w:r w:rsidR="00E31570">
        <w:t xml:space="preserve"> in crash cost exposure of 3.05 </w:t>
      </w:r>
      <w:r>
        <w:t>per</w:t>
      </w:r>
      <w:r w:rsidR="00E31570">
        <w:t> </w:t>
      </w:r>
      <w:r>
        <w:t>cent (i</w:t>
      </w:r>
      <w:r w:rsidR="00E31570">
        <w:t>.</w:t>
      </w:r>
      <w:r>
        <w:t>e</w:t>
      </w:r>
      <w:r w:rsidR="00E31570">
        <w:t>.</w:t>
      </w:r>
      <w:r>
        <w:t xml:space="preserve"> half) will result if ABS is fitted to the motive vehicle only.</w:t>
      </w:r>
    </w:p>
    <w:p w:rsidR="00AC52D7" w:rsidRDefault="00AC52D7" w:rsidP="00BC7D0C">
      <w:pPr>
        <w:pStyle w:val="AppendixHeading2"/>
      </w:pPr>
      <w:r>
        <w:t>Summary</w:t>
      </w:r>
    </w:p>
    <w:p w:rsidR="00AC52D7" w:rsidRDefault="00AC52D7" w:rsidP="00A40814">
      <w:r>
        <w:t>A summary of the effectiveness rates is given below. It can be seen that although the rates contain a wide variation, there is a consistently demonstrable benefit of fitment of ABS to heavy vehicles in the order of no less than 1 per cent to no more than 10</w:t>
      </w:r>
      <w:r w:rsidR="00BC7D0C">
        <w:t> per </w:t>
      </w:r>
      <w:r>
        <w:t>cent.</w:t>
      </w:r>
    </w:p>
    <w:p w:rsidR="00AC52D7" w:rsidRDefault="00AC52D7" w:rsidP="00A40814">
      <w:r>
        <w:t>The Stage 2 results were the most accurate in the Australian context at the time that they were compiled.  There have been no later studies in Australia since then, however it is noted that the US, having mandated ABS based on similar effectiveness rate</w:t>
      </w:r>
      <w:r w:rsidR="00A80857">
        <w:t>s of five to nine per </w:t>
      </w:r>
      <w:r>
        <w:t xml:space="preserve">cent, have recently used statistical methods to show that in practice in the US the effectiveness, at least for articulated vehicles, is around </w:t>
      </w:r>
      <w:r w:rsidR="000418A2">
        <w:t xml:space="preserve">30-60 per cent of this figure. </w:t>
      </w:r>
    </w:p>
    <w:p w:rsidR="00AC52D7" w:rsidRDefault="00AC52D7" w:rsidP="00A40814">
      <w:r>
        <w:t xml:space="preserve">For this latest analysis a range of effectiveness will be used, ranging from </w:t>
      </w:r>
      <w:r w:rsidR="000418A2">
        <w:t>three </w:t>
      </w:r>
      <w:r>
        <w:t>per</w:t>
      </w:r>
      <w:r w:rsidR="000418A2">
        <w:t> </w:t>
      </w:r>
      <w:r>
        <w:t xml:space="preserve">cent to </w:t>
      </w:r>
      <w:r w:rsidR="000418A2">
        <w:t>eight per </w:t>
      </w:r>
      <w:r>
        <w:t>cent.  This most closely follows the Australian Stage 2 results and contains the US results.</w:t>
      </w:r>
    </w:p>
    <w:p w:rsidR="003B4925" w:rsidRDefault="003B4925">
      <w:pPr>
        <w:tabs>
          <w:tab w:val="clear" w:pos="851"/>
        </w:tabs>
        <w:spacing w:before="0" w:after="200" w:line="276" w:lineRule="auto"/>
      </w:pPr>
      <w:r>
        <w:br w:type="page"/>
      </w:r>
    </w:p>
    <w:p w:rsidR="003B4925" w:rsidRDefault="003B4925" w:rsidP="003B4925">
      <w:pPr>
        <w:pStyle w:val="Caption"/>
        <w:keepNext/>
      </w:pPr>
      <w:r>
        <w:lastRenderedPageBreak/>
        <w:t xml:space="preserve">Table </w:t>
      </w:r>
      <w:r w:rsidR="00C036A7">
        <w:fldChar w:fldCharType="begin"/>
      </w:r>
      <w:r w:rsidR="00D05042">
        <w:instrText xml:space="preserve"> SEQ Table \* ARABIC </w:instrText>
      </w:r>
      <w:r w:rsidR="00C036A7">
        <w:fldChar w:fldCharType="separate"/>
      </w:r>
      <w:r w:rsidR="00546CD0">
        <w:rPr>
          <w:noProof/>
        </w:rPr>
        <w:t>18</w:t>
      </w:r>
      <w:r w:rsidR="00C036A7">
        <w:rPr>
          <w:noProof/>
        </w:rPr>
        <w:fldChar w:fldCharType="end"/>
      </w:r>
      <w:r>
        <w:t xml:space="preserve"> Effectiveness of ABS for heavy vehicles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484"/>
        <w:gridCol w:w="3137"/>
        <w:gridCol w:w="2311"/>
      </w:tblGrid>
      <w:tr w:rsidR="00740D0F" w:rsidTr="003B4925">
        <w:tc>
          <w:tcPr>
            <w:tcW w:w="2310" w:type="dxa"/>
            <w:tcBorders>
              <w:top w:val="single" w:sz="4" w:space="0" w:color="auto"/>
              <w:bottom w:val="single" w:sz="4" w:space="0" w:color="auto"/>
            </w:tcBorders>
            <w:vAlign w:val="center"/>
          </w:tcPr>
          <w:p w:rsidR="00740D0F" w:rsidRDefault="00740D0F" w:rsidP="003B4925">
            <w:pPr>
              <w:pStyle w:val="Table2heading"/>
              <w:jc w:val="left"/>
            </w:pPr>
            <w:r>
              <w:t>Study</w:t>
            </w:r>
          </w:p>
        </w:tc>
        <w:tc>
          <w:tcPr>
            <w:tcW w:w="1484" w:type="dxa"/>
            <w:tcBorders>
              <w:top w:val="single" w:sz="4" w:space="0" w:color="auto"/>
              <w:bottom w:val="single" w:sz="4" w:space="0" w:color="auto"/>
            </w:tcBorders>
            <w:vAlign w:val="center"/>
          </w:tcPr>
          <w:p w:rsidR="00740D0F" w:rsidRDefault="00740D0F" w:rsidP="003B4925">
            <w:pPr>
              <w:pStyle w:val="Table2heading"/>
              <w:jc w:val="left"/>
            </w:pPr>
            <w:r>
              <w:t>Vehicle type</w:t>
            </w:r>
          </w:p>
        </w:tc>
        <w:tc>
          <w:tcPr>
            <w:tcW w:w="3137" w:type="dxa"/>
            <w:tcBorders>
              <w:top w:val="single" w:sz="4" w:space="0" w:color="auto"/>
              <w:bottom w:val="single" w:sz="4" w:space="0" w:color="auto"/>
            </w:tcBorders>
            <w:vAlign w:val="center"/>
          </w:tcPr>
          <w:p w:rsidR="00740D0F" w:rsidRDefault="00740D0F" w:rsidP="003B4925">
            <w:pPr>
              <w:pStyle w:val="Table2heading"/>
              <w:jc w:val="left"/>
            </w:pPr>
            <w:r>
              <w:t>Crash Type</w:t>
            </w:r>
          </w:p>
        </w:tc>
        <w:tc>
          <w:tcPr>
            <w:tcW w:w="2311" w:type="dxa"/>
            <w:tcBorders>
              <w:top w:val="single" w:sz="4" w:space="0" w:color="auto"/>
              <w:bottom w:val="single" w:sz="4" w:space="0" w:color="auto"/>
            </w:tcBorders>
            <w:vAlign w:val="center"/>
          </w:tcPr>
          <w:p w:rsidR="00740D0F" w:rsidRDefault="00740D0F" w:rsidP="003B4925">
            <w:pPr>
              <w:pStyle w:val="Table2heading"/>
              <w:jc w:val="left"/>
            </w:pPr>
            <w:r>
              <w:t>Effectiveness (%)</w:t>
            </w:r>
          </w:p>
        </w:tc>
      </w:tr>
      <w:tr w:rsidR="00740D0F" w:rsidTr="003B4925">
        <w:tc>
          <w:tcPr>
            <w:tcW w:w="2310" w:type="dxa"/>
            <w:tcBorders>
              <w:top w:val="single" w:sz="4" w:space="0" w:color="auto"/>
            </w:tcBorders>
          </w:tcPr>
          <w:p w:rsidR="00740D0F" w:rsidRDefault="00740D0F" w:rsidP="00740D0F">
            <w:pPr>
              <w:pStyle w:val="Table2"/>
            </w:pPr>
            <w:r>
              <w:t>Billing, Lam &amp; Vespa (1995)</w:t>
            </w:r>
          </w:p>
        </w:tc>
        <w:tc>
          <w:tcPr>
            <w:tcW w:w="1484" w:type="dxa"/>
            <w:tcBorders>
              <w:top w:val="single" w:sz="4" w:space="0" w:color="auto"/>
            </w:tcBorders>
          </w:tcPr>
          <w:p w:rsidR="00740D0F" w:rsidRDefault="00703D70" w:rsidP="00740D0F">
            <w:pPr>
              <w:pStyle w:val="Table2"/>
            </w:pPr>
            <w:r>
              <w:t xml:space="preserve">B-train double tankers </w:t>
            </w:r>
          </w:p>
          <w:p w:rsidR="00F0022D" w:rsidRDefault="00F0022D" w:rsidP="00740D0F">
            <w:pPr>
              <w:pStyle w:val="Table2"/>
            </w:pPr>
          </w:p>
        </w:tc>
        <w:tc>
          <w:tcPr>
            <w:tcW w:w="3137" w:type="dxa"/>
            <w:tcBorders>
              <w:top w:val="single" w:sz="4" w:space="0" w:color="auto"/>
            </w:tcBorders>
          </w:tcPr>
          <w:p w:rsidR="00740D0F" w:rsidRDefault="000775D8" w:rsidP="00740D0F">
            <w:pPr>
              <w:pStyle w:val="Table2"/>
            </w:pPr>
            <w:r>
              <w:t>Braking efficiency</w:t>
            </w:r>
          </w:p>
        </w:tc>
        <w:tc>
          <w:tcPr>
            <w:tcW w:w="2311" w:type="dxa"/>
            <w:tcBorders>
              <w:top w:val="single" w:sz="4" w:space="0" w:color="auto"/>
            </w:tcBorders>
          </w:tcPr>
          <w:p w:rsidR="00740D0F" w:rsidRDefault="000775D8" w:rsidP="00740D0F">
            <w:pPr>
              <w:pStyle w:val="Table2"/>
            </w:pPr>
            <w:r>
              <w:t>Substantially improved</w:t>
            </w:r>
          </w:p>
        </w:tc>
      </w:tr>
      <w:tr w:rsidR="00740D0F" w:rsidTr="003B4925">
        <w:tc>
          <w:tcPr>
            <w:tcW w:w="2310" w:type="dxa"/>
          </w:tcPr>
          <w:p w:rsidR="00740D0F" w:rsidRDefault="00740D0F" w:rsidP="00740D0F">
            <w:pPr>
              <w:pStyle w:val="Table2"/>
            </w:pPr>
            <w:proofErr w:type="spellStart"/>
            <w:r>
              <w:t>Otte</w:t>
            </w:r>
            <w:proofErr w:type="spellEnd"/>
            <w:r>
              <w:t xml:space="preserve"> et al (1984)</w:t>
            </w:r>
          </w:p>
          <w:p w:rsidR="003D43D2" w:rsidRDefault="003D43D2" w:rsidP="00740D0F">
            <w:pPr>
              <w:pStyle w:val="Table2"/>
            </w:pPr>
            <w:r>
              <w:t>(from 19)</w:t>
            </w:r>
          </w:p>
        </w:tc>
        <w:tc>
          <w:tcPr>
            <w:tcW w:w="1484" w:type="dxa"/>
          </w:tcPr>
          <w:p w:rsidR="00740D0F" w:rsidRDefault="00C6246F" w:rsidP="00740D0F">
            <w:pPr>
              <w:pStyle w:val="Table2"/>
            </w:pPr>
            <w:r>
              <w:t>Commercial vehicles</w:t>
            </w:r>
          </w:p>
        </w:tc>
        <w:tc>
          <w:tcPr>
            <w:tcW w:w="3137" w:type="dxa"/>
          </w:tcPr>
          <w:p w:rsidR="00EC22A3" w:rsidRDefault="000775D8" w:rsidP="00EC22A3">
            <w:pPr>
              <w:pStyle w:val="Table2"/>
            </w:pPr>
            <w:r>
              <w:t>Occupant personal injuries</w:t>
            </w:r>
          </w:p>
          <w:p w:rsidR="00EC22A3" w:rsidRDefault="000775D8" w:rsidP="00EC22A3">
            <w:pPr>
              <w:pStyle w:val="Table2"/>
            </w:pPr>
            <w:r>
              <w:t>Preventable or reducible</w:t>
            </w:r>
          </w:p>
          <w:p w:rsidR="00EC22A3" w:rsidRDefault="000775D8" w:rsidP="00EC22A3">
            <w:pPr>
              <w:pStyle w:val="Table2"/>
            </w:pPr>
            <w:r>
              <w:t>Other preventable</w:t>
            </w:r>
          </w:p>
          <w:p w:rsidR="000775D8" w:rsidRDefault="000775D8" w:rsidP="00EC22A3">
            <w:pPr>
              <w:pStyle w:val="Table2"/>
            </w:pPr>
            <w:r>
              <w:t>Other reducible</w:t>
            </w:r>
          </w:p>
          <w:p w:rsidR="00F0022D" w:rsidRDefault="00F0022D" w:rsidP="00EC22A3">
            <w:pPr>
              <w:pStyle w:val="Table2"/>
            </w:pPr>
          </w:p>
        </w:tc>
        <w:tc>
          <w:tcPr>
            <w:tcW w:w="2311" w:type="dxa"/>
          </w:tcPr>
          <w:p w:rsidR="00740D0F" w:rsidRDefault="00EC22A3" w:rsidP="00740D0F">
            <w:pPr>
              <w:pStyle w:val="Table2"/>
            </w:pPr>
            <w:r>
              <w:t>8.7</w:t>
            </w:r>
            <w:r>
              <w:br/>
            </w:r>
            <w:r>
              <w:br/>
              <w:t>7.2</w:t>
            </w:r>
            <w:r>
              <w:br/>
              <w:t>3.6</w:t>
            </w:r>
          </w:p>
        </w:tc>
      </w:tr>
      <w:tr w:rsidR="00740D0F" w:rsidTr="003B4925">
        <w:tc>
          <w:tcPr>
            <w:tcW w:w="2310" w:type="dxa"/>
          </w:tcPr>
          <w:p w:rsidR="00740D0F" w:rsidRDefault="00740D0F" w:rsidP="00740D0F">
            <w:pPr>
              <w:pStyle w:val="Table2"/>
            </w:pPr>
            <w:proofErr w:type="spellStart"/>
            <w:r>
              <w:t>Klusmeyer</w:t>
            </w:r>
            <w:proofErr w:type="spellEnd"/>
            <w:r>
              <w:t xml:space="preserve"> et al (1992)</w:t>
            </w:r>
          </w:p>
          <w:p w:rsidR="003B4925" w:rsidRDefault="003D43D2" w:rsidP="00740D0F">
            <w:pPr>
              <w:pStyle w:val="Table2"/>
            </w:pPr>
            <w:r>
              <w:t>(from 3</w:t>
            </w:r>
          </w:p>
        </w:tc>
        <w:tc>
          <w:tcPr>
            <w:tcW w:w="1484" w:type="dxa"/>
          </w:tcPr>
          <w:p w:rsidR="00740D0F" w:rsidRDefault="00740D0F" w:rsidP="00740D0F">
            <w:pPr>
              <w:pStyle w:val="Table2"/>
            </w:pPr>
          </w:p>
        </w:tc>
        <w:tc>
          <w:tcPr>
            <w:tcW w:w="3137" w:type="dxa"/>
          </w:tcPr>
          <w:p w:rsidR="00740D0F" w:rsidRDefault="00740D0F" w:rsidP="00740D0F">
            <w:pPr>
              <w:pStyle w:val="Table2"/>
            </w:pPr>
          </w:p>
        </w:tc>
        <w:tc>
          <w:tcPr>
            <w:tcW w:w="2311" w:type="dxa"/>
          </w:tcPr>
          <w:p w:rsidR="00740D0F" w:rsidRDefault="00EC22A3" w:rsidP="00740D0F">
            <w:pPr>
              <w:pStyle w:val="Table2"/>
            </w:pPr>
            <w:r>
              <w:t>7</w:t>
            </w:r>
          </w:p>
        </w:tc>
      </w:tr>
      <w:tr w:rsidR="00740D0F" w:rsidTr="003B4925">
        <w:tc>
          <w:tcPr>
            <w:tcW w:w="2310" w:type="dxa"/>
          </w:tcPr>
          <w:p w:rsidR="00740D0F" w:rsidRDefault="00740D0F" w:rsidP="00740D0F">
            <w:pPr>
              <w:pStyle w:val="Table2"/>
            </w:pPr>
            <w:r>
              <w:t>NHTSA (1995)</w:t>
            </w:r>
          </w:p>
          <w:p w:rsidR="003D43D2" w:rsidRPr="003D43D2" w:rsidRDefault="003D43D2" w:rsidP="00740D0F">
            <w:pPr>
              <w:pStyle w:val="Table2"/>
            </w:pPr>
            <w:r>
              <w:t>(from</w:t>
            </w:r>
          </w:p>
        </w:tc>
        <w:tc>
          <w:tcPr>
            <w:tcW w:w="1484" w:type="dxa"/>
          </w:tcPr>
          <w:p w:rsidR="00EC22A3" w:rsidRDefault="00C6246F" w:rsidP="00740D0F">
            <w:pPr>
              <w:pStyle w:val="Table2"/>
            </w:pPr>
            <w:r>
              <w:t>Articulated</w:t>
            </w:r>
          </w:p>
          <w:p w:rsidR="00C6246F" w:rsidRDefault="00C6246F" w:rsidP="00740D0F">
            <w:pPr>
              <w:pStyle w:val="Table2"/>
            </w:pPr>
            <w:r>
              <w:t>Rigid</w:t>
            </w:r>
          </w:p>
        </w:tc>
        <w:tc>
          <w:tcPr>
            <w:tcW w:w="3137" w:type="dxa"/>
          </w:tcPr>
          <w:p w:rsidR="00EC22A3" w:rsidRDefault="00EC22A3" w:rsidP="00EC22A3">
            <w:pPr>
              <w:pStyle w:val="Table2"/>
            </w:pPr>
            <w:r>
              <w:t>Preventable</w:t>
            </w:r>
          </w:p>
          <w:p w:rsidR="00740D0F" w:rsidRDefault="00EC22A3" w:rsidP="00EC22A3">
            <w:pPr>
              <w:pStyle w:val="Table2"/>
            </w:pPr>
            <w:r>
              <w:t>Preventable</w:t>
            </w:r>
          </w:p>
          <w:p w:rsidR="00F0022D" w:rsidRDefault="00F0022D" w:rsidP="00EC22A3">
            <w:pPr>
              <w:pStyle w:val="Table2"/>
            </w:pPr>
          </w:p>
        </w:tc>
        <w:tc>
          <w:tcPr>
            <w:tcW w:w="2311" w:type="dxa"/>
          </w:tcPr>
          <w:p w:rsidR="00740D0F" w:rsidRDefault="00EC22A3" w:rsidP="00740D0F">
            <w:pPr>
              <w:pStyle w:val="Table2"/>
            </w:pPr>
            <w:r>
              <w:t>8.86</w:t>
            </w:r>
          </w:p>
          <w:p w:rsidR="00EC22A3" w:rsidRDefault="00EC22A3" w:rsidP="00740D0F">
            <w:pPr>
              <w:pStyle w:val="Table2"/>
            </w:pPr>
            <w:r>
              <w:t>5.83</w:t>
            </w:r>
          </w:p>
        </w:tc>
      </w:tr>
      <w:tr w:rsidR="00740D0F" w:rsidTr="003B4925">
        <w:tc>
          <w:tcPr>
            <w:tcW w:w="2310" w:type="dxa"/>
          </w:tcPr>
          <w:p w:rsidR="00740D0F" w:rsidRDefault="00740D0F" w:rsidP="00740D0F">
            <w:pPr>
              <w:pStyle w:val="Table2"/>
            </w:pPr>
            <w:r>
              <w:t>NHTSA (2010)</w:t>
            </w:r>
          </w:p>
          <w:p w:rsidR="003D43D2" w:rsidRDefault="003D43D2" w:rsidP="00740D0F">
            <w:pPr>
              <w:pStyle w:val="Table2"/>
            </w:pPr>
          </w:p>
        </w:tc>
        <w:tc>
          <w:tcPr>
            <w:tcW w:w="1484" w:type="dxa"/>
          </w:tcPr>
          <w:p w:rsidR="00740D0F" w:rsidRDefault="00C6246F" w:rsidP="00740D0F">
            <w:pPr>
              <w:pStyle w:val="Table2"/>
            </w:pPr>
            <w:r>
              <w:t>Prime-mover</w:t>
            </w:r>
          </w:p>
        </w:tc>
        <w:tc>
          <w:tcPr>
            <w:tcW w:w="3137" w:type="dxa"/>
          </w:tcPr>
          <w:p w:rsidR="00740D0F" w:rsidRDefault="00EC22A3" w:rsidP="00740D0F">
            <w:pPr>
              <w:pStyle w:val="Table2"/>
            </w:pPr>
            <w:r>
              <w:t>Preventable police reported crashes</w:t>
            </w:r>
          </w:p>
          <w:p w:rsidR="00EC22A3" w:rsidRDefault="00EC22A3" w:rsidP="00740D0F">
            <w:pPr>
              <w:pStyle w:val="Table2"/>
            </w:pPr>
            <w:r>
              <w:t>Preventable fatal</w:t>
            </w:r>
          </w:p>
          <w:p w:rsidR="00F0022D" w:rsidRDefault="00F0022D" w:rsidP="00740D0F">
            <w:pPr>
              <w:pStyle w:val="Table2"/>
            </w:pPr>
          </w:p>
        </w:tc>
        <w:tc>
          <w:tcPr>
            <w:tcW w:w="2311" w:type="dxa"/>
          </w:tcPr>
          <w:p w:rsidR="00740D0F" w:rsidRDefault="00EC22A3" w:rsidP="00740D0F">
            <w:pPr>
              <w:pStyle w:val="Table2"/>
            </w:pPr>
            <w:r>
              <w:t>3</w:t>
            </w:r>
          </w:p>
          <w:p w:rsidR="00EC22A3" w:rsidRDefault="00EC22A3" w:rsidP="00740D0F">
            <w:pPr>
              <w:pStyle w:val="Table2"/>
            </w:pPr>
            <w:r>
              <w:t>2</w:t>
            </w:r>
          </w:p>
        </w:tc>
      </w:tr>
      <w:tr w:rsidR="00740D0F" w:rsidTr="003B4925">
        <w:tc>
          <w:tcPr>
            <w:tcW w:w="2310" w:type="dxa"/>
          </w:tcPr>
          <w:p w:rsidR="00740D0F" w:rsidRDefault="00740D0F" w:rsidP="00740D0F">
            <w:pPr>
              <w:pStyle w:val="Table2"/>
            </w:pPr>
            <w:r>
              <w:t>NRTC Stage 1 (1994)</w:t>
            </w:r>
          </w:p>
        </w:tc>
        <w:tc>
          <w:tcPr>
            <w:tcW w:w="1484" w:type="dxa"/>
          </w:tcPr>
          <w:p w:rsidR="00740D0F" w:rsidRDefault="00C6246F" w:rsidP="00740D0F">
            <w:pPr>
              <w:pStyle w:val="Table2"/>
            </w:pPr>
            <w:r>
              <w:t>Prime-mover</w:t>
            </w:r>
          </w:p>
          <w:p w:rsidR="00C6246F" w:rsidRDefault="00C6246F" w:rsidP="00740D0F">
            <w:pPr>
              <w:pStyle w:val="Table2"/>
            </w:pPr>
          </w:p>
          <w:p w:rsidR="00C6246F" w:rsidRDefault="00C6246F" w:rsidP="00740D0F">
            <w:pPr>
              <w:pStyle w:val="Table2"/>
            </w:pPr>
            <w:r>
              <w:t>Rigid over 12t</w:t>
            </w:r>
          </w:p>
          <w:p w:rsidR="00C6246F" w:rsidRDefault="00C6246F" w:rsidP="00740D0F">
            <w:pPr>
              <w:pStyle w:val="Table2"/>
            </w:pPr>
          </w:p>
          <w:p w:rsidR="00C6246F" w:rsidRDefault="00C6246F" w:rsidP="00740D0F">
            <w:pPr>
              <w:pStyle w:val="Table2"/>
            </w:pPr>
            <w:r>
              <w:t>Bus over 5t</w:t>
            </w:r>
          </w:p>
          <w:p w:rsidR="00C6246F" w:rsidRDefault="00C6246F" w:rsidP="00740D0F">
            <w:pPr>
              <w:pStyle w:val="Table2"/>
            </w:pPr>
          </w:p>
          <w:p w:rsidR="00C6246F" w:rsidRDefault="00C6246F" w:rsidP="00740D0F">
            <w:pPr>
              <w:pStyle w:val="Table2"/>
            </w:pPr>
            <w:r>
              <w:t>All vehicles</w:t>
            </w:r>
          </w:p>
          <w:p w:rsidR="00C6246F" w:rsidRDefault="00C6246F" w:rsidP="00740D0F">
            <w:pPr>
              <w:pStyle w:val="Table2"/>
            </w:pPr>
          </w:p>
          <w:p w:rsidR="00F0022D" w:rsidRDefault="00F0022D" w:rsidP="00740D0F">
            <w:pPr>
              <w:pStyle w:val="Table2"/>
            </w:pPr>
          </w:p>
          <w:p w:rsidR="00C6246F" w:rsidRDefault="00C6246F" w:rsidP="00740D0F">
            <w:pPr>
              <w:pStyle w:val="Table2"/>
            </w:pPr>
            <w:r>
              <w:t>Prime-mover</w:t>
            </w:r>
          </w:p>
          <w:p w:rsidR="00C6246F" w:rsidRDefault="00C6246F" w:rsidP="00740D0F">
            <w:pPr>
              <w:pStyle w:val="Table2"/>
            </w:pPr>
            <w:r>
              <w:t>Rigid over 12t</w:t>
            </w:r>
          </w:p>
          <w:p w:rsidR="00840A7F" w:rsidRDefault="00C6246F" w:rsidP="00740D0F">
            <w:pPr>
              <w:pStyle w:val="Table2"/>
            </w:pPr>
            <w:r>
              <w:t>Bus over 5t</w:t>
            </w:r>
          </w:p>
        </w:tc>
        <w:tc>
          <w:tcPr>
            <w:tcW w:w="3137" w:type="dxa"/>
          </w:tcPr>
          <w:p w:rsidR="00740D0F" w:rsidRDefault="00EC22A3" w:rsidP="00740D0F">
            <w:pPr>
              <w:pStyle w:val="Table2"/>
            </w:pPr>
            <w:r>
              <w:t>Preventable fatal</w:t>
            </w:r>
          </w:p>
          <w:p w:rsidR="00EC22A3" w:rsidRDefault="00EC22A3" w:rsidP="00740D0F">
            <w:pPr>
              <w:pStyle w:val="Table2"/>
            </w:pPr>
            <w:r>
              <w:t>Reducible to injury</w:t>
            </w:r>
          </w:p>
          <w:p w:rsidR="00EC22A3" w:rsidRDefault="00EC22A3" w:rsidP="00740D0F">
            <w:pPr>
              <w:pStyle w:val="Table2"/>
            </w:pPr>
            <w:r>
              <w:t>Preventable fatal</w:t>
            </w:r>
          </w:p>
          <w:p w:rsidR="00EC22A3" w:rsidRDefault="00EC22A3" w:rsidP="00740D0F">
            <w:pPr>
              <w:pStyle w:val="Table2"/>
            </w:pPr>
            <w:r>
              <w:t>Reducible to injury</w:t>
            </w:r>
          </w:p>
          <w:p w:rsidR="00EC22A3" w:rsidRDefault="00EC22A3" w:rsidP="00740D0F">
            <w:pPr>
              <w:pStyle w:val="Table2"/>
            </w:pPr>
            <w:r>
              <w:t>Preventable fatal</w:t>
            </w:r>
          </w:p>
          <w:p w:rsidR="00EC22A3" w:rsidRDefault="00EC22A3" w:rsidP="00740D0F">
            <w:pPr>
              <w:pStyle w:val="Table2"/>
            </w:pPr>
            <w:r>
              <w:t>Reducible to injury</w:t>
            </w:r>
          </w:p>
          <w:p w:rsidR="00EC22A3" w:rsidRDefault="00EC22A3" w:rsidP="00740D0F">
            <w:pPr>
              <w:pStyle w:val="Table2"/>
            </w:pPr>
            <w:r>
              <w:t>Preventable fatal</w:t>
            </w:r>
          </w:p>
          <w:p w:rsidR="00EC22A3" w:rsidRDefault="00EC22A3" w:rsidP="00740D0F">
            <w:pPr>
              <w:pStyle w:val="Table2"/>
            </w:pPr>
            <w:r>
              <w:t>Reducible to injury</w:t>
            </w:r>
          </w:p>
          <w:p w:rsidR="005F51B1" w:rsidRDefault="005F51B1" w:rsidP="00740D0F">
            <w:pPr>
              <w:pStyle w:val="Table2"/>
            </w:pPr>
          </w:p>
          <w:p w:rsidR="00EC22A3" w:rsidRDefault="00EC22A3" w:rsidP="00740D0F">
            <w:pPr>
              <w:pStyle w:val="Table2"/>
            </w:pPr>
            <w:r>
              <w:t>Preventable</w:t>
            </w:r>
          </w:p>
          <w:p w:rsidR="00EC22A3" w:rsidRDefault="00EC22A3" w:rsidP="00740D0F">
            <w:pPr>
              <w:pStyle w:val="Table2"/>
            </w:pPr>
            <w:r>
              <w:t>Preventable</w:t>
            </w:r>
          </w:p>
          <w:p w:rsidR="00EC22A3" w:rsidRDefault="00EC22A3" w:rsidP="00740D0F">
            <w:pPr>
              <w:pStyle w:val="Table2"/>
            </w:pPr>
            <w:r>
              <w:t>Preventable</w:t>
            </w:r>
          </w:p>
          <w:p w:rsidR="003B4925" w:rsidRDefault="003B4925" w:rsidP="00740D0F">
            <w:pPr>
              <w:pStyle w:val="Table2"/>
            </w:pPr>
          </w:p>
        </w:tc>
        <w:tc>
          <w:tcPr>
            <w:tcW w:w="2311" w:type="dxa"/>
          </w:tcPr>
          <w:p w:rsidR="00740D0F" w:rsidRDefault="006F2E55" w:rsidP="00740D0F">
            <w:pPr>
              <w:pStyle w:val="Table2"/>
            </w:pPr>
            <w:r>
              <w:t>8.3</w:t>
            </w:r>
          </w:p>
          <w:p w:rsidR="006F2E55" w:rsidRDefault="006F2E55" w:rsidP="00740D0F">
            <w:pPr>
              <w:pStyle w:val="Table2"/>
            </w:pPr>
            <w:r>
              <w:t>2.3</w:t>
            </w:r>
          </w:p>
          <w:p w:rsidR="006F2E55" w:rsidRDefault="006F2E55" w:rsidP="00740D0F">
            <w:pPr>
              <w:pStyle w:val="Table2"/>
            </w:pPr>
            <w:r>
              <w:t>5</w:t>
            </w:r>
          </w:p>
          <w:p w:rsidR="006F2E55" w:rsidRDefault="006F2E55" w:rsidP="00740D0F">
            <w:pPr>
              <w:pStyle w:val="Table2"/>
            </w:pPr>
            <w:r>
              <w:t>8</w:t>
            </w:r>
          </w:p>
          <w:p w:rsidR="006F2E55" w:rsidRDefault="006F2E55" w:rsidP="00740D0F">
            <w:pPr>
              <w:pStyle w:val="Table2"/>
            </w:pPr>
            <w:r>
              <w:t>6</w:t>
            </w:r>
          </w:p>
          <w:p w:rsidR="006F2E55" w:rsidRDefault="006F2E55" w:rsidP="00740D0F">
            <w:pPr>
              <w:pStyle w:val="Table2"/>
            </w:pPr>
            <w:r>
              <w:t>7</w:t>
            </w:r>
          </w:p>
          <w:p w:rsidR="006F2E55" w:rsidRDefault="006F2E55" w:rsidP="00740D0F">
            <w:pPr>
              <w:pStyle w:val="Table2"/>
            </w:pPr>
            <w:r>
              <w:t>7</w:t>
            </w:r>
          </w:p>
          <w:p w:rsidR="006F2E55" w:rsidRDefault="006F2E55" w:rsidP="00740D0F">
            <w:pPr>
              <w:pStyle w:val="Table2"/>
            </w:pPr>
            <w:r>
              <w:t>3</w:t>
            </w:r>
          </w:p>
          <w:p w:rsidR="00F0022D" w:rsidRDefault="00F0022D" w:rsidP="00740D0F">
            <w:pPr>
              <w:pStyle w:val="Table2"/>
            </w:pPr>
          </w:p>
          <w:p w:rsidR="00F0022D" w:rsidRDefault="00F0022D" w:rsidP="00740D0F">
            <w:pPr>
              <w:pStyle w:val="Table2"/>
            </w:pPr>
            <w:r>
              <w:t>6.1</w:t>
            </w:r>
          </w:p>
          <w:p w:rsidR="00F0022D" w:rsidRDefault="00F0022D" w:rsidP="00740D0F">
            <w:pPr>
              <w:pStyle w:val="Table2"/>
            </w:pPr>
            <w:r>
              <w:t>1.4</w:t>
            </w:r>
          </w:p>
          <w:p w:rsidR="00F0022D" w:rsidRDefault="00F0022D" w:rsidP="00740D0F">
            <w:pPr>
              <w:pStyle w:val="Table2"/>
            </w:pPr>
            <w:r>
              <w:t>7.4</w:t>
            </w:r>
          </w:p>
        </w:tc>
      </w:tr>
      <w:tr w:rsidR="00740D0F" w:rsidTr="003B4925">
        <w:tc>
          <w:tcPr>
            <w:tcW w:w="2310" w:type="dxa"/>
          </w:tcPr>
          <w:p w:rsidR="00740D0F" w:rsidRDefault="00740D0F" w:rsidP="00740D0F">
            <w:pPr>
              <w:pStyle w:val="Table2"/>
            </w:pPr>
            <w:r>
              <w:t>NRTC Stage 2 (1996)</w:t>
            </w:r>
          </w:p>
        </w:tc>
        <w:tc>
          <w:tcPr>
            <w:tcW w:w="1484" w:type="dxa"/>
          </w:tcPr>
          <w:p w:rsidR="00F0022D" w:rsidRDefault="00F0022D" w:rsidP="00F0022D">
            <w:pPr>
              <w:pStyle w:val="Table2"/>
            </w:pPr>
            <w:r>
              <w:t>Prime-mover</w:t>
            </w:r>
          </w:p>
          <w:p w:rsidR="00F0022D" w:rsidRDefault="00F0022D" w:rsidP="00F0022D">
            <w:pPr>
              <w:pStyle w:val="Table2"/>
            </w:pPr>
          </w:p>
          <w:p w:rsidR="00F0022D" w:rsidRDefault="00F0022D" w:rsidP="00F0022D">
            <w:pPr>
              <w:pStyle w:val="Table2"/>
            </w:pPr>
            <w:r>
              <w:t>Rigid over 12t</w:t>
            </w:r>
          </w:p>
          <w:p w:rsidR="00F0022D" w:rsidRDefault="00F0022D" w:rsidP="00F0022D">
            <w:pPr>
              <w:pStyle w:val="Table2"/>
            </w:pPr>
          </w:p>
          <w:p w:rsidR="00F0022D" w:rsidRDefault="00F0022D" w:rsidP="00F0022D">
            <w:pPr>
              <w:pStyle w:val="Table2"/>
            </w:pPr>
            <w:r>
              <w:t>Bus over 5t</w:t>
            </w:r>
          </w:p>
          <w:p w:rsidR="00F0022D" w:rsidRDefault="00F0022D" w:rsidP="00F0022D">
            <w:pPr>
              <w:pStyle w:val="Table2"/>
            </w:pPr>
          </w:p>
          <w:p w:rsidR="00740D0F" w:rsidRDefault="00F0022D" w:rsidP="00F0022D">
            <w:pPr>
              <w:pStyle w:val="Table2"/>
            </w:pPr>
            <w:r>
              <w:t>All vehicles</w:t>
            </w:r>
          </w:p>
          <w:p w:rsidR="00F0022D" w:rsidRDefault="00F0022D" w:rsidP="00F0022D">
            <w:pPr>
              <w:pStyle w:val="Table2"/>
            </w:pPr>
          </w:p>
          <w:p w:rsidR="00F0022D" w:rsidRDefault="00F0022D" w:rsidP="00F0022D">
            <w:pPr>
              <w:pStyle w:val="Table2"/>
            </w:pPr>
          </w:p>
          <w:p w:rsidR="00F0022D" w:rsidRDefault="00F0022D" w:rsidP="00F0022D">
            <w:pPr>
              <w:pStyle w:val="Table2"/>
            </w:pPr>
            <w:r>
              <w:t>Prime-mover</w:t>
            </w:r>
          </w:p>
          <w:p w:rsidR="00F0022D" w:rsidRDefault="00F0022D" w:rsidP="00F0022D">
            <w:pPr>
              <w:pStyle w:val="Table2"/>
            </w:pPr>
            <w:r>
              <w:t>Rigid over 12t</w:t>
            </w:r>
          </w:p>
          <w:p w:rsidR="00F0022D" w:rsidRDefault="00F0022D" w:rsidP="00F0022D">
            <w:pPr>
              <w:pStyle w:val="Table2"/>
            </w:pPr>
            <w:r>
              <w:t>Bus over 5t</w:t>
            </w:r>
          </w:p>
          <w:p w:rsidR="005F51B1" w:rsidRDefault="005F51B1" w:rsidP="00F0022D">
            <w:pPr>
              <w:pStyle w:val="Table2"/>
            </w:pPr>
          </w:p>
        </w:tc>
        <w:tc>
          <w:tcPr>
            <w:tcW w:w="3137" w:type="dxa"/>
          </w:tcPr>
          <w:p w:rsidR="005F51B1" w:rsidRDefault="005F51B1" w:rsidP="005F51B1">
            <w:pPr>
              <w:pStyle w:val="Table2"/>
            </w:pPr>
            <w:r>
              <w:t>Preventable fatal</w:t>
            </w:r>
          </w:p>
          <w:p w:rsidR="005F51B1" w:rsidRDefault="005F51B1" w:rsidP="005F51B1">
            <w:pPr>
              <w:pStyle w:val="Table2"/>
            </w:pPr>
            <w:r>
              <w:t>Reducible to injury</w:t>
            </w:r>
          </w:p>
          <w:p w:rsidR="005F51B1" w:rsidRDefault="005F51B1" w:rsidP="005F51B1">
            <w:pPr>
              <w:pStyle w:val="Table2"/>
            </w:pPr>
            <w:r>
              <w:t>Preventable fatal</w:t>
            </w:r>
          </w:p>
          <w:p w:rsidR="005F51B1" w:rsidRDefault="005F51B1" w:rsidP="005F51B1">
            <w:pPr>
              <w:pStyle w:val="Table2"/>
            </w:pPr>
            <w:r>
              <w:t>Reducible to injury</w:t>
            </w:r>
          </w:p>
          <w:p w:rsidR="005F51B1" w:rsidRDefault="005F51B1" w:rsidP="005F51B1">
            <w:pPr>
              <w:pStyle w:val="Table2"/>
            </w:pPr>
            <w:r>
              <w:t>Preventable fatal</w:t>
            </w:r>
          </w:p>
          <w:p w:rsidR="005F51B1" w:rsidRDefault="005F51B1" w:rsidP="005F51B1">
            <w:pPr>
              <w:pStyle w:val="Table2"/>
            </w:pPr>
            <w:r>
              <w:t>Reducible to injury</w:t>
            </w:r>
          </w:p>
          <w:p w:rsidR="005F51B1" w:rsidRDefault="005F51B1" w:rsidP="005F51B1">
            <w:pPr>
              <w:pStyle w:val="Table2"/>
            </w:pPr>
            <w:r>
              <w:t>Preventable fatal</w:t>
            </w:r>
          </w:p>
          <w:p w:rsidR="005F51B1" w:rsidRDefault="005F51B1" w:rsidP="005F51B1">
            <w:pPr>
              <w:pStyle w:val="Table2"/>
            </w:pPr>
            <w:r>
              <w:t>Reducible to injury</w:t>
            </w:r>
          </w:p>
          <w:p w:rsidR="005F51B1" w:rsidRDefault="005F51B1" w:rsidP="005F51B1">
            <w:pPr>
              <w:pStyle w:val="Table2"/>
            </w:pPr>
          </w:p>
          <w:p w:rsidR="005F51B1" w:rsidRDefault="005F51B1" w:rsidP="005F51B1">
            <w:pPr>
              <w:pStyle w:val="Table2"/>
            </w:pPr>
            <w:r>
              <w:t>Preventable</w:t>
            </w:r>
          </w:p>
          <w:p w:rsidR="005F51B1" w:rsidRDefault="005F51B1" w:rsidP="005F51B1">
            <w:pPr>
              <w:pStyle w:val="Table2"/>
            </w:pPr>
            <w:r>
              <w:t>Preventable</w:t>
            </w:r>
          </w:p>
          <w:p w:rsidR="00740D0F" w:rsidRDefault="005F51B1" w:rsidP="005F51B1">
            <w:pPr>
              <w:pStyle w:val="Table2"/>
            </w:pPr>
            <w:r>
              <w:t>Preventable</w:t>
            </w:r>
          </w:p>
        </w:tc>
        <w:tc>
          <w:tcPr>
            <w:tcW w:w="2311" w:type="dxa"/>
          </w:tcPr>
          <w:p w:rsidR="00740D0F" w:rsidRDefault="00F0022D" w:rsidP="00740D0F">
            <w:pPr>
              <w:pStyle w:val="Table2"/>
            </w:pPr>
            <w:r>
              <w:t>5.3</w:t>
            </w:r>
          </w:p>
          <w:p w:rsidR="00F0022D" w:rsidRDefault="00F0022D" w:rsidP="00740D0F">
            <w:pPr>
              <w:pStyle w:val="Table2"/>
            </w:pPr>
            <w:r>
              <w:t>3</w:t>
            </w:r>
          </w:p>
          <w:p w:rsidR="00F0022D" w:rsidRDefault="00F0022D" w:rsidP="00740D0F">
            <w:pPr>
              <w:pStyle w:val="Table2"/>
            </w:pPr>
            <w:r>
              <w:t>8.3</w:t>
            </w:r>
          </w:p>
          <w:p w:rsidR="00F0022D" w:rsidRDefault="00F0022D" w:rsidP="00740D0F">
            <w:pPr>
              <w:pStyle w:val="Table2"/>
            </w:pPr>
            <w:r>
              <w:t>2.8</w:t>
            </w:r>
          </w:p>
          <w:p w:rsidR="00F0022D" w:rsidRDefault="00F0022D" w:rsidP="00740D0F">
            <w:pPr>
              <w:pStyle w:val="Table2"/>
            </w:pPr>
            <w:r>
              <w:t>1</w:t>
            </w:r>
          </w:p>
          <w:p w:rsidR="00F0022D" w:rsidRDefault="00F0022D" w:rsidP="00740D0F">
            <w:pPr>
              <w:pStyle w:val="Table2"/>
            </w:pPr>
            <w:r>
              <w:t>2</w:t>
            </w:r>
          </w:p>
          <w:p w:rsidR="00F0022D" w:rsidRDefault="00F0022D" w:rsidP="00740D0F">
            <w:pPr>
              <w:pStyle w:val="Table2"/>
            </w:pPr>
            <w:r>
              <w:t>6.2</w:t>
            </w:r>
          </w:p>
          <w:p w:rsidR="00F0022D" w:rsidRDefault="00F0022D" w:rsidP="00740D0F">
            <w:pPr>
              <w:pStyle w:val="Table2"/>
            </w:pPr>
            <w:r>
              <w:t>2.9</w:t>
            </w:r>
          </w:p>
          <w:p w:rsidR="005F51B1" w:rsidRDefault="005F51B1" w:rsidP="00740D0F">
            <w:pPr>
              <w:pStyle w:val="Table2"/>
            </w:pPr>
          </w:p>
          <w:p w:rsidR="005F51B1" w:rsidRDefault="005F51B1" w:rsidP="00740D0F">
            <w:pPr>
              <w:pStyle w:val="Table2"/>
            </w:pPr>
            <w:r>
              <w:t>6.4</w:t>
            </w:r>
          </w:p>
          <w:p w:rsidR="005F51B1" w:rsidRDefault="005F51B1" w:rsidP="00740D0F">
            <w:pPr>
              <w:pStyle w:val="Table2"/>
            </w:pPr>
            <w:r>
              <w:t>8.3</w:t>
            </w:r>
          </w:p>
          <w:p w:rsidR="005F51B1" w:rsidRDefault="005F51B1" w:rsidP="00740D0F">
            <w:pPr>
              <w:pStyle w:val="Table2"/>
            </w:pPr>
            <w:r>
              <w:t>2.8</w:t>
            </w:r>
          </w:p>
        </w:tc>
      </w:tr>
      <w:tr w:rsidR="008A34BF" w:rsidTr="003B4925">
        <w:tc>
          <w:tcPr>
            <w:tcW w:w="2310" w:type="dxa"/>
            <w:tcBorders>
              <w:bottom w:val="single" w:sz="4" w:space="0" w:color="auto"/>
            </w:tcBorders>
          </w:tcPr>
          <w:p w:rsidR="008A34BF" w:rsidRDefault="008A34BF" w:rsidP="00740D0F">
            <w:pPr>
              <w:pStyle w:val="Table2"/>
            </w:pPr>
            <w:r>
              <w:t xml:space="preserve">Robinson &amp; </w:t>
            </w:r>
            <w:proofErr w:type="spellStart"/>
            <w:r>
              <w:t>Duffin</w:t>
            </w:r>
            <w:proofErr w:type="spellEnd"/>
            <w:r>
              <w:t xml:space="preserve"> (1993)</w:t>
            </w:r>
          </w:p>
        </w:tc>
        <w:tc>
          <w:tcPr>
            <w:tcW w:w="1484" w:type="dxa"/>
            <w:tcBorders>
              <w:bottom w:val="single" w:sz="4" w:space="0" w:color="auto"/>
            </w:tcBorders>
          </w:tcPr>
          <w:p w:rsidR="008A34BF" w:rsidRDefault="008A34BF" w:rsidP="00740D0F">
            <w:pPr>
              <w:pStyle w:val="Table2"/>
            </w:pPr>
          </w:p>
        </w:tc>
        <w:tc>
          <w:tcPr>
            <w:tcW w:w="3137" w:type="dxa"/>
            <w:tcBorders>
              <w:bottom w:val="single" w:sz="4" w:space="0" w:color="auto"/>
            </w:tcBorders>
          </w:tcPr>
          <w:p w:rsidR="008A34BF" w:rsidRDefault="008A34BF" w:rsidP="00740D0F">
            <w:pPr>
              <w:pStyle w:val="Table2"/>
            </w:pPr>
          </w:p>
        </w:tc>
        <w:tc>
          <w:tcPr>
            <w:tcW w:w="2311" w:type="dxa"/>
            <w:tcBorders>
              <w:bottom w:val="single" w:sz="4" w:space="0" w:color="auto"/>
            </w:tcBorders>
          </w:tcPr>
          <w:p w:rsidR="008A34BF" w:rsidRDefault="006F2E55" w:rsidP="00740D0F">
            <w:pPr>
              <w:pStyle w:val="Table2"/>
            </w:pPr>
            <w:r>
              <w:t>10</w:t>
            </w:r>
          </w:p>
        </w:tc>
      </w:tr>
      <w:tr w:rsidR="003B4925" w:rsidTr="003B4925">
        <w:tc>
          <w:tcPr>
            <w:tcW w:w="9242" w:type="dxa"/>
            <w:gridSpan w:val="4"/>
            <w:tcBorders>
              <w:top w:val="single" w:sz="4" w:space="0" w:color="auto"/>
            </w:tcBorders>
          </w:tcPr>
          <w:p w:rsidR="003B4925" w:rsidRDefault="0086354D" w:rsidP="00740D0F">
            <w:pPr>
              <w:pStyle w:val="Table2"/>
            </w:pPr>
            <w:r>
              <w:t>Source: see text</w:t>
            </w:r>
          </w:p>
        </w:tc>
      </w:tr>
    </w:tbl>
    <w:p w:rsidR="00AC52D7" w:rsidRDefault="00AC52D7" w:rsidP="00A40814"/>
    <w:p w:rsidR="00AC52D7" w:rsidRDefault="00B83ABA" w:rsidP="00B137C0">
      <w:pPr>
        <w:pStyle w:val="Heading1"/>
        <w:numPr>
          <w:ilvl w:val="0"/>
          <w:numId w:val="0"/>
        </w:numPr>
        <w:ind w:left="851" w:hanging="851"/>
      </w:pPr>
      <w:bookmarkStart w:id="98" w:name="_Ref343073267"/>
      <w:bookmarkStart w:id="99" w:name="_Toc375302816"/>
      <w:r>
        <w:lastRenderedPageBreak/>
        <w:t>Appendix 1</w:t>
      </w:r>
      <w:r w:rsidR="007D4DE1">
        <w:t>2</w:t>
      </w:r>
      <w:r>
        <w:t>—Compatibility</w:t>
      </w:r>
      <w:bookmarkEnd w:id="98"/>
      <w:bookmarkEnd w:id="99"/>
    </w:p>
    <w:p w:rsidR="00F35F66" w:rsidRDefault="00F35F66" w:rsidP="00F35F66">
      <w:r>
        <w:t xml:space="preserve">The following chart demonstrates the complex nature of compatibility.  It outlines the various current heavy vehicle braking technologies that exist in the fleet today, technologies which are proposed under Phase I of the </w:t>
      </w:r>
      <w:r w:rsidRPr="003C7B50">
        <w:t>NHVBS (Byrnes, 2009).</w:t>
      </w:r>
    </w:p>
    <w:p w:rsidR="00F35F66" w:rsidRDefault="00F35F66" w:rsidP="009E4C15">
      <w:pPr>
        <w:pStyle w:val="ListParagraph"/>
        <w:numPr>
          <w:ilvl w:val="0"/>
          <w:numId w:val="23"/>
        </w:numPr>
      </w:pPr>
      <w:r>
        <w:t>Given that the second example in the chart is evaluated as “no better than combinations in service now” (</w:t>
      </w:r>
      <w:r w:rsidR="007A29F9">
        <w:t>i.e.</w:t>
      </w:r>
      <w:r>
        <w:t xml:space="preserve"> no safety detriment), comment will centre on the third and sixth examples.</w:t>
      </w:r>
    </w:p>
    <w:p w:rsidR="00F35F66" w:rsidRDefault="00960340" w:rsidP="009E4C15">
      <w:pPr>
        <w:pStyle w:val="ListParagraph"/>
        <w:numPr>
          <w:ilvl w:val="0"/>
          <w:numId w:val="23"/>
        </w:numPr>
      </w:pPr>
      <w:bookmarkStart w:id="100" w:name="compatibilityamend1"/>
      <w:bookmarkEnd w:id="100"/>
      <w:r>
        <w:t>Third example—t</w:t>
      </w:r>
      <w:r w:rsidR="00F35F66">
        <w:t>he issue raised is the limit adjustment allowed under ADRs 35 and 38 to balance this combination.</w:t>
      </w:r>
      <w:r w:rsidR="009E4C15">
        <w:t xml:space="preserve"> </w:t>
      </w:r>
      <w:r w:rsidR="00F35F66">
        <w:t xml:space="preserve"> There is a change being considered under the current proposal to widen the tolerance of this band to allow for particular combinations and this should correct any problem.</w:t>
      </w:r>
    </w:p>
    <w:p w:rsidR="00AC52D7" w:rsidRDefault="007A29F9" w:rsidP="009E4C15">
      <w:pPr>
        <w:pStyle w:val="ListParagraph"/>
        <w:numPr>
          <w:ilvl w:val="0"/>
          <w:numId w:val="23"/>
        </w:numPr>
      </w:pPr>
      <w:r>
        <w:t>Sixth example—t</w:t>
      </w:r>
      <w:r w:rsidR="00F35F66">
        <w:t>he issue raised is truck overbraking.</w:t>
      </w:r>
      <w:r w:rsidR="009E4C15">
        <w:t xml:space="preserve"> </w:t>
      </w:r>
      <w:r w:rsidR="00F35F66">
        <w:t xml:space="preserve"> However, it should be acknowledged that the ABS on the truck will prevent truck wheel lock and so safety will not be comprised.  This is an approved combination under the Performance Based Standards (PBS) run by the state and territory governments.</w:t>
      </w:r>
    </w:p>
    <w:p w:rsidR="009E4C15" w:rsidRDefault="009E4C15" w:rsidP="009E4C15">
      <w:r>
        <w:rPr>
          <w:noProof/>
          <w:lang w:eastAsia="en-AU"/>
        </w:rPr>
        <w:lastRenderedPageBreak/>
        <w:drawing>
          <wp:inline distT="0" distB="0" distL="0" distR="0">
            <wp:extent cx="5877856" cy="737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31528" t="7657" r="28752" b="3776"/>
                    <a:stretch/>
                  </pic:blipFill>
                  <pic:spPr bwMode="auto">
                    <a:xfrm>
                      <a:off x="0" y="0"/>
                      <a:ext cx="5879625" cy="7374569"/>
                    </a:xfrm>
                    <a:prstGeom prst="rect">
                      <a:avLst/>
                    </a:prstGeom>
                    <a:ln>
                      <a:noFill/>
                    </a:ln>
                    <a:extLst>
                      <a:ext uri="{53640926-AAD7-44D8-BBD7-CCE9431645EC}">
                        <a14:shadowObscured xmlns:a14="http://schemas.microsoft.com/office/drawing/2010/main"/>
                      </a:ext>
                    </a:extLst>
                  </pic:spPr>
                </pic:pic>
              </a:graphicData>
            </a:graphic>
          </wp:inline>
        </w:drawing>
      </w:r>
    </w:p>
    <w:p w:rsidR="0051672A" w:rsidRDefault="0051672A">
      <w:pPr>
        <w:tabs>
          <w:tab w:val="clear" w:pos="851"/>
        </w:tabs>
        <w:spacing w:before="0" w:after="200" w:line="276" w:lineRule="auto"/>
      </w:pPr>
      <w:bookmarkStart w:id="101" w:name="_Toc319933961"/>
      <w:bookmarkStart w:id="102" w:name="_Ref338755306"/>
    </w:p>
    <w:p w:rsidR="0051672A" w:rsidRDefault="0051672A">
      <w:pPr>
        <w:tabs>
          <w:tab w:val="clear" w:pos="851"/>
        </w:tabs>
        <w:spacing w:before="0" w:after="200" w:line="276" w:lineRule="auto"/>
        <w:rPr>
          <w:rFonts w:eastAsiaTheme="majorEastAsia" w:cstheme="majorBidi"/>
          <w:b/>
          <w:bCs/>
          <w:caps/>
          <w:szCs w:val="28"/>
        </w:rPr>
      </w:pPr>
      <w:r>
        <w:br w:type="page"/>
      </w:r>
    </w:p>
    <w:p w:rsidR="008B1344" w:rsidRDefault="00DA32D6" w:rsidP="00350154">
      <w:pPr>
        <w:pStyle w:val="Heading1"/>
        <w:numPr>
          <w:ilvl w:val="0"/>
          <w:numId w:val="0"/>
        </w:numPr>
      </w:pPr>
      <w:bookmarkStart w:id="103" w:name="_Ref342916260"/>
      <w:bookmarkStart w:id="104" w:name="_Toc375302817"/>
      <w:r w:rsidRPr="00E8595D">
        <w:lastRenderedPageBreak/>
        <w:t>A</w:t>
      </w:r>
      <w:r w:rsidR="00340EF4" w:rsidRPr="00E8595D">
        <w:t>ppendix 1</w:t>
      </w:r>
      <w:r w:rsidR="00565C8F">
        <w:t>3</w:t>
      </w:r>
      <w:r w:rsidR="00340EF4" w:rsidRPr="00E8595D">
        <w:t>—</w:t>
      </w:r>
      <w:r w:rsidR="009A4D65">
        <w:t xml:space="preserve">Membership of the </w:t>
      </w:r>
      <w:r w:rsidR="009E5A30" w:rsidRPr="00E8595D">
        <w:t>T</w:t>
      </w:r>
      <w:r w:rsidR="00340EF4" w:rsidRPr="00E8595D">
        <w:t xml:space="preserve">echnical </w:t>
      </w:r>
      <w:r w:rsidR="009E5A30" w:rsidRPr="00E8595D">
        <w:t>L</w:t>
      </w:r>
      <w:r w:rsidR="00340EF4" w:rsidRPr="00E8595D">
        <w:t xml:space="preserve">iaison </w:t>
      </w:r>
      <w:r w:rsidR="009E5A30" w:rsidRPr="00E8595D">
        <w:t>G</w:t>
      </w:r>
      <w:r w:rsidR="00340EF4" w:rsidRPr="00E8595D">
        <w:t>roup (</w:t>
      </w:r>
      <w:r w:rsidR="009E5A30" w:rsidRPr="00E8595D">
        <w:t>TLG</w:t>
      </w:r>
      <w:r w:rsidR="00340EF4" w:rsidRPr="00E8595D">
        <w:t>)</w:t>
      </w:r>
      <w:bookmarkEnd w:id="101"/>
      <w:bookmarkEnd w:id="102"/>
      <w:bookmarkEnd w:id="103"/>
      <w:bookmarkEnd w:id="104"/>
    </w:p>
    <w:tbl>
      <w:tblPr>
        <w:tblW w:w="0" w:type="auto"/>
        <w:jc w:val="center"/>
        <w:tblInd w:w="-804" w:type="dxa"/>
        <w:tblBorders>
          <w:top w:val="single" w:sz="4" w:space="0" w:color="000000" w:themeColor="text1"/>
          <w:bottom w:val="single" w:sz="4" w:space="0" w:color="000000" w:themeColor="text1"/>
          <w:insideV w:val="single" w:sz="4" w:space="0" w:color="000000" w:themeColor="text1"/>
        </w:tblBorders>
        <w:tblLook w:val="04A0" w:firstRow="1" w:lastRow="0" w:firstColumn="1" w:lastColumn="0" w:noHBand="0" w:noVBand="1"/>
      </w:tblPr>
      <w:tblGrid>
        <w:gridCol w:w="8245"/>
      </w:tblGrid>
      <w:tr w:rsidR="00DB7B76" w:rsidTr="00CB243F">
        <w:trPr>
          <w:jc w:val="center"/>
        </w:trPr>
        <w:tc>
          <w:tcPr>
            <w:tcW w:w="8245" w:type="dxa"/>
            <w:tcBorders>
              <w:top w:val="single" w:sz="12" w:space="0" w:color="000000" w:themeColor="text1"/>
              <w:bottom w:val="single" w:sz="4" w:space="0" w:color="000000" w:themeColor="text1"/>
            </w:tcBorders>
          </w:tcPr>
          <w:p w:rsidR="00DB7B76" w:rsidRDefault="00DB7B76" w:rsidP="00C812E1">
            <w:pPr>
              <w:pStyle w:val="Tableheading1"/>
            </w:pPr>
            <w:r>
              <w:t>Organisation</w:t>
            </w:r>
          </w:p>
        </w:tc>
      </w:tr>
      <w:tr w:rsidR="00DB7B76" w:rsidTr="00CB243F">
        <w:trPr>
          <w:jc w:val="center"/>
        </w:trPr>
        <w:tc>
          <w:tcPr>
            <w:tcW w:w="8245" w:type="dxa"/>
            <w:tcBorders>
              <w:top w:val="single" w:sz="4" w:space="0" w:color="000000" w:themeColor="text1"/>
            </w:tcBorders>
          </w:tcPr>
          <w:p w:rsidR="00DB7B76" w:rsidRDefault="00DB7B76" w:rsidP="00C812E1">
            <w:pPr>
              <w:pStyle w:val="Table1"/>
            </w:pPr>
          </w:p>
        </w:tc>
      </w:tr>
      <w:tr w:rsidR="00DB7B76" w:rsidTr="00CB243F">
        <w:trPr>
          <w:jc w:val="center"/>
        </w:trPr>
        <w:tc>
          <w:tcPr>
            <w:tcW w:w="8245" w:type="dxa"/>
          </w:tcPr>
          <w:p w:rsidR="00DB7B76" w:rsidRDefault="00DB7B76" w:rsidP="00C812E1">
            <w:pPr>
              <w:pStyle w:val="Tablesubheading1"/>
            </w:pPr>
            <w:r>
              <w:t>Manufacturer Representatives</w:t>
            </w:r>
          </w:p>
        </w:tc>
      </w:tr>
      <w:tr w:rsidR="00DB7B76" w:rsidTr="00CB243F">
        <w:trPr>
          <w:jc w:val="center"/>
        </w:trPr>
        <w:tc>
          <w:tcPr>
            <w:tcW w:w="8245" w:type="dxa"/>
          </w:tcPr>
          <w:p w:rsidR="00DB7B76" w:rsidRDefault="00DB7B76" w:rsidP="00C812E1">
            <w:pPr>
              <w:pStyle w:val="Table1"/>
            </w:pPr>
            <w:r>
              <w:t>Australian Road Transport Suppliers Association</w:t>
            </w:r>
          </w:p>
        </w:tc>
      </w:tr>
      <w:tr w:rsidR="00DB7B76" w:rsidTr="00CB243F">
        <w:trPr>
          <w:jc w:val="center"/>
        </w:trPr>
        <w:tc>
          <w:tcPr>
            <w:tcW w:w="8245" w:type="dxa"/>
          </w:tcPr>
          <w:p w:rsidR="00DB7B76" w:rsidRDefault="00DB7B76" w:rsidP="00C812E1">
            <w:pPr>
              <w:pStyle w:val="Table1"/>
            </w:pPr>
            <w:r>
              <w:t>Commercial Vehicle Industry Association</w:t>
            </w:r>
          </w:p>
        </w:tc>
      </w:tr>
      <w:tr w:rsidR="00DB7B76" w:rsidTr="00CB243F">
        <w:trPr>
          <w:jc w:val="center"/>
        </w:trPr>
        <w:tc>
          <w:tcPr>
            <w:tcW w:w="8245" w:type="dxa"/>
          </w:tcPr>
          <w:p w:rsidR="00DB7B76" w:rsidRDefault="00DB7B76" w:rsidP="00C812E1">
            <w:pPr>
              <w:pStyle w:val="Table1"/>
            </w:pPr>
            <w:r>
              <w:t>Federal Chamber of Automotive Industries</w:t>
            </w:r>
          </w:p>
        </w:tc>
      </w:tr>
      <w:tr w:rsidR="00DB7B76" w:rsidTr="00CB243F">
        <w:trPr>
          <w:jc w:val="center"/>
        </w:trPr>
        <w:tc>
          <w:tcPr>
            <w:tcW w:w="8245" w:type="dxa"/>
          </w:tcPr>
          <w:p w:rsidR="00DB7B76" w:rsidRDefault="00DB7B76" w:rsidP="00C812E1">
            <w:pPr>
              <w:pStyle w:val="Table1"/>
            </w:pPr>
            <w:r>
              <w:t>Federation of Automotive Product Manufacturers</w:t>
            </w:r>
          </w:p>
        </w:tc>
      </w:tr>
      <w:tr w:rsidR="00DB7B76" w:rsidTr="00CB243F">
        <w:trPr>
          <w:jc w:val="center"/>
        </w:trPr>
        <w:tc>
          <w:tcPr>
            <w:tcW w:w="8245" w:type="dxa"/>
          </w:tcPr>
          <w:p w:rsidR="00DB7B76" w:rsidRDefault="00DB7B76" w:rsidP="00C812E1">
            <w:pPr>
              <w:pStyle w:val="Table1"/>
            </w:pPr>
            <w:r>
              <w:t>Truck Industry Council</w:t>
            </w:r>
          </w:p>
        </w:tc>
      </w:tr>
      <w:tr w:rsidR="00DB7B76" w:rsidTr="00CB243F">
        <w:trPr>
          <w:jc w:val="center"/>
        </w:trPr>
        <w:tc>
          <w:tcPr>
            <w:tcW w:w="8245" w:type="dxa"/>
          </w:tcPr>
          <w:p w:rsidR="00DB7B76" w:rsidRDefault="00DB7B76" w:rsidP="009A4D65">
            <w:pPr>
              <w:pStyle w:val="Table1"/>
            </w:pPr>
            <w:r>
              <w:t xml:space="preserve">Bus Industry </w:t>
            </w:r>
            <w:r w:rsidR="009A4D65">
              <w:t>Conf</w:t>
            </w:r>
            <w:r>
              <w:t>ederation</w:t>
            </w:r>
          </w:p>
        </w:tc>
      </w:tr>
      <w:tr w:rsidR="00DB7B76" w:rsidTr="00CB243F">
        <w:trPr>
          <w:jc w:val="center"/>
        </w:trPr>
        <w:tc>
          <w:tcPr>
            <w:tcW w:w="8245" w:type="dxa"/>
          </w:tcPr>
          <w:p w:rsidR="00DB7B76" w:rsidRDefault="00DB7B76" w:rsidP="00C812E1">
            <w:pPr>
              <w:pStyle w:val="Table1"/>
            </w:pPr>
          </w:p>
        </w:tc>
      </w:tr>
      <w:tr w:rsidR="00DB7B76" w:rsidTr="00CB243F">
        <w:trPr>
          <w:jc w:val="center"/>
        </w:trPr>
        <w:tc>
          <w:tcPr>
            <w:tcW w:w="8245" w:type="dxa"/>
          </w:tcPr>
          <w:p w:rsidR="00DB7B76" w:rsidRDefault="00DB7B76" w:rsidP="00C812E1">
            <w:pPr>
              <w:pStyle w:val="Tablesubheading1"/>
            </w:pPr>
            <w:r>
              <w:t>Consumer Representatives</w:t>
            </w:r>
          </w:p>
        </w:tc>
      </w:tr>
      <w:tr w:rsidR="00CB243F" w:rsidTr="00CB243F">
        <w:trPr>
          <w:jc w:val="center"/>
        </w:trPr>
        <w:tc>
          <w:tcPr>
            <w:tcW w:w="8245" w:type="dxa"/>
          </w:tcPr>
          <w:p w:rsidR="00CB243F" w:rsidRDefault="00CB243F" w:rsidP="00C812E1">
            <w:pPr>
              <w:pStyle w:val="Table1"/>
            </w:pPr>
            <w:r>
              <w:rPr>
                <w:color w:val="000000"/>
              </w:rPr>
              <w:t>Australian Automotive</w:t>
            </w:r>
            <w:r w:rsidRPr="002A3471">
              <w:rPr>
                <w:color w:val="000000"/>
              </w:rPr>
              <w:t xml:space="preserve"> </w:t>
            </w:r>
            <w:r>
              <w:rPr>
                <w:color w:val="000000"/>
              </w:rPr>
              <w:t xml:space="preserve">Aftermarket </w:t>
            </w:r>
            <w:r w:rsidRPr="002A3471">
              <w:rPr>
                <w:color w:val="000000"/>
              </w:rPr>
              <w:t>Association</w:t>
            </w:r>
          </w:p>
        </w:tc>
      </w:tr>
      <w:tr w:rsidR="00DB7B76" w:rsidTr="00CB243F">
        <w:trPr>
          <w:jc w:val="center"/>
        </w:trPr>
        <w:tc>
          <w:tcPr>
            <w:tcW w:w="8245" w:type="dxa"/>
          </w:tcPr>
          <w:p w:rsidR="00DB7B76" w:rsidRDefault="00DB7B76" w:rsidP="00C812E1">
            <w:pPr>
              <w:pStyle w:val="Table1"/>
            </w:pPr>
            <w:r>
              <w:t>Australian Automobile Association</w:t>
            </w:r>
          </w:p>
        </w:tc>
      </w:tr>
      <w:tr w:rsidR="00DB7B76" w:rsidTr="00CB243F">
        <w:trPr>
          <w:jc w:val="center"/>
        </w:trPr>
        <w:tc>
          <w:tcPr>
            <w:tcW w:w="8245" w:type="dxa"/>
          </w:tcPr>
          <w:p w:rsidR="00DB7B76" w:rsidRDefault="00DB7B76" w:rsidP="00C812E1">
            <w:pPr>
              <w:pStyle w:val="Table1"/>
            </w:pPr>
            <w:r>
              <w:t>Australian Trucking Association</w:t>
            </w:r>
          </w:p>
        </w:tc>
      </w:tr>
      <w:tr w:rsidR="00DB7B76" w:rsidTr="00CB243F">
        <w:trPr>
          <w:jc w:val="center"/>
        </w:trPr>
        <w:tc>
          <w:tcPr>
            <w:tcW w:w="8245" w:type="dxa"/>
          </w:tcPr>
          <w:p w:rsidR="00DB7B76" w:rsidRDefault="00DB7B76" w:rsidP="00C812E1">
            <w:pPr>
              <w:pStyle w:val="Table1"/>
            </w:pPr>
            <w:r>
              <w:t>Australian Motorcycle Council</w:t>
            </w:r>
          </w:p>
        </w:tc>
      </w:tr>
      <w:tr w:rsidR="00DB7B76" w:rsidTr="00CB243F">
        <w:trPr>
          <w:jc w:val="center"/>
        </w:trPr>
        <w:tc>
          <w:tcPr>
            <w:tcW w:w="8245" w:type="dxa"/>
          </w:tcPr>
          <w:p w:rsidR="00DB7B76" w:rsidRDefault="00DB7B76" w:rsidP="00C812E1">
            <w:pPr>
              <w:pStyle w:val="Table1"/>
            </w:pPr>
          </w:p>
        </w:tc>
      </w:tr>
      <w:tr w:rsidR="00DB7B76" w:rsidTr="00CB243F">
        <w:trPr>
          <w:jc w:val="center"/>
        </w:trPr>
        <w:tc>
          <w:tcPr>
            <w:tcW w:w="8245" w:type="dxa"/>
          </w:tcPr>
          <w:p w:rsidR="00DB7B76" w:rsidRDefault="00DB7B76" w:rsidP="00C812E1">
            <w:pPr>
              <w:pStyle w:val="Tablesubheading1"/>
            </w:pPr>
            <w:r>
              <w:t>Government Representatives</w:t>
            </w:r>
          </w:p>
        </w:tc>
      </w:tr>
      <w:tr w:rsidR="00DB7B76" w:rsidRPr="002A3471" w:rsidTr="00CB243F">
        <w:trPr>
          <w:jc w:val="center"/>
        </w:trPr>
        <w:tc>
          <w:tcPr>
            <w:tcW w:w="8245" w:type="dxa"/>
          </w:tcPr>
          <w:p w:rsidR="00DB7B76" w:rsidRPr="002A3471" w:rsidRDefault="00580934" w:rsidP="00C812E1">
            <w:pPr>
              <w:pStyle w:val="Table1"/>
            </w:pPr>
            <w:r w:rsidRPr="00580934">
              <w:t>Department of Infrastructure and Regional Development</w:t>
            </w:r>
            <w:r w:rsidR="00DB7B76" w:rsidRPr="002A3471">
              <w:t>, Australian Government</w:t>
            </w:r>
          </w:p>
        </w:tc>
      </w:tr>
      <w:tr w:rsidR="00DB7B76" w:rsidRPr="002A3471" w:rsidTr="00CB243F">
        <w:trPr>
          <w:jc w:val="center"/>
        </w:trPr>
        <w:tc>
          <w:tcPr>
            <w:tcW w:w="8245" w:type="dxa"/>
          </w:tcPr>
          <w:p w:rsidR="00DB7B76" w:rsidRPr="002A3471" w:rsidRDefault="00DB7B76" w:rsidP="00C812E1">
            <w:pPr>
              <w:pStyle w:val="Table1"/>
            </w:pPr>
            <w:r w:rsidRPr="002A3471">
              <w:t>Department of Transport, Energy and Infrastructure, South Australia</w:t>
            </w:r>
          </w:p>
        </w:tc>
      </w:tr>
      <w:tr w:rsidR="00DB7B76" w:rsidRPr="002A3471" w:rsidTr="00CB243F">
        <w:trPr>
          <w:jc w:val="center"/>
        </w:trPr>
        <w:tc>
          <w:tcPr>
            <w:tcW w:w="8245" w:type="dxa"/>
          </w:tcPr>
          <w:p w:rsidR="00DB7B76" w:rsidRPr="002A3471" w:rsidRDefault="00CB243F" w:rsidP="00C812E1">
            <w:pPr>
              <w:pStyle w:val="Table1"/>
            </w:pPr>
            <w:r>
              <w:t>Department of Transport and Main Roads, Queensland</w:t>
            </w:r>
          </w:p>
        </w:tc>
      </w:tr>
      <w:tr w:rsidR="00DB7B76" w:rsidRPr="002A3471" w:rsidTr="00CB243F">
        <w:trPr>
          <w:jc w:val="center"/>
        </w:trPr>
        <w:tc>
          <w:tcPr>
            <w:tcW w:w="8245" w:type="dxa"/>
          </w:tcPr>
          <w:p w:rsidR="00DB7B76" w:rsidRPr="002A3471" w:rsidRDefault="00CB243F" w:rsidP="00C812E1">
            <w:pPr>
              <w:pStyle w:val="Table1"/>
            </w:pPr>
            <w:r>
              <w:t>Transport for NSW, Centre for Road Safety, New South Wales</w:t>
            </w:r>
          </w:p>
        </w:tc>
      </w:tr>
      <w:tr w:rsidR="00DB7B76" w:rsidRPr="002A3471" w:rsidTr="00CB243F">
        <w:trPr>
          <w:jc w:val="center"/>
        </w:trPr>
        <w:tc>
          <w:tcPr>
            <w:tcW w:w="8245" w:type="dxa"/>
          </w:tcPr>
          <w:p w:rsidR="00DB7B76" w:rsidRPr="002A3471" w:rsidRDefault="00DB7B76" w:rsidP="00C812E1">
            <w:pPr>
              <w:pStyle w:val="Table1"/>
            </w:pPr>
            <w:r w:rsidRPr="002A3471">
              <w:t>VicRoads, Victoria</w:t>
            </w:r>
          </w:p>
        </w:tc>
      </w:tr>
      <w:tr w:rsidR="00DB7B76" w:rsidRPr="002A3471" w:rsidTr="00CB243F">
        <w:trPr>
          <w:jc w:val="center"/>
        </w:trPr>
        <w:tc>
          <w:tcPr>
            <w:tcW w:w="8245" w:type="dxa"/>
          </w:tcPr>
          <w:p w:rsidR="00DB7B76" w:rsidRPr="002A3471" w:rsidRDefault="00DB7B76" w:rsidP="00CB243F">
            <w:pPr>
              <w:pStyle w:val="Table1"/>
            </w:pPr>
            <w:r w:rsidRPr="002A3471">
              <w:t xml:space="preserve">Department of </w:t>
            </w:r>
            <w:r w:rsidR="00CB243F">
              <w:t>Transport</w:t>
            </w:r>
            <w:r w:rsidRPr="002A3471">
              <w:t>, Western Australia</w:t>
            </w:r>
          </w:p>
        </w:tc>
      </w:tr>
      <w:tr w:rsidR="00DB7B76" w:rsidRPr="002A3471" w:rsidTr="00CB243F">
        <w:trPr>
          <w:jc w:val="center"/>
        </w:trPr>
        <w:tc>
          <w:tcPr>
            <w:tcW w:w="8245" w:type="dxa"/>
          </w:tcPr>
          <w:p w:rsidR="00DB7B76" w:rsidRPr="002A3471" w:rsidRDefault="00CB243F" w:rsidP="00C812E1">
            <w:pPr>
              <w:pStyle w:val="Table1"/>
            </w:pPr>
            <w:r>
              <w:t>Transport Regulation, Justice &amp; Community Safety</w:t>
            </w:r>
            <w:r w:rsidR="00DB7B76" w:rsidRPr="002A3471">
              <w:t>, Australian Capital Territory</w:t>
            </w:r>
          </w:p>
        </w:tc>
      </w:tr>
      <w:tr w:rsidR="00DB7B76" w:rsidRPr="002A3471" w:rsidTr="00CB243F">
        <w:trPr>
          <w:jc w:val="center"/>
        </w:trPr>
        <w:tc>
          <w:tcPr>
            <w:tcW w:w="8245" w:type="dxa"/>
          </w:tcPr>
          <w:p w:rsidR="00DB7B76" w:rsidRPr="002A3471" w:rsidRDefault="00DB7B76" w:rsidP="00C812E1">
            <w:pPr>
              <w:pStyle w:val="Table1"/>
            </w:pPr>
            <w:r w:rsidRPr="002A3471">
              <w:t>Department of Infrastructure, Energy and Resources, Tasmania</w:t>
            </w:r>
          </w:p>
        </w:tc>
      </w:tr>
      <w:tr w:rsidR="00DB7B76" w:rsidRPr="002A3471" w:rsidTr="00CB243F">
        <w:trPr>
          <w:jc w:val="center"/>
        </w:trPr>
        <w:tc>
          <w:tcPr>
            <w:tcW w:w="8245" w:type="dxa"/>
          </w:tcPr>
          <w:p w:rsidR="00DB7B76" w:rsidRPr="002A3471" w:rsidRDefault="00DB7B76" w:rsidP="00CB243F">
            <w:pPr>
              <w:pStyle w:val="Table1"/>
            </w:pPr>
            <w:r w:rsidRPr="002A3471">
              <w:t xml:space="preserve">Department of </w:t>
            </w:r>
            <w:r w:rsidR="00CB243F">
              <w:t>Lands and Planning</w:t>
            </w:r>
            <w:r w:rsidRPr="002A3471">
              <w:t>, Northern Territory</w:t>
            </w:r>
          </w:p>
        </w:tc>
      </w:tr>
      <w:tr w:rsidR="00DB7B76" w:rsidRPr="002A3471" w:rsidTr="00CB243F">
        <w:trPr>
          <w:jc w:val="center"/>
        </w:trPr>
        <w:tc>
          <w:tcPr>
            <w:tcW w:w="8245" w:type="dxa"/>
          </w:tcPr>
          <w:p w:rsidR="00DB7B76" w:rsidRPr="002A3471" w:rsidRDefault="00DB7B76" w:rsidP="00C812E1">
            <w:pPr>
              <w:pStyle w:val="Table1"/>
            </w:pPr>
            <w:r w:rsidRPr="002A3471">
              <w:t>New Zealand</w:t>
            </w:r>
            <w:r w:rsidR="00432500">
              <w:t xml:space="preserve"> Transport Agency</w:t>
            </w:r>
          </w:p>
        </w:tc>
      </w:tr>
      <w:tr w:rsidR="00DB7B76" w:rsidTr="00CB243F">
        <w:trPr>
          <w:jc w:val="center"/>
        </w:trPr>
        <w:tc>
          <w:tcPr>
            <w:tcW w:w="8245" w:type="dxa"/>
          </w:tcPr>
          <w:p w:rsidR="00DB7B76" w:rsidRDefault="00DB7B76" w:rsidP="00C812E1">
            <w:pPr>
              <w:pStyle w:val="Table1"/>
            </w:pPr>
          </w:p>
        </w:tc>
      </w:tr>
      <w:tr w:rsidR="00DB7B76" w:rsidRPr="002A3471" w:rsidTr="00CB243F">
        <w:trPr>
          <w:jc w:val="center"/>
        </w:trPr>
        <w:tc>
          <w:tcPr>
            <w:tcW w:w="8245" w:type="dxa"/>
          </w:tcPr>
          <w:p w:rsidR="00DB7B76" w:rsidRPr="002A3471" w:rsidRDefault="00540A0B" w:rsidP="00C812E1">
            <w:pPr>
              <w:pStyle w:val="Tablesubheading1"/>
            </w:pPr>
            <w:r>
              <w:t>Inter-Governmental</w:t>
            </w:r>
            <w:r w:rsidR="00DB7B76">
              <w:t xml:space="preserve"> Agency</w:t>
            </w:r>
          </w:p>
        </w:tc>
      </w:tr>
      <w:tr w:rsidR="00DB7B76" w:rsidTr="00CB243F">
        <w:trPr>
          <w:jc w:val="center"/>
        </w:trPr>
        <w:tc>
          <w:tcPr>
            <w:tcW w:w="8245" w:type="dxa"/>
            <w:tcBorders>
              <w:bottom w:val="single" w:sz="12" w:space="0" w:color="000000" w:themeColor="text1"/>
            </w:tcBorders>
          </w:tcPr>
          <w:p w:rsidR="00DB7B76" w:rsidRDefault="00DB7B76" w:rsidP="00C812E1">
            <w:pPr>
              <w:pStyle w:val="Table1"/>
            </w:pPr>
            <w:r>
              <w:t>National Transport Commission</w:t>
            </w:r>
          </w:p>
        </w:tc>
      </w:tr>
    </w:tbl>
    <w:p w:rsidR="00340EF4" w:rsidRDefault="00340EF4" w:rsidP="00340EF4"/>
    <w:p w:rsidR="00340EF4" w:rsidRDefault="00340EF4">
      <w:pPr>
        <w:spacing w:after="200" w:line="276" w:lineRule="auto"/>
      </w:pPr>
      <w:r>
        <w:br w:type="page"/>
      </w:r>
    </w:p>
    <w:p w:rsidR="00340EF4" w:rsidRDefault="00DA32D6" w:rsidP="00350154">
      <w:pPr>
        <w:pStyle w:val="Heading1"/>
        <w:numPr>
          <w:ilvl w:val="0"/>
          <w:numId w:val="0"/>
        </w:numPr>
      </w:pPr>
      <w:bookmarkStart w:id="105" w:name="_Toc319933962"/>
      <w:bookmarkStart w:id="106" w:name="_Toc375302818"/>
      <w:r>
        <w:lastRenderedPageBreak/>
        <w:t>A</w:t>
      </w:r>
      <w:r w:rsidR="00340EF4">
        <w:t>ppendix 1</w:t>
      </w:r>
      <w:r w:rsidR="00565C8F">
        <w:t>4</w:t>
      </w:r>
      <w:r w:rsidR="00340EF4">
        <w:t>—</w:t>
      </w:r>
      <w:r w:rsidR="009E5A30">
        <w:t>A</w:t>
      </w:r>
      <w:r w:rsidR="00340EF4">
        <w:t>cronyms</w:t>
      </w:r>
      <w:bookmarkEnd w:id="105"/>
      <w:bookmarkEnd w:id="106"/>
    </w:p>
    <w:tbl>
      <w:tblPr>
        <w:tblW w:w="0" w:type="auto"/>
        <w:tblLook w:val="04A0" w:firstRow="1" w:lastRow="0" w:firstColumn="1" w:lastColumn="0" w:noHBand="0" w:noVBand="1"/>
      </w:tblPr>
      <w:tblGrid>
        <w:gridCol w:w="2943"/>
        <w:gridCol w:w="6299"/>
      </w:tblGrid>
      <w:tr w:rsidR="00F06F7F" w:rsidTr="00270D9B">
        <w:tc>
          <w:tcPr>
            <w:tcW w:w="2943" w:type="dxa"/>
          </w:tcPr>
          <w:p w:rsidR="00F06F7F" w:rsidRPr="00656B74" w:rsidRDefault="00F06F7F" w:rsidP="00DB7B76">
            <w:pPr>
              <w:pStyle w:val="Table1"/>
            </w:pPr>
            <w:r w:rsidRPr="00656B74">
              <w:t>AAA</w:t>
            </w:r>
          </w:p>
        </w:tc>
        <w:tc>
          <w:tcPr>
            <w:tcW w:w="6299" w:type="dxa"/>
          </w:tcPr>
          <w:p w:rsidR="00F06F7F" w:rsidRPr="00656B74" w:rsidRDefault="00F06F7F" w:rsidP="00DB7B76">
            <w:pPr>
              <w:pStyle w:val="Table1"/>
            </w:pPr>
            <w:r w:rsidRPr="00656B74">
              <w:t>Australian Automobile Association</w:t>
            </w:r>
          </w:p>
        </w:tc>
      </w:tr>
      <w:tr w:rsidR="00033B4E" w:rsidTr="00270D9B">
        <w:tc>
          <w:tcPr>
            <w:tcW w:w="2943" w:type="dxa"/>
          </w:tcPr>
          <w:p w:rsidR="00033B4E" w:rsidRPr="00656B74" w:rsidRDefault="005B2AF3" w:rsidP="00DB7B76">
            <w:pPr>
              <w:pStyle w:val="Table1"/>
            </w:pPr>
            <w:r w:rsidRPr="00656B74">
              <w:t>ABS</w:t>
            </w:r>
          </w:p>
        </w:tc>
        <w:tc>
          <w:tcPr>
            <w:tcW w:w="6299" w:type="dxa"/>
          </w:tcPr>
          <w:p w:rsidR="00033B4E" w:rsidRPr="00656B74" w:rsidRDefault="00A6672F" w:rsidP="00571597">
            <w:pPr>
              <w:pStyle w:val="Table1"/>
            </w:pPr>
            <w:r w:rsidRPr="00656B74">
              <w:t>An</w:t>
            </w:r>
            <w:r w:rsidR="00571597" w:rsidRPr="00656B74">
              <w:t>t</w:t>
            </w:r>
            <w:r w:rsidRPr="00656B74">
              <w:t>ilock Braking System</w:t>
            </w:r>
          </w:p>
        </w:tc>
      </w:tr>
      <w:tr w:rsidR="00C75473" w:rsidTr="00270D9B">
        <w:tc>
          <w:tcPr>
            <w:tcW w:w="2943" w:type="dxa"/>
          </w:tcPr>
          <w:p w:rsidR="00C75473" w:rsidRPr="00656B74" w:rsidRDefault="00C75473" w:rsidP="00C75473">
            <w:pPr>
              <w:pStyle w:val="Table1"/>
            </w:pPr>
            <w:r w:rsidRPr="00656B74">
              <w:t>ADR</w:t>
            </w:r>
          </w:p>
        </w:tc>
        <w:tc>
          <w:tcPr>
            <w:tcW w:w="6299" w:type="dxa"/>
          </w:tcPr>
          <w:p w:rsidR="00C75473" w:rsidRPr="00656B74" w:rsidRDefault="00C75473" w:rsidP="00C75473">
            <w:pPr>
              <w:pStyle w:val="Table1"/>
            </w:pPr>
            <w:r w:rsidRPr="00656B74">
              <w:t>Australian Design Rule</w:t>
            </w:r>
          </w:p>
        </w:tc>
      </w:tr>
      <w:tr w:rsidR="00C75473" w:rsidTr="00270D9B">
        <w:tc>
          <w:tcPr>
            <w:tcW w:w="2943" w:type="dxa"/>
          </w:tcPr>
          <w:p w:rsidR="00C75473" w:rsidRPr="00656B74" w:rsidRDefault="00333841" w:rsidP="00DB7B76">
            <w:pPr>
              <w:pStyle w:val="Table1"/>
            </w:pPr>
            <w:r w:rsidRPr="00656B74">
              <w:t>AOH</w:t>
            </w:r>
          </w:p>
        </w:tc>
        <w:tc>
          <w:tcPr>
            <w:tcW w:w="6299" w:type="dxa"/>
          </w:tcPr>
          <w:p w:rsidR="00C75473" w:rsidRPr="00656B74" w:rsidRDefault="00333841" w:rsidP="00333841">
            <w:pPr>
              <w:pStyle w:val="Table1"/>
            </w:pPr>
            <w:r w:rsidRPr="00656B74">
              <w:t>Air-Over-Hydraulic</w:t>
            </w:r>
          </w:p>
        </w:tc>
      </w:tr>
      <w:tr w:rsidR="00873344" w:rsidTr="00270D9B">
        <w:tc>
          <w:tcPr>
            <w:tcW w:w="2943" w:type="dxa"/>
          </w:tcPr>
          <w:p w:rsidR="00873344" w:rsidRPr="00656B74" w:rsidRDefault="00873344" w:rsidP="00DB7B76">
            <w:pPr>
              <w:pStyle w:val="Table1"/>
            </w:pPr>
            <w:r w:rsidRPr="00656B74">
              <w:t>ATA</w:t>
            </w:r>
          </w:p>
        </w:tc>
        <w:tc>
          <w:tcPr>
            <w:tcW w:w="6299" w:type="dxa"/>
          </w:tcPr>
          <w:p w:rsidR="00873344" w:rsidRPr="00656B74" w:rsidRDefault="00873344" w:rsidP="00DB7B76">
            <w:pPr>
              <w:pStyle w:val="Table1"/>
            </w:pPr>
            <w:r w:rsidRPr="00656B74">
              <w:t>Australian Trucking Association</w:t>
            </w:r>
          </w:p>
        </w:tc>
      </w:tr>
      <w:tr w:rsidR="00946F41" w:rsidTr="00270D9B">
        <w:tc>
          <w:tcPr>
            <w:tcW w:w="2943" w:type="dxa"/>
          </w:tcPr>
          <w:p w:rsidR="00946F41" w:rsidRPr="00656B74" w:rsidRDefault="00946F41" w:rsidP="00DB7B76">
            <w:pPr>
              <w:pStyle w:val="Table1"/>
            </w:pPr>
            <w:r w:rsidRPr="00656B74">
              <w:t>ARTSA</w:t>
            </w:r>
          </w:p>
        </w:tc>
        <w:tc>
          <w:tcPr>
            <w:tcW w:w="6299" w:type="dxa"/>
          </w:tcPr>
          <w:p w:rsidR="00946F41" w:rsidRPr="00656B74" w:rsidRDefault="00946F41" w:rsidP="00DB7B76">
            <w:pPr>
              <w:pStyle w:val="Table1"/>
            </w:pPr>
            <w:r w:rsidRPr="00656B74">
              <w:t>Australian Road Transport Suppliers Association</w:t>
            </w:r>
          </w:p>
        </w:tc>
      </w:tr>
      <w:tr w:rsidR="00656B74" w:rsidRPr="00333841" w:rsidTr="00C81F7A">
        <w:tc>
          <w:tcPr>
            <w:tcW w:w="2943" w:type="dxa"/>
          </w:tcPr>
          <w:p w:rsidR="00656B74" w:rsidRPr="00656B74" w:rsidRDefault="00656B74" w:rsidP="00C81F7A">
            <w:pPr>
              <w:pStyle w:val="Table1"/>
            </w:pPr>
            <w:r w:rsidRPr="00656B74">
              <w:t>ATC</w:t>
            </w:r>
          </w:p>
        </w:tc>
        <w:tc>
          <w:tcPr>
            <w:tcW w:w="6299" w:type="dxa"/>
          </w:tcPr>
          <w:p w:rsidR="00656B74" w:rsidRPr="00656B74" w:rsidRDefault="00656B74" w:rsidP="00C81F7A">
            <w:pPr>
              <w:pStyle w:val="Table1"/>
            </w:pPr>
            <w:r w:rsidRPr="00656B74">
              <w:t>Automatic Traction Control</w:t>
            </w:r>
          </w:p>
        </w:tc>
      </w:tr>
      <w:tr w:rsidR="005A6758" w:rsidTr="00270D9B">
        <w:tc>
          <w:tcPr>
            <w:tcW w:w="2943" w:type="dxa"/>
          </w:tcPr>
          <w:p w:rsidR="005A6758" w:rsidRPr="00656B74" w:rsidRDefault="005A6758" w:rsidP="00DB7B76">
            <w:pPr>
              <w:pStyle w:val="Table1"/>
            </w:pPr>
            <w:r w:rsidRPr="00656B74">
              <w:t>BAU</w:t>
            </w:r>
          </w:p>
        </w:tc>
        <w:tc>
          <w:tcPr>
            <w:tcW w:w="6299" w:type="dxa"/>
          </w:tcPr>
          <w:p w:rsidR="005A6758" w:rsidRPr="00656B74" w:rsidRDefault="005A6758" w:rsidP="00DB7B76">
            <w:pPr>
              <w:pStyle w:val="Table1"/>
            </w:pPr>
            <w:r w:rsidRPr="00656B74">
              <w:t>Business as Usual</w:t>
            </w:r>
          </w:p>
        </w:tc>
      </w:tr>
      <w:tr w:rsidR="00AA123F" w:rsidTr="00270D9B">
        <w:tc>
          <w:tcPr>
            <w:tcW w:w="2943" w:type="dxa"/>
          </w:tcPr>
          <w:p w:rsidR="00AA123F" w:rsidRPr="00656B74" w:rsidRDefault="00AA123F" w:rsidP="00DB7B76">
            <w:pPr>
              <w:pStyle w:val="Table1"/>
            </w:pPr>
            <w:r w:rsidRPr="00656B74">
              <w:t>BCR</w:t>
            </w:r>
          </w:p>
        </w:tc>
        <w:tc>
          <w:tcPr>
            <w:tcW w:w="6299" w:type="dxa"/>
          </w:tcPr>
          <w:p w:rsidR="00AA123F" w:rsidRPr="00656B74" w:rsidRDefault="00AA123F" w:rsidP="00DB7B76">
            <w:pPr>
              <w:pStyle w:val="Table1"/>
            </w:pPr>
            <w:r w:rsidRPr="00656B74">
              <w:t>Benefit-Cost Ratio</w:t>
            </w:r>
          </w:p>
        </w:tc>
      </w:tr>
      <w:tr w:rsidR="00C75473" w:rsidTr="00270D9B">
        <w:tc>
          <w:tcPr>
            <w:tcW w:w="2943" w:type="dxa"/>
          </w:tcPr>
          <w:p w:rsidR="00C75473" w:rsidRPr="00656B74" w:rsidRDefault="00C75473" w:rsidP="00DB7B76">
            <w:pPr>
              <w:pStyle w:val="Table1"/>
            </w:pPr>
            <w:r w:rsidRPr="00656B74">
              <w:t>BTE</w:t>
            </w:r>
          </w:p>
        </w:tc>
        <w:tc>
          <w:tcPr>
            <w:tcW w:w="6299" w:type="dxa"/>
          </w:tcPr>
          <w:p w:rsidR="00C75473" w:rsidRPr="00656B74" w:rsidRDefault="00C75473" w:rsidP="00DB7B76">
            <w:pPr>
              <w:pStyle w:val="Table1"/>
            </w:pPr>
            <w:r w:rsidRPr="00656B74">
              <w:t>Bureau of Transport Economics</w:t>
            </w:r>
          </w:p>
        </w:tc>
      </w:tr>
      <w:tr w:rsidR="002D05DD" w:rsidTr="00270D9B">
        <w:tc>
          <w:tcPr>
            <w:tcW w:w="2943" w:type="dxa"/>
          </w:tcPr>
          <w:p w:rsidR="002D05DD" w:rsidRPr="00656B74" w:rsidRDefault="002D05DD" w:rsidP="00C75473">
            <w:pPr>
              <w:pStyle w:val="Table1"/>
            </w:pPr>
            <w:r w:rsidRPr="00656B74">
              <w:t>CAN</w:t>
            </w:r>
          </w:p>
        </w:tc>
        <w:tc>
          <w:tcPr>
            <w:tcW w:w="6299" w:type="dxa"/>
          </w:tcPr>
          <w:p w:rsidR="002D05DD" w:rsidRPr="00656B74" w:rsidRDefault="002D05DD" w:rsidP="00DB7B76">
            <w:pPr>
              <w:pStyle w:val="Table1"/>
            </w:pPr>
            <w:r w:rsidRPr="00656B74">
              <w:t>Controller Area Network</w:t>
            </w:r>
          </w:p>
        </w:tc>
      </w:tr>
      <w:tr w:rsidR="00C75473" w:rsidTr="00270D9B">
        <w:tc>
          <w:tcPr>
            <w:tcW w:w="2943" w:type="dxa"/>
          </w:tcPr>
          <w:p w:rsidR="00C75473" w:rsidRPr="00656B74" w:rsidRDefault="00C75473" w:rsidP="00C75473">
            <w:pPr>
              <w:pStyle w:val="Table1"/>
            </w:pPr>
            <w:r w:rsidRPr="00656B74">
              <w:t>COAG</w:t>
            </w:r>
          </w:p>
        </w:tc>
        <w:tc>
          <w:tcPr>
            <w:tcW w:w="6299" w:type="dxa"/>
          </w:tcPr>
          <w:p w:rsidR="00C75473" w:rsidRPr="00656B74" w:rsidRDefault="00C75473" w:rsidP="00DB7B76">
            <w:pPr>
              <w:pStyle w:val="Table1"/>
            </w:pPr>
            <w:r w:rsidRPr="00656B74">
              <w:t>Council of Australian Governments</w:t>
            </w:r>
          </w:p>
        </w:tc>
      </w:tr>
      <w:tr w:rsidR="00C75473" w:rsidTr="00270D9B">
        <w:tc>
          <w:tcPr>
            <w:tcW w:w="2943" w:type="dxa"/>
          </w:tcPr>
          <w:p w:rsidR="00C75473" w:rsidRPr="00656B74" w:rsidRDefault="00C75473" w:rsidP="00DB7B76">
            <w:pPr>
              <w:pStyle w:val="Table1"/>
            </w:pPr>
            <w:r w:rsidRPr="00656B74">
              <w:t>DIT</w:t>
            </w:r>
          </w:p>
        </w:tc>
        <w:tc>
          <w:tcPr>
            <w:tcW w:w="6299" w:type="dxa"/>
          </w:tcPr>
          <w:p w:rsidR="00C75473" w:rsidRPr="00656B74" w:rsidRDefault="00C75473" w:rsidP="00DB7B76">
            <w:pPr>
              <w:pStyle w:val="Table1"/>
            </w:pPr>
            <w:r w:rsidRPr="00656B74">
              <w:t>Department of Infrastructure and Transport</w:t>
            </w:r>
          </w:p>
        </w:tc>
      </w:tr>
      <w:tr w:rsidR="000F2BFA" w:rsidTr="00270D9B">
        <w:tc>
          <w:tcPr>
            <w:tcW w:w="2943" w:type="dxa"/>
          </w:tcPr>
          <w:p w:rsidR="000F2BFA" w:rsidRPr="00656B74" w:rsidRDefault="000F2BFA" w:rsidP="00DB7B76">
            <w:pPr>
              <w:pStyle w:val="Table1"/>
            </w:pPr>
            <w:r w:rsidRPr="00656B74">
              <w:t>EBS</w:t>
            </w:r>
          </w:p>
        </w:tc>
        <w:tc>
          <w:tcPr>
            <w:tcW w:w="6299" w:type="dxa"/>
          </w:tcPr>
          <w:p w:rsidR="000F2BFA" w:rsidRPr="00656B74" w:rsidRDefault="000F2BFA" w:rsidP="00DB7B76">
            <w:pPr>
              <w:pStyle w:val="Table1"/>
            </w:pPr>
            <w:r w:rsidRPr="00656B74">
              <w:t>Electronic Braking Systems</w:t>
            </w:r>
          </w:p>
        </w:tc>
      </w:tr>
      <w:tr w:rsidR="00661F4B" w:rsidTr="00270D9B">
        <w:tc>
          <w:tcPr>
            <w:tcW w:w="2943" w:type="dxa"/>
          </w:tcPr>
          <w:p w:rsidR="00661F4B" w:rsidRPr="00656B74" w:rsidRDefault="00661F4B" w:rsidP="00DB7B76">
            <w:pPr>
              <w:pStyle w:val="Table1"/>
            </w:pPr>
            <w:r w:rsidRPr="00656B74">
              <w:t>ELB</w:t>
            </w:r>
          </w:p>
        </w:tc>
        <w:tc>
          <w:tcPr>
            <w:tcW w:w="6299" w:type="dxa"/>
          </w:tcPr>
          <w:p w:rsidR="00661F4B" w:rsidRPr="00656B74" w:rsidRDefault="00661F4B" w:rsidP="00661F4B">
            <w:pPr>
              <w:pStyle w:val="Table1"/>
            </w:pPr>
            <w:r w:rsidRPr="00656B74">
              <w:t>Electronically controlled Braking systems</w:t>
            </w:r>
          </w:p>
        </w:tc>
      </w:tr>
      <w:tr w:rsidR="00456FC9" w:rsidTr="00270D9B">
        <w:tc>
          <w:tcPr>
            <w:tcW w:w="2943" w:type="dxa"/>
          </w:tcPr>
          <w:p w:rsidR="00456FC9" w:rsidRPr="00656B74" w:rsidRDefault="000E2A22" w:rsidP="00DB7B76">
            <w:pPr>
              <w:pStyle w:val="Table1"/>
            </w:pPr>
            <w:r w:rsidRPr="00656B74">
              <w:t>ESC</w:t>
            </w:r>
          </w:p>
        </w:tc>
        <w:tc>
          <w:tcPr>
            <w:tcW w:w="6299" w:type="dxa"/>
          </w:tcPr>
          <w:p w:rsidR="00456FC9" w:rsidRPr="00656B74" w:rsidRDefault="000E2A22" w:rsidP="00DB7B76">
            <w:pPr>
              <w:pStyle w:val="Table1"/>
            </w:pPr>
            <w:r w:rsidRPr="00656B74">
              <w:t>Electronic Stability Control</w:t>
            </w:r>
          </w:p>
        </w:tc>
      </w:tr>
      <w:tr w:rsidR="00456FC9" w:rsidRPr="00A966D4" w:rsidTr="00270D9B">
        <w:tc>
          <w:tcPr>
            <w:tcW w:w="2943" w:type="dxa"/>
          </w:tcPr>
          <w:p w:rsidR="00456FC9" w:rsidRPr="00656B74" w:rsidRDefault="00E04347" w:rsidP="00DB7B76">
            <w:pPr>
              <w:pStyle w:val="Table1"/>
            </w:pPr>
            <w:r w:rsidRPr="00656B74">
              <w:t>FCAI</w:t>
            </w:r>
          </w:p>
        </w:tc>
        <w:tc>
          <w:tcPr>
            <w:tcW w:w="6299" w:type="dxa"/>
          </w:tcPr>
          <w:p w:rsidR="00456FC9" w:rsidRPr="00656B74" w:rsidRDefault="00E04347" w:rsidP="00DB7B76">
            <w:pPr>
              <w:pStyle w:val="Table1"/>
            </w:pPr>
            <w:r w:rsidRPr="00656B74">
              <w:t>Federal Chamber of Automotive Industries</w:t>
            </w:r>
          </w:p>
        </w:tc>
      </w:tr>
      <w:tr w:rsidR="00456FC9" w:rsidTr="00270D9B">
        <w:tc>
          <w:tcPr>
            <w:tcW w:w="2943" w:type="dxa"/>
          </w:tcPr>
          <w:p w:rsidR="00456FC9" w:rsidRPr="00656B74" w:rsidRDefault="00D50DE6" w:rsidP="00DB7B76">
            <w:pPr>
              <w:pStyle w:val="Table1"/>
            </w:pPr>
            <w:r w:rsidRPr="00656B74">
              <w:t>FMVSS</w:t>
            </w:r>
          </w:p>
        </w:tc>
        <w:tc>
          <w:tcPr>
            <w:tcW w:w="6299" w:type="dxa"/>
          </w:tcPr>
          <w:p w:rsidR="00456FC9" w:rsidRPr="00656B74" w:rsidRDefault="00D50DE6" w:rsidP="00DB7B76">
            <w:pPr>
              <w:pStyle w:val="Table1"/>
            </w:pPr>
            <w:r w:rsidRPr="00656B74">
              <w:t>Federal Motor Vehicle Safety Standard</w:t>
            </w:r>
          </w:p>
        </w:tc>
      </w:tr>
      <w:tr w:rsidR="006745B7" w:rsidTr="00270D9B">
        <w:tc>
          <w:tcPr>
            <w:tcW w:w="2943" w:type="dxa"/>
          </w:tcPr>
          <w:p w:rsidR="006745B7" w:rsidRPr="00656B74" w:rsidRDefault="006745B7" w:rsidP="00DB7B76">
            <w:pPr>
              <w:pStyle w:val="Table1"/>
            </w:pPr>
            <w:r w:rsidRPr="00656B74">
              <w:t>GVM</w:t>
            </w:r>
          </w:p>
        </w:tc>
        <w:tc>
          <w:tcPr>
            <w:tcW w:w="6299" w:type="dxa"/>
          </w:tcPr>
          <w:p w:rsidR="006745B7" w:rsidRPr="00656B74" w:rsidRDefault="00705D70" w:rsidP="00DB7B76">
            <w:pPr>
              <w:pStyle w:val="Table1"/>
            </w:pPr>
            <w:r w:rsidRPr="00656B74">
              <w:t>Gross Vehicle Mass</w:t>
            </w:r>
          </w:p>
        </w:tc>
      </w:tr>
      <w:tr w:rsidR="00873344" w:rsidTr="00270D9B">
        <w:tc>
          <w:tcPr>
            <w:tcW w:w="2943" w:type="dxa"/>
          </w:tcPr>
          <w:p w:rsidR="00873344" w:rsidRPr="00656B74" w:rsidRDefault="00873344" w:rsidP="00DB7B76">
            <w:pPr>
              <w:pStyle w:val="Table1"/>
            </w:pPr>
            <w:r w:rsidRPr="00656B74">
              <w:t>HVSPP</w:t>
            </w:r>
          </w:p>
        </w:tc>
        <w:tc>
          <w:tcPr>
            <w:tcW w:w="6299" w:type="dxa"/>
          </w:tcPr>
          <w:p w:rsidR="00873344" w:rsidRPr="00656B74" w:rsidRDefault="00873344" w:rsidP="00DB7B76">
            <w:pPr>
              <w:pStyle w:val="Table1"/>
            </w:pPr>
            <w:r w:rsidRPr="00656B74">
              <w:t>Heavy Vehicle Safety &amp; Productivity Program</w:t>
            </w:r>
          </w:p>
        </w:tc>
      </w:tr>
      <w:tr w:rsidR="00333841" w:rsidTr="00270D9B">
        <w:tc>
          <w:tcPr>
            <w:tcW w:w="2943" w:type="dxa"/>
          </w:tcPr>
          <w:p w:rsidR="00333841" w:rsidRPr="00656B74" w:rsidRDefault="00333841" w:rsidP="00DB7B76">
            <w:pPr>
              <w:pStyle w:val="Table1"/>
            </w:pPr>
            <w:r w:rsidRPr="00656B74">
              <w:t>IR</w:t>
            </w:r>
          </w:p>
        </w:tc>
        <w:tc>
          <w:tcPr>
            <w:tcW w:w="6299" w:type="dxa"/>
          </w:tcPr>
          <w:p w:rsidR="00333841" w:rsidRPr="00656B74" w:rsidRDefault="00656B74" w:rsidP="00DB7B76">
            <w:pPr>
              <w:pStyle w:val="Table1"/>
            </w:pPr>
            <w:r w:rsidRPr="00656B74">
              <w:t>Individual Control</w:t>
            </w:r>
          </w:p>
        </w:tc>
      </w:tr>
      <w:tr w:rsidR="00656B74" w:rsidTr="00270D9B">
        <w:tc>
          <w:tcPr>
            <w:tcW w:w="2943" w:type="dxa"/>
          </w:tcPr>
          <w:p w:rsidR="00656B74" w:rsidRPr="00656B74" w:rsidRDefault="00656B74" w:rsidP="00DB7B76">
            <w:pPr>
              <w:pStyle w:val="Table1"/>
            </w:pPr>
            <w:r w:rsidRPr="00656B74">
              <w:t>IRM</w:t>
            </w:r>
          </w:p>
        </w:tc>
        <w:tc>
          <w:tcPr>
            <w:tcW w:w="6299" w:type="dxa"/>
          </w:tcPr>
          <w:p w:rsidR="00656B74" w:rsidRPr="00656B74" w:rsidRDefault="00656B74" w:rsidP="00DB7B76">
            <w:pPr>
              <w:pStyle w:val="Table1"/>
            </w:pPr>
            <w:r w:rsidRPr="00656B74">
              <w:t>Individual Control Modified</w:t>
            </w:r>
          </w:p>
        </w:tc>
      </w:tr>
      <w:tr w:rsidR="00AD113F" w:rsidTr="00270D9B">
        <w:tc>
          <w:tcPr>
            <w:tcW w:w="2943" w:type="dxa"/>
          </w:tcPr>
          <w:p w:rsidR="00AD113F" w:rsidRPr="00656B74" w:rsidRDefault="00AD113F" w:rsidP="00DB7B76">
            <w:pPr>
              <w:pStyle w:val="Table1"/>
            </w:pPr>
            <w:r w:rsidRPr="00656B74">
              <w:t>ITF</w:t>
            </w:r>
          </w:p>
        </w:tc>
        <w:tc>
          <w:tcPr>
            <w:tcW w:w="6299" w:type="dxa"/>
          </w:tcPr>
          <w:p w:rsidR="00AD113F" w:rsidRPr="00656B74" w:rsidRDefault="00AD113F" w:rsidP="00DB7B76">
            <w:pPr>
              <w:pStyle w:val="Table1"/>
            </w:pPr>
            <w:r w:rsidRPr="00656B74">
              <w:t>International Transport Forum</w:t>
            </w:r>
          </w:p>
        </w:tc>
      </w:tr>
      <w:tr w:rsidR="00A966D4" w:rsidTr="00270D9B">
        <w:tc>
          <w:tcPr>
            <w:tcW w:w="2943" w:type="dxa"/>
          </w:tcPr>
          <w:p w:rsidR="00A966D4" w:rsidRPr="00656B74" w:rsidRDefault="00A966D4" w:rsidP="00DB7B76">
            <w:pPr>
              <w:pStyle w:val="Table1"/>
            </w:pPr>
            <w:r w:rsidRPr="00656B74">
              <w:t>LP</w:t>
            </w:r>
          </w:p>
        </w:tc>
        <w:tc>
          <w:tcPr>
            <w:tcW w:w="6299" w:type="dxa"/>
          </w:tcPr>
          <w:p w:rsidR="00A966D4" w:rsidRPr="00656B74" w:rsidRDefault="00A966D4" w:rsidP="00DB7B76">
            <w:pPr>
              <w:pStyle w:val="Table1"/>
            </w:pPr>
            <w:r w:rsidRPr="00656B74">
              <w:t>Load Proportioning</w:t>
            </w:r>
          </w:p>
        </w:tc>
      </w:tr>
      <w:tr w:rsidR="00E04347" w:rsidTr="00270D9B">
        <w:tc>
          <w:tcPr>
            <w:tcW w:w="2943" w:type="dxa"/>
          </w:tcPr>
          <w:p w:rsidR="00E04347" w:rsidRPr="00656B74" w:rsidRDefault="005B7592" w:rsidP="00DB7B76">
            <w:pPr>
              <w:pStyle w:val="Table1"/>
            </w:pPr>
            <w:r w:rsidRPr="00656B74">
              <w:t>MVSA</w:t>
            </w:r>
          </w:p>
        </w:tc>
        <w:tc>
          <w:tcPr>
            <w:tcW w:w="6299" w:type="dxa"/>
          </w:tcPr>
          <w:p w:rsidR="00E04347" w:rsidRPr="00656B74" w:rsidRDefault="005B7592" w:rsidP="00DB7B76">
            <w:pPr>
              <w:pStyle w:val="Table1"/>
            </w:pPr>
            <w:r w:rsidRPr="00656B74">
              <w:t>Motor Vehicle Standards Act 1989</w:t>
            </w:r>
          </w:p>
        </w:tc>
      </w:tr>
      <w:tr w:rsidR="00276250" w:rsidTr="00270D9B">
        <w:tc>
          <w:tcPr>
            <w:tcW w:w="2943" w:type="dxa"/>
          </w:tcPr>
          <w:p w:rsidR="00276250" w:rsidRPr="00656B74" w:rsidRDefault="00276250" w:rsidP="00DB7B76">
            <w:pPr>
              <w:pStyle w:val="Table1"/>
            </w:pPr>
            <w:r w:rsidRPr="00656B74">
              <w:t>NHVBS</w:t>
            </w:r>
          </w:p>
        </w:tc>
        <w:tc>
          <w:tcPr>
            <w:tcW w:w="6299" w:type="dxa"/>
          </w:tcPr>
          <w:p w:rsidR="00276250" w:rsidRPr="00656B74" w:rsidRDefault="00276250" w:rsidP="00DB7B76">
            <w:pPr>
              <w:pStyle w:val="Table1"/>
            </w:pPr>
            <w:r w:rsidRPr="00656B74">
              <w:t>National Heavy Vehicle Braking Strategy</w:t>
            </w:r>
          </w:p>
        </w:tc>
      </w:tr>
      <w:tr w:rsidR="002D05DD" w:rsidTr="00270D9B">
        <w:tc>
          <w:tcPr>
            <w:tcW w:w="2943" w:type="dxa"/>
          </w:tcPr>
          <w:p w:rsidR="002D05DD" w:rsidRPr="00656B74" w:rsidRDefault="002D05DD" w:rsidP="00DB7B76">
            <w:pPr>
              <w:pStyle w:val="Table1"/>
            </w:pPr>
            <w:r w:rsidRPr="00656B74">
              <w:t>NHTSA</w:t>
            </w:r>
          </w:p>
        </w:tc>
        <w:tc>
          <w:tcPr>
            <w:tcW w:w="6299" w:type="dxa"/>
          </w:tcPr>
          <w:p w:rsidR="002D05DD" w:rsidRPr="00656B74" w:rsidRDefault="002D05DD" w:rsidP="00DB7B76">
            <w:pPr>
              <w:pStyle w:val="Table1"/>
            </w:pPr>
            <w:r w:rsidRPr="00656B74">
              <w:t>National Highway Traffic Safety Administration</w:t>
            </w:r>
          </w:p>
        </w:tc>
      </w:tr>
      <w:tr w:rsidR="00276250" w:rsidTr="00270D9B">
        <w:tc>
          <w:tcPr>
            <w:tcW w:w="2943" w:type="dxa"/>
          </w:tcPr>
          <w:p w:rsidR="00276250" w:rsidRPr="00656B74" w:rsidRDefault="00276250" w:rsidP="00DB7B76">
            <w:pPr>
              <w:pStyle w:val="Table1"/>
            </w:pPr>
            <w:r w:rsidRPr="00656B74">
              <w:t>NRSS</w:t>
            </w:r>
          </w:p>
        </w:tc>
        <w:tc>
          <w:tcPr>
            <w:tcW w:w="6299" w:type="dxa"/>
          </w:tcPr>
          <w:p w:rsidR="00276250" w:rsidRPr="00656B74" w:rsidRDefault="00276250" w:rsidP="00DB7B76">
            <w:pPr>
              <w:pStyle w:val="Table1"/>
            </w:pPr>
            <w:r w:rsidRPr="00656B74">
              <w:t>National Road Safety Strategy 2011-2020</w:t>
            </w:r>
          </w:p>
        </w:tc>
      </w:tr>
      <w:tr w:rsidR="00AA123F" w:rsidTr="00270D9B">
        <w:tc>
          <w:tcPr>
            <w:tcW w:w="2943" w:type="dxa"/>
          </w:tcPr>
          <w:p w:rsidR="00AA123F" w:rsidRPr="00656B74" w:rsidRDefault="00AA123F" w:rsidP="00DB7B76">
            <w:pPr>
              <w:pStyle w:val="Table1"/>
            </w:pPr>
            <w:r w:rsidRPr="00656B74">
              <w:t>NPV</w:t>
            </w:r>
          </w:p>
        </w:tc>
        <w:tc>
          <w:tcPr>
            <w:tcW w:w="6299" w:type="dxa"/>
          </w:tcPr>
          <w:p w:rsidR="00AA123F" w:rsidRPr="00656B74" w:rsidRDefault="00AA123F" w:rsidP="00DB7B76">
            <w:pPr>
              <w:pStyle w:val="Table1"/>
            </w:pPr>
            <w:r w:rsidRPr="00656B74">
              <w:t>Net Present Value</w:t>
            </w:r>
          </w:p>
        </w:tc>
      </w:tr>
      <w:tr w:rsidR="00E04347" w:rsidTr="00270D9B">
        <w:tc>
          <w:tcPr>
            <w:tcW w:w="2943" w:type="dxa"/>
          </w:tcPr>
          <w:p w:rsidR="00E04347" w:rsidRPr="00656B74" w:rsidRDefault="00D56F93" w:rsidP="00DB7B76">
            <w:pPr>
              <w:pStyle w:val="Table1"/>
            </w:pPr>
            <w:r w:rsidRPr="00656B74">
              <w:t>NTC</w:t>
            </w:r>
          </w:p>
        </w:tc>
        <w:tc>
          <w:tcPr>
            <w:tcW w:w="6299" w:type="dxa"/>
          </w:tcPr>
          <w:p w:rsidR="00E04347" w:rsidRPr="00656B74" w:rsidRDefault="00D56F93" w:rsidP="00DB7B76">
            <w:pPr>
              <w:pStyle w:val="Table1"/>
            </w:pPr>
            <w:r w:rsidRPr="00656B74">
              <w:t>National Transport Commission</w:t>
            </w:r>
          </w:p>
        </w:tc>
      </w:tr>
      <w:tr w:rsidR="00B24FD5" w:rsidTr="00270D9B">
        <w:tc>
          <w:tcPr>
            <w:tcW w:w="2943" w:type="dxa"/>
          </w:tcPr>
          <w:p w:rsidR="00B24FD5" w:rsidRPr="00656B74" w:rsidRDefault="00B24FD5" w:rsidP="00DB7B76">
            <w:pPr>
              <w:pStyle w:val="Table1"/>
            </w:pPr>
            <w:r w:rsidRPr="00656B74">
              <w:t>OBPR</w:t>
            </w:r>
          </w:p>
        </w:tc>
        <w:tc>
          <w:tcPr>
            <w:tcW w:w="6299" w:type="dxa"/>
          </w:tcPr>
          <w:p w:rsidR="00B24FD5" w:rsidRPr="00656B74" w:rsidRDefault="00B24FD5" w:rsidP="00DB7B76">
            <w:pPr>
              <w:pStyle w:val="Table1"/>
            </w:pPr>
            <w:r w:rsidRPr="00656B74">
              <w:t>Office of Best Practice Regulation</w:t>
            </w:r>
          </w:p>
        </w:tc>
      </w:tr>
      <w:tr w:rsidR="00A966D4" w:rsidTr="00270D9B">
        <w:tc>
          <w:tcPr>
            <w:tcW w:w="2943" w:type="dxa"/>
          </w:tcPr>
          <w:p w:rsidR="00A966D4" w:rsidRPr="00656B74" w:rsidRDefault="00A966D4" w:rsidP="00DB7B76">
            <w:pPr>
              <w:pStyle w:val="Table1"/>
            </w:pPr>
            <w:r w:rsidRPr="00656B74">
              <w:t>RFS</w:t>
            </w:r>
          </w:p>
        </w:tc>
        <w:tc>
          <w:tcPr>
            <w:tcW w:w="6299" w:type="dxa"/>
          </w:tcPr>
          <w:p w:rsidR="00A966D4" w:rsidRPr="00656B74" w:rsidRDefault="00A966D4" w:rsidP="00DB7B76">
            <w:pPr>
              <w:pStyle w:val="Table1"/>
            </w:pPr>
            <w:r w:rsidRPr="00656B74">
              <w:t>Road Friendly Suspension</w:t>
            </w:r>
          </w:p>
        </w:tc>
      </w:tr>
      <w:tr w:rsidR="00E04347" w:rsidTr="00270D9B">
        <w:tc>
          <w:tcPr>
            <w:tcW w:w="2943" w:type="dxa"/>
          </w:tcPr>
          <w:p w:rsidR="00E04347" w:rsidRPr="00656B74" w:rsidRDefault="00704E5B" w:rsidP="00DB7B76">
            <w:pPr>
              <w:pStyle w:val="Table1"/>
            </w:pPr>
            <w:r w:rsidRPr="00656B74">
              <w:t>RIS</w:t>
            </w:r>
          </w:p>
        </w:tc>
        <w:tc>
          <w:tcPr>
            <w:tcW w:w="6299" w:type="dxa"/>
          </w:tcPr>
          <w:p w:rsidR="00E04347" w:rsidRPr="00656B74" w:rsidRDefault="00704E5B" w:rsidP="00DB7B76">
            <w:pPr>
              <w:pStyle w:val="Table1"/>
            </w:pPr>
            <w:r w:rsidRPr="00656B74">
              <w:t>Regulation Impact Statement</w:t>
            </w:r>
          </w:p>
        </w:tc>
      </w:tr>
      <w:tr w:rsidR="00692A5C" w:rsidTr="00270D9B">
        <w:tc>
          <w:tcPr>
            <w:tcW w:w="2943" w:type="dxa"/>
          </w:tcPr>
          <w:p w:rsidR="00692A5C" w:rsidRPr="00656B74" w:rsidRDefault="00692A5C" w:rsidP="00DB7B76">
            <w:pPr>
              <w:pStyle w:val="Table1"/>
            </w:pPr>
            <w:r w:rsidRPr="00656B74">
              <w:t>SCOT</w:t>
            </w:r>
          </w:p>
        </w:tc>
        <w:tc>
          <w:tcPr>
            <w:tcW w:w="6299" w:type="dxa"/>
          </w:tcPr>
          <w:p w:rsidR="00692A5C" w:rsidRPr="00656B74" w:rsidRDefault="00692A5C" w:rsidP="004C2955">
            <w:pPr>
              <w:pStyle w:val="Table1"/>
            </w:pPr>
            <w:r w:rsidRPr="00656B74">
              <w:t>Standing Committee on Transport</w:t>
            </w:r>
          </w:p>
        </w:tc>
      </w:tr>
      <w:tr w:rsidR="0043095D" w:rsidTr="00270D9B">
        <w:tc>
          <w:tcPr>
            <w:tcW w:w="2943" w:type="dxa"/>
          </w:tcPr>
          <w:p w:rsidR="0043095D" w:rsidRPr="00656B74" w:rsidRDefault="0043095D" w:rsidP="00DB7B76">
            <w:pPr>
              <w:pStyle w:val="Table1"/>
            </w:pPr>
            <w:r w:rsidRPr="00656B74">
              <w:t>SCOTI</w:t>
            </w:r>
          </w:p>
        </w:tc>
        <w:tc>
          <w:tcPr>
            <w:tcW w:w="6299" w:type="dxa"/>
          </w:tcPr>
          <w:p w:rsidR="0043095D" w:rsidRPr="00656B74" w:rsidRDefault="00AA123F" w:rsidP="004C2955">
            <w:pPr>
              <w:pStyle w:val="Table1"/>
            </w:pPr>
            <w:r w:rsidRPr="00656B74">
              <w:t>Standing Council on Transport and Infrastructure</w:t>
            </w:r>
          </w:p>
        </w:tc>
      </w:tr>
      <w:tr w:rsidR="00333841" w:rsidRPr="00A966D4" w:rsidTr="00270D9B">
        <w:tc>
          <w:tcPr>
            <w:tcW w:w="2943" w:type="dxa"/>
          </w:tcPr>
          <w:p w:rsidR="00333841" w:rsidRPr="00656B74" w:rsidRDefault="00333841" w:rsidP="00DB7B76">
            <w:pPr>
              <w:pStyle w:val="Table1"/>
            </w:pPr>
            <w:r w:rsidRPr="00656B74">
              <w:t>SL</w:t>
            </w:r>
          </w:p>
        </w:tc>
        <w:tc>
          <w:tcPr>
            <w:tcW w:w="6299" w:type="dxa"/>
          </w:tcPr>
          <w:p w:rsidR="00333841" w:rsidRPr="00656B74" w:rsidRDefault="00656B74" w:rsidP="00DB7B76">
            <w:pPr>
              <w:pStyle w:val="Table1"/>
            </w:pPr>
            <w:r w:rsidRPr="00656B74">
              <w:t>Select-low Control</w:t>
            </w:r>
          </w:p>
        </w:tc>
      </w:tr>
      <w:tr w:rsidR="00333841" w:rsidRPr="00A966D4" w:rsidTr="00270D9B">
        <w:tc>
          <w:tcPr>
            <w:tcW w:w="2943" w:type="dxa"/>
          </w:tcPr>
          <w:p w:rsidR="00333841" w:rsidRPr="00656B74" w:rsidRDefault="00333841" w:rsidP="00DB7B76">
            <w:pPr>
              <w:pStyle w:val="Table1"/>
            </w:pPr>
            <w:r w:rsidRPr="00656B74">
              <w:t>SSM</w:t>
            </w:r>
          </w:p>
        </w:tc>
        <w:tc>
          <w:tcPr>
            <w:tcW w:w="6299" w:type="dxa"/>
          </w:tcPr>
          <w:p w:rsidR="00333841" w:rsidRPr="00656B74" w:rsidRDefault="00656B74" w:rsidP="00DB7B76">
            <w:pPr>
              <w:pStyle w:val="Table1"/>
            </w:pPr>
            <w:r w:rsidRPr="00656B74">
              <w:t>Select-smart Control</w:t>
            </w:r>
          </w:p>
        </w:tc>
      </w:tr>
      <w:tr w:rsidR="0043095D" w:rsidRPr="00A966D4" w:rsidTr="00270D9B">
        <w:tc>
          <w:tcPr>
            <w:tcW w:w="2943" w:type="dxa"/>
          </w:tcPr>
          <w:p w:rsidR="0043095D" w:rsidRPr="00656B74" w:rsidRDefault="0043095D" w:rsidP="00DB7B76">
            <w:pPr>
              <w:pStyle w:val="Table1"/>
            </w:pPr>
            <w:r w:rsidRPr="00656B74">
              <w:t>SVSEG</w:t>
            </w:r>
          </w:p>
        </w:tc>
        <w:tc>
          <w:tcPr>
            <w:tcW w:w="6299" w:type="dxa"/>
          </w:tcPr>
          <w:p w:rsidR="0043095D" w:rsidRPr="00656B74" w:rsidRDefault="00137985" w:rsidP="00DB7B76">
            <w:pPr>
              <w:pStyle w:val="Table1"/>
            </w:pPr>
            <w:r w:rsidRPr="00656B74">
              <w:t>Strategic Vehicle Safety and Environment Group</w:t>
            </w:r>
          </w:p>
        </w:tc>
      </w:tr>
      <w:tr w:rsidR="00276250" w:rsidTr="00270D9B">
        <w:tc>
          <w:tcPr>
            <w:tcW w:w="2943" w:type="dxa"/>
          </w:tcPr>
          <w:p w:rsidR="00276250" w:rsidRPr="00656B74" w:rsidRDefault="00276250" w:rsidP="00D9415A">
            <w:pPr>
              <w:pStyle w:val="Table1"/>
            </w:pPr>
            <w:r w:rsidRPr="00656B74">
              <w:lastRenderedPageBreak/>
              <w:t>TEBS</w:t>
            </w:r>
          </w:p>
        </w:tc>
        <w:tc>
          <w:tcPr>
            <w:tcW w:w="6299" w:type="dxa"/>
          </w:tcPr>
          <w:p w:rsidR="00276250" w:rsidRPr="00656B74" w:rsidRDefault="00824871" w:rsidP="00D9415A">
            <w:pPr>
              <w:pStyle w:val="Table1"/>
            </w:pPr>
            <w:r>
              <w:t>Trailer Electronic Braking Systems</w:t>
            </w:r>
          </w:p>
        </w:tc>
      </w:tr>
      <w:tr w:rsidR="00D2741A" w:rsidTr="00270D9B">
        <w:tc>
          <w:tcPr>
            <w:tcW w:w="2943" w:type="dxa"/>
          </w:tcPr>
          <w:p w:rsidR="00D2741A" w:rsidRPr="00656B74" w:rsidRDefault="00C43FD6" w:rsidP="00D9415A">
            <w:pPr>
              <w:pStyle w:val="Table1"/>
            </w:pPr>
            <w:r w:rsidRPr="00656B74">
              <w:t>TISOC</w:t>
            </w:r>
          </w:p>
        </w:tc>
        <w:tc>
          <w:tcPr>
            <w:tcW w:w="6299" w:type="dxa"/>
          </w:tcPr>
          <w:p w:rsidR="00D2741A" w:rsidRPr="00656B74" w:rsidRDefault="00137985" w:rsidP="00D9415A">
            <w:pPr>
              <w:pStyle w:val="Table1"/>
            </w:pPr>
            <w:r w:rsidRPr="00656B74">
              <w:t>Transport and Infrastructure Senior Officials’ Committee</w:t>
            </w:r>
          </w:p>
        </w:tc>
      </w:tr>
      <w:tr w:rsidR="00F06F7F" w:rsidTr="00270D9B">
        <w:tc>
          <w:tcPr>
            <w:tcW w:w="2943" w:type="dxa"/>
          </w:tcPr>
          <w:p w:rsidR="00F06F7F" w:rsidRPr="00656B74" w:rsidRDefault="00C43FD6" w:rsidP="00D9415A">
            <w:pPr>
              <w:pStyle w:val="Table1"/>
            </w:pPr>
            <w:r w:rsidRPr="00656B74">
              <w:t>TLG</w:t>
            </w:r>
          </w:p>
        </w:tc>
        <w:tc>
          <w:tcPr>
            <w:tcW w:w="6299" w:type="dxa"/>
          </w:tcPr>
          <w:p w:rsidR="00F06F7F" w:rsidRPr="00656B74" w:rsidRDefault="004B4D76" w:rsidP="00D9415A">
            <w:pPr>
              <w:pStyle w:val="Table1"/>
            </w:pPr>
            <w:r w:rsidRPr="00656B74">
              <w:t>Technical Liaison Group</w:t>
            </w:r>
          </w:p>
        </w:tc>
      </w:tr>
      <w:tr w:rsidR="00F06F7F" w:rsidTr="009C2980">
        <w:trPr>
          <w:trHeight w:val="80"/>
        </w:trPr>
        <w:tc>
          <w:tcPr>
            <w:tcW w:w="2943" w:type="dxa"/>
          </w:tcPr>
          <w:p w:rsidR="00F06F7F" w:rsidRPr="00656B74" w:rsidRDefault="00F06F7F" w:rsidP="00D9415A">
            <w:pPr>
              <w:pStyle w:val="Table1"/>
            </w:pPr>
            <w:r w:rsidRPr="00656B74">
              <w:t>UNECE</w:t>
            </w:r>
          </w:p>
        </w:tc>
        <w:tc>
          <w:tcPr>
            <w:tcW w:w="6299" w:type="dxa"/>
          </w:tcPr>
          <w:p w:rsidR="00F06F7F" w:rsidRPr="00656B74" w:rsidRDefault="00F06F7F" w:rsidP="00D9415A">
            <w:pPr>
              <w:pStyle w:val="Table1"/>
            </w:pPr>
            <w:r w:rsidRPr="00656B74">
              <w:t>United Nations Economic Commission for Europe</w:t>
            </w:r>
          </w:p>
        </w:tc>
      </w:tr>
      <w:tr w:rsidR="00F06F7F" w:rsidTr="00270D9B">
        <w:tc>
          <w:tcPr>
            <w:tcW w:w="2943" w:type="dxa"/>
          </w:tcPr>
          <w:p w:rsidR="00F06F7F" w:rsidRPr="00656B74" w:rsidRDefault="00F06F7F" w:rsidP="00DB7B76">
            <w:pPr>
              <w:pStyle w:val="Table1"/>
            </w:pPr>
            <w:r w:rsidRPr="00656B74">
              <w:t>WTO</w:t>
            </w:r>
          </w:p>
        </w:tc>
        <w:tc>
          <w:tcPr>
            <w:tcW w:w="6299" w:type="dxa"/>
          </w:tcPr>
          <w:p w:rsidR="00F06F7F" w:rsidRPr="00656B74" w:rsidRDefault="00F06F7F" w:rsidP="00DB7B76">
            <w:pPr>
              <w:pStyle w:val="Table1"/>
            </w:pPr>
            <w:r w:rsidRPr="00656B74">
              <w:t>World Trade Organisation</w:t>
            </w:r>
          </w:p>
        </w:tc>
      </w:tr>
    </w:tbl>
    <w:p w:rsidR="00510D22" w:rsidRDefault="00510D22">
      <w:pPr>
        <w:spacing w:after="200" w:line="276" w:lineRule="auto"/>
      </w:pPr>
    </w:p>
    <w:p w:rsidR="00510D22" w:rsidRDefault="00510D22">
      <w:pPr>
        <w:tabs>
          <w:tab w:val="clear" w:pos="851"/>
        </w:tabs>
        <w:spacing w:before="0" w:after="200" w:line="276" w:lineRule="auto"/>
      </w:pPr>
      <w:r>
        <w:br w:type="page"/>
      </w:r>
    </w:p>
    <w:p w:rsidR="00F77A14" w:rsidRDefault="00F77A14" w:rsidP="00510D22">
      <w:pPr>
        <w:pStyle w:val="Heading1"/>
        <w:numPr>
          <w:ilvl w:val="0"/>
          <w:numId w:val="0"/>
        </w:numPr>
        <w:sectPr w:rsidR="00F77A14" w:rsidSect="00C66B63">
          <w:headerReference w:type="default" r:id="rId68"/>
          <w:footerReference w:type="default" r:id="rId69"/>
          <w:pgSz w:w="11906" w:h="16838"/>
          <w:pgMar w:top="1440" w:right="1440" w:bottom="1440" w:left="1440" w:header="709" w:footer="709" w:gutter="0"/>
          <w:cols w:space="708"/>
          <w:docGrid w:linePitch="360"/>
        </w:sectPr>
      </w:pPr>
    </w:p>
    <w:p w:rsidR="00510D22" w:rsidRDefault="00510D22" w:rsidP="00510D22">
      <w:pPr>
        <w:pStyle w:val="Heading1"/>
        <w:numPr>
          <w:ilvl w:val="0"/>
          <w:numId w:val="0"/>
        </w:numPr>
      </w:pPr>
      <w:bookmarkStart w:id="107" w:name="_Ref357885575"/>
      <w:bookmarkStart w:id="108" w:name="_Toc375302819"/>
      <w:r>
        <w:lastRenderedPageBreak/>
        <w:t>Appendix 15—</w:t>
      </w:r>
      <w:r w:rsidR="00004CBC">
        <w:t>SVSEG and TLG forum</w:t>
      </w:r>
      <w:r w:rsidR="00B931D3">
        <w:t xml:space="preserve"> </w:t>
      </w:r>
      <w:r w:rsidR="00004CBC">
        <w:t>c</w:t>
      </w:r>
      <w:r w:rsidR="00B931D3">
        <w:t>omment</w:t>
      </w:r>
      <w:bookmarkEnd w:id="107"/>
      <w:bookmarkEnd w:id="108"/>
    </w:p>
    <w:p w:rsidR="006A7794" w:rsidRDefault="006A7794" w:rsidP="006A7794">
      <w:r w:rsidRPr="008964F9">
        <w:t>The following is a list of the parties that responded to the invitation for comment</w:t>
      </w:r>
      <w:r w:rsidR="00004CBC">
        <w:t xml:space="preserve"> through the Strategic Vehicle Safety and Environment Group (SVSEG) and the Technical Liaison Group (TLG) forums in May 2013</w:t>
      </w:r>
      <w:r w:rsidRPr="008964F9">
        <w:t>.</w:t>
      </w:r>
    </w:p>
    <w:p w:rsidR="00752254" w:rsidRDefault="00752254" w:rsidP="00752254">
      <w:pPr>
        <w:pStyle w:val="Heading3"/>
        <w:numPr>
          <w:ilvl w:val="0"/>
          <w:numId w:val="0"/>
        </w:numPr>
        <w:ind w:left="720" w:hanging="720"/>
        <w:rPr>
          <w:sz w:val="20"/>
          <w:szCs w:val="20"/>
        </w:rPr>
      </w:pPr>
      <w:r w:rsidRPr="00752254">
        <w:rPr>
          <w:sz w:val="20"/>
          <w:szCs w:val="20"/>
        </w:rPr>
        <w:t xml:space="preserve">Note:  </w:t>
      </w:r>
      <w:r>
        <w:rPr>
          <w:sz w:val="20"/>
          <w:szCs w:val="20"/>
        </w:rPr>
        <w:t xml:space="preserve">The terms </w:t>
      </w:r>
      <w:r w:rsidRPr="00752254">
        <w:rPr>
          <w:sz w:val="20"/>
          <w:szCs w:val="20"/>
        </w:rPr>
        <w:t>Load proportioning (LP) systems, Variable Proportioning Brake Systems</w:t>
      </w:r>
      <w:r>
        <w:rPr>
          <w:sz w:val="20"/>
          <w:szCs w:val="20"/>
        </w:rPr>
        <w:t xml:space="preserve"> and </w:t>
      </w:r>
      <w:r w:rsidRPr="00752254">
        <w:rPr>
          <w:rFonts w:cs="Times New Roman"/>
          <w:sz w:val="20"/>
          <w:szCs w:val="20"/>
        </w:rPr>
        <w:t>Load Sensing brake systems (LS</w:t>
      </w:r>
      <w:r>
        <w:rPr>
          <w:rFonts w:cs="Times New Roman"/>
          <w:sz w:val="20"/>
          <w:szCs w:val="20"/>
        </w:rPr>
        <w:t>/</w:t>
      </w:r>
      <w:r w:rsidRPr="00752254">
        <w:rPr>
          <w:sz w:val="20"/>
          <w:szCs w:val="20"/>
        </w:rPr>
        <w:t xml:space="preserve"> LSB</w:t>
      </w:r>
      <w:r>
        <w:rPr>
          <w:sz w:val="20"/>
          <w:szCs w:val="20"/>
        </w:rPr>
        <w:t>)</w:t>
      </w:r>
      <w:r w:rsidRPr="00752254">
        <w:rPr>
          <w:sz w:val="20"/>
          <w:szCs w:val="20"/>
        </w:rPr>
        <w:t xml:space="preserve"> are used interchangeably.</w:t>
      </w:r>
    </w:p>
    <w:tbl>
      <w:tblPr>
        <w:tblStyle w:val="TableGrid"/>
        <w:tblW w:w="0" w:type="auto"/>
        <w:tblLook w:val="04A0" w:firstRow="1" w:lastRow="0" w:firstColumn="1" w:lastColumn="0" w:noHBand="0" w:noVBand="1"/>
      </w:tblPr>
      <w:tblGrid>
        <w:gridCol w:w="1548"/>
        <w:gridCol w:w="5364"/>
        <w:gridCol w:w="1134"/>
        <w:gridCol w:w="5812"/>
      </w:tblGrid>
      <w:tr w:rsidR="00BB4FE8" w:rsidTr="00BB4FE8">
        <w:tc>
          <w:tcPr>
            <w:tcW w:w="1548" w:type="dxa"/>
            <w:vAlign w:val="center"/>
          </w:tcPr>
          <w:p w:rsidR="00BB4FE8" w:rsidRPr="00D33491" w:rsidRDefault="00BB4FE8" w:rsidP="00BB4FE8">
            <w:pPr>
              <w:spacing w:before="120" w:after="120" w:line="240" w:lineRule="auto"/>
              <w:rPr>
                <w:b/>
                <w:sz w:val="20"/>
                <w:szCs w:val="20"/>
              </w:rPr>
            </w:pPr>
            <w:r w:rsidRPr="00D33491">
              <w:rPr>
                <w:b/>
                <w:sz w:val="20"/>
                <w:szCs w:val="20"/>
              </w:rPr>
              <w:t>Organisation</w:t>
            </w:r>
          </w:p>
        </w:tc>
        <w:tc>
          <w:tcPr>
            <w:tcW w:w="5364" w:type="dxa"/>
            <w:vAlign w:val="center"/>
          </w:tcPr>
          <w:p w:rsidR="00BB4FE8" w:rsidRPr="00D33491" w:rsidRDefault="00BB4FE8" w:rsidP="00BB4FE8">
            <w:pPr>
              <w:spacing w:before="120" w:after="120" w:line="240" w:lineRule="auto"/>
              <w:rPr>
                <w:b/>
                <w:sz w:val="20"/>
                <w:szCs w:val="20"/>
              </w:rPr>
            </w:pPr>
            <w:r w:rsidRPr="00D33491">
              <w:rPr>
                <w:b/>
                <w:sz w:val="20"/>
                <w:szCs w:val="20"/>
              </w:rPr>
              <w:t>Comments</w:t>
            </w:r>
          </w:p>
        </w:tc>
        <w:tc>
          <w:tcPr>
            <w:tcW w:w="1134" w:type="dxa"/>
            <w:vAlign w:val="center"/>
          </w:tcPr>
          <w:p w:rsidR="00BB4FE8" w:rsidRPr="00D33491" w:rsidRDefault="00BB4FE8" w:rsidP="00BB4FE8">
            <w:pPr>
              <w:spacing w:before="120" w:after="120" w:line="240" w:lineRule="auto"/>
              <w:rPr>
                <w:b/>
                <w:sz w:val="20"/>
                <w:szCs w:val="20"/>
              </w:rPr>
            </w:pPr>
            <w:r w:rsidRPr="00D33491">
              <w:rPr>
                <w:b/>
                <w:sz w:val="20"/>
                <w:szCs w:val="20"/>
              </w:rPr>
              <w:t>Discussed further on page</w:t>
            </w:r>
          </w:p>
        </w:tc>
        <w:tc>
          <w:tcPr>
            <w:tcW w:w="5812" w:type="dxa"/>
            <w:vAlign w:val="center"/>
          </w:tcPr>
          <w:p w:rsidR="00BB4FE8" w:rsidRPr="00D33491" w:rsidRDefault="00BB4FE8" w:rsidP="00BB4FE8">
            <w:pPr>
              <w:spacing w:before="120" w:after="120" w:line="240" w:lineRule="auto"/>
              <w:rPr>
                <w:b/>
                <w:sz w:val="20"/>
                <w:szCs w:val="20"/>
              </w:rPr>
            </w:pPr>
            <w:r w:rsidRPr="00D33491">
              <w:rPr>
                <w:b/>
                <w:sz w:val="20"/>
                <w:szCs w:val="20"/>
              </w:rPr>
              <w:t>Departmental response</w:t>
            </w:r>
          </w:p>
        </w:tc>
      </w:tr>
      <w:tr w:rsidR="00BB4FE8" w:rsidTr="00BB4FE8">
        <w:tc>
          <w:tcPr>
            <w:tcW w:w="1548" w:type="dxa"/>
            <w:tcBorders>
              <w:bottom w:val="single" w:sz="4" w:space="0" w:color="auto"/>
            </w:tcBorders>
          </w:tcPr>
          <w:p w:rsidR="00BB4FE8" w:rsidRPr="00D33491" w:rsidRDefault="00BB4FE8" w:rsidP="00BB4FE8">
            <w:pPr>
              <w:pStyle w:val="Consultationheadings"/>
            </w:pPr>
            <w:r w:rsidRPr="00D33491">
              <w:t>Australian Automobile Association (AAA)</w:t>
            </w:r>
          </w:p>
        </w:tc>
        <w:tc>
          <w:tcPr>
            <w:tcW w:w="5364" w:type="dxa"/>
          </w:tcPr>
          <w:p w:rsidR="00BB4FE8" w:rsidRPr="00D33491" w:rsidRDefault="00BB4FE8" w:rsidP="00BB4FE8">
            <w:pPr>
              <w:pStyle w:val="Consultation"/>
            </w:pPr>
            <w:r w:rsidRPr="00D33491">
              <w:t>Supports the recommendation under Phase I of the NHVBS to introduce mandatory Antilock Braking Systems for heavy vehicles with load proportioning braking systems as an option for heavy trailers.  The compulsory introduction of safety technologies on heavy vehicles will assist in addressing community concerns surrounding the safety of heavy vehicles and address some of the technological inequity between light and heavy vehicles.</w:t>
            </w:r>
          </w:p>
          <w:p w:rsidR="00BB4FE8" w:rsidRPr="00D33491" w:rsidRDefault="00BB4FE8" w:rsidP="00BB4FE8">
            <w:pPr>
              <w:pStyle w:val="Consultation"/>
            </w:pPr>
            <w:r w:rsidRPr="00D33491">
              <w:t>Also urges the Commonwealth to also consider the introduction of Advanced Emergency Braking Systems as part of Phase II of the NHVBS</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D33491" w:rsidRDefault="00BB4FE8" w:rsidP="00BB4FE8">
            <w:pPr>
              <w:pStyle w:val="Consultation"/>
            </w:pPr>
            <w:r>
              <w:t>Noted</w:t>
            </w:r>
          </w:p>
        </w:tc>
      </w:tr>
      <w:tr w:rsidR="00BB4FE8" w:rsidTr="00BB4FE8">
        <w:tc>
          <w:tcPr>
            <w:tcW w:w="1548" w:type="dxa"/>
            <w:vMerge w:val="restart"/>
            <w:tcBorders>
              <w:top w:val="single" w:sz="4" w:space="0" w:color="auto"/>
              <w:left w:val="single" w:sz="4" w:space="0" w:color="auto"/>
              <w:right w:val="single" w:sz="4" w:space="0" w:color="auto"/>
            </w:tcBorders>
          </w:tcPr>
          <w:p w:rsidR="00BB4FE8" w:rsidRPr="00D33491" w:rsidRDefault="00BB4FE8" w:rsidP="00BB4FE8">
            <w:pPr>
              <w:pStyle w:val="Consultationheadings"/>
            </w:pPr>
            <w:r w:rsidRPr="00D33491">
              <w:t xml:space="preserve">Australian Road Transport Suppliers Association </w:t>
            </w:r>
            <w:proofErr w:type="spellStart"/>
            <w:r w:rsidRPr="00D33491">
              <w:t>Inc</w:t>
            </w:r>
            <w:proofErr w:type="spellEnd"/>
            <w:r w:rsidRPr="00D33491">
              <w:t xml:space="preserve"> (ARTSA)</w:t>
            </w:r>
          </w:p>
        </w:tc>
        <w:tc>
          <w:tcPr>
            <w:tcW w:w="5364" w:type="dxa"/>
            <w:tcBorders>
              <w:left w:val="single" w:sz="4" w:space="0" w:color="auto"/>
            </w:tcBorders>
          </w:tcPr>
          <w:p w:rsidR="00BB4FE8" w:rsidRPr="00D33491" w:rsidRDefault="00BB4FE8" w:rsidP="00BB4FE8">
            <w:pPr>
              <w:pStyle w:val="Consultation"/>
            </w:pPr>
            <w:r w:rsidRPr="00752DE4">
              <w:t>ARTSA</w:t>
            </w:r>
            <w:r>
              <w:t xml:space="preserve"> </w:t>
            </w:r>
            <w:r w:rsidRPr="00752DE4">
              <w:t>strongly</w:t>
            </w:r>
            <w:r>
              <w:t xml:space="preserve"> </w:t>
            </w:r>
            <w:r w:rsidRPr="00752DE4">
              <w:t>supports</w:t>
            </w:r>
            <w:r>
              <w:t xml:space="preserve"> </w:t>
            </w:r>
            <w:r w:rsidRPr="00752DE4">
              <w:t>brake</w:t>
            </w:r>
            <w:r>
              <w:t xml:space="preserve"> </w:t>
            </w:r>
            <w:r w:rsidRPr="00752DE4">
              <w:t>rule</w:t>
            </w:r>
            <w:r>
              <w:t xml:space="preserve"> </w:t>
            </w:r>
            <w:r w:rsidRPr="00752DE4">
              <w:t>development</w:t>
            </w:r>
            <w:r>
              <w:t xml:space="preserve"> </w:t>
            </w:r>
            <w:r w:rsidRPr="00752DE4">
              <w:t>of</w:t>
            </w:r>
            <w:r>
              <w:t xml:space="preserve"> </w:t>
            </w:r>
            <w:r w:rsidRPr="00752DE4">
              <w:t>ADRs</w:t>
            </w:r>
            <w:r>
              <w:t xml:space="preserve"> </w:t>
            </w:r>
            <w:r w:rsidRPr="00752DE4">
              <w:t>35</w:t>
            </w:r>
            <w:r>
              <w:t xml:space="preserve"> </w:t>
            </w:r>
            <w:r w:rsidRPr="00752DE4">
              <w:t>&amp;</w:t>
            </w:r>
            <w:r>
              <w:t xml:space="preserve"> </w:t>
            </w:r>
            <w:r w:rsidRPr="00752DE4">
              <w:t>38.</w:t>
            </w:r>
            <w:r>
              <w:t xml:space="preserve"> </w:t>
            </w:r>
            <w:r w:rsidRPr="00752DE4">
              <w:t>ARTSA</w:t>
            </w:r>
            <w:r>
              <w:t xml:space="preserve"> </w:t>
            </w:r>
            <w:r w:rsidRPr="00752DE4">
              <w:t>accepts</w:t>
            </w:r>
            <w:r>
              <w:t xml:space="preserve"> </w:t>
            </w:r>
            <w:r w:rsidRPr="00752DE4">
              <w:t>that</w:t>
            </w:r>
            <w:r>
              <w:t xml:space="preserve"> </w:t>
            </w:r>
            <w:r w:rsidRPr="00752DE4">
              <w:t>Option</w:t>
            </w:r>
            <w:r>
              <w:t xml:space="preserve"> </w:t>
            </w:r>
            <w:r w:rsidRPr="00752DE4">
              <w:t>2</w:t>
            </w:r>
            <w:r>
              <w:t xml:space="preserve"> </w:t>
            </w:r>
            <w:r w:rsidRPr="00752DE4">
              <w:t>in</w:t>
            </w:r>
            <w:r>
              <w:t xml:space="preserve"> </w:t>
            </w:r>
            <w:r w:rsidRPr="00752DE4">
              <w:t>the</w:t>
            </w:r>
            <w:r>
              <w:t xml:space="preserve"> </w:t>
            </w:r>
            <w:r w:rsidRPr="00752DE4">
              <w:t>RIS</w:t>
            </w:r>
            <w:r>
              <w:t xml:space="preserve"> </w:t>
            </w:r>
            <w:r w:rsidRPr="00752DE4">
              <w:t>is</w:t>
            </w:r>
            <w:r>
              <w:t xml:space="preserve"> </w:t>
            </w:r>
            <w:r w:rsidRPr="00752DE4">
              <w:t>the</w:t>
            </w:r>
            <w:r>
              <w:t xml:space="preserve"> </w:t>
            </w:r>
            <w:r w:rsidRPr="00752DE4">
              <w:t>only</w:t>
            </w:r>
            <w:r>
              <w:t xml:space="preserve"> </w:t>
            </w:r>
            <w:r w:rsidRPr="00752DE4">
              <w:t>practical</w:t>
            </w:r>
            <w:r>
              <w:t xml:space="preserve"> </w:t>
            </w:r>
            <w:r w:rsidRPr="00752DE4">
              <w:t>short-term</w:t>
            </w:r>
            <w:r>
              <w:t xml:space="preserve"> </w:t>
            </w:r>
            <w:r w:rsidRPr="00752DE4">
              <w:t>path</w:t>
            </w:r>
            <w:r>
              <w:t xml:space="preserve"> </w:t>
            </w:r>
            <w:r w:rsidRPr="00752DE4">
              <w:t>for</w:t>
            </w:r>
            <w:r>
              <w:t xml:space="preserve"> </w:t>
            </w:r>
            <w:r w:rsidRPr="00752DE4">
              <w:t>brake</w:t>
            </w:r>
            <w:r>
              <w:t xml:space="preserve"> </w:t>
            </w:r>
            <w:r w:rsidRPr="00752DE4">
              <w:t>rule</w:t>
            </w:r>
            <w:r>
              <w:t xml:space="preserve"> </w:t>
            </w:r>
            <w:r w:rsidRPr="00752DE4">
              <w:t>development.</w:t>
            </w:r>
            <w:r>
              <w:t xml:space="preserve"> </w:t>
            </w:r>
            <w:r w:rsidRPr="00752DE4">
              <w:t>ARTSA</w:t>
            </w:r>
            <w:r>
              <w:t xml:space="preserve"> </w:t>
            </w:r>
            <w:r w:rsidRPr="00752DE4">
              <w:t>recommends</w:t>
            </w:r>
            <w:r>
              <w:t xml:space="preserve"> </w:t>
            </w:r>
            <w:r w:rsidRPr="00752DE4">
              <w:t>that</w:t>
            </w:r>
            <w:r>
              <w:t xml:space="preserve"> </w:t>
            </w:r>
            <w:r w:rsidRPr="00752DE4">
              <w:t>Stage</w:t>
            </w:r>
            <w:r>
              <w:t xml:space="preserve"> </w:t>
            </w:r>
            <w:r w:rsidRPr="00752DE4">
              <w:t>I</w:t>
            </w:r>
            <w:r>
              <w:t xml:space="preserve"> </w:t>
            </w:r>
            <w:r w:rsidRPr="00752DE4">
              <w:t>of</w:t>
            </w:r>
            <w:r>
              <w:t xml:space="preserve"> </w:t>
            </w:r>
            <w:r w:rsidRPr="00752DE4">
              <w:t>the</w:t>
            </w:r>
            <w:r>
              <w:t xml:space="preserve"> </w:t>
            </w:r>
            <w:r w:rsidRPr="00752DE4">
              <w:t>NHVBS</w:t>
            </w:r>
            <w:r>
              <w:t xml:space="preserve"> </w:t>
            </w:r>
            <w:r w:rsidRPr="00752DE4">
              <w:t>be</w:t>
            </w:r>
            <w:r>
              <w:t xml:space="preserve"> </w:t>
            </w:r>
            <w:r w:rsidRPr="00752DE4">
              <w:t>implemented</w:t>
            </w:r>
            <w:r>
              <w:t xml:space="preserve"> </w:t>
            </w:r>
            <w:r w:rsidRPr="00752DE4">
              <w:t>immediately</w:t>
            </w:r>
            <w:r>
              <w:t xml:space="preserve"> </w:t>
            </w:r>
            <w:r w:rsidRPr="00752DE4">
              <w:t>and</w:t>
            </w:r>
            <w:r>
              <w:t xml:space="preserve"> </w:t>
            </w:r>
            <w:r w:rsidRPr="00752DE4">
              <w:t>that</w:t>
            </w:r>
            <w:r>
              <w:t xml:space="preserve"> </w:t>
            </w:r>
            <w:r w:rsidRPr="00752DE4">
              <w:t>Stage</w:t>
            </w:r>
            <w:r>
              <w:t xml:space="preserve"> </w:t>
            </w:r>
            <w:r w:rsidRPr="00752DE4">
              <w:t>II</w:t>
            </w:r>
            <w:r>
              <w:t xml:space="preserve"> </w:t>
            </w:r>
            <w:r w:rsidRPr="00752DE4">
              <w:t>be</w:t>
            </w:r>
            <w:r>
              <w:t xml:space="preserve"> </w:t>
            </w:r>
            <w:r w:rsidRPr="00752DE4">
              <w:t>implemented</w:t>
            </w:r>
            <w:r>
              <w:t xml:space="preserve"> </w:t>
            </w:r>
            <w:r w:rsidRPr="00752DE4">
              <w:t>two</w:t>
            </w:r>
            <w:r>
              <w:t xml:space="preserve"> </w:t>
            </w:r>
            <w:r w:rsidRPr="00752DE4">
              <w:t>years</w:t>
            </w:r>
            <w:r>
              <w:t xml:space="preserve"> </w:t>
            </w:r>
            <w:r w:rsidRPr="00752DE4">
              <w:t>after</w:t>
            </w:r>
            <w:r>
              <w:t xml:space="preserve"> </w:t>
            </w:r>
            <w:r w:rsidRPr="00752DE4">
              <w:t>Stage</w:t>
            </w:r>
            <w:r>
              <w:t xml:space="preserve"> </w:t>
            </w:r>
            <w:r w:rsidRPr="00752DE4">
              <w:t>I.</w:t>
            </w:r>
            <w:r>
              <w:t xml:space="preserve"> By publicising an adoption date for Phase </w:t>
            </w:r>
            <w:proofErr w:type="gramStart"/>
            <w:r>
              <w:t>II,</w:t>
            </w:r>
            <w:proofErr w:type="gramEnd"/>
            <w:r>
              <w:t xml:space="preserve"> this will promote the early adoption of more advanced technology such as ESC. A detailed response is:</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D33491" w:rsidRDefault="00BB4FE8" w:rsidP="00BB4FE8">
            <w:pPr>
              <w:pStyle w:val="Consultation"/>
            </w:pPr>
            <w:r>
              <w:t>Noted</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12762" w:rsidRDefault="00BB4FE8" w:rsidP="00BB4FE8">
            <w:pPr>
              <w:pStyle w:val="consultationnumbered"/>
            </w:pPr>
            <w:r w:rsidRPr="00752254">
              <w:t>The</w:t>
            </w:r>
            <w:r>
              <w:t xml:space="preserve"> </w:t>
            </w:r>
            <w:r w:rsidRPr="00752254">
              <w:t>combination</w:t>
            </w:r>
            <w:r>
              <w:t xml:space="preserve"> </w:t>
            </w:r>
            <w:r w:rsidRPr="00752254">
              <w:t>of</w:t>
            </w:r>
            <w:r>
              <w:t xml:space="preserve"> </w:t>
            </w:r>
            <w:r w:rsidRPr="00752254">
              <w:t>ABS</w:t>
            </w:r>
            <w:r>
              <w:t xml:space="preserve"> </w:t>
            </w:r>
            <w:r w:rsidRPr="00752254">
              <w:rPr>
                <w:u w:val="single"/>
              </w:rPr>
              <w:t>and</w:t>
            </w:r>
            <w:r>
              <w:t xml:space="preserve"> </w:t>
            </w:r>
            <w:r w:rsidRPr="00752254">
              <w:t>LSB</w:t>
            </w:r>
            <w:r>
              <w:t xml:space="preserve"> </w:t>
            </w:r>
            <w:r w:rsidRPr="00752254">
              <w:t>is</w:t>
            </w:r>
            <w:r>
              <w:t xml:space="preserve"> </w:t>
            </w:r>
            <w:r w:rsidRPr="00752254">
              <w:t>a</w:t>
            </w:r>
            <w:r>
              <w:t xml:space="preserve"> </w:t>
            </w:r>
            <w:r w:rsidRPr="00752254">
              <w:t>preferable</w:t>
            </w:r>
            <w:r>
              <w:t xml:space="preserve"> </w:t>
            </w:r>
            <w:r w:rsidRPr="00752254">
              <w:t>option</w:t>
            </w:r>
            <w:r>
              <w:t xml:space="preserve"> </w:t>
            </w:r>
            <w:r w:rsidRPr="00752254">
              <w:t>for</w:t>
            </w:r>
            <w:r>
              <w:t xml:space="preserve"> </w:t>
            </w:r>
            <w:r w:rsidRPr="00752254">
              <w:t>new</w:t>
            </w:r>
            <w:r>
              <w:t xml:space="preserve"> </w:t>
            </w:r>
            <w:r w:rsidRPr="00752254">
              <w:t>trailers</w:t>
            </w:r>
            <w:r>
              <w:t xml:space="preserve"> </w:t>
            </w:r>
            <w:r w:rsidRPr="00752254">
              <w:t>because</w:t>
            </w:r>
            <w:r>
              <w:t xml:space="preserve"> </w:t>
            </w:r>
            <w:r w:rsidRPr="00752254">
              <w:t>it</w:t>
            </w:r>
            <w:r>
              <w:t xml:space="preserve"> </w:t>
            </w:r>
            <w:r w:rsidRPr="00752254">
              <w:t>is</w:t>
            </w:r>
            <w:r>
              <w:t xml:space="preserve"> </w:t>
            </w:r>
            <w:r w:rsidRPr="00752254">
              <w:t>likely</w:t>
            </w:r>
            <w:r>
              <w:t xml:space="preserve"> </w:t>
            </w:r>
            <w:r w:rsidRPr="00752254">
              <w:t>to</w:t>
            </w:r>
            <w:r>
              <w:t xml:space="preserve"> </w:t>
            </w:r>
            <w:r w:rsidRPr="00752254">
              <w:t>have</w:t>
            </w:r>
            <w:r>
              <w:t xml:space="preserve"> </w:t>
            </w:r>
            <w:r w:rsidRPr="00752254">
              <w:t>the</w:t>
            </w:r>
            <w:r>
              <w:t xml:space="preserve"> </w:t>
            </w:r>
            <w:r w:rsidRPr="00752254">
              <w:t>shortest</w:t>
            </w:r>
            <w:r>
              <w:t xml:space="preserve"> </w:t>
            </w:r>
            <w:r w:rsidRPr="00752254">
              <w:t>stopping</w:t>
            </w:r>
            <w:r>
              <w:t xml:space="preserve"> </w:t>
            </w:r>
            <w:r w:rsidRPr="00752254">
              <w:t>distance</w:t>
            </w:r>
            <w:r>
              <w:t xml:space="preserve"> </w:t>
            </w:r>
            <w:r w:rsidRPr="00752254">
              <w:t>under</w:t>
            </w:r>
            <w:r>
              <w:t xml:space="preserve"> </w:t>
            </w:r>
            <w:r w:rsidRPr="00752254">
              <w:t>all</w:t>
            </w:r>
            <w:r>
              <w:t xml:space="preserve"> </w:t>
            </w:r>
            <w:r w:rsidRPr="00752254">
              <w:t>load</w:t>
            </w:r>
            <w:r>
              <w:t xml:space="preserve"> </w:t>
            </w:r>
            <w:r w:rsidRPr="00752254">
              <w:t>conditions.</w:t>
            </w:r>
            <w:r>
              <w:t xml:space="preserve"> </w:t>
            </w:r>
            <w:r w:rsidRPr="00752254">
              <w:t>This</w:t>
            </w:r>
            <w:r>
              <w:t xml:space="preserve"> </w:t>
            </w:r>
            <w:r w:rsidRPr="00752254">
              <w:t>is</w:t>
            </w:r>
            <w:r>
              <w:t xml:space="preserve"> </w:t>
            </w:r>
            <w:r w:rsidRPr="00752254">
              <w:t>a</w:t>
            </w:r>
            <w:r>
              <w:t xml:space="preserve"> </w:t>
            </w:r>
            <w:r w:rsidRPr="00752254">
              <w:t>half-</w:t>
            </w:r>
            <w:r>
              <w:t xml:space="preserve"> </w:t>
            </w:r>
            <w:r w:rsidRPr="00752254">
              <w:t>step</w:t>
            </w:r>
            <w:r>
              <w:t xml:space="preserve"> </w:t>
            </w:r>
            <w:r w:rsidRPr="00752254">
              <w:t>to</w:t>
            </w:r>
            <w:r>
              <w:t xml:space="preserve"> </w:t>
            </w:r>
            <w:r w:rsidRPr="00752254">
              <w:t>Stage</w:t>
            </w:r>
            <w:r>
              <w:t xml:space="preserve"> </w:t>
            </w:r>
            <w:r w:rsidRPr="00752254">
              <w:t>II.</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EA659F" w:rsidRDefault="00BB4FE8" w:rsidP="00BB4FE8">
            <w:pPr>
              <w:pStyle w:val="consultationnumbered2"/>
              <w:numPr>
                <w:ilvl w:val="0"/>
                <w:numId w:val="81"/>
              </w:numPr>
              <w:ind w:left="357" w:hanging="357"/>
            </w:pPr>
            <w:r w:rsidRPr="00EA659F">
              <w:t>Not agreed. This is not in line with the National Heavy Vehicle Braking Strategy (NHVBS) and it is not in line with the National Road Safety Strategy (NRSS).  This would be an increase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12762" w:rsidRDefault="00BB4FE8" w:rsidP="00BB4FE8">
            <w:pPr>
              <w:pStyle w:val="consultationnumbered"/>
            </w:pPr>
            <w:r w:rsidRPr="0050055A">
              <w:t>There is a risk that some multi-combination vehicles will have poor brake compatibility as a result of adverse mixtures of brake technologies.</w:t>
            </w:r>
            <w:r>
              <w:t xml:space="preserve"> </w:t>
            </w:r>
            <w:r w:rsidRPr="0050055A">
              <w:t xml:space="preserve">This risk will arise whether the brake rule development goes ahead or not, but is more likely to happen after the adoption of ADR38/04. The National Code of Practice concerning intermixing of brake control </w:t>
            </w:r>
            <w:proofErr w:type="gramStart"/>
            <w:r w:rsidRPr="0050055A">
              <w:t>technologies</w:t>
            </w:r>
            <w:r>
              <w:t>,</w:t>
            </w:r>
            <w:r w:rsidRPr="0050055A">
              <w:t xml:space="preserve"> that is under development,</w:t>
            </w:r>
            <w:proofErr w:type="gramEnd"/>
            <w:r w:rsidRPr="0050055A">
              <w:t xml:space="preserve"> should provide reliable guidance for the full range of technologies that could be mixed.</w:t>
            </w:r>
          </w:p>
        </w:tc>
        <w:tc>
          <w:tcPr>
            <w:tcW w:w="1134" w:type="dxa"/>
          </w:tcPr>
          <w:p w:rsidR="00BB4FE8" w:rsidRPr="00EF07F5" w:rsidRDefault="00C036A7" w:rsidP="00BB4FE8">
            <w:pPr>
              <w:spacing w:before="0" w:line="240" w:lineRule="auto"/>
              <w:jc w:val="center"/>
              <w:rPr>
                <w:sz w:val="20"/>
              </w:rPr>
            </w:pPr>
            <w:r w:rsidRPr="00EF07F5">
              <w:rPr>
                <w:sz w:val="20"/>
                <w:szCs w:val="20"/>
              </w:rPr>
              <w:fldChar w:fldCharType="begin"/>
            </w:r>
            <w:r w:rsidR="00BB4FE8" w:rsidRPr="00EF07F5">
              <w:rPr>
                <w:sz w:val="20"/>
                <w:szCs w:val="20"/>
              </w:rPr>
              <w:instrText xml:space="preserve"> PAGEREF codeofpractice1 \h </w:instrText>
            </w:r>
            <w:r w:rsidRPr="00EF07F5">
              <w:rPr>
                <w:sz w:val="20"/>
                <w:szCs w:val="20"/>
              </w:rPr>
            </w:r>
            <w:r w:rsidRPr="00EF07F5">
              <w:rPr>
                <w:sz w:val="20"/>
                <w:szCs w:val="20"/>
              </w:rPr>
              <w:fldChar w:fldCharType="separate"/>
            </w:r>
            <w:r w:rsidR="00546CD0">
              <w:rPr>
                <w:noProof/>
                <w:sz w:val="20"/>
                <w:szCs w:val="20"/>
              </w:rPr>
              <w:t>35</w:t>
            </w:r>
            <w:r w:rsidRPr="00EF07F5">
              <w:rPr>
                <w:sz w:val="20"/>
                <w:szCs w:val="20"/>
              </w:rPr>
              <w:fldChar w:fldCharType="end"/>
            </w:r>
          </w:p>
        </w:tc>
        <w:tc>
          <w:tcPr>
            <w:tcW w:w="5812" w:type="dxa"/>
          </w:tcPr>
          <w:p w:rsidR="00BB4FE8" w:rsidRPr="00EA659F" w:rsidRDefault="00BB4FE8" w:rsidP="00BB4FE8">
            <w:pPr>
              <w:pStyle w:val="consultationnumbered2"/>
            </w:pPr>
            <w:bookmarkStart w:id="109" w:name="_Ref360546981"/>
            <w:r w:rsidRPr="00EA659F">
              <w:t>Agreed. Industry is encouraged to finalise the work on the code as soon as possible.</w:t>
            </w:r>
            <w:bookmarkEnd w:id="109"/>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12762" w:rsidRDefault="00BB4FE8" w:rsidP="00BB4FE8">
            <w:pPr>
              <w:pStyle w:val="consultationnumbered"/>
            </w:pPr>
            <w:r w:rsidRPr="00740084">
              <w:t>The proposed inclusion of an ABS off switch limits the use of an ‘off</w:t>
            </w:r>
            <w:r>
              <w:t>-</w:t>
            </w:r>
            <w:r w:rsidRPr="00740084">
              <w:t>road mode’ switch to defined off- road vehicles. This clause should be dropped. Many Australian motive trucks run on poor quality roads with loose surfaces. It should not be concluded that standard trucks will not encounter</w:t>
            </w:r>
            <w:r>
              <w:t xml:space="preserve"> </w:t>
            </w:r>
            <w:r w:rsidRPr="00740084">
              <w:t>loose</w:t>
            </w:r>
            <w:r>
              <w:t xml:space="preserve"> </w:t>
            </w:r>
            <w:r w:rsidRPr="00740084">
              <w:t>surface roads.</w:t>
            </w:r>
          </w:p>
        </w:tc>
        <w:tc>
          <w:tcPr>
            <w:tcW w:w="1134" w:type="dxa"/>
          </w:tcPr>
          <w:p w:rsidR="00BB4FE8" w:rsidRPr="00EF07F5" w:rsidRDefault="00C036A7" w:rsidP="00BB4FE8">
            <w:pPr>
              <w:spacing w:before="0" w:line="240" w:lineRule="auto"/>
              <w:jc w:val="center"/>
              <w:rPr>
                <w:sz w:val="20"/>
              </w:rPr>
            </w:pPr>
            <w:r w:rsidRPr="00EF07F5">
              <w:rPr>
                <w:sz w:val="20"/>
                <w:szCs w:val="20"/>
              </w:rPr>
              <w:fldChar w:fldCharType="begin"/>
            </w:r>
            <w:r w:rsidR="00BB4FE8" w:rsidRPr="00EF07F5">
              <w:rPr>
                <w:sz w:val="20"/>
                <w:szCs w:val="20"/>
              </w:rPr>
              <w:instrText xml:space="preserve"> PAGEREF ABSoffswitch1 \h </w:instrText>
            </w:r>
            <w:r w:rsidRPr="00EF07F5">
              <w:rPr>
                <w:sz w:val="20"/>
                <w:szCs w:val="20"/>
              </w:rPr>
            </w:r>
            <w:r w:rsidRPr="00EF07F5">
              <w:rPr>
                <w:sz w:val="20"/>
                <w:szCs w:val="20"/>
              </w:rPr>
              <w:fldChar w:fldCharType="separate"/>
            </w:r>
            <w:r w:rsidR="00546CD0">
              <w:rPr>
                <w:noProof/>
                <w:sz w:val="20"/>
                <w:szCs w:val="20"/>
              </w:rPr>
              <w:t>33</w:t>
            </w:r>
            <w:r w:rsidRPr="00EF07F5">
              <w:rPr>
                <w:sz w:val="20"/>
                <w:szCs w:val="20"/>
              </w:rPr>
              <w:fldChar w:fldCharType="end"/>
            </w:r>
          </w:p>
        </w:tc>
        <w:tc>
          <w:tcPr>
            <w:tcW w:w="5812" w:type="dxa"/>
          </w:tcPr>
          <w:p w:rsidR="00BB4FE8" w:rsidRPr="00EA659F" w:rsidRDefault="00BB4FE8" w:rsidP="00BB4FE8">
            <w:pPr>
              <w:pStyle w:val="consultationnumbered2"/>
            </w:pPr>
            <w:r w:rsidRPr="00EA659F">
              <w:t>Agreed. The revised ADR 35 will reflect that the ABS off switch may be fitted to any vehicle. This would be a reduction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7D4306" w:rsidRDefault="00BB4FE8" w:rsidP="00BB4FE8">
            <w:pPr>
              <w:pStyle w:val="consultationnumbered"/>
            </w:pPr>
            <w:r>
              <w:t>Vehicle certification testing should include Items 3 &amp; 10 of Table 1 of ADR 35/03 for new models but just Appendix one for existing models. Foundation Brake Sub-Assembly tests should not include ABS as a relevant factor.</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EA659F" w:rsidRDefault="00BB4FE8" w:rsidP="00BB4FE8">
            <w:pPr>
              <w:pStyle w:val="consultationnumbered2"/>
            </w:pPr>
            <w:r w:rsidRPr="00EA659F">
              <w:t>Agreed. The revised ADR 35 certification arrangements are likely to reflect this, although certification is not part of this RIS. This would be a reduction in stringency when compared to the current certification arrangements.</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7D4306" w:rsidRDefault="00BB4FE8" w:rsidP="00BB4FE8">
            <w:pPr>
              <w:pStyle w:val="consultationnumbered"/>
            </w:pPr>
            <w:r>
              <w:t>ABS should be able to veto any auxiliary (or endurance brakes) and these brakes should only be able to be operated by a deliberate braking control action by the driver.</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EA659F" w:rsidRDefault="00BB4FE8" w:rsidP="00BB4FE8">
            <w:pPr>
              <w:pStyle w:val="consultationnumbered2"/>
            </w:pPr>
            <w:r w:rsidRPr="00EA659F">
              <w:t>Not Agreed.  This would be an increase in stringency when compared to the current proposal. May be considered under Phase II.</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752DE4" w:rsidRDefault="00BB4FE8" w:rsidP="00BB4FE8">
            <w:pPr>
              <w:pStyle w:val="consultationnumbered"/>
            </w:pPr>
            <w:r w:rsidRPr="00312FDD">
              <w:t xml:space="preserve">Dangerous Goods plated trailers </w:t>
            </w:r>
            <w:r>
              <w:t>should have to</w:t>
            </w:r>
            <w:r w:rsidRPr="00312FDD">
              <w:t xml:space="preserve"> have a roll</w:t>
            </w:r>
            <w:r w:rsidRPr="00312FDD">
              <w:rPr>
                <w:rFonts w:ascii="Cambria Math" w:hAnsi="Cambria Math" w:cs="Cambria Math"/>
              </w:rPr>
              <w:t>‐</w:t>
            </w:r>
            <w:r w:rsidRPr="00312FDD">
              <w:t>stability control function. This requirement could be applied additionally.</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EA659F" w:rsidRDefault="00BB4FE8" w:rsidP="00BB4FE8">
            <w:pPr>
              <w:pStyle w:val="consultationnumbered2"/>
            </w:pPr>
            <w:r w:rsidRPr="00EA659F">
              <w:t>Not agreed. Dangerous Goods requirements are a matter for state and territory road authorities and so are not able to be addressed through this proposal.  This would be an increase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752DE4" w:rsidRDefault="00BB4FE8" w:rsidP="00BB4FE8">
            <w:pPr>
              <w:pStyle w:val="consultationnumbered"/>
            </w:pPr>
            <w:r>
              <w:t>ABS systems should have split Mu characteristics, for non-steerable axles.</w:t>
            </w:r>
          </w:p>
        </w:tc>
        <w:tc>
          <w:tcPr>
            <w:tcW w:w="1134" w:type="dxa"/>
          </w:tcPr>
          <w:p w:rsidR="00BB4FE8" w:rsidRPr="00EF07F5" w:rsidRDefault="00BB4FE8" w:rsidP="00BB4FE8">
            <w:pPr>
              <w:spacing w:before="0" w:line="240" w:lineRule="auto"/>
              <w:jc w:val="center"/>
              <w:rPr>
                <w:sz w:val="20"/>
              </w:rPr>
            </w:pPr>
            <w:r w:rsidRPr="00EF07F5">
              <w:rPr>
                <w:sz w:val="20"/>
              </w:rPr>
              <w:t>-</w:t>
            </w:r>
          </w:p>
        </w:tc>
        <w:tc>
          <w:tcPr>
            <w:tcW w:w="5812" w:type="dxa"/>
          </w:tcPr>
          <w:p w:rsidR="00BB4FE8" w:rsidRPr="00EA659F" w:rsidRDefault="00BB4FE8" w:rsidP="00BB4FE8">
            <w:pPr>
              <w:pStyle w:val="consultationnumbered2"/>
            </w:pPr>
            <w:r w:rsidRPr="00EA659F">
              <w:t>Not agreed. The current ABS technical requirements do not require this feature and it was proposed to continue to allow for this. This would be an increase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9E2361" w:rsidRDefault="00BB4FE8" w:rsidP="00BB4FE8">
            <w:pPr>
              <w:pStyle w:val="consultationnumbered"/>
            </w:pPr>
            <w:r w:rsidRPr="00731769">
              <w:t xml:space="preserve">An alternative certification level </w:t>
            </w:r>
            <w:r>
              <w:t xml:space="preserve">should </w:t>
            </w:r>
            <w:r w:rsidRPr="00731769">
              <w:t xml:space="preserve">be provided </w:t>
            </w:r>
            <w:r>
              <w:t xml:space="preserve">in ADR 35 </w:t>
            </w:r>
            <w:r w:rsidRPr="00731769">
              <w:t>so</w:t>
            </w:r>
            <w:r>
              <w:t xml:space="preserve"> t</w:t>
            </w:r>
            <w:r w:rsidRPr="00731769">
              <w:t>hat a Load Sensing Brake System can be set</w:t>
            </w:r>
            <w:r>
              <w:t xml:space="preserve"> t</w:t>
            </w:r>
            <w:r w:rsidRPr="00731769">
              <w:t xml:space="preserve">o comply with Figure 2 </w:t>
            </w:r>
            <w:r w:rsidRPr="00731769">
              <w:rPr>
                <w:u w:val="single"/>
              </w:rPr>
              <w:t>or</w:t>
            </w:r>
            <w:r w:rsidRPr="00731769">
              <w:t xml:space="preserve"> the LSB can be set to 65 % in the lightly</w:t>
            </w:r>
            <w:r w:rsidRPr="00731769">
              <w:rPr>
                <w:rFonts w:ascii="Cambria Math" w:hAnsi="Cambria Math" w:cs="Cambria Math"/>
              </w:rPr>
              <w:t>‐</w:t>
            </w:r>
            <w:r w:rsidRPr="00731769">
              <w:t>laden</w:t>
            </w:r>
            <w:r w:rsidRPr="00731769">
              <w:rPr>
                <w:rFonts w:ascii="Cambria Math" w:hAnsi="Cambria Math" w:cs="Cambria Math"/>
              </w:rPr>
              <w:t>‐</w:t>
            </w:r>
            <w:r w:rsidRPr="00731769">
              <w:t>test</w:t>
            </w:r>
            <w:r w:rsidRPr="00731769">
              <w:rPr>
                <w:rFonts w:ascii="Cambria Math" w:hAnsi="Cambria Math" w:cs="Cambria Math"/>
              </w:rPr>
              <w:t>‐</w:t>
            </w:r>
            <w:r w:rsidRPr="00731769">
              <w:t>mass condition. The later condition has been proven to be a good ‘average’ setting for B-type combination vehicles.</w:t>
            </w:r>
          </w:p>
        </w:tc>
        <w:tc>
          <w:tcPr>
            <w:tcW w:w="1134" w:type="dxa"/>
          </w:tcPr>
          <w:p w:rsidR="00BB4FE8" w:rsidRPr="00EF07F5" w:rsidRDefault="00C036A7" w:rsidP="00BB4FE8">
            <w:pPr>
              <w:spacing w:before="0" w:line="240" w:lineRule="auto"/>
              <w:rPr>
                <w:sz w:val="20"/>
              </w:rPr>
            </w:pPr>
            <w:r w:rsidRPr="00EF07F5">
              <w:rPr>
                <w:sz w:val="20"/>
                <w:szCs w:val="20"/>
              </w:rPr>
              <w:fldChar w:fldCharType="begin"/>
            </w:r>
            <w:r w:rsidR="00BB4FE8" w:rsidRPr="00EF07F5">
              <w:rPr>
                <w:sz w:val="20"/>
                <w:szCs w:val="20"/>
              </w:rPr>
              <w:instrText xml:space="preserve"> PAGEREF compatibilityamend1 \h </w:instrText>
            </w:r>
            <w:r w:rsidRPr="00EF07F5">
              <w:rPr>
                <w:sz w:val="20"/>
                <w:szCs w:val="20"/>
              </w:rPr>
            </w:r>
            <w:r w:rsidRPr="00EF07F5">
              <w:rPr>
                <w:sz w:val="20"/>
                <w:szCs w:val="20"/>
              </w:rPr>
              <w:fldChar w:fldCharType="separate"/>
            </w:r>
            <w:r w:rsidR="00546CD0">
              <w:rPr>
                <w:noProof/>
                <w:sz w:val="20"/>
                <w:szCs w:val="20"/>
              </w:rPr>
              <w:t>95</w:t>
            </w:r>
            <w:r w:rsidRPr="00EF07F5">
              <w:rPr>
                <w:sz w:val="20"/>
                <w:szCs w:val="20"/>
              </w:rPr>
              <w:fldChar w:fldCharType="end"/>
            </w:r>
            <w:r w:rsidR="00BB4FE8" w:rsidRPr="00EF07F5">
              <w:rPr>
                <w:sz w:val="20"/>
                <w:szCs w:val="20"/>
              </w:rPr>
              <w:t xml:space="preserve">, </w:t>
            </w:r>
            <w:r w:rsidRPr="00EF07F5">
              <w:rPr>
                <w:sz w:val="20"/>
                <w:szCs w:val="20"/>
              </w:rPr>
              <w:fldChar w:fldCharType="begin"/>
            </w:r>
            <w:r w:rsidR="00BB4FE8" w:rsidRPr="00EF07F5">
              <w:rPr>
                <w:sz w:val="20"/>
                <w:szCs w:val="20"/>
              </w:rPr>
              <w:instrText xml:space="preserve"> PAGEREF compatibilityamend2 \h </w:instrText>
            </w:r>
            <w:r w:rsidRPr="00EF07F5">
              <w:rPr>
                <w:sz w:val="20"/>
                <w:szCs w:val="20"/>
              </w:rPr>
            </w:r>
            <w:r w:rsidRPr="00EF07F5">
              <w:rPr>
                <w:sz w:val="20"/>
                <w:szCs w:val="20"/>
              </w:rPr>
              <w:fldChar w:fldCharType="separate"/>
            </w:r>
            <w:r w:rsidR="00546CD0">
              <w:rPr>
                <w:noProof/>
                <w:sz w:val="20"/>
                <w:szCs w:val="20"/>
              </w:rPr>
              <w:t>108</w:t>
            </w:r>
            <w:r w:rsidRPr="00EF07F5">
              <w:rPr>
                <w:sz w:val="20"/>
                <w:szCs w:val="20"/>
              </w:rPr>
              <w:fldChar w:fldCharType="end"/>
            </w:r>
            <w:r w:rsidR="00BB4FE8" w:rsidRPr="00EF07F5">
              <w:rPr>
                <w:sz w:val="20"/>
                <w:szCs w:val="20"/>
              </w:rPr>
              <w:t xml:space="preserve"> and paragraph</w:t>
            </w:r>
            <w:r w:rsidR="00BB4FE8" w:rsidRPr="00EF07F5">
              <w:rPr>
                <w:sz w:val="20"/>
              </w:rPr>
              <w:t xml:space="preserve"> </w:t>
            </w:r>
            <w:r w:rsidR="009169FE">
              <w:fldChar w:fldCharType="begin"/>
            </w:r>
            <w:r w:rsidR="009169FE">
              <w:instrText xml:space="preserve"> REF _Ref342914944 \r \h  \* MERGEFORMAT </w:instrText>
            </w:r>
            <w:r w:rsidR="009169FE">
              <w:fldChar w:fldCharType="separate"/>
            </w:r>
            <w:r w:rsidR="00546CD0" w:rsidRPr="00546CD0">
              <w:rPr>
                <w:sz w:val="20"/>
                <w:szCs w:val="20"/>
              </w:rPr>
              <w:t>5.3.1.9</w:t>
            </w:r>
            <w:r w:rsidR="009169FE">
              <w:fldChar w:fldCharType="end"/>
            </w:r>
          </w:p>
        </w:tc>
        <w:tc>
          <w:tcPr>
            <w:tcW w:w="5812" w:type="dxa"/>
          </w:tcPr>
          <w:p w:rsidR="00BB4FE8" w:rsidRPr="00EA659F" w:rsidRDefault="00BB4FE8" w:rsidP="00BB4FE8">
            <w:pPr>
              <w:pStyle w:val="consultationnumbered2"/>
            </w:pPr>
            <w:r w:rsidRPr="00EA659F">
              <w:t>Agreed. The revised ADR 38 will reflect this and it had already been highlighted with reference to widening the tolerance band in Figure 2. This would be the same or a reduction in stringency when compared to the current proposal.</w:t>
            </w:r>
          </w:p>
        </w:tc>
      </w:tr>
      <w:tr w:rsidR="00BB4FE8" w:rsidTr="00BB4FE8">
        <w:tc>
          <w:tcPr>
            <w:tcW w:w="1548" w:type="dxa"/>
            <w:vMerge/>
            <w:tcBorders>
              <w:left w:val="single" w:sz="4" w:space="0" w:color="auto"/>
              <w:bottom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752DE4" w:rsidRDefault="00BB4FE8" w:rsidP="00BB4FE8">
            <w:pPr>
              <w:pStyle w:val="consultationnumbered"/>
            </w:pPr>
            <w:r>
              <w:t>A number of other detailed comments were provided but not elaborated on.</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EA659F" w:rsidRDefault="00BB4FE8" w:rsidP="00BB4FE8">
            <w:pPr>
              <w:pStyle w:val="consultationnumbered2"/>
            </w:pPr>
            <w:r w:rsidRPr="00EA659F">
              <w:t>These may be considered under Phase II should more detail become available in the future.</w:t>
            </w:r>
          </w:p>
        </w:tc>
      </w:tr>
      <w:tr w:rsidR="00BB4FE8" w:rsidTr="00BB4FE8">
        <w:tc>
          <w:tcPr>
            <w:tcW w:w="1548" w:type="dxa"/>
            <w:vMerge w:val="restart"/>
            <w:tcBorders>
              <w:top w:val="single" w:sz="4" w:space="0" w:color="auto"/>
              <w:left w:val="single" w:sz="4" w:space="0" w:color="auto"/>
              <w:right w:val="single" w:sz="4" w:space="0" w:color="auto"/>
            </w:tcBorders>
          </w:tcPr>
          <w:p w:rsidR="00BB4FE8" w:rsidRPr="00D33491" w:rsidRDefault="00BB4FE8" w:rsidP="00BB4FE8">
            <w:pPr>
              <w:pStyle w:val="Consultationheadings"/>
            </w:pPr>
            <w:r w:rsidRPr="00D33491">
              <w:t>Commercial Vehicle Industry Association of Australia (CVIAA)</w:t>
            </w:r>
          </w:p>
        </w:tc>
        <w:tc>
          <w:tcPr>
            <w:tcW w:w="5364" w:type="dxa"/>
            <w:tcBorders>
              <w:left w:val="single" w:sz="4" w:space="0" w:color="auto"/>
            </w:tcBorders>
          </w:tcPr>
          <w:p w:rsidR="00BB4FE8" w:rsidRPr="00D33491" w:rsidRDefault="00BB4FE8" w:rsidP="00BB4FE8">
            <w:pPr>
              <w:pStyle w:val="Consultation"/>
            </w:pPr>
            <w:r w:rsidRPr="000539D7">
              <w:t>CVIAA Seeks a change in direction for ADR 38 to narrow down the opportunities for the assembly of potentially unsafe vehicle combinations:</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DA598A" w:rsidRDefault="00BB4FE8" w:rsidP="00BB4FE8">
            <w:pPr>
              <w:pStyle w:val="Consultation"/>
            </w:pPr>
            <w:r w:rsidRPr="00DA598A">
              <w:t>See responses below.</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0539D7" w:rsidRDefault="00BB4FE8" w:rsidP="00BB4FE8">
            <w:pPr>
              <w:pStyle w:val="consultationnumbered"/>
              <w:numPr>
                <w:ilvl w:val="0"/>
                <w:numId w:val="75"/>
              </w:numPr>
              <w:ind w:left="357" w:hanging="357"/>
            </w:pPr>
            <w:r w:rsidRPr="000539D7">
              <w:t>Believes that the current implementation process [for multi-combination trailers] contains too many unknowns and so recommends abandoning Phase I of the NHVBS and moving directly to Phase II with full stability control, following further research.</w:t>
            </w:r>
          </w:p>
        </w:tc>
        <w:tc>
          <w:tcPr>
            <w:tcW w:w="1134" w:type="dxa"/>
          </w:tcPr>
          <w:p w:rsidR="00BB4FE8" w:rsidRPr="00EF07F5" w:rsidRDefault="00C036A7" w:rsidP="00BB4FE8">
            <w:pPr>
              <w:spacing w:before="0" w:line="240" w:lineRule="auto"/>
              <w:jc w:val="center"/>
              <w:rPr>
                <w:sz w:val="20"/>
              </w:rPr>
            </w:pPr>
            <w:r>
              <w:rPr>
                <w:sz w:val="20"/>
                <w:szCs w:val="20"/>
              </w:rPr>
              <w:fldChar w:fldCharType="begin"/>
            </w:r>
            <w:r w:rsidR="00BB4FE8">
              <w:rPr>
                <w:sz w:val="20"/>
                <w:szCs w:val="20"/>
              </w:rPr>
              <w:instrText xml:space="preserve"> PAGEREF NHVBSagreement1 \h </w:instrText>
            </w:r>
            <w:r>
              <w:rPr>
                <w:sz w:val="20"/>
                <w:szCs w:val="20"/>
              </w:rPr>
            </w:r>
            <w:r>
              <w:rPr>
                <w:sz w:val="20"/>
                <w:szCs w:val="20"/>
              </w:rPr>
              <w:fldChar w:fldCharType="separate"/>
            </w:r>
            <w:r w:rsidR="00546CD0">
              <w:rPr>
                <w:noProof/>
                <w:sz w:val="20"/>
                <w:szCs w:val="20"/>
              </w:rPr>
              <w:t>16</w:t>
            </w:r>
            <w:r>
              <w:rPr>
                <w:sz w:val="20"/>
                <w:szCs w:val="20"/>
              </w:rPr>
              <w:fldChar w:fldCharType="end"/>
            </w:r>
          </w:p>
        </w:tc>
        <w:tc>
          <w:tcPr>
            <w:tcW w:w="5812" w:type="dxa"/>
          </w:tcPr>
          <w:p w:rsidR="00BB4FE8" w:rsidRDefault="00BB4FE8" w:rsidP="00BB4FE8">
            <w:pPr>
              <w:pStyle w:val="consultationnumbered2"/>
              <w:numPr>
                <w:ilvl w:val="0"/>
                <w:numId w:val="82"/>
              </w:numPr>
              <w:ind w:left="357" w:hanging="357"/>
            </w:pPr>
            <w:r w:rsidRPr="009A1AAC">
              <w:t>Not agreed. A stepped approach (Phase I, Phase II) has been agreed and endorsed a number of times through the National Heavy Vehicle Braking St</w:t>
            </w:r>
            <w:r>
              <w:t>r</w:t>
            </w:r>
            <w:r w:rsidRPr="009A1AAC">
              <w:t>ategy (NHVBS) process and remains in line with the National Road Safety Strategy 2011-2020 (NRSS) as well as more recently at the SVSEG level. It is necessary because the transport industry currently operates at widely diverse levels of braking sophistication, with some practical aspects of the most sophisticated systems (such as EBS) still being resolved from both from a user (and regulatory perspective elsewhere). Phase I represents well established technologies and an opportunity to transition electronic braking systems such as ABS, EBS and ESC into the broader fleet.</w:t>
            </w:r>
            <w:r>
              <w:br/>
            </w:r>
            <w:r>
              <w:br/>
            </w:r>
            <w:r w:rsidRPr="009A1AAC">
              <w:t xml:space="preserve">There are a number of operators within the heavy vehicle industry who have been successfully using the equipment and combinations that would result from implementation of the proposal.  This is supported by feedback from other heavy </w:t>
            </w:r>
            <w:r w:rsidRPr="009A1AAC">
              <w:lastRenderedPageBreak/>
              <w:t>vehicle peak representative bodies (ATA, ARTSA) that are of the view that any remaining concerns could be managed through the industry code of practice being developed. Notwithstanding this, the Minister may consider additional relaxations to the current proposal in the form of:</w:t>
            </w:r>
          </w:p>
          <w:p w:rsidR="00BB4FE8" w:rsidRPr="00EA659F" w:rsidRDefault="00BB4FE8" w:rsidP="00BB4FE8">
            <w:pPr>
              <w:pStyle w:val="Consultation"/>
              <w:numPr>
                <w:ilvl w:val="0"/>
                <w:numId w:val="79"/>
              </w:numPr>
              <w:ind w:left="714" w:hanging="357"/>
            </w:pPr>
            <w:r w:rsidRPr="00EA659F">
              <w:t>Exemption from the requirements due to tare mass (design) – Where the tare mass (or axle group load) of a trailer is above a certain nominated mass, LP systems if fitted would have a minimal effect and so both ABS and LP could be made exempt for trailers. Preliminary estimates by the ATA are that this would be the case for most stock crates. The exemption could also be put in terms of trailers having to meet the unladen compatibility figure in ADR 38 without specifying having to fit LP to achieve this performance level.</w:t>
            </w:r>
          </w:p>
          <w:p w:rsidR="00BB4FE8" w:rsidRPr="00EA659F" w:rsidRDefault="00BB4FE8" w:rsidP="00BB4FE8">
            <w:pPr>
              <w:pStyle w:val="Consultation"/>
              <w:numPr>
                <w:ilvl w:val="0"/>
                <w:numId w:val="79"/>
              </w:numPr>
              <w:ind w:left="714" w:hanging="357"/>
            </w:pPr>
            <w:r w:rsidRPr="00EA659F">
              <w:t>Exemption from the requirements due to the region of use – Where there are specific cases of concern over the reliability/durability of ABS as well as the performance of LP systems due to harsh operating conditions in regional and remote operations, operators of trailers could be allowed to seek agreement (under specified conditions of use) from their state or territory government to not fit ABS or LP. This would be facilitated (but could not be guaranteed as the power to exempt lies with state and territory registration authorities) by the Australian Government through the Manufacturer’s Identification (Compliance) Plate approval.</w:t>
            </w:r>
          </w:p>
          <w:p w:rsidR="00BB4FE8" w:rsidRPr="00EA659F" w:rsidRDefault="00BB4FE8" w:rsidP="00BB4FE8">
            <w:pPr>
              <w:pStyle w:val="Consultation"/>
              <w:numPr>
                <w:ilvl w:val="0"/>
                <w:numId w:val="79"/>
              </w:numPr>
              <w:ind w:left="714" w:hanging="357"/>
            </w:pPr>
            <w:r w:rsidRPr="00EA659F">
              <w:t xml:space="preserve">Exemption from the requirements due to suspension type (design) - Where there are specific cases of concern about the reliability/durability of ABS as well as the performance of LP systems, utilising mechanical suspensions (typically steel leaf suspensions) in remote or regional operations, both ABS and LP could be made exempt for trailers fitted with this type of suspension.  This exemption could be extended to the general case of these types of suspensions fitted to all </w:t>
            </w:r>
            <w:r w:rsidRPr="00EA659F">
              <w:lastRenderedPageBreak/>
              <w:t>trailers.</w:t>
            </w:r>
          </w:p>
          <w:p w:rsidR="00BB4FE8" w:rsidRPr="003838F0" w:rsidRDefault="00BB4FE8" w:rsidP="00BB4FE8">
            <w:pPr>
              <w:pStyle w:val="Consultation"/>
              <w:numPr>
                <w:ilvl w:val="0"/>
                <w:numId w:val="79"/>
              </w:numPr>
              <w:ind w:left="714" w:hanging="357"/>
            </w:pPr>
            <w:r w:rsidRPr="00EA659F">
              <w:t>Exemption from the requirements due to trailer type and/or axle group configuration (design) - Where there are concerns about the operation of ABS and LP systems with road train dolly converter trailer design or trailers with more than four axles in an axle group, both ABS and LP could be made exempt for these types of trailers.</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0539D7" w:rsidRDefault="00BB4FE8" w:rsidP="00BB4FE8">
            <w:pPr>
              <w:pStyle w:val="consultationnumbered"/>
            </w:pPr>
            <w:r w:rsidRPr="00EF07F5">
              <w:t>Unable to support the fitting of Variable Proportioning Brake Systems where used in multi-combination vehicles and so prefers to mandate ABS only. Variable Proportioning Brake Systems are not suitable for steel (mechanical) suspensions or hydraulic suspensions with adjustable ride heights or with other trailers with CAN controlled systems. Mandating only ABS would remove these concerns.</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9A1AAC" w:rsidDel="0053583B" w:rsidRDefault="00BB4FE8" w:rsidP="00BB4FE8">
            <w:pPr>
              <w:pStyle w:val="consultationnumbered2"/>
            </w:pPr>
            <w:r w:rsidRPr="009A1AAC">
              <w:t xml:space="preserve">Not agreed. The Variable Proportioning Brake Systems requirements have been adopted from long standing international requirements that apply equally to mechanical or air systems. The technology is well established. Manufacturers/operators would be free to fit ABS instead of load proportioning if they had a particular concern about their chosen vehicle configuration. </w:t>
            </w:r>
            <w:r>
              <w:t>Mandating only ABS would be an increase in stringency when compared to the current proposal.</w:t>
            </w:r>
            <w:r>
              <w:br/>
            </w:r>
            <w:r>
              <w:br/>
              <w:t>(However, the Minister may consider additional relaxations to the current proposal as listed directly above.)</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D33491" w:rsidRDefault="00BB4FE8" w:rsidP="00BB4FE8">
            <w:pPr>
              <w:pStyle w:val="consultationnumbered"/>
            </w:pPr>
            <w:r w:rsidRPr="000539D7">
              <w:t>The required axle numbers to have ABS sensors should be the number of axles in the axle group divided by two and then rounded up. This will allow for future axle combinations.</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3838F0" w:rsidDel="0053583B" w:rsidRDefault="00BB4FE8" w:rsidP="00BB4FE8">
            <w:pPr>
              <w:pStyle w:val="consultationnumbered2"/>
            </w:pPr>
            <w:r w:rsidRPr="008843F9">
              <w:t>Agreed. This could be introduced as a further statement in the ADR as currently the axle combinations listed do follow this pattern.</w:t>
            </w:r>
            <w:r>
              <w:t xml:space="preserve"> This would make the current proposal more flexible for the future and would not affect its stringency.</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3838F0" w:rsidDel="0053583B" w:rsidRDefault="00BB4FE8" w:rsidP="00BB4FE8">
            <w:pPr>
              <w:pStyle w:val="consultationnumbered"/>
            </w:pPr>
            <w:r>
              <w:t>A preference is to mandate ABS systems with split Mu characteristics, for non-steerable axles. Few systems are currently available without it and this trend should be maintained.</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9A1AAC" w:rsidDel="0053583B" w:rsidRDefault="00BB4FE8" w:rsidP="00BB4FE8">
            <w:pPr>
              <w:pStyle w:val="consultationnumbered2"/>
            </w:pPr>
            <w:r w:rsidRPr="004662EF">
              <w:t>Not agreed. The current ABS technical requirements do not require this feature and the general view more recently within the TLG forum has been to continue to allow for these requirements. This would be an increase in stringency when compared to the current proposal.</w:t>
            </w:r>
          </w:p>
        </w:tc>
      </w:tr>
      <w:tr w:rsidR="00BB4FE8" w:rsidTr="00BB4FE8">
        <w:tc>
          <w:tcPr>
            <w:tcW w:w="1548" w:type="dxa"/>
            <w:vMerge/>
            <w:tcBorders>
              <w:left w:val="single" w:sz="4" w:space="0" w:color="auto"/>
              <w:bottom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9B2494" w:rsidDel="0053583B" w:rsidRDefault="00BB4FE8" w:rsidP="00BB4FE8">
            <w:pPr>
              <w:pStyle w:val="consultationnumbered"/>
            </w:pPr>
            <w:r>
              <w:t xml:space="preserve">Low loaders equipped with rows of eight suspensions, goose neck low loader dollies, </w:t>
            </w:r>
            <w:proofErr w:type="spellStart"/>
            <w:r>
              <w:t>self propelled</w:t>
            </w:r>
            <w:proofErr w:type="spellEnd"/>
            <w:r>
              <w:t xml:space="preserve"> modular transporters and other types of load platforms should be exempt from the ABS and Variable Proportioning Brake </w:t>
            </w:r>
            <w:r>
              <w:lastRenderedPageBreak/>
              <w:t>System requirements.</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9A1AAC" w:rsidDel="0053583B" w:rsidRDefault="00BB4FE8" w:rsidP="00BB4FE8">
            <w:pPr>
              <w:pStyle w:val="consultationnumbered2"/>
            </w:pPr>
            <w:r w:rsidRPr="008843F9">
              <w:t>Agreed. The proposal will be modified to accommodate these.</w:t>
            </w:r>
            <w:r>
              <w:t xml:space="preserve"> This would be a reduction </w:t>
            </w:r>
            <w:r w:rsidRPr="00D214AF">
              <w:t>in stringency when compared to the current proposal.</w:t>
            </w:r>
          </w:p>
        </w:tc>
      </w:tr>
      <w:tr w:rsidR="00BB4FE8" w:rsidRPr="00CD0C00" w:rsidTr="00BB4FE8">
        <w:tc>
          <w:tcPr>
            <w:tcW w:w="1548" w:type="dxa"/>
            <w:vMerge w:val="restart"/>
            <w:tcBorders>
              <w:top w:val="single" w:sz="4" w:space="0" w:color="auto"/>
              <w:left w:val="single" w:sz="4" w:space="0" w:color="auto"/>
              <w:right w:val="single" w:sz="4" w:space="0" w:color="auto"/>
            </w:tcBorders>
          </w:tcPr>
          <w:p w:rsidR="00BB4FE8" w:rsidRPr="00D33491" w:rsidRDefault="00BB4FE8" w:rsidP="00BB4FE8">
            <w:pPr>
              <w:pStyle w:val="Consultationheadings"/>
            </w:pPr>
            <w:r w:rsidRPr="00D33491">
              <w:lastRenderedPageBreak/>
              <w:t>Truck Industry Council (TIC)</w:t>
            </w:r>
          </w:p>
        </w:tc>
        <w:tc>
          <w:tcPr>
            <w:tcW w:w="5364" w:type="dxa"/>
            <w:tcBorders>
              <w:left w:val="single" w:sz="4" w:space="0" w:color="auto"/>
            </w:tcBorders>
          </w:tcPr>
          <w:p w:rsidR="00BB4FE8" w:rsidRDefault="00BB4FE8" w:rsidP="00BB4FE8">
            <w:pPr>
              <w:pStyle w:val="Consultation"/>
            </w:pPr>
            <w:r w:rsidRPr="000539D7">
              <w:t>TIC supports the two-phase approach in adoption of the National Heavy Vehicle Braking Strategy, and also its fastest possible introduction. Accordingly, TIC supports Option 2 – amend ADRs 35 and 38 to require ABS. While TIC is sympathetic to the complexity and compromise that may evolve from a two-phase NHVBS, members believe that setting the minimum standard at ABS as soon as is practical will ensure that a minimum safety level is met for new heavy vehicles on the road.</w:t>
            </w:r>
          </w:p>
          <w:p w:rsidR="00BB4FE8" w:rsidRPr="00D33491" w:rsidRDefault="00BB4FE8" w:rsidP="00BB4FE8">
            <w:pPr>
              <w:pStyle w:val="Consultation"/>
            </w:pPr>
            <w:r w:rsidRPr="000539D7">
              <w:t>The following specific comments are offered:</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CD0C00" w:rsidRDefault="00BB4FE8" w:rsidP="00BB4FE8">
            <w:pPr>
              <w:pStyle w:val="Consultation"/>
            </w:pPr>
            <w:r w:rsidRPr="00CD0C00">
              <w:t>See responses below.</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numPr>
                <w:ilvl w:val="0"/>
                <w:numId w:val="76"/>
              </w:numPr>
              <w:ind w:left="357" w:hanging="357"/>
            </w:pPr>
            <w:r>
              <w:t>Applicability – The ABS cost table and the coverage of the draft ADR 35 includes vehicle category NB1 (over 3.5 tonnes and up to 4.5 tonnes) yet the RIS excludes vehicles under 4.5 tonnes early on in the text.</w:t>
            </w:r>
          </w:p>
        </w:tc>
        <w:tc>
          <w:tcPr>
            <w:tcW w:w="1134" w:type="dxa"/>
          </w:tcPr>
          <w:p w:rsidR="00BB4FE8" w:rsidRPr="00EF07F5" w:rsidRDefault="00C036A7" w:rsidP="00BB4FE8">
            <w:pPr>
              <w:spacing w:before="0" w:line="240" w:lineRule="auto"/>
              <w:jc w:val="center"/>
              <w:rPr>
                <w:sz w:val="20"/>
              </w:rPr>
            </w:pPr>
            <w:r>
              <w:rPr>
                <w:sz w:val="20"/>
                <w:szCs w:val="20"/>
              </w:rPr>
              <w:fldChar w:fldCharType="begin"/>
            </w:r>
            <w:r w:rsidR="00BB4FE8">
              <w:rPr>
                <w:sz w:val="20"/>
                <w:szCs w:val="20"/>
              </w:rPr>
              <w:instrText xml:space="preserve"> PAGEREF absfornb1 \h </w:instrText>
            </w:r>
            <w:r>
              <w:rPr>
                <w:sz w:val="20"/>
                <w:szCs w:val="20"/>
              </w:rPr>
            </w:r>
            <w:r>
              <w:rPr>
                <w:sz w:val="20"/>
                <w:szCs w:val="20"/>
              </w:rPr>
              <w:fldChar w:fldCharType="separate"/>
            </w:r>
            <w:r w:rsidR="00546CD0">
              <w:rPr>
                <w:noProof/>
                <w:sz w:val="20"/>
                <w:szCs w:val="20"/>
              </w:rPr>
              <w:t>40</w:t>
            </w:r>
            <w:r>
              <w:rPr>
                <w:sz w:val="20"/>
                <w:szCs w:val="20"/>
              </w:rPr>
              <w:fldChar w:fldCharType="end"/>
            </w:r>
          </w:p>
        </w:tc>
        <w:tc>
          <w:tcPr>
            <w:tcW w:w="5812" w:type="dxa"/>
          </w:tcPr>
          <w:p w:rsidR="00BB4FE8" w:rsidRPr="00EC0400" w:rsidRDefault="00BB4FE8" w:rsidP="00BB4FE8">
            <w:pPr>
              <w:pStyle w:val="consultationnumbered2"/>
              <w:numPr>
                <w:ilvl w:val="0"/>
                <w:numId w:val="83"/>
              </w:numPr>
              <w:ind w:left="357" w:hanging="357"/>
            </w:pPr>
            <w:r>
              <w:t xml:space="preserve">Agreed.  The NHVBS </w:t>
            </w:r>
            <w:r w:rsidRPr="002F3F7B">
              <w:t>is primarily aimed at vehicles over 4.5 tonnes, but ADRs 35 and 38 cover all masses of vehicles and the issue of ABS also has relevance to lighter categories.  For consistency, the scope of the requirements in the draft ADRs mirror that of the international braking standard UNECE R13 and industry has generally been supportive of this. The RIS has been amended to note this.</w:t>
            </w:r>
            <w:r>
              <w:t xml:space="preserve"> This does not affect the stringency of the current proposal as the draft ADRs circulated to industry </w:t>
            </w:r>
            <w:proofErr w:type="gramStart"/>
            <w:r>
              <w:t>are</w:t>
            </w:r>
            <w:proofErr w:type="gramEnd"/>
            <w:r>
              <w:t xml:space="preserve"> unchanged.</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proofErr w:type="gramStart"/>
            <w:r>
              <w:t>Costs of implementing the ADR – The RIS assumes</w:t>
            </w:r>
            <w:proofErr w:type="gramEnd"/>
            <w:r>
              <w:t xml:space="preserve"> that the current ABS fitment rate to trucks and trailers is 36 per cent. The TIC instead estimates this for trucks as 90 per cent.</w:t>
            </w:r>
          </w:p>
        </w:tc>
        <w:tc>
          <w:tcPr>
            <w:tcW w:w="1134" w:type="dxa"/>
          </w:tcPr>
          <w:p w:rsidR="00BB4FE8" w:rsidRPr="00EF07F5" w:rsidRDefault="00C036A7" w:rsidP="00BB4FE8">
            <w:pPr>
              <w:spacing w:before="0" w:line="240" w:lineRule="auto"/>
              <w:jc w:val="center"/>
              <w:rPr>
                <w:sz w:val="20"/>
              </w:rPr>
            </w:pPr>
            <w:r>
              <w:rPr>
                <w:sz w:val="20"/>
                <w:szCs w:val="20"/>
              </w:rPr>
              <w:fldChar w:fldCharType="begin"/>
            </w:r>
            <w:r w:rsidR="00BB4FE8">
              <w:rPr>
                <w:sz w:val="20"/>
                <w:szCs w:val="20"/>
              </w:rPr>
              <w:instrText xml:space="preserve"> PAGEREF voluntaryfitment \h </w:instrText>
            </w:r>
            <w:r>
              <w:rPr>
                <w:sz w:val="20"/>
                <w:szCs w:val="20"/>
              </w:rPr>
            </w:r>
            <w:r>
              <w:rPr>
                <w:sz w:val="20"/>
                <w:szCs w:val="20"/>
              </w:rPr>
              <w:fldChar w:fldCharType="separate"/>
            </w:r>
            <w:r w:rsidR="00546CD0">
              <w:rPr>
                <w:noProof/>
                <w:sz w:val="20"/>
                <w:szCs w:val="20"/>
              </w:rPr>
              <w:t>29</w:t>
            </w:r>
            <w:r>
              <w:rPr>
                <w:sz w:val="20"/>
                <w:szCs w:val="20"/>
              </w:rPr>
              <w:fldChar w:fldCharType="end"/>
            </w:r>
            <w:r w:rsidR="00BB4FE8">
              <w:rPr>
                <w:sz w:val="20"/>
                <w:szCs w:val="20"/>
              </w:rPr>
              <w:t xml:space="preserve">, </w:t>
            </w:r>
            <w:r>
              <w:rPr>
                <w:sz w:val="20"/>
                <w:szCs w:val="20"/>
              </w:rPr>
              <w:fldChar w:fldCharType="begin"/>
            </w:r>
            <w:r w:rsidR="00BB4FE8">
              <w:rPr>
                <w:sz w:val="20"/>
                <w:szCs w:val="20"/>
              </w:rPr>
              <w:instrText xml:space="preserve"> PAGEREF sensitivty \h </w:instrText>
            </w:r>
            <w:r>
              <w:rPr>
                <w:sz w:val="20"/>
                <w:szCs w:val="20"/>
              </w:rPr>
            </w:r>
            <w:r>
              <w:rPr>
                <w:sz w:val="20"/>
                <w:szCs w:val="20"/>
              </w:rPr>
              <w:fldChar w:fldCharType="separate"/>
            </w:r>
            <w:r w:rsidR="00546CD0">
              <w:rPr>
                <w:noProof/>
                <w:sz w:val="20"/>
                <w:szCs w:val="20"/>
              </w:rPr>
              <w:t>32</w:t>
            </w:r>
            <w:r>
              <w:rPr>
                <w:sz w:val="20"/>
                <w:szCs w:val="20"/>
              </w:rPr>
              <w:fldChar w:fldCharType="end"/>
            </w:r>
          </w:p>
        </w:tc>
        <w:tc>
          <w:tcPr>
            <w:tcW w:w="5812" w:type="dxa"/>
          </w:tcPr>
          <w:p w:rsidR="00BB4FE8" w:rsidRPr="00EC0400" w:rsidRDefault="00BB4FE8" w:rsidP="00BB4FE8">
            <w:pPr>
              <w:pStyle w:val="consultationnumbered2"/>
            </w:pPr>
            <w:r>
              <w:t>Agreed.  However, t</w:t>
            </w:r>
            <w:r w:rsidRPr="002F3F7B">
              <w:t xml:space="preserve">he </w:t>
            </w:r>
            <w:r>
              <w:t>estimate in the RIS was for trucks and trailers rather than trucks alone and so this is a combined figure.  As there are only approximate estimates available for all types of vehicles, the benefit-cost analysis has been left as is but with the effect of a 90 per cent voluntary rate on the net benefits reported as a further possibility. This allows the overall effect of the TIC market analysis to be recognised but does not affect the stringency of the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EC0400" w:rsidRDefault="00BB4FE8" w:rsidP="00BB4FE8">
            <w:pPr>
              <w:pStyle w:val="consultationnumbered"/>
            </w:pPr>
            <w:r>
              <w:t xml:space="preserve">ABS off switch for off-road or road train – Supported but not if it was extended to a full exemption from ABS for off-road unless the scope of off-road were narrowed to as </w:t>
            </w:r>
            <w:r>
              <w:lastRenderedPageBreak/>
              <w:t>provided by TIC (in its submission).</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EC0400" w:rsidRDefault="00BB4FE8" w:rsidP="00BB4FE8">
            <w:pPr>
              <w:pStyle w:val="consultationnumbered2"/>
            </w:pPr>
            <w:r w:rsidRPr="0097683C">
              <w:t>Not Agreed. A full exemption will be given</w:t>
            </w:r>
            <w:r>
              <w:t>,</w:t>
            </w:r>
            <w:r w:rsidRPr="0097683C">
              <w:t xml:space="preserve"> </w:t>
            </w:r>
            <w:r>
              <w:t>as noted against</w:t>
            </w:r>
            <w:r w:rsidRPr="0097683C">
              <w:t xml:space="preserve"> other feedback</w:t>
            </w:r>
            <w:r>
              <w:t xml:space="preserve"> above</w:t>
            </w:r>
            <w:r w:rsidRPr="0097683C">
              <w:t xml:space="preserve">.  </w:t>
            </w:r>
            <w:r>
              <w:t>Doing so</w:t>
            </w:r>
            <w:r w:rsidRPr="0097683C">
              <w:t xml:space="preserve"> will be a reduction in stringency </w:t>
            </w:r>
            <w:r w:rsidRPr="0097683C">
              <w:lastRenderedPageBreak/>
              <w:t>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r>
              <w:t>Applicability and Implementation Timing – 1 January 2014 acceptable for new model vehicles if the ADRs are finalised before the end of June 2013. A one year lead time will then be needed for all new vehicles (June 2015).</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BB4FE8" w:rsidP="00BB4FE8">
            <w:pPr>
              <w:pStyle w:val="consultationnumbered2"/>
            </w:pPr>
            <w:r w:rsidRPr="0097683C">
              <w:t xml:space="preserve">Agreed in principle. The ADRs </w:t>
            </w:r>
            <w:r>
              <w:t>are expected to be</w:t>
            </w:r>
            <w:r w:rsidRPr="0097683C">
              <w:t xml:space="preserve"> finalised by the end of July 2013</w:t>
            </w:r>
            <w:r>
              <w:t xml:space="preserve"> and to provide for adequate lead time, the Minister may elect to accept an introduction date beyond January 2014 for all new vehicles (and for new models of vehicles).  This may be different for different categories of vehicles. This would be a reduction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r>
              <w:t>Road Train Release Times – For prime movers registered as road trains with ABS fitted, release time requirements should be removed. Note that larger combinations such as B-Triples do not need to meet this requirement.</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EC0400" w:rsidRDefault="00BB4FE8" w:rsidP="00BB4FE8">
            <w:pPr>
              <w:pStyle w:val="consultationnumbered2"/>
            </w:pPr>
            <w:r w:rsidRPr="007E4E0B">
              <w:t>Agreed in principle.</w:t>
            </w:r>
            <w:r>
              <w:t xml:space="preserve"> Control of r</w:t>
            </w:r>
            <w:r w:rsidRPr="007E4E0B">
              <w:t xml:space="preserve">elease times </w:t>
            </w:r>
            <w:r>
              <w:t>is</w:t>
            </w:r>
            <w:r w:rsidRPr="007E4E0B">
              <w:t xml:space="preserve"> a unique Australian requirement that </w:t>
            </w:r>
            <w:r>
              <w:t>is</w:t>
            </w:r>
            <w:r w:rsidRPr="007E4E0B">
              <w:t xml:space="preserve"> applied to road trains only.  They are not required on other combinations and there has been no discernible impact of this.</w:t>
            </w:r>
            <w:r>
              <w:t xml:space="preserve"> However, as release times are a current requirement under the ADRs and their relaxation has not been part of the current proposal, they will need to be considered as part of Phase II of the NHVBS.</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r>
              <w:t>Alternative standards – Request that the current alternative version of the UN R13 standard is permitted. The proposal updates this to the latest version.</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EC0400" w:rsidRDefault="00BB4FE8" w:rsidP="00BB4FE8">
            <w:pPr>
              <w:pStyle w:val="consultationnumbered2"/>
            </w:pPr>
            <w:r w:rsidRPr="007E4E0B">
              <w:t xml:space="preserve">Agreed. </w:t>
            </w:r>
            <w:r>
              <w:t xml:space="preserve">As a short lead time is being proposed, and as the current proposal is primarily about ABS and LP rather than any general update to braking requirements, the Australian Government’s general policy of updating references to alternative standards will be set aside in this instance. </w:t>
            </w:r>
            <w:r w:rsidRPr="00626113">
              <w:t>This would be a reduction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r>
              <w:t>The contents of the proposed Appendix 1, Annex 1 in the proposed ADR 35, could be incorporated directly into Appendix 1.</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EC0400" w:rsidRDefault="00BB4FE8" w:rsidP="00BB4FE8">
            <w:pPr>
              <w:pStyle w:val="consultationnumbered2"/>
            </w:pPr>
            <w:r w:rsidRPr="00A06261">
              <w:t>Not Agreed. Under clause 4.1.5 of the proposed ADR 35, Appendix 1 requirements apply to any vehicle</w:t>
            </w:r>
            <w:r>
              <w:t xml:space="preserve"> with ABS. However, Annex 1 requirements apply only to the nominated categories. There is no change in stringency</w:t>
            </w:r>
            <w:r w:rsidRPr="00B948C5">
              <w:t xml:space="preserve"> when compared to the current proposal</w:t>
            </w:r>
            <w:r>
              <w:t xml:space="preserve"> in not adopting </w:t>
            </w:r>
            <w:r w:rsidRPr="00A06261">
              <w:t>this.</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EC0400" w:rsidRDefault="00BB4FE8" w:rsidP="00BB4FE8">
            <w:pPr>
              <w:pStyle w:val="consultationnumbered"/>
            </w:pPr>
            <w:r>
              <w:t xml:space="preserve">Brake Lamp Activation when driveline retarders in operation – A statement is needed identifying when the brake lamps are to activate due to the operation of an </w:t>
            </w:r>
            <w:r>
              <w:lastRenderedPageBreak/>
              <w:t>auxiliary driveline brake system.</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EC0400" w:rsidRDefault="00E15A86" w:rsidP="00E15A86">
            <w:pPr>
              <w:pStyle w:val="consultationnumbered2"/>
            </w:pPr>
            <w:r>
              <w:t xml:space="preserve">Not </w:t>
            </w:r>
            <w:r w:rsidR="00BB4FE8" w:rsidRPr="00A06261">
              <w:t>Agreed. This is an industry request designed to give clarity to manufacturers and as such will be adopted if possible</w:t>
            </w:r>
            <w:r>
              <w:t xml:space="preserve"> for Phase II</w:t>
            </w:r>
            <w:r w:rsidR="00BB4FE8" w:rsidRPr="00A06261">
              <w:t xml:space="preserve">. </w:t>
            </w:r>
            <w:r>
              <w:t xml:space="preserve"> However, to date there has been little discussion on the </w:t>
            </w:r>
            <w:r>
              <w:lastRenderedPageBreak/>
              <w:t>topic. T</w:t>
            </w:r>
            <w:r w:rsidR="00BB4FE8" w:rsidRPr="00A06261">
              <w:t>his would be an increase in stringency</w:t>
            </w:r>
            <w:r>
              <w:t>.</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494A55" w:rsidRDefault="00BB4FE8" w:rsidP="00BB4FE8">
            <w:pPr>
              <w:pStyle w:val="consultationnumbered"/>
            </w:pPr>
            <w:r>
              <w:t xml:space="preserve">ABS or Load proportioning system - As all new heavy </w:t>
            </w:r>
            <w:r w:rsidRPr="00127C7F">
              <w:t>trucks would be fitted with ABS under the proposal; all heavy trailers should be as well.</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494A55" w:rsidRDefault="00BB4FE8" w:rsidP="00BB4FE8">
            <w:pPr>
              <w:pStyle w:val="consultationnumbered2"/>
            </w:pPr>
            <w:r>
              <w:t xml:space="preserve">Not agreed. The long standing schedule within the NHVBS and the NRSS allows for load proportioning systems instead of ABS for heavy trailers. </w:t>
            </w:r>
            <w:r w:rsidRPr="00A30EFE">
              <w:t xml:space="preserve">This would be </w:t>
            </w:r>
            <w:r>
              <w:t>an increase in stringency when compared to the</w:t>
            </w:r>
            <w:r w:rsidRPr="00A30EFE">
              <w:t xml:space="preserve"> current</w:t>
            </w:r>
            <w:r>
              <w:t xml:space="preserve"> proposal.</w:t>
            </w:r>
          </w:p>
        </w:tc>
      </w:tr>
      <w:tr w:rsidR="00BB4FE8" w:rsidTr="00BB4FE8">
        <w:tc>
          <w:tcPr>
            <w:tcW w:w="1548" w:type="dxa"/>
            <w:vMerge/>
            <w:tcBorders>
              <w:left w:val="single" w:sz="4" w:space="0" w:color="auto"/>
              <w:bottom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8843F9" w:rsidRDefault="00BB4FE8" w:rsidP="00BB4FE8">
            <w:pPr>
              <w:pStyle w:val="consultationnumbered"/>
            </w:pPr>
            <w:r>
              <w:t>Electrical connector – All new heavy trailers should be fitted with multi-voltage or voltage independent electrical systems and ABS connector.</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544D0D" w:rsidP="00544D0D">
            <w:pPr>
              <w:pStyle w:val="consultationnumbered2"/>
            </w:pPr>
            <w:r>
              <w:t>May be</w:t>
            </w:r>
            <w:r w:rsidR="00BB4FE8">
              <w:t xml:space="preserve"> agreed</w:t>
            </w:r>
            <w:r w:rsidR="00BB4FE8" w:rsidRPr="00127C7F">
              <w:t xml:space="preserve">. The trailer industry has </w:t>
            </w:r>
            <w:r w:rsidR="00BB4FE8">
              <w:t>proposed</w:t>
            </w:r>
            <w:r w:rsidR="00BB4FE8" w:rsidRPr="00127C7F">
              <w:t xml:space="preserve"> providing wiring to transmit ABS and EBS signals but </w:t>
            </w:r>
            <w:r>
              <w:t xml:space="preserve">the question of </w:t>
            </w:r>
            <w:r w:rsidR="00BB4FE8" w:rsidRPr="00127C7F">
              <w:t>multi- voltage</w:t>
            </w:r>
            <w:r>
              <w:t xml:space="preserve"> is to be resolved</w:t>
            </w:r>
            <w:r w:rsidR="00BB4FE8" w:rsidRPr="00127C7F">
              <w:t>. See the trailer industry comments below.</w:t>
            </w:r>
            <w:r w:rsidR="00BB4FE8">
              <w:t xml:space="preserve"> </w:t>
            </w:r>
            <w:r w:rsidR="00BB4FE8" w:rsidRPr="00A30EFE">
              <w:t xml:space="preserve">This would be </w:t>
            </w:r>
            <w:r w:rsidR="00BB4FE8">
              <w:t>an increase in stringency when compared to the</w:t>
            </w:r>
            <w:r w:rsidR="00BB4FE8" w:rsidRPr="00A30EFE">
              <w:t xml:space="preserve"> current</w:t>
            </w:r>
            <w:r w:rsidR="00BB4FE8">
              <w:t xml:space="preserve"> proposal.</w:t>
            </w:r>
          </w:p>
        </w:tc>
      </w:tr>
      <w:tr w:rsidR="00BB4FE8" w:rsidTr="00BB4FE8">
        <w:tc>
          <w:tcPr>
            <w:tcW w:w="1548" w:type="dxa"/>
            <w:vMerge w:val="restart"/>
            <w:tcBorders>
              <w:top w:val="single" w:sz="4" w:space="0" w:color="auto"/>
              <w:left w:val="single" w:sz="4" w:space="0" w:color="auto"/>
              <w:right w:val="single" w:sz="4" w:space="0" w:color="auto"/>
            </w:tcBorders>
          </w:tcPr>
          <w:p w:rsidR="00BB4FE8" w:rsidRPr="00D33491" w:rsidRDefault="00BB4FE8" w:rsidP="00BB4FE8">
            <w:pPr>
              <w:pStyle w:val="Consultationheadings"/>
            </w:pPr>
            <w:r w:rsidRPr="00D33491">
              <w:t>Australian Trucking Association (ATA)</w:t>
            </w:r>
          </w:p>
        </w:tc>
        <w:tc>
          <w:tcPr>
            <w:tcW w:w="5364" w:type="dxa"/>
            <w:tcBorders>
              <w:left w:val="single" w:sz="4" w:space="0" w:color="auto"/>
            </w:tcBorders>
            <w:vAlign w:val="bottom"/>
          </w:tcPr>
          <w:p w:rsidR="00BB4FE8" w:rsidRDefault="00BB4FE8" w:rsidP="00BB4FE8">
            <w:pPr>
              <w:pStyle w:val="Consultation"/>
            </w:pPr>
            <w:r>
              <w:t xml:space="preserve">The </w:t>
            </w:r>
            <w:r w:rsidRPr="00275286">
              <w:t xml:space="preserve">proposed ADR amendments </w:t>
            </w:r>
            <w:r>
              <w:t>are</w:t>
            </w:r>
            <w:r w:rsidRPr="00275286">
              <w:t xml:space="preserve"> a sound way to enhance baseline braking</w:t>
            </w:r>
            <w:r>
              <w:t xml:space="preserve"> </w:t>
            </w:r>
            <w:r w:rsidRPr="00275286">
              <w:t>capabilities in the trucking industry of tomorrow.</w:t>
            </w:r>
          </w:p>
          <w:p w:rsidR="00BB4FE8" w:rsidRDefault="00BB4FE8" w:rsidP="00BB4FE8">
            <w:pPr>
              <w:pStyle w:val="Consultation"/>
            </w:pPr>
            <w:r w:rsidRPr="001008EC">
              <w:t>The ATA is supportive of the general thrust of these changes as they take steps to improve safety that are</w:t>
            </w:r>
            <w:r>
              <w:t xml:space="preserve"> </w:t>
            </w:r>
            <w:r w:rsidRPr="00BB4FE8">
              <w:t>both sensible and affordable.</w:t>
            </w:r>
            <w:r>
              <w:t xml:space="preserve"> </w:t>
            </w:r>
            <w:r w:rsidRPr="001008EC">
              <w:t>Anti-lock Brake Systems (ABS), Load Sensing brake systems (LS) and ele</w:t>
            </w:r>
            <w:r>
              <w:t xml:space="preserve">ctronic brake systems (EBS) are </w:t>
            </w:r>
            <w:r w:rsidRPr="00BB4FE8">
              <w:t>all currently deployed throughout the trucking industry and the industry is managing resulting complexities.</w:t>
            </w:r>
            <w:r>
              <w:t xml:space="preserve"> </w:t>
            </w:r>
          </w:p>
          <w:p w:rsidR="00BB4FE8" w:rsidRDefault="00BB4FE8" w:rsidP="00BB4FE8">
            <w:pPr>
              <w:pStyle w:val="Consultation"/>
            </w:pPr>
            <w:r w:rsidRPr="00275286">
              <w:t xml:space="preserve">It should be noted the ADRs can only address </w:t>
            </w:r>
            <w:r w:rsidRPr="00275286">
              <w:rPr>
                <w:i/>
                <w:iCs/>
              </w:rPr>
              <w:t xml:space="preserve">single </w:t>
            </w:r>
            <w:proofErr w:type="gramStart"/>
            <w:r>
              <w:t>vehicles,</w:t>
            </w:r>
            <w:proofErr w:type="gramEnd"/>
            <w:r>
              <w:t xml:space="preserve"> the safe </w:t>
            </w:r>
            <w:r w:rsidRPr="00BB4FE8">
              <w:t>operation of combinations of ADR-compliant vehicles relies upon industry competence and attention to</w:t>
            </w:r>
            <w:r>
              <w:t xml:space="preserve"> </w:t>
            </w:r>
            <w:r w:rsidRPr="00BB4FE8">
              <w:t>potential inter-operability issues. Industry also has a number of publications to assist stakeholders with this.</w:t>
            </w:r>
            <w:r>
              <w:t xml:space="preserve"> </w:t>
            </w:r>
            <w:r w:rsidRPr="00275286">
              <w:t>The proposed ADR changes make a sensible move towards the desired u</w:t>
            </w:r>
            <w:r>
              <w:t xml:space="preserve">ltimate outcome and will ensure </w:t>
            </w:r>
            <w:r w:rsidRPr="00BB4FE8">
              <w:t>the productivity that flows directly from trailer interchange is not lost.</w:t>
            </w:r>
          </w:p>
          <w:p w:rsidR="00544D0D" w:rsidRDefault="00544D0D" w:rsidP="00BB4FE8">
            <w:pPr>
              <w:pStyle w:val="Consultation"/>
            </w:pPr>
          </w:p>
          <w:p w:rsidR="00BB4FE8" w:rsidRDefault="00BB4FE8" w:rsidP="00BB4FE8">
            <w:pPr>
              <w:pStyle w:val="Consultation"/>
            </w:pPr>
            <w:r w:rsidRPr="00275286">
              <w:t>There are some specific comments that address areas where further supportive</w:t>
            </w:r>
            <w:r>
              <w:t xml:space="preserve"> </w:t>
            </w:r>
            <w:r w:rsidRPr="00275286">
              <w:t>comments is warranted and some suggested addition policies for consideration outlined in this report aimed</w:t>
            </w:r>
            <w:r>
              <w:t xml:space="preserve"> </w:t>
            </w:r>
            <w:r w:rsidRPr="00275286">
              <w:t>at making transition to Phase 2</w:t>
            </w:r>
            <w:r>
              <w:t xml:space="preserve"> easier for transport operators. [These are:]:</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Default="00BB4FE8" w:rsidP="00BB4FE8">
            <w:pPr>
              <w:pStyle w:val="Consultation"/>
            </w:pPr>
            <w:r>
              <w:t>Noted.</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numPr>
                <w:ilvl w:val="0"/>
                <w:numId w:val="77"/>
              </w:numPr>
              <w:ind w:left="357" w:hanging="357"/>
            </w:pPr>
            <w:r w:rsidRPr="00275286">
              <w:t>Auto-slack adjustment must be mandated where ABS or EBS is used, and Anti-lock sensors should</w:t>
            </w:r>
            <w:r>
              <w:t xml:space="preserve"> </w:t>
            </w:r>
            <w:r w:rsidRPr="00275286">
              <w:t>be applied as appropriate to the axle group type.</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695797" w:rsidRDefault="00BB4FE8" w:rsidP="00BB4FE8">
            <w:pPr>
              <w:pStyle w:val="consultationnumbered2"/>
              <w:numPr>
                <w:ilvl w:val="0"/>
                <w:numId w:val="84"/>
              </w:numPr>
              <w:ind w:left="357" w:hanging="357"/>
            </w:pPr>
            <w:r w:rsidRPr="00A26835">
              <w:t>Agreed. Correct adjustment of the foundation brakes is essential for good ABS performance and the technology is readily available at a modest cost. Although this would be an increase in stringency when compared to the current proposal, it is a request by industry.</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pPr>
            <w:r w:rsidRPr="00275286">
              <w:t>Mandating 24 volt ABS/EBS power and “</w:t>
            </w:r>
            <w:proofErr w:type="spellStart"/>
            <w:r w:rsidRPr="00275286">
              <w:t>CanBus</w:t>
            </w:r>
            <w:proofErr w:type="spellEnd"/>
            <w:r w:rsidRPr="00275286">
              <w:t xml:space="preserve">” signal on </w:t>
            </w:r>
            <w:proofErr w:type="spellStart"/>
            <w:r w:rsidRPr="00275286">
              <w:t>tow</w:t>
            </w:r>
            <w:proofErr w:type="spellEnd"/>
            <w:r w:rsidRPr="00275286">
              <w:t xml:space="preserve"> vehicles rated at more than 50</w:t>
            </w:r>
            <w:r>
              <w:t xml:space="preserve"> </w:t>
            </w:r>
            <w:r w:rsidRPr="00275286">
              <w:t>tonnes GCM.</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544D0D" w:rsidP="00BB4FE8">
            <w:pPr>
              <w:pStyle w:val="consultationnumbered2"/>
            </w:pPr>
            <w:r>
              <w:t>May be</w:t>
            </w:r>
            <w:r w:rsidR="00BB4FE8" w:rsidRPr="00A26835">
              <w:t xml:space="preserve"> </w:t>
            </w:r>
            <w:r>
              <w:t>a</w:t>
            </w:r>
            <w:r w:rsidR="00BB4FE8" w:rsidRPr="00A26835">
              <w:t xml:space="preserve">greed. The proposal currently mandates 12 or 24 volt ABS power if a vehicle is fitted with a tow coupling and a </w:t>
            </w:r>
            <w:proofErr w:type="spellStart"/>
            <w:r w:rsidR="00BB4FE8" w:rsidRPr="00A26835">
              <w:t>CanBus</w:t>
            </w:r>
            <w:proofErr w:type="spellEnd"/>
            <w:r w:rsidR="00BB4FE8" w:rsidRPr="00A26835">
              <w:t xml:space="preserve"> signal of the same voltage if the vehicle is fitted with EBS. A choice of voltage was a feature of the changes to ADRs 35 and 38 at their last review in 2006. </w:t>
            </w:r>
            <w:r>
              <w:t xml:space="preserve">However this is an industry proposal. </w:t>
            </w:r>
            <w:r w:rsidR="00BB4FE8" w:rsidRPr="00A26835">
              <w:t>This would be an increase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pPr>
            <w:r w:rsidRPr="00275286">
              <w:t>All trailers able to tow another trailer being required to provide plugs and wiring that would support</w:t>
            </w:r>
            <w:r>
              <w:t xml:space="preserve"> </w:t>
            </w:r>
            <w:r w:rsidRPr="00275286">
              <w:t>transmission of ABS/EBS power and “</w:t>
            </w:r>
            <w:proofErr w:type="spellStart"/>
            <w:r w:rsidRPr="00275286">
              <w:t>CanBus</w:t>
            </w:r>
            <w:proofErr w:type="spellEnd"/>
            <w:r w:rsidRPr="00275286">
              <w:t>” signal at 24 volts, regardless if conventional SL foundation</w:t>
            </w:r>
            <w:r>
              <w:t xml:space="preserve"> </w:t>
            </w:r>
            <w:r w:rsidRPr="00275286">
              <w:t>brakes are use or multi-volt ABS or EBS is fitted.</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695797" w:rsidRDefault="00BB4FE8" w:rsidP="00BB4FE8">
            <w:pPr>
              <w:pStyle w:val="consultationnumbered2"/>
            </w:pPr>
            <w:r w:rsidRPr="00A26835">
              <w:t>Agreed. The proposal does not currently include this but would be a low cost means of facilitating power being available to (and thus full functionality of) ABS equipped trailers, no matter where they are positioned in a multi-combination. Although this would be an increase in stringency when compared to the current proposal, it is a modest request by industry.</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pPr>
            <w:bookmarkStart w:id="110" w:name="compatibilityamend2"/>
            <w:bookmarkEnd w:id="110"/>
            <w:r w:rsidRPr="00275286">
              <w:t>Changing the LS setting outlined in the ADR to that outlined in Attachment 3, and related</w:t>
            </w:r>
            <w:r>
              <w:t xml:space="preserve"> </w:t>
            </w:r>
            <w:r w:rsidRPr="00275286">
              <w:t>amendments in attachment 4.</w:t>
            </w:r>
          </w:p>
        </w:tc>
        <w:tc>
          <w:tcPr>
            <w:tcW w:w="1134" w:type="dxa"/>
          </w:tcPr>
          <w:p w:rsidR="00BB4FE8" w:rsidRPr="00EF07F5" w:rsidRDefault="00C036A7" w:rsidP="00BB4FE8">
            <w:pPr>
              <w:spacing w:before="0" w:line="240" w:lineRule="auto"/>
              <w:jc w:val="center"/>
              <w:rPr>
                <w:sz w:val="20"/>
              </w:rPr>
            </w:pPr>
            <w:r>
              <w:rPr>
                <w:sz w:val="20"/>
                <w:szCs w:val="20"/>
              </w:rPr>
              <w:fldChar w:fldCharType="begin"/>
            </w:r>
            <w:r w:rsidR="00BB4FE8">
              <w:rPr>
                <w:sz w:val="20"/>
                <w:szCs w:val="20"/>
              </w:rPr>
              <w:instrText xml:space="preserve"> PAGEREF compatibilityamend1 \h </w:instrText>
            </w:r>
            <w:r>
              <w:rPr>
                <w:sz w:val="20"/>
                <w:szCs w:val="20"/>
              </w:rPr>
            </w:r>
            <w:r>
              <w:rPr>
                <w:sz w:val="20"/>
                <w:szCs w:val="20"/>
              </w:rPr>
              <w:fldChar w:fldCharType="separate"/>
            </w:r>
            <w:r w:rsidR="00546CD0">
              <w:rPr>
                <w:noProof/>
                <w:sz w:val="20"/>
                <w:szCs w:val="20"/>
              </w:rPr>
              <w:t>95</w:t>
            </w:r>
            <w:r>
              <w:rPr>
                <w:sz w:val="20"/>
                <w:szCs w:val="20"/>
              </w:rPr>
              <w:fldChar w:fldCharType="end"/>
            </w:r>
          </w:p>
        </w:tc>
        <w:tc>
          <w:tcPr>
            <w:tcW w:w="5812" w:type="dxa"/>
          </w:tcPr>
          <w:p w:rsidR="00BB4FE8" w:rsidRPr="00FE05CF" w:rsidRDefault="00BB4FE8" w:rsidP="00544D0D">
            <w:pPr>
              <w:pStyle w:val="consultationnumbered2"/>
            </w:pPr>
            <w:r w:rsidRPr="00A26835">
              <w:t xml:space="preserve">Agreed in principle. This is based on a previous proposal for a minor amendment to ADRs 35 and 38 that was overtaken by the current proposal. The current proposal adds Note 2 to Figure 2 of ADR 38 to allow a + 20 per cent tolerance for matching of particular combinations. This is now proposed to be </w:t>
            </w:r>
            <w:r w:rsidR="00544D0D">
              <w:t xml:space="preserve">increased </w:t>
            </w:r>
            <w:r w:rsidRPr="00A26835">
              <w:t xml:space="preserve">and as such the ATA analysis will need to be verified. This tolerance would not be available for electronic LS as its </w:t>
            </w:r>
            <w:r w:rsidRPr="00A26835">
              <w:lastRenderedPageBreak/>
              <w:t>functioning relies on it being connected to a similarly electronically controlled tow vehicle. This would be a reduction in stringency when compared to the current proposal.</w:t>
            </w:r>
          </w:p>
        </w:tc>
      </w:tr>
      <w:tr w:rsidR="00BB4FE8" w:rsidTr="00BB4FE8">
        <w:tc>
          <w:tcPr>
            <w:tcW w:w="1548" w:type="dxa"/>
            <w:vMerge/>
            <w:tcBorders>
              <w:left w:val="single" w:sz="4" w:space="0" w:color="auto"/>
              <w:bottom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pPr>
            <w:r w:rsidRPr="00275286">
              <w:t>ADR amendments need to encompass the fact that powered trailers are in use, and can be expected</w:t>
            </w:r>
            <w:r>
              <w:t xml:space="preserve"> </w:t>
            </w:r>
            <w:r w:rsidRPr="00275286">
              <w:t>to become more common over time. Similarly, smart dollies with computer-controlled steer axles are in</w:t>
            </w:r>
            <w:r>
              <w:t xml:space="preserve"> </w:t>
            </w:r>
            <w:r w:rsidRPr="00275286">
              <w:t>use and need to be accommodated.</w:t>
            </w:r>
            <w:r>
              <w:t xml:space="preserve"> </w:t>
            </w:r>
            <w:r w:rsidRPr="00275286">
              <w:t>Special purpose trailers that are part of heavy load carrying combinations normally controlled by</w:t>
            </w:r>
            <w:r>
              <w:t xml:space="preserve"> </w:t>
            </w:r>
            <w:r w:rsidRPr="00275286">
              <w:t xml:space="preserve">OSOM </w:t>
            </w:r>
            <w:proofErr w:type="gramStart"/>
            <w:r w:rsidRPr="00275286">
              <w:t>permits,</w:t>
            </w:r>
            <w:proofErr w:type="gramEnd"/>
            <w:r w:rsidRPr="00275286">
              <w:t xml:space="preserve"> should be excluded from the scope of ABS and LS provisions of the ADR.</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544D0D" w:rsidP="001F2FAE">
            <w:pPr>
              <w:pStyle w:val="consultationnumbered2"/>
            </w:pPr>
            <w:r>
              <w:t>May be a</w:t>
            </w:r>
            <w:r w:rsidR="00BB4FE8" w:rsidRPr="00A26835">
              <w:t xml:space="preserve">greed. </w:t>
            </w:r>
            <w:r>
              <w:t>While some special purpose trailer</w:t>
            </w:r>
            <w:r w:rsidR="001F2FAE">
              <w:t>s have been accommodated,</w:t>
            </w:r>
            <w:r w:rsidR="00BB4FE8" w:rsidRPr="00A26835">
              <w:t xml:space="preserve"> the Minister may consider additional relaxations to the current proposal for trailers such as dolly converters and/or for</w:t>
            </w:r>
            <w:r>
              <w:t xml:space="preserve"> other</w:t>
            </w:r>
            <w:r w:rsidR="00BB4FE8" w:rsidRPr="00A26835">
              <w:t xml:space="preserve"> unusual axle configurations. This would be a reduction in stringency when compared to the current proposal.</w:t>
            </w:r>
          </w:p>
        </w:tc>
      </w:tr>
      <w:tr w:rsidR="00BB4FE8" w:rsidTr="00BB4FE8">
        <w:tc>
          <w:tcPr>
            <w:tcW w:w="1548" w:type="dxa"/>
            <w:tcBorders>
              <w:top w:val="single" w:sz="4" w:space="0" w:color="auto"/>
              <w:bottom w:val="single" w:sz="4" w:space="0" w:color="auto"/>
            </w:tcBorders>
          </w:tcPr>
          <w:p w:rsidR="00BB4FE8" w:rsidRPr="00D33491" w:rsidRDefault="00BB4FE8" w:rsidP="00BB4FE8">
            <w:pPr>
              <w:pStyle w:val="Consultationheadings"/>
            </w:pPr>
            <w:r w:rsidRPr="00D33491">
              <w:t>Australian Livestock and Rural Transporter’s Association (ALRTA)</w:t>
            </w:r>
          </w:p>
        </w:tc>
        <w:tc>
          <w:tcPr>
            <w:tcW w:w="5364" w:type="dxa"/>
          </w:tcPr>
          <w:p w:rsidR="00BB4FE8" w:rsidRDefault="00BB4FE8" w:rsidP="00BB4FE8">
            <w:pPr>
              <w:pStyle w:val="Consultation"/>
            </w:pPr>
            <w:r>
              <w:t xml:space="preserve">The ALRTA generally supports incremental safety improvements and considers that advances in minimum braking standards are inevitable and worth pursuing. </w:t>
            </w:r>
          </w:p>
          <w:p w:rsidR="00BB4FE8" w:rsidRDefault="00BB4FE8" w:rsidP="00BB4FE8">
            <w:pPr>
              <w:pStyle w:val="Consultation"/>
            </w:pPr>
            <w:r>
              <w:t>However, it is unable to support the current proposal while the full implications for its unique sector remain uncertain. In preparing the RIS there was an inherent obligation on the Federal Government to clearly articulate whether the previously documented concerns about mandating ABS for road trains and heavy trailers (as outlined at Appendix 3 and Appendix 4 of the RIS) have been comprehensively resolved. These are:</w:t>
            </w:r>
          </w:p>
          <w:p w:rsidR="00BB4FE8" w:rsidRPr="001F620D" w:rsidRDefault="00BB4FE8" w:rsidP="00BB4FE8">
            <w:pPr>
              <w:pStyle w:val="Consultation"/>
              <w:numPr>
                <w:ilvl w:val="0"/>
                <w:numId w:val="74"/>
              </w:numPr>
              <w:ind w:left="714" w:hanging="357"/>
            </w:pPr>
            <w:r w:rsidRPr="001F620D">
              <w:t>Cost, reliability and performance of ABS in remote operating environments; and</w:t>
            </w:r>
          </w:p>
          <w:p w:rsidR="00BB4FE8" w:rsidRPr="001F620D" w:rsidRDefault="00BB4FE8" w:rsidP="00BB4FE8">
            <w:pPr>
              <w:pStyle w:val="Consultation"/>
              <w:numPr>
                <w:ilvl w:val="0"/>
                <w:numId w:val="74"/>
              </w:numPr>
              <w:ind w:left="714" w:hanging="357"/>
            </w:pPr>
            <w:r w:rsidRPr="001F620D">
              <w:t>The practical implications of compatibility issues likely to arise when operating ‘smart’ and ‘dumb’ trailers in combination.</w:t>
            </w:r>
          </w:p>
          <w:p w:rsidR="00BB4FE8" w:rsidRDefault="00BB4FE8" w:rsidP="00BB4FE8">
            <w:pPr>
              <w:pStyle w:val="Consultation"/>
            </w:pPr>
            <w:r>
              <w:t xml:space="preserve">The 2008 recommendation of the NHVBS report appears to be a reasonable position in the absence of new information comprehensively addressing the concerns above; which </w:t>
            </w:r>
            <w:r>
              <w:lastRenderedPageBreak/>
              <w:t>was “on balance antilock brakes should be mandated on new heavy vehicle motor vehicles but not on heavy trailers” and that “prime-movers or rigid motor vehicles that are certified for road train use should be exempted from this requirement”.</w:t>
            </w:r>
          </w:p>
          <w:p w:rsidR="00BB4FE8" w:rsidRDefault="00BB4FE8" w:rsidP="00BB4FE8">
            <w:pPr>
              <w:pStyle w:val="Consultation"/>
            </w:pPr>
            <w:r>
              <w:t xml:space="preserve">It is wholly insufficient for the RIS to simply rely on unsubstantiated assurances from manufacturers. Further, it is clear that the period between the development of the original and currently proposed ADR modifications has not been used to generate reliable and objective data to inform the current decision when the previous concerns were well known and documented in previous reports. </w:t>
            </w:r>
          </w:p>
          <w:p w:rsidR="00BB4FE8" w:rsidRDefault="00BB4FE8" w:rsidP="00BB4FE8">
            <w:pPr>
              <w:pStyle w:val="Consultation"/>
            </w:pPr>
            <w:r>
              <w:t>While mindful of the delays that have already occurred, the ALRTA asserts that a robust trial of ABS technology in multi</w:t>
            </w:r>
            <w:r>
              <w:rPr>
                <w:rFonts w:ascii="Cambria Math" w:hAnsi="Cambria Math" w:cs="Cambria Math"/>
              </w:rPr>
              <w:t>‐</w:t>
            </w:r>
            <w:r>
              <w:t xml:space="preserve">combination vehicles (including probable combinations of 'smart' and 'dumb' trailers) must be undertaken in challenging rural and remote operating environments if industry and government are to fully understand the implications of the current proposal. </w:t>
            </w:r>
          </w:p>
          <w:p w:rsidR="00BB4FE8" w:rsidRDefault="00BB4FE8" w:rsidP="00BB4FE8">
            <w:pPr>
              <w:pStyle w:val="Consultation"/>
            </w:pPr>
            <w:r>
              <w:t>In this regard, the ALRTA is prepared to work with government and manufacturers to assist in progressing appropriate trial arrangements. In the meantime, there are several options for dealing with the matter. The current requirement for ABS on prime movers intended for use as B</w:t>
            </w:r>
            <w:r>
              <w:rPr>
                <w:rFonts w:ascii="Cambria Math" w:hAnsi="Cambria Math" w:cs="Cambria Math"/>
              </w:rPr>
              <w:t>‐</w:t>
            </w:r>
            <w:r>
              <w:t>Doubles and for vehicles carrying dangerous goods demonstrates that, while somewhat rigid, there is scope within ADRs and related instruments to either exempt or subject vehicles to certain requirements on the basis of their use. Therefore, the range of options might include:</w:t>
            </w:r>
          </w:p>
          <w:p w:rsidR="00BB4FE8" w:rsidRDefault="00BB4FE8" w:rsidP="00BB4FE8">
            <w:pPr>
              <w:pStyle w:val="consultationnumbered"/>
              <w:numPr>
                <w:ilvl w:val="0"/>
                <w:numId w:val="86"/>
              </w:numPr>
            </w:pPr>
            <w:r>
              <w:t>Delaying blanket ADR changes until trial data can be produced for remote environments;</w:t>
            </w:r>
          </w:p>
          <w:p w:rsidR="00BB4FE8" w:rsidRDefault="00BB4FE8" w:rsidP="00BB4FE8">
            <w:pPr>
              <w:pStyle w:val="consultationnumbered"/>
              <w:ind w:left="714"/>
            </w:pPr>
            <w:r>
              <w:lastRenderedPageBreak/>
              <w:t>Proceed with limited application of the proposal in urban settings with provision to effectively exclude trailers and vehicles certified for use in regional and remote areas until such time as a case for their inclusion can be demonstrated; or</w:t>
            </w:r>
          </w:p>
          <w:p w:rsidR="00BB4FE8" w:rsidRPr="00D33491" w:rsidRDefault="00BB4FE8" w:rsidP="00BB4FE8">
            <w:pPr>
              <w:pStyle w:val="consultationnumbered"/>
              <w:ind w:left="714"/>
            </w:pPr>
            <w:r>
              <w:t>Abandon the current ABS proposal and immediately commence trials to examine the case for mandating EBS in phase II of the braking strategy.</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9A1AAC" w:rsidRDefault="00BB4FE8" w:rsidP="00BB4FE8">
            <w:pPr>
              <w:tabs>
                <w:tab w:val="clear" w:pos="851"/>
              </w:tabs>
              <w:spacing w:before="0" w:line="240" w:lineRule="auto"/>
              <w:ind w:left="360"/>
              <w:rPr>
                <w:sz w:val="20"/>
                <w:szCs w:val="20"/>
              </w:rPr>
            </w:pPr>
            <w:r>
              <w:rPr>
                <w:sz w:val="20"/>
                <w:szCs w:val="20"/>
              </w:rPr>
              <w:t xml:space="preserve">The </w:t>
            </w:r>
            <w:r w:rsidRPr="009A1AAC">
              <w:rPr>
                <w:sz w:val="20"/>
                <w:szCs w:val="20"/>
              </w:rPr>
              <w:t>approach (Phase I, Phase II) has been agreed and endorsed a number of times through the National Heavy Vehicle Braking St</w:t>
            </w:r>
            <w:r>
              <w:rPr>
                <w:sz w:val="20"/>
                <w:szCs w:val="20"/>
              </w:rPr>
              <w:t>r</w:t>
            </w:r>
            <w:r w:rsidRPr="009A1AAC">
              <w:rPr>
                <w:sz w:val="20"/>
                <w:szCs w:val="20"/>
              </w:rPr>
              <w:t>ategy (NHVBS) process and remains in line with the National Road Safety Strategy 2011-2020 (NRSS) as well as more recently at the SVSEG level. Phase I represents well established technologies</w:t>
            </w:r>
            <w:r>
              <w:rPr>
                <w:sz w:val="20"/>
                <w:szCs w:val="20"/>
              </w:rPr>
              <w:t xml:space="preserve"> that have been in use around the world for at least thirty years</w:t>
            </w:r>
            <w:r w:rsidRPr="009A1AAC">
              <w:rPr>
                <w:sz w:val="20"/>
                <w:szCs w:val="20"/>
              </w:rPr>
              <w:t xml:space="preserve"> and</w:t>
            </w:r>
            <w:r>
              <w:rPr>
                <w:sz w:val="20"/>
                <w:szCs w:val="20"/>
              </w:rPr>
              <w:t xml:space="preserve"> as such provide</w:t>
            </w:r>
            <w:r w:rsidRPr="009A1AAC">
              <w:rPr>
                <w:sz w:val="20"/>
                <w:szCs w:val="20"/>
              </w:rPr>
              <w:t xml:space="preserve"> an opportunity to transition electronic braking systems such as ABS, EBS and ESC into the broader fleet. </w:t>
            </w:r>
          </w:p>
          <w:p w:rsidR="00BB4FE8" w:rsidRDefault="00BB4FE8" w:rsidP="00BB4FE8">
            <w:pPr>
              <w:pStyle w:val="Consultation"/>
            </w:pPr>
            <w:r w:rsidRPr="009A1AAC">
              <w:t>There are a number of operators within the heavy vehicle industry who have been successfully using the equipment and combinations</w:t>
            </w:r>
            <w:r>
              <w:t>, t</w:t>
            </w:r>
            <w:r w:rsidRPr="009A1AAC">
              <w:t>hat would result from implementation of the proposal</w:t>
            </w:r>
            <w:r>
              <w:t>, both generally as well as in remote and regional areas</w:t>
            </w:r>
            <w:r w:rsidRPr="009A1AAC">
              <w:t xml:space="preserve">.  This is supported by feedback from other heavy vehicle peak representative bodies (ATA, ARTSA) </w:t>
            </w:r>
            <w:r>
              <w:t xml:space="preserve">and so it is considered that the reliability and performance of the systems has been proven in-service and additional trials are not necessary. </w:t>
            </w:r>
            <w:r w:rsidRPr="009A1AAC">
              <w:t xml:space="preserve">Notwithstanding this, </w:t>
            </w:r>
            <w:r>
              <w:t xml:space="preserve">it has been noted earlier that </w:t>
            </w:r>
            <w:r w:rsidRPr="009A1AAC">
              <w:t>the Minister may consider additional relaxations to the current proposal</w:t>
            </w:r>
            <w:r>
              <w:t xml:space="preserve"> that are specifically targeted at any concerns over remote and regional use of trailers. These are:</w:t>
            </w:r>
          </w:p>
          <w:p w:rsidR="00BB4FE8" w:rsidRDefault="00BB4FE8" w:rsidP="00BB4FE8">
            <w:pPr>
              <w:pStyle w:val="Consultation"/>
              <w:numPr>
                <w:ilvl w:val="0"/>
                <w:numId w:val="80"/>
              </w:numPr>
              <w:ind w:left="714" w:hanging="357"/>
            </w:pPr>
            <w:r w:rsidRPr="004A314E">
              <w:lastRenderedPageBreak/>
              <w:t>Exemption from the requirem</w:t>
            </w:r>
            <w:r>
              <w:t>ents due to tare mass.</w:t>
            </w:r>
          </w:p>
          <w:p w:rsidR="00BB4FE8" w:rsidRPr="004A314E" w:rsidRDefault="00BB4FE8" w:rsidP="00BB4FE8">
            <w:pPr>
              <w:pStyle w:val="Consultation"/>
              <w:numPr>
                <w:ilvl w:val="0"/>
                <w:numId w:val="80"/>
              </w:numPr>
              <w:ind w:left="714" w:hanging="357"/>
            </w:pPr>
            <w:r w:rsidRPr="004A314E">
              <w:t xml:space="preserve">Exemption from the requirements due to the region of </w:t>
            </w:r>
            <w:r>
              <w:t>use</w:t>
            </w:r>
            <w:r w:rsidRPr="004A314E">
              <w:t>.</w:t>
            </w:r>
          </w:p>
          <w:p w:rsidR="00BB4FE8" w:rsidRPr="00606187" w:rsidRDefault="00BB4FE8" w:rsidP="00BB4FE8">
            <w:pPr>
              <w:pStyle w:val="Consultation"/>
              <w:numPr>
                <w:ilvl w:val="0"/>
                <w:numId w:val="80"/>
              </w:numPr>
              <w:ind w:left="714" w:hanging="357"/>
            </w:pPr>
            <w:r w:rsidRPr="00606187">
              <w:t>Exemption from the requirements</w:t>
            </w:r>
            <w:r>
              <w:t xml:space="preserve"> due to suspension type.</w:t>
            </w:r>
          </w:p>
          <w:p w:rsidR="00BB4FE8" w:rsidRDefault="00BB4FE8" w:rsidP="00BB4FE8">
            <w:pPr>
              <w:pStyle w:val="Consultation"/>
              <w:numPr>
                <w:ilvl w:val="0"/>
                <w:numId w:val="80"/>
              </w:numPr>
              <w:ind w:left="714" w:hanging="357"/>
            </w:pPr>
            <w:r w:rsidRPr="00606187">
              <w:t xml:space="preserve">Exemption from the requirements due to </w:t>
            </w:r>
            <w:r>
              <w:t>trailer</w:t>
            </w:r>
            <w:r w:rsidRPr="00606187">
              <w:t xml:space="preserve"> type</w:t>
            </w:r>
            <w:r>
              <w:t xml:space="preserve"> and/or axle group configuration.</w:t>
            </w:r>
          </w:p>
        </w:tc>
      </w:tr>
      <w:tr w:rsidR="00BB4FE8" w:rsidTr="00BB4FE8">
        <w:tc>
          <w:tcPr>
            <w:tcW w:w="1548" w:type="dxa"/>
            <w:vMerge w:val="restart"/>
            <w:tcBorders>
              <w:top w:val="single" w:sz="4" w:space="0" w:color="auto"/>
              <w:left w:val="single" w:sz="4" w:space="0" w:color="auto"/>
              <w:right w:val="single" w:sz="4" w:space="0" w:color="auto"/>
            </w:tcBorders>
          </w:tcPr>
          <w:p w:rsidR="00BB4FE8" w:rsidRPr="00D33491" w:rsidRDefault="00BB4FE8" w:rsidP="00BB4FE8">
            <w:pPr>
              <w:pStyle w:val="Consultationheadings"/>
            </w:pPr>
            <w:r w:rsidRPr="00D33491">
              <w:lastRenderedPageBreak/>
              <w:t>Department of Transport, Western Australia, Main Roads WA, Office of Road Safety, WA.</w:t>
            </w:r>
          </w:p>
        </w:tc>
        <w:tc>
          <w:tcPr>
            <w:tcW w:w="5364" w:type="dxa"/>
            <w:tcBorders>
              <w:left w:val="single" w:sz="4" w:space="0" w:color="auto"/>
            </w:tcBorders>
          </w:tcPr>
          <w:p w:rsidR="00BB4FE8" w:rsidRPr="00D33491" w:rsidRDefault="00BB4FE8" w:rsidP="00BB4FE8">
            <w:pPr>
              <w:pStyle w:val="consultationnumbered"/>
              <w:numPr>
                <w:ilvl w:val="0"/>
                <w:numId w:val="78"/>
              </w:numPr>
              <w:ind w:left="357" w:hanging="357"/>
            </w:pPr>
            <w:r w:rsidRPr="008815E7">
              <w:t>As a comment on the overall strategy, the need for a “stepped approach” is questioned, particularly if EBS is the final goal of Stage 2.  As the technology for EBS is already available at a reasonable price, it seems likely that the long term cost to industry would be substantially reduced by simply introducing a phased requirement for EBS in the first instance.  As an added benefit, a single step process would be likely to reduce the difficulties the transport industry will face in the future in dealing with mismatched multi-combination vehicles as discussed in point 6 below.</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BB4FE8" w:rsidP="00BB4FE8">
            <w:pPr>
              <w:pStyle w:val="consultationnumbered2"/>
              <w:numPr>
                <w:ilvl w:val="0"/>
                <w:numId w:val="85"/>
              </w:numPr>
              <w:ind w:left="357" w:hanging="357"/>
            </w:pPr>
            <w:r w:rsidRPr="00495B6A">
              <w:t>Not agreed. Refer Departmental response to CVIAA point 1. There would be no increase in long term cost as Phase I requirements could be met through Phase II technologies if the manufacturer/operator so chooses. It is also the Department’s view is that a stepped approach is the only way to reduce any concerns about mismatching of multi-combination vehicles. Also see responses 6.and 10 below.</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Default="00BB4FE8" w:rsidP="00BB4FE8">
            <w:pPr>
              <w:pStyle w:val="consultationnumbered"/>
            </w:pPr>
            <w:r>
              <w:t>The proposal contains a provision to allow a deactivation switch for the ABS on vehicle “of off-road design”.  It is questioned:</w:t>
            </w:r>
          </w:p>
          <w:p w:rsidR="00BB4FE8" w:rsidRDefault="00BB4FE8" w:rsidP="00BB4FE8">
            <w:pPr>
              <w:pStyle w:val="consultationnumbered"/>
              <w:numPr>
                <w:ilvl w:val="1"/>
                <w:numId w:val="73"/>
              </w:numPr>
            </w:pPr>
            <w:r>
              <w:t>how an “off-road” vehicle is defined for this purpose, as the definition of off-road under the ADR is unclear, with the definition referenced under the ADR referring to an “off-road passenger vehicle”; and</w:t>
            </w:r>
          </w:p>
          <w:p w:rsidR="00BB4FE8" w:rsidRPr="00D33491" w:rsidRDefault="00BB4FE8" w:rsidP="00BB4FE8">
            <w:pPr>
              <w:pStyle w:val="consultationnumbered"/>
              <w:numPr>
                <w:ilvl w:val="1"/>
                <w:numId w:val="73"/>
              </w:numPr>
            </w:pPr>
            <w:r>
              <w:t xml:space="preserve">how the proposed ABS requirement can have effect for “off-road” vehicles, as the Motor Vehicle Standards Act 1989 only empowers the setting of standards for “Road Vehicles” </w:t>
            </w:r>
            <w:r>
              <w:lastRenderedPageBreak/>
              <w:t>as defined in that Act.</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B37C06" w:rsidRDefault="00BB4FE8" w:rsidP="00BB4FE8">
            <w:pPr>
              <w:pStyle w:val="consultationnumbered2"/>
            </w:pPr>
            <w:r w:rsidRPr="00495B6A">
              <w:t xml:space="preserve">Against comment a. The use of “off-road” has been adopted from the United Nations braking regulation R13 that is currently listed as an alternative to ADR 35. This definition includes heavy commercial vehicles within its scope. Against comment b. The requirements would cover off-road designs that are used on-road. There are many types of certified vehicles where this applies such as four-wheel-drive Sports Utility Vehicles in the case of light passenger or commercial vehicles. As an example in regulation, ADR 84 includes similar provisions for heavy commercial vehicles. However, also see response 3. </w:t>
            </w:r>
            <w:proofErr w:type="gramStart"/>
            <w:r w:rsidRPr="00495B6A">
              <w:t>directly</w:t>
            </w:r>
            <w:proofErr w:type="gramEnd"/>
            <w:r w:rsidRPr="00495B6A">
              <w:t xml:space="preserve"> below.</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B37C06" w:rsidRDefault="00BB4FE8" w:rsidP="00BB4FE8">
            <w:pPr>
              <w:pStyle w:val="consultationnumbered"/>
            </w:pPr>
            <w:r w:rsidRPr="00D74F43">
              <w:t>It appears that the proposed allowance for a deactivation switch on off-road vehicles is intended to address the concern that in some circumstances ABS has been found to reduce braking performance on gravel or other non-bitumen surfaces.  If this is the case, then consideration should be given to extending the provision to all vehicles covered by the ADRs in question, as it is possible that any of these vehicles could be operated on a non-bitumen surface.</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BB4FE8" w:rsidP="00BB4FE8">
            <w:pPr>
              <w:pStyle w:val="consultationnumbered2"/>
            </w:pPr>
            <w:r w:rsidRPr="00495B6A">
              <w:t>Agreed. As noted in other feedback above, the revised ADR 35 will reflect that the ABS off switch may be fitted to any vehicle. This would be a reduction in stringency when compared to the current proposal.</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D74F43" w:rsidRDefault="00BB4FE8" w:rsidP="00BB4FE8">
            <w:pPr>
              <w:pStyle w:val="consultationnumbered"/>
            </w:pPr>
            <w:r w:rsidRPr="00D74F43">
              <w:t>On the other hand, if it is decided to only allow a deactivation switch on vehicles which are designed to spend a significant amount of their time off road, then consideration could be given to linking the operation of an ABS disabling function to the engagement of “</w:t>
            </w:r>
            <w:proofErr w:type="spellStart"/>
            <w:r w:rsidRPr="00D74F43">
              <w:t>all wheel</w:t>
            </w:r>
            <w:proofErr w:type="spellEnd"/>
            <w:r w:rsidRPr="00D74F43">
              <w:t xml:space="preserve"> drive” on the motor vehicle.</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BB4FE8" w:rsidP="00BB4FE8">
            <w:pPr>
              <w:pStyle w:val="consultationnumbered2"/>
            </w:pPr>
            <w:r w:rsidRPr="00495B6A">
              <w:t>Not agreed. See response 3. above</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B37C06" w:rsidRDefault="00BB4FE8" w:rsidP="00BB4FE8">
            <w:pPr>
              <w:pStyle w:val="consultationnumbered"/>
            </w:pPr>
            <w:r w:rsidRPr="00D74F43">
              <w:t>The proposal offers the option of load proportioning braking on trailers as an alternative to ABS.  However, there is a safety concern that load proportioning may not work well on mechanical suspensions, as it is necessary to use mechanical displacement transducers.  Unfortunately, mechanical transducers have in some instances proven to be an unsatisfactory means of measuring the loading on an axle group for the purpose of controlling braking performance.  Therefore, there is concern that braking performance may be reduced as a result of complying with the proposed provisions, by fitting load proportioning braking to a trailer with steel suspension.  It is strongly suggested that this issue be investigated prior to the finalisation of the proposal.</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Default="00BB4FE8" w:rsidP="00BB4FE8">
            <w:pPr>
              <w:pStyle w:val="consultationnumbered2"/>
            </w:pPr>
            <w:r w:rsidRPr="00495B6A">
              <w:t>Not agreed. However, exemptions may be considered. Refer response above to CVIAA feedback 1</w:t>
            </w:r>
            <w:proofErr w:type="gramStart"/>
            <w:r w:rsidRPr="00495B6A">
              <w:t>.(</w:t>
            </w:r>
            <w:proofErr w:type="gramEnd"/>
            <w:r w:rsidRPr="00495B6A">
              <w:t>iii).</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B37C06" w:rsidRDefault="00BB4FE8" w:rsidP="00BB4FE8">
            <w:pPr>
              <w:pStyle w:val="consultationnumbered"/>
            </w:pPr>
            <w:r w:rsidRPr="00D74F43">
              <w:t xml:space="preserve">Given the high degree of interchangeability </w:t>
            </w:r>
            <w:proofErr w:type="gramStart"/>
            <w:r w:rsidRPr="00D74F43">
              <w:t>in many West Australian</w:t>
            </w:r>
            <w:proofErr w:type="gramEnd"/>
            <w:r w:rsidRPr="00D74F43">
              <w:t xml:space="preserve"> transport operations, there is concern about </w:t>
            </w:r>
            <w:r w:rsidRPr="00D74F43">
              <w:lastRenderedPageBreak/>
              <w:t xml:space="preserve">compatibility issues between older vehicles, without ABS or load proportioning, and newer vehicles that comply with the proposed provisions.  The small amount of literature currently available indicates a complex situation even for single trailer combinations, so it is likely that the issues are even more complex for multi trailer combinations.  Consequently, the provision of further guidance on compatibility issues and their effect on braking performance will be a crucial element of the implementation package. </w:t>
            </w:r>
          </w:p>
        </w:tc>
        <w:tc>
          <w:tcPr>
            <w:tcW w:w="1134" w:type="dxa"/>
          </w:tcPr>
          <w:p w:rsidR="00BB4FE8" w:rsidRPr="00EF07F5" w:rsidRDefault="00BB4FE8" w:rsidP="00BB4FE8">
            <w:pPr>
              <w:spacing w:before="0" w:line="240" w:lineRule="auto"/>
              <w:jc w:val="center"/>
              <w:rPr>
                <w:sz w:val="20"/>
              </w:rPr>
            </w:pPr>
            <w:r>
              <w:rPr>
                <w:sz w:val="20"/>
              </w:rPr>
              <w:lastRenderedPageBreak/>
              <w:t>-</w:t>
            </w:r>
          </w:p>
        </w:tc>
        <w:tc>
          <w:tcPr>
            <w:tcW w:w="5812" w:type="dxa"/>
          </w:tcPr>
          <w:p w:rsidR="00BB4FE8" w:rsidRPr="00D33491" w:rsidRDefault="00BB4FE8" w:rsidP="00CE6C83">
            <w:pPr>
              <w:pStyle w:val="consultationnumbered2"/>
            </w:pPr>
            <w:r w:rsidRPr="00495B6A">
              <w:t xml:space="preserve">Agreed. However, these issues exist now between old and new vehicles and will continue to exist for any future change in </w:t>
            </w:r>
            <w:r w:rsidRPr="00495B6A">
              <w:lastRenderedPageBreak/>
              <w:t xml:space="preserve">available technologies or regulation. The ATA, ARTSA, CVIAA and TIC are collaborating on guidance material to resolve any concerns operators may have with interchangeability. See </w:t>
            </w:r>
            <w:r>
              <w:t xml:space="preserve">above </w:t>
            </w:r>
            <w:r w:rsidRPr="00495B6A">
              <w:t>response to ARTSA feedback</w:t>
            </w:r>
            <w:r w:rsidR="00CE6C83">
              <w:t xml:space="preserve"> on page </w:t>
            </w:r>
            <w:r w:rsidR="00C036A7">
              <w:fldChar w:fldCharType="begin"/>
            </w:r>
            <w:r w:rsidR="00CE6C83">
              <w:instrText xml:space="preserve"> PAGEREF _Ref360546981 \h </w:instrText>
            </w:r>
            <w:r w:rsidR="00C036A7">
              <w:fldChar w:fldCharType="separate"/>
            </w:r>
            <w:r w:rsidR="00546CD0">
              <w:rPr>
                <w:noProof/>
              </w:rPr>
              <w:t>101</w:t>
            </w:r>
            <w:r w:rsidR="00C036A7">
              <w:fldChar w:fldCharType="end"/>
            </w:r>
            <w:r w:rsidRPr="00495B6A">
              <w:t>.</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B37C06" w:rsidRDefault="00BB4FE8" w:rsidP="00BB4FE8">
            <w:pPr>
              <w:pStyle w:val="consultationnumbered"/>
            </w:pPr>
            <w:r w:rsidRPr="00D74F43">
              <w:t xml:space="preserve">Currently it appears that the process for the certification of trailers should not be seriously affected by the adoption of the proposed ADRs.  Could you confirm that no significant changes to the process, such as additional testing requirements, are </w:t>
            </w:r>
            <w:proofErr w:type="gramStart"/>
            <w:r w:rsidRPr="00D74F43">
              <w:t>likely.</w:t>
            </w:r>
            <w:proofErr w:type="gramEnd"/>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D33491" w:rsidRDefault="00BB4FE8" w:rsidP="00BB4FE8">
            <w:pPr>
              <w:pStyle w:val="consultationnumbered2"/>
            </w:pPr>
            <w:r w:rsidRPr="00495B6A">
              <w:t>Agreed. Since 2009 under ADR 35/03, load proportioning systems and ABS “where fitted” have already had to be certified through the ADRs for new vehicles. Test requirements similar to these would be applied.</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E17778" w:rsidRDefault="00BB4FE8" w:rsidP="00BB4FE8">
            <w:pPr>
              <w:pStyle w:val="consultationnumbered"/>
            </w:pPr>
            <w:r w:rsidRPr="00D74F43">
              <w:t>In relation to the Regulatory impact Statement (RIS) analysis, it is noted that benefits are calculated using the number of heavy vehicle-related fatalities as a basis.  Has allowance been made for the fact not all of the associated incidents are related to heavy vehicle braking performance?  If this allowance has not been made, then the benefits associated with the implementation of the proposal will be overestimated in the analysis.</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D33491" w:rsidRDefault="00BB4FE8" w:rsidP="00BB4FE8">
            <w:pPr>
              <w:pStyle w:val="consultationnumbered2"/>
            </w:pPr>
            <w:r w:rsidRPr="00495B6A">
              <w:t>Yes, allowance has been given. The Australian research discussed in Appendix 11 only utilised those crashes that related to heavy vehicle braking in calculating an effectiveness that could then be applied to all crashes. The US research was a statistical analysis of crashes where braking would be considered a factor.  This was moderated to obtain an overall effectiveness for all crashes.</w:t>
            </w:r>
          </w:p>
        </w:tc>
      </w:tr>
      <w:tr w:rsidR="00BB4FE8" w:rsidTr="00BB4FE8">
        <w:tc>
          <w:tcPr>
            <w:tcW w:w="1548" w:type="dxa"/>
            <w:vMerge/>
            <w:tcBorders>
              <w:left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DD4B29" w:rsidRDefault="00BB4FE8" w:rsidP="00BB4FE8">
            <w:pPr>
              <w:pStyle w:val="consultationnumbered"/>
            </w:pPr>
            <w:r w:rsidRPr="00D74F43">
              <w:t>It is understood that the statistics used for the RIS relied heavily on Victorian, rather than Australia wide, data.  In view of the many differences between conditions in West Australia and those in Victoria, the applicability of the conclusions to the West Australian heavy vehicle fleet is brought into question.  This issue might be resolved by a consideration of variations in the underlying assumptions in WA (and other jurisdictions) and the inclusion of a sensitivity analysis in the RIS.</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D33491" w:rsidRDefault="00BB4FE8" w:rsidP="00BB4FE8">
            <w:pPr>
              <w:pStyle w:val="consultationnumbered2"/>
            </w:pPr>
            <w:r w:rsidRPr="00495B6A">
              <w:t>The data used was the best available as it was detailed and represented one of the larger states and so would reasonably represent all of Australia.  The wide range of effectiveness applied in effect became a sensitivity analysis. In any event, the ADRs are national standards and as such it would not be possible to apply regional variations based on slight state to state differences in operating or crash profiles.</w:t>
            </w:r>
          </w:p>
        </w:tc>
      </w:tr>
      <w:tr w:rsidR="00BB4FE8" w:rsidTr="00BB4FE8">
        <w:tc>
          <w:tcPr>
            <w:tcW w:w="1548" w:type="dxa"/>
            <w:vMerge/>
            <w:tcBorders>
              <w:left w:val="single" w:sz="4" w:space="0" w:color="auto"/>
              <w:bottom w:val="single" w:sz="4" w:space="0" w:color="auto"/>
              <w:right w:val="single" w:sz="4" w:space="0" w:color="auto"/>
            </w:tcBorders>
          </w:tcPr>
          <w:p w:rsidR="00BB4FE8" w:rsidRPr="00D33491" w:rsidRDefault="00BB4FE8" w:rsidP="00BB4FE8">
            <w:pPr>
              <w:pStyle w:val="Consultationheadings"/>
            </w:pPr>
          </w:p>
        </w:tc>
        <w:tc>
          <w:tcPr>
            <w:tcW w:w="5364" w:type="dxa"/>
            <w:tcBorders>
              <w:left w:val="single" w:sz="4" w:space="0" w:color="auto"/>
            </w:tcBorders>
          </w:tcPr>
          <w:p w:rsidR="00BB4FE8" w:rsidRPr="00D74F43" w:rsidRDefault="00BB4FE8" w:rsidP="00BB4FE8">
            <w:pPr>
              <w:pStyle w:val="consultationnumbered"/>
            </w:pPr>
            <w:r w:rsidRPr="00D74F43">
              <w:t>The increasing complexity of braking technology is resulting in a requirement for higher levels of expertise to install, diagnose and repair braking systems, as well as a requirement for more sophisticated testing equipment.  There is concern about the “preparedness” of the heavy vehicle manufacturing and repair industries for the increases in brake system complexity that will occur as a result of this proposal, as well as the longer term strategy to progress to EBS.  It is questioned whether there are any proposed measures to address this issue as part of the implementation plan.</w:t>
            </w:r>
          </w:p>
        </w:tc>
        <w:tc>
          <w:tcPr>
            <w:tcW w:w="1134" w:type="dxa"/>
          </w:tcPr>
          <w:p w:rsidR="00BB4FE8" w:rsidRPr="00EF07F5" w:rsidRDefault="00BB4FE8" w:rsidP="00BB4FE8">
            <w:pPr>
              <w:spacing w:before="0" w:line="240" w:lineRule="auto"/>
              <w:jc w:val="center"/>
              <w:rPr>
                <w:sz w:val="20"/>
              </w:rPr>
            </w:pPr>
            <w:r>
              <w:rPr>
                <w:sz w:val="20"/>
              </w:rPr>
              <w:t>-</w:t>
            </w:r>
          </w:p>
        </w:tc>
        <w:tc>
          <w:tcPr>
            <w:tcW w:w="5812" w:type="dxa"/>
          </w:tcPr>
          <w:p w:rsidR="00BB4FE8" w:rsidRPr="00D33491" w:rsidRDefault="00BB4FE8" w:rsidP="00BB4FE8">
            <w:pPr>
              <w:pStyle w:val="consultationnumbered2"/>
            </w:pPr>
            <w:r w:rsidRPr="00495B6A">
              <w:t>The current proposal provides this through the stepped approach of the two phases of the NHVBS and the facilitation of industry provided guidance on mixing different brake technologies. Technologies in both the heavy and light vehicle sector have changed markedly over the past twenty years. Both sectors have shown themselves more than capable of adapting to the increase in sophistication of modern vehicle systems. The industry peak bodies such as The ATA, ARTSA, CVIAA and TIC all provide a wealth of expertise and guidance material for any aspect of braking from workshop procedures to configuring vehicles for EBS.</w:t>
            </w:r>
          </w:p>
        </w:tc>
      </w:tr>
    </w:tbl>
    <w:p w:rsidR="00614971" w:rsidRDefault="00614971" w:rsidP="008815E7"/>
    <w:p w:rsidR="008815E7" w:rsidRDefault="008815E7" w:rsidP="008815E7"/>
    <w:p w:rsidR="00DA598A" w:rsidRDefault="00DA598A" w:rsidP="008815E7"/>
    <w:p w:rsidR="00DA598A" w:rsidRDefault="00DA598A" w:rsidP="008815E7"/>
    <w:p w:rsidR="00DA598A" w:rsidRDefault="00DA598A" w:rsidP="00DA598A"/>
    <w:sectPr w:rsidR="00DA598A" w:rsidSect="00BB4FE8">
      <w:headerReference w:type="default" r:id="rId7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76E" w:rsidRDefault="0004676E" w:rsidP="00E21243">
      <w:r>
        <w:separator/>
      </w:r>
    </w:p>
  </w:endnote>
  <w:endnote w:type="continuationSeparator" w:id="0">
    <w:p w:rsidR="0004676E" w:rsidRDefault="0004676E" w:rsidP="00E2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51517D" w:rsidP="00AE6C49">
    <w:pPr>
      <w:pStyle w:val="Footer"/>
    </w:pPr>
    <w:r w:rsidRPr="0051517D">
      <w:t>Department of Infrastructure and Regional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580934" w:rsidP="00AE6C49">
    <w:pPr>
      <w:pStyle w:val="Footer"/>
    </w:pPr>
    <w:r w:rsidRPr="00580934">
      <w:t>Department of Infrastructure and Regional Development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580934" w:rsidP="00AE6C49">
    <w:pPr>
      <w:pStyle w:val="Footer"/>
    </w:pPr>
    <w:r w:rsidRPr="00580934">
      <w:t>Department of Infrastructure and Regional Development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Pr="00CE2745" w:rsidRDefault="00580934" w:rsidP="00CE2745">
    <w:pPr>
      <w:pStyle w:val="Footer"/>
    </w:pPr>
    <w:r w:rsidRPr="00580934">
      <w:t>Department of Infrastructure and Regional Development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76E" w:rsidRDefault="0004676E" w:rsidP="00E21243">
      <w:r>
        <w:separator/>
      </w:r>
    </w:p>
  </w:footnote>
  <w:footnote w:type="continuationSeparator" w:id="0">
    <w:p w:rsidR="0004676E" w:rsidRDefault="0004676E" w:rsidP="00E21243">
      <w:r>
        <w:continuationSeparator/>
      </w:r>
    </w:p>
  </w:footnote>
  <w:footnote w:id="1">
    <w:p w:rsidR="003A4A7C" w:rsidRDefault="003A4A7C">
      <w:pPr>
        <w:pStyle w:val="FootnoteText"/>
      </w:pPr>
      <w:r>
        <w:rPr>
          <w:rStyle w:val="FootnoteReference"/>
        </w:rPr>
        <w:footnoteRef/>
      </w:r>
      <w:r>
        <w:t xml:space="preserve"> Currently world best practice is 1.7 fatalities per 100 million truck km travelled and the Australian rate is 2.5 fatalities per 100 million truck km travelled.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3A4A7C" w:rsidP="00AE6C49">
    <w:pPr>
      <w:pStyle w:val="Header"/>
    </w:pPr>
    <w:r>
      <w:t>Regulation Impact Statement – National Heavy Vehicle Braking Strategy Phase I</w:t>
    </w:r>
    <w:r>
      <w:tab/>
    </w:r>
    <w:sdt>
      <w:sdtPr>
        <w:id w:val="42803327"/>
        <w:docPartObj>
          <w:docPartGallery w:val="Page Numbers (Top of Page)"/>
          <w:docPartUnique/>
        </w:docPartObj>
      </w:sdtPr>
      <w:sdtEndPr/>
      <w:sdtContent>
        <w:r w:rsidR="00C036A7">
          <w:fldChar w:fldCharType="begin"/>
        </w:r>
        <w:r>
          <w:instrText xml:space="preserve"> PAGE   \* MERGEFORMAT </w:instrText>
        </w:r>
        <w:r w:rsidR="00C036A7">
          <w:fldChar w:fldCharType="separate"/>
        </w:r>
        <w:r w:rsidR="00546CD0">
          <w:rPr>
            <w:noProof/>
          </w:rPr>
          <w:t>2</w:t>
        </w:r>
        <w:r w:rsidR="00C036A7">
          <w:rPr>
            <w:noProof/>
          </w:rPr>
          <w:fldChar w:fldCharType="end"/>
        </w:r>
        <w:r>
          <w:rPr>
            <w:noProof/>
          </w:rPr>
          <w:br/>
        </w:r>
        <w:r w:rsidR="00580934" w:rsidRPr="00580934">
          <w:rPr>
            <w:noProof/>
          </w:rPr>
          <w:t>Department of Infrastructure and Regional Development</w:t>
        </w:r>
      </w:sdtContent>
    </w:sdt>
  </w:p>
  <w:p w:rsidR="003A4A7C" w:rsidRDefault="003A4A7C" w:rsidP="00AE6C49">
    <w:pPr>
      <w:pStyle w:val="header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Pr="00CF1F32" w:rsidRDefault="003A4A7C" w:rsidP="00CF1F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3A4A7C" w:rsidP="00AE6C49">
    <w:pPr>
      <w:pStyle w:val="Header"/>
    </w:pPr>
    <w:r>
      <w:t>Regulation Impact Statement – National Heavy Vehicle Braking Strategy Phase I</w:t>
    </w:r>
    <w:r>
      <w:tab/>
    </w:r>
    <w:sdt>
      <w:sdtPr>
        <w:id w:val="-1267466930"/>
        <w:docPartObj>
          <w:docPartGallery w:val="Page Numbers (Top of Page)"/>
          <w:docPartUnique/>
        </w:docPartObj>
      </w:sdtPr>
      <w:sdtEndPr/>
      <w:sdtContent>
        <w:r w:rsidR="00C036A7">
          <w:fldChar w:fldCharType="begin"/>
        </w:r>
        <w:r>
          <w:instrText xml:space="preserve"> PAGE   \* MERGEFORMAT </w:instrText>
        </w:r>
        <w:r w:rsidR="00C036A7">
          <w:fldChar w:fldCharType="separate"/>
        </w:r>
        <w:r w:rsidR="00546CD0">
          <w:rPr>
            <w:noProof/>
          </w:rPr>
          <w:t>75</w:t>
        </w:r>
        <w:r w:rsidR="00C036A7">
          <w:rPr>
            <w:noProof/>
          </w:rPr>
          <w:fldChar w:fldCharType="end"/>
        </w:r>
        <w:r>
          <w:rPr>
            <w:noProof/>
          </w:rPr>
          <w:br/>
        </w:r>
        <w:r w:rsidR="00580934" w:rsidRPr="00580934">
          <w:rPr>
            <w:noProof/>
          </w:rPr>
          <w:t>Department of Infrastructure and Regional Development</w:t>
        </w:r>
      </w:sdtContent>
    </w:sdt>
  </w:p>
  <w:p w:rsidR="003A4A7C" w:rsidRDefault="003A4A7C" w:rsidP="00AE6C49">
    <w:pPr>
      <w:pStyle w:val="header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Pr="00361E37" w:rsidRDefault="003A4A7C" w:rsidP="00361E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3A4A7C" w:rsidP="00AE6C49">
    <w:pPr>
      <w:pStyle w:val="Header"/>
    </w:pPr>
    <w:r>
      <w:t>Regulation Impact Statement – National Heavy Vehicle Braking Strategy Phase I</w:t>
    </w:r>
    <w:r>
      <w:tab/>
    </w:r>
    <w:sdt>
      <w:sdtPr>
        <w:id w:val="-1356643422"/>
        <w:docPartObj>
          <w:docPartGallery w:val="Page Numbers (Top of Page)"/>
          <w:docPartUnique/>
        </w:docPartObj>
      </w:sdtPr>
      <w:sdtEndPr/>
      <w:sdtContent>
        <w:r w:rsidR="00C036A7">
          <w:fldChar w:fldCharType="begin"/>
        </w:r>
        <w:r>
          <w:instrText xml:space="preserve"> PAGE   \* MERGEFORMAT </w:instrText>
        </w:r>
        <w:r w:rsidR="00C036A7">
          <w:fldChar w:fldCharType="separate"/>
        </w:r>
        <w:r w:rsidR="00546CD0">
          <w:rPr>
            <w:noProof/>
          </w:rPr>
          <w:t>85</w:t>
        </w:r>
        <w:r w:rsidR="00C036A7">
          <w:rPr>
            <w:noProof/>
          </w:rPr>
          <w:fldChar w:fldCharType="end"/>
        </w:r>
        <w:r>
          <w:rPr>
            <w:noProof/>
          </w:rPr>
          <w:br/>
        </w:r>
        <w:r w:rsidR="00580934" w:rsidRPr="00580934">
          <w:rPr>
            <w:noProof/>
          </w:rPr>
          <w:t>Department of Infrastructure and Regional Development</w:t>
        </w:r>
      </w:sdtContent>
    </w:sdt>
  </w:p>
  <w:p w:rsidR="003A4A7C" w:rsidRDefault="003A4A7C" w:rsidP="00AE6C49">
    <w:pPr>
      <w:pStyle w:val="header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Pr="00A16684" w:rsidRDefault="003A4A7C" w:rsidP="00A166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3A4A7C" w:rsidP="00AC158D">
    <w:pPr>
      <w:pStyle w:val="Header"/>
    </w:pPr>
    <w:r>
      <w:t>Regulation Impact Statement – National Heavy Vehicle Braking Strategy Phase I</w:t>
    </w:r>
    <w:r>
      <w:tab/>
    </w:r>
    <w:sdt>
      <w:sdtPr>
        <w:id w:val="248552841"/>
        <w:docPartObj>
          <w:docPartGallery w:val="Page Numbers (Top of Page)"/>
          <w:docPartUnique/>
        </w:docPartObj>
      </w:sdtPr>
      <w:sdtEndPr/>
      <w:sdtContent>
        <w:r w:rsidR="00C036A7">
          <w:fldChar w:fldCharType="begin"/>
        </w:r>
        <w:r>
          <w:instrText xml:space="preserve"> PAGE   \* MERGEFORMAT </w:instrText>
        </w:r>
        <w:r w:rsidR="00C036A7">
          <w:fldChar w:fldCharType="separate"/>
        </w:r>
        <w:r w:rsidR="00546CD0">
          <w:rPr>
            <w:noProof/>
          </w:rPr>
          <w:t>99</w:t>
        </w:r>
        <w:r w:rsidR="00C036A7">
          <w:rPr>
            <w:noProof/>
          </w:rPr>
          <w:fldChar w:fldCharType="end"/>
        </w:r>
        <w:r>
          <w:rPr>
            <w:noProof/>
          </w:rPr>
          <w:br/>
        </w:r>
        <w:r w:rsidR="00580934" w:rsidRPr="00580934">
          <w:rPr>
            <w:noProof/>
          </w:rPr>
          <w:t>Department of Infrastructure and Regional Development</w:t>
        </w:r>
      </w:sdtContent>
    </w:sdt>
  </w:p>
  <w:p w:rsidR="003A4A7C" w:rsidRPr="00AC158D" w:rsidRDefault="003A4A7C" w:rsidP="00AC158D">
    <w:pPr>
      <w:pStyle w:val="header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C" w:rsidRDefault="003A4A7C" w:rsidP="00AC158D">
    <w:pPr>
      <w:pStyle w:val="Header"/>
    </w:pPr>
    <w:r>
      <w:t>Regulation Impact Statement – National Heavy Vehicle Braking Strategy Phase I</w:t>
    </w:r>
    <w:r>
      <w:tab/>
    </w:r>
    <w:sdt>
      <w:sdtPr>
        <w:id w:val="16650627"/>
        <w:docPartObj>
          <w:docPartGallery w:val="Page Numbers (Top of Page)"/>
          <w:docPartUnique/>
        </w:docPartObj>
      </w:sdtPr>
      <w:sdtEndPr/>
      <w:sdtContent>
        <w:r>
          <w:tab/>
        </w:r>
        <w:r>
          <w:tab/>
        </w:r>
        <w:r>
          <w:tab/>
        </w:r>
        <w:r>
          <w:tab/>
        </w:r>
        <w:r>
          <w:tab/>
        </w:r>
        <w:r>
          <w:tab/>
        </w:r>
        <w:r w:rsidR="00C036A7">
          <w:fldChar w:fldCharType="begin"/>
        </w:r>
        <w:r>
          <w:instrText xml:space="preserve"> PAGE   \* MERGEFORMAT </w:instrText>
        </w:r>
        <w:r w:rsidR="00C036A7">
          <w:fldChar w:fldCharType="separate"/>
        </w:r>
        <w:r w:rsidR="00546CD0">
          <w:rPr>
            <w:noProof/>
          </w:rPr>
          <w:t>114</w:t>
        </w:r>
        <w:r w:rsidR="00C036A7">
          <w:rPr>
            <w:noProof/>
          </w:rPr>
          <w:fldChar w:fldCharType="end"/>
        </w:r>
        <w:r>
          <w:rPr>
            <w:noProof/>
          </w:rPr>
          <w:br/>
        </w:r>
        <w:r w:rsidR="00580934" w:rsidRPr="00580934">
          <w:rPr>
            <w:noProof/>
          </w:rPr>
          <w:t>Department of Infrastructure and Regional Development</w:t>
        </w:r>
      </w:sdtContent>
    </w:sdt>
  </w:p>
  <w:p w:rsidR="003A4A7C" w:rsidRPr="00AC158D" w:rsidRDefault="003A4A7C" w:rsidP="00AC158D">
    <w:pPr>
      <w:pStyle w:val="headertabs"/>
    </w:pPr>
    <w:r>
      <w:tab/>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10A"/>
    <w:multiLevelType w:val="hybridMultilevel"/>
    <w:tmpl w:val="598CC3B2"/>
    <w:lvl w:ilvl="0" w:tplc="232EFC1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05827E4D"/>
    <w:multiLevelType w:val="hybridMultilevel"/>
    <w:tmpl w:val="2DCAE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EB71DA"/>
    <w:multiLevelType w:val="hybridMultilevel"/>
    <w:tmpl w:val="0CB4AF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D885A9A"/>
    <w:multiLevelType w:val="hybridMultilevel"/>
    <w:tmpl w:val="43E644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B75115"/>
    <w:multiLevelType w:val="hybridMultilevel"/>
    <w:tmpl w:val="B17ED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FC3143"/>
    <w:multiLevelType w:val="hybridMultilevel"/>
    <w:tmpl w:val="1A9E6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28342D"/>
    <w:multiLevelType w:val="hybridMultilevel"/>
    <w:tmpl w:val="DCE4CA68"/>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nsid w:val="0EFE50C9"/>
    <w:multiLevelType w:val="hybridMultilevel"/>
    <w:tmpl w:val="DCD0A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26D10DD"/>
    <w:multiLevelType w:val="hybridMultilevel"/>
    <w:tmpl w:val="5C56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BE4250"/>
    <w:multiLevelType w:val="hybridMultilevel"/>
    <w:tmpl w:val="8E88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1F3E89"/>
    <w:multiLevelType w:val="hybridMultilevel"/>
    <w:tmpl w:val="A4086CF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183B3BD4"/>
    <w:multiLevelType w:val="hybridMultilevel"/>
    <w:tmpl w:val="5C5EDB36"/>
    <w:lvl w:ilvl="0" w:tplc="511058D0">
      <w:start w:val="1"/>
      <w:numFmt w:val="decimal"/>
      <w:pStyle w:val="consultationnumbered2"/>
      <w:lvlText w:val="%1."/>
      <w:lvlJc w:val="left"/>
      <w:pPr>
        <w:ind w:left="720" w:hanging="360"/>
      </w:pPr>
      <w:rPr>
        <w:rFonts w:ascii="Times New Roman" w:hAnsi="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8A070AF"/>
    <w:multiLevelType w:val="hybridMultilevel"/>
    <w:tmpl w:val="50320EA2"/>
    <w:lvl w:ilvl="0" w:tplc="44E4461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8CC0905"/>
    <w:multiLevelType w:val="hybridMultilevel"/>
    <w:tmpl w:val="4868395E"/>
    <w:lvl w:ilvl="0" w:tplc="05DE683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68590A"/>
    <w:multiLevelType w:val="hybridMultilevel"/>
    <w:tmpl w:val="56207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EC35140"/>
    <w:multiLevelType w:val="hybridMultilevel"/>
    <w:tmpl w:val="88F6D0DA"/>
    <w:lvl w:ilvl="0" w:tplc="BE3222A4">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2BD64FB"/>
    <w:multiLevelType w:val="hybridMultilevel"/>
    <w:tmpl w:val="72F81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EF2F7A"/>
    <w:multiLevelType w:val="hybridMultilevel"/>
    <w:tmpl w:val="917E1CD2"/>
    <w:lvl w:ilvl="0" w:tplc="989642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299C0B69"/>
    <w:multiLevelType w:val="hybridMultilevel"/>
    <w:tmpl w:val="BF2ED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AB2BA2"/>
    <w:multiLevelType w:val="hybridMultilevel"/>
    <w:tmpl w:val="D17AD762"/>
    <w:lvl w:ilvl="0" w:tplc="9896426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rFonts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B15021B"/>
    <w:multiLevelType w:val="hybridMultilevel"/>
    <w:tmpl w:val="025830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2E604701"/>
    <w:multiLevelType w:val="hybridMultilevel"/>
    <w:tmpl w:val="B576FD1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02E2022"/>
    <w:multiLevelType w:val="hybridMultilevel"/>
    <w:tmpl w:val="C4E07340"/>
    <w:lvl w:ilvl="0" w:tplc="0D526692">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695BB3"/>
    <w:multiLevelType w:val="hybridMultilevel"/>
    <w:tmpl w:val="0CB4AF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2FB0F2C"/>
    <w:multiLevelType w:val="hybridMultilevel"/>
    <w:tmpl w:val="6DD29DF4"/>
    <w:lvl w:ilvl="0" w:tplc="DBB08928">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59B355A"/>
    <w:multiLevelType w:val="hybridMultilevel"/>
    <w:tmpl w:val="0CB4AF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5BF2B2C"/>
    <w:multiLevelType w:val="hybridMultilevel"/>
    <w:tmpl w:val="DDC219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361F704A"/>
    <w:multiLevelType w:val="hybridMultilevel"/>
    <w:tmpl w:val="512EC388"/>
    <w:lvl w:ilvl="0" w:tplc="989642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36B03194"/>
    <w:multiLevelType w:val="hybridMultilevel"/>
    <w:tmpl w:val="48D21A0A"/>
    <w:lvl w:ilvl="0" w:tplc="06AC4D2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37980ADE"/>
    <w:multiLevelType w:val="hybridMultilevel"/>
    <w:tmpl w:val="439AF2F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7C54C84"/>
    <w:multiLevelType w:val="hybridMultilevel"/>
    <w:tmpl w:val="51C8B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9DF6ED9"/>
    <w:multiLevelType w:val="hybridMultilevel"/>
    <w:tmpl w:val="0CB4AF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3A9640E8"/>
    <w:multiLevelType w:val="hybridMultilevel"/>
    <w:tmpl w:val="7C78A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B487E80"/>
    <w:multiLevelType w:val="hybridMultilevel"/>
    <w:tmpl w:val="7E82B9B4"/>
    <w:lvl w:ilvl="0" w:tplc="603095E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B4D4073"/>
    <w:multiLevelType w:val="hybridMultilevel"/>
    <w:tmpl w:val="7DC0B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36">
    <w:nsid w:val="3E434CCF"/>
    <w:multiLevelType w:val="hybridMultilevel"/>
    <w:tmpl w:val="598CC3B2"/>
    <w:lvl w:ilvl="0" w:tplc="232EFC1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3EE93909"/>
    <w:multiLevelType w:val="hybridMultilevel"/>
    <w:tmpl w:val="1A1E60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F404541"/>
    <w:multiLevelType w:val="hybridMultilevel"/>
    <w:tmpl w:val="35E85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07F18B7"/>
    <w:multiLevelType w:val="hybridMultilevel"/>
    <w:tmpl w:val="9788E57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27B2A4F"/>
    <w:multiLevelType w:val="hybridMultilevel"/>
    <w:tmpl w:val="C2E66918"/>
    <w:lvl w:ilvl="0" w:tplc="4C52780A">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3652D0E"/>
    <w:multiLevelType w:val="hybridMultilevel"/>
    <w:tmpl w:val="5880826E"/>
    <w:lvl w:ilvl="0" w:tplc="4274CDE0">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47160D3"/>
    <w:multiLevelType w:val="hybridMultilevel"/>
    <w:tmpl w:val="868AD500"/>
    <w:lvl w:ilvl="0" w:tplc="989642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3">
    <w:nsid w:val="47C46B38"/>
    <w:multiLevelType w:val="hybridMultilevel"/>
    <w:tmpl w:val="0B5C268E"/>
    <w:lvl w:ilvl="0" w:tplc="E97E1C64">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89E269B"/>
    <w:multiLevelType w:val="hybridMultilevel"/>
    <w:tmpl w:val="7E82B9B4"/>
    <w:lvl w:ilvl="0" w:tplc="603095E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A6244BB"/>
    <w:multiLevelType w:val="hybridMultilevel"/>
    <w:tmpl w:val="E23CD8E6"/>
    <w:lvl w:ilvl="0" w:tplc="4AF03940">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AE74B42"/>
    <w:multiLevelType w:val="hybridMultilevel"/>
    <w:tmpl w:val="C2CA4D22"/>
    <w:lvl w:ilvl="0" w:tplc="989642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7">
    <w:nsid w:val="4D5D243E"/>
    <w:multiLevelType w:val="hybridMultilevel"/>
    <w:tmpl w:val="3C783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E705BB5"/>
    <w:multiLevelType w:val="hybridMultilevel"/>
    <w:tmpl w:val="D26AB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F606484"/>
    <w:multiLevelType w:val="hybridMultilevel"/>
    <w:tmpl w:val="BD4A67D8"/>
    <w:lvl w:ilvl="0" w:tplc="1EC4972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19A392F"/>
    <w:multiLevelType w:val="hybridMultilevel"/>
    <w:tmpl w:val="FAE4986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BDA2ADA">
      <w:start w:val="1"/>
      <w:numFmt w:val="decimal"/>
      <w:lvlText w:val="%3."/>
      <w:lvlJc w:val="left"/>
      <w:pPr>
        <w:ind w:left="2340" w:hanging="360"/>
      </w:pPr>
      <w:rPr>
        <w:rFonts w:hint="default"/>
        <w:sz w:val="20"/>
        <w:szCs w:val="2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1C3662D"/>
    <w:multiLevelType w:val="multilevel"/>
    <w:tmpl w:val="2D5A1D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nsid w:val="53B87A89"/>
    <w:multiLevelType w:val="hybridMultilevel"/>
    <w:tmpl w:val="7CA8B450"/>
    <w:lvl w:ilvl="0" w:tplc="D3A4F23C">
      <w:start w:val="1"/>
      <w:numFmt w:val="decimal"/>
      <w:pStyle w:val="consultationnumbered"/>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54D9501F"/>
    <w:multiLevelType w:val="hybridMultilevel"/>
    <w:tmpl w:val="2638A0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57400765"/>
    <w:multiLevelType w:val="hybridMultilevel"/>
    <w:tmpl w:val="AA18F512"/>
    <w:lvl w:ilvl="0" w:tplc="48741B74">
      <w:start w:val="2"/>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7552AAE"/>
    <w:multiLevelType w:val="hybridMultilevel"/>
    <w:tmpl w:val="04CC7706"/>
    <w:lvl w:ilvl="0" w:tplc="4C52780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816018D"/>
    <w:multiLevelType w:val="hybridMultilevel"/>
    <w:tmpl w:val="6A5A6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A8557F5"/>
    <w:multiLevelType w:val="hybridMultilevel"/>
    <w:tmpl w:val="5AE43216"/>
    <w:lvl w:ilvl="0" w:tplc="A57C27D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B3546DE"/>
    <w:multiLevelType w:val="hybridMultilevel"/>
    <w:tmpl w:val="F16E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18035AB"/>
    <w:multiLevelType w:val="hybridMultilevel"/>
    <w:tmpl w:val="2638A0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nsid w:val="630916B7"/>
    <w:multiLevelType w:val="hybridMultilevel"/>
    <w:tmpl w:val="EECC8AFE"/>
    <w:lvl w:ilvl="0" w:tplc="2682C57E">
      <w:start w:val="1"/>
      <w:numFmt w:val="decimal"/>
      <w:lvlText w:val="%1."/>
      <w:lvlJc w:val="left"/>
      <w:pPr>
        <w:ind w:left="1215" w:hanging="8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44D243E"/>
    <w:multiLevelType w:val="hybridMultilevel"/>
    <w:tmpl w:val="439AF2F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65E84645"/>
    <w:multiLevelType w:val="hybridMultilevel"/>
    <w:tmpl w:val="2638A0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nsid w:val="6712660F"/>
    <w:multiLevelType w:val="hybridMultilevel"/>
    <w:tmpl w:val="06287BFE"/>
    <w:lvl w:ilvl="0" w:tplc="76A4FD5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6C77652B"/>
    <w:multiLevelType w:val="hybridMultilevel"/>
    <w:tmpl w:val="2638A0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nsid w:val="701F2381"/>
    <w:multiLevelType w:val="hybridMultilevel"/>
    <w:tmpl w:val="A9106BB6"/>
    <w:lvl w:ilvl="0" w:tplc="1C66CEA4">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727959CD"/>
    <w:multiLevelType w:val="hybridMultilevel"/>
    <w:tmpl w:val="BBC88E80"/>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7">
    <w:nsid w:val="73D924F5"/>
    <w:multiLevelType w:val="hybridMultilevel"/>
    <w:tmpl w:val="23246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3F26238"/>
    <w:multiLevelType w:val="hybridMultilevel"/>
    <w:tmpl w:val="A462C1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79840148"/>
    <w:multiLevelType w:val="hybridMultilevel"/>
    <w:tmpl w:val="F1BA1CDA"/>
    <w:lvl w:ilvl="0" w:tplc="0C090017">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A1A17CC"/>
    <w:multiLevelType w:val="hybridMultilevel"/>
    <w:tmpl w:val="2638A0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nsid w:val="7ABD6DF0"/>
    <w:multiLevelType w:val="hybridMultilevel"/>
    <w:tmpl w:val="503205E4"/>
    <w:lvl w:ilvl="0" w:tplc="0C09000F">
      <w:start w:val="1"/>
      <w:numFmt w:val="lowerLetter"/>
      <w:pStyle w:val="Alphabet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C9B2108"/>
    <w:multiLevelType w:val="hybridMultilevel"/>
    <w:tmpl w:val="CB8E9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DFA3B36"/>
    <w:multiLevelType w:val="hybridMultilevel"/>
    <w:tmpl w:val="A53441FC"/>
    <w:lvl w:ilvl="0" w:tplc="1500E5DE">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FA82CB1"/>
    <w:multiLevelType w:val="hybridMultilevel"/>
    <w:tmpl w:val="82D6C68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1"/>
  </w:num>
  <w:num w:numId="2">
    <w:abstractNumId w:val="35"/>
  </w:num>
  <w:num w:numId="3">
    <w:abstractNumId w:val="69"/>
  </w:num>
  <w:num w:numId="4">
    <w:abstractNumId w:val="71"/>
  </w:num>
  <w:num w:numId="5">
    <w:abstractNumId w:val="65"/>
  </w:num>
  <w:num w:numId="6">
    <w:abstractNumId w:val="34"/>
  </w:num>
  <w:num w:numId="7">
    <w:abstractNumId w:val="60"/>
  </w:num>
  <w:num w:numId="8">
    <w:abstractNumId w:val="9"/>
  </w:num>
  <w:num w:numId="9">
    <w:abstractNumId w:val="4"/>
  </w:num>
  <w:num w:numId="10">
    <w:abstractNumId w:val="72"/>
  </w:num>
  <w:num w:numId="11">
    <w:abstractNumId w:val="38"/>
  </w:num>
  <w:num w:numId="12">
    <w:abstractNumId w:val="74"/>
  </w:num>
  <w:num w:numId="13">
    <w:abstractNumId w:val="50"/>
  </w:num>
  <w:num w:numId="14">
    <w:abstractNumId w:val="37"/>
  </w:num>
  <w:num w:numId="15">
    <w:abstractNumId w:val="8"/>
  </w:num>
  <w:num w:numId="16">
    <w:abstractNumId w:val="58"/>
  </w:num>
  <w:num w:numId="17">
    <w:abstractNumId w:val="67"/>
  </w:num>
  <w:num w:numId="18">
    <w:abstractNumId w:val="30"/>
  </w:num>
  <w:num w:numId="19">
    <w:abstractNumId w:val="14"/>
  </w:num>
  <w:num w:numId="20">
    <w:abstractNumId w:val="32"/>
  </w:num>
  <w:num w:numId="21">
    <w:abstractNumId w:val="11"/>
  </w:num>
  <w:num w:numId="22">
    <w:abstractNumId w:val="56"/>
  </w:num>
  <w:num w:numId="23">
    <w:abstractNumId w:val="1"/>
  </w:num>
  <w:num w:numId="24">
    <w:abstractNumId w:val="47"/>
  </w:num>
  <w:num w:numId="25">
    <w:abstractNumId w:val="5"/>
  </w:num>
  <w:num w:numId="26">
    <w:abstractNumId w:val="16"/>
  </w:num>
  <w:num w:numId="27">
    <w:abstractNumId w:val="0"/>
  </w:num>
  <w:num w:numId="28">
    <w:abstractNumId w:val="36"/>
  </w:num>
  <w:num w:numId="29">
    <w:abstractNumId w:val="39"/>
  </w:num>
  <w:num w:numId="30">
    <w:abstractNumId w:val="21"/>
  </w:num>
  <w:num w:numId="31">
    <w:abstractNumId w:val="51"/>
  </w:num>
  <w:num w:numId="32">
    <w:abstractNumId w:val="51"/>
  </w:num>
  <w:num w:numId="33">
    <w:abstractNumId w:val="19"/>
  </w:num>
  <w:num w:numId="34">
    <w:abstractNumId w:val="42"/>
  </w:num>
  <w:num w:numId="35">
    <w:abstractNumId w:val="17"/>
  </w:num>
  <w:num w:numId="36">
    <w:abstractNumId w:val="46"/>
  </w:num>
  <w:num w:numId="37">
    <w:abstractNumId w:val="27"/>
  </w:num>
  <w:num w:numId="38">
    <w:abstractNumId w:val="2"/>
  </w:num>
  <w:num w:numId="39">
    <w:abstractNumId w:val="23"/>
  </w:num>
  <w:num w:numId="40">
    <w:abstractNumId w:val="28"/>
  </w:num>
  <w:num w:numId="41">
    <w:abstractNumId w:val="31"/>
  </w:num>
  <w:num w:numId="42">
    <w:abstractNumId w:val="7"/>
  </w:num>
  <w:num w:numId="43">
    <w:abstractNumId w:val="54"/>
  </w:num>
  <w:num w:numId="44">
    <w:abstractNumId w:val="13"/>
  </w:num>
  <w:num w:numId="45">
    <w:abstractNumId w:val="64"/>
  </w:num>
  <w:num w:numId="46">
    <w:abstractNumId w:val="62"/>
  </w:num>
  <w:num w:numId="47">
    <w:abstractNumId w:val="59"/>
  </w:num>
  <w:num w:numId="48">
    <w:abstractNumId w:val="25"/>
  </w:num>
  <w:num w:numId="49">
    <w:abstractNumId w:val="63"/>
  </w:num>
  <w:num w:numId="50">
    <w:abstractNumId w:val="18"/>
  </w:num>
  <w:num w:numId="51">
    <w:abstractNumId w:val="26"/>
  </w:num>
  <w:num w:numId="52">
    <w:abstractNumId w:val="29"/>
  </w:num>
  <w:num w:numId="53">
    <w:abstractNumId w:val="53"/>
  </w:num>
  <w:num w:numId="54">
    <w:abstractNumId w:val="61"/>
  </w:num>
  <w:num w:numId="55">
    <w:abstractNumId w:val="12"/>
  </w:num>
  <w:num w:numId="56">
    <w:abstractNumId w:val="41"/>
  </w:num>
  <w:num w:numId="57">
    <w:abstractNumId w:val="15"/>
  </w:num>
  <w:num w:numId="58">
    <w:abstractNumId w:val="73"/>
  </w:num>
  <w:num w:numId="59">
    <w:abstractNumId w:val="22"/>
  </w:num>
  <w:num w:numId="60">
    <w:abstractNumId w:val="24"/>
  </w:num>
  <w:num w:numId="61">
    <w:abstractNumId w:val="33"/>
  </w:num>
  <w:num w:numId="62">
    <w:abstractNumId w:val="44"/>
  </w:num>
  <w:num w:numId="63">
    <w:abstractNumId w:val="49"/>
  </w:num>
  <w:num w:numId="64">
    <w:abstractNumId w:val="70"/>
  </w:num>
  <w:num w:numId="65">
    <w:abstractNumId w:val="40"/>
  </w:num>
  <w:num w:numId="66">
    <w:abstractNumId w:val="57"/>
  </w:num>
  <w:num w:numId="67">
    <w:abstractNumId w:val="43"/>
  </w:num>
  <w:num w:numId="68">
    <w:abstractNumId w:val="45"/>
  </w:num>
  <w:num w:numId="69">
    <w:abstractNumId w:val="55"/>
  </w:num>
  <w:num w:numId="70">
    <w:abstractNumId w:val="3"/>
  </w:num>
  <w:num w:numId="71">
    <w:abstractNumId w:val="10"/>
  </w:num>
  <w:num w:numId="72">
    <w:abstractNumId w:val="68"/>
  </w:num>
  <w:num w:numId="73">
    <w:abstractNumId w:val="52"/>
  </w:num>
  <w:num w:numId="74">
    <w:abstractNumId w:val="20"/>
  </w:num>
  <w:num w:numId="75">
    <w:abstractNumId w:val="52"/>
    <w:lvlOverride w:ilvl="0">
      <w:startOverride w:val="1"/>
    </w:lvlOverride>
  </w:num>
  <w:num w:numId="76">
    <w:abstractNumId w:val="52"/>
    <w:lvlOverride w:ilvl="0">
      <w:startOverride w:val="1"/>
    </w:lvlOverride>
  </w:num>
  <w:num w:numId="77">
    <w:abstractNumId w:val="52"/>
    <w:lvlOverride w:ilvl="0">
      <w:startOverride w:val="1"/>
    </w:lvlOverride>
  </w:num>
  <w:num w:numId="78">
    <w:abstractNumId w:val="52"/>
    <w:lvlOverride w:ilvl="0">
      <w:startOverride w:val="1"/>
    </w:lvlOverride>
  </w:num>
  <w:num w:numId="79">
    <w:abstractNumId w:val="6"/>
  </w:num>
  <w:num w:numId="80">
    <w:abstractNumId w:val="66"/>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52"/>
    <w:lvlOverride w:ilvl="0">
      <w:startOverride w:val="1"/>
    </w:lvlOverride>
  </w:num>
  <w:num w:numId="87">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780"/>
    <w:rsid w:val="00000FD3"/>
    <w:rsid w:val="000013FD"/>
    <w:rsid w:val="000015E0"/>
    <w:rsid w:val="000019A6"/>
    <w:rsid w:val="00002468"/>
    <w:rsid w:val="000024F7"/>
    <w:rsid w:val="0000308D"/>
    <w:rsid w:val="00003AFC"/>
    <w:rsid w:val="00003B71"/>
    <w:rsid w:val="00003B7A"/>
    <w:rsid w:val="00004122"/>
    <w:rsid w:val="000042A7"/>
    <w:rsid w:val="0000497E"/>
    <w:rsid w:val="00004CBC"/>
    <w:rsid w:val="0000559A"/>
    <w:rsid w:val="0000565A"/>
    <w:rsid w:val="000056F0"/>
    <w:rsid w:val="00005958"/>
    <w:rsid w:val="00005CDA"/>
    <w:rsid w:val="000065FE"/>
    <w:rsid w:val="0000670C"/>
    <w:rsid w:val="00006CD8"/>
    <w:rsid w:val="00006E24"/>
    <w:rsid w:val="0001158A"/>
    <w:rsid w:val="00011783"/>
    <w:rsid w:val="00011D71"/>
    <w:rsid w:val="00012981"/>
    <w:rsid w:val="00012B10"/>
    <w:rsid w:val="00012E2D"/>
    <w:rsid w:val="0001308A"/>
    <w:rsid w:val="00013B63"/>
    <w:rsid w:val="00013D27"/>
    <w:rsid w:val="00013F4F"/>
    <w:rsid w:val="000144EA"/>
    <w:rsid w:val="00015005"/>
    <w:rsid w:val="00015B57"/>
    <w:rsid w:val="00015D95"/>
    <w:rsid w:val="000172B2"/>
    <w:rsid w:val="0002178E"/>
    <w:rsid w:val="00022A26"/>
    <w:rsid w:val="00022DB7"/>
    <w:rsid w:val="000241F0"/>
    <w:rsid w:val="00024467"/>
    <w:rsid w:val="000245EF"/>
    <w:rsid w:val="00024DE3"/>
    <w:rsid w:val="00024F33"/>
    <w:rsid w:val="000252CC"/>
    <w:rsid w:val="0002551A"/>
    <w:rsid w:val="00026119"/>
    <w:rsid w:val="000262BC"/>
    <w:rsid w:val="000269B0"/>
    <w:rsid w:val="00026D41"/>
    <w:rsid w:val="00027285"/>
    <w:rsid w:val="0002790D"/>
    <w:rsid w:val="0003068F"/>
    <w:rsid w:val="0003117E"/>
    <w:rsid w:val="0003168B"/>
    <w:rsid w:val="00032A90"/>
    <w:rsid w:val="00033B1C"/>
    <w:rsid w:val="00033B4E"/>
    <w:rsid w:val="00033E17"/>
    <w:rsid w:val="00034944"/>
    <w:rsid w:val="00035D85"/>
    <w:rsid w:val="00036579"/>
    <w:rsid w:val="000367F4"/>
    <w:rsid w:val="000375E5"/>
    <w:rsid w:val="00040092"/>
    <w:rsid w:val="000409DB"/>
    <w:rsid w:val="00040AD5"/>
    <w:rsid w:val="00041500"/>
    <w:rsid w:val="000418A2"/>
    <w:rsid w:val="00041CEA"/>
    <w:rsid w:val="00041D18"/>
    <w:rsid w:val="000422A3"/>
    <w:rsid w:val="000425FB"/>
    <w:rsid w:val="00043260"/>
    <w:rsid w:val="00043627"/>
    <w:rsid w:val="00043628"/>
    <w:rsid w:val="000451E6"/>
    <w:rsid w:val="000458AF"/>
    <w:rsid w:val="00045B09"/>
    <w:rsid w:val="0004656D"/>
    <w:rsid w:val="0004676E"/>
    <w:rsid w:val="0004695F"/>
    <w:rsid w:val="00046BB9"/>
    <w:rsid w:val="00046D86"/>
    <w:rsid w:val="000502F0"/>
    <w:rsid w:val="00051654"/>
    <w:rsid w:val="00052D2B"/>
    <w:rsid w:val="000538A4"/>
    <w:rsid w:val="000539D7"/>
    <w:rsid w:val="00055B2F"/>
    <w:rsid w:val="00055B78"/>
    <w:rsid w:val="000565B3"/>
    <w:rsid w:val="0005705A"/>
    <w:rsid w:val="000573D1"/>
    <w:rsid w:val="000606D5"/>
    <w:rsid w:val="0006138E"/>
    <w:rsid w:val="0006166D"/>
    <w:rsid w:val="000618E4"/>
    <w:rsid w:val="00061972"/>
    <w:rsid w:val="00061D5E"/>
    <w:rsid w:val="00062321"/>
    <w:rsid w:val="00062E5D"/>
    <w:rsid w:val="00065934"/>
    <w:rsid w:val="00065C22"/>
    <w:rsid w:val="00066BF4"/>
    <w:rsid w:val="000674A6"/>
    <w:rsid w:val="00070525"/>
    <w:rsid w:val="000711E8"/>
    <w:rsid w:val="00072999"/>
    <w:rsid w:val="00072EA4"/>
    <w:rsid w:val="000734BC"/>
    <w:rsid w:val="00073A70"/>
    <w:rsid w:val="000743EF"/>
    <w:rsid w:val="00075836"/>
    <w:rsid w:val="0007634C"/>
    <w:rsid w:val="0007674C"/>
    <w:rsid w:val="00076C3B"/>
    <w:rsid w:val="00077421"/>
    <w:rsid w:val="000775D8"/>
    <w:rsid w:val="00077A49"/>
    <w:rsid w:val="00077D2E"/>
    <w:rsid w:val="000807AE"/>
    <w:rsid w:val="000819CE"/>
    <w:rsid w:val="00081AC5"/>
    <w:rsid w:val="0008210F"/>
    <w:rsid w:val="000823E7"/>
    <w:rsid w:val="00083061"/>
    <w:rsid w:val="000830AC"/>
    <w:rsid w:val="0008352F"/>
    <w:rsid w:val="0008355B"/>
    <w:rsid w:val="00083796"/>
    <w:rsid w:val="00083D95"/>
    <w:rsid w:val="00084D29"/>
    <w:rsid w:val="0008563F"/>
    <w:rsid w:val="000868BC"/>
    <w:rsid w:val="00087592"/>
    <w:rsid w:val="00087B08"/>
    <w:rsid w:val="000909E4"/>
    <w:rsid w:val="00090F42"/>
    <w:rsid w:val="00091041"/>
    <w:rsid w:val="00092517"/>
    <w:rsid w:val="00092BF0"/>
    <w:rsid w:val="00093162"/>
    <w:rsid w:val="000931B4"/>
    <w:rsid w:val="0009336E"/>
    <w:rsid w:val="00095E38"/>
    <w:rsid w:val="0009616B"/>
    <w:rsid w:val="000963B4"/>
    <w:rsid w:val="00097278"/>
    <w:rsid w:val="0009792C"/>
    <w:rsid w:val="00097E77"/>
    <w:rsid w:val="000A0096"/>
    <w:rsid w:val="000A0438"/>
    <w:rsid w:val="000A05BF"/>
    <w:rsid w:val="000A16D8"/>
    <w:rsid w:val="000A2EDB"/>
    <w:rsid w:val="000A369B"/>
    <w:rsid w:val="000A3856"/>
    <w:rsid w:val="000A3935"/>
    <w:rsid w:val="000A3A0E"/>
    <w:rsid w:val="000A3D1E"/>
    <w:rsid w:val="000A3DB3"/>
    <w:rsid w:val="000A4A59"/>
    <w:rsid w:val="000A50E3"/>
    <w:rsid w:val="000A53AF"/>
    <w:rsid w:val="000A5F6F"/>
    <w:rsid w:val="000A6028"/>
    <w:rsid w:val="000A7FCE"/>
    <w:rsid w:val="000B0335"/>
    <w:rsid w:val="000B0ABB"/>
    <w:rsid w:val="000B0C34"/>
    <w:rsid w:val="000B0FBC"/>
    <w:rsid w:val="000B135D"/>
    <w:rsid w:val="000B1BA0"/>
    <w:rsid w:val="000B2313"/>
    <w:rsid w:val="000B23DF"/>
    <w:rsid w:val="000B2F30"/>
    <w:rsid w:val="000B4B7A"/>
    <w:rsid w:val="000B4CBC"/>
    <w:rsid w:val="000B5AE3"/>
    <w:rsid w:val="000B5B98"/>
    <w:rsid w:val="000B5C45"/>
    <w:rsid w:val="000B71ED"/>
    <w:rsid w:val="000B7896"/>
    <w:rsid w:val="000B7C8E"/>
    <w:rsid w:val="000C027C"/>
    <w:rsid w:val="000C05E6"/>
    <w:rsid w:val="000C1924"/>
    <w:rsid w:val="000C192B"/>
    <w:rsid w:val="000C1B20"/>
    <w:rsid w:val="000C2BF1"/>
    <w:rsid w:val="000C2D56"/>
    <w:rsid w:val="000C31BE"/>
    <w:rsid w:val="000C359B"/>
    <w:rsid w:val="000C3797"/>
    <w:rsid w:val="000C388D"/>
    <w:rsid w:val="000C38AF"/>
    <w:rsid w:val="000C3CD1"/>
    <w:rsid w:val="000C44C4"/>
    <w:rsid w:val="000C50BA"/>
    <w:rsid w:val="000C5571"/>
    <w:rsid w:val="000C5581"/>
    <w:rsid w:val="000C5771"/>
    <w:rsid w:val="000C6378"/>
    <w:rsid w:val="000C6811"/>
    <w:rsid w:val="000C6DE5"/>
    <w:rsid w:val="000C6E19"/>
    <w:rsid w:val="000D0F0D"/>
    <w:rsid w:val="000D1BBE"/>
    <w:rsid w:val="000D1F4F"/>
    <w:rsid w:val="000D1FAB"/>
    <w:rsid w:val="000D24E3"/>
    <w:rsid w:val="000D2614"/>
    <w:rsid w:val="000D34D6"/>
    <w:rsid w:val="000D3C4C"/>
    <w:rsid w:val="000D6FB4"/>
    <w:rsid w:val="000E1637"/>
    <w:rsid w:val="000E18FB"/>
    <w:rsid w:val="000E270D"/>
    <w:rsid w:val="000E2816"/>
    <w:rsid w:val="000E2A22"/>
    <w:rsid w:val="000E2E78"/>
    <w:rsid w:val="000E5419"/>
    <w:rsid w:val="000E5C5C"/>
    <w:rsid w:val="000E7012"/>
    <w:rsid w:val="000F074E"/>
    <w:rsid w:val="000F0D59"/>
    <w:rsid w:val="000F1B56"/>
    <w:rsid w:val="000F2BFA"/>
    <w:rsid w:val="000F32C6"/>
    <w:rsid w:val="000F33C0"/>
    <w:rsid w:val="000F39EE"/>
    <w:rsid w:val="000F3FA8"/>
    <w:rsid w:val="000F42F7"/>
    <w:rsid w:val="000F4640"/>
    <w:rsid w:val="000F5AFE"/>
    <w:rsid w:val="000F63A5"/>
    <w:rsid w:val="000F7DEB"/>
    <w:rsid w:val="001006A6"/>
    <w:rsid w:val="001006C2"/>
    <w:rsid w:val="001008EC"/>
    <w:rsid w:val="0010244E"/>
    <w:rsid w:val="001024D4"/>
    <w:rsid w:val="00102A95"/>
    <w:rsid w:val="00102BAF"/>
    <w:rsid w:val="00102CC0"/>
    <w:rsid w:val="00102E60"/>
    <w:rsid w:val="00103C1C"/>
    <w:rsid w:val="00104E48"/>
    <w:rsid w:val="00106A91"/>
    <w:rsid w:val="0010700C"/>
    <w:rsid w:val="0010761C"/>
    <w:rsid w:val="00111A07"/>
    <w:rsid w:val="00111BCE"/>
    <w:rsid w:val="001121E3"/>
    <w:rsid w:val="00112573"/>
    <w:rsid w:val="0011293A"/>
    <w:rsid w:val="00113C51"/>
    <w:rsid w:val="00113FE6"/>
    <w:rsid w:val="00114C25"/>
    <w:rsid w:val="00115F5C"/>
    <w:rsid w:val="00116138"/>
    <w:rsid w:val="0011649C"/>
    <w:rsid w:val="00116879"/>
    <w:rsid w:val="001178C6"/>
    <w:rsid w:val="00117F34"/>
    <w:rsid w:val="00121E7B"/>
    <w:rsid w:val="00122686"/>
    <w:rsid w:val="001238D3"/>
    <w:rsid w:val="00123A16"/>
    <w:rsid w:val="00123BCA"/>
    <w:rsid w:val="00124059"/>
    <w:rsid w:val="00124CD5"/>
    <w:rsid w:val="001252DE"/>
    <w:rsid w:val="0012656D"/>
    <w:rsid w:val="00126632"/>
    <w:rsid w:val="00126E57"/>
    <w:rsid w:val="0012747D"/>
    <w:rsid w:val="00127C7F"/>
    <w:rsid w:val="001317C3"/>
    <w:rsid w:val="001323A1"/>
    <w:rsid w:val="00132510"/>
    <w:rsid w:val="00132D95"/>
    <w:rsid w:val="00133DCD"/>
    <w:rsid w:val="00134560"/>
    <w:rsid w:val="0013491D"/>
    <w:rsid w:val="001350BE"/>
    <w:rsid w:val="0013664A"/>
    <w:rsid w:val="00136970"/>
    <w:rsid w:val="00136BEE"/>
    <w:rsid w:val="00137985"/>
    <w:rsid w:val="00140675"/>
    <w:rsid w:val="00140741"/>
    <w:rsid w:val="001411E6"/>
    <w:rsid w:val="00141760"/>
    <w:rsid w:val="00142775"/>
    <w:rsid w:val="00142CDE"/>
    <w:rsid w:val="00143952"/>
    <w:rsid w:val="00144103"/>
    <w:rsid w:val="001446C9"/>
    <w:rsid w:val="00144BE4"/>
    <w:rsid w:val="00145037"/>
    <w:rsid w:val="00145E6E"/>
    <w:rsid w:val="00146587"/>
    <w:rsid w:val="00146ADE"/>
    <w:rsid w:val="0014708A"/>
    <w:rsid w:val="00147188"/>
    <w:rsid w:val="00147648"/>
    <w:rsid w:val="001478DF"/>
    <w:rsid w:val="00147925"/>
    <w:rsid w:val="00147A17"/>
    <w:rsid w:val="00147DCB"/>
    <w:rsid w:val="00150250"/>
    <w:rsid w:val="00150660"/>
    <w:rsid w:val="001513CB"/>
    <w:rsid w:val="00151AF8"/>
    <w:rsid w:val="001523DD"/>
    <w:rsid w:val="00152465"/>
    <w:rsid w:val="00152B5C"/>
    <w:rsid w:val="00153AFB"/>
    <w:rsid w:val="00153BD7"/>
    <w:rsid w:val="00153EF4"/>
    <w:rsid w:val="00154624"/>
    <w:rsid w:val="00155DEA"/>
    <w:rsid w:val="00155E83"/>
    <w:rsid w:val="0015647D"/>
    <w:rsid w:val="00156E96"/>
    <w:rsid w:val="00156FBB"/>
    <w:rsid w:val="00156FD3"/>
    <w:rsid w:val="0015746F"/>
    <w:rsid w:val="0015788D"/>
    <w:rsid w:val="00160195"/>
    <w:rsid w:val="001602CE"/>
    <w:rsid w:val="00160C36"/>
    <w:rsid w:val="00160DF3"/>
    <w:rsid w:val="00160FD7"/>
    <w:rsid w:val="001610A0"/>
    <w:rsid w:val="00161FD3"/>
    <w:rsid w:val="00162241"/>
    <w:rsid w:val="0016337F"/>
    <w:rsid w:val="0016358A"/>
    <w:rsid w:val="00163AA1"/>
    <w:rsid w:val="00163B35"/>
    <w:rsid w:val="0016441F"/>
    <w:rsid w:val="0016475D"/>
    <w:rsid w:val="00164882"/>
    <w:rsid w:val="001667A1"/>
    <w:rsid w:val="0016724C"/>
    <w:rsid w:val="0017025C"/>
    <w:rsid w:val="0017099E"/>
    <w:rsid w:val="001709E7"/>
    <w:rsid w:val="0017111C"/>
    <w:rsid w:val="00171159"/>
    <w:rsid w:val="0017138A"/>
    <w:rsid w:val="00171CEB"/>
    <w:rsid w:val="00171E6E"/>
    <w:rsid w:val="00171FC2"/>
    <w:rsid w:val="001723C6"/>
    <w:rsid w:val="00172E56"/>
    <w:rsid w:val="001743EB"/>
    <w:rsid w:val="001750B6"/>
    <w:rsid w:val="00175F10"/>
    <w:rsid w:val="0017641B"/>
    <w:rsid w:val="00177173"/>
    <w:rsid w:val="00177217"/>
    <w:rsid w:val="00177286"/>
    <w:rsid w:val="00177406"/>
    <w:rsid w:val="0017771F"/>
    <w:rsid w:val="00177783"/>
    <w:rsid w:val="00177DE1"/>
    <w:rsid w:val="00177F6B"/>
    <w:rsid w:val="00177FA4"/>
    <w:rsid w:val="00181027"/>
    <w:rsid w:val="0018193A"/>
    <w:rsid w:val="00181A69"/>
    <w:rsid w:val="001823F5"/>
    <w:rsid w:val="0018240F"/>
    <w:rsid w:val="00182614"/>
    <w:rsid w:val="00182B99"/>
    <w:rsid w:val="00182E17"/>
    <w:rsid w:val="00183392"/>
    <w:rsid w:val="001835FF"/>
    <w:rsid w:val="00183ACB"/>
    <w:rsid w:val="00183B0F"/>
    <w:rsid w:val="00183F43"/>
    <w:rsid w:val="00184009"/>
    <w:rsid w:val="001841CD"/>
    <w:rsid w:val="001847E9"/>
    <w:rsid w:val="00184DC4"/>
    <w:rsid w:val="001852B6"/>
    <w:rsid w:val="001856BC"/>
    <w:rsid w:val="00185984"/>
    <w:rsid w:val="0018619C"/>
    <w:rsid w:val="00187865"/>
    <w:rsid w:val="0019029D"/>
    <w:rsid w:val="00190A8E"/>
    <w:rsid w:val="0019127E"/>
    <w:rsid w:val="001912E2"/>
    <w:rsid w:val="0019170B"/>
    <w:rsid w:val="00192684"/>
    <w:rsid w:val="00193F45"/>
    <w:rsid w:val="00194541"/>
    <w:rsid w:val="001947A3"/>
    <w:rsid w:val="001948D2"/>
    <w:rsid w:val="001954EA"/>
    <w:rsid w:val="0019563A"/>
    <w:rsid w:val="0019566F"/>
    <w:rsid w:val="00195BB4"/>
    <w:rsid w:val="00195E7B"/>
    <w:rsid w:val="0019759F"/>
    <w:rsid w:val="0019780D"/>
    <w:rsid w:val="00197CB0"/>
    <w:rsid w:val="00197EC4"/>
    <w:rsid w:val="001A0128"/>
    <w:rsid w:val="001A087B"/>
    <w:rsid w:val="001A1109"/>
    <w:rsid w:val="001A1564"/>
    <w:rsid w:val="001A1C61"/>
    <w:rsid w:val="001A1CE6"/>
    <w:rsid w:val="001A1EE8"/>
    <w:rsid w:val="001A21BB"/>
    <w:rsid w:val="001A3381"/>
    <w:rsid w:val="001A35E9"/>
    <w:rsid w:val="001A3781"/>
    <w:rsid w:val="001A3F5E"/>
    <w:rsid w:val="001A419F"/>
    <w:rsid w:val="001A45F2"/>
    <w:rsid w:val="001A47DA"/>
    <w:rsid w:val="001A5A7D"/>
    <w:rsid w:val="001A5CEC"/>
    <w:rsid w:val="001A6C89"/>
    <w:rsid w:val="001A6E15"/>
    <w:rsid w:val="001A7D1E"/>
    <w:rsid w:val="001B0018"/>
    <w:rsid w:val="001B0AD7"/>
    <w:rsid w:val="001B174C"/>
    <w:rsid w:val="001B1F6B"/>
    <w:rsid w:val="001B2233"/>
    <w:rsid w:val="001B2409"/>
    <w:rsid w:val="001B250C"/>
    <w:rsid w:val="001B27AC"/>
    <w:rsid w:val="001B293B"/>
    <w:rsid w:val="001B2CC3"/>
    <w:rsid w:val="001B2E9D"/>
    <w:rsid w:val="001B3BE6"/>
    <w:rsid w:val="001B41FD"/>
    <w:rsid w:val="001B44B2"/>
    <w:rsid w:val="001B5750"/>
    <w:rsid w:val="001B5CD8"/>
    <w:rsid w:val="001B6308"/>
    <w:rsid w:val="001B76DE"/>
    <w:rsid w:val="001C04E7"/>
    <w:rsid w:val="001C06C0"/>
    <w:rsid w:val="001C1129"/>
    <w:rsid w:val="001C1B1C"/>
    <w:rsid w:val="001C1E0C"/>
    <w:rsid w:val="001C2139"/>
    <w:rsid w:val="001C2F38"/>
    <w:rsid w:val="001C4CD5"/>
    <w:rsid w:val="001C56F8"/>
    <w:rsid w:val="001C57F7"/>
    <w:rsid w:val="001C6066"/>
    <w:rsid w:val="001C6201"/>
    <w:rsid w:val="001C6204"/>
    <w:rsid w:val="001C6FF8"/>
    <w:rsid w:val="001C7121"/>
    <w:rsid w:val="001D09D3"/>
    <w:rsid w:val="001D1967"/>
    <w:rsid w:val="001D2BF4"/>
    <w:rsid w:val="001D30C3"/>
    <w:rsid w:val="001D345E"/>
    <w:rsid w:val="001D347A"/>
    <w:rsid w:val="001D365B"/>
    <w:rsid w:val="001D3CB4"/>
    <w:rsid w:val="001D4194"/>
    <w:rsid w:val="001D4466"/>
    <w:rsid w:val="001D44FE"/>
    <w:rsid w:val="001D4624"/>
    <w:rsid w:val="001D487B"/>
    <w:rsid w:val="001D5274"/>
    <w:rsid w:val="001D588B"/>
    <w:rsid w:val="001D5F02"/>
    <w:rsid w:val="001D61C7"/>
    <w:rsid w:val="001D6A06"/>
    <w:rsid w:val="001D6DA1"/>
    <w:rsid w:val="001D73FF"/>
    <w:rsid w:val="001D740D"/>
    <w:rsid w:val="001D7620"/>
    <w:rsid w:val="001D7B47"/>
    <w:rsid w:val="001D7EBC"/>
    <w:rsid w:val="001E054B"/>
    <w:rsid w:val="001E1318"/>
    <w:rsid w:val="001E188B"/>
    <w:rsid w:val="001E1E33"/>
    <w:rsid w:val="001E2C33"/>
    <w:rsid w:val="001E2DB3"/>
    <w:rsid w:val="001E304B"/>
    <w:rsid w:val="001E30A0"/>
    <w:rsid w:val="001E38C0"/>
    <w:rsid w:val="001E3909"/>
    <w:rsid w:val="001E3CBD"/>
    <w:rsid w:val="001E3CF0"/>
    <w:rsid w:val="001E4EF5"/>
    <w:rsid w:val="001E5012"/>
    <w:rsid w:val="001E6C6E"/>
    <w:rsid w:val="001E74BD"/>
    <w:rsid w:val="001F08D2"/>
    <w:rsid w:val="001F0F9F"/>
    <w:rsid w:val="001F111D"/>
    <w:rsid w:val="001F2FAE"/>
    <w:rsid w:val="001F3CAB"/>
    <w:rsid w:val="001F455F"/>
    <w:rsid w:val="001F49BC"/>
    <w:rsid w:val="001F5D72"/>
    <w:rsid w:val="001F620D"/>
    <w:rsid w:val="001F6361"/>
    <w:rsid w:val="001F63E9"/>
    <w:rsid w:val="001F6E1B"/>
    <w:rsid w:val="001F7ECB"/>
    <w:rsid w:val="00200492"/>
    <w:rsid w:val="0020057C"/>
    <w:rsid w:val="00201556"/>
    <w:rsid w:val="00201A97"/>
    <w:rsid w:val="00201B8C"/>
    <w:rsid w:val="00201E79"/>
    <w:rsid w:val="00202CC1"/>
    <w:rsid w:val="0020319A"/>
    <w:rsid w:val="00203EAF"/>
    <w:rsid w:val="002045ED"/>
    <w:rsid w:val="00205F77"/>
    <w:rsid w:val="0020602E"/>
    <w:rsid w:val="002060BE"/>
    <w:rsid w:val="0020632B"/>
    <w:rsid w:val="0020668C"/>
    <w:rsid w:val="00206ADD"/>
    <w:rsid w:val="002071B6"/>
    <w:rsid w:val="00207DC9"/>
    <w:rsid w:val="00210317"/>
    <w:rsid w:val="00210686"/>
    <w:rsid w:val="0021071C"/>
    <w:rsid w:val="00210F42"/>
    <w:rsid w:val="00211C93"/>
    <w:rsid w:val="0021226F"/>
    <w:rsid w:val="0021229D"/>
    <w:rsid w:val="002137DA"/>
    <w:rsid w:val="00213E27"/>
    <w:rsid w:val="00214227"/>
    <w:rsid w:val="0021424A"/>
    <w:rsid w:val="002151BB"/>
    <w:rsid w:val="0021537F"/>
    <w:rsid w:val="002158F8"/>
    <w:rsid w:val="00215A64"/>
    <w:rsid w:val="0021622F"/>
    <w:rsid w:val="0021651F"/>
    <w:rsid w:val="00217427"/>
    <w:rsid w:val="00217F58"/>
    <w:rsid w:val="00220599"/>
    <w:rsid w:val="002209B7"/>
    <w:rsid w:val="00220E29"/>
    <w:rsid w:val="0022141B"/>
    <w:rsid w:val="00221C16"/>
    <w:rsid w:val="00222395"/>
    <w:rsid w:val="002224FF"/>
    <w:rsid w:val="0022275A"/>
    <w:rsid w:val="00224418"/>
    <w:rsid w:val="00224A54"/>
    <w:rsid w:val="002259C0"/>
    <w:rsid w:val="00226F36"/>
    <w:rsid w:val="002274FD"/>
    <w:rsid w:val="00230FEA"/>
    <w:rsid w:val="0023109F"/>
    <w:rsid w:val="002352B7"/>
    <w:rsid w:val="00235A7C"/>
    <w:rsid w:val="00235EC7"/>
    <w:rsid w:val="00235F9D"/>
    <w:rsid w:val="002363A4"/>
    <w:rsid w:val="00236DF2"/>
    <w:rsid w:val="00236EBD"/>
    <w:rsid w:val="002370AA"/>
    <w:rsid w:val="002372C3"/>
    <w:rsid w:val="002403CE"/>
    <w:rsid w:val="00240B2C"/>
    <w:rsid w:val="00240B48"/>
    <w:rsid w:val="00240B59"/>
    <w:rsid w:val="002412F8"/>
    <w:rsid w:val="002412FC"/>
    <w:rsid w:val="0024175F"/>
    <w:rsid w:val="002419A4"/>
    <w:rsid w:val="00241EC6"/>
    <w:rsid w:val="00243048"/>
    <w:rsid w:val="002438F4"/>
    <w:rsid w:val="00244500"/>
    <w:rsid w:val="00244752"/>
    <w:rsid w:val="002459DA"/>
    <w:rsid w:val="00245A8F"/>
    <w:rsid w:val="00246B84"/>
    <w:rsid w:val="00247CCC"/>
    <w:rsid w:val="00250B50"/>
    <w:rsid w:val="0025139E"/>
    <w:rsid w:val="00251A8F"/>
    <w:rsid w:val="002523F2"/>
    <w:rsid w:val="00252500"/>
    <w:rsid w:val="00252FDB"/>
    <w:rsid w:val="0025303C"/>
    <w:rsid w:val="00253132"/>
    <w:rsid w:val="00253400"/>
    <w:rsid w:val="00253AC4"/>
    <w:rsid w:val="00253D79"/>
    <w:rsid w:val="00253F1C"/>
    <w:rsid w:val="00254260"/>
    <w:rsid w:val="002556B8"/>
    <w:rsid w:val="00255FC9"/>
    <w:rsid w:val="0025601C"/>
    <w:rsid w:val="00256283"/>
    <w:rsid w:val="00256348"/>
    <w:rsid w:val="00257265"/>
    <w:rsid w:val="00257A31"/>
    <w:rsid w:val="002600BC"/>
    <w:rsid w:val="00260A78"/>
    <w:rsid w:val="00261872"/>
    <w:rsid w:val="00261C42"/>
    <w:rsid w:val="00261C92"/>
    <w:rsid w:val="00262013"/>
    <w:rsid w:val="00262B2E"/>
    <w:rsid w:val="00263198"/>
    <w:rsid w:val="002631BC"/>
    <w:rsid w:val="00264330"/>
    <w:rsid w:val="0026546F"/>
    <w:rsid w:val="00265F76"/>
    <w:rsid w:val="00266333"/>
    <w:rsid w:val="00266373"/>
    <w:rsid w:val="00266468"/>
    <w:rsid w:val="00266CD5"/>
    <w:rsid w:val="00270582"/>
    <w:rsid w:val="00270A10"/>
    <w:rsid w:val="00270D9B"/>
    <w:rsid w:val="00270DA4"/>
    <w:rsid w:val="002711DA"/>
    <w:rsid w:val="0027121A"/>
    <w:rsid w:val="00272BAC"/>
    <w:rsid w:val="002730FA"/>
    <w:rsid w:val="002731E9"/>
    <w:rsid w:val="00274209"/>
    <w:rsid w:val="002748CC"/>
    <w:rsid w:val="00274C4F"/>
    <w:rsid w:val="00275286"/>
    <w:rsid w:val="00275B20"/>
    <w:rsid w:val="00275EB0"/>
    <w:rsid w:val="00276250"/>
    <w:rsid w:val="00276658"/>
    <w:rsid w:val="00276B96"/>
    <w:rsid w:val="00276F31"/>
    <w:rsid w:val="002802C9"/>
    <w:rsid w:val="00280B07"/>
    <w:rsid w:val="00280E94"/>
    <w:rsid w:val="00280ED0"/>
    <w:rsid w:val="00281109"/>
    <w:rsid w:val="002817CA"/>
    <w:rsid w:val="00281B84"/>
    <w:rsid w:val="00282132"/>
    <w:rsid w:val="00282953"/>
    <w:rsid w:val="00282D16"/>
    <w:rsid w:val="00283119"/>
    <w:rsid w:val="002831D7"/>
    <w:rsid w:val="00283944"/>
    <w:rsid w:val="00283F90"/>
    <w:rsid w:val="00284423"/>
    <w:rsid w:val="002846D9"/>
    <w:rsid w:val="00286CED"/>
    <w:rsid w:val="00287103"/>
    <w:rsid w:val="00290624"/>
    <w:rsid w:val="0029072F"/>
    <w:rsid w:val="00290D42"/>
    <w:rsid w:val="0029131E"/>
    <w:rsid w:val="00291EC8"/>
    <w:rsid w:val="00292133"/>
    <w:rsid w:val="0029228C"/>
    <w:rsid w:val="0029274F"/>
    <w:rsid w:val="002930B8"/>
    <w:rsid w:val="00294B2A"/>
    <w:rsid w:val="00294DDD"/>
    <w:rsid w:val="00295823"/>
    <w:rsid w:val="002966BA"/>
    <w:rsid w:val="00296CEC"/>
    <w:rsid w:val="00296DF9"/>
    <w:rsid w:val="00296F04"/>
    <w:rsid w:val="002A0AFF"/>
    <w:rsid w:val="002A0D93"/>
    <w:rsid w:val="002A17D7"/>
    <w:rsid w:val="002A267C"/>
    <w:rsid w:val="002A2E41"/>
    <w:rsid w:val="002A332C"/>
    <w:rsid w:val="002A4348"/>
    <w:rsid w:val="002A50D5"/>
    <w:rsid w:val="002A5D9E"/>
    <w:rsid w:val="002A6931"/>
    <w:rsid w:val="002A6A44"/>
    <w:rsid w:val="002A6AE8"/>
    <w:rsid w:val="002A7B73"/>
    <w:rsid w:val="002B0628"/>
    <w:rsid w:val="002B06A1"/>
    <w:rsid w:val="002B12A9"/>
    <w:rsid w:val="002B3A4D"/>
    <w:rsid w:val="002B3BB1"/>
    <w:rsid w:val="002B4DB8"/>
    <w:rsid w:val="002B5655"/>
    <w:rsid w:val="002B634A"/>
    <w:rsid w:val="002B7220"/>
    <w:rsid w:val="002B77B2"/>
    <w:rsid w:val="002B7940"/>
    <w:rsid w:val="002B7C72"/>
    <w:rsid w:val="002B7FDE"/>
    <w:rsid w:val="002C0199"/>
    <w:rsid w:val="002C0B0F"/>
    <w:rsid w:val="002C1376"/>
    <w:rsid w:val="002C17B0"/>
    <w:rsid w:val="002C18A9"/>
    <w:rsid w:val="002C1B22"/>
    <w:rsid w:val="002C1EEF"/>
    <w:rsid w:val="002C1FC0"/>
    <w:rsid w:val="002C251A"/>
    <w:rsid w:val="002C286D"/>
    <w:rsid w:val="002C2EFE"/>
    <w:rsid w:val="002C31E3"/>
    <w:rsid w:val="002C3285"/>
    <w:rsid w:val="002C3C3F"/>
    <w:rsid w:val="002C420A"/>
    <w:rsid w:val="002C444E"/>
    <w:rsid w:val="002C5064"/>
    <w:rsid w:val="002C57A3"/>
    <w:rsid w:val="002C5CB9"/>
    <w:rsid w:val="002C6A16"/>
    <w:rsid w:val="002C6DBC"/>
    <w:rsid w:val="002C7026"/>
    <w:rsid w:val="002C71CA"/>
    <w:rsid w:val="002C72E0"/>
    <w:rsid w:val="002C7F2D"/>
    <w:rsid w:val="002C7FD7"/>
    <w:rsid w:val="002D05DD"/>
    <w:rsid w:val="002D1397"/>
    <w:rsid w:val="002D1411"/>
    <w:rsid w:val="002D1B4B"/>
    <w:rsid w:val="002D1B96"/>
    <w:rsid w:val="002D4C33"/>
    <w:rsid w:val="002D51D7"/>
    <w:rsid w:val="002D611C"/>
    <w:rsid w:val="002D61AA"/>
    <w:rsid w:val="002D630F"/>
    <w:rsid w:val="002D64CF"/>
    <w:rsid w:val="002D705B"/>
    <w:rsid w:val="002D7BC5"/>
    <w:rsid w:val="002D7D36"/>
    <w:rsid w:val="002D7D9F"/>
    <w:rsid w:val="002E0795"/>
    <w:rsid w:val="002E11EF"/>
    <w:rsid w:val="002E2476"/>
    <w:rsid w:val="002E398A"/>
    <w:rsid w:val="002E4156"/>
    <w:rsid w:val="002E4B0B"/>
    <w:rsid w:val="002E4D12"/>
    <w:rsid w:val="002E4F6A"/>
    <w:rsid w:val="002E59F8"/>
    <w:rsid w:val="002E7652"/>
    <w:rsid w:val="002E7CBC"/>
    <w:rsid w:val="002E7D02"/>
    <w:rsid w:val="002E7D0B"/>
    <w:rsid w:val="002F04C5"/>
    <w:rsid w:val="002F0A52"/>
    <w:rsid w:val="002F1427"/>
    <w:rsid w:val="002F2C94"/>
    <w:rsid w:val="002F30B5"/>
    <w:rsid w:val="002F3241"/>
    <w:rsid w:val="002F3DAB"/>
    <w:rsid w:val="002F3DBC"/>
    <w:rsid w:val="002F3F7B"/>
    <w:rsid w:val="002F44EE"/>
    <w:rsid w:val="002F4F9F"/>
    <w:rsid w:val="002F5ABE"/>
    <w:rsid w:val="002F6258"/>
    <w:rsid w:val="002F6BDB"/>
    <w:rsid w:val="002F6E7D"/>
    <w:rsid w:val="002F7156"/>
    <w:rsid w:val="003004D6"/>
    <w:rsid w:val="00300737"/>
    <w:rsid w:val="00300B60"/>
    <w:rsid w:val="00300FD4"/>
    <w:rsid w:val="003024FB"/>
    <w:rsid w:val="0030266A"/>
    <w:rsid w:val="00302BEC"/>
    <w:rsid w:val="0030342C"/>
    <w:rsid w:val="003039CC"/>
    <w:rsid w:val="00303D63"/>
    <w:rsid w:val="003043DF"/>
    <w:rsid w:val="00305251"/>
    <w:rsid w:val="003054F8"/>
    <w:rsid w:val="00305DC8"/>
    <w:rsid w:val="00306AB0"/>
    <w:rsid w:val="00307577"/>
    <w:rsid w:val="003079CC"/>
    <w:rsid w:val="00307CD1"/>
    <w:rsid w:val="00310062"/>
    <w:rsid w:val="0031101B"/>
    <w:rsid w:val="00312813"/>
    <w:rsid w:val="00312A50"/>
    <w:rsid w:val="00312FDD"/>
    <w:rsid w:val="003130FA"/>
    <w:rsid w:val="00313B61"/>
    <w:rsid w:val="00313D3C"/>
    <w:rsid w:val="00313F69"/>
    <w:rsid w:val="00314024"/>
    <w:rsid w:val="00314739"/>
    <w:rsid w:val="0031498B"/>
    <w:rsid w:val="003151EB"/>
    <w:rsid w:val="003154C8"/>
    <w:rsid w:val="00315794"/>
    <w:rsid w:val="00315E46"/>
    <w:rsid w:val="0031619E"/>
    <w:rsid w:val="003168CB"/>
    <w:rsid w:val="00317B83"/>
    <w:rsid w:val="00320007"/>
    <w:rsid w:val="00321987"/>
    <w:rsid w:val="003219AF"/>
    <w:rsid w:val="00321F92"/>
    <w:rsid w:val="003227F7"/>
    <w:rsid w:val="00322DD1"/>
    <w:rsid w:val="00323816"/>
    <w:rsid w:val="00323C87"/>
    <w:rsid w:val="003240D5"/>
    <w:rsid w:val="003249E8"/>
    <w:rsid w:val="00324B4F"/>
    <w:rsid w:val="00325060"/>
    <w:rsid w:val="00325340"/>
    <w:rsid w:val="003253F9"/>
    <w:rsid w:val="00326527"/>
    <w:rsid w:val="0032671A"/>
    <w:rsid w:val="003269B0"/>
    <w:rsid w:val="00327334"/>
    <w:rsid w:val="003279E7"/>
    <w:rsid w:val="0033005D"/>
    <w:rsid w:val="003304CD"/>
    <w:rsid w:val="00330636"/>
    <w:rsid w:val="00330644"/>
    <w:rsid w:val="00330CB4"/>
    <w:rsid w:val="00330F06"/>
    <w:rsid w:val="00331B94"/>
    <w:rsid w:val="00331ECE"/>
    <w:rsid w:val="003327B0"/>
    <w:rsid w:val="003334AF"/>
    <w:rsid w:val="00333841"/>
    <w:rsid w:val="0033396C"/>
    <w:rsid w:val="0033442A"/>
    <w:rsid w:val="00334958"/>
    <w:rsid w:val="00335250"/>
    <w:rsid w:val="003354C6"/>
    <w:rsid w:val="00335848"/>
    <w:rsid w:val="00335A57"/>
    <w:rsid w:val="00335BAF"/>
    <w:rsid w:val="00336D73"/>
    <w:rsid w:val="00336F2A"/>
    <w:rsid w:val="00337B80"/>
    <w:rsid w:val="003405EF"/>
    <w:rsid w:val="00340AAD"/>
    <w:rsid w:val="00340CBD"/>
    <w:rsid w:val="00340EF4"/>
    <w:rsid w:val="00340F0C"/>
    <w:rsid w:val="00341528"/>
    <w:rsid w:val="0034176A"/>
    <w:rsid w:val="003420FD"/>
    <w:rsid w:val="00342D22"/>
    <w:rsid w:val="0034326D"/>
    <w:rsid w:val="00343762"/>
    <w:rsid w:val="00343A09"/>
    <w:rsid w:val="00343AEC"/>
    <w:rsid w:val="00344109"/>
    <w:rsid w:val="00345D86"/>
    <w:rsid w:val="00347DF9"/>
    <w:rsid w:val="00347E4D"/>
    <w:rsid w:val="00350127"/>
    <w:rsid w:val="00350154"/>
    <w:rsid w:val="00350187"/>
    <w:rsid w:val="003509D4"/>
    <w:rsid w:val="00350C8D"/>
    <w:rsid w:val="00351138"/>
    <w:rsid w:val="003529A9"/>
    <w:rsid w:val="00352E75"/>
    <w:rsid w:val="003532D1"/>
    <w:rsid w:val="0035416F"/>
    <w:rsid w:val="00354F1A"/>
    <w:rsid w:val="00355887"/>
    <w:rsid w:val="00355C60"/>
    <w:rsid w:val="00355F5B"/>
    <w:rsid w:val="003560A5"/>
    <w:rsid w:val="0035797E"/>
    <w:rsid w:val="00357BAB"/>
    <w:rsid w:val="00360A59"/>
    <w:rsid w:val="00360B20"/>
    <w:rsid w:val="00360C73"/>
    <w:rsid w:val="00360E9A"/>
    <w:rsid w:val="00361E37"/>
    <w:rsid w:val="00362372"/>
    <w:rsid w:val="00362C8E"/>
    <w:rsid w:val="003636B8"/>
    <w:rsid w:val="003642AA"/>
    <w:rsid w:val="00364367"/>
    <w:rsid w:val="00364692"/>
    <w:rsid w:val="00364A1E"/>
    <w:rsid w:val="00364BD1"/>
    <w:rsid w:val="00364E8F"/>
    <w:rsid w:val="0036524F"/>
    <w:rsid w:val="00365367"/>
    <w:rsid w:val="003653D9"/>
    <w:rsid w:val="0036639F"/>
    <w:rsid w:val="00366F23"/>
    <w:rsid w:val="00367308"/>
    <w:rsid w:val="003677BA"/>
    <w:rsid w:val="00367806"/>
    <w:rsid w:val="003703DD"/>
    <w:rsid w:val="00370DED"/>
    <w:rsid w:val="00370E4A"/>
    <w:rsid w:val="0037157E"/>
    <w:rsid w:val="003725A0"/>
    <w:rsid w:val="0037260F"/>
    <w:rsid w:val="0037472F"/>
    <w:rsid w:val="00374F8A"/>
    <w:rsid w:val="0037595D"/>
    <w:rsid w:val="00376EC5"/>
    <w:rsid w:val="003771F4"/>
    <w:rsid w:val="003778E9"/>
    <w:rsid w:val="00377F70"/>
    <w:rsid w:val="00380ACC"/>
    <w:rsid w:val="00380E1B"/>
    <w:rsid w:val="00380E37"/>
    <w:rsid w:val="0038106F"/>
    <w:rsid w:val="003816E2"/>
    <w:rsid w:val="00381E71"/>
    <w:rsid w:val="003828F9"/>
    <w:rsid w:val="00382C85"/>
    <w:rsid w:val="00382E20"/>
    <w:rsid w:val="0038302D"/>
    <w:rsid w:val="0038371A"/>
    <w:rsid w:val="003838F0"/>
    <w:rsid w:val="003848BD"/>
    <w:rsid w:val="00384D46"/>
    <w:rsid w:val="00385FBC"/>
    <w:rsid w:val="00386CA7"/>
    <w:rsid w:val="003870B6"/>
    <w:rsid w:val="00387442"/>
    <w:rsid w:val="003900E0"/>
    <w:rsid w:val="003912C9"/>
    <w:rsid w:val="00391B67"/>
    <w:rsid w:val="00392810"/>
    <w:rsid w:val="00392A9A"/>
    <w:rsid w:val="00392AE3"/>
    <w:rsid w:val="00392CFA"/>
    <w:rsid w:val="0039328F"/>
    <w:rsid w:val="00393A4A"/>
    <w:rsid w:val="00394719"/>
    <w:rsid w:val="003950B5"/>
    <w:rsid w:val="00395114"/>
    <w:rsid w:val="00395A5C"/>
    <w:rsid w:val="003960EE"/>
    <w:rsid w:val="00396E55"/>
    <w:rsid w:val="0039717F"/>
    <w:rsid w:val="003A14F7"/>
    <w:rsid w:val="003A18DC"/>
    <w:rsid w:val="003A2254"/>
    <w:rsid w:val="003A23E7"/>
    <w:rsid w:val="003A31DE"/>
    <w:rsid w:val="003A357E"/>
    <w:rsid w:val="003A4277"/>
    <w:rsid w:val="003A4A7C"/>
    <w:rsid w:val="003A5051"/>
    <w:rsid w:val="003A55BB"/>
    <w:rsid w:val="003A5F2D"/>
    <w:rsid w:val="003A6271"/>
    <w:rsid w:val="003A635F"/>
    <w:rsid w:val="003B05FA"/>
    <w:rsid w:val="003B0AAB"/>
    <w:rsid w:val="003B0B92"/>
    <w:rsid w:val="003B0C1C"/>
    <w:rsid w:val="003B0D68"/>
    <w:rsid w:val="003B0DE4"/>
    <w:rsid w:val="003B121D"/>
    <w:rsid w:val="003B12BA"/>
    <w:rsid w:val="003B2A18"/>
    <w:rsid w:val="003B2D03"/>
    <w:rsid w:val="003B2D76"/>
    <w:rsid w:val="003B3389"/>
    <w:rsid w:val="003B4484"/>
    <w:rsid w:val="003B4925"/>
    <w:rsid w:val="003B4D77"/>
    <w:rsid w:val="003B574E"/>
    <w:rsid w:val="003B67BF"/>
    <w:rsid w:val="003B70B0"/>
    <w:rsid w:val="003B759A"/>
    <w:rsid w:val="003B767F"/>
    <w:rsid w:val="003B7DB9"/>
    <w:rsid w:val="003C078E"/>
    <w:rsid w:val="003C08DA"/>
    <w:rsid w:val="003C08F3"/>
    <w:rsid w:val="003C1382"/>
    <w:rsid w:val="003C1582"/>
    <w:rsid w:val="003C1E7F"/>
    <w:rsid w:val="003C31F8"/>
    <w:rsid w:val="003C3763"/>
    <w:rsid w:val="003C451F"/>
    <w:rsid w:val="003C45B5"/>
    <w:rsid w:val="003C5F39"/>
    <w:rsid w:val="003C66AB"/>
    <w:rsid w:val="003C70C4"/>
    <w:rsid w:val="003C7212"/>
    <w:rsid w:val="003C7938"/>
    <w:rsid w:val="003C79E1"/>
    <w:rsid w:val="003C7A05"/>
    <w:rsid w:val="003C7B50"/>
    <w:rsid w:val="003D00E1"/>
    <w:rsid w:val="003D0885"/>
    <w:rsid w:val="003D0B9A"/>
    <w:rsid w:val="003D29AE"/>
    <w:rsid w:val="003D2AAC"/>
    <w:rsid w:val="003D3C14"/>
    <w:rsid w:val="003D3FB7"/>
    <w:rsid w:val="003D3FC7"/>
    <w:rsid w:val="003D43D2"/>
    <w:rsid w:val="003D473D"/>
    <w:rsid w:val="003D4A13"/>
    <w:rsid w:val="003D4B23"/>
    <w:rsid w:val="003D4E8A"/>
    <w:rsid w:val="003D4EDE"/>
    <w:rsid w:val="003D5008"/>
    <w:rsid w:val="003D518D"/>
    <w:rsid w:val="003D5B9B"/>
    <w:rsid w:val="003D6ED7"/>
    <w:rsid w:val="003D7573"/>
    <w:rsid w:val="003D7793"/>
    <w:rsid w:val="003D77E4"/>
    <w:rsid w:val="003E0135"/>
    <w:rsid w:val="003E0472"/>
    <w:rsid w:val="003E08F9"/>
    <w:rsid w:val="003E091A"/>
    <w:rsid w:val="003E0999"/>
    <w:rsid w:val="003E1152"/>
    <w:rsid w:val="003E1523"/>
    <w:rsid w:val="003E25F3"/>
    <w:rsid w:val="003E3F01"/>
    <w:rsid w:val="003E3FC8"/>
    <w:rsid w:val="003E4685"/>
    <w:rsid w:val="003E46EB"/>
    <w:rsid w:val="003E4D19"/>
    <w:rsid w:val="003E5499"/>
    <w:rsid w:val="003E5EF3"/>
    <w:rsid w:val="003E6B2A"/>
    <w:rsid w:val="003E6F93"/>
    <w:rsid w:val="003E715A"/>
    <w:rsid w:val="003E7297"/>
    <w:rsid w:val="003E7EBE"/>
    <w:rsid w:val="003F0A60"/>
    <w:rsid w:val="003F0CA5"/>
    <w:rsid w:val="003F0E40"/>
    <w:rsid w:val="003F13CF"/>
    <w:rsid w:val="003F17DD"/>
    <w:rsid w:val="003F2C38"/>
    <w:rsid w:val="003F2D69"/>
    <w:rsid w:val="003F2E1B"/>
    <w:rsid w:val="003F2F90"/>
    <w:rsid w:val="003F30A8"/>
    <w:rsid w:val="003F4079"/>
    <w:rsid w:val="003F41FB"/>
    <w:rsid w:val="003F4247"/>
    <w:rsid w:val="003F4864"/>
    <w:rsid w:val="003F4AEC"/>
    <w:rsid w:val="003F4D34"/>
    <w:rsid w:val="003F50B0"/>
    <w:rsid w:val="003F5EDB"/>
    <w:rsid w:val="003F6006"/>
    <w:rsid w:val="003F67BB"/>
    <w:rsid w:val="003F6933"/>
    <w:rsid w:val="003F6995"/>
    <w:rsid w:val="003F6BCA"/>
    <w:rsid w:val="003F74B5"/>
    <w:rsid w:val="003F75CA"/>
    <w:rsid w:val="00400348"/>
    <w:rsid w:val="004018C2"/>
    <w:rsid w:val="00401C99"/>
    <w:rsid w:val="00402A6C"/>
    <w:rsid w:val="004030F9"/>
    <w:rsid w:val="004032AE"/>
    <w:rsid w:val="004036E5"/>
    <w:rsid w:val="0040370A"/>
    <w:rsid w:val="00403949"/>
    <w:rsid w:val="00403A7F"/>
    <w:rsid w:val="00404563"/>
    <w:rsid w:val="00404E86"/>
    <w:rsid w:val="004051AB"/>
    <w:rsid w:val="00407C07"/>
    <w:rsid w:val="0041117A"/>
    <w:rsid w:val="00411817"/>
    <w:rsid w:val="00412A49"/>
    <w:rsid w:val="00413A25"/>
    <w:rsid w:val="0041405E"/>
    <w:rsid w:val="00414136"/>
    <w:rsid w:val="0041428E"/>
    <w:rsid w:val="004158B2"/>
    <w:rsid w:val="004166BB"/>
    <w:rsid w:val="00417634"/>
    <w:rsid w:val="0041799D"/>
    <w:rsid w:val="00417ED9"/>
    <w:rsid w:val="00420529"/>
    <w:rsid w:val="00420D70"/>
    <w:rsid w:val="004218BD"/>
    <w:rsid w:val="00421A48"/>
    <w:rsid w:val="00422624"/>
    <w:rsid w:val="00422B8F"/>
    <w:rsid w:val="00422C69"/>
    <w:rsid w:val="00423521"/>
    <w:rsid w:val="0042425A"/>
    <w:rsid w:val="0042427C"/>
    <w:rsid w:val="0042485D"/>
    <w:rsid w:val="00426D8E"/>
    <w:rsid w:val="004271FC"/>
    <w:rsid w:val="00427CE9"/>
    <w:rsid w:val="00427E8D"/>
    <w:rsid w:val="00427FCC"/>
    <w:rsid w:val="00430234"/>
    <w:rsid w:val="0043095D"/>
    <w:rsid w:val="00430B06"/>
    <w:rsid w:val="00430D73"/>
    <w:rsid w:val="00432402"/>
    <w:rsid w:val="00432500"/>
    <w:rsid w:val="00432B52"/>
    <w:rsid w:val="0043331F"/>
    <w:rsid w:val="0043396A"/>
    <w:rsid w:val="00433C1F"/>
    <w:rsid w:val="00434F17"/>
    <w:rsid w:val="00434FC5"/>
    <w:rsid w:val="00435364"/>
    <w:rsid w:val="00435B34"/>
    <w:rsid w:val="00435D68"/>
    <w:rsid w:val="00436130"/>
    <w:rsid w:val="004361BE"/>
    <w:rsid w:val="00436384"/>
    <w:rsid w:val="004365AE"/>
    <w:rsid w:val="0043760B"/>
    <w:rsid w:val="00440B1A"/>
    <w:rsid w:val="00441A8C"/>
    <w:rsid w:val="00441CC2"/>
    <w:rsid w:val="00441FDF"/>
    <w:rsid w:val="0044238E"/>
    <w:rsid w:val="00443FEF"/>
    <w:rsid w:val="00444C4E"/>
    <w:rsid w:val="0044597D"/>
    <w:rsid w:val="00445D26"/>
    <w:rsid w:val="00446502"/>
    <w:rsid w:val="0044657F"/>
    <w:rsid w:val="00446C14"/>
    <w:rsid w:val="00447C8A"/>
    <w:rsid w:val="0045127B"/>
    <w:rsid w:val="00451A4B"/>
    <w:rsid w:val="0045227A"/>
    <w:rsid w:val="004532D2"/>
    <w:rsid w:val="004544EA"/>
    <w:rsid w:val="00454FFA"/>
    <w:rsid w:val="00455030"/>
    <w:rsid w:val="004551D3"/>
    <w:rsid w:val="004552AD"/>
    <w:rsid w:val="004552BA"/>
    <w:rsid w:val="00455305"/>
    <w:rsid w:val="0045589D"/>
    <w:rsid w:val="00455C7E"/>
    <w:rsid w:val="00456709"/>
    <w:rsid w:val="00456883"/>
    <w:rsid w:val="00456FC9"/>
    <w:rsid w:val="00457A39"/>
    <w:rsid w:val="004601D3"/>
    <w:rsid w:val="004603D6"/>
    <w:rsid w:val="00460F0B"/>
    <w:rsid w:val="00460FCA"/>
    <w:rsid w:val="00461BCB"/>
    <w:rsid w:val="0046296B"/>
    <w:rsid w:val="00462AAD"/>
    <w:rsid w:val="00462BBC"/>
    <w:rsid w:val="00462FC3"/>
    <w:rsid w:val="00463C95"/>
    <w:rsid w:val="00464329"/>
    <w:rsid w:val="004643CB"/>
    <w:rsid w:val="00464640"/>
    <w:rsid w:val="004650D4"/>
    <w:rsid w:val="00465491"/>
    <w:rsid w:val="004657D2"/>
    <w:rsid w:val="00465FB2"/>
    <w:rsid w:val="004662EF"/>
    <w:rsid w:val="00467381"/>
    <w:rsid w:val="004673D2"/>
    <w:rsid w:val="004674C3"/>
    <w:rsid w:val="004677B5"/>
    <w:rsid w:val="00470F99"/>
    <w:rsid w:val="00473259"/>
    <w:rsid w:val="004735ED"/>
    <w:rsid w:val="00473ADD"/>
    <w:rsid w:val="00474E26"/>
    <w:rsid w:val="0047515A"/>
    <w:rsid w:val="00475D33"/>
    <w:rsid w:val="0047661E"/>
    <w:rsid w:val="004768B8"/>
    <w:rsid w:val="00476A65"/>
    <w:rsid w:val="00477483"/>
    <w:rsid w:val="00477AFB"/>
    <w:rsid w:val="00477E9D"/>
    <w:rsid w:val="004803CD"/>
    <w:rsid w:val="00480617"/>
    <w:rsid w:val="004807B6"/>
    <w:rsid w:val="00480D2B"/>
    <w:rsid w:val="00481018"/>
    <w:rsid w:val="00481CFD"/>
    <w:rsid w:val="00482224"/>
    <w:rsid w:val="004825C6"/>
    <w:rsid w:val="004825E0"/>
    <w:rsid w:val="00484011"/>
    <w:rsid w:val="004852EB"/>
    <w:rsid w:val="004853EC"/>
    <w:rsid w:val="0048574E"/>
    <w:rsid w:val="00485D12"/>
    <w:rsid w:val="00485EF7"/>
    <w:rsid w:val="00486041"/>
    <w:rsid w:val="0048612B"/>
    <w:rsid w:val="004862BE"/>
    <w:rsid w:val="00487196"/>
    <w:rsid w:val="00487428"/>
    <w:rsid w:val="0048769E"/>
    <w:rsid w:val="00491261"/>
    <w:rsid w:val="004919DC"/>
    <w:rsid w:val="00491E1F"/>
    <w:rsid w:val="00491EA4"/>
    <w:rsid w:val="00492877"/>
    <w:rsid w:val="00493B86"/>
    <w:rsid w:val="0049488A"/>
    <w:rsid w:val="00494A55"/>
    <w:rsid w:val="00494CA6"/>
    <w:rsid w:val="00495B6A"/>
    <w:rsid w:val="00496970"/>
    <w:rsid w:val="00496B63"/>
    <w:rsid w:val="0049713F"/>
    <w:rsid w:val="00497629"/>
    <w:rsid w:val="004A08A6"/>
    <w:rsid w:val="004A0B50"/>
    <w:rsid w:val="004A1B8F"/>
    <w:rsid w:val="004A1DD0"/>
    <w:rsid w:val="004A2CA3"/>
    <w:rsid w:val="004A304C"/>
    <w:rsid w:val="004A314E"/>
    <w:rsid w:val="004A3E28"/>
    <w:rsid w:val="004A3F5C"/>
    <w:rsid w:val="004A4059"/>
    <w:rsid w:val="004A5E02"/>
    <w:rsid w:val="004A61DA"/>
    <w:rsid w:val="004A6355"/>
    <w:rsid w:val="004A6935"/>
    <w:rsid w:val="004A6C06"/>
    <w:rsid w:val="004A6CAD"/>
    <w:rsid w:val="004A7239"/>
    <w:rsid w:val="004B1240"/>
    <w:rsid w:val="004B1A64"/>
    <w:rsid w:val="004B295C"/>
    <w:rsid w:val="004B2962"/>
    <w:rsid w:val="004B2EC1"/>
    <w:rsid w:val="004B439A"/>
    <w:rsid w:val="004B4D76"/>
    <w:rsid w:val="004B4E41"/>
    <w:rsid w:val="004B52B8"/>
    <w:rsid w:val="004B598F"/>
    <w:rsid w:val="004B5EFD"/>
    <w:rsid w:val="004B6013"/>
    <w:rsid w:val="004B6660"/>
    <w:rsid w:val="004B77F7"/>
    <w:rsid w:val="004C0242"/>
    <w:rsid w:val="004C0641"/>
    <w:rsid w:val="004C085A"/>
    <w:rsid w:val="004C1823"/>
    <w:rsid w:val="004C1FA2"/>
    <w:rsid w:val="004C2403"/>
    <w:rsid w:val="004C2955"/>
    <w:rsid w:val="004C33B2"/>
    <w:rsid w:val="004C5DDC"/>
    <w:rsid w:val="004C68E3"/>
    <w:rsid w:val="004C6B76"/>
    <w:rsid w:val="004C6FAB"/>
    <w:rsid w:val="004C70E5"/>
    <w:rsid w:val="004C71C4"/>
    <w:rsid w:val="004C7602"/>
    <w:rsid w:val="004C7E15"/>
    <w:rsid w:val="004C7E6E"/>
    <w:rsid w:val="004D0321"/>
    <w:rsid w:val="004D06ED"/>
    <w:rsid w:val="004D138F"/>
    <w:rsid w:val="004D16AF"/>
    <w:rsid w:val="004D1D8D"/>
    <w:rsid w:val="004D227B"/>
    <w:rsid w:val="004D24CA"/>
    <w:rsid w:val="004D3051"/>
    <w:rsid w:val="004D322E"/>
    <w:rsid w:val="004D389B"/>
    <w:rsid w:val="004D3E36"/>
    <w:rsid w:val="004D523B"/>
    <w:rsid w:val="004D59D2"/>
    <w:rsid w:val="004D5CE7"/>
    <w:rsid w:val="004D6CEA"/>
    <w:rsid w:val="004D6E58"/>
    <w:rsid w:val="004D7245"/>
    <w:rsid w:val="004D72CD"/>
    <w:rsid w:val="004D742D"/>
    <w:rsid w:val="004D7BFB"/>
    <w:rsid w:val="004E06C9"/>
    <w:rsid w:val="004E06D8"/>
    <w:rsid w:val="004E0B09"/>
    <w:rsid w:val="004E11BE"/>
    <w:rsid w:val="004E1536"/>
    <w:rsid w:val="004E196C"/>
    <w:rsid w:val="004E1E33"/>
    <w:rsid w:val="004E2D09"/>
    <w:rsid w:val="004E3264"/>
    <w:rsid w:val="004E346C"/>
    <w:rsid w:val="004E3907"/>
    <w:rsid w:val="004E3BCA"/>
    <w:rsid w:val="004E3F40"/>
    <w:rsid w:val="004E4271"/>
    <w:rsid w:val="004E4BAF"/>
    <w:rsid w:val="004E4DD2"/>
    <w:rsid w:val="004E6C51"/>
    <w:rsid w:val="004E726B"/>
    <w:rsid w:val="004F013E"/>
    <w:rsid w:val="004F0768"/>
    <w:rsid w:val="004F0822"/>
    <w:rsid w:val="004F0A09"/>
    <w:rsid w:val="004F2533"/>
    <w:rsid w:val="004F2551"/>
    <w:rsid w:val="004F2A2A"/>
    <w:rsid w:val="004F2A38"/>
    <w:rsid w:val="004F2BA6"/>
    <w:rsid w:val="004F33C0"/>
    <w:rsid w:val="004F372D"/>
    <w:rsid w:val="004F4867"/>
    <w:rsid w:val="004F49D3"/>
    <w:rsid w:val="004F4A14"/>
    <w:rsid w:val="004F4C95"/>
    <w:rsid w:val="004F6444"/>
    <w:rsid w:val="004F694A"/>
    <w:rsid w:val="0050055A"/>
    <w:rsid w:val="0050058F"/>
    <w:rsid w:val="00500E63"/>
    <w:rsid w:val="0050113F"/>
    <w:rsid w:val="005012E6"/>
    <w:rsid w:val="0050135F"/>
    <w:rsid w:val="00501983"/>
    <w:rsid w:val="00501A4B"/>
    <w:rsid w:val="005020E3"/>
    <w:rsid w:val="0050225D"/>
    <w:rsid w:val="0050233E"/>
    <w:rsid w:val="00502542"/>
    <w:rsid w:val="00504090"/>
    <w:rsid w:val="00504760"/>
    <w:rsid w:val="005057CA"/>
    <w:rsid w:val="0050584A"/>
    <w:rsid w:val="00505E1D"/>
    <w:rsid w:val="00506638"/>
    <w:rsid w:val="005072BE"/>
    <w:rsid w:val="0050769E"/>
    <w:rsid w:val="00510D22"/>
    <w:rsid w:val="0051142E"/>
    <w:rsid w:val="00511E1F"/>
    <w:rsid w:val="00511E67"/>
    <w:rsid w:val="005124F0"/>
    <w:rsid w:val="00512577"/>
    <w:rsid w:val="005131F9"/>
    <w:rsid w:val="00513373"/>
    <w:rsid w:val="00513E74"/>
    <w:rsid w:val="005145F9"/>
    <w:rsid w:val="00514752"/>
    <w:rsid w:val="0051517D"/>
    <w:rsid w:val="0051570A"/>
    <w:rsid w:val="005159D0"/>
    <w:rsid w:val="0051672A"/>
    <w:rsid w:val="005200D8"/>
    <w:rsid w:val="005205F7"/>
    <w:rsid w:val="00520D45"/>
    <w:rsid w:val="00521679"/>
    <w:rsid w:val="00522767"/>
    <w:rsid w:val="005231A9"/>
    <w:rsid w:val="00523F16"/>
    <w:rsid w:val="00524BFA"/>
    <w:rsid w:val="00525C36"/>
    <w:rsid w:val="005265F0"/>
    <w:rsid w:val="00526808"/>
    <w:rsid w:val="005279EC"/>
    <w:rsid w:val="00530407"/>
    <w:rsid w:val="00530D19"/>
    <w:rsid w:val="005317DE"/>
    <w:rsid w:val="00531D66"/>
    <w:rsid w:val="005330F6"/>
    <w:rsid w:val="00533BC9"/>
    <w:rsid w:val="00534058"/>
    <w:rsid w:val="005340BE"/>
    <w:rsid w:val="00534507"/>
    <w:rsid w:val="0053454D"/>
    <w:rsid w:val="0053583B"/>
    <w:rsid w:val="005371A6"/>
    <w:rsid w:val="005379C7"/>
    <w:rsid w:val="005407A4"/>
    <w:rsid w:val="00540A0B"/>
    <w:rsid w:val="00540FB7"/>
    <w:rsid w:val="00541007"/>
    <w:rsid w:val="005415D9"/>
    <w:rsid w:val="005423D0"/>
    <w:rsid w:val="0054270D"/>
    <w:rsid w:val="005428CE"/>
    <w:rsid w:val="00543180"/>
    <w:rsid w:val="00543F58"/>
    <w:rsid w:val="00544943"/>
    <w:rsid w:val="00544D0D"/>
    <w:rsid w:val="00544D1A"/>
    <w:rsid w:val="00546186"/>
    <w:rsid w:val="00546CD0"/>
    <w:rsid w:val="0054764A"/>
    <w:rsid w:val="00547FED"/>
    <w:rsid w:val="00550CC7"/>
    <w:rsid w:val="005510B3"/>
    <w:rsid w:val="00551490"/>
    <w:rsid w:val="0055168F"/>
    <w:rsid w:val="00551883"/>
    <w:rsid w:val="00551C01"/>
    <w:rsid w:val="00551DBD"/>
    <w:rsid w:val="00552071"/>
    <w:rsid w:val="00552479"/>
    <w:rsid w:val="00552B2A"/>
    <w:rsid w:val="00552BBC"/>
    <w:rsid w:val="0055318D"/>
    <w:rsid w:val="00553611"/>
    <w:rsid w:val="0055437B"/>
    <w:rsid w:val="0055446E"/>
    <w:rsid w:val="005546FA"/>
    <w:rsid w:val="0055474D"/>
    <w:rsid w:val="00555EE0"/>
    <w:rsid w:val="00555F42"/>
    <w:rsid w:val="00555F72"/>
    <w:rsid w:val="0055667D"/>
    <w:rsid w:val="005572B5"/>
    <w:rsid w:val="005574A3"/>
    <w:rsid w:val="00560696"/>
    <w:rsid w:val="005606E2"/>
    <w:rsid w:val="00560982"/>
    <w:rsid w:val="00560E2D"/>
    <w:rsid w:val="00561020"/>
    <w:rsid w:val="0056102E"/>
    <w:rsid w:val="00561308"/>
    <w:rsid w:val="00562A14"/>
    <w:rsid w:val="00562CCE"/>
    <w:rsid w:val="00563953"/>
    <w:rsid w:val="005639E9"/>
    <w:rsid w:val="00563D2E"/>
    <w:rsid w:val="00564B68"/>
    <w:rsid w:val="00564DF1"/>
    <w:rsid w:val="00564F58"/>
    <w:rsid w:val="00565311"/>
    <w:rsid w:val="00565901"/>
    <w:rsid w:val="00565C4E"/>
    <w:rsid w:val="00565C8F"/>
    <w:rsid w:val="005662D8"/>
    <w:rsid w:val="00567812"/>
    <w:rsid w:val="00567981"/>
    <w:rsid w:val="005700CC"/>
    <w:rsid w:val="00570736"/>
    <w:rsid w:val="00570CE9"/>
    <w:rsid w:val="00571597"/>
    <w:rsid w:val="005716E1"/>
    <w:rsid w:val="00571DA2"/>
    <w:rsid w:val="00572218"/>
    <w:rsid w:val="0057249D"/>
    <w:rsid w:val="0057259C"/>
    <w:rsid w:val="00573B66"/>
    <w:rsid w:val="005744AC"/>
    <w:rsid w:val="0057466D"/>
    <w:rsid w:val="00575006"/>
    <w:rsid w:val="00575EE8"/>
    <w:rsid w:val="00575FA3"/>
    <w:rsid w:val="00576781"/>
    <w:rsid w:val="00576E5A"/>
    <w:rsid w:val="005778BF"/>
    <w:rsid w:val="0058041E"/>
    <w:rsid w:val="00580934"/>
    <w:rsid w:val="00580CEB"/>
    <w:rsid w:val="00580FD7"/>
    <w:rsid w:val="00581B6B"/>
    <w:rsid w:val="005822A3"/>
    <w:rsid w:val="005824FD"/>
    <w:rsid w:val="00582A2D"/>
    <w:rsid w:val="00582C9C"/>
    <w:rsid w:val="00583D56"/>
    <w:rsid w:val="00583FC5"/>
    <w:rsid w:val="00584305"/>
    <w:rsid w:val="00585248"/>
    <w:rsid w:val="005853B6"/>
    <w:rsid w:val="0058544A"/>
    <w:rsid w:val="00585887"/>
    <w:rsid w:val="005868B7"/>
    <w:rsid w:val="00587E87"/>
    <w:rsid w:val="005904FA"/>
    <w:rsid w:val="005906D2"/>
    <w:rsid w:val="005912F6"/>
    <w:rsid w:val="005919FE"/>
    <w:rsid w:val="00591A12"/>
    <w:rsid w:val="00591F1A"/>
    <w:rsid w:val="00591F5C"/>
    <w:rsid w:val="005920EC"/>
    <w:rsid w:val="00592473"/>
    <w:rsid w:val="00592A0F"/>
    <w:rsid w:val="00592CDF"/>
    <w:rsid w:val="00594C58"/>
    <w:rsid w:val="00595928"/>
    <w:rsid w:val="00595936"/>
    <w:rsid w:val="00595C5E"/>
    <w:rsid w:val="005964A5"/>
    <w:rsid w:val="00596680"/>
    <w:rsid w:val="00596B89"/>
    <w:rsid w:val="005973F0"/>
    <w:rsid w:val="00597C5A"/>
    <w:rsid w:val="00597E6D"/>
    <w:rsid w:val="005A05CC"/>
    <w:rsid w:val="005A1A5D"/>
    <w:rsid w:val="005A1C59"/>
    <w:rsid w:val="005A202D"/>
    <w:rsid w:val="005A227A"/>
    <w:rsid w:val="005A230F"/>
    <w:rsid w:val="005A30DD"/>
    <w:rsid w:val="005A34F8"/>
    <w:rsid w:val="005A37D5"/>
    <w:rsid w:val="005A38F6"/>
    <w:rsid w:val="005A3D7F"/>
    <w:rsid w:val="005A4650"/>
    <w:rsid w:val="005A480A"/>
    <w:rsid w:val="005A49AB"/>
    <w:rsid w:val="005A4A9B"/>
    <w:rsid w:val="005A5D2D"/>
    <w:rsid w:val="005A5E82"/>
    <w:rsid w:val="005A6677"/>
    <w:rsid w:val="005A6758"/>
    <w:rsid w:val="005A74F9"/>
    <w:rsid w:val="005A7536"/>
    <w:rsid w:val="005A77B3"/>
    <w:rsid w:val="005B02C6"/>
    <w:rsid w:val="005B0F69"/>
    <w:rsid w:val="005B114A"/>
    <w:rsid w:val="005B1CF4"/>
    <w:rsid w:val="005B214A"/>
    <w:rsid w:val="005B2A50"/>
    <w:rsid w:val="005B2AF3"/>
    <w:rsid w:val="005B3F00"/>
    <w:rsid w:val="005B435B"/>
    <w:rsid w:val="005B4AFA"/>
    <w:rsid w:val="005B4F3A"/>
    <w:rsid w:val="005B59ED"/>
    <w:rsid w:val="005B5E53"/>
    <w:rsid w:val="005B6060"/>
    <w:rsid w:val="005B6473"/>
    <w:rsid w:val="005B6D6A"/>
    <w:rsid w:val="005B6E05"/>
    <w:rsid w:val="005B71E1"/>
    <w:rsid w:val="005B7592"/>
    <w:rsid w:val="005B7A35"/>
    <w:rsid w:val="005B7C62"/>
    <w:rsid w:val="005B7F95"/>
    <w:rsid w:val="005C0C32"/>
    <w:rsid w:val="005C1DDB"/>
    <w:rsid w:val="005C2424"/>
    <w:rsid w:val="005C4018"/>
    <w:rsid w:val="005C42D1"/>
    <w:rsid w:val="005C443E"/>
    <w:rsid w:val="005C4539"/>
    <w:rsid w:val="005C45DD"/>
    <w:rsid w:val="005C4B14"/>
    <w:rsid w:val="005C4B95"/>
    <w:rsid w:val="005C4E80"/>
    <w:rsid w:val="005C50EC"/>
    <w:rsid w:val="005C59D1"/>
    <w:rsid w:val="005C5F84"/>
    <w:rsid w:val="005C6E53"/>
    <w:rsid w:val="005C7FF2"/>
    <w:rsid w:val="005D02F1"/>
    <w:rsid w:val="005D0B4B"/>
    <w:rsid w:val="005D104B"/>
    <w:rsid w:val="005D1D48"/>
    <w:rsid w:val="005D20AF"/>
    <w:rsid w:val="005D26BD"/>
    <w:rsid w:val="005D2EA1"/>
    <w:rsid w:val="005D357D"/>
    <w:rsid w:val="005D3616"/>
    <w:rsid w:val="005D391A"/>
    <w:rsid w:val="005D4BE1"/>
    <w:rsid w:val="005D4C72"/>
    <w:rsid w:val="005D5D08"/>
    <w:rsid w:val="005D652F"/>
    <w:rsid w:val="005D6A07"/>
    <w:rsid w:val="005D7B45"/>
    <w:rsid w:val="005D7C44"/>
    <w:rsid w:val="005D7E6B"/>
    <w:rsid w:val="005E04F7"/>
    <w:rsid w:val="005E0A7C"/>
    <w:rsid w:val="005E11E9"/>
    <w:rsid w:val="005E1718"/>
    <w:rsid w:val="005E21A5"/>
    <w:rsid w:val="005E2F71"/>
    <w:rsid w:val="005E4FA0"/>
    <w:rsid w:val="005E61C7"/>
    <w:rsid w:val="005E7665"/>
    <w:rsid w:val="005F09D7"/>
    <w:rsid w:val="005F14CF"/>
    <w:rsid w:val="005F1C0C"/>
    <w:rsid w:val="005F1EEE"/>
    <w:rsid w:val="005F1FB7"/>
    <w:rsid w:val="005F20F8"/>
    <w:rsid w:val="005F2CB4"/>
    <w:rsid w:val="005F31B5"/>
    <w:rsid w:val="005F3361"/>
    <w:rsid w:val="005F358F"/>
    <w:rsid w:val="005F3795"/>
    <w:rsid w:val="005F3B60"/>
    <w:rsid w:val="005F4228"/>
    <w:rsid w:val="005F4F19"/>
    <w:rsid w:val="005F51B1"/>
    <w:rsid w:val="005F55D1"/>
    <w:rsid w:val="005F5610"/>
    <w:rsid w:val="005F5CA7"/>
    <w:rsid w:val="005F602E"/>
    <w:rsid w:val="005F69A0"/>
    <w:rsid w:val="005F7121"/>
    <w:rsid w:val="005F7182"/>
    <w:rsid w:val="005F7447"/>
    <w:rsid w:val="005F747B"/>
    <w:rsid w:val="005F7A45"/>
    <w:rsid w:val="005F7A69"/>
    <w:rsid w:val="005F7B98"/>
    <w:rsid w:val="00600A4C"/>
    <w:rsid w:val="00600E60"/>
    <w:rsid w:val="00601227"/>
    <w:rsid w:val="006012B5"/>
    <w:rsid w:val="00601910"/>
    <w:rsid w:val="00601A21"/>
    <w:rsid w:val="00601BCC"/>
    <w:rsid w:val="00602294"/>
    <w:rsid w:val="006022D7"/>
    <w:rsid w:val="00602E2F"/>
    <w:rsid w:val="006036F5"/>
    <w:rsid w:val="00603B17"/>
    <w:rsid w:val="00604100"/>
    <w:rsid w:val="006042E9"/>
    <w:rsid w:val="006043ED"/>
    <w:rsid w:val="00605DBE"/>
    <w:rsid w:val="00605F6F"/>
    <w:rsid w:val="00606187"/>
    <w:rsid w:val="0060628C"/>
    <w:rsid w:val="006066DB"/>
    <w:rsid w:val="00606FBE"/>
    <w:rsid w:val="0060724D"/>
    <w:rsid w:val="00607352"/>
    <w:rsid w:val="006073A3"/>
    <w:rsid w:val="006077A3"/>
    <w:rsid w:val="00607A72"/>
    <w:rsid w:val="006106D4"/>
    <w:rsid w:val="00610E7D"/>
    <w:rsid w:val="0061133B"/>
    <w:rsid w:val="00611560"/>
    <w:rsid w:val="006119FC"/>
    <w:rsid w:val="00611BA8"/>
    <w:rsid w:val="00611D35"/>
    <w:rsid w:val="00612216"/>
    <w:rsid w:val="00612541"/>
    <w:rsid w:val="006126F9"/>
    <w:rsid w:val="00612B2F"/>
    <w:rsid w:val="00612EE7"/>
    <w:rsid w:val="0061346D"/>
    <w:rsid w:val="00613D04"/>
    <w:rsid w:val="00614403"/>
    <w:rsid w:val="006144BC"/>
    <w:rsid w:val="00614555"/>
    <w:rsid w:val="0061463B"/>
    <w:rsid w:val="00614971"/>
    <w:rsid w:val="00614C36"/>
    <w:rsid w:val="00615057"/>
    <w:rsid w:val="006158C7"/>
    <w:rsid w:val="00615A16"/>
    <w:rsid w:val="0061693D"/>
    <w:rsid w:val="00616AE3"/>
    <w:rsid w:val="00616B48"/>
    <w:rsid w:val="00617045"/>
    <w:rsid w:val="00617DC5"/>
    <w:rsid w:val="00620121"/>
    <w:rsid w:val="0062076F"/>
    <w:rsid w:val="00620DA5"/>
    <w:rsid w:val="00620F78"/>
    <w:rsid w:val="006211CE"/>
    <w:rsid w:val="0062195C"/>
    <w:rsid w:val="00621E9B"/>
    <w:rsid w:val="00622548"/>
    <w:rsid w:val="006231BF"/>
    <w:rsid w:val="0062358A"/>
    <w:rsid w:val="006247A3"/>
    <w:rsid w:val="00624C01"/>
    <w:rsid w:val="00624DEF"/>
    <w:rsid w:val="00625DFE"/>
    <w:rsid w:val="00626113"/>
    <w:rsid w:val="00626178"/>
    <w:rsid w:val="00626334"/>
    <w:rsid w:val="00626762"/>
    <w:rsid w:val="00626DD1"/>
    <w:rsid w:val="006274EF"/>
    <w:rsid w:val="006277C4"/>
    <w:rsid w:val="00627C21"/>
    <w:rsid w:val="00627F06"/>
    <w:rsid w:val="0063000C"/>
    <w:rsid w:val="006300B3"/>
    <w:rsid w:val="006304D5"/>
    <w:rsid w:val="00630EC4"/>
    <w:rsid w:val="006311ED"/>
    <w:rsid w:val="0063188A"/>
    <w:rsid w:val="0063255A"/>
    <w:rsid w:val="00632F26"/>
    <w:rsid w:val="00633269"/>
    <w:rsid w:val="00633BD0"/>
    <w:rsid w:val="0063400D"/>
    <w:rsid w:val="00634C4F"/>
    <w:rsid w:val="00635B49"/>
    <w:rsid w:val="00636A4A"/>
    <w:rsid w:val="0063775D"/>
    <w:rsid w:val="00640A58"/>
    <w:rsid w:val="0064104B"/>
    <w:rsid w:val="00643249"/>
    <w:rsid w:val="006432AF"/>
    <w:rsid w:val="00643752"/>
    <w:rsid w:val="006439D2"/>
    <w:rsid w:val="00644503"/>
    <w:rsid w:val="00644BF5"/>
    <w:rsid w:val="00644D27"/>
    <w:rsid w:val="00645714"/>
    <w:rsid w:val="00645773"/>
    <w:rsid w:val="00645AA3"/>
    <w:rsid w:val="006466A0"/>
    <w:rsid w:val="00646844"/>
    <w:rsid w:val="00647329"/>
    <w:rsid w:val="006479FB"/>
    <w:rsid w:val="00650B89"/>
    <w:rsid w:val="00650ECF"/>
    <w:rsid w:val="00651089"/>
    <w:rsid w:val="0065145B"/>
    <w:rsid w:val="006517CB"/>
    <w:rsid w:val="006519CC"/>
    <w:rsid w:val="00651B71"/>
    <w:rsid w:val="006524CF"/>
    <w:rsid w:val="00652BCA"/>
    <w:rsid w:val="00652C81"/>
    <w:rsid w:val="00653A4E"/>
    <w:rsid w:val="00653D65"/>
    <w:rsid w:val="00654275"/>
    <w:rsid w:val="0065463C"/>
    <w:rsid w:val="00654B06"/>
    <w:rsid w:val="00655542"/>
    <w:rsid w:val="00655957"/>
    <w:rsid w:val="00656354"/>
    <w:rsid w:val="006563D0"/>
    <w:rsid w:val="00656AD1"/>
    <w:rsid w:val="00656B74"/>
    <w:rsid w:val="0065737D"/>
    <w:rsid w:val="0065797C"/>
    <w:rsid w:val="0066146E"/>
    <w:rsid w:val="00661E5C"/>
    <w:rsid w:val="00661F4B"/>
    <w:rsid w:val="00661FDD"/>
    <w:rsid w:val="00663182"/>
    <w:rsid w:val="00663855"/>
    <w:rsid w:val="006640F9"/>
    <w:rsid w:val="00664EB2"/>
    <w:rsid w:val="00666808"/>
    <w:rsid w:val="00666C55"/>
    <w:rsid w:val="00666D59"/>
    <w:rsid w:val="00666E66"/>
    <w:rsid w:val="006673EB"/>
    <w:rsid w:val="00667634"/>
    <w:rsid w:val="006700EA"/>
    <w:rsid w:val="00670633"/>
    <w:rsid w:val="00670DD6"/>
    <w:rsid w:val="00671575"/>
    <w:rsid w:val="00671578"/>
    <w:rsid w:val="0067171F"/>
    <w:rsid w:val="00672808"/>
    <w:rsid w:val="00672981"/>
    <w:rsid w:val="00672E96"/>
    <w:rsid w:val="00672EE4"/>
    <w:rsid w:val="00673150"/>
    <w:rsid w:val="00673DD5"/>
    <w:rsid w:val="006745B7"/>
    <w:rsid w:val="00675108"/>
    <w:rsid w:val="006756F3"/>
    <w:rsid w:val="0067571C"/>
    <w:rsid w:val="00676029"/>
    <w:rsid w:val="00676430"/>
    <w:rsid w:val="00676937"/>
    <w:rsid w:val="00676C01"/>
    <w:rsid w:val="0067770E"/>
    <w:rsid w:val="00677D1A"/>
    <w:rsid w:val="00680064"/>
    <w:rsid w:val="00680664"/>
    <w:rsid w:val="00680B31"/>
    <w:rsid w:val="00680C2B"/>
    <w:rsid w:val="0068131E"/>
    <w:rsid w:val="00681638"/>
    <w:rsid w:val="006825A4"/>
    <w:rsid w:val="00682F2B"/>
    <w:rsid w:val="0068338A"/>
    <w:rsid w:val="00683D6B"/>
    <w:rsid w:val="0068491A"/>
    <w:rsid w:val="006853B4"/>
    <w:rsid w:val="006857B2"/>
    <w:rsid w:val="006858A5"/>
    <w:rsid w:val="00685AE0"/>
    <w:rsid w:val="00685CED"/>
    <w:rsid w:val="00685E7B"/>
    <w:rsid w:val="00686903"/>
    <w:rsid w:val="00686C63"/>
    <w:rsid w:val="0068711E"/>
    <w:rsid w:val="00687592"/>
    <w:rsid w:val="006875D3"/>
    <w:rsid w:val="0069052E"/>
    <w:rsid w:val="00690BF3"/>
    <w:rsid w:val="00691254"/>
    <w:rsid w:val="00691F17"/>
    <w:rsid w:val="006923B3"/>
    <w:rsid w:val="00692449"/>
    <w:rsid w:val="0069259B"/>
    <w:rsid w:val="00692A5C"/>
    <w:rsid w:val="00692E52"/>
    <w:rsid w:val="00693182"/>
    <w:rsid w:val="00693190"/>
    <w:rsid w:val="006938F5"/>
    <w:rsid w:val="006947D2"/>
    <w:rsid w:val="00694D7E"/>
    <w:rsid w:val="00695797"/>
    <w:rsid w:val="006958B0"/>
    <w:rsid w:val="00695BDE"/>
    <w:rsid w:val="00695D9F"/>
    <w:rsid w:val="00695F8B"/>
    <w:rsid w:val="006962F1"/>
    <w:rsid w:val="006966C4"/>
    <w:rsid w:val="00696C7D"/>
    <w:rsid w:val="0069727B"/>
    <w:rsid w:val="00697B1F"/>
    <w:rsid w:val="00697D24"/>
    <w:rsid w:val="00697EA1"/>
    <w:rsid w:val="006A0050"/>
    <w:rsid w:val="006A02F0"/>
    <w:rsid w:val="006A0731"/>
    <w:rsid w:val="006A0A34"/>
    <w:rsid w:val="006A11A0"/>
    <w:rsid w:val="006A2B6F"/>
    <w:rsid w:val="006A2D97"/>
    <w:rsid w:val="006A2F7D"/>
    <w:rsid w:val="006A3010"/>
    <w:rsid w:val="006A3A42"/>
    <w:rsid w:val="006A4A49"/>
    <w:rsid w:val="006A4B1D"/>
    <w:rsid w:val="006A4B57"/>
    <w:rsid w:val="006A4B99"/>
    <w:rsid w:val="006A5C6D"/>
    <w:rsid w:val="006A5DF6"/>
    <w:rsid w:val="006A6E86"/>
    <w:rsid w:val="006A7794"/>
    <w:rsid w:val="006B0CD5"/>
    <w:rsid w:val="006B0D75"/>
    <w:rsid w:val="006B14CA"/>
    <w:rsid w:val="006B21F1"/>
    <w:rsid w:val="006B2432"/>
    <w:rsid w:val="006B27C1"/>
    <w:rsid w:val="006B285C"/>
    <w:rsid w:val="006B2CF0"/>
    <w:rsid w:val="006B3723"/>
    <w:rsid w:val="006B3940"/>
    <w:rsid w:val="006B4B58"/>
    <w:rsid w:val="006B582D"/>
    <w:rsid w:val="006B5A0A"/>
    <w:rsid w:val="006B5C62"/>
    <w:rsid w:val="006B5F63"/>
    <w:rsid w:val="006B6050"/>
    <w:rsid w:val="006B6882"/>
    <w:rsid w:val="006B6B48"/>
    <w:rsid w:val="006B6F61"/>
    <w:rsid w:val="006C06F1"/>
    <w:rsid w:val="006C0B29"/>
    <w:rsid w:val="006C0BD8"/>
    <w:rsid w:val="006C0F18"/>
    <w:rsid w:val="006C15E9"/>
    <w:rsid w:val="006C1D13"/>
    <w:rsid w:val="006C367F"/>
    <w:rsid w:val="006C3BDE"/>
    <w:rsid w:val="006C3D40"/>
    <w:rsid w:val="006C4BC5"/>
    <w:rsid w:val="006C5349"/>
    <w:rsid w:val="006C57AD"/>
    <w:rsid w:val="006C5848"/>
    <w:rsid w:val="006C58A1"/>
    <w:rsid w:val="006C5969"/>
    <w:rsid w:val="006C7642"/>
    <w:rsid w:val="006C7FD2"/>
    <w:rsid w:val="006D10B0"/>
    <w:rsid w:val="006D127E"/>
    <w:rsid w:val="006D209F"/>
    <w:rsid w:val="006D2A2D"/>
    <w:rsid w:val="006D30CF"/>
    <w:rsid w:val="006D368C"/>
    <w:rsid w:val="006D3F7B"/>
    <w:rsid w:val="006D46B4"/>
    <w:rsid w:val="006D4731"/>
    <w:rsid w:val="006D534D"/>
    <w:rsid w:val="006D5526"/>
    <w:rsid w:val="006D637B"/>
    <w:rsid w:val="006D641A"/>
    <w:rsid w:val="006D6688"/>
    <w:rsid w:val="006D67DD"/>
    <w:rsid w:val="006D6C2E"/>
    <w:rsid w:val="006E00B8"/>
    <w:rsid w:val="006E03D6"/>
    <w:rsid w:val="006E0BEF"/>
    <w:rsid w:val="006E0D06"/>
    <w:rsid w:val="006E1CCA"/>
    <w:rsid w:val="006E26E0"/>
    <w:rsid w:val="006E2867"/>
    <w:rsid w:val="006E296A"/>
    <w:rsid w:val="006E2A23"/>
    <w:rsid w:val="006E48BC"/>
    <w:rsid w:val="006E4B45"/>
    <w:rsid w:val="006E558D"/>
    <w:rsid w:val="006E5D1A"/>
    <w:rsid w:val="006E5D24"/>
    <w:rsid w:val="006E6615"/>
    <w:rsid w:val="006E6F46"/>
    <w:rsid w:val="006E72CC"/>
    <w:rsid w:val="006E7C3F"/>
    <w:rsid w:val="006F0550"/>
    <w:rsid w:val="006F09AC"/>
    <w:rsid w:val="006F0D98"/>
    <w:rsid w:val="006F193A"/>
    <w:rsid w:val="006F22FC"/>
    <w:rsid w:val="006F2B05"/>
    <w:rsid w:val="006F2E55"/>
    <w:rsid w:val="006F33B1"/>
    <w:rsid w:val="006F390C"/>
    <w:rsid w:val="006F39C3"/>
    <w:rsid w:val="006F4294"/>
    <w:rsid w:val="006F52BD"/>
    <w:rsid w:val="006F52DC"/>
    <w:rsid w:val="006F586E"/>
    <w:rsid w:val="006F5C97"/>
    <w:rsid w:val="006F5CB4"/>
    <w:rsid w:val="006F7223"/>
    <w:rsid w:val="00700315"/>
    <w:rsid w:val="00700361"/>
    <w:rsid w:val="0070105E"/>
    <w:rsid w:val="00701949"/>
    <w:rsid w:val="00701B49"/>
    <w:rsid w:val="007021B4"/>
    <w:rsid w:val="00702C8C"/>
    <w:rsid w:val="00702CD0"/>
    <w:rsid w:val="00703538"/>
    <w:rsid w:val="00703B15"/>
    <w:rsid w:val="00703D70"/>
    <w:rsid w:val="00703F57"/>
    <w:rsid w:val="007045DC"/>
    <w:rsid w:val="007046B5"/>
    <w:rsid w:val="00704AFA"/>
    <w:rsid w:val="00704E5B"/>
    <w:rsid w:val="00705156"/>
    <w:rsid w:val="00705B28"/>
    <w:rsid w:val="00705D70"/>
    <w:rsid w:val="0070652E"/>
    <w:rsid w:val="00706BCE"/>
    <w:rsid w:val="007070E4"/>
    <w:rsid w:val="0070712B"/>
    <w:rsid w:val="0070774A"/>
    <w:rsid w:val="007079F6"/>
    <w:rsid w:val="00710071"/>
    <w:rsid w:val="00710932"/>
    <w:rsid w:val="00711BB8"/>
    <w:rsid w:val="00711D27"/>
    <w:rsid w:val="00712285"/>
    <w:rsid w:val="00712559"/>
    <w:rsid w:val="00712DBB"/>
    <w:rsid w:val="00714B10"/>
    <w:rsid w:val="00715695"/>
    <w:rsid w:val="00715F6B"/>
    <w:rsid w:val="007160A0"/>
    <w:rsid w:val="0071662A"/>
    <w:rsid w:val="007169D7"/>
    <w:rsid w:val="007179D7"/>
    <w:rsid w:val="00717DDF"/>
    <w:rsid w:val="00717FE6"/>
    <w:rsid w:val="00721DA7"/>
    <w:rsid w:val="0072334C"/>
    <w:rsid w:val="0072358C"/>
    <w:rsid w:val="00723D39"/>
    <w:rsid w:val="00723EE1"/>
    <w:rsid w:val="00724A18"/>
    <w:rsid w:val="007263F9"/>
    <w:rsid w:val="0072690C"/>
    <w:rsid w:val="00726E58"/>
    <w:rsid w:val="00727A9D"/>
    <w:rsid w:val="0073026A"/>
    <w:rsid w:val="0073027E"/>
    <w:rsid w:val="00730381"/>
    <w:rsid w:val="00730E43"/>
    <w:rsid w:val="00731769"/>
    <w:rsid w:val="00731A96"/>
    <w:rsid w:val="00731EEF"/>
    <w:rsid w:val="00732213"/>
    <w:rsid w:val="00732ABB"/>
    <w:rsid w:val="00732AD3"/>
    <w:rsid w:val="007330E0"/>
    <w:rsid w:val="00733134"/>
    <w:rsid w:val="00733226"/>
    <w:rsid w:val="007332D8"/>
    <w:rsid w:val="00733524"/>
    <w:rsid w:val="00733FD5"/>
    <w:rsid w:val="00734163"/>
    <w:rsid w:val="007348C1"/>
    <w:rsid w:val="00734CF9"/>
    <w:rsid w:val="00735090"/>
    <w:rsid w:val="00735269"/>
    <w:rsid w:val="00735A2D"/>
    <w:rsid w:val="0073792B"/>
    <w:rsid w:val="00737A33"/>
    <w:rsid w:val="00737A47"/>
    <w:rsid w:val="00737CFD"/>
    <w:rsid w:val="00737E86"/>
    <w:rsid w:val="00737F6B"/>
    <w:rsid w:val="00740084"/>
    <w:rsid w:val="00740D0F"/>
    <w:rsid w:val="00740E8D"/>
    <w:rsid w:val="00741630"/>
    <w:rsid w:val="00742FD6"/>
    <w:rsid w:val="0074318C"/>
    <w:rsid w:val="0074387C"/>
    <w:rsid w:val="007438D5"/>
    <w:rsid w:val="00743914"/>
    <w:rsid w:val="00743A6C"/>
    <w:rsid w:val="00743AF9"/>
    <w:rsid w:val="0074405D"/>
    <w:rsid w:val="00744254"/>
    <w:rsid w:val="00744893"/>
    <w:rsid w:val="00744A31"/>
    <w:rsid w:val="00744F92"/>
    <w:rsid w:val="0074508C"/>
    <w:rsid w:val="0074509B"/>
    <w:rsid w:val="00745577"/>
    <w:rsid w:val="00745AFC"/>
    <w:rsid w:val="00746A3A"/>
    <w:rsid w:val="00746B14"/>
    <w:rsid w:val="00746CE2"/>
    <w:rsid w:val="007474A6"/>
    <w:rsid w:val="00750206"/>
    <w:rsid w:val="00750965"/>
    <w:rsid w:val="0075115B"/>
    <w:rsid w:val="0075141F"/>
    <w:rsid w:val="0075175F"/>
    <w:rsid w:val="00752254"/>
    <w:rsid w:val="007526E9"/>
    <w:rsid w:val="00752DE4"/>
    <w:rsid w:val="0075430E"/>
    <w:rsid w:val="00754372"/>
    <w:rsid w:val="00754393"/>
    <w:rsid w:val="007543EE"/>
    <w:rsid w:val="00754AB0"/>
    <w:rsid w:val="00755550"/>
    <w:rsid w:val="0075558F"/>
    <w:rsid w:val="007556D1"/>
    <w:rsid w:val="0075595F"/>
    <w:rsid w:val="00756897"/>
    <w:rsid w:val="00756FB8"/>
    <w:rsid w:val="00760324"/>
    <w:rsid w:val="0076066C"/>
    <w:rsid w:val="00760C1A"/>
    <w:rsid w:val="00762B9E"/>
    <w:rsid w:val="00762F0F"/>
    <w:rsid w:val="00762FEC"/>
    <w:rsid w:val="0076368F"/>
    <w:rsid w:val="00763C64"/>
    <w:rsid w:val="00763E1E"/>
    <w:rsid w:val="007647E7"/>
    <w:rsid w:val="00764A44"/>
    <w:rsid w:val="00764BCA"/>
    <w:rsid w:val="0076544B"/>
    <w:rsid w:val="007657F5"/>
    <w:rsid w:val="00765EB2"/>
    <w:rsid w:val="007665C4"/>
    <w:rsid w:val="00766B1B"/>
    <w:rsid w:val="00766C08"/>
    <w:rsid w:val="007672AD"/>
    <w:rsid w:val="007673EA"/>
    <w:rsid w:val="00771078"/>
    <w:rsid w:val="007712F7"/>
    <w:rsid w:val="007719F6"/>
    <w:rsid w:val="007721C9"/>
    <w:rsid w:val="007725BF"/>
    <w:rsid w:val="00772C43"/>
    <w:rsid w:val="00773EE1"/>
    <w:rsid w:val="00774573"/>
    <w:rsid w:val="00774641"/>
    <w:rsid w:val="00774B58"/>
    <w:rsid w:val="0077634C"/>
    <w:rsid w:val="00776659"/>
    <w:rsid w:val="00776A7D"/>
    <w:rsid w:val="00777325"/>
    <w:rsid w:val="00777D43"/>
    <w:rsid w:val="00780039"/>
    <w:rsid w:val="007802E2"/>
    <w:rsid w:val="007804AE"/>
    <w:rsid w:val="007804BB"/>
    <w:rsid w:val="007807CD"/>
    <w:rsid w:val="007808CC"/>
    <w:rsid w:val="00781289"/>
    <w:rsid w:val="00781AE2"/>
    <w:rsid w:val="00782619"/>
    <w:rsid w:val="00782B6B"/>
    <w:rsid w:val="00782C0C"/>
    <w:rsid w:val="007839AF"/>
    <w:rsid w:val="007839FA"/>
    <w:rsid w:val="00783ADE"/>
    <w:rsid w:val="00783B0B"/>
    <w:rsid w:val="00785A6E"/>
    <w:rsid w:val="00786AAD"/>
    <w:rsid w:val="00786B9B"/>
    <w:rsid w:val="00786F5C"/>
    <w:rsid w:val="007878D9"/>
    <w:rsid w:val="00787DC2"/>
    <w:rsid w:val="00790E6A"/>
    <w:rsid w:val="007929DB"/>
    <w:rsid w:val="0079382A"/>
    <w:rsid w:val="0079476B"/>
    <w:rsid w:val="00794C2B"/>
    <w:rsid w:val="007953FA"/>
    <w:rsid w:val="007957AE"/>
    <w:rsid w:val="00796929"/>
    <w:rsid w:val="007A02CA"/>
    <w:rsid w:val="007A057B"/>
    <w:rsid w:val="007A085B"/>
    <w:rsid w:val="007A085D"/>
    <w:rsid w:val="007A0A50"/>
    <w:rsid w:val="007A1503"/>
    <w:rsid w:val="007A1525"/>
    <w:rsid w:val="007A1CEB"/>
    <w:rsid w:val="007A29F9"/>
    <w:rsid w:val="007A2EB6"/>
    <w:rsid w:val="007A3761"/>
    <w:rsid w:val="007A3BBA"/>
    <w:rsid w:val="007A3F4A"/>
    <w:rsid w:val="007A449C"/>
    <w:rsid w:val="007A4AA6"/>
    <w:rsid w:val="007A699F"/>
    <w:rsid w:val="007A6FA6"/>
    <w:rsid w:val="007A6FB5"/>
    <w:rsid w:val="007A73B1"/>
    <w:rsid w:val="007B0271"/>
    <w:rsid w:val="007B25E4"/>
    <w:rsid w:val="007B270B"/>
    <w:rsid w:val="007B2B8D"/>
    <w:rsid w:val="007B30DA"/>
    <w:rsid w:val="007B363C"/>
    <w:rsid w:val="007B3DD5"/>
    <w:rsid w:val="007B46BB"/>
    <w:rsid w:val="007B4BF1"/>
    <w:rsid w:val="007B51B5"/>
    <w:rsid w:val="007B62E9"/>
    <w:rsid w:val="007B635A"/>
    <w:rsid w:val="007B64A8"/>
    <w:rsid w:val="007B6DFA"/>
    <w:rsid w:val="007B79FA"/>
    <w:rsid w:val="007B7B42"/>
    <w:rsid w:val="007B7ECF"/>
    <w:rsid w:val="007C0D4C"/>
    <w:rsid w:val="007C134B"/>
    <w:rsid w:val="007C1460"/>
    <w:rsid w:val="007C172E"/>
    <w:rsid w:val="007C1A57"/>
    <w:rsid w:val="007C279C"/>
    <w:rsid w:val="007C33B9"/>
    <w:rsid w:val="007C356C"/>
    <w:rsid w:val="007C3BF0"/>
    <w:rsid w:val="007C48B9"/>
    <w:rsid w:val="007C56B2"/>
    <w:rsid w:val="007C588F"/>
    <w:rsid w:val="007C5A81"/>
    <w:rsid w:val="007C5D87"/>
    <w:rsid w:val="007C7208"/>
    <w:rsid w:val="007C72C8"/>
    <w:rsid w:val="007C7F91"/>
    <w:rsid w:val="007D07A9"/>
    <w:rsid w:val="007D0ADC"/>
    <w:rsid w:val="007D0F6D"/>
    <w:rsid w:val="007D1013"/>
    <w:rsid w:val="007D1057"/>
    <w:rsid w:val="007D10B4"/>
    <w:rsid w:val="007D1E15"/>
    <w:rsid w:val="007D1ECC"/>
    <w:rsid w:val="007D27B4"/>
    <w:rsid w:val="007D2A62"/>
    <w:rsid w:val="007D2F3D"/>
    <w:rsid w:val="007D3153"/>
    <w:rsid w:val="007D3A4D"/>
    <w:rsid w:val="007D41A3"/>
    <w:rsid w:val="007D4306"/>
    <w:rsid w:val="007D4C8B"/>
    <w:rsid w:val="007D4DD5"/>
    <w:rsid w:val="007D4DE1"/>
    <w:rsid w:val="007D59E4"/>
    <w:rsid w:val="007D5F5E"/>
    <w:rsid w:val="007D61E6"/>
    <w:rsid w:val="007D65F2"/>
    <w:rsid w:val="007D6919"/>
    <w:rsid w:val="007D7C6E"/>
    <w:rsid w:val="007D7DB4"/>
    <w:rsid w:val="007E0D89"/>
    <w:rsid w:val="007E110A"/>
    <w:rsid w:val="007E111D"/>
    <w:rsid w:val="007E1680"/>
    <w:rsid w:val="007E1C49"/>
    <w:rsid w:val="007E249F"/>
    <w:rsid w:val="007E2799"/>
    <w:rsid w:val="007E301F"/>
    <w:rsid w:val="007E3D60"/>
    <w:rsid w:val="007E43AA"/>
    <w:rsid w:val="007E4CED"/>
    <w:rsid w:val="007E4E0B"/>
    <w:rsid w:val="007E5EC5"/>
    <w:rsid w:val="007E5EED"/>
    <w:rsid w:val="007E643D"/>
    <w:rsid w:val="007E6557"/>
    <w:rsid w:val="007E685C"/>
    <w:rsid w:val="007E6EC7"/>
    <w:rsid w:val="007E763E"/>
    <w:rsid w:val="007E7A4F"/>
    <w:rsid w:val="007F0324"/>
    <w:rsid w:val="007F064D"/>
    <w:rsid w:val="007F0779"/>
    <w:rsid w:val="007F0822"/>
    <w:rsid w:val="007F08C8"/>
    <w:rsid w:val="007F0EB8"/>
    <w:rsid w:val="007F111E"/>
    <w:rsid w:val="007F1C90"/>
    <w:rsid w:val="007F32F5"/>
    <w:rsid w:val="007F3540"/>
    <w:rsid w:val="007F36FF"/>
    <w:rsid w:val="007F3993"/>
    <w:rsid w:val="007F3CD8"/>
    <w:rsid w:val="007F4AB1"/>
    <w:rsid w:val="007F4D08"/>
    <w:rsid w:val="007F5091"/>
    <w:rsid w:val="007F56B5"/>
    <w:rsid w:val="007F58E9"/>
    <w:rsid w:val="0080002F"/>
    <w:rsid w:val="008003AA"/>
    <w:rsid w:val="0080046E"/>
    <w:rsid w:val="0080069C"/>
    <w:rsid w:val="008007ED"/>
    <w:rsid w:val="008008E4"/>
    <w:rsid w:val="008009FD"/>
    <w:rsid w:val="00800A13"/>
    <w:rsid w:val="00800B55"/>
    <w:rsid w:val="008013A9"/>
    <w:rsid w:val="00801B6F"/>
    <w:rsid w:val="00802DEE"/>
    <w:rsid w:val="008034B1"/>
    <w:rsid w:val="0080367A"/>
    <w:rsid w:val="00803C52"/>
    <w:rsid w:val="0080440E"/>
    <w:rsid w:val="0080464E"/>
    <w:rsid w:val="0080556E"/>
    <w:rsid w:val="00805A25"/>
    <w:rsid w:val="00805FC8"/>
    <w:rsid w:val="0080644E"/>
    <w:rsid w:val="00810862"/>
    <w:rsid w:val="00810C70"/>
    <w:rsid w:val="0081199C"/>
    <w:rsid w:val="00812762"/>
    <w:rsid w:val="00812979"/>
    <w:rsid w:val="00812C34"/>
    <w:rsid w:val="00812D69"/>
    <w:rsid w:val="008131E0"/>
    <w:rsid w:val="00813F4F"/>
    <w:rsid w:val="00814AE1"/>
    <w:rsid w:val="00814B69"/>
    <w:rsid w:val="008150CC"/>
    <w:rsid w:val="008151BD"/>
    <w:rsid w:val="00815DE8"/>
    <w:rsid w:val="00815E29"/>
    <w:rsid w:val="00816097"/>
    <w:rsid w:val="0081619C"/>
    <w:rsid w:val="00816AB3"/>
    <w:rsid w:val="00816C76"/>
    <w:rsid w:val="00817314"/>
    <w:rsid w:val="008177D5"/>
    <w:rsid w:val="00820AE1"/>
    <w:rsid w:val="00820DCA"/>
    <w:rsid w:val="00820E63"/>
    <w:rsid w:val="00820EF6"/>
    <w:rsid w:val="00821282"/>
    <w:rsid w:val="008219C4"/>
    <w:rsid w:val="00821B51"/>
    <w:rsid w:val="00822DE9"/>
    <w:rsid w:val="00822EAF"/>
    <w:rsid w:val="00824441"/>
    <w:rsid w:val="00824871"/>
    <w:rsid w:val="00824B7D"/>
    <w:rsid w:val="00824FC6"/>
    <w:rsid w:val="0082503B"/>
    <w:rsid w:val="008252E8"/>
    <w:rsid w:val="00825D47"/>
    <w:rsid w:val="00826C1A"/>
    <w:rsid w:val="00826F6B"/>
    <w:rsid w:val="00827443"/>
    <w:rsid w:val="00831C5D"/>
    <w:rsid w:val="008325D2"/>
    <w:rsid w:val="00833780"/>
    <w:rsid w:val="00833931"/>
    <w:rsid w:val="00833B22"/>
    <w:rsid w:val="00834206"/>
    <w:rsid w:val="008345B7"/>
    <w:rsid w:val="008359B4"/>
    <w:rsid w:val="00835C06"/>
    <w:rsid w:val="00835D11"/>
    <w:rsid w:val="00836417"/>
    <w:rsid w:val="008366E6"/>
    <w:rsid w:val="00836849"/>
    <w:rsid w:val="008372BF"/>
    <w:rsid w:val="008403FA"/>
    <w:rsid w:val="00840A7F"/>
    <w:rsid w:val="0084176E"/>
    <w:rsid w:val="008426D6"/>
    <w:rsid w:val="008427DF"/>
    <w:rsid w:val="00842C4D"/>
    <w:rsid w:val="00842FFA"/>
    <w:rsid w:val="00843010"/>
    <w:rsid w:val="008433F6"/>
    <w:rsid w:val="00843FAF"/>
    <w:rsid w:val="00844DAB"/>
    <w:rsid w:val="00845DF7"/>
    <w:rsid w:val="00845EEC"/>
    <w:rsid w:val="00846CF8"/>
    <w:rsid w:val="00847359"/>
    <w:rsid w:val="00847D4E"/>
    <w:rsid w:val="008502A3"/>
    <w:rsid w:val="00850516"/>
    <w:rsid w:val="00850D5F"/>
    <w:rsid w:val="00851070"/>
    <w:rsid w:val="008510BB"/>
    <w:rsid w:val="00851C4B"/>
    <w:rsid w:val="008520A6"/>
    <w:rsid w:val="00852757"/>
    <w:rsid w:val="008528F1"/>
    <w:rsid w:val="00853164"/>
    <w:rsid w:val="00853EFF"/>
    <w:rsid w:val="0085423A"/>
    <w:rsid w:val="00854ED8"/>
    <w:rsid w:val="0085591D"/>
    <w:rsid w:val="00855A2C"/>
    <w:rsid w:val="008564A8"/>
    <w:rsid w:val="008566D8"/>
    <w:rsid w:val="008570AC"/>
    <w:rsid w:val="00860686"/>
    <w:rsid w:val="008615DE"/>
    <w:rsid w:val="008625F3"/>
    <w:rsid w:val="0086354D"/>
    <w:rsid w:val="00863F4D"/>
    <w:rsid w:val="00864519"/>
    <w:rsid w:val="00864ABA"/>
    <w:rsid w:val="00864ADD"/>
    <w:rsid w:val="00864E62"/>
    <w:rsid w:val="00864FB5"/>
    <w:rsid w:val="00865716"/>
    <w:rsid w:val="008663CF"/>
    <w:rsid w:val="00866E71"/>
    <w:rsid w:val="00866E83"/>
    <w:rsid w:val="00870C33"/>
    <w:rsid w:val="00870F2B"/>
    <w:rsid w:val="008720BF"/>
    <w:rsid w:val="00872220"/>
    <w:rsid w:val="008725A9"/>
    <w:rsid w:val="0087266C"/>
    <w:rsid w:val="00872721"/>
    <w:rsid w:val="00872D27"/>
    <w:rsid w:val="00872FBF"/>
    <w:rsid w:val="00873344"/>
    <w:rsid w:val="0087572E"/>
    <w:rsid w:val="00876158"/>
    <w:rsid w:val="00876E54"/>
    <w:rsid w:val="00876F6A"/>
    <w:rsid w:val="00877B16"/>
    <w:rsid w:val="00877C71"/>
    <w:rsid w:val="00880314"/>
    <w:rsid w:val="0088158F"/>
    <w:rsid w:val="008815E7"/>
    <w:rsid w:val="00881D8D"/>
    <w:rsid w:val="0088248F"/>
    <w:rsid w:val="00882890"/>
    <w:rsid w:val="00882A28"/>
    <w:rsid w:val="0088340A"/>
    <w:rsid w:val="00883AD3"/>
    <w:rsid w:val="00884382"/>
    <w:rsid w:val="008843F9"/>
    <w:rsid w:val="008844C1"/>
    <w:rsid w:val="00884845"/>
    <w:rsid w:val="00884CE8"/>
    <w:rsid w:val="00885186"/>
    <w:rsid w:val="008852DE"/>
    <w:rsid w:val="0088609B"/>
    <w:rsid w:val="008860E9"/>
    <w:rsid w:val="008872CB"/>
    <w:rsid w:val="00887D21"/>
    <w:rsid w:val="00887D3F"/>
    <w:rsid w:val="00887E24"/>
    <w:rsid w:val="00887FC6"/>
    <w:rsid w:val="008902BD"/>
    <w:rsid w:val="00890BBC"/>
    <w:rsid w:val="00890CC9"/>
    <w:rsid w:val="0089166A"/>
    <w:rsid w:val="00892737"/>
    <w:rsid w:val="00893676"/>
    <w:rsid w:val="00893B19"/>
    <w:rsid w:val="00894A26"/>
    <w:rsid w:val="008950FD"/>
    <w:rsid w:val="008966C7"/>
    <w:rsid w:val="008972A6"/>
    <w:rsid w:val="00897600"/>
    <w:rsid w:val="008979AA"/>
    <w:rsid w:val="008979C0"/>
    <w:rsid w:val="00897C6C"/>
    <w:rsid w:val="008A01C1"/>
    <w:rsid w:val="008A022E"/>
    <w:rsid w:val="008A1443"/>
    <w:rsid w:val="008A1FFB"/>
    <w:rsid w:val="008A302D"/>
    <w:rsid w:val="008A332D"/>
    <w:rsid w:val="008A34BF"/>
    <w:rsid w:val="008A3795"/>
    <w:rsid w:val="008A3832"/>
    <w:rsid w:val="008A4557"/>
    <w:rsid w:val="008A4859"/>
    <w:rsid w:val="008A490F"/>
    <w:rsid w:val="008A4BDA"/>
    <w:rsid w:val="008A60A1"/>
    <w:rsid w:val="008A6B7F"/>
    <w:rsid w:val="008A7825"/>
    <w:rsid w:val="008A7BC8"/>
    <w:rsid w:val="008A7C82"/>
    <w:rsid w:val="008A7F3A"/>
    <w:rsid w:val="008B0BD7"/>
    <w:rsid w:val="008B0BE0"/>
    <w:rsid w:val="008B1344"/>
    <w:rsid w:val="008B1513"/>
    <w:rsid w:val="008B15E9"/>
    <w:rsid w:val="008B161F"/>
    <w:rsid w:val="008B1B13"/>
    <w:rsid w:val="008B2112"/>
    <w:rsid w:val="008B21FB"/>
    <w:rsid w:val="008B25D7"/>
    <w:rsid w:val="008B2A04"/>
    <w:rsid w:val="008B2A50"/>
    <w:rsid w:val="008B322D"/>
    <w:rsid w:val="008B373B"/>
    <w:rsid w:val="008B42F1"/>
    <w:rsid w:val="008B43B8"/>
    <w:rsid w:val="008B4498"/>
    <w:rsid w:val="008B44FD"/>
    <w:rsid w:val="008B4ADB"/>
    <w:rsid w:val="008B4D33"/>
    <w:rsid w:val="008B5B28"/>
    <w:rsid w:val="008B5C18"/>
    <w:rsid w:val="008B5CAA"/>
    <w:rsid w:val="008B65B8"/>
    <w:rsid w:val="008B6711"/>
    <w:rsid w:val="008B6832"/>
    <w:rsid w:val="008B6862"/>
    <w:rsid w:val="008B68FD"/>
    <w:rsid w:val="008B6C7A"/>
    <w:rsid w:val="008B7617"/>
    <w:rsid w:val="008B7D03"/>
    <w:rsid w:val="008B7E35"/>
    <w:rsid w:val="008C0224"/>
    <w:rsid w:val="008C0BC4"/>
    <w:rsid w:val="008C14CF"/>
    <w:rsid w:val="008C16A2"/>
    <w:rsid w:val="008C18F0"/>
    <w:rsid w:val="008C1F4B"/>
    <w:rsid w:val="008C21DE"/>
    <w:rsid w:val="008C25D2"/>
    <w:rsid w:val="008C2661"/>
    <w:rsid w:val="008C2B85"/>
    <w:rsid w:val="008C2EFE"/>
    <w:rsid w:val="008C3123"/>
    <w:rsid w:val="008C3380"/>
    <w:rsid w:val="008C4ACA"/>
    <w:rsid w:val="008C501E"/>
    <w:rsid w:val="008C506E"/>
    <w:rsid w:val="008C5D53"/>
    <w:rsid w:val="008C6576"/>
    <w:rsid w:val="008C65A8"/>
    <w:rsid w:val="008C66C0"/>
    <w:rsid w:val="008C68DB"/>
    <w:rsid w:val="008C6A2A"/>
    <w:rsid w:val="008C6A2F"/>
    <w:rsid w:val="008C720C"/>
    <w:rsid w:val="008C739C"/>
    <w:rsid w:val="008C7DEC"/>
    <w:rsid w:val="008D0F68"/>
    <w:rsid w:val="008D10C5"/>
    <w:rsid w:val="008D1F6C"/>
    <w:rsid w:val="008D23E0"/>
    <w:rsid w:val="008D28B9"/>
    <w:rsid w:val="008D296B"/>
    <w:rsid w:val="008D2FD2"/>
    <w:rsid w:val="008D33F1"/>
    <w:rsid w:val="008D42B8"/>
    <w:rsid w:val="008D4D01"/>
    <w:rsid w:val="008D57A5"/>
    <w:rsid w:val="008D5A0B"/>
    <w:rsid w:val="008D610C"/>
    <w:rsid w:val="008D6220"/>
    <w:rsid w:val="008D66E2"/>
    <w:rsid w:val="008D67FB"/>
    <w:rsid w:val="008D70C1"/>
    <w:rsid w:val="008D76AA"/>
    <w:rsid w:val="008D780C"/>
    <w:rsid w:val="008D7C89"/>
    <w:rsid w:val="008D7D66"/>
    <w:rsid w:val="008E01D9"/>
    <w:rsid w:val="008E0739"/>
    <w:rsid w:val="008E09C9"/>
    <w:rsid w:val="008E1036"/>
    <w:rsid w:val="008E1961"/>
    <w:rsid w:val="008E1A3E"/>
    <w:rsid w:val="008E32CC"/>
    <w:rsid w:val="008E32EF"/>
    <w:rsid w:val="008E402D"/>
    <w:rsid w:val="008E41A3"/>
    <w:rsid w:val="008E4998"/>
    <w:rsid w:val="008E6565"/>
    <w:rsid w:val="008E6D42"/>
    <w:rsid w:val="008F0B9A"/>
    <w:rsid w:val="008F2499"/>
    <w:rsid w:val="008F30B9"/>
    <w:rsid w:val="008F3160"/>
    <w:rsid w:val="008F3242"/>
    <w:rsid w:val="008F32DF"/>
    <w:rsid w:val="008F4642"/>
    <w:rsid w:val="008F4C2D"/>
    <w:rsid w:val="008F57CD"/>
    <w:rsid w:val="00900827"/>
    <w:rsid w:val="00900C19"/>
    <w:rsid w:val="00900D85"/>
    <w:rsid w:val="00901569"/>
    <w:rsid w:val="00902BD9"/>
    <w:rsid w:val="009034D5"/>
    <w:rsid w:val="009035C3"/>
    <w:rsid w:val="00903D43"/>
    <w:rsid w:val="00904A6D"/>
    <w:rsid w:val="00905DB9"/>
    <w:rsid w:val="00906099"/>
    <w:rsid w:val="00906192"/>
    <w:rsid w:val="0090681C"/>
    <w:rsid w:val="00906EFA"/>
    <w:rsid w:val="00907918"/>
    <w:rsid w:val="00910BA7"/>
    <w:rsid w:val="00911CCA"/>
    <w:rsid w:val="00912552"/>
    <w:rsid w:val="00912942"/>
    <w:rsid w:val="00913AB1"/>
    <w:rsid w:val="00913B31"/>
    <w:rsid w:val="009142E7"/>
    <w:rsid w:val="009148C0"/>
    <w:rsid w:val="00915543"/>
    <w:rsid w:val="00915D68"/>
    <w:rsid w:val="00916121"/>
    <w:rsid w:val="0091640B"/>
    <w:rsid w:val="0091695D"/>
    <w:rsid w:val="009169FE"/>
    <w:rsid w:val="00916A87"/>
    <w:rsid w:val="00917616"/>
    <w:rsid w:val="0091785A"/>
    <w:rsid w:val="00920E84"/>
    <w:rsid w:val="0092111A"/>
    <w:rsid w:val="0092369B"/>
    <w:rsid w:val="00924071"/>
    <w:rsid w:val="00924808"/>
    <w:rsid w:val="00924DD2"/>
    <w:rsid w:val="00925033"/>
    <w:rsid w:val="0092581E"/>
    <w:rsid w:val="00925C90"/>
    <w:rsid w:val="009262DB"/>
    <w:rsid w:val="00926A2B"/>
    <w:rsid w:val="00926CB7"/>
    <w:rsid w:val="00926E0F"/>
    <w:rsid w:val="00927052"/>
    <w:rsid w:val="0092710E"/>
    <w:rsid w:val="009271F9"/>
    <w:rsid w:val="00927709"/>
    <w:rsid w:val="00927782"/>
    <w:rsid w:val="00930405"/>
    <w:rsid w:val="00930B02"/>
    <w:rsid w:val="009319AB"/>
    <w:rsid w:val="009319DD"/>
    <w:rsid w:val="00931B09"/>
    <w:rsid w:val="009320A2"/>
    <w:rsid w:val="009323F9"/>
    <w:rsid w:val="009323FD"/>
    <w:rsid w:val="0093286E"/>
    <w:rsid w:val="00932B52"/>
    <w:rsid w:val="009335FA"/>
    <w:rsid w:val="00933A61"/>
    <w:rsid w:val="00933B60"/>
    <w:rsid w:val="00934A38"/>
    <w:rsid w:val="00934F36"/>
    <w:rsid w:val="00935233"/>
    <w:rsid w:val="00935582"/>
    <w:rsid w:val="00935B3C"/>
    <w:rsid w:val="00936358"/>
    <w:rsid w:val="0093639B"/>
    <w:rsid w:val="0093646A"/>
    <w:rsid w:val="00936B38"/>
    <w:rsid w:val="0093796B"/>
    <w:rsid w:val="009403E1"/>
    <w:rsid w:val="00940929"/>
    <w:rsid w:val="00940CCF"/>
    <w:rsid w:val="00940D26"/>
    <w:rsid w:val="00941D0C"/>
    <w:rsid w:val="00941E26"/>
    <w:rsid w:val="00942DD6"/>
    <w:rsid w:val="00943E1F"/>
    <w:rsid w:val="00943EA8"/>
    <w:rsid w:val="0094475F"/>
    <w:rsid w:val="00944A07"/>
    <w:rsid w:val="00944C1F"/>
    <w:rsid w:val="009450D0"/>
    <w:rsid w:val="009462A6"/>
    <w:rsid w:val="00946D1B"/>
    <w:rsid w:val="00946F41"/>
    <w:rsid w:val="0094712A"/>
    <w:rsid w:val="00947678"/>
    <w:rsid w:val="0094785B"/>
    <w:rsid w:val="0095078B"/>
    <w:rsid w:val="00950920"/>
    <w:rsid w:val="00950A96"/>
    <w:rsid w:val="009510A9"/>
    <w:rsid w:val="009511A4"/>
    <w:rsid w:val="009513FC"/>
    <w:rsid w:val="0095143D"/>
    <w:rsid w:val="00951680"/>
    <w:rsid w:val="00951BDD"/>
    <w:rsid w:val="00953360"/>
    <w:rsid w:val="00953880"/>
    <w:rsid w:val="00953A8C"/>
    <w:rsid w:val="00953D25"/>
    <w:rsid w:val="00953D80"/>
    <w:rsid w:val="009551A5"/>
    <w:rsid w:val="009558EB"/>
    <w:rsid w:val="00955CD2"/>
    <w:rsid w:val="009563B7"/>
    <w:rsid w:val="00956F17"/>
    <w:rsid w:val="00957543"/>
    <w:rsid w:val="00957C29"/>
    <w:rsid w:val="00960176"/>
    <w:rsid w:val="00960340"/>
    <w:rsid w:val="0096045A"/>
    <w:rsid w:val="00960AE8"/>
    <w:rsid w:val="009614ED"/>
    <w:rsid w:val="009616F8"/>
    <w:rsid w:val="0096178C"/>
    <w:rsid w:val="00961AA1"/>
    <w:rsid w:val="009621FD"/>
    <w:rsid w:val="00963023"/>
    <w:rsid w:val="00963245"/>
    <w:rsid w:val="0096365D"/>
    <w:rsid w:val="009643B6"/>
    <w:rsid w:val="00964815"/>
    <w:rsid w:val="00965379"/>
    <w:rsid w:val="00965C28"/>
    <w:rsid w:val="00965CDD"/>
    <w:rsid w:val="00966406"/>
    <w:rsid w:val="0097136E"/>
    <w:rsid w:val="009718F9"/>
    <w:rsid w:val="00973A91"/>
    <w:rsid w:val="009741A4"/>
    <w:rsid w:val="00974E68"/>
    <w:rsid w:val="00976468"/>
    <w:rsid w:val="0097683C"/>
    <w:rsid w:val="00976F1F"/>
    <w:rsid w:val="009778B8"/>
    <w:rsid w:val="00977AD3"/>
    <w:rsid w:val="00980866"/>
    <w:rsid w:val="00980B18"/>
    <w:rsid w:val="00981B98"/>
    <w:rsid w:val="0098210F"/>
    <w:rsid w:val="0098242B"/>
    <w:rsid w:val="0098284B"/>
    <w:rsid w:val="00982C7C"/>
    <w:rsid w:val="00982F0D"/>
    <w:rsid w:val="00985822"/>
    <w:rsid w:val="00985AAD"/>
    <w:rsid w:val="00986119"/>
    <w:rsid w:val="00986284"/>
    <w:rsid w:val="0098687F"/>
    <w:rsid w:val="009869F8"/>
    <w:rsid w:val="00987EA7"/>
    <w:rsid w:val="00991C38"/>
    <w:rsid w:val="00992324"/>
    <w:rsid w:val="009923AD"/>
    <w:rsid w:val="009924AC"/>
    <w:rsid w:val="0099257F"/>
    <w:rsid w:val="00992E66"/>
    <w:rsid w:val="00993234"/>
    <w:rsid w:val="00993676"/>
    <w:rsid w:val="0099485D"/>
    <w:rsid w:val="00994F7F"/>
    <w:rsid w:val="009951D5"/>
    <w:rsid w:val="0099554D"/>
    <w:rsid w:val="00995603"/>
    <w:rsid w:val="009958B6"/>
    <w:rsid w:val="00996BF0"/>
    <w:rsid w:val="0099704C"/>
    <w:rsid w:val="00997B35"/>
    <w:rsid w:val="009A0268"/>
    <w:rsid w:val="009A0477"/>
    <w:rsid w:val="009A05A9"/>
    <w:rsid w:val="009A141D"/>
    <w:rsid w:val="009A141E"/>
    <w:rsid w:val="009A1600"/>
    <w:rsid w:val="009A1AAC"/>
    <w:rsid w:val="009A1BC1"/>
    <w:rsid w:val="009A4470"/>
    <w:rsid w:val="009A4D65"/>
    <w:rsid w:val="009A509B"/>
    <w:rsid w:val="009A556C"/>
    <w:rsid w:val="009A5DE7"/>
    <w:rsid w:val="009A5F6F"/>
    <w:rsid w:val="009A61F7"/>
    <w:rsid w:val="009A6239"/>
    <w:rsid w:val="009A6C10"/>
    <w:rsid w:val="009A7567"/>
    <w:rsid w:val="009A75B3"/>
    <w:rsid w:val="009A7842"/>
    <w:rsid w:val="009B0665"/>
    <w:rsid w:val="009B07D7"/>
    <w:rsid w:val="009B1398"/>
    <w:rsid w:val="009B1A06"/>
    <w:rsid w:val="009B2352"/>
    <w:rsid w:val="009B2494"/>
    <w:rsid w:val="009B2A60"/>
    <w:rsid w:val="009B2B96"/>
    <w:rsid w:val="009B2CBF"/>
    <w:rsid w:val="009B2E88"/>
    <w:rsid w:val="009B3E52"/>
    <w:rsid w:val="009B424E"/>
    <w:rsid w:val="009B4279"/>
    <w:rsid w:val="009B43F4"/>
    <w:rsid w:val="009B6964"/>
    <w:rsid w:val="009B6B82"/>
    <w:rsid w:val="009B7F8A"/>
    <w:rsid w:val="009B7FD2"/>
    <w:rsid w:val="009C0086"/>
    <w:rsid w:val="009C0213"/>
    <w:rsid w:val="009C05C8"/>
    <w:rsid w:val="009C0849"/>
    <w:rsid w:val="009C1298"/>
    <w:rsid w:val="009C291A"/>
    <w:rsid w:val="009C2980"/>
    <w:rsid w:val="009C2BB8"/>
    <w:rsid w:val="009C2EF0"/>
    <w:rsid w:val="009C3E3D"/>
    <w:rsid w:val="009C3FBC"/>
    <w:rsid w:val="009C4886"/>
    <w:rsid w:val="009C561E"/>
    <w:rsid w:val="009C5F36"/>
    <w:rsid w:val="009C65EC"/>
    <w:rsid w:val="009C66A5"/>
    <w:rsid w:val="009C6D18"/>
    <w:rsid w:val="009C70F2"/>
    <w:rsid w:val="009C71B7"/>
    <w:rsid w:val="009C7411"/>
    <w:rsid w:val="009D0739"/>
    <w:rsid w:val="009D07F3"/>
    <w:rsid w:val="009D0D6D"/>
    <w:rsid w:val="009D0D7B"/>
    <w:rsid w:val="009D0F9E"/>
    <w:rsid w:val="009D1798"/>
    <w:rsid w:val="009D1D24"/>
    <w:rsid w:val="009D3640"/>
    <w:rsid w:val="009D37FC"/>
    <w:rsid w:val="009D4100"/>
    <w:rsid w:val="009D46A0"/>
    <w:rsid w:val="009D46A8"/>
    <w:rsid w:val="009D47A1"/>
    <w:rsid w:val="009D55E9"/>
    <w:rsid w:val="009D596E"/>
    <w:rsid w:val="009D59A8"/>
    <w:rsid w:val="009D5C0C"/>
    <w:rsid w:val="009D5F21"/>
    <w:rsid w:val="009D78AB"/>
    <w:rsid w:val="009D7970"/>
    <w:rsid w:val="009D7B1D"/>
    <w:rsid w:val="009E0632"/>
    <w:rsid w:val="009E0A9D"/>
    <w:rsid w:val="009E11D0"/>
    <w:rsid w:val="009E16DD"/>
    <w:rsid w:val="009E2361"/>
    <w:rsid w:val="009E27CE"/>
    <w:rsid w:val="009E2DEB"/>
    <w:rsid w:val="009E3719"/>
    <w:rsid w:val="009E3902"/>
    <w:rsid w:val="009E399F"/>
    <w:rsid w:val="009E3A2C"/>
    <w:rsid w:val="009E3E0C"/>
    <w:rsid w:val="009E3F30"/>
    <w:rsid w:val="009E42B8"/>
    <w:rsid w:val="009E486B"/>
    <w:rsid w:val="009E48F7"/>
    <w:rsid w:val="009E4C15"/>
    <w:rsid w:val="009E4F88"/>
    <w:rsid w:val="009E5977"/>
    <w:rsid w:val="009E5A30"/>
    <w:rsid w:val="009E5C3C"/>
    <w:rsid w:val="009E6526"/>
    <w:rsid w:val="009E6C38"/>
    <w:rsid w:val="009E702E"/>
    <w:rsid w:val="009E76FF"/>
    <w:rsid w:val="009F06D7"/>
    <w:rsid w:val="009F0EBD"/>
    <w:rsid w:val="009F0F40"/>
    <w:rsid w:val="009F0FFB"/>
    <w:rsid w:val="009F152F"/>
    <w:rsid w:val="009F2A60"/>
    <w:rsid w:val="009F432A"/>
    <w:rsid w:val="009F4DE2"/>
    <w:rsid w:val="009F569C"/>
    <w:rsid w:val="009F58D4"/>
    <w:rsid w:val="009F63E7"/>
    <w:rsid w:val="009F6C8E"/>
    <w:rsid w:val="009F6E04"/>
    <w:rsid w:val="009F6FC3"/>
    <w:rsid w:val="009F7255"/>
    <w:rsid w:val="009F7CF5"/>
    <w:rsid w:val="00A008E3"/>
    <w:rsid w:val="00A00F34"/>
    <w:rsid w:val="00A0134C"/>
    <w:rsid w:val="00A0138E"/>
    <w:rsid w:val="00A026EB"/>
    <w:rsid w:val="00A02C5D"/>
    <w:rsid w:val="00A036EA"/>
    <w:rsid w:val="00A03BA6"/>
    <w:rsid w:val="00A040B3"/>
    <w:rsid w:val="00A0535C"/>
    <w:rsid w:val="00A0551B"/>
    <w:rsid w:val="00A05FEF"/>
    <w:rsid w:val="00A060F0"/>
    <w:rsid w:val="00A06261"/>
    <w:rsid w:val="00A069F3"/>
    <w:rsid w:val="00A06AEE"/>
    <w:rsid w:val="00A0713F"/>
    <w:rsid w:val="00A0731E"/>
    <w:rsid w:val="00A1016E"/>
    <w:rsid w:val="00A10406"/>
    <w:rsid w:val="00A11570"/>
    <w:rsid w:val="00A11C04"/>
    <w:rsid w:val="00A11C5A"/>
    <w:rsid w:val="00A13F9F"/>
    <w:rsid w:val="00A1413E"/>
    <w:rsid w:val="00A14210"/>
    <w:rsid w:val="00A147E0"/>
    <w:rsid w:val="00A148F6"/>
    <w:rsid w:val="00A14CBF"/>
    <w:rsid w:val="00A15290"/>
    <w:rsid w:val="00A1583C"/>
    <w:rsid w:val="00A1585D"/>
    <w:rsid w:val="00A15E07"/>
    <w:rsid w:val="00A16684"/>
    <w:rsid w:val="00A16774"/>
    <w:rsid w:val="00A16AA6"/>
    <w:rsid w:val="00A16C64"/>
    <w:rsid w:val="00A17B15"/>
    <w:rsid w:val="00A17C75"/>
    <w:rsid w:val="00A20EB6"/>
    <w:rsid w:val="00A21173"/>
    <w:rsid w:val="00A2161D"/>
    <w:rsid w:val="00A21D83"/>
    <w:rsid w:val="00A22542"/>
    <w:rsid w:val="00A225E8"/>
    <w:rsid w:val="00A229AB"/>
    <w:rsid w:val="00A22B90"/>
    <w:rsid w:val="00A22FC4"/>
    <w:rsid w:val="00A23081"/>
    <w:rsid w:val="00A241CD"/>
    <w:rsid w:val="00A244EB"/>
    <w:rsid w:val="00A246A3"/>
    <w:rsid w:val="00A25243"/>
    <w:rsid w:val="00A259D4"/>
    <w:rsid w:val="00A25F81"/>
    <w:rsid w:val="00A26835"/>
    <w:rsid w:val="00A27CD3"/>
    <w:rsid w:val="00A307E5"/>
    <w:rsid w:val="00A30EFE"/>
    <w:rsid w:val="00A31352"/>
    <w:rsid w:val="00A31CC5"/>
    <w:rsid w:val="00A32136"/>
    <w:rsid w:val="00A32492"/>
    <w:rsid w:val="00A33036"/>
    <w:rsid w:val="00A343B3"/>
    <w:rsid w:val="00A354A4"/>
    <w:rsid w:val="00A3553C"/>
    <w:rsid w:val="00A37429"/>
    <w:rsid w:val="00A375A9"/>
    <w:rsid w:val="00A375C2"/>
    <w:rsid w:val="00A37CEB"/>
    <w:rsid w:val="00A40814"/>
    <w:rsid w:val="00A40899"/>
    <w:rsid w:val="00A40922"/>
    <w:rsid w:val="00A41EF8"/>
    <w:rsid w:val="00A42631"/>
    <w:rsid w:val="00A445F9"/>
    <w:rsid w:val="00A44658"/>
    <w:rsid w:val="00A44E26"/>
    <w:rsid w:val="00A45467"/>
    <w:rsid w:val="00A45E37"/>
    <w:rsid w:val="00A45F6B"/>
    <w:rsid w:val="00A46C9E"/>
    <w:rsid w:val="00A47D2F"/>
    <w:rsid w:val="00A50257"/>
    <w:rsid w:val="00A50871"/>
    <w:rsid w:val="00A50977"/>
    <w:rsid w:val="00A514E5"/>
    <w:rsid w:val="00A51F09"/>
    <w:rsid w:val="00A520F9"/>
    <w:rsid w:val="00A521DF"/>
    <w:rsid w:val="00A52267"/>
    <w:rsid w:val="00A5269A"/>
    <w:rsid w:val="00A52A92"/>
    <w:rsid w:val="00A52D74"/>
    <w:rsid w:val="00A53317"/>
    <w:rsid w:val="00A53330"/>
    <w:rsid w:val="00A53863"/>
    <w:rsid w:val="00A53967"/>
    <w:rsid w:val="00A53E10"/>
    <w:rsid w:val="00A5409D"/>
    <w:rsid w:val="00A54651"/>
    <w:rsid w:val="00A546F4"/>
    <w:rsid w:val="00A5484D"/>
    <w:rsid w:val="00A54AD2"/>
    <w:rsid w:val="00A55218"/>
    <w:rsid w:val="00A5548F"/>
    <w:rsid w:val="00A5592C"/>
    <w:rsid w:val="00A56B23"/>
    <w:rsid w:val="00A57019"/>
    <w:rsid w:val="00A57259"/>
    <w:rsid w:val="00A5794A"/>
    <w:rsid w:val="00A606CB"/>
    <w:rsid w:val="00A61183"/>
    <w:rsid w:val="00A612AA"/>
    <w:rsid w:val="00A61CEC"/>
    <w:rsid w:val="00A6301B"/>
    <w:rsid w:val="00A63A02"/>
    <w:rsid w:val="00A63C4A"/>
    <w:rsid w:val="00A64E2B"/>
    <w:rsid w:val="00A65600"/>
    <w:rsid w:val="00A65CFE"/>
    <w:rsid w:val="00A65D66"/>
    <w:rsid w:val="00A66495"/>
    <w:rsid w:val="00A6672F"/>
    <w:rsid w:val="00A669D6"/>
    <w:rsid w:val="00A67AB1"/>
    <w:rsid w:val="00A700C5"/>
    <w:rsid w:val="00A70B57"/>
    <w:rsid w:val="00A70CDC"/>
    <w:rsid w:val="00A71361"/>
    <w:rsid w:val="00A713AA"/>
    <w:rsid w:val="00A7140C"/>
    <w:rsid w:val="00A715A3"/>
    <w:rsid w:val="00A7172A"/>
    <w:rsid w:val="00A717E2"/>
    <w:rsid w:val="00A7195B"/>
    <w:rsid w:val="00A71F0B"/>
    <w:rsid w:val="00A72D0E"/>
    <w:rsid w:val="00A73366"/>
    <w:rsid w:val="00A733C4"/>
    <w:rsid w:val="00A7379E"/>
    <w:rsid w:val="00A74992"/>
    <w:rsid w:val="00A750D8"/>
    <w:rsid w:val="00A75530"/>
    <w:rsid w:val="00A7586C"/>
    <w:rsid w:val="00A80051"/>
    <w:rsid w:val="00A80829"/>
    <w:rsid w:val="00A80857"/>
    <w:rsid w:val="00A816C3"/>
    <w:rsid w:val="00A81703"/>
    <w:rsid w:val="00A821B2"/>
    <w:rsid w:val="00A82552"/>
    <w:rsid w:val="00A82982"/>
    <w:rsid w:val="00A84029"/>
    <w:rsid w:val="00A84867"/>
    <w:rsid w:val="00A848B7"/>
    <w:rsid w:val="00A84A48"/>
    <w:rsid w:val="00A860CE"/>
    <w:rsid w:val="00A86AB6"/>
    <w:rsid w:val="00A86F3D"/>
    <w:rsid w:val="00A870B2"/>
    <w:rsid w:val="00A9062D"/>
    <w:rsid w:val="00A906A8"/>
    <w:rsid w:val="00A90AD5"/>
    <w:rsid w:val="00A91F94"/>
    <w:rsid w:val="00A91F9B"/>
    <w:rsid w:val="00A92840"/>
    <w:rsid w:val="00A92B6A"/>
    <w:rsid w:val="00A92FB5"/>
    <w:rsid w:val="00A93073"/>
    <w:rsid w:val="00A9354A"/>
    <w:rsid w:val="00A93D84"/>
    <w:rsid w:val="00A95C53"/>
    <w:rsid w:val="00A9607C"/>
    <w:rsid w:val="00A963FC"/>
    <w:rsid w:val="00A966D4"/>
    <w:rsid w:val="00A967E3"/>
    <w:rsid w:val="00A97002"/>
    <w:rsid w:val="00A97483"/>
    <w:rsid w:val="00A97A5C"/>
    <w:rsid w:val="00AA0180"/>
    <w:rsid w:val="00AA07FB"/>
    <w:rsid w:val="00AA08F8"/>
    <w:rsid w:val="00AA0F04"/>
    <w:rsid w:val="00AA10E4"/>
    <w:rsid w:val="00AA123F"/>
    <w:rsid w:val="00AA154C"/>
    <w:rsid w:val="00AA15D3"/>
    <w:rsid w:val="00AA15FA"/>
    <w:rsid w:val="00AA17C3"/>
    <w:rsid w:val="00AA1AA8"/>
    <w:rsid w:val="00AA23DC"/>
    <w:rsid w:val="00AA27F3"/>
    <w:rsid w:val="00AA2B8D"/>
    <w:rsid w:val="00AA39EE"/>
    <w:rsid w:val="00AA3D02"/>
    <w:rsid w:val="00AA4E95"/>
    <w:rsid w:val="00AA5347"/>
    <w:rsid w:val="00AA5E4F"/>
    <w:rsid w:val="00AA63A6"/>
    <w:rsid w:val="00AB06A4"/>
    <w:rsid w:val="00AB0B93"/>
    <w:rsid w:val="00AB0FDE"/>
    <w:rsid w:val="00AB2768"/>
    <w:rsid w:val="00AB30E5"/>
    <w:rsid w:val="00AB318A"/>
    <w:rsid w:val="00AB395D"/>
    <w:rsid w:val="00AB3F60"/>
    <w:rsid w:val="00AB4007"/>
    <w:rsid w:val="00AB49E6"/>
    <w:rsid w:val="00AB617E"/>
    <w:rsid w:val="00AB6182"/>
    <w:rsid w:val="00AB6808"/>
    <w:rsid w:val="00AB6A10"/>
    <w:rsid w:val="00AB6A77"/>
    <w:rsid w:val="00AB6F6E"/>
    <w:rsid w:val="00AC0BF5"/>
    <w:rsid w:val="00AC158D"/>
    <w:rsid w:val="00AC1A63"/>
    <w:rsid w:val="00AC22FC"/>
    <w:rsid w:val="00AC3118"/>
    <w:rsid w:val="00AC3864"/>
    <w:rsid w:val="00AC3A73"/>
    <w:rsid w:val="00AC4098"/>
    <w:rsid w:val="00AC4207"/>
    <w:rsid w:val="00AC4237"/>
    <w:rsid w:val="00AC43A4"/>
    <w:rsid w:val="00AC52D7"/>
    <w:rsid w:val="00AC6D7F"/>
    <w:rsid w:val="00AC74CD"/>
    <w:rsid w:val="00AD0040"/>
    <w:rsid w:val="00AD0CA1"/>
    <w:rsid w:val="00AD113F"/>
    <w:rsid w:val="00AD12C5"/>
    <w:rsid w:val="00AD18E7"/>
    <w:rsid w:val="00AD2B5F"/>
    <w:rsid w:val="00AD38B9"/>
    <w:rsid w:val="00AD395D"/>
    <w:rsid w:val="00AD3B7C"/>
    <w:rsid w:val="00AD45C8"/>
    <w:rsid w:val="00AD4D68"/>
    <w:rsid w:val="00AD60EF"/>
    <w:rsid w:val="00AD637F"/>
    <w:rsid w:val="00AD6799"/>
    <w:rsid w:val="00AD71F4"/>
    <w:rsid w:val="00AD79F1"/>
    <w:rsid w:val="00AD7CED"/>
    <w:rsid w:val="00AD7FC5"/>
    <w:rsid w:val="00AE02F3"/>
    <w:rsid w:val="00AE05DA"/>
    <w:rsid w:val="00AE069A"/>
    <w:rsid w:val="00AE0AA6"/>
    <w:rsid w:val="00AE202A"/>
    <w:rsid w:val="00AE2364"/>
    <w:rsid w:val="00AE30A6"/>
    <w:rsid w:val="00AE409A"/>
    <w:rsid w:val="00AE431E"/>
    <w:rsid w:val="00AE44AD"/>
    <w:rsid w:val="00AE5042"/>
    <w:rsid w:val="00AE6C49"/>
    <w:rsid w:val="00AE7502"/>
    <w:rsid w:val="00AE75B8"/>
    <w:rsid w:val="00AE7B1B"/>
    <w:rsid w:val="00AF0423"/>
    <w:rsid w:val="00AF0810"/>
    <w:rsid w:val="00AF0834"/>
    <w:rsid w:val="00AF1133"/>
    <w:rsid w:val="00AF1269"/>
    <w:rsid w:val="00AF279D"/>
    <w:rsid w:val="00AF2F22"/>
    <w:rsid w:val="00AF2FCB"/>
    <w:rsid w:val="00AF382B"/>
    <w:rsid w:val="00AF41BD"/>
    <w:rsid w:val="00AF42FF"/>
    <w:rsid w:val="00AF4452"/>
    <w:rsid w:val="00AF4C6B"/>
    <w:rsid w:val="00AF5998"/>
    <w:rsid w:val="00AF5F7A"/>
    <w:rsid w:val="00AF675A"/>
    <w:rsid w:val="00AF6BEA"/>
    <w:rsid w:val="00AF74CA"/>
    <w:rsid w:val="00AF7F42"/>
    <w:rsid w:val="00B006F1"/>
    <w:rsid w:val="00B01667"/>
    <w:rsid w:val="00B01DD1"/>
    <w:rsid w:val="00B0274C"/>
    <w:rsid w:val="00B0359F"/>
    <w:rsid w:val="00B04987"/>
    <w:rsid w:val="00B04B32"/>
    <w:rsid w:val="00B04BA6"/>
    <w:rsid w:val="00B0540F"/>
    <w:rsid w:val="00B05A9E"/>
    <w:rsid w:val="00B05AF6"/>
    <w:rsid w:val="00B05C48"/>
    <w:rsid w:val="00B0653F"/>
    <w:rsid w:val="00B06B83"/>
    <w:rsid w:val="00B0726F"/>
    <w:rsid w:val="00B1007C"/>
    <w:rsid w:val="00B1081E"/>
    <w:rsid w:val="00B11062"/>
    <w:rsid w:val="00B1179D"/>
    <w:rsid w:val="00B11C53"/>
    <w:rsid w:val="00B11F8A"/>
    <w:rsid w:val="00B124F2"/>
    <w:rsid w:val="00B12766"/>
    <w:rsid w:val="00B13193"/>
    <w:rsid w:val="00B1361C"/>
    <w:rsid w:val="00B137C0"/>
    <w:rsid w:val="00B13DCD"/>
    <w:rsid w:val="00B14A46"/>
    <w:rsid w:val="00B14E3A"/>
    <w:rsid w:val="00B1504E"/>
    <w:rsid w:val="00B151C5"/>
    <w:rsid w:val="00B1531B"/>
    <w:rsid w:val="00B15624"/>
    <w:rsid w:val="00B1698B"/>
    <w:rsid w:val="00B169E9"/>
    <w:rsid w:val="00B17456"/>
    <w:rsid w:val="00B2020E"/>
    <w:rsid w:val="00B204B2"/>
    <w:rsid w:val="00B2179D"/>
    <w:rsid w:val="00B22CA1"/>
    <w:rsid w:val="00B24018"/>
    <w:rsid w:val="00B245A1"/>
    <w:rsid w:val="00B24D6A"/>
    <w:rsid w:val="00B24E62"/>
    <w:rsid w:val="00B24FD5"/>
    <w:rsid w:val="00B2584E"/>
    <w:rsid w:val="00B26025"/>
    <w:rsid w:val="00B264CE"/>
    <w:rsid w:val="00B26FDE"/>
    <w:rsid w:val="00B30171"/>
    <w:rsid w:val="00B30C25"/>
    <w:rsid w:val="00B326F4"/>
    <w:rsid w:val="00B32BE5"/>
    <w:rsid w:val="00B32C1C"/>
    <w:rsid w:val="00B33543"/>
    <w:rsid w:val="00B335D3"/>
    <w:rsid w:val="00B3391D"/>
    <w:rsid w:val="00B33B38"/>
    <w:rsid w:val="00B33BDD"/>
    <w:rsid w:val="00B35415"/>
    <w:rsid w:val="00B3791C"/>
    <w:rsid w:val="00B3795A"/>
    <w:rsid w:val="00B37C06"/>
    <w:rsid w:val="00B4006E"/>
    <w:rsid w:val="00B400A2"/>
    <w:rsid w:val="00B40ACB"/>
    <w:rsid w:val="00B4104A"/>
    <w:rsid w:val="00B41639"/>
    <w:rsid w:val="00B42380"/>
    <w:rsid w:val="00B42388"/>
    <w:rsid w:val="00B427D0"/>
    <w:rsid w:val="00B42DED"/>
    <w:rsid w:val="00B432B8"/>
    <w:rsid w:val="00B4465D"/>
    <w:rsid w:val="00B4516C"/>
    <w:rsid w:val="00B458BA"/>
    <w:rsid w:val="00B45E84"/>
    <w:rsid w:val="00B460E1"/>
    <w:rsid w:val="00B46280"/>
    <w:rsid w:val="00B476F0"/>
    <w:rsid w:val="00B5021C"/>
    <w:rsid w:val="00B504FA"/>
    <w:rsid w:val="00B50D1A"/>
    <w:rsid w:val="00B51BF3"/>
    <w:rsid w:val="00B51F73"/>
    <w:rsid w:val="00B526B3"/>
    <w:rsid w:val="00B52B15"/>
    <w:rsid w:val="00B542D8"/>
    <w:rsid w:val="00B544B5"/>
    <w:rsid w:val="00B5481B"/>
    <w:rsid w:val="00B549E2"/>
    <w:rsid w:val="00B54C19"/>
    <w:rsid w:val="00B54D95"/>
    <w:rsid w:val="00B550AE"/>
    <w:rsid w:val="00B55A08"/>
    <w:rsid w:val="00B55A32"/>
    <w:rsid w:val="00B56224"/>
    <w:rsid w:val="00B56328"/>
    <w:rsid w:val="00B5637B"/>
    <w:rsid w:val="00B565F4"/>
    <w:rsid w:val="00B56798"/>
    <w:rsid w:val="00B568AC"/>
    <w:rsid w:val="00B570DD"/>
    <w:rsid w:val="00B57933"/>
    <w:rsid w:val="00B604D0"/>
    <w:rsid w:val="00B609B4"/>
    <w:rsid w:val="00B611A3"/>
    <w:rsid w:val="00B61242"/>
    <w:rsid w:val="00B6129D"/>
    <w:rsid w:val="00B613A3"/>
    <w:rsid w:val="00B6167A"/>
    <w:rsid w:val="00B61B53"/>
    <w:rsid w:val="00B6294B"/>
    <w:rsid w:val="00B6297A"/>
    <w:rsid w:val="00B631C4"/>
    <w:rsid w:val="00B63542"/>
    <w:rsid w:val="00B64A30"/>
    <w:rsid w:val="00B65982"/>
    <w:rsid w:val="00B66338"/>
    <w:rsid w:val="00B66401"/>
    <w:rsid w:val="00B66ABF"/>
    <w:rsid w:val="00B67826"/>
    <w:rsid w:val="00B67B65"/>
    <w:rsid w:val="00B70215"/>
    <w:rsid w:val="00B7023A"/>
    <w:rsid w:val="00B70E42"/>
    <w:rsid w:val="00B70F90"/>
    <w:rsid w:val="00B710F6"/>
    <w:rsid w:val="00B71146"/>
    <w:rsid w:val="00B7134F"/>
    <w:rsid w:val="00B713AC"/>
    <w:rsid w:val="00B73921"/>
    <w:rsid w:val="00B7485D"/>
    <w:rsid w:val="00B7508C"/>
    <w:rsid w:val="00B76484"/>
    <w:rsid w:val="00B7706D"/>
    <w:rsid w:val="00B771D0"/>
    <w:rsid w:val="00B77502"/>
    <w:rsid w:val="00B77980"/>
    <w:rsid w:val="00B802B2"/>
    <w:rsid w:val="00B802CF"/>
    <w:rsid w:val="00B81E21"/>
    <w:rsid w:val="00B824C2"/>
    <w:rsid w:val="00B82563"/>
    <w:rsid w:val="00B825B3"/>
    <w:rsid w:val="00B826C3"/>
    <w:rsid w:val="00B82FBD"/>
    <w:rsid w:val="00B83346"/>
    <w:rsid w:val="00B83ABA"/>
    <w:rsid w:val="00B84053"/>
    <w:rsid w:val="00B84B91"/>
    <w:rsid w:val="00B84BEB"/>
    <w:rsid w:val="00B85898"/>
    <w:rsid w:val="00B85986"/>
    <w:rsid w:val="00B85A20"/>
    <w:rsid w:val="00B85AC5"/>
    <w:rsid w:val="00B85D5A"/>
    <w:rsid w:val="00B85F8B"/>
    <w:rsid w:val="00B86011"/>
    <w:rsid w:val="00B8665F"/>
    <w:rsid w:val="00B87466"/>
    <w:rsid w:val="00B87A42"/>
    <w:rsid w:val="00B87C3A"/>
    <w:rsid w:val="00B87DE6"/>
    <w:rsid w:val="00B90DC3"/>
    <w:rsid w:val="00B92281"/>
    <w:rsid w:val="00B92E63"/>
    <w:rsid w:val="00B931D3"/>
    <w:rsid w:val="00B93310"/>
    <w:rsid w:val="00B93C47"/>
    <w:rsid w:val="00B941B0"/>
    <w:rsid w:val="00B946AC"/>
    <w:rsid w:val="00B948C5"/>
    <w:rsid w:val="00B94A98"/>
    <w:rsid w:val="00B955B8"/>
    <w:rsid w:val="00B95F02"/>
    <w:rsid w:val="00B976EE"/>
    <w:rsid w:val="00BA0DB5"/>
    <w:rsid w:val="00BA165D"/>
    <w:rsid w:val="00BA1850"/>
    <w:rsid w:val="00BA1AD1"/>
    <w:rsid w:val="00BA2776"/>
    <w:rsid w:val="00BA2927"/>
    <w:rsid w:val="00BA2C71"/>
    <w:rsid w:val="00BA2E1D"/>
    <w:rsid w:val="00BA2EFA"/>
    <w:rsid w:val="00BA3525"/>
    <w:rsid w:val="00BA37DD"/>
    <w:rsid w:val="00BA3F29"/>
    <w:rsid w:val="00BA43F3"/>
    <w:rsid w:val="00BA46A2"/>
    <w:rsid w:val="00BA46AB"/>
    <w:rsid w:val="00BA529A"/>
    <w:rsid w:val="00BA52D0"/>
    <w:rsid w:val="00BA54F5"/>
    <w:rsid w:val="00BA5616"/>
    <w:rsid w:val="00BA5E42"/>
    <w:rsid w:val="00BA5FB3"/>
    <w:rsid w:val="00BA6849"/>
    <w:rsid w:val="00BA6D25"/>
    <w:rsid w:val="00BA7A6A"/>
    <w:rsid w:val="00BB00DD"/>
    <w:rsid w:val="00BB0318"/>
    <w:rsid w:val="00BB158B"/>
    <w:rsid w:val="00BB1E9D"/>
    <w:rsid w:val="00BB250B"/>
    <w:rsid w:val="00BB2577"/>
    <w:rsid w:val="00BB3680"/>
    <w:rsid w:val="00BB37B3"/>
    <w:rsid w:val="00BB3D84"/>
    <w:rsid w:val="00BB438B"/>
    <w:rsid w:val="00BB47BF"/>
    <w:rsid w:val="00BB481F"/>
    <w:rsid w:val="00BB4FE8"/>
    <w:rsid w:val="00BB6E99"/>
    <w:rsid w:val="00BB7062"/>
    <w:rsid w:val="00BB72F8"/>
    <w:rsid w:val="00BB7AA0"/>
    <w:rsid w:val="00BC010F"/>
    <w:rsid w:val="00BC015E"/>
    <w:rsid w:val="00BC035F"/>
    <w:rsid w:val="00BC06BE"/>
    <w:rsid w:val="00BC0AD1"/>
    <w:rsid w:val="00BC0E86"/>
    <w:rsid w:val="00BC13DD"/>
    <w:rsid w:val="00BC1FBF"/>
    <w:rsid w:val="00BC2812"/>
    <w:rsid w:val="00BC28FC"/>
    <w:rsid w:val="00BC4036"/>
    <w:rsid w:val="00BC4421"/>
    <w:rsid w:val="00BC4D83"/>
    <w:rsid w:val="00BC5DD4"/>
    <w:rsid w:val="00BC7435"/>
    <w:rsid w:val="00BC7466"/>
    <w:rsid w:val="00BC7D0C"/>
    <w:rsid w:val="00BD062D"/>
    <w:rsid w:val="00BD0DC2"/>
    <w:rsid w:val="00BD0E13"/>
    <w:rsid w:val="00BD134E"/>
    <w:rsid w:val="00BD13CB"/>
    <w:rsid w:val="00BD1A65"/>
    <w:rsid w:val="00BD2BB2"/>
    <w:rsid w:val="00BD66FA"/>
    <w:rsid w:val="00BD7318"/>
    <w:rsid w:val="00BD7CA1"/>
    <w:rsid w:val="00BE0D40"/>
    <w:rsid w:val="00BE1E67"/>
    <w:rsid w:val="00BE1F9D"/>
    <w:rsid w:val="00BE215F"/>
    <w:rsid w:val="00BE2B6E"/>
    <w:rsid w:val="00BE3A95"/>
    <w:rsid w:val="00BE40F0"/>
    <w:rsid w:val="00BE41D8"/>
    <w:rsid w:val="00BE43D1"/>
    <w:rsid w:val="00BE456A"/>
    <w:rsid w:val="00BE508F"/>
    <w:rsid w:val="00BE5119"/>
    <w:rsid w:val="00BE5A1D"/>
    <w:rsid w:val="00BE6766"/>
    <w:rsid w:val="00BE68B6"/>
    <w:rsid w:val="00BE6D57"/>
    <w:rsid w:val="00BE7012"/>
    <w:rsid w:val="00BE73E4"/>
    <w:rsid w:val="00BE7EE3"/>
    <w:rsid w:val="00BF0D64"/>
    <w:rsid w:val="00BF165D"/>
    <w:rsid w:val="00BF3FCE"/>
    <w:rsid w:val="00BF41AA"/>
    <w:rsid w:val="00BF4654"/>
    <w:rsid w:val="00BF49DF"/>
    <w:rsid w:val="00BF4B25"/>
    <w:rsid w:val="00BF4BAC"/>
    <w:rsid w:val="00BF4E6C"/>
    <w:rsid w:val="00BF62EC"/>
    <w:rsid w:val="00C0002E"/>
    <w:rsid w:val="00C00680"/>
    <w:rsid w:val="00C01280"/>
    <w:rsid w:val="00C01299"/>
    <w:rsid w:val="00C021A3"/>
    <w:rsid w:val="00C03488"/>
    <w:rsid w:val="00C036A7"/>
    <w:rsid w:val="00C04136"/>
    <w:rsid w:val="00C0526A"/>
    <w:rsid w:val="00C0565A"/>
    <w:rsid w:val="00C05F16"/>
    <w:rsid w:val="00C063C1"/>
    <w:rsid w:val="00C06A6E"/>
    <w:rsid w:val="00C06B51"/>
    <w:rsid w:val="00C06D12"/>
    <w:rsid w:val="00C0715E"/>
    <w:rsid w:val="00C101B1"/>
    <w:rsid w:val="00C1084A"/>
    <w:rsid w:val="00C109C3"/>
    <w:rsid w:val="00C10ACA"/>
    <w:rsid w:val="00C11BAE"/>
    <w:rsid w:val="00C11D91"/>
    <w:rsid w:val="00C124FC"/>
    <w:rsid w:val="00C12BAA"/>
    <w:rsid w:val="00C146FD"/>
    <w:rsid w:val="00C1475A"/>
    <w:rsid w:val="00C1591A"/>
    <w:rsid w:val="00C15A10"/>
    <w:rsid w:val="00C16284"/>
    <w:rsid w:val="00C1660A"/>
    <w:rsid w:val="00C16711"/>
    <w:rsid w:val="00C1678C"/>
    <w:rsid w:val="00C16A1A"/>
    <w:rsid w:val="00C1729B"/>
    <w:rsid w:val="00C1737A"/>
    <w:rsid w:val="00C17AAD"/>
    <w:rsid w:val="00C17E95"/>
    <w:rsid w:val="00C2008D"/>
    <w:rsid w:val="00C207D3"/>
    <w:rsid w:val="00C20B69"/>
    <w:rsid w:val="00C20FFC"/>
    <w:rsid w:val="00C214DD"/>
    <w:rsid w:val="00C21653"/>
    <w:rsid w:val="00C21836"/>
    <w:rsid w:val="00C218A1"/>
    <w:rsid w:val="00C218EA"/>
    <w:rsid w:val="00C21CD2"/>
    <w:rsid w:val="00C21E05"/>
    <w:rsid w:val="00C2226C"/>
    <w:rsid w:val="00C2239A"/>
    <w:rsid w:val="00C23A1B"/>
    <w:rsid w:val="00C25136"/>
    <w:rsid w:val="00C25A1F"/>
    <w:rsid w:val="00C25AAB"/>
    <w:rsid w:val="00C25D9C"/>
    <w:rsid w:val="00C2771D"/>
    <w:rsid w:val="00C27880"/>
    <w:rsid w:val="00C27C22"/>
    <w:rsid w:val="00C30CC6"/>
    <w:rsid w:val="00C30D6C"/>
    <w:rsid w:val="00C31C93"/>
    <w:rsid w:val="00C32A42"/>
    <w:rsid w:val="00C32ADF"/>
    <w:rsid w:val="00C32E85"/>
    <w:rsid w:val="00C33140"/>
    <w:rsid w:val="00C337DE"/>
    <w:rsid w:val="00C33854"/>
    <w:rsid w:val="00C33E84"/>
    <w:rsid w:val="00C344F4"/>
    <w:rsid w:val="00C359F6"/>
    <w:rsid w:val="00C35E61"/>
    <w:rsid w:val="00C364D9"/>
    <w:rsid w:val="00C36BA0"/>
    <w:rsid w:val="00C37F22"/>
    <w:rsid w:val="00C404DF"/>
    <w:rsid w:val="00C40CFD"/>
    <w:rsid w:val="00C40EA7"/>
    <w:rsid w:val="00C41B4D"/>
    <w:rsid w:val="00C41BB0"/>
    <w:rsid w:val="00C42748"/>
    <w:rsid w:val="00C4276B"/>
    <w:rsid w:val="00C4281B"/>
    <w:rsid w:val="00C4321C"/>
    <w:rsid w:val="00C43FD6"/>
    <w:rsid w:val="00C442AA"/>
    <w:rsid w:val="00C4509D"/>
    <w:rsid w:val="00C457DE"/>
    <w:rsid w:val="00C45A5F"/>
    <w:rsid w:val="00C45A9E"/>
    <w:rsid w:val="00C461EA"/>
    <w:rsid w:val="00C46ACC"/>
    <w:rsid w:val="00C46DBC"/>
    <w:rsid w:val="00C47E21"/>
    <w:rsid w:val="00C50572"/>
    <w:rsid w:val="00C5059D"/>
    <w:rsid w:val="00C50924"/>
    <w:rsid w:val="00C510EB"/>
    <w:rsid w:val="00C5186C"/>
    <w:rsid w:val="00C51C2F"/>
    <w:rsid w:val="00C51D3F"/>
    <w:rsid w:val="00C5261C"/>
    <w:rsid w:val="00C533C2"/>
    <w:rsid w:val="00C539A9"/>
    <w:rsid w:val="00C539E5"/>
    <w:rsid w:val="00C53F07"/>
    <w:rsid w:val="00C53F25"/>
    <w:rsid w:val="00C54E92"/>
    <w:rsid w:val="00C54F45"/>
    <w:rsid w:val="00C554C2"/>
    <w:rsid w:val="00C55D82"/>
    <w:rsid w:val="00C55E02"/>
    <w:rsid w:val="00C565CD"/>
    <w:rsid w:val="00C56A57"/>
    <w:rsid w:val="00C571F3"/>
    <w:rsid w:val="00C57842"/>
    <w:rsid w:val="00C57D07"/>
    <w:rsid w:val="00C57DFC"/>
    <w:rsid w:val="00C6017A"/>
    <w:rsid w:val="00C603CC"/>
    <w:rsid w:val="00C6070A"/>
    <w:rsid w:val="00C60FC2"/>
    <w:rsid w:val="00C6178D"/>
    <w:rsid w:val="00C61EAE"/>
    <w:rsid w:val="00C62310"/>
    <w:rsid w:val="00C6246F"/>
    <w:rsid w:val="00C63286"/>
    <w:rsid w:val="00C634AB"/>
    <w:rsid w:val="00C63B06"/>
    <w:rsid w:val="00C655FA"/>
    <w:rsid w:val="00C65F23"/>
    <w:rsid w:val="00C6607B"/>
    <w:rsid w:val="00C66442"/>
    <w:rsid w:val="00C66B63"/>
    <w:rsid w:val="00C66FA3"/>
    <w:rsid w:val="00C71465"/>
    <w:rsid w:val="00C71C80"/>
    <w:rsid w:val="00C71EB2"/>
    <w:rsid w:val="00C723B4"/>
    <w:rsid w:val="00C724EE"/>
    <w:rsid w:val="00C7260C"/>
    <w:rsid w:val="00C727D7"/>
    <w:rsid w:val="00C72883"/>
    <w:rsid w:val="00C72A47"/>
    <w:rsid w:val="00C72AED"/>
    <w:rsid w:val="00C73D07"/>
    <w:rsid w:val="00C73DC0"/>
    <w:rsid w:val="00C73FC6"/>
    <w:rsid w:val="00C74029"/>
    <w:rsid w:val="00C740C1"/>
    <w:rsid w:val="00C751B8"/>
    <w:rsid w:val="00C75345"/>
    <w:rsid w:val="00C7535A"/>
    <w:rsid w:val="00C75473"/>
    <w:rsid w:val="00C7682E"/>
    <w:rsid w:val="00C76853"/>
    <w:rsid w:val="00C769E7"/>
    <w:rsid w:val="00C779B7"/>
    <w:rsid w:val="00C8094F"/>
    <w:rsid w:val="00C812E1"/>
    <w:rsid w:val="00C81F7A"/>
    <w:rsid w:val="00C82404"/>
    <w:rsid w:val="00C82653"/>
    <w:rsid w:val="00C830AA"/>
    <w:rsid w:val="00C830BB"/>
    <w:rsid w:val="00C84F4A"/>
    <w:rsid w:val="00C85C44"/>
    <w:rsid w:val="00C85E23"/>
    <w:rsid w:val="00C8642E"/>
    <w:rsid w:val="00C86A80"/>
    <w:rsid w:val="00C86FA0"/>
    <w:rsid w:val="00C87179"/>
    <w:rsid w:val="00C872E1"/>
    <w:rsid w:val="00C90E92"/>
    <w:rsid w:val="00C910A5"/>
    <w:rsid w:val="00C910E7"/>
    <w:rsid w:val="00C918AC"/>
    <w:rsid w:val="00C928FD"/>
    <w:rsid w:val="00C92A6C"/>
    <w:rsid w:val="00C93124"/>
    <w:rsid w:val="00C936FB"/>
    <w:rsid w:val="00C93CB8"/>
    <w:rsid w:val="00C94097"/>
    <w:rsid w:val="00C9566F"/>
    <w:rsid w:val="00C96026"/>
    <w:rsid w:val="00C964AC"/>
    <w:rsid w:val="00C964F5"/>
    <w:rsid w:val="00C9662D"/>
    <w:rsid w:val="00C97168"/>
    <w:rsid w:val="00CA0208"/>
    <w:rsid w:val="00CA04A4"/>
    <w:rsid w:val="00CA04CE"/>
    <w:rsid w:val="00CA171D"/>
    <w:rsid w:val="00CA1C1A"/>
    <w:rsid w:val="00CA205A"/>
    <w:rsid w:val="00CA3FCA"/>
    <w:rsid w:val="00CA4411"/>
    <w:rsid w:val="00CA5E6D"/>
    <w:rsid w:val="00CA63EA"/>
    <w:rsid w:val="00CA6516"/>
    <w:rsid w:val="00CA6DEE"/>
    <w:rsid w:val="00CA7DF3"/>
    <w:rsid w:val="00CA7E57"/>
    <w:rsid w:val="00CB0009"/>
    <w:rsid w:val="00CB0C90"/>
    <w:rsid w:val="00CB1883"/>
    <w:rsid w:val="00CB1B8C"/>
    <w:rsid w:val="00CB23D7"/>
    <w:rsid w:val="00CB243F"/>
    <w:rsid w:val="00CB2996"/>
    <w:rsid w:val="00CB32E8"/>
    <w:rsid w:val="00CB3DBB"/>
    <w:rsid w:val="00CB3FC4"/>
    <w:rsid w:val="00CB40AC"/>
    <w:rsid w:val="00CB4FB0"/>
    <w:rsid w:val="00CB5B2D"/>
    <w:rsid w:val="00CB5CB3"/>
    <w:rsid w:val="00CB6179"/>
    <w:rsid w:val="00CB6415"/>
    <w:rsid w:val="00CB648F"/>
    <w:rsid w:val="00CB682A"/>
    <w:rsid w:val="00CB6DBF"/>
    <w:rsid w:val="00CB6E69"/>
    <w:rsid w:val="00CB72A3"/>
    <w:rsid w:val="00CC0421"/>
    <w:rsid w:val="00CC096E"/>
    <w:rsid w:val="00CC0EB4"/>
    <w:rsid w:val="00CC20BA"/>
    <w:rsid w:val="00CC2151"/>
    <w:rsid w:val="00CC25D9"/>
    <w:rsid w:val="00CC28CC"/>
    <w:rsid w:val="00CC2C41"/>
    <w:rsid w:val="00CC4727"/>
    <w:rsid w:val="00CC742D"/>
    <w:rsid w:val="00CC783F"/>
    <w:rsid w:val="00CD0019"/>
    <w:rsid w:val="00CD08BF"/>
    <w:rsid w:val="00CD0C00"/>
    <w:rsid w:val="00CD0E15"/>
    <w:rsid w:val="00CD1236"/>
    <w:rsid w:val="00CD3935"/>
    <w:rsid w:val="00CD42A3"/>
    <w:rsid w:val="00CD4386"/>
    <w:rsid w:val="00CD4A67"/>
    <w:rsid w:val="00CD4B92"/>
    <w:rsid w:val="00CD5D70"/>
    <w:rsid w:val="00CD6355"/>
    <w:rsid w:val="00CD6968"/>
    <w:rsid w:val="00CD776C"/>
    <w:rsid w:val="00CE0248"/>
    <w:rsid w:val="00CE05A2"/>
    <w:rsid w:val="00CE14D2"/>
    <w:rsid w:val="00CE1A51"/>
    <w:rsid w:val="00CE1B3C"/>
    <w:rsid w:val="00CE1D3C"/>
    <w:rsid w:val="00CE2745"/>
    <w:rsid w:val="00CE29AB"/>
    <w:rsid w:val="00CE3A46"/>
    <w:rsid w:val="00CE3B39"/>
    <w:rsid w:val="00CE4483"/>
    <w:rsid w:val="00CE4897"/>
    <w:rsid w:val="00CE4F1C"/>
    <w:rsid w:val="00CE50B5"/>
    <w:rsid w:val="00CE5D5C"/>
    <w:rsid w:val="00CE65F1"/>
    <w:rsid w:val="00CE6B46"/>
    <w:rsid w:val="00CE6C4D"/>
    <w:rsid w:val="00CE6C83"/>
    <w:rsid w:val="00CE71D0"/>
    <w:rsid w:val="00CF0362"/>
    <w:rsid w:val="00CF0736"/>
    <w:rsid w:val="00CF0D8E"/>
    <w:rsid w:val="00CF0E28"/>
    <w:rsid w:val="00CF1162"/>
    <w:rsid w:val="00CF17D4"/>
    <w:rsid w:val="00CF1A62"/>
    <w:rsid w:val="00CF1F32"/>
    <w:rsid w:val="00CF257E"/>
    <w:rsid w:val="00CF2B04"/>
    <w:rsid w:val="00CF3B4F"/>
    <w:rsid w:val="00CF3D93"/>
    <w:rsid w:val="00CF6229"/>
    <w:rsid w:val="00CF6797"/>
    <w:rsid w:val="00CF715A"/>
    <w:rsid w:val="00CF7552"/>
    <w:rsid w:val="00CF7DE5"/>
    <w:rsid w:val="00D00DEC"/>
    <w:rsid w:val="00D01059"/>
    <w:rsid w:val="00D01475"/>
    <w:rsid w:val="00D01E5B"/>
    <w:rsid w:val="00D024DE"/>
    <w:rsid w:val="00D0268B"/>
    <w:rsid w:val="00D0285F"/>
    <w:rsid w:val="00D028BB"/>
    <w:rsid w:val="00D03387"/>
    <w:rsid w:val="00D034B9"/>
    <w:rsid w:val="00D036F2"/>
    <w:rsid w:val="00D03AB2"/>
    <w:rsid w:val="00D03F1A"/>
    <w:rsid w:val="00D0428B"/>
    <w:rsid w:val="00D04CD7"/>
    <w:rsid w:val="00D05042"/>
    <w:rsid w:val="00D0523E"/>
    <w:rsid w:val="00D0524F"/>
    <w:rsid w:val="00D05CCD"/>
    <w:rsid w:val="00D05EAA"/>
    <w:rsid w:val="00D06272"/>
    <w:rsid w:val="00D06F9F"/>
    <w:rsid w:val="00D07443"/>
    <w:rsid w:val="00D07DF3"/>
    <w:rsid w:val="00D07E2D"/>
    <w:rsid w:val="00D11FF2"/>
    <w:rsid w:val="00D12067"/>
    <w:rsid w:val="00D12120"/>
    <w:rsid w:val="00D12912"/>
    <w:rsid w:val="00D138BB"/>
    <w:rsid w:val="00D13D30"/>
    <w:rsid w:val="00D14372"/>
    <w:rsid w:val="00D14847"/>
    <w:rsid w:val="00D15417"/>
    <w:rsid w:val="00D155E0"/>
    <w:rsid w:val="00D158F0"/>
    <w:rsid w:val="00D17A9B"/>
    <w:rsid w:val="00D17C6D"/>
    <w:rsid w:val="00D17DE6"/>
    <w:rsid w:val="00D2016D"/>
    <w:rsid w:val="00D2061D"/>
    <w:rsid w:val="00D21109"/>
    <w:rsid w:val="00D214AF"/>
    <w:rsid w:val="00D21D33"/>
    <w:rsid w:val="00D21E64"/>
    <w:rsid w:val="00D22B1F"/>
    <w:rsid w:val="00D22B48"/>
    <w:rsid w:val="00D22D71"/>
    <w:rsid w:val="00D2336B"/>
    <w:rsid w:val="00D233A8"/>
    <w:rsid w:val="00D237DE"/>
    <w:rsid w:val="00D23C69"/>
    <w:rsid w:val="00D2411A"/>
    <w:rsid w:val="00D2544B"/>
    <w:rsid w:val="00D25F38"/>
    <w:rsid w:val="00D26286"/>
    <w:rsid w:val="00D26367"/>
    <w:rsid w:val="00D26880"/>
    <w:rsid w:val="00D2741A"/>
    <w:rsid w:val="00D27B12"/>
    <w:rsid w:val="00D27B5B"/>
    <w:rsid w:val="00D30145"/>
    <w:rsid w:val="00D30341"/>
    <w:rsid w:val="00D309F9"/>
    <w:rsid w:val="00D31203"/>
    <w:rsid w:val="00D32D46"/>
    <w:rsid w:val="00D33491"/>
    <w:rsid w:val="00D33BA0"/>
    <w:rsid w:val="00D33DA1"/>
    <w:rsid w:val="00D33F74"/>
    <w:rsid w:val="00D3427C"/>
    <w:rsid w:val="00D345D0"/>
    <w:rsid w:val="00D34FD7"/>
    <w:rsid w:val="00D36D19"/>
    <w:rsid w:val="00D375AD"/>
    <w:rsid w:val="00D377C7"/>
    <w:rsid w:val="00D4034B"/>
    <w:rsid w:val="00D409B6"/>
    <w:rsid w:val="00D40A46"/>
    <w:rsid w:val="00D428B2"/>
    <w:rsid w:val="00D42E64"/>
    <w:rsid w:val="00D432D8"/>
    <w:rsid w:val="00D439A2"/>
    <w:rsid w:val="00D43D5D"/>
    <w:rsid w:val="00D43F92"/>
    <w:rsid w:val="00D44425"/>
    <w:rsid w:val="00D4567A"/>
    <w:rsid w:val="00D45D5F"/>
    <w:rsid w:val="00D45E6E"/>
    <w:rsid w:val="00D473C3"/>
    <w:rsid w:val="00D474E7"/>
    <w:rsid w:val="00D478BA"/>
    <w:rsid w:val="00D508CC"/>
    <w:rsid w:val="00D50DE6"/>
    <w:rsid w:val="00D51C99"/>
    <w:rsid w:val="00D522CB"/>
    <w:rsid w:val="00D52527"/>
    <w:rsid w:val="00D53A7B"/>
    <w:rsid w:val="00D544C0"/>
    <w:rsid w:val="00D5458E"/>
    <w:rsid w:val="00D54672"/>
    <w:rsid w:val="00D549A2"/>
    <w:rsid w:val="00D549DF"/>
    <w:rsid w:val="00D54B18"/>
    <w:rsid w:val="00D55224"/>
    <w:rsid w:val="00D556AC"/>
    <w:rsid w:val="00D55823"/>
    <w:rsid w:val="00D55E09"/>
    <w:rsid w:val="00D56F93"/>
    <w:rsid w:val="00D57109"/>
    <w:rsid w:val="00D5725D"/>
    <w:rsid w:val="00D577B6"/>
    <w:rsid w:val="00D60262"/>
    <w:rsid w:val="00D60595"/>
    <w:rsid w:val="00D6202A"/>
    <w:rsid w:val="00D628F6"/>
    <w:rsid w:val="00D62DAC"/>
    <w:rsid w:val="00D62F81"/>
    <w:rsid w:val="00D63690"/>
    <w:rsid w:val="00D64A1E"/>
    <w:rsid w:val="00D6505F"/>
    <w:rsid w:val="00D653A6"/>
    <w:rsid w:val="00D65962"/>
    <w:rsid w:val="00D66683"/>
    <w:rsid w:val="00D66B7B"/>
    <w:rsid w:val="00D674FF"/>
    <w:rsid w:val="00D678D1"/>
    <w:rsid w:val="00D67B56"/>
    <w:rsid w:val="00D67C4B"/>
    <w:rsid w:val="00D67D03"/>
    <w:rsid w:val="00D70CBA"/>
    <w:rsid w:val="00D70CC7"/>
    <w:rsid w:val="00D70E66"/>
    <w:rsid w:val="00D70FCF"/>
    <w:rsid w:val="00D721FE"/>
    <w:rsid w:val="00D72A03"/>
    <w:rsid w:val="00D732FB"/>
    <w:rsid w:val="00D739B1"/>
    <w:rsid w:val="00D740C7"/>
    <w:rsid w:val="00D7446E"/>
    <w:rsid w:val="00D74BEF"/>
    <w:rsid w:val="00D74D09"/>
    <w:rsid w:val="00D74F43"/>
    <w:rsid w:val="00D77DF5"/>
    <w:rsid w:val="00D81FBF"/>
    <w:rsid w:val="00D82084"/>
    <w:rsid w:val="00D82FEB"/>
    <w:rsid w:val="00D83703"/>
    <w:rsid w:val="00D84854"/>
    <w:rsid w:val="00D851DE"/>
    <w:rsid w:val="00D85E26"/>
    <w:rsid w:val="00D8610A"/>
    <w:rsid w:val="00D87BC0"/>
    <w:rsid w:val="00D87E01"/>
    <w:rsid w:val="00D900C6"/>
    <w:rsid w:val="00D904DA"/>
    <w:rsid w:val="00D90A91"/>
    <w:rsid w:val="00D90D47"/>
    <w:rsid w:val="00D90FEC"/>
    <w:rsid w:val="00D911EC"/>
    <w:rsid w:val="00D9186A"/>
    <w:rsid w:val="00D91F04"/>
    <w:rsid w:val="00D92315"/>
    <w:rsid w:val="00D92BDA"/>
    <w:rsid w:val="00D93245"/>
    <w:rsid w:val="00D940B4"/>
    <w:rsid w:val="00D9415A"/>
    <w:rsid w:val="00D94584"/>
    <w:rsid w:val="00D94EA7"/>
    <w:rsid w:val="00D95562"/>
    <w:rsid w:val="00D95A08"/>
    <w:rsid w:val="00D9622F"/>
    <w:rsid w:val="00D96A30"/>
    <w:rsid w:val="00D96C96"/>
    <w:rsid w:val="00D9750B"/>
    <w:rsid w:val="00DA0BCA"/>
    <w:rsid w:val="00DA0D70"/>
    <w:rsid w:val="00DA0FDE"/>
    <w:rsid w:val="00DA1BE4"/>
    <w:rsid w:val="00DA1C98"/>
    <w:rsid w:val="00DA1E72"/>
    <w:rsid w:val="00DA2574"/>
    <w:rsid w:val="00DA2687"/>
    <w:rsid w:val="00DA32D6"/>
    <w:rsid w:val="00DA3813"/>
    <w:rsid w:val="00DA38B5"/>
    <w:rsid w:val="00DA3B35"/>
    <w:rsid w:val="00DA3F04"/>
    <w:rsid w:val="00DA4AC8"/>
    <w:rsid w:val="00DA5506"/>
    <w:rsid w:val="00DA598A"/>
    <w:rsid w:val="00DA5D19"/>
    <w:rsid w:val="00DA5EC8"/>
    <w:rsid w:val="00DA5FFE"/>
    <w:rsid w:val="00DA6502"/>
    <w:rsid w:val="00DA6591"/>
    <w:rsid w:val="00DA684E"/>
    <w:rsid w:val="00DA6CA5"/>
    <w:rsid w:val="00DA7BA1"/>
    <w:rsid w:val="00DA7DDA"/>
    <w:rsid w:val="00DB09C0"/>
    <w:rsid w:val="00DB0C59"/>
    <w:rsid w:val="00DB2A4A"/>
    <w:rsid w:val="00DB2FA8"/>
    <w:rsid w:val="00DB33EE"/>
    <w:rsid w:val="00DB34AC"/>
    <w:rsid w:val="00DB53E6"/>
    <w:rsid w:val="00DB6C98"/>
    <w:rsid w:val="00DB7B76"/>
    <w:rsid w:val="00DC10F2"/>
    <w:rsid w:val="00DC34CC"/>
    <w:rsid w:val="00DC3532"/>
    <w:rsid w:val="00DC406A"/>
    <w:rsid w:val="00DC42E8"/>
    <w:rsid w:val="00DC4A8A"/>
    <w:rsid w:val="00DC5BE7"/>
    <w:rsid w:val="00DC5EA6"/>
    <w:rsid w:val="00DC7B73"/>
    <w:rsid w:val="00DD0BB3"/>
    <w:rsid w:val="00DD11C0"/>
    <w:rsid w:val="00DD1763"/>
    <w:rsid w:val="00DD1B61"/>
    <w:rsid w:val="00DD22AF"/>
    <w:rsid w:val="00DD30EB"/>
    <w:rsid w:val="00DD3193"/>
    <w:rsid w:val="00DD31B9"/>
    <w:rsid w:val="00DD3BB6"/>
    <w:rsid w:val="00DD4612"/>
    <w:rsid w:val="00DD4B29"/>
    <w:rsid w:val="00DD4B4F"/>
    <w:rsid w:val="00DD4F7E"/>
    <w:rsid w:val="00DD5133"/>
    <w:rsid w:val="00DD5206"/>
    <w:rsid w:val="00DD5E00"/>
    <w:rsid w:val="00DD5ECB"/>
    <w:rsid w:val="00DD6063"/>
    <w:rsid w:val="00DD6D2C"/>
    <w:rsid w:val="00DD73A1"/>
    <w:rsid w:val="00DD74E2"/>
    <w:rsid w:val="00DE007E"/>
    <w:rsid w:val="00DE0760"/>
    <w:rsid w:val="00DE134D"/>
    <w:rsid w:val="00DE177C"/>
    <w:rsid w:val="00DE1801"/>
    <w:rsid w:val="00DE2229"/>
    <w:rsid w:val="00DE2547"/>
    <w:rsid w:val="00DE2735"/>
    <w:rsid w:val="00DE2D45"/>
    <w:rsid w:val="00DE2E2C"/>
    <w:rsid w:val="00DE3E45"/>
    <w:rsid w:val="00DE3F88"/>
    <w:rsid w:val="00DE44A7"/>
    <w:rsid w:val="00DE46BA"/>
    <w:rsid w:val="00DE4CD9"/>
    <w:rsid w:val="00DE4E2B"/>
    <w:rsid w:val="00DE522C"/>
    <w:rsid w:val="00DE544D"/>
    <w:rsid w:val="00DE577D"/>
    <w:rsid w:val="00DE6435"/>
    <w:rsid w:val="00DE6C3A"/>
    <w:rsid w:val="00DE6CC7"/>
    <w:rsid w:val="00DE70DD"/>
    <w:rsid w:val="00DE7B29"/>
    <w:rsid w:val="00DE7C8B"/>
    <w:rsid w:val="00DF05C6"/>
    <w:rsid w:val="00DF1556"/>
    <w:rsid w:val="00DF1FB0"/>
    <w:rsid w:val="00DF2E99"/>
    <w:rsid w:val="00DF32E3"/>
    <w:rsid w:val="00DF32F9"/>
    <w:rsid w:val="00DF406E"/>
    <w:rsid w:val="00DF4C77"/>
    <w:rsid w:val="00DF5E99"/>
    <w:rsid w:val="00DF5FF6"/>
    <w:rsid w:val="00DF60AE"/>
    <w:rsid w:val="00DF68E5"/>
    <w:rsid w:val="00DF6B0C"/>
    <w:rsid w:val="00DF712A"/>
    <w:rsid w:val="00DF74FC"/>
    <w:rsid w:val="00DF76FF"/>
    <w:rsid w:val="00DF7F5D"/>
    <w:rsid w:val="00E002BB"/>
    <w:rsid w:val="00E00A46"/>
    <w:rsid w:val="00E00DC4"/>
    <w:rsid w:val="00E00E5F"/>
    <w:rsid w:val="00E00F29"/>
    <w:rsid w:val="00E01557"/>
    <w:rsid w:val="00E01C0A"/>
    <w:rsid w:val="00E02384"/>
    <w:rsid w:val="00E03DAF"/>
    <w:rsid w:val="00E041ED"/>
    <w:rsid w:val="00E04347"/>
    <w:rsid w:val="00E049B6"/>
    <w:rsid w:val="00E04D70"/>
    <w:rsid w:val="00E056ED"/>
    <w:rsid w:val="00E05A6A"/>
    <w:rsid w:val="00E07499"/>
    <w:rsid w:val="00E07999"/>
    <w:rsid w:val="00E079A9"/>
    <w:rsid w:val="00E07FC2"/>
    <w:rsid w:val="00E1063B"/>
    <w:rsid w:val="00E10E9F"/>
    <w:rsid w:val="00E10ED2"/>
    <w:rsid w:val="00E11D4C"/>
    <w:rsid w:val="00E11E5C"/>
    <w:rsid w:val="00E1242D"/>
    <w:rsid w:val="00E1267F"/>
    <w:rsid w:val="00E12AA7"/>
    <w:rsid w:val="00E12CD4"/>
    <w:rsid w:val="00E12E02"/>
    <w:rsid w:val="00E12F13"/>
    <w:rsid w:val="00E1317F"/>
    <w:rsid w:val="00E13263"/>
    <w:rsid w:val="00E13DAC"/>
    <w:rsid w:val="00E144B1"/>
    <w:rsid w:val="00E1480D"/>
    <w:rsid w:val="00E14933"/>
    <w:rsid w:val="00E14AC4"/>
    <w:rsid w:val="00E14C2E"/>
    <w:rsid w:val="00E14DEC"/>
    <w:rsid w:val="00E15162"/>
    <w:rsid w:val="00E15A86"/>
    <w:rsid w:val="00E15ED4"/>
    <w:rsid w:val="00E16DF0"/>
    <w:rsid w:val="00E17036"/>
    <w:rsid w:val="00E1746A"/>
    <w:rsid w:val="00E174E0"/>
    <w:rsid w:val="00E17778"/>
    <w:rsid w:val="00E17DBC"/>
    <w:rsid w:val="00E20869"/>
    <w:rsid w:val="00E208D6"/>
    <w:rsid w:val="00E20F1D"/>
    <w:rsid w:val="00E2116E"/>
    <w:rsid w:val="00E21243"/>
    <w:rsid w:val="00E2146B"/>
    <w:rsid w:val="00E22514"/>
    <w:rsid w:val="00E22ECF"/>
    <w:rsid w:val="00E2353B"/>
    <w:rsid w:val="00E2445A"/>
    <w:rsid w:val="00E24505"/>
    <w:rsid w:val="00E245AA"/>
    <w:rsid w:val="00E26332"/>
    <w:rsid w:val="00E265F3"/>
    <w:rsid w:val="00E26623"/>
    <w:rsid w:val="00E26AEA"/>
    <w:rsid w:val="00E271FF"/>
    <w:rsid w:val="00E2752B"/>
    <w:rsid w:val="00E27748"/>
    <w:rsid w:val="00E3047E"/>
    <w:rsid w:val="00E30487"/>
    <w:rsid w:val="00E31241"/>
    <w:rsid w:val="00E31570"/>
    <w:rsid w:val="00E31F7E"/>
    <w:rsid w:val="00E3214C"/>
    <w:rsid w:val="00E3346F"/>
    <w:rsid w:val="00E33D38"/>
    <w:rsid w:val="00E34711"/>
    <w:rsid w:val="00E3486D"/>
    <w:rsid w:val="00E35CEB"/>
    <w:rsid w:val="00E35EE4"/>
    <w:rsid w:val="00E36590"/>
    <w:rsid w:val="00E365CF"/>
    <w:rsid w:val="00E37FE8"/>
    <w:rsid w:val="00E40CB6"/>
    <w:rsid w:val="00E410C6"/>
    <w:rsid w:val="00E41457"/>
    <w:rsid w:val="00E42D43"/>
    <w:rsid w:val="00E43786"/>
    <w:rsid w:val="00E43E46"/>
    <w:rsid w:val="00E43E96"/>
    <w:rsid w:val="00E43FFB"/>
    <w:rsid w:val="00E442AF"/>
    <w:rsid w:val="00E44A84"/>
    <w:rsid w:val="00E44B4C"/>
    <w:rsid w:val="00E44D58"/>
    <w:rsid w:val="00E4549F"/>
    <w:rsid w:val="00E459D1"/>
    <w:rsid w:val="00E46441"/>
    <w:rsid w:val="00E46B52"/>
    <w:rsid w:val="00E47203"/>
    <w:rsid w:val="00E47358"/>
    <w:rsid w:val="00E5064E"/>
    <w:rsid w:val="00E509C1"/>
    <w:rsid w:val="00E510D3"/>
    <w:rsid w:val="00E5189A"/>
    <w:rsid w:val="00E51BCA"/>
    <w:rsid w:val="00E51EC6"/>
    <w:rsid w:val="00E52030"/>
    <w:rsid w:val="00E5288C"/>
    <w:rsid w:val="00E52CF2"/>
    <w:rsid w:val="00E53421"/>
    <w:rsid w:val="00E54415"/>
    <w:rsid w:val="00E5494D"/>
    <w:rsid w:val="00E54982"/>
    <w:rsid w:val="00E55004"/>
    <w:rsid w:val="00E556D9"/>
    <w:rsid w:val="00E558F7"/>
    <w:rsid w:val="00E55F13"/>
    <w:rsid w:val="00E56847"/>
    <w:rsid w:val="00E57A27"/>
    <w:rsid w:val="00E60A61"/>
    <w:rsid w:val="00E60AA3"/>
    <w:rsid w:val="00E612F7"/>
    <w:rsid w:val="00E61CA9"/>
    <w:rsid w:val="00E62FD3"/>
    <w:rsid w:val="00E6302D"/>
    <w:rsid w:val="00E63376"/>
    <w:rsid w:val="00E639C0"/>
    <w:rsid w:val="00E63EEA"/>
    <w:rsid w:val="00E6442A"/>
    <w:rsid w:val="00E6704B"/>
    <w:rsid w:val="00E67506"/>
    <w:rsid w:val="00E6762B"/>
    <w:rsid w:val="00E67831"/>
    <w:rsid w:val="00E71348"/>
    <w:rsid w:val="00E71BD8"/>
    <w:rsid w:val="00E7232A"/>
    <w:rsid w:val="00E72410"/>
    <w:rsid w:val="00E7310B"/>
    <w:rsid w:val="00E73198"/>
    <w:rsid w:val="00E737C0"/>
    <w:rsid w:val="00E7380B"/>
    <w:rsid w:val="00E73BFA"/>
    <w:rsid w:val="00E73DDA"/>
    <w:rsid w:val="00E742BD"/>
    <w:rsid w:val="00E744CA"/>
    <w:rsid w:val="00E75350"/>
    <w:rsid w:val="00E762CF"/>
    <w:rsid w:val="00E7761F"/>
    <w:rsid w:val="00E80075"/>
    <w:rsid w:val="00E80696"/>
    <w:rsid w:val="00E8079E"/>
    <w:rsid w:val="00E81133"/>
    <w:rsid w:val="00E8185C"/>
    <w:rsid w:val="00E818CB"/>
    <w:rsid w:val="00E81E20"/>
    <w:rsid w:val="00E820EC"/>
    <w:rsid w:val="00E8211F"/>
    <w:rsid w:val="00E82708"/>
    <w:rsid w:val="00E83D82"/>
    <w:rsid w:val="00E850B2"/>
    <w:rsid w:val="00E8527E"/>
    <w:rsid w:val="00E852CD"/>
    <w:rsid w:val="00E85494"/>
    <w:rsid w:val="00E858F4"/>
    <w:rsid w:val="00E8595D"/>
    <w:rsid w:val="00E85B98"/>
    <w:rsid w:val="00E8624B"/>
    <w:rsid w:val="00E86FCD"/>
    <w:rsid w:val="00E876D7"/>
    <w:rsid w:val="00E8795B"/>
    <w:rsid w:val="00E87CC3"/>
    <w:rsid w:val="00E900A4"/>
    <w:rsid w:val="00E9040A"/>
    <w:rsid w:val="00E9100E"/>
    <w:rsid w:val="00E912C2"/>
    <w:rsid w:val="00E91962"/>
    <w:rsid w:val="00E91EA9"/>
    <w:rsid w:val="00E92545"/>
    <w:rsid w:val="00E92615"/>
    <w:rsid w:val="00E92851"/>
    <w:rsid w:val="00E92977"/>
    <w:rsid w:val="00E92AB0"/>
    <w:rsid w:val="00E92F5E"/>
    <w:rsid w:val="00E93115"/>
    <w:rsid w:val="00E931C7"/>
    <w:rsid w:val="00E936B5"/>
    <w:rsid w:val="00E93D91"/>
    <w:rsid w:val="00E949A6"/>
    <w:rsid w:val="00E95195"/>
    <w:rsid w:val="00E95BA8"/>
    <w:rsid w:val="00E95EBE"/>
    <w:rsid w:val="00E9665C"/>
    <w:rsid w:val="00E96A97"/>
    <w:rsid w:val="00E9716F"/>
    <w:rsid w:val="00E97291"/>
    <w:rsid w:val="00E97F25"/>
    <w:rsid w:val="00EA0880"/>
    <w:rsid w:val="00EA0A78"/>
    <w:rsid w:val="00EA0FD8"/>
    <w:rsid w:val="00EA133F"/>
    <w:rsid w:val="00EA1BD6"/>
    <w:rsid w:val="00EA22D3"/>
    <w:rsid w:val="00EA268C"/>
    <w:rsid w:val="00EA2A50"/>
    <w:rsid w:val="00EA2DA4"/>
    <w:rsid w:val="00EA4F8D"/>
    <w:rsid w:val="00EA4FC4"/>
    <w:rsid w:val="00EA5495"/>
    <w:rsid w:val="00EA6022"/>
    <w:rsid w:val="00EA659F"/>
    <w:rsid w:val="00EA669B"/>
    <w:rsid w:val="00EA695D"/>
    <w:rsid w:val="00EA6C80"/>
    <w:rsid w:val="00EA6FC4"/>
    <w:rsid w:val="00EA776A"/>
    <w:rsid w:val="00EA7B05"/>
    <w:rsid w:val="00EB0325"/>
    <w:rsid w:val="00EB09B5"/>
    <w:rsid w:val="00EB0B50"/>
    <w:rsid w:val="00EB1715"/>
    <w:rsid w:val="00EB2C6E"/>
    <w:rsid w:val="00EB2EB5"/>
    <w:rsid w:val="00EB327A"/>
    <w:rsid w:val="00EB32C0"/>
    <w:rsid w:val="00EB3462"/>
    <w:rsid w:val="00EB3555"/>
    <w:rsid w:val="00EB3592"/>
    <w:rsid w:val="00EB3B5D"/>
    <w:rsid w:val="00EB3E47"/>
    <w:rsid w:val="00EB49C7"/>
    <w:rsid w:val="00EB4B5E"/>
    <w:rsid w:val="00EB4C51"/>
    <w:rsid w:val="00EB4D37"/>
    <w:rsid w:val="00EB4D94"/>
    <w:rsid w:val="00EB6827"/>
    <w:rsid w:val="00EB7225"/>
    <w:rsid w:val="00EC0400"/>
    <w:rsid w:val="00EC1414"/>
    <w:rsid w:val="00EC1C0B"/>
    <w:rsid w:val="00EC1CFB"/>
    <w:rsid w:val="00EC22A3"/>
    <w:rsid w:val="00EC2834"/>
    <w:rsid w:val="00EC2BF8"/>
    <w:rsid w:val="00EC3295"/>
    <w:rsid w:val="00EC49DE"/>
    <w:rsid w:val="00EC4F41"/>
    <w:rsid w:val="00EC63DB"/>
    <w:rsid w:val="00EC6AC9"/>
    <w:rsid w:val="00EC7086"/>
    <w:rsid w:val="00EC71DD"/>
    <w:rsid w:val="00EC71F7"/>
    <w:rsid w:val="00ED0C2B"/>
    <w:rsid w:val="00ED131D"/>
    <w:rsid w:val="00ED1E1A"/>
    <w:rsid w:val="00ED254F"/>
    <w:rsid w:val="00ED42B4"/>
    <w:rsid w:val="00ED43C3"/>
    <w:rsid w:val="00ED47DE"/>
    <w:rsid w:val="00ED5902"/>
    <w:rsid w:val="00ED5960"/>
    <w:rsid w:val="00ED5DFD"/>
    <w:rsid w:val="00ED6730"/>
    <w:rsid w:val="00ED7999"/>
    <w:rsid w:val="00EE04A8"/>
    <w:rsid w:val="00EE0650"/>
    <w:rsid w:val="00EE0D63"/>
    <w:rsid w:val="00EE0E75"/>
    <w:rsid w:val="00EE1D31"/>
    <w:rsid w:val="00EE1F2D"/>
    <w:rsid w:val="00EE2219"/>
    <w:rsid w:val="00EE2220"/>
    <w:rsid w:val="00EE282B"/>
    <w:rsid w:val="00EE3FAB"/>
    <w:rsid w:val="00EE48ED"/>
    <w:rsid w:val="00EE4F23"/>
    <w:rsid w:val="00EE5510"/>
    <w:rsid w:val="00EE5AE9"/>
    <w:rsid w:val="00EE641A"/>
    <w:rsid w:val="00EE7381"/>
    <w:rsid w:val="00EE7585"/>
    <w:rsid w:val="00EF079A"/>
    <w:rsid w:val="00EF07F5"/>
    <w:rsid w:val="00EF0CDB"/>
    <w:rsid w:val="00EF17EF"/>
    <w:rsid w:val="00EF1878"/>
    <w:rsid w:val="00EF20ED"/>
    <w:rsid w:val="00EF246F"/>
    <w:rsid w:val="00EF29AB"/>
    <w:rsid w:val="00EF306A"/>
    <w:rsid w:val="00EF3333"/>
    <w:rsid w:val="00EF4F3D"/>
    <w:rsid w:val="00EF5E0D"/>
    <w:rsid w:val="00EF6841"/>
    <w:rsid w:val="00EF6ADE"/>
    <w:rsid w:val="00EF6EBC"/>
    <w:rsid w:val="00EF76F6"/>
    <w:rsid w:val="00EF7731"/>
    <w:rsid w:val="00EF79DC"/>
    <w:rsid w:val="00EF7D4C"/>
    <w:rsid w:val="00EF7E7C"/>
    <w:rsid w:val="00F0022D"/>
    <w:rsid w:val="00F00470"/>
    <w:rsid w:val="00F004B2"/>
    <w:rsid w:val="00F006A8"/>
    <w:rsid w:val="00F006E7"/>
    <w:rsid w:val="00F00B8C"/>
    <w:rsid w:val="00F00D4D"/>
    <w:rsid w:val="00F01384"/>
    <w:rsid w:val="00F01C34"/>
    <w:rsid w:val="00F01DCF"/>
    <w:rsid w:val="00F0204A"/>
    <w:rsid w:val="00F03488"/>
    <w:rsid w:val="00F038A7"/>
    <w:rsid w:val="00F0467C"/>
    <w:rsid w:val="00F0485E"/>
    <w:rsid w:val="00F04ACD"/>
    <w:rsid w:val="00F04F12"/>
    <w:rsid w:val="00F051C6"/>
    <w:rsid w:val="00F05330"/>
    <w:rsid w:val="00F05919"/>
    <w:rsid w:val="00F0618A"/>
    <w:rsid w:val="00F06F7F"/>
    <w:rsid w:val="00F07BAF"/>
    <w:rsid w:val="00F103EF"/>
    <w:rsid w:val="00F1119C"/>
    <w:rsid w:val="00F12152"/>
    <w:rsid w:val="00F131FE"/>
    <w:rsid w:val="00F13E5A"/>
    <w:rsid w:val="00F13ED5"/>
    <w:rsid w:val="00F14EA3"/>
    <w:rsid w:val="00F15A34"/>
    <w:rsid w:val="00F15DA1"/>
    <w:rsid w:val="00F15FD9"/>
    <w:rsid w:val="00F16FC1"/>
    <w:rsid w:val="00F175AD"/>
    <w:rsid w:val="00F17698"/>
    <w:rsid w:val="00F17B7D"/>
    <w:rsid w:val="00F17D46"/>
    <w:rsid w:val="00F20B99"/>
    <w:rsid w:val="00F21777"/>
    <w:rsid w:val="00F218BE"/>
    <w:rsid w:val="00F2196E"/>
    <w:rsid w:val="00F21E11"/>
    <w:rsid w:val="00F21E34"/>
    <w:rsid w:val="00F225C5"/>
    <w:rsid w:val="00F22B61"/>
    <w:rsid w:val="00F240E7"/>
    <w:rsid w:val="00F246C2"/>
    <w:rsid w:val="00F25083"/>
    <w:rsid w:val="00F25EFB"/>
    <w:rsid w:val="00F25F90"/>
    <w:rsid w:val="00F264E6"/>
    <w:rsid w:val="00F267B8"/>
    <w:rsid w:val="00F27D0E"/>
    <w:rsid w:val="00F27F3D"/>
    <w:rsid w:val="00F30F14"/>
    <w:rsid w:val="00F31B68"/>
    <w:rsid w:val="00F31D2B"/>
    <w:rsid w:val="00F31DD0"/>
    <w:rsid w:val="00F321DE"/>
    <w:rsid w:val="00F326DD"/>
    <w:rsid w:val="00F32842"/>
    <w:rsid w:val="00F328E3"/>
    <w:rsid w:val="00F32B7D"/>
    <w:rsid w:val="00F33056"/>
    <w:rsid w:val="00F33D00"/>
    <w:rsid w:val="00F34514"/>
    <w:rsid w:val="00F34FB0"/>
    <w:rsid w:val="00F35049"/>
    <w:rsid w:val="00F35281"/>
    <w:rsid w:val="00F352A1"/>
    <w:rsid w:val="00F35F66"/>
    <w:rsid w:val="00F36691"/>
    <w:rsid w:val="00F37470"/>
    <w:rsid w:val="00F3752B"/>
    <w:rsid w:val="00F4023B"/>
    <w:rsid w:val="00F40D78"/>
    <w:rsid w:val="00F41221"/>
    <w:rsid w:val="00F41B5D"/>
    <w:rsid w:val="00F4239E"/>
    <w:rsid w:val="00F429A5"/>
    <w:rsid w:val="00F43FF4"/>
    <w:rsid w:val="00F44EAA"/>
    <w:rsid w:val="00F467F4"/>
    <w:rsid w:val="00F479B8"/>
    <w:rsid w:val="00F47B9A"/>
    <w:rsid w:val="00F507D6"/>
    <w:rsid w:val="00F507E5"/>
    <w:rsid w:val="00F50A17"/>
    <w:rsid w:val="00F51D6A"/>
    <w:rsid w:val="00F5217B"/>
    <w:rsid w:val="00F522CE"/>
    <w:rsid w:val="00F52326"/>
    <w:rsid w:val="00F524DB"/>
    <w:rsid w:val="00F537E1"/>
    <w:rsid w:val="00F54F20"/>
    <w:rsid w:val="00F55838"/>
    <w:rsid w:val="00F559E8"/>
    <w:rsid w:val="00F5600B"/>
    <w:rsid w:val="00F57444"/>
    <w:rsid w:val="00F578A3"/>
    <w:rsid w:val="00F60281"/>
    <w:rsid w:val="00F607F1"/>
    <w:rsid w:val="00F6173F"/>
    <w:rsid w:val="00F61DD3"/>
    <w:rsid w:val="00F6204C"/>
    <w:rsid w:val="00F623A8"/>
    <w:rsid w:val="00F623CB"/>
    <w:rsid w:val="00F62A4D"/>
    <w:rsid w:val="00F63C1C"/>
    <w:rsid w:val="00F64472"/>
    <w:rsid w:val="00F644CB"/>
    <w:rsid w:val="00F64622"/>
    <w:rsid w:val="00F64727"/>
    <w:rsid w:val="00F64736"/>
    <w:rsid w:val="00F6643F"/>
    <w:rsid w:val="00F6648A"/>
    <w:rsid w:val="00F6688C"/>
    <w:rsid w:val="00F66B2D"/>
    <w:rsid w:val="00F70AB8"/>
    <w:rsid w:val="00F70ACB"/>
    <w:rsid w:val="00F71224"/>
    <w:rsid w:val="00F71A2E"/>
    <w:rsid w:val="00F71D3A"/>
    <w:rsid w:val="00F732AC"/>
    <w:rsid w:val="00F73613"/>
    <w:rsid w:val="00F75A84"/>
    <w:rsid w:val="00F76555"/>
    <w:rsid w:val="00F76B5B"/>
    <w:rsid w:val="00F76EFA"/>
    <w:rsid w:val="00F77497"/>
    <w:rsid w:val="00F778E5"/>
    <w:rsid w:val="00F77A14"/>
    <w:rsid w:val="00F77B14"/>
    <w:rsid w:val="00F80454"/>
    <w:rsid w:val="00F80639"/>
    <w:rsid w:val="00F80DFD"/>
    <w:rsid w:val="00F81249"/>
    <w:rsid w:val="00F8141A"/>
    <w:rsid w:val="00F81F68"/>
    <w:rsid w:val="00F827BF"/>
    <w:rsid w:val="00F8475D"/>
    <w:rsid w:val="00F8535A"/>
    <w:rsid w:val="00F86C41"/>
    <w:rsid w:val="00F87172"/>
    <w:rsid w:val="00F87D67"/>
    <w:rsid w:val="00F87E2F"/>
    <w:rsid w:val="00F87FF3"/>
    <w:rsid w:val="00F90171"/>
    <w:rsid w:val="00F904D9"/>
    <w:rsid w:val="00F90892"/>
    <w:rsid w:val="00F91B49"/>
    <w:rsid w:val="00F91DFA"/>
    <w:rsid w:val="00F9228F"/>
    <w:rsid w:val="00F925AF"/>
    <w:rsid w:val="00F92883"/>
    <w:rsid w:val="00F92A8C"/>
    <w:rsid w:val="00F945C0"/>
    <w:rsid w:val="00F9625D"/>
    <w:rsid w:val="00F9633E"/>
    <w:rsid w:val="00F96566"/>
    <w:rsid w:val="00F96C4B"/>
    <w:rsid w:val="00F96D74"/>
    <w:rsid w:val="00F970DC"/>
    <w:rsid w:val="00FA0838"/>
    <w:rsid w:val="00FA0F03"/>
    <w:rsid w:val="00FA1A58"/>
    <w:rsid w:val="00FA1F55"/>
    <w:rsid w:val="00FA2066"/>
    <w:rsid w:val="00FA2A61"/>
    <w:rsid w:val="00FA2C51"/>
    <w:rsid w:val="00FA2F3A"/>
    <w:rsid w:val="00FA52A5"/>
    <w:rsid w:val="00FA553C"/>
    <w:rsid w:val="00FA5837"/>
    <w:rsid w:val="00FA5B40"/>
    <w:rsid w:val="00FA63C8"/>
    <w:rsid w:val="00FA6B67"/>
    <w:rsid w:val="00FA703F"/>
    <w:rsid w:val="00FA7486"/>
    <w:rsid w:val="00FA7A96"/>
    <w:rsid w:val="00FB0B1E"/>
    <w:rsid w:val="00FB0C4A"/>
    <w:rsid w:val="00FB15F4"/>
    <w:rsid w:val="00FB1AA0"/>
    <w:rsid w:val="00FB1D90"/>
    <w:rsid w:val="00FB1EB3"/>
    <w:rsid w:val="00FB1EC8"/>
    <w:rsid w:val="00FB2604"/>
    <w:rsid w:val="00FB28D6"/>
    <w:rsid w:val="00FB4BB7"/>
    <w:rsid w:val="00FB5587"/>
    <w:rsid w:val="00FB6008"/>
    <w:rsid w:val="00FB659A"/>
    <w:rsid w:val="00FB719C"/>
    <w:rsid w:val="00FB763D"/>
    <w:rsid w:val="00FC0282"/>
    <w:rsid w:val="00FC03E7"/>
    <w:rsid w:val="00FC0621"/>
    <w:rsid w:val="00FC0875"/>
    <w:rsid w:val="00FC171B"/>
    <w:rsid w:val="00FC3071"/>
    <w:rsid w:val="00FC3DBA"/>
    <w:rsid w:val="00FC4118"/>
    <w:rsid w:val="00FC42F0"/>
    <w:rsid w:val="00FC43F7"/>
    <w:rsid w:val="00FC4FA0"/>
    <w:rsid w:val="00FC686A"/>
    <w:rsid w:val="00FC7279"/>
    <w:rsid w:val="00FC72DD"/>
    <w:rsid w:val="00FD0459"/>
    <w:rsid w:val="00FD0E50"/>
    <w:rsid w:val="00FD104A"/>
    <w:rsid w:val="00FD22D5"/>
    <w:rsid w:val="00FD3C99"/>
    <w:rsid w:val="00FD492E"/>
    <w:rsid w:val="00FD4A0B"/>
    <w:rsid w:val="00FD4B3E"/>
    <w:rsid w:val="00FD4C87"/>
    <w:rsid w:val="00FD4E30"/>
    <w:rsid w:val="00FD5383"/>
    <w:rsid w:val="00FD5B1A"/>
    <w:rsid w:val="00FD5DC9"/>
    <w:rsid w:val="00FD67A5"/>
    <w:rsid w:val="00FD691A"/>
    <w:rsid w:val="00FD6DE3"/>
    <w:rsid w:val="00FD7FA8"/>
    <w:rsid w:val="00FE05CF"/>
    <w:rsid w:val="00FE2304"/>
    <w:rsid w:val="00FE2F9A"/>
    <w:rsid w:val="00FE37EC"/>
    <w:rsid w:val="00FE3B8D"/>
    <w:rsid w:val="00FE4D36"/>
    <w:rsid w:val="00FE4E3D"/>
    <w:rsid w:val="00FE6E76"/>
    <w:rsid w:val="00FE728F"/>
    <w:rsid w:val="00FE7876"/>
    <w:rsid w:val="00FE7E98"/>
    <w:rsid w:val="00FF05E7"/>
    <w:rsid w:val="00FF0DB4"/>
    <w:rsid w:val="00FF216D"/>
    <w:rsid w:val="00FF21A5"/>
    <w:rsid w:val="00FF25A9"/>
    <w:rsid w:val="00FF34D9"/>
    <w:rsid w:val="00FF385B"/>
    <w:rsid w:val="00FF4F85"/>
    <w:rsid w:val="00FF529C"/>
    <w:rsid w:val="00FF6B4B"/>
    <w:rsid w:val="00FF702E"/>
    <w:rsid w:val="00FF7439"/>
    <w:rsid w:val="00FF7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B0"/>
    <w:pPr>
      <w:tabs>
        <w:tab w:val="left" w:pos="851"/>
      </w:tabs>
      <w:spacing w:before="240" w:after="240" w:line="264" w:lineRule="auto"/>
    </w:pPr>
  </w:style>
  <w:style w:type="paragraph" w:styleId="Heading1">
    <w:name w:val="heading 1"/>
    <w:basedOn w:val="Normal"/>
    <w:next w:val="Normal"/>
    <w:link w:val="Heading1Char"/>
    <w:uiPriority w:val="9"/>
    <w:qFormat/>
    <w:rsid w:val="00B137C0"/>
    <w:pPr>
      <w:keepNext/>
      <w:keepLines/>
      <w:numPr>
        <w:numId w:val="1"/>
      </w:numPr>
      <w:spacing w:before="120" w:line="240" w:lineRule="auto"/>
      <w:ind w:left="0" w:firstLine="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1B293B"/>
    <w:pPr>
      <w:keepNext/>
      <w:keepLines/>
      <w:numPr>
        <w:ilvl w:val="1"/>
        <w:numId w:val="1"/>
      </w:numPr>
      <w:spacing w:before="120" w:after="120" w:line="240" w:lineRule="auto"/>
      <w:ind w:left="851" w:hanging="851"/>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0458AF"/>
    <w:pPr>
      <w:numPr>
        <w:ilvl w:val="2"/>
        <w:numId w:val="1"/>
      </w:numPr>
      <w:outlineLvl w:val="2"/>
    </w:pPr>
    <w:rPr>
      <w:rFonts w:eastAsiaTheme="majorEastAsia" w:cstheme="majorBidi"/>
      <w:bCs/>
    </w:rPr>
  </w:style>
  <w:style w:type="paragraph" w:styleId="Heading4">
    <w:name w:val="heading 4"/>
    <w:basedOn w:val="Normal"/>
    <w:next w:val="Normal"/>
    <w:link w:val="Heading4Char"/>
    <w:uiPriority w:val="9"/>
    <w:unhideWhenUsed/>
    <w:qFormat/>
    <w:rsid w:val="000458AF"/>
    <w:pPr>
      <w:numPr>
        <w:ilvl w:val="3"/>
        <w:numId w:val="1"/>
      </w:numPr>
      <w:ind w:left="0" w:firstLine="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6A3A4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6A3A4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3A4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3A4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3A4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7C0"/>
    <w:rPr>
      <w:rFonts w:eastAsiaTheme="majorEastAsia" w:cstheme="majorBidi"/>
      <w:b/>
      <w:bCs/>
      <w:caps/>
      <w:szCs w:val="28"/>
    </w:rPr>
  </w:style>
  <w:style w:type="character" w:customStyle="1" w:styleId="Heading2Char">
    <w:name w:val="Heading 2 Char"/>
    <w:basedOn w:val="DefaultParagraphFont"/>
    <w:link w:val="Heading2"/>
    <w:uiPriority w:val="9"/>
    <w:rsid w:val="001B293B"/>
    <w:rPr>
      <w:rFonts w:eastAsiaTheme="majorEastAsia" w:cstheme="majorBidi"/>
      <w:b/>
      <w:bCs/>
      <w:szCs w:val="26"/>
    </w:rPr>
  </w:style>
  <w:style w:type="character" w:customStyle="1" w:styleId="Heading3Char">
    <w:name w:val="Heading 3 Char"/>
    <w:basedOn w:val="DefaultParagraphFont"/>
    <w:link w:val="Heading3"/>
    <w:uiPriority w:val="9"/>
    <w:rsid w:val="000458AF"/>
    <w:rPr>
      <w:rFonts w:eastAsiaTheme="majorEastAsia" w:cstheme="majorBidi"/>
      <w:bCs/>
    </w:rPr>
  </w:style>
  <w:style w:type="character" w:customStyle="1" w:styleId="Heading4Char">
    <w:name w:val="Heading 4 Char"/>
    <w:basedOn w:val="DefaultParagraphFont"/>
    <w:link w:val="Heading4"/>
    <w:uiPriority w:val="9"/>
    <w:rsid w:val="000458AF"/>
    <w:rPr>
      <w:rFonts w:eastAsiaTheme="majorEastAsia" w:cstheme="majorBidi"/>
      <w:bCs/>
      <w:iCs/>
    </w:rPr>
  </w:style>
  <w:style w:type="character" w:customStyle="1" w:styleId="Heading5Char">
    <w:name w:val="Heading 5 Char"/>
    <w:basedOn w:val="DefaultParagraphFont"/>
    <w:link w:val="Heading5"/>
    <w:uiPriority w:val="9"/>
    <w:rsid w:val="006A3A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3A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3A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3A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3A4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80696"/>
    <w:pPr>
      <w:spacing w:before="400" w:after="400" w:line="300" w:lineRule="auto"/>
      <w:jc w:val="center"/>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E80696"/>
    <w:rPr>
      <w:rFonts w:eastAsiaTheme="majorEastAsia" w:cstheme="majorBidi"/>
      <w:b/>
      <w:spacing w:val="5"/>
      <w:kern w:val="28"/>
      <w:sz w:val="40"/>
      <w:szCs w:val="52"/>
    </w:rPr>
  </w:style>
  <w:style w:type="paragraph" w:customStyle="1" w:styleId="SubTitle1">
    <w:name w:val="SubTitle1"/>
    <w:basedOn w:val="Normal"/>
    <w:next w:val="Normal"/>
    <w:qFormat/>
    <w:rsid w:val="007D3153"/>
    <w:rPr>
      <w:sz w:val="32"/>
    </w:rPr>
  </w:style>
  <w:style w:type="paragraph" w:styleId="Header">
    <w:name w:val="header"/>
    <w:basedOn w:val="Normal"/>
    <w:link w:val="HeaderChar"/>
    <w:uiPriority w:val="99"/>
    <w:unhideWhenUsed/>
    <w:rsid w:val="0043331F"/>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43331F"/>
    <w:rPr>
      <w:sz w:val="20"/>
    </w:rPr>
  </w:style>
  <w:style w:type="paragraph" w:styleId="Footer">
    <w:name w:val="footer"/>
    <w:basedOn w:val="Normal"/>
    <w:link w:val="FooterChar"/>
    <w:uiPriority w:val="99"/>
    <w:unhideWhenUsed/>
    <w:rsid w:val="007D3153"/>
    <w:pPr>
      <w:tabs>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7D3153"/>
    <w:rPr>
      <w:sz w:val="20"/>
    </w:rPr>
  </w:style>
  <w:style w:type="paragraph" w:customStyle="1" w:styleId="headertabs">
    <w:name w:val="header_tabs"/>
    <w:basedOn w:val="Header"/>
    <w:link w:val="headertabsChar"/>
    <w:rsid w:val="00C910A5"/>
    <w:pPr>
      <w:tabs>
        <w:tab w:val="clear" w:pos="4513"/>
        <w:tab w:val="clear" w:pos="9026"/>
        <w:tab w:val="left" w:leader="hyphen" w:pos="9027"/>
      </w:tabs>
      <w:spacing w:before="0" w:after="240"/>
    </w:pPr>
  </w:style>
  <w:style w:type="character" w:customStyle="1" w:styleId="headertabsChar">
    <w:name w:val="header_tabs Char"/>
    <w:basedOn w:val="HeaderChar"/>
    <w:link w:val="headertabs"/>
    <w:rsid w:val="00C910A5"/>
    <w:rPr>
      <w:sz w:val="20"/>
    </w:rPr>
  </w:style>
  <w:style w:type="paragraph" w:styleId="BalloonText">
    <w:name w:val="Balloon Text"/>
    <w:basedOn w:val="Normal"/>
    <w:link w:val="BalloonTextChar"/>
    <w:uiPriority w:val="99"/>
    <w:semiHidden/>
    <w:unhideWhenUsed/>
    <w:rsid w:val="007D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153"/>
    <w:rPr>
      <w:rFonts w:ascii="Tahoma" w:hAnsi="Tahoma" w:cs="Tahoma"/>
      <w:sz w:val="16"/>
      <w:szCs w:val="16"/>
    </w:rPr>
  </w:style>
  <w:style w:type="paragraph" w:customStyle="1" w:styleId="boldcentred">
    <w:name w:val="bold&amp;centred"/>
    <w:basedOn w:val="Normal"/>
    <w:next w:val="Normal"/>
    <w:link w:val="boldcentredChar"/>
    <w:qFormat/>
    <w:rsid w:val="00E21243"/>
    <w:pPr>
      <w:jc w:val="center"/>
    </w:pPr>
    <w:rPr>
      <w:b/>
    </w:rPr>
  </w:style>
  <w:style w:type="character" w:customStyle="1" w:styleId="boldcentredChar">
    <w:name w:val="bold&amp;centred Char"/>
    <w:basedOn w:val="DefaultParagraphFont"/>
    <w:link w:val="boldcentred"/>
    <w:rsid w:val="00E21243"/>
    <w:rPr>
      <w:b/>
    </w:rPr>
  </w:style>
  <w:style w:type="table" w:styleId="TableGrid">
    <w:name w:val="Table Grid"/>
    <w:basedOn w:val="TableNormal"/>
    <w:rsid w:val="00E212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dpheadings">
    <w:name w:val="rdp_headings"/>
    <w:basedOn w:val="Normal"/>
    <w:link w:val="rdpheadingsChar"/>
    <w:qFormat/>
    <w:rsid w:val="00C21E05"/>
    <w:pPr>
      <w:spacing w:before="60" w:after="0" w:line="240" w:lineRule="auto"/>
    </w:pPr>
    <w:rPr>
      <w:sz w:val="18"/>
    </w:rPr>
  </w:style>
  <w:style w:type="character" w:customStyle="1" w:styleId="rdpheadingsChar">
    <w:name w:val="rdp_headings Char"/>
    <w:basedOn w:val="DefaultParagraphFont"/>
    <w:link w:val="rdpheadings"/>
    <w:rsid w:val="00C21E05"/>
    <w:rPr>
      <w:sz w:val="18"/>
    </w:rPr>
  </w:style>
  <w:style w:type="paragraph" w:customStyle="1" w:styleId="rdpcontent">
    <w:name w:val="rdp_content"/>
    <w:basedOn w:val="Normal"/>
    <w:next w:val="Normal"/>
    <w:link w:val="rdpcontentChar"/>
    <w:qFormat/>
    <w:rsid w:val="00C21E05"/>
    <w:pPr>
      <w:spacing w:after="120" w:line="240" w:lineRule="auto"/>
    </w:pPr>
  </w:style>
  <w:style w:type="character" w:customStyle="1" w:styleId="rdpcontentChar">
    <w:name w:val="rdp_content Char"/>
    <w:basedOn w:val="DefaultParagraphFont"/>
    <w:link w:val="rdpcontent"/>
    <w:rsid w:val="00C21E05"/>
  </w:style>
  <w:style w:type="character" w:styleId="Hyperlink">
    <w:name w:val="Hyperlink"/>
    <w:basedOn w:val="DefaultParagraphFont"/>
    <w:uiPriority w:val="99"/>
    <w:unhideWhenUsed/>
    <w:rsid w:val="00321F92"/>
    <w:rPr>
      <w:color w:val="auto"/>
      <w:u w:val="single"/>
    </w:rPr>
  </w:style>
  <w:style w:type="character" w:styleId="Strong">
    <w:name w:val="Strong"/>
    <w:basedOn w:val="DefaultParagraphFont"/>
    <w:uiPriority w:val="22"/>
    <w:qFormat/>
    <w:rsid w:val="00DB09C0"/>
    <w:rPr>
      <w:b/>
      <w:bCs/>
    </w:rPr>
  </w:style>
  <w:style w:type="paragraph" w:customStyle="1" w:styleId="HeadingContents">
    <w:name w:val="Heading_Contents"/>
    <w:basedOn w:val="Normal"/>
    <w:link w:val="HeadingContentsChar"/>
    <w:qFormat/>
    <w:rsid w:val="00957543"/>
    <w:pPr>
      <w:spacing w:before="120" w:after="280" w:line="240" w:lineRule="auto"/>
      <w:jc w:val="center"/>
    </w:pPr>
    <w:rPr>
      <w:b/>
    </w:rPr>
  </w:style>
  <w:style w:type="character" w:customStyle="1" w:styleId="HeadingContentsChar">
    <w:name w:val="Heading_Contents Char"/>
    <w:basedOn w:val="DefaultParagraphFont"/>
    <w:link w:val="HeadingContents"/>
    <w:rsid w:val="00957543"/>
    <w:rPr>
      <w:b/>
    </w:rPr>
  </w:style>
  <w:style w:type="paragraph" w:customStyle="1" w:styleId="references">
    <w:name w:val="references"/>
    <w:basedOn w:val="Normal"/>
    <w:link w:val="referencesChar"/>
    <w:qFormat/>
    <w:rsid w:val="00F904D9"/>
    <w:pPr>
      <w:ind w:left="720" w:hanging="720"/>
    </w:pPr>
  </w:style>
  <w:style w:type="character" w:customStyle="1" w:styleId="referencesChar">
    <w:name w:val="references Char"/>
    <w:basedOn w:val="DefaultParagraphFont"/>
    <w:link w:val="references"/>
    <w:rsid w:val="00F904D9"/>
  </w:style>
  <w:style w:type="paragraph" w:customStyle="1" w:styleId="appendixheadings">
    <w:name w:val="appendix_headings"/>
    <w:basedOn w:val="Heading1"/>
    <w:next w:val="Normal"/>
    <w:link w:val="appendixheadingsChar"/>
    <w:autoRedefine/>
    <w:qFormat/>
    <w:rsid w:val="002C3C3F"/>
    <w:pPr>
      <w:numPr>
        <w:numId w:val="0"/>
      </w:numPr>
    </w:pPr>
  </w:style>
  <w:style w:type="character" w:customStyle="1" w:styleId="appendixheadingsChar">
    <w:name w:val="appendix_headings Char"/>
    <w:basedOn w:val="Heading1Char"/>
    <w:link w:val="appendixheadings"/>
    <w:rsid w:val="002C3C3F"/>
    <w:rPr>
      <w:rFonts w:eastAsiaTheme="majorEastAsia" w:cstheme="majorBidi"/>
      <w:b/>
      <w:bCs/>
      <w:caps/>
      <w:szCs w:val="28"/>
    </w:rPr>
  </w:style>
  <w:style w:type="paragraph" w:styleId="TOC1">
    <w:name w:val="toc 1"/>
    <w:basedOn w:val="Normal"/>
    <w:next w:val="Normal"/>
    <w:autoRedefine/>
    <w:uiPriority w:val="39"/>
    <w:unhideWhenUsed/>
    <w:rsid w:val="009C5F36"/>
    <w:pPr>
      <w:tabs>
        <w:tab w:val="clear" w:pos="851"/>
        <w:tab w:val="left" w:pos="709"/>
        <w:tab w:val="right" w:leader="dot" w:pos="9016"/>
      </w:tabs>
      <w:spacing w:before="60" w:after="60" w:line="240" w:lineRule="auto"/>
    </w:pPr>
  </w:style>
  <w:style w:type="paragraph" w:styleId="NoSpacing">
    <w:name w:val="No Spacing"/>
    <w:uiPriority w:val="1"/>
    <w:qFormat/>
    <w:rsid w:val="00033B4E"/>
    <w:pPr>
      <w:spacing w:after="0" w:line="240" w:lineRule="auto"/>
    </w:pPr>
  </w:style>
  <w:style w:type="paragraph" w:customStyle="1" w:styleId="Table1">
    <w:name w:val="Table 1"/>
    <w:basedOn w:val="Normal"/>
    <w:next w:val="Normal"/>
    <w:link w:val="Table1Char"/>
    <w:qFormat/>
    <w:rsid w:val="00A86AB6"/>
    <w:pPr>
      <w:spacing w:before="30" w:after="30" w:line="240" w:lineRule="auto"/>
    </w:pPr>
  </w:style>
  <w:style w:type="character" w:customStyle="1" w:styleId="Table1Char">
    <w:name w:val="Table 1 Char"/>
    <w:basedOn w:val="DefaultParagraphFont"/>
    <w:link w:val="Table1"/>
    <w:rsid w:val="00A86AB6"/>
  </w:style>
  <w:style w:type="paragraph" w:customStyle="1" w:styleId="Tableheading1">
    <w:name w:val="Table heading 1"/>
    <w:basedOn w:val="Normal"/>
    <w:next w:val="Normal"/>
    <w:link w:val="Tableheading1Char"/>
    <w:qFormat/>
    <w:rsid w:val="00DB7B76"/>
    <w:pPr>
      <w:spacing w:before="30" w:after="30" w:line="240" w:lineRule="auto"/>
      <w:jc w:val="center"/>
    </w:pPr>
  </w:style>
  <w:style w:type="character" w:customStyle="1" w:styleId="Tableheading1Char">
    <w:name w:val="Table heading 1 Char"/>
    <w:basedOn w:val="DefaultParagraphFont"/>
    <w:link w:val="Tableheading1"/>
    <w:rsid w:val="00DB7B76"/>
  </w:style>
  <w:style w:type="paragraph" w:customStyle="1" w:styleId="Tablesubheading1">
    <w:name w:val="Table sub heading 1"/>
    <w:basedOn w:val="Normal"/>
    <w:next w:val="Normal"/>
    <w:link w:val="Tablesubheading1Char"/>
    <w:qFormat/>
    <w:rsid w:val="00DB7B76"/>
    <w:pPr>
      <w:spacing w:before="30" w:after="30" w:line="240" w:lineRule="auto"/>
    </w:pPr>
    <w:rPr>
      <w:i/>
    </w:rPr>
  </w:style>
  <w:style w:type="character" w:customStyle="1" w:styleId="Tablesubheading1Char">
    <w:name w:val="Table sub heading 1 Char"/>
    <w:basedOn w:val="DefaultParagraphFont"/>
    <w:link w:val="Tablesubheading1"/>
    <w:rsid w:val="00DB7B76"/>
    <w:rPr>
      <w:i/>
    </w:rPr>
  </w:style>
  <w:style w:type="paragraph" w:styleId="ListParagraph">
    <w:name w:val="List Paragraph"/>
    <w:basedOn w:val="Normal"/>
    <w:link w:val="ListParagraphChar"/>
    <w:uiPriority w:val="34"/>
    <w:qFormat/>
    <w:rsid w:val="009A141E"/>
    <w:pPr>
      <w:ind w:left="720"/>
    </w:pPr>
  </w:style>
  <w:style w:type="character" w:customStyle="1" w:styleId="ListParagraphChar">
    <w:name w:val="List Paragraph Char"/>
    <w:basedOn w:val="DefaultParagraphFont"/>
    <w:link w:val="ListParagraph"/>
    <w:uiPriority w:val="34"/>
    <w:rsid w:val="009A141E"/>
  </w:style>
  <w:style w:type="paragraph" w:customStyle="1" w:styleId="Subheading1">
    <w:name w:val="Subheading1"/>
    <w:basedOn w:val="Normal"/>
    <w:next w:val="Normal"/>
    <w:link w:val="Subheading1Char"/>
    <w:qFormat/>
    <w:rsid w:val="003B767F"/>
    <w:rPr>
      <w:caps/>
    </w:rPr>
  </w:style>
  <w:style w:type="character" w:customStyle="1" w:styleId="Subheading1Char">
    <w:name w:val="Subheading1 Char"/>
    <w:basedOn w:val="DefaultParagraphFont"/>
    <w:link w:val="Subheading1"/>
    <w:rsid w:val="003B767F"/>
    <w:rPr>
      <w:caps/>
    </w:rPr>
  </w:style>
  <w:style w:type="paragraph" w:customStyle="1" w:styleId="boldleftaligned">
    <w:name w:val="bold&amp;leftaligned"/>
    <w:basedOn w:val="boldcentred"/>
    <w:next w:val="Normal"/>
    <w:link w:val="boldleftalignedChar"/>
    <w:qFormat/>
    <w:rsid w:val="00E93D91"/>
    <w:pPr>
      <w:jc w:val="left"/>
    </w:pPr>
  </w:style>
  <w:style w:type="character" w:customStyle="1" w:styleId="boldleftalignedChar">
    <w:name w:val="bold&amp;leftaligned Char"/>
    <w:basedOn w:val="boldcentredChar"/>
    <w:link w:val="boldleftaligned"/>
    <w:rsid w:val="00E93D91"/>
    <w:rPr>
      <w:b/>
    </w:rPr>
  </w:style>
  <w:style w:type="paragraph" w:styleId="Caption">
    <w:name w:val="caption"/>
    <w:basedOn w:val="Normal"/>
    <w:next w:val="Normal"/>
    <w:unhideWhenUsed/>
    <w:qFormat/>
    <w:rsid w:val="00C36BA0"/>
    <w:pPr>
      <w:spacing w:after="200" w:line="240" w:lineRule="auto"/>
    </w:pPr>
    <w:rPr>
      <w:b/>
      <w:bCs/>
      <w:sz w:val="18"/>
      <w:szCs w:val="18"/>
    </w:rPr>
  </w:style>
  <w:style w:type="paragraph" w:customStyle="1" w:styleId="Table2">
    <w:name w:val="Table 2"/>
    <w:basedOn w:val="Normal"/>
    <w:link w:val="Table2Char"/>
    <w:qFormat/>
    <w:rsid w:val="005D7C44"/>
    <w:pPr>
      <w:spacing w:before="30" w:after="30" w:line="240" w:lineRule="auto"/>
    </w:pPr>
    <w:rPr>
      <w:sz w:val="20"/>
    </w:rPr>
  </w:style>
  <w:style w:type="character" w:customStyle="1" w:styleId="Table2Char">
    <w:name w:val="Table 2 Char"/>
    <w:basedOn w:val="DefaultParagraphFont"/>
    <w:link w:val="Table2"/>
    <w:rsid w:val="005D7C44"/>
    <w:rPr>
      <w:sz w:val="20"/>
    </w:rPr>
  </w:style>
  <w:style w:type="paragraph" w:customStyle="1" w:styleId="Abstract">
    <w:name w:val="Abstract"/>
    <w:basedOn w:val="Normal"/>
    <w:link w:val="AbstractChar"/>
    <w:qFormat/>
    <w:rsid w:val="00455305"/>
    <w:pPr>
      <w:spacing w:before="200" w:after="200" w:line="252" w:lineRule="auto"/>
    </w:pPr>
    <w:rPr>
      <w:sz w:val="22"/>
    </w:rPr>
  </w:style>
  <w:style w:type="paragraph" w:customStyle="1" w:styleId="Table2heading">
    <w:name w:val="Table 2 heading"/>
    <w:basedOn w:val="Table2"/>
    <w:link w:val="Table2headingChar"/>
    <w:qFormat/>
    <w:rsid w:val="00C910A5"/>
    <w:pPr>
      <w:jc w:val="center"/>
    </w:pPr>
    <w:rPr>
      <w:b/>
    </w:rPr>
  </w:style>
  <w:style w:type="character" w:customStyle="1" w:styleId="Table2headingChar">
    <w:name w:val="Table 2 heading Char"/>
    <w:basedOn w:val="Table2Char"/>
    <w:link w:val="Table2heading"/>
    <w:rsid w:val="00C910A5"/>
    <w:rPr>
      <w:b/>
      <w:sz w:val="20"/>
    </w:rPr>
  </w:style>
  <w:style w:type="paragraph" w:styleId="Quote">
    <w:name w:val="Quote"/>
    <w:basedOn w:val="Normal"/>
    <w:next w:val="Normal"/>
    <w:link w:val="QuoteChar"/>
    <w:uiPriority w:val="29"/>
    <w:qFormat/>
    <w:rsid w:val="00A967E3"/>
    <w:rPr>
      <w:i/>
      <w:iCs/>
      <w:color w:val="000000" w:themeColor="text1"/>
    </w:rPr>
  </w:style>
  <w:style w:type="character" w:customStyle="1" w:styleId="QuoteChar">
    <w:name w:val="Quote Char"/>
    <w:basedOn w:val="DefaultParagraphFont"/>
    <w:link w:val="Quote"/>
    <w:uiPriority w:val="29"/>
    <w:rsid w:val="00A967E3"/>
    <w:rPr>
      <w:i/>
      <w:iCs/>
      <w:color w:val="000000" w:themeColor="text1"/>
    </w:rPr>
  </w:style>
  <w:style w:type="character" w:styleId="Emphasis">
    <w:name w:val="Emphasis"/>
    <w:basedOn w:val="DefaultParagraphFont"/>
    <w:uiPriority w:val="20"/>
    <w:qFormat/>
    <w:rsid w:val="00A967E3"/>
    <w:rPr>
      <w:i/>
      <w:iCs/>
    </w:rPr>
  </w:style>
  <w:style w:type="paragraph" w:customStyle="1" w:styleId="ListParagraphIndent1">
    <w:name w:val="List Paragraph Indent 1"/>
    <w:basedOn w:val="Normal"/>
    <w:link w:val="ListParagraphIndent1Char"/>
    <w:qFormat/>
    <w:rsid w:val="005D02F1"/>
    <w:pPr>
      <w:numPr>
        <w:numId w:val="2"/>
      </w:numPr>
      <w:ind w:left="1797" w:hanging="720"/>
    </w:pPr>
  </w:style>
  <w:style w:type="character" w:customStyle="1" w:styleId="ListParagraphIndent1Char">
    <w:name w:val="List Paragraph Indent 1 Char"/>
    <w:basedOn w:val="ListParagraphChar"/>
    <w:link w:val="ListParagraphIndent1"/>
    <w:rsid w:val="005D02F1"/>
  </w:style>
  <w:style w:type="paragraph" w:customStyle="1" w:styleId="AppendixHeading2">
    <w:name w:val="Appendix_Heading_2"/>
    <w:basedOn w:val="Heading2"/>
    <w:next w:val="Normal"/>
    <w:link w:val="AppendixHeading2Char"/>
    <w:qFormat/>
    <w:rsid w:val="00FF34D9"/>
    <w:pPr>
      <w:numPr>
        <w:ilvl w:val="0"/>
        <w:numId w:val="0"/>
      </w:numPr>
    </w:pPr>
  </w:style>
  <w:style w:type="character" w:customStyle="1" w:styleId="AppendixHeading2Char">
    <w:name w:val="Appendix_Heading_2 Char"/>
    <w:basedOn w:val="Heading2Char"/>
    <w:link w:val="AppendixHeading2"/>
    <w:rsid w:val="00FF34D9"/>
    <w:rPr>
      <w:rFonts w:eastAsiaTheme="majorEastAsia" w:cstheme="majorBidi"/>
      <w:b/>
      <w:bCs/>
      <w:szCs w:val="26"/>
    </w:rPr>
  </w:style>
  <w:style w:type="paragraph" w:customStyle="1" w:styleId="Table3">
    <w:name w:val="Table 3"/>
    <w:basedOn w:val="Table2"/>
    <w:link w:val="Table3Char"/>
    <w:qFormat/>
    <w:rsid w:val="00B460E1"/>
    <w:pPr>
      <w:spacing w:before="15" w:after="15"/>
    </w:pPr>
    <w:rPr>
      <w:sz w:val="15"/>
    </w:rPr>
  </w:style>
  <w:style w:type="character" w:customStyle="1" w:styleId="Table3Char">
    <w:name w:val="Table 3 Char"/>
    <w:basedOn w:val="DefaultParagraphFont"/>
    <w:link w:val="Table3"/>
    <w:rsid w:val="00B460E1"/>
    <w:rPr>
      <w:sz w:val="15"/>
    </w:rPr>
  </w:style>
  <w:style w:type="paragraph" w:customStyle="1" w:styleId="Table3heading">
    <w:name w:val="Table 3 heading"/>
    <w:basedOn w:val="Table3"/>
    <w:link w:val="Table3headingChar"/>
    <w:qFormat/>
    <w:rsid w:val="007A02CA"/>
    <w:pPr>
      <w:spacing w:before="20" w:after="20"/>
    </w:pPr>
    <w:rPr>
      <w:sz w:val="18"/>
    </w:rPr>
  </w:style>
  <w:style w:type="character" w:customStyle="1" w:styleId="Table3headingChar">
    <w:name w:val="Table 3 heading Char"/>
    <w:basedOn w:val="Table3Char"/>
    <w:link w:val="Table3heading"/>
    <w:rsid w:val="007A02CA"/>
    <w:rPr>
      <w:sz w:val="18"/>
    </w:rPr>
  </w:style>
  <w:style w:type="paragraph" w:customStyle="1" w:styleId="Table4">
    <w:name w:val="Table 4"/>
    <w:basedOn w:val="Table2"/>
    <w:link w:val="Table4Char"/>
    <w:qFormat/>
    <w:rsid w:val="00B42380"/>
    <w:rPr>
      <w:sz w:val="18"/>
    </w:rPr>
  </w:style>
  <w:style w:type="character" w:customStyle="1" w:styleId="Table4Char">
    <w:name w:val="Table 4 Char"/>
    <w:basedOn w:val="Table2Char"/>
    <w:link w:val="Table4"/>
    <w:rsid w:val="00B42380"/>
    <w:rPr>
      <w:sz w:val="18"/>
    </w:rPr>
  </w:style>
  <w:style w:type="paragraph" w:customStyle="1" w:styleId="Alphabetlist">
    <w:name w:val="Alphabet list"/>
    <w:basedOn w:val="ListParagraph"/>
    <w:link w:val="AlphabetlistChar"/>
    <w:rsid w:val="00762FEC"/>
    <w:pPr>
      <w:numPr>
        <w:numId w:val="4"/>
      </w:numPr>
      <w:ind w:left="357" w:hanging="357"/>
    </w:pPr>
    <w:rPr>
      <w:sz w:val="20"/>
    </w:rPr>
  </w:style>
  <w:style w:type="character" w:customStyle="1" w:styleId="AlphabetlistChar">
    <w:name w:val="Alphabet list Char"/>
    <w:basedOn w:val="ListParagraphChar"/>
    <w:link w:val="Alphabetlist"/>
    <w:rsid w:val="00762FEC"/>
    <w:rPr>
      <w:sz w:val="20"/>
    </w:rPr>
  </w:style>
  <w:style w:type="paragraph" w:styleId="FootnoteText">
    <w:name w:val="footnote text"/>
    <w:basedOn w:val="Normal"/>
    <w:link w:val="FootnoteTextChar"/>
    <w:semiHidden/>
    <w:rsid w:val="001B250C"/>
    <w:pPr>
      <w:tabs>
        <w:tab w:val="clear" w:pos="851"/>
        <w:tab w:val="left" w:pos="187"/>
      </w:tabs>
      <w:spacing w:before="0" w:after="120" w:line="220" w:lineRule="exact"/>
    </w:pPr>
    <w:rPr>
      <w:rFonts w:eastAsia="Times New Roman" w:cs="Times New Roman"/>
      <w:sz w:val="18"/>
      <w:szCs w:val="24"/>
      <w:lang w:eastAsia="en-AU"/>
    </w:rPr>
  </w:style>
  <w:style w:type="character" w:customStyle="1" w:styleId="FootnoteTextChar">
    <w:name w:val="Footnote Text Char"/>
    <w:basedOn w:val="DefaultParagraphFont"/>
    <w:link w:val="FootnoteText"/>
    <w:semiHidden/>
    <w:rsid w:val="001B250C"/>
    <w:rPr>
      <w:rFonts w:eastAsia="Times New Roman" w:cs="Times New Roman"/>
      <w:sz w:val="18"/>
      <w:szCs w:val="24"/>
      <w:lang w:eastAsia="en-AU"/>
    </w:rPr>
  </w:style>
  <w:style w:type="character" w:styleId="FootnoteReference">
    <w:name w:val="footnote reference"/>
    <w:semiHidden/>
    <w:rsid w:val="003F0CA5"/>
    <w:rPr>
      <w:vertAlign w:val="superscript"/>
    </w:rPr>
  </w:style>
  <w:style w:type="paragraph" w:customStyle="1" w:styleId="underlinedleft">
    <w:name w:val="underlined&amp;left"/>
    <w:basedOn w:val="Normal"/>
    <w:next w:val="Normal"/>
    <w:link w:val="underlinedleftChar"/>
    <w:qFormat/>
    <w:rsid w:val="00560696"/>
    <w:rPr>
      <w:u w:val="single"/>
    </w:rPr>
  </w:style>
  <w:style w:type="character" w:customStyle="1" w:styleId="underlinedleftChar">
    <w:name w:val="underlined&amp;left Char"/>
    <w:basedOn w:val="DefaultParagraphFont"/>
    <w:link w:val="underlinedleft"/>
    <w:rsid w:val="00560696"/>
    <w:rPr>
      <w:u w:val="single"/>
    </w:rPr>
  </w:style>
  <w:style w:type="paragraph" w:styleId="NormalWeb">
    <w:name w:val="Normal (Web)"/>
    <w:basedOn w:val="Normal"/>
    <w:uiPriority w:val="99"/>
    <w:semiHidden/>
    <w:unhideWhenUsed/>
    <w:rsid w:val="006923B3"/>
    <w:pPr>
      <w:tabs>
        <w:tab w:val="clear" w:pos="851"/>
      </w:tabs>
      <w:spacing w:before="0" w:after="100" w:afterAutospacing="1" w:line="240" w:lineRule="auto"/>
      <w:ind w:left="1800"/>
    </w:pPr>
    <w:rPr>
      <w:rFonts w:eastAsia="Times New Roman" w:cs="Times New Roman"/>
      <w:szCs w:val="24"/>
      <w:lang w:eastAsia="en-AU"/>
    </w:rPr>
  </w:style>
  <w:style w:type="table" w:customStyle="1" w:styleId="LightShading1">
    <w:name w:val="Light Shading1"/>
    <w:basedOn w:val="TableNormal"/>
    <w:uiPriority w:val="60"/>
    <w:rsid w:val="00567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F1B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E818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A82552"/>
    <w:pPr>
      <w:spacing w:after="0" w:line="240" w:lineRule="auto"/>
    </w:pPr>
  </w:style>
  <w:style w:type="character" w:styleId="PlaceholderText">
    <w:name w:val="Placeholder Text"/>
    <w:basedOn w:val="DefaultParagraphFont"/>
    <w:uiPriority w:val="99"/>
    <w:semiHidden/>
    <w:rsid w:val="00B15624"/>
    <w:rPr>
      <w:color w:val="808080"/>
    </w:rPr>
  </w:style>
  <w:style w:type="character" w:styleId="CommentReference">
    <w:name w:val="annotation reference"/>
    <w:basedOn w:val="DefaultParagraphFont"/>
    <w:uiPriority w:val="99"/>
    <w:semiHidden/>
    <w:unhideWhenUsed/>
    <w:rsid w:val="00F9633E"/>
    <w:rPr>
      <w:sz w:val="16"/>
      <w:szCs w:val="16"/>
    </w:rPr>
  </w:style>
  <w:style w:type="paragraph" w:styleId="CommentText">
    <w:name w:val="annotation text"/>
    <w:basedOn w:val="Normal"/>
    <w:link w:val="CommentTextChar"/>
    <w:uiPriority w:val="99"/>
    <w:semiHidden/>
    <w:unhideWhenUsed/>
    <w:rsid w:val="00F9633E"/>
    <w:pPr>
      <w:spacing w:line="240" w:lineRule="auto"/>
    </w:pPr>
    <w:rPr>
      <w:sz w:val="20"/>
      <w:szCs w:val="20"/>
    </w:rPr>
  </w:style>
  <w:style w:type="character" w:customStyle="1" w:styleId="CommentTextChar">
    <w:name w:val="Comment Text Char"/>
    <w:basedOn w:val="DefaultParagraphFont"/>
    <w:link w:val="CommentText"/>
    <w:uiPriority w:val="99"/>
    <w:semiHidden/>
    <w:rsid w:val="00F9633E"/>
    <w:rPr>
      <w:sz w:val="20"/>
      <w:szCs w:val="20"/>
    </w:rPr>
  </w:style>
  <w:style w:type="paragraph" w:styleId="CommentSubject">
    <w:name w:val="annotation subject"/>
    <w:basedOn w:val="CommentText"/>
    <w:next w:val="CommentText"/>
    <w:link w:val="CommentSubjectChar"/>
    <w:uiPriority w:val="99"/>
    <w:semiHidden/>
    <w:unhideWhenUsed/>
    <w:rsid w:val="00F9633E"/>
    <w:rPr>
      <w:b/>
      <w:bCs/>
    </w:rPr>
  </w:style>
  <w:style w:type="character" w:customStyle="1" w:styleId="CommentSubjectChar">
    <w:name w:val="Comment Subject Char"/>
    <w:basedOn w:val="CommentTextChar"/>
    <w:link w:val="CommentSubject"/>
    <w:uiPriority w:val="99"/>
    <w:semiHidden/>
    <w:rsid w:val="00F9633E"/>
    <w:rPr>
      <w:b/>
      <w:bCs/>
      <w:sz w:val="20"/>
      <w:szCs w:val="20"/>
    </w:rPr>
  </w:style>
  <w:style w:type="character" w:styleId="HTMLCite">
    <w:name w:val="HTML Cite"/>
    <w:basedOn w:val="DefaultParagraphFont"/>
    <w:uiPriority w:val="99"/>
    <w:semiHidden/>
    <w:unhideWhenUsed/>
    <w:rsid w:val="00E43FFB"/>
    <w:rPr>
      <w:i/>
      <w:iCs/>
    </w:rPr>
  </w:style>
  <w:style w:type="character" w:styleId="FollowedHyperlink">
    <w:name w:val="FollowedHyperlink"/>
    <w:basedOn w:val="DefaultParagraphFont"/>
    <w:uiPriority w:val="99"/>
    <w:semiHidden/>
    <w:unhideWhenUsed/>
    <w:rsid w:val="0093796B"/>
    <w:rPr>
      <w:color w:val="800080" w:themeColor="followedHyperlink"/>
      <w:u w:val="single"/>
    </w:rPr>
  </w:style>
  <w:style w:type="paragraph" w:customStyle="1" w:styleId="SUBHEADING2">
    <w:name w:val="SUBHEADING2"/>
    <w:basedOn w:val="Subheading1"/>
    <w:link w:val="SUBHEADING2Char"/>
    <w:qFormat/>
    <w:rsid w:val="00E95EBE"/>
    <w:rPr>
      <w:b/>
      <w:u w:val="single"/>
    </w:rPr>
  </w:style>
  <w:style w:type="paragraph" w:customStyle="1" w:styleId="SUBHEADING3">
    <w:name w:val="SUBHEADING3"/>
    <w:basedOn w:val="SUBHEADING2"/>
    <w:link w:val="SUBHEADING3Char"/>
    <w:qFormat/>
    <w:rsid w:val="00E95EBE"/>
    <w:rPr>
      <w:u w:val="none"/>
    </w:rPr>
  </w:style>
  <w:style w:type="character" w:customStyle="1" w:styleId="SUBHEADING2Char">
    <w:name w:val="SUBHEADING2 Char"/>
    <w:basedOn w:val="Subheading1Char"/>
    <w:link w:val="SUBHEADING2"/>
    <w:rsid w:val="00E95EBE"/>
    <w:rPr>
      <w:b/>
      <w:caps/>
      <w:u w:val="single"/>
    </w:rPr>
  </w:style>
  <w:style w:type="character" w:customStyle="1" w:styleId="SUBHEADING3Char">
    <w:name w:val="SUBHEADING3 Char"/>
    <w:basedOn w:val="SUBHEADING2Char"/>
    <w:link w:val="SUBHEADING3"/>
    <w:rsid w:val="00E95EBE"/>
    <w:rPr>
      <w:b/>
      <w:caps/>
      <w:u w:val="single"/>
    </w:rPr>
  </w:style>
  <w:style w:type="paragraph" w:customStyle="1" w:styleId="Subheading4">
    <w:name w:val="Subheading4"/>
    <w:basedOn w:val="Normal"/>
    <w:link w:val="Subheading4Char"/>
    <w:qFormat/>
    <w:rsid w:val="002D611C"/>
    <w:pPr>
      <w:spacing w:after="200" w:line="276" w:lineRule="auto"/>
    </w:pPr>
    <w:rPr>
      <w:rFonts w:ascii="Arial" w:hAnsi="Arial"/>
      <w:b/>
      <w:sz w:val="22"/>
    </w:rPr>
  </w:style>
  <w:style w:type="character" w:customStyle="1" w:styleId="Subheading4Char">
    <w:name w:val="Subheading4 Char"/>
    <w:basedOn w:val="DefaultParagraphFont"/>
    <w:link w:val="Subheading4"/>
    <w:rsid w:val="002D611C"/>
    <w:rPr>
      <w:rFonts w:ascii="Arial" w:hAnsi="Arial"/>
      <w:b/>
      <w:sz w:val="22"/>
    </w:rPr>
  </w:style>
  <w:style w:type="character" w:customStyle="1" w:styleId="AbstractChar">
    <w:name w:val="Abstract Char"/>
    <w:basedOn w:val="DefaultParagraphFont"/>
    <w:link w:val="Abstract"/>
    <w:rsid w:val="00455305"/>
    <w:rPr>
      <w:sz w:val="22"/>
    </w:rPr>
  </w:style>
  <w:style w:type="paragraph" w:styleId="BodyText">
    <w:name w:val="Body Text"/>
    <w:basedOn w:val="Normal"/>
    <w:link w:val="BodyTextChar"/>
    <w:rsid w:val="004A5E02"/>
    <w:pPr>
      <w:tabs>
        <w:tab w:val="clear" w:pos="851"/>
        <w:tab w:val="left" w:pos="3402"/>
      </w:tabs>
      <w:spacing w:before="0" w:after="0" w:line="240" w:lineRule="auto"/>
    </w:pPr>
    <w:rPr>
      <w:rFonts w:eastAsia="Times New Roman" w:cs="Times New Roman"/>
      <w:szCs w:val="20"/>
      <w:lang w:eastAsia="en-AU"/>
    </w:rPr>
  </w:style>
  <w:style w:type="character" w:customStyle="1" w:styleId="BodyTextChar">
    <w:name w:val="Body Text Char"/>
    <w:basedOn w:val="DefaultParagraphFont"/>
    <w:link w:val="BodyText"/>
    <w:rsid w:val="004A5E02"/>
    <w:rPr>
      <w:rFonts w:eastAsia="Times New Roman" w:cs="Times New Roman"/>
      <w:szCs w:val="20"/>
      <w:lang w:eastAsia="en-AU"/>
    </w:rPr>
  </w:style>
  <w:style w:type="paragraph" w:customStyle="1" w:styleId="Consultation">
    <w:name w:val="Consultation"/>
    <w:basedOn w:val="Normal"/>
    <w:link w:val="ConsultationChar"/>
    <w:qFormat/>
    <w:rsid w:val="001F620D"/>
    <w:pPr>
      <w:spacing w:before="0" w:line="240" w:lineRule="auto"/>
      <w:ind w:left="357"/>
    </w:pPr>
    <w:rPr>
      <w:sz w:val="20"/>
      <w:szCs w:val="20"/>
    </w:rPr>
  </w:style>
  <w:style w:type="paragraph" w:customStyle="1" w:styleId="consultationnumbered">
    <w:name w:val="consultation_numbered"/>
    <w:basedOn w:val="Consultation"/>
    <w:link w:val="consultationnumberedChar"/>
    <w:qFormat/>
    <w:rsid w:val="00C00680"/>
    <w:pPr>
      <w:numPr>
        <w:numId w:val="73"/>
      </w:numPr>
      <w:ind w:left="357" w:hanging="357"/>
    </w:pPr>
  </w:style>
  <w:style w:type="character" w:customStyle="1" w:styleId="ConsultationChar">
    <w:name w:val="Consultation Char"/>
    <w:basedOn w:val="DefaultParagraphFont"/>
    <w:link w:val="Consultation"/>
    <w:rsid w:val="001F620D"/>
    <w:rPr>
      <w:sz w:val="20"/>
      <w:szCs w:val="20"/>
    </w:rPr>
  </w:style>
  <w:style w:type="paragraph" w:customStyle="1" w:styleId="Consultationheadings">
    <w:name w:val="Consultation headings"/>
    <w:basedOn w:val="Normal"/>
    <w:link w:val="ConsultationheadingsChar"/>
    <w:qFormat/>
    <w:rsid w:val="008815E7"/>
    <w:pPr>
      <w:spacing w:before="0" w:line="240" w:lineRule="auto"/>
    </w:pPr>
    <w:rPr>
      <w:b/>
      <w:sz w:val="20"/>
    </w:rPr>
  </w:style>
  <w:style w:type="character" w:customStyle="1" w:styleId="consultationnumberedChar">
    <w:name w:val="consultation_numbered Char"/>
    <w:basedOn w:val="ConsultationChar"/>
    <w:link w:val="consultationnumbered"/>
    <w:rsid w:val="00C00680"/>
    <w:rPr>
      <w:sz w:val="20"/>
      <w:szCs w:val="20"/>
    </w:rPr>
  </w:style>
  <w:style w:type="paragraph" w:customStyle="1" w:styleId="consultationnumbered2">
    <w:name w:val="consultation_numbered_2"/>
    <w:basedOn w:val="Consultation"/>
    <w:link w:val="consultationnumbered2Char"/>
    <w:qFormat/>
    <w:rsid w:val="00365367"/>
    <w:pPr>
      <w:numPr>
        <w:numId w:val="21"/>
      </w:numPr>
      <w:ind w:left="357" w:hanging="357"/>
    </w:pPr>
  </w:style>
  <w:style w:type="character" w:customStyle="1" w:styleId="ConsultationheadingsChar">
    <w:name w:val="Consultation headings Char"/>
    <w:basedOn w:val="DefaultParagraphFont"/>
    <w:link w:val="Consultationheadings"/>
    <w:rsid w:val="008815E7"/>
    <w:rPr>
      <w:b/>
      <w:sz w:val="20"/>
    </w:rPr>
  </w:style>
  <w:style w:type="character" w:customStyle="1" w:styleId="consultationnumbered2Char">
    <w:name w:val="consultation_numbered_2 Char"/>
    <w:basedOn w:val="consultationnumberedChar"/>
    <w:link w:val="consultationnumbered2"/>
    <w:rsid w:val="0036536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B0"/>
    <w:pPr>
      <w:tabs>
        <w:tab w:val="left" w:pos="851"/>
      </w:tabs>
      <w:spacing w:before="240" w:after="240" w:line="264" w:lineRule="auto"/>
    </w:pPr>
  </w:style>
  <w:style w:type="paragraph" w:styleId="Heading1">
    <w:name w:val="heading 1"/>
    <w:basedOn w:val="Normal"/>
    <w:next w:val="Normal"/>
    <w:link w:val="Heading1Char"/>
    <w:uiPriority w:val="9"/>
    <w:qFormat/>
    <w:rsid w:val="00B137C0"/>
    <w:pPr>
      <w:keepNext/>
      <w:keepLines/>
      <w:numPr>
        <w:numId w:val="1"/>
      </w:numPr>
      <w:spacing w:before="120" w:line="240" w:lineRule="auto"/>
      <w:ind w:left="0" w:firstLine="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1B293B"/>
    <w:pPr>
      <w:keepNext/>
      <w:keepLines/>
      <w:numPr>
        <w:ilvl w:val="1"/>
        <w:numId w:val="1"/>
      </w:numPr>
      <w:spacing w:before="120" w:after="120" w:line="240" w:lineRule="auto"/>
      <w:ind w:left="851" w:hanging="851"/>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0458AF"/>
    <w:pPr>
      <w:numPr>
        <w:ilvl w:val="2"/>
        <w:numId w:val="1"/>
      </w:numPr>
      <w:outlineLvl w:val="2"/>
    </w:pPr>
    <w:rPr>
      <w:rFonts w:eastAsiaTheme="majorEastAsia" w:cstheme="majorBidi"/>
      <w:bCs/>
    </w:rPr>
  </w:style>
  <w:style w:type="paragraph" w:styleId="Heading4">
    <w:name w:val="heading 4"/>
    <w:basedOn w:val="Normal"/>
    <w:next w:val="Normal"/>
    <w:link w:val="Heading4Char"/>
    <w:uiPriority w:val="9"/>
    <w:unhideWhenUsed/>
    <w:qFormat/>
    <w:rsid w:val="000458AF"/>
    <w:pPr>
      <w:numPr>
        <w:ilvl w:val="3"/>
        <w:numId w:val="1"/>
      </w:numPr>
      <w:ind w:left="0" w:firstLine="0"/>
      <w:outlineLvl w:val="3"/>
    </w:pPr>
    <w:rPr>
      <w:rFonts w:eastAsiaTheme="majorEastAsia" w:cstheme="majorBidi"/>
      <w:bCs/>
      <w:iCs/>
    </w:rPr>
  </w:style>
  <w:style w:type="paragraph" w:styleId="Heading5">
    <w:name w:val="heading 5"/>
    <w:basedOn w:val="Normal"/>
    <w:next w:val="Normal"/>
    <w:link w:val="Heading5Char"/>
    <w:uiPriority w:val="9"/>
    <w:unhideWhenUsed/>
    <w:qFormat/>
    <w:rsid w:val="006A3A4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6A3A4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3A4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3A4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3A4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7C0"/>
    <w:rPr>
      <w:rFonts w:eastAsiaTheme="majorEastAsia" w:cstheme="majorBidi"/>
      <w:b/>
      <w:bCs/>
      <w:caps/>
      <w:szCs w:val="28"/>
    </w:rPr>
  </w:style>
  <w:style w:type="character" w:customStyle="1" w:styleId="Heading2Char">
    <w:name w:val="Heading 2 Char"/>
    <w:basedOn w:val="DefaultParagraphFont"/>
    <w:link w:val="Heading2"/>
    <w:uiPriority w:val="9"/>
    <w:rsid w:val="001B293B"/>
    <w:rPr>
      <w:rFonts w:eastAsiaTheme="majorEastAsia" w:cstheme="majorBidi"/>
      <w:b/>
      <w:bCs/>
      <w:szCs w:val="26"/>
    </w:rPr>
  </w:style>
  <w:style w:type="character" w:customStyle="1" w:styleId="Heading3Char">
    <w:name w:val="Heading 3 Char"/>
    <w:basedOn w:val="DefaultParagraphFont"/>
    <w:link w:val="Heading3"/>
    <w:uiPriority w:val="9"/>
    <w:rsid w:val="000458AF"/>
    <w:rPr>
      <w:rFonts w:eastAsiaTheme="majorEastAsia" w:cstheme="majorBidi"/>
      <w:bCs/>
    </w:rPr>
  </w:style>
  <w:style w:type="character" w:customStyle="1" w:styleId="Heading4Char">
    <w:name w:val="Heading 4 Char"/>
    <w:basedOn w:val="DefaultParagraphFont"/>
    <w:link w:val="Heading4"/>
    <w:uiPriority w:val="9"/>
    <w:rsid w:val="000458AF"/>
    <w:rPr>
      <w:rFonts w:eastAsiaTheme="majorEastAsia" w:cstheme="majorBidi"/>
      <w:bCs/>
      <w:iCs/>
    </w:rPr>
  </w:style>
  <w:style w:type="character" w:customStyle="1" w:styleId="Heading5Char">
    <w:name w:val="Heading 5 Char"/>
    <w:basedOn w:val="DefaultParagraphFont"/>
    <w:link w:val="Heading5"/>
    <w:uiPriority w:val="9"/>
    <w:rsid w:val="006A3A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3A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3A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3A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3A4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80696"/>
    <w:pPr>
      <w:spacing w:before="400" w:after="400" w:line="300" w:lineRule="auto"/>
      <w:jc w:val="center"/>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E80696"/>
    <w:rPr>
      <w:rFonts w:eastAsiaTheme="majorEastAsia" w:cstheme="majorBidi"/>
      <w:b/>
      <w:spacing w:val="5"/>
      <w:kern w:val="28"/>
      <w:sz w:val="40"/>
      <w:szCs w:val="52"/>
    </w:rPr>
  </w:style>
  <w:style w:type="paragraph" w:customStyle="1" w:styleId="SubTitle1">
    <w:name w:val="SubTitle1"/>
    <w:basedOn w:val="Normal"/>
    <w:next w:val="Normal"/>
    <w:qFormat/>
    <w:rsid w:val="007D3153"/>
    <w:rPr>
      <w:sz w:val="32"/>
    </w:rPr>
  </w:style>
  <w:style w:type="paragraph" w:styleId="Header">
    <w:name w:val="header"/>
    <w:basedOn w:val="Normal"/>
    <w:link w:val="HeaderChar"/>
    <w:uiPriority w:val="99"/>
    <w:unhideWhenUsed/>
    <w:rsid w:val="0043331F"/>
    <w:pPr>
      <w:tabs>
        <w:tab w:val="clear" w:pos="851"/>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43331F"/>
    <w:rPr>
      <w:sz w:val="20"/>
    </w:rPr>
  </w:style>
  <w:style w:type="paragraph" w:styleId="Footer">
    <w:name w:val="footer"/>
    <w:basedOn w:val="Normal"/>
    <w:link w:val="FooterChar"/>
    <w:uiPriority w:val="99"/>
    <w:unhideWhenUsed/>
    <w:rsid w:val="007D3153"/>
    <w:pPr>
      <w:tabs>
        <w:tab w:val="center" w:pos="4513"/>
        <w:tab w:val="right" w:pos="9026"/>
      </w:tabs>
      <w:spacing w:after="0" w:line="240" w:lineRule="auto"/>
      <w:jc w:val="center"/>
    </w:pPr>
    <w:rPr>
      <w:sz w:val="20"/>
    </w:rPr>
  </w:style>
  <w:style w:type="character" w:customStyle="1" w:styleId="FooterChar">
    <w:name w:val="Footer Char"/>
    <w:basedOn w:val="DefaultParagraphFont"/>
    <w:link w:val="Footer"/>
    <w:uiPriority w:val="99"/>
    <w:rsid w:val="007D3153"/>
    <w:rPr>
      <w:sz w:val="20"/>
    </w:rPr>
  </w:style>
  <w:style w:type="paragraph" w:customStyle="1" w:styleId="headertabs">
    <w:name w:val="header_tabs"/>
    <w:basedOn w:val="Header"/>
    <w:link w:val="headertabsChar"/>
    <w:rsid w:val="00C910A5"/>
    <w:pPr>
      <w:tabs>
        <w:tab w:val="clear" w:pos="4513"/>
        <w:tab w:val="clear" w:pos="9026"/>
        <w:tab w:val="left" w:leader="hyphen" w:pos="9027"/>
      </w:tabs>
      <w:spacing w:before="0" w:after="240"/>
    </w:pPr>
  </w:style>
  <w:style w:type="character" w:customStyle="1" w:styleId="headertabsChar">
    <w:name w:val="header_tabs Char"/>
    <w:basedOn w:val="HeaderChar"/>
    <w:link w:val="headertabs"/>
    <w:rsid w:val="00C910A5"/>
    <w:rPr>
      <w:sz w:val="20"/>
    </w:rPr>
  </w:style>
  <w:style w:type="paragraph" w:styleId="BalloonText">
    <w:name w:val="Balloon Text"/>
    <w:basedOn w:val="Normal"/>
    <w:link w:val="BalloonTextChar"/>
    <w:uiPriority w:val="99"/>
    <w:semiHidden/>
    <w:unhideWhenUsed/>
    <w:rsid w:val="007D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153"/>
    <w:rPr>
      <w:rFonts w:ascii="Tahoma" w:hAnsi="Tahoma" w:cs="Tahoma"/>
      <w:sz w:val="16"/>
      <w:szCs w:val="16"/>
    </w:rPr>
  </w:style>
  <w:style w:type="paragraph" w:customStyle="1" w:styleId="boldcentred">
    <w:name w:val="bold&amp;centred"/>
    <w:basedOn w:val="Normal"/>
    <w:next w:val="Normal"/>
    <w:link w:val="boldcentredChar"/>
    <w:qFormat/>
    <w:rsid w:val="00E21243"/>
    <w:pPr>
      <w:jc w:val="center"/>
    </w:pPr>
    <w:rPr>
      <w:b/>
    </w:rPr>
  </w:style>
  <w:style w:type="character" w:customStyle="1" w:styleId="boldcentredChar">
    <w:name w:val="bold&amp;centred Char"/>
    <w:basedOn w:val="DefaultParagraphFont"/>
    <w:link w:val="boldcentred"/>
    <w:rsid w:val="00E21243"/>
    <w:rPr>
      <w:b/>
    </w:rPr>
  </w:style>
  <w:style w:type="table" w:styleId="TableGrid">
    <w:name w:val="Table Grid"/>
    <w:basedOn w:val="TableNormal"/>
    <w:rsid w:val="00E212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dpheadings">
    <w:name w:val="rdp_headings"/>
    <w:basedOn w:val="Normal"/>
    <w:link w:val="rdpheadingsChar"/>
    <w:qFormat/>
    <w:rsid w:val="00C21E05"/>
    <w:pPr>
      <w:spacing w:before="60" w:after="0" w:line="240" w:lineRule="auto"/>
    </w:pPr>
    <w:rPr>
      <w:sz w:val="18"/>
    </w:rPr>
  </w:style>
  <w:style w:type="character" w:customStyle="1" w:styleId="rdpheadingsChar">
    <w:name w:val="rdp_headings Char"/>
    <w:basedOn w:val="DefaultParagraphFont"/>
    <w:link w:val="rdpheadings"/>
    <w:rsid w:val="00C21E05"/>
    <w:rPr>
      <w:sz w:val="18"/>
    </w:rPr>
  </w:style>
  <w:style w:type="paragraph" w:customStyle="1" w:styleId="rdpcontent">
    <w:name w:val="rdp_content"/>
    <w:basedOn w:val="Normal"/>
    <w:next w:val="Normal"/>
    <w:link w:val="rdpcontentChar"/>
    <w:qFormat/>
    <w:rsid w:val="00C21E05"/>
    <w:pPr>
      <w:spacing w:after="120" w:line="240" w:lineRule="auto"/>
    </w:pPr>
  </w:style>
  <w:style w:type="character" w:customStyle="1" w:styleId="rdpcontentChar">
    <w:name w:val="rdp_content Char"/>
    <w:basedOn w:val="DefaultParagraphFont"/>
    <w:link w:val="rdpcontent"/>
    <w:rsid w:val="00C21E05"/>
  </w:style>
  <w:style w:type="character" w:styleId="Hyperlink">
    <w:name w:val="Hyperlink"/>
    <w:basedOn w:val="DefaultParagraphFont"/>
    <w:uiPriority w:val="99"/>
    <w:unhideWhenUsed/>
    <w:rsid w:val="00321F92"/>
    <w:rPr>
      <w:color w:val="auto"/>
      <w:u w:val="single"/>
    </w:rPr>
  </w:style>
  <w:style w:type="character" w:styleId="Strong">
    <w:name w:val="Strong"/>
    <w:basedOn w:val="DefaultParagraphFont"/>
    <w:uiPriority w:val="22"/>
    <w:qFormat/>
    <w:rsid w:val="00DB09C0"/>
    <w:rPr>
      <w:b/>
      <w:bCs/>
    </w:rPr>
  </w:style>
  <w:style w:type="paragraph" w:customStyle="1" w:styleId="HeadingContents">
    <w:name w:val="Heading_Contents"/>
    <w:basedOn w:val="Normal"/>
    <w:link w:val="HeadingContentsChar"/>
    <w:qFormat/>
    <w:rsid w:val="00957543"/>
    <w:pPr>
      <w:spacing w:before="120" w:after="280" w:line="240" w:lineRule="auto"/>
      <w:jc w:val="center"/>
    </w:pPr>
    <w:rPr>
      <w:b/>
    </w:rPr>
  </w:style>
  <w:style w:type="character" w:customStyle="1" w:styleId="HeadingContentsChar">
    <w:name w:val="Heading_Contents Char"/>
    <w:basedOn w:val="DefaultParagraphFont"/>
    <w:link w:val="HeadingContents"/>
    <w:rsid w:val="00957543"/>
    <w:rPr>
      <w:b/>
    </w:rPr>
  </w:style>
  <w:style w:type="paragraph" w:customStyle="1" w:styleId="references">
    <w:name w:val="references"/>
    <w:basedOn w:val="Normal"/>
    <w:link w:val="referencesChar"/>
    <w:qFormat/>
    <w:rsid w:val="00F904D9"/>
    <w:pPr>
      <w:ind w:left="720" w:hanging="720"/>
    </w:pPr>
  </w:style>
  <w:style w:type="character" w:customStyle="1" w:styleId="referencesChar">
    <w:name w:val="references Char"/>
    <w:basedOn w:val="DefaultParagraphFont"/>
    <w:link w:val="references"/>
    <w:rsid w:val="00F904D9"/>
  </w:style>
  <w:style w:type="paragraph" w:customStyle="1" w:styleId="appendixheadings">
    <w:name w:val="appendix_headings"/>
    <w:basedOn w:val="Heading1"/>
    <w:next w:val="Normal"/>
    <w:link w:val="appendixheadingsChar"/>
    <w:autoRedefine/>
    <w:qFormat/>
    <w:rsid w:val="002C3C3F"/>
    <w:pPr>
      <w:numPr>
        <w:numId w:val="0"/>
      </w:numPr>
    </w:pPr>
  </w:style>
  <w:style w:type="character" w:customStyle="1" w:styleId="appendixheadingsChar">
    <w:name w:val="appendix_headings Char"/>
    <w:basedOn w:val="Heading1Char"/>
    <w:link w:val="appendixheadings"/>
    <w:rsid w:val="002C3C3F"/>
    <w:rPr>
      <w:rFonts w:eastAsiaTheme="majorEastAsia" w:cstheme="majorBidi"/>
      <w:b/>
      <w:bCs/>
      <w:caps/>
      <w:szCs w:val="28"/>
    </w:rPr>
  </w:style>
  <w:style w:type="paragraph" w:styleId="TOC1">
    <w:name w:val="toc 1"/>
    <w:basedOn w:val="Normal"/>
    <w:next w:val="Normal"/>
    <w:autoRedefine/>
    <w:uiPriority w:val="39"/>
    <w:unhideWhenUsed/>
    <w:rsid w:val="009C5F36"/>
    <w:pPr>
      <w:tabs>
        <w:tab w:val="clear" w:pos="851"/>
        <w:tab w:val="left" w:pos="709"/>
        <w:tab w:val="right" w:leader="dot" w:pos="9016"/>
      </w:tabs>
      <w:spacing w:before="60" w:after="60" w:line="240" w:lineRule="auto"/>
    </w:pPr>
  </w:style>
  <w:style w:type="paragraph" w:styleId="NoSpacing">
    <w:name w:val="No Spacing"/>
    <w:uiPriority w:val="1"/>
    <w:qFormat/>
    <w:rsid w:val="00033B4E"/>
    <w:pPr>
      <w:spacing w:after="0" w:line="240" w:lineRule="auto"/>
    </w:pPr>
  </w:style>
  <w:style w:type="paragraph" w:customStyle="1" w:styleId="Table1">
    <w:name w:val="Table 1"/>
    <w:basedOn w:val="Normal"/>
    <w:next w:val="Normal"/>
    <w:link w:val="Table1Char"/>
    <w:qFormat/>
    <w:rsid w:val="00A86AB6"/>
    <w:pPr>
      <w:spacing w:before="30" w:after="30" w:line="240" w:lineRule="auto"/>
    </w:pPr>
  </w:style>
  <w:style w:type="character" w:customStyle="1" w:styleId="Table1Char">
    <w:name w:val="Table 1 Char"/>
    <w:basedOn w:val="DefaultParagraphFont"/>
    <w:link w:val="Table1"/>
    <w:rsid w:val="00A86AB6"/>
  </w:style>
  <w:style w:type="paragraph" w:customStyle="1" w:styleId="Tableheading1">
    <w:name w:val="Table heading 1"/>
    <w:basedOn w:val="Normal"/>
    <w:next w:val="Normal"/>
    <w:link w:val="Tableheading1Char"/>
    <w:qFormat/>
    <w:rsid w:val="00DB7B76"/>
    <w:pPr>
      <w:spacing w:before="30" w:after="30" w:line="240" w:lineRule="auto"/>
      <w:jc w:val="center"/>
    </w:pPr>
  </w:style>
  <w:style w:type="character" w:customStyle="1" w:styleId="Tableheading1Char">
    <w:name w:val="Table heading 1 Char"/>
    <w:basedOn w:val="DefaultParagraphFont"/>
    <w:link w:val="Tableheading1"/>
    <w:rsid w:val="00DB7B76"/>
  </w:style>
  <w:style w:type="paragraph" w:customStyle="1" w:styleId="Tablesubheading1">
    <w:name w:val="Table sub heading 1"/>
    <w:basedOn w:val="Normal"/>
    <w:next w:val="Normal"/>
    <w:link w:val="Tablesubheading1Char"/>
    <w:qFormat/>
    <w:rsid w:val="00DB7B76"/>
    <w:pPr>
      <w:spacing w:before="30" w:after="30" w:line="240" w:lineRule="auto"/>
    </w:pPr>
    <w:rPr>
      <w:i/>
    </w:rPr>
  </w:style>
  <w:style w:type="character" w:customStyle="1" w:styleId="Tablesubheading1Char">
    <w:name w:val="Table sub heading 1 Char"/>
    <w:basedOn w:val="DefaultParagraphFont"/>
    <w:link w:val="Tablesubheading1"/>
    <w:rsid w:val="00DB7B76"/>
    <w:rPr>
      <w:i/>
    </w:rPr>
  </w:style>
  <w:style w:type="paragraph" w:styleId="ListParagraph">
    <w:name w:val="List Paragraph"/>
    <w:basedOn w:val="Normal"/>
    <w:link w:val="ListParagraphChar"/>
    <w:uiPriority w:val="34"/>
    <w:qFormat/>
    <w:rsid w:val="009A141E"/>
    <w:pPr>
      <w:ind w:left="720"/>
    </w:pPr>
  </w:style>
  <w:style w:type="character" w:customStyle="1" w:styleId="ListParagraphChar">
    <w:name w:val="List Paragraph Char"/>
    <w:basedOn w:val="DefaultParagraphFont"/>
    <w:link w:val="ListParagraph"/>
    <w:uiPriority w:val="34"/>
    <w:rsid w:val="009A141E"/>
  </w:style>
  <w:style w:type="paragraph" w:customStyle="1" w:styleId="Subheading1">
    <w:name w:val="Subheading1"/>
    <w:basedOn w:val="Normal"/>
    <w:next w:val="Normal"/>
    <w:link w:val="Subheading1Char"/>
    <w:qFormat/>
    <w:rsid w:val="003B767F"/>
    <w:rPr>
      <w:caps/>
    </w:rPr>
  </w:style>
  <w:style w:type="character" w:customStyle="1" w:styleId="Subheading1Char">
    <w:name w:val="Subheading1 Char"/>
    <w:basedOn w:val="DefaultParagraphFont"/>
    <w:link w:val="Subheading1"/>
    <w:rsid w:val="003B767F"/>
    <w:rPr>
      <w:caps/>
    </w:rPr>
  </w:style>
  <w:style w:type="paragraph" w:customStyle="1" w:styleId="boldleftaligned">
    <w:name w:val="bold&amp;leftaligned"/>
    <w:basedOn w:val="boldcentred"/>
    <w:next w:val="Normal"/>
    <w:link w:val="boldleftalignedChar"/>
    <w:qFormat/>
    <w:rsid w:val="00E93D91"/>
    <w:pPr>
      <w:jc w:val="left"/>
    </w:pPr>
  </w:style>
  <w:style w:type="character" w:customStyle="1" w:styleId="boldleftalignedChar">
    <w:name w:val="bold&amp;leftaligned Char"/>
    <w:basedOn w:val="boldcentredChar"/>
    <w:link w:val="boldleftaligned"/>
    <w:rsid w:val="00E93D91"/>
    <w:rPr>
      <w:b/>
    </w:rPr>
  </w:style>
  <w:style w:type="paragraph" w:styleId="Caption">
    <w:name w:val="caption"/>
    <w:basedOn w:val="Normal"/>
    <w:next w:val="Normal"/>
    <w:unhideWhenUsed/>
    <w:qFormat/>
    <w:rsid w:val="00C36BA0"/>
    <w:pPr>
      <w:spacing w:after="200" w:line="240" w:lineRule="auto"/>
    </w:pPr>
    <w:rPr>
      <w:b/>
      <w:bCs/>
      <w:sz w:val="18"/>
      <w:szCs w:val="18"/>
    </w:rPr>
  </w:style>
  <w:style w:type="paragraph" w:customStyle="1" w:styleId="Table2">
    <w:name w:val="Table 2"/>
    <w:basedOn w:val="Normal"/>
    <w:link w:val="Table2Char"/>
    <w:qFormat/>
    <w:rsid w:val="005D7C44"/>
    <w:pPr>
      <w:spacing w:before="30" w:after="30" w:line="240" w:lineRule="auto"/>
    </w:pPr>
    <w:rPr>
      <w:sz w:val="20"/>
    </w:rPr>
  </w:style>
  <w:style w:type="character" w:customStyle="1" w:styleId="Table2Char">
    <w:name w:val="Table 2 Char"/>
    <w:basedOn w:val="DefaultParagraphFont"/>
    <w:link w:val="Table2"/>
    <w:rsid w:val="005D7C44"/>
    <w:rPr>
      <w:sz w:val="20"/>
    </w:rPr>
  </w:style>
  <w:style w:type="paragraph" w:customStyle="1" w:styleId="Abstract">
    <w:name w:val="Abstract"/>
    <w:basedOn w:val="Normal"/>
    <w:link w:val="AbstractChar"/>
    <w:qFormat/>
    <w:rsid w:val="00455305"/>
    <w:pPr>
      <w:spacing w:before="200" w:after="200" w:line="252" w:lineRule="auto"/>
    </w:pPr>
    <w:rPr>
      <w:sz w:val="22"/>
    </w:rPr>
  </w:style>
  <w:style w:type="paragraph" w:customStyle="1" w:styleId="Table2heading">
    <w:name w:val="Table 2 heading"/>
    <w:basedOn w:val="Table2"/>
    <w:link w:val="Table2headingChar"/>
    <w:qFormat/>
    <w:rsid w:val="00C910A5"/>
    <w:pPr>
      <w:jc w:val="center"/>
    </w:pPr>
    <w:rPr>
      <w:b/>
    </w:rPr>
  </w:style>
  <w:style w:type="character" w:customStyle="1" w:styleId="Table2headingChar">
    <w:name w:val="Table 2 heading Char"/>
    <w:basedOn w:val="Table2Char"/>
    <w:link w:val="Table2heading"/>
    <w:rsid w:val="00C910A5"/>
    <w:rPr>
      <w:b/>
      <w:sz w:val="20"/>
    </w:rPr>
  </w:style>
  <w:style w:type="paragraph" w:styleId="Quote">
    <w:name w:val="Quote"/>
    <w:basedOn w:val="Normal"/>
    <w:next w:val="Normal"/>
    <w:link w:val="QuoteChar"/>
    <w:uiPriority w:val="29"/>
    <w:qFormat/>
    <w:rsid w:val="00A967E3"/>
    <w:rPr>
      <w:i/>
      <w:iCs/>
      <w:color w:val="000000" w:themeColor="text1"/>
    </w:rPr>
  </w:style>
  <w:style w:type="character" w:customStyle="1" w:styleId="QuoteChar">
    <w:name w:val="Quote Char"/>
    <w:basedOn w:val="DefaultParagraphFont"/>
    <w:link w:val="Quote"/>
    <w:uiPriority w:val="29"/>
    <w:rsid w:val="00A967E3"/>
    <w:rPr>
      <w:i/>
      <w:iCs/>
      <w:color w:val="000000" w:themeColor="text1"/>
    </w:rPr>
  </w:style>
  <w:style w:type="character" w:styleId="Emphasis">
    <w:name w:val="Emphasis"/>
    <w:basedOn w:val="DefaultParagraphFont"/>
    <w:uiPriority w:val="20"/>
    <w:qFormat/>
    <w:rsid w:val="00A967E3"/>
    <w:rPr>
      <w:i/>
      <w:iCs/>
    </w:rPr>
  </w:style>
  <w:style w:type="paragraph" w:customStyle="1" w:styleId="ListParagraphIndent1">
    <w:name w:val="List Paragraph Indent 1"/>
    <w:basedOn w:val="Normal"/>
    <w:link w:val="ListParagraphIndent1Char"/>
    <w:qFormat/>
    <w:rsid w:val="005D02F1"/>
    <w:pPr>
      <w:numPr>
        <w:numId w:val="2"/>
      </w:numPr>
      <w:ind w:left="1797" w:hanging="720"/>
    </w:pPr>
  </w:style>
  <w:style w:type="character" w:customStyle="1" w:styleId="ListParagraphIndent1Char">
    <w:name w:val="List Paragraph Indent 1 Char"/>
    <w:basedOn w:val="ListParagraphChar"/>
    <w:link w:val="ListParagraphIndent1"/>
    <w:rsid w:val="005D02F1"/>
  </w:style>
  <w:style w:type="paragraph" w:customStyle="1" w:styleId="AppendixHeading2">
    <w:name w:val="Appendix_Heading_2"/>
    <w:basedOn w:val="Heading2"/>
    <w:next w:val="Normal"/>
    <w:link w:val="AppendixHeading2Char"/>
    <w:qFormat/>
    <w:rsid w:val="00FF34D9"/>
    <w:pPr>
      <w:numPr>
        <w:ilvl w:val="0"/>
        <w:numId w:val="0"/>
      </w:numPr>
    </w:pPr>
  </w:style>
  <w:style w:type="character" w:customStyle="1" w:styleId="AppendixHeading2Char">
    <w:name w:val="Appendix_Heading_2 Char"/>
    <w:basedOn w:val="Heading2Char"/>
    <w:link w:val="AppendixHeading2"/>
    <w:rsid w:val="00FF34D9"/>
    <w:rPr>
      <w:rFonts w:eastAsiaTheme="majorEastAsia" w:cstheme="majorBidi"/>
      <w:b/>
      <w:bCs/>
      <w:szCs w:val="26"/>
    </w:rPr>
  </w:style>
  <w:style w:type="paragraph" w:customStyle="1" w:styleId="Table3">
    <w:name w:val="Table 3"/>
    <w:basedOn w:val="Table2"/>
    <w:link w:val="Table3Char"/>
    <w:qFormat/>
    <w:rsid w:val="00B460E1"/>
    <w:pPr>
      <w:spacing w:before="15" w:after="15"/>
    </w:pPr>
    <w:rPr>
      <w:sz w:val="15"/>
    </w:rPr>
  </w:style>
  <w:style w:type="character" w:customStyle="1" w:styleId="Table3Char">
    <w:name w:val="Table 3 Char"/>
    <w:basedOn w:val="DefaultParagraphFont"/>
    <w:link w:val="Table3"/>
    <w:rsid w:val="00B460E1"/>
    <w:rPr>
      <w:sz w:val="15"/>
    </w:rPr>
  </w:style>
  <w:style w:type="paragraph" w:customStyle="1" w:styleId="Table3heading">
    <w:name w:val="Table 3 heading"/>
    <w:basedOn w:val="Table3"/>
    <w:link w:val="Table3headingChar"/>
    <w:qFormat/>
    <w:rsid w:val="007A02CA"/>
    <w:pPr>
      <w:spacing w:before="20" w:after="20"/>
    </w:pPr>
    <w:rPr>
      <w:sz w:val="18"/>
    </w:rPr>
  </w:style>
  <w:style w:type="character" w:customStyle="1" w:styleId="Table3headingChar">
    <w:name w:val="Table 3 heading Char"/>
    <w:basedOn w:val="Table3Char"/>
    <w:link w:val="Table3heading"/>
    <w:rsid w:val="007A02CA"/>
    <w:rPr>
      <w:sz w:val="18"/>
    </w:rPr>
  </w:style>
  <w:style w:type="paragraph" w:customStyle="1" w:styleId="Table4">
    <w:name w:val="Table 4"/>
    <w:basedOn w:val="Table2"/>
    <w:link w:val="Table4Char"/>
    <w:qFormat/>
    <w:rsid w:val="00B42380"/>
    <w:rPr>
      <w:sz w:val="18"/>
    </w:rPr>
  </w:style>
  <w:style w:type="character" w:customStyle="1" w:styleId="Table4Char">
    <w:name w:val="Table 4 Char"/>
    <w:basedOn w:val="Table2Char"/>
    <w:link w:val="Table4"/>
    <w:rsid w:val="00B42380"/>
    <w:rPr>
      <w:sz w:val="18"/>
    </w:rPr>
  </w:style>
  <w:style w:type="paragraph" w:customStyle="1" w:styleId="Alphabetlist">
    <w:name w:val="Alphabet list"/>
    <w:basedOn w:val="ListParagraph"/>
    <w:link w:val="AlphabetlistChar"/>
    <w:rsid w:val="00762FEC"/>
    <w:pPr>
      <w:numPr>
        <w:numId w:val="4"/>
      </w:numPr>
      <w:ind w:left="357" w:hanging="357"/>
    </w:pPr>
    <w:rPr>
      <w:sz w:val="20"/>
    </w:rPr>
  </w:style>
  <w:style w:type="character" w:customStyle="1" w:styleId="AlphabetlistChar">
    <w:name w:val="Alphabet list Char"/>
    <w:basedOn w:val="ListParagraphChar"/>
    <w:link w:val="Alphabetlist"/>
    <w:rsid w:val="00762FEC"/>
    <w:rPr>
      <w:sz w:val="20"/>
    </w:rPr>
  </w:style>
  <w:style w:type="paragraph" w:styleId="FootnoteText">
    <w:name w:val="footnote text"/>
    <w:basedOn w:val="Normal"/>
    <w:link w:val="FootnoteTextChar"/>
    <w:semiHidden/>
    <w:rsid w:val="001B250C"/>
    <w:pPr>
      <w:tabs>
        <w:tab w:val="clear" w:pos="851"/>
        <w:tab w:val="left" w:pos="187"/>
      </w:tabs>
      <w:spacing w:before="0" w:after="120" w:line="220" w:lineRule="exact"/>
    </w:pPr>
    <w:rPr>
      <w:rFonts w:eastAsia="Times New Roman" w:cs="Times New Roman"/>
      <w:sz w:val="18"/>
      <w:szCs w:val="24"/>
      <w:lang w:eastAsia="en-AU"/>
    </w:rPr>
  </w:style>
  <w:style w:type="character" w:customStyle="1" w:styleId="FootnoteTextChar">
    <w:name w:val="Footnote Text Char"/>
    <w:basedOn w:val="DefaultParagraphFont"/>
    <w:link w:val="FootnoteText"/>
    <w:semiHidden/>
    <w:rsid w:val="001B250C"/>
    <w:rPr>
      <w:rFonts w:eastAsia="Times New Roman" w:cs="Times New Roman"/>
      <w:sz w:val="18"/>
      <w:szCs w:val="24"/>
      <w:lang w:eastAsia="en-AU"/>
    </w:rPr>
  </w:style>
  <w:style w:type="character" w:styleId="FootnoteReference">
    <w:name w:val="footnote reference"/>
    <w:semiHidden/>
    <w:rsid w:val="003F0CA5"/>
    <w:rPr>
      <w:vertAlign w:val="superscript"/>
    </w:rPr>
  </w:style>
  <w:style w:type="paragraph" w:customStyle="1" w:styleId="underlinedleft">
    <w:name w:val="underlined&amp;left"/>
    <w:basedOn w:val="Normal"/>
    <w:next w:val="Normal"/>
    <w:link w:val="underlinedleftChar"/>
    <w:qFormat/>
    <w:rsid w:val="00560696"/>
    <w:rPr>
      <w:u w:val="single"/>
    </w:rPr>
  </w:style>
  <w:style w:type="character" w:customStyle="1" w:styleId="underlinedleftChar">
    <w:name w:val="underlined&amp;left Char"/>
    <w:basedOn w:val="DefaultParagraphFont"/>
    <w:link w:val="underlinedleft"/>
    <w:rsid w:val="00560696"/>
    <w:rPr>
      <w:u w:val="single"/>
    </w:rPr>
  </w:style>
  <w:style w:type="paragraph" w:styleId="NormalWeb">
    <w:name w:val="Normal (Web)"/>
    <w:basedOn w:val="Normal"/>
    <w:uiPriority w:val="99"/>
    <w:semiHidden/>
    <w:unhideWhenUsed/>
    <w:rsid w:val="006923B3"/>
    <w:pPr>
      <w:tabs>
        <w:tab w:val="clear" w:pos="851"/>
      </w:tabs>
      <w:spacing w:before="0" w:after="100" w:afterAutospacing="1" w:line="240" w:lineRule="auto"/>
      <w:ind w:left="1800"/>
    </w:pPr>
    <w:rPr>
      <w:rFonts w:eastAsia="Times New Roman" w:cs="Times New Roman"/>
      <w:szCs w:val="24"/>
      <w:lang w:eastAsia="en-AU"/>
    </w:rPr>
  </w:style>
  <w:style w:type="table" w:customStyle="1" w:styleId="LightShading1">
    <w:name w:val="Light Shading1"/>
    <w:basedOn w:val="TableNormal"/>
    <w:uiPriority w:val="60"/>
    <w:rsid w:val="00567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F1B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E818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A82552"/>
    <w:pPr>
      <w:spacing w:after="0" w:line="240" w:lineRule="auto"/>
    </w:pPr>
  </w:style>
  <w:style w:type="character" w:styleId="PlaceholderText">
    <w:name w:val="Placeholder Text"/>
    <w:basedOn w:val="DefaultParagraphFont"/>
    <w:uiPriority w:val="99"/>
    <w:semiHidden/>
    <w:rsid w:val="00B15624"/>
    <w:rPr>
      <w:color w:val="808080"/>
    </w:rPr>
  </w:style>
  <w:style w:type="character" w:styleId="CommentReference">
    <w:name w:val="annotation reference"/>
    <w:basedOn w:val="DefaultParagraphFont"/>
    <w:uiPriority w:val="99"/>
    <w:semiHidden/>
    <w:unhideWhenUsed/>
    <w:rsid w:val="00F9633E"/>
    <w:rPr>
      <w:sz w:val="16"/>
      <w:szCs w:val="16"/>
    </w:rPr>
  </w:style>
  <w:style w:type="paragraph" w:styleId="CommentText">
    <w:name w:val="annotation text"/>
    <w:basedOn w:val="Normal"/>
    <w:link w:val="CommentTextChar"/>
    <w:uiPriority w:val="99"/>
    <w:semiHidden/>
    <w:unhideWhenUsed/>
    <w:rsid w:val="00F9633E"/>
    <w:pPr>
      <w:spacing w:line="240" w:lineRule="auto"/>
    </w:pPr>
    <w:rPr>
      <w:sz w:val="20"/>
      <w:szCs w:val="20"/>
    </w:rPr>
  </w:style>
  <w:style w:type="character" w:customStyle="1" w:styleId="CommentTextChar">
    <w:name w:val="Comment Text Char"/>
    <w:basedOn w:val="DefaultParagraphFont"/>
    <w:link w:val="CommentText"/>
    <w:uiPriority w:val="99"/>
    <w:semiHidden/>
    <w:rsid w:val="00F9633E"/>
    <w:rPr>
      <w:sz w:val="20"/>
      <w:szCs w:val="20"/>
    </w:rPr>
  </w:style>
  <w:style w:type="paragraph" w:styleId="CommentSubject">
    <w:name w:val="annotation subject"/>
    <w:basedOn w:val="CommentText"/>
    <w:next w:val="CommentText"/>
    <w:link w:val="CommentSubjectChar"/>
    <w:uiPriority w:val="99"/>
    <w:semiHidden/>
    <w:unhideWhenUsed/>
    <w:rsid w:val="00F9633E"/>
    <w:rPr>
      <w:b/>
      <w:bCs/>
    </w:rPr>
  </w:style>
  <w:style w:type="character" w:customStyle="1" w:styleId="CommentSubjectChar">
    <w:name w:val="Comment Subject Char"/>
    <w:basedOn w:val="CommentTextChar"/>
    <w:link w:val="CommentSubject"/>
    <w:uiPriority w:val="99"/>
    <w:semiHidden/>
    <w:rsid w:val="00F9633E"/>
    <w:rPr>
      <w:b/>
      <w:bCs/>
      <w:sz w:val="20"/>
      <w:szCs w:val="20"/>
    </w:rPr>
  </w:style>
  <w:style w:type="character" w:styleId="HTMLCite">
    <w:name w:val="HTML Cite"/>
    <w:basedOn w:val="DefaultParagraphFont"/>
    <w:uiPriority w:val="99"/>
    <w:semiHidden/>
    <w:unhideWhenUsed/>
    <w:rsid w:val="00E43FFB"/>
    <w:rPr>
      <w:i/>
      <w:iCs/>
    </w:rPr>
  </w:style>
  <w:style w:type="character" w:styleId="FollowedHyperlink">
    <w:name w:val="FollowedHyperlink"/>
    <w:basedOn w:val="DefaultParagraphFont"/>
    <w:uiPriority w:val="99"/>
    <w:semiHidden/>
    <w:unhideWhenUsed/>
    <w:rsid w:val="0093796B"/>
    <w:rPr>
      <w:color w:val="800080" w:themeColor="followedHyperlink"/>
      <w:u w:val="single"/>
    </w:rPr>
  </w:style>
  <w:style w:type="paragraph" w:customStyle="1" w:styleId="SUBHEADING2">
    <w:name w:val="SUBHEADING2"/>
    <w:basedOn w:val="Subheading1"/>
    <w:link w:val="SUBHEADING2Char"/>
    <w:qFormat/>
    <w:rsid w:val="00E95EBE"/>
    <w:rPr>
      <w:b/>
      <w:u w:val="single"/>
    </w:rPr>
  </w:style>
  <w:style w:type="paragraph" w:customStyle="1" w:styleId="SUBHEADING3">
    <w:name w:val="SUBHEADING3"/>
    <w:basedOn w:val="SUBHEADING2"/>
    <w:link w:val="SUBHEADING3Char"/>
    <w:qFormat/>
    <w:rsid w:val="00E95EBE"/>
    <w:rPr>
      <w:u w:val="none"/>
    </w:rPr>
  </w:style>
  <w:style w:type="character" w:customStyle="1" w:styleId="SUBHEADING2Char">
    <w:name w:val="SUBHEADING2 Char"/>
    <w:basedOn w:val="Subheading1Char"/>
    <w:link w:val="SUBHEADING2"/>
    <w:rsid w:val="00E95EBE"/>
    <w:rPr>
      <w:b/>
      <w:caps/>
      <w:u w:val="single"/>
    </w:rPr>
  </w:style>
  <w:style w:type="character" w:customStyle="1" w:styleId="SUBHEADING3Char">
    <w:name w:val="SUBHEADING3 Char"/>
    <w:basedOn w:val="SUBHEADING2Char"/>
    <w:link w:val="SUBHEADING3"/>
    <w:rsid w:val="00E95EBE"/>
    <w:rPr>
      <w:b/>
      <w:caps/>
      <w:u w:val="single"/>
    </w:rPr>
  </w:style>
  <w:style w:type="paragraph" w:customStyle="1" w:styleId="Subheading4">
    <w:name w:val="Subheading4"/>
    <w:basedOn w:val="Normal"/>
    <w:link w:val="Subheading4Char"/>
    <w:qFormat/>
    <w:rsid w:val="002D611C"/>
    <w:pPr>
      <w:spacing w:after="200" w:line="276" w:lineRule="auto"/>
    </w:pPr>
    <w:rPr>
      <w:rFonts w:ascii="Arial" w:hAnsi="Arial"/>
      <w:b/>
      <w:sz w:val="22"/>
    </w:rPr>
  </w:style>
  <w:style w:type="character" w:customStyle="1" w:styleId="Subheading4Char">
    <w:name w:val="Subheading4 Char"/>
    <w:basedOn w:val="DefaultParagraphFont"/>
    <w:link w:val="Subheading4"/>
    <w:rsid w:val="002D611C"/>
    <w:rPr>
      <w:rFonts w:ascii="Arial" w:hAnsi="Arial"/>
      <w:b/>
      <w:sz w:val="22"/>
    </w:rPr>
  </w:style>
  <w:style w:type="character" w:customStyle="1" w:styleId="AbstractChar">
    <w:name w:val="Abstract Char"/>
    <w:basedOn w:val="DefaultParagraphFont"/>
    <w:link w:val="Abstract"/>
    <w:rsid w:val="00455305"/>
    <w:rPr>
      <w:sz w:val="22"/>
    </w:rPr>
  </w:style>
  <w:style w:type="paragraph" w:styleId="BodyText">
    <w:name w:val="Body Text"/>
    <w:basedOn w:val="Normal"/>
    <w:link w:val="BodyTextChar"/>
    <w:rsid w:val="004A5E02"/>
    <w:pPr>
      <w:tabs>
        <w:tab w:val="clear" w:pos="851"/>
        <w:tab w:val="left" w:pos="3402"/>
      </w:tabs>
      <w:spacing w:before="0" w:after="0" w:line="240" w:lineRule="auto"/>
    </w:pPr>
    <w:rPr>
      <w:rFonts w:eastAsia="Times New Roman" w:cs="Times New Roman"/>
      <w:szCs w:val="20"/>
      <w:lang w:eastAsia="en-AU"/>
    </w:rPr>
  </w:style>
  <w:style w:type="character" w:customStyle="1" w:styleId="BodyTextChar">
    <w:name w:val="Body Text Char"/>
    <w:basedOn w:val="DefaultParagraphFont"/>
    <w:link w:val="BodyText"/>
    <w:rsid w:val="004A5E02"/>
    <w:rPr>
      <w:rFonts w:eastAsia="Times New Roman" w:cs="Times New Roman"/>
      <w:szCs w:val="20"/>
      <w:lang w:eastAsia="en-AU"/>
    </w:rPr>
  </w:style>
  <w:style w:type="paragraph" w:customStyle="1" w:styleId="Consultation">
    <w:name w:val="Consultation"/>
    <w:basedOn w:val="Normal"/>
    <w:link w:val="ConsultationChar"/>
    <w:qFormat/>
    <w:rsid w:val="001F620D"/>
    <w:pPr>
      <w:spacing w:before="0" w:line="240" w:lineRule="auto"/>
      <w:ind w:left="357"/>
    </w:pPr>
    <w:rPr>
      <w:sz w:val="20"/>
      <w:szCs w:val="20"/>
    </w:rPr>
  </w:style>
  <w:style w:type="paragraph" w:customStyle="1" w:styleId="consultationnumbered">
    <w:name w:val="consultation_numbered"/>
    <w:basedOn w:val="Consultation"/>
    <w:link w:val="consultationnumberedChar"/>
    <w:qFormat/>
    <w:rsid w:val="00C00680"/>
    <w:pPr>
      <w:numPr>
        <w:numId w:val="73"/>
      </w:numPr>
      <w:ind w:left="357" w:hanging="357"/>
    </w:pPr>
  </w:style>
  <w:style w:type="character" w:customStyle="1" w:styleId="ConsultationChar">
    <w:name w:val="Consultation Char"/>
    <w:basedOn w:val="DefaultParagraphFont"/>
    <w:link w:val="Consultation"/>
    <w:rsid w:val="001F620D"/>
    <w:rPr>
      <w:sz w:val="20"/>
      <w:szCs w:val="20"/>
    </w:rPr>
  </w:style>
  <w:style w:type="paragraph" w:customStyle="1" w:styleId="Consultationheadings">
    <w:name w:val="Consultation headings"/>
    <w:basedOn w:val="Normal"/>
    <w:link w:val="ConsultationheadingsChar"/>
    <w:qFormat/>
    <w:rsid w:val="008815E7"/>
    <w:pPr>
      <w:spacing w:before="0" w:line="240" w:lineRule="auto"/>
    </w:pPr>
    <w:rPr>
      <w:b/>
      <w:sz w:val="20"/>
    </w:rPr>
  </w:style>
  <w:style w:type="character" w:customStyle="1" w:styleId="consultationnumberedChar">
    <w:name w:val="consultation_numbered Char"/>
    <w:basedOn w:val="ConsultationChar"/>
    <w:link w:val="consultationnumbered"/>
    <w:rsid w:val="00C00680"/>
    <w:rPr>
      <w:sz w:val="20"/>
      <w:szCs w:val="20"/>
    </w:rPr>
  </w:style>
  <w:style w:type="paragraph" w:customStyle="1" w:styleId="consultationnumbered2">
    <w:name w:val="consultation_numbered_2"/>
    <w:basedOn w:val="Consultation"/>
    <w:link w:val="consultationnumbered2Char"/>
    <w:qFormat/>
    <w:rsid w:val="00365367"/>
    <w:pPr>
      <w:numPr>
        <w:numId w:val="21"/>
      </w:numPr>
      <w:ind w:left="357" w:hanging="357"/>
    </w:pPr>
  </w:style>
  <w:style w:type="character" w:customStyle="1" w:styleId="ConsultationheadingsChar">
    <w:name w:val="Consultation headings Char"/>
    <w:basedOn w:val="DefaultParagraphFont"/>
    <w:link w:val="Consultationheadings"/>
    <w:rsid w:val="008815E7"/>
    <w:rPr>
      <w:b/>
      <w:sz w:val="20"/>
    </w:rPr>
  </w:style>
  <w:style w:type="character" w:customStyle="1" w:styleId="consultationnumbered2Char">
    <w:name w:val="consultation_numbered_2 Char"/>
    <w:basedOn w:val="consultationnumberedChar"/>
    <w:link w:val="consultationnumbered2"/>
    <w:rsid w:val="0036536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4411">
      <w:bodyDiv w:val="1"/>
      <w:marLeft w:val="0"/>
      <w:marRight w:val="0"/>
      <w:marTop w:val="0"/>
      <w:marBottom w:val="0"/>
      <w:divBdr>
        <w:top w:val="none" w:sz="0" w:space="0" w:color="auto"/>
        <w:left w:val="none" w:sz="0" w:space="0" w:color="auto"/>
        <w:bottom w:val="none" w:sz="0" w:space="0" w:color="auto"/>
        <w:right w:val="none" w:sz="0" w:space="0" w:color="auto"/>
      </w:divBdr>
    </w:div>
    <w:div w:id="72549209">
      <w:bodyDiv w:val="1"/>
      <w:marLeft w:val="0"/>
      <w:marRight w:val="0"/>
      <w:marTop w:val="0"/>
      <w:marBottom w:val="0"/>
      <w:divBdr>
        <w:top w:val="none" w:sz="0" w:space="0" w:color="auto"/>
        <w:left w:val="none" w:sz="0" w:space="0" w:color="auto"/>
        <w:bottom w:val="none" w:sz="0" w:space="0" w:color="auto"/>
        <w:right w:val="none" w:sz="0" w:space="0" w:color="auto"/>
      </w:divBdr>
    </w:div>
    <w:div w:id="84234913">
      <w:bodyDiv w:val="1"/>
      <w:marLeft w:val="0"/>
      <w:marRight w:val="0"/>
      <w:marTop w:val="0"/>
      <w:marBottom w:val="0"/>
      <w:divBdr>
        <w:top w:val="none" w:sz="0" w:space="0" w:color="auto"/>
        <w:left w:val="none" w:sz="0" w:space="0" w:color="auto"/>
        <w:bottom w:val="none" w:sz="0" w:space="0" w:color="auto"/>
        <w:right w:val="none" w:sz="0" w:space="0" w:color="auto"/>
      </w:divBdr>
    </w:div>
    <w:div w:id="94251601">
      <w:bodyDiv w:val="1"/>
      <w:marLeft w:val="0"/>
      <w:marRight w:val="0"/>
      <w:marTop w:val="0"/>
      <w:marBottom w:val="0"/>
      <w:divBdr>
        <w:top w:val="none" w:sz="0" w:space="0" w:color="auto"/>
        <w:left w:val="none" w:sz="0" w:space="0" w:color="auto"/>
        <w:bottom w:val="none" w:sz="0" w:space="0" w:color="auto"/>
        <w:right w:val="none" w:sz="0" w:space="0" w:color="auto"/>
      </w:divBdr>
    </w:div>
    <w:div w:id="108668659">
      <w:bodyDiv w:val="1"/>
      <w:marLeft w:val="0"/>
      <w:marRight w:val="0"/>
      <w:marTop w:val="0"/>
      <w:marBottom w:val="0"/>
      <w:divBdr>
        <w:top w:val="none" w:sz="0" w:space="0" w:color="auto"/>
        <w:left w:val="none" w:sz="0" w:space="0" w:color="auto"/>
        <w:bottom w:val="none" w:sz="0" w:space="0" w:color="auto"/>
        <w:right w:val="none" w:sz="0" w:space="0" w:color="auto"/>
      </w:divBdr>
    </w:div>
    <w:div w:id="111478057">
      <w:bodyDiv w:val="1"/>
      <w:marLeft w:val="0"/>
      <w:marRight w:val="0"/>
      <w:marTop w:val="0"/>
      <w:marBottom w:val="0"/>
      <w:divBdr>
        <w:top w:val="none" w:sz="0" w:space="0" w:color="auto"/>
        <w:left w:val="none" w:sz="0" w:space="0" w:color="auto"/>
        <w:bottom w:val="none" w:sz="0" w:space="0" w:color="auto"/>
        <w:right w:val="none" w:sz="0" w:space="0" w:color="auto"/>
      </w:divBdr>
    </w:div>
    <w:div w:id="124199851">
      <w:bodyDiv w:val="1"/>
      <w:marLeft w:val="0"/>
      <w:marRight w:val="0"/>
      <w:marTop w:val="0"/>
      <w:marBottom w:val="0"/>
      <w:divBdr>
        <w:top w:val="none" w:sz="0" w:space="0" w:color="auto"/>
        <w:left w:val="none" w:sz="0" w:space="0" w:color="auto"/>
        <w:bottom w:val="none" w:sz="0" w:space="0" w:color="auto"/>
        <w:right w:val="none" w:sz="0" w:space="0" w:color="auto"/>
      </w:divBdr>
    </w:div>
    <w:div w:id="168175950">
      <w:bodyDiv w:val="1"/>
      <w:marLeft w:val="0"/>
      <w:marRight w:val="0"/>
      <w:marTop w:val="0"/>
      <w:marBottom w:val="0"/>
      <w:divBdr>
        <w:top w:val="none" w:sz="0" w:space="0" w:color="auto"/>
        <w:left w:val="none" w:sz="0" w:space="0" w:color="auto"/>
        <w:bottom w:val="none" w:sz="0" w:space="0" w:color="auto"/>
        <w:right w:val="none" w:sz="0" w:space="0" w:color="auto"/>
      </w:divBdr>
    </w:div>
    <w:div w:id="189494016">
      <w:bodyDiv w:val="1"/>
      <w:marLeft w:val="0"/>
      <w:marRight w:val="0"/>
      <w:marTop w:val="0"/>
      <w:marBottom w:val="0"/>
      <w:divBdr>
        <w:top w:val="none" w:sz="0" w:space="0" w:color="auto"/>
        <w:left w:val="none" w:sz="0" w:space="0" w:color="auto"/>
        <w:bottom w:val="none" w:sz="0" w:space="0" w:color="auto"/>
        <w:right w:val="none" w:sz="0" w:space="0" w:color="auto"/>
      </w:divBdr>
    </w:div>
    <w:div w:id="210580792">
      <w:bodyDiv w:val="1"/>
      <w:marLeft w:val="0"/>
      <w:marRight w:val="0"/>
      <w:marTop w:val="0"/>
      <w:marBottom w:val="0"/>
      <w:divBdr>
        <w:top w:val="none" w:sz="0" w:space="0" w:color="auto"/>
        <w:left w:val="none" w:sz="0" w:space="0" w:color="auto"/>
        <w:bottom w:val="none" w:sz="0" w:space="0" w:color="auto"/>
        <w:right w:val="none" w:sz="0" w:space="0" w:color="auto"/>
      </w:divBdr>
    </w:div>
    <w:div w:id="212692290">
      <w:bodyDiv w:val="1"/>
      <w:marLeft w:val="0"/>
      <w:marRight w:val="0"/>
      <w:marTop w:val="0"/>
      <w:marBottom w:val="0"/>
      <w:divBdr>
        <w:top w:val="none" w:sz="0" w:space="0" w:color="auto"/>
        <w:left w:val="none" w:sz="0" w:space="0" w:color="auto"/>
        <w:bottom w:val="none" w:sz="0" w:space="0" w:color="auto"/>
        <w:right w:val="none" w:sz="0" w:space="0" w:color="auto"/>
      </w:divBdr>
    </w:div>
    <w:div w:id="247664442">
      <w:bodyDiv w:val="1"/>
      <w:marLeft w:val="0"/>
      <w:marRight w:val="0"/>
      <w:marTop w:val="0"/>
      <w:marBottom w:val="0"/>
      <w:divBdr>
        <w:top w:val="none" w:sz="0" w:space="0" w:color="auto"/>
        <w:left w:val="none" w:sz="0" w:space="0" w:color="auto"/>
        <w:bottom w:val="none" w:sz="0" w:space="0" w:color="auto"/>
        <w:right w:val="none" w:sz="0" w:space="0" w:color="auto"/>
      </w:divBdr>
    </w:div>
    <w:div w:id="277957439">
      <w:bodyDiv w:val="1"/>
      <w:marLeft w:val="0"/>
      <w:marRight w:val="0"/>
      <w:marTop w:val="0"/>
      <w:marBottom w:val="0"/>
      <w:divBdr>
        <w:top w:val="none" w:sz="0" w:space="0" w:color="auto"/>
        <w:left w:val="none" w:sz="0" w:space="0" w:color="auto"/>
        <w:bottom w:val="none" w:sz="0" w:space="0" w:color="auto"/>
        <w:right w:val="none" w:sz="0" w:space="0" w:color="auto"/>
      </w:divBdr>
    </w:div>
    <w:div w:id="293221140">
      <w:bodyDiv w:val="1"/>
      <w:marLeft w:val="0"/>
      <w:marRight w:val="0"/>
      <w:marTop w:val="0"/>
      <w:marBottom w:val="0"/>
      <w:divBdr>
        <w:top w:val="none" w:sz="0" w:space="0" w:color="auto"/>
        <w:left w:val="none" w:sz="0" w:space="0" w:color="auto"/>
        <w:bottom w:val="none" w:sz="0" w:space="0" w:color="auto"/>
        <w:right w:val="none" w:sz="0" w:space="0" w:color="auto"/>
      </w:divBdr>
    </w:div>
    <w:div w:id="305816518">
      <w:bodyDiv w:val="1"/>
      <w:marLeft w:val="0"/>
      <w:marRight w:val="0"/>
      <w:marTop w:val="0"/>
      <w:marBottom w:val="0"/>
      <w:divBdr>
        <w:top w:val="none" w:sz="0" w:space="0" w:color="auto"/>
        <w:left w:val="none" w:sz="0" w:space="0" w:color="auto"/>
        <w:bottom w:val="none" w:sz="0" w:space="0" w:color="auto"/>
        <w:right w:val="none" w:sz="0" w:space="0" w:color="auto"/>
      </w:divBdr>
    </w:div>
    <w:div w:id="334261595">
      <w:bodyDiv w:val="1"/>
      <w:marLeft w:val="0"/>
      <w:marRight w:val="0"/>
      <w:marTop w:val="0"/>
      <w:marBottom w:val="0"/>
      <w:divBdr>
        <w:top w:val="none" w:sz="0" w:space="0" w:color="auto"/>
        <w:left w:val="none" w:sz="0" w:space="0" w:color="auto"/>
        <w:bottom w:val="none" w:sz="0" w:space="0" w:color="auto"/>
        <w:right w:val="none" w:sz="0" w:space="0" w:color="auto"/>
      </w:divBdr>
    </w:div>
    <w:div w:id="334502627">
      <w:bodyDiv w:val="1"/>
      <w:marLeft w:val="0"/>
      <w:marRight w:val="0"/>
      <w:marTop w:val="0"/>
      <w:marBottom w:val="0"/>
      <w:divBdr>
        <w:top w:val="none" w:sz="0" w:space="0" w:color="auto"/>
        <w:left w:val="none" w:sz="0" w:space="0" w:color="auto"/>
        <w:bottom w:val="none" w:sz="0" w:space="0" w:color="auto"/>
        <w:right w:val="none" w:sz="0" w:space="0" w:color="auto"/>
      </w:divBdr>
    </w:div>
    <w:div w:id="335426209">
      <w:bodyDiv w:val="1"/>
      <w:marLeft w:val="0"/>
      <w:marRight w:val="0"/>
      <w:marTop w:val="0"/>
      <w:marBottom w:val="0"/>
      <w:divBdr>
        <w:top w:val="none" w:sz="0" w:space="0" w:color="auto"/>
        <w:left w:val="none" w:sz="0" w:space="0" w:color="auto"/>
        <w:bottom w:val="none" w:sz="0" w:space="0" w:color="auto"/>
        <w:right w:val="none" w:sz="0" w:space="0" w:color="auto"/>
      </w:divBdr>
    </w:div>
    <w:div w:id="337467777">
      <w:bodyDiv w:val="1"/>
      <w:marLeft w:val="0"/>
      <w:marRight w:val="0"/>
      <w:marTop w:val="0"/>
      <w:marBottom w:val="0"/>
      <w:divBdr>
        <w:top w:val="none" w:sz="0" w:space="0" w:color="auto"/>
        <w:left w:val="none" w:sz="0" w:space="0" w:color="auto"/>
        <w:bottom w:val="none" w:sz="0" w:space="0" w:color="auto"/>
        <w:right w:val="none" w:sz="0" w:space="0" w:color="auto"/>
      </w:divBdr>
    </w:div>
    <w:div w:id="370419442">
      <w:bodyDiv w:val="1"/>
      <w:marLeft w:val="0"/>
      <w:marRight w:val="0"/>
      <w:marTop w:val="0"/>
      <w:marBottom w:val="0"/>
      <w:divBdr>
        <w:top w:val="none" w:sz="0" w:space="0" w:color="auto"/>
        <w:left w:val="none" w:sz="0" w:space="0" w:color="auto"/>
        <w:bottom w:val="none" w:sz="0" w:space="0" w:color="auto"/>
        <w:right w:val="none" w:sz="0" w:space="0" w:color="auto"/>
      </w:divBdr>
    </w:div>
    <w:div w:id="410738361">
      <w:bodyDiv w:val="1"/>
      <w:marLeft w:val="0"/>
      <w:marRight w:val="0"/>
      <w:marTop w:val="0"/>
      <w:marBottom w:val="0"/>
      <w:divBdr>
        <w:top w:val="none" w:sz="0" w:space="0" w:color="auto"/>
        <w:left w:val="none" w:sz="0" w:space="0" w:color="auto"/>
        <w:bottom w:val="none" w:sz="0" w:space="0" w:color="auto"/>
        <w:right w:val="none" w:sz="0" w:space="0" w:color="auto"/>
      </w:divBdr>
    </w:div>
    <w:div w:id="428965815">
      <w:bodyDiv w:val="1"/>
      <w:marLeft w:val="0"/>
      <w:marRight w:val="0"/>
      <w:marTop w:val="0"/>
      <w:marBottom w:val="0"/>
      <w:divBdr>
        <w:top w:val="none" w:sz="0" w:space="0" w:color="auto"/>
        <w:left w:val="none" w:sz="0" w:space="0" w:color="auto"/>
        <w:bottom w:val="none" w:sz="0" w:space="0" w:color="auto"/>
        <w:right w:val="none" w:sz="0" w:space="0" w:color="auto"/>
      </w:divBdr>
    </w:div>
    <w:div w:id="444737141">
      <w:bodyDiv w:val="1"/>
      <w:marLeft w:val="0"/>
      <w:marRight w:val="0"/>
      <w:marTop w:val="0"/>
      <w:marBottom w:val="0"/>
      <w:divBdr>
        <w:top w:val="none" w:sz="0" w:space="0" w:color="auto"/>
        <w:left w:val="none" w:sz="0" w:space="0" w:color="auto"/>
        <w:bottom w:val="none" w:sz="0" w:space="0" w:color="auto"/>
        <w:right w:val="none" w:sz="0" w:space="0" w:color="auto"/>
      </w:divBdr>
    </w:div>
    <w:div w:id="447089547">
      <w:bodyDiv w:val="1"/>
      <w:marLeft w:val="0"/>
      <w:marRight w:val="0"/>
      <w:marTop w:val="0"/>
      <w:marBottom w:val="0"/>
      <w:divBdr>
        <w:top w:val="none" w:sz="0" w:space="0" w:color="auto"/>
        <w:left w:val="none" w:sz="0" w:space="0" w:color="auto"/>
        <w:bottom w:val="none" w:sz="0" w:space="0" w:color="auto"/>
        <w:right w:val="none" w:sz="0" w:space="0" w:color="auto"/>
      </w:divBdr>
    </w:div>
    <w:div w:id="448207523">
      <w:bodyDiv w:val="1"/>
      <w:marLeft w:val="0"/>
      <w:marRight w:val="0"/>
      <w:marTop w:val="0"/>
      <w:marBottom w:val="0"/>
      <w:divBdr>
        <w:top w:val="none" w:sz="0" w:space="0" w:color="auto"/>
        <w:left w:val="none" w:sz="0" w:space="0" w:color="auto"/>
        <w:bottom w:val="none" w:sz="0" w:space="0" w:color="auto"/>
        <w:right w:val="none" w:sz="0" w:space="0" w:color="auto"/>
      </w:divBdr>
    </w:div>
    <w:div w:id="449856201">
      <w:bodyDiv w:val="1"/>
      <w:marLeft w:val="0"/>
      <w:marRight w:val="0"/>
      <w:marTop w:val="0"/>
      <w:marBottom w:val="0"/>
      <w:divBdr>
        <w:top w:val="none" w:sz="0" w:space="0" w:color="auto"/>
        <w:left w:val="none" w:sz="0" w:space="0" w:color="auto"/>
        <w:bottom w:val="none" w:sz="0" w:space="0" w:color="auto"/>
        <w:right w:val="none" w:sz="0" w:space="0" w:color="auto"/>
      </w:divBdr>
    </w:div>
    <w:div w:id="491876012">
      <w:bodyDiv w:val="1"/>
      <w:marLeft w:val="0"/>
      <w:marRight w:val="0"/>
      <w:marTop w:val="0"/>
      <w:marBottom w:val="0"/>
      <w:divBdr>
        <w:top w:val="none" w:sz="0" w:space="0" w:color="auto"/>
        <w:left w:val="none" w:sz="0" w:space="0" w:color="auto"/>
        <w:bottom w:val="none" w:sz="0" w:space="0" w:color="auto"/>
        <w:right w:val="none" w:sz="0" w:space="0" w:color="auto"/>
      </w:divBdr>
    </w:div>
    <w:div w:id="512456507">
      <w:bodyDiv w:val="1"/>
      <w:marLeft w:val="0"/>
      <w:marRight w:val="0"/>
      <w:marTop w:val="0"/>
      <w:marBottom w:val="0"/>
      <w:divBdr>
        <w:top w:val="none" w:sz="0" w:space="0" w:color="auto"/>
        <w:left w:val="none" w:sz="0" w:space="0" w:color="auto"/>
        <w:bottom w:val="none" w:sz="0" w:space="0" w:color="auto"/>
        <w:right w:val="none" w:sz="0" w:space="0" w:color="auto"/>
      </w:divBdr>
    </w:div>
    <w:div w:id="590815447">
      <w:bodyDiv w:val="1"/>
      <w:marLeft w:val="0"/>
      <w:marRight w:val="0"/>
      <w:marTop w:val="0"/>
      <w:marBottom w:val="0"/>
      <w:divBdr>
        <w:top w:val="none" w:sz="0" w:space="0" w:color="auto"/>
        <w:left w:val="none" w:sz="0" w:space="0" w:color="auto"/>
        <w:bottom w:val="none" w:sz="0" w:space="0" w:color="auto"/>
        <w:right w:val="none" w:sz="0" w:space="0" w:color="auto"/>
      </w:divBdr>
    </w:div>
    <w:div w:id="636569800">
      <w:bodyDiv w:val="1"/>
      <w:marLeft w:val="0"/>
      <w:marRight w:val="0"/>
      <w:marTop w:val="0"/>
      <w:marBottom w:val="0"/>
      <w:divBdr>
        <w:top w:val="none" w:sz="0" w:space="0" w:color="auto"/>
        <w:left w:val="none" w:sz="0" w:space="0" w:color="auto"/>
        <w:bottom w:val="none" w:sz="0" w:space="0" w:color="auto"/>
        <w:right w:val="none" w:sz="0" w:space="0" w:color="auto"/>
      </w:divBdr>
    </w:div>
    <w:div w:id="648630365">
      <w:bodyDiv w:val="1"/>
      <w:marLeft w:val="0"/>
      <w:marRight w:val="0"/>
      <w:marTop w:val="0"/>
      <w:marBottom w:val="0"/>
      <w:divBdr>
        <w:top w:val="none" w:sz="0" w:space="0" w:color="auto"/>
        <w:left w:val="none" w:sz="0" w:space="0" w:color="auto"/>
        <w:bottom w:val="none" w:sz="0" w:space="0" w:color="auto"/>
        <w:right w:val="none" w:sz="0" w:space="0" w:color="auto"/>
      </w:divBdr>
    </w:div>
    <w:div w:id="667825930">
      <w:bodyDiv w:val="1"/>
      <w:marLeft w:val="0"/>
      <w:marRight w:val="0"/>
      <w:marTop w:val="0"/>
      <w:marBottom w:val="0"/>
      <w:divBdr>
        <w:top w:val="none" w:sz="0" w:space="0" w:color="auto"/>
        <w:left w:val="none" w:sz="0" w:space="0" w:color="auto"/>
        <w:bottom w:val="none" w:sz="0" w:space="0" w:color="auto"/>
        <w:right w:val="none" w:sz="0" w:space="0" w:color="auto"/>
      </w:divBdr>
    </w:div>
    <w:div w:id="678582610">
      <w:bodyDiv w:val="1"/>
      <w:marLeft w:val="0"/>
      <w:marRight w:val="0"/>
      <w:marTop w:val="0"/>
      <w:marBottom w:val="0"/>
      <w:divBdr>
        <w:top w:val="none" w:sz="0" w:space="0" w:color="auto"/>
        <w:left w:val="none" w:sz="0" w:space="0" w:color="auto"/>
        <w:bottom w:val="none" w:sz="0" w:space="0" w:color="auto"/>
        <w:right w:val="none" w:sz="0" w:space="0" w:color="auto"/>
      </w:divBdr>
    </w:div>
    <w:div w:id="701320412">
      <w:bodyDiv w:val="1"/>
      <w:marLeft w:val="0"/>
      <w:marRight w:val="0"/>
      <w:marTop w:val="0"/>
      <w:marBottom w:val="0"/>
      <w:divBdr>
        <w:top w:val="none" w:sz="0" w:space="0" w:color="auto"/>
        <w:left w:val="none" w:sz="0" w:space="0" w:color="auto"/>
        <w:bottom w:val="none" w:sz="0" w:space="0" w:color="auto"/>
        <w:right w:val="none" w:sz="0" w:space="0" w:color="auto"/>
      </w:divBdr>
    </w:div>
    <w:div w:id="718826130">
      <w:bodyDiv w:val="1"/>
      <w:marLeft w:val="0"/>
      <w:marRight w:val="0"/>
      <w:marTop w:val="0"/>
      <w:marBottom w:val="0"/>
      <w:divBdr>
        <w:top w:val="none" w:sz="0" w:space="0" w:color="auto"/>
        <w:left w:val="none" w:sz="0" w:space="0" w:color="auto"/>
        <w:bottom w:val="none" w:sz="0" w:space="0" w:color="auto"/>
        <w:right w:val="none" w:sz="0" w:space="0" w:color="auto"/>
      </w:divBdr>
    </w:div>
    <w:div w:id="748234764">
      <w:bodyDiv w:val="1"/>
      <w:marLeft w:val="0"/>
      <w:marRight w:val="0"/>
      <w:marTop w:val="0"/>
      <w:marBottom w:val="0"/>
      <w:divBdr>
        <w:top w:val="none" w:sz="0" w:space="0" w:color="auto"/>
        <w:left w:val="none" w:sz="0" w:space="0" w:color="auto"/>
        <w:bottom w:val="none" w:sz="0" w:space="0" w:color="auto"/>
        <w:right w:val="none" w:sz="0" w:space="0" w:color="auto"/>
      </w:divBdr>
    </w:div>
    <w:div w:id="761294634">
      <w:bodyDiv w:val="1"/>
      <w:marLeft w:val="0"/>
      <w:marRight w:val="0"/>
      <w:marTop w:val="0"/>
      <w:marBottom w:val="0"/>
      <w:divBdr>
        <w:top w:val="none" w:sz="0" w:space="0" w:color="auto"/>
        <w:left w:val="none" w:sz="0" w:space="0" w:color="auto"/>
        <w:bottom w:val="none" w:sz="0" w:space="0" w:color="auto"/>
        <w:right w:val="none" w:sz="0" w:space="0" w:color="auto"/>
      </w:divBdr>
    </w:div>
    <w:div w:id="763959062">
      <w:bodyDiv w:val="1"/>
      <w:marLeft w:val="0"/>
      <w:marRight w:val="0"/>
      <w:marTop w:val="0"/>
      <w:marBottom w:val="0"/>
      <w:divBdr>
        <w:top w:val="none" w:sz="0" w:space="0" w:color="auto"/>
        <w:left w:val="none" w:sz="0" w:space="0" w:color="auto"/>
        <w:bottom w:val="none" w:sz="0" w:space="0" w:color="auto"/>
        <w:right w:val="none" w:sz="0" w:space="0" w:color="auto"/>
      </w:divBdr>
    </w:div>
    <w:div w:id="765688509">
      <w:bodyDiv w:val="1"/>
      <w:marLeft w:val="0"/>
      <w:marRight w:val="0"/>
      <w:marTop w:val="0"/>
      <w:marBottom w:val="0"/>
      <w:divBdr>
        <w:top w:val="none" w:sz="0" w:space="0" w:color="auto"/>
        <w:left w:val="none" w:sz="0" w:space="0" w:color="auto"/>
        <w:bottom w:val="none" w:sz="0" w:space="0" w:color="auto"/>
        <w:right w:val="none" w:sz="0" w:space="0" w:color="auto"/>
      </w:divBdr>
    </w:div>
    <w:div w:id="786969664">
      <w:bodyDiv w:val="1"/>
      <w:marLeft w:val="0"/>
      <w:marRight w:val="0"/>
      <w:marTop w:val="0"/>
      <w:marBottom w:val="0"/>
      <w:divBdr>
        <w:top w:val="none" w:sz="0" w:space="0" w:color="auto"/>
        <w:left w:val="none" w:sz="0" w:space="0" w:color="auto"/>
        <w:bottom w:val="none" w:sz="0" w:space="0" w:color="auto"/>
        <w:right w:val="none" w:sz="0" w:space="0" w:color="auto"/>
      </w:divBdr>
    </w:div>
    <w:div w:id="794786911">
      <w:bodyDiv w:val="1"/>
      <w:marLeft w:val="0"/>
      <w:marRight w:val="0"/>
      <w:marTop w:val="0"/>
      <w:marBottom w:val="0"/>
      <w:divBdr>
        <w:top w:val="none" w:sz="0" w:space="0" w:color="auto"/>
        <w:left w:val="none" w:sz="0" w:space="0" w:color="auto"/>
        <w:bottom w:val="none" w:sz="0" w:space="0" w:color="auto"/>
        <w:right w:val="none" w:sz="0" w:space="0" w:color="auto"/>
      </w:divBdr>
    </w:div>
    <w:div w:id="798185755">
      <w:bodyDiv w:val="1"/>
      <w:marLeft w:val="0"/>
      <w:marRight w:val="0"/>
      <w:marTop w:val="0"/>
      <w:marBottom w:val="0"/>
      <w:divBdr>
        <w:top w:val="none" w:sz="0" w:space="0" w:color="auto"/>
        <w:left w:val="none" w:sz="0" w:space="0" w:color="auto"/>
        <w:bottom w:val="none" w:sz="0" w:space="0" w:color="auto"/>
        <w:right w:val="none" w:sz="0" w:space="0" w:color="auto"/>
      </w:divBdr>
    </w:div>
    <w:div w:id="799802832">
      <w:bodyDiv w:val="1"/>
      <w:marLeft w:val="0"/>
      <w:marRight w:val="0"/>
      <w:marTop w:val="0"/>
      <w:marBottom w:val="0"/>
      <w:divBdr>
        <w:top w:val="none" w:sz="0" w:space="0" w:color="auto"/>
        <w:left w:val="none" w:sz="0" w:space="0" w:color="auto"/>
        <w:bottom w:val="none" w:sz="0" w:space="0" w:color="auto"/>
        <w:right w:val="none" w:sz="0" w:space="0" w:color="auto"/>
      </w:divBdr>
    </w:div>
    <w:div w:id="801923550">
      <w:bodyDiv w:val="1"/>
      <w:marLeft w:val="0"/>
      <w:marRight w:val="0"/>
      <w:marTop w:val="0"/>
      <w:marBottom w:val="0"/>
      <w:divBdr>
        <w:top w:val="none" w:sz="0" w:space="0" w:color="auto"/>
        <w:left w:val="none" w:sz="0" w:space="0" w:color="auto"/>
        <w:bottom w:val="none" w:sz="0" w:space="0" w:color="auto"/>
        <w:right w:val="none" w:sz="0" w:space="0" w:color="auto"/>
      </w:divBdr>
    </w:div>
    <w:div w:id="802772734">
      <w:bodyDiv w:val="1"/>
      <w:marLeft w:val="0"/>
      <w:marRight w:val="0"/>
      <w:marTop w:val="0"/>
      <w:marBottom w:val="0"/>
      <w:divBdr>
        <w:top w:val="none" w:sz="0" w:space="0" w:color="auto"/>
        <w:left w:val="none" w:sz="0" w:space="0" w:color="auto"/>
        <w:bottom w:val="none" w:sz="0" w:space="0" w:color="auto"/>
        <w:right w:val="none" w:sz="0" w:space="0" w:color="auto"/>
      </w:divBdr>
    </w:div>
    <w:div w:id="807429898">
      <w:bodyDiv w:val="1"/>
      <w:marLeft w:val="0"/>
      <w:marRight w:val="0"/>
      <w:marTop w:val="0"/>
      <w:marBottom w:val="0"/>
      <w:divBdr>
        <w:top w:val="none" w:sz="0" w:space="0" w:color="auto"/>
        <w:left w:val="none" w:sz="0" w:space="0" w:color="auto"/>
        <w:bottom w:val="none" w:sz="0" w:space="0" w:color="auto"/>
        <w:right w:val="none" w:sz="0" w:space="0" w:color="auto"/>
      </w:divBdr>
    </w:div>
    <w:div w:id="817692786">
      <w:bodyDiv w:val="1"/>
      <w:marLeft w:val="0"/>
      <w:marRight w:val="0"/>
      <w:marTop w:val="0"/>
      <w:marBottom w:val="0"/>
      <w:divBdr>
        <w:top w:val="none" w:sz="0" w:space="0" w:color="auto"/>
        <w:left w:val="none" w:sz="0" w:space="0" w:color="auto"/>
        <w:bottom w:val="none" w:sz="0" w:space="0" w:color="auto"/>
        <w:right w:val="none" w:sz="0" w:space="0" w:color="auto"/>
      </w:divBdr>
    </w:div>
    <w:div w:id="830557507">
      <w:bodyDiv w:val="1"/>
      <w:marLeft w:val="0"/>
      <w:marRight w:val="0"/>
      <w:marTop w:val="0"/>
      <w:marBottom w:val="0"/>
      <w:divBdr>
        <w:top w:val="none" w:sz="0" w:space="0" w:color="auto"/>
        <w:left w:val="none" w:sz="0" w:space="0" w:color="auto"/>
        <w:bottom w:val="none" w:sz="0" w:space="0" w:color="auto"/>
        <w:right w:val="none" w:sz="0" w:space="0" w:color="auto"/>
      </w:divBdr>
    </w:div>
    <w:div w:id="834371263">
      <w:bodyDiv w:val="1"/>
      <w:marLeft w:val="0"/>
      <w:marRight w:val="0"/>
      <w:marTop w:val="0"/>
      <w:marBottom w:val="0"/>
      <w:divBdr>
        <w:top w:val="none" w:sz="0" w:space="0" w:color="auto"/>
        <w:left w:val="none" w:sz="0" w:space="0" w:color="auto"/>
        <w:bottom w:val="none" w:sz="0" w:space="0" w:color="auto"/>
        <w:right w:val="none" w:sz="0" w:space="0" w:color="auto"/>
      </w:divBdr>
    </w:div>
    <w:div w:id="836387630">
      <w:bodyDiv w:val="1"/>
      <w:marLeft w:val="0"/>
      <w:marRight w:val="0"/>
      <w:marTop w:val="0"/>
      <w:marBottom w:val="0"/>
      <w:divBdr>
        <w:top w:val="none" w:sz="0" w:space="0" w:color="auto"/>
        <w:left w:val="none" w:sz="0" w:space="0" w:color="auto"/>
        <w:bottom w:val="none" w:sz="0" w:space="0" w:color="auto"/>
        <w:right w:val="none" w:sz="0" w:space="0" w:color="auto"/>
      </w:divBdr>
    </w:div>
    <w:div w:id="950168298">
      <w:bodyDiv w:val="1"/>
      <w:marLeft w:val="0"/>
      <w:marRight w:val="0"/>
      <w:marTop w:val="0"/>
      <w:marBottom w:val="0"/>
      <w:divBdr>
        <w:top w:val="none" w:sz="0" w:space="0" w:color="auto"/>
        <w:left w:val="none" w:sz="0" w:space="0" w:color="auto"/>
        <w:bottom w:val="none" w:sz="0" w:space="0" w:color="auto"/>
        <w:right w:val="none" w:sz="0" w:space="0" w:color="auto"/>
      </w:divBdr>
    </w:div>
    <w:div w:id="954410722">
      <w:bodyDiv w:val="1"/>
      <w:marLeft w:val="0"/>
      <w:marRight w:val="0"/>
      <w:marTop w:val="0"/>
      <w:marBottom w:val="0"/>
      <w:divBdr>
        <w:top w:val="none" w:sz="0" w:space="0" w:color="auto"/>
        <w:left w:val="none" w:sz="0" w:space="0" w:color="auto"/>
        <w:bottom w:val="none" w:sz="0" w:space="0" w:color="auto"/>
        <w:right w:val="none" w:sz="0" w:space="0" w:color="auto"/>
      </w:divBdr>
    </w:div>
    <w:div w:id="975720466">
      <w:bodyDiv w:val="1"/>
      <w:marLeft w:val="0"/>
      <w:marRight w:val="0"/>
      <w:marTop w:val="0"/>
      <w:marBottom w:val="0"/>
      <w:divBdr>
        <w:top w:val="none" w:sz="0" w:space="0" w:color="auto"/>
        <w:left w:val="none" w:sz="0" w:space="0" w:color="auto"/>
        <w:bottom w:val="none" w:sz="0" w:space="0" w:color="auto"/>
        <w:right w:val="none" w:sz="0" w:space="0" w:color="auto"/>
      </w:divBdr>
    </w:div>
    <w:div w:id="996345936">
      <w:bodyDiv w:val="1"/>
      <w:marLeft w:val="0"/>
      <w:marRight w:val="0"/>
      <w:marTop w:val="0"/>
      <w:marBottom w:val="0"/>
      <w:divBdr>
        <w:top w:val="none" w:sz="0" w:space="0" w:color="auto"/>
        <w:left w:val="none" w:sz="0" w:space="0" w:color="auto"/>
        <w:bottom w:val="none" w:sz="0" w:space="0" w:color="auto"/>
        <w:right w:val="none" w:sz="0" w:space="0" w:color="auto"/>
      </w:divBdr>
    </w:div>
    <w:div w:id="997072002">
      <w:bodyDiv w:val="1"/>
      <w:marLeft w:val="0"/>
      <w:marRight w:val="0"/>
      <w:marTop w:val="0"/>
      <w:marBottom w:val="0"/>
      <w:divBdr>
        <w:top w:val="none" w:sz="0" w:space="0" w:color="auto"/>
        <w:left w:val="none" w:sz="0" w:space="0" w:color="auto"/>
        <w:bottom w:val="none" w:sz="0" w:space="0" w:color="auto"/>
        <w:right w:val="none" w:sz="0" w:space="0" w:color="auto"/>
      </w:divBdr>
    </w:div>
    <w:div w:id="997268113">
      <w:bodyDiv w:val="1"/>
      <w:marLeft w:val="0"/>
      <w:marRight w:val="0"/>
      <w:marTop w:val="0"/>
      <w:marBottom w:val="0"/>
      <w:divBdr>
        <w:top w:val="none" w:sz="0" w:space="0" w:color="auto"/>
        <w:left w:val="none" w:sz="0" w:space="0" w:color="auto"/>
        <w:bottom w:val="none" w:sz="0" w:space="0" w:color="auto"/>
        <w:right w:val="none" w:sz="0" w:space="0" w:color="auto"/>
      </w:divBdr>
    </w:div>
    <w:div w:id="999163032">
      <w:bodyDiv w:val="1"/>
      <w:marLeft w:val="0"/>
      <w:marRight w:val="0"/>
      <w:marTop w:val="0"/>
      <w:marBottom w:val="0"/>
      <w:divBdr>
        <w:top w:val="none" w:sz="0" w:space="0" w:color="auto"/>
        <w:left w:val="none" w:sz="0" w:space="0" w:color="auto"/>
        <w:bottom w:val="none" w:sz="0" w:space="0" w:color="auto"/>
        <w:right w:val="none" w:sz="0" w:space="0" w:color="auto"/>
      </w:divBdr>
    </w:div>
    <w:div w:id="1007027258">
      <w:bodyDiv w:val="1"/>
      <w:marLeft w:val="0"/>
      <w:marRight w:val="0"/>
      <w:marTop w:val="0"/>
      <w:marBottom w:val="0"/>
      <w:divBdr>
        <w:top w:val="none" w:sz="0" w:space="0" w:color="auto"/>
        <w:left w:val="none" w:sz="0" w:space="0" w:color="auto"/>
        <w:bottom w:val="none" w:sz="0" w:space="0" w:color="auto"/>
        <w:right w:val="none" w:sz="0" w:space="0" w:color="auto"/>
      </w:divBdr>
      <w:divsChild>
        <w:div w:id="1741829098">
          <w:marLeft w:val="0"/>
          <w:marRight w:val="0"/>
          <w:marTop w:val="0"/>
          <w:marBottom w:val="0"/>
          <w:divBdr>
            <w:top w:val="none" w:sz="0" w:space="0" w:color="auto"/>
            <w:left w:val="none" w:sz="0" w:space="0" w:color="auto"/>
            <w:bottom w:val="none" w:sz="0" w:space="0" w:color="auto"/>
            <w:right w:val="none" w:sz="0" w:space="0" w:color="auto"/>
          </w:divBdr>
          <w:divsChild>
            <w:div w:id="186329951">
              <w:marLeft w:val="0"/>
              <w:marRight w:val="0"/>
              <w:marTop w:val="0"/>
              <w:marBottom w:val="0"/>
              <w:divBdr>
                <w:top w:val="none" w:sz="0" w:space="0" w:color="auto"/>
                <w:left w:val="none" w:sz="0" w:space="0" w:color="auto"/>
                <w:bottom w:val="none" w:sz="0" w:space="0" w:color="auto"/>
                <w:right w:val="none" w:sz="0" w:space="0" w:color="auto"/>
              </w:divBdr>
              <w:divsChild>
                <w:div w:id="8430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86195">
      <w:bodyDiv w:val="1"/>
      <w:marLeft w:val="0"/>
      <w:marRight w:val="0"/>
      <w:marTop w:val="0"/>
      <w:marBottom w:val="0"/>
      <w:divBdr>
        <w:top w:val="none" w:sz="0" w:space="0" w:color="auto"/>
        <w:left w:val="none" w:sz="0" w:space="0" w:color="auto"/>
        <w:bottom w:val="none" w:sz="0" w:space="0" w:color="auto"/>
        <w:right w:val="none" w:sz="0" w:space="0" w:color="auto"/>
      </w:divBdr>
    </w:div>
    <w:div w:id="1020858452">
      <w:bodyDiv w:val="1"/>
      <w:marLeft w:val="0"/>
      <w:marRight w:val="0"/>
      <w:marTop w:val="0"/>
      <w:marBottom w:val="0"/>
      <w:divBdr>
        <w:top w:val="none" w:sz="0" w:space="0" w:color="auto"/>
        <w:left w:val="none" w:sz="0" w:space="0" w:color="auto"/>
        <w:bottom w:val="none" w:sz="0" w:space="0" w:color="auto"/>
        <w:right w:val="none" w:sz="0" w:space="0" w:color="auto"/>
      </w:divBdr>
    </w:div>
    <w:div w:id="1045370524">
      <w:bodyDiv w:val="1"/>
      <w:marLeft w:val="0"/>
      <w:marRight w:val="0"/>
      <w:marTop w:val="0"/>
      <w:marBottom w:val="0"/>
      <w:divBdr>
        <w:top w:val="none" w:sz="0" w:space="0" w:color="auto"/>
        <w:left w:val="none" w:sz="0" w:space="0" w:color="auto"/>
        <w:bottom w:val="none" w:sz="0" w:space="0" w:color="auto"/>
        <w:right w:val="none" w:sz="0" w:space="0" w:color="auto"/>
      </w:divBdr>
    </w:div>
    <w:div w:id="1063022180">
      <w:bodyDiv w:val="1"/>
      <w:marLeft w:val="0"/>
      <w:marRight w:val="0"/>
      <w:marTop w:val="0"/>
      <w:marBottom w:val="0"/>
      <w:divBdr>
        <w:top w:val="none" w:sz="0" w:space="0" w:color="auto"/>
        <w:left w:val="none" w:sz="0" w:space="0" w:color="auto"/>
        <w:bottom w:val="none" w:sz="0" w:space="0" w:color="auto"/>
        <w:right w:val="none" w:sz="0" w:space="0" w:color="auto"/>
      </w:divBdr>
    </w:div>
    <w:div w:id="1086539650">
      <w:bodyDiv w:val="1"/>
      <w:marLeft w:val="0"/>
      <w:marRight w:val="0"/>
      <w:marTop w:val="0"/>
      <w:marBottom w:val="0"/>
      <w:divBdr>
        <w:top w:val="none" w:sz="0" w:space="0" w:color="auto"/>
        <w:left w:val="none" w:sz="0" w:space="0" w:color="auto"/>
        <w:bottom w:val="none" w:sz="0" w:space="0" w:color="auto"/>
        <w:right w:val="none" w:sz="0" w:space="0" w:color="auto"/>
      </w:divBdr>
    </w:div>
    <w:div w:id="1138375342">
      <w:bodyDiv w:val="1"/>
      <w:marLeft w:val="0"/>
      <w:marRight w:val="0"/>
      <w:marTop w:val="0"/>
      <w:marBottom w:val="0"/>
      <w:divBdr>
        <w:top w:val="none" w:sz="0" w:space="0" w:color="auto"/>
        <w:left w:val="none" w:sz="0" w:space="0" w:color="auto"/>
        <w:bottom w:val="none" w:sz="0" w:space="0" w:color="auto"/>
        <w:right w:val="none" w:sz="0" w:space="0" w:color="auto"/>
      </w:divBdr>
    </w:div>
    <w:div w:id="1167481179">
      <w:bodyDiv w:val="1"/>
      <w:marLeft w:val="0"/>
      <w:marRight w:val="0"/>
      <w:marTop w:val="0"/>
      <w:marBottom w:val="0"/>
      <w:divBdr>
        <w:top w:val="none" w:sz="0" w:space="0" w:color="auto"/>
        <w:left w:val="none" w:sz="0" w:space="0" w:color="auto"/>
        <w:bottom w:val="none" w:sz="0" w:space="0" w:color="auto"/>
        <w:right w:val="none" w:sz="0" w:space="0" w:color="auto"/>
      </w:divBdr>
    </w:div>
    <w:div w:id="1172259123">
      <w:bodyDiv w:val="1"/>
      <w:marLeft w:val="0"/>
      <w:marRight w:val="0"/>
      <w:marTop w:val="0"/>
      <w:marBottom w:val="0"/>
      <w:divBdr>
        <w:top w:val="none" w:sz="0" w:space="0" w:color="auto"/>
        <w:left w:val="none" w:sz="0" w:space="0" w:color="auto"/>
        <w:bottom w:val="none" w:sz="0" w:space="0" w:color="auto"/>
        <w:right w:val="none" w:sz="0" w:space="0" w:color="auto"/>
      </w:divBdr>
    </w:div>
    <w:div w:id="1177307430">
      <w:bodyDiv w:val="1"/>
      <w:marLeft w:val="0"/>
      <w:marRight w:val="0"/>
      <w:marTop w:val="0"/>
      <w:marBottom w:val="0"/>
      <w:divBdr>
        <w:top w:val="none" w:sz="0" w:space="0" w:color="auto"/>
        <w:left w:val="none" w:sz="0" w:space="0" w:color="auto"/>
        <w:bottom w:val="none" w:sz="0" w:space="0" w:color="auto"/>
        <w:right w:val="none" w:sz="0" w:space="0" w:color="auto"/>
      </w:divBdr>
    </w:div>
    <w:div w:id="1190297157">
      <w:bodyDiv w:val="1"/>
      <w:marLeft w:val="0"/>
      <w:marRight w:val="0"/>
      <w:marTop w:val="0"/>
      <w:marBottom w:val="0"/>
      <w:divBdr>
        <w:top w:val="none" w:sz="0" w:space="0" w:color="auto"/>
        <w:left w:val="none" w:sz="0" w:space="0" w:color="auto"/>
        <w:bottom w:val="none" w:sz="0" w:space="0" w:color="auto"/>
        <w:right w:val="none" w:sz="0" w:space="0" w:color="auto"/>
      </w:divBdr>
    </w:div>
    <w:div w:id="1224102386">
      <w:bodyDiv w:val="1"/>
      <w:marLeft w:val="0"/>
      <w:marRight w:val="0"/>
      <w:marTop w:val="0"/>
      <w:marBottom w:val="0"/>
      <w:divBdr>
        <w:top w:val="none" w:sz="0" w:space="0" w:color="auto"/>
        <w:left w:val="none" w:sz="0" w:space="0" w:color="auto"/>
        <w:bottom w:val="none" w:sz="0" w:space="0" w:color="auto"/>
        <w:right w:val="none" w:sz="0" w:space="0" w:color="auto"/>
      </w:divBdr>
    </w:div>
    <w:div w:id="1230076522">
      <w:bodyDiv w:val="1"/>
      <w:marLeft w:val="0"/>
      <w:marRight w:val="0"/>
      <w:marTop w:val="0"/>
      <w:marBottom w:val="0"/>
      <w:divBdr>
        <w:top w:val="none" w:sz="0" w:space="0" w:color="auto"/>
        <w:left w:val="none" w:sz="0" w:space="0" w:color="auto"/>
        <w:bottom w:val="none" w:sz="0" w:space="0" w:color="auto"/>
        <w:right w:val="none" w:sz="0" w:space="0" w:color="auto"/>
      </w:divBdr>
    </w:div>
    <w:div w:id="1282296853">
      <w:bodyDiv w:val="1"/>
      <w:marLeft w:val="0"/>
      <w:marRight w:val="0"/>
      <w:marTop w:val="0"/>
      <w:marBottom w:val="0"/>
      <w:divBdr>
        <w:top w:val="none" w:sz="0" w:space="0" w:color="auto"/>
        <w:left w:val="none" w:sz="0" w:space="0" w:color="auto"/>
        <w:bottom w:val="none" w:sz="0" w:space="0" w:color="auto"/>
        <w:right w:val="none" w:sz="0" w:space="0" w:color="auto"/>
      </w:divBdr>
    </w:div>
    <w:div w:id="1287931867">
      <w:bodyDiv w:val="1"/>
      <w:marLeft w:val="0"/>
      <w:marRight w:val="0"/>
      <w:marTop w:val="0"/>
      <w:marBottom w:val="0"/>
      <w:divBdr>
        <w:top w:val="none" w:sz="0" w:space="0" w:color="auto"/>
        <w:left w:val="none" w:sz="0" w:space="0" w:color="auto"/>
        <w:bottom w:val="none" w:sz="0" w:space="0" w:color="auto"/>
        <w:right w:val="none" w:sz="0" w:space="0" w:color="auto"/>
      </w:divBdr>
    </w:div>
    <w:div w:id="1297372922">
      <w:bodyDiv w:val="1"/>
      <w:marLeft w:val="0"/>
      <w:marRight w:val="0"/>
      <w:marTop w:val="0"/>
      <w:marBottom w:val="0"/>
      <w:divBdr>
        <w:top w:val="none" w:sz="0" w:space="0" w:color="auto"/>
        <w:left w:val="none" w:sz="0" w:space="0" w:color="auto"/>
        <w:bottom w:val="none" w:sz="0" w:space="0" w:color="auto"/>
        <w:right w:val="none" w:sz="0" w:space="0" w:color="auto"/>
      </w:divBdr>
    </w:div>
    <w:div w:id="1302535835">
      <w:bodyDiv w:val="1"/>
      <w:marLeft w:val="0"/>
      <w:marRight w:val="0"/>
      <w:marTop w:val="0"/>
      <w:marBottom w:val="0"/>
      <w:divBdr>
        <w:top w:val="none" w:sz="0" w:space="0" w:color="auto"/>
        <w:left w:val="none" w:sz="0" w:space="0" w:color="auto"/>
        <w:bottom w:val="none" w:sz="0" w:space="0" w:color="auto"/>
        <w:right w:val="none" w:sz="0" w:space="0" w:color="auto"/>
      </w:divBdr>
    </w:div>
    <w:div w:id="1321351766">
      <w:bodyDiv w:val="1"/>
      <w:marLeft w:val="0"/>
      <w:marRight w:val="0"/>
      <w:marTop w:val="0"/>
      <w:marBottom w:val="0"/>
      <w:divBdr>
        <w:top w:val="none" w:sz="0" w:space="0" w:color="auto"/>
        <w:left w:val="none" w:sz="0" w:space="0" w:color="auto"/>
        <w:bottom w:val="none" w:sz="0" w:space="0" w:color="auto"/>
        <w:right w:val="none" w:sz="0" w:space="0" w:color="auto"/>
      </w:divBdr>
    </w:div>
    <w:div w:id="1335305377">
      <w:bodyDiv w:val="1"/>
      <w:marLeft w:val="0"/>
      <w:marRight w:val="0"/>
      <w:marTop w:val="0"/>
      <w:marBottom w:val="0"/>
      <w:divBdr>
        <w:top w:val="none" w:sz="0" w:space="0" w:color="auto"/>
        <w:left w:val="none" w:sz="0" w:space="0" w:color="auto"/>
        <w:bottom w:val="none" w:sz="0" w:space="0" w:color="auto"/>
        <w:right w:val="none" w:sz="0" w:space="0" w:color="auto"/>
      </w:divBdr>
    </w:div>
    <w:div w:id="1359504912">
      <w:bodyDiv w:val="1"/>
      <w:marLeft w:val="0"/>
      <w:marRight w:val="0"/>
      <w:marTop w:val="0"/>
      <w:marBottom w:val="0"/>
      <w:divBdr>
        <w:top w:val="none" w:sz="0" w:space="0" w:color="auto"/>
        <w:left w:val="none" w:sz="0" w:space="0" w:color="auto"/>
        <w:bottom w:val="none" w:sz="0" w:space="0" w:color="auto"/>
        <w:right w:val="none" w:sz="0" w:space="0" w:color="auto"/>
      </w:divBdr>
    </w:div>
    <w:div w:id="1377699761">
      <w:bodyDiv w:val="1"/>
      <w:marLeft w:val="0"/>
      <w:marRight w:val="0"/>
      <w:marTop w:val="0"/>
      <w:marBottom w:val="0"/>
      <w:divBdr>
        <w:top w:val="none" w:sz="0" w:space="0" w:color="auto"/>
        <w:left w:val="none" w:sz="0" w:space="0" w:color="auto"/>
        <w:bottom w:val="none" w:sz="0" w:space="0" w:color="auto"/>
        <w:right w:val="none" w:sz="0" w:space="0" w:color="auto"/>
      </w:divBdr>
    </w:div>
    <w:div w:id="1378361436">
      <w:bodyDiv w:val="1"/>
      <w:marLeft w:val="0"/>
      <w:marRight w:val="0"/>
      <w:marTop w:val="0"/>
      <w:marBottom w:val="0"/>
      <w:divBdr>
        <w:top w:val="none" w:sz="0" w:space="0" w:color="auto"/>
        <w:left w:val="none" w:sz="0" w:space="0" w:color="auto"/>
        <w:bottom w:val="none" w:sz="0" w:space="0" w:color="auto"/>
        <w:right w:val="none" w:sz="0" w:space="0" w:color="auto"/>
      </w:divBdr>
    </w:div>
    <w:div w:id="1398094052">
      <w:bodyDiv w:val="1"/>
      <w:marLeft w:val="0"/>
      <w:marRight w:val="0"/>
      <w:marTop w:val="0"/>
      <w:marBottom w:val="0"/>
      <w:divBdr>
        <w:top w:val="none" w:sz="0" w:space="0" w:color="auto"/>
        <w:left w:val="none" w:sz="0" w:space="0" w:color="auto"/>
        <w:bottom w:val="none" w:sz="0" w:space="0" w:color="auto"/>
        <w:right w:val="none" w:sz="0" w:space="0" w:color="auto"/>
      </w:divBdr>
    </w:div>
    <w:div w:id="1404525324">
      <w:bodyDiv w:val="1"/>
      <w:marLeft w:val="0"/>
      <w:marRight w:val="0"/>
      <w:marTop w:val="0"/>
      <w:marBottom w:val="0"/>
      <w:divBdr>
        <w:top w:val="none" w:sz="0" w:space="0" w:color="auto"/>
        <w:left w:val="none" w:sz="0" w:space="0" w:color="auto"/>
        <w:bottom w:val="none" w:sz="0" w:space="0" w:color="auto"/>
        <w:right w:val="none" w:sz="0" w:space="0" w:color="auto"/>
      </w:divBdr>
    </w:div>
    <w:div w:id="1420710696">
      <w:bodyDiv w:val="1"/>
      <w:marLeft w:val="0"/>
      <w:marRight w:val="0"/>
      <w:marTop w:val="0"/>
      <w:marBottom w:val="0"/>
      <w:divBdr>
        <w:top w:val="none" w:sz="0" w:space="0" w:color="auto"/>
        <w:left w:val="none" w:sz="0" w:space="0" w:color="auto"/>
        <w:bottom w:val="none" w:sz="0" w:space="0" w:color="auto"/>
        <w:right w:val="none" w:sz="0" w:space="0" w:color="auto"/>
      </w:divBdr>
    </w:div>
    <w:div w:id="1424378482">
      <w:bodyDiv w:val="1"/>
      <w:marLeft w:val="0"/>
      <w:marRight w:val="0"/>
      <w:marTop w:val="0"/>
      <w:marBottom w:val="0"/>
      <w:divBdr>
        <w:top w:val="none" w:sz="0" w:space="0" w:color="auto"/>
        <w:left w:val="none" w:sz="0" w:space="0" w:color="auto"/>
        <w:bottom w:val="none" w:sz="0" w:space="0" w:color="auto"/>
        <w:right w:val="none" w:sz="0" w:space="0" w:color="auto"/>
      </w:divBdr>
    </w:div>
    <w:div w:id="1425303625">
      <w:bodyDiv w:val="1"/>
      <w:marLeft w:val="0"/>
      <w:marRight w:val="0"/>
      <w:marTop w:val="0"/>
      <w:marBottom w:val="0"/>
      <w:divBdr>
        <w:top w:val="none" w:sz="0" w:space="0" w:color="auto"/>
        <w:left w:val="none" w:sz="0" w:space="0" w:color="auto"/>
        <w:bottom w:val="none" w:sz="0" w:space="0" w:color="auto"/>
        <w:right w:val="none" w:sz="0" w:space="0" w:color="auto"/>
      </w:divBdr>
    </w:div>
    <w:div w:id="1437560603">
      <w:bodyDiv w:val="1"/>
      <w:marLeft w:val="0"/>
      <w:marRight w:val="0"/>
      <w:marTop w:val="0"/>
      <w:marBottom w:val="0"/>
      <w:divBdr>
        <w:top w:val="none" w:sz="0" w:space="0" w:color="auto"/>
        <w:left w:val="none" w:sz="0" w:space="0" w:color="auto"/>
        <w:bottom w:val="none" w:sz="0" w:space="0" w:color="auto"/>
        <w:right w:val="none" w:sz="0" w:space="0" w:color="auto"/>
      </w:divBdr>
    </w:div>
    <w:div w:id="1447846760">
      <w:bodyDiv w:val="1"/>
      <w:marLeft w:val="0"/>
      <w:marRight w:val="0"/>
      <w:marTop w:val="0"/>
      <w:marBottom w:val="0"/>
      <w:divBdr>
        <w:top w:val="none" w:sz="0" w:space="0" w:color="auto"/>
        <w:left w:val="none" w:sz="0" w:space="0" w:color="auto"/>
        <w:bottom w:val="none" w:sz="0" w:space="0" w:color="auto"/>
        <w:right w:val="none" w:sz="0" w:space="0" w:color="auto"/>
      </w:divBdr>
    </w:div>
    <w:div w:id="1520965672">
      <w:bodyDiv w:val="1"/>
      <w:marLeft w:val="0"/>
      <w:marRight w:val="0"/>
      <w:marTop w:val="0"/>
      <w:marBottom w:val="0"/>
      <w:divBdr>
        <w:top w:val="none" w:sz="0" w:space="0" w:color="auto"/>
        <w:left w:val="none" w:sz="0" w:space="0" w:color="auto"/>
        <w:bottom w:val="none" w:sz="0" w:space="0" w:color="auto"/>
        <w:right w:val="none" w:sz="0" w:space="0" w:color="auto"/>
      </w:divBdr>
    </w:div>
    <w:div w:id="1580215748">
      <w:bodyDiv w:val="1"/>
      <w:marLeft w:val="0"/>
      <w:marRight w:val="0"/>
      <w:marTop w:val="0"/>
      <w:marBottom w:val="0"/>
      <w:divBdr>
        <w:top w:val="none" w:sz="0" w:space="0" w:color="auto"/>
        <w:left w:val="none" w:sz="0" w:space="0" w:color="auto"/>
        <w:bottom w:val="none" w:sz="0" w:space="0" w:color="auto"/>
        <w:right w:val="none" w:sz="0" w:space="0" w:color="auto"/>
      </w:divBdr>
    </w:div>
    <w:div w:id="1602375885">
      <w:bodyDiv w:val="1"/>
      <w:marLeft w:val="0"/>
      <w:marRight w:val="0"/>
      <w:marTop w:val="0"/>
      <w:marBottom w:val="0"/>
      <w:divBdr>
        <w:top w:val="none" w:sz="0" w:space="0" w:color="auto"/>
        <w:left w:val="none" w:sz="0" w:space="0" w:color="auto"/>
        <w:bottom w:val="none" w:sz="0" w:space="0" w:color="auto"/>
        <w:right w:val="none" w:sz="0" w:space="0" w:color="auto"/>
      </w:divBdr>
    </w:div>
    <w:div w:id="1661929240">
      <w:bodyDiv w:val="1"/>
      <w:marLeft w:val="0"/>
      <w:marRight w:val="0"/>
      <w:marTop w:val="0"/>
      <w:marBottom w:val="0"/>
      <w:divBdr>
        <w:top w:val="none" w:sz="0" w:space="0" w:color="auto"/>
        <w:left w:val="none" w:sz="0" w:space="0" w:color="auto"/>
        <w:bottom w:val="none" w:sz="0" w:space="0" w:color="auto"/>
        <w:right w:val="none" w:sz="0" w:space="0" w:color="auto"/>
      </w:divBdr>
    </w:div>
    <w:div w:id="1693145317">
      <w:bodyDiv w:val="1"/>
      <w:marLeft w:val="0"/>
      <w:marRight w:val="0"/>
      <w:marTop w:val="0"/>
      <w:marBottom w:val="0"/>
      <w:divBdr>
        <w:top w:val="none" w:sz="0" w:space="0" w:color="auto"/>
        <w:left w:val="none" w:sz="0" w:space="0" w:color="auto"/>
        <w:bottom w:val="none" w:sz="0" w:space="0" w:color="auto"/>
        <w:right w:val="none" w:sz="0" w:space="0" w:color="auto"/>
      </w:divBdr>
    </w:div>
    <w:div w:id="1711303690">
      <w:bodyDiv w:val="1"/>
      <w:marLeft w:val="0"/>
      <w:marRight w:val="0"/>
      <w:marTop w:val="0"/>
      <w:marBottom w:val="0"/>
      <w:divBdr>
        <w:top w:val="none" w:sz="0" w:space="0" w:color="auto"/>
        <w:left w:val="none" w:sz="0" w:space="0" w:color="auto"/>
        <w:bottom w:val="none" w:sz="0" w:space="0" w:color="auto"/>
        <w:right w:val="none" w:sz="0" w:space="0" w:color="auto"/>
      </w:divBdr>
    </w:div>
    <w:div w:id="1753693863">
      <w:bodyDiv w:val="1"/>
      <w:marLeft w:val="0"/>
      <w:marRight w:val="0"/>
      <w:marTop w:val="0"/>
      <w:marBottom w:val="0"/>
      <w:divBdr>
        <w:top w:val="none" w:sz="0" w:space="0" w:color="auto"/>
        <w:left w:val="none" w:sz="0" w:space="0" w:color="auto"/>
        <w:bottom w:val="none" w:sz="0" w:space="0" w:color="auto"/>
        <w:right w:val="none" w:sz="0" w:space="0" w:color="auto"/>
      </w:divBdr>
    </w:div>
    <w:div w:id="1821340779">
      <w:bodyDiv w:val="1"/>
      <w:marLeft w:val="0"/>
      <w:marRight w:val="0"/>
      <w:marTop w:val="0"/>
      <w:marBottom w:val="0"/>
      <w:divBdr>
        <w:top w:val="none" w:sz="0" w:space="0" w:color="auto"/>
        <w:left w:val="none" w:sz="0" w:space="0" w:color="auto"/>
        <w:bottom w:val="none" w:sz="0" w:space="0" w:color="auto"/>
        <w:right w:val="none" w:sz="0" w:space="0" w:color="auto"/>
      </w:divBdr>
    </w:div>
    <w:div w:id="1833063589">
      <w:bodyDiv w:val="1"/>
      <w:marLeft w:val="0"/>
      <w:marRight w:val="0"/>
      <w:marTop w:val="0"/>
      <w:marBottom w:val="0"/>
      <w:divBdr>
        <w:top w:val="none" w:sz="0" w:space="0" w:color="auto"/>
        <w:left w:val="none" w:sz="0" w:space="0" w:color="auto"/>
        <w:bottom w:val="none" w:sz="0" w:space="0" w:color="auto"/>
        <w:right w:val="none" w:sz="0" w:space="0" w:color="auto"/>
      </w:divBdr>
    </w:div>
    <w:div w:id="1863590220">
      <w:bodyDiv w:val="1"/>
      <w:marLeft w:val="0"/>
      <w:marRight w:val="0"/>
      <w:marTop w:val="0"/>
      <w:marBottom w:val="0"/>
      <w:divBdr>
        <w:top w:val="none" w:sz="0" w:space="0" w:color="auto"/>
        <w:left w:val="none" w:sz="0" w:space="0" w:color="auto"/>
        <w:bottom w:val="none" w:sz="0" w:space="0" w:color="auto"/>
        <w:right w:val="none" w:sz="0" w:space="0" w:color="auto"/>
      </w:divBdr>
    </w:div>
    <w:div w:id="1893541719">
      <w:bodyDiv w:val="1"/>
      <w:marLeft w:val="0"/>
      <w:marRight w:val="0"/>
      <w:marTop w:val="0"/>
      <w:marBottom w:val="0"/>
      <w:divBdr>
        <w:top w:val="none" w:sz="0" w:space="0" w:color="auto"/>
        <w:left w:val="none" w:sz="0" w:space="0" w:color="auto"/>
        <w:bottom w:val="none" w:sz="0" w:space="0" w:color="auto"/>
        <w:right w:val="none" w:sz="0" w:space="0" w:color="auto"/>
      </w:divBdr>
    </w:div>
    <w:div w:id="1916082764">
      <w:bodyDiv w:val="1"/>
      <w:marLeft w:val="0"/>
      <w:marRight w:val="0"/>
      <w:marTop w:val="0"/>
      <w:marBottom w:val="0"/>
      <w:divBdr>
        <w:top w:val="none" w:sz="0" w:space="0" w:color="auto"/>
        <w:left w:val="none" w:sz="0" w:space="0" w:color="auto"/>
        <w:bottom w:val="none" w:sz="0" w:space="0" w:color="auto"/>
        <w:right w:val="none" w:sz="0" w:space="0" w:color="auto"/>
      </w:divBdr>
    </w:div>
    <w:div w:id="1939631803">
      <w:bodyDiv w:val="1"/>
      <w:marLeft w:val="0"/>
      <w:marRight w:val="0"/>
      <w:marTop w:val="0"/>
      <w:marBottom w:val="0"/>
      <w:divBdr>
        <w:top w:val="none" w:sz="0" w:space="0" w:color="auto"/>
        <w:left w:val="none" w:sz="0" w:space="0" w:color="auto"/>
        <w:bottom w:val="none" w:sz="0" w:space="0" w:color="auto"/>
        <w:right w:val="none" w:sz="0" w:space="0" w:color="auto"/>
      </w:divBdr>
    </w:div>
    <w:div w:id="1961758755">
      <w:bodyDiv w:val="1"/>
      <w:marLeft w:val="0"/>
      <w:marRight w:val="0"/>
      <w:marTop w:val="0"/>
      <w:marBottom w:val="0"/>
      <w:divBdr>
        <w:top w:val="none" w:sz="0" w:space="0" w:color="auto"/>
        <w:left w:val="none" w:sz="0" w:space="0" w:color="auto"/>
        <w:bottom w:val="none" w:sz="0" w:space="0" w:color="auto"/>
        <w:right w:val="none" w:sz="0" w:space="0" w:color="auto"/>
      </w:divBdr>
    </w:div>
    <w:div w:id="1974870780">
      <w:bodyDiv w:val="1"/>
      <w:marLeft w:val="0"/>
      <w:marRight w:val="0"/>
      <w:marTop w:val="0"/>
      <w:marBottom w:val="0"/>
      <w:divBdr>
        <w:top w:val="none" w:sz="0" w:space="0" w:color="auto"/>
        <w:left w:val="none" w:sz="0" w:space="0" w:color="auto"/>
        <w:bottom w:val="none" w:sz="0" w:space="0" w:color="auto"/>
        <w:right w:val="none" w:sz="0" w:space="0" w:color="auto"/>
      </w:divBdr>
    </w:div>
    <w:div w:id="1990475432">
      <w:bodyDiv w:val="1"/>
      <w:marLeft w:val="0"/>
      <w:marRight w:val="0"/>
      <w:marTop w:val="0"/>
      <w:marBottom w:val="0"/>
      <w:divBdr>
        <w:top w:val="none" w:sz="0" w:space="0" w:color="auto"/>
        <w:left w:val="none" w:sz="0" w:space="0" w:color="auto"/>
        <w:bottom w:val="none" w:sz="0" w:space="0" w:color="auto"/>
        <w:right w:val="none" w:sz="0" w:space="0" w:color="auto"/>
      </w:divBdr>
    </w:div>
    <w:div w:id="2001149468">
      <w:bodyDiv w:val="1"/>
      <w:marLeft w:val="0"/>
      <w:marRight w:val="0"/>
      <w:marTop w:val="0"/>
      <w:marBottom w:val="0"/>
      <w:divBdr>
        <w:top w:val="none" w:sz="0" w:space="0" w:color="auto"/>
        <w:left w:val="none" w:sz="0" w:space="0" w:color="auto"/>
        <w:bottom w:val="none" w:sz="0" w:space="0" w:color="auto"/>
        <w:right w:val="none" w:sz="0" w:space="0" w:color="auto"/>
      </w:divBdr>
    </w:div>
    <w:div w:id="2010794470">
      <w:bodyDiv w:val="1"/>
      <w:marLeft w:val="0"/>
      <w:marRight w:val="0"/>
      <w:marTop w:val="0"/>
      <w:marBottom w:val="0"/>
      <w:divBdr>
        <w:top w:val="none" w:sz="0" w:space="0" w:color="auto"/>
        <w:left w:val="none" w:sz="0" w:space="0" w:color="auto"/>
        <w:bottom w:val="none" w:sz="0" w:space="0" w:color="auto"/>
        <w:right w:val="none" w:sz="0" w:space="0" w:color="auto"/>
      </w:divBdr>
    </w:div>
    <w:div w:id="2011366251">
      <w:bodyDiv w:val="1"/>
      <w:marLeft w:val="0"/>
      <w:marRight w:val="0"/>
      <w:marTop w:val="0"/>
      <w:marBottom w:val="0"/>
      <w:divBdr>
        <w:top w:val="none" w:sz="0" w:space="0" w:color="auto"/>
        <w:left w:val="none" w:sz="0" w:space="0" w:color="auto"/>
        <w:bottom w:val="none" w:sz="0" w:space="0" w:color="auto"/>
        <w:right w:val="none" w:sz="0" w:space="0" w:color="auto"/>
      </w:divBdr>
    </w:div>
    <w:div w:id="2015179373">
      <w:bodyDiv w:val="1"/>
      <w:marLeft w:val="0"/>
      <w:marRight w:val="0"/>
      <w:marTop w:val="0"/>
      <w:marBottom w:val="0"/>
      <w:divBdr>
        <w:top w:val="none" w:sz="0" w:space="0" w:color="auto"/>
        <w:left w:val="none" w:sz="0" w:space="0" w:color="auto"/>
        <w:bottom w:val="none" w:sz="0" w:space="0" w:color="auto"/>
        <w:right w:val="none" w:sz="0" w:space="0" w:color="auto"/>
      </w:divBdr>
    </w:div>
    <w:div w:id="2037461660">
      <w:bodyDiv w:val="1"/>
      <w:marLeft w:val="0"/>
      <w:marRight w:val="0"/>
      <w:marTop w:val="0"/>
      <w:marBottom w:val="0"/>
      <w:divBdr>
        <w:top w:val="none" w:sz="0" w:space="0" w:color="auto"/>
        <w:left w:val="none" w:sz="0" w:space="0" w:color="auto"/>
        <w:bottom w:val="none" w:sz="0" w:space="0" w:color="auto"/>
        <w:right w:val="none" w:sz="0" w:space="0" w:color="auto"/>
      </w:divBdr>
    </w:div>
    <w:div w:id="2052680108">
      <w:bodyDiv w:val="1"/>
      <w:marLeft w:val="0"/>
      <w:marRight w:val="0"/>
      <w:marTop w:val="0"/>
      <w:marBottom w:val="0"/>
      <w:divBdr>
        <w:top w:val="none" w:sz="0" w:space="0" w:color="auto"/>
        <w:left w:val="none" w:sz="0" w:space="0" w:color="auto"/>
        <w:bottom w:val="none" w:sz="0" w:space="0" w:color="auto"/>
        <w:right w:val="none" w:sz="0" w:space="0" w:color="auto"/>
      </w:divBdr>
    </w:div>
    <w:div w:id="2071923800">
      <w:bodyDiv w:val="1"/>
      <w:marLeft w:val="0"/>
      <w:marRight w:val="0"/>
      <w:marTop w:val="0"/>
      <w:marBottom w:val="0"/>
      <w:divBdr>
        <w:top w:val="none" w:sz="0" w:space="0" w:color="auto"/>
        <w:left w:val="none" w:sz="0" w:space="0" w:color="auto"/>
        <w:bottom w:val="none" w:sz="0" w:space="0" w:color="auto"/>
        <w:right w:val="none" w:sz="0" w:space="0" w:color="auto"/>
      </w:divBdr>
    </w:div>
    <w:div w:id="2079160412">
      <w:bodyDiv w:val="1"/>
      <w:marLeft w:val="0"/>
      <w:marRight w:val="0"/>
      <w:marTop w:val="0"/>
      <w:marBottom w:val="0"/>
      <w:divBdr>
        <w:top w:val="none" w:sz="0" w:space="0" w:color="auto"/>
        <w:left w:val="none" w:sz="0" w:space="0" w:color="auto"/>
        <w:bottom w:val="none" w:sz="0" w:space="0" w:color="auto"/>
        <w:right w:val="none" w:sz="0" w:space="0" w:color="auto"/>
      </w:divBdr>
    </w:div>
    <w:div w:id="2122605233">
      <w:bodyDiv w:val="1"/>
      <w:marLeft w:val="0"/>
      <w:marRight w:val="0"/>
      <w:marTop w:val="0"/>
      <w:marBottom w:val="0"/>
      <w:divBdr>
        <w:top w:val="none" w:sz="0" w:space="0" w:color="auto"/>
        <w:left w:val="none" w:sz="0" w:space="0" w:color="auto"/>
        <w:bottom w:val="none" w:sz="0" w:space="0" w:color="auto"/>
        <w:right w:val="none" w:sz="0" w:space="0" w:color="auto"/>
      </w:divBdr>
    </w:div>
    <w:div w:id="2140688298">
      <w:bodyDiv w:val="1"/>
      <w:marLeft w:val="0"/>
      <w:marRight w:val="0"/>
      <w:marTop w:val="0"/>
      <w:marBottom w:val="0"/>
      <w:divBdr>
        <w:top w:val="none" w:sz="0" w:space="0" w:color="auto"/>
        <w:left w:val="none" w:sz="0" w:space="0" w:color="auto"/>
        <w:bottom w:val="none" w:sz="0" w:space="0" w:color="auto"/>
        <w:right w:val="none" w:sz="0" w:space="0" w:color="auto"/>
      </w:divBdr>
    </w:div>
    <w:div w:id="214507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usstats.abs.gov.au/Ausstats/subscriber.nsf/0/3BF838E102AE5743CA257A7600186000/$File/93090_31%20jan%202012.pdf" TargetMode="External"/><Relationship Id="rId26" Type="http://schemas.openxmlformats.org/officeDocument/2006/relationships/hyperlink" Target="http://casr.adelaide.edu.au/publications/list/?id=1223" TargetMode="External"/><Relationship Id="rId39" Type="http://schemas.openxmlformats.org/officeDocument/2006/relationships/image" Target="media/image13.png"/><Relationship Id="rId21" Type="http://schemas.openxmlformats.org/officeDocument/2006/relationships/hyperlink" Target="http://www.ntc.gov.au/DocView.aspx?DocumentId=1252"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wmf"/><Relationship Id="rId50" Type="http://schemas.openxmlformats.org/officeDocument/2006/relationships/image" Target="media/image24.wmf"/><Relationship Id="rId55" Type="http://schemas.openxmlformats.org/officeDocument/2006/relationships/image" Target="media/image29.wmf"/><Relationship Id="rId63" Type="http://schemas.openxmlformats.org/officeDocument/2006/relationships/chart" Target="charts/chart4.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bs.gov.au/AUSSTATS/abs@.nsf/DetailsPage/6401.0Jun%202010?OpenDocument" TargetMode="External"/><Relationship Id="rId29" Type="http://schemas.openxmlformats.org/officeDocument/2006/relationships/hyperlink" Target="http://www.cviaq.asn.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rastructure.gov.au" TargetMode="External"/><Relationship Id="rId24" Type="http://schemas.openxmlformats.org/officeDocument/2006/relationships/hyperlink" Target="http://www.ntc.gov.au/filemedia/Publications/2010RegistrationCharges.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header" Target="header2.xml"/><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artsa.com.au/library/2011/Part_5_2011.docx" TargetMode="External"/><Relationship Id="rId23" Type="http://schemas.openxmlformats.org/officeDocument/2006/relationships/hyperlink" Target="http://www.ntc.gov.au/DocView.aspx?DocumentId=285" TargetMode="External"/><Relationship Id="rId28" Type="http://schemas.openxmlformats.org/officeDocument/2006/relationships/hyperlink" Target="http://www.artsa.com.au/articles/" TargetMode="External"/><Relationship Id="rId36" Type="http://schemas.openxmlformats.org/officeDocument/2006/relationships/image" Target="media/image10.png"/><Relationship Id="rId49" Type="http://schemas.openxmlformats.org/officeDocument/2006/relationships/image" Target="media/image23.wmf"/><Relationship Id="rId57" Type="http://schemas.openxmlformats.org/officeDocument/2006/relationships/footer" Target="footer1.xm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truck.net.au/industry-resources/electronic-braking-systems-ebs-advisory-procedure" TargetMode="External"/><Relationship Id="rId31" Type="http://schemas.openxmlformats.org/officeDocument/2006/relationships/image" Target="media/image5.png"/><Relationship Id="rId44" Type="http://schemas.openxmlformats.org/officeDocument/2006/relationships/image" Target="media/image18.wmf"/><Relationship Id="rId52" Type="http://schemas.openxmlformats.org/officeDocument/2006/relationships/image" Target="media/image26.wmf"/><Relationship Id="rId60" Type="http://schemas.openxmlformats.org/officeDocument/2006/relationships/header" Target="header4.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www.iihs.org/research/qanda/antilock.aspx" TargetMode="External"/><Relationship Id="rId27" Type="http://schemas.openxmlformats.org/officeDocument/2006/relationships/hyperlink" Target="http://www.rba.gov.au/calculator/annualDecimal.htm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wmf"/><Relationship Id="rId48" Type="http://schemas.openxmlformats.org/officeDocument/2006/relationships/image" Target="media/image22.wmf"/><Relationship Id="rId56" Type="http://schemas.openxmlformats.org/officeDocument/2006/relationships/header" Target="header1.xml"/><Relationship Id="rId64" Type="http://schemas.openxmlformats.org/officeDocument/2006/relationships/header" Target="header5.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ausstats.abs.gov.au/Ausstats/subscriber.nsf/0/4576F71CCF2E9F65CA2578F4001E5E98/$File/92080_12%20months%20ended%2031%20october%202010.pdf" TargetMode="External"/><Relationship Id="rId25" Type="http://schemas.openxmlformats.org/officeDocument/2006/relationships/hyperlink" Target="http://www.tmr.qld.gov.au/~/media/busind/Heavy%20vehicles/stabsafetytech/Report_Benefits_of_heavy_vehicle_stability_safety_technologies.pdf"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wmf"/><Relationship Id="rId59" Type="http://schemas.openxmlformats.org/officeDocument/2006/relationships/header" Target="header3.xml"/><Relationship Id="rId67" Type="http://schemas.openxmlformats.org/officeDocument/2006/relationships/image" Target="media/image30.png"/><Relationship Id="rId20" Type="http://schemas.openxmlformats.org/officeDocument/2006/relationships/hyperlink" Target="http://www.ntc.gov.au/DocView.aspx?DocumentId=893" TargetMode="External"/><Relationship Id="rId41" Type="http://schemas.openxmlformats.org/officeDocument/2006/relationships/image" Target="media/image15.png"/><Relationship Id="rId54" Type="http://schemas.openxmlformats.org/officeDocument/2006/relationships/image" Target="media/image28.wmf"/><Relationship Id="rId62" Type="http://schemas.openxmlformats.org/officeDocument/2006/relationships/chart" Target="charts/chart3.xml"/><Relationship Id="rId70"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file:///\\internal\dfs\CBR1\Home2\KDeer\1%20My%20VSS\CBA%20NHVBS%20Phase%20I%20DRAFT%2019%20Dec%202012%20OBPR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dfs\CBR1\Home2\KDeer\1%20My%20VSS\CBA%20NHVBS%20Phase%20I%20DRAFT%2019%20Dec%202012%20OBPR2.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DEER\AppData\Local\Microsoft\Windows\Temporary%20Internet%20Files\Content.Outlook\HYGW1DJO\CBA%20NHVBS%20Phase%20I%20DRAFT%20Sept%2030%202012%20V0%202.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nternal\dfs\CBR1\Group\ISTP\Vehicle%20Safety%20Standards\Standards%20&amp;%20International\ADR%20Development\ADR%20Proposed%20amendments\Heavy%20Vehicle%20Braking%20Strategy\NHVBS%20LATEST\RIS\Kate%20CBA%20NHVBS%20Phase%20I%20DRAFT%20Sept%2030%202012%20V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'CBA - Option 4'!$C$37</c:f>
              <c:strCache>
                <c:ptCount val="1"/>
                <c:pt idx="0">
                  <c:v>Benefits</c:v>
                </c:pt>
              </c:strCache>
            </c:strRef>
          </c:tx>
          <c:spPr>
            <a:ln w="19050">
              <a:solidFill>
                <a:schemeClr val="tx1"/>
              </a:solidFill>
            </a:ln>
          </c:spPr>
          <c:marker>
            <c:symbol val="none"/>
          </c:marker>
          <c:cat>
            <c:numRef>
              <c:f>'CBA - Option 4'!$B$38:$B$67</c:f>
              <c:numCache>
                <c:formatCode>General</c:formatCode>
                <c:ptCount val="3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numCache>
            </c:numRef>
          </c:cat>
          <c:val>
            <c:numRef>
              <c:f>'CBA - Option 4'!$C$38:$C$67</c:f>
              <c:numCache>
                <c:formatCode>#,##0.0</c:formatCode>
                <c:ptCount val="30"/>
                <c:pt idx="0">
                  <c:v>0</c:v>
                </c:pt>
                <c:pt idx="1">
                  <c:v>0</c:v>
                </c:pt>
                <c:pt idx="2">
                  <c:v>2.7490153404018542</c:v>
                </c:pt>
                <c:pt idx="3">
                  <c:v>9.493408542350334</c:v>
                </c:pt>
                <c:pt idx="4">
                  <c:v>16.223458166401201</c:v>
                </c:pt>
                <c:pt idx="5">
                  <c:v>23.510015072036818</c:v>
                </c:pt>
                <c:pt idx="6">
                  <c:v>27.923398203435664</c:v>
                </c:pt>
                <c:pt idx="7">
                  <c:v>27.996894989857434</c:v>
                </c:pt>
                <c:pt idx="8">
                  <c:v>28.191040977539629</c:v>
                </c:pt>
                <c:pt idx="9">
                  <c:v>27.483645755063087</c:v>
                </c:pt>
                <c:pt idx="10">
                  <c:v>26.732930602523069</c:v>
                </c:pt>
                <c:pt idx="11">
                  <c:v>26.290616481102205</c:v>
                </c:pt>
                <c:pt idx="12">
                  <c:v>26.645141210662779</c:v>
                </c:pt>
                <c:pt idx="13">
                  <c:v>27.869231487574403</c:v>
                </c:pt>
                <c:pt idx="14">
                  <c:v>29.204693248790402</c:v>
                </c:pt>
                <c:pt idx="15">
                  <c:v>29.954593540112889</c:v>
                </c:pt>
                <c:pt idx="16">
                  <c:v>29.648314157062376</c:v>
                </c:pt>
                <c:pt idx="17">
                  <c:v>29.229116853677176</c:v>
                </c:pt>
                <c:pt idx="18">
                  <c:v>28.022186676256709</c:v>
                </c:pt>
                <c:pt idx="19">
                  <c:v>25.701597104096155</c:v>
                </c:pt>
                <c:pt idx="20">
                  <c:v>23.437294719532225</c:v>
                </c:pt>
                <c:pt idx="21">
                  <c:v>20.286355867631162</c:v>
                </c:pt>
                <c:pt idx="22">
                  <c:v>16.743011921015093</c:v>
                </c:pt>
                <c:pt idx="23">
                  <c:v>14.257095991551703</c:v>
                </c:pt>
                <c:pt idx="24">
                  <c:v>11.439907526868026</c:v>
                </c:pt>
                <c:pt idx="25">
                  <c:v>8.8549711905644379</c:v>
                </c:pt>
                <c:pt idx="26">
                  <c:v>7.0966435063822724</c:v>
                </c:pt>
                <c:pt idx="27">
                  <c:v>5.4812672592158824</c:v>
                </c:pt>
                <c:pt idx="28">
                  <c:v>3.6341645585245255</c:v>
                </c:pt>
                <c:pt idx="29">
                  <c:v>2.2141205132931505</c:v>
                </c:pt>
              </c:numCache>
            </c:numRef>
          </c:val>
          <c:smooth val="0"/>
        </c:ser>
        <c:ser>
          <c:idx val="1"/>
          <c:order val="1"/>
          <c:tx>
            <c:strRef>
              <c:f>'CBA - Option 4'!$F$37</c:f>
              <c:strCache>
                <c:ptCount val="1"/>
                <c:pt idx="0">
                  <c:v>Costs (average)</c:v>
                </c:pt>
              </c:strCache>
            </c:strRef>
          </c:tx>
          <c:spPr>
            <a:ln w="19050">
              <a:solidFill>
                <a:schemeClr val="tx1"/>
              </a:solidFill>
              <a:prstDash val="dash"/>
            </a:ln>
          </c:spPr>
          <c:marker>
            <c:symbol val="none"/>
          </c:marker>
          <c:cat>
            <c:numRef>
              <c:f>'CBA - Option 4'!$B$38:$B$67</c:f>
              <c:numCache>
                <c:formatCode>General</c:formatCode>
                <c:ptCount val="3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numCache>
            </c:numRef>
          </c:cat>
          <c:val>
            <c:numRef>
              <c:f>'CBA - Option 4'!$F$38:$F$67</c:f>
              <c:numCache>
                <c:formatCode>#,##0.0</c:formatCode>
                <c:ptCount val="30"/>
                <c:pt idx="0">
                  <c:v>0</c:v>
                </c:pt>
                <c:pt idx="1">
                  <c:v>0</c:v>
                </c:pt>
                <c:pt idx="2">
                  <c:v>47.7444236587598</c:v>
                </c:pt>
                <c:pt idx="3">
                  <c:v>49.654200605109999</c:v>
                </c:pt>
                <c:pt idx="4">
                  <c:v>51.640368629314594</c:v>
                </c:pt>
                <c:pt idx="5">
                  <c:v>53.705983374487211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dLbls>
          <c:showLegendKey val="0"/>
          <c:showVal val="0"/>
          <c:showCatName val="0"/>
          <c:showSerName val="0"/>
          <c:showPercent val="0"/>
          <c:showBubbleSize val="0"/>
        </c:dLbls>
        <c:marker val="1"/>
        <c:smooth val="0"/>
        <c:axId val="95072256"/>
        <c:axId val="95074176"/>
      </c:lineChart>
      <c:catAx>
        <c:axId val="95072256"/>
        <c:scaling>
          <c:orientation val="minMax"/>
        </c:scaling>
        <c:delete val="0"/>
        <c:axPos val="b"/>
        <c:title>
          <c:tx>
            <c:rich>
              <a:bodyPr/>
              <a:lstStyle/>
              <a:p>
                <a:pPr>
                  <a:defRPr/>
                </a:pPr>
                <a:r>
                  <a:rPr lang="en-AU" sz="1100" b="0"/>
                  <a:t>Year</a:t>
                </a:r>
                <a:endParaRPr lang="en-AU" b="0"/>
              </a:p>
            </c:rich>
          </c:tx>
          <c:layout/>
          <c:overlay val="0"/>
        </c:title>
        <c:numFmt formatCode="General" sourceLinked="1"/>
        <c:majorTickMark val="out"/>
        <c:minorTickMark val="none"/>
        <c:tickLblPos val="nextTo"/>
        <c:crossAx val="95074176"/>
        <c:crosses val="autoZero"/>
        <c:auto val="1"/>
        <c:lblAlgn val="ctr"/>
        <c:lblOffset val="100"/>
        <c:noMultiLvlLbl val="0"/>
      </c:catAx>
      <c:valAx>
        <c:axId val="95074176"/>
        <c:scaling>
          <c:orientation val="minMax"/>
        </c:scaling>
        <c:delete val="0"/>
        <c:axPos val="l"/>
        <c:majorGridlines/>
        <c:title>
          <c:tx>
            <c:rich>
              <a:bodyPr rot="-5400000" vert="horz"/>
              <a:lstStyle/>
              <a:p>
                <a:pPr>
                  <a:defRPr/>
                </a:pPr>
                <a:r>
                  <a:rPr lang="en-AU" sz="1100" b="0"/>
                  <a:t>$ million</a:t>
                </a:r>
              </a:p>
            </c:rich>
          </c:tx>
          <c:layout/>
          <c:overlay val="0"/>
        </c:title>
        <c:numFmt formatCode="#,##0.0" sourceLinked="1"/>
        <c:majorTickMark val="out"/>
        <c:minorTickMark val="none"/>
        <c:tickLblPos val="nextTo"/>
        <c:crossAx val="95072256"/>
        <c:crosses val="autoZero"/>
        <c:crossBetween val="between"/>
      </c:valAx>
    </c:plotArea>
    <c:legend>
      <c:legendPos val="r"/>
      <c:layout>
        <c:manualLayout>
          <c:xMode val="edge"/>
          <c:yMode val="edge"/>
          <c:x val="0.56334443241314858"/>
          <c:y val="8.4371556106678028E-2"/>
          <c:w val="0.27604893827721688"/>
          <c:h val="0.25815616797900665"/>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'CBA - Option 4'!$C$37</c:f>
              <c:strCache>
                <c:ptCount val="1"/>
                <c:pt idx="0">
                  <c:v>Benefits</c:v>
                </c:pt>
              </c:strCache>
            </c:strRef>
          </c:tx>
          <c:spPr>
            <a:ln w="19050">
              <a:solidFill>
                <a:schemeClr val="tx1"/>
              </a:solidFill>
            </a:ln>
          </c:spPr>
          <c:marker>
            <c:symbol val="none"/>
          </c:marker>
          <c:cat>
            <c:numRef>
              <c:f>'CBA - Option 4'!$B$38:$B$67</c:f>
              <c:numCache>
                <c:formatCode>General</c:formatCode>
                <c:ptCount val="3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numCache>
            </c:numRef>
          </c:cat>
          <c:val>
            <c:numRef>
              <c:f>'CBA - Option 4'!$C$38:$C$67</c:f>
              <c:numCache>
                <c:formatCode>#,##0.0</c:formatCode>
                <c:ptCount val="30"/>
                <c:pt idx="0">
                  <c:v>0</c:v>
                </c:pt>
                <c:pt idx="1">
                  <c:v>0</c:v>
                </c:pt>
                <c:pt idx="2">
                  <c:v>2.7490153404018542</c:v>
                </c:pt>
                <c:pt idx="3">
                  <c:v>9.493408542350334</c:v>
                </c:pt>
                <c:pt idx="4">
                  <c:v>16.223458166401201</c:v>
                </c:pt>
                <c:pt idx="5">
                  <c:v>23.510015072036818</c:v>
                </c:pt>
                <c:pt idx="6">
                  <c:v>27.923398203435664</c:v>
                </c:pt>
                <c:pt idx="7">
                  <c:v>27.996894989857434</c:v>
                </c:pt>
                <c:pt idx="8">
                  <c:v>28.191040977539629</c:v>
                </c:pt>
                <c:pt idx="9">
                  <c:v>27.483645755063087</c:v>
                </c:pt>
                <c:pt idx="10">
                  <c:v>26.732930602523069</c:v>
                </c:pt>
                <c:pt idx="11">
                  <c:v>26.290616481102205</c:v>
                </c:pt>
                <c:pt idx="12">
                  <c:v>26.645141210662779</c:v>
                </c:pt>
                <c:pt idx="13">
                  <c:v>27.869231487574403</c:v>
                </c:pt>
                <c:pt idx="14">
                  <c:v>29.204693248790402</c:v>
                </c:pt>
                <c:pt idx="15">
                  <c:v>29.954593540112889</c:v>
                </c:pt>
                <c:pt idx="16">
                  <c:v>29.648314157062376</c:v>
                </c:pt>
                <c:pt idx="17">
                  <c:v>29.229116853677176</c:v>
                </c:pt>
                <c:pt idx="18">
                  <c:v>28.022186676256709</c:v>
                </c:pt>
                <c:pt idx="19">
                  <c:v>25.701597104096155</c:v>
                </c:pt>
                <c:pt idx="20">
                  <c:v>23.437294719532225</c:v>
                </c:pt>
                <c:pt idx="21">
                  <c:v>20.286355867631162</c:v>
                </c:pt>
                <c:pt idx="22">
                  <c:v>16.743011921015093</c:v>
                </c:pt>
                <c:pt idx="23">
                  <c:v>14.257095991551703</c:v>
                </c:pt>
                <c:pt idx="24">
                  <c:v>11.439907526868026</c:v>
                </c:pt>
                <c:pt idx="25">
                  <c:v>8.8549711905644379</c:v>
                </c:pt>
                <c:pt idx="26">
                  <c:v>7.0966435063822724</c:v>
                </c:pt>
                <c:pt idx="27">
                  <c:v>5.4812672592158824</c:v>
                </c:pt>
                <c:pt idx="28">
                  <c:v>3.6341645585245255</c:v>
                </c:pt>
                <c:pt idx="29">
                  <c:v>2.2141205132931505</c:v>
                </c:pt>
              </c:numCache>
            </c:numRef>
          </c:val>
          <c:smooth val="0"/>
        </c:ser>
        <c:ser>
          <c:idx val="1"/>
          <c:order val="1"/>
          <c:tx>
            <c:strRef>
              <c:f>'CBA - Option 4'!$F$37</c:f>
              <c:strCache>
                <c:ptCount val="1"/>
                <c:pt idx="0">
                  <c:v>Costs (average)</c:v>
                </c:pt>
              </c:strCache>
            </c:strRef>
          </c:tx>
          <c:spPr>
            <a:ln w="19050">
              <a:solidFill>
                <a:schemeClr val="tx1"/>
              </a:solidFill>
              <a:prstDash val="dash"/>
            </a:ln>
          </c:spPr>
          <c:marker>
            <c:symbol val="none"/>
          </c:marker>
          <c:cat>
            <c:numRef>
              <c:f>'CBA - Option 4'!$B$38:$B$67</c:f>
              <c:numCache>
                <c:formatCode>General</c:formatCode>
                <c:ptCount val="3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pt idx="29">
                  <c:v>2041</c:v>
                </c:pt>
              </c:numCache>
            </c:numRef>
          </c:cat>
          <c:val>
            <c:numRef>
              <c:f>'CBA - Option 4'!$F$38:$F$67</c:f>
              <c:numCache>
                <c:formatCode>#,##0.0</c:formatCode>
                <c:ptCount val="30"/>
                <c:pt idx="0">
                  <c:v>0</c:v>
                </c:pt>
                <c:pt idx="1">
                  <c:v>0</c:v>
                </c:pt>
                <c:pt idx="2">
                  <c:v>47.7444236587598</c:v>
                </c:pt>
                <c:pt idx="3">
                  <c:v>49.654200605109999</c:v>
                </c:pt>
                <c:pt idx="4">
                  <c:v>51.640368629314594</c:v>
                </c:pt>
                <c:pt idx="5">
                  <c:v>53.705983374487211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dLbls>
          <c:showLegendKey val="0"/>
          <c:showVal val="0"/>
          <c:showCatName val="0"/>
          <c:showSerName val="0"/>
          <c:showPercent val="0"/>
          <c:showBubbleSize val="0"/>
        </c:dLbls>
        <c:marker val="1"/>
        <c:smooth val="0"/>
        <c:axId val="164782464"/>
        <c:axId val="217534464"/>
      </c:lineChart>
      <c:catAx>
        <c:axId val="164782464"/>
        <c:scaling>
          <c:orientation val="minMax"/>
        </c:scaling>
        <c:delete val="0"/>
        <c:axPos val="b"/>
        <c:title>
          <c:tx>
            <c:rich>
              <a:bodyPr/>
              <a:lstStyle/>
              <a:p>
                <a:pPr>
                  <a:defRPr/>
                </a:pPr>
                <a:r>
                  <a:rPr lang="en-AU" sz="1100" b="0"/>
                  <a:t>Year</a:t>
                </a:r>
                <a:endParaRPr lang="en-AU" b="0"/>
              </a:p>
            </c:rich>
          </c:tx>
          <c:layout/>
          <c:overlay val="0"/>
        </c:title>
        <c:numFmt formatCode="General" sourceLinked="1"/>
        <c:majorTickMark val="out"/>
        <c:minorTickMark val="none"/>
        <c:tickLblPos val="nextTo"/>
        <c:crossAx val="217534464"/>
        <c:crosses val="autoZero"/>
        <c:auto val="1"/>
        <c:lblAlgn val="ctr"/>
        <c:lblOffset val="100"/>
        <c:noMultiLvlLbl val="0"/>
      </c:catAx>
      <c:valAx>
        <c:axId val="217534464"/>
        <c:scaling>
          <c:orientation val="minMax"/>
        </c:scaling>
        <c:delete val="0"/>
        <c:axPos val="l"/>
        <c:majorGridlines/>
        <c:title>
          <c:tx>
            <c:rich>
              <a:bodyPr rot="-5400000" vert="horz"/>
              <a:lstStyle/>
              <a:p>
                <a:pPr>
                  <a:defRPr/>
                </a:pPr>
                <a:r>
                  <a:rPr lang="en-AU" sz="1100" b="0"/>
                  <a:t>$ million</a:t>
                </a:r>
              </a:p>
            </c:rich>
          </c:tx>
          <c:layout/>
          <c:overlay val="0"/>
        </c:title>
        <c:numFmt formatCode="#,##0.0" sourceLinked="1"/>
        <c:majorTickMark val="out"/>
        <c:minorTickMark val="none"/>
        <c:tickLblPos val="nextTo"/>
        <c:crossAx val="164782464"/>
        <c:crosses val="autoZero"/>
        <c:crossBetween val="between"/>
      </c:valAx>
    </c:plotArea>
    <c:legend>
      <c:legendPos val="r"/>
      <c:layout>
        <c:manualLayout>
          <c:xMode val="edge"/>
          <c:yMode val="edge"/>
          <c:x val="0.70841112860892386"/>
          <c:y val="9.8369672294900165E-2"/>
          <c:w val="0.24618229921259846"/>
          <c:h val="0.1636679273358546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AU" sz="1400" b="0"/>
              <a:t>New Vehicle Sales 2003 to 2042</a:t>
            </a:r>
          </a:p>
        </c:rich>
      </c:tx>
      <c:layout>
        <c:manualLayout>
          <c:xMode val="edge"/>
          <c:yMode val="edge"/>
          <c:x val="0.31797886424127697"/>
          <c:y val="3.125E-2"/>
        </c:manualLayout>
      </c:layout>
      <c:overlay val="0"/>
    </c:title>
    <c:autoTitleDeleted val="0"/>
    <c:plotArea>
      <c:layout/>
      <c:lineChart>
        <c:grouping val="standard"/>
        <c:varyColors val="0"/>
        <c:ser>
          <c:idx val="0"/>
          <c:order val="0"/>
          <c:tx>
            <c:v>Trucks &amp; trailers</c:v>
          </c:tx>
          <c:spPr>
            <a:ln w="19050">
              <a:solidFill>
                <a:schemeClr val="tx1"/>
              </a:solidFill>
              <a:prstDash val="sysDash"/>
            </a:ln>
          </c:spPr>
          <c:marker>
            <c:symbol val="none"/>
          </c:marker>
          <c:cat>
            <c:numRef>
              <c:f>'Fitment rate and sales'!$B$54:$B$93</c:f>
              <c:numCache>
                <c:formatCode>General</c:formatCode>
                <c:ptCount val="4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pt idx="31">
                  <c:v>2034</c:v>
                </c:pt>
                <c:pt idx="32">
                  <c:v>2035</c:v>
                </c:pt>
                <c:pt idx="33">
                  <c:v>2036</c:v>
                </c:pt>
                <c:pt idx="34">
                  <c:v>2037</c:v>
                </c:pt>
                <c:pt idx="35">
                  <c:v>2038</c:v>
                </c:pt>
                <c:pt idx="36">
                  <c:v>2039</c:v>
                </c:pt>
                <c:pt idx="37">
                  <c:v>2040</c:v>
                </c:pt>
                <c:pt idx="38">
                  <c:v>2041</c:v>
                </c:pt>
                <c:pt idx="39">
                  <c:v>2042</c:v>
                </c:pt>
              </c:numCache>
            </c:numRef>
          </c:cat>
          <c:val>
            <c:numRef>
              <c:f>'Fitment rate and sales'!$C$54:$C$93</c:f>
              <c:numCache>
                <c:formatCode>0</c:formatCode>
                <c:ptCount val="40"/>
                <c:pt idx="0">
                  <c:v>29946.649999999896</c:v>
                </c:pt>
                <c:pt idx="1">
                  <c:v>32654.149999999896</c:v>
                </c:pt>
                <c:pt idx="2">
                  <c:v>34446.25</c:v>
                </c:pt>
                <c:pt idx="3">
                  <c:v>34446.25</c:v>
                </c:pt>
                <c:pt idx="4">
                  <c:v>34056.22</c:v>
                </c:pt>
                <c:pt idx="5">
                  <c:v>39686.22</c:v>
                </c:pt>
                <c:pt idx="6">
                  <c:v>33032.480000000003</c:v>
                </c:pt>
                <c:pt idx="7">
                  <c:v>31140.679999999797</c:v>
                </c:pt>
                <c:pt idx="8">
                  <c:v>31918.07</c:v>
                </c:pt>
                <c:pt idx="9">
                  <c:v>33194.792799999996</c:v>
                </c:pt>
                <c:pt idx="10">
                  <c:v>34522.584512000212</c:v>
                </c:pt>
                <c:pt idx="11">
                  <c:v>35903.487892480043</c:v>
                </c:pt>
                <c:pt idx="12">
                  <c:v>37339.627408179185</c:v>
                </c:pt>
                <c:pt idx="13">
                  <c:v>38833.212504506366</c:v>
                </c:pt>
                <c:pt idx="14">
                  <c:v>40386.541004686624</c:v>
                </c:pt>
                <c:pt idx="15">
                  <c:v>42002.00264487409</c:v>
                </c:pt>
                <c:pt idx="16">
                  <c:v>43682.082750669055</c:v>
                </c:pt>
                <c:pt idx="17">
                  <c:v>45429.366060695822</c:v>
                </c:pt>
                <c:pt idx="18">
                  <c:v>47246.540703123654</c:v>
                </c:pt>
                <c:pt idx="19">
                  <c:v>49136.40233124909</c:v>
                </c:pt>
                <c:pt idx="20">
                  <c:v>51101.858424499165</c:v>
                </c:pt>
                <c:pt idx="21">
                  <c:v>53145.932761478492</c:v>
                </c:pt>
                <c:pt idx="22">
                  <c:v>55271.770071937586</c:v>
                </c:pt>
                <c:pt idx="23">
                  <c:v>57482.640874815144</c:v>
                </c:pt>
                <c:pt idx="24">
                  <c:v>59781.946509807749</c:v>
                </c:pt>
                <c:pt idx="25">
                  <c:v>62173.224370200056</c:v>
                </c:pt>
                <c:pt idx="26">
                  <c:v>64660.153345008068</c:v>
                </c:pt>
                <c:pt idx="27">
                  <c:v>67246.559478808427</c:v>
                </c:pt>
                <c:pt idx="28">
                  <c:v>69936.42185796074</c:v>
                </c:pt>
                <c:pt idx="29">
                  <c:v>72733.878732279176</c:v>
                </c:pt>
                <c:pt idx="30">
                  <c:v>75643.233881569104</c:v>
                </c:pt>
                <c:pt idx="31">
                  <c:v>78668.963236833108</c:v>
                </c:pt>
                <c:pt idx="32">
                  <c:v>81815.72176630648</c:v>
                </c:pt>
                <c:pt idx="33">
                  <c:v>85088.350636958756</c:v>
                </c:pt>
                <c:pt idx="34">
                  <c:v>88491.884662437427</c:v>
                </c:pt>
                <c:pt idx="35">
                  <c:v>92031.560048934582</c:v>
                </c:pt>
                <c:pt idx="36">
                  <c:v>95712.822450892025</c:v>
                </c:pt>
                <c:pt idx="37">
                  <c:v>99541.335348927663</c:v>
                </c:pt>
                <c:pt idx="38">
                  <c:v>103522.98876288583</c:v>
                </c:pt>
                <c:pt idx="39">
                  <c:v>107663.90831340016</c:v>
                </c:pt>
              </c:numCache>
            </c:numRef>
          </c:val>
          <c:smooth val="0"/>
        </c:ser>
        <c:ser>
          <c:idx val="1"/>
          <c:order val="1"/>
          <c:tx>
            <c:v>Buses</c:v>
          </c:tx>
          <c:spPr>
            <a:ln w="19050">
              <a:solidFill>
                <a:schemeClr val="tx1"/>
              </a:solidFill>
              <a:prstDash val="lgDash"/>
            </a:ln>
          </c:spPr>
          <c:marker>
            <c:symbol val="none"/>
          </c:marker>
          <c:cat>
            <c:numRef>
              <c:f>'Fitment rate and sales'!$B$54:$B$93</c:f>
              <c:numCache>
                <c:formatCode>General</c:formatCode>
                <c:ptCount val="4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pt idx="31">
                  <c:v>2034</c:v>
                </c:pt>
                <c:pt idx="32">
                  <c:v>2035</c:v>
                </c:pt>
                <c:pt idx="33">
                  <c:v>2036</c:v>
                </c:pt>
                <c:pt idx="34">
                  <c:v>2037</c:v>
                </c:pt>
                <c:pt idx="35">
                  <c:v>2038</c:v>
                </c:pt>
                <c:pt idx="36">
                  <c:v>2039</c:v>
                </c:pt>
                <c:pt idx="37">
                  <c:v>2040</c:v>
                </c:pt>
                <c:pt idx="38">
                  <c:v>2041</c:v>
                </c:pt>
                <c:pt idx="39">
                  <c:v>2042</c:v>
                </c:pt>
              </c:numCache>
            </c:numRef>
          </c:cat>
          <c:val>
            <c:numRef>
              <c:f>'Fitment rate and sales'!$D$54:$D$93</c:f>
              <c:numCache>
                <c:formatCode>0</c:formatCode>
                <c:ptCount val="40"/>
                <c:pt idx="0">
                  <c:v>3295.66</c:v>
                </c:pt>
                <c:pt idx="1">
                  <c:v>3445.42</c:v>
                </c:pt>
                <c:pt idx="2">
                  <c:v>4933.6000000000004</c:v>
                </c:pt>
                <c:pt idx="3">
                  <c:v>4933.6000000000004</c:v>
                </c:pt>
                <c:pt idx="4">
                  <c:v>4448.25</c:v>
                </c:pt>
                <c:pt idx="5">
                  <c:v>5345.8600000000024</c:v>
                </c:pt>
                <c:pt idx="6">
                  <c:v>6249.43</c:v>
                </c:pt>
                <c:pt idx="7">
                  <c:v>4486.3899999999994</c:v>
                </c:pt>
                <c:pt idx="8">
                  <c:v>4107.01</c:v>
                </c:pt>
                <c:pt idx="9">
                  <c:v>4271.2904000000008</c:v>
                </c:pt>
                <c:pt idx="10">
                  <c:v>4442.1420160000034</c:v>
                </c:pt>
                <c:pt idx="11">
                  <c:v>4619.8276966400008</c:v>
                </c:pt>
                <c:pt idx="12">
                  <c:v>4804.6208045056828</c:v>
                </c:pt>
                <c:pt idx="13">
                  <c:v>4996.8056366859046</c:v>
                </c:pt>
                <c:pt idx="14">
                  <c:v>5196.6778621532594</c:v>
                </c:pt>
                <c:pt idx="15">
                  <c:v>5404.5449766393904</c:v>
                </c:pt>
                <c:pt idx="16">
                  <c:v>5620.7267757049649</c:v>
                </c:pt>
                <c:pt idx="17">
                  <c:v>5845.5558467331639</c:v>
                </c:pt>
                <c:pt idx="18">
                  <c:v>6079.3780806024906</c:v>
                </c:pt>
                <c:pt idx="19">
                  <c:v>6322.5532038265901</c:v>
                </c:pt>
                <c:pt idx="20">
                  <c:v>6575.4553319796541</c:v>
                </c:pt>
                <c:pt idx="21">
                  <c:v>6838.4735452588375</c:v>
                </c:pt>
                <c:pt idx="22">
                  <c:v>7112.0124870691943</c:v>
                </c:pt>
                <c:pt idx="23">
                  <c:v>7396.4929865520044</c:v>
                </c:pt>
                <c:pt idx="24">
                  <c:v>7692.3527060140414</c:v>
                </c:pt>
                <c:pt idx="25">
                  <c:v>8000.0468142546033</c:v>
                </c:pt>
                <c:pt idx="26">
                  <c:v>8320.0486868247881</c:v>
                </c:pt>
                <c:pt idx="27">
                  <c:v>8652.8506342975597</c:v>
                </c:pt>
                <c:pt idx="28">
                  <c:v>8998.9646596695948</c:v>
                </c:pt>
                <c:pt idx="29">
                  <c:v>9358.9232460565927</c:v>
                </c:pt>
                <c:pt idx="30">
                  <c:v>9733.2801758987371</c:v>
                </c:pt>
                <c:pt idx="31">
                  <c:v>10122.61138293469</c:v>
                </c:pt>
                <c:pt idx="32">
                  <c:v>10527.515838252077</c:v>
                </c:pt>
                <c:pt idx="33">
                  <c:v>10948.616471782159</c:v>
                </c:pt>
                <c:pt idx="34">
                  <c:v>11386.561130653323</c:v>
                </c:pt>
                <c:pt idx="35">
                  <c:v>11842.023575879672</c:v>
                </c:pt>
                <c:pt idx="36">
                  <c:v>12315.704518914865</c:v>
                </c:pt>
                <c:pt idx="37">
                  <c:v>12808.33269967128</c:v>
                </c:pt>
                <c:pt idx="38">
                  <c:v>13320.666007658207</c:v>
                </c:pt>
                <c:pt idx="39">
                  <c:v>13853.492647964546</c:v>
                </c:pt>
              </c:numCache>
            </c:numRef>
          </c:val>
          <c:smooth val="0"/>
        </c:ser>
        <c:ser>
          <c:idx val="2"/>
          <c:order val="2"/>
          <c:tx>
            <c:v>Total</c:v>
          </c:tx>
          <c:spPr>
            <a:ln w="19050">
              <a:solidFill>
                <a:schemeClr val="tx1"/>
              </a:solidFill>
            </a:ln>
          </c:spPr>
          <c:marker>
            <c:symbol val="none"/>
          </c:marker>
          <c:cat>
            <c:numRef>
              <c:f>'Fitment rate and sales'!$B$54:$B$93</c:f>
              <c:numCache>
                <c:formatCode>General</c:formatCode>
                <c:ptCount val="4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pt idx="28">
                  <c:v>2031</c:v>
                </c:pt>
                <c:pt idx="29">
                  <c:v>2032</c:v>
                </c:pt>
                <c:pt idx="30">
                  <c:v>2033</c:v>
                </c:pt>
                <c:pt idx="31">
                  <c:v>2034</c:v>
                </c:pt>
                <c:pt idx="32">
                  <c:v>2035</c:v>
                </c:pt>
                <c:pt idx="33">
                  <c:v>2036</c:v>
                </c:pt>
                <c:pt idx="34">
                  <c:v>2037</c:v>
                </c:pt>
                <c:pt idx="35">
                  <c:v>2038</c:v>
                </c:pt>
                <c:pt idx="36">
                  <c:v>2039</c:v>
                </c:pt>
                <c:pt idx="37">
                  <c:v>2040</c:v>
                </c:pt>
                <c:pt idx="38">
                  <c:v>2041</c:v>
                </c:pt>
                <c:pt idx="39">
                  <c:v>2042</c:v>
                </c:pt>
              </c:numCache>
            </c:numRef>
          </c:cat>
          <c:val>
            <c:numRef>
              <c:f>'Fitment rate and sales'!$E$54:$E$93</c:f>
              <c:numCache>
                <c:formatCode>0</c:formatCode>
                <c:ptCount val="40"/>
                <c:pt idx="0">
                  <c:v>33242.310000000012</c:v>
                </c:pt>
                <c:pt idx="1">
                  <c:v>36099.57</c:v>
                </c:pt>
                <c:pt idx="2">
                  <c:v>39379.850000000013</c:v>
                </c:pt>
                <c:pt idx="3">
                  <c:v>39379.850000000013</c:v>
                </c:pt>
                <c:pt idx="4">
                  <c:v>38504.47</c:v>
                </c:pt>
                <c:pt idx="5">
                  <c:v>45032.08</c:v>
                </c:pt>
                <c:pt idx="6">
                  <c:v>39281.910000000003</c:v>
                </c:pt>
                <c:pt idx="7">
                  <c:v>35627.069999999992</c:v>
                </c:pt>
                <c:pt idx="8">
                  <c:v>36025.08</c:v>
                </c:pt>
                <c:pt idx="9">
                  <c:v>37466.083200000001</c:v>
                </c:pt>
                <c:pt idx="10">
                  <c:v>38964.726527999999</c:v>
                </c:pt>
                <c:pt idx="11">
                  <c:v>40523.315589120211</c:v>
                </c:pt>
                <c:pt idx="12">
                  <c:v>42144.248212684812</c:v>
                </c:pt>
                <c:pt idx="13">
                  <c:v>43830.018141192202</c:v>
                </c:pt>
                <c:pt idx="14">
                  <c:v>45583.218866839881</c:v>
                </c:pt>
                <c:pt idx="15">
                  <c:v>47406.547621512975</c:v>
                </c:pt>
                <c:pt idx="16">
                  <c:v>49302.809526374243</c:v>
                </c:pt>
                <c:pt idx="17">
                  <c:v>51274.921907429001</c:v>
                </c:pt>
                <c:pt idx="18">
                  <c:v>53325.918783726142</c:v>
                </c:pt>
                <c:pt idx="19">
                  <c:v>55458.955535075213</c:v>
                </c:pt>
                <c:pt idx="20">
                  <c:v>57677.313756478638</c:v>
                </c:pt>
                <c:pt idx="21">
                  <c:v>59984.406306737335</c:v>
                </c:pt>
                <c:pt idx="22">
                  <c:v>62383.782559007013</c:v>
                </c:pt>
                <c:pt idx="23">
                  <c:v>64879.133861367074</c:v>
                </c:pt>
                <c:pt idx="24">
                  <c:v>67474.299215821768</c:v>
                </c:pt>
                <c:pt idx="25">
                  <c:v>70173.271184454687</c:v>
                </c:pt>
                <c:pt idx="26">
                  <c:v>72980.202031832378</c:v>
                </c:pt>
                <c:pt idx="27">
                  <c:v>75899.410113106118</c:v>
                </c:pt>
                <c:pt idx="28">
                  <c:v>78935.38651763041</c:v>
                </c:pt>
                <c:pt idx="29">
                  <c:v>82092.801978335687</c:v>
                </c:pt>
                <c:pt idx="30">
                  <c:v>85376.514057468972</c:v>
                </c:pt>
                <c:pt idx="31">
                  <c:v>88791.574619767853</c:v>
                </c:pt>
                <c:pt idx="32">
                  <c:v>92343.237604558541</c:v>
                </c:pt>
                <c:pt idx="33">
                  <c:v>96036.967108740922</c:v>
                </c:pt>
                <c:pt idx="34">
                  <c:v>99878.445793090519</c:v>
                </c:pt>
                <c:pt idx="35">
                  <c:v>103873.5836248144</c:v>
                </c:pt>
                <c:pt idx="36">
                  <c:v>108028.52696980673</c:v>
                </c:pt>
                <c:pt idx="37">
                  <c:v>112349.66804859902</c:v>
                </c:pt>
                <c:pt idx="38">
                  <c:v>116843.65477054298</c:v>
                </c:pt>
                <c:pt idx="39">
                  <c:v>121517.40096136471</c:v>
                </c:pt>
              </c:numCache>
            </c:numRef>
          </c:val>
          <c:smooth val="0"/>
        </c:ser>
        <c:dLbls>
          <c:showLegendKey val="0"/>
          <c:showVal val="0"/>
          <c:showCatName val="0"/>
          <c:showSerName val="0"/>
          <c:showPercent val="0"/>
          <c:showBubbleSize val="0"/>
        </c:dLbls>
        <c:marker val="1"/>
        <c:smooth val="0"/>
        <c:axId val="246697984"/>
        <c:axId val="246699904"/>
      </c:lineChart>
      <c:catAx>
        <c:axId val="246697984"/>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Year</a:t>
                </a:r>
              </a:p>
            </c:rich>
          </c:tx>
          <c:layout/>
          <c:overlay val="0"/>
        </c:title>
        <c:numFmt formatCode="General" sourceLinked="1"/>
        <c:majorTickMark val="none"/>
        <c:minorTickMark val="none"/>
        <c:tickLblPos val="nextTo"/>
        <c:txPr>
          <a:bodyPr rot="-5400000" vert="horz" anchor="ctr" anchorCtr="0"/>
          <a:lstStyle/>
          <a:p>
            <a:pPr>
              <a:defRPr/>
            </a:pPr>
            <a:endParaRPr lang="en-US"/>
          </a:p>
        </c:txPr>
        <c:crossAx val="246699904"/>
        <c:crosses val="autoZero"/>
        <c:auto val="1"/>
        <c:lblAlgn val="ctr"/>
        <c:lblOffset val="100"/>
        <c:noMultiLvlLbl val="0"/>
      </c:catAx>
      <c:valAx>
        <c:axId val="246699904"/>
        <c:scaling>
          <c:orientation val="minMax"/>
        </c:scaling>
        <c:delete val="0"/>
        <c:axPos val="l"/>
        <c:majorGridlines/>
        <c:title>
          <c:tx>
            <c:rich>
              <a:bodyPr/>
              <a:lstStyle/>
              <a:p>
                <a:pPr>
                  <a:defRPr/>
                </a:pPr>
                <a:r>
                  <a:rPr lang="en-AU" sz="1100" b="0"/>
                  <a:t>Number of vehicles</a:t>
                </a:r>
              </a:p>
            </c:rich>
          </c:tx>
          <c:layout/>
          <c:overlay val="0"/>
        </c:title>
        <c:numFmt formatCode="0" sourceLinked="1"/>
        <c:majorTickMark val="none"/>
        <c:minorTickMark val="none"/>
        <c:tickLblPos val="nextTo"/>
        <c:crossAx val="246697984"/>
        <c:crosses val="autoZero"/>
        <c:crossBetween val="between"/>
      </c:valAx>
    </c:plotArea>
    <c:legend>
      <c:legendPos val="b"/>
      <c:layout>
        <c:manualLayout>
          <c:xMode val="edge"/>
          <c:yMode val="edge"/>
          <c:x val="0.2321508642574121"/>
          <c:y val="0.90172800189861679"/>
          <c:w val="0.54456155533184059"/>
          <c:h val="5.5389110351321533E-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b="0"/>
            </a:pPr>
            <a:r>
              <a:rPr lang="en-US" sz="1400" b="0"/>
              <a:t>Crash likelihood of vehicles</a:t>
            </a:r>
          </a:p>
        </c:rich>
      </c:tx>
      <c:layout>
        <c:manualLayout>
          <c:xMode val="edge"/>
          <c:yMode val="edge"/>
          <c:x val="0.31797886424127719"/>
          <c:y val="3.125E-2"/>
        </c:manualLayout>
      </c:layout>
      <c:overlay val="0"/>
    </c:title>
    <c:autoTitleDeleted val="0"/>
    <c:plotArea>
      <c:layout/>
      <c:lineChart>
        <c:grouping val="standard"/>
        <c:varyColors val="0"/>
        <c:ser>
          <c:idx val="0"/>
          <c:order val="0"/>
          <c:tx>
            <c:strRef>
              <c:f>'Research data'!$K$4</c:f>
              <c:strCache>
                <c:ptCount val="1"/>
                <c:pt idx="0">
                  <c:v>Crash Likelihood per Vehicle</c:v>
                </c:pt>
              </c:strCache>
            </c:strRef>
          </c:tx>
          <c:marker>
            <c:symbol val="none"/>
          </c:marker>
          <c:cat>
            <c:numRef>
              <c:f>'Research data'!$J$5:$J$30</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'Research data'!$K$5:$K$30</c:f>
              <c:numCache>
                <c:formatCode>0.0000</c:formatCode>
                <c:ptCount val="26"/>
                <c:pt idx="0">
                  <c:v>3.7766247806292241E-3</c:v>
                </c:pt>
                <c:pt idx="1">
                  <c:v>9.1144498723850585E-3</c:v>
                </c:pt>
                <c:pt idx="2">
                  <c:v>8.7241239270065239E-3</c:v>
                </c:pt>
                <c:pt idx="3">
                  <c:v>9.1188268182143886E-3</c:v>
                </c:pt>
                <c:pt idx="4">
                  <c:v>9.1893349750310372E-3</c:v>
                </c:pt>
                <c:pt idx="5">
                  <c:v>9.2291300696106943E-3</c:v>
                </c:pt>
                <c:pt idx="6">
                  <c:v>8.9342141762750998E-3</c:v>
                </c:pt>
                <c:pt idx="7">
                  <c:v>8.1467456090732887E-3</c:v>
                </c:pt>
                <c:pt idx="8">
                  <c:v>8.2085898918912593E-3</c:v>
                </c:pt>
                <c:pt idx="9">
                  <c:v>8.72008254579054E-3</c:v>
                </c:pt>
                <c:pt idx="10">
                  <c:v>9.4940840725753119E-3</c:v>
                </c:pt>
                <c:pt idx="11">
                  <c:v>9.7479930932875079E-3</c:v>
                </c:pt>
                <c:pt idx="12">
                  <c:v>9.9060787176078139E-3</c:v>
                </c:pt>
                <c:pt idx="13">
                  <c:v>9.6266157416276619E-3</c:v>
                </c:pt>
                <c:pt idx="14">
                  <c:v>9.0398890277152318E-3</c:v>
                </c:pt>
                <c:pt idx="15">
                  <c:v>9.1986296875113775E-3</c:v>
                </c:pt>
                <c:pt idx="16">
                  <c:v>8.3244081021108824E-3</c:v>
                </c:pt>
                <c:pt idx="17">
                  <c:v>6.533843238115962E-3</c:v>
                </c:pt>
                <c:pt idx="18">
                  <c:v>6.0523058379209011E-3</c:v>
                </c:pt>
                <c:pt idx="19">
                  <c:v>5.1443687581839512E-3</c:v>
                </c:pt>
                <c:pt idx="20">
                  <c:v>3.7557147606271739E-3</c:v>
                </c:pt>
                <c:pt idx="21">
                  <c:v>3.3084275722900847E-3</c:v>
                </c:pt>
                <c:pt idx="22">
                  <c:v>2.4265984462877393E-3</c:v>
                </c:pt>
                <c:pt idx="23">
                  <c:v>1.838322047479343E-3</c:v>
                </c:pt>
                <c:pt idx="24">
                  <c:v>1.4914449748131878E-3</c:v>
                </c:pt>
                <c:pt idx="25">
                  <c:v>1.2611946699059367E-3</c:v>
                </c:pt>
              </c:numCache>
            </c:numRef>
          </c:val>
          <c:smooth val="0"/>
        </c:ser>
        <c:dLbls>
          <c:showLegendKey val="0"/>
          <c:showVal val="0"/>
          <c:showCatName val="0"/>
          <c:showSerName val="0"/>
          <c:showPercent val="0"/>
          <c:showBubbleSize val="0"/>
        </c:dLbls>
        <c:marker val="1"/>
        <c:smooth val="0"/>
        <c:axId val="92835840"/>
        <c:axId val="92837760"/>
      </c:lineChart>
      <c:catAx>
        <c:axId val="92835840"/>
        <c:scaling>
          <c:orientation val="minMax"/>
        </c:scaling>
        <c:delete val="0"/>
        <c:axPos val="b"/>
        <c:majorGridlines>
          <c:spPr>
            <a:ln>
              <a:solidFill>
                <a:schemeClr val="bg1">
                  <a:lumMod val="75000"/>
                </a:schemeClr>
              </a:solidFill>
              <a:prstDash val="dash"/>
            </a:ln>
          </c:spPr>
        </c:majorGridlines>
        <c:title>
          <c:tx>
            <c:rich>
              <a:bodyPr/>
              <a:lstStyle/>
              <a:p>
                <a:pPr>
                  <a:defRPr sz="1100" b="0"/>
                </a:pPr>
                <a:r>
                  <a:rPr lang="en-AU" sz="1100" b="0"/>
                  <a:t>Age of vehicle</a:t>
                </a:r>
                <a:r>
                  <a:rPr lang="en-AU" sz="1100" b="0" baseline="0"/>
                  <a:t> (y</a:t>
                </a:r>
                <a:r>
                  <a:rPr lang="en-AU" sz="1100" b="0"/>
                  <a:t>ears)</a:t>
                </a:r>
              </a:p>
            </c:rich>
          </c:tx>
          <c:layout/>
          <c:overlay val="0"/>
        </c:title>
        <c:numFmt formatCode="General" sourceLinked="1"/>
        <c:majorTickMark val="none"/>
        <c:minorTickMark val="none"/>
        <c:tickLblPos val="nextTo"/>
        <c:txPr>
          <a:bodyPr rot="0" vert="horz" anchor="ctr" anchorCtr="0"/>
          <a:lstStyle/>
          <a:p>
            <a:pPr>
              <a:defRPr/>
            </a:pPr>
            <a:endParaRPr lang="en-US"/>
          </a:p>
        </c:txPr>
        <c:crossAx val="92837760"/>
        <c:crosses val="autoZero"/>
        <c:auto val="1"/>
        <c:lblAlgn val="ctr"/>
        <c:lblOffset val="100"/>
        <c:noMultiLvlLbl val="0"/>
      </c:catAx>
      <c:valAx>
        <c:axId val="92837760"/>
        <c:scaling>
          <c:orientation val="minMax"/>
        </c:scaling>
        <c:delete val="0"/>
        <c:axPos val="l"/>
        <c:majorGridlines/>
        <c:title>
          <c:tx>
            <c:rich>
              <a:bodyPr/>
              <a:lstStyle/>
              <a:p>
                <a:pPr>
                  <a:defRPr/>
                </a:pPr>
                <a:r>
                  <a:rPr lang="en-AU" sz="1100" b="0"/>
                  <a:t>Number of vehicles</a:t>
                </a:r>
              </a:p>
            </c:rich>
          </c:tx>
          <c:layout/>
          <c:overlay val="0"/>
        </c:title>
        <c:numFmt formatCode="0.0000" sourceLinked="1"/>
        <c:majorTickMark val="none"/>
        <c:minorTickMark val="none"/>
        <c:tickLblPos val="nextTo"/>
        <c:crossAx val="9283584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0.34606</cdr:x>
      <cdr:y>0.11501</cdr:y>
    </cdr:from>
    <cdr:to>
      <cdr:x>0.96607</cdr:x>
      <cdr:y>0.75135</cdr:y>
    </cdr:to>
    <cdr:sp macro="" textlink="">
      <cdr:nvSpPr>
        <cdr:cNvPr id="4" name="Rectangle 3"/>
        <cdr:cNvSpPr/>
      </cdr:nvSpPr>
      <cdr:spPr>
        <a:xfrm xmlns:a="http://schemas.openxmlformats.org/drawingml/2006/main">
          <a:off x="1983443" y="476868"/>
          <a:ext cx="3553598" cy="2638367"/>
        </a:xfrm>
        <a:prstGeom xmlns:a="http://schemas.openxmlformats.org/drawingml/2006/main" prst="rect">
          <a:avLst/>
        </a:prstGeom>
        <a:solidFill xmlns:a="http://schemas.openxmlformats.org/drawingml/2006/main">
          <a:schemeClr val="bg1">
            <a:lumMod val="75000"/>
            <a:alpha val="25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0.63158</cdr:x>
      <cdr:y>0.14323</cdr:y>
    </cdr:from>
    <cdr:to>
      <cdr:x>0.7648</cdr:x>
      <cdr:y>0.22917</cdr:y>
    </cdr:to>
    <cdr:sp macro="" textlink="">
      <cdr:nvSpPr>
        <cdr:cNvPr id="6" name="TextBox 5"/>
        <cdr:cNvSpPr txBox="1"/>
      </cdr:nvSpPr>
      <cdr:spPr>
        <a:xfrm xmlns:a="http://schemas.openxmlformats.org/drawingml/2006/main">
          <a:off x="3657599" y="523875"/>
          <a:ext cx="7715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Forecast</a:t>
          </a:r>
        </a:p>
      </cdr:txBody>
    </cdr:sp>
  </cdr:relSizeAnchor>
</c:userShapes>
</file>

<file path=word/drawings/drawing2.xml><?xml version="1.0" encoding="utf-8"?>
<c:userShapes xmlns:c="http://schemas.openxmlformats.org/drawingml/2006/chart">
  <cdr:relSizeAnchor xmlns:cdr="http://schemas.openxmlformats.org/drawingml/2006/chartDrawing">
    <cdr:from>
      <cdr:x>0.58059</cdr:x>
      <cdr:y>0.26302</cdr:y>
    </cdr:from>
    <cdr:to>
      <cdr:x>0.77138</cdr:x>
      <cdr:y>0.32292</cdr:y>
    </cdr:to>
    <cdr:sp macro="" textlink="">
      <cdr:nvSpPr>
        <cdr:cNvPr id="5" name="TextBox 4"/>
        <cdr:cNvSpPr txBox="1"/>
      </cdr:nvSpPr>
      <cdr:spPr>
        <a:xfrm xmlns:a="http://schemas.openxmlformats.org/drawingml/2006/main">
          <a:off x="3362324" y="962025"/>
          <a:ext cx="11049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1407D-82C5-4E87-BBA5-65252A66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32697</Words>
  <Characters>186376</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218636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KDeer</dc:creator>
  <cp:lastModifiedBy>Kate Deer</cp:lastModifiedBy>
  <cp:revision>3</cp:revision>
  <cp:lastPrinted>2013-04-02T21:28:00Z</cp:lastPrinted>
  <dcterms:created xsi:type="dcterms:W3CDTF">2013-12-20T00:19:00Z</dcterms:created>
  <dcterms:modified xsi:type="dcterms:W3CDTF">2013-12-20T00:38:00Z</dcterms:modified>
</cp:coreProperties>
</file>