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281FC" w14:textId="77777777" w:rsidR="003B7524" w:rsidRDefault="003B7524" w:rsidP="003B7524">
      <w:pPr>
        <w:rPr>
          <w:b/>
        </w:rPr>
      </w:pPr>
    </w:p>
    <w:p w14:paraId="40015B5E" w14:textId="77777777" w:rsidR="003B7524" w:rsidRDefault="003B7524" w:rsidP="003B7524">
      <w:pPr>
        <w:rPr>
          <w:b/>
        </w:rPr>
      </w:pPr>
    </w:p>
    <w:p w14:paraId="0F1AEF2E" w14:textId="77777777" w:rsidR="003B7524" w:rsidRDefault="003B7524" w:rsidP="003B7524">
      <w:pPr>
        <w:rPr>
          <w:b/>
        </w:rPr>
      </w:pPr>
    </w:p>
    <w:p w14:paraId="17567CDF" w14:textId="77777777" w:rsidR="003B7524" w:rsidRDefault="00232AD4" w:rsidP="003B7524">
      <w:pPr>
        <w:tabs>
          <w:tab w:val="right" w:pos="8312"/>
        </w:tabs>
        <w:rPr>
          <w:b/>
        </w:rPr>
      </w:pPr>
      <w:r>
        <w:rPr>
          <w:b/>
          <w:noProof/>
        </w:rPr>
        <w:pict w14:anchorId="5920D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.85pt;margin-top:-10.8pt;width:250.6pt;height:63.95pt;z-index:251657728">
            <v:imagedata r:id="rId8" o:title="AUSTRAC_L2"/>
          </v:shape>
        </w:pict>
      </w:r>
      <w:r w:rsidR="003B7524">
        <w:rPr>
          <w:b/>
        </w:rPr>
        <w:tab/>
      </w:r>
    </w:p>
    <w:p w14:paraId="6C014396" w14:textId="77777777" w:rsidR="003B7524" w:rsidRDefault="003B7524" w:rsidP="003B7524">
      <w:pPr>
        <w:rPr>
          <w:b/>
        </w:rPr>
      </w:pPr>
    </w:p>
    <w:p w14:paraId="078AC3C3" w14:textId="77777777" w:rsidR="003B7524" w:rsidRDefault="003B7524" w:rsidP="003B7524">
      <w:pPr>
        <w:rPr>
          <w:b/>
        </w:rPr>
      </w:pPr>
    </w:p>
    <w:p w14:paraId="7184C376" w14:textId="77777777" w:rsidR="003B7524" w:rsidRPr="00102477" w:rsidRDefault="003B7524" w:rsidP="003B7524">
      <w:pPr>
        <w:rPr>
          <w:b/>
        </w:rPr>
      </w:pPr>
    </w:p>
    <w:p w14:paraId="0D4B8BD8" w14:textId="77777777" w:rsidR="003B7524" w:rsidRDefault="003B7524" w:rsidP="003B7524">
      <w:pPr>
        <w:autoSpaceDE w:val="0"/>
        <w:autoSpaceDN w:val="0"/>
        <w:adjustRightInd w:val="0"/>
        <w:rPr>
          <w:b/>
        </w:rPr>
      </w:pPr>
    </w:p>
    <w:p w14:paraId="26408841" w14:textId="77777777" w:rsidR="003B7524" w:rsidRDefault="003B7524" w:rsidP="003B7524">
      <w:pPr>
        <w:autoSpaceDE w:val="0"/>
        <w:autoSpaceDN w:val="0"/>
        <w:adjustRightInd w:val="0"/>
        <w:rPr>
          <w:b/>
        </w:rPr>
      </w:pPr>
    </w:p>
    <w:p w14:paraId="14B7F497" w14:textId="77777777" w:rsidR="003B7524" w:rsidRDefault="003B7524" w:rsidP="003B7524"/>
    <w:p w14:paraId="702F0990" w14:textId="77777777" w:rsidR="003B7524" w:rsidRDefault="003B7524" w:rsidP="003B7524"/>
    <w:p w14:paraId="578EC8CE" w14:textId="77777777" w:rsidR="003B7524" w:rsidRDefault="003B7524" w:rsidP="003B7524"/>
    <w:p w14:paraId="1BBA6B78" w14:textId="3BE59258" w:rsidR="003B7524" w:rsidRPr="00BF4F6F" w:rsidRDefault="003B7524" w:rsidP="003B7524">
      <w:pPr>
        <w:tabs>
          <w:tab w:val="left" w:pos="360"/>
          <w:tab w:val="left" w:pos="1080"/>
          <w:tab w:val="left" w:pos="3600"/>
        </w:tabs>
        <w:jc w:val="center"/>
        <w:rPr>
          <w:rFonts w:ascii="Times New Roman" w:hAnsi="Times New Roman"/>
          <w:b/>
          <w:sz w:val="24"/>
        </w:rPr>
      </w:pPr>
      <w:r w:rsidRPr="00BF4F6F">
        <w:rPr>
          <w:rFonts w:ascii="Times New Roman" w:hAnsi="Times New Roman"/>
          <w:b/>
          <w:sz w:val="24"/>
        </w:rPr>
        <w:t xml:space="preserve">Explanatory </w:t>
      </w:r>
      <w:r w:rsidR="003C0500" w:rsidRPr="00BF4F6F">
        <w:rPr>
          <w:rFonts w:ascii="Times New Roman" w:hAnsi="Times New Roman"/>
          <w:b/>
          <w:sz w:val="24"/>
        </w:rPr>
        <w:t xml:space="preserve">Statement </w:t>
      </w:r>
      <w:r w:rsidRPr="00BF4F6F">
        <w:rPr>
          <w:rFonts w:ascii="Times New Roman" w:hAnsi="Times New Roman"/>
          <w:b/>
          <w:sz w:val="24"/>
        </w:rPr>
        <w:t xml:space="preserve">– </w:t>
      </w:r>
      <w:r w:rsidR="00134CA6" w:rsidRPr="00BF4F6F">
        <w:rPr>
          <w:rFonts w:ascii="Times New Roman" w:hAnsi="Times New Roman"/>
          <w:b/>
          <w:i/>
          <w:sz w:val="24"/>
        </w:rPr>
        <w:t xml:space="preserve">Anti-Money </w:t>
      </w:r>
      <w:proofErr w:type="gramStart"/>
      <w:r w:rsidR="00134CA6" w:rsidRPr="00BF4F6F">
        <w:rPr>
          <w:rFonts w:ascii="Times New Roman" w:hAnsi="Times New Roman"/>
          <w:b/>
          <w:i/>
          <w:sz w:val="24"/>
        </w:rPr>
        <w:t>Laundering</w:t>
      </w:r>
      <w:proofErr w:type="gramEnd"/>
      <w:r w:rsidR="00134CA6" w:rsidRPr="00BF4F6F">
        <w:rPr>
          <w:rFonts w:ascii="Times New Roman" w:hAnsi="Times New Roman"/>
          <w:b/>
          <w:i/>
          <w:sz w:val="24"/>
        </w:rPr>
        <w:t xml:space="preserve"> and Counter-Terrorism Financing Rules </w:t>
      </w:r>
      <w:r w:rsidR="00856FD6" w:rsidRPr="00BF4F6F">
        <w:rPr>
          <w:rFonts w:ascii="Times New Roman" w:hAnsi="Times New Roman"/>
          <w:b/>
          <w:i/>
          <w:sz w:val="24"/>
        </w:rPr>
        <w:t>Amendment Instrument 201</w:t>
      </w:r>
      <w:r w:rsidR="002C75DD">
        <w:rPr>
          <w:rFonts w:ascii="Times New Roman" w:hAnsi="Times New Roman"/>
          <w:b/>
          <w:i/>
          <w:sz w:val="24"/>
        </w:rPr>
        <w:t>4</w:t>
      </w:r>
      <w:r w:rsidR="00856FD6" w:rsidRPr="00BF4F6F">
        <w:rPr>
          <w:rFonts w:ascii="Times New Roman" w:hAnsi="Times New Roman"/>
          <w:b/>
          <w:i/>
          <w:sz w:val="24"/>
        </w:rPr>
        <w:t xml:space="preserve"> (No. </w:t>
      </w:r>
      <w:r w:rsidR="002C75DD">
        <w:rPr>
          <w:rFonts w:ascii="Times New Roman" w:hAnsi="Times New Roman"/>
          <w:b/>
          <w:i/>
          <w:sz w:val="24"/>
        </w:rPr>
        <w:t>1</w:t>
      </w:r>
      <w:r w:rsidR="00134CA6" w:rsidRPr="00BF4F6F">
        <w:rPr>
          <w:rFonts w:ascii="Times New Roman" w:hAnsi="Times New Roman"/>
          <w:b/>
          <w:i/>
          <w:sz w:val="24"/>
        </w:rPr>
        <w:t xml:space="preserve">) </w:t>
      </w:r>
      <w:r w:rsidR="00134CA6" w:rsidRPr="00BF4F6F">
        <w:rPr>
          <w:rFonts w:ascii="Times New Roman" w:hAnsi="Times New Roman"/>
          <w:b/>
          <w:sz w:val="24"/>
        </w:rPr>
        <w:t xml:space="preserve">amending the </w:t>
      </w:r>
      <w:r w:rsidRPr="00BF4F6F">
        <w:rPr>
          <w:rFonts w:ascii="Times New Roman" w:hAnsi="Times New Roman"/>
          <w:b/>
          <w:i/>
          <w:sz w:val="24"/>
        </w:rPr>
        <w:t xml:space="preserve">Anti-Money Laundering and Counter-Terrorism Financing Rules Instrument 2007 (No. 1) </w:t>
      </w:r>
    </w:p>
    <w:p w14:paraId="59B98BE5" w14:textId="77777777" w:rsidR="003B7524" w:rsidRDefault="003B7524" w:rsidP="003B7524">
      <w:pPr>
        <w:rPr>
          <w:rFonts w:ascii="Times New Roman" w:hAnsi="Times New Roman"/>
          <w:b/>
          <w:sz w:val="24"/>
        </w:rPr>
      </w:pPr>
    </w:p>
    <w:p w14:paraId="3E38BDF6" w14:textId="77777777" w:rsidR="003B7524" w:rsidRPr="00F0454D" w:rsidRDefault="003B7524" w:rsidP="003B7524">
      <w:pPr>
        <w:rPr>
          <w:rFonts w:ascii="Times New Roman" w:hAnsi="Times New Roman"/>
          <w:b/>
          <w:sz w:val="24"/>
        </w:rPr>
      </w:pPr>
    </w:p>
    <w:p w14:paraId="21DC642E" w14:textId="5C796016" w:rsidR="003B7524" w:rsidRPr="00F0454D" w:rsidRDefault="003B7524" w:rsidP="003B7524">
      <w:pPr>
        <w:ind w:left="720" w:hanging="720"/>
        <w:rPr>
          <w:rFonts w:ascii="Times New Roman" w:hAnsi="Times New Roman"/>
          <w:b/>
          <w:sz w:val="24"/>
        </w:rPr>
      </w:pPr>
      <w:r w:rsidRPr="00F0454D">
        <w:rPr>
          <w:rFonts w:ascii="Times New Roman" w:hAnsi="Times New Roman"/>
          <w:b/>
          <w:sz w:val="24"/>
        </w:rPr>
        <w:t>1.</w:t>
      </w:r>
      <w:r w:rsidRPr="00F0454D">
        <w:rPr>
          <w:rFonts w:ascii="Times New Roman" w:hAnsi="Times New Roman"/>
          <w:b/>
          <w:sz w:val="24"/>
        </w:rPr>
        <w:tab/>
        <w:t>Purpose and operation of An</w:t>
      </w:r>
      <w:r w:rsidR="00F7392E">
        <w:rPr>
          <w:rFonts w:ascii="Times New Roman" w:hAnsi="Times New Roman"/>
          <w:b/>
          <w:sz w:val="24"/>
        </w:rPr>
        <w:t>ti-Money Laundering</w:t>
      </w:r>
      <w:r w:rsidR="009808DB">
        <w:rPr>
          <w:rFonts w:ascii="Times New Roman" w:hAnsi="Times New Roman"/>
          <w:b/>
          <w:sz w:val="24"/>
        </w:rPr>
        <w:t>/</w:t>
      </w:r>
      <w:r w:rsidR="00F7392E">
        <w:rPr>
          <w:rFonts w:ascii="Times New Roman" w:hAnsi="Times New Roman"/>
          <w:b/>
          <w:sz w:val="24"/>
        </w:rPr>
        <w:t>Counter</w:t>
      </w:r>
      <w:r w:rsidR="00F7392E">
        <w:rPr>
          <w:rFonts w:ascii="Times New Roman" w:hAnsi="Times New Roman"/>
          <w:b/>
          <w:sz w:val="24"/>
        </w:rPr>
        <w:noBreakHyphen/>
      </w:r>
      <w:r w:rsidRPr="00F0454D">
        <w:rPr>
          <w:rFonts w:ascii="Times New Roman" w:hAnsi="Times New Roman"/>
          <w:b/>
          <w:sz w:val="24"/>
        </w:rPr>
        <w:t xml:space="preserve">Terrorism Financing Rules (AML/CTF Rules) </w:t>
      </w:r>
      <w:r w:rsidR="00285882">
        <w:rPr>
          <w:rFonts w:ascii="Times New Roman" w:hAnsi="Times New Roman"/>
          <w:b/>
          <w:sz w:val="24"/>
        </w:rPr>
        <w:t xml:space="preserve">amending </w:t>
      </w:r>
      <w:r w:rsidR="004D29B8">
        <w:rPr>
          <w:rFonts w:ascii="Times New Roman" w:hAnsi="Times New Roman"/>
          <w:b/>
          <w:sz w:val="24"/>
        </w:rPr>
        <w:t>Chapter</w:t>
      </w:r>
      <w:r w:rsidR="0029686B">
        <w:rPr>
          <w:rFonts w:ascii="Times New Roman" w:hAnsi="Times New Roman"/>
          <w:b/>
          <w:sz w:val="24"/>
        </w:rPr>
        <w:t xml:space="preserve"> 1</w:t>
      </w:r>
      <w:r w:rsidR="0030571B">
        <w:rPr>
          <w:rFonts w:ascii="Times New Roman" w:hAnsi="Times New Roman"/>
          <w:b/>
          <w:sz w:val="24"/>
        </w:rPr>
        <w:t xml:space="preserve"> </w:t>
      </w:r>
      <w:r w:rsidR="00BF0E87">
        <w:rPr>
          <w:rFonts w:ascii="Times New Roman" w:hAnsi="Times New Roman"/>
          <w:b/>
          <w:sz w:val="24"/>
        </w:rPr>
        <w:t>and adding Chapter 69.</w:t>
      </w:r>
      <w:r w:rsidR="00285882">
        <w:rPr>
          <w:rFonts w:ascii="Times New Roman" w:hAnsi="Times New Roman"/>
          <w:b/>
          <w:sz w:val="24"/>
        </w:rPr>
        <w:t xml:space="preserve"> </w:t>
      </w:r>
    </w:p>
    <w:p w14:paraId="1EFBFC13" w14:textId="77777777" w:rsidR="003B7524" w:rsidRPr="00F0454D" w:rsidRDefault="003B7524" w:rsidP="003B7524">
      <w:pPr>
        <w:rPr>
          <w:rFonts w:ascii="Times New Roman" w:hAnsi="Times New Roman"/>
          <w:b/>
          <w:sz w:val="24"/>
        </w:rPr>
      </w:pPr>
    </w:p>
    <w:p w14:paraId="440223B1" w14:textId="77777777" w:rsidR="003B7524" w:rsidRDefault="003B7524" w:rsidP="00F7392E">
      <w:pPr>
        <w:numPr>
          <w:ilvl w:val="0"/>
          <w:numId w:val="2"/>
        </w:numPr>
        <w:autoSpaceDE w:val="0"/>
        <w:autoSpaceDN w:val="0"/>
        <w:adjustRightInd w:val="0"/>
        <w:ind w:hanging="720"/>
        <w:rPr>
          <w:rFonts w:ascii="Times New Roman" w:hAnsi="Times New Roman"/>
          <w:sz w:val="24"/>
        </w:rPr>
      </w:pPr>
      <w:r w:rsidRPr="00F0454D">
        <w:rPr>
          <w:rFonts w:ascii="Times New Roman" w:hAnsi="Times New Roman"/>
          <w:sz w:val="24"/>
        </w:rPr>
        <w:t xml:space="preserve">Section 229 of the </w:t>
      </w:r>
      <w:r w:rsidRPr="00F0454D">
        <w:rPr>
          <w:rFonts w:ascii="Times New Roman" w:hAnsi="Times New Roman"/>
          <w:i/>
          <w:sz w:val="24"/>
        </w:rPr>
        <w:t>Anti-Money Laundering and Counter-Terrorism Financing Act 2006</w:t>
      </w:r>
      <w:r w:rsidRPr="00F0454D">
        <w:rPr>
          <w:rFonts w:ascii="Times New Roman" w:hAnsi="Times New Roman"/>
          <w:sz w:val="24"/>
        </w:rPr>
        <w:t xml:space="preserve"> (</w:t>
      </w:r>
      <w:smartTag w:uri="urn:schemas-microsoft-com:office:smarttags" w:element="stockticker">
        <w:r w:rsidRPr="00F0454D">
          <w:rPr>
            <w:rFonts w:ascii="Times New Roman" w:hAnsi="Times New Roman"/>
            <w:sz w:val="24"/>
          </w:rPr>
          <w:t>AML</w:t>
        </w:r>
      </w:smartTag>
      <w:r w:rsidRPr="00F0454D">
        <w:rPr>
          <w:rFonts w:ascii="Times New Roman" w:hAnsi="Times New Roman"/>
          <w:sz w:val="24"/>
        </w:rPr>
        <w:t>/CTF Act) pr</w:t>
      </w:r>
      <w:bookmarkStart w:id="0" w:name="_GoBack"/>
      <w:bookmarkEnd w:id="0"/>
      <w:r w:rsidRPr="00F0454D">
        <w:rPr>
          <w:rFonts w:ascii="Times New Roman" w:hAnsi="Times New Roman"/>
          <w:sz w:val="24"/>
        </w:rPr>
        <w:t xml:space="preserve">ovides that the AUSTRAC Chief Executive Officer </w:t>
      </w:r>
      <w:r>
        <w:rPr>
          <w:rFonts w:ascii="Times New Roman" w:hAnsi="Times New Roman"/>
          <w:sz w:val="24"/>
        </w:rPr>
        <w:t xml:space="preserve">(AUSTRAC CEO) </w:t>
      </w:r>
      <w:r w:rsidR="009531E4">
        <w:rPr>
          <w:rFonts w:ascii="Times New Roman" w:hAnsi="Times New Roman"/>
          <w:sz w:val="24"/>
        </w:rPr>
        <w:t>may, b</w:t>
      </w:r>
      <w:r w:rsidRPr="00F0454D">
        <w:rPr>
          <w:rFonts w:ascii="Times New Roman" w:hAnsi="Times New Roman"/>
          <w:sz w:val="24"/>
        </w:rPr>
        <w:t xml:space="preserve">y writing, make AML/CTF Rules prescribing matters required or permitted by any other provision of the </w:t>
      </w:r>
      <w:smartTag w:uri="urn:schemas-microsoft-com:office:smarttags" w:element="stockticker">
        <w:r w:rsidRPr="00F0454D">
          <w:rPr>
            <w:rFonts w:ascii="Times New Roman" w:hAnsi="Times New Roman"/>
            <w:sz w:val="24"/>
          </w:rPr>
          <w:t>AML</w:t>
        </w:r>
      </w:smartTag>
      <w:r w:rsidRPr="00F0454D">
        <w:rPr>
          <w:rFonts w:ascii="Times New Roman" w:hAnsi="Times New Roman"/>
          <w:sz w:val="24"/>
        </w:rPr>
        <w:t>/CTF Act.</w:t>
      </w:r>
    </w:p>
    <w:p w14:paraId="21201F62" w14:textId="77777777" w:rsidR="00285882" w:rsidRDefault="00285882" w:rsidP="00A44FB5">
      <w:pPr>
        <w:ind w:left="720" w:hanging="720"/>
        <w:rPr>
          <w:rFonts w:ascii="Times New Roman" w:hAnsi="Times New Roman"/>
          <w:sz w:val="24"/>
        </w:rPr>
      </w:pPr>
    </w:p>
    <w:p w14:paraId="6860C386" w14:textId="77777777" w:rsidR="00C039F5" w:rsidRDefault="00C039F5" w:rsidP="00C039F5">
      <w:pPr>
        <w:ind w:left="720" w:hanging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Amendment to Chapter 1</w:t>
      </w:r>
    </w:p>
    <w:p w14:paraId="6339CC1C" w14:textId="77777777" w:rsidR="00C039F5" w:rsidRPr="00C039F5" w:rsidRDefault="00C039F5" w:rsidP="00C039F5">
      <w:pPr>
        <w:ind w:left="720" w:hanging="720"/>
        <w:rPr>
          <w:rFonts w:ascii="Times New Roman" w:hAnsi="Times New Roman"/>
          <w:b/>
          <w:sz w:val="24"/>
        </w:rPr>
      </w:pPr>
    </w:p>
    <w:p w14:paraId="3B58459C" w14:textId="2E02DE05" w:rsidR="002700FC" w:rsidRPr="00EF1910" w:rsidRDefault="00C039F5" w:rsidP="00EF1910">
      <w:pPr>
        <w:numPr>
          <w:ilvl w:val="0"/>
          <w:numId w:val="2"/>
        </w:numPr>
        <w:autoSpaceDE w:val="0"/>
        <w:autoSpaceDN w:val="0"/>
        <w:adjustRightInd w:val="0"/>
        <w:ind w:hanging="720"/>
        <w:rPr>
          <w:rFonts w:ascii="Times New Roman" w:hAnsi="Times New Roman"/>
          <w:sz w:val="24"/>
        </w:rPr>
      </w:pPr>
      <w:r w:rsidRPr="00EF1910">
        <w:rPr>
          <w:rFonts w:ascii="Times New Roman" w:hAnsi="Times New Roman"/>
          <w:sz w:val="24"/>
        </w:rPr>
        <w:t xml:space="preserve">Chapter 1 of the </w:t>
      </w:r>
      <w:r w:rsidR="007B404C" w:rsidRPr="00EF1910">
        <w:rPr>
          <w:rFonts w:ascii="Times New Roman" w:hAnsi="Times New Roman"/>
          <w:sz w:val="24"/>
        </w:rPr>
        <w:t xml:space="preserve">AML/CTF Rules contains the key terms and concepts that apply throughout the AML/CTF Rules. The amendment to Chapter 1 amends </w:t>
      </w:r>
      <w:r w:rsidR="000C4CBB" w:rsidRPr="00EF1910">
        <w:rPr>
          <w:rFonts w:ascii="Times New Roman" w:hAnsi="Times New Roman"/>
          <w:sz w:val="24"/>
        </w:rPr>
        <w:t xml:space="preserve">subparagraph (5) of </w:t>
      </w:r>
      <w:r w:rsidR="007B404C" w:rsidRPr="00EF1910">
        <w:rPr>
          <w:rFonts w:ascii="Times New Roman" w:hAnsi="Times New Roman"/>
          <w:sz w:val="24"/>
        </w:rPr>
        <w:t xml:space="preserve">the definition of </w:t>
      </w:r>
      <w:r w:rsidR="002700FC" w:rsidRPr="00EF1910">
        <w:rPr>
          <w:rFonts w:ascii="Times New Roman" w:hAnsi="Times New Roman"/>
          <w:sz w:val="24"/>
        </w:rPr>
        <w:t>‘</w:t>
      </w:r>
      <w:r w:rsidR="007B404C" w:rsidRPr="00EF1910">
        <w:rPr>
          <w:rFonts w:ascii="Times New Roman" w:hAnsi="Times New Roman"/>
          <w:sz w:val="24"/>
        </w:rPr>
        <w:t>primary</w:t>
      </w:r>
      <w:r w:rsidR="000C4CBB" w:rsidRPr="00EF1910">
        <w:rPr>
          <w:rFonts w:ascii="Times New Roman" w:hAnsi="Times New Roman"/>
          <w:sz w:val="24"/>
        </w:rPr>
        <w:t xml:space="preserve"> non-photographic identification document</w:t>
      </w:r>
      <w:r w:rsidR="002700FC" w:rsidRPr="00EF1910">
        <w:rPr>
          <w:rFonts w:ascii="Times New Roman" w:hAnsi="Times New Roman"/>
          <w:sz w:val="24"/>
        </w:rPr>
        <w:t xml:space="preserve">’ </w:t>
      </w:r>
      <w:r w:rsidR="006E51E2">
        <w:rPr>
          <w:rFonts w:ascii="Times New Roman" w:hAnsi="Times New Roman"/>
          <w:sz w:val="24"/>
        </w:rPr>
        <w:t xml:space="preserve">in order to </w:t>
      </w:r>
      <w:r w:rsidR="002700FC" w:rsidRPr="00EF1910">
        <w:rPr>
          <w:rFonts w:ascii="Times New Roman" w:hAnsi="Times New Roman"/>
          <w:sz w:val="24"/>
        </w:rPr>
        <w:t xml:space="preserve">remove any doubt over whether </w:t>
      </w:r>
      <w:r w:rsidR="00EF1910">
        <w:rPr>
          <w:rFonts w:ascii="Times New Roman" w:hAnsi="Times New Roman"/>
          <w:sz w:val="24"/>
        </w:rPr>
        <w:t>‘</w:t>
      </w:r>
      <w:r w:rsidR="002700FC" w:rsidRPr="00EF1910">
        <w:rPr>
          <w:rFonts w:ascii="Times New Roman" w:hAnsi="Times New Roman"/>
          <w:sz w:val="24"/>
        </w:rPr>
        <w:t>health care cards</w:t>
      </w:r>
      <w:r w:rsidR="0030571B">
        <w:rPr>
          <w:rFonts w:ascii="Times New Roman" w:hAnsi="Times New Roman"/>
          <w:sz w:val="24"/>
        </w:rPr>
        <w:t>’</w:t>
      </w:r>
      <w:r w:rsidR="002700FC" w:rsidRPr="00EF1910">
        <w:rPr>
          <w:rFonts w:ascii="Times New Roman" w:hAnsi="Times New Roman"/>
          <w:sz w:val="24"/>
        </w:rPr>
        <w:t xml:space="preserve"> are within the scope of the definition, as the </w:t>
      </w:r>
      <w:r w:rsidR="002700FC" w:rsidRPr="00EF1910">
        <w:rPr>
          <w:rFonts w:ascii="Times New Roman" w:hAnsi="Times New Roman"/>
          <w:i/>
          <w:sz w:val="24"/>
        </w:rPr>
        <w:t>Social Security Act 1991</w:t>
      </w:r>
      <w:r w:rsidR="002700FC" w:rsidRPr="00EF1910">
        <w:rPr>
          <w:rFonts w:ascii="Times New Roman" w:hAnsi="Times New Roman"/>
          <w:sz w:val="24"/>
        </w:rPr>
        <w:t xml:space="preserve"> defines </w:t>
      </w:r>
      <w:r w:rsidR="00EF1910">
        <w:rPr>
          <w:rFonts w:ascii="Times New Roman" w:hAnsi="Times New Roman"/>
          <w:sz w:val="24"/>
        </w:rPr>
        <w:t>‘</w:t>
      </w:r>
      <w:r w:rsidR="002700FC" w:rsidRPr="00EF1910">
        <w:rPr>
          <w:rFonts w:ascii="Times New Roman" w:hAnsi="Times New Roman"/>
          <w:sz w:val="24"/>
        </w:rPr>
        <w:t>concession cards</w:t>
      </w:r>
      <w:r w:rsidR="00EF1910">
        <w:rPr>
          <w:rFonts w:ascii="Times New Roman" w:hAnsi="Times New Roman"/>
          <w:sz w:val="24"/>
        </w:rPr>
        <w:t>’</w:t>
      </w:r>
      <w:r w:rsidR="002700FC" w:rsidRPr="00EF1910">
        <w:rPr>
          <w:rFonts w:ascii="Times New Roman" w:hAnsi="Times New Roman"/>
          <w:sz w:val="24"/>
        </w:rPr>
        <w:t xml:space="preserve"> as </w:t>
      </w:r>
      <w:r w:rsidR="00EF1910">
        <w:rPr>
          <w:rFonts w:ascii="Times New Roman" w:hAnsi="Times New Roman"/>
          <w:sz w:val="24"/>
        </w:rPr>
        <w:t>being:</w:t>
      </w:r>
    </w:p>
    <w:p w14:paraId="447339AE" w14:textId="77777777" w:rsidR="002700FC" w:rsidRPr="002700FC" w:rsidRDefault="002700FC" w:rsidP="002700FC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</w:rPr>
      </w:pPr>
    </w:p>
    <w:p w14:paraId="1378910B" w14:textId="6A39DA2E" w:rsidR="002700FC" w:rsidRPr="002700FC" w:rsidRDefault="00EF1910" w:rsidP="002700FC">
      <w:pPr>
        <w:autoSpaceDE w:val="0"/>
        <w:autoSpaceDN w:val="0"/>
        <w:adjustRightInd w:val="0"/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2700FC" w:rsidRPr="002700FC">
        <w:rPr>
          <w:rFonts w:ascii="Times New Roman" w:hAnsi="Times New Roman"/>
          <w:sz w:val="24"/>
        </w:rPr>
        <w:t>a)</w:t>
      </w:r>
      <w:r w:rsidR="002700FC" w:rsidRPr="002700FC">
        <w:rPr>
          <w:rFonts w:ascii="Times New Roman" w:hAnsi="Times New Roman"/>
          <w:sz w:val="24"/>
        </w:rPr>
        <w:tab/>
        <w:t>a pensioner concession card; or</w:t>
      </w:r>
    </w:p>
    <w:p w14:paraId="13611BC1" w14:textId="77777777" w:rsidR="002700FC" w:rsidRPr="002700FC" w:rsidRDefault="002700FC" w:rsidP="002700FC">
      <w:pPr>
        <w:autoSpaceDE w:val="0"/>
        <w:autoSpaceDN w:val="0"/>
        <w:adjustRightInd w:val="0"/>
        <w:ind w:left="720" w:firstLine="720"/>
        <w:rPr>
          <w:rFonts w:ascii="Times New Roman" w:hAnsi="Times New Roman"/>
          <w:sz w:val="24"/>
        </w:rPr>
      </w:pPr>
      <w:r w:rsidRPr="002700FC">
        <w:rPr>
          <w:rFonts w:ascii="Times New Roman" w:hAnsi="Times New Roman"/>
          <w:sz w:val="24"/>
        </w:rPr>
        <w:t>(b)</w:t>
      </w:r>
      <w:r w:rsidRPr="002700FC">
        <w:rPr>
          <w:rFonts w:ascii="Times New Roman" w:hAnsi="Times New Roman"/>
          <w:sz w:val="24"/>
        </w:rPr>
        <w:tab/>
        <w:t>a health care card; or</w:t>
      </w:r>
    </w:p>
    <w:p w14:paraId="0F727CE7" w14:textId="77777777" w:rsidR="00C039F5" w:rsidRPr="00393D2A" w:rsidRDefault="002700FC" w:rsidP="002700FC">
      <w:pPr>
        <w:autoSpaceDE w:val="0"/>
        <w:autoSpaceDN w:val="0"/>
        <w:adjustRightInd w:val="0"/>
        <w:ind w:left="720" w:firstLine="720"/>
        <w:rPr>
          <w:rFonts w:ascii="Times New Roman" w:hAnsi="Times New Roman"/>
          <w:b/>
          <w:sz w:val="24"/>
        </w:rPr>
      </w:pPr>
      <w:r w:rsidRPr="002700FC">
        <w:rPr>
          <w:rFonts w:ascii="Times New Roman" w:hAnsi="Times New Roman"/>
          <w:sz w:val="24"/>
        </w:rPr>
        <w:t>(c)</w:t>
      </w:r>
      <w:r w:rsidRPr="002700FC">
        <w:rPr>
          <w:rFonts w:ascii="Times New Roman" w:hAnsi="Times New Roman"/>
          <w:sz w:val="24"/>
        </w:rPr>
        <w:tab/>
        <w:t>a seniors health card.</w:t>
      </w:r>
    </w:p>
    <w:p w14:paraId="362E6FD4" w14:textId="77777777" w:rsidR="00393D2A" w:rsidRPr="00393D2A" w:rsidRDefault="00393D2A" w:rsidP="00393D2A">
      <w:pPr>
        <w:ind w:left="720" w:hanging="720"/>
        <w:rPr>
          <w:rFonts w:ascii="Times New Roman" w:hAnsi="Times New Roman"/>
          <w:sz w:val="24"/>
        </w:rPr>
      </w:pPr>
    </w:p>
    <w:p w14:paraId="2E84DD8D" w14:textId="77777777" w:rsidR="004D29B8" w:rsidRPr="008F5EA5" w:rsidRDefault="00393D2A" w:rsidP="00A44FB5">
      <w:pPr>
        <w:ind w:left="720" w:hanging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Addition of</w:t>
      </w:r>
      <w:r w:rsidR="004D29B8" w:rsidRPr="008F5EA5">
        <w:rPr>
          <w:rFonts w:ascii="Times New Roman" w:hAnsi="Times New Roman"/>
          <w:b/>
          <w:sz w:val="24"/>
        </w:rPr>
        <w:t xml:space="preserve"> Chapter </w:t>
      </w:r>
      <w:r>
        <w:rPr>
          <w:rFonts w:ascii="Times New Roman" w:hAnsi="Times New Roman"/>
          <w:b/>
          <w:sz w:val="24"/>
        </w:rPr>
        <w:t>69</w:t>
      </w:r>
    </w:p>
    <w:p w14:paraId="3A343347" w14:textId="77777777" w:rsidR="004D29B8" w:rsidRDefault="004D29B8" w:rsidP="00A44FB5">
      <w:pPr>
        <w:ind w:left="720" w:hanging="720"/>
        <w:rPr>
          <w:rFonts w:ascii="Times New Roman" w:hAnsi="Times New Roman"/>
          <w:sz w:val="24"/>
        </w:rPr>
      </w:pPr>
    </w:p>
    <w:p w14:paraId="7FA00873" w14:textId="2B7B0839" w:rsidR="00345CA1" w:rsidRDefault="00433B24" w:rsidP="009671EF">
      <w:pPr>
        <w:numPr>
          <w:ilvl w:val="0"/>
          <w:numId w:val="2"/>
        </w:numPr>
        <w:autoSpaceDE w:val="0"/>
        <w:autoSpaceDN w:val="0"/>
        <w:adjustRightInd w:val="0"/>
        <w:ind w:hanging="720"/>
        <w:rPr>
          <w:rFonts w:ascii="Times New Roman" w:hAnsi="Times New Roman"/>
          <w:sz w:val="24"/>
        </w:rPr>
      </w:pPr>
      <w:r w:rsidRPr="00433B24">
        <w:rPr>
          <w:rFonts w:ascii="Times New Roman" w:hAnsi="Times New Roman"/>
          <w:sz w:val="24"/>
        </w:rPr>
        <w:t xml:space="preserve">Chapter </w:t>
      </w:r>
      <w:r w:rsidR="00393D2A">
        <w:rPr>
          <w:rFonts w:ascii="Times New Roman" w:hAnsi="Times New Roman"/>
          <w:sz w:val="24"/>
        </w:rPr>
        <w:t>69</w:t>
      </w:r>
      <w:r w:rsidRPr="00433B24">
        <w:rPr>
          <w:rFonts w:ascii="Times New Roman" w:hAnsi="Times New Roman"/>
          <w:sz w:val="24"/>
        </w:rPr>
        <w:t xml:space="preserve"> of the </w:t>
      </w:r>
      <w:r w:rsidR="00EF1910">
        <w:rPr>
          <w:rFonts w:ascii="Times New Roman" w:hAnsi="Times New Roman"/>
          <w:sz w:val="24"/>
        </w:rPr>
        <w:t xml:space="preserve">AML/CTF Rules </w:t>
      </w:r>
      <w:r w:rsidR="00624DF2" w:rsidRPr="009671EF">
        <w:rPr>
          <w:rFonts w:ascii="Times New Roman" w:hAnsi="Times New Roman"/>
          <w:sz w:val="24"/>
        </w:rPr>
        <w:t>relate</w:t>
      </w:r>
      <w:r w:rsidR="00EF1910">
        <w:rPr>
          <w:rFonts w:ascii="Times New Roman" w:hAnsi="Times New Roman"/>
          <w:sz w:val="24"/>
        </w:rPr>
        <w:t>s</w:t>
      </w:r>
      <w:r w:rsidR="00624DF2" w:rsidRPr="009671EF">
        <w:rPr>
          <w:rFonts w:ascii="Times New Roman" w:hAnsi="Times New Roman"/>
          <w:sz w:val="24"/>
        </w:rPr>
        <w:t xml:space="preserve"> to the prohibition imposed by subsections 74(1), (1A), and (1B) of the AML/CTF Act that </w:t>
      </w:r>
      <w:r w:rsidR="00EF1910">
        <w:rPr>
          <w:rFonts w:ascii="Times New Roman" w:hAnsi="Times New Roman"/>
          <w:sz w:val="24"/>
        </w:rPr>
        <w:t xml:space="preserve">persons not registered on the Remittance Sector Register (RSR) </w:t>
      </w:r>
      <w:r w:rsidR="00624DF2" w:rsidRPr="009671EF">
        <w:rPr>
          <w:rFonts w:ascii="Times New Roman" w:hAnsi="Times New Roman"/>
          <w:sz w:val="24"/>
        </w:rPr>
        <w:t>must not provide remittance services.</w:t>
      </w:r>
      <w:r w:rsidR="00624DF2">
        <w:rPr>
          <w:rFonts w:ascii="Times New Roman" w:hAnsi="Times New Roman"/>
          <w:sz w:val="24"/>
        </w:rPr>
        <w:t xml:space="preserve"> It </w:t>
      </w:r>
      <w:r w:rsidRPr="00433B24">
        <w:rPr>
          <w:rFonts w:ascii="Times New Roman" w:hAnsi="Times New Roman"/>
          <w:sz w:val="24"/>
        </w:rPr>
        <w:t xml:space="preserve">exempts </w:t>
      </w:r>
      <w:r w:rsidR="009671EF">
        <w:rPr>
          <w:rFonts w:ascii="Times New Roman" w:hAnsi="Times New Roman"/>
          <w:sz w:val="24"/>
        </w:rPr>
        <w:t xml:space="preserve">casino licence holders </w:t>
      </w:r>
      <w:r w:rsidR="009671EF" w:rsidRPr="009671EF">
        <w:rPr>
          <w:rFonts w:ascii="Times New Roman" w:hAnsi="Times New Roman"/>
          <w:sz w:val="24"/>
        </w:rPr>
        <w:t>who have been inadvertently caught by th</w:t>
      </w:r>
      <w:r w:rsidR="00EF1910">
        <w:rPr>
          <w:rFonts w:ascii="Times New Roman" w:hAnsi="Times New Roman"/>
          <w:sz w:val="24"/>
        </w:rPr>
        <w:t>e</w:t>
      </w:r>
      <w:r w:rsidR="009671EF" w:rsidRPr="009671EF">
        <w:rPr>
          <w:rFonts w:ascii="Times New Roman" w:hAnsi="Times New Roman"/>
          <w:sz w:val="24"/>
        </w:rPr>
        <w:t>se provisions under the AML/CTF Act</w:t>
      </w:r>
      <w:r w:rsidR="00E07FA9">
        <w:rPr>
          <w:rFonts w:ascii="Times New Roman" w:hAnsi="Times New Roman"/>
          <w:sz w:val="24"/>
        </w:rPr>
        <w:t xml:space="preserve"> from the obligation</w:t>
      </w:r>
      <w:r w:rsidR="009671EF" w:rsidRPr="009671EF">
        <w:rPr>
          <w:rFonts w:ascii="Times New Roman" w:hAnsi="Times New Roman"/>
          <w:sz w:val="24"/>
        </w:rPr>
        <w:t xml:space="preserve"> to be registered on the </w:t>
      </w:r>
      <w:r w:rsidR="00EF1910">
        <w:rPr>
          <w:rFonts w:ascii="Times New Roman" w:hAnsi="Times New Roman"/>
          <w:sz w:val="24"/>
        </w:rPr>
        <w:t>RSR</w:t>
      </w:r>
      <w:r w:rsidR="009671EF">
        <w:rPr>
          <w:rFonts w:ascii="Times New Roman" w:hAnsi="Times New Roman"/>
          <w:sz w:val="24"/>
        </w:rPr>
        <w:t>.</w:t>
      </w:r>
    </w:p>
    <w:p w14:paraId="397125EE" w14:textId="77777777" w:rsidR="009671EF" w:rsidRDefault="009671EF" w:rsidP="009671EF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44C8E291" w14:textId="5C8D417F" w:rsidR="009671EF" w:rsidRPr="009671EF" w:rsidRDefault="00624DF2" w:rsidP="006B520D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</w:t>
      </w:r>
      <w:r w:rsidR="006B520D">
        <w:rPr>
          <w:rFonts w:ascii="Times New Roman" w:hAnsi="Times New Roman"/>
          <w:sz w:val="24"/>
        </w:rPr>
        <w:t>.</w:t>
      </w:r>
      <w:r w:rsidR="006B520D">
        <w:rPr>
          <w:rFonts w:ascii="Times New Roman" w:hAnsi="Times New Roman"/>
          <w:sz w:val="24"/>
        </w:rPr>
        <w:tab/>
      </w:r>
      <w:r w:rsidR="00EF1910">
        <w:rPr>
          <w:rFonts w:ascii="Times New Roman" w:hAnsi="Times New Roman"/>
          <w:sz w:val="24"/>
        </w:rPr>
        <w:t xml:space="preserve">For the exemption to apply the reporting entity must </w:t>
      </w:r>
      <w:r w:rsidR="009671EF" w:rsidRPr="009671EF">
        <w:rPr>
          <w:rFonts w:ascii="Times New Roman" w:hAnsi="Times New Roman"/>
          <w:sz w:val="24"/>
        </w:rPr>
        <w:t xml:space="preserve">hold a casino licence and provide the item 31, item 32 or item 32A designated services of table 1 in subsection 6(2) of the AML/CTF Act </w:t>
      </w:r>
      <w:r w:rsidR="00EF1910">
        <w:rPr>
          <w:rFonts w:ascii="Times New Roman" w:hAnsi="Times New Roman"/>
          <w:sz w:val="24"/>
        </w:rPr>
        <w:t>where</w:t>
      </w:r>
      <w:r w:rsidR="009671EF" w:rsidRPr="009671EF">
        <w:rPr>
          <w:rFonts w:ascii="Times New Roman" w:hAnsi="Times New Roman"/>
          <w:sz w:val="24"/>
        </w:rPr>
        <w:t>:</w:t>
      </w:r>
    </w:p>
    <w:p w14:paraId="69A8BCF9" w14:textId="77777777" w:rsidR="006B520D" w:rsidRDefault="006B520D" w:rsidP="009671EF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</w:rPr>
      </w:pPr>
    </w:p>
    <w:p w14:paraId="096696AB" w14:textId="77777777" w:rsidR="009671EF" w:rsidRDefault="009671EF" w:rsidP="006B520D">
      <w:pPr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9671EF">
        <w:rPr>
          <w:rFonts w:ascii="Times New Roman" w:hAnsi="Times New Roman"/>
          <w:sz w:val="24"/>
        </w:rPr>
        <w:t xml:space="preserve">the designated services are provided in a casino to which the casino licence relates, and </w:t>
      </w:r>
    </w:p>
    <w:p w14:paraId="3FAEDB6A" w14:textId="77777777" w:rsidR="006B520D" w:rsidRPr="009671EF" w:rsidRDefault="006B520D" w:rsidP="006B520D">
      <w:pPr>
        <w:autoSpaceDE w:val="0"/>
        <w:autoSpaceDN w:val="0"/>
        <w:adjustRightInd w:val="0"/>
        <w:ind w:left="2160"/>
        <w:rPr>
          <w:rFonts w:ascii="Times New Roman" w:hAnsi="Times New Roman"/>
          <w:sz w:val="24"/>
        </w:rPr>
      </w:pPr>
    </w:p>
    <w:p w14:paraId="32243B50" w14:textId="77777777" w:rsidR="009671EF" w:rsidRPr="009671EF" w:rsidRDefault="009671EF" w:rsidP="00624DF2">
      <w:pPr>
        <w:autoSpaceDE w:val="0"/>
        <w:autoSpaceDN w:val="0"/>
        <w:adjustRightInd w:val="0"/>
        <w:ind w:left="2160" w:hanging="720"/>
        <w:rPr>
          <w:rFonts w:ascii="Times New Roman" w:hAnsi="Times New Roman"/>
          <w:sz w:val="24"/>
        </w:rPr>
      </w:pPr>
      <w:r w:rsidRPr="009671EF">
        <w:rPr>
          <w:rFonts w:ascii="Times New Roman" w:hAnsi="Times New Roman"/>
          <w:sz w:val="24"/>
        </w:rPr>
        <w:t>(b)</w:t>
      </w:r>
      <w:r w:rsidRPr="009671EF">
        <w:rPr>
          <w:rFonts w:ascii="Times New Roman" w:hAnsi="Times New Roman"/>
          <w:sz w:val="24"/>
        </w:rPr>
        <w:tab/>
        <w:t xml:space="preserve">the designated services are provided in conjunction with a designated service set out in table 3 (gambling services) in subsection 6(4) of the AML/CTF Act. </w:t>
      </w:r>
    </w:p>
    <w:p w14:paraId="330442AE" w14:textId="77777777" w:rsidR="006B520D" w:rsidRDefault="006B520D" w:rsidP="009671EF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457EE627" w14:textId="77777777" w:rsidR="009671EF" w:rsidRDefault="00624DF2" w:rsidP="006B520D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6B520D">
        <w:rPr>
          <w:rFonts w:ascii="Times New Roman" w:hAnsi="Times New Roman"/>
          <w:sz w:val="24"/>
        </w:rPr>
        <w:t>.</w:t>
      </w:r>
      <w:r w:rsidR="006B520D">
        <w:rPr>
          <w:rFonts w:ascii="Times New Roman" w:hAnsi="Times New Roman"/>
          <w:sz w:val="24"/>
        </w:rPr>
        <w:tab/>
      </w:r>
      <w:r w:rsidR="009671EF" w:rsidRPr="009671EF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>se</w:t>
      </w:r>
      <w:r w:rsidR="009671EF" w:rsidRPr="009671EF">
        <w:rPr>
          <w:rFonts w:ascii="Times New Roman" w:hAnsi="Times New Roman"/>
          <w:sz w:val="24"/>
        </w:rPr>
        <w:t xml:space="preserve"> AML/CTF Rules do not exempt casino licence holders from any other provision or obligation of the AML/CTF Act including the reporting obligations specified in Part 3 of the Act (such as the reporting of international funds transfer instructions), and the requirement to be enrolled on the Reporting Entities Roll.</w:t>
      </w:r>
    </w:p>
    <w:p w14:paraId="305030F3" w14:textId="77777777" w:rsidR="009671EF" w:rsidRDefault="009671EF" w:rsidP="009671EF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0F729865" w14:textId="77777777" w:rsidR="00F7392E" w:rsidRDefault="009C7626" w:rsidP="00F7392E">
      <w:pPr>
        <w:rPr>
          <w:rFonts w:ascii="Times New Roman" w:hAnsi="Times New Roman"/>
          <w:b/>
          <w:i/>
          <w:sz w:val="24"/>
          <w:lang w:eastAsia="en-AU"/>
        </w:rPr>
      </w:pPr>
      <w:r>
        <w:rPr>
          <w:rFonts w:ascii="Times New Roman" w:hAnsi="Times New Roman"/>
          <w:b/>
          <w:sz w:val="24"/>
          <w:lang w:eastAsia="en-AU"/>
        </w:rPr>
        <w:t>Statement</w:t>
      </w:r>
      <w:r w:rsidR="00F7392E" w:rsidRPr="00CA142A">
        <w:rPr>
          <w:rFonts w:ascii="Times New Roman" w:hAnsi="Times New Roman"/>
          <w:b/>
          <w:sz w:val="24"/>
          <w:lang w:eastAsia="en-AU"/>
        </w:rPr>
        <w:t xml:space="preserve"> of Compatibility with the </w:t>
      </w:r>
      <w:r w:rsidR="00F7392E" w:rsidRPr="00CA142A">
        <w:rPr>
          <w:rFonts w:ascii="Times New Roman" w:hAnsi="Times New Roman"/>
          <w:b/>
          <w:i/>
          <w:sz w:val="24"/>
          <w:lang w:eastAsia="en-AU"/>
        </w:rPr>
        <w:t>Human Rights (Parliamentary Scrutiny) Act 2011</w:t>
      </w:r>
    </w:p>
    <w:p w14:paraId="3A4D246C" w14:textId="77777777" w:rsidR="003340DB" w:rsidRPr="00CA142A" w:rsidRDefault="003340DB" w:rsidP="00F7392E">
      <w:pPr>
        <w:rPr>
          <w:rFonts w:ascii="Times New Roman" w:hAnsi="Times New Roman"/>
          <w:b/>
          <w:sz w:val="24"/>
          <w:lang w:eastAsia="en-AU"/>
        </w:rPr>
      </w:pPr>
    </w:p>
    <w:p w14:paraId="3C7B12E2" w14:textId="7208D167" w:rsidR="00F7392E" w:rsidRPr="0029686B" w:rsidRDefault="00B05B5F" w:rsidP="00B05B5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ab/>
      </w:r>
      <w:r w:rsidR="00F7392E" w:rsidRPr="0029686B">
        <w:rPr>
          <w:rFonts w:ascii="Times New Roman" w:hAnsi="Times New Roman"/>
          <w:sz w:val="24"/>
        </w:rPr>
        <w:t xml:space="preserve">The </w:t>
      </w:r>
      <w:r w:rsidR="00F7392E" w:rsidRPr="00E07FA9">
        <w:rPr>
          <w:rFonts w:ascii="Times New Roman" w:hAnsi="Times New Roman"/>
          <w:i/>
          <w:sz w:val="24"/>
        </w:rPr>
        <w:t>Human Rights (Parliamentary Scrutiny) Act 2011</w:t>
      </w:r>
      <w:r w:rsidR="00193377" w:rsidRPr="0029686B">
        <w:rPr>
          <w:rFonts w:ascii="Times New Roman" w:hAnsi="Times New Roman"/>
          <w:sz w:val="24"/>
        </w:rPr>
        <w:t xml:space="preserve"> was passed on 25 </w:t>
      </w:r>
      <w:r w:rsidR="00F7392E" w:rsidRPr="0029686B">
        <w:rPr>
          <w:rFonts w:ascii="Times New Roman" w:hAnsi="Times New Roman"/>
          <w:sz w:val="24"/>
        </w:rPr>
        <w:t>November 2011 and came into effect o</w:t>
      </w:r>
      <w:r w:rsidR="006B2808" w:rsidRPr="0029686B">
        <w:rPr>
          <w:rFonts w:ascii="Times New Roman" w:hAnsi="Times New Roman"/>
          <w:sz w:val="24"/>
        </w:rPr>
        <w:t>n 4 January 2012.  It introduced</w:t>
      </w:r>
      <w:r w:rsidR="00F7392E" w:rsidRPr="0029686B">
        <w:rPr>
          <w:rFonts w:ascii="Times New Roman" w:hAnsi="Times New Roman"/>
          <w:sz w:val="24"/>
        </w:rPr>
        <w:t xml:space="preserve"> a requirement for </w:t>
      </w:r>
      <w:r w:rsidR="000D143A" w:rsidRPr="0029686B">
        <w:rPr>
          <w:rFonts w:ascii="Times New Roman" w:hAnsi="Times New Roman"/>
          <w:sz w:val="24"/>
        </w:rPr>
        <w:t>a Statement</w:t>
      </w:r>
      <w:r w:rsidR="00F7392E" w:rsidRPr="0029686B">
        <w:rPr>
          <w:rFonts w:ascii="Times New Roman" w:hAnsi="Times New Roman"/>
          <w:sz w:val="24"/>
        </w:rPr>
        <w:t xml:space="preserve"> of Compatibility to accompany all new Bills and disallowable legislative instruments. </w:t>
      </w:r>
    </w:p>
    <w:p w14:paraId="58904529" w14:textId="77777777" w:rsidR="00F7392E" w:rsidRPr="0029686B" w:rsidRDefault="00F7392E" w:rsidP="0029686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31BA26AA" w14:textId="46018ADD" w:rsidR="00F7392E" w:rsidRDefault="00B05B5F" w:rsidP="00B05B5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</w:rPr>
        <w:tab/>
      </w:r>
      <w:r w:rsidR="00F7392E" w:rsidRPr="00CA142A">
        <w:rPr>
          <w:rFonts w:ascii="Times New Roman" w:hAnsi="Times New Roman"/>
          <w:sz w:val="24"/>
        </w:rPr>
        <w:t xml:space="preserve">The </w:t>
      </w:r>
      <w:r w:rsidR="000D143A">
        <w:rPr>
          <w:rFonts w:ascii="Times New Roman" w:hAnsi="Times New Roman"/>
          <w:sz w:val="24"/>
        </w:rPr>
        <w:t>Statement</w:t>
      </w:r>
      <w:r w:rsidR="00F7392E" w:rsidRPr="00CA142A">
        <w:rPr>
          <w:rFonts w:ascii="Times New Roman" w:hAnsi="Times New Roman"/>
          <w:sz w:val="24"/>
        </w:rPr>
        <w:t xml:space="preserve"> of Compatibility for</w:t>
      </w:r>
      <w:r w:rsidR="0030571B">
        <w:rPr>
          <w:rFonts w:ascii="Times New Roman" w:hAnsi="Times New Roman"/>
          <w:sz w:val="24"/>
        </w:rPr>
        <w:t xml:space="preserve"> the</w:t>
      </w:r>
      <w:r w:rsidR="00F7392E" w:rsidRPr="00CA142A">
        <w:rPr>
          <w:rFonts w:ascii="Times New Roman" w:hAnsi="Times New Roman"/>
          <w:sz w:val="24"/>
        </w:rPr>
        <w:t xml:space="preserve"> </w:t>
      </w:r>
      <w:r w:rsidR="00F7392E" w:rsidRPr="00E07FA9">
        <w:rPr>
          <w:rFonts w:ascii="Times New Roman" w:hAnsi="Times New Roman"/>
          <w:i/>
          <w:sz w:val="24"/>
        </w:rPr>
        <w:t>Anti-Money Laundering and Counter-Terrorism Financing Rules Amendment Instrument 201</w:t>
      </w:r>
      <w:r w:rsidR="005F5E52">
        <w:rPr>
          <w:rFonts w:ascii="Times New Roman" w:hAnsi="Times New Roman"/>
          <w:i/>
          <w:sz w:val="24"/>
        </w:rPr>
        <w:t>4</w:t>
      </w:r>
      <w:r w:rsidR="00F7392E" w:rsidRPr="00E07FA9">
        <w:rPr>
          <w:rFonts w:ascii="Times New Roman" w:hAnsi="Times New Roman"/>
          <w:i/>
          <w:sz w:val="24"/>
        </w:rPr>
        <w:t xml:space="preserve"> (N</w:t>
      </w:r>
      <w:r w:rsidR="00A35354" w:rsidRPr="00E07FA9">
        <w:rPr>
          <w:rFonts w:ascii="Times New Roman" w:hAnsi="Times New Roman"/>
          <w:i/>
          <w:sz w:val="24"/>
        </w:rPr>
        <w:t>o.</w:t>
      </w:r>
      <w:r w:rsidR="0030571B">
        <w:rPr>
          <w:rFonts w:ascii="Times New Roman" w:hAnsi="Times New Roman"/>
          <w:i/>
          <w:sz w:val="24"/>
        </w:rPr>
        <w:t xml:space="preserve"> </w:t>
      </w:r>
      <w:r w:rsidR="005F5E52">
        <w:rPr>
          <w:rFonts w:ascii="Times New Roman" w:hAnsi="Times New Roman"/>
          <w:i/>
          <w:sz w:val="24"/>
        </w:rPr>
        <w:t>1</w:t>
      </w:r>
      <w:r w:rsidR="00F7392E" w:rsidRPr="00E07FA9">
        <w:rPr>
          <w:rFonts w:ascii="Times New Roman" w:hAnsi="Times New Roman"/>
          <w:i/>
          <w:sz w:val="24"/>
        </w:rPr>
        <w:t>)</w:t>
      </w:r>
      <w:r w:rsidR="00F7392E" w:rsidRPr="0029686B">
        <w:rPr>
          <w:rFonts w:ascii="Times New Roman" w:hAnsi="Times New Roman"/>
          <w:sz w:val="24"/>
        </w:rPr>
        <w:t xml:space="preserve"> </w:t>
      </w:r>
      <w:r w:rsidR="00F7392E" w:rsidRPr="00CA142A">
        <w:rPr>
          <w:rFonts w:ascii="Times New Roman" w:hAnsi="Times New Roman"/>
          <w:sz w:val="24"/>
        </w:rPr>
        <w:t xml:space="preserve">is included in this Explanatory </w:t>
      </w:r>
      <w:r w:rsidR="009C7626">
        <w:rPr>
          <w:rFonts w:ascii="Times New Roman" w:hAnsi="Times New Roman"/>
          <w:sz w:val="24"/>
        </w:rPr>
        <w:t>Statement</w:t>
      </w:r>
      <w:r w:rsidR="00F7392E" w:rsidRPr="00CA142A">
        <w:rPr>
          <w:rFonts w:ascii="Times New Roman" w:hAnsi="Times New Roman"/>
          <w:sz w:val="24"/>
        </w:rPr>
        <w:t xml:space="preserve"> at page</w:t>
      </w:r>
      <w:r w:rsidR="00F7392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</w:t>
      </w:r>
      <w:r w:rsidR="00F7392E" w:rsidRPr="00CA142A">
        <w:rPr>
          <w:rFonts w:ascii="Times New Roman" w:hAnsi="Times New Roman"/>
          <w:sz w:val="24"/>
        </w:rPr>
        <w:t xml:space="preserve">. </w:t>
      </w:r>
      <w:r w:rsidR="006B2808">
        <w:rPr>
          <w:rFonts w:ascii="Times New Roman" w:hAnsi="Times New Roman"/>
          <w:sz w:val="24"/>
        </w:rPr>
        <w:t xml:space="preserve"> </w:t>
      </w:r>
      <w:r w:rsidR="00F7392E">
        <w:rPr>
          <w:rFonts w:ascii="Times New Roman" w:hAnsi="Times New Roman"/>
          <w:sz w:val="24"/>
        </w:rPr>
        <w:t>The AUSTRAC CEO</w:t>
      </w:r>
      <w:r w:rsidR="0030571B">
        <w:rPr>
          <w:rFonts w:ascii="Times New Roman" w:hAnsi="Times New Roman"/>
          <w:sz w:val="24"/>
        </w:rPr>
        <w:t>,</w:t>
      </w:r>
      <w:r w:rsidR="00F7392E">
        <w:rPr>
          <w:rFonts w:ascii="Times New Roman" w:hAnsi="Times New Roman"/>
          <w:sz w:val="24"/>
        </w:rPr>
        <w:t xml:space="preserve"> as the rule-maker of t</w:t>
      </w:r>
      <w:r w:rsidR="00F7392E" w:rsidRPr="00CA142A">
        <w:rPr>
          <w:rFonts w:ascii="Times New Roman" w:hAnsi="Times New Roman"/>
          <w:sz w:val="24"/>
        </w:rPr>
        <w:t>his legislative instrument</w:t>
      </w:r>
      <w:r w:rsidR="0030571B">
        <w:rPr>
          <w:rFonts w:ascii="Times New Roman" w:hAnsi="Times New Roman"/>
          <w:sz w:val="24"/>
        </w:rPr>
        <w:t>,</w:t>
      </w:r>
      <w:r w:rsidR="00F7392E" w:rsidRPr="00CA142A">
        <w:rPr>
          <w:rFonts w:ascii="Times New Roman" w:hAnsi="Times New Roman"/>
          <w:sz w:val="24"/>
        </w:rPr>
        <w:t xml:space="preserve"> </w:t>
      </w:r>
      <w:r w:rsidR="00F7392E">
        <w:rPr>
          <w:rFonts w:ascii="Times New Roman" w:hAnsi="Times New Roman"/>
          <w:sz w:val="24"/>
        </w:rPr>
        <w:t xml:space="preserve">has stated that it </w:t>
      </w:r>
      <w:r w:rsidR="00F7392E" w:rsidRPr="00CA142A">
        <w:rPr>
          <w:rFonts w:ascii="Times New Roman" w:hAnsi="Times New Roman"/>
          <w:sz w:val="24"/>
        </w:rPr>
        <w:t>is compatible with the human rights and freedoms recognised or declared in the international instruments list</w:t>
      </w:r>
      <w:r w:rsidR="005B5D9A">
        <w:rPr>
          <w:rFonts w:ascii="Times New Roman" w:hAnsi="Times New Roman"/>
          <w:sz w:val="24"/>
        </w:rPr>
        <w:t>ed</w:t>
      </w:r>
      <w:r w:rsidR="00F7392E" w:rsidRPr="00CA142A">
        <w:rPr>
          <w:rFonts w:ascii="Times New Roman" w:hAnsi="Times New Roman"/>
          <w:sz w:val="24"/>
        </w:rPr>
        <w:t xml:space="preserve"> in section 3 of the </w:t>
      </w:r>
      <w:r w:rsidR="00F7392E" w:rsidRPr="00E07FA9">
        <w:rPr>
          <w:rFonts w:ascii="Times New Roman" w:hAnsi="Times New Roman"/>
          <w:i/>
          <w:sz w:val="24"/>
        </w:rPr>
        <w:t>Human Rights (Parliamentary Scrutiny) Act 2011</w:t>
      </w:r>
      <w:r w:rsidR="00F7392E" w:rsidRPr="00CA142A">
        <w:rPr>
          <w:rFonts w:ascii="Times New Roman" w:hAnsi="Times New Roman"/>
          <w:sz w:val="24"/>
        </w:rPr>
        <w:t xml:space="preserve">.  </w:t>
      </w:r>
    </w:p>
    <w:p w14:paraId="4D6A0965" w14:textId="77777777" w:rsidR="00834E6A" w:rsidRPr="00326047" w:rsidRDefault="00834E6A" w:rsidP="00326047">
      <w:pPr>
        <w:rPr>
          <w:rFonts w:ascii="Times New Roman" w:hAnsi="Times New Roman"/>
          <w:b/>
          <w:sz w:val="24"/>
        </w:rPr>
      </w:pPr>
    </w:p>
    <w:p w14:paraId="77F74606" w14:textId="77777777" w:rsidR="003B7524" w:rsidRPr="00F0454D" w:rsidRDefault="003B7524" w:rsidP="00A33736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sz w:val="24"/>
        </w:rPr>
      </w:pPr>
      <w:r w:rsidRPr="0081438A">
        <w:rPr>
          <w:rFonts w:ascii="Times New Roman" w:hAnsi="Times New Roman"/>
          <w:b/>
          <w:sz w:val="24"/>
        </w:rPr>
        <w:t>2.</w:t>
      </w:r>
      <w:r w:rsidRPr="0081438A">
        <w:rPr>
          <w:rFonts w:ascii="Times New Roman" w:hAnsi="Times New Roman"/>
          <w:b/>
          <w:sz w:val="24"/>
        </w:rPr>
        <w:tab/>
        <w:t>Notes on sections</w:t>
      </w:r>
    </w:p>
    <w:p w14:paraId="64464851" w14:textId="77777777" w:rsidR="003B7524" w:rsidRPr="00326047" w:rsidRDefault="003B7524" w:rsidP="00326047">
      <w:pPr>
        <w:rPr>
          <w:rFonts w:ascii="Times New Roman" w:hAnsi="Times New Roman"/>
          <w:b/>
          <w:sz w:val="24"/>
        </w:rPr>
      </w:pPr>
    </w:p>
    <w:p w14:paraId="77513A18" w14:textId="77777777" w:rsidR="003B7524" w:rsidRPr="00F0454D" w:rsidRDefault="003B7524" w:rsidP="003B7524">
      <w:pPr>
        <w:rPr>
          <w:rFonts w:ascii="Times New Roman" w:hAnsi="Times New Roman"/>
          <w:b/>
          <w:sz w:val="24"/>
        </w:rPr>
      </w:pPr>
      <w:r w:rsidRPr="00F0454D">
        <w:rPr>
          <w:rFonts w:ascii="Times New Roman" w:hAnsi="Times New Roman"/>
          <w:b/>
          <w:sz w:val="24"/>
        </w:rPr>
        <w:t>Section 1</w:t>
      </w:r>
    </w:p>
    <w:p w14:paraId="022E8F6D" w14:textId="77777777" w:rsidR="003B7524" w:rsidRPr="00326047" w:rsidRDefault="003B7524" w:rsidP="003B7524">
      <w:pPr>
        <w:rPr>
          <w:rFonts w:ascii="Times New Roman" w:hAnsi="Times New Roman"/>
          <w:b/>
          <w:sz w:val="24"/>
        </w:rPr>
      </w:pPr>
    </w:p>
    <w:p w14:paraId="4F4100DE" w14:textId="13EAAA02" w:rsidR="003B7524" w:rsidRPr="00F0454D" w:rsidRDefault="003B7524" w:rsidP="003B7524">
      <w:pPr>
        <w:rPr>
          <w:rFonts w:ascii="Times New Roman" w:hAnsi="Times New Roman"/>
          <w:i/>
          <w:sz w:val="24"/>
        </w:rPr>
      </w:pPr>
      <w:r w:rsidRPr="00F0454D">
        <w:rPr>
          <w:rFonts w:ascii="Times New Roman" w:hAnsi="Times New Roman"/>
          <w:sz w:val="24"/>
        </w:rPr>
        <w:t xml:space="preserve">This section sets out the name of the instrument, i.e. the </w:t>
      </w:r>
      <w:r w:rsidRPr="00F0454D">
        <w:rPr>
          <w:rFonts w:ascii="Times New Roman" w:hAnsi="Times New Roman"/>
          <w:i/>
          <w:sz w:val="24"/>
        </w:rPr>
        <w:t xml:space="preserve">Anti-Money Laundering and Counter-Terrorism Financing Rules Amendment Instrument </w:t>
      </w:r>
      <w:r w:rsidR="00A434EF" w:rsidRPr="00F0454D">
        <w:rPr>
          <w:rFonts w:ascii="Times New Roman" w:hAnsi="Times New Roman"/>
          <w:i/>
          <w:sz w:val="24"/>
        </w:rPr>
        <w:t>20</w:t>
      </w:r>
      <w:r w:rsidR="00A434EF">
        <w:rPr>
          <w:rFonts w:ascii="Times New Roman" w:hAnsi="Times New Roman"/>
          <w:i/>
          <w:sz w:val="24"/>
        </w:rPr>
        <w:t>1</w:t>
      </w:r>
      <w:r w:rsidR="005F5E52">
        <w:rPr>
          <w:rFonts w:ascii="Times New Roman" w:hAnsi="Times New Roman"/>
          <w:i/>
          <w:sz w:val="24"/>
        </w:rPr>
        <w:t>4</w:t>
      </w:r>
      <w:r w:rsidR="00A434EF" w:rsidRPr="00F0454D">
        <w:rPr>
          <w:rFonts w:ascii="Times New Roman" w:hAnsi="Times New Roman"/>
          <w:i/>
          <w:sz w:val="24"/>
        </w:rPr>
        <w:t xml:space="preserve"> </w:t>
      </w:r>
      <w:r w:rsidRPr="00F0454D">
        <w:rPr>
          <w:rFonts w:ascii="Times New Roman" w:hAnsi="Times New Roman"/>
          <w:i/>
          <w:sz w:val="24"/>
        </w:rPr>
        <w:t>(No.</w:t>
      </w:r>
      <w:r w:rsidR="0030571B">
        <w:rPr>
          <w:rFonts w:ascii="Times New Roman" w:hAnsi="Times New Roman"/>
          <w:i/>
          <w:sz w:val="24"/>
        </w:rPr>
        <w:t xml:space="preserve"> </w:t>
      </w:r>
      <w:r w:rsidR="005F5E52">
        <w:rPr>
          <w:rFonts w:ascii="Times New Roman" w:hAnsi="Times New Roman"/>
          <w:i/>
          <w:sz w:val="24"/>
        </w:rPr>
        <w:t>1</w:t>
      </w:r>
      <w:r w:rsidRPr="00F0454D">
        <w:rPr>
          <w:rFonts w:ascii="Times New Roman" w:hAnsi="Times New Roman"/>
          <w:i/>
          <w:sz w:val="24"/>
        </w:rPr>
        <w:t>).</w:t>
      </w:r>
    </w:p>
    <w:p w14:paraId="0BCB2E4E" w14:textId="77777777" w:rsidR="003B7524" w:rsidRPr="00326047" w:rsidRDefault="003B7524" w:rsidP="003B7524">
      <w:pPr>
        <w:rPr>
          <w:rFonts w:ascii="Times New Roman" w:hAnsi="Times New Roman"/>
          <w:b/>
          <w:sz w:val="24"/>
        </w:rPr>
      </w:pPr>
    </w:p>
    <w:p w14:paraId="0CBC0ECD" w14:textId="77777777" w:rsidR="003B7524" w:rsidRPr="00F0454D" w:rsidRDefault="003B7524" w:rsidP="003B7524">
      <w:pPr>
        <w:rPr>
          <w:rFonts w:ascii="Times New Roman" w:hAnsi="Times New Roman"/>
          <w:b/>
          <w:sz w:val="24"/>
        </w:rPr>
      </w:pPr>
      <w:r w:rsidRPr="00F0454D">
        <w:rPr>
          <w:rFonts w:ascii="Times New Roman" w:hAnsi="Times New Roman"/>
          <w:b/>
          <w:sz w:val="24"/>
        </w:rPr>
        <w:t>Section 2</w:t>
      </w:r>
    </w:p>
    <w:p w14:paraId="2590853F" w14:textId="77777777" w:rsidR="003B7524" w:rsidRPr="00326047" w:rsidRDefault="003B7524" w:rsidP="003B7524">
      <w:pPr>
        <w:rPr>
          <w:rFonts w:ascii="Times New Roman" w:hAnsi="Times New Roman"/>
          <w:b/>
          <w:sz w:val="24"/>
        </w:rPr>
      </w:pPr>
    </w:p>
    <w:p w14:paraId="34549343" w14:textId="77777777" w:rsidR="003B7524" w:rsidRDefault="003B7524" w:rsidP="003B7524">
      <w:pPr>
        <w:rPr>
          <w:rFonts w:ascii="Times New Roman" w:hAnsi="Times New Roman"/>
          <w:sz w:val="24"/>
        </w:rPr>
      </w:pPr>
      <w:r w:rsidRPr="00F0454D">
        <w:rPr>
          <w:rFonts w:ascii="Times New Roman" w:hAnsi="Times New Roman"/>
          <w:sz w:val="24"/>
        </w:rPr>
        <w:t xml:space="preserve">This section specifies that </w:t>
      </w:r>
      <w:r>
        <w:rPr>
          <w:rFonts w:ascii="Times New Roman" w:hAnsi="Times New Roman"/>
          <w:sz w:val="24"/>
        </w:rPr>
        <w:t>Schedule</w:t>
      </w:r>
      <w:r w:rsidR="005114F2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1</w:t>
      </w:r>
      <w:r w:rsidR="004878CA">
        <w:rPr>
          <w:rFonts w:ascii="Times New Roman" w:hAnsi="Times New Roman"/>
          <w:sz w:val="24"/>
        </w:rPr>
        <w:t xml:space="preserve"> and 2</w:t>
      </w:r>
      <w:r w:rsidR="0070277B">
        <w:rPr>
          <w:rFonts w:ascii="Times New Roman" w:hAnsi="Times New Roman"/>
          <w:sz w:val="24"/>
        </w:rPr>
        <w:t xml:space="preserve"> </w:t>
      </w:r>
      <w:r w:rsidRPr="00F0454D">
        <w:rPr>
          <w:rFonts w:ascii="Times New Roman" w:hAnsi="Times New Roman"/>
          <w:sz w:val="24"/>
        </w:rPr>
        <w:t xml:space="preserve">commence on the day after </w:t>
      </w:r>
      <w:r w:rsidR="00B85A4C">
        <w:rPr>
          <w:rFonts w:ascii="Times New Roman" w:hAnsi="Times New Roman"/>
          <w:sz w:val="24"/>
        </w:rPr>
        <w:t>the instrument is</w:t>
      </w:r>
      <w:r w:rsidRPr="00F0454D">
        <w:rPr>
          <w:rFonts w:ascii="Times New Roman" w:hAnsi="Times New Roman"/>
          <w:sz w:val="24"/>
        </w:rPr>
        <w:t xml:space="preserve"> registered. </w:t>
      </w:r>
    </w:p>
    <w:p w14:paraId="2D899CAE" w14:textId="77777777" w:rsidR="00EF1910" w:rsidRDefault="00EF1910" w:rsidP="003B7524">
      <w:pPr>
        <w:rPr>
          <w:rFonts w:ascii="Times New Roman" w:hAnsi="Times New Roman"/>
          <w:b/>
          <w:sz w:val="24"/>
        </w:rPr>
      </w:pPr>
    </w:p>
    <w:p w14:paraId="07EC6646" w14:textId="77777777" w:rsidR="003B7524" w:rsidRDefault="003B7524" w:rsidP="003B7524">
      <w:pPr>
        <w:rPr>
          <w:rFonts w:ascii="Times New Roman" w:hAnsi="Times New Roman"/>
          <w:b/>
          <w:sz w:val="24"/>
        </w:rPr>
      </w:pPr>
      <w:r w:rsidRPr="00F0454D">
        <w:rPr>
          <w:rFonts w:ascii="Times New Roman" w:hAnsi="Times New Roman"/>
          <w:b/>
          <w:sz w:val="24"/>
        </w:rPr>
        <w:t>Section 3</w:t>
      </w:r>
    </w:p>
    <w:p w14:paraId="131C2F53" w14:textId="77777777" w:rsidR="00F7392E" w:rsidRDefault="00F7392E" w:rsidP="003B7524">
      <w:pPr>
        <w:rPr>
          <w:rFonts w:ascii="Times New Roman" w:hAnsi="Times New Roman"/>
          <w:b/>
          <w:sz w:val="24"/>
        </w:rPr>
      </w:pPr>
    </w:p>
    <w:p w14:paraId="3B5036DA" w14:textId="77777777" w:rsidR="00F7392E" w:rsidRDefault="00F7392E" w:rsidP="00F7392E">
      <w:pPr>
        <w:rPr>
          <w:rFonts w:ascii="Times New Roman" w:hAnsi="Times New Roman"/>
          <w:sz w:val="24"/>
        </w:rPr>
      </w:pPr>
      <w:r w:rsidRPr="00F0454D">
        <w:rPr>
          <w:rFonts w:ascii="Times New Roman" w:hAnsi="Times New Roman"/>
          <w:sz w:val="24"/>
        </w:rPr>
        <w:t xml:space="preserve">This section contains </w:t>
      </w:r>
      <w:r>
        <w:rPr>
          <w:rFonts w:ascii="Times New Roman" w:hAnsi="Times New Roman"/>
          <w:sz w:val="24"/>
        </w:rPr>
        <w:t>the details of the amendment:</w:t>
      </w:r>
    </w:p>
    <w:p w14:paraId="0F552FC7" w14:textId="77777777" w:rsidR="00F7392E" w:rsidRPr="00326047" w:rsidRDefault="00F7392E" w:rsidP="00F7392E">
      <w:pPr>
        <w:rPr>
          <w:rFonts w:ascii="Times New Roman" w:hAnsi="Times New Roman"/>
          <w:b/>
          <w:sz w:val="24"/>
        </w:rPr>
      </w:pPr>
    </w:p>
    <w:p w14:paraId="52168BF5" w14:textId="024E73C8" w:rsidR="00F7392E" w:rsidRPr="00F7392E" w:rsidRDefault="00F7392E" w:rsidP="00F739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Schedule</w:t>
      </w:r>
      <w:r w:rsidR="005114F2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1</w:t>
      </w:r>
      <w:r w:rsidR="00B85A4C">
        <w:rPr>
          <w:rFonts w:ascii="Times New Roman" w:hAnsi="Times New Roman"/>
          <w:sz w:val="24"/>
        </w:rPr>
        <w:t xml:space="preserve"> </w:t>
      </w:r>
      <w:r w:rsidR="0070277B">
        <w:rPr>
          <w:rFonts w:ascii="Times New Roman" w:hAnsi="Times New Roman"/>
          <w:sz w:val="24"/>
        </w:rPr>
        <w:t>and</w:t>
      </w:r>
      <w:r w:rsidR="005114F2">
        <w:rPr>
          <w:rFonts w:ascii="Times New Roman" w:hAnsi="Times New Roman"/>
          <w:sz w:val="24"/>
        </w:rPr>
        <w:t xml:space="preserve"> </w:t>
      </w:r>
      <w:r w:rsidR="004878CA">
        <w:rPr>
          <w:rFonts w:ascii="Times New Roman" w:hAnsi="Times New Roman"/>
          <w:sz w:val="24"/>
        </w:rPr>
        <w:t>2</w:t>
      </w:r>
      <w:r w:rsidR="0070277B">
        <w:rPr>
          <w:rFonts w:ascii="Times New Roman" w:hAnsi="Times New Roman"/>
          <w:sz w:val="24"/>
        </w:rPr>
        <w:t xml:space="preserve"> </w:t>
      </w:r>
      <w:r w:rsidR="00B85A4C">
        <w:rPr>
          <w:rFonts w:ascii="Times New Roman" w:hAnsi="Times New Roman"/>
          <w:sz w:val="24"/>
        </w:rPr>
        <w:t>amend</w:t>
      </w:r>
      <w:r>
        <w:rPr>
          <w:rFonts w:ascii="Times New Roman" w:hAnsi="Times New Roman"/>
          <w:sz w:val="24"/>
        </w:rPr>
        <w:t xml:space="preserve"> the </w:t>
      </w:r>
      <w:r w:rsidRPr="00021BFB">
        <w:rPr>
          <w:rFonts w:ascii="Times New Roman" w:hAnsi="Times New Roman"/>
          <w:i/>
          <w:sz w:val="24"/>
        </w:rPr>
        <w:t xml:space="preserve">Anti-Money Laundering and Counter-Terrorism Financing Rules </w:t>
      </w:r>
      <w:r w:rsidRPr="00F7392E">
        <w:rPr>
          <w:rFonts w:ascii="Times New Roman" w:hAnsi="Times New Roman"/>
          <w:i/>
          <w:sz w:val="24"/>
        </w:rPr>
        <w:t>Instrument 2007 (No.</w:t>
      </w:r>
      <w:r w:rsidR="00FE78D3">
        <w:rPr>
          <w:rFonts w:ascii="Times New Roman" w:hAnsi="Times New Roman"/>
          <w:i/>
          <w:sz w:val="24"/>
        </w:rPr>
        <w:t xml:space="preserve"> </w:t>
      </w:r>
      <w:r w:rsidRPr="00F7392E">
        <w:rPr>
          <w:rFonts w:ascii="Times New Roman" w:hAnsi="Times New Roman"/>
          <w:i/>
          <w:sz w:val="24"/>
        </w:rPr>
        <w:t>1)</w:t>
      </w:r>
      <w:r w:rsidRPr="00F7392E">
        <w:rPr>
          <w:rFonts w:ascii="Times New Roman" w:hAnsi="Times New Roman"/>
          <w:sz w:val="24"/>
        </w:rPr>
        <w:t>.</w:t>
      </w:r>
    </w:p>
    <w:p w14:paraId="4604055A" w14:textId="77777777" w:rsidR="00F7392E" w:rsidRDefault="00F7392E" w:rsidP="00F7392E">
      <w:pPr>
        <w:rPr>
          <w:rFonts w:ascii="Times New Roman" w:hAnsi="Times New Roman"/>
          <w:b/>
          <w:sz w:val="24"/>
        </w:rPr>
      </w:pPr>
    </w:p>
    <w:p w14:paraId="234E3540" w14:textId="77777777" w:rsidR="00F7392E" w:rsidRDefault="00F7392E" w:rsidP="00F7392E">
      <w:pPr>
        <w:rPr>
          <w:rFonts w:ascii="Times New Roman" w:hAnsi="Times New Roman"/>
          <w:b/>
          <w:sz w:val="24"/>
        </w:rPr>
      </w:pPr>
      <w:r w:rsidRPr="00F7392E">
        <w:rPr>
          <w:rFonts w:ascii="Times New Roman" w:hAnsi="Times New Roman"/>
          <w:b/>
          <w:sz w:val="24"/>
        </w:rPr>
        <w:t>Schedule 1</w:t>
      </w:r>
    </w:p>
    <w:p w14:paraId="0A5D8CC7" w14:textId="77777777" w:rsidR="003340DB" w:rsidRDefault="003340DB" w:rsidP="00F7392E">
      <w:pPr>
        <w:rPr>
          <w:rFonts w:ascii="Times New Roman" w:hAnsi="Times New Roman"/>
          <w:b/>
          <w:sz w:val="24"/>
        </w:rPr>
      </w:pPr>
    </w:p>
    <w:p w14:paraId="41EE6E6F" w14:textId="77777777" w:rsidR="005114F2" w:rsidRPr="0059487B" w:rsidRDefault="005114F2" w:rsidP="005114F2">
      <w:pPr>
        <w:rPr>
          <w:rFonts w:ascii="Times New Roman" w:hAnsi="Times New Roman"/>
          <w:sz w:val="24"/>
        </w:rPr>
      </w:pPr>
      <w:r w:rsidRPr="0059487B">
        <w:rPr>
          <w:rFonts w:ascii="Times New Roman" w:hAnsi="Times New Roman"/>
          <w:sz w:val="24"/>
        </w:rPr>
        <w:t xml:space="preserve">This schedule </w:t>
      </w:r>
      <w:r w:rsidR="004878CA">
        <w:rPr>
          <w:rFonts w:ascii="Times New Roman" w:hAnsi="Times New Roman"/>
          <w:sz w:val="24"/>
        </w:rPr>
        <w:t>amends Chapter 1</w:t>
      </w:r>
      <w:r w:rsidRPr="0059487B">
        <w:rPr>
          <w:rFonts w:ascii="Times New Roman" w:hAnsi="Times New Roman"/>
          <w:sz w:val="24"/>
        </w:rPr>
        <w:t>.</w:t>
      </w:r>
    </w:p>
    <w:p w14:paraId="730F5E61" w14:textId="77777777" w:rsidR="003340DB" w:rsidRDefault="003340DB" w:rsidP="00F7392E">
      <w:pPr>
        <w:rPr>
          <w:rFonts w:ascii="Times New Roman" w:hAnsi="Times New Roman"/>
          <w:b/>
          <w:sz w:val="24"/>
        </w:rPr>
      </w:pPr>
    </w:p>
    <w:p w14:paraId="2FA4A913" w14:textId="77777777" w:rsidR="005114F2" w:rsidRPr="00F7392E" w:rsidRDefault="005114F2" w:rsidP="00F7392E">
      <w:pPr>
        <w:rPr>
          <w:rFonts w:ascii="Times New Roman" w:hAnsi="Times New Roman"/>
          <w:b/>
          <w:sz w:val="24"/>
        </w:rPr>
      </w:pPr>
      <w:r w:rsidRPr="005114F2">
        <w:rPr>
          <w:rFonts w:ascii="Times New Roman" w:hAnsi="Times New Roman"/>
          <w:b/>
          <w:sz w:val="24"/>
        </w:rPr>
        <w:t xml:space="preserve">Schedule </w:t>
      </w:r>
      <w:r>
        <w:rPr>
          <w:rFonts w:ascii="Times New Roman" w:hAnsi="Times New Roman"/>
          <w:b/>
          <w:sz w:val="24"/>
        </w:rPr>
        <w:t>2</w:t>
      </w:r>
    </w:p>
    <w:p w14:paraId="5AF6FEB7" w14:textId="77777777" w:rsidR="00F7392E" w:rsidRPr="00F7392E" w:rsidRDefault="00F7392E" w:rsidP="00F7392E">
      <w:pPr>
        <w:rPr>
          <w:rFonts w:ascii="Times New Roman" w:hAnsi="Times New Roman"/>
          <w:b/>
          <w:sz w:val="24"/>
        </w:rPr>
      </w:pPr>
    </w:p>
    <w:p w14:paraId="509690E4" w14:textId="77777777" w:rsidR="00F7392E" w:rsidRDefault="00002D59" w:rsidP="00F739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schedule</w:t>
      </w:r>
      <w:r w:rsidR="00BB186F">
        <w:rPr>
          <w:rFonts w:ascii="Times New Roman" w:hAnsi="Times New Roman"/>
          <w:sz w:val="24"/>
        </w:rPr>
        <w:t xml:space="preserve"> </w:t>
      </w:r>
      <w:r w:rsidR="004878CA">
        <w:rPr>
          <w:rFonts w:ascii="Times New Roman" w:hAnsi="Times New Roman"/>
          <w:sz w:val="24"/>
        </w:rPr>
        <w:t>inserts a new chapter, Chapter 69</w:t>
      </w:r>
      <w:r w:rsidR="00E06A12">
        <w:rPr>
          <w:rFonts w:ascii="Times New Roman" w:hAnsi="Times New Roman"/>
          <w:sz w:val="24"/>
        </w:rPr>
        <w:t>.</w:t>
      </w:r>
    </w:p>
    <w:p w14:paraId="3B414F93" w14:textId="77777777" w:rsidR="00122D9B" w:rsidRDefault="00122D9B" w:rsidP="00F7392E">
      <w:pPr>
        <w:rPr>
          <w:rFonts w:ascii="Times New Roman" w:hAnsi="Times New Roman"/>
          <w:b/>
          <w:sz w:val="24"/>
        </w:rPr>
      </w:pPr>
    </w:p>
    <w:p w14:paraId="53967E96" w14:textId="77777777" w:rsidR="003B7524" w:rsidRDefault="003B7524" w:rsidP="003B7524">
      <w:pPr>
        <w:spacing w:before="2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  <w:t xml:space="preserve">Notes on </w:t>
      </w:r>
      <w:r w:rsidR="00F7392E">
        <w:rPr>
          <w:rFonts w:ascii="Times New Roman" w:hAnsi="Times New Roman"/>
          <w:b/>
          <w:sz w:val="24"/>
        </w:rPr>
        <w:t>I</w:t>
      </w:r>
      <w:r w:rsidR="00430DA3">
        <w:rPr>
          <w:rFonts w:ascii="Times New Roman" w:hAnsi="Times New Roman"/>
          <w:b/>
          <w:sz w:val="24"/>
        </w:rPr>
        <w:t>tems</w:t>
      </w:r>
    </w:p>
    <w:p w14:paraId="4F832592" w14:textId="77777777" w:rsidR="007B0B01" w:rsidRPr="007B0B01" w:rsidRDefault="007B0B01" w:rsidP="007B0B01">
      <w:pPr>
        <w:spacing w:before="240"/>
        <w:rPr>
          <w:rFonts w:ascii="Times New Roman" w:hAnsi="Times New Roman"/>
          <w:b/>
          <w:sz w:val="24"/>
        </w:rPr>
      </w:pPr>
      <w:r w:rsidRPr="007B0B01">
        <w:rPr>
          <w:rFonts w:ascii="Times New Roman" w:hAnsi="Times New Roman"/>
          <w:b/>
          <w:sz w:val="24"/>
        </w:rPr>
        <w:t>Schedule 1</w:t>
      </w:r>
    </w:p>
    <w:p w14:paraId="75452D26" w14:textId="77777777" w:rsidR="007B0B01" w:rsidRPr="007B0B01" w:rsidRDefault="007B0B01" w:rsidP="007B0B01">
      <w:pPr>
        <w:spacing w:before="2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Chapter 1</w:t>
      </w:r>
    </w:p>
    <w:p w14:paraId="79E20635" w14:textId="77777777" w:rsidR="007B0B01" w:rsidRPr="007B0B01" w:rsidRDefault="007B0B01" w:rsidP="007B0B01">
      <w:pPr>
        <w:spacing w:before="240"/>
        <w:rPr>
          <w:rFonts w:ascii="Times New Roman" w:hAnsi="Times New Roman"/>
          <w:b/>
          <w:sz w:val="24"/>
        </w:rPr>
      </w:pPr>
      <w:r w:rsidRPr="007B0B01">
        <w:rPr>
          <w:rFonts w:ascii="Times New Roman" w:hAnsi="Times New Roman"/>
          <w:b/>
          <w:sz w:val="24"/>
        </w:rPr>
        <w:t>Item 1</w:t>
      </w:r>
    </w:p>
    <w:p w14:paraId="6F1525BF" w14:textId="2A5B4494" w:rsidR="007B0B01" w:rsidRPr="0059487B" w:rsidRDefault="007B0B01" w:rsidP="007B0B01">
      <w:pPr>
        <w:spacing w:before="240"/>
        <w:rPr>
          <w:rFonts w:ascii="Times New Roman" w:hAnsi="Times New Roman"/>
          <w:sz w:val="24"/>
        </w:rPr>
      </w:pPr>
      <w:r w:rsidRPr="0059487B">
        <w:rPr>
          <w:rFonts w:ascii="Times New Roman" w:hAnsi="Times New Roman"/>
          <w:sz w:val="24"/>
        </w:rPr>
        <w:t xml:space="preserve">This item </w:t>
      </w:r>
      <w:r w:rsidR="008156AC">
        <w:rPr>
          <w:rFonts w:ascii="Times New Roman" w:hAnsi="Times New Roman"/>
          <w:sz w:val="24"/>
        </w:rPr>
        <w:t>amends</w:t>
      </w:r>
      <w:r w:rsidRPr="0059487B">
        <w:rPr>
          <w:rFonts w:ascii="Times New Roman" w:hAnsi="Times New Roman"/>
          <w:sz w:val="24"/>
        </w:rPr>
        <w:t xml:space="preserve"> Chapter 1</w:t>
      </w:r>
      <w:r w:rsidR="008156AC">
        <w:rPr>
          <w:rFonts w:ascii="Times New Roman" w:hAnsi="Times New Roman"/>
          <w:sz w:val="24"/>
        </w:rPr>
        <w:t xml:space="preserve"> by </w:t>
      </w:r>
      <w:r w:rsidR="0030571B">
        <w:rPr>
          <w:rFonts w:ascii="Times New Roman" w:hAnsi="Times New Roman"/>
          <w:sz w:val="24"/>
        </w:rPr>
        <w:t xml:space="preserve">deleting </w:t>
      </w:r>
      <w:r w:rsidR="00CB5002">
        <w:rPr>
          <w:rFonts w:ascii="Times New Roman" w:hAnsi="Times New Roman"/>
          <w:sz w:val="24"/>
        </w:rPr>
        <w:t>subparagraph (5) of the definition of ‘primary non-photographic identification document’</w:t>
      </w:r>
      <w:r w:rsidR="00EF1910">
        <w:rPr>
          <w:rFonts w:ascii="Times New Roman" w:hAnsi="Times New Roman"/>
          <w:sz w:val="24"/>
        </w:rPr>
        <w:t xml:space="preserve"> </w:t>
      </w:r>
      <w:r w:rsidR="00B70663">
        <w:rPr>
          <w:rFonts w:ascii="Times New Roman" w:hAnsi="Times New Roman"/>
          <w:sz w:val="24"/>
        </w:rPr>
        <w:t xml:space="preserve">and </w:t>
      </w:r>
      <w:r w:rsidR="00EF1910">
        <w:rPr>
          <w:rFonts w:ascii="Times New Roman" w:hAnsi="Times New Roman"/>
          <w:sz w:val="24"/>
        </w:rPr>
        <w:t>by inserting a new subparagraph (5) relating to the term ‘concession card’</w:t>
      </w:r>
      <w:r w:rsidR="00CB5002">
        <w:rPr>
          <w:rFonts w:ascii="Times New Roman" w:hAnsi="Times New Roman"/>
          <w:sz w:val="24"/>
        </w:rPr>
        <w:t>.</w:t>
      </w:r>
      <w:r w:rsidRPr="0059487B">
        <w:rPr>
          <w:rFonts w:ascii="Times New Roman" w:hAnsi="Times New Roman"/>
          <w:sz w:val="24"/>
        </w:rPr>
        <w:t xml:space="preserve"> </w:t>
      </w:r>
    </w:p>
    <w:p w14:paraId="19561264" w14:textId="77777777" w:rsidR="0070277B" w:rsidRDefault="0070277B" w:rsidP="0070277B">
      <w:pPr>
        <w:spacing w:before="2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Schedule </w:t>
      </w:r>
      <w:r w:rsidR="00746C4A">
        <w:rPr>
          <w:rFonts w:ascii="Times New Roman" w:hAnsi="Times New Roman"/>
          <w:b/>
          <w:sz w:val="24"/>
        </w:rPr>
        <w:t>2</w:t>
      </w:r>
    </w:p>
    <w:p w14:paraId="160C3F80" w14:textId="77777777" w:rsidR="0070277B" w:rsidRDefault="0070277B" w:rsidP="003B7524">
      <w:pPr>
        <w:spacing w:before="2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Chapter </w:t>
      </w:r>
      <w:r w:rsidR="008156AC">
        <w:rPr>
          <w:rFonts w:ascii="Times New Roman" w:hAnsi="Times New Roman"/>
          <w:b/>
          <w:sz w:val="24"/>
        </w:rPr>
        <w:t>69</w:t>
      </w:r>
    </w:p>
    <w:p w14:paraId="64DCB03F" w14:textId="01624153" w:rsidR="0030571B" w:rsidRDefault="0030571B" w:rsidP="003B7524">
      <w:pPr>
        <w:spacing w:before="2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Item 1</w:t>
      </w:r>
    </w:p>
    <w:p w14:paraId="6EECDBAD" w14:textId="77777777" w:rsidR="001E005B" w:rsidRDefault="001C57DA" w:rsidP="003B7524">
      <w:pPr>
        <w:spacing w:before="2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</w:t>
      </w:r>
      <w:r w:rsidR="001E005B">
        <w:rPr>
          <w:rFonts w:ascii="Times New Roman" w:hAnsi="Times New Roman"/>
          <w:b/>
          <w:sz w:val="24"/>
        </w:rPr>
        <w:t>aragraph 69.1</w:t>
      </w:r>
    </w:p>
    <w:p w14:paraId="0FB4754F" w14:textId="051291E7" w:rsidR="001E005B" w:rsidRDefault="00703DE2" w:rsidP="003B7524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paragraph specifies that Chapter 69 is made under section 229 </w:t>
      </w:r>
      <w:r w:rsidR="0030571B">
        <w:rPr>
          <w:rFonts w:ascii="Times New Roman" w:hAnsi="Times New Roman"/>
          <w:sz w:val="24"/>
        </w:rPr>
        <w:t xml:space="preserve">for subsection 247(4) </w:t>
      </w:r>
      <w:r>
        <w:rPr>
          <w:rFonts w:ascii="Times New Roman" w:hAnsi="Times New Roman"/>
          <w:sz w:val="24"/>
        </w:rPr>
        <w:t xml:space="preserve">of the AML/CTF Act, which relates to an exemption from </w:t>
      </w:r>
      <w:r w:rsidR="005D650F">
        <w:rPr>
          <w:rFonts w:ascii="Times New Roman" w:hAnsi="Times New Roman"/>
          <w:sz w:val="24"/>
        </w:rPr>
        <w:t>a specified provision of the AML/CTF Act for a designated service that is provided in specified circumstances</w:t>
      </w:r>
      <w:r>
        <w:rPr>
          <w:rFonts w:ascii="Times New Roman" w:hAnsi="Times New Roman"/>
          <w:sz w:val="24"/>
        </w:rPr>
        <w:t>.</w:t>
      </w:r>
    </w:p>
    <w:p w14:paraId="19051C1D" w14:textId="77777777" w:rsidR="005D650F" w:rsidRPr="005D650F" w:rsidRDefault="001C57DA" w:rsidP="003B7524">
      <w:pPr>
        <w:spacing w:before="2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</w:t>
      </w:r>
      <w:r w:rsidR="005D650F" w:rsidRPr="005D650F">
        <w:rPr>
          <w:rFonts w:ascii="Times New Roman" w:hAnsi="Times New Roman"/>
          <w:b/>
          <w:sz w:val="24"/>
        </w:rPr>
        <w:t>aragraph 69.2</w:t>
      </w:r>
    </w:p>
    <w:p w14:paraId="741431CA" w14:textId="20933B91" w:rsidR="005D650F" w:rsidRDefault="005D650F" w:rsidP="003B7524">
      <w:pPr>
        <w:spacing w:before="240"/>
        <w:rPr>
          <w:rFonts w:ascii="Times New Roman" w:hAnsi="Times New Roman"/>
          <w:sz w:val="24"/>
          <w:lang w:eastAsia="en-AU"/>
        </w:rPr>
      </w:pPr>
      <w:r>
        <w:rPr>
          <w:rFonts w:ascii="Times New Roman" w:hAnsi="Times New Roman"/>
          <w:sz w:val="24"/>
        </w:rPr>
        <w:t xml:space="preserve">This paragraph specifies </w:t>
      </w:r>
      <w:r w:rsidR="001C57DA">
        <w:rPr>
          <w:rFonts w:ascii="Times New Roman" w:hAnsi="Times New Roman"/>
          <w:sz w:val="24"/>
          <w:lang w:eastAsia="en-AU"/>
        </w:rPr>
        <w:t>that s</w:t>
      </w:r>
      <w:r w:rsidR="001C57DA" w:rsidRPr="00CB5CB5">
        <w:rPr>
          <w:rFonts w:ascii="Times New Roman" w:hAnsi="Times New Roman"/>
          <w:sz w:val="24"/>
          <w:lang w:eastAsia="en-AU"/>
        </w:rPr>
        <w:t xml:space="preserve">ubsections 74(1), 74(1A) and 74(1B) of the AML/CTF Act do not apply to the provision </w:t>
      </w:r>
      <w:r w:rsidR="0056172E">
        <w:rPr>
          <w:rFonts w:ascii="Times New Roman" w:hAnsi="Times New Roman"/>
          <w:sz w:val="24"/>
          <w:lang w:eastAsia="en-AU"/>
        </w:rPr>
        <w:t xml:space="preserve">by a reporting entity </w:t>
      </w:r>
      <w:r w:rsidR="001C57DA" w:rsidRPr="00CB5CB5">
        <w:rPr>
          <w:rFonts w:ascii="Times New Roman" w:hAnsi="Times New Roman"/>
          <w:sz w:val="24"/>
          <w:lang w:eastAsia="en-AU"/>
        </w:rPr>
        <w:t xml:space="preserve">of a designated service set out in item 31, item 32 or item 32A of table 1 in subsection 6(2) of the AML/CTF Act in the circumstances specified in paragraph </w:t>
      </w:r>
      <w:r w:rsidR="001C57DA">
        <w:rPr>
          <w:rFonts w:ascii="Times New Roman" w:hAnsi="Times New Roman"/>
          <w:sz w:val="24"/>
          <w:lang w:eastAsia="en-AU"/>
        </w:rPr>
        <w:t>69.</w:t>
      </w:r>
      <w:r w:rsidR="001C57DA" w:rsidRPr="00CB5CB5">
        <w:rPr>
          <w:rFonts w:ascii="Times New Roman" w:hAnsi="Times New Roman"/>
          <w:sz w:val="24"/>
          <w:lang w:eastAsia="en-AU"/>
        </w:rPr>
        <w:t>3</w:t>
      </w:r>
      <w:r w:rsidR="00E07FA9">
        <w:rPr>
          <w:rFonts w:ascii="Times New Roman" w:hAnsi="Times New Roman"/>
          <w:sz w:val="24"/>
          <w:lang w:eastAsia="en-AU"/>
        </w:rPr>
        <w:t>.</w:t>
      </w:r>
    </w:p>
    <w:p w14:paraId="45C7077F" w14:textId="77777777" w:rsidR="00791450" w:rsidRPr="00791450" w:rsidRDefault="00791450" w:rsidP="003B7524">
      <w:pPr>
        <w:spacing w:before="240"/>
        <w:rPr>
          <w:rFonts w:ascii="Times New Roman" w:hAnsi="Times New Roman"/>
          <w:b/>
          <w:sz w:val="24"/>
          <w:lang w:eastAsia="en-AU"/>
        </w:rPr>
      </w:pPr>
      <w:r w:rsidRPr="00791450">
        <w:rPr>
          <w:rFonts w:ascii="Times New Roman" w:hAnsi="Times New Roman"/>
          <w:b/>
          <w:sz w:val="24"/>
          <w:lang w:eastAsia="en-AU"/>
        </w:rPr>
        <w:t>Paragraph 69.3</w:t>
      </w:r>
    </w:p>
    <w:p w14:paraId="7F776960" w14:textId="3474000B" w:rsidR="00791450" w:rsidRDefault="00A3220B" w:rsidP="003B7524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paragraph specifies the circumstances </w:t>
      </w:r>
      <w:r w:rsidR="0030571B">
        <w:rPr>
          <w:rFonts w:ascii="Times New Roman" w:hAnsi="Times New Roman"/>
          <w:sz w:val="24"/>
        </w:rPr>
        <w:t>under</w:t>
      </w:r>
      <w:r>
        <w:rPr>
          <w:rFonts w:ascii="Times New Roman" w:hAnsi="Times New Roman"/>
          <w:sz w:val="24"/>
        </w:rPr>
        <w:t xml:space="preserve"> which the exemption in paragraph 69.</w:t>
      </w:r>
      <w:r w:rsidR="00D17CB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applies.</w:t>
      </w:r>
      <w:r w:rsidR="00D17CB5">
        <w:rPr>
          <w:rFonts w:ascii="Times New Roman" w:hAnsi="Times New Roman"/>
          <w:sz w:val="24"/>
        </w:rPr>
        <w:t xml:space="preserve"> </w:t>
      </w:r>
      <w:r w:rsidR="0056172E">
        <w:rPr>
          <w:rFonts w:ascii="Times New Roman" w:hAnsi="Times New Roman"/>
          <w:sz w:val="24"/>
        </w:rPr>
        <w:t>The designated service must be provided in conjunction with a designated service set out in table 3 (Gambling services) in subsection 6(4) of the AML/CTF Act, the reporting entity must be a holder of a casino licence, and the designated services must be provided in a casino to which the casino licence relates.</w:t>
      </w:r>
    </w:p>
    <w:p w14:paraId="23128AB4" w14:textId="77777777" w:rsidR="00A3220B" w:rsidRPr="00A3220B" w:rsidRDefault="00A3220B" w:rsidP="003B7524">
      <w:pPr>
        <w:spacing w:before="240"/>
        <w:rPr>
          <w:rFonts w:ascii="Times New Roman" w:hAnsi="Times New Roman"/>
          <w:b/>
          <w:sz w:val="24"/>
        </w:rPr>
      </w:pPr>
      <w:r w:rsidRPr="00A3220B">
        <w:rPr>
          <w:rFonts w:ascii="Times New Roman" w:hAnsi="Times New Roman"/>
          <w:b/>
          <w:sz w:val="24"/>
        </w:rPr>
        <w:lastRenderedPageBreak/>
        <w:t>Paragraph 69.4</w:t>
      </w:r>
    </w:p>
    <w:p w14:paraId="195FD46A" w14:textId="77777777" w:rsidR="00A3220B" w:rsidRPr="001E005B" w:rsidRDefault="00A3220B" w:rsidP="003B7524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paragraph provides the definition of ‘holder of a casino licence’.</w:t>
      </w:r>
    </w:p>
    <w:p w14:paraId="0C64A2C1" w14:textId="77777777" w:rsidR="003B7524" w:rsidRPr="00DB317D" w:rsidRDefault="003B7524" w:rsidP="003B7524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sz w:val="24"/>
        </w:rPr>
      </w:pPr>
      <w:r w:rsidRPr="00DB317D">
        <w:rPr>
          <w:rFonts w:ascii="Times New Roman" w:hAnsi="Times New Roman"/>
          <w:b/>
          <w:sz w:val="24"/>
        </w:rPr>
        <w:t>4.</w:t>
      </w:r>
      <w:r w:rsidRPr="00DB317D">
        <w:rPr>
          <w:rFonts w:ascii="Times New Roman" w:hAnsi="Times New Roman"/>
          <w:b/>
          <w:sz w:val="24"/>
        </w:rPr>
        <w:tab/>
        <w:t>Legislative instruments</w:t>
      </w:r>
    </w:p>
    <w:p w14:paraId="0BC47B17" w14:textId="77777777" w:rsidR="003B7524" w:rsidRDefault="003B7524" w:rsidP="003B7524">
      <w:pPr>
        <w:spacing w:before="240"/>
        <w:rPr>
          <w:rFonts w:ascii="Times New Roman" w:hAnsi="Times New Roman"/>
          <w:sz w:val="24"/>
        </w:rPr>
      </w:pPr>
      <w:r w:rsidRPr="00DB317D">
        <w:rPr>
          <w:rFonts w:ascii="Times New Roman" w:hAnsi="Times New Roman"/>
          <w:sz w:val="24"/>
        </w:rPr>
        <w:t xml:space="preserve">These AML/CTF Rules are legislative instruments as defined in section 5 of the </w:t>
      </w:r>
      <w:r w:rsidRPr="00DB317D">
        <w:rPr>
          <w:rFonts w:ascii="Times New Roman" w:hAnsi="Times New Roman"/>
          <w:i/>
          <w:sz w:val="24"/>
        </w:rPr>
        <w:t>Legislative Instruments Act 2003</w:t>
      </w:r>
      <w:r w:rsidRPr="00DB317D">
        <w:rPr>
          <w:rFonts w:ascii="Times New Roman" w:hAnsi="Times New Roman"/>
          <w:sz w:val="24"/>
        </w:rPr>
        <w:t>.</w:t>
      </w:r>
    </w:p>
    <w:p w14:paraId="0BB2E4F2" w14:textId="77777777" w:rsidR="003B7524" w:rsidRDefault="003B7524" w:rsidP="003B7524">
      <w:pPr>
        <w:spacing w:before="2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F0454D">
        <w:rPr>
          <w:rFonts w:ascii="Times New Roman" w:hAnsi="Times New Roman"/>
          <w:b/>
          <w:sz w:val="24"/>
        </w:rPr>
        <w:t>.</w:t>
      </w:r>
      <w:r w:rsidRPr="00F0454D">
        <w:rPr>
          <w:rFonts w:ascii="Times New Roman" w:hAnsi="Times New Roman"/>
          <w:b/>
          <w:sz w:val="24"/>
        </w:rPr>
        <w:tab/>
        <w:t>Likely impact</w:t>
      </w:r>
    </w:p>
    <w:p w14:paraId="6905C53E" w14:textId="69E19BA2" w:rsidR="004379C6" w:rsidRPr="004379C6" w:rsidRDefault="003568F8" w:rsidP="003B7524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amendment to Chapter 1 and the addition of Chapter 69 will have a positive </w:t>
      </w:r>
      <w:r w:rsidR="002C10AE">
        <w:rPr>
          <w:rFonts w:ascii="Times New Roman" w:hAnsi="Times New Roman"/>
          <w:sz w:val="24"/>
        </w:rPr>
        <w:t>impact</w:t>
      </w:r>
      <w:r>
        <w:rPr>
          <w:rFonts w:ascii="Times New Roman" w:hAnsi="Times New Roman"/>
          <w:sz w:val="24"/>
        </w:rPr>
        <w:t xml:space="preserve"> </w:t>
      </w:r>
      <w:r w:rsidR="00EF1910">
        <w:rPr>
          <w:rFonts w:ascii="Times New Roman" w:hAnsi="Times New Roman"/>
          <w:sz w:val="24"/>
        </w:rPr>
        <w:t>on relevant</w:t>
      </w:r>
      <w:r w:rsidR="00F21CB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reporting entities.</w:t>
      </w:r>
    </w:p>
    <w:p w14:paraId="1D6CD79B" w14:textId="77777777" w:rsidR="003B7524" w:rsidRDefault="003B7524" w:rsidP="003B7524">
      <w:pPr>
        <w:spacing w:before="2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Pr="00F0454D">
        <w:rPr>
          <w:rFonts w:ascii="Times New Roman" w:hAnsi="Times New Roman"/>
          <w:b/>
          <w:sz w:val="24"/>
        </w:rPr>
        <w:t>.</w:t>
      </w:r>
      <w:r w:rsidRPr="00F0454D">
        <w:rPr>
          <w:rFonts w:ascii="Times New Roman" w:hAnsi="Times New Roman"/>
          <w:b/>
          <w:sz w:val="24"/>
        </w:rPr>
        <w:tab/>
        <w:t>Assessment of benefits</w:t>
      </w:r>
    </w:p>
    <w:p w14:paraId="7398275A" w14:textId="77777777" w:rsidR="00E72232" w:rsidRPr="00E72232" w:rsidRDefault="00E72232" w:rsidP="00E72232">
      <w:pPr>
        <w:pStyle w:val="Paragraph"/>
        <w:rPr>
          <w:b/>
          <w:color w:val="000000"/>
        </w:rPr>
      </w:pPr>
      <w:r w:rsidRPr="00E72232">
        <w:rPr>
          <w:b/>
          <w:color w:val="000000"/>
        </w:rPr>
        <w:t>Amendments to Chapter 1</w:t>
      </w:r>
    </w:p>
    <w:p w14:paraId="2F2AA3EE" w14:textId="27542446" w:rsidR="00E72232" w:rsidRDefault="00E72232" w:rsidP="003B7524">
      <w:pPr>
        <w:pStyle w:val="Paragraph"/>
        <w:rPr>
          <w:color w:val="000000"/>
        </w:rPr>
      </w:pPr>
      <w:r w:rsidRPr="00133764">
        <w:rPr>
          <w:color w:val="000000"/>
        </w:rPr>
        <w:t>The amendment</w:t>
      </w:r>
      <w:r w:rsidR="0030571B">
        <w:rPr>
          <w:color w:val="000000"/>
        </w:rPr>
        <w:t xml:space="preserve"> to subparagraph (5) of the definition of ‘primary non-photographic identification document’ will</w:t>
      </w:r>
      <w:r>
        <w:rPr>
          <w:color w:val="000000"/>
        </w:rPr>
        <w:t xml:space="preserve"> remov</w:t>
      </w:r>
      <w:r w:rsidR="0030571B">
        <w:rPr>
          <w:color w:val="000000"/>
        </w:rPr>
        <w:t>e</w:t>
      </w:r>
      <w:r>
        <w:rPr>
          <w:color w:val="000000"/>
        </w:rPr>
        <w:t xml:space="preserve"> doubt as to whether the definition includes ‘health care card’</w:t>
      </w:r>
      <w:r>
        <w:rPr>
          <w:i/>
          <w:color w:val="000000"/>
        </w:rPr>
        <w:t xml:space="preserve">, </w:t>
      </w:r>
      <w:r>
        <w:rPr>
          <w:color w:val="000000"/>
        </w:rPr>
        <w:t xml:space="preserve">and therefore provides certainty to industry in respect to the </w:t>
      </w:r>
      <w:r w:rsidR="00EF1910">
        <w:rPr>
          <w:color w:val="000000"/>
        </w:rPr>
        <w:t xml:space="preserve">application of the </w:t>
      </w:r>
      <w:r>
        <w:rPr>
          <w:color w:val="000000"/>
        </w:rPr>
        <w:t>amended definition</w:t>
      </w:r>
      <w:r w:rsidRPr="00133764">
        <w:rPr>
          <w:color w:val="000000"/>
        </w:rPr>
        <w:t>.</w:t>
      </w:r>
    </w:p>
    <w:p w14:paraId="11DF9B15" w14:textId="77777777" w:rsidR="00E600DC" w:rsidRPr="00E600DC" w:rsidRDefault="00E600DC" w:rsidP="003B7524">
      <w:pPr>
        <w:pStyle w:val="Paragraph"/>
        <w:rPr>
          <w:b/>
          <w:color w:val="000000"/>
        </w:rPr>
      </w:pPr>
      <w:r w:rsidRPr="00E600DC">
        <w:rPr>
          <w:b/>
          <w:color w:val="000000"/>
        </w:rPr>
        <w:t>Chapter 69</w:t>
      </w:r>
    </w:p>
    <w:p w14:paraId="4A4D4241" w14:textId="29F744D5" w:rsidR="00E600DC" w:rsidRDefault="003568F8" w:rsidP="003B7524">
      <w:pPr>
        <w:pStyle w:val="Paragraph"/>
        <w:rPr>
          <w:color w:val="000000"/>
        </w:rPr>
      </w:pPr>
      <w:r>
        <w:rPr>
          <w:color w:val="000000"/>
        </w:rPr>
        <w:t xml:space="preserve">The chapter will reduce regulatory burden on industry by exempting </w:t>
      </w:r>
      <w:r w:rsidR="0030571B">
        <w:rPr>
          <w:color w:val="000000"/>
        </w:rPr>
        <w:t xml:space="preserve">casino licence holders </w:t>
      </w:r>
      <w:r>
        <w:rPr>
          <w:color w:val="000000"/>
        </w:rPr>
        <w:t xml:space="preserve">from </w:t>
      </w:r>
      <w:r w:rsidR="006E51E2">
        <w:rPr>
          <w:color w:val="000000"/>
        </w:rPr>
        <w:t xml:space="preserve">obligations that include </w:t>
      </w:r>
      <w:r>
        <w:rPr>
          <w:color w:val="000000"/>
        </w:rPr>
        <w:t>the need to apply for registration on the RSR</w:t>
      </w:r>
      <w:r w:rsidR="00EF1910">
        <w:rPr>
          <w:color w:val="000000"/>
        </w:rPr>
        <w:t>, renew their registration every three years and notify AUSTRAC whenever there is a change to their registration details</w:t>
      </w:r>
      <w:r>
        <w:rPr>
          <w:color w:val="000000"/>
        </w:rPr>
        <w:t>.</w:t>
      </w:r>
    </w:p>
    <w:p w14:paraId="10F39859" w14:textId="77777777" w:rsidR="003B7524" w:rsidRPr="007E0F49" w:rsidRDefault="003B7524" w:rsidP="003B7524">
      <w:pPr>
        <w:pStyle w:val="Paragraph"/>
        <w:rPr>
          <w:b/>
          <w:szCs w:val="24"/>
        </w:rPr>
      </w:pPr>
      <w:r>
        <w:rPr>
          <w:b/>
        </w:rPr>
        <w:t>7</w:t>
      </w:r>
      <w:r w:rsidRPr="007E0F49">
        <w:rPr>
          <w:b/>
        </w:rPr>
        <w:t>.</w:t>
      </w:r>
      <w:r w:rsidRPr="007E0F49">
        <w:rPr>
          <w:b/>
        </w:rPr>
        <w:tab/>
        <w:t>Consultation</w:t>
      </w:r>
    </w:p>
    <w:p w14:paraId="6C2854EA" w14:textId="77777777" w:rsidR="00363F21" w:rsidRDefault="00363F21" w:rsidP="008634E5">
      <w:pPr>
        <w:spacing w:before="240"/>
        <w:rPr>
          <w:rFonts w:ascii="Times New Roman" w:hAnsi="Times New Roman"/>
          <w:sz w:val="24"/>
        </w:rPr>
      </w:pPr>
      <w:r w:rsidRPr="00A42A2E">
        <w:rPr>
          <w:rFonts w:ascii="Times New Roman" w:hAnsi="Times New Roman"/>
          <w:sz w:val="24"/>
        </w:rPr>
        <w:t>AUSTRAC has consulted with</w:t>
      </w:r>
      <w:r w:rsidR="00F905A2" w:rsidRPr="00F905A2">
        <w:rPr>
          <w:rFonts w:ascii="Times New Roman" w:hAnsi="Times New Roman"/>
          <w:sz w:val="24"/>
        </w:rPr>
        <w:t xml:space="preserve"> </w:t>
      </w:r>
      <w:r w:rsidR="00F905A2" w:rsidRPr="00A42A2E">
        <w:rPr>
          <w:rFonts w:ascii="Times New Roman" w:hAnsi="Times New Roman"/>
          <w:sz w:val="24"/>
        </w:rPr>
        <w:t>the Australian Federal Police</w:t>
      </w:r>
      <w:r w:rsidR="00F905A2">
        <w:rPr>
          <w:rFonts w:ascii="Times New Roman" w:hAnsi="Times New Roman"/>
          <w:sz w:val="24"/>
        </w:rPr>
        <w:t>,</w:t>
      </w:r>
      <w:r w:rsidR="00F905A2" w:rsidRPr="00A42A2E">
        <w:rPr>
          <w:rFonts w:ascii="Times New Roman" w:hAnsi="Times New Roman"/>
          <w:sz w:val="24"/>
        </w:rPr>
        <w:t xml:space="preserve"> </w:t>
      </w:r>
      <w:r w:rsidRPr="00A42A2E">
        <w:rPr>
          <w:rFonts w:ascii="Times New Roman" w:hAnsi="Times New Roman"/>
          <w:sz w:val="24"/>
        </w:rPr>
        <w:t>the Australian Taxation Office, the Australian Customs and Border Protection Service</w:t>
      </w:r>
      <w:r>
        <w:rPr>
          <w:rFonts w:ascii="Times New Roman" w:hAnsi="Times New Roman"/>
          <w:sz w:val="24"/>
        </w:rPr>
        <w:t>,</w:t>
      </w:r>
      <w:r w:rsidRPr="00A42A2E">
        <w:rPr>
          <w:rFonts w:ascii="Times New Roman" w:hAnsi="Times New Roman"/>
          <w:sz w:val="24"/>
        </w:rPr>
        <w:t xml:space="preserve"> the Australian Crime Commission </w:t>
      </w:r>
      <w:r>
        <w:rPr>
          <w:rFonts w:ascii="Times New Roman" w:hAnsi="Times New Roman"/>
          <w:sz w:val="24"/>
        </w:rPr>
        <w:t xml:space="preserve">and the Office of the Australian Information Commissioner </w:t>
      </w:r>
      <w:r w:rsidRPr="00A42A2E">
        <w:rPr>
          <w:rFonts w:ascii="Times New Roman" w:hAnsi="Times New Roman"/>
          <w:sz w:val="24"/>
        </w:rPr>
        <w:t>in relation to the</w:t>
      </w:r>
      <w:r w:rsidR="001C5B36">
        <w:rPr>
          <w:rFonts w:ascii="Times New Roman" w:hAnsi="Times New Roman"/>
          <w:sz w:val="24"/>
        </w:rPr>
        <w:t xml:space="preserve"> amendment to Chapter </w:t>
      </w:r>
      <w:r w:rsidR="007B404C">
        <w:rPr>
          <w:rFonts w:ascii="Times New Roman" w:hAnsi="Times New Roman"/>
          <w:sz w:val="24"/>
        </w:rPr>
        <w:t>1</w:t>
      </w:r>
      <w:r w:rsidR="001C5B36">
        <w:rPr>
          <w:rFonts w:ascii="Times New Roman" w:hAnsi="Times New Roman"/>
          <w:sz w:val="24"/>
        </w:rPr>
        <w:t xml:space="preserve"> and </w:t>
      </w:r>
      <w:r w:rsidR="007B404C">
        <w:rPr>
          <w:rFonts w:ascii="Times New Roman" w:hAnsi="Times New Roman"/>
          <w:sz w:val="24"/>
        </w:rPr>
        <w:t xml:space="preserve">the </w:t>
      </w:r>
      <w:r w:rsidR="003568F8">
        <w:rPr>
          <w:rFonts w:ascii="Times New Roman" w:hAnsi="Times New Roman"/>
          <w:sz w:val="24"/>
        </w:rPr>
        <w:t>addition</w:t>
      </w:r>
      <w:r w:rsidR="007B404C">
        <w:rPr>
          <w:rFonts w:ascii="Times New Roman" w:hAnsi="Times New Roman"/>
          <w:sz w:val="24"/>
        </w:rPr>
        <w:t xml:space="preserve"> of Chapter 69</w:t>
      </w:r>
      <w:r w:rsidR="003340DB">
        <w:rPr>
          <w:rFonts w:ascii="Times New Roman" w:hAnsi="Times New Roman"/>
          <w:sz w:val="24"/>
        </w:rPr>
        <w:t xml:space="preserve">. </w:t>
      </w:r>
    </w:p>
    <w:p w14:paraId="624E72E4" w14:textId="77777777" w:rsidR="00626E80" w:rsidRDefault="00D44977" w:rsidP="008634E5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AUSTRAC published </w:t>
      </w:r>
      <w:r w:rsidR="007E6720">
        <w:rPr>
          <w:rFonts w:ascii="Times New Roman" w:hAnsi="Times New Roman"/>
          <w:sz w:val="24"/>
        </w:rPr>
        <w:t xml:space="preserve">the </w:t>
      </w:r>
      <w:r w:rsidR="000C5E2A">
        <w:rPr>
          <w:rFonts w:ascii="Times New Roman" w:hAnsi="Times New Roman"/>
          <w:sz w:val="24"/>
        </w:rPr>
        <w:t xml:space="preserve">amendments </w:t>
      </w:r>
      <w:r w:rsidR="00626E80">
        <w:rPr>
          <w:rFonts w:ascii="Times New Roman" w:hAnsi="Times New Roman"/>
          <w:sz w:val="24"/>
        </w:rPr>
        <w:t xml:space="preserve">to Chapter </w:t>
      </w:r>
      <w:r w:rsidR="000E63EE">
        <w:rPr>
          <w:rFonts w:ascii="Times New Roman" w:hAnsi="Times New Roman"/>
          <w:sz w:val="24"/>
        </w:rPr>
        <w:t>1</w:t>
      </w:r>
      <w:r w:rsidR="00626E80">
        <w:rPr>
          <w:rFonts w:ascii="Times New Roman" w:hAnsi="Times New Roman"/>
          <w:sz w:val="24"/>
        </w:rPr>
        <w:t xml:space="preserve"> </w:t>
      </w:r>
      <w:r w:rsidR="00C15AD7">
        <w:rPr>
          <w:rFonts w:ascii="Times New Roman" w:hAnsi="Times New Roman"/>
          <w:sz w:val="24"/>
        </w:rPr>
        <w:t xml:space="preserve">of the </w:t>
      </w:r>
      <w:r w:rsidR="00C15AD7" w:rsidRPr="00C15AD7">
        <w:rPr>
          <w:rFonts w:ascii="Times New Roman" w:hAnsi="Times New Roman"/>
          <w:sz w:val="24"/>
        </w:rPr>
        <w:t xml:space="preserve">AML/CTF Rules </w:t>
      </w:r>
      <w:r w:rsidR="00C15AD7">
        <w:rPr>
          <w:rFonts w:ascii="Times New Roman" w:hAnsi="Times New Roman"/>
          <w:sz w:val="24"/>
        </w:rPr>
        <w:t>f</w:t>
      </w:r>
      <w:r w:rsidR="00C15AD7" w:rsidRPr="00C15AD7">
        <w:rPr>
          <w:rFonts w:ascii="Times New Roman" w:hAnsi="Times New Roman"/>
          <w:sz w:val="24"/>
        </w:rPr>
        <w:t>or public consultation on</w:t>
      </w:r>
      <w:r w:rsidR="00626E80">
        <w:rPr>
          <w:rFonts w:ascii="Times New Roman" w:hAnsi="Times New Roman"/>
          <w:sz w:val="24"/>
        </w:rPr>
        <w:t xml:space="preserve"> </w:t>
      </w:r>
      <w:r w:rsidR="002475AC">
        <w:rPr>
          <w:rFonts w:ascii="Times New Roman" w:hAnsi="Times New Roman"/>
          <w:sz w:val="24"/>
        </w:rPr>
        <w:t xml:space="preserve">the </w:t>
      </w:r>
      <w:r w:rsidR="00626E80">
        <w:rPr>
          <w:rFonts w:ascii="Times New Roman" w:hAnsi="Times New Roman"/>
          <w:sz w:val="24"/>
        </w:rPr>
        <w:t xml:space="preserve">AUSTRAC website from </w:t>
      </w:r>
      <w:r w:rsidR="00B647FD">
        <w:rPr>
          <w:rFonts w:ascii="Times New Roman" w:hAnsi="Times New Roman"/>
          <w:sz w:val="24"/>
        </w:rPr>
        <w:t>26 September</w:t>
      </w:r>
      <w:r w:rsidR="00626E80">
        <w:rPr>
          <w:rFonts w:ascii="Times New Roman" w:hAnsi="Times New Roman"/>
          <w:sz w:val="24"/>
        </w:rPr>
        <w:t xml:space="preserve"> 2013 to </w:t>
      </w:r>
      <w:r w:rsidR="00B647FD">
        <w:rPr>
          <w:rFonts w:ascii="Times New Roman" w:hAnsi="Times New Roman"/>
          <w:sz w:val="24"/>
        </w:rPr>
        <w:t>24 October</w:t>
      </w:r>
      <w:r w:rsidR="00626E80">
        <w:rPr>
          <w:rFonts w:ascii="Times New Roman" w:hAnsi="Times New Roman"/>
          <w:sz w:val="24"/>
        </w:rPr>
        <w:t xml:space="preserve"> 2013. </w:t>
      </w:r>
    </w:p>
    <w:p w14:paraId="769A8598" w14:textId="77777777" w:rsidR="00433C9D" w:rsidRDefault="00433C9D" w:rsidP="00433C9D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AUSTRAC published Chapter </w:t>
      </w:r>
      <w:r w:rsidR="000E63EE">
        <w:rPr>
          <w:rFonts w:ascii="Times New Roman" w:hAnsi="Times New Roman"/>
          <w:sz w:val="24"/>
        </w:rPr>
        <w:t>69</w:t>
      </w:r>
      <w:r>
        <w:rPr>
          <w:rFonts w:ascii="Times New Roman" w:hAnsi="Times New Roman"/>
          <w:sz w:val="24"/>
        </w:rPr>
        <w:t xml:space="preserve"> of the </w:t>
      </w:r>
      <w:r w:rsidRPr="00C15AD7">
        <w:rPr>
          <w:rFonts w:ascii="Times New Roman" w:hAnsi="Times New Roman"/>
          <w:sz w:val="24"/>
        </w:rPr>
        <w:t xml:space="preserve">AML/CTF Rules </w:t>
      </w:r>
      <w:r>
        <w:rPr>
          <w:rFonts w:ascii="Times New Roman" w:hAnsi="Times New Roman"/>
          <w:sz w:val="24"/>
        </w:rPr>
        <w:t>f</w:t>
      </w:r>
      <w:r w:rsidRPr="00C15AD7">
        <w:rPr>
          <w:rFonts w:ascii="Times New Roman" w:hAnsi="Times New Roman"/>
          <w:sz w:val="24"/>
        </w:rPr>
        <w:t>or public consultation on</w:t>
      </w:r>
      <w:r>
        <w:rPr>
          <w:rFonts w:ascii="Times New Roman" w:hAnsi="Times New Roman"/>
          <w:sz w:val="24"/>
        </w:rPr>
        <w:t xml:space="preserve"> the AUSTRAC website from </w:t>
      </w:r>
      <w:r w:rsidR="00B647FD">
        <w:rPr>
          <w:rFonts w:ascii="Times New Roman" w:hAnsi="Times New Roman"/>
          <w:sz w:val="24"/>
        </w:rPr>
        <w:t>17 October</w:t>
      </w:r>
      <w:r>
        <w:rPr>
          <w:rFonts w:ascii="Times New Roman" w:hAnsi="Times New Roman"/>
          <w:sz w:val="24"/>
        </w:rPr>
        <w:t xml:space="preserve"> 2013 to </w:t>
      </w:r>
      <w:r w:rsidR="00B647FD">
        <w:rPr>
          <w:rFonts w:ascii="Times New Roman" w:hAnsi="Times New Roman"/>
          <w:sz w:val="24"/>
        </w:rPr>
        <w:t>14 November</w:t>
      </w:r>
      <w:r>
        <w:rPr>
          <w:rFonts w:ascii="Times New Roman" w:hAnsi="Times New Roman"/>
          <w:sz w:val="24"/>
        </w:rPr>
        <w:t xml:space="preserve"> 2013. </w:t>
      </w:r>
    </w:p>
    <w:p w14:paraId="21040039" w14:textId="77777777" w:rsidR="003B7524" w:rsidRPr="00F0454D" w:rsidRDefault="003B7524" w:rsidP="003B7524">
      <w:pPr>
        <w:spacing w:before="2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Pr="00F0454D">
        <w:rPr>
          <w:rFonts w:ascii="Times New Roman" w:hAnsi="Times New Roman"/>
          <w:b/>
          <w:sz w:val="24"/>
        </w:rPr>
        <w:t>.</w:t>
      </w:r>
      <w:r w:rsidRPr="00F0454D">
        <w:rPr>
          <w:rFonts w:ascii="Times New Roman" w:hAnsi="Times New Roman"/>
          <w:b/>
          <w:sz w:val="24"/>
        </w:rPr>
        <w:tab/>
        <w:t>Ongoing consultation</w:t>
      </w:r>
    </w:p>
    <w:p w14:paraId="318942AE" w14:textId="77777777" w:rsidR="00D852BA" w:rsidRDefault="007929FC" w:rsidP="003B7524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AUSTRAC will conduct ongoing consultation with stakeholders on the operation of the AML/CTF Rules</w:t>
      </w:r>
      <w:r w:rsidR="003B7524" w:rsidRPr="00EE3DCD">
        <w:rPr>
          <w:rFonts w:ascii="Times New Roman" w:hAnsi="Times New Roman"/>
          <w:sz w:val="24"/>
        </w:rPr>
        <w:t>.</w:t>
      </w:r>
    </w:p>
    <w:p w14:paraId="79CFDAFC" w14:textId="77777777" w:rsidR="00D852BA" w:rsidRPr="007600EF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7600EF">
        <w:rPr>
          <w:rFonts w:ascii="Times New Roman" w:hAnsi="Times New Roman"/>
          <w:b/>
          <w:sz w:val="28"/>
          <w:szCs w:val="28"/>
        </w:rPr>
        <w:lastRenderedPageBreak/>
        <w:t>Statement of Compa</w:t>
      </w:r>
      <w:r>
        <w:rPr>
          <w:rFonts w:ascii="Times New Roman" w:hAnsi="Times New Roman"/>
          <w:b/>
          <w:sz w:val="28"/>
          <w:szCs w:val="28"/>
        </w:rPr>
        <w:t>ti</w:t>
      </w:r>
      <w:r w:rsidRPr="007600EF">
        <w:rPr>
          <w:rFonts w:ascii="Times New Roman" w:hAnsi="Times New Roman"/>
          <w:b/>
          <w:sz w:val="28"/>
          <w:szCs w:val="28"/>
        </w:rPr>
        <w:t>bility with Human Rights</w:t>
      </w:r>
    </w:p>
    <w:p w14:paraId="3610E438" w14:textId="77777777" w:rsidR="00D852BA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410FF6C2" w14:textId="77777777" w:rsidR="00D852BA" w:rsidRPr="007600EF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Cs w:val="22"/>
        </w:rPr>
      </w:pPr>
      <w:r w:rsidRPr="007600EF">
        <w:rPr>
          <w:rFonts w:ascii="Times New Roman" w:hAnsi="Times New Roman"/>
          <w:i/>
          <w:szCs w:val="22"/>
        </w:rPr>
        <w:t>Prepared in accordance with Part 3 of the Human Rights (Parliamentary Scrutiny</w:t>
      </w:r>
      <w:r>
        <w:rPr>
          <w:rFonts w:ascii="Times New Roman" w:hAnsi="Times New Roman"/>
          <w:i/>
          <w:szCs w:val="22"/>
        </w:rPr>
        <w:t>)</w:t>
      </w:r>
      <w:r w:rsidRPr="007600EF">
        <w:rPr>
          <w:rFonts w:ascii="Times New Roman" w:hAnsi="Times New Roman"/>
          <w:i/>
          <w:szCs w:val="22"/>
        </w:rPr>
        <w:t xml:space="preserve"> Act 2011</w:t>
      </w:r>
    </w:p>
    <w:p w14:paraId="1C7A5615" w14:textId="77777777" w:rsidR="00D852BA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1C4522CC" w14:textId="6D12BC7E" w:rsidR="00D852BA" w:rsidRPr="007600EF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i/>
          <w:sz w:val="24"/>
        </w:rPr>
      </w:pPr>
      <w:r w:rsidRPr="007600EF">
        <w:rPr>
          <w:rFonts w:ascii="Times New Roman" w:hAnsi="Times New Roman"/>
          <w:b/>
          <w:i/>
          <w:sz w:val="24"/>
        </w:rPr>
        <w:t>Anti-Money Laundering and Counter-Terrorism Financing Rules Amendment Instrument 201</w:t>
      </w:r>
      <w:r w:rsidR="005F5E52">
        <w:rPr>
          <w:rFonts w:ascii="Times New Roman" w:hAnsi="Times New Roman"/>
          <w:b/>
          <w:i/>
          <w:sz w:val="24"/>
        </w:rPr>
        <w:t>4</w:t>
      </w:r>
      <w:r w:rsidRPr="007600EF">
        <w:rPr>
          <w:rFonts w:ascii="Times New Roman" w:hAnsi="Times New Roman"/>
          <w:b/>
          <w:i/>
          <w:sz w:val="24"/>
        </w:rPr>
        <w:t xml:space="preserve"> (No.</w:t>
      </w:r>
      <w:r w:rsidR="00745E6D">
        <w:rPr>
          <w:rFonts w:ascii="Times New Roman" w:hAnsi="Times New Roman"/>
          <w:b/>
          <w:i/>
          <w:sz w:val="24"/>
        </w:rPr>
        <w:t xml:space="preserve"> </w:t>
      </w:r>
      <w:r w:rsidR="005F5E52">
        <w:rPr>
          <w:rFonts w:ascii="Times New Roman" w:hAnsi="Times New Roman"/>
          <w:b/>
          <w:i/>
          <w:sz w:val="24"/>
        </w:rPr>
        <w:t>1</w:t>
      </w:r>
      <w:r w:rsidRPr="007600EF">
        <w:rPr>
          <w:rFonts w:ascii="Times New Roman" w:hAnsi="Times New Roman"/>
          <w:b/>
          <w:i/>
          <w:sz w:val="24"/>
        </w:rPr>
        <w:t>)</w:t>
      </w:r>
    </w:p>
    <w:p w14:paraId="2354A44F" w14:textId="77777777" w:rsidR="00D852BA" w:rsidRPr="007600EF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i/>
        </w:rPr>
      </w:pPr>
    </w:p>
    <w:p w14:paraId="01302705" w14:textId="77777777" w:rsidR="00D852BA" w:rsidRPr="007600EF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 w:rsidRPr="007600EF">
        <w:rPr>
          <w:rFonts w:ascii="Times New Roman" w:hAnsi="Times New Roman"/>
          <w:sz w:val="24"/>
        </w:rPr>
        <w:t xml:space="preserve">This Instrument is compatible with the human rights and freedoms recognised or declared in the international instruments listed in section 3 of the </w:t>
      </w:r>
      <w:r w:rsidRPr="007600EF">
        <w:rPr>
          <w:rFonts w:ascii="Times New Roman" w:hAnsi="Times New Roman"/>
          <w:i/>
          <w:sz w:val="24"/>
        </w:rPr>
        <w:t>Human Rights (Parliamentary Scrutiny</w:t>
      </w:r>
      <w:r>
        <w:rPr>
          <w:rFonts w:ascii="Times New Roman" w:hAnsi="Times New Roman"/>
          <w:i/>
          <w:sz w:val="24"/>
        </w:rPr>
        <w:t>)</w:t>
      </w:r>
      <w:r w:rsidRPr="007600EF">
        <w:rPr>
          <w:rFonts w:ascii="Times New Roman" w:hAnsi="Times New Roman"/>
          <w:i/>
          <w:sz w:val="24"/>
        </w:rPr>
        <w:t xml:space="preserve"> Act 2011</w:t>
      </w:r>
      <w:r w:rsidRPr="007600EF">
        <w:rPr>
          <w:rFonts w:ascii="Times New Roman" w:hAnsi="Times New Roman"/>
          <w:sz w:val="24"/>
        </w:rPr>
        <w:t>.</w:t>
      </w:r>
    </w:p>
    <w:p w14:paraId="4F023C75" w14:textId="77777777" w:rsidR="00E07FA9" w:rsidRDefault="00E07FA9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03EB464F" w14:textId="77777777" w:rsidR="00D852BA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</w:rPr>
      </w:pPr>
      <w:r w:rsidRPr="007600EF">
        <w:rPr>
          <w:rFonts w:ascii="Times New Roman" w:hAnsi="Times New Roman"/>
          <w:b/>
          <w:sz w:val="24"/>
        </w:rPr>
        <w:t>Overview of the legislative instrument</w:t>
      </w:r>
    </w:p>
    <w:p w14:paraId="17D3D072" w14:textId="77777777" w:rsidR="00E07FA9" w:rsidRDefault="00E07FA9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</w:rPr>
      </w:pPr>
    </w:p>
    <w:p w14:paraId="4564C124" w14:textId="45CE1300" w:rsidR="00E07FA9" w:rsidRDefault="00E07FA9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</w:rPr>
      </w:pPr>
      <w:r w:rsidRPr="002D18EA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Instrument amends Chapter 1</w:t>
      </w:r>
      <w:r w:rsidRPr="002D18EA">
        <w:rPr>
          <w:rFonts w:ascii="Times New Roman" w:hAnsi="Times New Roman"/>
          <w:sz w:val="24"/>
        </w:rPr>
        <w:t xml:space="preserve"> of the Anti-Money Laundering/Counter-Terrorism Financing Rules (AML/CTF Rules) </w:t>
      </w:r>
      <w:r>
        <w:rPr>
          <w:rFonts w:ascii="Times New Roman" w:hAnsi="Times New Roman"/>
          <w:sz w:val="24"/>
        </w:rPr>
        <w:t xml:space="preserve">by </w:t>
      </w:r>
      <w:r w:rsidR="0030571B">
        <w:rPr>
          <w:rFonts w:ascii="Times New Roman" w:hAnsi="Times New Roman"/>
          <w:sz w:val="24"/>
        </w:rPr>
        <w:t xml:space="preserve">deleting </w:t>
      </w:r>
      <w:r>
        <w:rPr>
          <w:rFonts w:ascii="Times New Roman" w:hAnsi="Times New Roman"/>
          <w:sz w:val="24"/>
        </w:rPr>
        <w:t>subparagraph (5) of the definition of ‘</w:t>
      </w:r>
      <w:r w:rsidRPr="002700FC">
        <w:rPr>
          <w:rFonts w:ascii="Times New Roman" w:hAnsi="Times New Roman"/>
          <w:sz w:val="24"/>
        </w:rPr>
        <w:t>primary non-photographic identification document</w:t>
      </w:r>
      <w:r>
        <w:rPr>
          <w:rFonts w:ascii="Times New Roman" w:hAnsi="Times New Roman"/>
          <w:sz w:val="24"/>
        </w:rPr>
        <w:t xml:space="preserve">’ </w:t>
      </w:r>
      <w:r w:rsidR="0030571B"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z w:val="24"/>
        </w:rPr>
        <w:t xml:space="preserve"> inserting a new subparagraph (5) relating to the term ‘concession card’.</w:t>
      </w:r>
    </w:p>
    <w:p w14:paraId="3B0245CE" w14:textId="77777777" w:rsidR="002D18EA" w:rsidRDefault="002D18E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613CC40E" w14:textId="71B069B2" w:rsidR="00F15258" w:rsidRDefault="00F15258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</w:t>
      </w:r>
      <w:r w:rsidR="00433C9D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Instrument </w:t>
      </w:r>
      <w:r w:rsidR="001E005B">
        <w:rPr>
          <w:rFonts w:ascii="Times New Roman" w:hAnsi="Times New Roman"/>
          <w:sz w:val="24"/>
        </w:rPr>
        <w:t xml:space="preserve">also </w:t>
      </w:r>
      <w:r w:rsidR="001D3968">
        <w:rPr>
          <w:rFonts w:ascii="Times New Roman" w:hAnsi="Times New Roman"/>
          <w:sz w:val="24"/>
        </w:rPr>
        <w:t>adds</w:t>
      </w:r>
      <w:r>
        <w:rPr>
          <w:rFonts w:ascii="Times New Roman" w:hAnsi="Times New Roman"/>
          <w:sz w:val="24"/>
        </w:rPr>
        <w:t xml:space="preserve"> Chapter </w:t>
      </w:r>
      <w:r w:rsidR="001D3968">
        <w:rPr>
          <w:rFonts w:ascii="Times New Roman" w:hAnsi="Times New Roman"/>
          <w:sz w:val="24"/>
        </w:rPr>
        <w:t>69</w:t>
      </w:r>
      <w:r>
        <w:rPr>
          <w:rFonts w:ascii="Times New Roman" w:hAnsi="Times New Roman"/>
          <w:sz w:val="24"/>
        </w:rPr>
        <w:t xml:space="preserve"> </w:t>
      </w:r>
      <w:r w:rsidR="001D3968"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z w:val="24"/>
        </w:rPr>
        <w:t xml:space="preserve"> the AML/CTF Rules</w:t>
      </w:r>
      <w:r w:rsidR="00EF1910">
        <w:rPr>
          <w:rFonts w:ascii="Times New Roman" w:hAnsi="Times New Roman"/>
          <w:i/>
          <w:iCs/>
          <w:sz w:val="24"/>
          <w:lang w:eastAsia="en-AU"/>
        </w:rPr>
        <w:t xml:space="preserve"> </w:t>
      </w:r>
      <w:r w:rsidR="00EF1910">
        <w:rPr>
          <w:rFonts w:ascii="Times New Roman" w:hAnsi="Times New Roman"/>
          <w:iCs/>
          <w:sz w:val="24"/>
          <w:lang w:eastAsia="en-AU"/>
        </w:rPr>
        <w:t>w</w:t>
      </w:r>
      <w:r w:rsidR="00EF1910" w:rsidRPr="00E07FA9">
        <w:rPr>
          <w:rFonts w:ascii="Times New Roman" w:hAnsi="Times New Roman"/>
          <w:iCs/>
          <w:sz w:val="24"/>
          <w:lang w:eastAsia="en-AU"/>
        </w:rPr>
        <w:t>hich</w:t>
      </w:r>
      <w:r>
        <w:rPr>
          <w:rFonts w:ascii="Times New Roman" w:hAnsi="Times New Roman"/>
          <w:sz w:val="24"/>
        </w:rPr>
        <w:t xml:space="preserve"> </w:t>
      </w:r>
      <w:r w:rsidR="001E005B" w:rsidRPr="00433B24">
        <w:rPr>
          <w:rFonts w:ascii="Times New Roman" w:hAnsi="Times New Roman"/>
          <w:sz w:val="24"/>
        </w:rPr>
        <w:t>exempt</w:t>
      </w:r>
      <w:r w:rsidR="00EF1910">
        <w:rPr>
          <w:rFonts w:ascii="Times New Roman" w:hAnsi="Times New Roman"/>
          <w:sz w:val="24"/>
        </w:rPr>
        <w:t>s</w:t>
      </w:r>
      <w:r w:rsidR="001E005B" w:rsidRPr="00433B24">
        <w:rPr>
          <w:rFonts w:ascii="Times New Roman" w:hAnsi="Times New Roman"/>
          <w:sz w:val="24"/>
        </w:rPr>
        <w:t xml:space="preserve"> </w:t>
      </w:r>
      <w:r w:rsidR="001E005B">
        <w:rPr>
          <w:rFonts w:ascii="Times New Roman" w:hAnsi="Times New Roman"/>
          <w:sz w:val="24"/>
        </w:rPr>
        <w:t xml:space="preserve">casino licence holders </w:t>
      </w:r>
      <w:r w:rsidR="00B66083">
        <w:rPr>
          <w:rFonts w:ascii="Times New Roman" w:hAnsi="Times New Roman"/>
          <w:sz w:val="24"/>
        </w:rPr>
        <w:t xml:space="preserve">from the requirement under the AML/CTF Act to </w:t>
      </w:r>
      <w:r w:rsidR="001E005B" w:rsidRPr="009671EF">
        <w:rPr>
          <w:rFonts w:ascii="Times New Roman" w:hAnsi="Times New Roman"/>
          <w:sz w:val="24"/>
        </w:rPr>
        <w:t>be registered on the Remittance Sector Register</w:t>
      </w:r>
      <w:r w:rsidR="001E005B">
        <w:rPr>
          <w:rFonts w:ascii="Times New Roman" w:hAnsi="Times New Roman"/>
          <w:sz w:val="24"/>
        </w:rPr>
        <w:t>.</w:t>
      </w:r>
    </w:p>
    <w:p w14:paraId="733A2D37" w14:textId="77777777" w:rsidR="00F15258" w:rsidRDefault="00F15258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19E598E9" w14:textId="77777777" w:rsidR="00D852BA" w:rsidRPr="007600EF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</w:rPr>
      </w:pPr>
      <w:r w:rsidRPr="007600EF">
        <w:rPr>
          <w:rFonts w:ascii="Times New Roman" w:hAnsi="Times New Roman"/>
          <w:b/>
          <w:sz w:val="24"/>
        </w:rPr>
        <w:t>Human rights implications</w:t>
      </w:r>
    </w:p>
    <w:p w14:paraId="1827D4C6" w14:textId="77777777" w:rsidR="00D852BA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4B1A7743" w14:textId="77777777" w:rsidR="00D852BA" w:rsidRDefault="00330393" w:rsidP="00953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is considered that this Instrument does not engage any of the applicable rights or freedoms.</w:t>
      </w:r>
    </w:p>
    <w:p w14:paraId="515E1C2E" w14:textId="77777777" w:rsidR="00330393" w:rsidRDefault="00330393" w:rsidP="00953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</w:rPr>
      </w:pPr>
    </w:p>
    <w:p w14:paraId="226BFE8F" w14:textId="77777777" w:rsidR="00D852BA" w:rsidRPr="007600EF" w:rsidRDefault="00D852BA" w:rsidP="00953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</w:rPr>
      </w:pPr>
      <w:r w:rsidRPr="007600EF">
        <w:rPr>
          <w:rFonts w:ascii="Times New Roman" w:hAnsi="Times New Roman"/>
          <w:b/>
          <w:sz w:val="24"/>
        </w:rPr>
        <w:t>Conclusion</w:t>
      </w:r>
    </w:p>
    <w:p w14:paraId="2411725E" w14:textId="77777777" w:rsidR="00D852BA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4C5D3F63" w14:textId="77777777" w:rsidR="00D852BA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Instrument is </w:t>
      </w:r>
      <w:r w:rsidR="00237735">
        <w:rPr>
          <w:rFonts w:ascii="Times New Roman" w:hAnsi="Times New Roman"/>
          <w:sz w:val="24"/>
        </w:rPr>
        <w:t xml:space="preserve">therefore </w:t>
      </w:r>
      <w:r>
        <w:rPr>
          <w:rFonts w:ascii="Times New Roman" w:hAnsi="Times New Roman"/>
          <w:sz w:val="24"/>
        </w:rPr>
        <w:t xml:space="preserve">compatible with human rights as it does not raise any human rights issues. </w:t>
      </w:r>
    </w:p>
    <w:p w14:paraId="30559E7E" w14:textId="77777777" w:rsidR="00D852BA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5FAE2655" w14:textId="77777777" w:rsidR="003340DB" w:rsidRDefault="003340DB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37016D8F" w14:textId="77777777" w:rsidR="003340DB" w:rsidRDefault="003340DB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4CD4E941" w14:textId="77777777" w:rsidR="00D65393" w:rsidRDefault="00D65393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John Lance Schmidt </w:t>
      </w:r>
    </w:p>
    <w:p w14:paraId="1F054871" w14:textId="77777777" w:rsidR="009531E4" w:rsidRDefault="00640C28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Chief Executive Officer</w:t>
      </w:r>
    </w:p>
    <w:p w14:paraId="28B8EB1F" w14:textId="77777777" w:rsidR="00D65393" w:rsidRDefault="00640C28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Australian Transaction Reports and Analysis Centre</w:t>
      </w:r>
    </w:p>
    <w:sectPr w:rsidR="00D65393" w:rsidSect="00AB3147">
      <w:footerReference w:type="even" r:id="rId9"/>
      <w:footerReference w:type="default" r:id="rId10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2029E" w14:textId="77777777" w:rsidR="007B1B95" w:rsidRDefault="007B1B95">
      <w:r>
        <w:separator/>
      </w:r>
    </w:p>
  </w:endnote>
  <w:endnote w:type="continuationSeparator" w:id="0">
    <w:p w14:paraId="1CED8562" w14:textId="77777777" w:rsidR="007B1B95" w:rsidRDefault="007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4BEE1" w14:textId="77777777" w:rsidR="00D808DA" w:rsidRDefault="00D808DA" w:rsidP="003F25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EB9ADF" w14:textId="77777777" w:rsidR="00D808DA" w:rsidRDefault="00D808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D0745" w14:textId="77777777" w:rsidR="00D808DA" w:rsidRDefault="00D808DA" w:rsidP="003F25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2AD4">
      <w:rPr>
        <w:rStyle w:val="PageNumber"/>
        <w:noProof/>
      </w:rPr>
      <w:t>5</w:t>
    </w:r>
    <w:r>
      <w:rPr>
        <w:rStyle w:val="PageNumber"/>
      </w:rPr>
      <w:fldChar w:fldCharType="end"/>
    </w:r>
  </w:p>
  <w:p w14:paraId="1D4C9A6A" w14:textId="77777777" w:rsidR="00D808DA" w:rsidRDefault="00D808DA" w:rsidP="003B752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02A4F" w14:textId="77777777" w:rsidR="007B1B95" w:rsidRDefault="007B1B95">
      <w:r>
        <w:separator/>
      </w:r>
    </w:p>
  </w:footnote>
  <w:footnote w:type="continuationSeparator" w:id="0">
    <w:p w14:paraId="385BED6D" w14:textId="77777777" w:rsidR="007B1B95" w:rsidRDefault="007B1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EF2"/>
    <w:multiLevelType w:val="hybridMultilevel"/>
    <w:tmpl w:val="8BE0A230"/>
    <w:lvl w:ilvl="0" w:tplc="5AF4C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06278F"/>
    <w:multiLevelType w:val="multilevel"/>
    <w:tmpl w:val="FF9C90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4A293B"/>
    <w:multiLevelType w:val="hybridMultilevel"/>
    <w:tmpl w:val="830A868E"/>
    <w:lvl w:ilvl="0" w:tplc="F6606D1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7670BA"/>
    <w:multiLevelType w:val="hybridMultilevel"/>
    <w:tmpl w:val="9C0CDF9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0C64AE"/>
    <w:multiLevelType w:val="hybridMultilevel"/>
    <w:tmpl w:val="A7C6D62A"/>
    <w:lvl w:ilvl="0" w:tplc="1FECFAA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C65A21"/>
    <w:multiLevelType w:val="hybridMultilevel"/>
    <w:tmpl w:val="EEF4C094"/>
    <w:lvl w:ilvl="0" w:tplc="5AF4C4DC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C13A1B"/>
    <w:multiLevelType w:val="hybridMultilevel"/>
    <w:tmpl w:val="4C8E725C"/>
    <w:lvl w:ilvl="0" w:tplc="F6606D1A">
      <w:start w:val="1"/>
      <w:numFmt w:val="bullet"/>
      <w:lvlText w:val=""/>
      <w:lvlJc w:val="left"/>
      <w:pPr>
        <w:tabs>
          <w:tab w:val="num" w:pos="1500"/>
        </w:tabs>
        <w:ind w:left="167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7">
    <w:nsid w:val="5FE80D0D"/>
    <w:multiLevelType w:val="hybridMultilevel"/>
    <w:tmpl w:val="B738927E"/>
    <w:lvl w:ilvl="0" w:tplc="78ACF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F6606D1A">
      <w:start w:val="1"/>
      <w:numFmt w:val="bullet"/>
      <w:lvlText w:val="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  <w:sz w:val="24"/>
        <w:szCs w:val="24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F429FD"/>
    <w:multiLevelType w:val="hybridMultilevel"/>
    <w:tmpl w:val="5A1A1DA4"/>
    <w:lvl w:ilvl="0" w:tplc="414099E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5BF2A2F"/>
    <w:multiLevelType w:val="multilevel"/>
    <w:tmpl w:val="468CB7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9A19DC"/>
    <w:multiLevelType w:val="multilevel"/>
    <w:tmpl w:val="5100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7E09C7"/>
    <w:multiLevelType w:val="hybridMultilevel"/>
    <w:tmpl w:val="7196F280"/>
    <w:lvl w:ilvl="0" w:tplc="04463F8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4"/>
  </w:num>
  <w:num w:numId="7">
    <w:abstractNumId w:val="11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524"/>
    <w:rsid w:val="00002D59"/>
    <w:rsid w:val="00004237"/>
    <w:rsid w:val="00013686"/>
    <w:rsid w:val="00024C66"/>
    <w:rsid w:val="00027747"/>
    <w:rsid w:val="00035795"/>
    <w:rsid w:val="000430D4"/>
    <w:rsid w:val="00057C98"/>
    <w:rsid w:val="0006328D"/>
    <w:rsid w:val="00075472"/>
    <w:rsid w:val="0008191B"/>
    <w:rsid w:val="0009363E"/>
    <w:rsid w:val="000A448C"/>
    <w:rsid w:val="000A71FF"/>
    <w:rsid w:val="000B07C2"/>
    <w:rsid w:val="000B3D22"/>
    <w:rsid w:val="000C4CBB"/>
    <w:rsid w:val="000C5E2A"/>
    <w:rsid w:val="000D143A"/>
    <w:rsid w:val="000D1DA2"/>
    <w:rsid w:val="000E63EE"/>
    <w:rsid w:val="00100E9D"/>
    <w:rsid w:val="00101CDF"/>
    <w:rsid w:val="0010649D"/>
    <w:rsid w:val="001138C2"/>
    <w:rsid w:val="001161BA"/>
    <w:rsid w:val="00121FC3"/>
    <w:rsid w:val="00122D9B"/>
    <w:rsid w:val="0013429C"/>
    <w:rsid w:val="00134CA6"/>
    <w:rsid w:val="00146C29"/>
    <w:rsid w:val="00151CE0"/>
    <w:rsid w:val="0015621A"/>
    <w:rsid w:val="001663D5"/>
    <w:rsid w:val="00193377"/>
    <w:rsid w:val="00197E8A"/>
    <w:rsid w:val="001A58BA"/>
    <w:rsid w:val="001A63E8"/>
    <w:rsid w:val="001B005E"/>
    <w:rsid w:val="001B3A61"/>
    <w:rsid w:val="001B679A"/>
    <w:rsid w:val="001B7DCC"/>
    <w:rsid w:val="001C2371"/>
    <w:rsid w:val="001C37C9"/>
    <w:rsid w:val="001C57DA"/>
    <w:rsid w:val="001C5B36"/>
    <w:rsid w:val="001C6C6F"/>
    <w:rsid w:val="001D3034"/>
    <w:rsid w:val="001D3559"/>
    <w:rsid w:val="001D3968"/>
    <w:rsid w:val="001D5E25"/>
    <w:rsid w:val="001D6003"/>
    <w:rsid w:val="001E005B"/>
    <w:rsid w:val="001E23BF"/>
    <w:rsid w:val="001E2728"/>
    <w:rsid w:val="001E4D8A"/>
    <w:rsid w:val="002222BA"/>
    <w:rsid w:val="00232AD4"/>
    <w:rsid w:val="00234EE9"/>
    <w:rsid w:val="00237735"/>
    <w:rsid w:val="00243298"/>
    <w:rsid w:val="00243C97"/>
    <w:rsid w:val="00244D95"/>
    <w:rsid w:val="00246666"/>
    <w:rsid w:val="00247043"/>
    <w:rsid w:val="002475AC"/>
    <w:rsid w:val="002526C4"/>
    <w:rsid w:val="00252A86"/>
    <w:rsid w:val="0025603C"/>
    <w:rsid w:val="002570AB"/>
    <w:rsid w:val="002700FC"/>
    <w:rsid w:val="00272368"/>
    <w:rsid w:val="00285882"/>
    <w:rsid w:val="0029686B"/>
    <w:rsid w:val="002A5004"/>
    <w:rsid w:val="002A6852"/>
    <w:rsid w:val="002A6B5F"/>
    <w:rsid w:val="002B0655"/>
    <w:rsid w:val="002B0D2D"/>
    <w:rsid w:val="002C10AE"/>
    <w:rsid w:val="002C2936"/>
    <w:rsid w:val="002C75DD"/>
    <w:rsid w:val="002C76AE"/>
    <w:rsid w:val="002D18EA"/>
    <w:rsid w:val="002D67A4"/>
    <w:rsid w:val="002E74AC"/>
    <w:rsid w:val="003017CC"/>
    <w:rsid w:val="0030571B"/>
    <w:rsid w:val="00306189"/>
    <w:rsid w:val="00325102"/>
    <w:rsid w:val="00326047"/>
    <w:rsid w:val="00330393"/>
    <w:rsid w:val="003340DB"/>
    <w:rsid w:val="00344E15"/>
    <w:rsid w:val="00345CA1"/>
    <w:rsid w:val="003568F8"/>
    <w:rsid w:val="00363F21"/>
    <w:rsid w:val="00365FD7"/>
    <w:rsid w:val="003676D9"/>
    <w:rsid w:val="003747EE"/>
    <w:rsid w:val="003911F4"/>
    <w:rsid w:val="003912AD"/>
    <w:rsid w:val="00393D2A"/>
    <w:rsid w:val="003A1795"/>
    <w:rsid w:val="003A3B0B"/>
    <w:rsid w:val="003A73B8"/>
    <w:rsid w:val="003B2DDD"/>
    <w:rsid w:val="003B7524"/>
    <w:rsid w:val="003C0500"/>
    <w:rsid w:val="003D7390"/>
    <w:rsid w:val="003E13D0"/>
    <w:rsid w:val="003E6AA6"/>
    <w:rsid w:val="003F250A"/>
    <w:rsid w:val="0040415D"/>
    <w:rsid w:val="0040525D"/>
    <w:rsid w:val="004065F6"/>
    <w:rsid w:val="004132BB"/>
    <w:rsid w:val="0041386C"/>
    <w:rsid w:val="0042132D"/>
    <w:rsid w:val="00430DA3"/>
    <w:rsid w:val="004321FD"/>
    <w:rsid w:val="00433B24"/>
    <w:rsid w:val="00433C9D"/>
    <w:rsid w:val="0043626D"/>
    <w:rsid w:val="004379C6"/>
    <w:rsid w:val="00445B35"/>
    <w:rsid w:val="004521B8"/>
    <w:rsid w:val="004571E2"/>
    <w:rsid w:val="00460BA8"/>
    <w:rsid w:val="00460E86"/>
    <w:rsid w:val="004619BB"/>
    <w:rsid w:val="004661D5"/>
    <w:rsid w:val="004760F8"/>
    <w:rsid w:val="00482B80"/>
    <w:rsid w:val="00486E49"/>
    <w:rsid w:val="004878CA"/>
    <w:rsid w:val="0049443F"/>
    <w:rsid w:val="004A49A4"/>
    <w:rsid w:val="004C1454"/>
    <w:rsid w:val="004D1BEF"/>
    <w:rsid w:val="004D29B8"/>
    <w:rsid w:val="004D3937"/>
    <w:rsid w:val="004D6131"/>
    <w:rsid w:val="004F566E"/>
    <w:rsid w:val="005114F2"/>
    <w:rsid w:val="00512DE8"/>
    <w:rsid w:val="00514F91"/>
    <w:rsid w:val="00521F8E"/>
    <w:rsid w:val="0052299B"/>
    <w:rsid w:val="00527C66"/>
    <w:rsid w:val="005300D6"/>
    <w:rsid w:val="0054012A"/>
    <w:rsid w:val="00543C45"/>
    <w:rsid w:val="005472C1"/>
    <w:rsid w:val="005516F3"/>
    <w:rsid w:val="0055701C"/>
    <w:rsid w:val="00560220"/>
    <w:rsid w:val="0056172E"/>
    <w:rsid w:val="00565748"/>
    <w:rsid w:val="00570274"/>
    <w:rsid w:val="0059487B"/>
    <w:rsid w:val="00596868"/>
    <w:rsid w:val="005B548D"/>
    <w:rsid w:val="005B5AD3"/>
    <w:rsid w:val="005B5D9A"/>
    <w:rsid w:val="005B69DB"/>
    <w:rsid w:val="005C0E87"/>
    <w:rsid w:val="005C51C8"/>
    <w:rsid w:val="005D51C8"/>
    <w:rsid w:val="005D58B2"/>
    <w:rsid w:val="005D650F"/>
    <w:rsid w:val="005D67E7"/>
    <w:rsid w:val="005E5E7F"/>
    <w:rsid w:val="005F2F3D"/>
    <w:rsid w:val="005F5E52"/>
    <w:rsid w:val="00603BC5"/>
    <w:rsid w:val="00613E6B"/>
    <w:rsid w:val="00624DF2"/>
    <w:rsid w:val="00625479"/>
    <w:rsid w:val="00626E80"/>
    <w:rsid w:val="006361B8"/>
    <w:rsid w:val="00637851"/>
    <w:rsid w:val="00640C28"/>
    <w:rsid w:val="006474D5"/>
    <w:rsid w:val="00650E63"/>
    <w:rsid w:val="00656B01"/>
    <w:rsid w:val="00657A4D"/>
    <w:rsid w:val="006757A9"/>
    <w:rsid w:val="006760CB"/>
    <w:rsid w:val="00685FBE"/>
    <w:rsid w:val="00686BF3"/>
    <w:rsid w:val="006A0527"/>
    <w:rsid w:val="006A44F1"/>
    <w:rsid w:val="006B1285"/>
    <w:rsid w:val="006B2808"/>
    <w:rsid w:val="006B520D"/>
    <w:rsid w:val="006D0503"/>
    <w:rsid w:val="006D1560"/>
    <w:rsid w:val="006E438F"/>
    <w:rsid w:val="006E51E2"/>
    <w:rsid w:val="006E5F4D"/>
    <w:rsid w:val="006F4E28"/>
    <w:rsid w:val="0070277B"/>
    <w:rsid w:val="007030C7"/>
    <w:rsid w:val="00703DE2"/>
    <w:rsid w:val="00704289"/>
    <w:rsid w:val="00722B4C"/>
    <w:rsid w:val="00731178"/>
    <w:rsid w:val="00731CAB"/>
    <w:rsid w:val="007350B4"/>
    <w:rsid w:val="00736E51"/>
    <w:rsid w:val="00743DDD"/>
    <w:rsid w:val="00745E6D"/>
    <w:rsid w:val="00746C4A"/>
    <w:rsid w:val="00784906"/>
    <w:rsid w:val="00791450"/>
    <w:rsid w:val="007929FC"/>
    <w:rsid w:val="007B0B01"/>
    <w:rsid w:val="007B1B95"/>
    <w:rsid w:val="007B404C"/>
    <w:rsid w:val="007C52B3"/>
    <w:rsid w:val="007C6B20"/>
    <w:rsid w:val="007D52F8"/>
    <w:rsid w:val="007E08A2"/>
    <w:rsid w:val="007E6720"/>
    <w:rsid w:val="007F6303"/>
    <w:rsid w:val="00801D69"/>
    <w:rsid w:val="00803999"/>
    <w:rsid w:val="008156AC"/>
    <w:rsid w:val="008158AC"/>
    <w:rsid w:val="008169EF"/>
    <w:rsid w:val="0082090C"/>
    <w:rsid w:val="00821DE1"/>
    <w:rsid w:val="008275EE"/>
    <w:rsid w:val="00834E6A"/>
    <w:rsid w:val="00842441"/>
    <w:rsid w:val="00854FDF"/>
    <w:rsid w:val="00856FD6"/>
    <w:rsid w:val="008634E5"/>
    <w:rsid w:val="008759D0"/>
    <w:rsid w:val="008929D0"/>
    <w:rsid w:val="00893E97"/>
    <w:rsid w:val="008944A3"/>
    <w:rsid w:val="008A5AE5"/>
    <w:rsid w:val="008B5AA2"/>
    <w:rsid w:val="008D0E3B"/>
    <w:rsid w:val="008D128E"/>
    <w:rsid w:val="008D1D16"/>
    <w:rsid w:val="008E09CA"/>
    <w:rsid w:val="008E7F86"/>
    <w:rsid w:val="008F5EA5"/>
    <w:rsid w:val="008F6EB6"/>
    <w:rsid w:val="00901510"/>
    <w:rsid w:val="00920455"/>
    <w:rsid w:val="009413B8"/>
    <w:rsid w:val="009430AC"/>
    <w:rsid w:val="009451CB"/>
    <w:rsid w:val="00951A7D"/>
    <w:rsid w:val="009531E4"/>
    <w:rsid w:val="009671EF"/>
    <w:rsid w:val="0097268A"/>
    <w:rsid w:val="0097373B"/>
    <w:rsid w:val="009808DB"/>
    <w:rsid w:val="00980BB2"/>
    <w:rsid w:val="00983976"/>
    <w:rsid w:val="00986F88"/>
    <w:rsid w:val="00995FE6"/>
    <w:rsid w:val="009A70D8"/>
    <w:rsid w:val="009C7626"/>
    <w:rsid w:val="009D20F2"/>
    <w:rsid w:val="009D7365"/>
    <w:rsid w:val="009E3ABB"/>
    <w:rsid w:val="009F55D4"/>
    <w:rsid w:val="009F7B8D"/>
    <w:rsid w:val="00A15D25"/>
    <w:rsid w:val="00A220EF"/>
    <w:rsid w:val="00A3220B"/>
    <w:rsid w:val="00A33486"/>
    <w:rsid w:val="00A33736"/>
    <w:rsid w:val="00A35354"/>
    <w:rsid w:val="00A364BC"/>
    <w:rsid w:val="00A434EF"/>
    <w:rsid w:val="00A44FB5"/>
    <w:rsid w:val="00A52F00"/>
    <w:rsid w:val="00A55140"/>
    <w:rsid w:val="00A57F33"/>
    <w:rsid w:val="00A629AC"/>
    <w:rsid w:val="00A66647"/>
    <w:rsid w:val="00A673EB"/>
    <w:rsid w:val="00A67B86"/>
    <w:rsid w:val="00A73A2F"/>
    <w:rsid w:val="00A76C79"/>
    <w:rsid w:val="00A82F52"/>
    <w:rsid w:val="00A91296"/>
    <w:rsid w:val="00A920E5"/>
    <w:rsid w:val="00AA28B4"/>
    <w:rsid w:val="00AB3147"/>
    <w:rsid w:val="00AD12F4"/>
    <w:rsid w:val="00AE23BF"/>
    <w:rsid w:val="00AF361F"/>
    <w:rsid w:val="00AF543F"/>
    <w:rsid w:val="00B05B5F"/>
    <w:rsid w:val="00B06115"/>
    <w:rsid w:val="00B14DFD"/>
    <w:rsid w:val="00B20C44"/>
    <w:rsid w:val="00B3042A"/>
    <w:rsid w:val="00B647FD"/>
    <w:rsid w:val="00B66083"/>
    <w:rsid w:val="00B7008F"/>
    <w:rsid w:val="00B70663"/>
    <w:rsid w:val="00B77480"/>
    <w:rsid w:val="00B804DA"/>
    <w:rsid w:val="00B85A4C"/>
    <w:rsid w:val="00B907A6"/>
    <w:rsid w:val="00B936F6"/>
    <w:rsid w:val="00BA0C4A"/>
    <w:rsid w:val="00BA2CFE"/>
    <w:rsid w:val="00BB186F"/>
    <w:rsid w:val="00BB454B"/>
    <w:rsid w:val="00BB59CE"/>
    <w:rsid w:val="00BC221B"/>
    <w:rsid w:val="00BD06AD"/>
    <w:rsid w:val="00BD07E8"/>
    <w:rsid w:val="00BD3813"/>
    <w:rsid w:val="00BE3D82"/>
    <w:rsid w:val="00BE509D"/>
    <w:rsid w:val="00BF0E87"/>
    <w:rsid w:val="00BF4F6F"/>
    <w:rsid w:val="00BF7EAB"/>
    <w:rsid w:val="00C039F5"/>
    <w:rsid w:val="00C15AD7"/>
    <w:rsid w:val="00C3257C"/>
    <w:rsid w:val="00C35547"/>
    <w:rsid w:val="00C40447"/>
    <w:rsid w:val="00C83B9B"/>
    <w:rsid w:val="00C87509"/>
    <w:rsid w:val="00CA497D"/>
    <w:rsid w:val="00CB5002"/>
    <w:rsid w:val="00CB6711"/>
    <w:rsid w:val="00CD5822"/>
    <w:rsid w:val="00CE3A3D"/>
    <w:rsid w:val="00CE3E37"/>
    <w:rsid w:val="00CF081A"/>
    <w:rsid w:val="00CF3A4F"/>
    <w:rsid w:val="00D071F3"/>
    <w:rsid w:val="00D13DE2"/>
    <w:rsid w:val="00D13F7F"/>
    <w:rsid w:val="00D17CB5"/>
    <w:rsid w:val="00D25D42"/>
    <w:rsid w:val="00D26799"/>
    <w:rsid w:val="00D36795"/>
    <w:rsid w:val="00D37860"/>
    <w:rsid w:val="00D44977"/>
    <w:rsid w:val="00D44DEA"/>
    <w:rsid w:val="00D456F1"/>
    <w:rsid w:val="00D62BC3"/>
    <w:rsid w:val="00D65393"/>
    <w:rsid w:val="00D656CC"/>
    <w:rsid w:val="00D763EF"/>
    <w:rsid w:val="00D808DA"/>
    <w:rsid w:val="00D80A79"/>
    <w:rsid w:val="00D852BA"/>
    <w:rsid w:val="00D932DB"/>
    <w:rsid w:val="00DA141C"/>
    <w:rsid w:val="00DA7965"/>
    <w:rsid w:val="00DB317D"/>
    <w:rsid w:val="00DB46BA"/>
    <w:rsid w:val="00DB59B1"/>
    <w:rsid w:val="00DB6EF1"/>
    <w:rsid w:val="00DC3F5A"/>
    <w:rsid w:val="00DC5399"/>
    <w:rsid w:val="00DD17DD"/>
    <w:rsid w:val="00DE4563"/>
    <w:rsid w:val="00DE6A9B"/>
    <w:rsid w:val="00DE7AA1"/>
    <w:rsid w:val="00E00882"/>
    <w:rsid w:val="00E06A12"/>
    <w:rsid w:val="00E07FA9"/>
    <w:rsid w:val="00E1765C"/>
    <w:rsid w:val="00E32833"/>
    <w:rsid w:val="00E5533D"/>
    <w:rsid w:val="00E600DC"/>
    <w:rsid w:val="00E64F1D"/>
    <w:rsid w:val="00E72232"/>
    <w:rsid w:val="00E90EF9"/>
    <w:rsid w:val="00E943AE"/>
    <w:rsid w:val="00E961FB"/>
    <w:rsid w:val="00EA1048"/>
    <w:rsid w:val="00EB5C57"/>
    <w:rsid w:val="00EC51D6"/>
    <w:rsid w:val="00ED6C78"/>
    <w:rsid w:val="00EE3472"/>
    <w:rsid w:val="00EF1910"/>
    <w:rsid w:val="00F021D4"/>
    <w:rsid w:val="00F03C63"/>
    <w:rsid w:val="00F10923"/>
    <w:rsid w:val="00F15258"/>
    <w:rsid w:val="00F17295"/>
    <w:rsid w:val="00F21CB2"/>
    <w:rsid w:val="00F53284"/>
    <w:rsid w:val="00F7392E"/>
    <w:rsid w:val="00F76DE0"/>
    <w:rsid w:val="00F8508D"/>
    <w:rsid w:val="00F85165"/>
    <w:rsid w:val="00F905A2"/>
    <w:rsid w:val="00F910C0"/>
    <w:rsid w:val="00FA17AB"/>
    <w:rsid w:val="00FA45DE"/>
    <w:rsid w:val="00FC3DE0"/>
    <w:rsid w:val="00FD5727"/>
    <w:rsid w:val="00FD5819"/>
    <w:rsid w:val="00F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4:docId w14:val="28F47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7524"/>
    <w:rPr>
      <w:rFonts w:ascii="CG Omega" w:hAnsi="CG Omega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B7524"/>
    <w:pPr>
      <w:numPr>
        <w:ilvl w:val="12"/>
      </w:numPr>
      <w:spacing w:before="240"/>
    </w:pPr>
    <w:rPr>
      <w:rFonts w:ascii="Times New Roman" w:hAnsi="Times New Roman"/>
      <w:sz w:val="24"/>
      <w:szCs w:val="20"/>
      <w:lang w:eastAsia="en-AU"/>
    </w:rPr>
  </w:style>
  <w:style w:type="paragraph" w:customStyle="1" w:styleId="StyleLeft349cmRight-011cm">
    <w:name w:val="Style Left:  3.49 cm Right:  -0.11 cm"/>
    <w:basedOn w:val="Normal"/>
    <w:rsid w:val="003B7524"/>
    <w:pPr>
      <w:ind w:left="1979" w:right="1701"/>
    </w:pPr>
    <w:rPr>
      <w:rFonts w:ascii="Times New Roman" w:hAnsi="Times New Roman"/>
      <w:sz w:val="24"/>
      <w:szCs w:val="20"/>
      <w:lang w:eastAsia="en-AU"/>
    </w:rPr>
  </w:style>
  <w:style w:type="paragraph" w:styleId="Footer">
    <w:name w:val="footer"/>
    <w:basedOn w:val="Normal"/>
    <w:rsid w:val="003B752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7524"/>
  </w:style>
  <w:style w:type="paragraph" w:customStyle="1" w:styleId="Default1">
    <w:name w:val="Default1"/>
    <w:basedOn w:val="Normal"/>
    <w:next w:val="Normal"/>
    <w:rsid w:val="003B7524"/>
    <w:pPr>
      <w:autoSpaceDE w:val="0"/>
      <w:autoSpaceDN w:val="0"/>
      <w:adjustRightInd w:val="0"/>
      <w:spacing w:after="240"/>
    </w:pPr>
    <w:rPr>
      <w:rFonts w:ascii="Times New Roman" w:hAnsi="Times New Roman"/>
      <w:sz w:val="24"/>
      <w:lang w:eastAsia="en-AU"/>
    </w:rPr>
  </w:style>
  <w:style w:type="paragraph" w:styleId="Header">
    <w:name w:val="header"/>
    <w:aliases w:val="h"/>
    <w:basedOn w:val="Normal"/>
    <w:rsid w:val="003B752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46C2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9363E"/>
    <w:rPr>
      <w:sz w:val="16"/>
      <w:szCs w:val="16"/>
    </w:rPr>
  </w:style>
  <w:style w:type="paragraph" w:styleId="CommentText">
    <w:name w:val="annotation text"/>
    <w:basedOn w:val="Normal"/>
    <w:semiHidden/>
    <w:rsid w:val="0009363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9363E"/>
    <w:rPr>
      <w:b/>
      <w:bCs/>
    </w:rPr>
  </w:style>
  <w:style w:type="paragraph" w:customStyle="1" w:styleId="Default">
    <w:name w:val="Default"/>
    <w:rsid w:val="00F739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4D1B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3B2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1233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AUSTRAC</Company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pjohns</dc:creator>
  <cp:keywords/>
  <dc:description/>
  <cp:lastModifiedBy>Andrew Fernbach</cp:lastModifiedBy>
  <cp:revision>2</cp:revision>
  <cp:lastPrinted>2013-12-03T21:17:00Z</cp:lastPrinted>
  <dcterms:created xsi:type="dcterms:W3CDTF">2014-01-21T05:26:00Z</dcterms:created>
  <dcterms:modified xsi:type="dcterms:W3CDTF">2014-01-21T05:26:00Z</dcterms:modified>
</cp:coreProperties>
</file>