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04549" w14:textId="77777777" w:rsidR="00BB248C" w:rsidRPr="008B6C52" w:rsidRDefault="00BB33DF" w:rsidP="00BB248C">
      <w:bookmarkStart w:id="0" w:name="_Toc206822568"/>
      <w:r>
        <w:pict w14:anchorId="0AF0E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pt;height:87.25pt" fillcolor="window">
            <v:imagedata r:id="rId8" o:title=""/>
          </v:shape>
        </w:pict>
      </w:r>
    </w:p>
    <w:p w14:paraId="68EECA0C" w14:textId="7424A739" w:rsidR="00BB248C" w:rsidRDefault="00BB248C" w:rsidP="00BB248C">
      <w:pPr>
        <w:pStyle w:val="Title"/>
        <w:pBdr>
          <w:bottom w:val="single" w:sz="4" w:space="5" w:color="auto"/>
        </w:pBdr>
      </w:pPr>
      <w:bookmarkStart w:id="1" w:name="Citation"/>
      <w:r>
        <w:t>Anti-Money Laundering and Counter-Terrorism Financing Rules Amendment Instrument 201</w:t>
      </w:r>
      <w:r w:rsidR="00D41126">
        <w:t>4</w:t>
      </w:r>
      <w:r w:rsidRPr="00C57DD4">
        <w:t xml:space="preserve"> (No. </w:t>
      </w:r>
      <w:r w:rsidR="00D41126">
        <w:t>1</w:t>
      </w:r>
      <w:r w:rsidRPr="00C57DD4">
        <w:t>)</w:t>
      </w:r>
      <w:bookmarkEnd w:id="1"/>
    </w:p>
    <w:p w14:paraId="2BCA27F8" w14:textId="77777777" w:rsidR="00BB248C" w:rsidRPr="00831E19" w:rsidRDefault="00BB248C" w:rsidP="00BB248C">
      <w:pPr>
        <w:pBdr>
          <w:bottom w:val="single" w:sz="4" w:space="5" w:color="auto"/>
        </w:pBdr>
        <w:spacing w:before="480"/>
        <w:rPr>
          <w:rFonts w:ascii="Arial" w:hAnsi="Arial" w:cs="Arial"/>
          <w:b/>
        </w:rPr>
      </w:pPr>
      <w:r>
        <w:rPr>
          <w:rFonts w:ascii="Arial" w:hAnsi="Arial" w:cs="Arial"/>
          <w:i/>
          <w:sz w:val="28"/>
          <w:szCs w:val="28"/>
        </w:rPr>
        <w:t>Anti-Money Laundering and Counter-Terrorism Financing Act 2006</w:t>
      </w:r>
    </w:p>
    <w:p w14:paraId="056C275E" w14:textId="77777777" w:rsidR="00BB248C" w:rsidRPr="00C40535" w:rsidRDefault="00BB248C" w:rsidP="00BB248C">
      <w:pPr>
        <w:spacing w:before="360"/>
        <w:jc w:val="both"/>
        <w:rPr>
          <w:rFonts w:ascii="Times New Roman" w:hAnsi="Times New Roman"/>
          <w:sz w:val="24"/>
        </w:rPr>
      </w:pPr>
      <w:r w:rsidRPr="00C40535">
        <w:rPr>
          <w:rFonts w:ascii="Times New Roman" w:hAnsi="Times New Roman"/>
          <w:sz w:val="24"/>
        </w:rPr>
        <w:t xml:space="preserve">I, </w:t>
      </w:r>
      <w:r w:rsidR="009F4E39">
        <w:rPr>
          <w:rFonts w:ascii="Times New Roman" w:hAnsi="Times New Roman"/>
          <w:sz w:val="24"/>
        </w:rPr>
        <w:t>John Lance Schmidt</w:t>
      </w:r>
      <w:r>
        <w:rPr>
          <w:rFonts w:ascii="Times New Roman" w:hAnsi="Times New Roman"/>
          <w:sz w:val="24"/>
        </w:rPr>
        <w:t xml:space="preserve">, </w:t>
      </w:r>
      <w:r w:rsidRPr="00C40535">
        <w:rPr>
          <w:rFonts w:ascii="Times New Roman" w:hAnsi="Times New Roman"/>
          <w:sz w:val="24"/>
        </w:rPr>
        <w:t xml:space="preserve">Chief Executive Officer, Australian Transaction Reports and Analysis Centre, make this Instrument under section 229 of the </w:t>
      </w:r>
      <w:r w:rsidRPr="00C40535">
        <w:rPr>
          <w:rFonts w:ascii="Times New Roman" w:hAnsi="Times New Roman"/>
          <w:i/>
          <w:sz w:val="24"/>
        </w:rPr>
        <w:t>Anti-Money Laundering and Counter-Terrorism Financing Act 2006</w:t>
      </w:r>
      <w:r w:rsidRPr="00C40535">
        <w:rPr>
          <w:rFonts w:ascii="Times New Roman" w:hAnsi="Times New Roman"/>
          <w:sz w:val="24"/>
        </w:rPr>
        <w:t>.</w:t>
      </w:r>
    </w:p>
    <w:p w14:paraId="212F058F" w14:textId="77777777" w:rsidR="00BB248C" w:rsidRPr="00C40535" w:rsidRDefault="00BB248C" w:rsidP="00BB248C">
      <w:pPr>
        <w:autoSpaceDE w:val="0"/>
        <w:autoSpaceDN w:val="0"/>
        <w:adjustRightInd w:val="0"/>
        <w:rPr>
          <w:rFonts w:ascii="Times New Roman" w:hAnsi="Times New Roman"/>
          <w:sz w:val="24"/>
        </w:rPr>
      </w:pPr>
      <w:bookmarkStart w:id="2" w:name="Minister"/>
    </w:p>
    <w:p w14:paraId="23F51292" w14:textId="2DA68675" w:rsidR="00BB248C" w:rsidRDefault="00C7693E" w:rsidP="00BB248C">
      <w:pPr>
        <w:autoSpaceDE w:val="0"/>
        <w:autoSpaceDN w:val="0"/>
        <w:adjustRightInd w:val="0"/>
        <w:rPr>
          <w:rFonts w:ascii="Times New Roman" w:hAnsi="Times New Roman"/>
          <w:sz w:val="24"/>
        </w:rPr>
      </w:pPr>
      <w:r>
        <w:rPr>
          <w:rFonts w:ascii="Times New Roman" w:hAnsi="Times New Roman"/>
          <w:sz w:val="24"/>
        </w:rPr>
        <w:t>Dated</w:t>
      </w:r>
      <w:r w:rsidR="00341BAB">
        <w:rPr>
          <w:rFonts w:ascii="Times New Roman" w:hAnsi="Times New Roman"/>
          <w:sz w:val="24"/>
        </w:rPr>
        <w:t xml:space="preserve"> </w:t>
      </w:r>
      <w:r w:rsidR="00BB33DF">
        <w:rPr>
          <w:rFonts w:ascii="Times New Roman" w:hAnsi="Times New Roman"/>
          <w:sz w:val="24"/>
        </w:rPr>
        <w:t xml:space="preserve">21 January </w:t>
      </w:r>
      <w:r w:rsidR="00341BAB">
        <w:rPr>
          <w:rFonts w:ascii="Times New Roman" w:hAnsi="Times New Roman"/>
          <w:sz w:val="24"/>
        </w:rPr>
        <w:t>201</w:t>
      </w:r>
      <w:r w:rsidR="00D41126">
        <w:rPr>
          <w:rFonts w:ascii="Times New Roman" w:hAnsi="Times New Roman"/>
          <w:sz w:val="24"/>
        </w:rPr>
        <w:t>4</w:t>
      </w:r>
    </w:p>
    <w:p w14:paraId="0BD639CB" w14:textId="77777777" w:rsidR="00BB248C" w:rsidRPr="00C40535" w:rsidRDefault="00BB248C" w:rsidP="00BB248C">
      <w:pPr>
        <w:autoSpaceDE w:val="0"/>
        <w:autoSpaceDN w:val="0"/>
        <w:adjustRightInd w:val="0"/>
        <w:rPr>
          <w:rFonts w:ascii="Times New Roman" w:hAnsi="Times New Roman"/>
          <w:sz w:val="24"/>
        </w:rPr>
      </w:pPr>
    </w:p>
    <w:p w14:paraId="3473D08D" w14:textId="77777777" w:rsidR="00BB248C" w:rsidRPr="00C40535" w:rsidRDefault="00BB248C" w:rsidP="00BB248C">
      <w:pPr>
        <w:autoSpaceDE w:val="0"/>
        <w:autoSpaceDN w:val="0"/>
        <w:adjustRightInd w:val="0"/>
        <w:rPr>
          <w:rFonts w:ascii="Times New Roman" w:hAnsi="Times New Roman"/>
          <w:sz w:val="24"/>
        </w:rPr>
      </w:pPr>
    </w:p>
    <w:p w14:paraId="5A1486B7" w14:textId="77777777" w:rsidR="00BB248C" w:rsidRDefault="00BB248C" w:rsidP="00BB248C">
      <w:pPr>
        <w:autoSpaceDE w:val="0"/>
        <w:autoSpaceDN w:val="0"/>
        <w:adjustRightInd w:val="0"/>
        <w:rPr>
          <w:rFonts w:ascii="Times New Roman" w:hAnsi="Times New Roman"/>
          <w:sz w:val="24"/>
        </w:rPr>
      </w:pPr>
    </w:p>
    <w:p w14:paraId="6080FDFC" w14:textId="77777777" w:rsidR="00BB248C" w:rsidRDefault="00BB248C" w:rsidP="00BB248C">
      <w:pPr>
        <w:autoSpaceDE w:val="0"/>
        <w:autoSpaceDN w:val="0"/>
        <w:adjustRightInd w:val="0"/>
        <w:rPr>
          <w:rFonts w:ascii="Times New Roman" w:hAnsi="Times New Roman"/>
          <w:sz w:val="24"/>
        </w:rPr>
      </w:pPr>
    </w:p>
    <w:p w14:paraId="4F9C8EC7" w14:textId="77777777" w:rsidR="00BB248C" w:rsidRDefault="00BB248C" w:rsidP="00BB248C">
      <w:pPr>
        <w:autoSpaceDE w:val="0"/>
        <w:autoSpaceDN w:val="0"/>
        <w:adjustRightInd w:val="0"/>
        <w:rPr>
          <w:rFonts w:ascii="Times New Roman" w:hAnsi="Times New Roman"/>
          <w:sz w:val="24"/>
        </w:rPr>
      </w:pPr>
    </w:p>
    <w:p w14:paraId="441E4727" w14:textId="77777777" w:rsidR="00BB248C" w:rsidRDefault="00BB248C" w:rsidP="00BB248C">
      <w:pPr>
        <w:autoSpaceDE w:val="0"/>
        <w:autoSpaceDN w:val="0"/>
        <w:adjustRightInd w:val="0"/>
        <w:rPr>
          <w:rFonts w:ascii="Times New Roman" w:hAnsi="Times New Roman"/>
          <w:sz w:val="24"/>
        </w:rPr>
      </w:pPr>
    </w:p>
    <w:p w14:paraId="589C7B5B" w14:textId="77777777" w:rsidR="00BB248C" w:rsidRDefault="00BB248C" w:rsidP="00BB248C">
      <w:pPr>
        <w:autoSpaceDE w:val="0"/>
        <w:autoSpaceDN w:val="0"/>
        <w:adjustRightInd w:val="0"/>
        <w:rPr>
          <w:rFonts w:ascii="Times New Roman" w:hAnsi="Times New Roman"/>
          <w:sz w:val="24"/>
        </w:rPr>
      </w:pPr>
    </w:p>
    <w:p w14:paraId="06354A3F" w14:textId="77777777" w:rsidR="009F4E39" w:rsidRPr="00C40535" w:rsidRDefault="009F4E39" w:rsidP="00BB248C">
      <w:pPr>
        <w:autoSpaceDE w:val="0"/>
        <w:autoSpaceDN w:val="0"/>
        <w:adjustRightInd w:val="0"/>
        <w:rPr>
          <w:rFonts w:ascii="Times New Roman" w:hAnsi="Times New Roman"/>
          <w:sz w:val="24"/>
        </w:rPr>
      </w:pPr>
    </w:p>
    <w:p w14:paraId="456E13D9" w14:textId="389985F2" w:rsidR="00897093" w:rsidRDefault="00BB33DF" w:rsidP="00BB248C">
      <w:pPr>
        <w:pBdr>
          <w:bottom w:val="single" w:sz="4" w:space="12" w:color="auto"/>
        </w:pBdr>
        <w:tabs>
          <w:tab w:val="left" w:pos="3119"/>
        </w:tabs>
        <w:spacing w:line="300" w:lineRule="atLeast"/>
        <w:rPr>
          <w:rFonts w:ascii="Times New Roman" w:hAnsi="Times New Roman"/>
          <w:sz w:val="24"/>
        </w:rPr>
      </w:pPr>
      <w:r>
        <w:rPr>
          <w:rFonts w:ascii="Times New Roman" w:hAnsi="Times New Roman"/>
          <w:sz w:val="24"/>
        </w:rPr>
        <w:t>[Signed</w:t>
      </w:r>
      <w:bookmarkStart w:id="3" w:name="_GoBack"/>
      <w:bookmarkEnd w:id="3"/>
      <w:r>
        <w:rPr>
          <w:rFonts w:ascii="Times New Roman" w:hAnsi="Times New Roman"/>
          <w:sz w:val="24"/>
        </w:rPr>
        <w:t>]</w:t>
      </w:r>
    </w:p>
    <w:p w14:paraId="2AFC582E" w14:textId="77777777" w:rsidR="00BB248C" w:rsidRDefault="009F4E39" w:rsidP="00BB248C">
      <w:pPr>
        <w:pBdr>
          <w:bottom w:val="single" w:sz="4" w:space="12" w:color="auto"/>
        </w:pBdr>
        <w:tabs>
          <w:tab w:val="left" w:pos="3119"/>
        </w:tabs>
        <w:spacing w:line="300" w:lineRule="atLeast"/>
        <w:rPr>
          <w:rFonts w:ascii="Times New Roman" w:hAnsi="Times New Roman"/>
          <w:sz w:val="24"/>
        </w:rPr>
      </w:pPr>
      <w:r>
        <w:rPr>
          <w:rFonts w:ascii="Times New Roman" w:hAnsi="Times New Roman"/>
          <w:sz w:val="24"/>
        </w:rPr>
        <w:t>John Lance Schmidt</w:t>
      </w:r>
    </w:p>
    <w:p w14:paraId="2DCFA937" w14:textId="77777777" w:rsidR="00897093" w:rsidRDefault="00BB248C" w:rsidP="00BB248C">
      <w:pPr>
        <w:pBdr>
          <w:bottom w:val="single" w:sz="4" w:space="12" w:color="auto"/>
        </w:pBdr>
        <w:tabs>
          <w:tab w:val="left" w:pos="3119"/>
        </w:tabs>
        <w:spacing w:line="300" w:lineRule="atLeast"/>
        <w:rPr>
          <w:rFonts w:ascii="Times New Roman" w:hAnsi="Times New Roman"/>
          <w:sz w:val="24"/>
        </w:rPr>
      </w:pPr>
      <w:r w:rsidRPr="00C40535">
        <w:rPr>
          <w:rFonts w:ascii="Times New Roman" w:hAnsi="Times New Roman"/>
          <w:sz w:val="24"/>
        </w:rPr>
        <w:t>Chief Executive Officer</w:t>
      </w:r>
    </w:p>
    <w:p w14:paraId="129B67EB" w14:textId="77777777" w:rsidR="00BB248C" w:rsidRPr="00C40535" w:rsidRDefault="00BB248C" w:rsidP="00BB248C">
      <w:pPr>
        <w:pBdr>
          <w:bottom w:val="single" w:sz="4" w:space="12" w:color="auto"/>
        </w:pBdr>
        <w:tabs>
          <w:tab w:val="left" w:pos="3119"/>
        </w:tabs>
        <w:spacing w:line="300" w:lineRule="atLeast"/>
        <w:rPr>
          <w:rFonts w:ascii="Times New Roman" w:hAnsi="Times New Roman"/>
          <w:sz w:val="24"/>
        </w:rPr>
      </w:pPr>
      <w:r w:rsidRPr="00C40535">
        <w:rPr>
          <w:rFonts w:ascii="Times New Roman" w:hAnsi="Times New Roman"/>
          <w:sz w:val="24"/>
        </w:rPr>
        <w:t>Australian Transaction Reports and Analysis Centre</w:t>
      </w:r>
      <w:bookmarkEnd w:id="2"/>
    </w:p>
    <w:p w14:paraId="6EEE5A0A" w14:textId="77777777" w:rsidR="00BB248C" w:rsidRDefault="00BB248C" w:rsidP="00BB248C">
      <w:pPr>
        <w:pBdr>
          <w:bottom w:val="single" w:sz="4" w:space="12" w:color="auto"/>
        </w:pBdr>
        <w:tabs>
          <w:tab w:val="left" w:pos="3119"/>
        </w:tabs>
        <w:spacing w:line="300" w:lineRule="atLeast"/>
      </w:pPr>
      <w:r>
        <w:br w:type="page"/>
      </w:r>
    </w:p>
    <w:p w14:paraId="49013043" w14:textId="77777777" w:rsidR="00BB248C" w:rsidRDefault="00BB248C" w:rsidP="00BB248C">
      <w:pPr>
        <w:pStyle w:val="HR"/>
        <w:ind w:left="900"/>
      </w:pPr>
      <w:r>
        <w:t>1</w:t>
      </w:r>
      <w:r>
        <w:tab/>
        <w:t>Name of Instrument</w:t>
      </w:r>
    </w:p>
    <w:p w14:paraId="4DA55321" w14:textId="0CEA223B" w:rsidR="00BB248C" w:rsidRDefault="00BB248C" w:rsidP="00BB248C">
      <w:pPr>
        <w:pStyle w:val="R1"/>
        <w:tabs>
          <w:tab w:val="clear" w:pos="794"/>
          <w:tab w:val="right" w:pos="900"/>
        </w:tabs>
        <w:ind w:hanging="64"/>
        <w:jc w:val="left"/>
      </w:pPr>
      <w:r>
        <w:t>This Instrument is the</w:t>
      </w:r>
      <w:r>
        <w:rPr>
          <w:i/>
        </w:rPr>
        <w:t xml:space="preserve"> Anti-Money Laundering and Counter-Terrorism Financing Rules Amendment Instrument 201</w:t>
      </w:r>
      <w:r w:rsidR="00D41126">
        <w:rPr>
          <w:i/>
        </w:rPr>
        <w:t>4</w:t>
      </w:r>
      <w:r>
        <w:rPr>
          <w:i/>
        </w:rPr>
        <w:t xml:space="preserve"> (No. </w:t>
      </w:r>
      <w:r w:rsidR="00D41126">
        <w:rPr>
          <w:i/>
        </w:rPr>
        <w:t>1</w:t>
      </w:r>
      <w:r>
        <w:rPr>
          <w:i/>
        </w:rPr>
        <w:t>)</w:t>
      </w:r>
      <w:r w:rsidRPr="00C57DD4">
        <w:t>.</w:t>
      </w:r>
    </w:p>
    <w:p w14:paraId="5A72FC31" w14:textId="77777777" w:rsidR="00BB248C" w:rsidRDefault="00BB248C" w:rsidP="00BB248C">
      <w:pPr>
        <w:pStyle w:val="HR"/>
        <w:ind w:left="900"/>
      </w:pPr>
      <w:r>
        <w:t>2</w:t>
      </w:r>
      <w:r>
        <w:tab/>
        <w:t xml:space="preserve">Commencement </w:t>
      </w:r>
    </w:p>
    <w:p w14:paraId="0841D087" w14:textId="77777777" w:rsidR="00363AB7" w:rsidRDefault="00B130FC" w:rsidP="00363AB7">
      <w:pPr>
        <w:pStyle w:val="R1"/>
        <w:tabs>
          <w:tab w:val="clear" w:pos="794"/>
        </w:tabs>
        <w:spacing w:before="100" w:beforeAutospacing="1"/>
        <w:ind w:left="1620" w:hanging="720"/>
      </w:pPr>
      <w:r>
        <w:t>T</w:t>
      </w:r>
      <w:r w:rsidR="00BB248C" w:rsidRPr="00F3796A">
        <w:t>his Instrument commences</w:t>
      </w:r>
      <w:r w:rsidR="00363AB7">
        <w:t xml:space="preserve"> </w:t>
      </w:r>
      <w:r w:rsidR="00BB248C" w:rsidRPr="00F3796A">
        <w:t>on the day after it is registered</w:t>
      </w:r>
      <w:r w:rsidR="00184BEF">
        <w:t>.</w:t>
      </w:r>
    </w:p>
    <w:p w14:paraId="5FE96DA9" w14:textId="77777777" w:rsidR="00363AB7" w:rsidRPr="00363AB7" w:rsidRDefault="00363AB7" w:rsidP="00363AB7">
      <w:pPr>
        <w:rPr>
          <w:lang w:eastAsia="en-AU"/>
        </w:rPr>
      </w:pPr>
    </w:p>
    <w:p w14:paraId="1920C317" w14:textId="77777777" w:rsidR="00BB248C" w:rsidRPr="00E84C52" w:rsidRDefault="00BB248C" w:rsidP="00901C40">
      <w:pPr>
        <w:pStyle w:val="paragraph"/>
        <w:tabs>
          <w:tab w:val="left" w:pos="900"/>
        </w:tabs>
        <w:ind w:left="0" w:firstLine="0"/>
        <w:rPr>
          <w:rFonts w:ascii="Arial" w:hAnsi="Arial" w:cs="Arial"/>
          <w:b/>
          <w:sz w:val="24"/>
        </w:rPr>
      </w:pPr>
      <w:r w:rsidRPr="00E84C52">
        <w:rPr>
          <w:rFonts w:ascii="Arial" w:hAnsi="Arial" w:cs="Arial"/>
          <w:b/>
          <w:sz w:val="24"/>
        </w:rPr>
        <w:t>3</w:t>
      </w:r>
      <w:r w:rsidRPr="00E84C52">
        <w:rPr>
          <w:rFonts w:ascii="Arial" w:hAnsi="Arial" w:cs="Arial"/>
          <w:b/>
          <w:sz w:val="24"/>
        </w:rPr>
        <w:tab/>
        <w:t xml:space="preserve">Amendment </w:t>
      </w:r>
    </w:p>
    <w:p w14:paraId="18E902E7" w14:textId="77777777" w:rsidR="00363AB7" w:rsidRPr="00363AB7" w:rsidRDefault="00BB248C" w:rsidP="00C92E0E">
      <w:pPr>
        <w:pStyle w:val="R1"/>
        <w:tabs>
          <w:tab w:val="clear" w:pos="794"/>
        </w:tabs>
        <w:spacing w:before="100" w:beforeAutospacing="1"/>
        <w:ind w:left="900" w:firstLine="0"/>
        <w:jc w:val="left"/>
      </w:pPr>
      <w:r>
        <w:t>Schedule</w:t>
      </w:r>
      <w:r w:rsidR="00700909">
        <w:t>s</w:t>
      </w:r>
      <w:r>
        <w:t xml:space="preserve"> 1</w:t>
      </w:r>
      <w:r w:rsidR="009C78E0">
        <w:t xml:space="preserve"> </w:t>
      </w:r>
      <w:r w:rsidR="00DC4A61">
        <w:t>and 2</w:t>
      </w:r>
      <w:r w:rsidR="00363AB7">
        <w:t xml:space="preserve"> </w:t>
      </w:r>
      <w:r w:rsidR="00AD083A">
        <w:t xml:space="preserve">amend </w:t>
      </w:r>
      <w:r>
        <w:t xml:space="preserve">the </w:t>
      </w:r>
      <w:r w:rsidRPr="00394CCD">
        <w:rPr>
          <w:i/>
        </w:rPr>
        <w:t>Anti-Money Laundering and Counter-Terrorism Financing Rules</w:t>
      </w:r>
      <w:r>
        <w:rPr>
          <w:i/>
        </w:rPr>
        <w:t xml:space="preserve"> Instrument 2007</w:t>
      </w:r>
      <w:r w:rsidRPr="00394CCD">
        <w:rPr>
          <w:i/>
        </w:rPr>
        <w:t xml:space="preserve"> (No.</w:t>
      </w:r>
      <w:r>
        <w:rPr>
          <w:i/>
        </w:rPr>
        <w:t xml:space="preserve"> 1</w:t>
      </w:r>
      <w:r w:rsidRPr="00394CCD">
        <w:rPr>
          <w:i/>
        </w:rPr>
        <w:t>)</w:t>
      </w:r>
      <w:r>
        <w:t>.</w:t>
      </w:r>
      <w:r w:rsidRPr="00F3796A">
        <w:rPr>
          <w:i/>
        </w:rPr>
        <w:tab/>
      </w:r>
    </w:p>
    <w:p w14:paraId="3E211E93" w14:textId="77777777" w:rsidR="00BB248C" w:rsidRPr="00A47DBE" w:rsidRDefault="00BB248C" w:rsidP="00BB248C">
      <w:pPr>
        <w:pStyle w:val="R1"/>
        <w:tabs>
          <w:tab w:val="left" w:pos="900"/>
        </w:tabs>
        <w:spacing w:before="100" w:beforeAutospacing="1"/>
        <w:ind w:left="900" w:firstLine="0"/>
      </w:pPr>
      <w:r>
        <w:tab/>
      </w:r>
    </w:p>
    <w:p w14:paraId="179ED242" w14:textId="77777777" w:rsidR="00700909" w:rsidRDefault="00700909" w:rsidP="00700909">
      <w:pPr>
        <w:pStyle w:val="AS"/>
        <w:spacing w:before="100" w:beforeAutospacing="1"/>
        <w:rPr>
          <w:sz w:val="24"/>
        </w:rPr>
      </w:pPr>
      <w:r w:rsidRPr="00E626A4">
        <w:rPr>
          <w:sz w:val="28"/>
          <w:szCs w:val="28"/>
        </w:rPr>
        <w:t xml:space="preserve">Schedule </w:t>
      </w:r>
      <w:r>
        <w:rPr>
          <w:sz w:val="28"/>
          <w:szCs w:val="28"/>
        </w:rPr>
        <w:t>1</w:t>
      </w:r>
      <w:r w:rsidRPr="009B1EB4">
        <w:rPr>
          <w:sz w:val="24"/>
        </w:rPr>
        <w:tab/>
        <w:t>Amendment</w:t>
      </w:r>
      <w:r>
        <w:rPr>
          <w:sz w:val="24"/>
        </w:rPr>
        <w:t xml:space="preserve"> of the </w:t>
      </w:r>
      <w:r w:rsidRPr="00A47DBE">
        <w:rPr>
          <w:i/>
          <w:sz w:val="24"/>
        </w:rPr>
        <w:t>Anti-Money Laundering and Counter-Terrorism Financing Rules</w:t>
      </w:r>
      <w:r>
        <w:rPr>
          <w:i/>
          <w:sz w:val="24"/>
        </w:rPr>
        <w:t xml:space="preserve"> </w:t>
      </w:r>
      <w:r w:rsidRPr="00A47DBE">
        <w:rPr>
          <w:i/>
          <w:sz w:val="24"/>
        </w:rPr>
        <w:t>Instrument 20</w:t>
      </w:r>
      <w:r>
        <w:rPr>
          <w:i/>
          <w:sz w:val="24"/>
        </w:rPr>
        <w:t>07 (No. 1</w:t>
      </w:r>
      <w:r w:rsidRPr="00A47DBE">
        <w:rPr>
          <w:i/>
          <w:sz w:val="24"/>
        </w:rPr>
        <w:t>)</w:t>
      </w:r>
      <w:r w:rsidRPr="00A47DBE">
        <w:rPr>
          <w:sz w:val="24"/>
        </w:rPr>
        <w:t>.</w:t>
      </w:r>
    </w:p>
    <w:p w14:paraId="42F4F42F" w14:textId="77777777" w:rsidR="00700909" w:rsidRDefault="00700909" w:rsidP="00700909">
      <w:pPr>
        <w:tabs>
          <w:tab w:val="left" w:pos="1800"/>
        </w:tabs>
        <w:rPr>
          <w:rFonts w:ascii="Times New Roman" w:hAnsi="Times New Roman"/>
          <w:sz w:val="24"/>
        </w:rPr>
      </w:pPr>
    </w:p>
    <w:p w14:paraId="4A48907B" w14:textId="77777777" w:rsidR="009970DE" w:rsidRPr="009970DE" w:rsidRDefault="009970DE" w:rsidP="009970DE">
      <w:pPr>
        <w:tabs>
          <w:tab w:val="left" w:pos="720"/>
        </w:tabs>
        <w:rPr>
          <w:rFonts w:ascii="Arial" w:hAnsi="Arial" w:cs="Arial"/>
          <w:b/>
          <w:sz w:val="28"/>
          <w:szCs w:val="28"/>
        </w:rPr>
      </w:pPr>
      <w:r w:rsidRPr="009970DE">
        <w:rPr>
          <w:rFonts w:ascii="Arial" w:hAnsi="Arial" w:cs="Arial"/>
          <w:b/>
          <w:sz w:val="28"/>
          <w:szCs w:val="28"/>
        </w:rPr>
        <w:t>1.</w:t>
      </w:r>
      <w:r w:rsidRPr="009970DE">
        <w:rPr>
          <w:rFonts w:ascii="Arial" w:hAnsi="Arial" w:cs="Arial"/>
          <w:b/>
          <w:sz w:val="28"/>
          <w:szCs w:val="28"/>
        </w:rPr>
        <w:tab/>
        <w:t xml:space="preserve">Chapter </w:t>
      </w:r>
      <w:r>
        <w:rPr>
          <w:rFonts w:ascii="Arial" w:hAnsi="Arial" w:cs="Arial"/>
          <w:b/>
          <w:sz w:val="28"/>
          <w:szCs w:val="28"/>
        </w:rPr>
        <w:t>1</w:t>
      </w:r>
    </w:p>
    <w:p w14:paraId="5CDB9D9E" w14:textId="77777777" w:rsidR="009970DE" w:rsidRPr="009970DE" w:rsidRDefault="009970DE" w:rsidP="009970DE">
      <w:pPr>
        <w:tabs>
          <w:tab w:val="left" w:pos="720"/>
        </w:tabs>
        <w:rPr>
          <w:rFonts w:ascii="Arial" w:hAnsi="Arial" w:cs="Arial"/>
          <w:b/>
          <w:sz w:val="28"/>
          <w:szCs w:val="28"/>
        </w:rPr>
      </w:pPr>
    </w:p>
    <w:p w14:paraId="703A958E" w14:textId="77777777" w:rsidR="00321772" w:rsidRPr="00321772" w:rsidRDefault="009970DE" w:rsidP="00321772">
      <w:pPr>
        <w:tabs>
          <w:tab w:val="left" w:pos="720"/>
        </w:tabs>
        <w:ind w:left="1440" w:hanging="1440"/>
        <w:rPr>
          <w:rFonts w:ascii="Times New Roman" w:hAnsi="Times New Roman"/>
          <w:i/>
          <w:sz w:val="24"/>
        </w:rPr>
      </w:pPr>
      <w:r w:rsidRPr="00A46ABA">
        <w:rPr>
          <w:rFonts w:ascii="Times New Roman" w:hAnsi="Times New Roman"/>
          <w:b/>
          <w:sz w:val="24"/>
        </w:rPr>
        <w:t>Item 1</w:t>
      </w:r>
      <w:r w:rsidRPr="00A46ABA">
        <w:rPr>
          <w:rFonts w:ascii="Times New Roman" w:hAnsi="Times New Roman"/>
          <w:b/>
          <w:sz w:val="24"/>
        </w:rPr>
        <w:tab/>
      </w:r>
      <w:r w:rsidRPr="00A46ABA">
        <w:rPr>
          <w:rFonts w:ascii="Times New Roman" w:hAnsi="Times New Roman"/>
          <w:b/>
          <w:sz w:val="24"/>
        </w:rPr>
        <w:tab/>
      </w:r>
      <w:r w:rsidR="00321772" w:rsidRPr="00321772">
        <w:rPr>
          <w:rFonts w:ascii="Times New Roman" w:hAnsi="Times New Roman"/>
          <w:sz w:val="24"/>
        </w:rPr>
        <w:t xml:space="preserve">In </w:t>
      </w:r>
      <w:r w:rsidR="00321772" w:rsidRPr="00321772">
        <w:rPr>
          <w:rFonts w:ascii="Times New Roman" w:hAnsi="Times New Roman"/>
          <w:b/>
          <w:sz w:val="24"/>
        </w:rPr>
        <w:t>paragraph 1.2.1</w:t>
      </w:r>
      <w:r w:rsidR="00321772" w:rsidRPr="00321772">
        <w:rPr>
          <w:rFonts w:ascii="Times New Roman" w:hAnsi="Times New Roman"/>
          <w:sz w:val="24"/>
        </w:rPr>
        <w:t xml:space="preserve"> relating to </w:t>
      </w:r>
      <w:r w:rsidR="00321772" w:rsidRPr="00321772">
        <w:rPr>
          <w:rFonts w:ascii="Times New Roman" w:hAnsi="Times New Roman"/>
          <w:b/>
          <w:sz w:val="24"/>
        </w:rPr>
        <w:t>subparagraph (5)</w:t>
      </w:r>
      <w:r w:rsidR="00321772">
        <w:rPr>
          <w:rFonts w:ascii="Times New Roman" w:hAnsi="Times New Roman"/>
          <w:sz w:val="24"/>
        </w:rPr>
        <w:t xml:space="preserve"> of </w:t>
      </w:r>
      <w:r w:rsidR="00321772" w:rsidRPr="00321772">
        <w:rPr>
          <w:rFonts w:ascii="Times New Roman" w:hAnsi="Times New Roman"/>
          <w:sz w:val="24"/>
        </w:rPr>
        <w:t>the definition of</w:t>
      </w:r>
      <w:r w:rsidR="00321772" w:rsidRPr="00321772">
        <w:rPr>
          <w:rFonts w:ascii="Times New Roman" w:hAnsi="Times New Roman"/>
          <w:i/>
          <w:sz w:val="24"/>
        </w:rPr>
        <w:t xml:space="preserve"> </w:t>
      </w:r>
      <w:r w:rsidR="00321772" w:rsidRPr="00321772">
        <w:rPr>
          <w:rFonts w:ascii="Times New Roman" w:hAnsi="Times New Roman"/>
          <w:b/>
          <w:i/>
          <w:sz w:val="24"/>
        </w:rPr>
        <w:t>primary non-photographic identification document</w:t>
      </w:r>
      <w:r w:rsidR="00321772" w:rsidRPr="00321772">
        <w:rPr>
          <w:rFonts w:ascii="Times New Roman" w:hAnsi="Times New Roman"/>
          <w:i/>
          <w:sz w:val="24"/>
        </w:rPr>
        <w:t>:</w:t>
      </w:r>
    </w:p>
    <w:p w14:paraId="12885CA7" w14:textId="77777777" w:rsidR="00321772" w:rsidRDefault="00321772" w:rsidP="00321772">
      <w:pPr>
        <w:tabs>
          <w:tab w:val="left" w:pos="720"/>
        </w:tabs>
        <w:ind w:left="1440" w:hanging="1440"/>
        <w:rPr>
          <w:rFonts w:ascii="Times New Roman" w:hAnsi="Times New Roman"/>
          <w:i/>
          <w:sz w:val="24"/>
        </w:rPr>
      </w:pPr>
    </w:p>
    <w:p w14:paraId="14573415" w14:textId="43082433" w:rsidR="00321772" w:rsidRPr="00321772" w:rsidRDefault="00BB4499" w:rsidP="00321772">
      <w:pPr>
        <w:tabs>
          <w:tab w:val="left" w:pos="720"/>
        </w:tabs>
        <w:ind w:left="1440" w:hanging="1440"/>
        <w:rPr>
          <w:rFonts w:ascii="Times New Roman" w:hAnsi="Times New Roman"/>
          <w:i/>
          <w:sz w:val="24"/>
        </w:rPr>
      </w:pPr>
      <w:r>
        <w:rPr>
          <w:rFonts w:ascii="Times New Roman" w:hAnsi="Times New Roman"/>
          <w:i/>
          <w:sz w:val="24"/>
        </w:rPr>
        <w:t>omit</w:t>
      </w:r>
    </w:p>
    <w:p w14:paraId="7075D30E" w14:textId="77777777" w:rsidR="00321772" w:rsidRDefault="00321772" w:rsidP="00321772">
      <w:pPr>
        <w:tabs>
          <w:tab w:val="left" w:pos="720"/>
        </w:tabs>
        <w:ind w:left="1440" w:hanging="1440"/>
        <w:rPr>
          <w:rFonts w:ascii="Times New Roman" w:hAnsi="Times New Roman"/>
          <w:i/>
          <w:sz w:val="24"/>
        </w:rPr>
      </w:pPr>
    </w:p>
    <w:p w14:paraId="732EC096" w14:textId="77777777" w:rsidR="00321772" w:rsidRPr="00321772" w:rsidRDefault="00321772" w:rsidP="00321772">
      <w:pPr>
        <w:tabs>
          <w:tab w:val="left" w:pos="720"/>
        </w:tabs>
        <w:ind w:left="1440" w:hanging="1440"/>
        <w:rPr>
          <w:rFonts w:ascii="Times New Roman" w:hAnsi="Times New Roman"/>
          <w:sz w:val="24"/>
        </w:rPr>
      </w:pPr>
      <w:r>
        <w:rPr>
          <w:rFonts w:ascii="Times New Roman" w:hAnsi="Times New Roman"/>
          <w:i/>
          <w:sz w:val="24"/>
        </w:rPr>
        <w:tab/>
      </w:r>
      <w:r w:rsidRPr="00321772">
        <w:rPr>
          <w:rFonts w:ascii="Times New Roman" w:hAnsi="Times New Roman"/>
          <w:sz w:val="24"/>
        </w:rPr>
        <w:t>(5)</w:t>
      </w:r>
      <w:r w:rsidRPr="00321772">
        <w:rPr>
          <w:rFonts w:ascii="Times New Roman" w:hAnsi="Times New Roman"/>
          <w:sz w:val="24"/>
        </w:rPr>
        <w:tab/>
        <w:t>a pension card issued by the Department of Human Services that entitles the person in whose name the card is issued, to financial benefits.</w:t>
      </w:r>
    </w:p>
    <w:p w14:paraId="639F281C" w14:textId="77777777" w:rsidR="00321772" w:rsidRDefault="00321772" w:rsidP="00321772">
      <w:pPr>
        <w:tabs>
          <w:tab w:val="left" w:pos="720"/>
        </w:tabs>
        <w:ind w:left="1440" w:hanging="1440"/>
        <w:rPr>
          <w:rFonts w:ascii="Times New Roman" w:hAnsi="Times New Roman"/>
          <w:i/>
          <w:sz w:val="24"/>
        </w:rPr>
      </w:pPr>
    </w:p>
    <w:p w14:paraId="6BD2B07B" w14:textId="77777777" w:rsidR="00321772" w:rsidRPr="00321772" w:rsidRDefault="00321772" w:rsidP="00321772">
      <w:pPr>
        <w:tabs>
          <w:tab w:val="left" w:pos="720"/>
        </w:tabs>
        <w:ind w:left="1440" w:hanging="1440"/>
        <w:rPr>
          <w:rFonts w:ascii="Times New Roman" w:hAnsi="Times New Roman"/>
          <w:i/>
          <w:sz w:val="24"/>
        </w:rPr>
      </w:pPr>
      <w:r w:rsidRPr="00321772">
        <w:rPr>
          <w:rFonts w:ascii="Times New Roman" w:hAnsi="Times New Roman"/>
          <w:i/>
          <w:sz w:val="24"/>
        </w:rPr>
        <w:t>substitute</w:t>
      </w:r>
    </w:p>
    <w:p w14:paraId="0CC9579F" w14:textId="77777777" w:rsidR="00321772" w:rsidRDefault="00321772" w:rsidP="00321772">
      <w:pPr>
        <w:tabs>
          <w:tab w:val="left" w:pos="720"/>
        </w:tabs>
        <w:ind w:left="1440" w:hanging="1440"/>
        <w:rPr>
          <w:rFonts w:ascii="Times New Roman" w:hAnsi="Times New Roman"/>
          <w:i/>
          <w:sz w:val="24"/>
        </w:rPr>
      </w:pPr>
    </w:p>
    <w:p w14:paraId="233328AF" w14:textId="77777777" w:rsidR="009970DE" w:rsidRPr="00321772" w:rsidRDefault="00321772" w:rsidP="00321772">
      <w:pPr>
        <w:tabs>
          <w:tab w:val="left" w:pos="720"/>
        </w:tabs>
        <w:ind w:left="1440" w:hanging="1440"/>
        <w:rPr>
          <w:rFonts w:ascii="Times New Roman" w:hAnsi="Times New Roman"/>
          <w:b/>
          <w:sz w:val="24"/>
        </w:rPr>
      </w:pPr>
      <w:r>
        <w:rPr>
          <w:rFonts w:ascii="Times New Roman" w:hAnsi="Times New Roman"/>
          <w:i/>
          <w:sz w:val="24"/>
        </w:rPr>
        <w:tab/>
      </w:r>
      <w:r>
        <w:rPr>
          <w:rFonts w:ascii="Times New Roman" w:hAnsi="Times New Roman"/>
          <w:sz w:val="24"/>
        </w:rPr>
        <w:t>(5)</w:t>
      </w:r>
      <w:r>
        <w:rPr>
          <w:rFonts w:ascii="Times New Roman" w:hAnsi="Times New Roman"/>
          <w:sz w:val="24"/>
        </w:rPr>
        <w:tab/>
      </w:r>
      <w:r w:rsidRPr="00321772">
        <w:rPr>
          <w:rFonts w:ascii="Times New Roman" w:hAnsi="Times New Roman"/>
          <w:sz w:val="24"/>
        </w:rPr>
        <w:t xml:space="preserve">a concession card, as defined from time to time in the </w:t>
      </w:r>
      <w:r w:rsidRPr="00321772">
        <w:rPr>
          <w:rFonts w:ascii="Times New Roman" w:hAnsi="Times New Roman"/>
          <w:i/>
          <w:sz w:val="24"/>
        </w:rPr>
        <w:t>Social Security Act 1991</w:t>
      </w:r>
      <w:r w:rsidRPr="00321772">
        <w:rPr>
          <w:rFonts w:ascii="Times New Roman" w:hAnsi="Times New Roman"/>
          <w:sz w:val="24"/>
        </w:rPr>
        <w:t>, or an equivalent term which expresses the same concept in relation to concession holders.</w:t>
      </w:r>
    </w:p>
    <w:p w14:paraId="7CAC84B5" w14:textId="77777777" w:rsidR="00321772" w:rsidRDefault="00321772" w:rsidP="009970DE">
      <w:pPr>
        <w:tabs>
          <w:tab w:val="left" w:pos="720"/>
        </w:tabs>
        <w:rPr>
          <w:rFonts w:ascii="Times New Roman" w:hAnsi="Times New Roman"/>
          <w:b/>
          <w:sz w:val="24"/>
        </w:rPr>
      </w:pPr>
    </w:p>
    <w:p w14:paraId="016C0A5F" w14:textId="77777777" w:rsidR="009970DE" w:rsidRPr="004958AE" w:rsidRDefault="009970DE" w:rsidP="004958AE">
      <w:pPr>
        <w:tabs>
          <w:tab w:val="left" w:pos="720"/>
        </w:tabs>
        <w:ind w:left="2127" w:hanging="2127"/>
        <w:rPr>
          <w:rFonts w:ascii="Arial" w:hAnsi="Arial" w:cs="Arial"/>
          <w:b/>
          <w:sz w:val="24"/>
        </w:rPr>
      </w:pPr>
      <w:r w:rsidRPr="004462C1">
        <w:rPr>
          <w:rFonts w:ascii="Times New Roman" w:hAnsi="Times New Roman"/>
          <w:b/>
          <w:sz w:val="24"/>
        </w:rPr>
        <w:br w:type="page"/>
      </w:r>
      <w:r w:rsidRPr="004958AE">
        <w:rPr>
          <w:rFonts w:ascii="Arial" w:hAnsi="Arial" w:cs="Arial"/>
          <w:b/>
          <w:sz w:val="28"/>
          <w:szCs w:val="28"/>
        </w:rPr>
        <w:lastRenderedPageBreak/>
        <w:t>Schedule 2</w:t>
      </w:r>
      <w:r w:rsidRPr="009970DE">
        <w:rPr>
          <w:rFonts w:ascii="Arial" w:hAnsi="Arial" w:cs="Arial"/>
          <w:b/>
          <w:sz w:val="28"/>
          <w:szCs w:val="28"/>
        </w:rPr>
        <w:tab/>
      </w:r>
      <w:r w:rsidRPr="004958AE">
        <w:rPr>
          <w:rFonts w:ascii="Arial" w:hAnsi="Arial" w:cs="Arial"/>
          <w:b/>
          <w:sz w:val="24"/>
        </w:rPr>
        <w:t xml:space="preserve">Amendment of the </w:t>
      </w:r>
      <w:r w:rsidRPr="004958AE">
        <w:rPr>
          <w:rFonts w:ascii="Arial" w:hAnsi="Arial" w:cs="Arial"/>
          <w:b/>
          <w:i/>
          <w:sz w:val="24"/>
        </w:rPr>
        <w:t>Anti-Money Laundering and Counter-Terrorism Financing Rules Instrument 2007 (No. 1)</w:t>
      </w:r>
      <w:r w:rsidRPr="004958AE">
        <w:rPr>
          <w:rFonts w:ascii="Arial" w:hAnsi="Arial" w:cs="Arial"/>
          <w:b/>
          <w:sz w:val="24"/>
        </w:rPr>
        <w:t>.</w:t>
      </w:r>
    </w:p>
    <w:p w14:paraId="28D6804E" w14:textId="77777777" w:rsidR="009970DE" w:rsidRDefault="009970DE" w:rsidP="00050BBC">
      <w:pPr>
        <w:tabs>
          <w:tab w:val="left" w:pos="720"/>
        </w:tabs>
        <w:rPr>
          <w:rFonts w:ascii="Arial" w:hAnsi="Arial" w:cs="Arial"/>
          <w:b/>
          <w:sz w:val="28"/>
          <w:szCs w:val="28"/>
        </w:rPr>
      </w:pPr>
    </w:p>
    <w:p w14:paraId="4805071B" w14:textId="77777777" w:rsidR="00050BBC" w:rsidRDefault="00050BBC" w:rsidP="00050BBC">
      <w:pPr>
        <w:tabs>
          <w:tab w:val="left" w:pos="720"/>
        </w:tabs>
        <w:rPr>
          <w:rFonts w:ascii="Arial" w:hAnsi="Arial" w:cs="Arial"/>
          <w:b/>
          <w:sz w:val="28"/>
          <w:szCs w:val="28"/>
        </w:rPr>
      </w:pPr>
      <w:r w:rsidRPr="0050472C">
        <w:rPr>
          <w:rFonts w:ascii="Arial" w:hAnsi="Arial" w:cs="Arial"/>
          <w:b/>
          <w:sz w:val="28"/>
          <w:szCs w:val="28"/>
        </w:rPr>
        <w:t>1.</w:t>
      </w:r>
      <w:r w:rsidRPr="0050472C">
        <w:rPr>
          <w:rFonts w:ascii="Arial" w:hAnsi="Arial" w:cs="Arial"/>
          <w:b/>
          <w:sz w:val="28"/>
          <w:szCs w:val="28"/>
        </w:rPr>
        <w:tab/>
      </w:r>
      <w:r w:rsidR="002B5433">
        <w:rPr>
          <w:rFonts w:ascii="Arial" w:hAnsi="Arial" w:cs="Arial"/>
          <w:b/>
          <w:sz w:val="28"/>
          <w:szCs w:val="28"/>
        </w:rPr>
        <w:t>Chapter</w:t>
      </w:r>
      <w:r w:rsidR="00867F19">
        <w:rPr>
          <w:rFonts w:ascii="Arial" w:hAnsi="Arial" w:cs="Arial"/>
          <w:b/>
          <w:sz w:val="28"/>
          <w:szCs w:val="28"/>
        </w:rPr>
        <w:t xml:space="preserve"> 69</w:t>
      </w:r>
    </w:p>
    <w:p w14:paraId="03EE62D4" w14:textId="77777777" w:rsidR="00050BBC" w:rsidRDefault="00050BBC" w:rsidP="00050BBC">
      <w:pPr>
        <w:tabs>
          <w:tab w:val="left" w:pos="720"/>
        </w:tabs>
        <w:rPr>
          <w:rFonts w:ascii="Times New Roman" w:hAnsi="Times New Roman"/>
          <w:sz w:val="24"/>
        </w:rPr>
      </w:pPr>
    </w:p>
    <w:p w14:paraId="6B5209DF" w14:textId="77777777" w:rsidR="00050BBC" w:rsidRDefault="00050BBC" w:rsidP="00050BBC">
      <w:pPr>
        <w:tabs>
          <w:tab w:val="left" w:pos="720"/>
        </w:tabs>
        <w:rPr>
          <w:rFonts w:ascii="Times New Roman" w:hAnsi="Times New Roman"/>
          <w:i/>
          <w:sz w:val="24"/>
        </w:rPr>
      </w:pPr>
      <w:r w:rsidRPr="00921CED">
        <w:rPr>
          <w:rFonts w:ascii="Times New Roman" w:hAnsi="Times New Roman"/>
          <w:b/>
          <w:sz w:val="24"/>
        </w:rPr>
        <w:t xml:space="preserve">Item </w:t>
      </w:r>
      <w:r w:rsidR="002B5433">
        <w:rPr>
          <w:rFonts w:ascii="Times New Roman" w:hAnsi="Times New Roman"/>
          <w:b/>
          <w:sz w:val="24"/>
        </w:rPr>
        <w:t>1</w:t>
      </w:r>
      <w:r>
        <w:rPr>
          <w:rFonts w:ascii="Times New Roman" w:hAnsi="Times New Roman"/>
          <w:sz w:val="24"/>
        </w:rPr>
        <w:tab/>
      </w:r>
      <w:r>
        <w:rPr>
          <w:rFonts w:ascii="Times New Roman" w:hAnsi="Times New Roman"/>
          <w:sz w:val="24"/>
        </w:rPr>
        <w:tab/>
      </w:r>
      <w:r w:rsidRPr="00921CED">
        <w:rPr>
          <w:rFonts w:ascii="Times New Roman" w:hAnsi="Times New Roman"/>
          <w:b/>
          <w:sz w:val="24"/>
        </w:rPr>
        <w:t xml:space="preserve">After Chapter </w:t>
      </w:r>
      <w:r w:rsidR="002B5433">
        <w:rPr>
          <w:rFonts w:ascii="Times New Roman" w:hAnsi="Times New Roman"/>
          <w:b/>
          <w:sz w:val="24"/>
        </w:rPr>
        <w:t>68</w:t>
      </w:r>
      <w:r>
        <w:rPr>
          <w:rFonts w:ascii="Times New Roman" w:hAnsi="Times New Roman"/>
          <w:sz w:val="24"/>
        </w:rPr>
        <w:t xml:space="preserve"> </w:t>
      </w:r>
      <w:r w:rsidRPr="00921CED">
        <w:rPr>
          <w:rFonts w:ascii="Times New Roman" w:hAnsi="Times New Roman"/>
          <w:i/>
          <w:sz w:val="24"/>
        </w:rPr>
        <w:t>insert</w:t>
      </w:r>
    </w:p>
    <w:p w14:paraId="4551AC51" w14:textId="77777777" w:rsidR="00050BBC" w:rsidRDefault="00050BBC" w:rsidP="00050BBC">
      <w:pPr>
        <w:tabs>
          <w:tab w:val="left" w:pos="720"/>
        </w:tabs>
        <w:rPr>
          <w:rFonts w:ascii="Times New Roman" w:hAnsi="Times New Roman"/>
          <w:i/>
          <w:sz w:val="24"/>
        </w:rPr>
      </w:pPr>
    </w:p>
    <w:p w14:paraId="694C8673" w14:textId="4949FAEC" w:rsidR="006527F4" w:rsidRPr="00BB5D61" w:rsidRDefault="00050BBC" w:rsidP="002D78EB">
      <w:pPr>
        <w:pStyle w:val="HP"/>
        <w:rPr>
          <w:rFonts w:ascii="Times New Roman" w:hAnsi="Times New Roman"/>
          <w:sz w:val="24"/>
        </w:rPr>
      </w:pPr>
      <w:r w:rsidRPr="00A46ABA">
        <w:rPr>
          <w:rStyle w:val="CharPartNo"/>
        </w:rPr>
        <w:t xml:space="preserve">CHAPTER </w:t>
      </w:r>
      <w:r w:rsidR="002B5433">
        <w:rPr>
          <w:rStyle w:val="CharPartNo"/>
        </w:rPr>
        <w:t>69</w:t>
      </w:r>
      <w:r w:rsidRPr="00A46ABA">
        <w:rPr>
          <w:rStyle w:val="CharPartNo"/>
        </w:rPr>
        <w:tab/>
      </w:r>
      <w:r w:rsidR="003D28D0">
        <w:rPr>
          <w:rStyle w:val="CharPartNo"/>
        </w:rPr>
        <w:t>C</w:t>
      </w:r>
      <w:r w:rsidR="002D78EB" w:rsidRPr="002D78EB">
        <w:rPr>
          <w:rStyle w:val="CharPartNo"/>
        </w:rPr>
        <w:t xml:space="preserve">asino licence holders </w:t>
      </w:r>
      <w:r w:rsidR="003D28D0">
        <w:rPr>
          <w:rStyle w:val="CharPartNo"/>
        </w:rPr>
        <w:t xml:space="preserve">– exemption </w:t>
      </w:r>
      <w:r w:rsidR="002D78EB" w:rsidRPr="002D78EB">
        <w:rPr>
          <w:rStyle w:val="CharPartNo"/>
        </w:rPr>
        <w:t xml:space="preserve">from applying for registration on the Remittance Sector Register </w:t>
      </w:r>
    </w:p>
    <w:bookmarkEnd w:id="0"/>
    <w:p w14:paraId="37CEE09D" w14:textId="77777777" w:rsidR="00A83F04" w:rsidRDefault="00A83F04" w:rsidP="00A83F04">
      <w:pPr>
        <w:rPr>
          <w:rFonts w:ascii="Times New Roman" w:hAnsi="Times New Roman"/>
          <w:sz w:val="24"/>
        </w:rPr>
      </w:pPr>
    </w:p>
    <w:p w14:paraId="168BC406" w14:textId="77777777" w:rsidR="00CB5CB5" w:rsidRPr="00CB5CB5" w:rsidRDefault="002852AB" w:rsidP="00CB5CB5">
      <w:pPr>
        <w:autoSpaceDE w:val="0"/>
        <w:autoSpaceDN w:val="0"/>
        <w:adjustRightInd w:val="0"/>
        <w:ind w:left="720" w:hanging="720"/>
        <w:rPr>
          <w:rFonts w:ascii="Times New Roman" w:hAnsi="Times New Roman"/>
          <w:color w:val="000000"/>
          <w:sz w:val="24"/>
          <w:lang w:eastAsia="en-AU"/>
        </w:rPr>
      </w:pPr>
      <w:r>
        <w:rPr>
          <w:rFonts w:ascii="Times New Roman" w:hAnsi="Times New Roman"/>
          <w:color w:val="000000"/>
          <w:sz w:val="24"/>
          <w:lang w:eastAsia="en-AU"/>
        </w:rPr>
        <w:t>69.1</w:t>
      </w:r>
      <w:r w:rsidR="00CB5CB5" w:rsidRPr="00CB5CB5">
        <w:rPr>
          <w:rFonts w:ascii="Times New Roman" w:hAnsi="Times New Roman"/>
          <w:color w:val="000000"/>
          <w:sz w:val="24"/>
          <w:lang w:eastAsia="en-AU"/>
        </w:rPr>
        <w:tab/>
        <w:t xml:space="preserve">These Anti-Money Laundering and Counter-Terrorism Financing Rules (Rules) are made under section 229 for subsection 247(4) of the </w:t>
      </w:r>
      <w:r w:rsidR="00CB5CB5" w:rsidRPr="00CB5CB5">
        <w:rPr>
          <w:rFonts w:ascii="Times New Roman" w:hAnsi="Times New Roman"/>
          <w:i/>
          <w:iCs/>
          <w:color w:val="000000"/>
          <w:sz w:val="24"/>
          <w:lang w:eastAsia="en-AU"/>
        </w:rPr>
        <w:t xml:space="preserve">Anti-Money Laundering and Counter-Terrorism Financing Act 2006 </w:t>
      </w:r>
      <w:r w:rsidR="00CB5CB5" w:rsidRPr="00CB5CB5">
        <w:rPr>
          <w:rFonts w:ascii="Times New Roman" w:hAnsi="Times New Roman"/>
          <w:color w:val="000000"/>
          <w:sz w:val="24"/>
          <w:lang w:eastAsia="en-AU"/>
        </w:rPr>
        <w:t>(AML/CTF Act).</w:t>
      </w:r>
    </w:p>
    <w:p w14:paraId="0AEBDD9E" w14:textId="07A0319B" w:rsidR="00CB5CB5" w:rsidRPr="00CB5CB5" w:rsidRDefault="002852AB" w:rsidP="00CB5CB5">
      <w:pPr>
        <w:spacing w:before="240" w:after="240"/>
        <w:ind w:left="720" w:hanging="720"/>
        <w:rPr>
          <w:rFonts w:ascii="Times New Roman" w:hAnsi="Times New Roman"/>
          <w:sz w:val="24"/>
          <w:lang w:eastAsia="en-AU"/>
        </w:rPr>
      </w:pPr>
      <w:r>
        <w:rPr>
          <w:rFonts w:ascii="Times New Roman" w:hAnsi="Times New Roman"/>
          <w:sz w:val="24"/>
          <w:lang w:eastAsia="en-AU"/>
        </w:rPr>
        <w:t>69.2</w:t>
      </w:r>
      <w:r w:rsidR="00CB5CB5" w:rsidRPr="00CB5CB5">
        <w:rPr>
          <w:rFonts w:ascii="Times New Roman" w:hAnsi="Times New Roman"/>
          <w:sz w:val="24"/>
          <w:lang w:eastAsia="en-AU"/>
        </w:rPr>
        <w:tab/>
        <w:t xml:space="preserve">Subsections 74(1), 74(1A) and 74(1B) of the AML/CTF Act do not apply to the provision of a designated service set out in item 31, item 32 or item 32A of table 1 in subsection 6(2) of the AML/CTF Act that are provided in the circumstances specified in paragraph </w:t>
      </w:r>
      <w:r w:rsidR="00B16A75">
        <w:rPr>
          <w:rFonts w:ascii="Times New Roman" w:hAnsi="Times New Roman"/>
          <w:sz w:val="24"/>
          <w:lang w:eastAsia="en-AU"/>
        </w:rPr>
        <w:t>69.</w:t>
      </w:r>
      <w:r w:rsidR="003B75A5">
        <w:rPr>
          <w:rFonts w:ascii="Times New Roman" w:hAnsi="Times New Roman"/>
          <w:sz w:val="24"/>
          <w:lang w:eastAsia="en-AU"/>
        </w:rPr>
        <w:t>3.</w:t>
      </w:r>
    </w:p>
    <w:p w14:paraId="15A1BC29" w14:textId="77777777" w:rsidR="00CB5CB5" w:rsidRPr="00CB5CB5" w:rsidRDefault="002852AB" w:rsidP="00CB5CB5">
      <w:pPr>
        <w:autoSpaceDE w:val="0"/>
        <w:autoSpaceDN w:val="0"/>
        <w:adjustRightInd w:val="0"/>
        <w:rPr>
          <w:rFonts w:ascii="Times New Roman" w:hAnsi="Times New Roman"/>
          <w:color w:val="000000"/>
          <w:sz w:val="24"/>
          <w:lang w:eastAsia="en-AU"/>
        </w:rPr>
      </w:pPr>
      <w:r>
        <w:rPr>
          <w:rFonts w:ascii="Times New Roman" w:hAnsi="Times New Roman"/>
          <w:color w:val="000000"/>
          <w:sz w:val="24"/>
          <w:lang w:eastAsia="en-AU"/>
        </w:rPr>
        <w:t>69.</w:t>
      </w:r>
      <w:r w:rsidR="00CB5CB5" w:rsidRPr="00CB5CB5">
        <w:rPr>
          <w:rFonts w:ascii="Times New Roman" w:hAnsi="Times New Roman"/>
          <w:color w:val="000000"/>
          <w:sz w:val="24"/>
          <w:lang w:eastAsia="en-AU"/>
        </w:rPr>
        <w:t>3</w:t>
      </w:r>
      <w:r w:rsidR="00CB5CB5" w:rsidRPr="00CB5CB5">
        <w:rPr>
          <w:rFonts w:ascii="Times New Roman" w:hAnsi="Times New Roman"/>
          <w:color w:val="000000"/>
          <w:sz w:val="24"/>
          <w:lang w:eastAsia="en-AU"/>
        </w:rPr>
        <w:tab/>
        <w:t>The specified circumstances are:</w:t>
      </w:r>
    </w:p>
    <w:p w14:paraId="78BC287D" w14:textId="77777777" w:rsidR="00CB5CB5" w:rsidRPr="00CB5CB5" w:rsidRDefault="00CB5CB5" w:rsidP="00CB5CB5">
      <w:pPr>
        <w:autoSpaceDE w:val="0"/>
        <w:autoSpaceDN w:val="0"/>
        <w:adjustRightInd w:val="0"/>
        <w:ind w:left="360"/>
        <w:rPr>
          <w:rFonts w:ascii="Times New Roman" w:hAnsi="Times New Roman"/>
          <w:color w:val="000000"/>
          <w:sz w:val="24"/>
          <w:lang w:eastAsia="en-AU"/>
        </w:rPr>
      </w:pPr>
    </w:p>
    <w:p w14:paraId="656A3B12" w14:textId="77777777" w:rsidR="00CB5CB5" w:rsidRPr="00CB5CB5" w:rsidRDefault="00CB5CB5" w:rsidP="00CB5CB5">
      <w:pPr>
        <w:autoSpaceDE w:val="0"/>
        <w:autoSpaceDN w:val="0"/>
        <w:adjustRightInd w:val="0"/>
        <w:ind w:left="720"/>
        <w:rPr>
          <w:rFonts w:ascii="Times New Roman" w:hAnsi="Times New Roman"/>
          <w:color w:val="000000"/>
          <w:sz w:val="24"/>
          <w:lang w:eastAsia="en-AU"/>
        </w:rPr>
      </w:pPr>
      <w:r w:rsidRPr="00CB5CB5">
        <w:rPr>
          <w:rFonts w:ascii="Times New Roman" w:hAnsi="Times New Roman"/>
          <w:color w:val="000000"/>
          <w:sz w:val="24"/>
          <w:lang w:eastAsia="en-AU"/>
        </w:rPr>
        <w:t>(1)</w:t>
      </w:r>
      <w:r w:rsidRPr="00CB5CB5">
        <w:rPr>
          <w:rFonts w:ascii="Times New Roman" w:hAnsi="Times New Roman"/>
          <w:color w:val="000000"/>
          <w:sz w:val="24"/>
          <w:lang w:eastAsia="en-AU"/>
        </w:rPr>
        <w:tab/>
        <w:t xml:space="preserve">the designated service specified in paragraph </w:t>
      </w:r>
      <w:r w:rsidR="00B16A75">
        <w:rPr>
          <w:rFonts w:ascii="Times New Roman" w:hAnsi="Times New Roman"/>
          <w:color w:val="000000"/>
          <w:sz w:val="24"/>
          <w:lang w:eastAsia="en-AU"/>
        </w:rPr>
        <w:t>69.</w:t>
      </w:r>
      <w:r w:rsidRPr="00CB5CB5">
        <w:rPr>
          <w:rFonts w:ascii="Times New Roman" w:hAnsi="Times New Roman"/>
          <w:color w:val="000000"/>
          <w:sz w:val="24"/>
          <w:lang w:eastAsia="en-AU"/>
        </w:rPr>
        <w:t>2 is provided:</w:t>
      </w:r>
    </w:p>
    <w:p w14:paraId="3768FE87" w14:textId="77777777" w:rsidR="00CB5CB5" w:rsidRPr="00CB5CB5" w:rsidRDefault="00CB5CB5" w:rsidP="00CB5CB5">
      <w:pPr>
        <w:autoSpaceDE w:val="0"/>
        <w:autoSpaceDN w:val="0"/>
        <w:adjustRightInd w:val="0"/>
        <w:ind w:left="1080"/>
        <w:rPr>
          <w:rFonts w:ascii="Times New Roman" w:hAnsi="Times New Roman"/>
          <w:color w:val="000000"/>
          <w:sz w:val="24"/>
          <w:lang w:eastAsia="en-AU"/>
        </w:rPr>
      </w:pPr>
    </w:p>
    <w:p w14:paraId="51F9447A" w14:textId="77777777" w:rsidR="00CB5CB5" w:rsidRPr="00CB5CB5" w:rsidRDefault="00CB5CB5" w:rsidP="00CB5CB5">
      <w:pPr>
        <w:autoSpaceDE w:val="0"/>
        <w:autoSpaceDN w:val="0"/>
        <w:adjustRightInd w:val="0"/>
        <w:ind w:left="2160" w:hanging="720"/>
        <w:rPr>
          <w:rFonts w:ascii="Times New Roman" w:hAnsi="Times New Roman"/>
          <w:color w:val="000000"/>
          <w:sz w:val="24"/>
          <w:lang w:eastAsia="en-AU"/>
        </w:rPr>
      </w:pPr>
      <w:r w:rsidRPr="00CB5CB5">
        <w:rPr>
          <w:rFonts w:ascii="Times New Roman" w:hAnsi="Times New Roman"/>
          <w:color w:val="000000"/>
          <w:sz w:val="24"/>
          <w:lang w:eastAsia="en-AU"/>
        </w:rPr>
        <w:t>(a)</w:t>
      </w:r>
      <w:r w:rsidRPr="00CB5CB5">
        <w:rPr>
          <w:rFonts w:ascii="Times New Roman" w:hAnsi="Times New Roman"/>
          <w:color w:val="000000"/>
          <w:sz w:val="24"/>
          <w:lang w:eastAsia="en-AU"/>
        </w:rPr>
        <w:tab/>
        <w:t>only in conjunction with a designated service set out in table 3 in subsection 6(4) of the AML/CTF Act; and</w:t>
      </w:r>
    </w:p>
    <w:p w14:paraId="62C4E871" w14:textId="77777777" w:rsidR="00CB5CB5" w:rsidRPr="00CB5CB5" w:rsidRDefault="00CB5CB5" w:rsidP="00CB5CB5">
      <w:pPr>
        <w:autoSpaceDE w:val="0"/>
        <w:autoSpaceDN w:val="0"/>
        <w:adjustRightInd w:val="0"/>
        <w:ind w:left="2160" w:hanging="720"/>
        <w:rPr>
          <w:rFonts w:ascii="Times New Roman" w:hAnsi="Times New Roman"/>
          <w:color w:val="000000"/>
          <w:sz w:val="24"/>
          <w:lang w:eastAsia="en-AU"/>
        </w:rPr>
      </w:pPr>
    </w:p>
    <w:p w14:paraId="37161503" w14:textId="77777777" w:rsidR="00CB5CB5" w:rsidRPr="00CB5CB5" w:rsidRDefault="00CB5CB5" w:rsidP="00CB5CB5">
      <w:pPr>
        <w:autoSpaceDE w:val="0"/>
        <w:autoSpaceDN w:val="0"/>
        <w:adjustRightInd w:val="0"/>
        <w:ind w:left="1440"/>
        <w:rPr>
          <w:rFonts w:ascii="Times New Roman" w:hAnsi="Times New Roman"/>
          <w:color w:val="000000"/>
          <w:sz w:val="24"/>
          <w:lang w:eastAsia="en-AU"/>
        </w:rPr>
      </w:pPr>
      <w:r w:rsidRPr="00CB5CB5">
        <w:rPr>
          <w:rFonts w:ascii="Times New Roman" w:hAnsi="Times New Roman"/>
          <w:color w:val="000000"/>
          <w:sz w:val="24"/>
          <w:lang w:eastAsia="en-AU"/>
        </w:rPr>
        <w:t>(b)</w:t>
      </w:r>
      <w:r w:rsidRPr="00CB5CB5">
        <w:rPr>
          <w:rFonts w:ascii="Times New Roman" w:hAnsi="Times New Roman"/>
          <w:color w:val="000000"/>
          <w:sz w:val="24"/>
          <w:lang w:eastAsia="en-AU"/>
        </w:rPr>
        <w:tab/>
        <w:t>the reporting entity is the holder of a casino licence; and</w:t>
      </w:r>
    </w:p>
    <w:p w14:paraId="6530E563" w14:textId="77777777" w:rsidR="00CB5CB5" w:rsidRPr="00CB5CB5" w:rsidRDefault="00CB5CB5" w:rsidP="00CB5CB5">
      <w:pPr>
        <w:autoSpaceDE w:val="0"/>
        <w:autoSpaceDN w:val="0"/>
        <w:adjustRightInd w:val="0"/>
        <w:ind w:left="1440"/>
        <w:rPr>
          <w:rFonts w:ascii="Times New Roman" w:hAnsi="Times New Roman"/>
          <w:color w:val="000000"/>
          <w:sz w:val="24"/>
          <w:lang w:eastAsia="en-AU"/>
        </w:rPr>
      </w:pPr>
    </w:p>
    <w:p w14:paraId="1FDCE3E1" w14:textId="77777777" w:rsidR="00CB5CB5" w:rsidRPr="00CB5CB5" w:rsidRDefault="00CB5CB5" w:rsidP="00CB5CB5">
      <w:pPr>
        <w:autoSpaceDE w:val="0"/>
        <w:autoSpaceDN w:val="0"/>
        <w:adjustRightInd w:val="0"/>
        <w:ind w:left="2160" w:hanging="720"/>
        <w:rPr>
          <w:rFonts w:ascii="Times New Roman" w:hAnsi="Times New Roman"/>
          <w:color w:val="000000"/>
          <w:sz w:val="24"/>
          <w:lang w:eastAsia="en-AU"/>
        </w:rPr>
      </w:pPr>
      <w:r w:rsidRPr="00CB5CB5">
        <w:rPr>
          <w:rFonts w:ascii="Times New Roman" w:hAnsi="Times New Roman"/>
          <w:color w:val="000000"/>
          <w:sz w:val="24"/>
          <w:lang w:eastAsia="en-AU"/>
        </w:rPr>
        <w:t>(c)</w:t>
      </w:r>
      <w:r w:rsidRPr="00CB5CB5">
        <w:rPr>
          <w:rFonts w:ascii="Times New Roman" w:hAnsi="Times New Roman"/>
          <w:color w:val="000000"/>
          <w:sz w:val="24"/>
          <w:lang w:eastAsia="en-AU"/>
        </w:rPr>
        <w:tab/>
        <w:t xml:space="preserve">the designated services specified in paragraph </w:t>
      </w:r>
      <w:r w:rsidR="00B16A75">
        <w:rPr>
          <w:rFonts w:ascii="Times New Roman" w:hAnsi="Times New Roman"/>
          <w:color w:val="000000"/>
          <w:sz w:val="24"/>
          <w:lang w:eastAsia="en-AU"/>
        </w:rPr>
        <w:t>69.</w:t>
      </w:r>
      <w:r w:rsidRPr="00CB5CB5">
        <w:rPr>
          <w:rFonts w:ascii="Times New Roman" w:hAnsi="Times New Roman"/>
          <w:color w:val="000000"/>
          <w:sz w:val="24"/>
          <w:lang w:eastAsia="en-AU"/>
        </w:rPr>
        <w:t xml:space="preserve">2 and subparagraph </w:t>
      </w:r>
      <w:r w:rsidR="00B16A75">
        <w:rPr>
          <w:rFonts w:ascii="Times New Roman" w:hAnsi="Times New Roman"/>
          <w:color w:val="000000"/>
          <w:sz w:val="24"/>
          <w:lang w:eastAsia="en-AU"/>
        </w:rPr>
        <w:t>69.</w:t>
      </w:r>
      <w:r w:rsidRPr="00CB5CB5">
        <w:rPr>
          <w:rFonts w:ascii="Times New Roman" w:hAnsi="Times New Roman"/>
          <w:color w:val="000000"/>
          <w:sz w:val="24"/>
          <w:lang w:eastAsia="en-AU"/>
        </w:rPr>
        <w:t>3(1)(a) are provided in a casino to which the casino licence relates.</w:t>
      </w:r>
    </w:p>
    <w:p w14:paraId="781EEB34" w14:textId="77777777" w:rsidR="00CB5CB5" w:rsidRPr="00CB5CB5" w:rsidRDefault="002852AB" w:rsidP="00CB5CB5">
      <w:pPr>
        <w:spacing w:before="240" w:after="240"/>
        <w:rPr>
          <w:rFonts w:ascii="Times New Roman" w:hAnsi="Times New Roman"/>
          <w:sz w:val="24"/>
          <w:lang w:eastAsia="en-AU"/>
        </w:rPr>
      </w:pPr>
      <w:r>
        <w:rPr>
          <w:rFonts w:ascii="Times New Roman" w:hAnsi="Times New Roman"/>
          <w:sz w:val="24"/>
          <w:lang w:eastAsia="en-AU"/>
        </w:rPr>
        <w:t>69.</w:t>
      </w:r>
      <w:r w:rsidR="00CB5CB5" w:rsidRPr="00CB5CB5">
        <w:rPr>
          <w:rFonts w:ascii="Times New Roman" w:hAnsi="Times New Roman"/>
          <w:sz w:val="24"/>
          <w:lang w:eastAsia="en-AU"/>
        </w:rPr>
        <w:t>4</w:t>
      </w:r>
      <w:r w:rsidR="00CB5CB5" w:rsidRPr="00CB5CB5">
        <w:rPr>
          <w:rFonts w:ascii="Times New Roman" w:hAnsi="Times New Roman"/>
          <w:sz w:val="24"/>
          <w:lang w:eastAsia="en-AU"/>
        </w:rPr>
        <w:tab/>
        <w:t>In this Chapter:</w:t>
      </w:r>
    </w:p>
    <w:p w14:paraId="55321A22" w14:textId="77777777" w:rsidR="00CB5CB5" w:rsidRPr="00CB5CB5" w:rsidRDefault="00CB5CB5" w:rsidP="00CB5CB5">
      <w:pPr>
        <w:spacing w:before="240" w:after="240"/>
        <w:ind w:left="1440" w:hanging="720"/>
        <w:rPr>
          <w:rFonts w:ascii="Times New Roman" w:hAnsi="Times New Roman"/>
          <w:sz w:val="24"/>
          <w:lang w:eastAsia="en-AU"/>
        </w:rPr>
      </w:pPr>
      <w:r w:rsidRPr="00CB5CB5">
        <w:rPr>
          <w:rFonts w:ascii="Times New Roman" w:hAnsi="Times New Roman"/>
          <w:sz w:val="24"/>
          <w:lang w:eastAsia="en-AU"/>
        </w:rPr>
        <w:t>(1)</w:t>
      </w:r>
      <w:r w:rsidRPr="00CB5CB5">
        <w:rPr>
          <w:rFonts w:ascii="Times New Roman" w:hAnsi="Times New Roman"/>
          <w:sz w:val="24"/>
          <w:lang w:eastAsia="en-AU"/>
        </w:rPr>
        <w:tab/>
        <w:t xml:space="preserve">‘holder of a casino licence’ means a person who holds a casino licence or equivalent issued by one or more Australian State or Territory, which allows the casino licence holder to operate a casino under the legislation of the relevant Australian State or Territory. </w:t>
      </w:r>
    </w:p>
    <w:p w14:paraId="7E2167EF" w14:textId="77777777" w:rsidR="00CB5CB5" w:rsidRPr="00CB5CB5" w:rsidRDefault="00CB5CB5" w:rsidP="00CB5CB5">
      <w:pPr>
        <w:spacing w:before="240" w:after="240"/>
        <w:ind w:left="709" w:hanging="709"/>
        <w:rPr>
          <w:rFonts w:ascii="Times New Roman" w:hAnsi="Times New Roman"/>
          <w:i/>
          <w:sz w:val="24"/>
          <w:lang w:eastAsia="en-AU"/>
        </w:rPr>
      </w:pPr>
      <w:r w:rsidRPr="00CB5CB5">
        <w:rPr>
          <w:rFonts w:ascii="Times New Roman" w:hAnsi="Times New Roman"/>
          <w:i/>
          <w:sz w:val="24"/>
          <w:lang w:eastAsia="en-AU"/>
        </w:rPr>
        <w:t>Note:</w:t>
      </w:r>
      <w:r w:rsidRPr="00CB5CB5">
        <w:rPr>
          <w:rFonts w:ascii="Times New Roman" w:hAnsi="Times New Roman"/>
          <w:i/>
          <w:sz w:val="24"/>
          <w:lang w:eastAsia="en-AU"/>
        </w:rPr>
        <w:tab/>
        <w:t xml:space="preserve">The exemption from applying for registration does not exempt the reporting entity from any other obligation imposed by the AML/CTF Act, including the reporting obligations specified in Part 3 of that Act.  </w:t>
      </w:r>
    </w:p>
    <w:p w14:paraId="629D3701" w14:textId="77777777" w:rsidR="00CB5CB5" w:rsidRPr="00CB5CB5" w:rsidRDefault="00CB5CB5" w:rsidP="00CB5CB5">
      <w:pPr>
        <w:spacing w:before="240" w:after="240"/>
        <w:ind w:left="709" w:hanging="709"/>
        <w:rPr>
          <w:rFonts w:ascii="Times New Roman" w:hAnsi="Times New Roman"/>
          <w:i/>
          <w:sz w:val="24"/>
          <w:lang w:eastAsia="en-AU"/>
        </w:rPr>
      </w:pPr>
    </w:p>
    <w:p w14:paraId="445412E1" w14:textId="77777777" w:rsidR="00CB5CB5" w:rsidRPr="00CB5CB5" w:rsidRDefault="00CB5CB5" w:rsidP="00CB5CB5">
      <w:pPr>
        <w:spacing w:before="240" w:after="240"/>
        <w:rPr>
          <w:rFonts w:ascii="Times New Roman" w:hAnsi="Times New Roman"/>
          <w:sz w:val="24"/>
          <w:lang w:eastAsia="en-AU"/>
        </w:rPr>
      </w:pPr>
      <w:r w:rsidRPr="00CB5CB5">
        <w:rPr>
          <w:rFonts w:ascii="Times New Roman" w:hAnsi="Times New Roman"/>
          <w:i/>
          <w:iCs/>
          <w:sz w:val="24"/>
          <w:lang w:eastAsia="en-AU"/>
        </w:rPr>
        <w:lastRenderedPageBreak/>
        <w:t>Reporting entities should note that in relation to activities they undertake to comply with the AML/CTF Act, they will have obligations under the Privacy Act 1988, including the requirement to comply with the National Privacy Principles, even if they would otherwise be exempt from the Privacy Act.  For further information about these obligations, please go to http://www.oaic.gov.au or call 1300 363 992</w:t>
      </w:r>
      <w:r w:rsidRPr="00CB5CB5">
        <w:rPr>
          <w:rFonts w:ascii="Times New Roman" w:hAnsi="Times New Roman"/>
          <w:iCs/>
          <w:sz w:val="24"/>
          <w:lang w:eastAsia="en-AU"/>
        </w:rPr>
        <w:t>.</w:t>
      </w:r>
    </w:p>
    <w:p w14:paraId="686522B1" w14:textId="77777777" w:rsidR="002D78EB" w:rsidRPr="00BB5D61" w:rsidRDefault="002D78EB" w:rsidP="00A83F04">
      <w:pPr>
        <w:rPr>
          <w:rFonts w:ascii="Times New Roman" w:hAnsi="Times New Roman"/>
          <w:sz w:val="24"/>
        </w:rPr>
      </w:pPr>
    </w:p>
    <w:sectPr w:rsidR="002D78EB" w:rsidRPr="00BB5D61">
      <w:footerReference w:type="even"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2485F" w14:textId="77777777" w:rsidR="003B1BF2" w:rsidRDefault="003B1BF2">
      <w:r>
        <w:separator/>
      </w:r>
    </w:p>
  </w:endnote>
  <w:endnote w:type="continuationSeparator" w:id="0">
    <w:p w14:paraId="71D3435E" w14:textId="77777777" w:rsidR="003B1BF2" w:rsidRDefault="003B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067F5" w14:textId="77777777" w:rsidR="0011626F" w:rsidRDefault="0011626F" w:rsidP="00BB2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112D8" w14:textId="77777777" w:rsidR="0011626F" w:rsidRDefault="00116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0C3B0" w14:textId="77777777" w:rsidR="003B1BF2" w:rsidRDefault="003B1BF2">
      <w:r>
        <w:separator/>
      </w:r>
    </w:p>
  </w:footnote>
  <w:footnote w:type="continuationSeparator" w:id="0">
    <w:p w14:paraId="1B284A95" w14:textId="77777777" w:rsidR="003B1BF2" w:rsidRDefault="003B1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1F69"/>
    <w:multiLevelType w:val="multilevel"/>
    <w:tmpl w:val="6A96820A"/>
    <w:lvl w:ilvl="0">
      <w:start w:val="5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70127B4"/>
    <w:multiLevelType w:val="multilevel"/>
    <w:tmpl w:val="96F6F2BA"/>
    <w:lvl w:ilvl="0">
      <w:start w:val="56"/>
      <w:numFmt w:val="decimal"/>
      <w:lvlText w:val="%1."/>
      <w:lvlJc w:val="left"/>
      <w:pPr>
        <w:tabs>
          <w:tab w:val="num" w:pos="720"/>
        </w:tabs>
        <w:ind w:left="720" w:hanging="720"/>
      </w:pPr>
      <w:rPr>
        <w:rFonts w:hint="default"/>
      </w:rPr>
    </w:lvl>
    <w:lvl w:ilvl="1">
      <w:start w:val="8"/>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
    <w:nsid w:val="785C3627"/>
    <w:multiLevelType w:val="hybridMultilevel"/>
    <w:tmpl w:val="D78A6CEE"/>
    <w:lvl w:ilvl="0" w:tplc="D16CA484">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48C"/>
    <w:rsid w:val="00017529"/>
    <w:rsid w:val="00022369"/>
    <w:rsid w:val="00035795"/>
    <w:rsid w:val="00045CAC"/>
    <w:rsid w:val="00050BBC"/>
    <w:rsid w:val="00070A22"/>
    <w:rsid w:val="00070F6B"/>
    <w:rsid w:val="0007130E"/>
    <w:rsid w:val="000E34BB"/>
    <w:rsid w:val="000F099B"/>
    <w:rsid w:val="00103423"/>
    <w:rsid w:val="0011626F"/>
    <w:rsid w:val="0013407F"/>
    <w:rsid w:val="00163B57"/>
    <w:rsid w:val="00184BEF"/>
    <w:rsid w:val="001C32E7"/>
    <w:rsid w:val="001C33B8"/>
    <w:rsid w:val="001D2F0F"/>
    <w:rsid w:val="001D3559"/>
    <w:rsid w:val="001D4663"/>
    <w:rsid w:val="001D5A1B"/>
    <w:rsid w:val="001D7F89"/>
    <w:rsid w:val="0020108E"/>
    <w:rsid w:val="00214A61"/>
    <w:rsid w:val="00217571"/>
    <w:rsid w:val="00264B18"/>
    <w:rsid w:val="00274D66"/>
    <w:rsid w:val="00275E1D"/>
    <w:rsid w:val="002852AB"/>
    <w:rsid w:val="002964CD"/>
    <w:rsid w:val="002977DE"/>
    <w:rsid w:val="002B0655"/>
    <w:rsid w:val="002B5433"/>
    <w:rsid w:val="002C0641"/>
    <w:rsid w:val="002D78EB"/>
    <w:rsid w:val="002E58EA"/>
    <w:rsid w:val="002E71B5"/>
    <w:rsid w:val="00321772"/>
    <w:rsid w:val="00341BAB"/>
    <w:rsid w:val="00363AB7"/>
    <w:rsid w:val="00365CB9"/>
    <w:rsid w:val="003668AA"/>
    <w:rsid w:val="00366967"/>
    <w:rsid w:val="00375109"/>
    <w:rsid w:val="003A18FA"/>
    <w:rsid w:val="003A66A4"/>
    <w:rsid w:val="003A73B8"/>
    <w:rsid w:val="003B1BF2"/>
    <w:rsid w:val="003B3146"/>
    <w:rsid w:val="003B75A5"/>
    <w:rsid w:val="003D0F6D"/>
    <w:rsid w:val="003D28D0"/>
    <w:rsid w:val="003D68A3"/>
    <w:rsid w:val="003D75D9"/>
    <w:rsid w:val="003F457A"/>
    <w:rsid w:val="00417570"/>
    <w:rsid w:val="004462C1"/>
    <w:rsid w:val="004504EF"/>
    <w:rsid w:val="004730BC"/>
    <w:rsid w:val="0048071F"/>
    <w:rsid w:val="004939B4"/>
    <w:rsid w:val="004958AE"/>
    <w:rsid w:val="004B413A"/>
    <w:rsid w:val="004F1456"/>
    <w:rsid w:val="004F4211"/>
    <w:rsid w:val="0050472C"/>
    <w:rsid w:val="0050597A"/>
    <w:rsid w:val="005102D2"/>
    <w:rsid w:val="005108AB"/>
    <w:rsid w:val="00544CEE"/>
    <w:rsid w:val="005555BF"/>
    <w:rsid w:val="00574CC6"/>
    <w:rsid w:val="0057667B"/>
    <w:rsid w:val="00583C81"/>
    <w:rsid w:val="005A1C38"/>
    <w:rsid w:val="005B35F7"/>
    <w:rsid w:val="005D67E7"/>
    <w:rsid w:val="005E1234"/>
    <w:rsid w:val="006474D5"/>
    <w:rsid w:val="006527F4"/>
    <w:rsid w:val="0067324D"/>
    <w:rsid w:val="006757A9"/>
    <w:rsid w:val="006A09D2"/>
    <w:rsid w:val="006B2BB5"/>
    <w:rsid w:val="006C1956"/>
    <w:rsid w:val="006C3D3E"/>
    <w:rsid w:val="006F1CDD"/>
    <w:rsid w:val="00700909"/>
    <w:rsid w:val="00700F86"/>
    <w:rsid w:val="00716D49"/>
    <w:rsid w:val="0072041B"/>
    <w:rsid w:val="00723EF7"/>
    <w:rsid w:val="007355B8"/>
    <w:rsid w:val="007A6A32"/>
    <w:rsid w:val="007C52B3"/>
    <w:rsid w:val="00801DB8"/>
    <w:rsid w:val="008118FB"/>
    <w:rsid w:val="008414E4"/>
    <w:rsid w:val="00852922"/>
    <w:rsid w:val="008557BF"/>
    <w:rsid w:val="00866B83"/>
    <w:rsid w:val="00867F19"/>
    <w:rsid w:val="00871E06"/>
    <w:rsid w:val="008929D0"/>
    <w:rsid w:val="00894989"/>
    <w:rsid w:val="00897093"/>
    <w:rsid w:val="008A43B5"/>
    <w:rsid w:val="008D02C0"/>
    <w:rsid w:val="008E0F40"/>
    <w:rsid w:val="008F6EB6"/>
    <w:rsid w:val="00901C40"/>
    <w:rsid w:val="00910FCF"/>
    <w:rsid w:val="00914830"/>
    <w:rsid w:val="009462DF"/>
    <w:rsid w:val="00965FE9"/>
    <w:rsid w:val="00972BDA"/>
    <w:rsid w:val="0098564C"/>
    <w:rsid w:val="00994489"/>
    <w:rsid w:val="009970DE"/>
    <w:rsid w:val="009B410D"/>
    <w:rsid w:val="009C78E0"/>
    <w:rsid w:val="009D7365"/>
    <w:rsid w:val="009E26E1"/>
    <w:rsid w:val="009F2B6D"/>
    <w:rsid w:val="009F4E39"/>
    <w:rsid w:val="00A029D1"/>
    <w:rsid w:val="00A17D5E"/>
    <w:rsid w:val="00A25847"/>
    <w:rsid w:val="00A46ABA"/>
    <w:rsid w:val="00A70CE1"/>
    <w:rsid w:val="00A83F04"/>
    <w:rsid w:val="00A853A0"/>
    <w:rsid w:val="00AB652E"/>
    <w:rsid w:val="00AD083A"/>
    <w:rsid w:val="00AE09A2"/>
    <w:rsid w:val="00B10940"/>
    <w:rsid w:val="00B130FC"/>
    <w:rsid w:val="00B16A75"/>
    <w:rsid w:val="00B20C44"/>
    <w:rsid w:val="00B32058"/>
    <w:rsid w:val="00B34EC8"/>
    <w:rsid w:val="00B407E4"/>
    <w:rsid w:val="00B47DE0"/>
    <w:rsid w:val="00B65864"/>
    <w:rsid w:val="00B804DA"/>
    <w:rsid w:val="00BA3F37"/>
    <w:rsid w:val="00BA61D4"/>
    <w:rsid w:val="00BB1856"/>
    <w:rsid w:val="00BB248C"/>
    <w:rsid w:val="00BB33DF"/>
    <w:rsid w:val="00BB4499"/>
    <w:rsid w:val="00BB59F1"/>
    <w:rsid w:val="00BB5D61"/>
    <w:rsid w:val="00BC7815"/>
    <w:rsid w:val="00BD45F8"/>
    <w:rsid w:val="00BD697E"/>
    <w:rsid w:val="00C1053A"/>
    <w:rsid w:val="00C14D5F"/>
    <w:rsid w:val="00C67996"/>
    <w:rsid w:val="00C7693E"/>
    <w:rsid w:val="00C903F4"/>
    <w:rsid w:val="00C92E0E"/>
    <w:rsid w:val="00CB5CB5"/>
    <w:rsid w:val="00CC6F0E"/>
    <w:rsid w:val="00CF3985"/>
    <w:rsid w:val="00D13DE2"/>
    <w:rsid w:val="00D41126"/>
    <w:rsid w:val="00D54925"/>
    <w:rsid w:val="00D62575"/>
    <w:rsid w:val="00D70867"/>
    <w:rsid w:val="00D80A79"/>
    <w:rsid w:val="00DA57E6"/>
    <w:rsid w:val="00DC4A61"/>
    <w:rsid w:val="00E0328A"/>
    <w:rsid w:val="00E03DA8"/>
    <w:rsid w:val="00E3509B"/>
    <w:rsid w:val="00E55EC8"/>
    <w:rsid w:val="00EA1966"/>
    <w:rsid w:val="00ED1248"/>
    <w:rsid w:val="00EE7361"/>
    <w:rsid w:val="00EE73D5"/>
    <w:rsid w:val="00EF20CE"/>
    <w:rsid w:val="00F359C8"/>
    <w:rsid w:val="00F41D17"/>
    <w:rsid w:val="00F510F2"/>
    <w:rsid w:val="00F55F47"/>
    <w:rsid w:val="00F566CC"/>
    <w:rsid w:val="00F8508D"/>
    <w:rsid w:val="00FA45DE"/>
    <w:rsid w:val="00FA4B44"/>
    <w:rsid w:val="00FB5E76"/>
    <w:rsid w:val="00FE7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78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48C"/>
    <w:rPr>
      <w:rFonts w:ascii="CG Omega" w:hAnsi="CG Omega"/>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248C"/>
    <w:pPr>
      <w:tabs>
        <w:tab w:val="center" w:pos="4153"/>
        <w:tab w:val="right" w:pos="8306"/>
      </w:tabs>
    </w:pPr>
  </w:style>
  <w:style w:type="character" w:styleId="PageNumber">
    <w:name w:val="page number"/>
    <w:basedOn w:val="DefaultParagraphFont"/>
    <w:rsid w:val="00BB248C"/>
  </w:style>
  <w:style w:type="paragraph" w:customStyle="1" w:styleId="paragraph">
    <w:name w:val="paragraph"/>
    <w:aliases w:val="a"/>
    <w:rsid w:val="00BB248C"/>
    <w:pPr>
      <w:tabs>
        <w:tab w:val="right" w:pos="1531"/>
      </w:tabs>
      <w:spacing w:before="40"/>
      <w:ind w:left="1644" w:hanging="1644"/>
    </w:pPr>
    <w:rPr>
      <w:sz w:val="22"/>
      <w:szCs w:val="24"/>
    </w:rPr>
  </w:style>
  <w:style w:type="paragraph" w:styleId="Title">
    <w:name w:val="Title"/>
    <w:basedOn w:val="Normal"/>
    <w:next w:val="Normal"/>
    <w:qFormat/>
    <w:rsid w:val="00BB248C"/>
    <w:pPr>
      <w:spacing w:before="480"/>
    </w:pPr>
    <w:rPr>
      <w:rFonts w:ascii="Arial" w:hAnsi="Arial" w:cs="Arial"/>
      <w:b/>
      <w:bCs/>
      <w:sz w:val="40"/>
      <w:szCs w:val="40"/>
      <w:lang w:eastAsia="en-AU"/>
    </w:rPr>
  </w:style>
  <w:style w:type="paragraph" w:customStyle="1" w:styleId="HR">
    <w:name w:val="HR"/>
    <w:aliases w:val="Regulation Heading"/>
    <w:basedOn w:val="Normal"/>
    <w:next w:val="R1"/>
    <w:rsid w:val="00BB248C"/>
    <w:pPr>
      <w:keepNext/>
      <w:spacing w:before="360"/>
      <w:ind w:left="964" w:hanging="964"/>
    </w:pPr>
    <w:rPr>
      <w:rFonts w:ascii="Arial" w:hAnsi="Arial"/>
      <w:b/>
      <w:sz w:val="24"/>
      <w:lang w:eastAsia="en-AU"/>
    </w:rPr>
  </w:style>
  <w:style w:type="paragraph" w:customStyle="1" w:styleId="R1">
    <w:name w:val="R1"/>
    <w:aliases w:val="1. or 1.(1)"/>
    <w:basedOn w:val="Normal"/>
    <w:next w:val="Normal"/>
    <w:rsid w:val="00BB248C"/>
    <w:pPr>
      <w:keepLines/>
      <w:tabs>
        <w:tab w:val="right" w:pos="794"/>
      </w:tabs>
      <w:spacing w:before="120" w:line="260" w:lineRule="exact"/>
      <w:ind w:left="964" w:hanging="964"/>
      <w:jc w:val="both"/>
    </w:pPr>
    <w:rPr>
      <w:rFonts w:ascii="Times New Roman" w:hAnsi="Times New Roman"/>
      <w:sz w:val="24"/>
      <w:lang w:eastAsia="en-AU"/>
    </w:rPr>
  </w:style>
  <w:style w:type="paragraph" w:customStyle="1" w:styleId="AS">
    <w:name w:val="AS"/>
    <w:aliases w:val="Schedule title Amendment"/>
    <w:basedOn w:val="Normal"/>
    <w:next w:val="Normal"/>
    <w:rsid w:val="00BB248C"/>
    <w:pPr>
      <w:keepNext/>
      <w:spacing w:before="480"/>
      <w:ind w:left="2410" w:hanging="2410"/>
    </w:pPr>
    <w:rPr>
      <w:rFonts w:ascii="Arial" w:hAnsi="Arial"/>
      <w:b/>
      <w:sz w:val="32"/>
    </w:rPr>
  </w:style>
  <w:style w:type="paragraph" w:customStyle="1" w:styleId="Default">
    <w:name w:val="Default"/>
    <w:rsid w:val="00BB248C"/>
    <w:pPr>
      <w:autoSpaceDE w:val="0"/>
      <w:autoSpaceDN w:val="0"/>
      <w:adjustRightInd w:val="0"/>
    </w:pPr>
    <w:rPr>
      <w:color w:val="000000"/>
      <w:sz w:val="24"/>
      <w:szCs w:val="24"/>
    </w:rPr>
  </w:style>
  <w:style w:type="paragraph" w:customStyle="1" w:styleId="NormalWeb1">
    <w:name w:val="Normal (Web)1"/>
    <w:basedOn w:val="Normal"/>
    <w:rsid w:val="00BB248C"/>
    <w:rPr>
      <w:rFonts w:ascii="Times New Roman" w:hAnsi="Times New Roman"/>
      <w:sz w:val="24"/>
      <w:lang w:eastAsia="en-AU"/>
    </w:rPr>
  </w:style>
  <w:style w:type="paragraph" w:customStyle="1" w:styleId="Normal1">
    <w:name w:val="Normal1"/>
    <w:basedOn w:val="Normal"/>
    <w:rsid w:val="00BB248C"/>
    <w:rPr>
      <w:rFonts w:ascii="Times New Roman" w:hAnsi="Times New Roman"/>
      <w:sz w:val="24"/>
      <w:lang w:eastAsia="en-AU"/>
    </w:rPr>
  </w:style>
  <w:style w:type="character" w:styleId="CommentReference">
    <w:name w:val="annotation reference"/>
    <w:uiPriority w:val="99"/>
    <w:semiHidden/>
    <w:rsid w:val="004504EF"/>
    <w:rPr>
      <w:sz w:val="16"/>
      <w:szCs w:val="16"/>
    </w:rPr>
  </w:style>
  <w:style w:type="paragraph" w:styleId="CommentText">
    <w:name w:val="annotation text"/>
    <w:basedOn w:val="Normal"/>
    <w:link w:val="CommentTextChar"/>
    <w:uiPriority w:val="99"/>
    <w:semiHidden/>
    <w:rsid w:val="004504EF"/>
    <w:rPr>
      <w:sz w:val="20"/>
      <w:szCs w:val="20"/>
    </w:rPr>
  </w:style>
  <w:style w:type="paragraph" w:styleId="CommentSubject">
    <w:name w:val="annotation subject"/>
    <w:basedOn w:val="CommentText"/>
    <w:next w:val="CommentText"/>
    <w:semiHidden/>
    <w:rsid w:val="004504EF"/>
    <w:rPr>
      <w:b/>
      <w:bCs/>
    </w:rPr>
  </w:style>
  <w:style w:type="paragraph" w:styleId="BalloonText">
    <w:name w:val="Balloon Text"/>
    <w:basedOn w:val="Normal"/>
    <w:semiHidden/>
    <w:rsid w:val="004504EF"/>
    <w:rPr>
      <w:rFonts w:ascii="Tahoma" w:hAnsi="Tahoma" w:cs="Tahoma"/>
      <w:sz w:val="16"/>
      <w:szCs w:val="16"/>
    </w:rPr>
  </w:style>
  <w:style w:type="character" w:customStyle="1" w:styleId="CharPartNo">
    <w:name w:val="CharPartNo"/>
    <w:basedOn w:val="DefaultParagraphFont"/>
    <w:rsid w:val="00700F86"/>
  </w:style>
  <w:style w:type="paragraph" w:customStyle="1" w:styleId="HP">
    <w:name w:val="HP"/>
    <w:aliases w:val="Part Heading"/>
    <w:basedOn w:val="Normal"/>
    <w:next w:val="Normal"/>
    <w:rsid w:val="00700F86"/>
    <w:pPr>
      <w:keepNext/>
      <w:spacing w:before="360"/>
      <w:ind w:left="2410" w:hanging="2410"/>
    </w:pPr>
    <w:rPr>
      <w:rFonts w:ascii="Arial" w:hAnsi="Arial"/>
      <w:b/>
      <w:sz w:val="32"/>
    </w:rPr>
  </w:style>
  <w:style w:type="character" w:customStyle="1" w:styleId="CharPartText">
    <w:name w:val="CharPartText"/>
    <w:basedOn w:val="DefaultParagraphFont"/>
    <w:rsid w:val="00897093"/>
  </w:style>
  <w:style w:type="character" w:styleId="Hyperlink">
    <w:name w:val="Hyperlink"/>
    <w:rsid w:val="00897093"/>
    <w:rPr>
      <w:color w:val="0000FF"/>
      <w:u w:val="single"/>
    </w:rPr>
  </w:style>
  <w:style w:type="paragraph" w:customStyle="1" w:styleId="default0">
    <w:name w:val="default"/>
    <w:basedOn w:val="Normal"/>
    <w:rsid w:val="00AD083A"/>
    <w:pPr>
      <w:spacing w:before="100" w:beforeAutospacing="1" w:after="100" w:afterAutospacing="1"/>
    </w:pPr>
    <w:rPr>
      <w:rFonts w:ascii="Times New Roman" w:hAnsi="Times New Roman"/>
      <w:sz w:val="24"/>
      <w:lang w:eastAsia="en-AU"/>
    </w:rPr>
  </w:style>
  <w:style w:type="paragraph" w:styleId="Header">
    <w:name w:val="header"/>
    <w:aliases w:val="h"/>
    <w:basedOn w:val="Normal"/>
    <w:link w:val="HeaderChar"/>
    <w:rsid w:val="006B2BB5"/>
    <w:pPr>
      <w:tabs>
        <w:tab w:val="center" w:pos="4153"/>
        <w:tab w:val="right" w:pos="8306"/>
      </w:tabs>
    </w:pPr>
    <w:rPr>
      <w:rFonts w:ascii="Arial" w:hAnsi="Arial"/>
      <w:sz w:val="16"/>
      <w:lang w:eastAsia="en-AU"/>
    </w:rPr>
  </w:style>
  <w:style w:type="character" w:customStyle="1" w:styleId="HeaderChar">
    <w:name w:val="Header Char"/>
    <w:aliases w:val="h Char"/>
    <w:link w:val="Header"/>
    <w:rsid w:val="006B2BB5"/>
    <w:rPr>
      <w:rFonts w:ascii="Arial" w:hAnsi="Arial"/>
      <w:sz w:val="16"/>
      <w:szCs w:val="24"/>
    </w:rPr>
  </w:style>
  <w:style w:type="character" w:customStyle="1" w:styleId="CharDivNo">
    <w:name w:val="CharDivNo"/>
    <w:rsid w:val="006B2BB5"/>
  </w:style>
  <w:style w:type="character" w:customStyle="1" w:styleId="CharDivText">
    <w:name w:val="CharDivText"/>
    <w:rsid w:val="006B2BB5"/>
  </w:style>
  <w:style w:type="paragraph" w:customStyle="1" w:styleId="Paragraph0">
    <w:name w:val="Paragraph"/>
    <w:basedOn w:val="Normal"/>
    <w:rsid w:val="006B2BB5"/>
    <w:pPr>
      <w:numPr>
        <w:ilvl w:val="12"/>
      </w:numPr>
      <w:spacing w:before="240"/>
    </w:pPr>
    <w:rPr>
      <w:rFonts w:ascii="Times New Roman" w:hAnsi="Times New Roman"/>
      <w:sz w:val="24"/>
      <w:szCs w:val="20"/>
      <w:lang w:eastAsia="en-AU"/>
    </w:rPr>
  </w:style>
  <w:style w:type="character" w:customStyle="1" w:styleId="CommentTextChar">
    <w:name w:val="Comment Text Char"/>
    <w:link w:val="CommentText"/>
    <w:uiPriority w:val="99"/>
    <w:semiHidden/>
    <w:rsid w:val="006B2BB5"/>
    <w:rPr>
      <w:rFonts w:ascii="CG Omega" w:hAnsi="CG Omeg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263761">
      <w:bodyDiv w:val="1"/>
      <w:marLeft w:val="0"/>
      <w:marRight w:val="0"/>
      <w:marTop w:val="0"/>
      <w:marBottom w:val="0"/>
      <w:divBdr>
        <w:top w:val="none" w:sz="0" w:space="0" w:color="auto"/>
        <w:left w:val="none" w:sz="0" w:space="0" w:color="auto"/>
        <w:bottom w:val="none" w:sz="0" w:space="0" w:color="auto"/>
        <w:right w:val="none" w:sz="0" w:space="0" w:color="auto"/>
      </w:divBdr>
      <w:divsChild>
        <w:div w:id="1465731401">
          <w:marLeft w:val="0"/>
          <w:marRight w:val="0"/>
          <w:marTop w:val="0"/>
          <w:marBottom w:val="0"/>
          <w:divBdr>
            <w:top w:val="single" w:sz="6" w:space="20" w:color="DDDDDD"/>
            <w:left w:val="none" w:sz="0" w:space="0" w:color="auto"/>
            <w:bottom w:val="single" w:sz="6" w:space="31" w:color="C8C8C8"/>
            <w:right w:val="none" w:sz="0" w:space="0" w:color="auto"/>
          </w:divBdr>
          <w:divsChild>
            <w:div w:id="786656055">
              <w:marLeft w:val="0"/>
              <w:marRight w:val="0"/>
              <w:marTop w:val="0"/>
              <w:marBottom w:val="0"/>
              <w:divBdr>
                <w:top w:val="none" w:sz="0" w:space="0" w:color="auto"/>
                <w:left w:val="none" w:sz="0" w:space="0" w:color="auto"/>
                <w:bottom w:val="none" w:sz="0" w:space="0" w:color="auto"/>
                <w:right w:val="none" w:sz="0" w:space="0" w:color="auto"/>
              </w:divBdr>
              <w:divsChild>
                <w:div w:id="1953047716">
                  <w:marLeft w:val="150"/>
                  <w:marRight w:val="150"/>
                  <w:marTop w:val="0"/>
                  <w:marBottom w:val="0"/>
                  <w:divBdr>
                    <w:top w:val="none" w:sz="0" w:space="0" w:color="auto"/>
                    <w:left w:val="none" w:sz="0" w:space="0" w:color="auto"/>
                    <w:bottom w:val="none" w:sz="0" w:space="0" w:color="auto"/>
                    <w:right w:val="none" w:sz="0" w:space="0" w:color="auto"/>
                  </w:divBdr>
                  <w:divsChild>
                    <w:div w:id="709840788">
                      <w:marLeft w:val="0"/>
                      <w:marRight w:val="0"/>
                      <w:marTop w:val="0"/>
                      <w:marBottom w:val="0"/>
                      <w:divBdr>
                        <w:top w:val="none" w:sz="0" w:space="0" w:color="auto"/>
                        <w:left w:val="none" w:sz="0" w:space="0" w:color="auto"/>
                        <w:bottom w:val="none" w:sz="0" w:space="0" w:color="auto"/>
                        <w:right w:val="none" w:sz="0" w:space="0" w:color="auto"/>
                      </w:divBdr>
                      <w:divsChild>
                        <w:div w:id="852842324">
                          <w:marLeft w:val="0"/>
                          <w:marRight w:val="0"/>
                          <w:marTop w:val="0"/>
                          <w:marBottom w:val="0"/>
                          <w:divBdr>
                            <w:top w:val="none" w:sz="0" w:space="0" w:color="auto"/>
                            <w:left w:val="none" w:sz="0" w:space="0" w:color="auto"/>
                            <w:bottom w:val="none" w:sz="0" w:space="0" w:color="auto"/>
                            <w:right w:val="none" w:sz="0" w:space="0" w:color="auto"/>
                          </w:divBdr>
                        </w:div>
                        <w:div w:id="14478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535</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AUSTRAC</Company>
  <LinksUpToDate>false</LinksUpToDate>
  <CharactersWithSpaces>3549</CharactersWithSpaces>
  <SharedDoc>false</SharedDoc>
  <HLinks>
    <vt:vector size="6" baseType="variant">
      <vt:variant>
        <vt:i4>3014702</vt:i4>
      </vt:variant>
      <vt:variant>
        <vt:i4>0</vt:i4>
      </vt:variant>
      <vt:variant>
        <vt:i4>0</vt:i4>
      </vt:variant>
      <vt:variant>
        <vt:i4>5</vt:i4>
      </vt:variant>
      <vt:variant>
        <vt:lpwstr>http://www.crimtrac.gov.au/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pjohns</dc:creator>
  <cp:keywords/>
  <dc:description/>
  <cp:lastModifiedBy>Andrew Fernbach</cp:lastModifiedBy>
  <cp:revision>3</cp:revision>
  <cp:lastPrinted>2014-01-21T05:20:00Z</cp:lastPrinted>
  <dcterms:created xsi:type="dcterms:W3CDTF">2014-01-21T05:21:00Z</dcterms:created>
  <dcterms:modified xsi:type="dcterms:W3CDTF">2014-01-21T05:56:00Z</dcterms:modified>
</cp:coreProperties>
</file>