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 xml:space="preserve">Marine Order </w:t>
      </w:r>
      <w:r w:rsidR="0058458E">
        <w:t>94</w:t>
      </w:r>
      <w:r w:rsidR="004D4D2E">
        <w:t xml:space="preserve"> (Marine pollution prevention — packaged harmful substances</w:t>
      </w:r>
      <w:r>
        <w:t>) 201</w:t>
      </w:r>
      <w:r w:rsidR="004D4D2E">
        <w:t>4</w:t>
      </w:r>
      <w:r>
        <w:t xml:space="preserve"> </w:t>
      </w:r>
      <w:r w:rsidR="00506142">
        <w:t xml:space="preserve">(Order </w:t>
      </w:r>
      <w:r w:rsidR="006E2A8C">
        <w:t>201</w:t>
      </w:r>
      <w:r w:rsidR="004D4D2E">
        <w:t>4</w:t>
      </w:r>
      <w:r w:rsidR="00BA6239">
        <w:t>/</w:t>
      </w:r>
      <w:r w:rsidR="00FE3891">
        <w:t>1</w:t>
      </w:r>
      <w:bookmarkStart w:id="0" w:name="_GoBack"/>
      <w:bookmarkEnd w:id="0"/>
      <w:r w:rsidR="00BA6239">
        <w:t>)</w:t>
      </w:r>
    </w:p>
    <w:p w:rsidR="009B015D" w:rsidRDefault="009B015D" w:rsidP="009B015D">
      <w:pPr>
        <w:pStyle w:val="LDAmendHeading"/>
        <w:ind w:left="0" w:firstLine="0"/>
      </w:pPr>
      <w:r>
        <w:t>Authority</w:t>
      </w:r>
    </w:p>
    <w:p w:rsidR="003B7539" w:rsidRDefault="003B7539" w:rsidP="003B7539">
      <w:pPr>
        <w:pStyle w:val="LDMinuteParagraph"/>
        <w:tabs>
          <w:tab w:val="clear" w:pos="142"/>
        </w:tabs>
        <w:ind w:left="0"/>
      </w:pPr>
      <w:r>
        <w:t xml:space="preserve">This Order is made </w:t>
      </w:r>
      <w:r w:rsidRPr="0086462A">
        <w:t>under both</w:t>
      </w:r>
      <w:r>
        <w:t xml:space="preserve"> the </w:t>
      </w:r>
      <w:r w:rsidRPr="00D87760">
        <w:rPr>
          <w:i/>
        </w:rPr>
        <w:t>Navigation Act 2012</w:t>
      </w:r>
      <w:r>
        <w:t xml:space="preserve"> (the Navigation Act) and the </w:t>
      </w:r>
      <w:r>
        <w:rPr>
          <w:i/>
        </w:rPr>
        <w:t xml:space="preserve">Protection of the Sea (Prevention of Pollution from Ships) Act 1983 </w:t>
      </w:r>
      <w:r>
        <w:t xml:space="preserve">(the Pollution Prevention Act) and is a legislative instrument for the </w:t>
      </w:r>
      <w:r>
        <w:rPr>
          <w:i/>
        </w:rPr>
        <w:t>Legislative Instruments Act 2003</w:t>
      </w:r>
      <w:r>
        <w:t>.</w:t>
      </w:r>
    </w:p>
    <w:p w:rsidR="003B7539" w:rsidRDefault="003B7539" w:rsidP="003B7539">
      <w:pPr>
        <w:pStyle w:val="LDMinuteParagraph"/>
        <w:tabs>
          <w:tab w:val="clear" w:pos="142"/>
        </w:tabs>
        <w:ind w:left="0"/>
      </w:pPr>
      <w:r>
        <w:t>S</w:t>
      </w:r>
      <w:r w:rsidRPr="00276232">
        <w:t xml:space="preserve">ubsection 342(1) </w:t>
      </w:r>
      <w:r>
        <w:t>of the Navigation Act</w:t>
      </w:r>
      <w:r w:rsidRPr="00276232">
        <w:t xml:space="preserve"> </w:t>
      </w:r>
      <w:r>
        <w:t>allows the Australian Maritime Safety Authority</w:t>
      </w:r>
      <w:r w:rsidRPr="00276232">
        <w:t xml:space="preserve"> </w:t>
      </w:r>
      <w:r>
        <w:t>(</w:t>
      </w:r>
      <w:r w:rsidRPr="00276232">
        <w:t>AMSA</w:t>
      </w:r>
      <w:r>
        <w:t>)</w:t>
      </w:r>
      <w:r w:rsidRPr="00276232">
        <w:t xml:space="preserve"> </w:t>
      </w:r>
      <w:r>
        <w:t>to</w:t>
      </w:r>
      <w:r w:rsidRPr="00276232">
        <w:t xml:space="preserve"> make orders </w:t>
      </w:r>
      <w:r>
        <w:t>about</w:t>
      </w:r>
      <w:r w:rsidRPr="00276232">
        <w:t xml:space="preserve"> matter</w:t>
      </w:r>
      <w:r>
        <w:t>s</w:t>
      </w:r>
      <w:r w:rsidRPr="00276232">
        <w:t xml:space="preserve"> </w:t>
      </w:r>
      <w:r>
        <w:t>that can be provided for</w:t>
      </w:r>
      <w:r w:rsidRPr="00276232">
        <w:t xml:space="preserve"> by regulation</w:t>
      </w:r>
      <w:r>
        <w:t>s.</w:t>
      </w:r>
      <w:r w:rsidRPr="00D87760">
        <w:rPr>
          <w:b/>
          <w:bCs/>
        </w:rPr>
        <w:t xml:space="preserve"> </w:t>
      </w:r>
      <w:r>
        <w:rPr>
          <w:b/>
          <w:bCs/>
        </w:rPr>
        <w:t>S</w:t>
      </w:r>
      <w:r w:rsidRPr="006B135D">
        <w:t xml:space="preserve">ubsection 34(1) </w:t>
      </w:r>
      <w:r>
        <w:t>of the Pollution Prevention Act</w:t>
      </w:r>
      <w:r w:rsidRPr="006B135D">
        <w:t xml:space="preserve"> </w:t>
      </w:r>
      <w:r>
        <w:t>allows</w:t>
      </w:r>
      <w:r w:rsidRPr="006B135D">
        <w:t xml:space="preserve"> AMSA </w:t>
      </w:r>
      <w:r>
        <w:t>to</w:t>
      </w:r>
      <w:r w:rsidRPr="006B135D">
        <w:t xml:space="preserve"> make orders for </w:t>
      </w:r>
      <w:r>
        <w:t>any</w:t>
      </w:r>
      <w:r w:rsidRPr="006B135D">
        <w:t xml:space="preserve"> matter (other than the imposition of penalties) for which provision may be made by regulation.</w:t>
      </w:r>
    </w:p>
    <w:p w:rsidR="003B7539" w:rsidRDefault="003B7539" w:rsidP="003B7539">
      <w:pPr>
        <w:pStyle w:val="LDMinuteParagraph"/>
        <w:tabs>
          <w:tab w:val="clear" w:pos="142"/>
        </w:tabs>
        <w:ind w:left="0"/>
      </w:pPr>
      <w:r>
        <w:t>S</w:t>
      </w:r>
      <w:r w:rsidRPr="006B135D">
        <w:t xml:space="preserve">ubsection 339(1) </w:t>
      </w:r>
      <w:r>
        <w:t xml:space="preserve">of the Navigation Act </w:t>
      </w:r>
      <w:r w:rsidRPr="00C722FE">
        <w:t>authorises the Governor-General to make regulations necessary or convenient for carrying out or giving effect to the Navigation Act</w:t>
      </w:r>
      <w:r>
        <w:t>.</w:t>
      </w:r>
      <w:r>
        <w:rPr>
          <w:bCs/>
        </w:rPr>
        <w:t xml:space="preserve"> Paragraphs</w:t>
      </w:r>
      <w:r w:rsidRPr="006B135D">
        <w:t xml:space="preserve"> 33(1)</w:t>
      </w:r>
      <w:r>
        <w:t>(a) and (b) of the Pollution Prevention Act</w:t>
      </w:r>
      <w:r w:rsidRPr="006B135D">
        <w:rPr>
          <w:iCs/>
        </w:rPr>
        <w:t xml:space="preserve"> </w:t>
      </w:r>
      <w:r>
        <w:t>authorise</w:t>
      </w:r>
      <w:r w:rsidRPr="00C722FE">
        <w:t xml:space="preserve"> the Governor-General to make regulations necessary or convenient for carrying out or giving effect to </w:t>
      </w:r>
      <w:r>
        <w:t xml:space="preserve">the Pollution Prevention </w:t>
      </w:r>
      <w:r w:rsidRPr="006B135D">
        <w:t>Act</w:t>
      </w:r>
      <w:r>
        <w:t>.</w:t>
      </w:r>
    </w:p>
    <w:p w:rsidR="003B7539" w:rsidRDefault="003B7539" w:rsidP="003B7539">
      <w:pPr>
        <w:pStyle w:val="LDMinuteParagraph"/>
        <w:tabs>
          <w:tab w:val="clear" w:pos="142"/>
        </w:tabs>
        <w:ind w:left="0"/>
      </w:pPr>
      <w:r>
        <w:t>P</w:t>
      </w:r>
      <w:r w:rsidRPr="00D42AA6">
        <w:t xml:space="preserve">aragraph 340(1)(c) </w:t>
      </w:r>
      <w:r>
        <w:t>of the Navigation Act</w:t>
      </w:r>
      <w:r w:rsidRPr="00D42AA6">
        <w:t xml:space="preserve"> </w:t>
      </w:r>
      <w:r>
        <w:t>and paragraph 33(1)(c) of the Pollution Prevention Act provide</w:t>
      </w:r>
      <w:r w:rsidRPr="00D42AA6">
        <w:t xml:space="preserve"> </w:t>
      </w:r>
      <w:r>
        <w:t>that the</w:t>
      </w:r>
      <w:r w:rsidRPr="00D42AA6">
        <w:t xml:space="preserve"> regulations </w:t>
      </w:r>
      <w:r>
        <w:t>may provide for giving</w:t>
      </w:r>
      <w:r w:rsidRPr="00D42AA6">
        <w:t xml:space="preserve"> effect to </w:t>
      </w:r>
      <w:r>
        <w:t>the International Convention for the Prevention of Pollution from Ships (MARPOL).</w:t>
      </w:r>
    </w:p>
    <w:p w:rsidR="00FB71D1" w:rsidRPr="00B4479A" w:rsidRDefault="009B015D" w:rsidP="009B015D">
      <w:pPr>
        <w:pStyle w:val="LDAmendHeading"/>
        <w:ind w:left="0" w:firstLine="0"/>
      </w:pPr>
      <w:r>
        <w:t>Purpose</w:t>
      </w:r>
    </w:p>
    <w:p w:rsidR="009B015D" w:rsidRDefault="009B015D" w:rsidP="003B7539">
      <w:pPr>
        <w:pStyle w:val="LDMinuteParagraph"/>
        <w:tabs>
          <w:tab w:val="clear" w:pos="142"/>
        </w:tabs>
        <w:ind w:left="0"/>
      </w:pPr>
      <w:r>
        <w:t>This Order</w:t>
      </w:r>
      <w:r w:rsidR="00E22720">
        <w:t xml:space="preserve"> gives effect to Annex III of MARPOL and prescribes matters for Part IIIA of the Pollution Prevention Act. Annex III of MARPOL and Part IIIA of the Pollution Prevention Act both deal with the prevention of marine pollution by packaged harmful substances.</w:t>
      </w:r>
    </w:p>
    <w:p w:rsidR="009B015D" w:rsidRDefault="009B015D" w:rsidP="00BB6EA6">
      <w:pPr>
        <w:pStyle w:val="LDAmendHeading"/>
      </w:pPr>
      <w:r>
        <w:t>Overview</w:t>
      </w:r>
    </w:p>
    <w:p w:rsidR="009B015D" w:rsidRPr="00E1269E" w:rsidRDefault="00311909" w:rsidP="003B7539">
      <w:pPr>
        <w:pStyle w:val="LDMinuteParagraph"/>
        <w:tabs>
          <w:tab w:val="clear" w:pos="142"/>
        </w:tabs>
        <w:ind w:left="0"/>
      </w:pPr>
      <w:r>
        <w:t>This Order implements Australia’s obligations under Annex III of MARPOL which deals with prevention of marine pollution by harmful substances carried by sea in packaged form. The Order also prescribes matters for Part IIIA of the Pollution Prevention Act which deals with the p</w:t>
      </w:r>
      <w:r w:rsidR="00E1269E">
        <w:t xml:space="preserve">revention of pollution by </w:t>
      </w:r>
      <w:r>
        <w:t>packa</w:t>
      </w:r>
      <w:r w:rsidR="00E1269E">
        <w:t>g</w:t>
      </w:r>
      <w:r>
        <w:t xml:space="preserve">ed harmful substances. This Order replaces </w:t>
      </w:r>
      <w:r>
        <w:rPr>
          <w:i/>
        </w:rPr>
        <w:t>Marine Order 9</w:t>
      </w:r>
      <w:r w:rsidR="00E1269E">
        <w:rPr>
          <w:i/>
        </w:rPr>
        <w:t>4</w:t>
      </w:r>
      <w:r>
        <w:rPr>
          <w:i/>
        </w:rPr>
        <w:t xml:space="preserve"> (Marine pollution prevention — </w:t>
      </w:r>
      <w:r w:rsidR="00E1269E">
        <w:rPr>
          <w:i/>
        </w:rPr>
        <w:t>packaged harmful substances</w:t>
      </w:r>
      <w:r>
        <w:rPr>
          <w:i/>
        </w:rPr>
        <w:t>) 2009</w:t>
      </w:r>
      <w:r w:rsidRPr="007C7392">
        <w:rPr>
          <w:i/>
        </w:rPr>
        <w:t>.</w:t>
      </w:r>
    </w:p>
    <w:p w:rsidR="00E1269E" w:rsidRDefault="00E1269E" w:rsidP="003B7539">
      <w:pPr>
        <w:pStyle w:val="LDMinuteParagraph"/>
        <w:tabs>
          <w:tab w:val="clear" w:pos="142"/>
        </w:tabs>
        <w:ind w:left="0"/>
      </w:pPr>
      <w:r>
        <w:t>The Order requires compliance with the requirements of regulations 2 to 5 of Annex III which deal with packing, marking, labelling and stowage of packa</w:t>
      </w:r>
      <w:r w:rsidR="00E5785F">
        <w:t>ged harmful substances and the provision of</w:t>
      </w:r>
      <w:r>
        <w:t xml:space="preserve"> transport </w:t>
      </w:r>
      <w:r w:rsidR="00E5785F">
        <w:t>information</w:t>
      </w:r>
      <w:r>
        <w:t xml:space="preserve">, including the need to comply with parts of the International Maritime Dangerous Goods Code (the </w:t>
      </w:r>
      <w:r>
        <w:rPr>
          <w:b/>
          <w:i/>
        </w:rPr>
        <w:t>IMDG Code)</w:t>
      </w:r>
      <w:r>
        <w:t>.</w:t>
      </w:r>
    </w:p>
    <w:p w:rsidR="00E1269E" w:rsidRDefault="00E1269E" w:rsidP="003B7539">
      <w:pPr>
        <w:pStyle w:val="LDMinuteParagraph"/>
        <w:tabs>
          <w:tab w:val="clear" w:pos="142"/>
        </w:tabs>
        <w:ind w:left="0"/>
      </w:pPr>
      <w:r>
        <w:t>The Order also prescribes matters for the Pollution Prevention Act including the circumstances in which it is permitted to wash substances overboard, the prescribed manner of notifying incidents under the Act, the prescribed form for reporting on an incident and the prescribed time for giving a report if requested to do so under the Act.</w:t>
      </w:r>
    </w:p>
    <w:p w:rsidR="002868E3" w:rsidRPr="009B015D" w:rsidRDefault="002868E3" w:rsidP="003B7539">
      <w:pPr>
        <w:pStyle w:val="LDMinuteParagraph"/>
        <w:tabs>
          <w:tab w:val="clear" w:pos="142"/>
        </w:tabs>
        <w:ind w:left="0"/>
      </w:pPr>
      <w:r>
        <w:t xml:space="preserve">The structure of the Order has been changed and current legislative drafting style applied. When this Order commences, </w:t>
      </w:r>
      <w:r w:rsidRPr="00CF33EB">
        <w:t>schedule 40</w:t>
      </w:r>
      <w:r>
        <w:t xml:space="preserve"> </w:t>
      </w:r>
      <w:r w:rsidRPr="008D384D">
        <w:t>o</w:t>
      </w:r>
      <w:r>
        <w:t xml:space="preserve">f </w:t>
      </w:r>
      <w:r>
        <w:rPr>
          <w:i/>
        </w:rPr>
        <w:t xml:space="preserve">Marine Order 4 (Transitional Modifications) 2013 </w:t>
      </w:r>
      <w:r w:rsidRPr="008867F9">
        <w:t>will cea</w:t>
      </w:r>
      <w:r>
        <w:t>se to have effect because that s</w:t>
      </w:r>
      <w:r w:rsidRPr="008867F9">
        <w:t>chedule modifies the previous issue of th</w:t>
      </w:r>
      <w:r>
        <w:t>is</w:t>
      </w:r>
      <w:r w:rsidRPr="008867F9">
        <w:t xml:space="preserve"> Order</w:t>
      </w:r>
      <w:r>
        <w:t>.</w:t>
      </w:r>
    </w:p>
    <w:p w:rsidR="009B015D" w:rsidRDefault="009B015D" w:rsidP="00BB6EA6">
      <w:pPr>
        <w:pStyle w:val="LDAmendHeading"/>
      </w:pPr>
      <w:r>
        <w:lastRenderedPageBreak/>
        <w:t>Consultation</w:t>
      </w:r>
    </w:p>
    <w:p w:rsidR="00321E86" w:rsidRDefault="00321E86" w:rsidP="003B7539">
      <w:pPr>
        <w:pStyle w:val="LDMinuteParagraph"/>
        <w:tabs>
          <w:tab w:val="clear" w:pos="142"/>
        </w:tabs>
        <w:ind w:left="0"/>
      </w:pPr>
      <w:r>
        <w:t xml:space="preserve">A copy of the draft of this Order was </w:t>
      </w:r>
      <w:r w:rsidR="00010583">
        <w:t>placed on the AMSA we</w:t>
      </w:r>
      <w:r w:rsidR="00797F75">
        <w:t>bsite for public comment. Over 1</w:t>
      </w:r>
      <w:r w:rsidR="00010583">
        <w:t xml:space="preserve">00 stakeholders, including industry organisations and interested government agencies, were invited to participate in the consultation process. </w:t>
      </w:r>
      <w:r w:rsidR="00797F75">
        <w:t>Three</w:t>
      </w:r>
      <w:r w:rsidR="00010583">
        <w:t xml:space="preserve"> response</w:t>
      </w:r>
      <w:r w:rsidR="00797F75">
        <w:t>s were</w:t>
      </w:r>
      <w:r w:rsidR="00010583">
        <w:t xml:space="preserve"> received and the issues raised were taken into account in finalising the Order.</w:t>
      </w:r>
    </w:p>
    <w:p w:rsidR="009B015D" w:rsidRPr="005F142D" w:rsidRDefault="00321E86" w:rsidP="003B7539">
      <w:pPr>
        <w:pStyle w:val="LDMinuteParagraph"/>
        <w:tabs>
          <w:tab w:val="clear" w:pos="142"/>
        </w:tabs>
        <w:ind w:left="0"/>
      </w:pPr>
      <w:r w:rsidRPr="005F142D">
        <w:t>The Office of Best Practice Regulation (OBPR) was also consulted</w:t>
      </w:r>
      <w:r w:rsidR="00010583" w:rsidRPr="005F142D">
        <w:t>.</w:t>
      </w:r>
      <w:r w:rsidRPr="005F142D">
        <w:t xml:space="preserve"> </w:t>
      </w:r>
      <w:r w:rsidR="00010583" w:rsidRPr="005F142D">
        <w:t>OBPR</w:t>
      </w:r>
      <w:r w:rsidRPr="005F142D">
        <w:t xml:space="preserve"> considered that </w:t>
      </w:r>
      <w:r w:rsidR="00010583" w:rsidRPr="005F142D">
        <w:t xml:space="preserve">the regulatory impact of the Order is of a minor or machinery nature and that no further analysis in the form of a Regulatory Impact Statement was required. The OBPR reference number is </w:t>
      </w:r>
      <w:r w:rsidR="00215428" w:rsidRPr="005F142D">
        <w:t>15295.</w:t>
      </w:r>
    </w:p>
    <w:p w:rsidR="009B015D" w:rsidRDefault="009B015D" w:rsidP="009B015D">
      <w:pPr>
        <w:pStyle w:val="LDAmendHeading"/>
      </w:pPr>
      <w:r>
        <w:t>Documents incorporated by reference</w:t>
      </w:r>
    </w:p>
    <w:p w:rsidR="005F142D" w:rsidRDefault="005F142D" w:rsidP="003B7539">
      <w:pPr>
        <w:pStyle w:val="LDMinuteParagraph"/>
        <w:tabs>
          <w:tab w:val="clear" w:pos="142"/>
        </w:tabs>
        <w:ind w:left="0"/>
      </w:pPr>
      <w:r>
        <w:t>This Order incorporates the following documents by reference:</w:t>
      </w:r>
    </w:p>
    <w:p w:rsidR="009B015D" w:rsidRDefault="005F142D" w:rsidP="005F142D">
      <w:pPr>
        <w:pStyle w:val="LDMinuteParagraph"/>
        <w:numPr>
          <w:ilvl w:val="0"/>
          <w:numId w:val="7"/>
        </w:numPr>
      </w:pPr>
      <w:r w:rsidRPr="005F142D">
        <w:t>Annex III</w:t>
      </w:r>
      <w:r w:rsidR="00544BCD">
        <w:t xml:space="preserve"> of MARPOL</w:t>
      </w:r>
    </w:p>
    <w:p w:rsidR="005D1EF6" w:rsidRPr="005F142D" w:rsidRDefault="00E1269E" w:rsidP="005F142D">
      <w:pPr>
        <w:pStyle w:val="LDMinuteParagraph"/>
        <w:numPr>
          <w:ilvl w:val="0"/>
          <w:numId w:val="7"/>
        </w:numPr>
      </w:pPr>
      <w:r>
        <w:t>the IMDG Code</w:t>
      </w:r>
      <w:r w:rsidR="00544BCD">
        <w:t>.</w:t>
      </w:r>
    </w:p>
    <w:p w:rsidR="00065918" w:rsidRPr="00D045E6" w:rsidRDefault="00065918" w:rsidP="00065918">
      <w:pPr>
        <w:pStyle w:val="LDMinuteParagraph"/>
        <w:tabs>
          <w:tab w:val="clear" w:pos="142"/>
        </w:tabs>
        <w:ind w:left="0"/>
      </w:pPr>
      <w:r w:rsidRPr="00D045E6">
        <w:t>These documents may be purchased from the International Maritime Organization (IMO) — see the IMO website at http://www.imo.org. Information on obtaining copies of IMO documents is also on AMSA’s website: http://</w:t>
      </w:r>
      <w:hyperlink r:id="rId9" w:history="1">
        <w:r w:rsidRPr="00D045E6">
          <w:t>www.amsa.gov.au</w:t>
        </w:r>
      </w:hyperlink>
      <w:r w:rsidRPr="00D045E6">
        <w:t>. The IMO resolution that adopts or amends the IMDG Code is listed on AMSA’s website.</w:t>
      </w:r>
    </w:p>
    <w:p w:rsidR="00007792" w:rsidRDefault="00007792" w:rsidP="00007792">
      <w:pPr>
        <w:pStyle w:val="LDAmendHeading"/>
      </w:pPr>
      <w:r>
        <w:t>Commencement</w:t>
      </w:r>
    </w:p>
    <w:p w:rsidR="00007792" w:rsidRDefault="00007792" w:rsidP="003B7539">
      <w:pPr>
        <w:pStyle w:val="LDMinuteParagraph"/>
        <w:tabs>
          <w:tab w:val="clear" w:pos="142"/>
        </w:tabs>
        <w:ind w:left="0"/>
      </w:pPr>
      <w:r>
        <w:t>This Order commence</w:t>
      </w:r>
      <w:r w:rsidR="005D1EF6">
        <w:t>s</w:t>
      </w:r>
      <w:r>
        <w:t xml:space="preserve"> on </w:t>
      </w:r>
      <w:r w:rsidR="005D1EF6">
        <w:t>the day after it is registered.</w:t>
      </w:r>
    </w:p>
    <w:p w:rsidR="00007792" w:rsidRDefault="00007792" w:rsidP="00007792">
      <w:pPr>
        <w:pStyle w:val="LDAmendHeading"/>
      </w:pPr>
      <w:r>
        <w:t xml:space="preserve">Contents of this </w:t>
      </w:r>
      <w:r w:rsidR="007005C4">
        <w:t>instrument</w:t>
      </w:r>
    </w:p>
    <w:p w:rsidR="00007792" w:rsidRDefault="004E3842" w:rsidP="003B7539">
      <w:pPr>
        <w:pStyle w:val="LDMinuteParagraph"/>
        <w:tabs>
          <w:tab w:val="clear" w:pos="142"/>
        </w:tabs>
        <w:ind w:left="0"/>
      </w:pPr>
      <w:r>
        <w:t xml:space="preserve">Section </w:t>
      </w:r>
      <w:r w:rsidR="00BA6239">
        <w:t xml:space="preserve">1 </w:t>
      </w:r>
      <w:r>
        <w:t>sets out the name of the Order.</w:t>
      </w:r>
    </w:p>
    <w:p w:rsidR="00007792" w:rsidRDefault="00430134" w:rsidP="003B7539">
      <w:pPr>
        <w:pStyle w:val="LDMinuteParagraph"/>
        <w:tabs>
          <w:tab w:val="clear" w:pos="142"/>
        </w:tabs>
        <w:ind w:left="0"/>
      </w:pPr>
      <w:r>
        <w:t xml:space="preserve">Section </w:t>
      </w:r>
      <w:r w:rsidR="00007792">
        <w:t xml:space="preserve">2 </w:t>
      </w:r>
      <w:r>
        <w:t>provides for the commencement of the Order.</w:t>
      </w:r>
    </w:p>
    <w:p w:rsidR="00CC24E6" w:rsidRDefault="00CC24E6" w:rsidP="00CC24E6">
      <w:pPr>
        <w:pStyle w:val="LDMinuteParagraph"/>
        <w:tabs>
          <w:tab w:val="clear" w:pos="142"/>
        </w:tabs>
        <w:ind w:left="0"/>
      </w:pPr>
      <w:r>
        <w:t xml:space="preserve">Section 3 repeals the previous issue of the Order (which, to the extent it was made under the </w:t>
      </w:r>
      <w:r>
        <w:rPr>
          <w:i/>
        </w:rPr>
        <w:t>Navigation Act 1912</w:t>
      </w:r>
      <w:r>
        <w:t xml:space="preserve">, was continued in effect by </w:t>
      </w:r>
      <w:r>
        <w:rPr>
          <w:i/>
        </w:rPr>
        <w:t>Marine Order 4 (Transitional Modifications) 2013</w:t>
      </w:r>
      <w:r>
        <w:t>).</w:t>
      </w:r>
    </w:p>
    <w:p w:rsidR="00007792" w:rsidRDefault="00430134" w:rsidP="003B7539">
      <w:pPr>
        <w:pStyle w:val="LDMinuteParagraph"/>
        <w:tabs>
          <w:tab w:val="clear" w:pos="142"/>
        </w:tabs>
        <w:ind w:left="0"/>
      </w:pPr>
      <w:r>
        <w:t xml:space="preserve">Section </w:t>
      </w:r>
      <w:r w:rsidR="00CC24E6">
        <w:t>4</w:t>
      </w:r>
      <w:r>
        <w:t xml:space="preserve"> states the purpose of the Order, which is </w:t>
      </w:r>
      <w:r w:rsidR="00CC24E6">
        <w:t>to give effect to Annex III of MARPOL and to prescribe matters for Part IIIA of the Pollution Prevention Act.</w:t>
      </w:r>
    </w:p>
    <w:p w:rsidR="00430134" w:rsidRDefault="00430134" w:rsidP="003B7539">
      <w:pPr>
        <w:pStyle w:val="LDMinuteParagraph"/>
        <w:tabs>
          <w:tab w:val="clear" w:pos="142"/>
        </w:tabs>
        <w:ind w:left="0"/>
      </w:pPr>
      <w:r>
        <w:t xml:space="preserve">Section </w:t>
      </w:r>
      <w:r w:rsidR="00CC24E6">
        <w:t>5</w:t>
      </w:r>
      <w:r>
        <w:t xml:space="preserve"> sets out the powers in the Navigation Act </w:t>
      </w:r>
      <w:r w:rsidR="00CC24E6">
        <w:t xml:space="preserve">and the Pollution Prevention Act </w:t>
      </w:r>
      <w:r w:rsidR="0085034C">
        <w:t>that enable</w:t>
      </w:r>
      <w:r>
        <w:t xml:space="preserve"> the Order to be made.</w:t>
      </w:r>
    </w:p>
    <w:p w:rsidR="00430134" w:rsidRDefault="00430134" w:rsidP="003B7539">
      <w:pPr>
        <w:pStyle w:val="LDMinuteParagraph"/>
        <w:tabs>
          <w:tab w:val="clear" w:pos="142"/>
        </w:tabs>
        <w:ind w:left="0"/>
      </w:pPr>
      <w:r>
        <w:t>Section 6 sets out definitions of terms used in the Order.</w:t>
      </w:r>
    </w:p>
    <w:p w:rsidR="00430134" w:rsidRDefault="00430134" w:rsidP="003B7539">
      <w:pPr>
        <w:pStyle w:val="LDMinuteParagraph"/>
        <w:tabs>
          <w:tab w:val="clear" w:pos="142"/>
        </w:tabs>
        <w:ind w:left="0"/>
      </w:pPr>
      <w:r>
        <w:t xml:space="preserve">Section </w:t>
      </w:r>
      <w:r w:rsidR="00CC24E6">
        <w:t>7 describes the vessels to which the Order applies</w:t>
      </w:r>
      <w:r>
        <w:t>.</w:t>
      </w:r>
    </w:p>
    <w:p w:rsidR="00430134" w:rsidRDefault="0085034C" w:rsidP="003B7539">
      <w:pPr>
        <w:pStyle w:val="LDMinuteParagraph"/>
        <w:tabs>
          <w:tab w:val="clear" w:pos="142"/>
        </w:tabs>
        <w:ind w:left="0"/>
      </w:pPr>
      <w:r>
        <w:t xml:space="preserve">Section </w:t>
      </w:r>
      <w:r w:rsidR="00656648">
        <w:t xml:space="preserve">8 </w:t>
      </w:r>
      <w:r w:rsidR="000D6F4B">
        <w:t>provides that the owner of a vessel that carries packaged harmful substances must comply with regulations 2 to 5 of Annex III. These regulations deal with packing, marking, labelling and stowage of packaged harmful substances and the</w:t>
      </w:r>
      <w:r w:rsidR="00392E39">
        <w:t xml:space="preserve"> provision of</w:t>
      </w:r>
      <w:r w:rsidR="000D6F4B">
        <w:t xml:space="preserve"> transport </w:t>
      </w:r>
      <w:r w:rsidR="00392E39">
        <w:t>information</w:t>
      </w:r>
      <w:r w:rsidR="000D6F4B">
        <w:t xml:space="preserve"> including the need to comply with parts of the IMDG Code. </w:t>
      </w:r>
      <w:r w:rsidR="00F3794F">
        <w:t xml:space="preserve">The section also provides matters </w:t>
      </w:r>
      <w:r w:rsidR="00392E39">
        <w:t>necessary for compliance with</w:t>
      </w:r>
      <w:r w:rsidR="00F3794F">
        <w:t xml:space="preserve"> regulation 4 of Annex III which deals with the </w:t>
      </w:r>
      <w:r w:rsidR="00392E39">
        <w:t xml:space="preserve">provision of </w:t>
      </w:r>
      <w:r w:rsidR="00F3794F">
        <w:t xml:space="preserve">transport </w:t>
      </w:r>
      <w:r w:rsidR="00392E39">
        <w:t>information for</w:t>
      </w:r>
      <w:r w:rsidR="00F3794F">
        <w:t xml:space="preserve"> packaged harmful substances.</w:t>
      </w:r>
    </w:p>
    <w:p w:rsidR="00F3794F" w:rsidRDefault="00F3794F" w:rsidP="003B7539">
      <w:pPr>
        <w:pStyle w:val="LDMinuteParagraph"/>
        <w:tabs>
          <w:tab w:val="clear" w:pos="142"/>
        </w:tabs>
        <w:ind w:left="0"/>
      </w:pPr>
      <w:r>
        <w:t>Section 9</w:t>
      </w:r>
      <w:r w:rsidR="00BA320C">
        <w:t xml:space="preserve"> prescribes for the Pollution Prevention Act the circumstances in which it is authorised to wash overboard a leaked harmful substance that is carried as cargo in packaged form.</w:t>
      </w:r>
    </w:p>
    <w:p w:rsidR="00BA320C" w:rsidRDefault="00BA320C" w:rsidP="003B7539">
      <w:pPr>
        <w:pStyle w:val="LDMinuteParagraph"/>
        <w:tabs>
          <w:tab w:val="clear" w:pos="142"/>
        </w:tabs>
        <w:ind w:left="0"/>
      </w:pPr>
      <w:r>
        <w:t>Section 10 prescribes for the Pollution Prevention Act</w:t>
      </w:r>
      <w:r w:rsidR="00413B04">
        <w:t xml:space="preserve"> the manner of notifying </w:t>
      </w:r>
      <w:r w:rsidR="009625A2">
        <w:t xml:space="preserve">prescribed </w:t>
      </w:r>
      <w:r w:rsidR="00413B04">
        <w:t xml:space="preserve">incidents set out in the Act. These incidents include the discharge or likely </w:t>
      </w:r>
      <w:r w:rsidR="00413B04">
        <w:lastRenderedPageBreak/>
        <w:t>discharge of packaged harmful substances, and collisions, floods, fires</w:t>
      </w:r>
      <w:r w:rsidR="009625A2">
        <w:t>,</w:t>
      </w:r>
      <w:r w:rsidR="00413B04">
        <w:t xml:space="preserve"> equipmen</w:t>
      </w:r>
      <w:r w:rsidR="005017EC">
        <w:t>t failure or damage that affect</w:t>
      </w:r>
      <w:r w:rsidR="00413B04">
        <w:t xml:space="preserve"> the safety or navigation of the vessel.</w:t>
      </w:r>
    </w:p>
    <w:p w:rsidR="005017EC" w:rsidRDefault="005017EC" w:rsidP="003B7539">
      <w:pPr>
        <w:pStyle w:val="LDMinuteParagraph"/>
        <w:tabs>
          <w:tab w:val="clear" w:pos="142"/>
        </w:tabs>
        <w:ind w:left="0"/>
      </w:pPr>
      <w:r>
        <w:t>Section 11 prescribes a form for the Pollution Prevention Act.</w:t>
      </w:r>
      <w:r w:rsidR="009625A2">
        <w:t xml:space="preserve"> It may be requested that a report be made in this prescribed form following the notification of a prescribed incident.</w:t>
      </w:r>
    </w:p>
    <w:p w:rsidR="009625A2" w:rsidRDefault="009625A2" w:rsidP="003B7539">
      <w:pPr>
        <w:pStyle w:val="LDMinuteParagraph"/>
        <w:tabs>
          <w:tab w:val="clear" w:pos="142"/>
        </w:tabs>
        <w:ind w:left="0"/>
      </w:pPr>
      <w:r>
        <w:t xml:space="preserve">Section 12 sets out the time period within which a report in the prescribed form must be given </w:t>
      </w:r>
      <w:r w:rsidR="00F0380F">
        <w:t>if there has been a request for a report.</w:t>
      </w:r>
    </w:p>
    <w:p w:rsidR="00ED715F" w:rsidRDefault="00ED715F" w:rsidP="003B7539">
      <w:pPr>
        <w:pStyle w:val="LDMinuteParagraph"/>
        <w:tabs>
          <w:tab w:val="clear" w:pos="142"/>
        </w:tabs>
        <w:ind w:left="0"/>
      </w:pPr>
      <w:r>
        <w:t>Schedule 1 contains the form prescribed by section 11.</w:t>
      </w:r>
    </w:p>
    <w:p w:rsidR="00990056" w:rsidRDefault="00990056" w:rsidP="00007792">
      <w:pPr>
        <w:pStyle w:val="LDAmendHeading"/>
      </w:pPr>
      <w:r>
        <w:t>Compatibility with human rights</w:t>
      </w:r>
    </w:p>
    <w:p w:rsidR="004E3842" w:rsidRDefault="00E2679C" w:rsidP="003B7539">
      <w:pPr>
        <w:pStyle w:val="LDMinuteParagraph"/>
        <w:tabs>
          <w:tab w:val="clear" w:pos="142"/>
        </w:tabs>
        <w:ind w:left="0"/>
      </w:pPr>
      <w:r>
        <w:t>This statement is made for subsection 9(1) of the</w:t>
      </w:r>
      <w:r w:rsidRPr="003B7539">
        <w:t xml:space="preserve"> Human Rights (Parliamentary Scrutiny) Act 2011</w:t>
      </w:r>
      <w:r w:rsidR="00F8601E" w:rsidRPr="003B7539">
        <w:t>.</w:t>
      </w:r>
    </w:p>
    <w:p w:rsidR="00B6672B" w:rsidRDefault="00B6672B" w:rsidP="00B6672B">
      <w:pPr>
        <w:pStyle w:val="LDSubclauseHead"/>
      </w:pPr>
      <w:r>
        <w:t>Overview of the legislative instrument</w:t>
      </w:r>
    </w:p>
    <w:p w:rsidR="0015165B" w:rsidRDefault="00B6672B" w:rsidP="00B6672B">
      <w:pPr>
        <w:pStyle w:val="LDMinuteParagraph"/>
        <w:tabs>
          <w:tab w:val="clear" w:pos="142"/>
        </w:tabs>
        <w:ind w:left="0"/>
      </w:pPr>
      <w:r>
        <w:t xml:space="preserve">This Order is made under both the </w:t>
      </w:r>
      <w:r w:rsidRPr="00311909">
        <w:rPr>
          <w:i/>
        </w:rPr>
        <w:t>Navigation Act 2012</w:t>
      </w:r>
      <w:r>
        <w:t xml:space="preserve"> (the Navigation Act) and the </w:t>
      </w:r>
      <w:r w:rsidRPr="00311909">
        <w:rPr>
          <w:i/>
        </w:rPr>
        <w:t>Protection of the Sea (Prevention of Pollution from Ships) Act 1983</w:t>
      </w:r>
      <w:r w:rsidRPr="00B6672B">
        <w:t xml:space="preserve"> </w:t>
      </w:r>
      <w:r>
        <w:t xml:space="preserve">(the Pollution Prevention Act). It gives effect to Annex III of </w:t>
      </w:r>
      <w:r w:rsidR="00CC3299">
        <w:t>the International Convention for the Prevention of Pollution from Ships (</w:t>
      </w:r>
      <w:r>
        <w:t>MARPOL</w:t>
      </w:r>
      <w:r w:rsidR="00CC3299">
        <w:t>)</w:t>
      </w:r>
      <w:r>
        <w:t xml:space="preserve"> and provides matters for Part IIIA of the Pollution Prevention Act.</w:t>
      </w:r>
    </w:p>
    <w:p w:rsidR="00CC3299" w:rsidRDefault="00B6672B" w:rsidP="00B6672B">
      <w:pPr>
        <w:pStyle w:val="LDMinuteParagraph"/>
        <w:tabs>
          <w:tab w:val="clear" w:pos="142"/>
        </w:tabs>
        <w:ind w:left="0"/>
      </w:pPr>
      <w:r>
        <w:t>The Order requires that vessels carrying packaged harmful substances must comply with regulations 2 to 5 of Annex III.</w:t>
      </w:r>
      <w:r w:rsidR="00CC3299">
        <w:t xml:space="preserve"> These provisions deal with the packing, marking, labelling and stowage of packa</w:t>
      </w:r>
      <w:r w:rsidR="004D4D2E">
        <w:t>ged harmful substances and the provision of</w:t>
      </w:r>
      <w:r w:rsidR="00CC3299">
        <w:t xml:space="preserve"> transport </w:t>
      </w:r>
      <w:r w:rsidR="004D4D2E">
        <w:t>information</w:t>
      </w:r>
      <w:r w:rsidR="00CC3299">
        <w:t xml:space="preserve"> including the need to comply with parts of the International Maritime Dangerous Goods Code (the </w:t>
      </w:r>
      <w:r w:rsidR="00CC3299" w:rsidRPr="00CC3299">
        <w:rPr>
          <w:b/>
          <w:i/>
        </w:rPr>
        <w:t>IMDG Code</w:t>
      </w:r>
      <w:r w:rsidR="00CC3299">
        <w:t>)</w:t>
      </w:r>
      <w:r w:rsidR="00CA2769">
        <w:t>.</w:t>
      </w:r>
    </w:p>
    <w:p w:rsidR="00CA2769" w:rsidRDefault="00CC3299" w:rsidP="00B6672B">
      <w:pPr>
        <w:pStyle w:val="LDMinuteParagraph"/>
        <w:tabs>
          <w:tab w:val="clear" w:pos="142"/>
        </w:tabs>
        <w:ind w:left="0"/>
      </w:pPr>
      <w:r>
        <w:t>The Order also prescribes matters for the Pollution Prevention Act. These matters concern the circumstances in which it is permitted to wash substances overboard, the prescribed manner of notifying incidents under the Act</w:t>
      </w:r>
      <w:r w:rsidR="00CA2769">
        <w:t>, the prescribed form for reporting on an incident and the prescribed time for giving a report if requested to do so under the Act.</w:t>
      </w:r>
    </w:p>
    <w:p w:rsidR="00CA2769" w:rsidRDefault="00CA2769" w:rsidP="00CA2769">
      <w:pPr>
        <w:pStyle w:val="LDSubclauseHead"/>
      </w:pPr>
      <w:r>
        <w:t>Human Rights implications</w:t>
      </w:r>
    </w:p>
    <w:p w:rsidR="00CA2769" w:rsidRDefault="00CA2769" w:rsidP="00CA2769">
      <w:pPr>
        <w:pStyle w:val="LDMinuteParagraph"/>
        <w:tabs>
          <w:tab w:val="clear" w:pos="142"/>
        </w:tabs>
        <w:ind w:left="0"/>
      </w:pPr>
      <w:r>
        <w:t xml:space="preserve">This instrument does not engage any of the applicable rights or freedoms recognised or declared in the international instruments listed in section 3 of the </w:t>
      </w:r>
      <w:r w:rsidRPr="0014131D">
        <w:rPr>
          <w:i/>
          <w:iCs/>
        </w:rPr>
        <w:t>Human Rights (Parliamentary Scrutiny) Act 2011</w:t>
      </w:r>
      <w:r>
        <w:t>.</w:t>
      </w:r>
    </w:p>
    <w:p w:rsidR="00CA2769" w:rsidRDefault="00CA2769" w:rsidP="00CA2769">
      <w:pPr>
        <w:pStyle w:val="LDSubclauseHead"/>
      </w:pPr>
      <w:r>
        <w:t xml:space="preserve">Conclusion </w:t>
      </w:r>
    </w:p>
    <w:p w:rsidR="00CA2769" w:rsidRDefault="00CA2769" w:rsidP="00CA2769">
      <w:pPr>
        <w:pStyle w:val="LDMinuteParagraph"/>
        <w:tabs>
          <w:tab w:val="clear" w:pos="142"/>
        </w:tabs>
        <w:ind w:left="0"/>
      </w:pPr>
      <w:r>
        <w:t xml:space="preserve">This instrument is compatible with the human rights and freedoms recognised or declared in the international instruments listed in section 3 of the </w:t>
      </w:r>
      <w:r>
        <w:rPr>
          <w:i/>
        </w:rPr>
        <w:t>Human Rights (Parliamentary Scrutiny) Act 2011</w:t>
      </w:r>
      <w:r>
        <w:t>.</w:t>
      </w:r>
    </w:p>
    <w:p w:rsidR="00007792" w:rsidRPr="009B015D" w:rsidRDefault="00007792" w:rsidP="00007792">
      <w:pPr>
        <w:pStyle w:val="LDAmendHeading"/>
      </w:pPr>
      <w:r>
        <w:t xml:space="preserve">Making the </w:t>
      </w:r>
      <w:r w:rsidR="007005C4">
        <w:t>instrument</w:t>
      </w:r>
    </w:p>
    <w:p w:rsidR="00506142" w:rsidRPr="00B4479A" w:rsidRDefault="003B2EEF" w:rsidP="003B7539">
      <w:pPr>
        <w:pStyle w:val="LDMinuteParagraph"/>
        <w:tabs>
          <w:tab w:val="clear" w:pos="142"/>
        </w:tabs>
        <w:ind w:left="0"/>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sidRPr="00CA2769">
        <w:rPr>
          <w:i/>
        </w:rPr>
        <w:t xml:space="preserve">Australian Maritime </w:t>
      </w:r>
      <w:r w:rsidR="00075881">
        <w:rPr>
          <w:i/>
        </w:rPr>
        <w:t xml:space="preserve">Safety </w:t>
      </w:r>
      <w:r w:rsidR="00A302C2" w:rsidRPr="00CA2769">
        <w:rPr>
          <w:i/>
        </w:rPr>
        <w:t>Authority Act 1990</w:t>
      </w:r>
      <w:r w:rsidRPr="00B4479A">
        <w:t>.</w:t>
      </w:r>
    </w:p>
    <w:sectPr w:rsidR="00506142" w:rsidRPr="00B4479A" w:rsidSect="00270686">
      <w:headerReference w:type="even" r:id="rId10"/>
      <w:headerReference w:type="default" r:id="rId11"/>
      <w:footerReference w:type="even" r:id="rId12"/>
      <w:footerReference w:type="default" r:id="rId13"/>
      <w:headerReference w:type="first" r:id="rId14"/>
      <w:footerReference w:type="first" r:id="rId15"/>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5A" w:rsidRDefault="0081665A">
      <w:r>
        <w:separator/>
      </w:r>
    </w:p>
  </w:endnote>
  <w:endnote w:type="continuationSeparator" w:id="0">
    <w:p w:rsidR="0081665A" w:rsidRDefault="0081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4D4D2E">
      <w:rPr>
        <w:rFonts w:ascii="Arial" w:hAnsi="Arial" w:cs="Arial"/>
        <w:i/>
        <w:sz w:val="16"/>
        <w:szCs w:val="16"/>
      </w:rPr>
      <w:t>94</w:t>
    </w:r>
    <w:r>
      <w:rPr>
        <w:rFonts w:ascii="Arial" w:hAnsi="Arial" w:cs="Arial"/>
        <w:i/>
        <w:sz w:val="16"/>
        <w:szCs w:val="16"/>
      </w:rPr>
      <w:t xml:space="preserve"> </w:t>
    </w:r>
    <w:r w:rsidR="00B36E48">
      <w:rPr>
        <w:rFonts w:ascii="Arial" w:hAnsi="Arial" w:cs="Arial"/>
        <w:i/>
        <w:sz w:val="16"/>
        <w:szCs w:val="16"/>
      </w:rPr>
      <w:t>(</w:t>
    </w:r>
    <w:r w:rsidR="004D4D2E">
      <w:rPr>
        <w:rFonts w:ascii="Arial" w:hAnsi="Arial" w:cs="Arial"/>
        <w:i/>
        <w:sz w:val="16"/>
        <w:szCs w:val="16"/>
      </w:rPr>
      <w:t>Marine pollution prevention — packaged harmful substances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4D4D2E">
      <w:rPr>
        <w:rFonts w:ascii="Arial" w:hAnsi="Arial" w:cs="Arial"/>
        <w:i/>
        <w:sz w:val="16"/>
        <w:szCs w:val="16"/>
      </w:rPr>
      <w:t>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A0C56">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56" w:rsidRDefault="00DA0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5A" w:rsidRDefault="0081665A">
      <w:r>
        <w:separator/>
      </w:r>
    </w:p>
  </w:footnote>
  <w:footnote w:type="continuationSeparator" w:id="0">
    <w:p w:rsidR="0081665A" w:rsidRDefault="0081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56" w:rsidRDefault="00DA0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56" w:rsidRDefault="00DA0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4F3D24DE"/>
    <w:multiLevelType w:val="hybridMultilevel"/>
    <w:tmpl w:val="219CCB16"/>
    <w:lvl w:ilvl="0" w:tplc="0C090001">
      <w:start w:val="1"/>
      <w:numFmt w:val="bullet"/>
      <w:lvlText w:val=""/>
      <w:lvlJc w:val="left"/>
      <w:pPr>
        <w:tabs>
          <w:tab w:val="num" w:pos="142"/>
        </w:tabs>
        <w:ind w:left="142" w:firstLine="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5A"/>
    <w:rsid w:val="00007792"/>
    <w:rsid w:val="00010583"/>
    <w:rsid w:val="000479EC"/>
    <w:rsid w:val="0006314D"/>
    <w:rsid w:val="00065918"/>
    <w:rsid w:val="00075881"/>
    <w:rsid w:val="00083A6A"/>
    <w:rsid w:val="000D6F4B"/>
    <w:rsid w:val="0015165B"/>
    <w:rsid w:val="001710F5"/>
    <w:rsid w:val="00187967"/>
    <w:rsid w:val="001D419C"/>
    <w:rsid w:val="001F02B3"/>
    <w:rsid w:val="00215428"/>
    <w:rsid w:val="0025158C"/>
    <w:rsid w:val="00255D36"/>
    <w:rsid w:val="00270686"/>
    <w:rsid w:val="002868E3"/>
    <w:rsid w:val="002D00A7"/>
    <w:rsid w:val="002D7C61"/>
    <w:rsid w:val="00311909"/>
    <w:rsid w:val="003141EB"/>
    <w:rsid w:val="00317AE8"/>
    <w:rsid w:val="00321E86"/>
    <w:rsid w:val="0032325C"/>
    <w:rsid w:val="00346D0C"/>
    <w:rsid w:val="00392E39"/>
    <w:rsid w:val="003B2EEF"/>
    <w:rsid w:val="003B7539"/>
    <w:rsid w:val="003C0D84"/>
    <w:rsid w:val="003E33D1"/>
    <w:rsid w:val="00413B04"/>
    <w:rsid w:val="00413F57"/>
    <w:rsid w:val="00430134"/>
    <w:rsid w:val="00432C95"/>
    <w:rsid w:val="004511D5"/>
    <w:rsid w:val="00481043"/>
    <w:rsid w:val="004A16E1"/>
    <w:rsid w:val="004D4D2E"/>
    <w:rsid w:val="004E1014"/>
    <w:rsid w:val="004E3842"/>
    <w:rsid w:val="005017EC"/>
    <w:rsid w:val="00506142"/>
    <w:rsid w:val="00524E04"/>
    <w:rsid w:val="00544BCD"/>
    <w:rsid w:val="00545B58"/>
    <w:rsid w:val="0058458E"/>
    <w:rsid w:val="0059658F"/>
    <w:rsid w:val="005B52F3"/>
    <w:rsid w:val="005D1EF6"/>
    <w:rsid w:val="005F142D"/>
    <w:rsid w:val="005F3B6C"/>
    <w:rsid w:val="00656648"/>
    <w:rsid w:val="006A6E0B"/>
    <w:rsid w:val="006C119E"/>
    <w:rsid w:val="006E2A8C"/>
    <w:rsid w:val="007005C4"/>
    <w:rsid w:val="00760EAE"/>
    <w:rsid w:val="00797F75"/>
    <w:rsid w:val="0081665A"/>
    <w:rsid w:val="0085034C"/>
    <w:rsid w:val="008927DF"/>
    <w:rsid w:val="008E2884"/>
    <w:rsid w:val="009030D5"/>
    <w:rsid w:val="009625A2"/>
    <w:rsid w:val="00974171"/>
    <w:rsid w:val="00990056"/>
    <w:rsid w:val="009930DC"/>
    <w:rsid w:val="009A3D84"/>
    <w:rsid w:val="009B015D"/>
    <w:rsid w:val="009B2616"/>
    <w:rsid w:val="009C3750"/>
    <w:rsid w:val="009F7B4D"/>
    <w:rsid w:val="00A01DE3"/>
    <w:rsid w:val="00A302C2"/>
    <w:rsid w:val="00A346B9"/>
    <w:rsid w:val="00A42FE5"/>
    <w:rsid w:val="00A53961"/>
    <w:rsid w:val="00AD3979"/>
    <w:rsid w:val="00AF16BD"/>
    <w:rsid w:val="00B1667C"/>
    <w:rsid w:val="00B36E48"/>
    <w:rsid w:val="00B4479A"/>
    <w:rsid w:val="00B6672B"/>
    <w:rsid w:val="00B95EA6"/>
    <w:rsid w:val="00B97324"/>
    <w:rsid w:val="00BA320C"/>
    <w:rsid w:val="00BA6239"/>
    <w:rsid w:val="00BB6EA6"/>
    <w:rsid w:val="00C061DE"/>
    <w:rsid w:val="00CA2769"/>
    <w:rsid w:val="00CC24E6"/>
    <w:rsid w:val="00CC3299"/>
    <w:rsid w:val="00CD3A31"/>
    <w:rsid w:val="00CF33EB"/>
    <w:rsid w:val="00D045E6"/>
    <w:rsid w:val="00D37A0B"/>
    <w:rsid w:val="00D60F7F"/>
    <w:rsid w:val="00DA0C56"/>
    <w:rsid w:val="00DE2E3D"/>
    <w:rsid w:val="00DE752E"/>
    <w:rsid w:val="00E118EB"/>
    <w:rsid w:val="00E1269E"/>
    <w:rsid w:val="00E14DCC"/>
    <w:rsid w:val="00E22720"/>
    <w:rsid w:val="00E2679C"/>
    <w:rsid w:val="00E576E4"/>
    <w:rsid w:val="00E5785F"/>
    <w:rsid w:val="00E90ECA"/>
    <w:rsid w:val="00ED715F"/>
    <w:rsid w:val="00EE71A2"/>
    <w:rsid w:val="00F0380F"/>
    <w:rsid w:val="00F0537A"/>
    <w:rsid w:val="00F3794F"/>
    <w:rsid w:val="00F54626"/>
    <w:rsid w:val="00F63BD0"/>
    <w:rsid w:val="00F660D0"/>
    <w:rsid w:val="00F8601E"/>
    <w:rsid w:val="00FB71D1"/>
    <w:rsid w:val="00FC20F7"/>
    <w:rsid w:val="00FD5DBE"/>
    <w:rsid w:val="00FD7E01"/>
    <w:rsid w:val="00FE3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ms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56CB-4144-4130-A822-FDBF1EAD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6905</Characters>
  <Application>Microsoft Office Word</Application>
  <DocSecurity>0</DocSecurity>
  <Lines>57</Lines>
  <Paragraphs>16</Paragraphs>
  <ScaleCrop>false</ScaleCrop>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2014-02-19T01:03:00Z</dcterms:created>
  <dcterms:modified xsi:type="dcterms:W3CDTF">2014-02-19T01:03:00Z</dcterms:modified>
</cp:coreProperties>
</file>