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D1" w:rsidRDefault="00F26F1B" w:rsidP="005B0D80">
      <w:pPr>
        <w:pStyle w:val="Heading1"/>
      </w:pPr>
      <w:r w:rsidRPr="005B0D80">
        <w:t>Explanatory Statement</w:t>
      </w:r>
    </w:p>
    <w:p w:rsidR="00F26F1B" w:rsidRPr="00776B1D" w:rsidRDefault="00F26F1B" w:rsidP="005B0D80">
      <w:pPr>
        <w:pStyle w:val="Heading1"/>
        <w:rPr>
          <w:i/>
        </w:rPr>
      </w:pPr>
      <w:r w:rsidRPr="00776B1D">
        <w:rPr>
          <w:i/>
        </w:rPr>
        <w:t>Privacy (Persons Reported as Missing) Rule 2014</w:t>
      </w:r>
    </w:p>
    <w:p w:rsidR="00CB3745" w:rsidRDefault="005B0D80" w:rsidP="005B0D80">
      <w:r w:rsidRPr="00906356">
        <w:t xml:space="preserve">This explanatory statement </w:t>
      </w:r>
      <w:r w:rsidR="00706B38">
        <w:t>has been prepared by the Privacy Commissioner</w:t>
      </w:r>
      <w:r w:rsidR="00EF1726">
        <w:t xml:space="preserve">, in accordance with </w:t>
      </w:r>
      <w:r w:rsidR="00CB3745">
        <w:t xml:space="preserve">the functions and powers conferred on him by section 12 of </w:t>
      </w:r>
      <w:r w:rsidR="00CB3745" w:rsidRPr="000B517F">
        <w:rPr>
          <w:i/>
        </w:rPr>
        <w:t xml:space="preserve">the Australian Information Commissioner Act 2010 (Cth) </w:t>
      </w:r>
      <w:r w:rsidR="00CB3745">
        <w:t>(the Australian Information Commissioner Act)</w:t>
      </w:r>
      <w:r w:rsidR="00EF1726">
        <w:t xml:space="preserve">. </w:t>
      </w:r>
    </w:p>
    <w:p w:rsidR="005B0D80" w:rsidRDefault="00CB3745" w:rsidP="005B0D80">
      <w:r>
        <w:t>It</w:t>
      </w:r>
      <w:r w:rsidR="003C53F6">
        <w:t xml:space="preserve"> explains the purpose and intended operation</w:t>
      </w:r>
      <w:r w:rsidR="005B0D80" w:rsidRPr="00906356">
        <w:t xml:space="preserve"> </w:t>
      </w:r>
      <w:r w:rsidR="003C53F6">
        <w:t>of</w:t>
      </w:r>
      <w:r w:rsidR="003C53F6" w:rsidRPr="00906356">
        <w:t xml:space="preserve"> </w:t>
      </w:r>
      <w:r w:rsidR="005B0D80" w:rsidRPr="00906356">
        <w:t xml:space="preserve">the </w:t>
      </w:r>
      <w:r w:rsidR="005B0D80" w:rsidRPr="00906356">
        <w:rPr>
          <w:i/>
        </w:rPr>
        <w:t>Privacy (Persons Reported as Missing) Rule 2014</w:t>
      </w:r>
      <w:r w:rsidR="005B0D80" w:rsidRPr="00906356">
        <w:t xml:space="preserve"> </w:t>
      </w:r>
      <w:r w:rsidR="009D4344" w:rsidRPr="00906356">
        <w:t>(</w:t>
      </w:r>
      <w:r w:rsidR="009D4344" w:rsidRPr="00487482">
        <w:rPr>
          <w:b/>
        </w:rPr>
        <w:t>the</w:t>
      </w:r>
      <w:r w:rsidR="005B0D80" w:rsidRPr="00487482">
        <w:rPr>
          <w:b/>
        </w:rPr>
        <w:t xml:space="preserve"> </w:t>
      </w:r>
      <w:r w:rsidR="001F1A34">
        <w:rPr>
          <w:b/>
        </w:rPr>
        <w:t>R</w:t>
      </w:r>
      <w:r w:rsidR="005B0D80" w:rsidRPr="00487482">
        <w:rPr>
          <w:b/>
        </w:rPr>
        <w:t>ule</w:t>
      </w:r>
      <w:r w:rsidR="005B0D80" w:rsidRPr="00906356">
        <w:t>) made under s</w:t>
      </w:r>
      <w:r w:rsidR="001557B3">
        <w:t>ubsection</w:t>
      </w:r>
      <w:r w:rsidR="005B0D80" w:rsidRPr="00906356">
        <w:t xml:space="preserve"> </w:t>
      </w:r>
      <w:proofErr w:type="gramStart"/>
      <w:r w:rsidR="005B0D80" w:rsidRPr="00906356">
        <w:t>16A(</w:t>
      </w:r>
      <w:proofErr w:type="gramEnd"/>
      <w:r w:rsidR="005B0D80" w:rsidRPr="00906356">
        <w:t xml:space="preserve">2) of the </w:t>
      </w:r>
      <w:r w:rsidR="005B0D80" w:rsidRPr="00906356">
        <w:rPr>
          <w:i/>
        </w:rPr>
        <w:t>Privacy Act 1988</w:t>
      </w:r>
      <w:r w:rsidR="005B0D80" w:rsidRPr="00906356">
        <w:t xml:space="preserve"> (Privacy Act).</w:t>
      </w:r>
    </w:p>
    <w:p w:rsidR="00F26F1B" w:rsidRPr="00906356" w:rsidRDefault="005B0D80" w:rsidP="005B0D80">
      <w:pPr>
        <w:pStyle w:val="Heading2"/>
      </w:pPr>
      <w:r w:rsidRPr="00906356">
        <w:t xml:space="preserve">Authority for </w:t>
      </w:r>
      <w:r w:rsidR="000E2609" w:rsidRPr="00906356">
        <w:t>the Rule</w:t>
      </w:r>
    </w:p>
    <w:p w:rsidR="00220AD7" w:rsidRDefault="00220AD7" w:rsidP="00721355">
      <w:r w:rsidRPr="00906356">
        <w:t xml:space="preserve">The </w:t>
      </w:r>
      <w:r w:rsidR="003C53F6">
        <w:t xml:space="preserve">Australian </w:t>
      </w:r>
      <w:r w:rsidRPr="00906356">
        <w:t>Information Commissioner is empowered by s</w:t>
      </w:r>
      <w:r w:rsidR="001557B3">
        <w:t>ubsection</w:t>
      </w:r>
      <w:r w:rsidRPr="00906356">
        <w:t xml:space="preserve"> </w:t>
      </w:r>
      <w:proofErr w:type="gramStart"/>
      <w:r w:rsidRPr="00906356">
        <w:t>16A(</w:t>
      </w:r>
      <w:proofErr w:type="gramEnd"/>
      <w:r w:rsidRPr="00906356">
        <w:t>2) of the Privacy Act to make the</w:t>
      </w:r>
      <w:r>
        <w:t xml:space="preserve"> </w:t>
      </w:r>
      <w:r w:rsidR="001F1A34">
        <w:t>R</w:t>
      </w:r>
      <w:r>
        <w:t>ule.</w:t>
      </w:r>
    </w:p>
    <w:p w:rsidR="00CB6868" w:rsidRDefault="001557B3" w:rsidP="00721355">
      <w:r>
        <w:t>Subs</w:t>
      </w:r>
      <w:r w:rsidR="00CB6868">
        <w:t xml:space="preserve">ection </w:t>
      </w:r>
      <w:proofErr w:type="gramStart"/>
      <w:r w:rsidR="00CB6868">
        <w:t>16A(</w:t>
      </w:r>
      <w:proofErr w:type="gramEnd"/>
      <w:r w:rsidR="00CB6868">
        <w:t>2) of the Privacy Act states:</w:t>
      </w:r>
    </w:p>
    <w:p w:rsidR="00CB6868" w:rsidRDefault="00CB6868" w:rsidP="00CB6868">
      <w:pPr>
        <w:pStyle w:val="Quote"/>
      </w:pPr>
      <w:r>
        <w:t>The Commissioner may, by legislative instrument, make rules relating to the collection, use or disclosure of personal information that apply for the purposes of item 3 of the table in subsection (1).</w:t>
      </w:r>
    </w:p>
    <w:p w:rsidR="001614E3" w:rsidRPr="001614E3" w:rsidRDefault="001557B3" w:rsidP="00776B1D">
      <w:r>
        <w:t>Subs</w:t>
      </w:r>
      <w:r w:rsidR="001614E3">
        <w:t xml:space="preserve">ection 6(1) of the Privacy Act defines ‘Commissioner’ to mean ‘the Information Commissioner within the meaning of the </w:t>
      </w:r>
      <w:r w:rsidR="001614E3">
        <w:rPr>
          <w:i/>
        </w:rPr>
        <w:t>Australian Information Commissioner Act 2010</w:t>
      </w:r>
      <w:r w:rsidR="001614E3">
        <w:t>.’</w:t>
      </w:r>
    </w:p>
    <w:p w:rsidR="00CB6868" w:rsidRDefault="00CB6868" w:rsidP="00CB6868">
      <w:r>
        <w:t xml:space="preserve">Item 3 of the table in subsection </w:t>
      </w:r>
      <w:proofErr w:type="gramStart"/>
      <w:r>
        <w:t>16A</w:t>
      </w:r>
      <w:r w:rsidR="00F35640">
        <w:t>(</w:t>
      </w:r>
      <w:proofErr w:type="gramEnd"/>
      <w:r w:rsidR="00F35640">
        <w:t>1)</w:t>
      </w:r>
      <w:r>
        <w:t xml:space="preserve"> states:</w:t>
      </w:r>
    </w:p>
    <w:p w:rsidR="00CB6868" w:rsidRDefault="00CB6868" w:rsidP="00CB6868">
      <w:pPr>
        <w:pStyle w:val="Quote"/>
      </w:pPr>
      <w:r>
        <w:t>An APP entity is permitted to collect, use or disclose personal information if:</w:t>
      </w:r>
    </w:p>
    <w:p w:rsidR="00CB6868" w:rsidRDefault="00CB6868" w:rsidP="00CB6868">
      <w:pPr>
        <w:pStyle w:val="Quote"/>
        <w:numPr>
          <w:ilvl w:val="0"/>
          <w:numId w:val="7"/>
        </w:numPr>
        <w:spacing w:before="0"/>
        <w:ind w:right="0"/>
      </w:pPr>
      <w:r>
        <w:t>the entity reasonably believes that the collection, use or disclosure is reasonably necessary to assist any APP entity, body or person to locate a person who has been reported as missing, and</w:t>
      </w:r>
    </w:p>
    <w:p w:rsidR="00CB6868" w:rsidRDefault="00CB6868" w:rsidP="00CB6868">
      <w:pPr>
        <w:pStyle w:val="Quote"/>
        <w:numPr>
          <w:ilvl w:val="0"/>
          <w:numId w:val="7"/>
        </w:numPr>
        <w:spacing w:before="0"/>
        <w:ind w:right="0"/>
      </w:pPr>
      <w:proofErr w:type="gramStart"/>
      <w:r>
        <w:t>the</w:t>
      </w:r>
      <w:proofErr w:type="gramEnd"/>
      <w:r>
        <w:t xml:space="preserve"> collection, use or disclosure complies with the rules made under subsection (2).</w:t>
      </w:r>
    </w:p>
    <w:p w:rsidR="00560B8B" w:rsidRPr="00864C35" w:rsidRDefault="000B517F" w:rsidP="00864C35">
      <w:r>
        <w:rPr>
          <w:lang w:val="en-GB"/>
        </w:rPr>
        <w:t>As a ‘privacy function’ the Rule</w:t>
      </w:r>
      <w:r>
        <w:t xml:space="preserve"> can be made by the Privacy Commissioner in accordance with the functions and powers conferred in s 12 of the </w:t>
      </w:r>
      <w:r w:rsidRPr="003C7A50">
        <w:t>Australian Information Commissioner Act</w:t>
      </w:r>
      <w:r w:rsidRPr="00484CB0">
        <w:t>.</w:t>
      </w:r>
      <w:r>
        <w:t xml:space="preserve"> </w:t>
      </w:r>
    </w:p>
    <w:p w:rsidR="00AC7FE8" w:rsidRDefault="00AC7FE8" w:rsidP="00AC7FE8">
      <w:pPr>
        <w:pStyle w:val="Heading2"/>
      </w:pPr>
      <w:r>
        <w:t xml:space="preserve">Purpose </w:t>
      </w:r>
    </w:p>
    <w:p w:rsidR="002E49D5" w:rsidRDefault="002E49D5" w:rsidP="00DF5E4A">
      <w:r>
        <w:t>The purpose of the Rule is to give effect to item 3 of the table in s</w:t>
      </w:r>
      <w:r w:rsidR="00FB4F50">
        <w:t>ubsection</w:t>
      </w:r>
      <w:r>
        <w:t xml:space="preserve"> 16A(1) of the </w:t>
      </w:r>
      <w:r w:rsidRPr="00932FFA">
        <w:t>Privacy Act</w:t>
      </w:r>
      <w:r>
        <w:t xml:space="preserve">, which subject to the conditions </w:t>
      </w:r>
      <w:r w:rsidR="0032198C">
        <w:t xml:space="preserve">specified in </w:t>
      </w:r>
      <w:r>
        <w:t>column 3 of the table, permits an APP entity to collect</w:t>
      </w:r>
      <w:r w:rsidR="0032198C">
        <w:t xml:space="preserve"> sensitive information</w:t>
      </w:r>
      <w:r>
        <w:t xml:space="preserve">, </w:t>
      </w:r>
      <w:r w:rsidR="0032198C">
        <w:t xml:space="preserve">and </w:t>
      </w:r>
      <w:r>
        <w:t>use or disclose personal information for the purpose of locating a person</w:t>
      </w:r>
      <w:r w:rsidR="00906356">
        <w:t xml:space="preserve"> reported as missing</w:t>
      </w:r>
      <w:r>
        <w:t xml:space="preserve">. </w:t>
      </w:r>
    </w:p>
    <w:p w:rsidR="00560B8B" w:rsidRDefault="00560B8B" w:rsidP="00560B8B">
      <w:r>
        <w:lastRenderedPageBreak/>
        <w:t xml:space="preserve">In making the </w:t>
      </w:r>
      <w:r w:rsidR="00E548A6">
        <w:t>R</w:t>
      </w:r>
      <w:r>
        <w:t xml:space="preserve">ule, the </w:t>
      </w:r>
      <w:r w:rsidR="00D46CBE">
        <w:t xml:space="preserve">Privacy </w:t>
      </w:r>
      <w:r>
        <w:t>Commissioner has had regard to the objects of the Privacy Act, in particular:</w:t>
      </w:r>
    </w:p>
    <w:p w:rsidR="00560B8B" w:rsidRDefault="00560B8B" w:rsidP="00560B8B">
      <w:pPr>
        <w:pStyle w:val="Bulletlist"/>
      </w:pPr>
      <w:r>
        <w:t>to promote the protection of the privacy of individuals (s 2A(a))</w:t>
      </w:r>
    </w:p>
    <w:p w:rsidR="00560B8B" w:rsidRPr="00F26929" w:rsidRDefault="00560B8B" w:rsidP="00560B8B">
      <w:pPr>
        <w:pStyle w:val="Bulletlist"/>
      </w:pPr>
      <w:proofErr w:type="gramStart"/>
      <w:r>
        <w:t>to</w:t>
      </w:r>
      <w:proofErr w:type="gramEnd"/>
      <w:r>
        <w:t xml:space="preserve"> promote responsible and transparent handling of personal information by entities (s 2A(d)).</w:t>
      </w:r>
    </w:p>
    <w:p w:rsidR="002E49D5" w:rsidRPr="00776B1D" w:rsidRDefault="00CD0E33" w:rsidP="009842FB">
      <w:pPr>
        <w:rPr>
          <w:b/>
          <w:sz w:val="28"/>
          <w:szCs w:val="28"/>
        </w:rPr>
      </w:pPr>
      <w:r>
        <w:rPr>
          <w:b/>
          <w:sz w:val="28"/>
          <w:szCs w:val="28"/>
        </w:rPr>
        <w:t xml:space="preserve">Operation of the </w:t>
      </w:r>
      <w:r w:rsidR="003D0B4E">
        <w:rPr>
          <w:b/>
          <w:sz w:val="28"/>
          <w:szCs w:val="28"/>
        </w:rPr>
        <w:t>R</w:t>
      </w:r>
      <w:r>
        <w:rPr>
          <w:b/>
          <w:sz w:val="28"/>
          <w:szCs w:val="28"/>
        </w:rPr>
        <w:t>ule</w:t>
      </w:r>
    </w:p>
    <w:p w:rsidR="00487482" w:rsidRDefault="00487482" w:rsidP="000B517F">
      <w:r>
        <w:t xml:space="preserve">The Australian Privacy Principles (APPs) are legally binding principles that set out standards, rights and obligations in relation to handling, holding, accessing and correcting personal information. They apply to most Australian </w:t>
      </w:r>
      <w:r w:rsidR="000B517F">
        <w:t xml:space="preserve">and Norfolk Island Government </w:t>
      </w:r>
      <w:r>
        <w:t>agencies and certain private sector organisations – collectively referred to as APP entities.</w:t>
      </w:r>
    </w:p>
    <w:p w:rsidR="00487482" w:rsidRDefault="00487482">
      <w:r>
        <w:t xml:space="preserve">Under the APPs, an APP entity must not collect sensitive information, and must not disclose personal information for a purpose other than the primary purpose of collection, unless an exception applies. One exception is the existence of a permitted general situation. The permitted general situations are set out in s </w:t>
      </w:r>
      <w:proofErr w:type="gramStart"/>
      <w:r>
        <w:t>16A(</w:t>
      </w:r>
      <w:proofErr w:type="gramEnd"/>
      <w:r>
        <w:t>1) of the Privacy Act.</w:t>
      </w:r>
    </w:p>
    <w:p w:rsidR="009409B8" w:rsidRDefault="002E49D5" w:rsidP="00487482">
      <w:r>
        <w:t>The collection, use or disclosure of personal information</w:t>
      </w:r>
      <w:r w:rsidR="007B1798">
        <w:t xml:space="preserve"> by an APP entity</w:t>
      </w:r>
      <w:r>
        <w:t xml:space="preserve"> under </w:t>
      </w:r>
      <w:r w:rsidR="00487482">
        <w:t xml:space="preserve">permitted general situation </w:t>
      </w:r>
      <w:r>
        <w:t xml:space="preserve">3 must be in accordance with the </w:t>
      </w:r>
      <w:r w:rsidR="00E548A6">
        <w:t>R</w:t>
      </w:r>
      <w:r>
        <w:t>ule.</w:t>
      </w:r>
      <w:r w:rsidR="00BA11D7">
        <w:t xml:space="preserve"> </w:t>
      </w:r>
      <w:r w:rsidR="00487482">
        <w:t>P</w:t>
      </w:r>
      <w:r w:rsidR="009409B8">
        <w:t xml:space="preserve">ermitted general situation </w:t>
      </w:r>
      <w:r w:rsidR="00487482">
        <w:t xml:space="preserve">3 </w:t>
      </w:r>
      <w:r w:rsidR="009409B8">
        <w:t>provides an exception to the general prohibition of the collection of sensitive information, and the use and disclosure of personal information for a secondary purpose</w:t>
      </w:r>
      <w:r w:rsidR="007B1798">
        <w:t xml:space="preserve"> by an APP entity</w:t>
      </w:r>
      <w:r w:rsidR="009409B8">
        <w:t>.</w:t>
      </w:r>
    </w:p>
    <w:p w:rsidR="00330B5B" w:rsidRDefault="00127BE9" w:rsidP="009842FB">
      <w:r>
        <w:t xml:space="preserve">The Rule </w:t>
      </w:r>
      <w:r w:rsidR="00F26929">
        <w:t>limit</w:t>
      </w:r>
      <w:r w:rsidR="000B14B4">
        <w:t>s</w:t>
      </w:r>
      <w:r w:rsidR="00F26929">
        <w:t xml:space="preserve"> the </w:t>
      </w:r>
      <w:r w:rsidR="0035207E">
        <w:t xml:space="preserve">scope </w:t>
      </w:r>
      <w:r w:rsidR="00F26929">
        <w:t xml:space="preserve">of the </w:t>
      </w:r>
      <w:r w:rsidR="009409B8">
        <w:t xml:space="preserve">permitted general situation </w:t>
      </w:r>
      <w:r w:rsidR="005A10DE">
        <w:t>3</w:t>
      </w:r>
      <w:r w:rsidR="00CD0E33">
        <w:t>, in the following ways</w:t>
      </w:r>
      <w:r w:rsidR="00330B5B">
        <w:t>:</w:t>
      </w:r>
      <w:r w:rsidR="00776B1D">
        <w:rPr>
          <w:rStyle w:val="FootnoteReference"/>
        </w:rPr>
        <w:footnoteReference w:id="1"/>
      </w:r>
    </w:p>
    <w:p w:rsidR="00BA11D7" w:rsidRDefault="00BA11D7" w:rsidP="00330B5B">
      <w:pPr>
        <w:pStyle w:val="Bulletlist"/>
      </w:pPr>
      <w:r>
        <w:t>an APP entity must only collect sensitive information if it is a</w:t>
      </w:r>
      <w:r w:rsidR="0081015E">
        <w:t xml:space="preserve"> locating b</w:t>
      </w:r>
      <w:r>
        <w:t xml:space="preserve">ody as defined in the </w:t>
      </w:r>
      <w:r w:rsidR="00F356BD">
        <w:t>r</w:t>
      </w:r>
      <w:r>
        <w:t>ule</w:t>
      </w:r>
    </w:p>
    <w:p w:rsidR="00BA11D7" w:rsidRDefault="00BA11D7" w:rsidP="00330B5B">
      <w:pPr>
        <w:pStyle w:val="Bulletlist"/>
      </w:pPr>
      <w:r>
        <w:t xml:space="preserve">the sensitive information that is collected </w:t>
      </w:r>
      <w:r w:rsidR="00776B1D">
        <w:t xml:space="preserve">by the </w:t>
      </w:r>
      <w:r w:rsidR="0081015E">
        <w:t>locating b</w:t>
      </w:r>
      <w:r w:rsidR="00776B1D">
        <w:t xml:space="preserve">ody </w:t>
      </w:r>
      <w:r>
        <w:t xml:space="preserve">must be limited to the extent </w:t>
      </w:r>
      <w:r w:rsidR="00C577A2">
        <w:t xml:space="preserve">reasonably </w:t>
      </w:r>
      <w:r>
        <w:t>necessary to make contact with, or offer ‘proof of life’ of the person reported as missing</w:t>
      </w:r>
    </w:p>
    <w:p w:rsidR="00330B5B" w:rsidRPr="00330B5B" w:rsidRDefault="004D2B2E" w:rsidP="00330B5B">
      <w:pPr>
        <w:pStyle w:val="Bulletlist"/>
      </w:pPr>
      <w:r>
        <w:t xml:space="preserve">an APP entity must only </w:t>
      </w:r>
      <w:r w:rsidR="00330B5B" w:rsidRPr="00330B5B">
        <w:t xml:space="preserve">use </w:t>
      </w:r>
      <w:r>
        <w:t xml:space="preserve">or </w:t>
      </w:r>
      <w:r w:rsidR="00330B5B" w:rsidRPr="00330B5B">
        <w:t>disclose</w:t>
      </w:r>
      <w:r>
        <w:t xml:space="preserve"> </w:t>
      </w:r>
      <w:r w:rsidR="0077081A">
        <w:t xml:space="preserve">the </w:t>
      </w:r>
      <w:r>
        <w:t>personal information</w:t>
      </w:r>
      <w:r w:rsidR="0077081A">
        <w:t xml:space="preserve"> of </w:t>
      </w:r>
      <w:r w:rsidR="00776B1D">
        <w:t xml:space="preserve">a </w:t>
      </w:r>
      <w:r w:rsidR="0077081A">
        <w:t>person reported as missing</w:t>
      </w:r>
      <w:r>
        <w:t xml:space="preserve"> </w:t>
      </w:r>
      <w:r w:rsidR="00330B5B" w:rsidRPr="00330B5B">
        <w:t xml:space="preserve">in response to requests from </w:t>
      </w:r>
      <w:r w:rsidR="0066177D">
        <w:t xml:space="preserve">locating bodies, as defined in the </w:t>
      </w:r>
      <w:r w:rsidR="00F356BD">
        <w:t>r</w:t>
      </w:r>
      <w:r w:rsidR="0066177D">
        <w:t>ule</w:t>
      </w:r>
    </w:p>
    <w:p w:rsidR="00330B5B" w:rsidRPr="00330B5B" w:rsidRDefault="004D2B2E" w:rsidP="00330B5B">
      <w:pPr>
        <w:pStyle w:val="Bulletlist"/>
        <w:rPr>
          <w:rFonts w:asciiTheme="minorHAnsi" w:hAnsiTheme="minorHAnsi" w:cstheme="minorHAnsi"/>
          <w:szCs w:val="24"/>
        </w:rPr>
      </w:pPr>
      <w:r>
        <w:rPr>
          <w:rFonts w:asciiTheme="minorHAnsi" w:hAnsiTheme="minorHAnsi" w:cstheme="minorHAnsi"/>
          <w:szCs w:val="24"/>
        </w:rPr>
        <w:t xml:space="preserve">an APP entity must only use or disclose </w:t>
      </w:r>
      <w:r w:rsidR="00C577A2">
        <w:rPr>
          <w:rFonts w:asciiTheme="minorHAnsi" w:hAnsiTheme="minorHAnsi" w:cstheme="minorHAnsi"/>
          <w:szCs w:val="24"/>
        </w:rPr>
        <w:t xml:space="preserve">the </w:t>
      </w:r>
      <w:r>
        <w:rPr>
          <w:rFonts w:asciiTheme="minorHAnsi" w:hAnsiTheme="minorHAnsi" w:cstheme="minorHAnsi"/>
          <w:szCs w:val="24"/>
        </w:rPr>
        <w:t xml:space="preserve">personal information </w:t>
      </w:r>
      <w:r w:rsidR="00C577A2">
        <w:rPr>
          <w:rFonts w:asciiTheme="minorHAnsi" w:hAnsiTheme="minorHAnsi" w:cstheme="minorHAnsi"/>
          <w:szCs w:val="24"/>
        </w:rPr>
        <w:t xml:space="preserve">of a person reported as missing </w:t>
      </w:r>
      <w:r>
        <w:rPr>
          <w:rFonts w:asciiTheme="minorHAnsi" w:hAnsiTheme="minorHAnsi" w:cstheme="minorHAnsi"/>
          <w:szCs w:val="24"/>
        </w:rPr>
        <w:t xml:space="preserve">with </w:t>
      </w:r>
      <w:r w:rsidR="00C577A2">
        <w:rPr>
          <w:rFonts w:asciiTheme="minorHAnsi" w:hAnsiTheme="minorHAnsi" w:cstheme="minorHAnsi"/>
          <w:szCs w:val="24"/>
        </w:rPr>
        <w:t xml:space="preserve">that </w:t>
      </w:r>
      <w:r>
        <w:rPr>
          <w:rFonts w:asciiTheme="minorHAnsi" w:hAnsiTheme="minorHAnsi" w:cstheme="minorHAnsi"/>
          <w:szCs w:val="24"/>
        </w:rPr>
        <w:t xml:space="preserve">individual’s consent, or </w:t>
      </w:r>
      <w:r w:rsidR="00C577A2">
        <w:rPr>
          <w:rFonts w:asciiTheme="minorHAnsi" w:hAnsiTheme="minorHAnsi" w:cstheme="minorHAnsi"/>
          <w:szCs w:val="24"/>
        </w:rPr>
        <w:t xml:space="preserve">in circumstances where </w:t>
      </w:r>
      <w:r>
        <w:rPr>
          <w:rFonts w:asciiTheme="minorHAnsi" w:hAnsiTheme="minorHAnsi" w:cstheme="minorHAnsi"/>
          <w:szCs w:val="24"/>
        </w:rPr>
        <w:t>it is un</w:t>
      </w:r>
      <w:r w:rsidR="00330B5B" w:rsidRPr="00330B5B">
        <w:rPr>
          <w:rFonts w:asciiTheme="minorHAnsi" w:hAnsiTheme="minorHAnsi" w:cstheme="minorHAnsi"/>
          <w:szCs w:val="24"/>
        </w:rPr>
        <w:t xml:space="preserve">reasonable </w:t>
      </w:r>
      <w:r>
        <w:rPr>
          <w:rFonts w:asciiTheme="minorHAnsi" w:hAnsiTheme="minorHAnsi" w:cstheme="minorHAnsi"/>
          <w:szCs w:val="24"/>
        </w:rPr>
        <w:t>or</w:t>
      </w:r>
      <w:r w:rsidR="00330B5B" w:rsidRPr="00330B5B">
        <w:rPr>
          <w:rFonts w:asciiTheme="minorHAnsi" w:hAnsiTheme="minorHAnsi" w:cstheme="minorHAnsi"/>
          <w:szCs w:val="24"/>
        </w:rPr>
        <w:t xml:space="preserve"> </w:t>
      </w:r>
      <w:r>
        <w:rPr>
          <w:rFonts w:asciiTheme="minorHAnsi" w:hAnsiTheme="minorHAnsi" w:cstheme="minorHAnsi"/>
          <w:szCs w:val="24"/>
        </w:rPr>
        <w:t>im</w:t>
      </w:r>
      <w:r w:rsidR="00330B5B" w:rsidRPr="00330B5B">
        <w:rPr>
          <w:rFonts w:asciiTheme="minorHAnsi" w:hAnsiTheme="minorHAnsi" w:cstheme="minorHAnsi"/>
          <w:szCs w:val="24"/>
        </w:rPr>
        <w:t>practicable</w:t>
      </w:r>
      <w:r>
        <w:rPr>
          <w:rFonts w:asciiTheme="minorHAnsi" w:hAnsiTheme="minorHAnsi" w:cstheme="minorHAnsi"/>
          <w:szCs w:val="24"/>
        </w:rPr>
        <w:t xml:space="preserve"> to obtain</w:t>
      </w:r>
      <w:r w:rsidR="00330B5B" w:rsidRPr="00330B5B">
        <w:rPr>
          <w:rFonts w:asciiTheme="minorHAnsi" w:hAnsiTheme="minorHAnsi" w:cstheme="minorHAnsi"/>
          <w:szCs w:val="24"/>
        </w:rPr>
        <w:t xml:space="preserve"> the individual’s consent </w:t>
      </w:r>
    </w:p>
    <w:p w:rsidR="00330B5B" w:rsidRPr="00330B5B" w:rsidRDefault="00330B5B" w:rsidP="00330B5B">
      <w:pPr>
        <w:pStyle w:val="Bulletlist"/>
        <w:rPr>
          <w:rFonts w:asciiTheme="minorHAnsi" w:hAnsiTheme="minorHAnsi" w:cstheme="minorHAnsi"/>
          <w:szCs w:val="24"/>
        </w:rPr>
      </w:pPr>
      <w:r w:rsidRPr="00330B5B">
        <w:rPr>
          <w:rFonts w:asciiTheme="minorHAnsi" w:hAnsiTheme="minorHAnsi" w:cstheme="minorHAnsi"/>
          <w:szCs w:val="24"/>
        </w:rPr>
        <w:t xml:space="preserve">where it is unreasonable or impracticable to obtain </w:t>
      </w:r>
      <w:r w:rsidR="00C577A2">
        <w:rPr>
          <w:rFonts w:asciiTheme="minorHAnsi" w:hAnsiTheme="minorHAnsi" w:cstheme="minorHAnsi"/>
          <w:szCs w:val="24"/>
        </w:rPr>
        <w:t>the</w:t>
      </w:r>
      <w:r w:rsidR="004D2B2E">
        <w:rPr>
          <w:rFonts w:asciiTheme="minorHAnsi" w:hAnsiTheme="minorHAnsi" w:cstheme="minorHAnsi"/>
          <w:szCs w:val="24"/>
        </w:rPr>
        <w:t xml:space="preserve"> </w:t>
      </w:r>
      <w:r w:rsidRPr="00330B5B">
        <w:rPr>
          <w:rFonts w:asciiTheme="minorHAnsi" w:hAnsiTheme="minorHAnsi" w:cstheme="minorHAnsi"/>
          <w:szCs w:val="24"/>
        </w:rPr>
        <w:t>consent</w:t>
      </w:r>
      <w:r w:rsidR="00C577A2">
        <w:rPr>
          <w:rFonts w:asciiTheme="minorHAnsi" w:hAnsiTheme="minorHAnsi" w:cstheme="minorHAnsi"/>
          <w:szCs w:val="24"/>
        </w:rPr>
        <w:t xml:space="preserve"> o</w:t>
      </w:r>
      <w:r w:rsidR="007E5AAB">
        <w:rPr>
          <w:rFonts w:asciiTheme="minorHAnsi" w:hAnsiTheme="minorHAnsi" w:cstheme="minorHAnsi"/>
          <w:szCs w:val="24"/>
        </w:rPr>
        <w:t>f</w:t>
      </w:r>
      <w:r w:rsidR="00C577A2">
        <w:rPr>
          <w:rFonts w:asciiTheme="minorHAnsi" w:hAnsiTheme="minorHAnsi" w:cstheme="minorHAnsi"/>
          <w:szCs w:val="24"/>
        </w:rPr>
        <w:t xml:space="preserve"> a person reported as missing</w:t>
      </w:r>
      <w:r w:rsidR="004D2B2E">
        <w:rPr>
          <w:rFonts w:asciiTheme="minorHAnsi" w:hAnsiTheme="minorHAnsi" w:cstheme="minorHAnsi"/>
          <w:szCs w:val="24"/>
        </w:rPr>
        <w:t xml:space="preserve">, the </w:t>
      </w:r>
      <w:r w:rsidRPr="00330B5B">
        <w:rPr>
          <w:rFonts w:asciiTheme="minorHAnsi" w:hAnsiTheme="minorHAnsi" w:cstheme="minorHAnsi"/>
          <w:szCs w:val="24"/>
        </w:rPr>
        <w:t xml:space="preserve">use or disclosure </w:t>
      </w:r>
      <w:r w:rsidR="004D2B2E">
        <w:rPr>
          <w:rFonts w:asciiTheme="minorHAnsi" w:hAnsiTheme="minorHAnsi" w:cstheme="minorHAnsi"/>
          <w:szCs w:val="24"/>
        </w:rPr>
        <w:t>of the</w:t>
      </w:r>
      <w:r w:rsidR="00C577A2">
        <w:rPr>
          <w:rFonts w:asciiTheme="minorHAnsi" w:hAnsiTheme="minorHAnsi" w:cstheme="minorHAnsi"/>
          <w:szCs w:val="24"/>
        </w:rPr>
        <w:t>ir</w:t>
      </w:r>
      <w:r w:rsidR="004D2B2E">
        <w:rPr>
          <w:rFonts w:asciiTheme="minorHAnsi" w:hAnsiTheme="minorHAnsi" w:cstheme="minorHAnsi"/>
          <w:szCs w:val="24"/>
        </w:rPr>
        <w:t xml:space="preserve"> personal information must </w:t>
      </w:r>
      <w:r w:rsidRPr="00330B5B">
        <w:rPr>
          <w:rFonts w:asciiTheme="minorHAnsi" w:hAnsiTheme="minorHAnsi" w:cstheme="minorHAnsi"/>
          <w:szCs w:val="24"/>
        </w:rPr>
        <w:t xml:space="preserve">not </w:t>
      </w:r>
      <w:r w:rsidR="004D2B2E">
        <w:rPr>
          <w:rFonts w:asciiTheme="minorHAnsi" w:hAnsiTheme="minorHAnsi" w:cstheme="minorHAnsi"/>
          <w:szCs w:val="24"/>
        </w:rPr>
        <w:t xml:space="preserve">be contrary to any wish expressed by </w:t>
      </w:r>
      <w:r w:rsidR="0077081A">
        <w:rPr>
          <w:rFonts w:asciiTheme="minorHAnsi" w:hAnsiTheme="minorHAnsi" w:cstheme="minorHAnsi"/>
          <w:szCs w:val="24"/>
        </w:rPr>
        <w:t>the person reported as missing</w:t>
      </w:r>
      <w:r w:rsidR="004D2B2E">
        <w:rPr>
          <w:rFonts w:asciiTheme="minorHAnsi" w:hAnsiTheme="minorHAnsi" w:cstheme="minorHAnsi"/>
          <w:szCs w:val="24"/>
        </w:rPr>
        <w:t xml:space="preserve"> of which the APP entity is aware</w:t>
      </w:r>
    </w:p>
    <w:p w:rsidR="00330B5B" w:rsidRPr="00330B5B" w:rsidRDefault="004D2B2E" w:rsidP="00330B5B">
      <w:pPr>
        <w:pStyle w:val="Bulletlist"/>
        <w:rPr>
          <w:rFonts w:asciiTheme="minorHAnsi" w:hAnsiTheme="minorHAnsi" w:cstheme="minorHAnsi"/>
          <w:szCs w:val="24"/>
        </w:rPr>
      </w:pPr>
      <w:r>
        <w:rPr>
          <w:rFonts w:asciiTheme="minorHAnsi" w:hAnsiTheme="minorHAnsi" w:cstheme="minorHAnsi"/>
          <w:szCs w:val="24"/>
        </w:rPr>
        <w:lastRenderedPageBreak/>
        <w:t xml:space="preserve">the personal information that is used or </w:t>
      </w:r>
      <w:r w:rsidR="00330B5B" w:rsidRPr="00330B5B">
        <w:rPr>
          <w:rFonts w:asciiTheme="minorHAnsi" w:hAnsiTheme="minorHAnsi" w:cstheme="minorHAnsi"/>
          <w:szCs w:val="24"/>
        </w:rPr>
        <w:t>disclose</w:t>
      </w:r>
      <w:r>
        <w:rPr>
          <w:rFonts w:asciiTheme="minorHAnsi" w:hAnsiTheme="minorHAnsi" w:cstheme="minorHAnsi"/>
          <w:szCs w:val="24"/>
        </w:rPr>
        <w:t>d must be limited to the extent reasonably necessary to make contact with</w:t>
      </w:r>
      <w:r w:rsidR="0000624D">
        <w:rPr>
          <w:rFonts w:asciiTheme="minorHAnsi" w:hAnsiTheme="minorHAnsi" w:cstheme="minorHAnsi"/>
          <w:szCs w:val="24"/>
        </w:rPr>
        <w:t xml:space="preserve">, or offer ‘proof of life’ of </w:t>
      </w:r>
      <w:r>
        <w:rPr>
          <w:rFonts w:asciiTheme="minorHAnsi" w:hAnsiTheme="minorHAnsi" w:cstheme="minorHAnsi"/>
          <w:szCs w:val="24"/>
        </w:rPr>
        <w:t>the person reported as missing</w:t>
      </w:r>
      <w:r w:rsidR="00330B5B">
        <w:rPr>
          <w:rFonts w:asciiTheme="minorHAnsi" w:hAnsiTheme="minorHAnsi" w:cstheme="minorHAnsi"/>
          <w:szCs w:val="24"/>
        </w:rPr>
        <w:t>,</w:t>
      </w:r>
      <w:r w:rsidR="00330B5B" w:rsidRPr="00330B5B">
        <w:rPr>
          <w:rFonts w:asciiTheme="minorHAnsi" w:hAnsiTheme="minorHAnsi" w:cstheme="minorHAnsi"/>
          <w:szCs w:val="24"/>
        </w:rPr>
        <w:t xml:space="preserve"> and </w:t>
      </w:r>
    </w:p>
    <w:p w:rsidR="00330B5B" w:rsidRPr="00330B5B" w:rsidRDefault="004D2B2E" w:rsidP="00330B5B">
      <w:pPr>
        <w:pStyle w:val="Bulletlist"/>
        <w:rPr>
          <w:rFonts w:asciiTheme="minorHAnsi" w:hAnsiTheme="minorHAnsi" w:cstheme="minorHAnsi"/>
          <w:szCs w:val="24"/>
        </w:rPr>
      </w:pPr>
      <w:proofErr w:type="gramStart"/>
      <w:r>
        <w:rPr>
          <w:rFonts w:asciiTheme="minorHAnsi" w:hAnsiTheme="minorHAnsi" w:cstheme="minorHAnsi"/>
          <w:szCs w:val="24"/>
        </w:rPr>
        <w:t>an</w:t>
      </w:r>
      <w:proofErr w:type="gramEnd"/>
      <w:r>
        <w:rPr>
          <w:rFonts w:asciiTheme="minorHAnsi" w:hAnsiTheme="minorHAnsi" w:cstheme="minorHAnsi"/>
          <w:szCs w:val="24"/>
        </w:rPr>
        <w:t xml:space="preserve"> APP entity must not collect</w:t>
      </w:r>
      <w:r w:rsidR="0077081A">
        <w:rPr>
          <w:rFonts w:asciiTheme="minorHAnsi" w:hAnsiTheme="minorHAnsi" w:cstheme="minorHAnsi"/>
          <w:szCs w:val="24"/>
        </w:rPr>
        <w:t xml:space="preserve"> sensitive information</w:t>
      </w:r>
      <w:r>
        <w:rPr>
          <w:rFonts w:asciiTheme="minorHAnsi" w:hAnsiTheme="minorHAnsi" w:cstheme="minorHAnsi"/>
          <w:szCs w:val="24"/>
        </w:rPr>
        <w:t>,</w:t>
      </w:r>
      <w:r w:rsidR="0077081A">
        <w:rPr>
          <w:rFonts w:asciiTheme="minorHAnsi" w:hAnsiTheme="minorHAnsi" w:cstheme="minorHAnsi"/>
          <w:szCs w:val="24"/>
        </w:rPr>
        <w:t xml:space="preserve"> or</w:t>
      </w:r>
      <w:r>
        <w:rPr>
          <w:rFonts w:asciiTheme="minorHAnsi" w:hAnsiTheme="minorHAnsi" w:cstheme="minorHAnsi"/>
          <w:szCs w:val="24"/>
        </w:rPr>
        <w:t xml:space="preserve"> use or disclose personal information if the </w:t>
      </w:r>
      <w:r w:rsidR="0000624D">
        <w:rPr>
          <w:rFonts w:asciiTheme="minorHAnsi" w:hAnsiTheme="minorHAnsi" w:cstheme="minorHAnsi"/>
          <w:szCs w:val="24"/>
        </w:rPr>
        <w:t xml:space="preserve">APP </w:t>
      </w:r>
      <w:r>
        <w:rPr>
          <w:rFonts w:asciiTheme="minorHAnsi" w:hAnsiTheme="minorHAnsi" w:cstheme="minorHAnsi"/>
          <w:szCs w:val="24"/>
        </w:rPr>
        <w:t xml:space="preserve">entity reasonably believes that the collection, use or disclosure </w:t>
      </w:r>
      <w:r w:rsidR="00330B5B" w:rsidRPr="00330B5B">
        <w:rPr>
          <w:rFonts w:asciiTheme="minorHAnsi" w:hAnsiTheme="minorHAnsi" w:cstheme="minorHAnsi"/>
          <w:szCs w:val="24"/>
        </w:rPr>
        <w:t xml:space="preserve">would pose a serious threat </w:t>
      </w:r>
      <w:r>
        <w:rPr>
          <w:rFonts w:asciiTheme="minorHAnsi" w:hAnsiTheme="minorHAnsi" w:cstheme="minorHAnsi"/>
          <w:szCs w:val="24"/>
        </w:rPr>
        <w:t>to the life, health or safety of</w:t>
      </w:r>
      <w:r w:rsidR="00330B5B" w:rsidRPr="00330B5B">
        <w:rPr>
          <w:rFonts w:asciiTheme="minorHAnsi" w:hAnsiTheme="minorHAnsi" w:cstheme="minorHAnsi"/>
          <w:szCs w:val="24"/>
        </w:rPr>
        <w:t xml:space="preserve"> any individual. </w:t>
      </w:r>
    </w:p>
    <w:p w:rsidR="00CD0E33" w:rsidRDefault="00CD0E33" w:rsidP="00CD0E33">
      <w:r>
        <w:t>The Rule make</w:t>
      </w:r>
      <w:r w:rsidR="000B14B4">
        <w:t>s</w:t>
      </w:r>
      <w:r>
        <w:t xml:space="preserve"> clear that an APP entity is permitted, but is not required, to collect, use or disclose personal information where necessary to assist in locating a person reported as missing. </w:t>
      </w:r>
    </w:p>
    <w:p w:rsidR="00B0705C" w:rsidRDefault="0077081A" w:rsidP="00B0705C">
      <w:r>
        <w:t>Detail</w:t>
      </w:r>
      <w:r w:rsidR="00E548A6">
        <w:t>s</w:t>
      </w:r>
      <w:r>
        <w:t xml:space="preserve"> </w:t>
      </w:r>
      <w:r w:rsidR="00B0705C">
        <w:t xml:space="preserve">of the </w:t>
      </w:r>
      <w:r w:rsidR="00E548A6">
        <w:t>R</w:t>
      </w:r>
      <w:r w:rsidR="00B0705C">
        <w:t xml:space="preserve">ule </w:t>
      </w:r>
      <w:r w:rsidR="00487482">
        <w:t>are</w:t>
      </w:r>
      <w:r w:rsidR="00B0705C">
        <w:t xml:space="preserve"> set out in the </w:t>
      </w:r>
      <w:r w:rsidR="00B0705C" w:rsidRPr="00776B1D">
        <w:rPr>
          <w:u w:val="single"/>
        </w:rPr>
        <w:t>Attachment</w:t>
      </w:r>
      <w:r w:rsidR="00B0705C">
        <w:t>.</w:t>
      </w:r>
    </w:p>
    <w:p w:rsidR="00CB6868" w:rsidRDefault="00CB6868" w:rsidP="00CB6868">
      <w:pPr>
        <w:pStyle w:val="Heading2"/>
      </w:pPr>
      <w:r>
        <w:t>Consultation</w:t>
      </w:r>
    </w:p>
    <w:p w:rsidR="00CB6868" w:rsidRDefault="002E49D5" w:rsidP="00CB6868">
      <w:r>
        <w:t>Consistent with the requirements of the Legislative Instruments Act</w:t>
      </w:r>
      <w:r w:rsidR="00CD68D3">
        <w:rPr>
          <w:rStyle w:val="FootnoteReference"/>
        </w:rPr>
        <w:footnoteReference w:id="2"/>
      </w:r>
      <w:r>
        <w:t xml:space="preserve"> and the recommendation</w:t>
      </w:r>
      <w:r w:rsidR="00CD0E33">
        <w:t>s</w:t>
      </w:r>
      <w:r>
        <w:t xml:space="preserve"> set out in the Explanatory Memorandum to the Privacy </w:t>
      </w:r>
      <w:r w:rsidR="00CD0E33">
        <w:t xml:space="preserve">Amendment (Enhancing Privacy Protection) Bill 2012, </w:t>
      </w:r>
      <w:r w:rsidR="00CD68D3">
        <w:t>the Office of the Australian Information Commissioner undertook a comprehensive three stage consultation process</w:t>
      </w:r>
      <w:r w:rsidR="00CB6868">
        <w:t xml:space="preserve">: </w:t>
      </w:r>
    </w:p>
    <w:p w:rsidR="00CB6868" w:rsidRPr="00BA5EF7" w:rsidRDefault="00CB6868" w:rsidP="00CB6868">
      <w:pPr>
        <w:pStyle w:val="Bulletlist"/>
      </w:pPr>
      <w:r w:rsidRPr="00BA5EF7">
        <w:t>preliminary consultation</w:t>
      </w:r>
      <w:r w:rsidR="003D2C20">
        <w:t xml:space="preserve"> with</w:t>
      </w:r>
      <w:r w:rsidR="000F4227">
        <w:t xml:space="preserve"> selected</w:t>
      </w:r>
      <w:r w:rsidR="003D2C20">
        <w:t xml:space="preserve"> bodies involved in locating missing persons </w:t>
      </w:r>
    </w:p>
    <w:p w:rsidR="003D2C20" w:rsidRDefault="00CB6868" w:rsidP="00CB6868">
      <w:pPr>
        <w:pStyle w:val="Bulletlist"/>
      </w:pPr>
      <w:proofErr w:type="gramStart"/>
      <w:r w:rsidRPr="00BA5EF7">
        <w:t>targeted</w:t>
      </w:r>
      <w:proofErr w:type="gramEnd"/>
      <w:r w:rsidRPr="00BA5EF7">
        <w:t xml:space="preserve"> consultation on </w:t>
      </w:r>
      <w:r w:rsidR="00CD68D3">
        <w:t xml:space="preserve">a draft set of rules </w:t>
      </w:r>
      <w:r w:rsidR="003D2C20">
        <w:t>and guidance material</w:t>
      </w:r>
      <w:r w:rsidRPr="00BA5EF7">
        <w:t>.</w:t>
      </w:r>
    </w:p>
    <w:p w:rsidR="00CB6868" w:rsidRDefault="00CB6868" w:rsidP="00CB6868">
      <w:pPr>
        <w:pStyle w:val="Bulletlist"/>
      </w:pPr>
      <w:proofErr w:type="gramStart"/>
      <w:r w:rsidRPr="00BA5EF7">
        <w:t>public</w:t>
      </w:r>
      <w:proofErr w:type="gramEnd"/>
      <w:r w:rsidRPr="00BA5EF7">
        <w:t xml:space="preserve"> consultation on the draft </w:t>
      </w:r>
      <w:r w:rsidR="00CD68D3">
        <w:t>set of rules</w:t>
      </w:r>
      <w:r w:rsidRPr="00BA5EF7">
        <w:t>.</w:t>
      </w:r>
    </w:p>
    <w:p w:rsidR="00410BAE" w:rsidRDefault="00410BAE" w:rsidP="00410BAE">
      <w:r>
        <w:t>The OAIC incorporated</w:t>
      </w:r>
      <w:r w:rsidR="003D2C20">
        <w:t xml:space="preserve"> the information gained during preliminary consultation</w:t>
      </w:r>
      <w:r w:rsidR="000F4227">
        <w:t>,</w:t>
      </w:r>
      <w:r w:rsidR="003D2C20">
        <w:t xml:space="preserve"> and</w:t>
      </w:r>
      <w:r w:rsidR="000F4227">
        <w:t xml:space="preserve"> the</w:t>
      </w:r>
      <w:r>
        <w:t xml:space="preserve"> feedback received during the targeted consultation</w:t>
      </w:r>
      <w:r w:rsidR="000F4227">
        <w:t>,</w:t>
      </w:r>
      <w:r>
        <w:t xml:space="preserve"> and released</w:t>
      </w:r>
      <w:r w:rsidR="000F4227">
        <w:t xml:space="preserve"> </w:t>
      </w:r>
      <w:r w:rsidR="00CD68D3">
        <w:t>a draft set of r</w:t>
      </w:r>
      <w:r>
        <w:t xml:space="preserve">ules for public consultation in </w:t>
      </w:r>
      <w:r w:rsidR="00DF5E4A">
        <w:t xml:space="preserve">December </w:t>
      </w:r>
      <w:r>
        <w:t>201</w:t>
      </w:r>
      <w:r w:rsidR="00DF5E4A">
        <w:t>3</w:t>
      </w:r>
      <w:r>
        <w:t>. Comment was invited from</w:t>
      </w:r>
      <w:r w:rsidR="00EA2315">
        <w:t xml:space="preserve"> locating bodies and Australian Government agencies.</w:t>
      </w:r>
      <w:r>
        <w:t xml:space="preserve"> Consultation documents were made available on the OAIC’s website during the </w:t>
      </w:r>
      <w:r w:rsidR="00EA2315">
        <w:t xml:space="preserve">seven </w:t>
      </w:r>
      <w:r>
        <w:t>week consultation period.</w:t>
      </w:r>
    </w:p>
    <w:p w:rsidR="00410BAE" w:rsidRPr="00820890" w:rsidRDefault="00410BAE" w:rsidP="00410BAE">
      <w:r w:rsidRPr="00820890">
        <w:t xml:space="preserve">The OAIC received </w:t>
      </w:r>
      <w:r w:rsidR="00487482">
        <w:t>three</w:t>
      </w:r>
      <w:r w:rsidRPr="00820890">
        <w:t xml:space="preserve"> written submissions in response to the consultation documents. The submissions are available on the OAIC website.</w:t>
      </w:r>
    </w:p>
    <w:p w:rsidR="009A6C47" w:rsidRDefault="009A6C47" w:rsidP="00410BAE">
      <w:r w:rsidRPr="00820890">
        <w:t>The submission</w:t>
      </w:r>
      <w:r w:rsidR="001F1A34">
        <w:t>s</w:t>
      </w:r>
      <w:r w:rsidRPr="00820890">
        <w:t xml:space="preserve"> received in relation to these consultations were considered and incorporated where possible in finalising the </w:t>
      </w:r>
      <w:r w:rsidRPr="00487482">
        <w:rPr>
          <w:i/>
        </w:rPr>
        <w:t>Privacy (Persons Reported as Missing) Rule</w:t>
      </w:r>
      <w:r w:rsidR="000B14B4">
        <w:rPr>
          <w:i/>
        </w:rPr>
        <w:t xml:space="preserve"> 2014</w:t>
      </w:r>
      <w:r w:rsidRPr="00820890">
        <w:t>.</w:t>
      </w:r>
    </w:p>
    <w:p w:rsidR="009A6C47" w:rsidRDefault="009A6C47" w:rsidP="00410BAE">
      <w:r>
        <w:t xml:space="preserve">The Rule </w:t>
      </w:r>
      <w:r w:rsidR="000B14B4">
        <w:t xml:space="preserve">is </w:t>
      </w:r>
      <w:r>
        <w:t xml:space="preserve">substantially similar to </w:t>
      </w:r>
      <w:r w:rsidR="001F1A34">
        <w:t xml:space="preserve">that </w:t>
      </w:r>
      <w:r>
        <w:t>provided for public consultation.</w:t>
      </w:r>
    </w:p>
    <w:p w:rsidR="009A3DD4" w:rsidRDefault="009A3DD4">
      <w:pPr>
        <w:spacing w:after="200" w:line="24" w:lineRule="auto"/>
      </w:pPr>
      <w:r>
        <w:br w:type="page"/>
      </w:r>
    </w:p>
    <w:p w:rsidR="00B62647" w:rsidRPr="00B62647" w:rsidRDefault="00B62647" w:rsidP="00C41BDC">
      <w:pPr>
        <w:spacing w:before="360" w:after="120"/>
        <w:rPr>
          <w:rFonts w:asciiTheme="minorHAnsi" w:hAnsiTheme="minorHAnsi" w:cstheme="minorHAnsi"/>
          <w:b/>
          <w:sz w:val="28"/>
          <w:szCs w:val="28"/>
        </w:rPr>
      </w:pPr>
      <w:r w:rsidRPr="00B62647">
        <w:rPr>
          <w:rFonts w:asciiTheme="minorHAnsi" w:hAnsiTheme="minorHAnsi" w:cstheme="minorHAnsi"/>
          <w:b/>
          <w:sz w:val="28"/>
          <w:szCs w:val="28"/>
        </w:rPr>
        <w:lastRenderedPageBreak/>
        <w:t>Statement of Compatibility with Human Rights</w:t>
      </w:r>
    </w:p>
    <w:p w:rsidR="00B62647" w:rsidRPr="00B62647" w:rsidRDefault="00B62647" w:rsidP="00C41BDC">
      <w:pPr>
        <w:spacing w:before="120" w:after="120"/>
        <w:rPr>
          <w:rFonts w:asciiTheme="minorHAnsi" w:hAnsiTheme="minorHAnsi" w:cstheme="minorHAnsi"/>
          <w:szCs w:val="24"/>
        </w:rPr>
      </w:pPr>
      <w:r w:rsidRPr="00B62647">
        <w:rPr>
          <w:rFonts w:asciiTheme="minorHAnsi" w:hAnsiTheme="minorHAnsi" w:cstheme="minorHAnsi"/>
          <w:i/>
          <w:szCs w:val="24"/>
        </w:rPr>
        <w:t>Prepared in accordance with Part 3 of the Human Rights (Parliamentary Scrutiny) Act 2011</w:t>
      </w:r>
    </w:p>
    <w:p w:rsidR="00B62647" w:rsidRPr="00B62647" w:rsidRDefault="00B62647" w:rsidP="00C41BDC">
      <w:pPr>
        <w:spacing w:before="120" w:after="120"/>
        <w:rPr>
          <w:rFonts w:asciiTheme="minorHAnsi" w:hAnsiTheme="minorHAnsi" w:cstheme="minorHAnsi"/>
          <w:b/>
          <w:i/>
          <w:szCs w:val="24"/>
        </w:rPr>
      </w:pPr>
      <w:r w:rsidRPr="00B62647">
        <w:rPr>
          <w:rFonts w:asciiTheme="minorHAnsi" w:hAnsiTheme="minorHAnsi" w:cstheme="minorHAnsi"/>
          <w:b/>
          <w:i/>
          <w:szCs w:val="24"/>
        </w:rPr>
        <w:t>Privacy (Persons Reported as Missing) Rule 2014</w:t>
      </w:r>
    </w:p>
    <w:p w:rsidR="00B62647" w:rsidRPr="00B62647" w:rsidRDefault="00B62647" w:rsidP="00C41BDC">
      <w:pPr>
        <w:spacing w:before="120" w:after="120"/>
        <w:rPr>
          <w:rFonts w:asciiTheme="minorHAnsi" w:hAnsiTheme="minorHAnsi" w:cstheme="minorHAnsi"/>
          <w:szCs w:val="24"/>
        </w:rPr>
      </w:pPr>
      <w:r w:rsidRPr="00B62647">
        <w:rPr>
          <w:rFonts w:asciiTheme="minorHAnsi" w:hAnsiTheme="minorHAnsi" w:cstheme="minorHAnsi"/>
          <w:szCs w:val="24"/>
        </w:rPr>
        <w:t xml:space="preserve">This Legislative Instrument is compatible with the human rights and freedoms recognised or declared in the international instruments listed in section 3 of the </w:t>
      </w:r>
      <w:r w:rsidRPr="00B62647">
        <w:rPr>
          <w:rFonts w:asciiTheme="minorHAnsi" w:hAnsiTheme="minorHAnsi" w:cstheme="minorHAnsi"/>
          <w:i/>
          <w:szCs w:val="24"/>
        </w:rPr>
        <w:t>Human Rights (Parliamentary Scrutiny) Act 2011</w:t>
      </w:r>
      <w:r w:rsidRPr="00B62647">
        <w:rPr>
          <w:rFonts w:asciiTheme="minorHAnsi" w:hAnsiTheme="minorHAnsi" w:cstheme="minorHAnsi"/>
          <w:szCs w:val="24"/>
        </w:rPr>
        <w:t>.</w:t>
      </w:r>
    </w:p>
    <w:p w:rsidR="00B62647" w:rsidRPr="00B62647" w:rsidRDefault="00B62647" w:rsidP="00B62647">
      <w:pPr>
        <w:spacing w:before="120" w:after="120"/>
        <w:jc w:val="both"/>
        <w:rPr>
          <w:rFonts w:asciiTheme="minorHAnsi" w:hAnsiTheme="minorHAnsi" w:cstheme="minorHAnsi"/>
          <w:b/>
          <w:szCs w:val="24"/>
        </w:rPr>
      </w:pPr>
      <w:r w:rsidRPr="00B62647">
        <w:rPr>
          <w:rFonts w:asciiTheme="minorHAnsi" w:hAnsiTheme="minorHAnsi" w:cstheme="minorHAnsi"/>
          <w:b/>
          <w:szCs w:val="24"/>
        </w:rPr>
        <w:t>Overview of the Legislative Instrument</w:t>
      </w:r>
    </w:p>
    <w:p w:rsidR="00B62647" w:rsidRPr="00487482" w:rsidRDefault="00B62647" w:rsidP="00B62647">
      <w:pPr>
        <w:spacing w:before="120" w:after="120"/>
        <w:rPr>
          <w:rFonts w:asciiTheme="minorHAnsi" w:hAnsiTheme="minorHAnsi" w:cstheme="minorHAnsi"/>
          <w:szCs w:val="24"/>
        </w:rPr>
      </w:pPr>
      <w:r w:rsidRPr="00487482">
        <w:rPr>
          <w:rFonts w:asciiTheme="minorHAnsi" w:hAnsiTheme="minorHAnsi" w:cstheme="minorHAnsi"/>
          <w:szCs w:val="24"/>
        </w:rPr>
        <w:t xml:space="preserve">The purpose of the </w:t>
      </w:r>
      <w:r w:rsidRPr="00487482">
        <w:rPr>
          <w:rFonts w:asciiTheme="minorHAnsi" w:hAnsiTheme="minorHAnsi" w:cstheme="minorHAnsi"/>
          <w:i/>
          <w:szCs w:val="24"/>
        </w:rPr>
        <w:t>Privacy (Persons Reported as Missing) Rule 2014</w:t>
      </w:r>
      <w:r w:rsidRPr="00487482">
        <w:rPr>
          <w:rFonts w:asciiTheme="minorHAnsi" w:hAnsiTheme="minorHAnsi" w:cstheme="minorHAnsi"/>
          <w:szCs w:val="24"/>
        </w:rPr>
        <w:t xml:space="preserve"> (the Rule) is to give effect to item 3 of the table in s</w:t>
      </w:r>
      <w:r w:rsidR="001F1A34" w:rsidRPr="00487482">
        <w:rPr>
          <w:rFonts w:asciiTheme="minorHAnsi" w:hAnsiTheme="minorHAnsi" w:cstheme="minorHAnsi"/>
          <w:szCs w:val="24"/>
        </w:rPr>
        <w:t xml:space="preserve">ubsection </w:t>
      </w:r>
      <w:proofErr w:type="gramStart"/>
      <w:r w:rsidRPr="00487482">
        <w:rPr>
          <w:rFonts w:asciiTheme="minorHAnsi" w:hAnsiTheme="minorHAnsi" w:cstheme="minorHAnsi"/>
          <w:szCs w:val="24"/>
        </w:rPr>
        <w:t>16A(</w:t>
      </w:r>
      <w:proofErr w:type="gramEnd"/>
      <w:r w:rsidRPr="00487482">
        <w:rPr>
          <w:rFonts w:asciiTheme="minorHAnsi" w:hAnsiTheme="minorHAnsi" w:cstheme="minorHAnsi"/>
          <w:szCs w:val="24"/>
        </w:rPr>
        <w:t xml:space="preserve">1) of the </w:t>
      </w:r>
      <w:r w:rsidRPr="00487482">
        <w:rPr>
          <w:rFonts w:asciiTheme="minorHAnsi" w:hAnsiTheme="minorHAnsi" w:cstheme="minorHAnsi"/>
          <w:i/>
          <w:szCs w:val="24"/>
        </w:rPr>
        <w:t>Privacy Act 1988</w:t>
      </w:r>
      <w:r w:rsidRPr="00487482">
        <w:rPr>
          <w:rFonts w:asciiTheme="minorHAnsi" w:hAnsiTheme="minorHAnsi" w:cstheme="minorHAnsi"/>
          <w:szCs w:val="24"/>
        </w:rPr>
        <w:t xml:space="preserve">, which subject to the conditions specified in column 3 of the table, permits an APP entity to collect sensitive information, and use or disclose personal information for the purpose of locating a person reported as missing. </w:t>
      </w:r>
    </w:p>
    <w:p w:rsidR="00B62647" w:rsidRPr="00487482" w:rsidRDefault="00B62647" w:rsidP="00B62647">
      <w:pPr>
        <w:spacing w:before="120" w:after="120"/>
        <w:rPr>
          <w:rFonts w:asciiTheme="minorHAnsi" w:hAnsiTheme="minorHAnsi" w:cstheme="minorHAnsi"/>
          <w:b/>
          <w:szCs w:val="24"/>
        </w:rPr>
      </w:pPr>
      <w:r w:rsidRPr="00487482">
        <w:rPr>
          <w:rFonts w:asciiTheme="minorHAnsi" w:hAnsiTheme="minorHAnsi" w:cstheme="minorHAnsi"/>
          <w:b/>
          <w:szCs w:val="24"/>
        </w:rPr>
        <w:t>Human rights implications</w:t>
      </w:r>
    </w:p>
    <w:p w:rsidR="00B62647" w:rsidRPr="00487482" w:rsidRDefault="00B62647" w:rsidP="00B62647">
      <w:pPr>
        <w:spacing w:after="0"/>
        <w:rPr>
          <w:rFonts w:asciiTheme="minorHAnsi" w:hAnsiTheme="minorHAnsi" w:cstheme="minorHAnsi"/>
          <w:szCs w:val="24"/>
        </w:rPr>
      </w:pPr>
      <w:r w:rsidRPr="00487482">
        <w:rPr>
          <w:rFonts w:asciiTheme="minorHAnsi" w:hAnsiTheme="minorHAnsi" w:cstheme="minorHAnsi"/>
          <w:szCs w:val="24"/>
        </w:rPr>
        <w:t>The Rule engage</w:t>
      </w:r>
      <w:r w:rsidR="000B14B4" w:rsidRPr="00487482">
        <w:rPr>
          <w:rFonts w:asciiTheme="minorHAnsi" w:hAnsiTheme="minorHAnsi" w:cstheme="minorHAnsi"/>
          <w:szCs w:val="24"/>
        </w:rPr>
        <w:t>s</w:t>
      </w:r>
      <w:r w:rsidRPr="00487482">
        <w:rPr>
          <w:rFonts w:asciiTheme="minorHAnsi" w:hAnsiTheme="minorHAnsi" w:cstheme="minorHAnsi"/>
          <w:szCs w:val="24"/>
        </w:rPr>
        <w:t xml:space="preserve"> Article 17 of the International Covenant on Civil and Political Rights (ICCPR), which provides that no one shall be subjected to arbitrary or unlawful interference with his or her privacy, family, home or correspondence, nor to unlawful attacks on his or her honour and reputation, and that everyone has the right to the protection of the law against such interference and attacks.</w:t>
      </w:r>
    </w:p>
    <w:p w:rsidR="00B62647" w:rsidRPr="00487482" w:rsidRDefault="00B62647" w:rsidP="00B62647">
      <w:pPr>
        <w:spacing w:after="0"/>
        <w:rPr>
          <w:rFonts w:asciiTheme="minorHAnsi" w:hAnsiTheme="minorHAnsi" w:cstheme="minorHAnsi"/>
          <w:szCs w:val="24"/>
        </w:rPr>
      </w:pPr>
    </w:p>
    <w:p w:rsidR="00B62647" w:rsidRPr="00487482" w:rsidRDefault="00B62647" w:rsidP="00B62647">
      <w:pPr>
        <w:spacing w:after="0"/>
        <w:rPr>
          <w:rFonts w:asciiTheme="minorHAnsi" w:hAnsiTheme="minorHAnsi" w:cstheme="minorHAnsi"/>
          <w:szCs w:val="24"/>
        </w:rPr>
      </w:pPr>
      <w:r w:rsidRPr="00487482">
        <w:rPr>
          <w:rFonts w:asciiTheme="minorHAnsi" w:hAnsiTheme="minorHAnsi" w:cstheme="minorHAnsi"/>
          <w:szCs w:val="24"/>
        </w:rPr>
        <w:t>The Rule protect</w:t>
      </w:r>
      <w:r w:rsidR="000B14B4" w:rsidRPr="00487482">
        <w:rPr>
          <w:rFonts w:asciiTheme="minorHAnsi" w:hAnsiTheme="minorHAnsi" w:cstheme="minorHAnsi"/>
          <w:szCs w:val="24"/>
        </w:rPr>
        <w:t>s</w:t>
      </w:r>
      <w:r w:rsidRPr="00487482">
        <w:rPr>
          <w:rFonts w:asciiTheme="minorHAnsi" w:hAnsiTheme="minorHAnsi" w:cstheme="minorHAnsi"/>
          <w:szCs w:val="24"/>
        </w:rPr>
        <w:t xml:space="preserve"> against the arbitrary interference with privacy, and advance</w:t>
      </w:r>
      <w:r w:rsidR="00E548A6" w:rsidRPr="00487482">
        <w:rPr>
          <w:rFonts w:asciiTheme="minorHAnsi" w:hAnsiTheme="minorHAnsi" w:cstheme="minorHAnsi"/>
          <w:szCs w:val="24"/>
        </w:rPr>
        <w:t>s</w:t>
      </w:r>
      <w:r w:rsidRPr="00487482">
        <w:rPr>
          <w:rFonts w:asciiTheme="minorHAnsi" w:hAnsiTheme="minorHAnsi" w:cstheme="minorHAnsi"/>
          <w:szCs w:val="24"/>
        </w:rPr>
        <w:t xml:space="preserve"> the right to the protection of the law against such interference, by introducing a number of specific limitations on the operation of the permitted general situation at item 3 of the table in s</w:t>
      </w:r>
      <w:r w:rsidR="00E548A6" w:rsidRPr="00487482">
        <w:rPr>
          <w:rFonts w:asciiTheme="minorHAnsi" w:hAnsiTheme="minorHAnsi" w:cstheme="minorHAnsi"/>
          <w:szCs w:val="24"/>
        </w:rPr>
        <w:t>ubsection</w:t>
      </w:r>
      <w:r w:rsidRPr="00487482">
        <w:rPr>
          <w:rFonts w:asciiTheme="minorHAnsi" w:hAnsiTheme="minorHAnsi" w:cstheme="minorHAnsi"/>
          <w:szCs w:val="24"/>
        </w:rPr>
        <w:t xml:space="preserve"> 16A(1) of the </w:t>
      </w:r>
      <w:r w:rsidRPr="00487482">
        <w:rPr>
          <w:rFonts w:asciiTheme="minorHAnsi" w:hAnsiTheme="minorHAnsi" w:cstheme="minorHAnsi"/>
          <w:i/>
          <w:szCs w:val="24"/>
        </w:rPr>
        <w:t>Privacy Act 1988</w:t>
      </w:r>
      <w:r w:rsidRPr="00487482">
        <w:rPr>
          <w:rFonts w:asciiTheme="minorHAnsi" w:hAnsiTheme="minorHAnsi" w:cstheme="minorHAnsi"/>
          <w:szCs w:val="24"/>
        </w:rPr>
        <w:t>, including by:</w:t>
      </w:r>
    </w:p>
    <w:p w:rsidR="00E548A6" w:rsidRPr="00487482" w:rsidRDefault="00E548A6" w:rsidP="00B62647">
      <w:pPr>
        <w:spacing w:after="0"/>
        <w:rPr>
          <w:rFonts w:asciiTheme="minorHAnsi" w:hAnsiTheme="minorHAnsi" w:cstheme="minorHAnsi"/>
          <w:szCs w:val="24"/>
        </w:rPr>
      </w:pPr>
    </w:p>
    <w:p w:rsidR="00B62647" w:rsidRPr="00487482" w:rsidRDefault="00B62647" w:rsidP="00B62647">
      <w:pPr>
        <w:pStyle w:val="Bulletlist"/>
        <w:rPr>
          <w:rFonts w:asciiTheme="minorHAnsi" w:eastAsiaTheme="minorHAnsi" w:hAnsiTheme="minorHAnsi" w:cstheme="minorHAnsi"/>
          <w:szCs w:val="24"/>
          <w:lang w:eastAsia="en-US"/>
        </w:rPr>
      </w:pPr>
      <w:r w:rsidRPr="00487482">
        <w:rPr>
          <w:rFonts w:asciiTheme="minorHAnsi" w:eastAsiaTheme="minorHAnsi" w:hAnsiTheme="minorHAnsi" w:cstheme="minorHAnsi"/>
          <w:szCs w:val="24"/>
          <w:lang w:eastAsia="en-US"/>
        </w:rPr>
        <w:t xml:space="preserve">limiting the entities that may collect sensitive information </w:t>
      </w:r>
    </w:p>
    <w:p w:rsidR="00B62647" w:rsidRPr="00487482" w:rsidRDefault="00B62647" w:rsidP="00B62647">
      <w:pPr>
        <w:pStyle w:val="Bulletlist"/>
        <w:rPr>
          <w:rFonts w:asciiTheme="minorHAnsi" w:eastAsiaTheme="minorHAnsi" w:hAnsiTheme="minorHAnsi" w:cstheme="minorHAnsi"/>
          <w:szCs w:val="24"/>
          <w:lang w:eastAsia="en-US"/>
        </w:rPr>
      </w:pPr>
      <w:r w:rsidRPr="00487482">
        <w:rPr>
          <w:rFonts w:asciiTheme="minorHAnsi" w:eastAsiaTheme="minorHAnsi" w:hAnsiTheme="minorHAnsi" w:cstheme="minorHAnsi"/>
          <w:szCs w:val="24"/>
          <w:lang w:eastAsia="en-US"/>
        </w:rPr>
        <w:t xml:space="preserve">limiting the type of personal information (including sensitive information) that may be collected, used or disclosed </w:t>
      </w:r>
    </w:p>
    <w:p w:rsidR="00B62647" w:rsidRPr="00487482" w:rsidRDefault="00B62647" w:rsidP="00B62647">
      <w:pPr>
        <w:pStyle w:val="Bulletlist"/>
        <w:rPr>
          <w:rFonts w:asciiTheme="minorHAnsi" w:eastAsiaTheme="minorHAnsi" w:hAnsiTheme="minorHAnsi" w:cstheme="minorHAnsi"/>
          <w:szCs w:val="24"/>
          <w:lang w:eastAsia="en-US"/>
        </w:rPr>
      </w:pPr>
      <w:r w:rsidRPr="00487482">
        <w:rPr>
          <w:rFonts w:asciiTheme="minorHAnsi" w:eastAsiaTheme="minorHAnsi" w:hAnsiTheme="minorHAnsi" w:cstheme="minorHAnsi"/>
          <w:szCs w:val="24"/>
          <w:lang w:eastAsia="en-US"/>
        </w:rPr>
        <w:t>limiting the entities that an APP entity may use or disclose personal information to</w:t>
      </w:r>
    </w:p>
    <w:p w:rsidR="00B62647" w:rsidRPr="00487482" w:rsidRDefault="00B62647" w:rsidP="00B62647">
      <w:pPr>
        <w:pStyle w:val="Bulletlist"/>
        <w:rPr>
          <w:rFonts w:asciiTheme="minorHAnsi" w:hAnsiTheme="minorHAnsi" w:cstheme="minorHAnsi"/>
          <w:szCs w:val="24"/>
        </w:rPr>
      </w:pPr>
      <w:r w:rsidRPr="00487482">
        <w:rPr>
          <w:rFonts w:asciiTheme="minorHAnsi" w:eastAsiaTheme="minorHAnsi" w:hAnsiTheme="minorHAnsi" w:cstheme="minorHAnsi"/>
          <w:szCs w:val="24"/>
          <w:lang w:eastAsia="en-US"/>
        </w:rPr>
        <w:t xml:space="preserve">limiting the circumstances in which an APP entity may use or disclose personal information </w:t>
      </w:r>
    </w:p>
    <w:p w:rsidR="00B62647" w:rsidRPr="00B62647" w:rsidRDefault="00B62647" w:rsidP="00B62647">
      <w:pPr>
        <w:pStyle w:val="Bulletlist"/>
        <w:rPr>
          <w:rFonts w:asciiTheme="minorHAnsi" w:hAnsiTheme="minorHAnsi" w:cstheme="minorHAnsi"/>
        </w:rPr>
      </w:pPr>
      <w:proofErr w:type="gramStart"/>
      <w:r w:rsidRPr="00487482">
        <w:rPr>
          <w:rFonts w:asciiTheme="minorHAnsi" w:eastAsiaTheme="minorHAnsi" w:hAnsiTheme="minorHAnsi" w:cstheme="minorHAnsi"/>
        </w:rPr>
        <w:t>emphasising</w:t>
      </w:r>
      <w:proofErr w:type="gramEnd"/>
      <w:r w:rsidRPr="00487482">
        <w:rPr>
          <w:rFonts w:asciiTheme="minorHAnsi" w:eastAsiaTheme="minorHAnsi" w:hAnsiTheme="minorHAnsi" w:cstheme="minorHAnsi"/>
        </w:rPr>
        <w:t xml:space="preserve"> </w:t>
      </w:r>
      <w:r w:rsidRPr="00487482">
        <w:rPr>
          <w:rFonts w:asciiTheme="minorHAnsi" w:hAnsiTheme="minorHAnsi" w:cstheme="minorHAnsi"/>
        </w:rPr>
        <w:t xml:space="preserve">that an APP entity is permitted, but not required, to use or disclose </w:t>
      </w:r>
      <w:r w:rsidRPr="00B62647">
        <w:rPr>
          <w:rFonts w:asciiTheme="minorHAnsi" w:hAnsiTheme="minorHAnsi" w:cstheme="minorHAnsi"/>
        </w:rPr>
        <w:t>personal information.</w:t>
      </w:r>
    </w:p>
    <w:p w:rsidR="00B62647" w:rsidRPr="00B62647" w:rsidRDefault="00B62647" w:rsidP="00B62647">
      <w:pPr>
        <w:spacing w:before="120" w:after="120"/>
        <w:rPr>
          <w:rFonts w:asciiTheme="minorHAnsi" w:hAnsiTheme="minorHAnsi" w:cstheme="minorHAnsi"/>
          <w:b/>
          <w:szCs w:val="24"/>
        </w:rPr>
      </w:pPr>
      <w:r w:rsidRPr="00B62647">
        <w:rPr>
          <w:rFonts w:asciiTheme="minorHAnsi" w:hAnsiTheme="minorHAnsi" w:cstheme="minorHAnsi"/>
          <w:b/>
          <w:szCs w:val="24"/>
        </w:rPr>
        <w:t xml:space="preserve">Conclusion </w:t>
      </w:r>
    </w:p>
    <w:p w:rsidR="00B62647" w:rsidRPr="00B62647" w:rsidRDefault="00B62647" w:rsidP="00B62647">
      <w:pPr>
        <w:spacing w:before="120" w:after="120"/>
        <w:rPr>
          <w:rFonts w:asciiTheme="minorHAnsi" w:hAnsiTheme="minorHAnsi" w:cstheme="minorHAnsi"/>
          <w:szCs w:val="24"/>
        </w:rPr>
      </w:pPr>
      <w:r w:rsidRPr="00B62647">
        <w:rPr>
          <w:rFonts w:asciiTheme="minorHAnsi" w:hAnsiTheme="minorHAnsi" w:cstheme="minorHAnsi"/>
          <w:szCs w:val="24"/>
        </w:rPr>
        <w:t>The Rule</w:t>
      </w:r>
      <w:r w:rsidR="000B14B4">
        <w:rPr>
          <w:rFonts w:asciiTheme="minorHAnsi" w:hAnsiTheme="minorHAnsi" w:cstheme="minorHAnsi"/>
          <w:szCs w:val="24"/>
        </w:rPr>
        <w:t xml:space="preserve"> is</w:t>
      </w:r>
      <w:r w:rsidRPr="00B62647">
        <w:rPr>
          <w:rFonts w:asciiTheme="minorHAnsi" w:hAnsiTheme="minorHAnsi" w:cstheme="minorHAnsi"/>
          <w:szCs w:val="24"/>
        </w:rPr>
        <w:t xml:space="preserve"> compatible with human rights becau</w:t>
      </w:r>
      <w:r w:rsidR="000B14B4">
        <w:rPr>
          <w:rFonts w:asciiTheme="minorHAnsi" w:hAnsiTheme="minorHAnsi" w:cstheme="minorHAnsi"/>
          <w:szCs w:val="24"/>
        </w:rPr>
        <w:t>se it</w:t>
      </w:r>
      <w:r w:rsidRPr="00B62647">
        <w:rPr>
          <w:rFonts w:asciiTheme="minorHAnsi" w:hAnsiTheme="minorHAnsi" w:cstheme="minorHAnsi"/>
          <w:szCs w:val="24"/>
        </w:rPr>
        <w:t xml:space="preserve"> advance</w:t>
      </w:r>
      <w:r w:rsidR="000B14B4">
        <w:rPr>
          <w:rFonts w:asciiTheme="minorHAnsi" w:hAnsiTheme="minorHAnsi" w:cstheme="minorHAnsi"/>
          <w:szCs w:val="24"/>
        </w:rPr>
        <w:t>s</w:t>
      </w:r>
      <w:r w:rsidRPr="00B62647">
        <w:rPr>
          <w:rFonts w:asciiTheme="minorHAnsi" w:hAnsiTheme="minorHAnsi" w:cstheme="minorHAnsi"/>
          <w:szCs w:val="24"/>
        </w:rPr>
        <w:t xml:space="preserve"> the protection of human rights by limiting the circumstances in which an APP entity may collect, use or disclose the personal information of an individual in accordance with item 3 of s</w:t>
      </w:r>
      <w:r w:rsidR="00E548A6">
        <w:rPr>
          <w:rFonts w:asciiTheme="minorHAnsi" w:hAnsiTheme="minorHAnsi" w:cstheme="minorHAnsi"/>
          <w:szCs w:val="24"/>
        </w:rPr>
        <w:t>ubsection</w:t>
      </w:r>
      <w:r w:rsidRPr="00B62647">
        <w:rPr>
          <w:rFonts w:asciiTheme="minorHAnsi" w:hAnsiTheme="minorHAnsi" w:cstheme="minorHAnsi"/>
          <w:szCs w:val="24"/>
        </w:rPr>
        <w:t xml:space="preserve"> 16A(1) of the Privacy Act.</w:t>
      </w:r>
    </w:p>
    <w:p w:rsidR="009A3DD4" w:rsidRPr="00487482" w:rsidRDefault="00B62647" w:rsidP="00C41BDC">
      <w:pPr>
        <w:ind w:left="720" w:hanging="720"/>
        <w:rPr>
          <w:rFonts w:asciiTheme="minorHAnsi" w:hAnsiTheme="minorHAnsi" w:cstheme="minorHAnsi"/>
        </w:rPr>
      </w:pPr>
      <w:r w:rsidRPr="00B62647">
        <w:rPr>
          <w:rFonts w:asciiTheme="minorHAnsi" w:hAnsiTheme="minorHAnsi" w:cstheme="minorHAnsi"/>
          <w:b/>
          <w:szCs w:val="24"/>
        </w:rPr>
        <w:t>Timothy Pilgrim, Privacy Commissioner</w:t>
      </w:r>
    </w:p>
    <w:p w:rsidR="00C41BDC" w:rsidRDefault="00C41BDC" w:rsidP="00C41BDC">
      <w:pPr>
        <w:spacing w:before="240" w:after="120"/>
        <w:ind w:left="6481" w:firstLine="720"/>
        <w:jc w:val="both"/>
        <w:outlineLvl w:val="2"/>
        <w:rPr>
          <w:b/>
        </w:rPr>
      </w:pPr>
    </w:p>
    <w:p w:rsidR="00911215" w:rsidRPr="00776B1D" w:rsidRDefault="001614E3" w:rsidP="00C41BDC">
      <w:pPr>
        <w:spacing w:before="240" w:after="120"/>
        <w:ind w:left="6481" w:firstLine="720"/>
        <w:jc w:val="both"/>
        <w:outlineLvl w:val="2"/>
        <w:rPr>
          <w:b/>
        </w:rPr>
      </w:pPr>
      <w:r w:rsidRPr="00776B1D">
        <w:rPr>
          <w:b/>
        </w:rPr>
        <w:lastRenderedPageBreak/>
        <w:t>Attachment</w:t>
      </w:r>
    </w:p>
    <w:p w:rsidR="001614E3" w:rsidRDefault="001614E3" w:rsidP="00C41BDC">
      <w:pPr>
        <w:pStyle w:val="Heading2"/>
        <w:keepNext w:val="0"/>
        <w:keepLines w:val="0"/>
      </w:pPr>
      <w:r>
        <w:t xml:space="preserve">Details of the </w:t>
      </w:r>
      <w:r w:rsidR="00CD68D3" w:rsidRPr="00CD68D3">
        <w:t xml:space="preserve">Privacy (Persons </w:t>
      </w:r>
      <w:r w:rsidR="00CD68D3">
        <w:t>R</w:t>
      </w:r>
      <w:r w:rsidR="002C19E2" w:rsidRPr="009409B8">
        <w:t>eported as Missing) Rule 2014</w:t>
      </w:r>
    </w:p>
    <w:p w:rsidR="002C19E2" w:rsidRPr="00776B1D" w:rsidRDefault="00CD68D3" w:rsidP="00C41BDC">
      <w:pPr>
        <w:pStyle w:val="ListParagraph"/>
        <w:numPr>
          <w:ilvl w:val="0"/>
          <w:numId w:val="14"/>
        </w:numPr>
        <w:spacing w:before="240"/>
        <w:outlineLvl w:val="2"/>
        <w:rPr>
          <w:b/>
        </w:rPr>
      </w:pPr>
      <w:r w:rsidRPr="00776B1D">
        <w:rPr>
          <w:b/>
        </w:rPr>
        <w:t>Name of Rule</w:t>
      </w:r>
    </w:p>
    <w:p w:rsidR="00CD68D3" w:rsidRDefault="000B14B4" w:rsidP="00C41BDC">
      <w:pPr>
        <w:spacing w:before="240"/>
        <w:outlineLvl w:val="2"/>
        <w:rPr>
          <w:i/>
        </w:rPr>
      </w:pPr>
      <w:r>
        <w:t xml:space="preserve">Section </w:t>
      </w:r>
      <w:r w:rsidR="00CD68D3">
        <w:t xml:space="preserve">1 provides that the title of the Rule is the </w:t>
      </w:r>
      <w:r w:rsidR="00CD68D3" w:rsidRPr="00776B1D">
        <w:rPr>
          <w:i/>
        </w:rPr>
        <w:t>Privacy (Persons Reported as Missing) Rule</w:t>
      </w:r>
      <w:r w:rsidR="00CD68D3">
        <w:rPr>
          <w:i/>
        </w:rPr>
        <w:t xml:space="preserve"> 2014.</w:t>
      </w:r>
    </w:p>
    <w:p w:rsidR="00CD68D3" w:rsidRPr="00776B1D" w:rsidRDefault="00CD68D3" w:rsidP="00C41BDC">
      <w:pPr>
        <w:pStyle w:val="ListParagraph"/>
        <w:numPr>
          <w:ilvl w:val="0"/>
          <w:numId w:val="14"/>
        </w:numPr>
        <w:spacing w:before="240"/>
        <w:outlineLvl w:val="2"/>
        <w:rPr>
          <w:b/>
        </w:rPr>
      </w:pPr>
      <w:r w:rsidRPr="00776B1D">
        <w:rPr>
          <w:b/>
        </w:rPr>
        <w:t>Commencement</w:t>
      </w:r>
    </w:p>
    <w:p w:rsidR="00F83F7E" w:rsidRPr="00776B1D" w:rsidRDefault="000B14B4" w:rsidP="00C41BDC">
      <w:pPr>
        <w:spacing w:before="240"/>
        <w:outlineLvl w:val="2"/>
      </w:pPr>
      <w:r>
        <w:t>Section</w:t>
      </w:r>
      <w:r w:rsidR="00F83F7E">
        <w:t xml:space="preserve"> 2 provides that the Rule commence</w:t>
      </w:r>
      <w:r w:rsidR="00E548A6">
        <w:t>s</w:t>
      </w:r>
      <w:r w:rsidR="00F83F7E">
        <w:t xml:space="preserve"> on 12 March 2014.</w:t>
      </w:r>
    </w:p>
    <w:p w:rsidR="00CD68D3" w:rsidRPr="00776B1D" w:rsidRDefault="00CD68D3" w:rsidP="00C41BDC">
      <w:pPr>
        <w:pStyle w:val="ListParagraph"/>
        <w:numPr>
          <w:ilvl w:val="0"/>
          <w:numId w:val="14"/>
        </w:numPr>
        <w:spacing w:before="240"/>
        <w:outlineLvl w:val="2"/>
        <w:rPr>
          <w:b/>
        </w:rPr>
      </w:pPr>
      <w:r w:rsidRPr="00776B1D">
        <w:rPr>
          <w:b/>
        </w:rPr>
        <w:t>Purpose</w:t>
      </w:r>
    </w:p>
    <w:p w:rsidR="00F83F7E" w:rsidRPr="00776B1D" w:rsidRDefault="000B14B4" w:rsidP="00C41BDC">
      <w:pPr>
        <w:spacing w:before="240"/>
        <w:outlineLvl w:val="2"/>
      </w:pPr>
      <w:r>
        <w:t xml:space="preserve">Section </w:t>
      </w:r>
      <w:r w:rsidR="00F83F7E">
        <w:t>3 sets out the purpose of the Rule.</w:t>
      </w:r>
    </w:p>
    <w:p w:rsidR="00CD68D3" w:rsidRPr="00776B1D" w:rsidRDefault="00F83F7E" w:rsidP="00C41BDC">
      <w:pPr>
        <w:pStyle w:val="ListParagraph"/>
        <w:numPr>
          <w:ilvl w:val="0"/>
          <w:numId w:val="14"/>
        </w:numPr>
        <w:spacing w:before="240"/>
        <w:outlineLvl w:val="2"/>
        <w:rPr>
          <w:b/>
        </w:rPr>
      </w:pPr>
      <w:r w:rsidRPr="00776B1D">
        <w:rPr>
          <w:b/>
        </w:rPr>
        <w:t>Definitions</w:t>
      </w:r>
    </w:p>
    <w:p w:rsidR="00F83F7E" w:rsidRDefault="000B14B4" w:rsidP="00C41BDC">
      <w:pPr>
        <w:spacing w:before="240"/>
        <w:outlineLvl w:val="2"/>
      </w:pPr>
      <w:r>
        <w:t xml:space="preserve">Section </w:t>
      </w:r>
      <w:r w:rsidR="00F83F7E">
        <w:t xml:space="preserve">4 provides for the definitions of </w:t>
      </w:r>
      <w:r w:rsidR="0077081A">
        <w:t xml:space="preserve">words and expressions </w:t>
      </w:r>
      <w:r w:rsidR="00F83F7E">
        <w:t xml:space="preserve">used in the Rule, including a definition of </w:t>
      </w:r>
      <w:r w:rsidR="0077081A">
        <w:t>‘</w:t>
      </w:r>
      <w:r w:rsidR="0081015E">
        <w:t>locating b</w:t>
      </w:r>
      <w:r w:rsidR="00F83F7E">
        <w:t>ody</w:t>
      </w:r>
      <w:r w:rsidR="0077081A">
        <w:t>’</w:t>
      </w:r>
      <w:r w:rsidR="00F83F7E">
        <w:t xml:space="preserve">, and a definition for </w:t>
      </w:r>
      <w:r w:rsidR="0077081A">
        <w:t>‘</w:t>
      </w:r>
      <w:r w:rsidR="00F83F7E">
        <w:t>a person reported as missing</w:t>
      </w:r>
      <w:r w:rsidR="0077081A">
        <w:t>’.</w:t>
      </w:r>
    </w:p>
    <w:p w:rsidR="00B01036" w:rsidRDefault="0081015E" w:rsidP="00C41BDC">
      <w:pPr>
        <w:pStyle w:val="Bullets"/>
        <w:numPr>
          <w:ilvl w:val="0"/>
          <w:numId w:val="0"/>
        </w:numPr>
      </w:pPr>
      <w:r w:rsidRPr="00DF5E4A">
        <w:t xml:space="preserve">The entities listed in the definition of a ‘locating body’ </w:t>
      </w:r>
      <w:r w:rsidR="00B54DD2" w:rsidRPr="00DF5E4A">
        <w:t xml:space="preserve">are the </w:t>
      </w:r>
      <w:r w:rsidRPr="00DF5E4A">
        <w:t xml:space="preserve">key entities involved in locating persons reported as missing in Australia, or Australians </w:t>
      </w:r>
      <w:r w:rsidR="003A50F1">
        <w:t xml:space="preserve">reported as </w:t>
      </w:r>
      <w:r w:rsidRPr="00DF5E4A">
        <w:t>missing overseas.</w:t>
      </w:r>
    </w:p>
    <w:p w:rsidR="0081015E" w:rsidRDefault="00B54DD2" w:rsidP="00C41BDC">
      <w:pPr>
        <w:pStyle w:val="Bullets"/>
        <w:numPr>
          <w:ilvl w:val="0"/>
          <w:numId w:val="0"/>
        </w:numPr>
      </w:pPr>
      <w:r w:rsidRPr="00DF5E4A">
        <w:t xml:space="preserve">Inclusion on the list of locating bodies </w:t>
      </w:r>
      <w:r w:rsidR="00B01036" w:rsidRPr="00DF5E4A">
        <w:t>is not an endorsement of the information handling practices or searching processes undertaken by these bodies.</w:t>
      </w:r>
      <w:r w:rsidR="0081015E" w:rsidRPr="00DF5E4A">
        <w:t xml:space="preserve"> </w:t>
      </w:r>
    </w:p>
    <w:p w:rsidR="00827B6B" w:rsidRDefault="00E36F8B" w:rsidP="00C41BDC">
      <w:pPr>
        <w:pStyle w:val="Bullets"/>
        <w:numPr>
          <w:ilvl w:val="0"/>
          <w:numId w:val="0"/>
        </w:numPr>
      </w:pPr>
      <w:r>
        <w:t xml:space="preserve">An individual will only be a ‘person reported as missing’ </w:t>
      </w:r>
      <w:r w:rsidR="00126CDB">
        <w:t xml:space="preserve">under the Rule </w:t>
      </w:r>
      <w:r w:rsidR="00B976EC">
        <w:t>if they have been reported as missing to a locating body, their whereabouts are unknown to the locating body, and they are</w:t>
      </w:r>
      <w:r>
        <w:t xml:space="preserve"> being sought </w:t>
      </w:r>
      <w:r w:rsidR="00B976EC">
        <w:t xml:space="preserve">by the locating body </w:t>
      </w:r>
      <w:r>
        <w:t>because there are serious concerns for their safety and</w:t>
      </w:r>
      <w:r w:rsidR="00B976EC">
        <w:t>/or</w:t>
      </w:r>
      <w:r>
        <w:t xml:space="preserve"> welfare, or for the purpose of re-uniting </w:t>
      </w:r>
      <w:r w:rsidR="00E548A6">
        <w:t xml:space="preserve">them with </w:t>
      </w:r>
      <w:r>
        <w:t>the</w:t>
      </w:r>
      <w:r w:rsidR="00E548A6">
        <w:t>ir</w:t>
      </w:r>
      <w:r>
        <w:t xml:space="preserve"> family, but not in relation to other matters. </w:t>
      </w:r>
    </w:p>
    <w:p w:rsidR="00CD68D3" w:rsidRDefault="00F83F7E" w:rsidP="00C41BDC">
      <w:pPr>
        <w:pStyle w:val="ListParagraph"/>
        <w:numPr>
          <w:ilvl w:val="0"/>
          <w:numId w:val="14"/>
        </w:numPr>
        <w:spacing w:before="240"/>
        <w:outlineLvl w:val="2"/>
        <w:rPr>
          <w:b/>
        </w:rPr>
      </w:pPr>
      <w:r w:rsidRPr="00776B1D">
        <w:rPr>
          <w:b/>
        </w:rPr>
        <w:t xml:space="preserve">Collection of sensitive information by </w:t>
      </w:r>
      <w:r w:rsidR="00EA2D9D">
        <w:rPr>
          <w:b/>
        </w:rPr>
        <w:t>a locating b</w:t>
      </w:r>
      <w:r w:rsidRPr="00776B1D">
        <w:rPr>
          <w:b/>
        </w:rPr>
        <w:t>ody</w:t>
      </w:r>
    </w:p>
    <w:p w:rsidR="00167D8D" w:rsidRDefault="000B14B4" w:rsidP="00C41BDC">
      <w:pPr>
        <w:spacing w:before="240"/>
        <w:outlineLvl w:val="2"/>
      </w:pPr>
      <w:r>
        <w:t xml:space="preserve">Section </w:t>
      </w:r>
      <w:r w:rsidR="00B065B8">
        <w:t xml:space="preserve">5 sets out the conditions in which an APP entity may collect sensitive information </w:t>
      </w:r>
      <w:r w:rsidR="00167D8D">
        <w:t>under item 3 of the table in s</w:t>
      </w:r>
      <w:r w:rsidR="00E548A6">
        <w:t>ubsection</w:t>
      </w:r>
      <w:r w:rsidR="00167D8D">
        <w:t xml:space="preserve"> </w:t>
      </w:r>
      <w:proofErr w:type="gramStart"/>
      <w:r w:rsidR="00167D8D">
        <w:t>16A(</w:t>
      </w:r>
      <w:proofErr w:type="gramEnd"/>
      <w:r w:rsidR="00167D8D">
        <w:t>1) of the Privacy Act.</w:t>
      </w:r>
    </w:p>
    <w:p w:rsidR="00167D8D" w:rsidRDefault="00167D8D" w:rsidP="00C41BDC">
      <w:pPr>
        <w:spacing w:before="240"/>
        <w:outlineLvl w:val="2"/>
      </w:pPr>
      <w:r>
        <w:t>Paragraph 5(1</w:t>
      </w:r>
      <w:proofErr w:type="gramStart"/>
      <w:r>
        <w:t>)(</w:t>
      </w:r>
      <w:proofErr w:type="gramEnd"/>
      <w:r>
        <w:t>a) requires that the APP entity be a</w:t>
      </w:r>
      <w:r w:rsidR="00EA2D9D">
        <w:t xml:space="preserve"> locating b</w:t>
      </w:r>
      <w:r>
        <w:t>ody.</w:t>
      </w:r>
    </w:p>
    <w:p w:rsidR="00B065B8" w:rsidRDefault="00167D8D" w:rsidP="00C41BDC">
      <w:pPr>
        <w:spacing w:before="240"/>
        <w:outlineLvl w:val="2"/>
      </w:pPr>
      <w:r>
        <w:t>Paragraph 5(1</w:t>
      </w:r>
      <w:proofErr w:type="gramStart"/>
      <w:r>
        <w:t>)(</w:t>
      </w:r>
      <w:proofErr w:type="gramEnd"/>
      <w:r>
        <w:t>b) requires that the APP entity reasonably believes that the collection is reasonably necessary to assist the entity to locate the person reported as missing.</w:t>
      </w:r>
    </w:p>
    <w:p w:rsidR="00167D8D" w:rsidRDefault="00167D8D" w:rsidP="00C41BDC">
      <w:pPr>
        <w:spacing w:before="240"/>
        <w:outlineLvl w:val="2"/>
      </w:pPr>
      <w:r>
        <w:t>Paragraph 5(1)(c) requires that the information collected is limited to the extent reasonably necessary to make contact with, or to offer proof of life of</w:t>
      </w:r>
      <w:r w:rsidR="000C5927">
        <w:t>,</w:t>
      </w:r>
      <w:r>
        <w:t xml:space="preserve"> the person reported as missing.</w:t>
      </w:r>
    </w:p>
    <w:p w:rsidR="00167D8D" w:rsidRDefault="00167D8D" w:rsidP="00C41BDC">
      <w:pPr>
        <w:spacing w:before="240"/>
        <w:outlineLvl w:val="2"/>
      </w:pPr>
      <w:r>
        <w:t>Paragraph 5(1</w:t>
      </w:r>
      <w:proofErr w:type="gramStart"/>
      <w:r>
        <w:t>)(</w:t>
      </w:r>
      <w:proofErr w:type="gramEnd"/>
      <w:r>
        <w:t>d) prohibits the collection of sensitive information</w:t>
      </w:r>
      <w:r w:rsidR="00E81D4F">
        <w:t xml:space="preserve"> if </w:t>
      </w:r>
      <w:r>
        <w:t>the APP entity reasonably believes that the collection would pose a serious threat to the life, health or safety of any individual.</w:t>
      </w:r>
    </w:p>
    <w:p w:rsidR="00130850" w:rsidRDefault="00130850" w:rsidP="00C41BDC">
      <w:pPr>
        <w:spacing w:before="240"/>
        <w:outlineLvl w:val="2"/>
      </w:pPr>
      <w:r>
        <w:lastRenderedPageBreak/>
        <w:t>To form a reasonable belief, the APP entity must take reasonable steps to determine whether the collection of the sensitive information would pose a serious threat to the life, health or safety of any individual.</w:t>
      </w:r>
    </w:p>
    <w:p w:rsidR="00167D8D" w:rsidRPr="00776B1D" w:rsidRDefault="00167D8D" w:rsidP="00C41BDC">
      <w:pPr>
        <w:pStyle w:val="ListParagraph"/>
        <w:numPr>
          <w:ilvl w:val="0"/>
          <w:numId w:val="14"/>
        </w:numPr>
        <w:spacing w:before="240"/>
        <w:outlineLvl w:val="2"/>
        <w:rPr>
          <w:b/>
        </w:rPr>
      </w:pPr>
      <w:r w:rsidRPr="00776B1D">
        <w:rPr>
          <w:b/>
        </w:rPr>
        <w:t>Use or disclosure of personal information without the consent of the person reported as missing.</w:t>
      </w:r>
    </w:p>
    <w:p w:rsidR="00167D8D" w:rsidRDefault="000B14B4" w:rsidP="00C41BDC">
      <w:pPr>
        <w:spacing w:before="240"/>
        <w:outlineLvl w:val="2"/>
      </w:pPr>
      <w:r>
        <w:t>Subsection</w:t>
      </w:r>
      <w:r w:rsidR="00167D8D">
        <w:t xml:space="preserve"> 6</w:t>
      </w:r>
      <w:r w:rsidR="00E81D4F">
        <w:t>(1)</w:t>
      </w:r>
      <w:r w:rsidR="00167D8D">
        <w:t xml:space="preserve"> sets out the conditions in which an APP entity may use or disclose personal information under item 3 of the table in s</w:t>
      </w:r>
      <w:r w:rsidR="00E548A6">
        <w:t>ubsection</w:t>
      </w:r>
      <w:r w:rsidR="00167D8D">
        <w:t xml:space="preserve"> </w:t>
      </w:r>
      <w:proofErr w:type="gramStart"/>
      <w:r w:rsidR="00167D8D">
        <w:t>16A(</w:t>
      </w:r>
      <w:proofErr w:type="gramEnd"/>
      <w:r w:rsidR="00167D8D">
        <w:t>1) of the Privacy Act.</w:t>
      </w:r>
    </w:p>
    <w:p w:rsidR="00167D8D" w:rsidRDefault="00167D8D" w:rsidP="00C41BDC">
      <w:pPr>
        <w:spacing w:before="240"/>
        <w:outlineLvl w:val="2"/>
      </w:pPr>
      <w:r>
        <w:t xml:space="preserve">Paragraph </w:t>
      </w:r>
      <w:r w:rsidR="007B0492">
        <w:t>6(1</w:t>
      </w:r>
      <w:proofErr w:type="gramStart"/>
      <w:r w:rsidR="007B0492">
        <w:t>)(</w:t>
      </w:r>
      <w:proofErr w:type="gramEnd"/>
      <w:r w:rsidR="007B0492">
        <w:t xml:space="preserve">a) requires that the use or disclosure is in response to a request from a </w:t>
      </w:r>
      <w:r w:rsidR="00EA2D9D">
        <w:t>locating b</w:t>
      </w:r>
      <w:r w:rsidR="007B0492">
        <w:t>ody.</w:t>
      </w:r>
    </w:p>
    <w:p w:rsidR="007B0492" w:rsidRDefault="007B0492" w:rsidP="00C41BDC">
      <w:pPr>
        <w:spacing w:before="240"/>
        <w:outlineLvl w:val="2"/>
      </w:pPr>
      <w:r>
        <w:t>Paragraph 6(1</w:t>
      </w:r>
      <w:proofErr w:type="gramStart"/>
      <w:r>
        <w:t>)(</w:t>
      </w:r>
      <w:proofErr w:type="gramEnd"/>
      <w:r>
        <w:t xml:space="preserve">b) requires that the APP entity reasonably believes that the use or disclosure is reasonably necessary to assist the </w:t>
      </w:r>
      <w:r w:rsidR="00EA2D9D">
        <w:t>locating b</w:t>
      </w:r>
      <w:r>
        <w:t>ody to locate a person reported as missing.</w:t>
      </w:r>
    </w:p>
    <w:p w:rsidR="007B0492" w:rsidRDefault="007B0492" w:rsidP="00C41BDC">
      <w:pPr>
        <w:spacing w:before="240"/>
        <w:outlineLvl w:val="2"/>
      </w:pPr>
      <w:r>
        <w:t>Paragraph 6(1</w:t>
      </w:r>
      <w:proofErr w:type="gramStart"/>
      <w:r>
        <w:t>)(</w:t>
      </w:r>
      <w:proofErr w:type="gramEnd"/>
      <w:r>
        <w:t xml:space="preserve">c) requires that in the case of disclosure the recipient of the information is </w:t>
      </w:r>
      <w:r w:rsidR="00EA2D9D">
        <w:t>a locating b</w:t>
      </w:r>
      <w:r>
        <w:t>ody.</w:t>
      </w:r>
    </w:p>
    <w:p w:rsidR="007B0492" w:rsidRDefault="007B0492" w:rsidP="00C41BDC">
      <w:pPr>
        <w:spacing w:before="240"/>
        <w:outlineLvl w:val="2"/>
      </w:pPr>
      <w:r>
        <w:t>Paragraph 6(1</w:t>
      </w:r>
      <w:proofErr w:type="gramStart"/>
      <w:r>
        <w:t>)(</w:t>
      </w:r>
      <w:proofErr w:type="gramEnd"/>
      <w:r>
        <w:t>d) requires that in order to use or disclose the personal information it must be unreasonable or impracticable to obtain the consent of the person reported as missing to the use or disclosure of the information.</w:t>
      </w:r>
    </w:p>
    <w:p w:rsidR="007B0492" w:rsidRDefault="007B0492" w:rsidP="00C41BDC">
      <w:pPr>
        <w:spacing w:before="240"/>
        <w:outlineLvl w:val="2"/>
      </w:pPr>
      <w:r>
        <w:t>Paragraph 6(1</w:t>
      </w:r>
      <w:proofErr w:type="gramStart"/>
      <w:r>
        <w:t>)(</w:t>
      </w:r>
      <w:proofErr w:type="gramEnd"/>
      <w:r>
        <w:t>e) limits the use or disclosure to the extent reasonably necessary to make contact with, or to offer proof of life of</w:t>
      </w:r>
      <w:r w:rsidR="00E4280D">
        <w:t>,</w:t>
      </w:r>
      <w:r>
        <w:t xml:space="preserve"> the person reported as missing.</w:t>
      </w:r>
    </w:p>
    <w:p w:rsidR="007B0492" w:rsidRDefault="007B0492" w:rsidP="00C41BDC">
      <w:pPr>
        <w:spacing w:before="240"/>
        <w:outlineLvl w:val="2"/>
      </w:pPr>
      <w:r>
        <w:t>Paragraph 6(1)(f) requires that the use or disclosure is not contrary to any wish expressed by the person reported as missing of which the APP entity is aware.</w:t>
      </w:r>
    </w:p>
    <w:p w:rsidR="00130850" w:rsidRDefault="00130850" w:rsidP="00C41BDC">
      <w:pPr>
        <w:spacing w:before="240"/>
        <w:outlineLvl w:val="2"/>
      </w:pPr>
      <w:r>
        <w:t>This means that use or disclosure can</w:t>
      </w:r>
      <w:r w:rsidR="006F41C9">
        <w:t>not occur if the use or disclosure goes against any known</w:t>
      </w:r>
      <w:bookmarkStart w:id="0" w:name="_GoBack"/>
      <w:bookmarkEnd w:id="0"/>
      <w:r w:rsidR="006F41C9">
        <w:t xml:space="preserve"> wishes of </w:t>
      </w:r>
      <w:r>
        <w:t>the person reported as missing.</w:t>
      </w:r>
    </w:p>
    <w:p w:rsidR="007B0492" w:rsidRDefault="007B0492" w:rsidP="00C41BDC">
      <w:pPr>
        <w:spacing w:before="240"/>
        <w:outlineLvl w:val="2"/>
      </w:pPr>
      <w:r>
        <w:t>Paragraph 6(1</w:t>
      </w:r>
      <w:proofErr w:type="gramStart"/>
      <w:r>
        <w:t>)(</w:t>
      </w:r>
      <w:proofErr w:type="gramEnd"/>
      <w:r>
        <w:t>g) prohibits the use or disclosure of personal information if the APP entity reasonably believes that the use or disclosure would pose a serious threat to the life, health or safety of any individual.</w:t>
      </w:r>
    </w:p>
    <w:p w:rsidR="006F41C9" w:rsidRDefault="006F41C9" w:rsidP="00C41BDC">
      <w:pPr>
        <w:spacing w:before="240"/>
        <w:outlineLvl w:val="2"/>
      </w:pPr>
      <w:r>
        <w:t>To form a reasonable belief, the APP entity must take reasonable steps to assess whether the use or disclosure of the personal information would pose a serious threat to the life, health or safety of any individual.</w:t>
      </w:r>
    </w:p>
    <w:p w:rsidR="00E81D4F" w:rsidRDefault="000B14B4" w:rsidP="00C41BDC">
      <w:pPr>
        <w:spacing w:before="240"/>
        <w:outlineLvl w:val="2"/>
      </w:pPr>
      <w:r>
        <w:t>Subsection</w:t>
      </w:r>
      <w:r w:rsidR="00E81D4F">
        <w:t xml:space="preserve"> 6(2) requires an APP entity to make a written note of the disclosure of personal information under </w:t>
      </w:r>
      <w:r>
        <w:t>subsection</w:t>
      </w:r>
      <w:r w:rsidR="00E81D4F">
        <w:t xml:space="preserve"> (1).</w:t>
      </w:r>
    </w:p>
    <w:p w:rsidR="007B0492" w:rsidRPr="00776B1D" w:rsidRDefault="007B0492" w:rsidP="00C41BDC">
      <w:pPr>
        <w:pStyle w:val="ListParagraph"/>
        <w:numPr>
          <w:ilvl w:val="0"/>
          <w:numId w:val="14"/>
        </w:numPr>
        <w:spacing w:before="240"/>
        <w:outlineLvl w:val="2"/>
        <w:rPr>
          <w:b/>
        </w:rPr>
      </w:pPr>
      <w:r w:rsidRPr="00776B1D">
        <w:rPr>
          <w:b/>
        </w:rPr>
        <w:t>Collection, use or disclosure must not pose a serious threat to an individual</w:t>
      </w:r>
    </w:p>
    <w:p w:rsidR="00E81D4F" w:rsidRDefault="000B14B4" w:rsidP="00C41BDC">
      <w:pPr>
        <w:spacing w:before="240"/>
        <w:outlineLvl w:val="2"/>
      </w:pPr>
      <w:r>
        <w:t xml:space="preserve">Section </w:t>
      </w:r>
      <w:r w:rsidR="007B0492">
        <w:t>7 prohibits the collection</w:t>
      </w:r>
      <w:r w:rsidR="00E81D4F">
        <w:t>, use or disclosure of personal information if the APP entity reasonably believes that the collection, use or disclosure would pose a serious threat to the life, health or safety of any individual.</w:t>
      </w:r>
    </w:p>
    <w:p w:rsidR="007B0492" w:rsidRPr="00776B1D" w:rsidRDefault="00E81D4F" w:rsidP="00C41BDC">
      <w:pPr>
        <w:pStyle w:val="ListParagraph"/>
        <w:numPr>
          <w:ilvl w:val="0"/>
          <w:numId w:val="14"/>
        </w:numPr>
        <w:spacing w:before="240"/>
        <w:outlineLvl w:val="2"/>
        <w:rPr>
          <w:b/>
        </w:rPr>
      </w:pPr>
      <w:r w:rsidRPr="00776B1D">
        <w:rPr>
          <w:b/>
        </w:rPr>
        <w:t>Operation of the Rule</w:t>
      </w:r>
    </w:p>
    <w:p w:rsidR="0047085D" w:rsidRDefault="000B14B4" w:rsidP="00C41BDC">
      <w:pPr>
        <w:pStyle w:val="ndissubsection"/>
        <w:rPr>
          <w:rFonts w:asciiTheme="minorHAnsi" w:hAnsiTheme="minorHAnsi" w:cstheme="minorHAnsi"/>
        </w:rPr>
      </w:pPr>
      <w:r>
        <w:rPr>
          <w:rFonts w:asciiTheme="minorHAnsi" w:hAnsiTheme="minorHAnsi" w:cstheme="minorHAnsi"/>
        </w:rPr>
        <w:lastRenderedPageBreak/>
        <w:t>Subsection</w:t>
      </w:r>
      <w:r w:rsidR="00E81D4F" w:rsidRPr="00776B1D">
        <w:rPr>
          <w:rFonts w:asciiTheme="minorHAnsi" w:hAnsiTheme="minorHAnsi" w:cstheme="minorHAnsi"/>
        </w:rPr>
        <w:t xml:space="preserve"> 8</w:t>
      </w:r>
      <w:r w:rsidR="0047085D" w:rsidRPr="00776B1D">
        <w:rPr>
          <w:rFonts w:asciiTheme="minorHAnsi" w:hAnsiTheme="minorHAnsi" w:cstheme="minorHAnsi"/>
        </w:rPr>
        <w:t>(1)</w:t>
      </w:r>
      <w:r w:rsidR="00E81D4F" w:rsidRPr="00776B1D">
        <w:rPr>
          <w:rFonts w:asciiTheme="minorHAnsi" w:hAnsiTheme="minorHAnsi" w:cstheme="minorHAnsi"/>
        </w:rPr>
        <w:t xml:space="preserve"> </w:t>
      </w:r>
      <w:r w:rsidR="0047085D" w:rsidRPr="00776B1D">
        <w:rPr>
          <w:rFonts w:asciiTheme="minorHAnsi" w:hAnsiTheme="minorHAnsi" w:cstheme="minorHAnsi"/>
        </w:rPr>
        <w:t xml:space="preserve">provides that </w:t>
      </w:r>
      <w:bookmarkStart w:id="1" w:name="_Ref351640711"/>
      <w:r w:rsidR="0047085D">
        <w:rPr>
          <w:rFonts w:asciiTheme="minorHAnsi" w:hAnsiTheme="minorHAnsi" w:cstheme="minorHAnsi"/>
        </w:rPr>
        <w:t>nothing in th</w:t>
      </w:r>
      <w:r w:rsidR="00721BF3">
        <w:rPr>
          <w:rFonts w:asciiTheme="minorHAnsi" w:hAnsiTheme="minorHAnsi" w:cstheme="minorHAnsi"/>
        </w:rPr>
        <w:t>e</w:t>
      </w:r>
      <w:r w:rsidR="0047085D">
        <w:rPr>
          <w:rFonts w:asciiTheme="minorHAnsi" w:hAnsiTheme="minorHAnsi" w:cstheme="minorHAnsi"/>
        </w:rPr>
        <w:t xml:space="preserve"> Rule is intended to impact on other legislative provisions dealing with the collection, use or disclosure of the personal information of </w:t>
      </w:r>
      <w:r w:rsidR="002475CD">
        <w:rPr>
          <w:rFonts w:asciiTheme="minorHAnsi" w:hAnsiTheme="minorHAnsi" w:cstheme="minorHAnsi"/>
        </w:rPr>
        <w:t>a person</w:t>
      </w:r>
      <w:r w:rsidR="0047085D">
        <w:rPr>
          <w:rFonts w:asciiTheme="minorHAnsi" w:hAnsiTheme="minorHAnsi" w:cstheme="minorHAnsi"/>
        </w:rPr>
        <w:t xml:space="preserve"> reported as missing.</w:t>
      </w:r>
    </w:p>
    <w:bookmarkEnd w:id="1"/>
    <w:p w:rsidR="00E81D4F" w:rsidRPr="00B065B8" w:rsidRDefault="000B14B4" w:rsidP="00C41BDC">
      <w:pPr>
        <w:spacing w:before="240"/>
        <w:outlineLvl w:val="2"/>
      </w:pPr>
      <w:r w:rsidRPr="00487482">
        <w:t>Subsection</w:t>
      </w:r>
      <w:r w:rsidR="0047085D">
        <w:t xml:space="preserve"> 8(2) </w:t>
      </w:r>
      <w:r w:rsidR="00E81D4F">
        <w:t>provides that nothing in the Rule is to be taken to</w:t>
      </w:r>
      <w:r w:rsidR="0047085D">
        <w:t xml:space="preserve"> require an APP entity to collec</w:t>
      </w:r>
      <w:r w:rsidR="00E81D4F">
        <w:t>t</w:t>
      </w:r>
      <w:r w:rsidR="0047085D">
        <w:t>,</w:t>
      </w:r>
      <w:r w:rsidR="00E81D4F">
        <w:t xml:space="preserve"> use or disclose personal information.</w:t>
      </w:r>
    </w:p>
    <w:sectPr w:rsidR="00E81D4F" w:rsidRPr="00B065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17F" w:rsidRDefault="000B517F" w:rsidP="00CB6868">
      <w:pPr>
        <w:spacing w:after="0"/>
      </w:pPr>
      <w:r>
        <w:separator/>
      </w:r>
    </w:p>
  </w:endnote>
  <w:endnote w:type="continuationSeparator" w:id="0">
    <w:p w:rsidR="000B517F" w:rsidRDefault="000B517F" w:rsidP="00CB6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17F" w:rsidRDefault="000B517F" w:rsidP="00CB6868">
      <w:pPr>
        <w:spacing w:after="0"/>
      </w:pPr>
      <w:r>
        <w:separator/>
      </w:r>
    </w:p>
  </w:footnote>
  <w:footnote w:type="continuationSeparator" w:id="0">
    <w:p w:rsidR="000B517F" w:rsidRDefault="000B517F" w:rsidP="00CB6868">
      <w:pPr>
        <w:spacing w:after="0"/>
      </w:pPr>
      <w:r>
        <w:continuationSeparator/>
      </w:r>
    </w:p>
  </w:footnote>
  <w:footnote w:id="1">
    <w:p w:rsidR="000B517F" w:rsidRPr="006F1555" w:rsidRDefault="000B517F" w:rsidP="00487482">
      <w:pPr>
        <w:pStyle w:val="FootnoteText"/>
        <w:ind w:left="142" w:hanging="142"/>
        <w:rPr>
          <w:sz w:val="18"/>
          <w:szCs w:val="18"/>
        </w:rPr>
      </w:pPr>
      <w:r>
        <w:rPr>
          <w:rStyle w:val="FootnoteReference"/>
        </w:rPr>
        <w:footnoteRef/>
      </w:r>
      <w:r>
        <w:t xml:space="preserve"> </w:t>
      </w:r>
      <w:r w:rsidRPr="006F1555">
        <w:rPr>
          <w:sz w:val="18"/>
          <w:szCs w:val="18"/>
        </w:rPr>
        <w:t>These matters are listed in the Explanatory Memorandum to the Privacy Amendment (Enhancing Privacy Protection) Bill 2012 as matters that the Information Commissioner’s Rules should address.</w:t>
      </w:r>
    </w:p>
  </w:footnote>
  <w:footnote w:id="2">
    <w:p w:rsidR="000B517F" w:rsidRDefault="000B517F">
      <w:pPr>
        <w:pStyle w:val="FootnoteText"/>
      </w:pPr>
      <w:r>
        <w:rPr>
          <w:rStyle w:val="FootnoteReference"/>
        </w:rPr>
        <w:footnoteRef/>
      </w:r>
      <w:r>
        <w:t xml:space="preserve"> See the </w:t>
      </w:r>
      <w:r w:rsidRPr="000F083B">
        <w:rPr>
          <w:i/>
        </w:rPr>
        <w:t>Legislative Instruments Act 2003</w:t>
      </w:r>
      <w:r>
        <w:rPr>
          <w:i/>
        </w:rPr>
        <w:t xml:space="preserve">, </w:t>
      </w:r>
      <w:r w:rsidRPr="00487482">
        <w:t>s 17</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58B"/>
    <w:multiLevelType w:val="hybridMultilevel"/>
    <w:tmpl w:val="3B9C6318"/>
    <w:lvl w:ilvl="0" w:tplc="6EEA8F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9086E13"/>
    <w:multiLevelType w:val="hybridMultilevel"/>
    <w:tmpl w:val="363CF2A0"/>
    <w:lvl w:ilvl="0" w:tplc="85F0E76A">
      <w:start w:val="1"/>
      <w:numFmt w:val="bullet"/>
      <w:pStyle w:v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1427B6"/>
    <w:multiLevelType w:val="hybridMultilevel"/>
    <w:tmpl w:val="D5A01D2A"/>
    <w:lvl w:ilvl="0" w:tplc="A4B0850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nsid w:val="28102093"/>
    <w:multiLevelType w:val="hybridMultilevel"/>
    <w:tmpl w:val="BDCAA456"/>
    <w:lvl w:ilvl="0" w:tplc="96C21E2E">
      <w:start w:val="1"/>
      <w:numFmt w:val="decimal"/>
      <w:lvlText w:val="%1."/>
      <w:lvlJc w:val="right"/>
      <w:pPr>
        <w:ind w:left="63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9E15376"/>
    <w:multiLevelType w:val="hybridMultilevel"/>
    <w:tmpl w:val="C3D8D4FA"/>
    <w:lvl w:ilvl="0" w:tplc="1AFE0792">
      <w:start w:val="1"/>
      <w:numFmt w:val="decimal"/>
      <w:lvlText w:val="%1."/>
      <w:lvlJc w:val="left"/>
      <w:pPr>
        <w:ind w:left="0" w:hanging="360"/>
      </w:pPr>
      <w:rPr>
        <w:rFonts w:hint="default"/>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6">
    <w:nsid w:val="31C926EA"/>
    <w:multiLevelType w:val="hybridMultilevel"/>
    <w:tmpl w:val="A07E7F54"/>
    <w:lvl w:ilvl="0" w:tplc="4EC8BFBE">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2B33B8"/>
    <w:multiLevelType w:val="hybridMultilevel"/>
    <w:tmpl w:val="2370D2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3AF0A5D"/>
    <w:multiLevelType w:val="hybridMultilevel"/>
    <w:tmpl w:val="4F468436"/>
    <w:lvl w:ilvl="0" w:tplc="F884688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1">
    <w:nsid w:val="65CE4F2C"/>
    <w:multiLevelType w:val="hybridMultilevel"/>
    <w:tmpl w:val="D4FC57CC"/>
    <w:lvl w:ilvl="0" w:tplc="9D80E53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nsid w:val="667974BC"/>
    <w:multiLevelType w:val="hybridMultilevel"/>
    <w:tmpl w:val="4FB2BEBE"/>
    <w:lvl w:ilvl="0" w:tplc="F3629F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9277E1"/>
    <w:multiLevelType w:val="hybridMultilevel"/>
    <w:tmpl w:val="A95242FE"/>
    <w:lvl w:ilvl="0" w:tplc="C452FE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B0014CA"/>
    <w:multiLevelType w:val="hybridMultilevel"/>
    <w:tmpl w:val="3D5695D6"/>
    <w:lvl w:ilvl="0" w:tplc="B832C518">
      <w:start w:val="1"/>
      <w:numFmt w:val="bullet"/>
      <w:pStyle w:val="Bulle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4"/>
  </w:num>
  <w:num w:numId="4">
    <w:abstractNumId w:val="6"/>
  </w:num>
  <w:num w:numId="5">
    <w:abstractNumId w:val="0"/>
  </w:num>
  <w:num w:numId="6">
    <w:abstractNumId w:val="13"/>
  </w:num>
  <w:num w:numId="7">
    <w:abstractNumId w:val="3"/>
  </w:num>
  <w:num w:numId="8">
    <w:abstractNumId w:val="14"/>
  </w:num>
  <w:num w:numId="9">
    <w:abstractNumId w:val="11"/>
  </w:num>
  <w:num w:numId="10">
    <w:abstractNumId w:val="1"/>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F1B"/>
    <w:rsid w:val="0000624D"/>
    <w:rsid w:val="00035C15"/>
    <w:rsid w:val="00067AAF"/>
    <w:rsid w:val="00096050"/>
    <w:rsid w:val="0009781C"/>
    <w:rsid w:val="000A1ABA"/>
    <w:rsid w:val="000B14B4"/>
    <w:rsid w:val="000B517F"/>
    <w:rsid w:val="000C5927"/>
    <w:rsid w:val="000C6D4C"/>
    <w:rsid w:val="000E2609"/>
    <w:rsid w:val="000F083B"/>
    <w:rsid w:val="000F4227"/>
    <w:rsid w:val="001103AB"/>
    <w:rsid w:val="00115716"/>
    <w:rsid w:val="00126CDB"/>
    <w:rsid w:val="00127BE9"/>
    <w:rsid w:val="00130850"/>
    <w:rsid w:val="001557B3"/>
    <w:rsid w:val="001614E3"/>
    <w:rsid w:val="00167D8D"/>
    <w:rsid w:val="001A5C66"/>
    <w:rsid w:val="001B42D9"/>
    <w:rsid w:val="001C61D2"/>
    <w:rsid w:val="001E4843"/>
    <w:rsid w:val="001F1A34"/>
    <w:rsid w:val="00217D43"/>
    <w:rsid w:val="00220AD7"/>
    <w:rsid w:val="002475CD"/>
    <w:rsid w:val="002547A9"/>
    <w:rsid w:val="00263EFE"/>
    <w:rsid w:val="0029656A"/>
    <w:rsid w:val="002C19E2"/>
    <w:rsid w:val="002D604B"/>
    <w:rsid w:val="002E4556"/>
    <w:rsid w:val="002E49D5"/>
    <w:rsid w:val="002F2148"/>
    <w:rsid w:val="0032198C"/>
    <w:rsid w:val="00330B5B"/>
    <w:rsid w:val="003352DD"/>
    <w:rsid w:val="00341BDC"/>
    <w:rsid w:val="0035148E"/>
    <w:rsid w:val="0035207E"/>
    <w:rsid w:val="003A50F1"/>
    <w:rsid w:val="003C53F6"/>
    <w:rsid w:val="003D0B4E"/>
    <w:rsid w:val="003D2C20"/>
    <w:rsid w:val="003D4A38"/>
    <w:rsid w:val="003D7B86"/>
    <w:rsid w:val="003E4F75"/>
    <w:rsid w:val="00404036"/>
    <w:rsid w:val="00410BAE"/>
    <w:rsid w:val="00413BEF"/>
    <w:rsid w:val="00467DD2"/>
    <w:rsid w:val="0047085D"/>
    <w:rsid w:val="00487482"/>
    <w:rsid w:val="00495F61"/>
    <w:rsid w:val="004B4721"/>
    <w:rsid w:val="004D2B2E"/>
    <w:rsid w:val="00502990"/>
    <w:rsid w:val="00523FE8"/>
    <w:rsid w:val="00560827"/>
    <w:rsid w:val="00560B8B"/>
    <w:rsid w:val="00562499"/>
    <w:rsid w:val="00576930"/>
    <w:rsid w:val="00576C04"/>
    <w:rsid w:val="00583A7B"/>
    <w:rsid w:val="005A10DE"/>
    <w:rsid w:val="005A6D17"/>
    <w:rsid w:val="005B0D80"/>
    <w:rsid w:val="005D163B"/>
    <w:rsid w:val="005F7414"/>
    <w:rsid w:val="005F7A6E"/>
    <w:rsid w:val="00645F8E"/>
    <w:rsid w:val="0066177D"/>
    <w:rsid w:val="00664C9C"/>
    <w:rsid w:val="00690262"/>
    <w:rsid w:val="006A0BD1"/>
    <w:rsid w:val="006B0FCA"/>
    <w:rsid w:val="006C0B52"/>
    <w:rsid w:val="006C3651"/>
    <w:rsid w:val="006C369F"/>
    <w:rsid w:val="006F41C9"/>
    <w:rsid w:val="00706B38"/>
    <w:rsid w:val="00721355"/>
    <w:rsid w:val="00721BF3"/>
    <w:rsid w:val="0077081A"/>
    <w:rsid w:val="00776725"/>
    <w:rsid w:val="00776B1D"/>
    <w:rsid w:val="007B0492"/>
    <w:rsid w:val="007B1798"/>
    <w:rsid w:val="007E176E"/>
    <w:rsid w:val="007E5AAB"/>
    <w:rsid w:val="007E64D1"/>
    <w:rsid w:val="0080135A"/>
    <w:rsid w:val="00806AE5"/>
    <w:rsid w:val="0081015E"/>
    <w:rsid w:val="00820890"/>
    <w:rsid w:val="00827B6B"/>
    <w:rsid w:val="00864C35"/>
    <w:rsid w:val="008D6365"/>
    <w:rsid w:val="008F35D8"/>
    <w:rsid w:val="008F385F"/>
    <w:rsid w:val="00906356"/>
    <w:rsid w:val="0090704D"/>
    <w:rsid w:val="00911215"/>
    <w:rsid w:val="00925426"/>
    <w:rsid w:val="0092688F"/>
    <w:rsid w:val="00933771"/>
    <w:rsid w:val="009407CD"/>
    <w:rsid w:val="009409B8"/>
    <w:rsid w:val="00967209"/>
    <w:rsid w:val="009842FB"/>
    <w:rsid w:val="0099671F"/>
    <w:rsid w:val="009A3DD4"/>
    <w:rsid w:val="009A6C47"/>
    <w:rsid w:val="009B5E35"/>
    <w:rsid w:val="009D4344"/>
    <w:rsid w:val="00A85C60"/>
    <w:rsid w:val="00AC4CCE"/>
    <w:rsid w:val="00AC509A"/>
    <w:rsid w:val="00AC64ED"/>
    <w:rsid w:val="00AC7FE8"/>
    <w:rsid w:val="00B01036"/>
    <w:rsid w:val="00B0529E"/>
    <w:rsid w:val="00B065B8"/>
    <w:rsid w:val="00B0705C"/>
    <w:rsid w:val="00B40466"/>
    <w:rsid w:val="00B54DD2"/>
    <w:rsid w:val="00B62647"/>
    <w:rsid w:val="00B976EC"/>
    <w:rsid w:val="00BA11D7"/>
    <w:rsid w:val="00BB5FF1"/>
    <w:rsid w:val="00BC2947"/>
    <w:rsid w:val="00BC411A"/>
    <w:rsid w:val="00BE74C4"/>
    <w:rsid w:val="00BF1E74"/>
    <w:rsid w:val="00C02DD5"/>
    <w:rsid w:val="00C12216"/>
    <w:rsid w:val="00C204DA"/>
    <w:rsid w:val="00C31B5F"/>
    <w:rsid w:val="00C41BDC"/>
    <w:rsid w:val="00C577A2"/>
    <w:rsid w:val="00C80C78"/>
    <w:rsid w:val="00C967CD"/>
    <w:rsid w:val="00CB3246"/>
    <w:rsid w:val="00CB3745"/>
    <w:rsid w:val="00CB37A3"/>
    <w:rsid w:val="00CB6868"/>
    <w:rsid w:val="00CD0E33"/>
    <w:rsid w:val="00CD3159"/>
    <w:rsid w:val="00CD68D3"/>
    <w:rsid w:val="00CE5C3E"/>
    <w:rsid w:val="00D049F9"/>
    <w:rsid w:val="00D07322"/>
    <w:rsid w:val="00D07E4B"/>
    <w:rsid w:val="00D46CBE"/>
    <w:rsid w:val="00D515D1"/>
    <w:rsid w:val="00D61E09"/>
    <w:rsid w:val="00D767A9"/>
    <w:rsid w:val="00D80987"/>
    <w:rsid w:val="00DB2324"/>
    <w:rsid w:val="00DD7D51"/>
    <w:rsid w:val="00DE42D3"/>
    <w:rsid w:val="00DE59AE"/>
    <w:rsid w:val="00DE6D89"/>
    <w:rsid w:val="00DF5E4A"/>
    <w:rsid w:val="00E018C5"/>
    <w:rsid w:val="00E2558D"/>
    <w:rsid w:val="00E36F8B"/>
    <w:rsid w:val="00E4280D"/>
    <w:rsid w:val="00E548A6"/>
    <w:rsid w:val="00E81D4F"/>
    <w:rsid w:val="00EA2315"/>
    <w:rsid w:val="00EA2D9D"/>
    <w:rsid w:val="00EF0DD6"/>
    <w:rsid w:val="00EF1726"/>
    <w:rsid w:val="00F26929"/>
    <w:rsid w:val="00F26F1B"/>
    <w:rsid w:val="00F35640"/>
    <w:rsid w:val="00F356BD"/>
    <w:rsid w:val="00F83F7E"/>
    <w:rsid w:val="00F917A1"/>
    <w:rsid w:val="00FB4F50"/>
    <w:rsid w:val="00FF7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9"/>
    <w:qFormat/>
    <w:rsid w:val="001E4843"/>
    <w:pPr>
      <w:spacing w:before="120"/>
      <w:ind w:left="709" w:right="521"/>
    </w:pPr>
    <w:rPr>
      <w:iCs/>
    </w:rPr>
  </w:style>
  <w:style w:type="character" w:customStyle="1" w:styleId="QuoteChar">
    <w:name w:val="Quote Char"/>
    <w:basedOn w:val="DefaultParagraphFont"/>
    <w:link w:val="Quote"/>
    <w:uiPriority w:val="29"/>
    <w:rsid w:val="001E4843"/>
    <w:rPr>
      <w:rFonts w:ascii="Calibri" w:hAnsi="Calibri"/>
      <w:iCs/>
      <w:sz w:val="24"/>
    </w:rPr>
  </w:style>
  <w:style w:type="paragraph" w:styleId="ListParagraph">
    <w:name w:val="List Paragraph"/>
    <w:basedOn w:val="Normal"/>
    <w:uiPriority w:val="34"/>
    <w:qFormat/>
    <w:rsid w:val="006A0BD1"/>
    <w:pPr>
      <w:numPr>
        <w:numId w:val="4"/>
      </w:numPr>
      <w:tabs>
        <w:tab w:val="left" w:pos="567"/>
      </w:tabs>
      <w:spacing w:before="120" w:after="120"/>
      <w:ind w:left="0" w:firstLine="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2"/>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2"/>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917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character" w:customStyle="1" w:styleId="charparttext">
    <w:name w:val="charparttext"/>
    <w:basedOn w:val="DefaultParagraphFont"/>
    <w:rsid w:val="00F26F1B"/>
  </w:style>
  <w:style w:type="character" w:styleId="CommentReference">
    <w:name w:val="annotation reference"/>
    <w:basedOn w:val="DefaultParagraphFont"/>
    <w:uiPriority w:val="99"/>
    <w:semiHidden/>
    <w:unhideWhenUsed/>
    <w:rsid w:val="00F26F1B"/>
    <w:rPr>
      <w:sz w:val="16"/>
      <w:szCs w:val="16"/>
    </w:rPr>
  </w:style>
  <w:style w:type="paragraph" w:styleId="CommentText">
    <w:name w:val="annotation text"/>
    <w:basedOn w:val="Normal"/>
    <w:link w:val="CommentTextChar"/>
    <w:uiPriority w:val="99"/>
    <w:unhideWhenUsed/>
    <w:rsid w:val="00F26F1B"/>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26F1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7D5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D7D51"/>
    <w:rPr>
      <w:rFonts w:ascii="Calibri" w:eastAsia="Times New Roman" w:hAnsi="Calibri" w:cs="Times New Roman"/>
      <w:b/>
      <w:bCs/>
      <w:sz w:val="20"/>
      <w:szCs w:val="20"/>
      <w:lang w:eastAsia="en-AU"/>
    </w:rPr>
  </w:style>
  <w:style w:type="paragraph" w:customStyle="1" w:styleId="Bulletlist">
    <w:name w:val="Bullet list"/>
    <w:basedOn w:val="ListParagraph"/>
    <w:qFormat/>
    <w:rsid w:val="00CB6868"/>
    <w:pPr>
      <w:numPr>
        <w:numId w:val="8"/>
      </w:numPr>
      <w:tabs>
        <w:tab w:val="clear" w:pos="567"/>
      </w:tabs>
      <w:spacing w:before="0"/>
      <w:ind w:hanging="578"/>
      <w:contextualSpacing w:val="0"/>
    </w:pPr>
    <w:rPr>
      <w:rFonts w:eastAsia="Times New Roman" w:cs="Times New Roman"/>
      <w:lang w:eastAsia="en-AU"/>
    </w:rPr>
  </w:style>
  <w:style w:type="paragraph" w:styleId="FootnoteText">
    <w:name w:val="footnote text"/>
    <w:basedOn w:val="Normal"/>
    <w:link w:val="FootnoteTextChar"/>
    <w:uiPriority w:val="99"/>
    <w:semiHidden/>
    <w:unhideWhenUsed/>
    <w:rsid w:val="00CB6868"/>
    <w:pPr>
      <w:spacing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CB6868"/>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CB6868"/>
    <w:rPr>
      <w:vertAlign w:val="superscript"/>
    </w:rPr>
  </w:style>
  <w:style w:type="character" w:styleId="Hyperlink">
    <w:name w:val="Hyperlink"/>
    <w:basedOn w:val="DefaultParagraphFont"/>
    <w:uiPriority w:val="99"/>
    <w:unhideWhenUsed/>
    <w:rsid w:val="00CB6868"/>
    <w:rPr>
      <w:color w:val="0000FF" w:themeColor="hyperlink"/>
      <w:u w:val="single"/>
    </w:rPr>
  </w:style>
  <w:style w:type="paragraph" w:customStyle="1" w:styleId="Default">
    <w:name w:val="Default"/>
    <w:rsid w:val="00330B5B"/>
    <w:pPr>
      <w:autoSpaceDE w:val="0"/>
      <w:autoSpaceDN w:val="0"/>
      <w:adjustRightInd w:val="0"/>
      <w:spacing w:after="0" w:line="240" w:lineRule="auto"/>
    </w:pPr>
    <w:rPr>
      <w:rFonts w:ascii="Symbol" w:hAnsi="Symbol" w:cs="Symbol"/>
      <w:color w:val="000000"/>
      <w:sz w:val="24"/>
      <w:szCs w:val="24"/>
    </w:rPr>
  </w:style>
  <w:style w:type="paragraph" w:customStyle="1" w:styleId="ndissubsection">
    <w:name w:val="ndissubsection"/>
    <w:basedOn w:val="Normal"/>
    <w:rsid w:val="0047085D"/>
    <w:pPr>
      <w:spacing w:before="100" w:beforeAutospacing="1" w:after="100" w:afterAutospacing="1"/>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9A3DD4"/>
    <w:pPr>
      <w:tabs>
        <w:tab w:val="center" w:pos="4513"/>
        <w:tab w:val="right" w:pos="9026"/>
      </w:tabs>
      <w:spacing w:after="200" w:line="276" w:lineRule="auto"/>
    </w:pPr>
    <w:rPr>
      <w:rFonts w:eastAsia="Calibri" w:cs="Times New Roman"/>
      <w:sz w:val="22"/>
    </w:rPr>
  </w:style>
  <w:style w:type="character" w:customStyle="1" w:styleId="HeaderChar">
    <w:name w:val="Header Char"/>
    <w:basedOn w:val="DefaultParagraphFont"/>
    <w:link w:val="Header"/>
    <w:uiPriority w:val="99"/>
    <w:rsid w:val="009A3DD4"/>
    <w:rPr>
      <w:rFonts w:ascii="Calibri" w:eastAsia="Calibri" w:hAnsi="Calibri" w:cs="Times New Roman"/>
    </w:rPr>
  </w:style>
  <w:style w:type="paragraph" w:styleId="Revision">
    <w:name w:val="Revision"/>
    <w:hidden/>
    <w:uiPriority w:val="99"/>
    <w:semiHidden/>
    <w:rsid w:val="003352DD"/>
    <w:pPr>
      <w:spacing w:after="0" w:line="240" w:lineRule="auto"/>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1" w:unhideWhenUsed="0" w:qFormat="1"/>
    <w:lsdException w:name="heading 4" w:uiPriority="4" w:qFormat="1"/>
    <w:lsdException w:name="heading 5" w:uiPriority="4"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3"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4"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76C04"/>
    <w:pPr>
      <w:spacing w:after="240" w:line="240" w:lineRule="auto"/>
    </w:pPr>
    <w:rPr>
      <w:rFonts w:ascii="Calibri" w:hAnsi="Calibri"/>
      <w:sz w:val="24"/>
    </w:rPr>
  </w:style>
  <w:style w:type="paragraph" w:styleId="Heading1">
    <w:name w:val="heading 1"/>
    <w:basedOn w:val="Normal"/>
    <w:next w:val="Normal"/>
    <w:link w:val="Heading1Char"/>
    <w:uiPriority w:val="1"/>
    <w:qFormat/>
    <w:rsid w:val="00D80987"/>
    <w:pPr>
      <w:keepNext/>
      <w:keepLines/>
      <w:spacing w:before="300"/>
      <w:outlineLvl w:val="0"/>
    </w:pPr>
    <w:rPr>
      <w:rFonts w:eastAsiaTheme="majorEastAsia" w:cstheme="majorBidi"/>
      <w:b/>
      <w:bCs/>
      <w:sz w:val="36"/>
      <w:szCs w:val="28"/>
    </w:rPr>
  </w:style>
  <w:style w:type="paragraph" w:styleId="Heading2">
    <w:name w:val="heading 2"/>
    <w:basedOn w:val="Normal"/>
    <w:next w:val="Normal"/>
    <w:link w:val="Heading2Char"/>
    <w:uiPriority w:val="1"/>
    <w:qFormat/>
    <w:rsid w:val="00B0529E"/>
    <w:pPr>
      <w:keepNext/>
      <w:keepLines/>
      <w:spacing w:before="240" w:after="180"/>
      <w:outlineLvl w:val="1"/>
    </w:pPr>
    <w:rPr>
      <w:rFonts w:eastAsiaTheme="majorEastAsia" w:cstheme="majorBidi"/>
      <w:b/>
      <w:bCs/>
      <w:sz w:val="28"/>
      <w:szCs w:val="26"/>
    </w:rPr>
  </w:style>
  <w:style w:type="paragraph" w:styleId="Heading3">
    <w:name w:val="heading 3"/>
    <w:basedOn w:val="Normal"/>
    <w:next w:val="Normal"/>
    <w:link w:val="Heading3Char"/>
    <w:uiPriority w:val="1"/>
    <w:qFormat/>
    <w:rsid w:val="00B0529E"/>
    <w:pPr>
      <w:keepNext/>
      <w:keepLines/>
      <w:spacing w:before="240" w:after="120"/>
      <w:outlineLvl w:val="2"/>
    </w:pPr>
    <w:rPr>
      <w:rFonts w:eastAsiaTheme="majorEastAsia" w:cstheme="majorBidi"/>
      <w:b/>
      <w:bCs/>
      <w:i/>
    </w:rPr>
  </w:style>
  <w:style w:type="paragraph" w:styleId="Heading4">
    <w:name w:val="heading 4"/>
    <w:basedOn w:val="Normal"/>
    <w:next w:val="Normal"/>
    <w:link w:val="Heading4Char"/>
    <w:uiPriority w:val="2"/>
    <w:qFormat/>
    <w:rsid w:val="00B0529E"/>
    <w:pPr>
      <w:keepNext/>
      <w:keepLines/>
      <w:spacing w:before="240" w:after="120"/>
      <w:outlineLvl w:val="3"/>
    </w:pPr>
    <w:rPr>
      <w:rFonts w:eastAsiaTheme="majorEastAsia" w:cstheme="majorBidi"/>
      <w:bCs/>
      <w:i/>
      <w:iCs/>
    </w:rPr>
  </w:style>
  <w:style w:type="paragraph" w:styleId="Heading5">
    <w:name w:val="heading 5"/>
    <w:basedOn w:val="Normal"/>
    <w:next w:val="Normal"/>
    <w:link w:val="Heading5Char"/>
    <w:uiPriority w:val="2"/>
    <w:qFormat/>
    <w:rsid w:val="00AC4CCE"/>
    <w:pPr>
      <w:keepNext/>
      <w:keepLines/>
      <w:spacing w:before="120" w:after="12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0987"/>
    <w:rPr>
      <w:rFonts w:ascii="Calibri" w:eastAsiaTheme="majorEastAsia" w:hAnsi="Calibri" w:cstheme="majorBidi"/>
      <w:b/>
      <w:bCs/>
      <w:sz w:val="36"/>
      <w:szCs w:val="28"/>
    </w:rPr>
  </w:style>
  <w:style w:type="character" w:customStyle="1" w:styleId="Heading2Char">
    <w:name w:val="Heading 2 Char"/>
    <w:basedOn w:val="DefaultParagraphFont"/>
    <w:link w:val="Heading2"/>
    <w:uiPriority w:val="1"/>
    <w:rsid w:val="00B0529E"/>
    <w:rPr>
      <w:rFonts w:ascii="Calibri" w:eastAsiaTheme="majorEastAsia" w:hAnsi="Calibri" w:cstheme="majorBidi"/>
      <w:b/>
      <w:bCs/>
      <w:sz w:val="28"/>
      <w:szCs w:val="26"/>
    </w:rPr>
  </w:style>
  <w:style w:type="paragraph" w:styleId="Title">
    <w:name w:val="Title"/>
    <w:basedOn w:val="Normal"/>
    <w:next w:val="Normal"/>
    <w:link w:val="TitleChar"/>
    <w:uiPriority w:val="2"/>
    <w:qFormat/>
    <w:rsid w:val="00DE6D89"/>
    <w:pPr>
      <w:spacing w:before="360"/>
      <w:contextualSpacing/>
      <w:jc w:val="right"/>
    </w:pPr>
    <w:rPr>
      <w:rFonts w:eastAsiaTheme="majorEastAsia" w:cstheme="majorBidi"/>
      <w:b/>
      <w:spacing w:val="5"/>
      <w:kern w:val="28"/>
      <w:sz w:val="52"/>
      <w:szCs w:val="52"/>
    </w:rPr>
  </w:style>
  <w:style w:type="character" w:customStyle="1" w:styleId="TitleChar">
    <w:name w:val="Title Char"/>
    <w:basedOn w:val="DefaultParagraphFont"/>
    <w:link w:val="Title"/>
    <w:uiPriority w:val="2"/>
    <w:rsid w:val="00DE6D89"/>
    <w:rPr>
      <w:rFonts w:ascii="Calibri" w:eastAsiaTheme="majorEastAsia" w:hAnsi="Calibri" w:cstheme="majorBidi"/>
      <w:b/>
      <w:spacing w:val="5"/>
      <w:kern w:val="28"/>
      <w:sz w:val="52"/>
      <w:szCs w:val="52"/>
    </w:rPr>
  </w:style>
  <w:style w:type="paragraph" w:styleId="Subtitle">
    <w:name w:val="Subtitle"/>
    <w:basedOn w:val="Normal"/>
    <w:next w:val="Normal"/>
    <w:link w:val="SubtitleChar"/>
    <w:uiPriority w:val="3"/>
    <w:qFormat/>
    <w:rsid w:val="00DE6D89"/>
    <w:pPr>
      <w:numPr>
        <w:ilvl w:val="1"/>
      </w:numPr>
      <w:spacing w:before="120" w:after="120"/>
      <w:jc w:val="center"/>
    </w:pPr>
    <w:rPr>
      <w:rFonts w:eastAsiaTheme="majorEastAsia" w:cstheme="majorBidi"/>
      <w:b/>
      <w:iCs/>
      <w:spacing w:val="5"/>
      <w:sz w:val="28"/>
      <w:szCs w:val="24"/>
    </w:rPr>
  </w:style>
  <w:style w:type="character" w:customStyle="1" w:styleId="SubtitleChar">
    <w:name w:val="Subtitle Char"/>
    <w:basedOn w:val="DefaultParagraphFont"/>
    <w:link w:val="Subtitle"/>
    <w:uiPriority w:val="3"/>
    <w:rsid w:val="00DE6D89"/>
    <w:rPr>
      <w:rFonts w:ascii="Calibri" w:eastAsiaTheme="majorEastAsia" w:hAnsi="Calibri" w:cstheme="majorBidi"/>
      <w:b/>
      <w:iCs/>
      <w:spacing w:val="5"/>
      <w:sz w:val="28"/>
      <w:szCs w:val="24"/>
    </w:rPr>
  </w:style>
  <w:style w:type="paragraph" w:styleId="Quote">
    <w:name w:val="Quote"/>
    <w:basedOn w:val="Normal"/>
    <w:next w:val="Normal"/>
    <w:link w:val="QuoteChar"/>
    <w:uiPriority w:val="29"/>
    <w:qFormat/>
    <w:rsid w:val="001E4843"/>
    <w:pPr>
      <w:spacing w:before="120"/>
      <w:ind w:left="709" w:right="521"/>
    </w:pPr>
    <w:rPr>
      <w:iCs/>
    </w:rPr>
  </w:style>
  <w:style w:type="character" w:customStyle="1" w:styleId="QuoteChar">
    <w:name w:val="Quote Char"/>
    <w:basedOn w:val="DefaultParagraphFont"/>
    <w:link w:val="Quote"/>
    <w:uiPriority w:val="29"/>
    <w:rsid w:val="001E4843"/>
    <w:rPr>
      <w:rFonts w:ascii="Calibri" w:hAnsi="Calibri"/>
      <w:iCs/>
      <w:sz w:val="24"/>
    </w:rPr>
  </w:style>
  <w:style w:type="paragraph" w:styleId="ListParagraph">
    <w:name w:val="List Paragraph"/>
    <w:basedOn w:val="Normal"/>
    <w:uiPriority w:val="34"/>
    <w:qFormat/>
    <w:rsid w:val="006A0BD1"/>
    <w:pPr>
      <w:numPr>
        <w:numId w:val="4"/>
      </w:numPr>
      <w:tabs>
        <w:tab w:val="left" w:pos="567"/>
      </w:tabs>
      <w:spacing w:before="120" w:after="120"/>
      <w:ind w:left="0" w:firstLine="0"/>
      <w:contextualSpacing/>
    </w:pPr>
  </w:style>
  <w:style w:type="character" w:customStyle="1" w:styleId="Heading3Char">
    <w:name w:val="Heading 3 Char"/>
    <w:basedOn w:val="DefaultParagraphFont"/>
    <w:link w:val="Heading3"/>
    <w:uiPriority w:val="1"/>
    <w:rsid w:val="00B0529E"/>
    <w:rPr>
      <w:rFonts w:ascii="Calibri" w:eastAsiaTheme="majorEastAsia" w:hAnsi="Calibri" w:cstheme="majorBidi"/>
      <w:b/>
      <w:bCs/>
      <w:i/>
      <w:sz w:val="24"/>
    </w:rPr>
  </w:style>
  <w:style w:type="character" w:customStyle="1" w:styleId="Heading4Char">
    <w:name w:val="Heading 4 Char"/>
    <w:basedOn w:val="DefaultParagraphFont"/>
    <w:link w:val="Heading4"/>
    <w:uiPriority w:val="2"/>
    <w:rsid w:val="00D80987"/>
    <w:rPr>
      <w:rFonts w:ascii="Calibri" w:eastAsiaTheme="majorEastAsia" w:hAnsi="Calibri" w:cstheme="majorBidi"/>
      <w:bCs/>
      <w:i/>
      <w:iCs/>
      <w:sz w:val="24"/>
    </w:rPr>
  </w:style>
  <w:style w:type="character" w:customStyle="1" w:styleId="Heading5Char">
    <w:name w:val="Heading 5 Char"/>
    <w:basedOn w:val="DefaultParagraphFont"/>
    <w:link w:val="Heading5"/>
    <w:uiPriority w:val="2"/>
    <w:rsid w:val="00D80987"/>
    <w:rPr>
      <w:rFonts w:ascii="Calibri" w:eastAsiaTheme="majorEastAsia" w:hAnsi="Calibri" w:cstheme="majorBidi"/>
      <w:b/>
    </w:rPr>
  </w:style>
  <w:style w:type="paragraph" w:customStyle="1" w:styleId="Bullets">
    <w:name w:val="Bullets"/>
    <w:basedOn w:val="ListParagraph"/>
    <w:qFormat/>
    <w:rsid w:val="00DE6D89"/>
    <w:pPr>
      <w:numPr>
        <w:numId w:val="2"/>
      </w:numPr>
      <w:spacing w:after="0"/>
      <w:ind w:hanging="578"/>
      <w:contextualSpacing w:val="0"/>
    </w:pPr>
  </w:style>
  <w:style w:type="paragraph" w:styleId="BalloonText">
    <w:name w:val="Balloon Text"/>
    <w:basedOn w:val="Normal"/>
    <w:link w:val="BalloonTextChar"/>
    <w:uiPriority w:val="99"/>
    <w:semiHidden/>
    <w:unhideWhenUsed/>
    <w:rsid w:val="005F741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14"/>
    <w:rPr>
      <w:rFonts w:ascii="Tahoma" w:hAnsi="Tahoma" w:cs="Tahoma"/>
      <w:sz w:val="16"/>
      <w:szCs w:val="16"/>
    </w:rPr>
  </w:style>
  <w:style w:type="table" w:styleId="TableGrid">
    <w:name w:val="Table Grid"/>
    <w:basedOn w:val="TableNormal"/>
    <w:uiPriority w:val="59"/>
    <w:rsid w:val="00F9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917A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AICtable">
    <w:name w:val="OAIC table"/>
    <w:basedOn w:val="TableNormal"/>
    <w:uiPriority w:val="99"/>
    <w:rsid w:val="00576C04"/>
    <w:pPr>
      <w:spacing w:before="120" w:after="12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tblStylePr w:type="firstRow">
      <w:pPr>
        <w:wordWrap/>
        <w:spacing w:beforeLines="0" w:before="120" w:beforeAutospacing="0" w:afterLines="0" w:after="120" w:afterAutospacing="0"/>
        <w:contextualSpacing w:val="0"/>
        <w:jc w:val="left"/>
      </w:pPr>
      <w:rPr>
        <w:rFonts w:ascii="Calibri" w:hAnsi="Calibr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Tabletext">
    <w:name w:val="Table text"/>
    <w:basedOn w:val="Normal"/>
    <w:uiPriority w:val="2"/>
    <w:qFormat/>
    <w:rsid w:val="00263EFE"/>
    <w:pPr>
      <w:spacing w:before="60" w:after="120"/>
    </w:pPr>
  </w:style>
  <w:style w:type="paragraph" w:customStyle="1" w:styleId="NumberedNormal">
    <w:name w:val="Numbered Normal"/>
    <w:basedOn w:val="ListParagraph"/>
    <w:qFormat/>
    <w:rsid w:val="006A0BD1"/>
    <w:pPr>
      <w:spacing w:after="240"/>
      <w:contextualSpacing w:val="0"/>
    </w:pPr>
  </w:style>
  <w:style w:type="character" w:customStyle="1" w:styleId="charparttext">
    <w:name w:val="charparttext"/>
    <w:basedOn w:val="DefaultParagraphFont"/>
    <w:rsid w:val="00F26F1B"/>
  </w:style>
  <w:style w:type="character" w:styleId="CommentReference">
    <w:name w:val="annotation reference"/>
    <w:basedOn w:val="DefaultParagraphFont"/>
    <w:uiPriority w:val="99"/>
    <w:semiHidden/>
    <w:unhideWhenUsed/>
    <w:rsid w:val="00F26F1B"/>
    <w:rPr>
      <w:sz w:val="16"/>
      <w:szCs w:val="16"/>
    </w:rPr>
  </w:style>
  <w:style w:type="paragraph" w:styleId="CommentText">
    <w:name w:val="annotation text"/>
    <w:basedOn w:val="Normal"/>
    <w:link w:val="CommentTextChar"/>
    <w:uiPriority w:val="99"/>
    <w:unhideWhenUsed/>
    <w:rsid w:val="00F26F1B"/>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26F1B"/>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D7D51"/>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DD7D51"/>
    <w:rPr>
      <w:rFonts w:ascii="Calibri" w:eastAsia="Times New Roman" w:hAnsi="Calibri" w:cs="Times New Roman"/>
      <w:b/>
      <w:bCs/>
      <w:sz w:val="20"/>
      <w:szCs w:val="20"/>
      <w:lang w:eastAsia="en-AU"/>
    </w:rPr>
  </w:style>
  <w:style w:type="paragraph" w:customStyle="1" w:styleId="Bulletlist">
    <w:name w:val="Bullet list"/>
    <w:basedOn w:val="ListParagraph"/>
    <w:qFormat/>
    <w:rsid w:val="00CB6868"/>
    <w:pPr>
      <w:numPr>
        <w:numId w:val="8"/>
      </w:numPr>
      <w:tabs>
        <w:tab w:val="clear" w:pos="567"/>
      </w:tabs>
      <w:spacing w:before="0"/>
      <w:ind w:hanging="578"/>
      <w:contextualSpacing w:val="0"/>
    </w:pPr>
    <w:rPr>
      <w:rFonts w:eastAsia="Times New Roman" w:cs="Times New Roman"/>
      <w:lang w:eastAsia="en-AU"/>
    </w:rPr>
  </w:style>
  <w:style w:type="paragraph" w:styleId="FootnoteText">
    <w:name w:val="footnote text"/>
    <w:basedOn w:val="Normal"/>
    <w:link w:val="FootnoteTextChar"/>
    <w:uiPriority w:val="99"/>
    <w:semiHidden/>
    <w:unhideWhenUsed/>
    <w:rsid w:val="00CB6868"/>
    <w:pPr>
      <w:spacing w:after="0"/>
    </w:pPr>
    <w:rPr>
      <w:rFonts w:eastAsia="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CB6868"/>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CB6868"/>
    <w:rPr>
      <w:vertAlign w:val="superscript"/>
    </w:rPr>
  </w:style>
  <w:style w:type="character" w:styleId="Hyperlink">
    <w:name w:val="Hyperlink"/>
    <w:basedOn w:val="DefaultParagraphFont"/>
    <w:uiPriority w:val="99"/>
    <w:unhideWhenUsed/>
    <w:rsid w:val="00CB6868"/>
    <w:rPr>
      <w:color w:val="0000FF" w:themeColor="hyperlink"/>
      <w:u w:val="single"/>
    </w:rPr>
  </w:style>
  <w:style w:type="paragraph" w:customStyle="1" w:styleId="Default">
    <w:name w:val="Default"/>
    <w:rsid w:val="00330B5B"/>
    <w:pPr>
      <w:autoSpaceDE w:val="0"/>
      <w:autoSpaceDN w:val="0"/>
      <w:adjustRightInd w:val="0"/>
      <w:spacing w:after="0" w:line="240" w:lineRule="auto"/>
    </w:pPr>
    <w:rPr>
      <w:rFonts w:ascii="Symbol" w:hAnsi="Symbol" w:cs="Symbol"/>
      <w:color w:val="000000"/>
      <w:sz w:val="24"/>
      <w:szCs w:val="24"/>
    </w:rPr>
  </w:style>
  <w:style w:type="paragraph" w:customStyle="1" w:styleId="ndissubsection">
    <w:name w:val="ndissubsection"/>
    <w:basedOn w:val="Normal"/>
    <w:rsid w:val="0047085D"/>
    <w:pPr>
      <w:spacing w:before="100" w:beforeAutospacing="1" w:after="100" w:afterAutospacing="1"/>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9A3DD4"/>
    <w:pPr>
      <w:tabs>
        <w:tab w:val="center" w:pos="4513"/>
        <w:tab w:val="right" w:pos="9026"/>
      </w:tabs>
      <w:spacing w:after="200" w:line="276" w:lineRule="auto"/>
    </w:pPr>
    <w:rPr>
      <w:rFonts w:eastAsia="Calibri" w:cs="Times New Roman"/>
      <w:sz w:val="22"/>
    </w:rPr>
  </w:style>
  <w:style w:type="character" w:customStyle="1" w:styleId="HeaderChar">
    <w:name w:val="Header Char"/>
    <w:basedOn w:val="DefaultParagraphFont"/>
    <w:link w:val="Header"/>
    <w:uiPriority w:val="99"/>
    <w:rsid w:val="009A3DD4"/>
    <w:rPr>
      <w:rFonts w:ascii="Calibri" w:eastAsia="Calibri" w:hAnsi="Calibri" w:cs="Times New Roman"/>
    </w:rPr>
  </w:style>
  <w:style w:type="paragraph" w:styleId="Revision">
    <w:name w:val="Revision"/>
    <w:hidden/>
    <w:uiPriority w:val="99"/>
    <w:semiHidden/>
    <w:rsid w:val="003352DD"/>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7766">
      <w:bodyDiv w:val="1"/>
      <w:marLeft w:val="0"/>
      <w:marRight w:val="0"/>
      <w:marTop w:val="0"/>
      <w:marBottom w:val="0"/>
      <w:divBdr>
        <w:top w:val="none" w:sz="0" w:space="0" w:color="auto"/>
        <w:left w:val="none" w:sz="0" w:space="0" w:color="auto"/>
        <w:bottom w:val="none" w:sz="0" w:space="0" w:color="auto"/>
        <w:right w:val="none" w:sz="0" w:space="0" w:color="auto"/>
      </w:divBdr>
    </w:div>
    <w:div w:id="261231339">
      <w:bodyDiv w:val="1"/>
      <w:marLeft w:val="0"/>
      <w:marRight w:val="0"/>
      <w:marTop w:val="0"/>
      <w:marBottom w:val="0"/>
      <w:divBdr>
        <w:top w:val="none" w:sz="0" w:space="0" w:color="auto"/>
        <w:left w:val="none" w:sz="0" w:space="0" w:color="auto"/>
        <w:bottom w:val="none" w:sz="0" w:space="0" w:color="auto"/>
        <w:right w:val="none" w:sz="0" w:space="0" w:color="auto"/>
      </w:divBdr>
      <w:divsChild>
        <w:div w:id="1654871230">
          <w:marLeft w:val="0"/>
          <w:marRight w:val="0"/>
          <w:marTop w:val="0"/>
          <w:marBottom w:val="0"/>
          <w:divBdr>
            <w:top w:val="none" w:sz="0" w:space="0" w:color="auto"/>
            <w:left w:val="none" w:sz="0" w:space="0" w:color="auto"/>
            <w:bottom w:val="none" w:sz="0" w:space="0" w:color="auto"/>
            <w:right w:val="none" w:sz="0" w:space="0" w:color="auto"/>
          </w:divBdr>
          <w:divsChild>
            <w:div w:id="1682538020">
              <w:marLeft w:val="0"/>
              <w:marRight w:val="0"/>
              <w:marTop w:val="0"/>
              <w:marBottom w:val="0"/>
              <w:divBdr>
                <w:top w:val="none" w:sz="0" w:space="0" w:color="auto"/>
                <w:left w:val="none" w:sz="0" w:space="0" w:color="auto"/>
                <w:bottom w:val="none" w:sz="0" w:space="0" w:color="auto"/>
                <w:right w:val="none" w:sz="0" w:space="0" w:color="auto"/>
              </w:divBdr>
              <w:divsChild>
                <w:div w:id="1365327238">
                  <w:marLeft w:val="0"/>
                  <w:marRight w:val="0"/>
                  <w:marTop w:val="0"/>
                  <w:marBottom w:val="0"/>
                  <w:divBdr>
                    <w:top w:val="none" w:sz="0" w:space="0" w:color="auto"/>
                    <w:left w:val="none" w:sz="0" w:space="0" w:color="auto"/>
                    <w:bottom w:val="none" w:sz="0" w:space="0" w:color="auto"/>
                    <w:right w:val="none" w:sz="0" w:space="0" w:color="auto"/>
                  </w:divBdr>
                  <w:divsChild>
                    <w:div w:id="523327349">
                      <w:marLeft w:val="0"/>
                      <w:marRight w:val="0"/>
                      <w:marTop w:val="0"/>
                      <w:marBottom w:val="0"/>
                      <w:divBdr>
                        <w:top w:val="none" w:sz="0" w:space="0" w:color="auto"/>
                        <w:left w:val="none" w:sz="0" w:space="0" w:color="auto"/>
                        <w:bottom w:val="none" w:sz="0" w:space="0" w:color="auto"/>
                        <w:right w:val="none" w:sz="0" w:space="0" w:color="auto"/>
                      </w:divBdr>
                      <w:divsChild>
                        <w:div w:id="2039769706">
                          <w:marLeft w:val="0"/>
                          <w:marRight w:val="0"/>
                          <w:marTop w:val="0"/>
                          <w:marBottom w:val="0"/>
                          <w:divBdr>
                            <w:top w:val="single" w:sz="6" w:space="0" w:color="828282"/>
                            <w:left w:val="single" w:sz="6" w:space="0" w:color="828282"/>
                            <w:bottom w:val="single" w:sz="6" w:space="0" w:color="828282"/>
                            <w:right w:val="single" w:sz="6" w:space="0" w:color="828282"/>
                          </w:divBdr>
                          <w:divsChild>
                            <w:div w:id="638146823">
                              <w:marLeft w:val="0"/>
                              <w:marRight w:val="0"/>
                              <w:marTop w:val="0"/>
                              <w:marBottom w:val="0"/>
                              <w:divBdr>
                                <w:top w:val="none" w:sz="0" w:space="0" w:color="auto"/>
                                <w:left w:val="none" w:sz="0" w:space="0" w:color="auto"/>
                                <w:bottom w:val="none" w:sz="0" w:space="0" w:color="auto"/>
                                <w:right w:val="none" w:sz="0" w:space="0" w:color="auto"/>
                              </w:divBdr>
                              <w:divsChild>
                                <w:div w:id="1820535935">
                                  <w:marLeft w:val="0"/>
                                  <w:marRight w:val="0"/>
                                  <w:marTop w:val="0"/>
                                  <w:marBottom w:val="0"/>
                                  <w:divBdr>
                                    <w:top w:val="none" w:sz="0" w:space="0" w:color="auto"/>
                                    <w:left w:val="none" w:sz="0" w:space="0" w:color="auto"/>
                                    <w:bottom w:val="none" w:sz="0" w:space="0" w:color="auto"/>
                                    <w:right w:val="none" w:sz="0" w:space="0" w:color="auto"/>
                                  </w:divBdr>
                                  <w:divsChild>
                                    <w:div w:id="1517884541">
                                      <w:marLeft w:val="0"/>
                                      <w:marRight w:val="0"/>
                                      <w:marTop w:val="0"/>
                                      <w:marBottom w:val="0"/>
                                      <w:divBdr>
                                        <w:top w:val="none" w:sz="0" w:space="0" w:color="auto"/>
                                        <w:left w:val="none" w:sz="0" w:space="0" w:color="auto"/>
                                        <w:bottom w:val="none" w:sz="0" w:space="0" w:color="auto"/>
                                        <w:right w:val="none" w:sz="0" w:space="0" w:color="auto"/>
                                      </w:divBdr>
                                      <w:divsChild>
                                        <w:div w:id="453598227">
                                          <w:marLeft w:val="0"/>
                                          <w:marRight w:val="0"/>
                                          <w:marTop w:val="0"/>
                                          <w:marBottom w:val="0"/>
                                          <w:divBdr>
                                            <w:top w:val="none" w:sz="0" w:space="0" w:color="auto"/>
                                            <w:left w:val="none" w:sz="0" w:space="0" w:color="auto"/>
                                            <w:bottom w:val="none" w:sz="0" w:space="0" w:color="auto"/>
                                            <w:right w:val="none" w:sz="0" w:space="0" w:color="auto"/>
                                          </w:divBdr>
                                          <w:divsChild>
                                            <w:div w:id="1110472866">
                                              <w:marLeft w:val="0"/>
                                              <w:marRight w:val="0"/>
                                              <w:marTop w:val="0"/>
                                              <w:marBottom w:val="0"/>
                                              <w:divBdr>
                                                <w:top w:val="none" w:sz="0" w:space="0" w:color="auto"/>
                                                <w:left w:val="none" w:sz="0" w:space="0" w:color="auto"/>
                                                <w:bottom w:val="none" w:sz="0" w:space="0" w:color="auto"/>
                                                <w:right w:val="none" w:sz="0" w:space="0" w:color="auto"/>
                                              </w:divBdr>
                                              <w:divsChild>
                                                <w:div w:id="9065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8790">
      <w:bodyDiv w:val="1"/>
      <w:marLeft w:val="0"/>
      <w:marRight w:val="0"/>
      <w:marTop w:val="0"/>
      <w:marBottom w:val="0"/>
      <w:divBdr>
        <w:top w:val="none" w:sz="0" w:space="0" w:color="auto"/>
        <w:left w:val="none" w:sz="0" w:space="0" w:color="auto"/>
        <w:bottom w:val="none" w:sz="0" w:space="0" w:color="auto"/>
        <w:right w:val="none" w:sz="0" w:space="0" w:color="auto"/>
      </w:divBdr>
      <w:divsChild>
        <w:div w:id="1935160815">
          <w:marLeft w:val="0"/>
          <w:marRight w:val="0"/>
          <w:marTop w:val="0"/>
          <w:marBottom w:val="0"/>
          <w:divBdr>
            <w:top w:val="none" w:sz="0" w:space="0" w:color="auto"/>
            <w:left w:val="none" w:sz="0" w:space="0" w:color="auto"/>
            <w:bottom w:val="none" w:sz="0" w:space="0" w:color="auto"/>
            <w:right w:val="none" w:sz="0" w:space="0" w:color="auto"/>
          </w:divBdr>
          <w:divsChild>
            <w:div w:id="1964656458">
              <w:marLeft w:val="0"/>
              <w:marRight w:val="0"/>
              <w:marTop w:val="0"/>
              <w:marBottom w:val="0"/>
              <w:divBdr>
                <w:top w:val="none" w:sz="0" w:space="0" w:color="auto"/>
                <w:left w:val="none" w:sz="0" w:space="0" w:color="auto"/>
                <w:bottom w:val="none" w:sz="0" w:space="0" w:color="auto"/>
                <w:right w:val="none" w:sz="0" w:space="0" w:color="auto"/>
              </w:divBdr>
              <w:divsChild>
                <w:div w:id="1234241209">
                  <w:marLeft w:val="0"/>
                  <w:marRight w:val="0"/>
                  <w:marTop w:val="0"/>
                  <w:marBottom w:val="0"/>
                  <w:divBdr>
                    <w:top w:val="none" w:sz="0" w:space="0" w:color="auto"/>
                    <w:left w:val="none" w:sz="0" w:space="0" w:color="auto"/>
                    <w:bottom w:val="none" w:sz="0" w:space="0" w:color="auto"/>
                    <w:right w:val="none" w:sz="0" w:space="0" w:color="auto"/>
                  </w:divBdr>
                  <w:divsChild>
                    <w:div w:id="377323210">
                      <w:marLeft w:val="0"/>
                      <w:marRight w:val="0"/>
                      <w:marTop w:val="0"/>
                      <w:marBottom w:val="0"/>
                      <w:divBdr>
                        <w:top w:val="none" w:sz="0" w:space="0" w:color="auto"/>
                        <w:left w:val="none" w:sz="0" w:space="0" w:color="auto"/>
                        <w:bottom w:val="none" w:sz="0" w:space="0" w:color="auto"/>
                        <w:right w:val="none" w:sz="0" w:space="0" w:color="auto"/>
                      </w:divBdr>
                      <w:divsChild>
                        <w:div w:id="1238204342">
                          <w:marLeft w:val="0"/>
                          <w:marRight w:val="0"/>
                          <w:marTop w:val="0"/>
                          <w:marBottom w:val="0"/>
                          <w:divBdr>
                            <w:top w:val="single" w:sz="6" w:space="0" w:color="828282"/>
                            <w:left w:val="single" w:sz="6" w:space="0" w:color="828282"/>
                            <w:bottom w:val="single" w:sz="6" w:space="0" w:color="828282"/>
                            <w:right w:val="single" w:sz="6" w:space="0" w:color="828282"/>
                          </w:divBdr>
                          <w:divsChild>
                            <w:div w:id="1408381150">
                              <w:marLeft w:val="0"/>
                              <w:marRight w:val="0"/>
                              <w:marTop w:val="0"/>
                              <w:marBottom w:val="0"/>
                              <w:divBdr>
                                <w:top w:val="none" w:sz="0" w:space="0" w:color="auto"/>
                                <w:left w:val="none" w:sz="0" w:space="0" w:color="auto"/>
                                <w:bottom w:val="none" w:sz="0" w:space="0" w:color="auto"/>
                                <w:right w:val="none" w:sz="0" w:space="0" w:color="auto"/>
                              </w:divBdr>
                              <w:divsChild>
                                <w:div w:id="866597544">
                                  <w:marLeft w:val="0"/>
                                  <w:marRight w:val="0"/>
                                  <w:marTop w:val="0"/>
                                  <w:marBottom w:val="0"/>
                                  <w:divBdr>
                                    <w:top w:val="none" w:sz="0" w:space="0" w:color="auto"/>
                                    <w:left w:val="none" w:sz="0" w:space="0" w:color="auto"/>
                                    <w:bottom w:val="none" w:sz="0" w:space="0" w:color="auto"/>
                                    <w:right w:val="none" w:sz="0" w:space="0" w:color="auto"/>
                                  </w:divBdr>
                                  <w:divsChild>
                                    <w:div w:id="913244485">
                                      <w:marLeft w:val="0"/>
                                      <w:marRight w:val="0"/>
                                      <w:marTop w:val="0"/>
                                      <w:marBottom w:val="0"/>
                                      <w:divBdr>
                                        <w:top w:val="none" w:sz="0" w:space="0" w:color="auto"/>
                                        <w:left w:val="none" w:sz="0" w:space="0" w:color="auto"/>
                                        <w:bottom w:val="none" w:sz="0" w:space="0" w:color="auto"/>
                                        <w:right w:val="none" w:sz="0" w:space="0" w:color="auto"/>
                                      </w:divBdr>
                                      <w:divsChild>
                                        <w:div w:id="1483808131">
                                          <w:marLeft w:val="0"/>
                                          <w:marRight w:val="0"/>
                                          <w:marTop w:val="0"/>
                                          <w:marBottom w:val="0"/>
                                          <w:divBdr>
                                            <w:top w:val="none" w:sz="0" w:space="0" w:color="auto"/>
                                            <w:left w:val="none" w:sz="0" w:space="0" w:color="auto"/>
                                            <w:bottom w:val="none" w:sz="0" w:space="0" w:color="auto"/>
                                            <w:right w:val="none" w:sz="0" w:space="0" w:color="auto"/>
                                          </w:divBdr>
                                          <w:divsChild>
                                            <w:div w:id="69550070">
                                              <w:marLeft w:val="0"/>
                                              <w:marRight w:val="0"/>
                                              <w:marTop w:val="0"/>
                                              <w:marBottom w:val="0"/>
                                              <w:divBdr>
                                                <w:top w:val="none" w:sz="0" w:space="0" w:color="auto"/>
                                                <w:left w:val="none" w:sz="0" w:space="0" w:color="auto"/>
                                                <w:bottom w:val="none" w:sz="0" w:space="0" w:color="auto"/>
                                                <w:right w:val="none" w:sz="0" w:space="0" w:color="auto"/>
                                              </w:divBdr>
                                              <w:divsChild>
                                                <w:div w:id="19639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9340630">
      <w:bodyDiv w:val="1"/>
      <w:marLeft w:val="0"/>
      <w:marRight w:val="0"/>
      <w:marTop w:val="0"/>
      <w:marBottom w:val="0"/>
      <w:divBdr>
        <w:top w:val="none" w:sz="0" w:space="0" w:color="auto"/>
        <w:left w:val="none" w:sz="0" w:space="0" w:color="auto"/>
        <w:bottom w:val="none" w:sz="0" w:space="0" w:color="auto"/>
        <w:right w:val="none" w:sz="0" w:space="0" w:color="auto"/>
      </w:divBdr>
    </w:div>
    <w:div w:id="1957522669">
      <w:bodyDiv w:val="1"/>
      <w:marLeft w:val="0"/>
      <w:marRight w:val="0"/>
      <w:marTop w:val="0"/>
      <w:marBottom w:val="0"/>
      <w:divBdr>
        <w:top w:val="none" w:sz="0" w:space="0" w:color="auto"/>
        <w:left w:val="none" w:sz="0" w:space="0" w:color="auto"/>
        <w:bottom w:val="none" w:sz="0" w:space="0" w:color="auto"/>
        <w:right w:val="none" w:sz="0" w:space="0" w:color="auto"/>
      </w:divBdr>
      <w:divsChild>
        <w:div w:id="2144887875">
          <w:marLeft w:val="0"/>
          <w:marRight w:val="0"/>
          <w:marTop w:val="0"/>
          <w:marBottom w:val="0"/>
          <w:divBdr>
            <w:top w:val="none" w:sz="0" w:space="0" w:color="auto"/>
            <w:left w:val="none" w:sz="0" w:space="0" w:color="auto"/>
            <w:bottom w:val="none" w:sz="0" w:space="0" w:color="auto"/>
            <w:right w:val="none" w:sz="0" w:space="0" w:color="auto"/>
          </w:divBdr>
          <w:divsChild>
            <w:div w:id="1953201684">
              <w:marLeft w:val="0"/>
              <w:marRight w:val="0"/>
              <w:marTop w:val="0"/>
              <w:marBottom w:val="0"/>
              <w:divBdr>
                <w:top w:val="none" w:sz="0" w:space="0" w:color="auto"/>
                <w:left w:val="none" w:sz="0" w:space="0" w:color="auto"/>
                <w:bottom w:val="none" w:sz="0" w:space="0" w:color="auto"/>
                <w:right w:val="none" w:sz="0" w:space="0" w:color="auto"/>
              </w:divBdr>
              <w:divsChild>
                <w:div w:id="1878852571">
                  <w:marLeft w:val="0"/>
                  <w:marRight w:val="0"/>
                  <w:marTop w:val="0"/>
                  <w:marBottom w:val="0"/>
                  <w:divBdr>
                    <w:top w:val="none" w:sz="0" w:space="0" w:color="auto"/>
                    <w:left w:val="none" w:sz="0" w:space="0" w:color="auto"/>
                    <w:bottom w:val="none" w:sz="0" w:space="0" w:color="auto"/>
                    <w:right w:val="none" w:sz="0" w:space="0" w:color="auto"/>
                  </w:divBdr>
                  <w:divsChild>
                    <w:div w:id="1361973312">
                      <w:marLeft w:val="0"/>
                      <w:marRight w:val="0"/>
                      <w:marTop w:val="0"/>
                      <w:marBottom w:val="0"/>
                      <w:divBdr>
                        <w:top w:val="none" w:sz="0" w:space="0" w:color="auto"/>
                        <w:left w:val="none" w:sz="0" w:space="0" w:color="auto"/>
                        <w:bottom w:val="none" w:sz="0" w:space="0" w:color="auto"/>
                        <w:right w:val="none" w:sz="0" w:space="0" w:color="auto"/>
                      </w:divBdr>
                      <w:divsChild>
                        <w:div w:id="1940285042">
                          <w:marLeft w:val="0"/>
                          <w:marRight w:val="0"/>
                          <w:marTop w:val="0"/>
                          <w:marBottom w:val="0"/>
                          <w:divBdr>
                            <w:top w:val="single" w:sz="6" w:space="0" w:color="828282"/>
                            <w:left w:val="single" w:sz="6" w:space="0" w:color="828282"/>
                            <w:bottom w:val="single" w:sz="6" w:space="0" w:color="828282"/>
                            <w:right w:val="single" w:sz="6" w:space="0" w:color="828282"/>
                          </w:divBdr>
                          <w:divsChild>
                            <w:div w:id="1929386783">
                              <w:marLeft w:val="0"/>
                              <w:marRight w:val="0"/>
                              <w:marTop w:val="0"/>
                              <w:marBottom w:val="0"/>
                              <w:divBdr>
                                <w:top w:val="none" w:sz="0" w:space="0" w:color="auto"/>
                                <w:left w:val="none" w:sz="0" w:space="0" w:color="auto"/>
                                <w:bottom w:val="none" w:sz="0" w:space="0" w:color="auto"/>
                                <w:right w:val="none" w:sz="0" w:space="0" w:color="auto"/>
                              </w:divBdr>
                              <w:divsChild>
                                <w:div w:id="2001426341">
                                  <w:marLeft w:val="0"/>
                                  <w:marRight w:val="0"/>
                                  <w:marTop w:val="0"/>
                                  <w:marBottom w:val="0"/>
                                  <w:divBdr>
                                    <w:top w:val="none" w:sz="0" w:space="0" w:color="auto"/>
                                    <w:left w:val="none" w:sz="0" w:space="0" w:color="auto"/>
                                    <w:bottom w:val="none" w:sz="0" w:space="0" w:color="auto"/>
                                    <w:right w:val="none" w:sz="0" w:space="0" w:color="auto"/>
                                  </w:divBdr>
                                  <w:divsChild>
                                    <w:div w:id="1355034253">
                                      <w:marLeft w:val="0"/>
                                      <w:marRight w:val="0"/>
                                      <w:marTop w:val="0"/>
                                      <w:marBottom w:val="0"/>
                                      <w:divBdr>
                                        <w:top w:val="none" w:sz="0" w:space="0" w:color="auto"/>
                                        <w:left w:val="none" w:sz="0" w:space="0" w:color="auto"/>
                                        <w:bottom w:val="none" w:sz="0" w:space="0" w:color="auto"/>
                                        <w:right w:val="none" w:sz="0" w:space="0" w:color="auto"/>
                                      </w:divBdr>
                                      <w:divsChild>
                                        <w:div w:id="620460846">
                                          <w:marLeft w:val="0"/>
                                          <w:marRight w:val="0"/>
                                          <w:marTop w:val="0"/>
                                          <w:marBottom w:val="0"/>
                                          <w:divBdr>
                                            <w:top w:val="none" w:sz="0" w:space="0" w:color="auto"/>
                                            <w:left w:val="none" w:sz="0" w:space="0" w:color="auto"/>
                                            <w:bottom w:val="none" w:sz="0" w:space="0" w:color="auto"/>
                                            <w:right w:val="none" w:sz="0" w:space="0" w:color="auto"/>
                                          </w:divBdr>
                                          <w:divsChild>
                                            <w:div w:id="2138179142">
                                              <w:marLeft w:val="0"/>
                                              <w:marRight w:val="0"/>
                                              <w:marTop w:val="0"/>
                                              <w:marBottom w:val="0"/>
                                              <w:divBdr>
                                                <w:top w:val="none" w:sz="0" w:space="0" w:color="auto"/>
                                                <w:left w:val="none" w:sz="0" w:space="0" w:color="auto"/>
                                                <w:bottom w:val="none" w:sz="0" w:space="0" w:color="auto"/>
                                                <w:right w:val="none" w:sz="0" w:space="0" w:color="auto"/>
                                              </w:divBdr>
                                              <w:divsChild>
                                                <w:div w:id="18652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A8773-E554-4307-A602-9763EDB2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2173</Words>
  <Characters>11496</Characters>
  <Application>Microsoft Office Word</Application>
  <DocSecurity>0</DocSecurity>
  <Lines>208</Lines>
  <Paragraphs>96</Paragraphs>
  <ScaleCrop>false</ScaleCrop>
  <HeadingPairs>
    <vt:vector size="2" baseType="variant">
      <vt:variant>
        <vt:lpstr>Title</vt:lpstr>
      </vt:variant>
      <vt:variant>
        <vt:i4>1</vt:i4>
      </vt:variant>
    </vt:vector>
  </HeadingPairs>
  <TitlesOfParts>
    <vt:vector size="1" baseType="lpstr">
      <vt:lpstr/>
    </vt:vector>
  </TitlesOfParts>
  <Company>Office of the Australian Information Commissioner</Company>
  <LinksUpToDate>false</LinksUpToDate>
  <CharactersWithSpaces>13608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Croxall</dc:creator>
  <cp:lastModifiedBy>Sarah Croxall</cp:lastModifiedBy>
  <cp:revision>2</cp:revision>
  <cp:lastPrinted>2014-03-02T22:39:00Z</cp:lastPrinted>
  <dcterms:created xsi:type="dcterms:W3CDTF">2014-03-03T00:21:00Z</dcterms:created>
  <dcterms:modified xsi:type="dcterms:W3CDTF">2014-03-03T00:21:00Z</dcterms:modified>
</cp:coreProperties>
</file>