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05" w:rsidRDefault="00CE1405" w:rsidP="00F814D6">
      <w:pPr>
        <w:pStyle w:val="Heading1"/>
        <w:pBdr>
          <w:bottom w:val="single" w:sz="4" w:space="1" w:color="auto"/>
        </w:pBdr>
      </w:pPr>
      <w:bookmarkStart w:id="0" w:name="_Toc372103567"/>
      <w:r>
        <w:rPr>
          <w:noProof/>
          <w:lang w:eastAsia="en-AU"/>
        </w:rPr>
        <w:drawing>
          <wp:inline distT="0" distB="0" distL="0" distR="0" wp14:anchorId="38B20EC8" wp14:editId="21EDE4E7">
            <wp:extent cx="1346200" cy="1079500"/>
            <wp:effectExtent l="0" t="0" r="6350" b="6350"/>
            <wp:docPr id="3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D6" w:rsidRPr="00F814D6" w:rsidRDefault="00F814D6" w:rsidP="00F814D6">
      <w:pPr>
        <w:pStyle w:val="Heading1"/>
        <w:pBdr>
          <w:bottom w:val="single" w:sz="4" w:space="1" w:color="auto"/>
        </w:pBdr>
      </w:pPr>
      <w:r w:rsidRPr="00F814D6">
        <w:t>Privacy (Persons Reported as Missing) Rule 2014</w:t>
      </w:r>
    </w:p>
    <w:p w:rsidR="00F814D6" w:rsidRPr="00F814D6" w:rsidRDefault="00F814D6" w:rsidP="00F814D6">
      <w:pPr>
        <w:pStyle w:val="signcoverpagestart"/>
        <w:rPr>
          <w:rFonts w:ascii="Calibri" w:hAnsi="Calibri" w:cs="Calibri"/>
        </w:rPr>
      </w:pPr>
      <w:r w:rsidRPr="00F814D6">
        <w:rPr>
          <w:rFonts w:ascii="Calibri" w:hAnsi="Calibri" w:cs="Calibri"/>
        </w:rPr>
        <w:t>I, Timothy Pilgrim, Priv</w:t>
      </w:r>
      <w:bookmarkStart w:id="1" w:name="_GoBack"/>
      <w:bookmarkEnd w:id="1"/>
      <w:r w:rsidRPr="00F814D6">
        <w:rPr>
          <w:rFonts w:ascii="Calibri" w:hAnsi="Calibri" w:cs="Calibri"/>
        </w:rPr>
        <w:t xml:space="preserve">acy Commissioner, make the following rule under the </w:t>
      </w:r>
      <w:r w:rsidRPr="00F814D6">
        <w:rPr>
          <w:rFonts w:ascii="Calibri" w:hAnsi="Calibri" w:cs="Calibri"/>
          <w:i/>
          <w:iCs/>
        </w:rPr>
        <w:t>Privacy Act 1988</w:t>
      </w:r>
      <w:r w:rsidRPr="00F814D6">
        <w:rPr>
          <w:rFonts w:ascii="Calibri" w:hAnsi="Calibri" w:cs="Calibri"/>
        </w:rPr>
        <w:t>.</w:t>
      </w:r>
    </w:p>
    <w:p w:rsidR="004E344D" w:rsidRDefault="00F814D6" w:rsidP="004E344D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4"/>
        </w:rPr>
      </w:pPr>
      <w:r>
        <w:t xml:space="preserve">Dated: </w:t>
      </w:r>
      <w:r w:rsidR="00661E00">
        <w:t>3 March</w:t>
      </w:r>
      <w:r>
        <w:t xml:space="preserve"> 2014</w:t>
      </w:r>
    </w:p>
    <w:p w:rsidR="004E344D" w:rsidRDefault="004E344D" w:rsidP="004E344D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Signed</w:t>
      </w:r>
    </w:p>
    <w:p w:rsidR="004E344D" w:rsidRDefault="004E344D" w:rsidP="004E344D">
      <w:pPr>
        <w:keepNext/>
        <w:spacing w:before="300" w:after="0" w:line="240" w:lineRule="atLeast"/>
        <w:ind w:right="397"/>
        <w:jc w:val="both"/>
      </w:pPr>
    </w:p>
    <w:p w:rsidR="00F814D6" w:rsidRPr="004E344D" w:rsidRDefault="00F814D6" w:rsidP="004E344D">
      <w:pPr>
        <w:keepNext/>
        <w:spacing w:before="300" w:after="0" w:line="240" w:lineRule="atLeast"/>
        <w:ind w:right="397"/>
        <w:jc w:val="both"/>
        <w:rPr>
          <w:rFonts w:ascii="Times New Roman" w:hAnsi="Times New Roman"/>
          <w:szCs w:val="24"/>
        </w:rPr>
      </w:pPr>
      <w:r>
        <w:t>Timothy Pilgrim</w:t>
      </w:r>
    </w:p>
    <w:p w:rsidR="00F814D6" w:rsidRDefault="00F814D6" w:rsidP="004E344D">
      <w:pPr>
        <w:keepNext/>
        <w:pBdr>
          <w:bottom w:val="single" w:sz="4" w:space="1" w:color="auto"/>
        </w:pBdr>
        <w:spacing w:after="0"/>
      </w:pPr>
      <w:r>
        <w:t>Privacy Commissioner</w:t>
      </w:r>
    </w:p>
    <w:p w:rsidR="00F814D6" w:rsidRDefault="00F814D6" w:rsidP="00F814D6">
      <w:pPr>
        <w:keepNext/>
        <w:pBdr>
          <w:bottom w:val="single" w:sz="4" w:space="1" w:color="auto"/>
        </w:pBdr>
        <w:spacing w:after="0"/>
      </w:pPr>
    </w:p>
    <w:p w:rsidR="00F73744" w:rsidRDefault="00F73744" w:rsidP="00A13956">
      <w:pPr>
        <w:pStyle w:val="Heading2"/>
        <w:sectPr w:rsidR="00F73744" w:rsidSect="00B00D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13956" w:rsidRDefault="00A13956" w:rsidP="00A13956">
      <w:pPr>
        <w:pStyle w:val="Heading2"/>
      </w:pPr>
      <w:r>
        <w:lastRenderedPageBreak/>
        <w:t>Contents</w:t>
      </w:r>
    </w:p>
    <w:p w:rsidR="00A13956" w:rsidRDefault="00A13956" w:rsidP="00A139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r>
        <w:fldChar w:fldCharType="begin"/>
      </w:r>
      <w:r>
        <w:instrText xml:space="preserve"> TOC \o "2-3" \h \z \u </w:instrText>
      </w:r>
      <w:r>
        <w:fldChar w:fldCharType="separate"/>
      </w:r>
      <w:hyperlink w:anchor="_Toc381201187" w:history="1">
        <w:r w:rsidRPr="00314B59">
          <w:rPr>
            <w:rStyle w:val="Hyperlink"/>
            <w:rFonts w:eastAsiaTheme="majorEastAsia"/>
            <w:noProof/>
          </w:rPr>
          <w:t>Part 1 — Preliminary</w:t>
        </w:r>
        <w:r>
          <w:rPr>
            <w:noProof/>
            <w:webHidden/>
          </w:rPr>
          <w:tab/>
        </w:r>
        <w:r w:rsidR="00C772D9">
          <w:rPr>
            <w:noProof/>
            <w:webHidden/>
          </w:rPr>
          <w:t>1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88" w:history="1">
        <w:r w:rsidR="00A13956" w:rsidRPr="00314B59">
          <w:rPr>
            <w:rStyle w:val="Hyperlink"/>
            <w:rFonts w:eastAsiaTheme="majorEastAsia"/>
            <w:noProof/>
          </w:rPr>
          <w:t>1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Name of Rule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1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89" w:history="1">
        <w:r w:rsidR="00A13956" w:rsidRPr="00314B59">
          <w:rPr>
            <w:rStyle w:val="Hyperlink"/>
            <w:rFonts w:eastAsiaTheme="majorEastAsia"/>
            <w:noProof/>
          </w:rPr>
          <w:t xml:space="preserve">2 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Commencement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1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90" w:history="1">
        <w:r w:rsidR="00A13956" w:rsidRPr="00314B59">
          <w:rPr>
            <w:rStyle w:val="Hyperlink"/>
            <w:rFonts w:eastAsiaTheme="majorEastAsia"/>
            <w:noProof/>
          </w:rPr>
          <w:t>3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Purpose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1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91" w:history="1">
        <w:r w:rsidR="00A13956" w:rsidRPr="00314B59">
          <w:rPr>
            <w:rStyle w:val="Hyperlink"/>
            <w:rFonts w:eastAsiaTheme="majorEastAsia"/>
            <w:noProof/>
          </w:rPr>
          <w:t>4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Definitions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1</w:t>
        </w:r>
      </w:hyperlink>
    </w:p>
    <w:p w:rsidR="00A13956" w:rsidRDefault="00A31607" w:rsidP="00A139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381201192" w:history="1">
        <w:r w:rsidR="00A13956" w:rsidRPr="00314B59">
          <w:rPr>
            <w:rStyle w:val="Hyperlink"/>
            <w:rFonts w:eastAsiaTheme="majorEastAsia"/>
            <w:noProof/>
          </w:rPr>
          <w:t>Part 2 — Handling of personal information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3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93" w:history="1">
        <w:r w:rsidR="00A13956" w:rsidRPr="00314B59">
          <w:rPr>
            <w:rStyle w:val="Hyperlink"/>
            <w:rFonts w:eastAsiaTheme="majorEastAsia"/>
            <w:noProof/>
          </w:rPr>
          <w:t>5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Collection of sensitive information by a locating body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3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94" w:history="1">
        <w:r w:rsidR="00A13956" w:rsidRPr="00314B59">
          <w:rPr>
            <w:rStyle w:val="Hyperlink"/>
            <w:rFonts w:eastAsiaTheme="majorEastAsia"/>
            <w:noProof/>
          </w:rPr>
          <w:t>6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Use or disclosure of personal information without the consent of the person  reported as missing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3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95" w:history="1">
        <w:r w:rsidR="00A13956" w:rsidRPr="00314B59">
          <w:rPr>
            <w:rStyle w:val="Hyperlink"/>
            <w:rFonts w:eastAsiaTheme="majorEastAsia"/>
            <w:noProof/>
          </w:rPr>
          <w:t>7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Collection, use or disclosure must not pose a serious threat to an individual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3</w:t>
        </w:r>
      </w:hyperlink>
    </w:p>
    <w:p w:rsidR="00A13956" w:rsidRDefault="00A31607" w:rsidP="00A13956">
      <w:pPr>
        <w:pStyle w:val="TOC3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81201196" w:history="1">
        <w:r w:rsidR="00A13956" w:rsidRPr="00314B59">
          <w:rPr>
            <w:rStyle w:val="Hyperlink"/>
            <w:rFonts w:eastAsiaTheme="majorEastAsia"/>
            <w:noProof/>
          </w:rPr>
          <w:t>8</w:t>
        </w:r>
        <w:r w:rsidR="00A13956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A13956" w:rsidRPr="00314B59">
          <w:rPr>
            <w:rStyle w:val="Hyperlink"/>
            <w:rFonts w:eastAsiaTheme="majorEastAsia"/>
            <w:noProof/>
          </w:rPr>
          <w:t>Operation of this rule</w:t>
        </w:r>
        <w:r w:rsidR="00A13956">
          <w:rPr>
            <w:noProof/>
            <w:webHidden/>
          </w:rPr>
          <w:tab/>
        </w:r>
        <w:r w:rsidR="00C772D9">
          <w:rPr>
            <w:noProof/>
            <w:webHidden/>
          </w:rPr>
          <w:t>4</w:t>
        </w:r>
      </w:hyperlink>
    </w:p>
    <w:p w:rsidR="004E0E46" w:rsidRDefault="00A13956" w:rsidP="00A13956">
      <w:pPr>
        <w:pStyle w:val="Heading2"/>
      </w:pPr>
      <w:r>
        <w:fldChar w:fldCharType="end"/>
      </w:r>
      <w:bookmarkStart w:id="2" w:name="_Toc381201187"/>
    </w:p>
    <w:p w:rsidR="004E0E46" w:rsidRDefault="004E0E46" w:rsidP="004E0E46">
      <w:pPr>
        <w:rPr>
          <w:rFonts w:eastAsiaTheme="majorEastAsia" w:cstheme="majorBidi"/>
          <w:sz w:val="28"/>
          <w:szCs w:val="26"/>
          <w:lang w:eastAsia="en-US"/>
        </w:rPr>
      </w:pPr>
      <w:r>
        <w:br w:type="page"/>
      </w:r>
    </w:p>
    <w:p w:rsidR="00F814D6" w:rsidRDefault="00F814D6" w:rsidP="00A13956">
      <w:pPr>
        <w:pStyle w:val="Heading2"/>
      </w:pPr>
      <w:r>
        <w:lastRenderedPageBreak/>
        <w:t>Part 1</w:t>
      </w:r>
      <w:r w:rsidR="003F2699">
        <w:t xml:space="preserve"> — Preliminary</w:t>
      </w:r>
      <w:bookmarkEnd w:id="2"/>
    </w:p>
    <w:p w:rsidR="00FC00FA" w:rsidRDefault="00FC00FA" w:rsidP="00C772D9">
      <w:pPr>
        <w:pStyle w:val="Heading3"/>
      </w:pPr>
      <w:bookmarkStart w:id="3" w:name="_Toc381201188"/>
      <w:r w:rsidRPr="00C772D9">
        <w:t>1</w:t>
      </w:r>
      <w:r>
        <w:tab/>
      </w:r>
      <w:r w:rsidRPr="00C772D9">
        <w:t>Name of Rule</w:t>
      </w:r>
      <w:bookmarkEnd w:id="0"/>
      <w:bookmarkEnd w:id="3"/>
    </w:p>
    <w:p w:rsidR="00FC00FA" w:rsidRPr="00E009FB" w:rsidRDefault="00F814D6" w:rsidP="00FC00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C00FA" w:rsidRPr="00E009FB">
        <w:rPr>
          <w:rFonts w:asciiTheme="minorHAnsi" w:hAnsiTheme="minorHAnsi" w:cstheme="minorHAnsi"/>
        </w:rPr>
        <w:t>Th</w:t>
      </w:r>
      <w:r w:rsidR="00BD310C">
        <w:rPr>
          <w:rFonts w:asciiTheme="minorHAnsi" w:hAnsiTheme="minorHAnsi" w:cstheme="minorHAnsi"/>
        </w:rPr>
        <w:t>i</w:t>
      </w:r>
      <w:r w:rsidR="00FC00FA" w:rsidRPr="00E009FB">
        <w:rPr>
          <w:rFonts w:asciiTheme="minorHAnsi" w:hAnsiTheme="minorHAnsi" w:cstheme="minorHAnsi"/>
        </w:rPr>
        <w:t xml:space="preserve">s </w:t>
      </w:r>
      <w:r w:rsidR="008A729D">
        <w:rPr>
          <w:rFonts w:asciiTheme="minorHAnsi" w:hAnsiTheme="minorHAnsi" w:cstheme="minorHAnsi"/>
        </w:rPr>
        <w:t>r</w:t>
      </w:r>
      <w:r w:rsidR="00FC00FA" w:rsidRPr="00E009FB">
        <w:rPr>
          <w:rFonts w:asciiTheme="minorHAnsi" w:hAnsiTheme="minorHAnsi" w:cstheme="minorHAnsi"/>
        </w:rPr>
        <w:t>ule</w:t>
      </w:r>
      <w:r w:rsidR="00BD310C">
        <w:rPr>
          <w:rFonts w:asciiTheme="minorHAnsi" w:hAnsiTheme="minorHAnsi" w:cstheme="minorHAnsi"/>
        </w:rPr>
        <w:t xml:space="preserve"> is</w:t>
      </w:r>
      <w:r w:rsidR="00FC00FA" w:rsidRPr="00E009FB">
        <w:rPr>
          <w:rFonts w:asciiTheme="minorHAnsi" w:hAnsiTheme="minorHAnsi" w:cstheme="minorHAnsi"/>
        </w:rPr>
        <w:t xml:space="preserve"> the </w:t>
      </w:r>
      <w:r w:rsidR="00FC00FA" w:rsidRPr="00E009FB">
        <w:rPr>
          <w:rFonts w:asciiTheme="minorHAnsi" w:hAnsiTheme="minorHAnsi" w:cstheme="minorHAnsi"/>
          <w:i/>
        </w:rPr>
        <w:t>Privacy (Persons Reported as Missing) Rule 2014</w:t>
      </w:r>
      <w:r w:rsidR="00FC00FA" w:rsidRPr="00E009FB">
        <w:rPr>
          <w:rFonts w:asciiTheme="minorHAnsi" w:hAnsiTheme="minorHAnsi" w:cstheme="minorHAnsi"/>
        </w:rPr>
        <w:t>.</w:t>
      </w:r>
    </w:p>
    <w:p w:rsidR="00FC00FA" w:rsidRDefault="00FC00FA" w:rsidP="00C772D9">
      <w:pPr>
        <w:pStyle w:val="Heading3"/>
      </w:pPr>
      <w:bookmarkStart w:id="4" w:name="_Toc372103568"/>
      <w:bookmarkStart w:id="5" w:name="_Toc381201189"/>
      <w:r w:rsidRPr="00C772D9">
        <w:t>2</w:t>
      </w:r>
      <w:r>
        <w:t xml:space="preserve"> </w:t>
      </w:r>
      <w:r>
        <w:tab/>
      </w:r>
      <w:r w:rsidRPr="00C772D9">
        <w:t>Commencement</w:t>
      </w:r>
      <w:bookmarkEnd w:id="4"/>
      <w:bookmarkEnd w:id="5"/>
    </w:p>
    <w:p w:rsidR="00FC00FA" w:rsidRPr="00E009FB" w:rsidRDefault="00F814D6" w:rsidP="00FC00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C00FA" w:rsidRPr="00E009FB">
        <w:rPr>
          <w:rFonts w:asciiTheme="minorHAnsi" w:hAnsiTheme="minorHAnsi" w:cstheme="minorHAnsi"/>
        </w:rPr>
        <w:t>Th</w:t>
      </w:r>
      <w:r w:rsidR="00BD310C">
        <w:rPr>
          <w:rFonts w:asciiTheme="minorHAnsi" w:hAnsiTheme="minorHAnsi" w:cstheme="minorHAnsi"/>
        </w:rPr>
        <w:t>is</w:t>
      </w:r>
      <w:r w:rsidR="00FC00FA" w:rsidRPr="00E009FB">
        <w:rPr>
          <w:rFonts w:asciiTheme="minorHAnsi" w:hAnsiTheme="minorHAnsi" w:cstheme="minorHAnsi"/>
        </w:rPr>
        <w:t xml:space="preserve"> </w:t>
      </w:r>
      <w:r w:rsidR="008A729D">
        <w:rPr>
          <w:rFonts w:asciiTheme="minorHAnsi" w:hAnsiTheme="minorHAnsi" w:cstheme="minorHAnsi"/>
        </w:rPr>
        <w:t>r</w:t>
      </w:r>
      <w:r w:rsidR="00FC00FA" w:rsidRPr="00E009FB">
        <w:rPr>
          <w:rFonts w:asciiTheme="minorHAnsi" w:hAnsiTheme="minorHAnsi" w:cstheme="minorHAnsi"/>
        </w:rPr>
        <w:t>ule commence</w:t>
      </w:r>
      <w:r w:rsidR="00BD310C">
        <w:rPr>
          <w:rFonts w:asciiTheme="minorHAnsi" w:hAnsiTheme="minorHAnsi" w:cstheme="minorHAnsi"/>
        </w:rPr>
        <w:t>s</w:t>
      </w:r>
      <w:r w:rsidR="00FC00FA" w:rsidRPr="00E009FB">
        <w:rPr>
          <w:rFonts w:asciiTheme="minorHAnsi" w:hAnsiTheme="minorHAnsi" w:cstheme="minorHAnsi"/>
        </w:rPr>
        <w:t xml:space="preserve"> on 12 March 2014.</w:t>
      </w:r>
    </w:p>
    <w:p w:rsidR="00FC00FA" w:rsidRDefault="00FC00FA" w:rsidP="00C772D9">
      <w:pPr>
        <w:pStyle w:val="Heading3"/>
      </w:pPr>
      <w:bookmarkStart w:id="6" w:name="_Toc372103569"/>
      <w:bookmarkStart w:id="7" w:name="_Toc381201190"/>
      <w:r w:rsidRPr="00C772D9">
        <w:t>3</w:t>
      </w:r>
      <w:r>
        <w:tab/>
      </w:r>
      <w:r w:rsidRPr="00C772D9">
        <w:t>Purpose</w:t>
      </w:r>
      <w:bookmarkEnd w:id="6"/>
      <w:bookmarkEnd w:id="7"/>
    </w:p>
    <w:p w:rsidR="00CB0044" w:rsidRDefault="00CB0044" w:rsidP="00F814D6">
      <w:pPr>
        <w:ind w:left="1440" w:hanging="72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="00FC00FA" w:rsidRPr="00E009FB">
        <w:rPr>
          <w:szCs w:val="24"/>
        </w:rPr>
        <w:t xml:space="preserve">The </w:t>
      </w:r>
      <w:r w:rsidR="008A729D">
        <w:rPr>
          <w:szCs w:val="24"/>
        </w:rPr>
        <w:t>r</w:t>
      </w:r>
      <w:r w:rsidR="00FC00FA" w:rsidRPr="00E009FB">
        <w:rPr>
          <w:szCs w:val="24"/>
        </w:rPr>
        <w:t>ule appl</w:t>
      </w:r>
      <w:r w:rsidR="00BD310C">
        <w:rPr>
          <w:szCs w:val="24"/>
        </w:rPr>
        <w:t>ies</w:t>
      </w:r>
      <w:r w:rsidR="00FC00FA" w:rsidRPr="00E009FB">
        <w:rPr>
          <w:szCs w:val="24"/>
        </w:rPr>
        <w:t xml:space="preserve"> for the purposes of item 3 of the table in s 16A(1) of the </w:t>
      </w:r>
      <w:r w:rsidR="00FC00FA" w:rsidRPr="00E009FB">
        <w:rPr>
          <w:i/>
          <w:szCs w:val="24"/>
        </w:rPr>
        <w:t>Privacy Act 1988</w:t>
      </w:r>
      <w:r w:rsidR="00FC00FA" w:rsidRPr="00E009FB">
        <w:rPr>
          <w:szCs w:val="24"/>
        </w:rPr>
        <w:t>, which subject to conditions specified in the item in column 3 of the table, permits an APP entity to collect sensitive information, and use and disclose personal information for the purpose of locating a person reported as missing.</w:t>
      </w:r>
    </w:p>
    <w:p w:rsidR="00FC00FA" w:rsidRPr="00E009FB" w:rsidRDefault="00CB0044" w:rsidP="00F814D6">
      <w:pPr>
        <w:ind w:left="1440" w:hanging="720"/>
        <w:rPr>
          <w:szCs w:val="24"/>
        </w:rPr>
      </w:pPr>
      <w:r w:rsidRPr="00D5122E">
        <w:rPr>
          <w:szCs w:val="24"/>
        </w:rPr>
        <w:t>(2)</w:t>
      </w:r>
      <w:r w:rsidRPr="00D5122E">
        <w:rPr>
          <w:szCs w:val="24"/>
        </w:rPr>
        <w:tab/>
      </w:r>
      <w:r w:rsidR="00B26CF2" w:rsidRPr="00D5122E">
        <w:rPr>
          <w:szCs w:val="24"/>
        </w:rPr>
        <w:t xml:space="preserve">The </w:t>
      </w:r>
      <w:r w:rsidR="008A729D">
        <w:rPr>
          <w:szCs w:val="24"/>
        </w:rPr>
        <w:t>r</w:t>
      </w:r>
      <w:r w:rsidR="00B26CF2" w:rsidRPr="00D5122E">
        <w:rPr>
          <w:szCs w:val="24"/>
        </w:rPr>
        <w:t>ule do</w:t>
      </w:r>
      <w:r w:rsidR="00BD310C">
        <w:rPr>
          <w:szCs w:val="24"/>
        </w:rPr>
        <w:t>es</w:t>
      </w:r>
      <w:r w:rsidR="00B26CF2" w:rsidRPr="00D5122E">
        <w:rPr>
          <w:szCs w:val="24"/>
        </w:rPr>
        <w:t xml:space="preserve"> not permit an </w:t>
      </w:r>
      <w:r w:rsidR="00BD310C">
        <w:rPr>
          <w:szCs w:val="24"/>
        </w:rPr>
        <w:t>organisation</w:t>
      </w:r>
      <w:r w:rsidR="00B26CF2" w:rsidRPr="00D5122E">
        <w:rPr>
          <w:szCs w:val="24"/>
        </w:rPr>
        <w:t xml:space="preserve"> to use or disclose government related identifiers.</w:t>
      </w:r>
    </w:p>
    <w:p w:rsidR="00FC00FA" w:rsidRPr="00F814D6" w:rsidRDefault="00FC00FA" w:rsidP="00F814D6">
      <w:pPr>
        <w:pStyle w:val="Heading3"/>
      </w:pPr>
      <w:bookmarkStart w:id="8" w:name="_Toc372103570"/>
      <w:bookmarkStart w:id="9" w:name="_Toc381201191"/>
      <w:r w:rsidRPr="00F814D6">
        <w:t>4</w:t>
      </w:r>
      <w:r w:rsidRPr="00F814D6">
        <w:tab/>
        <w:t>Definitions</w:t>
      </w:r>
      <w:bookmarkEnd w:id="8"/>
      <w:bookmarkEnd w:id="9"/>
    </w:p>
    <w:p w:rsidR="00FC00FA" w:rsidRDefault="00FC00FA" w:rsidP="00F814D6">
      <w:pPr>
        <w:ind w:left="1440" w:hanging="720"/>
        <w:rPr>
          <w:i/>
        </w:rPr>
      </w:pPr>
      <w:r w:rsidRPr="00936F2B">
        <w:t xml:space="preserve">(1) </w:t>
      </w:r>
      <w:r w:rsidRPr="00936F2B">
        <w:tab/>
        <w:t>Unless th</w:t>
      </w:r>
      <w:r w:rsidR="00BD310C">
        <w:t>is</w:t>
      </w:r>
      <w:r w:rsidRPr="00936F2B">
        <w:t xml:space="preserve"> </w:t>
      </w:r>
      <w:r w:rsidR="008A729D">
        <w:t>r</w:t>
      </w:r>
      <w:r w:rsidRPr="00936F2B">
        <w:t>ule state</w:t>
      </w:r>
      <w:r w:rsidR="00BD310C">
        <w:t>s</w:t>
      </w:r>
      <w:r w:rsidRPr="00936F2B">
        <w:t xml:space="preserve"> otherwise, any word or expression used in th</w:t>
      </w:r>
      <w:r w:rsidR="00BD310C">
        <w:t>is</w:t>
      </w:r>
      <w:r w:rsidRPr="00936F2B">
        <w:t xml:space="preserve"> </w:t>
      </w:r>
      <w:r w:rsidR="008A729D">
        <w:t>r</w:t>
      </w:r>
      <w:r w:rsidRPr="00936F2B">
        <w:t>ule which is defined in the Privacy Act has the same meaning as in that Act.</w:t>
      </w:r>
      <w:r w:rsidRPr="00936F2B">
        <w:rPr>
          <w:i/>
        </w:rPr>
        <w:t xml:space="preserve"> </w:t>
      </w:r>
    </w:p>
    <w:p w:rsidR="00FC00FA" w:rsidRPr="00936F2B" w:rsidRDefault="00FC00FA" w:rsidP="00F814D6">
      <w:pPr>
        <w:ind w:left="720"/>
      </w:pPr>
      <w:r w:rsidRPr="00936F2B">
        <w:t xml:space="preserve">(2) </w:t>
      </w:r>
      <w:r w:rsidRPr="00936F2B">
        <w:tab/>
        <w:t>In th</w:t>
      </w:r>
      <w:r w:rsidR="00BD310C">
        <w:t>is</w:t>
      </w:r>
      <w:r w:rsidRPr="00936F2B">
        <w:t xml:space="preserve"> </w:t>
      </w:r>
      <w:r w:rsidR="008A729D">
        <w:t>r</w:t>
      </w:r>
      <w:r w:rsidRPr="00936F2B">
        <w:t>ule:</w:t>
      </w:r>
    </w:p>
    <w:p w:rsidR="008740A6" w:rsidRPr="008740A6" w:rsidRDefault="0032103E" w:rsidP="00F814D6">
      <w:pPr>
        <w:ind w:left="720"/>
        <w:rPr>
          <w:bCs/>
          <w:iCs/>
        </w:rPr>
      </w:pPr>
      <w:proofErr w:type="gramStart"/>
      <w:r>
        <w:rPr>
          <w:b/>
          <w:bCs/>
          <w:i/>
          <w:iCs/>
        </w:rPr>
        <w:t>c</w:t>
      </w:r>
      <w:r w:rsidR="008740A6">
        <w:rPr>
          <w:b/>
          <w:bCs/>
          <w:i/>
          <w:iCs/>
        </w:rPr>
        <w:t>hild</w:t>
      </w:r>
      <w:proofErr w:type="gramEnd"/>
      <w:r w:rsidR="00084ED7">
        <w:rPr>
          <w:b/>
          <w:bCs/>
          <w:iCs/>
        </w:rPr>
        <w:t xml:space="preserve">: </w:t>
      </w:r>
      <w:r w:rsidR="00084ED7">
        <w:rPr>
          <w:bCs/>
          <w:iCs/>
        </w:rPr>
        <w:t xml:space="preserve">without limiting who is a child of a person, someone is a </w:t>
      </w:r>
      <w:r w:rsidR="00084ED7">
        <w:rPr>
          <w:bCs/>
          <w:i/>
          <w:iCs/>
        </w:rPr>
        <w:t>child</w:t>
      </w:r>
      <w:r w:rsidR="003E04BC">
        <w:rPr>
          <w:bCs/>
          <w:iCs/>
        </w:rPr>
        <w:t xml:space="preserve"> of a person if he or she is</w:t>
      </w:r>
      <w:r w:rsidR="008740A6">
        <w:rPr>
          <w:b/>
          <w:bCs/>
          <w:i/>
          <w:iCs/>
        </w:rPr>
        <w:t xml:space="preserve"> </w:t>
      </w:r>
      <w:r w:rsidR="008740A6">
        <w:rPr>
          <w:bCs/>
          <w:iCs/>
        </w:rPr>
        <w:t xml:space="preserve">a child of </w:t>
      </w:r>
      <w:r w:rsidR="00084ED7">
        <w:rPr>
          <w:bCs/>
          <w:iCs/>
        </w:rPr>
        <w:t>a</w:t>
      </w:r>
      <w:r w:rsidR="008740A6">
        <w:rPr>
          <w:bCs/>
          <w:iCs/>
        </w:rPr>
        <w:t xml:space="preserve"> person within the meaning of the </w:t>
      </w:r>
      <w:r w:rsidR="008740A6">
        <w:rPr>
          <w:bCs/>
          <w:i/>
          <w:iCs/>
        </w:rPr>
        <w:t>Family Law Act 1975</w:t>
      </w:r>
      <w:r w:rsidR="008740A6">
        <w:rPr>
          <w:bCs/>
          <w:iCs/>
        </w:rPr>
        <w:t>.</w:t>
      </w:r>
    </w:p>
    <w:p w:rsidR="008740A6" w:rsidRDefault="0032103E" w:rsidP="00F814D6">
      <w:pPr>
        <w:ind w:left="720"/>
        <w:rPr>
          <w:bCs/>
          <w:iCs/>
        </w:rPr>
      </w:pPr>
      <w:proofErr w:type="gramStart"/>
      <w:r>
        <w:rPr>
          <w:b/>
          <w:bCs/>
          <w:i/>
          <w:iCs/>
        </w:rPr>
        <w:t>f</w:t>
      </w:r>
      <w:r w:rsidR="008740A6">
        <w:rPr>
          <w:b/>
          <w:bCs/>
          <w:i/>
          <w:iCs/>
        </w:rPr>
        <w:t>amily</w:t>
      </w:r>
      <w:proofErr w:type="gramEnd"/>
      <w:r w:rsidR="008740A6">
        <w:rPr>
          <w:b/>
          <w:bCs/>
          <w:i/>
          <w:iCs/>
        </w:rPr>
        <w:t xml:space="preserve"> </w:t>
      </w:r>
      <w:r w:rsidR="008740A6">
        <w:rPr>
          <w:bCs/>
          <w:iCs/>
        </w:rPr>
        <w:t>includes the following (without limitation):</w:t>
      </w:r>
    </w:p>
    <w:p w:rsidR="008740A6" w:rsidRDefault="008740A6" w:rsidP="008740A6">
      <w:pPr>
        <w:pStyle w:val="ListParagraph"/>
        <w:numPr>
          <w:ilvl w:val="0"/>
          <w:numId w:val="51"/>
        </w:numPr>
        <w:rPr>
          <w:bCs/>
          <w:iCs/>
        </w:rPr>
      </w:pPr>
      <w:r>
        <w:rPr>
          <w:bCs/>
          <w:iCs/>
        </w:rPr>
        <w:t>a de facto partner of the individual</w:t>
      </w:r>
    </w:p>
    <w:p w:rsidR="008740A6" w:rsidRDefault="008740A6" w:rsidP="008740A6">
      <w:pPr>
        <w:pStyle w:val="ListParagraph"/>
        <w:numPr>
          <w:ilvl w:val="0"/>
          <w:numId w:val="51"/>
        </w:numPr>
        <w:rPr>
          <w:bCs/>
          <w:iCs/>
        </w:rPr>
      </w:pPr>
      <w:r>
        <w:rPr>
          <w:bCs/>
          <w:iCs/>
        </w:rPr>
        <w:t xml:space="preserve">someone who is the child of the </w:t>
      </w:r>
      <w:r w:rsidR="000C1F5A">
        <w:rPr>
          <w:bCs/>
          <w:iCs/>
        </w:rPr>
        <w:t>individual</w:t>
      </w:r>
      <w:r>
        <w:rPr>
          <w:bCs/>
          <w:iCs/>
        </w:rPr>
        <w:t xml:space="preserve">, or of whom the </w:t>
      </w:r>
      <w:r w:rsidR="000C1F5A">
        <w:rPr>
          <w:bCs/>
          <w:iCs/>
        </w:rPr>
        <w:t>individual</w:t>
      </w:r>
      <w:r>
        <w:rPr>
          <w:bCs/>
          <w:iCs/>
        </w:rPr>
        <w:t xml:space="preserve"> is the child</w:t>
      </w:r>
    </w:p>
    <w:p w:rsidR="008740A6" w:rsidRPr="008740A6" w:rsidRDefault="008740A6" w:rsidP="008740A6">
      <w:pPr>
        <w:pStyle w:val="ListParagraph"/>
        <w:numPr>
          <w:ilvl w:val="0"/>
          <w:numId w:val="51"/>
        </w:numPr>
        <w:rPr>
          <w:bCs/>
          <w:iCs/>
        </w:rPr>
      </w:pPr>
      <w:r>
        <w:rPr>
          <w:bCs/>
          <w:iCs/>
        </w:rPr>
        <w:t>anyone else who would be a member of the individual’s family if someone mentioned in paragraph (a) or (b) is taken to be a member of the individual’s family.</w:t>
      </w:r>
    </w:p>
    <w:p w:rsidR="00D07A3C" w:rsidRDefault="00D07A3C" w:rsidP="00F814D6">
      <w:pPr>
        <w:ind w:left="720"/>
        <w:rPr>
          <w:bCs/>
          <w:iCs/>
        </w:rPr>
      </w:pPr>
      <w:proofErr w:type="gramStart"/>
      <w:r>
        <w:rPr>
          <w:b/>
          <w:bCs/>
          <w:i/>
          <w:iCs/>
        </w:rPr>
        <w:t>locating</w:t>
      </w:r>
      <w:proofErr w:type="gramEnd"/>
      <w:r>
        <w:rPr>
          <w:b/>
          <w:bCs/>
          <w:i/>
          <w:iCs/>
        </w:rPr>
        <w:t xml:space="preserve"> body </w:t>
      </w:r>
      <w:r w:rsidRPr="002F47B6">
        <w:rPr>
          <w:bCs/>
          <w:iCs/>
        </w:rPr>
        <w:t>means</w:t>
      </w:r>
      <w:r>
        <w:rPr>
          <w:bCs/>
          <w:iCs/>
        </w:rPr>
        <w:t>:</w:t>
      </w:r>
    </w:p>
    <w:p w:rsidR="007D3C0F" w:rsidRPr="007D3C0F" w:rsidRDefault="007D3C0F" w:rsidP="00F814D6">
      <w:pPr>
        <w:pStyle w:val="ListParagraph"/>
        <w:numPr>
          <w:ilvl w:val="0"/>
          <w:numId w:val="53"/>
        </w:numPr>
        <w:rPr>
          <w:bCs/>
          <w:iCs/>
        </w:rPr>
      </w:pPr>
      <w:r>
        <w:rPr>
          <w:bCs/>
          <w:iCs/>
        </w:rPr>
        <w:t>t</w:t>
      </w:r>
      <w:r w:rsidRPr="00D5122E">
        <w:rPr>
          <w:bCs/>
          <w:iCs/>
        </w:rPr>
        <w:t>he Australian Federal Police</w:t>
      </w:r>
    </w:p>
    <w:p w:rsidR="00D07A3C" w:rsidRPr="002F47B6" w:rsidRDefault="00D07A3C" w:rsidP="00F814D6">
      <w:pPr>
        <w:pStyle w:val="ListParagraph"/>
        <w:numPr>
          <w:ilvl w:val="0"/>
          <w:numId w:val="53"/>
        </w:numPr>
        <w:rPr>
          <w:b/>
          <w:bCs/>
          <w:iCs/>
        </w:rPr>
      </w:pPr>
      <w:r>
        <w:rPr>
          <w:bCs/>
          <w:iCs/>
        </w:rPr>
        <w:t>a police force or service of a State or Territory</w:t>
      </w:r>
    </w:p>
    <w:p w:rsidR="00D07A3C" w:rsidRPr="002F47B6" w:rsidRDefault="00D07A3C" w:rsidP="00F814D6">
      <w:pPr>
        <w:pStyle w:val="ListParagraph"/>
        <w:numPr>
          <w:ilvl w:val="0"/>
          <w:numId w:val="53"/>
        </w:numPr>
        <w:rPr>
          <w:b/>
          <w:bCs/>
          <w:iCs/>
        </w:rPr>
      </w:pPr>
      <w:r>
        <w:rPr>
          <w:bCs/>
          <w:iCs/>
        </w:rPr>
        <w:t>the Salvation Army Family Tracing Service</w:t>
      </w:r>
    </w:p>
    <w:p w:rsidR="00D07A3C" w:rsidRPr="00D5122E" w:rsidRDefault="00D07A3C" w:rsidP="00F814D6">
      <w:pPr>
        <w:pStyle w:val="ListParagraph"/>
        <w:numPr>
          <w:ilvl w:val="0"/>
          <w:numId w:val="53"/>
        </w:numPr>
        <w:rPr>
          <w:b/>
          <w:bCs/>
          <w:iCs/>
        </w:rPr>
      </w:pPr>
      <w:r>
        <w:rPr>
          <w:bCs/>
          <w:iCs/>
        </w:rPr>
        <w:t>the Australian Red Cross</w:t>
      </w:r>
      <w:r w:rsidR="004A7213">
        <w:rPr>
          <w:bCs/>
          <w:iCs/>
        </w:rPr>
        <w:t xml:space="preserve"> Tracing Service</w:t>
      </w:r>
    </w:p>
    <w:p w:rsidR="00D07A3C" w:rsidRPr="00D5122E" w:rsidRDefault="00D07A3C" w:rsidP="00F814D6">
      <w:pPr>
        <w:pStyle w:val="ListParagraph"/>
        <w:numPr>
          <w:ilvl w:val="0"/>
          <w:numId w:val="53"/>
        </w:numPr>
        <w:rPr>
          <w:b/>
          <w:bCs/>
          <w:iCs/>
        </w:rPr>
      </w:pPr>
      <w:r>
        <w:rPr>
          <w:bCs/>
          <w:iCs/>
        </w:rPr>
        <w:t>International Social Service</w:t>
      </w:r>
      <w:r w:rsidR="00F944A3">
        <w:rPr>
          <w:bCs/>
          <w:iCs/>
        </w:rPr>
        <w:t xml:space="preserve"> Australia</w:t>
      </w:r>
    </w:p>
    <w:p w:rsidR="00D07A3C" w:rsidRPr="00D5122E" w:rsidRDefault="00F944A3" w:rsidP="00F814D6">
      <w:pPr>
        <w:pStyle w:val="ListParagraph"/>
        <w:numPr>
          <w:ilvl w:val="0"/>
          <w:numId w:val="53"/>
        </w:numPr>
        <w:rPr>
          <w:b/>
          <w:bCs/>
          <w:iCs/>
        </w:rPr>
      </w:pPr>
      <w:r>
        <w:rPr>
          <w:bCs/>
          <w:iCs/>
        </w:rPr>
        <w:t xml:space="preserve">a </w:t>
      </w:r>
      <w:r w:rsidR="00D07A3C">
        <w:rPr>
          <w:bCs/>
          <w:iCs/>
        </w:rPr>
        <w:t>Link</w:t>
      </w:r>
      <w:r>
        <w:rPr>
          <w:bCs/>
          <w:iCs/>
        </w:rPr>
        <w:t>-</w:t>
      </w:r>
      <w:r w:rsidR="00D07A3C">
        <w:rPr>
          <w:bCs/>
          <w:iCs/>
        </w:rPr>
        <w:t>Up</w:t>
      </w:r>
      <w:r w:rsidR="004A7213">
        <w:rPr>
          <w:bCs/>
          <w:iCs/>
        </w:rPr>
        <w:t xml:space="preserve"> </w:t>
      </w:r>
      <w:r>
        <w:rPr>
          <w:bCs/>
          <w:iCs/>
        </w:rPr>
        <w:t>Service of a State or Territory</w:t>
      </w:r>
      <w:r w:rsidR="003F2699">
        <w:rPr>
          <w:bCs/>
          <w:iCs/>
        </w:rPr>
        <w:t>,</w:t>
      </w:r>
      <w:r w:rsidR="00D07A3C">
        <w:rPr>
          <w:bCs/>
          <w:iCs/>
        </w:rPr>
        <w:t xml:space="preserve"> or</w:t>
      </w:r>
    </w:p>
    <w:p w:rsidR="00D07A3C" w:rsidRPr="00D07A3C" w:rsidRDefault="003F2699" w:rsidP="00F814D6">
      <w:pPr>
        <w:pStyle w:val="ListParagraph"/>
        <w:numPr>
          <w:ilvl w:val="0"/>
          <w:numId w:val="53"/>
        </w:numPr>
      </w:pPr>
      <w:proofErr w:type="gramStart"/>
      <w:r>
        <w:rPr>
          <w:bCs/>
          <w:iCs/>
        </w:rPr>
        <w:t>the</w:t>
      </w:r>
      <w:proofErr w:type="gramEnd"/>
      <w:r>
        <w:rPr>
          <w:bCs/>
          <w:iCs/>
        </w:rPr>
        <w:t xml:space="preserve"> </w:t>
      </w:r>
      <w:r w:rsidR="00D07A3C" w:rsidRPr="00D07A3C">
        <w:rPr>
          <w:bCs/>
          <w:iCs/>
        </w:rPr>
        <w:t>Department of Foreign Affairs and Trade</w:t>
      </w:r>
      <w:r w:rsidR="00D07A3C">
        <w:rPr>
          <w:bCs/>
          <w:iCs/>
        </w:rPr>
        <w:t>.</w:t>
      </w:r>
    </w:p>
    <w:p w:rsidR="00FC00FA" w:rsidRPr="00495428" w:rsidRDefault="00FC00FA" w:rsidP="00F814D6">
      <w:pPr>
        <w:ind w:left="720"/>
      </w:pPr>
      <w:r w:rsidRPr="00D5122E">
        <w:rPr>
          <w:b/>
          <w:bCs/>
          <w:i/>
          <w:iCs/>
        </w:rPr>
        <w:t xml:space="preserve">Office of the Australian Information Commissioner </w:t>
      </w:r>
      <w:r w:rsidRPr="00495428">
        <w:t xml:space="preserve">means the agency established under section 5 of the </w:t>
      </w:r>
      <w:r w:rsidRPr="00D5122E">
        <w:rPr>
          <w:i/>
          <w:iCs/>
        </w:rPr>
        <w:t>Australian Information Commissioner Act 2010</w:t>
      </w:r>
      <w:r w:rsidRPr="00495428">
        <w:t>.</w:t>
      </w:r>
    </w:p>
    <w:p w:rsidR="00D07A3C" w:rsidRDefault="00FC00FA" w:rsidP="00F814D6">
      <w:pPr>
        <w:ind w:left="720"/>
      </w:pPr>
      <w:proofErr w:type="gramStart"/>
      <w:r w:rsidRPr="00495428">
        <w:rPr>
          <w:b/>
          <w:bCs/>
          <w:i/>
          <w:iCs/>
        </w:rPr>
        <w:lastRenderedPageBreak/>
        <w:t>person</w:t>
      </w:r>
      <w:proofErr w:type="gramEnd"/>
      <w:r w:rsidRPr="00495428">
        <w:rPr>
          <w:b/>
          <w:bCs/>
          <w:i/>
          <w:iCs/>
        </w:rPr>
        <w:t xml:space="preserve"> reported as missing</w:t>
      </w:r>
      <w:r w:rsidRPr="00495428">
        <w:t xml:space="preserve"> means an individual</w:t>
      </w:r>
      <w:r w:rsidR="00D07A3C">
        <w:t>:</w:t>
      </w:r>
    </w:p>
    <w:p w:rsidR="00D07A3C" w:rsidRDefault="00D07A3C" w:rsidP="00D5122E">
      <w:pPr>
        <w:pStyle w:val="ListParagraph"/>
        <w:numPr>
          <w:ilvl w:val="0"/>
          <w:numId w:val="52"/>
        </w:numPr>
      </w:pPr>
      <w:r>
        <w:t>w</w:t>
      </w:r>
      <w:r w:rsidR="00FE0907">
        <w:t>ho</w:t>
      </w:r>
      <w:r>
        <w:t xml:space="preserve"> has been reported as missing to a locating body</w:t>
      </w:r>
    </w:p>
    <w:p w:rsidR="00390580" w:rsidRDefault="00390580" w:rsidP="00390580">
      <w:pPr>
        <w:pStyle w:val="ListParagraph"/>
        <w:numPr>
          <w:ilvl w:val="0"/>
          <w:numId w:val="52"/>
        </w:numPr>
      </w:pPr>
      <w:r w:rsidRPr="00495428">
        <w:t>who</w:t>
      </w:r>
      <w:r>
        <w:t>se whereabouts are unknown to the locating body</w:t>
      </w:r>
      <w:r w:rsidR="00F814D6">
        <w:t>, and</w:t>
      </w:r>
    </w:p>
    <w:p w:rsidR="00380CE6" w:rsidRDefault="00D07A3C" w:rsidP="00D5122E">
      <w:pPr>
        <w:pStyle w:val="ListParagraph"/>
        <w:numPr>
          <w:ilvl w:val="0"/>
          <w:numId w:val="52"/>
        </w:numPr>
      </w:pPr>
      <w:r>
        <w:t>who</w:t>
      </w:r>
      <w:r w:rsidR="00FE0907">
        <w:t xml:space="preserve"> is being sought </w:t>
      </w:r>
      <w:r w:rsidR="002D5F07">
        <w:t xml:space="preserve">by the locating body </w:t>
      </w:r>
      <w:r w:rsidR="00FE0907">
        <w:t>because there are serious concerns for their safety and</w:t>
      </w:r>
      <w:r w:rsidR="006858D5">
        <w:t>/or</w:t>
      </w:r>
      <w:r w:rsidR="00FE0907">
        <w:t xml:space="preserve"> welfare or for the purpose of re-uniting </w:t>
      </w:r>
      <w:r w:rsidR="008A729D">
        <w:t xml:space="preserve">them with their </w:t>
      </w:r>
      <w:r w:rsidR="00FE0907">
        <w:t xml:space="preserve">family </w:t>
      </w:r>
    </w:p>
    <w:p w:rsidR="00380CE6" w:rsidRPr="00495428" w:rsidRDefault="00380CE6" w:rsidP="00F814D6">
      <w:pPr>
        <w:ind w:left="1080"/>
      </w:pPr>
      <w:proofErr w:type="gramStart"/>
      <w:r>
        <w:t>but</w:t>
      </w:r>
      <w:proofErr w:type="gramEnd"/>
      <w:r>
        <w:t xml:space="preserve"> </w:t>
      </w:r>
      <w:r w:rsidR="00FC00FA" w:rsidRPr="00495428">
        <w:t xml:space="preserve">does not include an individual </w:t>
      </w:r>
      <w:r w:rsidR="00E1160D">
        <w:t xml:space="preserve">who </w:t>
      </w:r>
      <w:r w:rsidR="00FC00FA" w:rsidRPr="00495428">
        <w:t>is</w:t>
      </w:r>
      <w:r>
        <w:t xml:space="preserve"> </w:t>
      </w:r>
      <w:r w:rsidR="00FE0907">
        <w:t>being sought</w:t>
      </w:r>
      <w:r w:rsidR="00FC00FA" w:rsidRPr="00495428">
        <w:t>:</w:t>
      </w:r>
    </w:p>
    <w:p w:rsidR="00380CE6" w:rsidRPr="00495428" w:rsidRDefault="00FC00FA" w:rsidP="00F814D6">
      <w:pPr>
        <w:pStyle w:val="ListParagraph"/>
        <w:numPr>
          <w:ilvl w:val="0"/>
          <w:numId w:val="52"/>
        </w:numPr>
      </w:pPr>
      <w:r w:rsidRPr="00495428">
        <w:t>in relation to legal matters, including but not limited to, debt, maintenance, support proceedings, wills, child custody, divorce or investigations into suspected criminal activity of the individual</w:t>
      </w:r>
      <w:r w:rsidR="00F814D6">
        <w:t>,</w:t>
      </w:r>
      <w:r w:rsidRPr="00495428">
        <w:t xml:space="preserve"> or</w:t>
      </w:r>
    </w:p>
    <w:p w:rsidR="00770B24" w:rsidRPr="00495428" w:rsidRDefault="00FC00FA" w:rsidP="00F814D6">
      <w:pPr>
        <w:pStyle w:val="ListParagraph"/>
        <w:numPr>
          <w:ilvl w:val="0"/>
          <w:numId w:val="52"/>
        </w:numPr>
      </w:pPr>
      <w:proofErr w:type="gramStart"/>
      <w:r w:rsidRPr="00495428">
        <w:t>for</w:t>
      </w:r>
      <w:proofErr w:type="gramEnd"/>
      <w:r w:rsidRPr="00495428">
        <w:t xml:space="preserve"> the purpose of genealogical research.</w:t>
      </w:r>
    </w:p>
    <w:p w:rsidR="00FC00FA" w:rsidRPr="00495428" w:rsidRDefault="00FC00FA" w:rsidP="00F814D6">
      <w:pPr>
        <w:ind w:left="720"/>
      </w:pPr>
      <w:r w:rsidRPr="00495428">
        <w:rPr>
          <w:b/>
          <w:bCs/>
          <w:i/>
        </w:rPr>
        <w:t>Privacy Act</w:t>
      </w:r>
      <w:r w:rsidRPr="00495428">
        <w:t xml:space="preserve"> means the </w:t>
      </w:r>
      <w:r w:rsidRPr="00495428">
        <w:rPr>
          <w:i/>
        </w:rPr>
        <w:t>Privacy Act 1988</w:t>
      </w:r>
      <w:r w:rsidRPr="00495428">
        <w:t>.</w:t>
      </w:r>
    </w:p>
    <w:p w:rsidR="00FC00FA" w:rsidRPr="00495428" w:rsidRDefault="00FC00FA" w:rsidP="00F814D6">
      <w:pPr>
        <w:ind w:left="720"/>
      </w:pPr>
      <w:r w:rsidRPr="00495428">
        <w:rPr>
          <w:b/>
          <w:i/>
        </w:rPr>
        <w:t>Rule</w:t>
      </w:r>
      <w:r w:rsidRPr="00495428">
        <w:rPr>
          <w:i/>
        </w:rPr>
        <w:t xml:space="preserve"> </w:t>
      </w:r>
      <w:r w:rsidRPr="00495428">
        <w:t xml:space="preserve">means the </w:t>
      </w:r>
      <w:r w:rsidRPr="00495428">
        <w:rPr>
          <w:i/>
        </w:rPr>
        <w:t>Privacy (Persons Reported as Missing) Rule 2014</w:t>
      </w:r>
      <w:r w:rsidRPr="00495428">
        <w:t>.</w:t>
      </w:r>
    </w:p>
    <w:p w:rsidR="00FC00FA" w:rsidRPr="0060110B" w:rsidRDefault="00FC00FA" w:rsidP="00F814D6">
      <w:pPr>
        <w:ind w:left="720"/>
      </w:pPr>
      <w:r>
        <w:rPr>
          <w:i/>
          <w:iCs/>
        </w:rPr>
        <w:t>Note</w:t>
      </w:r>
      <w:r>
        <w:rPr>
          <w:i/>
          <w:iCs/>
        </w:rPr>
        <w:tab/>
      </w:r>
      <w:r w:rsidRPr="0060110B">
        <w:t xml:space="preserve">The following </w:t>
      </w:r>
      <w:r w:rsidR="00770B24">
        <w:t>expressions</w:t>
      </w:r>
      <w:r w:rsidR="00770B24" w:rsidRPr="0060110B">
        <w:t xml:space="preserve"> </w:t>
      </w:r>
      <w:r w:rsidR="00770B24">
        <w:t>have the same meaning as in</w:t>
      </w:r>
      <w:r w:rsidRPr="0060110B">
        <w:t xml:space="preserve"> </w:t>
      </w:r>
      <w:r w:rsidR="008A729D">
        <w:t xml:space="preserve">subsection 6(1) of </w:t>
      </w:r>
      <w:r w:rsidRPr="0060110B">
        <w:t xml:space="preserve">the </w:t>
      </w:r>
      <w:r>
        <w:t xml:space="preserve">Privacy </w:t>
      </w:r>
      <w:r w:rsidRPr="0060110B">
        <w:t>Act:</w:t>
      </w:r>
    </w:p>
    <w:p w:rsidR="00FC00FA" w:rsidRPr="00B44F7B" w:rsidRDefault="00FC00FA" w:rsidP="00F814D6">
      <w:pPr>
        <w:pStyle w:val="Bullets"/>
        <w:spacing w:before="0"/>
      </w:pPr>
      <w:r w:rsidRPr="00B44F7B">
        <w:t>APP entity</w:t>
      </w:r>
    </w:p>
    <w:p w:rsidR="00FC00FA" w:rsidRPr="00B44F7B" w:rsidRDefault="00FC00FA" w:rsidP="00F814D6">
      <w:pPr>
        <w:pStyle w:val="Bullets"/>
        <w:spacing w:before="0"/>
      </w:pPr>
      <w:r w:rsidRPr="00B44F7B">
        <w:t>collects</w:t>
      </w:r>
    </w:p>
    <w:p w:rsidR="00FC00FA" w:rsidRPr="00B44F7B" w:rsidRDefault="00FC00FA" w:rsidP="00F814D6">
      <w:pPr>
        <w:pStyle w:val="Bullets"/>
        <w:spacing w:before="0"/>
      </w:pPr>
      <w:r w:rsidRPr="00B44F7B">
        <w:t>consent</w:t>
      </w:r>
    </w:p>
    <w:p w:rsidR="00FC00FA" w:rsidRPr="00B44F7B" w:rsidRDefault="00FC00FA" w:rsidP="00F814D6">
      <w:pPr>
        <w:pStyle w:val="Bullets"/>
        <w:spacing w:before="0"/>
      </w:pPr>
      <w:r w:rsidRPr="00B44F7B">
        <w:t>individual</w:t>
      </w:r>
    </w:p>
    <w:p w:rsidR="00DF4635" w:rsidRDefault="00DF4635" w:rsidP="00F814D6">
      <w:pPr>
        <w:pStyle w:val="Bullets"/>
        <w:spacing w:before="0"/>
      </w:pPr>
      <w:r>
        <w:t>organisation</w:t>
      </w:r>
    </w:p>
    <w:p w:rsidR="00FC00FA" w:rsidRPr="00B44F7B" w:rsidRDefault="00FC00FA" w:rsidP="00F814D6">
      <w:pPr>
        <w:pStyle w:val="Bullets"/>
        <w:spacing w:before="0"/>
      </w:pPr>
      <w:r w:rsidRPr="00B44F7B">
        <w:t>personal information</w:t>
      </w:r>
    </w:p>
    <w:p w:rsidR="00FC00FA" w:rsidRPr="00B44F7B" w:rsidRDefault="00FC00FA" w:rsidP="00F814D6">
      <w:pPr>
        <w:pStyle w:val="Bullets"/>
        <w:spacing w:before="0"/>
      </w:pPr>
      <w:proofErr w:type="gramStart"/>
      <w:r w:rsidRPr="00B44F7B">
        <w:t>sensitive</w:t>
      </w:r>
      <w:proofErr w:type="gramEnd"/>
      <w:r w:rsidRPr="00B44F7B">
        <w:t xml:space="preserve"> information</w:t>
      </w:r>
      <w:r w:rsidR="003F2699">
        <w:t>.</w:t>
      </w:r>
    </w:p>
    <w:p w:rsidR="00F73744" w:rsidRDefault="00F73744" w:rsidP="00FC00FA">
      <w:pPr>
        <w:pStyle w:val="Heading2"/>
        <w:sectPr w:rsidR="00F73744" w:rsidSect="004E0E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10" w:name="_Toc381201192"/>
      <w:bookmarkStart w:id="11" w:name="_Toc372103571"/>
    </w:p>
    <w:p w:rsidR="003F2699" w:rsidRDefault="003F2699" w:rsidP="00FC00FA">
      <w:pPr>
        <w:pStyle w:val="Heading2"/>
      </w:pPr>
      <w:r>
        <w:lastRenderedPageBreak/>
        <w:t xml:space="preserve">Part 2 — </w:t>
      </w:r>
      <w:proofErr w:type="gramStart"/>
      <w:r w:rsidR="00D414C0">
        <w:t>Handling</w:t>
      </w:r>
      <w:proofErr w:type="gramEnd"/>
      <w:r w:rsidR="00D414C0">
        <w:t xml:space="preserve"> of personal information</w:t>
      </w:r>
      <w:bookmarkEnd w:id="10"/>
    </w:p>
    <w:p w:rsidR="00FC00FA" w:rsidRDefault="00FC00FA" w:rsidP="003F2699">
      <w:pPr>
        <w:pStyle w:val="Heading3"/>
      </w:pPr>
      <w:bookmarkStart w:id="12" w:name="_Toc381201193"/>
      <w:r>
        <w:t>5</w:t>
      </w:r>
      <w:r>
        <w:tab/>
        <w:t>Collection of sensitive information by a</w:t>
      </w:r>
      <w:r w:rsidR="002A26F1">
        <w:t xml:space="preserve"> locating b</w:t>
      </w:r>
      <w:r>
        <w:t>ody</w:t>
      </w:r>
      <w:bookmarkEnd w:id="11"/>
      <w:bookmarkEnd w:id="12"/>
    </w:p>
    <w:p w:rsidR="00FC00FA" w:rsidRPr="00495428" w:rsidRDefault="00FC00FA" w:rsidP="00FC00FA">
      <w:pPr>
        <w:pStyle w:val="ListParagraph"/>
        <w:numPr>
          <w:ilvl w:val="0"/>
          <w:numId w:val="24"/>
        </w:numPr>
        <w:tabs>
          <w:tab w:val="clear" w:pos="567"/>
          <w:tab w:val="left" w:pos="709"/>
        </w:tabs>
        <w:ind w:hanging="720"/>
        <w:rPr>
          <w:rFonts w:asciiTheme="minorHAnsi" w:hAnsiTheme="minorHAnsi" w:cstheme="minorHAnsi"/>
          <w:szCs w:val="24"/>
        </w:rPr>
      </w:pPr>
      <w:r w:rsidRPr="00495428">
        <w:rPr>
          <w:rFonts w:asciiTheme="minorHAnsi" w:hAnsiTheme="minorHAnsi" w:cstheme="minorHAnsi"/>
          <w:szCs w:val="24"/>
        </w:rPr>
        <w:t>An APP entity may collect sensitive information under item 3 of the table in s 16A(1) about a person reported as missing if:</w:t>
      </w:r>
    </w:p>
    <w:p w:rsidR="00FC00FA" w:rsidRPr="00495428" w:rsidRDefault="00FC00FA" w:rsidP="00FC00FA">
      <w:pPr>
        <w:pStyle w:val="ListParagraph"/>
        <w:numPr>
          <w:ilvl w:val="0"/>
          <w:numId w:val="26"/>
        </w:numPr>
        <w:tabs>
          <w:tab w:val="left" w:pos="709"/>
        </w:tabs>
        <w:rPr>
          <w:rFonts w:asciiTheme="minorHAnsi" w:hAnsiTheme="minorHAnsi" w:cstheme="minorHAnsi"/>
          <w:szCs w:val="24"/>
        </w:rPr>
      </w:pPr>
      <w:r w:rsidRPr="00495428">
        <w:rPr>
          <w:rFonts w:asciiTheme="minorHAnsi" w:hAnsiTheme="minorHAnsi" w:cstheme="minorHAnsi"/>
          <w:szCs w:val="24"/>
        </w:rPr>
        <w:t>the APP entity is a</w:t>
      </w:r>
      <w:r w:rsidR="002A26F1">
        <w:rPr>
          <w:rFonts w:asciiTheme="minorHAnsi" w:hAnsiTheme="minorHAnsi" w:cstheme="minorHAnsi"/>
          <w:szCs w:val="24"/>
        </w:rPr>
        <w:t xml:space="preserve"> locating b</w:t>
      </w:r>
      <w:r w:rsidRPr="00495428">
        <w:rPr>
          <w:rFonts w:asciiTheme="minorHAnsi" w:hAnsiTheme="minorHAnsi" w:cstheme="minorHAnsi"/>
          <w:szCs w:val="24"/>
        </w:rPr>
        <w:t>ody</w:t>
      </w:r>
    </w:p>
    <w:p w:rsidR="00FC00FA" w:rsidRPr="00495428" w:rsidRDefault="00FC00FA" w:rsidP="00FC00FA">
      <w:pPr>
        <w:pStyle w:val="ListParagraph"/>
        <w:numPr>
          <w:ilvl w:val="0"/>
          <w:numId w:val="26"/>
        </w:numPr>
        <w:tabs>
          <w:tab w:val="left" w:pos="709"/>
        </w:tabs>
        <w:rPr>
          <w:rFonts w:asciiTheme="minorHAnsi" w:hAnsiTheme="minorHAnsi" w:cstheme="minorHAnsi"/>
          <w:szCs w:val="24"/>
        </w:rPr>
      </w:pPr>
      <w:r w:rsidRPr="00495428">
        <w:rPr>
          <w:rFonts w:asciiTheme="minorHAnsi" w:hAnsiTheme="minorHAnsi" w:cstheme="minorHAnsi"/>
          <w:szCs w:val="24"/>
        </w:rPr>
        <w:t>the APP entity reasonably believes that the collection is reasonably necessary to assist the entity to locate the person reported as missing</w:t>
      </w:r>
    </w:p>
    <w:p w:rsidR="00FC00FA" w:rsidRPr="00495428" w:rsidRDefault="00FC00FA" w:rsidP="00FC00F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4"/>
        </w:rPr>
      </w:pPr>
      <w:r w:rsidRPr="00495428">
        <w:rPr>
          <w:rFonts w:asciiTheme="minorHAnsi" w:hAnsiTheme="minorHAnsi" w:cstheme="minorHAnsi"/>
          <w:szCs w:val="24"/>
        </w:rPr>
        <w:t>the information that is collected is limited to the extent reasonably necessary to make contact with, or to offer proof of life of, the person re</w:t>
      </w:r>
      <w:r w:rsidR="003F2699">
        <w:rPr>
          <w:rFonts w:asciiTheme="minorHAnsi" w:hAnsiTheme="minorHAnsi" w:cstheme="minorHAnsi"/>
          <w:szCs w:val="24"/>
        </w:rPr>
        <w:t>ported as missing,</w:t>
      </w:r>
      <w:r w:rsidRPr="00495428">
        <w:rPr>
          <w:rFonts w:asciiTheme="minorHAnsi" w:hAnsiTheme="minorHAnsi" w:cstheme="minorHAnsi"/>
          <w:szCs w:val="24"/>
        </w:rPr>
        <w:t xml:space="preserve"> and</w:t>
      </w:r>
    </w:p>
    <w:p w:rsidR="00FC00FA" w:rsidRPr="00495428" w:rsidRDefault="00BC6BEF" w:rsidP="00FC00FA">
      <w:pPr>
        <w:pStyle w:val="ListParagraph"/>
        <w:numPr>
          <w:ilvl w:val="0"/>
          <w:numId w:val="26"/>
        </w:numPr>
        <w:tabs>
          <w:tab w:val="left" w:pos="709"/>
        </w:tabs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section</w:t>
      </w:r>
      <w:proofErr w:type="gramEnd"/>
      <w:r>
        <w:rPr>
          <w:rFonts w:asciiTheme="minorHAnsi" w:hAnsiTheme="minorHAnsi" w:cstheme="minorHAnsi"/>
          <w:szCs w:val="24"/>
        </w:rPr>
        <w:t xml:space="preserve"> </w:t>
      </w:r>
      <w:r w:rsidR="00FC00FA" w:rsidRPr="00495428">
        <w:rPr>
          <w:rFonts w:asciiTheme="minorHAnsi" w:hAnsiTheme="minorHAnsi" w:cstheme="minorHAnsi"/>
          <w:szCs w:val="24"/>
        </w:rPr>
        <w:t>7 does not apply in relation to the collection.</w:t>
      </w:r>
    </w:p>
    <w:p w:rsidR="00FC00FA" w:rsidRDefault="00FC00FA" w:rsidP="003F2699">
      <w:pPr>
        <w:pStyle w:val="Heading3"/>
      </w:pPr>
      <w:bookmarkStart w:id="13" w:name="_Toc372103572"/>
      <w:bookmarkStart w:id="14" w:name="_Toc381201194"/>
      <w:r>
        <w:t>6</w:t>
      </w:r>
      <w:r>
        <w:tab/>
        <w:t xml:space="preserve">Use or disclosure of personal information without the consent of the person </w:t>
      </w:r>
      <w:r w:rsidR="003F2699">
        <w:tab/>
      </w:r>
      <w:r>
        <w:t>reported as missing</w:t>
      </w:r>
      <w:bookmarkEnd w:id="13"/>
      <w:bookmarkEnd w:id="14"/>
    </w:p>
    <w:p w:rsidR="00FC00FA" w:rsidRPr="00495428" w:rsidRDefault="00FC00FA" w:rsidP="00F814D6">
      <w:pPr>
        <w:ind w:left="1418" w:hanging="709"/>
        <w:rPr>
          <w:rFonts w:asciiTheme="minorHAnsi" w:hAnsiTheme="minorHAnsi" w:cstheme="minorHAnsi"/>
        </w:rPr>
      </w:pPr>
      <w:r w:rsidRPr="00495428">
        <w:rPr>
          <w:rFonts w:asciiTheme="minorHAnsi" w:hAnsiTheme="minorHAnsi" w:cstheme="minorHAnsi"/>
        </w:rPr>
        <w:t>(1)</w:t>
      </w:r>
      <w:r w:rsidRPr="00495428">
        <w:rPr>
          <w:rFonts w:asciiTheme="minorHAnsi" w:hAnsiTheme="minorHAnsi" w:cstheme="minorHAnsi"/>
        </w:rPr>
        <w:tab/>
        <w:t>An APP entity may use or disclose personal information under item 3 of the table in s</w:t>
      </w:r>
      <w:r w:rsidR="00D904E0">
        <w:rPr>
          <w:rFonts w:asciiTheme="minorHAnsi" w:hAnsiTheme="minorHAnsi" w:cstheme="minorHAnsi"/>
        </w:rPr>
        <w:t>ubsection</w:t>
      </w:r>
      <w:r w:rsidRPr="00495428">
        <w:rPr>
          <w:rFonts w:asciiTheme="minorHAnsi" w:hAnsiTheme="minorHAnsi" w:cstheme="minorHAnsi"/>
        </w:rPr>
        <w:t xml:space="preserve"> </w:t>
      </w:r>
      <w:proofErr w:type="gramStart"/>
      <w:r w:rsidRPr="00495428">
        <w:rPr>
          <w:rFonts w:asciiTheme="minorHAnsi" w:hAnsiTheme="minorHAnsi" w:cstheme="minorHAnsi"/>
        </w:rPr>
        <w:t>16A(</w:t>
      </w:r>
      <w:proofErr w:type="gramEnd"/>
      <w:r w:rsidRPr="00495428">
        <w:rPr>
          <w:rFonts w:asciiTheme="minorHAnsi" w:hAnsiTheme="minorHAnsi" w:cstheme="minorHAnsi"/>
        </w:rPr>
        <w:t>1) about a person reported as missing if:</w:t>
      </w:r>
    </w:p>
    <w:p w:rsidR="00FC00FA" w:rsidRPr="00495428" w:rsidRDefault="00FC00FA" w:rsidP="00FC00F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495428">
        <w:rPr>
          <w:rFonts w:asciiTheme="minorHAnsi" w:hAnsiTheme="minorHAnsi" w:cstheme="minorHAnsi"/>
        </w:rPr>
        <w:t xml:space="preserve">the use or disclosure of the information is in response to a request from a </w:t>
      </w:r>
      <w:r w:rsidR="002A26F1">
        <w:rPr>
          <w:rFonts w:asciiTheme="minorHAnsi" w:hAnsiTheme="minorHAnsi" w:cstheme="minorHAnsi"/>
        </w:rPr>
        <w:t>locating b</w:t>
      </w:r>
      <w:r w:rsidRPr="00495428">
        <w:rPr>
          <w:rFonts w:asciiTheme="minorHAnsi" w:hAnsiTheme="minorHAnsi" w:cstheme="minorHAnsi"/>
        </w:rPr>
        <w:t xml:space="preserve">ody </w:t>
      </w:r>
    </w:p>
    <w:p w:rsidR="00FC00FA" w:rsidRPr="00495428" w:rsidRDefault="00FC00FA" w:rsidP="00FC00F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495428">
        <w:rPr>
          <w:rFonts w:asciiTheme="minorHAnsi" w:hAnsiTheme="minorHAnsi" w:cstheme="minorHAnsi"/>
        </w:rPr>
        <w:t xml:space="preserve">the APP entity reasonably believes that the use or disclosure is reasonably necessary to assist the </w:t>
      </w:r>
      <w:r w:rsidR="002A26F1">
        <w:rPr>
          <w:rFonts w:asciiTheme="minorHAnsi" w:hAnsiTheme="minorHAnsi" w:cstheme="minorHAnsi"/>
        </w:rPr>
        <w:t>locating b</w:t>
      </w:r>
      <w:r w:rsidRPr="00495428">
        <w:rPr>
          <w:rFonts w:asciiTheme="minorHAnsi" w:hAnsiTheme="minorHAnsi" w:cstheme="minorHAnsi"/>
        </w:rPr>
        <w:t>ody to locate a person reported as missing</w:t>
      </w:r>
    </w:p>
    <w:p w:rsidR="003F2699" w:rsidRDefault="00FC00FA" w:rsidP="00FC00F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F2699">
        <w:rPr>
          <w:rFonts w:asciiTheme="minorHAnsi" w:hAnsiTheme="minorHAnsi" w:cstheme="minorHAnsi"/>
        </w:rPr>
        <w:t xml:space="preserve">in the case of a disclosure, the recipient of the information is a </w:t>
      </w:r>
      <w:r w:rsidR="002A26F1" w:rsidRPr="003F2699">
        <w:rPr>
          <w:rFonts w:asciiTheme="minorHAnsi" w:hAnsiTheme="minorHAnsi" w:cstheme="minorHAnsi"/>
        </w:rPr>
        <w:t>locating b</w:t>
      </w:r>
      <w:r w:rsidRPr="003F2699">
        <w:rPr>
          <w:rFonts w:asciiTheme="minorHAnsi" w:hAnsiTheme="minorHAnsi" w:cstheme="minorHAnsi"/>
        </w:rPr>
        <w:t>ody</w:t>
      </w:r>
    </w:p>
    <w:p w:rsidR="00FC00FA" w:rsidRPr="003F2699" w:rsidRDefault="00FC00FA" w:rsidP="00FC00F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F2699">
        <w:rPr>
          <w:rFonts w:asciiTheme="minorHAnsi" w:hAnsiTheme="minorHAnsi" w:cstheme="minorHAnsi"/>
        </w:rPr>
        <w:t>it is unreasonable or impracticable to obtain the consent of the person reported as missing to the use or disclosure of the information</w:t>
      </w:r>
    </w:p>
    <w:p w:rsidR="00FC00FA" w:rsidRPr="00495428" w:rsidRDefault="00FC00FA" w:rsidP="00FC00F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495428">
        <w:rPr>
          <w:rFonts w:asciiTheme="minorHAnsi" w:hAnsiTheme="minorHAnsi" w:cstheme="minorHAnsi"/>
        </w:rPr>
        <w:t>the information that is used or disclosed is limited to the extent reasonably necessary to make contact with, or to offer proof of life of, the</w:t>
      </w:r>
      <w:r w:rsidR="003F2699">
        <w:rPr>
          <w:rFonts w:asciiTheme="minorHAnsi" w:hAnsiTheme="minorHAnsi" w:cstheme="minorHAnsi"/>
        </w:rPr>
        <w:t xml:space="preserve"> person reported as missing</w:t>
      </w:r>
    </w:p>
    <w:p w:rsidR="00FC00FA" w:rsidRPr="00495428" w:rsidRDefault="00FC00FA" w:rsidP="00121488">
      <w:pPr>
        <w:pStyle w:val="ListParagraph"/>
        <w:numPr>
          <w:ilvl w:val="0"/>
          <w:numId w:val="20"/>
        </w:numPr>
      </w:pPr>
      <w:r w:rsidRPr="00495428">
        <w:rPr>
          <w:rFonts w:asciiTheme="minorHAnsi" w:hAnsiTheme="minorHAnsi" w:cstheme="minorHAnsi"/>
        </w:rPr>
        <w:t>the use or disclos</w:t>
      </w:r>
      <w:r w:rsidR="00121488">
        <w:rPr>
          <w:rFonts w:asciiTheme="minorHAnsi" w:hAnsiTheme="minorHAnsi" w:cstheme="minorHAnsi"/>
        </w:rPr>
        <w:t xml:space="preserve">ure is not contrary to any wish </w:t>
      </w:r>
      <w:r w:rsidRPr="00495428">
        <w:t>expressed by</w:t>
      </w:r>
      <w:r w:rsidR="00121488">
        <w:t xml:space="preserve"> the person reported as missing </w:t>
      </w:r>
      <w:r w:rsidRPr="00495428">
        <w:t>of which the APP entity is aware, and</w:t>
      </w:r>
    </w:p>
    <w:p w:rsidR="00FC00FA" w:rsidRPr="00495428" w:rsidRDefault="00BC6BEF" w:rsidP="00FC00FA">
      <w:pPr>
        <w:pStyle w:val="ListParagraph"/>
        <w:numPr>
          <w:ilvl w:val="0"/>
          <w:numId w:val="20"/>
        </w:numPr>
      </w:pPr>
      <w:proofErr w:type="gramStart"/>
      <w:r>
        <w:rPr>
          <w:rFonts w:asciiTheme="minorHAnsi" w:hAnsiTheme="minorHAnsi" w:cstheme="minorHAnsi"/>
        </w:rPr>
        <w:t>section</w:t>
      </w:r>
      <w:proofErr w:type="gramEnd"/>
      <w:r w:rsidR="00FC00FA" w:rsidRPr="00495428">
        <w:rPr>
          <w:rFonts w:asciiTheme="minorHAnsi" w:hAnsiTheme="minorHAnsi" w:cstheme="minorHAnsi"/>
        </w:rPr>
        <w:t xml:space="preserve"> 7 does not apply in relation to the use or disclosure.</w:t>
      </w:r>
    </w:p>
    <w:p w:rsidR="00FC00FA" w:rsidRPr="006122A7" w:rsidRDefault="00FC00FA" w:rsidP="00FC00FA">
      <w:pPr>
        <w:pStyle w:val="ListParagraph"/>
        <w:numPr>
          <w:ilvl w:val="0"/>
          <w:numId w:val="0"/>
        </w:numPr>
        <w:ind w:left="720"/>
      </w:pPr>
    </w:p>
    <w:p w:rsidR="00FC00FA" w:rsidRPr="00495428" w:rsidRDefault="00FC00FA" w:rsidP="00C66E0B">
      <w:pPr>
        <w:tabs>
          <w:tab w:val="left" w:pos="1418"/>
        </w:tabs>
        <w:ind w:left="1418" w:hanging="709"/>
      </w:pPr>
      <w:r w:rsidRPr="00495428">
        <w:t xml:space="preserve">(2) </w:t>
      </w:r>
      <w:r w:rsidR="00C66E0B">
        <w:tab/>
      </w:r>
      <w:r w:rsidRPr="00495428">
        <w:t>If an APP entity discloses personal information in accordance with sub</w:t>
      </w:r>
      <w:r w:rsidR="00BC6BEF">
        <w:t>section</w:t>
      </w:r>
      <w:r w:rsidRPr="00495428">
        <w:t> (1), the entity must make a written note of the disclosure.</w:t>
      </w:r>
    </w:p>
    <w:p w:rsidR="00FC00FA" w:rsidRDefault="003F2699" w:rsidP="003F2699">
      <w:pPr>
        <w:pStyle w:val="Heading3"/>
      </w:pPr>
      <w:bookmarkStart w:id="15" w:name="_Toc372103573"/>
      <w:bookmarkStart w:id="16" w:name="_Toc381201195"/>
      <w:r>
        <w:t>7</w:t>
      </w:r>
      <w:r>
        <w:tab/>
      </w:r>
      <w:r w:rsidR="00FC00FA">
        <w:t>Collection, use or disclosure must not pose a serious threat to an individual</w:t>
      </w:r>
      <w:bookmarkEnd w:id="15"/>
      <w:bookmarkEnd w:id="16"/>
    </w:p>
    <w:p w:rsidR="00FC00FA" w:rsidRPr="00495428" w:rsidRDefault="00FC00FA" w:rsidP="00F814D6">
      <w:pPr>
        <w:ind w:left="709"/>
        <w:rPr>
          <w:rFonts w:asciiTheme="minorHAnsi" w:hAnsiTheme="minorHAnsi" w:cstheme="minorHAnsi"/>
        </w:rPr>
      </w:pPr>
      <w:r w:rsidRPr="00495428">
        <w:rPr>
          <w:rFonts w:asciiTheme="minorHAnsi" w:hAnsiTheme="minorHAnsi" w:cstheme="minorHAnsi"/>
        </w:rPr>
        <w:t>An APP entity must not collect, use or disclose personal information about an individual under item 3 of the table in s</w:t>
      </w:r>
      <w:r w:rsidR="00AC3D62">
        <w:rPr>
          <w:rFonts w:asciiTheme="minorHAnsi" w:hAnsiTheme="minorHAnsi" w:cstheme="minorHAnsi"/>
        </w:rPr>
        <w:t>ubsection</w:t>
      </w:r>
      <w:r w:rsidRPr="00495428">
        <w:rPr>
          <w:rFonts w:asciiTheme="minorHAnsi" w:hAnsiTheme="minorHAnsi" w:cstheme="minorHAnsi"/>
        </w:rPr>
        <w:t xml:space="preserve"> </w:t>
      </w:r>
      <w:proofErr w:type="gramStart"/>
      <w:r w:rsidRPr="00495428">
        <w:rPr>
          <w:rFonts w:asciiTheme="minorHAnsi" w:hAnsiTheme="minorHAnsi" w:cstheme="minorHAnsi"/>
        </w:rPr>
        <w:t>16A(</w:t>
      </w:r>
      <w:proofErr w:type="gramEnd"/>
      <w:r w:rsidRPr="00495428">
        <w:rPr>
          <w:rFonts w:asciiTheme="minorHAnsi" w:hAnsiTheme="minorHAnsi" w:cstheme="minorHAnsi"/>
        </w:rPr>
        <w:t>1) if the APP entity reasonably believes that the collection, use or disclosure of the information would pose a serious threat to the life, health or safety of any individual.</w:t>
      </w:r>
    </w:p>
    <w:p w:rsidR="00FC00FA" w:rsidRDefault="00FC00FA" w:rsidP="003F2699">
      <w:pPr>
        <w:pStyle w:val="Heading3"/>
      </w:pPr>
      <w:bookmarkStart w:id="17" w:name="_Toc372103574"/>
      <w:bookmarkStart w:id="18" w:name="_Toc381201196"/>
      <w:r>
        <w:lastRenderedPageBreak/>
        <w:t>8</w:t>
      </w:r>
      <w:r>
        <w:tab/>
        <w:t>Operation of th</w:t>
      </w:r>
      <w:r w:rsidR="00BD310C">
        <w:t>is</w:t>
      </w:r>
      <w:r>
        <w:t xml:space="preserve"> </w:t>
      </w:r>
      <w:r w:rsidR="00AC3D62">
        <w:t>r</w:t>
      </w:r>
      <w:r>
        <w:t>ule</w:t>
      </w:r>
      <w:bookmarkEnd w:id="17"/>
      <w:bookmarkEnd w:id="18"/>
    </w:p>
    <w:p w:rsidR="00FC00FA" w:rsidRPr="00C66E0B" w:rsidRDefault="00C66E0B" w:rsidP="00C66E0B">
      <w:pPr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ab/>
      </w:r>
      <w:r w:rsidR="00FC00FA" w:rsidRPr="00C66E0B">
        <w:rPr>
          <w:rFonts w:asciiTheme="minorHAnsi" w:hAnsiTheme="minorHAnsi" w:cstheme="minorHAnsi"/>
        </w:rPr>
        <w:t>It is not the intention of th</w:t>
      </w:r>
      <w:r w:rsidR="00BD310C" w:rsidRPr="00C66E0B">
        <w:rPr>
          <w:rFonts w:asciiTheme="minorHAnsi" w:hAnsiTheme="minorHAnsi" w:cstheme="minorHAnsi"/>
        </w:rPr>
        <w:t>is</w:t>
      </w:r>
      <w:r w:rsidR="00FC00FA" w:rsidRPr="00C66E0B">
        <w:rPr>
          <w:rFonts w:asciiTheme="minorHAnsi" w:hAnsiTheme="minorHAnsi" w:cstheme="minorHAnsi"/>
        </w:rPr>
        <w:t xml:space="preserve"> </w:t>
      </w:r>
      <w:r w:rsidR="00AC3D62" w:rsidRPr="00C66E0B">
        <w:rPr>
          <w:rFonts w:asciiTheme="minorHAnsi" w:hAnsiTheme="minorHAnsi" w:cstheme="minorHAnsi"/>
        </w:rPr>
        <w:t>r</w:t>
      </w:r>
      <w:r w:rsidR="00FC00FA" w:rsidRPr="00C66E0B">
        <w:rPr>
          <w:rFonts w:asciiTheme="minorHAnsi" w:hAnsiTheme="minorHAnsi" w:cstheme="minorHAnsi"/>
        </w:rPr>
        <w:t>ule to affect the operation of other laws that make provision with respect to the collection, use and disclosure of the personal information of a person reported as missing.</w:t>
      </w:r>
    </w:p>
    <w:p w:rsidR="00FC00FA" w:rsidRPr="00CB0044" w:rsidRDefault="00CB0044" w:rsidP="00D5122E">
      <w:pPr>
        <w:pStyle w:val="Quote"/>
      </w:pPr>
      <w:r>
        <w:rPr>
          <w:i/>
        </w:rPr>
        <w:t xml:space="preserve">Note: </w:t>
      </w:r>
      <w:r>
        <w:t xml:space="preserve">This includes Part VIA of the </w:t>
      </w:r>
      <w:r w:rsidRPr="00CB0044">
        <w:t>Privacy Act</w:t>
      </w:r>
      <w:r w:rsidRPr="00D5122E">
        <w:rPr>
          <w:i/>
        </w:rPr>
        <w:t xml:space="preserve"> </w:t>
      </w:r>
      <w:r>
        <w:t>(Dealing with personal information in emergencies and disasters)</w:t>
      </w:r>
    </w:p>
    <w:p w:rsidR="006A0BD1" w:rsidRPr="00DE6D89" w:rsidRDefault="00FC00FA" w:rsidP="00C66E0B">
      <w:pPr>
        <w:pStyle w:val="ListParagraph"/>
        <w:numPr>
          <w:ilvl w:val="0"/>
          <w:numId w:val="24"/>
        </w:numPr>
        <w:tabs>
          <w:tab w:val="clear" w:pos="567"/>
          <w:tab w:val="left" w:pos="709"/>
        </w:tabs>
        <w:ind w:hanging="720"/>
      </w:pPr>
      <w:r w:rsidRPr="00495428">
        <w:t>Nothing in th</w:t>
      </w:r>
      <w:r w:rsidR="00BD310C">
        <w:t>is</w:t>
      </w:r>
      <w:r w:rsidRPr="00495428">
        <w:t xml:space="preserve"> </w:t>
      </w:r>
      <w:r w:rsidR="00AC3D62">
        <w:t>r</w:t>
      </w:r>
      <w:r w:rsidRPr="00495428">
        <w:t>ule is to be taken to require an APP entity to collect, use or disclose personal information.</w:t>
      </w:r>
      <w:bookmarkStart w:id="19" w:name="param2"/>
      <w:bookmarkStart w:id="20" w:name="param3"/>
      <w:bookmarkStart w:id="21" w:name="param4"/>
      <w:bookmarkStart w:id="22" w:name="param5"/>
      <w:bookmarkStart w:id="23" w:name="param6"/>
      <w:bookmarkStart w:id="24" w:name="param7"/>
      <w:bookmarkEnd w:id="19"/>
      <w:bookmarkEnd w:id="20"/>
      <w:bookmarkEnd w:id="21"/>
      <w:bookmarkEnd w:id="22"/>
      <w:bookmarkEnd w:id="23"/>
      <w:bookmarkEnd w:id="24"/>
    </w:p>
    <w:sectPr w:rsidR="006A0BD1" w:rsidRPr="00DE6D89" w:rsidSect="004E0E46">
      <w:headerReference w:type="even" r:id="rId22"/>
      <w:footerReference w:type="even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46" w:rsidRDefault="004E0E46" w:rsidP="004E0E46">
      <w:pPr>
        <w:spacing w:after="0"/>
      </w:pPr>
      <w:r>
        <w:separator/>
      </w:r>
    </w:p>
  </w:endnote>
  <w:endnote w:type="continuationSeparator" w:id="0">
    <w:p w:rsidR="004E0E46" w:rsidRDefault="004E0E46" w:rsidP="004E0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571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E46" w:rsidRDefault="00F73744" w:rsidP="004E0E46">
        <w:pPr>
          <w:pStyle w:val="Footer"/>
          <w:pBdr>
            <w:top w:val="single" w:sz="4" w:space="1" w:color="auto"/>
          </w:pBdr>
        </w:pPr>
        <w:r>
          <w:rPr>
            <w:sz w:val="20"/>
            <w:szCs w:val="20"/>
          </w:rPr>
          <w:t>4</w:t>
        </w:r>
        <w:r w:rsidR="004E0E46" w:rsidRPr="004E0E46">
          <w:rPr>
            <w:sz w:val="20"/>
            <w:szCs w:val="20"/>
          </w:rPr>
          <w:t xml:space="preserve"> </w:t>
        </w:r>
        <w:r w:rsidR="004E0E46" w:rsidRPr="004E0E46">
          <w:rPr>
            <w:sz w:val="20"/>
            <w:szCs w:val="20"/>
          </w:rPr>
          <w:tab/>
          <w:t>Privacy (Persons Reported as Missing) Rule 2014</w:t>
        </w:r>
        <w:r w:rsidR="004E0E46">
          <w:tab/>
        </w:r>
      </w:p>
    </w:sdtContent>
  </w:sdt>
  <w:p w:rsidR="004E0E46" w:rsidRDefault="004E0E46" w:rsidP="004E0E46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44" w:rsidRDefault="00F73744" w:rsidP="00F73744">
    <w:pPr>
      <w:pStyle w:val="Footer"/>
      <w:pBdr>
        <w:top w:val="single" w:sz="4" w:space="1" w:color="auto"/>
      </w:pBdr>
    </w:pPr>
    <w:r w:rsidRPr="004E0E46">
      <w:rPr>
        <w:sz w:val="20"/>
        <w:szCs w:val="20"/>
      </w:rPr>
      <w:tab/>
      <w:t>Privacy (Persons Reported as Missing) Rule 2014</w:t>
    </w:r>
    <w:r>
      <w:rPr>
        <w:sz w:val="20"/>
        <w:szCs w:val="20"/>
      </w:rPr>
      <w:tab/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44" w:rsidRDefault="00F73744" w:rsidP="00B00D8D">
    <w:pPr>
      <w:pStyle w:val="Footer"/>
    </w:pPr>
    <w:r>
      <w:rPr>
        <w:sz w:val="20"/>
        <w:szCs w:val="20"/>
      </w:rPr>
      <w:tab/>
    </w:r>
  </w:p>
  <w:p w:rsidR="00F73744" w:rsidRDefault="00F73744" w:rsidP="00F73744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5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D8D" w:rsidRDefault="00B00D8D" w:rsidP="004E0E46">
        <w:pPr>
          <w:pStyle w:val="Footer"/>
          <w:pBdr>
            <w:top w:val="single" w:sz="4" w:space="1" w:color="auto"/>
          </w:pBdr>
        </w:pPr>
        <w:r>
          <w:rPr>
            <w:sz w:val="20"/>
            <w:szCs w:val="20"/>
          </w:rPr>
          <w:t>2</w:t>
        </w:r>
        <w:r w:rsidRPr="004E0E46">
          <w:rPr>
            <w:sz w:val="20"/>
            <w:szCs w:val="20"/>
          </w:rPr>
          <w:t xml:space="preserve"> </w:t>
        </w:r>
        <w:r w:rsidRPr="004E0E46">
          <w:rPr>
            <w:sz w:val="20"/>
            <w:szCs w:val="20"/>
          </w:rPr>
          <w:tab/>
          <w:t>Privacy (Persons Reported as Missing) Rule 2014</w:t>
        </w:r>
        <w:r>
          <w:tab/>
        </w:r>
      </w:p>
    </w:sdtContent>
  </w:sdt>
  <w:p w:rsidR="00B00D8D" w:rsidRDefault="00B00D8D" w:rsidP="004E0E46">
    <w:pPr>
      <w:pStyle w:val="Footer"/>
      <w:pBdr>
        <w:top w:val="single" w:sz="4" w:space="1" w:color="auto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06" w:rsidRDefault="00E61306" w:rsidP="00F73744">
    <w:pPr>
      <w:pStyle w:val="Footer"/>
      <w:pBdr>
        <w:top w:val="single" w:sz="4" w:space="1" w:color="auto"/>
      </w:pBdr>
    </w:pPr>
    <w:r w:rsidRPr="004E0E46">
      <w:rPr>
        <w:sz w:val="20"/>
        <w:szCs w:val="20"/>
      </w:rPr>
      <w:tab/>
      <w:t>Privacy (Persons Reported as Missing) Rule 2014</w:t>
    </w:r>
    <w:r>
      <w:rPr>
        <w:sz w:val="20"/>
        <w:szCs w:val="20"/>
      </w:rPr>
      <w:tab/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8D" w:rsidRDefault="00435C53" w:rsidP="00435C53">
    <w:pPr>
      <w:pStyle w:val="Footer"/>
      <w:pBdr>
        <w:top w:val="single" w:sz="4" w:space="1" w:color="auto"/>
      </w:pBdr>
    </w:pPr>
    <w:proofErr w:type="gramStart"/>
    <w:r>
      <w:rPr>
        <w:sz w:val="20"/>
        <w:szCs w:val="20"/>
      </w:rPr>
      <w:t>ii</w:t>
    </w:r>
    <w:proofErr w:type="gramEnd"/>
    <w:r>
      <w:rPr>
        <w:sz w:val="20"/>
        <w:szCs w:val="20"/>
      </w:rPr>
      <w:tab/>
    </w:r>
    <w:r w:rsidRPr="004E0E46">
      <w:rPr>
        <w:sz w:val="20"/>
        <w:szCs w:val="20"/>
      </w:rPr>
      <w:t>Privacy (Persons Reported as Missing) Rule 2014</w:t>
    </w:r>
    <w:r>
      <w:rPr>
        <w:sz w:val="20"/>
        <w:szCs w:val="20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379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D8D" w:rsidRDefault="00B00D8D" w:rsidP="004E0E46">
        <w:pPr>
          <w:pStyle w:val="Footer"/>
          <w:pBdr>
            <w:top w:val="single" w:sz="4" w:space="1" w:color="auto"/>
          </w:pBdr>
        </w:pPr>
        <w:r>
          <w:rPr>
            <w:sz w:val="20"/>
            <w:szCs w:val="20"/>
          </w:rPr>
          <w:t>4</w:t>
        </w:r>
        <w:r w:rsidRPr="004E0E46">
          <w:rPr>
            <w:sz w:val="20"/>
            <w:szCs w:val="20"/>
          </w:rPr>
          <w:t xml:space="preserve"> </w:t>
        </w:r>
        <w:r w:rsidRPr="004E0E46">
          <w:rPr>
            <w:sz w:val="20"/>
            <w:szCs w:val="20"/>
          </w:rPr>
          <w:tab/>
          <w:t>Privacy (Persons Reported as Missing) Rule 2014</w:t>
        </w:r>
        <w:r>
          <w:tab/>
        </w:r>
      </w:p>
    </w:sdtContent>
  </w:sdt>
  <w:p w:rsidR="00B00D8D" w:rsidRDefault="00B00D8D" w:rsidP="004E0E46">
    <w:pPr>
      <w:pStyle w:val="Footer"/>
      <w:pBdr>
        <w:top w:val="single" w:sz="4" w:space="1" w:color="auto"/>
      </w:pBd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8D" w:rsidRDefault="00B00D8D" w:rsidP="00F73744">
    <w:pPr>
      <w:pStyle w:val="Footer"/>
      <w:pBdr>
        <w:top w:val="single" w:sz="4" w:space="1" w:color="auto"/>
      </w:pBdr>
    </w:pPr>
    <w:r>
      <w:rPr>
        <w:sz w:val="20"/>
        <w:szCs w:val="20"/>
      </w:rPr>
      <w:tab/>
    </w:r>
    <w:r w:rsidRPr="004E0E46">
      <w:rPr>
        <w:sz w:val="20"/>
        <w:szCs w:val="20"/>
      </w:rPr>
      <w:t>Privacy (Persons Reported as Missing) Rule 2014</w:t>
    </w:r>
    <w:r>
      <w:rPr>
        <w:sz w:val="20"/>
        <w:szCs w:val="20"/>
      </w:rPr>
      <w:tab/>
      <w:t>3</w:t>
    </w:r>
  </w:p>
  <w:p w:rsidR="00B00D8D" w:rsidRDefault="00B00D8D" w:rsidP="00F737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46" w:rsidRDefault="004E0E46" w:rsidP="004E0E46">
      <w:pPr>
        <w:spacing w:after="0"/>
      </w:pPr>
      <w:r>
        <w:separator/>
      </w:r>
    </w:p>
  </w:footnote>
  <w:footnote w:type="continuationSeparator" w:id="0">
    <w:p w:rsidR="004E0E46" w:rsidRDefault="004E0E46" w:rsidP="004E0E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44" w:rsidRPr="00F73744" w:rsidRDefault="00F73744" w:rsidP="00F73744">
    <w:pPr>
      <w:pStyle w:val="Header"/>
      <w:rPr>
        <w:b/>
        <w:sz w:val="22"/>
      </w:rPr>
    </w:pPr>
    <w:r w:rsidRPr="00F73744">
      <w:rPr>
        <w:b/>
        <w:sz w:val="22"/>
      </w:rPr>
      <w:t xml:space="preserve">Part </w:t>
    </w:r>
    <w:r>
      <w:rPr>
        <w:b/>
        <w:sz w:val="22"/>
      </w:rPr>
      <w:t xml:space="preserve">2 </w:t>
    </w:r>
    <w:r w:rsidRPr="00F73744">
      <w:rPr>
        <w:b/>
        <w:sz w:val="22"/>
      </w:rPr>
      <w:t xml:space="preserve">— </w:t>
    </w:r>
    <w:r>
      <w:rPr>
        <w:b/>
        <w:sz w:val="22"/>
      </w:rPr>
      <w:t>Handling of personal information</w:t>
    </w:r>
  </w:p>
  <w:p w:rsidR="00F73744" w:rsidRPr="00F73744" w:rsidRDefault="00F73744" w:rsidP="00F73744">
    <w:pPr>
      <w:pStyle w:val="Header"/>
      <w:pBdr>
        <w:bottom w:val="single" w:sz="4" w:space="1" w:color="auto"/>
      </w:pBdr>
      <w:rPr>
        <w:sz w:val="22"/>
      </w:rPr>
    </w:pPr>
    <w:r>
      <w:rPr>
        <w:sz w:val="22"/>
      </w:rPr>
      <w:t>Section 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44" w:rsidRPr="00F73744" w:rsidRDefault="00F73744" w:rsidP="00F73744">
    <w:pPr>
      <w:pStyle w:val="Header"/>
      <w:jc w:val="right"/>
      <w:rPr>
        <w:b/>
        <w:sz w:val="22"/>
      </w:rPr>
    </w:pPr>
    <w:r w:rsidRPr="00F73744">
      <w:rPr>
        <w:b/>
        <w:sz w:val="22"/>
      </w:rPr>
      <w:t>Part 1 — Preliminary</w:t>
    </w:r>
  </w:p>
  <w:p w:rsidR="00F73744" w:rsidRPr="00F73744" w:rsidRDefault="00F73744" w:rsidP="00F73744">
    <w:pPr>
      <w:pStyle w:val="Header"/>
      <w:pBdr>
        <w:bottom w:val="single" w:sz="4" w:space="1" w:color="auto"/>
      </w:pBdr>
      <w:jc w:val="right"/>
      <w:rPr>
        <w:sz w:val="22"/>
      </w:rPr>
    </w:pPr>
    <w:r w:rsidRPr="00F73744">
      <w:rPr>
        <w:sz w:val="22"/>
      </w:rPr>
      <w:t>Section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8D" w:rsidRDefault="00B00D8D">
    <w:pPr>
      <w:pStyle w:val="Header"/>
      <w:jc w:val="center"/>
    </w:pPr>
  </w:p>
  <w:p w:rsidR="00F73744" w:rsidRPr="00B00D8D" w:rsidRDefault="00F73744" w:rsidP="00B00D8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06" w:rsidRPr="00F73744" w:rsidRDefault="00E61306" w:rsidP="00E61306">
    <w:pPr>
      <w:pStyle w:val="Header"/>
      <w:rPr>
        <w:b/>
        <w:sz w:val="22"/>
      </w:rPr>
    </w:pPr>
    <w:r>
      <w:rPr>
        <w:b/>
        <w:sz w:val="22"/>
      </w:rPr>
      <w:t>Part 1</w:t>
    </w:r>
    <w:r w:rsidRPr="00F73744">
      <w:rPr>
        <w:b/>
        <w:sz w:val="22"/>
      </w:rPr>
      <w:t xml:space="preserve"> — Preliminary</w:t>
    </w:r>
  </w:p>
  <w:p w:rsidR="00E61306" w:rsidRPr="00F73744" w:rsidRDefault="00E61306" w:rsidP="00E61306">
    <w:pPr>
      <w:pStyle w:val="Header"/>
      <w:pBdr>
        <w:bottom w:val="single" w:sz="4" w:space="1" w:color="auto"/>
      </w:pBdr>
      <w:rPr>
        <w:sz w:val="22"/>
      </w:rPr>
    </w:pPr>
    <w:r>
      <w:rPr>
        <w:sz w:val="22"/>
      </w:rPr>
      <w:t>Section 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8D" w:rsidRPr="00F73744" w:rsidRDefault="00B00D8D" w:rsidP="00F73744">
    <w:pPr>
      <w:pStyle w:val="Header"/>
      <w:jc w:val="right"/>
      <w:rPr>
        <w:b/>
        <w:sz w:val="22"/>
      </w:rPr>
    </w:pPr>
    <w:r w:rsidRPr="00F73744">
      <w:rPr>
        <w:b/>
        <w:sz w:val="22"/>
      </w:rPr>
      <w:t>Part 1 — Preliminary</w:t>
    </w:r>
  </w:p>
  <w:p w:rsidR="00B00D8D" w:rsidRPr="00F73744" w:rsidRDefault="00B00D8D" w:rsidP="00F73744">
    <w:pPr>
      <w:pStyle w:val="Header"/>
      <w:pBdr>
        <w:bottom w:val="single" w:sz="4" w:space="1" w:color="auto"/>
      </w:pBdr>
      <w:jc w:val="right"/>
      <w:rPr>
        <w:sz w:val="22"/>
      </w:rPr>
    </w:pPr>
    <w:r w:rsidRPr="00F73744">
      <w:rPr>
        <w:sz w:val="22"/>
      </w:rPr>
      <w:t>Section 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06" w:rsidRDefault="00435C53" w:rsidP="00435C53">
    <w:pPr>
      <w:pStyle w:val="Header"/>
      <w:pBdr>
        <w:bottom w:val="single" w:sz="4" w:space="1" w:color="auto"/>
      </w:pBdr>
      <w:rPr>
        <w:b/>
        <w:sz w:val="22"/>
      </w:rPr>
    </w:pPr>
    <w:r w:rsidRPr="00435C53">
      <w:rPr>
        <w:b/>
        <w:sz w:val="22"/>
      </w:rPr>
      <w:t>Contents</w:t>
    </w:r>
  </w:p>
  <w:p w:rsidR="00435C53" w:rsidRPr="00435C53" w:rsidRDefault="00435C53" w:rsidP="00435C53">
    <w:pPr>
      <w:pStyle w:val="Header"/>
      <w:pBdr>
        <w:bottom w:val="single" w:sz="4" w:space="1" w:color="auto"/>
      </w:pBdr>
      <w:rPr>
        <w:b/>
        <w:sz w:val="22"/>
      </w:rPr>
    </w:pPr>
  </w:p>
  <w:p w:rsidR="00E61306" w:rsidRPr="00B00D8D" w:rsidRDefault="00E61306" w:rsidP="00B00D8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06" w:rsidRPr="00F73744" w:rsidRDefault="00E61306" w:rsidP="00E61306">
    <w:pPr>
      <w:pStyle w:val="Header"/>
      <w:rPr>
        <w:b/>
        <w:sz w:val="22"/>
      </w:rPr>
    </w:pPr>
    <w:r>
      <w:rPr>
        <w:b/>
        <w:sz w:val="22"/>
      </w:rPr>
      <w:t>Part 2</w:t>
    </w:r>
    <w:r w:rsidRPr="00F73744">
      <w:rPr>
        <w:b/>
        <w:sz w:val="22"/>
      </w:rPr>
      <w:t xml:space="preserve"> — </w:t>
    </w:r>
    <w:r>
      <w:rPr>
        <w:b/>
        <w:sz w:val="22"/>
      </w:rPr>
      <w:t>Handling of personal information</w:t>
    </w:r>
  </w:p>
  <w:p w:rsidR="00E61306" w:rsidRPr="00F73744" w:rsidRDefault="00E61306" w:rsidP="00E61306">
    <w:pPr>
      <w:pStyle w:val="Header"/>
      <w:pBdr>
        <w:bottom w:val="single" w:sz="4" w:space="1" w:color="auto"/>
      </w:pBdr>
      <w:rPr>
        <w:sz w:val="22"/>
      </w:rPr>
    </w:pPr>
    <w:r>
      <w:rPr>
        <w:sz w:val="22"/>
      </w:rPr>
      <w:t>Section 8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06" w:rsidRPr="00E61306" w:rsidRDefault="00E61306" w:rsidP="00E61306">
    <w:pPr>
      <w:pStyle w:val="Header"/>
      <w:jc w:val="right"/>
      <w:rPr>
        <w:b/>
        <w:sz w:val="22"/>
      </w:rPr>
    </w:pPr>
    <w:r w:rsidRPr="00E61306">
      <w:rPr>
        <w:b/>
        <w:sz w:val="22"/>
      </w:rPr>
      <w:t>Part 2 — Handling of personal information</w:t>
    </w:r>
  </w:p>
  <w:p w:rsidR="00E61306" w:rsidRPr="00E61306" w:rsidRDefault="00E61306" w:rsidP="00E61306">
    <w:pPr>
      <w:pStyle w:val="Header"/>
      <w:pBdr>
        <w:bottom w:val="single" w:sz="4" w:space="1" w:color="auto"/>
      </w:pBdr>
      <w:jc w:val="right"/>
      <w:rPr>
        <w:sz w:val="22"/>
      </w:rPr>
    </w:pPr>
    <w:r w:rsidRPr="00E61306">
      <w:rPr>
        <w:sz w:val="22"/>
      </w:rPr>
      <w:t>Section 5</w:t>
    </w:r>
  </w:p>
  <w:p w:rsidR="00E61306" w:rsidRPr="00B00D8D" w:rsidRDefault="00E61306" w:rsidP="00B00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0D1"/>
    <w:multiLevelType w:val="hybridMultilevel"/>
    <w:tmpl w:val="FC7A7566"/>
    <w:lvl w:ilvl="0" w:tplc="F07A3C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52AAE"/>
    <w:multiLevelType w:val="hybridMultilevel"/>
    <w:tmpl w:val="ED0A299A"/>
    <w:lvl w:ilvl="0" w:tplc="D11235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758B"/>
    <w:multiLevelType w:val="hybridMultilevel"/>
    <w:tmpl w:val="3B9C6318"/>
    <w:lvl w:ilvl="0" w:tplc="6EEA8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90BD9"/>
    <w:multiLevelType w:val="hybridMultilevel"/>
    <w:tmpl w:val="67FA593A"/>
    <w:lvl w:ilvl="0" w:tplc="7A102D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005B8"/>
    <w:multiLevelType w:val="hybridMultilevel"/>
    <w:tmpl w:val="04B87942"/>
    <w:lvl w:ilvl="0" w:tplc="E7CE8D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A350A"/>
    <w:multiLevelType w:val="hybridMultilevel"/>
    <w:tmpl w:val="C1242584"/>
    <w:lvl w:ilvl="0" w:tplc="DE88C1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E049D0"/>
    <w:multiLevelType w:val="hybridMultilevel"/>
    <w:tmpl w:val="E5489FE2"/>
    <w:lvl w:ilvl="0" w:tplc="5A6667C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E0B2E"/>
    <w:multiLevelType w:val="hybridMultilevel"/>
    <w:tmpl w:val="072EE1CC"/>
    <w:lvl w:ilvl="0" w:tplc="4EA234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86E13"/>
    <w:multiLevelType w:val="hybridMultilevel"/>
    <w:tmpl w:val="363CF2A0"/>
    <w:lvl w:ilvl="0" w:tplc="85F0E76A">
      <w:start w:val="1"/>
      <w:numFmt w:val="bullet"/>
      <w:pStyle w:val="Bullets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9">
    <w:nsid w:val="1BEF5B63"/>
    <w:multiLevelType w:val="hybridMultilevel"/>
    <w:tmpl w:val="14984BFE"/>
    <w:lvl w:ilvl="0" w:tplc="0ADE6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303"/>
    <w:multiLevelType w:val="hybridMultilevel"/>
    <w:tmpl w:val="2B386B66"/>
    <w:lvl w:ilvl="0" w:tplc="619E7F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D2C27"/>
    <w:multiLevelType w:val="hybridMultilevel"/>
    <w:tmpl w:val="A2866D12"/>
    <w:lvl w:ilvl="0" w:tplc="CC22CB2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8545A"/>
    <w:multiLevelType w:val="hybridMultilevel"/>
    <w:tmpl w:val="837A564E"/>
    <w:lvl w:ilvl="0" w:tplc="6634795E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F5177A"/>
    <w:multiLevelType w:val="hybridMultilevel"/>
    <w:tmpl w:val="46848564"/>
    <w:lvl w:ilvl="0" w:tplc="876C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02093"/>
    <w:multiLevelType w:val="hybridMultilevel"/>
    <w:tmpl w:val="BDCAA456"/>
    <w:lvl w:ilvl="0" w:tplc="96C21E2E">
      <w:start w:val="1"/>
      <w:numFmt w:val="decimal"/>
      <w:lvlText w:val="%1."/>
      <w:lvlJc w:val="right"/>
      <w:pPr>
        <w:ind w:left="63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44A7A"/>
    <w:multiLevelType w:val="hybridMultilevel"/>
    <w:tmpl w:val="EE2C8DBC"/>
    <w:lvl w:ilvl="0" w:tplc="9B0243D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203865"/>
    <w:multiLevelType w:val="hybridMultilevel"/>
    <w:tmpl w:val="6E6CBF48"/>
    <w:lvl w:ilvl="0" w:tplc="227A270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F737A9"/>
    <w:multiLevelType w:val="hybridMultilevel"/>
    <w:tmpl w:val="1BDAC7BC"/>
    <w:lvl w:ilvl="0" w:tplc="800243EE">
      <w:start w:val="5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926EA"/>
    <w:multiLevelType w:val="hybridMultilevel"/>
    <w:tmpl w:val="A07E7F54"/>
    <w:lvl w:ilvl="0" w:tplc="4EC8BFB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A5AB1"/>
    <w:multiLevelType w:val="hybridMultilevel"/>
    <w:tmpl w:val="45B45690"/>
    <w:lvl w:ilvl="0" w:tplc="7EF03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91ECD"/>
    <w:multiLevelType w:val="hybridMultilevel"/>
    <w:tmpl w:val="0DFA909C"/>
    <w:lvl w:ilvl="0" w:tplc="D6D43B72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47793393"/>
    <w:multiLevelType w:val="hybridMultilevel"/>
    <w:tmpl w:val="C8004606"/>
    <w:lvl w:ilvl="0" w:tplc="FAD424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0539F"/>
    <w:multiLevelType w:val="hybridMultilevel"/>
    <w:tmpl w:val="6E1EF25C"/>
    <w:lvl w:ilvl="0" w:tplc="A1E2DF1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745C63"/>
    <w:multiLevelType w:val="hybridMultilevel"/>
    <w:tmpl w:val="B2C24FC4"/>
    <w:lvl w:ilvl="0" w:tplc="A934C98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4F3148"/>
    <w:multiLevelType w:val="hybridMultilevel"/>
    <w:tmpl w:val="C92636D0"/>
    <w:lvl w:ilvl="0" w:tplc="9F7AA89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781350"/>
    <w:multiLevelType w:val="hybridMultilevel"/>
    <w:tmpl w:val="1248C53C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D15D37"/>
    <w:multiLevelType w:val="hybridMultilevel"/>
    <w:tmpl w:val="8CF61AC8"/>
    <w:lvl w:ilvl="0" w:tplc="C2223A1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C41548"/>
    <w:multiLevelType w:val="hybridMultilevel"/>
    <w:tmpl w:val="20B2C18C"/>
    <w:lvl w:ilvl="0" w:tplc="586467D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D43BC3"/>
    <w:multiLevelType w:val="hybridMultilevel"/>
    <w:tmpl w:val="BAA4D49C"/>
    <w:lvl w:ilvl="0" w:tplc="5BBE1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F5C"/>
    <w:multiLevelType w:val="hybridMultilevel"/>
    <w:tmpl w:val="4B98542A"/>
    <w:lvl w:ilvl="0" w:tplc="680ADB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974BC"/>
    <w:multiLevelType w:val="hybridMultilevel"/>
    <w:tmpl w:val="4FB2BEBE"/>
    <w:lvl w:ilvl="0" w:tplc="F3629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F6807"/>
    <w:multiLevelType w:val="hybridMultilevel"/>
    <w:tmpl w:val="3D10EAD4"/>
    <w:lvl w:ilvl="0" w:tplc="E3083BA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34" w:hanging="360"/>
      </w:pPr>
    </w:lvl>
    <w:lvl w:ilvl="2" w:tplc="0C09001B">
      <w:start w:val="1"/>
      <w:numFmt w:val="lowerRoman"/>
      <w:lvlText w:val="%3."/>
      <w:lvlJc w:val="right"/>
      <w:pPr>
        <w:ind w:left="1854" w:hanging="180"/>
      </w:pPr>
    </w:lvl>
    <w:lvl w:ilvl="3" w:tplc="0C09000F" w:tentative="1">
      <w:start w:val="1"/>
      <w:numFmt w:val="decimal"/>
      <w:lvlText w:val="%4."/>
      <w:lvlJc w:val="left"/>
      <w:pPr>
        <w:ind w:left="2574" w:hanging="360"/>
      </w:pPr>
    </w:lvl>
    <w:lvl w:ilvl="4" w:tplc="0C090019" w:tentative="1">
      <w:start w:val="1"/>
      <w:numFmt w:val="lowerLetter"/>
      <w:lvlText w:val="%5."/>
      <w:lvlJc w:val="left"/>
      <w:pPr>
        <w:ind w:left="3294" w:hanging="360"/>
      </w:pPr>
    </w:lvl>
    <w:lvl w:ilvl="5" w:tplc="0C09001B" w:tentative="1">
      <w:start w:val="1"/>
      <w:numFmt w:val="lowerRoman"/>
      <w:lvlText w:val="%6."/>
      <w:lvlJc w:val="right"/>
      <w:pPr>
        <w:ind w:left="4014" w:hanging="180"/>
      </w:pPr>
    </w:lvl>
    <w:lvl w:ilvl="6" w:tplc="0C09000F" w:tentative="1">
      <w:start w:val="1"/>
      <w:numFmt w:val="decimal"/>
      <w:lvlText w:val="%7."/>
      <w:lvlJc w:val="left"/>
      <w:pPr>
        <w:ind w:left="4734" w:hanging="360"/>
      </w:pPr>
    </w:lvl>
    <w:lvl w:ilvl="7" w:tplc="0C090019" w:tentative="1">
      <w:start w:val="1"/>
      <w:numFmt w:val="lowerLetter"/>
      <w:lvlText w:val="%8."/>
      <w:lvlJc w:val="left"/>
      <w:pPr>
        <w:ind w:left="5454" w:hanging="360"/>
      </w:pPr>
    </w:lvl>
    <w:lvl w:ilvl="8" w:tplc="0C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2">
    <w:nsid w:val="707C0AB9"/>
    <w:multiLevelType w:val="hybridMultilevel"/>
    <w:tmpl w:val="B2C24FC4"/>
    <w:lvl w:ilvl="0" w:tplc="A934C98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8662C7"/>
    <w:multiLevelType w:val="hybridMultilevel"/>
    <w:tmpl w:val="5300BD0A"/>
    <w:lvl w:ilvl="0" w:tplc="9874387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CC5D03"/>
    <w:multiLevelType w:val="hybridMultilevel"/>
    <w:tmpl w:val="CDF01548"/>
    <w:lvl w:ilvl="0" w:tplc="05A61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A7127"/>
    <w:multiLevelType w:val="hybridMultilevel"/>
    <w:tmpl w:val="6046D650"/>
    <w:lvl w:ilvl="0" w:tplc="524222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7812AD"/>
    <w:multiLevelType w:val="hybridMultilevel"/>
    <w:tmpl w:val="6678A938"/>
    <w:lvl w:ilvl="0" w:tplc="BFC22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10E63"/>
    <w:multiLevelType w:val="hybridMultilevel"/>
    <w:tmpl w:val="D2CC8E6E"/>
    <w:lvl w:ilvl="0" w:tplc="227A270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594AA2"/>
    <w:multiLevelType w:val="hybridMultilevel"/>
    <w:tmpl w:val="D1486E7A"/>
    <w:lvl w:ilvl="0" w:tplc="7876D7F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8D25C58"/>
    <w:multiLevelType w:val="hybridMultilevel"/>
    <w:tmpl w:val="C6E6FBC4"/>
    <w:lvl w:ilvl="0" w:tplc="12BAC03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75BFF"/>
    <w:multiLevelType w:val="hybridMultilevel"/>
    <w:tmpl w:val="968E4C3E"/>
    <w:lvl w:ilvl="0" w:tplc="52422236">
      <w:start w:val="1"/>
      <w:numFmt w:val="lowerRoman"/>
      <w:lvlText w:val="(%1)"/>
      <w:lvlJc w:val="left"/>
      <w:pPr>
        <w:ind w:left="2498" w:hanging="720"/>
      </w:pPr>
      <w:rPr>
        <w:rFonts w:hint="default"/>
      </w:rPr>
    </w:lvl>
    <w:lvl w:ilvl="1" w:tplc="3892820C">
      <w:start w:val="1"/>
      <w:numFmt w:val="decimal"/>
      <w:lvlText w:val="(%2)"/>
      <w:lvlJc w:val="left"/>
      <w:pPr>
        <w:ind w:left="2873" w:hanging="37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7A9277E1"/>
    <w:multiLevelType w:val="hybridMultilevel"/>
    <w:tmpl w:val="A95242FE"/>
    <w:lvl w:ilvl="0" w:tplc="C452F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14"/>
  </w:num>
  <w:num w:numId="4">
    <w:abstractNumId w:val="18"/>
  </w:num>
  <w:num w:numId="5">
    <w:abstractNumId w:val="1"/>
  </w:num>
  <w:num w:numId="6">
    <w:abstractNumId w:val="13"/>
  </w:num>
  <w:num w:numId="7">
    <w:abstractNumId w:val="22"/>
  </w:num>
  <w:num w:numId="8">
    <w:abstractNumId w:val="2"/>
  </w:num>
  <w:num w:numId="9">
    <w:abstractNumId w:val="21"/>
  </w:num>
  <w:num w:numId="10">
    <w:abstractNumId w:val="27"/>
  </w:num>
  <w:num w:numId="11">
    <w:abstractNumId w:val="18"/>
  </w:num>
  <w:num w:numId="12">
    <w:abstractNumId w:val="18"/>
  </w:num>
  <w:num w:numId="13">
    <w:abstractNumId w:val="18"/>
  </w:num>
  <w:num w:numId="14">
    <w:abstractNumId w:val="41"/>
  </w:num>
  <w:num w:numId="15">
    <w:abstractNumId w:val="39"/>
  </w:num>
  <w:num w:numId="16">
    <w:abstractNumId w:val="31"/>
  </w:num>
  <w:num w:numId="17">
    <w:abstractNumId w:val="29"/>
  </w:num>
  <w:num w:numId="18">
    <w:abstractNumId w:val="17"/>
  </w:num>
  <w:num w:numId="19">
    <w:abstractNumId w:val="18"/>
  </w:num>
  <w:num w:numId="20">
    <w:abstractNumId w:val="38"/>
  </w:num>
  <w:num w:numId="21">
    <w:abstractNumId w:val="19"/>
  </w:num>
  <w:num w:numId="22">
    <w:abstractNumId w:val="28"/>
  </w:num>
  <w:num w:numId="23">
    <w:abstractNumId w:val="18"/>
  </w:num>
  <w:num w:numId="24">
    <w:abstractNumId w:val="26"/>
  </w:num>
  <w:num w:numId="25">
    <w:abstractNumId w:val="6"/>
  </w:num>
  <w:num w:numId="26">
    <w:abstractNumId w:val="20"/>
  </w:num>
  <w:num w:numId="27">
    <w:abstractNumId w:val="34"/>
  </w:num>
  <w:num w:numId="28">
    <w:abstractNumId w:val="40"/>
  </w:num>
  <w:num w:numId="29">
    <w:abstractNumId w:val="5"/>
  </w:num>
  <w:num w:numId="30">
    <w:abstractNumId w:val="24"/>
  </w:num>
  <w:num w:numId="31">
    <w:abstractNumId w:val="33"/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"/>
  </w:num>
  <w:num w:numId="36">
    <w:abstractNumId w:val="18"/>
  </w:num>
  <w:num w:numId="37">
    <w:abstractNumId w:val="18"/>
  </w:num>
  <w:num w:numId="38">
    <w:abstractNumId w:val="36"/>
  </w:num>
  <w:num w:numId="39">
    <w:abstractNumId w:val="10"/>
  </w:num>
  <w:num w:numId="40">
    <w:abstractNumId w:val="25"/>
  </w:num>
  <w:num w:numId="41">
    <w:abstractNumId w:val="3"/>
  </w:num>
  <w:num w:numId="42">
    <w:abstractNumId w:val="15"/>
  </w:num>
  <w:num w:numId="43">
    <w:abstractNumId w:val="7"/>
  </w:num>
  <w:num w:numId="44">
    <w:abstractNumId w:val="12"/>
  </w:num>
  <w:num w:numId="45">
    <w:abstractNumId w:val="0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32"/>
  </w:num>
  <w:num w:numId="52">
    <w:abstractNumId w:val="16"/>
  </w:num>
  <w:num w:numId="53">
    <w:abstractNumId w:val="23"/>
  </w:num>
  <w:num w:numId="54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9E"/>
    <w:rsid w:val="00001560"/>
    <w:rsid w:val="000016F8"/>
    <w:rsid w:val="00006A1C"/>
    <w:rsid w:val="00035040"/>
    <w:rsid w:val="00054077"/>
    <w:rsid w:val="00081372"/>
    <w:rsid w:val="00084ED7"/>
    <w:rsid w:val="00086476"/>
    <w:rsid w:val="00087021"/>
    <w:rsid w:val="000877A7"/>
    <w:rsid w:val="000A1ABA"/>
    <w:rsid w:val="000A37B9"/>
    <w:rsid w:val="000C1F5A"/>
    <w:rsid w:val="000C2D8A"/>
    <w:rsid w:val="00104AE1"/>
    <w:rsid w:val="00105FF5"/>
    <w:rsid w:val="001147BF"/>
    <w:rsid w:val="00121488"/>
    <w:rsid w:val="001475A6"/>
    <w:rsid w:val="001564B8"/>
    <w:rsid w:val="00183800"/>
    <w:rsid w:val="001E4843"/>
    <w:rsid w:val="001F4D09"/>
    <w:rsid w:val="00222664"/>
    <w:rsid w:val="00252B9B"/>
    <w:rsid w:val="00262C0D"/>
    <w:rsid w:val="00263EFE"/>
    <w:rsid w:val="00274571"/>
    <w:rsid w:val="002859D4"/>
    <w:rsid w:val="002A26F1"/>
    <w:rsid w:val="002B5F6A"/>
    <w:rsid w:val="002D5F07"/>
    <w:rsid w:val="002F47B6"/>
    <w:rsid w:val="003001DB"/>
    <w:rsid w:val="003069C0"/>
    <w:rsid w:val="0030704F"/>
    <w:rsid w:val="003110EF"/>
    <w:rsid w:val="00312907"/>
    <w:rsid w:val="0032103E"/>
    <w:rsid w:val="0032603E"/>
    <w:rsid w:val="003265D0"/>
    <w:rsid w:val="003654D6"/>
    <w:rsid w:val="003716CB"/>
    <w:rsid w:val="00380CE6"/>
    <w:rsid w:val="00382282"/>
    <w:rsid w:val="00387270"/>
    <w:rsid w:val="00390580"/>
    <w:rsid w:val="00394EEA"/>
    <w:rsid w:val="003A681E"/>
    <w:rsid w:val="003A7D0D"/>
    <w:rsid w:val="003B0A15"/>
    <w:rsid w:val="003C0066"/>
    <w:rsid w:val="003D4A38"/>
    <w:rsid w:val="003E04BC"/>
    <w:rsid w:val="003F2699"/>
    <w:rsid w:val="00421A32"/>
    <w:rsid w:val="00422043"/>
    <w:rsid w:val="00435C53"/>
    <w:rsid w:val="00443008"/>
    <w:rsid w:val="00444760"/>
    <w:rsid w:val="00444F74"/>
    <w:rsid w:val="004528FD"/>
    <w:rsid w:val="00465BA0"/>
    <w:rsid w:val="004877CD"/>
    <w:rsid w:val="004A7213"/>
    <w:rsid w:val="004B1794"/>
    <w:rsid w:val="004B4721"/>
    <w:rsid w:val="004C1A95"/>
    <w:rsid w:val="004E0E46"/>
    <w:rsid w:val="004E344D"/>
    <w:rsid w:val="004F6456"/>
    <w:rsid w:val="005210C9"/>
    <w:rsid w:val="0052484C"/>
    <w:rsid w:val="00532BA5"/>
    <w:rsid w:val="0053785A"/>
    <w:rsid w:val="00545FAB"/>
    <w:rsid w:val="00546EAC"/>
    <w:rsid w:val="005478DF"/>
    <w:rsid w:val="00554E25"/>
    <w:rsid w:val="0055650C"/>
    <w:rsid w:val="00576C04"/>
    <w:rsid w:val="00592C10"/>
    <w:rsid w:val="005A4E9E"/>
    <w:rsid w:val="005C0579"/>
    <w:rsid w:val="005C0A2F"/>
    <w:rsid w:val="005D5A9B"/>
    <w:rsid w:val="005F69BD"/>
    <w:rsid w:val="005F7414"/>
    <w:rsid w:val="0060110B"/>
    <w:rsid w:val="006122A7"/>
    <w:rsid w:val="0062779F"/>
    <w:rsid w:val="0063148F"/>
    <w:rsid w:val="00636E71"/>
    <w:rsid w:val="00642BDD"/>
    <w:rsid w:val="00646BE8"/>
    <w:rsid w:val="00660325"/>
    <w:rsid w:val="00661E00"/>
    <w:rsid w:val="00664C9C"/>
    <w:rsid w:val="006858D5"/>
    <w:rsid w:val="006955A9"/>
    <w:rsid w:val="006A0BD1"/>
    <w:rsid w:val="006A36A2"/>
    <w:rsid w:val="006A6030"/>
    <w:rsid w:val="006C684F"/>
    <w:rsid w:val="006D0347"/>
    <w:rsid w:val="006E4C77"/>
    <w:rsid w:val="006F4762"/>
    <w:rsid w:val="006F7306"/>
    <w:rsid w:val="00704849"/>
    <w:rsid w:val="00712CDB"/>
    <w:rsid w:val="0072194F"/>
    <w:rsid w:val="00733222"/>
    <w:rsid w:val="00736F2A"/>
    <w:rsid w:val="0074445E"/>
    <w:rsid w:val="007555EB"/>
    <w:rsid w:val="007629F3"/>
    <w:rsid w:val="00770B24"/>
    <w:rsid w:val="00770FC6"/>
    <w:rsid w:val="00781E6E"/>
    <w:rsid w:val="007864D9"/>
    <w:rsid w:val="007A2718"/>
    <w:rsid w:val="007B01CB"/>
    <w:rsid w:val="007D3C0F"/>
    <w:rsid w:val="007D507B"/>
    <w:rsid w:val="007E734D"/>
    <w:rsid w:val="008041FB"/>
    <w:rsid w:val="008057FE"/>
    <w:rsid w:val="00806433"/>
    <w:rsid w:val="00823AD9"/>
    <w:rsid w:val="008260AC"/>
    <w:rsid w:val="00840F28"/>
    <w:rsid w:val="00846EB0"/>
    <w:rsid w:val="008740A6"/>
    <w:rsid w:val="008777A3"/>
    <w:rsid w:val="00891B82"/>
    <w:rsid w:val="008A6A72"/>
    <w:rsid w:val="008A729D"/>
    <w:rsid w:val="008B566F"/>
    <w:rsid w:val="008C26C6"/>
    <w:rsid w:val="008D16AE"/>
    <w:rsid w:val="008F4381"/>
    <w:rsid w:val="008F7B55"/>
    <w:rsid w:val="00907CD8"/>
    <w:rsid w:val="009131BB"/>
    <w:rsid w:val="00915F0C"/>
    <w:rsid w:val="009300D5"/>
    <w:rsid w:val="00930127"/>
    <w:rsid w:val="009320E2"/>
    <w:rsid w:val="00932FFA"/>
    <w:rsid w:val="00936D73"/>
    <w:rsid w:val="00942B88"/>
    <w:rsid w:val="00944F12"/>
    <w:rsid w:val="00960F92"/>
    <w:rsid w:val="00971086"/>
    <w:rsid w:val="00972AEC"/>
    <w:rsid w:val="009809DB"/>
    <w:rsid w:val="00993F71"/>
    <w:rsid w:val="0099724B"/>
    <w:rsid w:val="009A5B2C"/>
    <w:rsid w:val="009B5E35"/>
    <w:rsid w:val="009C49D9"/>
    <w:rsid w:val="009D6FFD"/>
    <w:rsid w:val="00A0780B"/>
    <w:rsid w:val="00A1266F"/>
    <w:rsid w:val="00A13956"/>
    <w:rsid w:val="00A30351"/>
    <w:rsid w:val="00A34CD8"/>
    <w:rsid w:val="00A37859"/>
    <w:rsid w:val="00A379BC"/>
    <w:rsid w:val="00A67EE1"/>
    <w:rsid w:val="00A74077"/>
    <w:rsid w:val="00AA0DC2"/>
    <w:rsid w:val="00AA4BDB"/>
    <w:rsid w:val="00AC0259"/>
    <w:rsid w:val="00AC2277"/>
    <w:rsid w:val="00AC3D62"/>
    <w:rsid w:val="00AC4CCE"/>
    <w:rsid w:val="00B00D8D"/>
    <w:rsid w:val="00B0145E"/>
    <w:rsid w:val="00B0529E"/>
    <w:rsid w:val="00B05FC6"/>
    <w:rsid w:val="00B16CA0"/>
    <w:rsid w:val="00B26CF2"/>
    <w:rsid w:val="00B33EE1"/>
    <w:rsid w:val="00B35112"/>
    <w:rsid w:val="00B4252A"/>
    <w:rsid w:val="00B44F7B"/>
    <w:rsid w:val="00B57F75"/>
    <w:rsid w:val="00B61E33"/>
    <w:rsid w:val="00B6481E"/>
    <w:rsid w:val="00B8405C"/>
    <w:rsid w:val="00B91337"/>
    <w:rsid w:val="00B94A97"/>
    <w:rsid w:val="00BA07F8"/>
    <w:rsid w:val="00BA2E9D"/>
    <w:rsid w:val="00BA5ED2"/>
    <w:rsid w:val="00BB113C"/>
    <w:rsid w:val="00BB3078"/>
    <w:rsid w:val="00BB5945"/>
    <w:rsid w:val="00BB5A87"/>
    <w:rsid w:val="00BC6BAA"/>
    <w:rsid w:val="00BC6BEF"/>
    <w:rsid w:val="00BC788C"/>
    <w:rsid w:val="00BD0E5D"/>
    <w:rsid w:val="00BD24D0"/>
    <w:rsid w:val="00BD310C"/>
    <w:rsid w:val="00C00BFB"/>
    <w:rsid w:val="00C139F5"/>
    <w:rsid w:val="00C44BCD"/>
    <w:rsid w:val="00C53A35"/>
    <w:rsid w:val="00C64F24"/>
    <w:rsid w:val="00C66E0B"/>
    <w:rsid w:val="00C772D9"/>
    <w:rsid w:val="00C9405B"/>
    <w:rsid w:val="00C94466"/>
    <w:rsid w:val="00C94E06"/>
    <w:rsid w:val="00CA71BD"/>
    <w:rsid w:val="00CB0044"/>
    <w:rsid w:val="00CB71C4"/>
    <w:rsid w:val="00CD408E"/>
    <w:rsid w:val="00CD73E7"/>
    <w:rsid w:val="00CE1405"/>
    <w:rsid w:val="00CE5C3E"/>
    <w:rsid w:val="00D03549"/>
    <w:rsid w:val="00D07A3C"/>
    <w:rsid w:val="00D3143C"/>
    <w:rsid w:val="00D36BDE"/>
    <w:rsid w:val="00D414C0"/>
    <w:rsid w:val="00D41F29"/>
    <w:rsid w:val="00D5122E"/>
    <w:rsid w:val="00D80987"/>
    <w:rsid w:val="00D848ED"/>
    <w:rsid w:val="00D904E0"/>
    <w:rsid w:val="00D936E0"/>
    <w:rsid w:val="00DB0234"/>
    <w:rsid w:val="00DB3294"/>
    <w:rsid w:val="00DB71D2"/>
    <w:rsid w:val="00DC7A97"/>
    <w:rsid w:val="00DE59AE"/>
    <w:rsid w:val="00DE6D89"/>
    <w:rsid w:val="00DF4635"/>
    <w:rsid w:val="00DF4833"/>
    <w:rsid w:val="00DF6C58"/>
    <w:rsid w:val="00E02005"/>
    <w:rsid w:val="00E1160D"/>
    <w:rsid w:val="00E1766D"/>
    <w:rsid w:val="00E342C4"/>
    <w:rsid w:val="00E479D9"/>
    <w:rsid w:val="00E57000"/>
    <w:rsid w:val="00E61306"/>
    <w:rsid w:val="00E7001D"/>
    <w:rsid w:val="00E770AB"/>
    <w:rsid w:val="00E8559E"/>
    <w:rsid w:val="00E87C7D"/>
    <w:rsid w:val="00EA69D5"/>
    <w:rsid w:val="00F01994"/>
    <w:rsid w:val="00F21E7E"/>
    <w:rsid w:val="00F33A52"/>
    <w:rsid w:val="00F361A8"/>
    <w:rsid w:val="00F73744"/>
    <w:rsid w:val="00F748DD"/>
    <w:rsid w:val="00F814D6"/>
    <w:rsid w:val="00F917A1"/>
    <w:rsid w:val="00F944A3"/>
    <w:rsid w:val="00FB78D4"/>
    <w:rsid w:val="00FC00FA"/>
    <w:rsid w:val="00FD489D"/>
    <w:rsid w:val="00FE0907"/>
    <w:rsid w:val="00FE0CD6"/>
    <w:rsid w:val="00FF197C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1" w:unhideWhenUsed="0" w:qFormat="1"/>
    <w:lsdException w:name="heading 4" w:uiPriority="4" w:qFormat="1"/>
    <w:lsdException w:name="heading 5" w:uiPriority="4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559E"/>
    <w:pPr>
      <w:spacing w:after="240" w:line="240" w:lineRule="auto"/>
    </w:pPr>
    <w:rPr>
      <w:rFonts w:ascii="Calibri" w:eastAsia="Times New Roman" w:hAnsi="Calibri" w:cs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0987"/>
    <w:pPr>
      <w:keepNext/>
      <w:keepLines/>
      <w:spacing w:before="300"/>
      <w:outlineLvl w:val="0"/>
    </w:pPr>
    <w:rPr>
      <w:rFonts w:eastAsiaTheme="majorEastAsia" w:cstheme="majorBidi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529E"/>
    <w:pPr>
      <w:keepNext/>
      <w:keepLines/>
      <w:spacing w:before="240" w:after="18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C772D9"/>
    <w:pPr>
      <w:keepNext/>
      <w:keepLines/>
      <w:spacing w:before="240" w:after="120"/>
      <w:outlineLvl w:val="2"/>
    </w:pPr>
    <w:rPr>
      <w:rFonts w:eastAsiaTheme="majorEastAsia" w:cstheme="maj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529E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qFormat/>
    <w:rsid w:val="00AC4CCE"/>
    <w:pPr>
      <w:keepNext/>
      <w:keepLines/>
      <w:spacing w:before="120" w:after="120"/>
      <w:outlineLvl w:val="4"/>
    </w:pPr>
    <w:rPr>
      <w:rFonts w:eastAsiaTheme="majorEastAsia" w:cstheme="majorBidi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0987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0529E"/>
    <w:rPr>
      <w:rFonts w:ascii="Calibri" w:eastAsiaTheme="majorEastAsia" w:hAnsi="Calibri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2"/>
    <w:qFormat/>
    <w:rsid w:val="00DE6D89"/>
    <w:pPr>
      <w:spacing w:before="360"/>
      <w:contextualSpacing/>
      <w:jc w:val="right"/>
    </w:pPr>
    <w:rPr>
      <w:rFonts w:eastAsiaTheme="majorEastAsia" w:cstheme="majorBidi"/>
      <w:b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sid w:val="00DE6D89"/>
    <w:rPr>
      <w:rFonts w:ascii="Calibri" w:eastAsiaTheme="majorEastAsia" w:hAnsi="Calibri" w:cstheme="majorBidi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"/>
    <w:qFormat/>
    <w:rsid w:val="00DE6D89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  <w:spacing w:val="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DE6D89"/>
    <w:rPr>
      <w:rFonts w:ascii="Calibri" w:eastAsiaTheme="majorEastAsia" w:hAnsi="Calibri" w:cstheme="majorBidi"/>
      <w:b/>
      <w:iCs/>
      <w:spacing w:val="5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4843"/>
    <w:pPr>
      <w:spacing w:before="120"/>
      <w:ind w:left="709" w:right="521"/>
    </w:pPr>
    <w:rPr>
      <w:rFonts w:eastAsiaTheme="minorHAnsi" w:cstheme="minorBidi"/>
      <w:iCs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E4843"/>
    <w:rPr>
      <w:rFonts w:ascii="Calibri" w:hAnsi="Calibri"/>
      <w:iCs/>
      <w:sz w:val="24"/>
    </w:rPr>
  </w:style>
  <w:style w:type="paragraph" w:styleId="ListParagraph">
    <w:name w:val="List Paragraph"/>
    <w:basedOn w:val="Normal"/>
    <w:uiPriority w:val="34"/>
    <w:qFormat/>
    <w:rsid w:val="006A0BD1"/>
    <w:pPr>
      <w:numPr>
        <w:numId w:val="4"/>
      </w:numPr>
      <w:tabs>
        <w:tab w:val="left" w:pos="567"/>
      </w:tabs>
      <w:spacing w:before="120" w:after="120"/>
      <w:contextualSpacing/>
    </w:pPr>
    <w:rPr>
      <w:rFonts w:eastAsia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772D9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D80987"/>
    <w:rPr>
      <w:rFonts w:ascii="Calibri" w:eastAsiaTheme="majorEastAsia" w:hAnsi="Calibri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D80987"/>
    <w:rPr>
      <w:rFonts w:ascii="Calibri" w:eastAsiaTheme="majorEastAsia" w:hAnsi="Calibri" w:cstheme="majorBidi"/>
      <w:b/>
    </w:rPr>
  </w:style>
  <w:style w:type="paragraph" w:customStyle="1" w:styleId="Bullets">
    <w:name w:val="Bullets"/>
    <w:basedOn w:val="ListParagraph"/>
    <w:qFormat/>
    <w:rsid w:val="00DE6D89"/>
    <w:pPr>
      <w:numPr>
        <w:numId w:val="2"/>
      </w:numPr>
      <w:spacing w:after="0"/>
      <w:ind w:hanging="578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14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F91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OAICtable">
    <w:name w:val="OAIC table"/>
    <w:basedOn w:val="TableNormal"/>
    <w:uiPriority w:val="99"/>
    <w:rsid w:val="00576C04"/>
    <w:pPr>
      <w:spacing w:before="120" w:after="12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/>
        <w:contextualSpacing w:val="0"/>
        <w:jc w:val="left"/>
      </w:pPr>
      <w:rPr>
        <w:rFonts w:ascii="Calibri" w:hAnsi="Calibr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uiPriority w:val="2"/>
    <w:qFormat/>
    <w:rsid w:val="00263EFE"/>
    <w:pPr>
      <w:spacing w:before="60" w:after="120"/>
    </w:pPr>
    <w:rPr>
      <w:rFonts w:eastAsiaTheme="minorHAnsi" w:cstheme="minorBidi"/>
      <w:lang w:eastAsia="en-US"/>
    </w:rPr>
  </w:style>
  <w:style w:type="paragraph" w:customStyle="1" w:styleId="NumberedNormal">
    <w:name w:val="Numbered Normal"/>
    <w:basedOn w:val="ListParagraph"/>
    <w:qFormat/>
    <w:rsid w:val="006A0BD1"/>
    <w:pPr>
      <w:spacing w:after="240"/>
      <w:contextualSpacing w:val="0"/>
    </w:pPr>
  </w:style>
  <w:style w:type="paragraph" w:customStyle="1" w:styleId="hr">
    <w:name w:val="hr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r1">
    <w:name w:val="zr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p1">
    <w:name w:val="zp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hp">
    <w:name w:val="hp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harpartno">
    <w:name w:val="charpartno"/>
    <w:basedOn w:val="DefaultParagraphFont"/>
    <w:rsid w:val="007E734D"/>
  </w:style>
  <w:style w:type="character" w:customStyle="1" w:styleId="charparttext">
    <w:name w:val="charparttext"/>
    <w:basedOn w:val="DefaultParagraphFont"/>
    <w:rsid w:val="007E734D"/>
  </w:style>
  <w:style w:type="character" w:customStyle="1" w:styleId="charsectno">
    <w:name w:val="charsectno"/>
    <w:basedOn w:val="DefaultParagraphFont"/>
    <w:rsid w:val="007E734D"/>
  </w:style>
  <w:style w:type="paragraph" w:customStyle="1" w:styleId="r1">
    <w:name w:val="r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inition">
    <w:name w:val="definition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definition">
    <w:name w:val="zdefinition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note">
    <w:name w:val="znote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tepara">
    <w:name w:val="notepara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CDB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DB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660325"/>
    <w:pPr>
      <w:spacing w:after="0" w:line="240" w:lineRule="auto"/>
    </w:pPr>
    <w:rPr>
      <w:rFonts w:ascii="Calibri" w:eastAsia="Times New Roman" w:hAnsi="Calibri" w:cs="Times New Roman"/>
      <w:sz w:val="24"/>
      <w:lang w:eastAsia="en-AU"/>
    </w:rPr>
  </w:style>
  <w:style w:type="paragraph" w:customStyle="1" w:styleId="dnote">
    <w:name w:val="dnote"/>
    <w:basedOn w:val="Normal"/>
    <w:rsid w:val="003265D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hortt">
    <w:name w:val="shortt"/>
    <w:basedOn w:val="Normal"/>
    <w:rsid w:val="00F814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coverpagestart">
    <w:name w:val="signcoverpagestart"/>
    <w:basedOn w:val="Normal"/>
    <w:rsid w:val="00F814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coverpageend">
    <w:name w:val="signcoverpageend"/>
    <w:basedOn w:val="Normal"/>
    <w:rsid w:val="00F814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3956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139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3956"/>
    <w:pPr>
      <w:spacing w:after="100"/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395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139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E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E46"/>
    <w:rPr>
      <w:rFonts w:ascii="Calibri" w:eastAsia="Times New Roman" w:hAnsi="Calibri" w:cs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E0E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0E46"/>
    <w:rPr>
      <w:rFonts w:ascii="Calibri" w:eastAsia="Times New Roman" w:hAnsi="Calibri" w:cs="Times New Roman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semiHidden="0" w:uiPriority="1" w:unhideWhenUsed="0" w:qFormat="1"/>
    <w:lsdException w:name="heading 4" w:uiPriority="4" w:qFormat="1"/>
    <w:lsdException w:name="heading 5" w:uiPriority="4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559E"/>
    <w:pPr>
      <w:spacing w:after="240" w:line="240" w:lineRule="auto"/>
    </w:pPr>
    <w:rPr>
      <w:rFonts w:ascii="Calibri" w:eastAsia="Times New Roman" w:hAnsi="Calibri" w:cs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0987"/>
    <w:pPr>
      <w:keepNext/>
      <w:keepLines/>
      <w:spacing w:before="300"/>
      <w:outlineLvl w:val="0"/>
    </w:pPr>
    <w:rPr>
      <w:rFonts w:eastAsiaTheme="majorEastAsia" w:cstheme="majorBidi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529E"/>
    <w:pPr>
      <w:keepNext/>
      <w:keepLines/>
      <w:spacing w:before="240" w:after="18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C772D9"/>
    <w:pPr>
      <w:keepNext/>
      <w:keepLines/>
      <w:spacing w:before="240" w:after="120"/>
      <w:outlineLvl w:val="2"/>
    </w:pPr>
    <w:rPr>
      <w:rFonts w:eastAsiaTheme="majorEastAsia" w:cstheme="maj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529E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qFormat/>
    <w:rsid w:val="00AC4CCE"/>
    <w:pPr>
      <w:keepNext/>
      <w:keepLines/>
      <w:spacing w:before="120" w:after="120"/>
      <w:outlineLvl w:val="4"/>
    </w:pPr>
    <w:rPr>
      <w:rFonts w:eastAsiaTheme="majorEastAsia" w:cstheme="majorBidi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0987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0529E"/>
    <w:rPr>
      <w:rFonts w:ascii="Calibri" w:eastAsiaTheme="majorEastAsia" w:hAnsi="Calibri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2"/>
    <w:qFormat/>
    <w:rsid w:val="00DE6D89"/>
    <w:pPr>
      <w:spacing w:before="360"/>
      <w:contextualSpacing/>
      <w:jc w:val="right"/>
    </w:pPr>
    <w:rPr>
      <w:rFonts w:eastAsiaTheme="majorEastAsia" w:cstheme="majorBidi"/>
      <w:b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sid w:val="00DE6D89"/>
    <w:rPr>
      <w:rFonts w:ascii="Calibri" w:eastAsiaTheme="majorEastAsia" w:hAnsi="Calibri" w:cstheme="majorBidi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"/>
    <w:qFormat/>
    <w:rsid w:val="00DE6D89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  <w:spacing w:val="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DE6D89"/>
    <w:rPr>
      <w:rFonts w:ascii="Calibri" w:eastAsiaTheme="majorEastAsia" w:hAnsi="Calibri" w:cstheme="majorBidi"/>
      <w:b/>
      <w:iCs/>
      <w:spacing w:val="5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4843"/>
    <w:pPr>
      <w:spacing w:before="120"/>
      <w:ind w:left="709" w:right="521"/>
    </w:pPr>
    <w:rPr>
      <w:rFonts w:eastAsiaTheme="minorHAnsi" w:cstheme="minorBidi"/>
      <w:iCs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E4843"/>
    <w:rPr>
      <w:rFonts w:ascii="Calibri" w:hAnsi="Calibri"/>
      <w:iCs/>
      <w:sz w:val="24"/>
    </w:rPr>
  </w:style>
  <w:style w:type="paragraph" w:styleId="ListParagraph">
    <w:name w:val="List Paragraph"/>
    <w:basedOn w:val="Normal"/>
    <w:uiPriority w:val="34"/>
    <w:qFormat/>
    <w:rsid w:val="006A0BD1"/>
    <w:pPr>
      <w:numPr>
        <w:numId w:val="4"/>
      </w:numPr>
      <w:tabs>
        <w:tab w:val="left" w:pos="567"/>
      </w:tabs>
      <w:spacing w:before="120" w:after="120"/>
      <w:contextualSpacing/>
    </w:pPr>
    <w:rPr>
      <w:rFonts w:eastAsia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772D9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D80987"/>
    <w:rPr>
      <w:rFonts w:ascii="Calibri" w:eastAsiaTheme="majorEastAsia" w:hAnsi="Calibri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D80987"/>
    <w:rPr>
      <w:rFonts w:ascii="Calibri" w:eastAsiaTheme="majorEastAsia" w:hAnsi="Calibri" w:cstheme="majorBidi"/>
      <w:b/>
    </w:rPr>
  </w:style>
  <w:style w:type="paragraph" w:customStyle="1" w:styleId="Bullets">
    <w:name w:val="Bullets"/>
    <w:basedOn w:val="ListParagraph"/>
    <w:qFormat/>
    <w:rsid w:val="00DE6D89"/>
    <w:pPr>
      <w:numPr>
        <w:numId w:val="2"/>
      </w:numPr>
      <w:spacing w:after="0"/>
      <w:ind w:hanging="578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14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F91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OAICtable">
    <w:name w:val="OAIC table"/>
    <w:basedOn w:val="TableNormal"/>
    <w:uiPriority w:val="99"/>
    <w:rsid w:val="00576C04"/>
    <w:pPr>
      <w:spacing w:before="120" w:after="12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/>
        <w:contextualSpacing w:val="0"/>
        <w:jc w:val="left"/>
      </w:pPr>
      <w:rPr>
        <w:rFonts w:ascii="Calibri" w:hAnsi="Calibr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uiPriority w:val="2"/>
    <w:qFormat/>
    <w:rsid w:val="00263EFE"/>
    <w:pPr>
      <w:spacing w:before="60" w:after="120"/>
    </w:pPr>
    <w:rPr>
      <w:rFonts w:eastAsiaTheme="minorHAnsi" w:cstheme="minorBidi"/>
      <w:lang w:eastAsia="en-US"/>
    </w:rPr>
  </w:style>
  <w:style w:type="paragraph" w:customStyle="1" w:styleId="NumberedNormal">
    <w:name w:val="Numbered Normal"/>
    <w:basedOn w:val="ListParagraph"/>
    <w:qFormat/>
    <w:rsid w:val="006A0BD1"/>
    <w:pPr>
      <w:spacing w:after="240"/>
      <w:contextualSpacing w:val="0"/>
    </w:pPr>
  </w:style>
  <w:style w:type="paragraph" w:customStyle="1" w:styleId="hr">
    <w:name w:val="hr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r1">
    <w:name w:val="zr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p1">
    <w:name w:val="zp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hp">
    <w:name w:val="hp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harpartno">
    <w:name w:val="charpartno"/>
    <w:basedOn w:val="DefaultParagraphFont"/>
    <w:rsid w:val="007E734D"/>
  </w:style>
  <w:style w:type="character" w:customStyle="1" w:styleId="charparttext">
    <w:name w:val="charparttext"/>
    <w:basedOn w:val="DefaultParagraphFont"/>
    <w:rsid w:val="007E734D"/>
  </w:style>
  <w:style w:type="character" w:customStyle="1" w:styleId="charsectno">
    <w:name w:val="charsectno"/>
    <w:basedOn w:val="DefaultParagraphFont"/>
    <w:rsid w:val="007E734D"/>
  </w:style>
  <w:style w:type="paragraph" w:customStyle="1" w:styleId="r1">
    <w:name w:val="r1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inition">
    <w:name w:val="definition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definition">
    <w:name w:val="zdefinition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note">
    <w:name w:val="znote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tepara">
    <w:name w:val="notepara"/>
    <w:basedOn w:val="Normal"/>
    <w:rsid w:val="007E7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CDB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DB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660325"/>
    <w:pPr>
      <w:spacing w:after="0" w:line="240" w:lineRule="auto"/>
    </w:pPr>
    <w:rPr>
      <w:rFonts w:ascii="Calibri" w:eastAsia="Times New Roman" w:hAnsi="Calibri" w:cs="Times New Roman"/>
      <w:sz w:val="24"/>
      <w:lang w:eastAsia="en-AU"/>
    </w:rPr>
  </w:style>
  <w:style w:type="paragraph" w:customStyle="1" w:styleId="dnote">
    <w:name w:val="dnote"/>
    <w:basedOn w:val="Normal"/>
    <w:rsid w:val="003265D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hortt">
    <w:name w:val="shortt"/>
    <w:basedOn w:val="Normal"/>
    <w:rsid w:val="00F814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coverpagestart">
    <w:name w:val="signcoverpagestart"/>
    <w:basedOn w:val="Normal"/>
    <w:rsid w:val="00F814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coverpageend">
    <w:name w:val="signcoverpageend"/>
    <w:basedOn w:val="Normal"/>
    <w:rsid w:val="00F814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3956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139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3956"/>
    <w:pPr>
      <w:spacing w:after="100"/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395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139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E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E46"/>
    <w:rPr>
      <w:rFonts w:ascii="Calibri" w:eastAsia="Times New Roman" w:hAnsi="Calibri" w:cs="Times New Roman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E0E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0E46"/>
    <w:rPr>
      <w:rFonts w:ascii="Calibri" w:eastAsia="Times New Roman" w:hAnsi="Calibri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476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76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2912">
                                                      <w:marLeft w:val="0"/>
                                                      <w:marRight w:val="39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61309">
                                                      <w:marLeft w:val="0"/>
                                                      <w:marRight w:val="39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12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515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auto"/>
                                                        <w:left w:val="single" w:sz="8" w:space="4" w:color="auto"/>
                                                        <w:bottom w:val="single" w:sz="8" w:space="1" w:color="auto"/>
                                                        <w:right w:val="single" w:sz="8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A6A8-4B5F-43F8-9D82-78C2EDBF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1037</Words>
  <Characters>5023</Characters>
  <Application>Microsoft Office Word</Application>
  <DocSecurity>0</DocSecurity>
  <Lines>130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Australian Information Commissioner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Croxall</dc:creator>
  <cp:lastModifiedBy>Sarah Croxall</cp:lastModifiedBy>
  <cp:revision>2</cp:revision>
  <cp:lastPrinted>2014-03-02T22:37:00Z</cp:lastPrinted>
  <dcterms:created xsi:type="dcterms:W3CDTF">2014-03-03T00:15:00Z</dcterms:created>
  <dcterms:modified xsi:type="dcterms:W3CDTF">2014-03-03T00:15:00Z</dcterms:modified>
</cp:coreProperties>
</file>