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F5" w:rsidRPr="008869AB" w:rsidRDefault="009E00F5" w:rsidP="00793F16">
      <w:pPr>
        <w:spacing w:after="0"/>
        <w:jc w:val="center"/>
      </w:pPr>
    </w:p>
    <w:p w:rsidR="009E00F5" w:rsidRPr="008869AB" w:rsidRDefault="00793F16"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4A501A33" wp14:editId="7E09E63F">
            <wp:simplePos x="0" y="0"/>
            <wp:positionH relativeFrom="column">
              <wp:posOffset>-337185</wp:posOffset>
            </wp:positionH>
            <wp:positionV relativeFrom="paragraph">
              <wp:posOffset>27940</wp:posOffset>
            </wp:positionV>
            <wp:extent cx="4347210" cy="628015"/>
            <wp:effectExtent l="0" t="0" r="0" b="635"/>
            <wp:wrapNone/>
            <wp:docPr id="4" name="Picture 4" descr="Office of the Australian Information Commissioner logo" title="OA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AC strip navy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CEB" w:rsidRDefault="00810CEB" w:rsidP="00810CEB">
      <w:pPr>
        <w:pStyle w:val="Title"/>
      </w:pPr>
    </w:p>
    <w:p w:rsidR="00810CEB" w:rsidRDefault="00810CEB" w:rsidP="00810CEB">
      <w:pPr>
        <w:pStyle w:val="Title"/>
      </w:pPr>
    </w:p>
    <w:p w:rsidR="00810CEB" w:rsidRDefault="00810CEB" w:rsidP="00810CEB">
      <w:pPr>
        <w:pStyle w:val="Title"/>
      </w:pPr>
    </w:p>
    <w:p w:rsidR="00810CEB" w:rsidRDefault="00810CEB" w:rsidP="00810CEB">
      <w:pPr>
        <w:pStyle w:val="Title"/>
      </w:pPr>
    </w:p>
    <w:p w:rsidR="009E00F5" w:rsidRPr="004A462A" w:rsidRDefault="00810CEB" w:rsidP="00810CEB">
      <w:pPr>
        <w:pStyle w:val="Title"/>
      </w:pPr>
      <w:r>
        <w:t>Explanatory Statement</w:t>
      </w:r>
    </w:p>
    <w:p w:rsidR="009E00F5" w:rsidRPr="0050547C" w:rsidRDefault="00810CEB" w:rsidP="00810CEB">
      <w:pPr>
        <w:pStyle w:val="Subtitle"/>
      </w:pPr>
      <w:r>
        <w:t xml:space="preserve">Approval of guidelines issued under section 95AA of </w:t>
      </w:r>
      <w:bookmarkStart w:id="0" w:name="_GoBack"/>
      <w:bookmarkEnd w:id="0"/>
      <w:r>
        <w:t xml:space="preserve">the </w:t>
      </w:r>
      <w:r w:rsidRPr="00810CEB">
        <w:rPr>
          <w:i/>
        </w:rPr>
        <w:t>Privacy Act 1988</w:t>
      </w:r>
    </w:p>
    <w:p w:rsidR="00810CEB" w:rsidRDefault="00810CEB" w:rsidP="00810CEB">
      <w:pPr>
        <w:pStyle w:val="Subtitle"/>
      </w:pPr>
    </w:p>
    <w:p w:rsidR="0024718E" w:rsidRPr="00810CEB" w:rsidRDefault="00087511" w:rsidP="00810CEB">
      <w:pPr>
        <w:pStyle w:val="Subtitle"/>
      </w:pPr>
      <w:r w:rsidRPr="00810CEB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344F2622" wp14:editId="5B76B88C">
            <wp:simplePos x="0" y="0"/>
            <wp:positionH relativeFrom="column">
              <wp:posOffset>-981075</wp:posOffset>
            </wp:positionH>
            <wp:positionV relativeFrom="paragraph">
              <wp:posOffset>631825</wp:posOffset>
            </wp:positionV>
            <wp:extent cx="7677150" cy="3599180"/>
            <wp:effectExtent l="0" t="0" r="0" b="1270"/>
            <wp:wrapNone/>
            <wp:docPr id="5" name="Picture 5" descr="Decorative coloured ribbon image" title="OAIC ribb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IC-ribbon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r="29277"/>
                    <a:stretch/>
                  </pic:blipFill>
                  <pic:spPr bwMode="auto">
                    <a:xfrm>
                      <a:off x="0" y="0"/>
                      <a:ext cx="7677150" cy="359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CEB" w:rsidRPr="00810CEB">
        <w:t>March 2014</w:t>
      </w:r>
    </w:p>
    <w:p w:rsidR="00426C2B" w:rsidRDefault="00426C2B">
      <w:pPr>
        <w:sectPr w:rsidR="00426C2B" w:rsidSect="0024718E">
          <w:pgSz w:w="11906" w:h="16838"/>
          <w:pgMar w:top="1440" w:right="1700" w:bottom="1440" w:left="1440" w:header="708" w:footer="708" w:gutter="0"/>
          <w:cols w:space="708"/>
          <w:docGrid w:linePitch="360"/>
        </w:sectPr>
      </w:pPr>
    </w:p>
    <w:p w:rsidR="00B66449" w:rsidRDefault="00810CEB" w:rsidP="00810CEB">
      <w:pPr>
        <w:pStyle w:val="Heading1"/>
      </w:pPr>
      <w:r>
        <w:lastRenderedPageBreak/>
        <w:t>Explanatory Statement</w:t>
      </w:r>
    </w:p>
    <w:p w:rsidR="00810CEB" w:rsidRPr="00254610" w:rsidRDefault="00810CEB" w:rsidP="00810CEB">
      <w:pPr>
        <w:pStyle w:val="Heading1"/>
        <w:rPr>
          <w:rFonts w:eastAsiaTheme="majorEastAsia" w:cstheme="majorBidi"/>
          <w:sz w:val="28"/>
          <w:szCs w:val="20"/>
        </w:rPr>
      </w:pPr>
      <w:r w:rsidRPr="00254610">
        <w:rPr>
          <w:rFonts w:eastAsiaTheme="majorEastAsia" w:cstheme="majorBidi"/>
          <w:sz w:val="28"/>
          <w:szCs w:val="20"/>
        </w:rPr>
        <w:t>Approval of guidelines issued under section 95AA of the Privacy Act 1988</w:t>
      </w:r>
    </w:p>
    <w:p w:rsidR="00163301" w:rsidRDefault="00BE0FD5" w:rsidP="00163301">
      <w:r>
        <w:t>This explanatory statement</w:t>
      </w:r>
      <w:r w:rsidR="00AB00C7">
        <w:t xml:space="preserve"> has been prepared by the </w:t>
      </w:r>
      <w:r w:rsidR="00163301">
        <w:t xml:space="preserve">Australian </w:t>
      </w:r>
      <w:r w:rsidR="00AB00C7">
        <w:t>Privacy Commissioner</w:t>
      </w:r>
      <w:r w:rsidR="00163301">
        <w:t>.</w:t>
      </w:r>
      <w:r w:rsidR="00AB00C7">
        <w:t xml:space="preserve"> </w:t>
      </w:r>
      <w:r w:rsidR="00163301">
        <w:t xml:space="preserve">It fulfils the Commissioner’s obligations under </w:t>
      </w:r>
      <w:r w:rsidR="00A65D54">
        <w:t>sub</w:t>
      </w:r>
      <w:r w:rsidR="00163301">
        <w:t xml:space="preserve">section 26(1A) of the </w:t>
      </w:r>
      <w:r w:rsidR="00163301">
        <w:rPr>
          <w:i/>
        </w:rPr>
        <w:t>Legislative Instruments Act 2003</w:t>
      </w:r>
      <w:r w:rsidR="00163301">
        <w:t xml:space="preserve"> (Cth) (Legislative Instruments Act).</w:t>
      </w:r>
    </w:p>
    <w:p w:rsidR="00BE0FD5" w:rsidRDefault="00163301" w:rsidP="00810CEB">
      <w:r>
        <w:t xml:space="preserve">This explanatory statement </w:t>
      </w:r>
      <w:r w:rsidR="00BE0FD5">
        <w:t xml:space="preserve">explains the scope and intended operation of the </w:t>
      </w:r>
      <w:r w:rsidR="00AB00C7">
        <w:t>A</w:t>
      </w:r>
      <w:r w:rsidR="00BE0FD5">
        <w:t xml:space="preserve">pproval of guidelines </w:t>
      </w:r>
      <w:r w:rsidR="00AB00C7">
        <w:t xml:space="preserve">issued under section 95AA of the </w:t>
      </w:r>
      <w:r w:rsidR="00AB00C7" w:rsidRPr="003A375D">
        <w:rPr>
          <w:i/>
        </w:rPr>
        <w:t>Privacy Act 1988</w:t>
      </w:r>
      <w:r w:rsidR="00AB00C7">
        <w:t xml:space="preserve"> </w:t>
      </w:r>
      <w:r w:rsidR="00101AA0">
        <w:t xml:space="preserve">(the approval) </w:t>
      </w:r>
      <w:r w:rsidR="00BE0FD5">
        <w:t xml:space="preserve">about the use and disclosure of an individual’s genetic information to a genetic relative without the individual’s consent. </w:t>
      </w:r>
    </w:p>
    <w:p w:rsidR="00BE0FD5" w:rsidRDefault="00BE0FD5" w:rsidP="00BE0FD5">
      <w:pPr>
        <w:pStyle w:val="Heading3"/>
      </w:pPr>
      <w:r>
        <w:t>Purpose</w:t>
      </w:r>
    </w:p>
    <w:p w:rsidR="00BE0FD5" w:rsidRDefault="00163301" w:rsidP="00BE0FD5">
      <w:r>
        <w:t>The Australian Information Commissioner is empowered by s</w:t>
      </w:r>
      <w:r w:rsidR="00BE0FD5">
        <w:t xml:space="preserve">ection 95AA of the </w:t>
      </w:r>
      <w:r w:rsidR="00BE0FD5">
        <w:rPr>
          <w:i/>
        </w:rPr>
        <w:t xml:space="preserve">Privacy Act 1988 </w:t>
      </w:r>
      <w:r w:rsidR="00BE0FD5">
        <w:t>(</w:t>
      </w:r>
      <w:proofErr w:type="spellStart"/>
      <w:r w:rsidR="00BE0FD5">
        <w:t>Cth</w:t>
      </w:r>
      <w:proofErr w:type="spellEnd"/>
      <w:r w:rsidR="00BE0FD5">
        <w:t>) (Privacy Act) to approve guidelines issued by the National Health and Medical Research Council</w:t>
      </w:r>
      <w:r w:rsidR="003A375D">
        <w:t xml:space="preserve"> </w:t>
      </w:r>
      <w:r w:rsidR="00BE0FD5">
        <w:t>relating to the use and disclosure of genetic information for the purposes of lessening or preventing a serious threat to the life, health or safety of an individual who is a genetic relative of the individual to whom the genetic information relates</w:t>
      </w:r>
      <w:r w:rsidR="00101AA0">
        <w:t xml:space="preserve"> (the guidelines)</w:t>
      </w:r>
      <w:r w:rsidR="00BE0FD5">
        <w:t xml:space="preserve">. </w:t>
      </w:r>
    </w:p>
    <w:p w:rsidR="00036DEB" w:rsidRDefault="00036DEB" w:rsidP="00BE0FD5">
      <w:r>
        <w:t xml:space="preserve">This approval replaces the </w:t>
      </w:r>
      <w:r w:rsidR="00101AA0">
        <w:rPr>
          <w:rFonts w:eastAsia="Cambria"/>
          <w:szCs w:val="24"/>
          <w:lang w:val="en-US"/>
        </w:rPr>
        <w:t xml:space="preserve">Approval by the Privacy Commissioner of guidelines issued under section 95AA of the </w:t>
      </w:r>
      <w:r w:rsidR="00101AA0" w:rsidRPr="006C1114">
        <w:rPr>
          <w:rFonts w:eastAsia="Cambria"/>
          <w:i/>
          <w:szCs w:val="24"/>
          <w:lang w:val="en-US"/>
        </w:rPr>
        <w:t>Privacy Act 1988</w:t>
      </w:r>
      <w:r w:rsidR="00DD3D28">
        <w:rPr>
          <w:rFonts w:eastAsia="Cambria"/>
          <w:szCs w:val="24"/>
          <w:lang w:val="en-US"/>
        </w:rPr>
        <w:t xml:space="preserve"> (</w:t>
      </w:r>
      <w:r w:rsidR="00101AA0">
        <w:rPr>
          <w:rFonts w:eastAsia="Cambria"/>
          <w:szCs w:val="24"/>
          <w:lang w:val="en-US"/>
        </w:rPr>
        <w:t xml:space="preserve">December 2009, </w:t>
      </w:r>
      <w:r w:rsidR="00EC25D0">
        <w:rPr>
          <w:rFonts w:eastAsia="Cambria"/>
          <w:szCs w:val="24"/>
          <w:lang w:val="en-US"/>
        </w:rPr>
        <w:t xml:space="preserve">FRLI </w:t>
      </w:r>
      <w:r w:rsidR="00101AA0">
        <w:rPr>
          <w:rFonts w:eastAsia="Cambria"/>
          <w:szCs w:val="24"/>
          <w:lang w:val="en-US"/>
        </w:rPr>
        <w:t>F2009L04608</w:t>
      </w:r>
      <w:r w:rsidR="00DD3D28">
        <w:rPr>
          <w:rFonts w:eastAsia="Cambria"/>
          <w:szCs w:val="24"/>
          <w:lang w:val="en-US"/>
        </w:rPr>
        <w:t>)</w:t>
      </w:r>
      <w:r w:rsidR="00101AA0">
        <w:rPr>
          <w:rFonts w:eastAsia="Cambria"/>
          <w:szCs w:val="24"/>
          <w:lang w:val="en-US"/>
        </w:rPr>
        <w:t>.</w:t>
      </w:r>
      <w:r w:rsidR="00101AA0" w:rsidRPr="0029593D">
        <w:rPr>
          <w:rFonts w:eastAsia="Cambria"/>
          <w:szCs w:val="24"/>
          <w:lang w:val="en-US"/>
        </w:rPr>
        <w:t xml:space="preserve"> </w:t>
      </w:r>
    </w:p>
    <w:p w:rsidR="00BE0FD5" w:rsidRDefault="00BE0FD5" w:rsidP="00BE0FD5">
      <w:pPr>
        <w:pStyle w:val="Heading3"/>
      </w:pPr>
      <w:r>
        <w:t>Authority</w:t>
      </w:r>
    </w:p>
    <w:p w:rsidR="00BE0FD5" w:rsidRDefault="00BE0FD5" w:rsidP="00BE0FD5">
      <w:r>
        <w:t>The authority for the Privacy Commissioner to approve these guidelines rests in:</w:t>
      </w:r>
    </w:p>
    <w:p w:rsidR="00BE0FD5" w:rsidRDefault="00BE0FD5" w:rsidP="00BE0FD5">
      <w:pPr>
        <w:pStyle w:val="ListParagraph"/>
        <w:numPr>
          <w:ilvl w:val="0"/>
          <w:numId w:val="5"/>
        </w:numPr>
      </w:pPr>
      <w:r>
        <w:t>s</w:t>
      </w:r>
      <w:r w:rsidR="00DF247A">
        <w:t>ection</w:t>
      </w:r>
      <w:r>
        <w:t xml:space="preserve"> 95AA of the Privacy Act, and</w:t>
      </w:r>
    </w:p>
    <w:p w:rsidR="00BE0FD5" w:rsidRDefault="00BE0FD5" w:rsidP="00BE0FD5">
      <w:pPr>
        <w:pStyle w:val="ListParagraph"/>
        <w:numPr>
          <w:ilvl w:val="0"/>
          <w:numId w:val="5"/>
        </w:numPr>
      </w:pPr>
      <w:proofErr w:type="gramStart"/>
      <w:r>
        <w:t>s</w:t>
      </w:r>
      <w:r w:rsidR="00DF247A">
        <w:t>ection</w:t>
      </w:r>
      <w:proofErr w:type="gramEnd"/>
      <w:r>
        <w:t xml:space="preserve"> 12 of the </w:t>
      </w:r>
      <w:r>
        <w:rPr>
          <w:i/>
        </w:rPr>
        <w:t xml:space="preserve">Australian Information Commissioner Act 2010 </w:t>
      </w:r>
      <w:r>
        <w:t>(</w:t>
      </w:r>
      <w:proofErr w:type="spellStart"/>
      <w:r>
        <w:t>Cth</w:t>
      </w:r>
      <w:proofErr w:type="spellEnd"/>
      <w:r>
        <w:t xml:space="preserve">) (the </w:t>
      </w:r>
      <w:r w:rsidR="00AB1F7A">
        <w:t xml:space="preserve">Australian Information Commissioner </w:t>
      </w:r>
      <w:r>
        <w:t xml:space="preserve">Act). </w:t>
      </w:r>
    </w:p>
    <w:p w:rsidR="003A36C7" w:rsidRDefault="003A36C7" w:rsidP="003A36C7">
      <w:r>
        <w:t>Subsections 95AA (1) to (2) of the Privacy Act state:</w:t>
      </w:r>
    </w:p>
    <w:p w:rsidR="003A36C7" w:rsidRPr="003A36C7" w:rsidRDefault="003A36C7" w:rsidP="003A36C7">
      <w:pPr>
        <w:pStyle w:val="ListParagraph"/>
        <w:numPr>
          <w:ilvl w:val="0"/>
          <w:numId w:val="7"/>
        </w:numPr>
        <w:rPr>
          <w:i/>
        </w:rPr>
      </w:pPr>
      <w:r w:rsidRPr="003A36C7">
        <w:rPr>
          <w:i/>
        </w:rPr>
        <w:t xml:space="preserve">This section allows the Commissioner to approve for the purposes of the </w:t>
      </w:r>
      <w:r>
        <w:rPr>
          <w:i/>
        </w:rPr>
        <w:t>Australian Privacy Principles</w:t>
      </w:r>
      <w:r w:rsidRPr="003A36C7">
        <w:rPr>
          <w:i/>
        </w:rPr>
        <w:t xml:space="preserve"> guidelines that are issued by the National Health and Medical Research Council.</w:t>
      </w:r>
    </w:p>
    <w:p w:rsidR="00BE0FD5" w:rsidRDefault="003A36C7" w:rsidP="003A36C7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For the purposes of paragraph 16B(4)(c)</w:t>
      </w:r>
      <w:r w:rsidRPr="003A36C7">
        <w:rPr>
          <w:i/>
        </w:rPr>
        <w:t>, the Commissioner may, by legislative instrument, approve guidelines that relate to the use and disclosure of genetic information for the purposes of lessening or preventing a serious threat to the</w:t>
      </w:r>
      <w:r>
        <w:rPr>
          <w:i/>
        </w:rPr>
        <w:t xml:space="preserve"> life, health or safety </w:t>
      </w:r>
      <w:r w:rsidRPr="003A36C7">
        <w:rPr>
          <w:i/>
        </w:rPr>
        <w:t>of an individual who is a genetic relative of the individual to whom the genetic information relates.</w:t>
      </w:r>
    </w:p>
    <w:p w:rsidR="003A36C7" w:rsidRDefault="003A36C7" w:rsidP="003A36C7">
      <w:pPr>
        <w:spacing w:after="220"/>
      </w:pPr>
      <w:r>
        <w:t xml:space="preserve">Section 6 of the Privacy Act defines ‘Commissioner’ to mean ‘the Information Commissioner within the meaning of the </w:t>
      </w:r>
      <w:r w:rsidR="00AB1F7A">
        <w:t>Australian Information Commissioner</w:t>
      </w:r>
      <w:r w:rsidR="00AB1F7A" w:rsidRPr="009C639C">
        <w:t xml:space="preserve"> </w:t>
      </w:r>
      <w:r w:rsidRPr="009C639C">
        <w:t>Act</w:t>
      </w:r>
      <w:r w:rsidR="00950583">
        <w:t>’</w:t>
      </w:r>
      <w:r>
        <w:t>.</w:t>
      </w:r>
    </w:p>
    <w:p w:rsidR="003A36C7" w:rsidRPr="003A36C7" w:rsidRDefault="00101AA0" w:rsidP="003A36C7">
      <w:pPr>
        <w:widowControl w:val="0"/>
        <w:rPr>
          <w:rFonts w:cs="Calibri"/>
          <w:szCs w:val="24"/>
        </w:rPr>
      </w:pPr>
      <w:r>
        <w:t>The guidelines are approved by the Privacy Commissioner, who under s</w:t>
      </w:r>
      <w:r w:rsidR="003A36C7" w:rsidRPr="009C639C">
        <w:t xml:space="preserve">ection 12 of the </w:t>
      </w:r>
      <w:r w:rsidR="00AB1F7A">
        <w:t xml:space="preserve">Australian Information Commissioner </w:t>
      </w:r>
      <w:r w:rsidR="003A36C7">
        <w:t>Act</w:t>
      </w:r>
      <w:r w:rsidR="003A36C7" w:rsidRPr="009C639C">
        <w:t xml:space="preserve"> </w:t>
      </w:r>
      <w:r w:rsidR="00AB1F7A">
        <w:t xml:space="preserve">has the privacy functions defined in section 9 of </w:t>
      </w:r>
      <w:r w:rsidR="00AB1F7A">
        <w:lastRenderedPageBreak/>
        <w:t xml:space="preserve">that Act. </w:t>
      </w:r>
      <w:r w:rsidR="003A36C7">
        <w:t xml:space="preserve">The privacy functions include functions conferred on the Information Commissioner by the Privacy Act. </w:t>
      </w:r>
    </w:p>
    <w:p w:rsidR="003A36C7" w:rsidRDefault="003A36C7" w:rsidP="003A36C7">
      <w:pPr>
        <w:pStyle w:val="Heading2"/>
      </w:pPr>
      <w:r>
        <w:t>Relevant provisions of the Privacy Act</w:t>
      </w:r>
    </w:p>
    <w:p w:rsidR="00271BF2" w:rsidRPr="003A375D" w:rsidRDefault="00271BF2" w:rsidP="00271BF2">
      <w:pPr>
        <w:rPr>
          <w:rFonts w:eastAsia="Times New Roman"/>
          <w:szCs w:val="24"/>
          <w:lang w:eastAsia="en-AU"/>
        </w:rPr>
      </w:pPr>
      <w:r w:rsidRPr="003A375D">
        <w:rPr>
          <w:rFonts w:eastAsia="Times New Roman"/>
          <w:szCs w:val="24"/>
          <w:lang w:eastAsia="en-AU"/>
        </w:rPr>
        <w:t xml:space="preserve">The </w:t>
      </w:r>
      <w:r>
        <w:rPr>
          <w:rFonts w:eastAsia="Times New Roman"/>
          <w:szCs w:val="24"/>
          <w:lang w:eastAsia="en-AU"/>
        </w:rPr>
        <w:t>Australian Privacy Principles (APPs)</w:t>
      </w:r>
      <w:r w:rsidRPr="003A375D">
        <w:rPr>
          <w:rFonts w:eastAsia="Times New Roman"/>
          <w:szCs w:val="24"/>
          <w:lang w:eastAsia="en-AU"/>
        </w:rPr>
        <w:t xml:space="preserve"> are </w:t>
      </w:r>
      <w:r w:rsidR="0020394B">
        <w:rPr>
          <w:rFonts w:eastAsia="Times New Roman"/>
          <w:szCs w:val="24"/>
          <w:lang w:eastAsia="en-AU"/>
        </w:rPr>
        <w:t xml:space="preserve">a set of </w:t>
      </w:r>
      <w:r w:rsidRPr="003A375D">
        <w:rPr>
          <w:rFonts w:eastAsia="Times New Roman"/>
          <w:szCs w:val="24"/>
          <w:lang w:eastAsia="en-AU"/>
        </w:rPr>
        <w:t xml:space="preserve">legally binding </w:t>
      </w:r>
      <w:r w:rsidR="0020394B">
        <w:rPr>
          <w:rFonts w:eastAsia="Times New Roman"/>
          <w:szCs w:val="24"/>
          <w:lang w:eastAsia="en-AU"/>
        </w:rPr>
        <w:t xml:space="preserve">privacy </w:t>
      </w:r>
      <w:r w:rsidRPr="003A375D">
        <w:rPr>
          <w:rFonts w:eastAsia="Times New Roman"/>
          <w:szCs w:val="24"/>
          <w:lang w:eastAsia="en-AU"/>
        </w:rPr>
        <w:t xml:space="preserve">principles that </w:t>
      </w:r>
      <w:r w:rsidR="0020394B">
        <w:rPr>
          <w:rFonts w:eastAsia="Times New Roman"/>
          <w:szCs w:val="24"/>
          <w:lang w:eastAsia="en-AU"/>
        </w:rPr>
        <w:t>establish</w:t>
      </w:r>
      <w:r w:rsidRPr="003A375D">
        <w:rPr>
          <w:rFonts w:eastAsia="Times New Roman"/>
          <w:szCs w:val="24"/>
          <w:lang w:eastAsia="en-AU"/>
        </w:rPr>
        <w:t xml:space="preserve"> standards, rights and obligations in relation to </w:t>
      </w:r>
      <w:r>
        <w:rPr>
          <w:rFonts w:eastAsia="Times New Roman"/>
          <w:szCs w:val="24"/>
          <w:lang w:eastAsia="en-AU"/>
        </w:rPr>
        <w:t xml:space="preserve">the </w:t>
      </w:r>
      <w:r w:rsidRPr="003A375D">
        <w:rPr>
          <w:rFonts w:eastAsia="Times New Roman"/>
          <w:szCs w:val="24"/>
          <w:lang w:eastAsia="en-AU"/>
        </w:rPr>
        <w:t xml:space="preserve">handling, holding, accessing and correcting </w:t>
      </w:r>
      <w:r w:rsidR="0020394B">
        <w:rPr>
          <w:rFonts w:eastAsia="Times New Roman"/>
          <w:szCs w:val="24"/>
          <w:lang w:eastAsia="en-AU"/>
        </w:rPr>
        <w:t xml:space="preserve">of </w:t>
      </w:r>
      <w:r>
        <w:rPr>
          <w:rFonts w:eastAsia="Times New Roman"/>
          <w:szCs w:val="24"/>
          <w:lang w:eastAsia="en-AU"/>
        </w:rPr>
        <w:t>personal information</w:t>
      </w:r>
      <w:r w:rsidRPr="003A375D">
        <w:rPr>
          <w:rFonts w:eastAsia="Times New Roman"/>
          <w:szCs w:val="24"/>
          <w:lang w:eastAsia="en-AU"/>
        </w:rPr>
        <w:t>. They apply to most Australian Government agencies and certain</w:t>
      </w:r>
      <w:r w:rsidR="0020394B" w:rsidRPr="0020394B">
        <w:rPr>
          <w:rFonts w:eastAsia="Times New Roman"/>
          <w:szCs w:val="24"/>
          <w:lang w:eastAsia="en-AU"/>
        </w:rPr>
        <w:t xml:space="preserve"> private sector organisations</w:t>
      </w:r>
      <w:r w:rsidR="0020394B">
        <w:rPr>
          <w:rFonts w:eastAsia="Times New Roman"/>
          <w:szCs w:val="24"/>
          <w:lang w:eastAsia="en-AU"/>
        </w:rPr>
        <w:t xml:space="preserve">, </w:t>
      </w:r>
      <w:r w:rsidRPr="003A375D">
        <w:rPr>
          <w:rFonts w:eastAsia="Times New Roman"/>
          <w:szCs w:val="24"/>
          <w:lang w:eastAsia="en-AU"/>
        </w:rPr>
        <w:t>collectively referred to as APP entities.</w:t>
      </w:r>
    </w:p>
    <w:p w:rsidR="00C678D7" w:rsidRDefault="0020394B" w:rsidP="003A36C7">
      <w:r>
        <w:t xml:space="preserve">Under the APPs, an APP entity must not collect sensitive information, and must not use or disclose personal information </w:t>
      </w:r>
      <w:r w:rsidR="00C678D7">
        <w:t>for a purpose other than the primary purpose of collection, unless an exception applies.</w:t>
      </w:r>
    </w:p>
    <w:p w:rsidR="003A36C7" w:rsidRDefault="003A36C7" w:rsidP="003A36C7">
      <w:r>
        <w:t xml:space="preserve">Australian Privacy Principle (APP) 6 prohibits uses or disclosures of personal information </w:t>
      </w:r>
      <w:r w:rsidR="00C678D7">
        <w:t xml:space="preserve">for secondary purposes </w:t>
      </w:r>
      <w:r>
        <w:t xml:space="preserve">unless the individual </w:t>
      </w:r>
      <w:r w:rsidR="00271BF2">
        <w:t xml:space="preserve">to whom the personal information relates </w:t>
      </w:r>
      <w:r>
        <w:t xml:space="preserve">has consented or a listed exception </w:t>
      </w:r>
      <w:r w:rsidR="00C678D7">
        <w:t xml:space="preserve">in relation to the use or disclosure of that information </w:t>
      </w:r>
      <w:r>
        <w:t xml:space="preserve">applies. </w:t>
      </w:r>
    </w:p>
    <w:p w:rsidR="003A36C7" w:rsidRDefault="003A36C7" w:rsidP="003A36C7">
      <w:r>
        <w:t>APP 6.2(d) provides that an</w:t>
      </w:r>
      <w:r w:rsidR="00C70DFE">
        <w:t xml:space="preserve"> APP entity may use or disclos</w:t>
      </w:r>
      <w:r>
        <w:t>e personal information about an individual if the APP entity is an organisation and a permitted health situation exists in relation to the use or disclosure of the person</w:t>
      </w:r>
      <w:r w:rsidR="00C70DFE">
        <w:t>al information</w:t>
      </w:r>
      <w:r>
        <w:t xml:space="preserve"> by the entity.</w:t>
      </w:r>
    </w:p>
    <w:p w:rsidR="003A36C7" w:rsidRDefault="003A36C7" w:rsidP="003A36C7">
      <w:r>
        <w:t>Permitted health situations are set out in s</w:t>
      </w:r>
      <w:r w:rsidR="00DF247A">
        <w:t>ection</w:t>
      </w:r>
      <w:r>
        <w:t xml:space="preserve"> 16B of the Privacy Act. S</w:t>
      </w:r>
      <w:r w:rsidR="007F130C">
        <w:t>ubs</w:t>
      </w:r>
      <w:r>
        <w:t xml:space="preserve">ection </w:t>
      </w:r>
      <w:proofErr w:type="gramStart"/>
      <w:r>
        <w:t>16B(</w:t>
      </w:r>
      <w:proofErr w:type="gramEnd"/>
      <w:r>
        <w:t>4) states that:</w:t>
      </w:r>
    </w:p>
    <w:p w:rsidR="003A36C7" w:rsidRPr="003A36C7" w:rsidRDefault="003A36C7" w:rsidP="003A36C7">
      <w:pPr>
        <w:ind w:left="720"/>
        <w:rPr>
          <w:i/>
        </w:rPr>
      </w:pPr>
      <w:r w:rsidRPr="003A36C7">
        <w:rPr>
          <w:i/>
        </w:rPr>
        <w:t>A permitted health situation exists in relation to the use or disclosure by an organisation of genetic information about an individual (the first individual) if:</w:t>
      </w:r>
    </w:p>
    <w:p w:rsidR="003A36C7" w:rsidRPr="003A36C7" w:rsidRDefault="003A36C7" w:rsidP="003A36C7">
      <w:pPr>
        <w:pStyle w:val="ListParagraph"/>
        <w:numPr>
          <w:ilvl w:val="0"/>
          <w:numId w:val="9"/>
        </w:numPr>
        <w:ind w:left="2160"/>
        <w:rPr>
          <w:i/>
        </w:rPr>
      </w:pPr>
      <w:r w:rsidRPr="003A36C7">
        <w:rPr>
          <w:i/>
        </w:rPr>
        <w:t>the organisation has obtained the information in the course of providing a health service to the first individual; and</w:t>
      </w:r>
    </w:p>
    <w:p w:rsidR="003A36C7" w:rsidRPr="003A36C7" w:rsidRDefault="003A36C7" w:rsidP="003A36C7">
      <w:pPr>
        <w:pStyle w:val="ListParagraph"/>
        <w:numPr>
          <w:ilvl w:val="0"/>
          <w:numId w:val="9"/>
        </w:numPr>
        <w:ind w:left="2160"/>
        <w:rPr>
          <w:i/>
        </w:rPr>
      </w:pPr>
      <w:r w:rsidRPr="003A36C7">
        <w:rPr>
          <w:i/>
        </w:rPr>
        <w:t>the organisation reasonably believes that the use or disclosure is necessary to lessen or prevent a serious threat to the life, health or safety of another individual who is a genetic relative of the first individual; and</w:t>
      </w:r>
    </w:p>
    <w:p w:rsidR="003A36C7" w:rsidRPr="003A36C7" w:rsidRDefault="003A36C7" w:rsidP="003A36C7">
      <w:pPr>
        <w:pStyle w:val="ListParagraph"/>
        <w:numPr>
          <w:ilvl w:val="0"/>
          <w:numId w:val="9"/>
        </w:numPr>
        <w:ind w:left="2160"/>
        <w:rPr>
          <w:i/>
        </w:rPr>
      </w:pPr>
      <w:r w:rsidRPr="003A36C7">
        <w:rPr>
          <w:i/>
        </w:rPr>
        <w:t>the use or disclosure is conducted in accordance with guidelines approved under section 95AA; and</w:t>
      </w:r>
    </w:p>
    <w:p w:rsidR="003A36C7" w:rsidRPr="003A36C7" w:rsidRDefault="003A36C7" w:rsidP="003A36C7">
      <w:pPr>
        <w:pStyle w:val="ListParagraph"/>
        <w:numPr>
          <w:ilvl w:val="0"/>
          <w:numId w:val="9"/>
        </w:numPr>
        <w:ind w:left="2160"/>
        <w:rPr>
          <w:i/>
        </w:rPr>
      </w:pPr>
      <w:proofErr w:type="gramStart"/>
      <w:r w:rsidRPr="003A36C7">
        <w:rPr>
          <w:i/>
        </w:rPr>
        <w:t>in</w:t>
      </w:r>
      <w:proofErr w:type="gramEnd"/>
      <w:r w:rsidRPr="003A36C7">
        <w:rPr>
          <w:i/>
        </w:rPr>
        <w:t xml:space="preserve"> the case of disclosure—the recipient of the information is a genetic relative of the first individual.</w:t>
      </w:r>
    </w:p>
    <w:p w:rsidR="00BE0FD5" w:rsidRDefault="00C678D7" w:rsidP="00BE0FD5">
      <w:r>
        <w:t>‘</w:t>
      </w:r>
      <w:r w:rsidR="00036DEB" w:rsidRPr="00036DEB">
        <w:t>Genetic information</w:t>
      </w:r>
      <w:r>
        <w:t>’</w:t>
      </w:r>
      <w:r w:rsidR="00036DEB" w:rsidRPr="00036DEB">
        <w:t xml:space="preserve"> is not defined in the Privacy Act. </w:t>
      </w:r>
      <w:r w:rsidR="00036DEB">
        <w:t>The</w:t>
      </w:r>
      <w:r w:rsidR="00036DEB" w:rsidRPr="00036DEB">
        <w:t xml:space="preserve"> definitions of ‘health information’ and ‘sensitive information’ </w:t>
      </w:r>
      <w:r w:rsidR="00036DEB">
        <w:t xml:space="preserve">in </w:t>
      </w:r>
      <w:r w:rsidR="006860EB">
        <w:t>sub</w:t>
      </w:r>
      <w:r w:rsidR="00036DEB">
        <w:t>s</w:t>
      </w:r>
      <w:r w:rsidR="00DF247A">
        <w:t>ection</w:t>
      </w:r>
      <w:r w:rsidR="00036DEB">
        <w:t xml:space="preserve"> 6</w:t>
      </w:r>
      <w:r w:rsidR="006860EB">
        <w:t>(1)</w:t>
      </w:r>
      <w:r w:rsidR="00036DEB">
        <w:t xml:space="preserve"> </w:t>
      </w:r>
      <w:r w:rsidR="00036DEB" w:rsidRPr="00036DEB">
        <w:t>include ‘genetic information’, without expressly defining ‘genetic information’.</w:t>
      </w:r>
    </w:p>
    <w:p w:rsidR="00036DEB" w:rsidRDefault="00036DEB" w:rsidP="00036DEB">
      <w:r>
        <w:t xml:space="preserve">‘Genetic relative’ is defined as follows in </w:t>
      </w:r>
      <w:r w:rsidR="006860EB">
        <w:t>sub</w:t>
      </w:r>
      <w:r>
        <w:t>s</w:t>
      </w:r>
      <w:r w:rsidR="00DF247A">
        <w:t>ection</w:t>
      </w:r>
      <w:r>
        <w:t xml:space="preserve"> 6</w:t>
      </w:r>
      <w:r w:rsidR="006860EB">
        <w:t>(1)</w:t>
      </w:r>
      <w:r>
        <w:t xml:space="preserve"> of the Privacy Act:</w:t>
      </w:r>
    </w:p>
    <w:p w:rsidR="00D16F3C" w:rsidRDefault="00036DEB" w:rsidP="00D16F3C">
      <w:pPr>
        <w:ind w:left="720"/>
        <w:rPr>
          <w:i/>
        </w:rPr>
      </w:pPr>
      <w:proofErr w:type="gramStart"/>
      <w:r w:rsidRPr="00036DEB">
        <w:rPr>
          <w:b/>
          <w:i/>
        </w:rPr>
        <w:lastRenderedPageBreak/>
        <w:t>genetic</w:t>
      </w:r>
      <w:proofErr w:type="gramEnd"/>
      <w:r w:rsidRPr="00036DEB">
        <w:rPr>
          <w:b/>
          <w:i/>
        </w:rPr>
        <w:t xml:space="preserve"> relative</w:t>
      </w:r>
      <w:r w:rsidRPr="00036DEB">
        <w:rPr>
          <w:i/>
        </w:rPr>
        <w:t xml:space="preserve"> of an individual (the </w:t>
      </w:r>
      <w:r w:rsidRPr="00036DEB">
        <w:rPr>
          <w:b/>
          <w:i/>
        </w:rPr>
        <w:t>first individual</w:t>
      </w:r>
      <w:r w:rsidRPr="00036DEB">
        <w:rPr>
          <w:i/>
        </w:rPr>
        <w:t>) means another individual who is related to the first individual by blood, including but not limited to a sibling, a parent or a descendant of the first individual.</w:t>
      </w:r>
    </w:p>
    <w:p w:rsidR="00D16F3C" w:rsidRDefault="00D16F3C" w:rsidP="00D16F3C">
      <w:r>
        <w:t xml:space="preserve">‘Health service’ is defined as follows in </w:t>
      </w:r>
      <w:r w:rsidR="006860EB">
        <w:t>sub</w:t>
      </w:r>
      <w:r>
        <w:t>s</w:t>
      </w:r>
      <w:r w:rsidR="00DF247A">
        <w:t>ection</w:t>
      </w:r>
      <w:r>
        <w:t xml:space="preserve"> 6</w:t>
      </w:r>
      <w:r w:rsidR="006860EB">
        <w:t>(1)</w:t>
      </w:r>
      <w:r>
        <w:t xml:space="preserve"> of the Privacy Act:</w:t>
      </w:r>
    </w:p>
    <w:p w:rsidR="00D16F3C" w:rsidRDefault="00D16F3C" w:rsidP="003A375D">
      <w:pPr>
        <w:ind w:left="720"/>
      </w:pPr>
      <w:proofErr w:type="gramStart"/>
      <w:r w:rsidRPr="003A375D">
        <w:rPr>
          <w:b/>
          <w:i/>
        </w:rPr>
        <w:t>health</w:t>
      </w:r>
      <w:proofErr w:type="gramEnd"/>
      <w:r w:rsidRPr="003A375D">
        <w:rPr>
          <w:b/>
          <w:i/>
        </w:rPr>
        <w:t xml:space="preserve"> service</w:t>
      </w:r>
      <w:r>
        <w:t xml:space="preserve"> means:</w:t>
      </w:r>
    </w:p>
    <w:p w:rsidR="00D16F3C" w:rsidRPr="00D16F3C" w:rsidRDefault="00D16F3C" w:rsidP="00DF247A">
      <w:pPr>
        <w:pStyle w:val="ListParagraph"/>
        <w:numPr>
          <w:ilvl w:val="0"/>
          <w:numId w:val="12"/>
        </w:numPr>
        <w:rPr>
          <w:i/>
        </w:rPr>
      </w:pPr>
      <w:r w:rsidRPr="00D16F3C">
        <w:rPr>
          <w:i/>
        </w:rPr>
        <w:t>an activity performed in relation to an individual that is intended or claimed (expressly or otherwise) by the individual or the person performing it:</w:t>
      </w:r>
    </w:p>
    <w:p w:rsidR="00D16F3C" w:rsidRPr="00D16F3C" w:rsidRDefault="00D16F3C" w:rsidP="00DF247A">
      <w:pPr>
        <w:pStyle w:val="ListParagraph"/>
        <w:numPr>
          <w:ilvl w:val="0"/>
          <w:numId w:val="13"/>
        </w:numPr>
        <w:rPr>
          <w:i/>
        </w:rPr>
      </w:pPr>
      <w:r w:rsidRPr="00D16F3C">
        <w:rPr>
          <w:i/>
        </w:rPr>
        <w:t>to assess, record, maintain or improve the individual’s health; or</w:t>
      </w:r>
    </w:p>
    <w:p w:rsidR="00D16F3C" w:rsidRPr="00D16F3C" w:rsidRDefault="00D16F3C" w:rsidP="007F130C">
      <w:pPr>
        <w:pStyle w:val="ListParagraph"/>
        <w:numPr>
          <w:ilvl w:val="0"/>
          <w:numId w:val="13"/>
        </w:numPr>
        <w:rPr>
          <w:i/>
        </w:rPr>
      </w:pPr>
      <w:r w:rsidRPr="00D16F3C">
        <w:rPr>
          <w:i/>
        </w:rPr>
        <w:t>to diagnose the individual’s illness or disability; or</w:t>
      </w:r>
    </w:p>
    <w:p w:rsidR="00D16F3C" w:rsidRPr="00D16F3C" w:rsidRDefault="00D16F3C">
      <w:pPr>
        <w:pStyle w:val="ListParagraph"/>
        <w:numPr>
          <w:ilvl w:val="0"/>
          <w:numId w:val="13"/>
        </w:numPr>
        <w:rPr>
          <w:i/>
        </w:rPr>
      </w:pPr>
      <w:r w:rsidRPr="00D16F3C">
        <w:rPr>
          <w:i/>
        </w:rPr>
        <w:t>to treat the individual’s illness or disability or suspected illness or disability; or</w:t>
      </w:r>
    </w:p>
    <w:p w:rsidR="00D16F3C" w:rsidRPr="00D16F3C" w:rsidRDefault="00D16F3C">
      <w:pPr>
        <w:pStyle w:val="ListParagraph"/>
        <w:numPr>
          <w:ilvl w:val="0"/>
          <w:numId w:val="12"/>
        </w:numPr>
        <w:rPr>
          <w:i/>
        </w:rPr>
      </w:pPr>
      <w:proofErr w:type="gramStart"/>
      <w:r w:rsidRPr="00D16F3C">
        <w:rPr>
          <w:i/>
        </w:rPr>
        <w:t>the</w:t>
      </w:r>
      <w:proofErr w:type="gramEnd"/>
      <w:r w:rsidRPr="00D16F3C">
        <w:rPr>
          <w:i/>
        </w:rPr>
        <w:t xml:space="preserve"> dispensing on prescription of a drug or medicinal preparation by a pharmacist.</w:t>
      </w:r>
    </w:p>
    <w:p w:rsidR="00036DEB" w:rsidRDefault="00036DEB" w:rsidP="00036DEB">
      <w:pPr>
        <w:pStyle w:val="Heading2"/>
      </w:pPr>
      <w:r>
        <w:t>Background to the guidelines</w:t>
      </w:r>
    </w:p>
    <w:p w:rsidR="00036DEB" w:rsidRDefault="00036DEB" w:rsidP="00036DEB">
      <w:r>
        <w:t>In 2006, the Privacy Act was amended to safeguard the handling of genetic information by changing the definitions of ‘health information’ and ‘sensitive information’ to expressly include genetic information.</w:t>
      </w:r>
      <w:r w:rsidR="00DF247A">
        <w:rPr>
          <w:rStyle w:val="FootnoteReference"/>
        </w:rPr>
        <w:footnoteReference w:id="1"/>
      </w:r>
      <w:r>
        <w:t xml:space="preserve"> Genetic information that is not otherwise health information, such as the result of a parentage test, is not treated as health information, but is sensitive information. </w:t>
      </w:r>
    </w:p>
    <w:p w:rsidR="00036DEB" w:rsidRDefault="00036DEB" w:rsidP="00036DEB">
      <w:r>
        <w:t xml:space="preserve">The </w:t>
      </w:r>
      <w:r w:rsidRPr="00036DEB">
        <w:rPr>
          <w:i/>
        </w:rPr>
        <w:t>Privacy Legislation Amendment Act 2006</w:t>
      </w:r>
      <w:r>
        <w:t xml:space="preserve"> also introduced an additional exception to the general requirement that personal information must not be used or disclosed for any purpose other than th</w:t>
      </w:r>
      <w:r w:rsidR="00F35B55">
        <w:t>at for which it was collected.</w:t>
      </w:r>
      <w:r w:rsidR="007F130C">
        <w:rPr>
          <w:rStyle w:val="FootnoteReference"/>
        </w:rPr>
        <w:footnoteReference w:id="2"/>
      </w:r>
      <w:r w:rsidR="00F35B55">
        <w:t xml:space="preserve"> </w:t>
      </w:r>
      <w:r w:rsidR="005318B5">
        <w:t>The exception provides for</w:t>
      </w:r>
      <w:r>
        <w:t xml:space="preserve"> the use or disclosure of genetic information</w:t>
      </w:r>
      <w:r w:rsidR="005318B5">
        <w:t xml:space="preserve"> of an individual</w:t>
      </w:r>
      <w:r>
        <w:t xml:space="preserve"> </w:t>
      </w:r>
      <w:r w:rsidR="005318B5">
        <w:t xml:space="preserve">by an organisation </w:t>
      </w:r>
      <w:r w:rsidR="00E50C69">
        <w:t xml:space="preserve">where the organisation has obtained the genetic information in the course of providing a health service to the individual, and in circumstances where </w:t>
      </w:r>
      <w:r w:rsidR="005318B5">
        <w:t xml:space="preserve">the </w:t>
      </w:r>
      <w:r>
        <w:t xml:space="preserve">organisation reasonably believes that </w:t>
      </w:r>
      <w:r w:rsidR="005318B5">
        <w:t>the use or disclosure i</w:t>
      </w:r>
      <w:r>
        <w:t>s necessary to lessen or prevent a serious threat to life, hea</w:t>
      </w:r>
      <w:r w:rsidR="00950583">
        <w:t xml:space="preserve">lth or safety of </w:t>
      </w:r>
      <w:r w:rsidR="00E50C69">
        <w:t>a person who is the individual’s genetic</w:t>
      </w:r>
      <w:r w:rsidR="00950583">
        <w:t xml:space="preserve"> relative.</w:t>
      </w:r>
      <w:r>
        <w:t xml:space="preserve"> In the case of disclosure, the recipient </w:t>
      </w:r>
      <w:r w:rsidR="00E50C69">
        <w:t xml:space="preserve">of the individual’s genetic information </w:t>
      </w:r>
      <w:r>
        <w:t>must be a genetic relative of th</w:t>
      </w:r>
      <w:r w:rsidR="00E50C69">
        <w:t>at</w:t>
      </w:r>
      <w:r>
        <w:t xml:space="preserve"> individual. </w:t>
      </w:r>
    </w:p>
    <w:p w:rsidR="0004412B" w:rsidRPr="0004093B" w:rsidRDefault="00036DEB" w:rsidP="0004412B">
      <w:pPr>
        <w:spacing w:before="240"/>
        <w:rPr>
          <w:i/>
        </w:rPr>
      </w:pPr>
      <w:r>
        <w:t xml:space="preserve">Section 95AA of the Privacy Act allows the Commissioner to approve guidelines issued by the </w:t>
      </w:r>
      <w:r w:rsidR="003A375D">
        <w:t>National Health and Medical Research Council</w:t>
      </w:r>
      <w:r>
        <w:t xml:space="preserve"> </w:t>
      </w:r>
      <w:r w:rsidR="00E50C69">
        <w:t xml:space="preserve">that relate </w:t>
      </w:r>
      <w:r w:rsidR="00F35B55">
        <w:t>to</w:t>
      </w:r>
      <w:r>
        <w:t xml:space="preserve"> circumstances in which genetic information may be used</w:t>
      </w:r>
      <w:r w:rsidR="00950583">
        <w:t xml:space="preserve"> or disclosed without </w:t>
      </w:r>
      <w:r w:rsidR="00E50C69">
        <w:t xml:space="preserve">the </w:t>
      </w:r>
      <w:r w:rsidR="00950583">
        <w:t>consent</w:t>
      </w:r>
      <w:r w:rsidR="00E50C69">
        <w:t xml:space="preserve"> of the individual to whom the genetic information relates</w:t>
      </w:r>
      <w:r w:rsidR="00950583">
        <w:t xml:space="preserve">. </w:t>
      </w:r>
      <w:r w:rsidR="00F35B55">
        <w:t xml:space="preserve">Guidelines for this purpose were issued by the </w:t>
      </w:r>
      <w:r w:rsidR="003A375D">
        <w:t>National Health and Medical Research Council</w:t>
      </w:r>
      <w:r w:rsidR="00F35B55">
        <w:t xml:space="preserve"> in 2009</w:t>
      </w:r>
      <w:r w:rsidR="003A375D">
        <w:t>, namely,</w:t>
      </w:r>
      <w:r w:rsidR="00F35B55">
        <w:t xml:space="preserve"> </w:t>
      </w:r>
      <w:r w:rsidR="0004412B">
        <w:rPr>
          <w:i/>
        </w:rPr>
        <w:t xml:space="preserve">Use and disclosure of genetic information to a patient’s genetic relatives under Section 95AA of the Privacy Act 1988 (Cth) – guidelines for health practitioners in the private sector. </w:t>
      </w:r>
    </w:p>
    <w:p w:rsidR="00036DEB" w:rsidRDefault="00036DEB" w:rsidP="00036DEB"/>
    <w:p w:rsidR="003808FC" w:rsidRDefault="00F35B55" w:rsidP="00036DEB">
      <w:r>
        <w:t xml:space="preserve">The </w:t>
      </w:r>
      <w:r w:rsidRPr="00F35B55">
        <w:rPr>
          <w:i/>
        </w:rPr>
        <w:t>Privacy Amendment (Enhancing Privacy Protection) Act 2012</w:t>
      </w:r>
      <w:r w:rsidRPr="00F35B55">
        <w:t xml:space="preserve"> (Privacy Amendment Act) </w:t>
      </w:r>
      <w:r>
        <w:t>introduce</w:t>
      </w:r>
      <w:r w:rsidR="00555FF7">
        <w:t>s</w:t>
      </w:r>
      <w:r>
        <w:t xml:space="preserve"> a number of significant changes to the Privacy Act, taking effect on 12 March 2014. These changes mean that references to the Privacy Act in the </w:t>
      </w:r>
      <w:r w:rsidR="00555FF7">
        <w:t xml:space="preserve">2009 </w:t>
      </w:r>
      <w:r>
        <w:t xml:space="preserve">guidelines </w:t>
      </w:r>
      <w:r w:rsidR="00555FF7">
        <w:t>will be</w:t>
      </w:r>
      <w:r>
        <w:t xml:space="preserve"> out of date. The </w:t>
      </w:r>
      <w:r w:rsidR="003A375D">
        <w:t>National Health and Medical Research Council</w:t>
      </w:r>
      <w:r w:rsidR="003808FC">
        <w:t xml:space="preserve"> </w:t>
      </w:r>
      <w:proofErr w:type="gramStart"/>
      <w:r w:rsidR="00555FF7">
        <w:t>has</w:t>
      </w:r>
      <w:proofErr w:type="gramEnd"/>
      <w:r w:rsidR="00555FF7">
        <w:t xml:space="preserve"> </w:t>
      </w:r>
      <w:r w:rsidR="003808FC">
        <w:t xml:space="preserve">issued a revised version of the guidelines with amendments reflecting the changes to </w:t>
      </w:r>
      <w:r w:rsidR="00555FF7">
        <w:t>the Privacy Act</w:t>
      </w:r>
      <w:r w:rsidR="003808FC">
        <w:t xml:space="preserve">. </w:t>
      </w:r>
    </w:p>
    <w:p w:rsidR="003808FC" w:rsidRDefault="007E102D" w:rsidP="007E102D">
      <w:pPr>
        <w:pStyle w:val="Heading2"/>
      </w:pPr>
      <w:r>
        <w:t>Consultation</w:t>
      </w:r>
    </w:p>
    <w:p w:rsidR="008A7E93" w:rsidRDefault="008A7E93" w:rsidP="00F11521">
      <w:pPr>
        <w:rPr>
          <w:i/>
        </w:rPr>
      </w:pPr>
      <w:r>
        <w:t xml:space="preserve">Prior to issuing the </w:t>
      </w:r>
      <w:r w:rsidR="00C70DFE">
        <w:t>2009</w:t>
      </w:r>
      <w:r>
        <w:t xml:space="preserve"> </w:t>
      </w:r>
      <w:r>
        <w:rPr>
          <w:i/>
        </w:rPr>
        <w:t xml:space="preserve">Use and disclosure of genetic information to a patient’s genetic relatives under Section 95AA of the Privacy Act 1988 (Cth) – guidelines for health practitioners in the private sector, </w:t>
      </w:r>
      <w:r>
        <w:t xml:space="preserve">the </w:t>
      </w:r>
      <w:r w:rsidR="003A375D">
        <w:t>National Health and Medical Research Council</w:t>
      </w:r>
      <w:r>
        <w:t xml:space="preserve"> undertook consultation in accordance with the consultation requirements under the Legislative Instruments Act.</w:t>
      </w:r>
    </w:p>
    <w:p w:rsidR="003624F1" w:rsidRDefault="00F11521" w:rsidP="00F11521">
      <w:r>
        <w:t xml:space="preserve">In </w:t>
      </w:r>
      <w:r w:rsidR="008A7E93">
        <w:t>issuing revised</w:t>
      </w:r>
      <w:r>
        <w:t xml:space="preserve"> guidelines to incorporate </w:t>
      </w:r>
      <w:r w:rsidR="00B15743">
        <w:t xml:space="preserve">the legislative </w:t>
      </w:r>
      <w:r>
        <w:t xml:space="preserve">amendments to the Privacy Act, the </w:t>
      </w:r>
      <w:r w:rsidR="003A375D">
        <w:t>National Health and Medical Research Council</w:t>
      </w:r>
      <w:r>
        <w:t xml:space="preserve"> </w:t>
      </w:r>
      <w:r w:rsidR="008A7E93">
        <w:t xml:space="preserve">together with </w:t>
      </w:r>
      <w:r>
        <w:t xml:space="preserve">the </w:t>
      </w:r>
      <w:r w:rsidR="00950583">
        <w:t>Office of the Australian Information Commissioner</w:t>
      </w:r>
      <w:r>
        <w:t xml:space="preserve"> considered whether </w:t>
      </w:r>
      <w:r w:rsidR="008A7E93">
        <w:t xml:space="preserve">further </w:t>
      </w:r>
      <w:r>
        <w:t>consultation was necessary</w:t>
      </w:r>
      <w:r w:rsidR="003624F1">
        <w:t>.</w:t>
      </w:r>
      <w:r>
        <w:t xml:space="preserve"> </w:t>
      </w:r>
    </w:p>
    <w:p w:rsidR="00B15743" w:rsidRDefault="00F11521" w:rsidP="00F11521">
      <w:r w:rsidRPr="003D1D0A">
        <w:t xml:space="preserve">Section 17 of the </w:t>
      </w:r>
      <w:r w:rsidR="003624F1">
        <w:t>Legislative Instruments Act</w:t>
      </w:r>
      <w:r w:rsidRPr="003D1D0A">
        <w:t xml:space="preserve"> generally requires the </w:t>
      </w:r>
      <w:r>
        <w:t>rule-maker</w:t>
      </w:r>
      <w:r w:rsidRPr="003D1D0A">
        <w:t xml:space="preserve"> to undertake appropriate consultation before making a legislative instrument. However, s</w:t>
      </w:r>
      <w:r w:rsidR="004921FF">
        <w:t>ection</w:t>
      </w:r>
      <w:r w:rsidRPr="003D1D0A">
        <w:t xml:space="preserve"> 18 </w:t>
      </w:r>
      <w:r w:rsidR="003624F1">
        <w:t>of that Act sets out circumstances where consultation may be unnecessary or inappropriate. Paragraph 18(1</w:t>
      </w:r>
      <w:proofErr w:type="gramStart"/>
      <w:r w:rsidR="003624F1">
        <w:t>)(</w:t>
      </w:r>
      <w:proofErr w:type="gramEnd"/>
      <w:r w:rsidR="003624F1">
        <w:t xml:space="preserve">a) </w:t>
      </w:r>
      <w:r w:rsidRPr="003D1D0A">
        <w:t xml:space="preserve">provides </w:t>
      </w:r>
      <w:r w:rsidR="003624F1">
        <w:t xml:space="preserve">that an instrument that is of a </w:t>
      </w:r>
      <w:r w:rsidRPr="003D1D0A">
        <w:t>minor or machinery nature and</w:t>
      </w:r>
      <w:r w:rsidR="003624F1">
        <w:t xml:space="preserve"> that</w:t>
      </w:r>
      <w:r w:rsidRPr="003D1D0A">
        <w:t xml:space="preserve"> does not substantially alter existing arrangements</w:t>
      </w:r>
      <w:r w:rsidR="003624F1">
        <w:t xml:space="preserve"> is an example of an inst</w:t>
      </w:r>
      <w:r w:rsidR="00B15743">
        <w:t>rument having a nature such that the rule-maker may be satisfied that consultation is unnecessary or inappropriate</w:t>
      </w:r>
      <w:r w:rsidRPr="003D1D0A">
        <w:t>.</w:t>
      </w:r>
      <w:r>
        <w:t xml:space="preserve"> </w:t>
      </w:r>
    </w:p>
    <w:p w:rsidR="00B15743" w:rsidRDefault="00C67439" w:rsidP="00F11521">
      <w:r>
        <w:t xml:space="preserve">In approving </w:t>
      </w:r>
      <w:proofErr w:type="gramStart"/>
      <w:r>
        <w:t>these guidelines, th</w:t>
      </w:r>
      <w:r w:rsidR="00B15743">
        <w:t>e</w:t>
      </w:r>
      <w:r w:rsidR="00F11521">
        <w:t xml:space="preserve"> Privacy Commissioner </w:t>
      </w:r>
      <w:r w:rsidR="00B15743">
        <w:t>is</w:t>
      </w:r>
      <w:proofErr w:type="gramEnd"/>
      <w:r w:rsidR="00B15743">
        <w:t xml:space="preserve"> </w:t>
      </w:r>
      <w:r w:rsidR="00F11521">
        <w:t>satisfied that consultation</w:t>
      </w:r>
      <w:r>
        <w:t xml:space="preserve"> was </w:t>
      </w:r>
      <w:r w:rsidR="00F11521">
        <w:t>unnecessary</w:t>
      </w:r>
      <w:r w:rsidR="00B15743">
        <w:t xml:space="preserve"> because</w:t>
      </w:r>
      <w:r>
        <w:t xml:space="preserve"> the changes made to the guidelines</w:t>
      </w:r>
      <w:r w:rsidR="00B15743">
        <w:t>:</w:t>
      </w:r>
    </w:p>
    <w:p w:rsidR="00F11521" w:rsidRDefault="00C67439" w:rsidP="003A375D">
      <w:pPr>
        <w:pStyle w:val="ListParagraph"/>
        <w:numPr>
          <w:ilvl w:val="0"/>
          <w:numId w:val="17"/>
        </w:numPr>
      </w:pPr>
      <w:r>
        <w:t>were</w:t>
      </w:r>
      <w:r w:rsidR="00B15743">
        <w:t xml:space="preserve"> limited to updating references to the amended Privacy Act; and</w:t>
      </w:r>
    </w:p>
    <w:p w:rsidR="00B15743" w:rsidRDefault="00B15743" w:rsidP="003A375D">
      <w:pPr>
        <w:pStyle w:val="ListParagraph"/>
        <w:numPr>
          <w:ilvl w:val="0"/>
          <w:numId w:val="17"/>
        </w:numPr>
      </w:pPr>
      <w:proofErr w:type="gramStart"/>
      <w:r>
        <w:t>do</w:t>
      </w:r>
      <w:proofErr w:type="gramEnd"/>
      <w:r w:rsidR="00C67439">
        <w:t xml:space="preserve"> not substantially alter existing arrangements.</w:t>
      </w:r>
    </w:p>
    <w:p w:rsidR="00F11521" w:rsidRDefault="00D16F3C" w:rsidP="00D16F3C">
      <w:pPr>
        <w:pStyle w:val="Heading3"/>
      </w:pPr>
      <w:r>
        <w:t>Legal status of the guidelines</w:t>
      </w:r>
    </w:p>
    <w:p w:rsidR="00D16F3C" w:rsidRPr="00D16F3C" w:rsidRDefault="00D16F3C" w:rsidP="00D16F3C">
      <w:r w:rsidRPr="00D16F3C">
        <w:t>The guidelines are legally binding on all private sector organisations that have obtained genetic information in the cours</w:t>
      </w:r>
      <w:r>
        <w:t xml:space="preserve">e of providing a health service. </w:t>
      </w:r>
    </w:p>
    <w:p w:rsidR="00D16F3C" w:rsidRPr="00D16F3C" w:rsidRDefault="00D16F3C" w:rsidP="00D16F3C">
      <w:r w:rsidRPr="00D16F3C">
        <w:t xml:space="preserve">The guidelines establish when, by whom and in what manner the use or disclosure of genetic information without consent may take place </w:t>
      </w:r>
      <w:r w:rsidR="002C4213">
        <w:t xml:space="preserve">under </w:t>
      </w:r>
      <w:r w:rsidR="002C4213" w:rsidRPr="00254610">
        <w:t>APP 6.2(d) and section 16B(4)</w:t>
      </w:r>
      <w:r w:rsidR="002C4213">
        <w:t xml:space="preserve"> of the Privacy Act</w:t>
      </w:r>
      <w:r>
        <w:t xml:space="preserve">. </w:t>
      </w:r>
      <w:r w:rsidR="002C4213">
        <w:t>U</w:t>
      </w:r>
      <w:r w:rsidRPr="00D16F3C">
        <w:t xml:space="preserve">se or disclosure to genetic relatives </w:t>
      </w:r>
      <w:r w:rsidR="002C4213">
        <w:t xml:space="preserve">under </w:t>
      </w:r>
      <w:r w:rsidR="002C4213" w:rsidRPr="002C4213">
        <w:t>APP</w:t>
      </w:r>
      <w:r w:rsidR="002C4213">
        <w:t> </w:t>
      </w:r>
      <w:r w:rsidR="002C4213" w:rsidRPr="00254610">
        <w:t xml:space="preserve">6.2(d) and section </w:t>
      </w:r>
      <w:proofErr w:type="gramStart"/>
      <w:r w:rsidR="002C4213" w:rsidRPr="00254610">
        <w:t>16B(</w:t>
      </w:r>
      <w:proofErr w:type="gramEnd"/>
      <w:r w:rsidR="002C4213" w:rsidRPr="00254610">
        <w:t>4)</w:t>
      </w:r>
      <w:r w:rsidR="002C4213">
        <w:t xml:space="preserve"> </w:t>
      </w:r>
      <w:r w:rsidR="00254610" w:rsidRPr="00D16F3C">
        <w:t xml:space="preserve">is only permitted </w:t>
      </w:r>
      <w:r w:rsidRPr="00D16F3C">
        <w:t xml:space="preserve">in accordance with these guidelines.  </w:t>
      </w:r>
    </w:p>
    <w:p w:rsidR="00D16F3C" w:rsidRPr="00D16F3C" w:rsidRDefault="00D16F3C" w:rsidP="00D16F3C">
      <w:r w:rsidRPr="00D16F3C">
        <w:t xml:space="preserve">A breach of the guidelines constitutes an interference with privacy under </w:t>
      </w:r>
      <w:r w:rsidR="00A21B46">
        <w:t>section 13</w:t>
      </w:r>
      <w:r w:rsidRPr="00D16F3C">
        <w:t xml:space="preserve"> of the Privacy Act because the act or practice would breach </w:t>
      </w:r>
      <w:r w:rsidR="00A21B46">
        <w:t>an Austral</w:t>
      </w:r>
      <w:r w:rsidR="004921FF">
        <w:t>ian Privacy Principle in relation to personal information about the individual.</w:t>
      </w:r>
      <w:r w:rsidRPr="00D16F3C">
        <w:t xml:space="preserve"> An individual may complain to the </w:t>
      </w:r>
      <w:r w:rsidR="00C70DFE">
        <w:lastRenderedPageBreak/>
        <w:t>Office of the Australian Information Commissioner</w:t>
      </w:r>
      <w:r w:rsidRPr="00D16F3C">
        <w:t xml:space="preserve"> about an act or practice they believe has not been done in accordance with </w:t>
      </w:r>
      <w:r w:rsidR="004921FF">
        <w:t>APP</w:t>
      </w:r>
      <w:r w:rsidR="00347EAE">
        <w:t xml:space="preserve"> </w:t>
      </w:r>
      <w:r w:rsidR="004921FF">
        <w:t>6.2(d</w:t>
      </w:r>
      <w:r w:rsidR="002F211E">
        <w:t>).</w:t>
      </w:r>
    </w:p>
    <w:p w:rsidR="00D16F3C" w:rsidRPr="00D16F3C" w:rsidRDefault="00D16F3C" w:rsidP="00D16F3C">
      <w:r w:rsidRPr="00D16F3C">
        <w:t xml:space="preserve">In addition to setting out binding legal requirements, the guidelines provide general advice on good practice to assist health practitioners to meet their obligations under </w:t>
      </w:r>
      <w:r w:rsidR="004921FF">
        <w:t xml:space="preserve">APP6.2(d), </w:t>
      </w:r>
      <w:r>
        <w:t>s 16B(4)</w:t>
      </w:r>
      <w:r w:rsidRPr="00D16F3C">
        <w:t xml:space="preserve"> and the guidelines.</w:t>
      </w:r>
    </w:p>
    <w:p w:rsidR="000F445E" w:rsidRPr="00C70DFE" w:rsidRDefault="00D16F3C" w:rsidP="00C70DFE">
      <w:r w:rsidRPr="00D16F3C">
        <w:t xml:space="preserve">The guidelines will take effect </w:t>
      </w:r>
      <w:r w:rsidR="00CA6803">
        <w:t xml:space="preserve">on </w:t>
      </w:r>
      <w:r w:rsidRPr="00D16F3C">
        <w:rPr>
          <w:b/>
        </w:rPr>
        <w:t>1</w:t>
      </w:r>
      <w:r w:rsidR="002C4213">
        <w:rPr>
          <w:b/>
        </w:rPr>
        <w:t>2 March 2014</w:t>
      </w:r>
      <w:r w:rsidRPr="00D16F3C">
        <w:t xml:space="preserve">. </w:t>
      </w:r>
    </w:p>
    <w:p w:rsidR="00D16F3C" w:rsidRDefault="00D16F3C" w:rsidP="00254610">
      <w:pPr>
        <w:pStyle w:val="Heading1"/>
      </w:pPr>
      <w:r>
        <w:t>Statement of Compatibility with Human Rights</w:t>
      </w:r>
    </w:p>
    <w:p w:rsidR="00D16F3C" w:rsidRDefault="00D16F3C" w:rsidP="00D16F3C">
      <w:r>
        <w:t xml:space="preserve">This Statement of Compatibility with Human Rights has been prepared in accordance with Part 3 of the </w:t>
      </w:r>
      <w:r>
        <w:rPr>
          <w:i/>
        </w:rPr>
        <w:t>Human Rights (Parliamentary Scrutiny) Act 2011</w:t>
      </w:r>
      <w:r>
        <w:t xml:space="preserve">. </w:t>
      </w:r>
    </w:p>
    <w:p w:rsidR="00D16F3C" w:rsidRDefault="00C70DFE" w:rsidP="00D16F3C">
      <w:pPr>
        <w:rPr>
          <w:i/>
        </w:rPr>
      </w:pPr>
      <w:r>
        <w:t>The A</w:t>
      </w:r>
      <w:r w:rsidR="00D16F3C">
        <w:t xml:space="preserve">pproval by the Privacy Commissioner of guidelines issued under section 95AA of the </w:t>
      </w:r>
      <w:r w:rsidR="00D16F3C">
        <w:rPr>
          <w:i/>
        </w:rPr>
        <w:t>Privacy Act 1988</w:t>
      </w:r>
      <w:r w:rsidR="00D16F3C">
        <w:t xml:space="preserve"> </w:t>
      </w:r>
      <w:r w:rsidR="00E01D81">
        <w:t xml:space="preserve">(Privacy Act) </w:t>
      </w:r>
      <w:r w:rsidR="00D16F3C">
        <w:t>is compatible with the human rights and freedoms recognised or declared in the international instruments listed in s</w:t>
      </w:r>
      <w:r w:rsidR="002F211E">
        <w:t>ection</w:t>
      </w:r>
      <w:r w:rsidR="00D16F3C">
        <w:t xml:space="preserve"> 3 of the </w:t>
      </w:r>
      <w:r w:rsidR="00D16F3C">
        <w:rPr>
          <w:i/>
        </w:rPr>
        <w:t xml:space="preserve">Human Rights (Parliamentary Scrutiny) Act 2011. </w:t>
      </w:r>
    </w:p>
    <w:p w:rsidR="00D16F3C" w:rsidRDefault="00F85115" w:rsidP="00F85115">
      <w:pPr>
        <w:pStyle w:val="Heading4"/>
      </w:pPr>
      <w:r>
        <w:t>Overview of the legislative instrument</w:t>
      </w:r>
    </w:p>
    <w:p w:rsidR="00F85115" w:rsidRDefault="00F85115" w:rsidP="00F85115">
      <w:r>
        <w:t xml:space="preserve">The legislative instrument approves the guidelines issued by the </w:t>
      </w:r>
      <w:r w:rsidR="003A375D">
        <w:t>National Health and Medical Research Council</w:t>
      </w:r>
      <w:r>
        <w:t xml:space="preserve"> under s</w:t>
      </w:r>
      <w:r w:rsidR="002F211E">
        <w:t>ection</w:t>
      </w:r>
      <w:r>
        <w:t xml:space="preserve"> 95AA of the Privacy Act relating to the use and disclosure of genetic information for the purposes of lessening or preventing a serious threat to the life, health or safety of an individual who is a genetic relative of the individual to whom the genetic information relates</w:t>
      </w:r>
      <w:r w:rsidR="00CA6803">
        <w:t xml:space="preserve"> (the guidelines)</w:t>
      </w:r>
      <w:r>
        <w:t xml:space="preserve">. </w:t>
      </w:r>
    </w:p>
    <w:p w:rsidR="00F85115" w:rsidRDefault="00F85115" w:rsidP="00F85115">
      <w:pPr>
        <w:pStyle w:val="Heading4"/>
      </w:pPr>
      <w:r>
        <w:t>Human rights implications</w:t>
      </w:r>
    </w:p>
    <w:p w:rsidR="00F85115" w:rsidRPr="00C15AA9" w:rsidRDefault="00F85115" w:rsidP="00F85115">
      <w:pPr>
        <w:rPr>
          <w:szCs w:val="24"/>
          <w:lang w:val="en-GB" w:eastAsia="en-AU"/>
        </w:rPr>
      </w:pPr>
      <w:r w:rsidRPr="00C15AA9">
        <w:rPr>
          <w:szCs w:val="24"/>
          <w:lang w:val="en-GB" w:eastAsia="en-AU"/>
        </w:rPr>
        <w:t>Under s</w:t>
      </w:r>
      <w:r w:rsidR="00386AC1">
        <w:rPr>
          <w:szCs w:val="24"/>
          <w:lang w:val="en-GB" w:eastAsia="en-AU"/>
        </w:rPr>
        <w:t>ection</w:t>
      </w:r>
      <w:r w:rsidRPr="00C15AA9">
        <w:rPr>
          <w:szCs w:val="24"/>
          <w:lang w:val="en-GB" w:eastAsia="en-AU"/>
        </w:rPr>
        <w:t xml:space="preserve"> 29 of the Privacy Act, in performing </w:t>
      </w:r>
      <w:r w:rsidR="00E01D81">
        <w:rPr>
          <w:szCs w:val="24"/>
          <w:lang w:val="en-GB" w:eastAsia="en-AU"/>
        </w:rPr>
        <w:t>Commissioner</w:t>
      </w:r>
      <w:r w:rsidR="00E01D81" w:rsidRPr="00C15AA9">
        <w:rPr>
          <w:szCs w:val="24"/>
          <w:lang w:val="en-GB" w:eastAsia="en-AU"/>
        </w:rPr>
        <w:t xml:space="preserve"> </w:t>
      </w:r>
      <w:r w:rsidRPr="00C15AA9">
        <w:rPr>
          <w:szCs w:val="24"/>
          <w:lang w:val="en-GB" w:eastAsia="en-AU"/>
        </w:rPr>
        <w:t xml:space="preserve">functions or exercising </w:t>
      </w:r>
      <w:r w:rsidR="00E01D81">
        <w:rPr>
          <w:szCs w:val="24"/>
          <w:lang w:val="en-GB" w:eastAsia="en-AU"/>
        </w:rPr>
        <w:t>Commissioner</w:t>
      </w:r>
      <w:r w:rsidR="00E01D81" w:rsidRPr="00C15AA9">
        <w:rPr>
          <w:szCs w:val="24"/>
          <w:lang w:val="en-GB" w:eastAsia="en-AU"/>
        </w:rPr>
        <w:t xml:space="preserve"> </w:t>
      </w:r>
      <w:r w:rsidRPr="00C15AA9">
        <w:rPr>
          <w:szCs w:val="24"/>
          <w:lang w:val="en-GB" w:eastAsia="en-AU"/>
        </w:rPr>
        <w:t>powers, the Privacy Commissioner must, amongst other things:</w:t>
      </w:r>
    </w:p>
    <w:p w:rsidR="00F85115" w:rsidRPr="00C15AA9" w:rsidRDefault="00F85115" w:rsidP="00F85115">
      <w:pPr>
        <w:ind w:left="1560" w:hanging="840"/>
        <w:rPr>
          <w:rFonts w:eastAsia="Times New Roman" w:cs="Calibri"/>
          <w:i/>
          <w:szCs w:val="24"/>
          <w:lang w:val="en-GB"/>
        </w:rPr>
      </w:pPr>
      <w:r w:rsidRPr="00C15AA9">
        <w:rPr>
          <w:rFonts w:eastAsia="Times New Roman" w:cs="Calibri"/>
          <w:i/>
          <w:szCs w:val="24"/>
          <w:lang w:val="en-GB"/>
        </w:rPr>
        <w:t>(a)</w:t>
      </w:r>
      <w:r w:rsidRPr="00C15AA9">
        <w:rPr>
          <w:rFonts w:eastAsia="Times New Roman" w:cs="Calibri"/>
          <w:i/>
          <w:szCs w:val="24"/>
          <w:lang w:val="en-GB"/>
        </w:rPr>
        <w:tab/>
      </w:r>
      <w:proofErr w:type="gramStart"/>
      <w:r w:rsidRPr="00C15AA9">
        <w:rPr>
          <w:rFonts w:eastAsia="Times New Roman" w:cs="Calibri"/>
          <w:i/>
          <w:szCs w:val="24"/>
          <w:lang w:val="en-GB"/>
        </w:rPr>
        <w:t>have</w:t>
      </w:r>
      <w:proofErr w:type="gramEnd"/>
      <w:r w:rsidRPr="00C15AA9">
        <w:rPr>
          <w:rFonts w:eastAsia="Times New Roman" w:cs="Calibri"/>
          <w:i/>
          <w:szCs w:val="24"/>
          <w:lang w:val="en-GB"/>
        </w:rPr>
        <w:t xml:space="preserve"> due regard for the protection of important human rights and social interests that compete with privacy…</w:t>
      </w:r>
    </w:p>
    <w:p w:rsidR="00F85115" w:rsidRDefault="00F85115" w:rsidP="00F85115">
      <w:pPr>
        <w:rPr>
          <w:lang w:eastAsia="en-AU"/>
        </w:rPr>
      </w:pPr>
      <w:r w:rsidRPr="001E258D">
        <w:rPr>
          <w:lang w:val="en-GB" w:eastAsia="en-AU"/>
        </w:rPr>
        <w:t>The Preamble to the Privacy Act makes clear that the legislation was intended to implement, at least in part, Australia’s obligations relating to privacy under the</w:t>
      </w:r>
      <w:r>
        <w:rPr>
          <w:lang w:val="en-GB" w:eastAsia="en-AU"/>
        </w:rPr>
        <w:t xml:space="preserve"> </w:t>
      </w:r>
      <w:r w:rsidRPr="00263650">
        <w:rPr>
          <w:i/>
          <w:lang w:val="en-GB" w:eastAsia="en-AU"/>
        </w:rPr>
        <w:t>International Covenant on Civil and Political Rights</w:t>
      </w:r>
      <w:r w:rsidRPr="00263650">
        <w:rPr>
          <w:lang w:val="en-GB" w:eastAsia="en-AU"/>
        </w:rPr>
        <w:t xml:space="preserve"> (ICCPR)</w:t>
      </w:r>
      <w:r>
        <w:rPr>
          <w:lang w:val="en-GB" w:eastAsia="en-AU"/>
        </w:rPr>
        <w:t>. Specifically, a</w:t>
      </w:r>
      <w:r w:rsidRPr="001E258D">
        <w:rPr>
          <w:lang w:val="en-GB" w:eastAsia="en-AU"/>
        </w:rPr>
        <w:t>rticle 17 of the ICCPR prohibits unlawful or arbitrary interferences with a person's privacy, family, home and correspondence.</w:t>
      </w:r>
      <w:r>
        <w:rPr>
          <w:lang w:val="en-GB" w:eastAsia="en-AU"/>
        </w:rPr>
        <w:t xml:space="preserve"> However, the right to privacy is not absolute and t</w:t>
      </w:r>
      <w:r w:rsidRPr="001E258D">
        <w:rPr>
          <w:lang w:eastAsia="en-AU"/>
        </w:rPr>
        <w:t xml:space="preserve">here may be circumstances in which the </w:t>
      </w:r>
      <w:r w:rsidRPr="00B13D79">
        <w:rPr>
          <w:lang w:eastAsia="en-AU"/>
        </w:rPr>
        <w:t xml:space="preserve">guarantees </w:t>
      </w:r>
      <w:r>
        <w:rPr>
          <w:lang w:eastAsia="en-AU"/>
        </w:rPr>
        <w:t xml:space="preserve">in article 17 </w:t>
      </w:r>
      <w:r w:rsidRPr="001E258D">
        <w:rPr>
          <w:lang w:eastAsia="en-AU"/>
        </w:rPr>
        <w:t xml:space="preserve">can be outweighed </w:t>
      </w:r>
      <w:r>
        <w:rPr>
          <w:lang w:eastAsia="en-AU"/>
        </w:rPr>
        <w:t>by other considerations, such as</w:t>
      </w:r>
      <w:r w:rsidR="0061236B">
        <w:rPr>
          <w:lang w:eastAsia="en-AU"/>
        </w:rPr>
        <w:t xml:space="preserve"> the protection of the right to </w:t>
      </w:r>
      <w:r w:rsidR="0061236B">
        <w:t>health</w:t>
      </w:r>
      <w:r>
        <w:rPr>
          <w:lang w:eastAsia="en-AU"/>
        </w:rPr>
        <w:t>.</w:t>
      </w:r>
    </w:p>
    <w:p w:rsidR="0061236B" w:rsidRDefault="0061236B" w:rsidP="00F85115">
      <w:pPr>
        <w:rPr>
          <w:lang w:eastAsia="en-AU"/>
        </w:rPr>
      </w:pPr>
      <w:r>
        <w:rPr>
          <w:lang w:eastAsia="en-AU"/>
        </w:rPr>
        <w:t xml:space="preserve">With respect to the right to health, article 12 of the </w:t>
      </w:r>
      <w:r>
        <w:rPr>
          <w:i/>
          <w:lang w:eastAsia="en-AU"/>
        </w:rPr>
        <w:t>International Covenant on Economic, Social and Cultural Rights</w:t>
      </w:r>
      <w:r>
        <w:rPr>
          <w:lang w:eastAsia="en-AU"/>
        </w:rPr>
        <w:t xml:space="preserve"> </w:t>
      </w:r>
      <w:r w:rsidR="00C15AA9">
        <w:rPr>
          <w:lang w:eastAsia="en-AU"/>
        </w:rPr>
        <w:t xml:space="preserve">(ICESCR) </w:t>
      </w:r>
      <w:r>
        <w:rPr>
          <w:lang w:eastAsia="en-AU"/>
        </w:rPr>
        <w:t>provides that</w:t>
      </w:r>
      <w:r w:rsidR="00C15AA9">
        <w:rPr>
          <w:lang w:eastAsia="en-AU"/>
        </w:rPr>
        <w:t>:</w:t>
      </w:r>
    </w:p>
    <w:p w:rsidR="0061236B" w:rsidRDefault="00C15AA9" w:rsidP="00C15AA9">
      <w:pPr>
        <w:pStyle w:val="ListParagraph"/>
        <w:numPr>
          <w:ilvl w:val="0"/>
          <w:numId w:val="15"/>
        </w:numPr>
        <w:rPr>
          <w:lang w:eastAsia="en-AU"/>
        </w:rPr>
      </w:pPr>
      <w:r w:rsidRPr="00C15AA9">
        <w:rPr>
          <w:i/>
          <w:lang w:eastAsia="en-AU"/>
        </w:rPr>
        <w:t>The State Parties to the present Covenant recognise the right of everyone to the enjoyment of the highest attainable standard of physical and mental health</w:t>
      </w:r>
      <w:r>
        <w:rPr>
          <w:lang w:eastAsia="en-AU"/>
        </w:rPr>
        <w:t xml:space="preserve">. </w:t>
      </w:r>
    </w:p>
    <w:p w:rsidR="00C15AA9" w:rsidRDefault="00C15AA9" w:rsidP="00C15AA9">
      <w:pPr>
        <w:rPr>
          <w:lang w:eastAsia="en-AU"/>
        </w:rPr>
      </w:pPr>
      <w:r>
        <w:rPr>
          <w:lang w:eastAsia="en-AU"/>
        </w:rPr>
        <w:lastRenderedPageBreak/>
        <w:t>Article 12(2) of the ICESCR outlines the steps to be taken to achieve the full realisation of this right, including those necessary for:</w:t>
      </w:r>
    </w:p>
    <w:p w:rsidR="00C15AA9" w:rsidRPr="00C15AA9" w:rsidRDefault="00C15AA9" w:rsidP="00C15AA9">
      <w:pPr>
        <w:ind w:left="1560" w:hanging="840"/>
        <w:rPr>
          <w:i/>
          <w:lang w:eastAsia="en-AU"/>
        </w:rPr>
      </w:pPr>
      <w:r>
        <w:rPr>
          <w:i/>
          <w:lang w:eastAsia="en-AU"/>
        </w:rPr>
        <w:t>(c)</w:t>
      </w:r>
      <w:r>
        <w:rPr>
          <w:i/>
          <w:lang w:eastAsia="en-AU"/>
        </w:rPr>
        <w:tab/>
      </w:r>
      <w:r w:rsidRPr="00C15AA9">
        <w:rPr>
          <w:i/>
          <w:lang w:eastAsia="en-AU"/>
        </w:rPr>
        <w:t>The prevention, treatment an</w:t>
      </w:r>
      <w:r w:rsidR="00C70DFE">
        <w:rPr>
          <w:i/>
          <w:lang w:eastAsia="en-AU"/>
        </w:rPr>
        <w:t xml:space="preserve">d control of epidemic, endemic, </w:t>
      </w:r>
      <w:r w:rsidRPr="00C15AA9">
        <w:rPr>
          <w:i/>
          <w:lang w:eastAsia="en-AU"/>
        </w:rPr>
        <w:t>occupational and other diseases.</w:t>
      </w:r>
    </w:p>
    <w:p w:rsidR="00B175C2" w:rsidRDefault="006C754B" w:rsidP="00B175C2">
      <w:pPr>
        <w:rPr>
          <w:lang w:eastAsia="en-AU"/>
        </w:rPr>
      </w:pPr>
      <w:r>
        <w:rPr>
          <w:lang w:eastAsia="en-AU"/>
        </w:rPr>
        <w:t>In</w:t>
      </w:r>
      <w:r w:rsidRPr="006C754B">
        <w:rPr>
          <w:lang w:eastAsia="en-AU"/>
        </w:rPr>
        <w:t xml:space="preserve"> some circumstances, the use or disclosure of genetic information can prevent serious health consequences for genetic relatives by allowing the early detection and treatment</w:t>
      </w:r>
      <w:r>
        <w:rPr>
          <w:lang w:eastAsia="en-AU"/>
        </w:rPr>
        <w:t xml:space="preserve"> of inherited genetic disorders, advancing the right to health. </w:t>
      </w:r>
      <w:r w:rsidR="00592A3C">
        <w:rPr>
          <w:lang w:eastAsia="en-AU"/>
        </w:rPr>
        <w:t xml:space="preserve">Ideally, this use or disclosure will occur with the consent of </w:t>
      </w:r>
      <w:r w:rsidR="00386AC1">
        <w:rPr>
          <w:lang w:eastAsia="en-AU"/>
        </w:rPr>
        <w:t xml:space="preserve">the </w:t>
      </w:r>
      <w:r w:rsidR="00592A3C">
        <w:rPr>
          <w:lang w:eastAsia="en-AU"/>
        </w:rPr>
        <w:t>individual</w:t>
      </w:r>
      <w:r w:rsidR="00386AC1">
        <w:rPr>
          <w:lang w:eastAsia="en-AU"/>
        </w:rPr>
        <w:t xml:space="preserve"> to whom the genetic information relates</w:t>
      </w:r>
      <w:r w:rsidR="00592A3C">
        <w:rPr>
          <w:lang w:eastAsia="en-AU"/>
        </w:rPr>
        <w:t>. S</w:t>
      </w:r>
      <w:r w:rsidR="00B175C2">
        <w:rPr>
          <w:lang w:eastAsia="en-AU"/>
        </w:rPr>
        <w:t xml:space="preserve">ection 95AA of the Privacy Act </w:t>
      </w:r>
      <w:r w:rsidR="00386AC1">
        <w:rPr>
          <w:lang w:eastAsia="en-AU"/>
        </w:rPr>
        <w:t xml:space="preserve">provides for the approval of guidelines which </w:t>
      </w:r>
      <w:r w:rsidR="00B175C2">
        <w:rPr>
          <w:lang w:eastAsia="en-AU"/>
        </w:rPr>
        <w:t xml:space="preserve">limit uses and disclosures of genetic information about an individual </w:t>
      </w:r>
      <w:r w:rsidR="00592A3C">
        <w:rPr>
          <w:lang w:eastAsia="en-AU"/>
        </w:rPr>
        <w:t xml:space="preserve">without consent </w:t>
      </w:r>
      <w:r w:rsidR="00B175C2">
        <w:rPr>
          <w:lang w:eastAsia="en-AU"/>
        </w:rPr>
        <w:t xml:space="preserve">to circumstances in which the use or disclosure is necessary to lessen or prevent a serious threat to the life, health or safety of a genetic relative of the individual. </w:t>
      </w:r>
      <w:r w:rsidR="00592A3C">
        <w:rPr>
          <w:lang w:eastAsia="en-AU"/>
        </w:rPr>
        <w:t>The g</w:t>
      </w:r>
      <w:r w:rsidR="00B175C2">
        <w:rPr>
          <w:lang w:eastAsia="en-AU"/>
        </w:rPr>
        <w:t xml:space="preserve">uidelines </w:t>
      </w:r>
      <w:r w:rsidR="00592A3C">
        <w:rPr>
          <w:lang w:eastAsia="en-AU"/>
        </w:rPr>
        <w:t xml:space="preserve">issued by the </w:t>
      </w:r>
      <w:r w:rsidR="003A375D">
        <w:rPr>
          <w:lang w:eastAsia="en-AU"/>
        </w:rPr>
        <w:t>National Health and Medical Research Council</w:t>
      </w:r>
      <w:r w:rsidR="00592A3C">
        <w:rPr>
          <w:lang w:eastAsia="en-AU"/>
        </w:rPr>
        <w:t xml:space="preserve"> </w:t>
      </w:r>
      <w:r w:rsidR="00592A3C" w:rsidRPr="00592A3C">
        <w:rPr>
          <w:lang w:eastAsia="en-AU"/>
        </w:rPr>
        <w:t xml:space="preserve">specify the requirements that must be met if </w:t>
      </w:r>
      <w:r w:rsidR="00592A3C">
        <w:rPr>
          <w:lang w:eastAsia="en-AU"/>
        </w:rPr>
        <w:t>genetic information is</w:t>
      </w:r>
      <w:r w:rsidR="00592A3C" w:rsidRPr="00592A3C">
        <w:rPr>
          <w:lang w:eastAsia="en-AU"/>
        </w:rPr>
        <w:t xml:space="preserve"> use</w:t>
      </w:r>
      <w:r w:rsidR="00592A3C">
        <w:rPr>
          <w:lang w:eastAsia="en-AU"/>
        </w:rPr>
        <w:t>d</w:t>
      </w:r>
      <w:r w:rsidR="00592A3C" w:rsidRPr="00592A3C">
        <w:rPr>
          <w:lang w:eastAsia="en-AU"/>
        </w:rPr>
        <w:t xml:space="preserve"> or disclose</w:t>
      </w:r>
      <w:r w:rsidR="00592A3C">
        <w:rPr>
          <w:lang w:eastAsia="en-AU"/>
        </w:rPr>
        <w:t>d</w:t>
      </w:r>
      <w:r w:rsidR="00592A3C" w:rsidRPr="00592A3C">
        <w:rPr>
          <w:lang w:eastAsia="en-AU"/>
        </w:rPr>
        <w:t xml:space="preserve"> without consent</w:t>
      </w:r>
      <w:r w:rsidR="00592A3C">
        <w:rPr>
          <w:lang w:eastAsia="en-AU"/>
        </w:rPr>
        <w:t>.</w:t>
      </w:r>
    </w:p>
    <w:p w:rsidR="006C754B" w:rsidRDefault="00B175C2" w:rsidP="00C15AA9">
      <w:pPr>
        <w:rPr>
          <w:lang w:eastAsia="en-AU"/>
        </w:rPr>
      </w:pPr>
      <w:r>
        <w:rPr>
          <w:lang w:eastAsia="en-AU"/>
        </w:rPr>
        <w:t xml:space="preserve">In approving the guidelines, the Privacy Commissioner has considered the competing rights to privacy and health. </w:t>
      </w:r>
      <w:r w:rsidR="006C754B">
        <w:rPr>
          <w:lang w:eastAsia="en-AU"/>
        </w:rPr>
        <w:t xml:space="preserve">Privacy is a right that must be appropriately balanced against other competing rights, including the right to health. It is considered that the acts or practices authorised by this legislative instrument </w:t>
      </w:r>
      <w:r>
        <w:rPr>
          <w:lang w:eastAsia="en-AU"/>
        </w:rPr>
        <w:t>advance</w:t>
      </w:r>
      <w:r w:rsidR="006C754B">
        <w:rPr>
          <w:lang w:eastAsia="en-AU"/>
        </w:rPr>
        <w:t xml:space="preserve"> the protection of human rights and the right to health. To the extent that it may also limit human rights, those limitations are reasonable and proportionate. </w:t>
      </w:r>
    </w:p>
    <w:p w:rsidR="00B175C2" w:rsidRDefault="00B175C2" w:rsidP="00B175C2">
      <w:pPr>
        <w:pStyle w:val="Heading4"/>
        <w:rPr>
          <w:lang w:eastAsia="en-AU"/>
        </w:rPr>
      </w:pPr>
      <w:r>
        <w:rPr>
          <w:lang w:eastAsia="en-AU"/>
        </w:rPr>
        <w:t>Conclusion</w:t>
      </w:r>
    </w:p>
    <w:p w:rsidR="00B175C2" w:rsidRPr="00B175C2" w:rsidRDefault="00B175C2" w:rsidP="00B175C2">
      <w:pPr>
        <w:rPr>
          <w:lang w:eastAsia="en-AU"/>
        </w:rPr>
      </w:pPr>
      <w:r>
        <w:rPr>
          <w:lang w:eastAsia="en-AU"/>
        </w:rPr>
        <w:t xml:space="preserve">The </w:t>
      </w:r>
      <w:r>
        <w:t xml:space="preserve">approval by the Privacy Commissioner of guidelines issued under section 95AA of the </w:t>
      </w:r>
      <w:r>
        <w:rPr>
          <w:i/>
        </w:rPr>
        <w:t xml:space="preserve">Privacy Act 1988 </w:t>
      </w:r>
      <w:r>
        <w:t xml:space="preserve">is compatible with human rights because it advances the protection of human rights and to the extent that </w:t>
      </w:r>
      <w:r w:rsidR="00CA6803">
        <w:t xml:space="preserve">it </w:t>
      </w:r>
      <w:r>
        <w:t xml:space="preserve">may also limit human rights, those limitations are reasonable and proportionate. </w:t>
      </w:r>
    </w:p>
    <w:p w:rsidR="0061236B" w:rsidRDefault="0061236B" w:rsidP="00F85115">
      <w:pPr>
        <w:rPr>
          <w:lang w:eastAsia="en-AU"/>
        </w:rPr>
      </w:pPr>
    </w:p>
    <w:p w:rsidR="00255634" w:rsidRPr="00255634" w:rsidRDefault="00255634" w:rsidP="00255634">
      <w:pPr>
        <w:ind w:left="720" w:hanging="720"/>
        <w:jc w:val="center"/>
        <w:rPr>
          <w:rFonts w:asciiTheme="minorHAnsi" w:hAnsiTheme="minorHAnsi" w:cstheme="minorHAnsi"/>
          <w:szCs w:val="22"/>
        </w:rPr>
      </w:pPr>
      <w:r w:rsidRPr="00255634">
        <w:rPr>
          <w:rFonts w:asciiTheme="minorHAnsi" w:hAnsiTheme="minorHAnsi" w:cstheme="minorHAnsi"/>
          <w:b/>
          <w:szCs w:val="24"/>
        </w:rPr>
        <w:t>Timothy Pilgrim, Australian Privacy Commissioner</w:t>
      </w:r>
    </w:p>
    <w:p w:rsidR="0061236B" w:rsidRPr="00F85115" w:rsidRDefault="0061236B" w:rsidP="00F85115"/>
    <w:p w:rsidR="00F85115" w:rsidRPr="00F85115" w:rsidRDefault="00F85115" w:rsidP="00F85115"/>
    <w:p w:rsidR="00F85115" w:rsidRPr="00F85115" w:rsidRDefault="00F85115" w:rsidP="00F85115"/>
    <w:p w:rsidR="00D16F3C" w:rsidRPr="00D16F3C" w:rsidRDefault="00D16F3C" w:rsidP="00D16F3C"/>
    <w:p w:rsidR="00F11521" w:rsidRPr="007E102D" w:rsidRDefault="00F11521" w:rsidP="007E102D"/>
    <w:sectPr w:rsidR="00F11521" w:rsidRPr="007E102D" w:rsidSect="001E4C39">
      <w:headerReference w:type="default" r:id="rId11"/>
      <w:footerReference w:type="default" r:id="rId12"/>
      <w:pgSz w:w="11906" w:h="16838"/>
      <w:pgMar w:top="1440" w:right="170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80" w:rsidRDefault="00983780" w:rsidP="001E4C39">
      <w:pPr>
        <w:spacing w:after="0"/>
      </w:pPr>
      <w:r>
        <w:separator/>
      </w:r>
    </w:p>
  </w:endnote>
  <w:endnote w:type="continuationSeparator" w:id="0">
    <w:p w:rsidR="00983780" w:rsidRDefault="00983780" w:rsidP="001E4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80" w:rsidRPr="001E4C39" w:rsidRDefault="00983780" w:rsidP="00810CEB">
    <w:pPr>
      <w:pStyle w:val="Footer"/>
    </w:pPr>
    <w:r>
      <w:rPr>
        <w:b w:val="0"/>
      </w:rPr>
      <w:t xml:space="preserve">Explanatory Statement: Approval by the Privacy Commissioner of guidelines issued under section 95AA of the </w:t>
    </w:r>
    <w:r w:rsidRPr="00810CEB">
      <w:rPr>
        <w:b w:val="0"/>
        <w:i/>
      </w:rPr>
      <w:t>Privacy Act 1988</w:t>
    </w:r>
    <w:r>
      <w:tab/>
    </w:r>
    <w:sdt>
      <w:sdtPr>
        <w:id w:val="18090591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595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80" w:rsidRDefault="00983780" w:rsidP="001E4C39">
      <w:pPr>
        <w:spacing w:after="0"/>
      </w:pPr>
      <w:r>
        <w:separator/>
      </w:r>
    </w:p>
  </w:footnote>
  <w:footnote w:type="continuationSeparator" w:id="0">
    <w:p w:rsidR="00983780" w:rsidRDefault="00983780" w:rsidP="001E4C39">
      <w:pPr>
        <w:spacing w:after="0"/>
      </w:pPr>
      <w:r>
        <w:continuationSeparator/>
      </w:r>
    </w:p>
  </w:footnote>
  <w:footnote w:id="1">
    <w:p w:rsidR="00983780" w:rsidRDefault="009837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A375D">
        <w:rPr>
          <w:i/>
        </w:rPr>
        <w:t>Privacy Legislation Amendment Act 2006</w:t>
      </w:r>
      <w:r>
        <w:t>, Schedule 2, clauses 2 and 3.</w:t>
      </w:r>
      <w:proofErr w:type="gramEnd"/>
    </w:p>
  </w:footnote>
  <w:footnote w:id="2">
    <w:p w:rsidR="00983780" w:rsidRDefault="009837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A375D">
        <w:rPr>
          <w:i/>
        </w:rPr>
        <w:t>Privacy Legislation Amendment Act 2006</w:t>
      </w:r>
      <w:r>
        <w:t>, Schedule 2, clause 5.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80" w:rsidRPr="00E91BCC" w:rsidRDefault="00983780" w:rsidP="00E91BCC">
    <w:pPr>
      <w:pStyle w:val="Header"/>
      <w:rPr>
        <w:smallCaps/>
      </w:rPr>
    </w:pPr>
    <w:r>
      <w:t>Office of the Australian Information Commissioner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12"/>
    <w:multiLevelType w:val="hybridMultilevel"/>
    <w:tmpl w:val="B400D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7A2"/>
    <w:multiLevelType w:val="hybridMultilevel"/>
    <w:tmpl w:val="FDB24AFE"/>
    <w:lvl w:ilvl="0" w:tplc="1890D3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3742"/>
    <w:multiLevelType w:val="multilevel"/>
    <w:tmpl w:val="544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80F8B"/>
    <w:multiLevelType w:val="hybridMultilevel"/>
    <w:tmpl w:val="E218570C"/>
    <w:lvl w:ilvl="0" w:tplc="C0BEB2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51FDA"/>
    <w:multiLevelType w:val="hybridMultilevel"/>
    <w:tmpl w:val="BE2E6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F99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47667"/>
    <w:multiLevelType w:val="hybridMultilevel"/>
    <w:tmpl w:val="5362658E"/>
    <w:lvl w:ilvl="0" w:tplc="7EB09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4ECE"/>
    <w:multiLevelType w:val="hybridMultilevel"/>
    <w:tmpl w:val="01C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2212D"/>
    <w:multiLevelType w:val="hybridMultilevel"/>
    <w:tmpl w:val="E898B722"/>
    <w:lvl w:ilvl="0" w:tplc="7C822B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B443F"/>
    <w:multiLevelType w:val="hybridMultilevel"/>
    <w:tmpl w:val="D4069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0046F"/>
    <w:multiLevelType w:val="hybridMultilevel"/>
    <w:tmpl w:val="882EB238"/>
    <w:lvl w:ilvl="0" w:tplc="7C822B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04B7C"/>
    <w:multiLevelType w:val="hybridMultilevel"/>
    <w:tmpl w:val="442EFF6E"/>
    <w:lvl w:ilvl="0" w:tplc="C002A97C">
      <w:start w:val="1"/>
      <w:numFmt w:val="decimal"/>
      <w:lvlText w:val="%1."/>
      <w:lvlJc w:val="left"/>
      <w:pPr>
        <w:ind w:left="144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8CC7A03"/>
    <w:multiLevelType w:val="hybridMultilevel"/>
    <w:tmpl w:val="2E46AE26"/>
    <w:lvl w:ilvl="0" w:tplc="633448C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658E7844">
      <w:start w:val="1"/>
      <w:numFmt w:val="decimal"/>
      <w:lvlText w:val="%2."/>
      <w:lvlJc w:val="left"/>
      <w:pPr>
        <w:ind w:left="2520" w:hanging="360"/>
      </w:pPr>
      <w:rPr>
        <w:rFonts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3B3EF0"/>
    <w:multiLevelType w:val="hybridMultilevel"/>
    <w:tmpl w:val="8D6C0C56"/>
    <w:lvl w:ilvl="0" w:tplc="7C822B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F60D68"/>
    <w:multiLevelType w:val="hybridMultilevel"/>
    <w:tmpl w:val="DDD85C02"/>
    <w:lvl w:ilvl="0" w:tplc="7EB09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E1958"/>
    <w:multiLevelType w:val="hybridMultilevel"/>
    <w:tmpl w:val="0BF0554C"/>
    <w:lvl w:ilvl="0" w:tplc="633448C6">
      <w:start w:val="1"/>
      <w:numFmt w:val="lowerRoman"/>
      <w:lvlText w:val="(%1)"/>
      <w:lvlJc w:val="left"/>
      <w:pPr>
        <w:ind w:left="230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35B40EE"/>
    <w:multiLevelType w:val="hybridMultilevel"/>
    <w:tmpl w:val="46BAA52C"/>
    <w:lvl w:ilvl="0" w:tplc="7C822B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9445C"/>
    <w:multiLevelType w:val="hybridMultilevel"/>
    <w:tmpl w:val="FC26D0DC"/>
    <w:lvl w:ilvl="0" w:tplc="0BD682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4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EB"/>
    <w:rsid w:val="000028B5"/>
    <w:rsid w:val="00035604"/>
    <w:rsid w:val="00036DEB"/>
    <w:rsid w:val="0004412B"/>
    <w:rsid w:val="00072922"/>
    <w:rsid w:val="000808A3"/>
    <w:rsid w:val="00087511"/>
    <w:rsid w:val="000D6170"/>
    <w:rsid w:val="000E31C7"/>
    <w:rsid w:val="000F2E9F"/>
    <w:rsid w:val="000F445E"/>
    <w:rsid w:val="00101AA0"/>
    <w:rsid w:val="00115EB6"/>
    <w:rsid w:val="001548F5"/>
    <w:rsid w:val="00163301"/>
    <w:rsid w:val="001D79B3"/>
    <w:rsid w:val="001E4C39"/>
    <w:rsid w:val="0020394B"/>
    <w:rsid w:val="0024718E"/>
    <w:rsid w:val="00254610"/>
    <w:rsid w:val="00255634"/>
    <w:rsid w:val="00271BF2"/>
    <w:rsid w:val="00275A37"/>
    <w:rsid w:val="00277596"/>
    <w:rsid w:val="002C4213"/>
    <w:rsid w:val="002E7D0D"/>
    <w:rsid w:val="002F211E"/>
    <w:rsid w:val="002F41B4"/>
    <w:rsid w:val="00310932"/>
    <w:rsid w:val="00347EAE"/>
    <w:rsid w:val="003624F1"/>
    <w:rsid w:val="003716B4"/>
    <w:rsid w:val="003808FC"/>
    <w:rsid w:val="00386AC1"/>
    <w:rsid w:val="00396B20"/>
    <w:rsid w:val="003A36C7"/>
    <w:rsid w:val="003A375D"/>
    <w:rsid w:val="003B057C"/>
    <w:rsid w:val="003C26B6"/>
    <w:rsid w:val="00426C2B"/>
    <w:rsid w:val="00456F35"/>
    <w:rsid w:val="004921FF"/>
    <w:rsid w:val="004A462A"/>
    <w:rsid w:val="004B5160"/>
    <w:rsid w:val="004C18AC"/>
    <w:rsid w:val="004C5168"/>
    <w:rsid w:val="0050547C"/>
    <w:rsid w:val="0051644A"/>
    <w:rsid w:val="005318B5"/>
    <w:rsid w:val="0053542E"/>
    <w:rsid w:val="00546A48"/>
    <w:rsid w:val="00555FF7"/>
    <w:rsid w:val="00570FCF"/>
    <w:rsid w:val="00592A3C"/>
    <w:rsid w:val="005A53D7"/>
    <w:rsid w:val="005B09CD"/>
    <w:rsid w:val="0061236B"/>
    <w:rsid w:val="00635402"/>
    <w:rsid w:val="00646EDE"/>
    <w:rsid w:val="00674ED8"/>
    <w:rsid w:val="006860EB"/>
    <w:rsid w:val="006C754B"/>
    <w:rsid w:val="006D3231"/>
    <w:rsid w:val="007227EA"/>
    <w:rsid w:val="00733D5D"/>
    <w:rsid w:val="0073483C"/>
    <w:rsid w:val="0074100D"/>
    <w:rsid w:val="00756CDD"/>
    <w:rsid w:val="00793F16"/>
    <w:rsid w:val="007E102D"/>
    <w:rsid w:val="007F130C"/>
    <w:rsid w:val="00810CEB"/>
    <w:rsid w:val="00861D9C"/>
    <w:rsid w:val="008671F3"/>
    <w:rsid w:val="00871DD9"/>
    <w:rsid w:val="008869AB"/>
    <w:rsid w:val="008A7E93"/>
    <w:rsid w:val="00950583"/>
    <w:rsid w:val="00967B91"/>
    <w:rsid w:val="009702CD"/>
    <w:rsid w:val="00983780"/>
    <w:rsid w:val="009E00F5"/>
    <w:rsid w:val="00A00AC1"/>
    <w:rsid w:val="00A03D85"/>
    <w:rsid w:val="00A21B46"/>
    <w:rsid w:val="00A24F3A"/>
    <w:rsid w:val="00A65D54"/>
    <w:rsid w:val="00A82633"/>
    <w:rsid w:val="00AA36AD"/>
    <w:rsid w:val="00AB00C7"/>
    <w:rsid w:val="00AB1F7A"/>
    <w:rsid w:val="00AC7BD4"/>
    <w:rsid w:val="00B15743"/>
    <w:rsid w:val="00B175C2"/>
    <w:rsid w:val="00B30595"/>
    <w:rsid w:val="00B43B29"/>
    <w:rsid w:val="00B66449"/>
    <w:rsid w:val="00BE0FD5"/>
    <w:rsid w:val="00C15AA9"/>
    <w:rsid w:val="00C67439"/>
    <w:rsid w:val="00C678D7"/>
    <w:rsid w:val="00C70DFE"/>
    <w:rsid w:val="00CA6803"/>
    <w:rsid w:val="00CF7960"/>
    <w:rsid w:val="00D16F3C"/>
    <w:rsid w:val="00D272FD"/>
    <w:rsid w:val="00D40BD4"/>
    <w:rsid w:val="00D964DC"/>
    <w:rsid w:val="00DD3D28"/>
    <w:rsid w:val="00DF247A"/>
    <w:rsid w:val="00DF552A"/>
    <w:rsid w:val="00E01D81"/>
    <w:rsid w:val="00E246CB"/>
    <w:rsid w:val="00E50C69"/>
    <w:rsid w:val="00E91BCC"/>
    <w:rsid w:val="00EC25D0"/>
    <w:rsid w:val="00F11521"/>
    <w:rsid w:val="00F35B55"/>
    <w:rsid w:val="00F85115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29"/>
    <w:pPr>
      <w:spacing w:after="240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1"/>
    <w:qFormat/>
    <w:rsid w:val="00810CEB"/>
    <w:pPr>
      <w:keepNext/>
      <w:keepLines/>
      <w:spacing w:before="300"/>
      <w:jc w:val="left"/>
      <w:outlineLvl w:val="0"/>
    </w:pPr>
    <w:rPr>
      <w:rFonts w:eastAsia="Times New Roman" w:cs="Times New Roman"/>
      <w:bCs/>
      <w:spacing w:val="0"/>
      <w:kern w:val="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E0FD5"/>
    <w:pPr>
      <w:keepNext/>
      <w:keepLines/>
      <w:spacing w:before="240" w:after="180"/>
      <w:outlineLvl w:val="1"/>
    </w:pPr>
    <w:rPr>
      <w:rFonts w:eastAsia="Times New Roman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4A462A"/>
    <w:pPr>
      <w:keepNext/>
      <w:keepLines/>
      <w:spacing w:before="240" w:after="1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A462A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A462A"/>
    <w:pPr>
      <w:keepNext/>
      <w:keepLines/>
      <w:spacing w:before="240" w:after="1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0CEB"/>
    <w:rPr>
      <w:rFonts w:eastAsia="Times New Roman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E0FD5"/>
    <w:rPr>
      <w:rFonts w:eastAsia="Times New Roman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qFormat/>
    <w:rsid w:val="000E31C7"/>
    <w:pPr>
      <w:spacing w:before="240" w:after="120"/>
      <w:jc w:val="right"/>
    </w:pPr>
    <w:rPr>
      <w:rFonts w:eastAsiaTheme="majorEastAsia" w:cs="Calibri"/>
      <w:b/>
      <w:spacing w:val="5"/>
      <w:kern w:val="2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0E31C7"/>
    <w:rPr>
      <w:rFonts w:eastAsiaTheme="majorEastAsia" w:cs="Calibri"/>
      <w:b/>
      <w:spacing w:val="5"/>
      <w:kern w:val="28"/>
      <w:sz w:val="56"/>
      <w:szCs w:val="60"/>
    </w:rPr>
  </w:style>
  <w:style w:type="paragraph" w:styleId="Subtitle">
    <w:name w:val="Subtitle"/>
    <w:basedOn w:val="Normal"/>
    <w:next w:val="Normal"/>
    <w:link w:val="SubtitleChar"/>
    <w:uiPriority w:val="3"/>
    <w:qFormat/>
    <w:rsid w:val="0050547C"/>
    <w:pPr>
      <w:numPr>
        <w:ilvl w:val="1"/>
      </w:numPr>
      <w:spacing w:before="120"/>
      <w:jc w:val="right"/>
    </w:pPr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3"/>
    <w:rsid w:val="00E246CB"/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BCC"/>
    <w:pPr>
      <w:pBdr>
        <w:bottom w:val="single" w:sz="4" w:space="1" w:color="A6A6A6" w:themeColor="background1" w:themeShade="A6"/>
      </w:pBdr>
      <w:tabs>
        <w:tab w:val="center" w:pos="4513"/>
        <w:tab w:val="right" w:pos="9026"/>
      </w:tabs>
      <w:spacing w:after="0"/>
      <w:jc w:val="righ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39"/>
    <w:pPr>
      <w:tabs>
        <w:tab w:val="center" w:pos="4513"/>
        <w:tab w:val="right" w:pos="9026"/>
      </w:tabs>
      <w:spacing w:after="0"/>
    </w:pPr>
    <w:rPr>
      <w:b/>
      <w:color w:val="7F7F7F" w:themeColor="text1" w:themeTint="8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4C39"/>
    <w:rPr>
      <w:b/>
      <w:color w:val="7F7F7F" w:themeColor="text1" w:themeTint="8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A462A"/>
    <w:rPr>
      <w:rFonts w:eastAsiaTheme="majorEastAs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A462A"/>
    <w:rPr>
      <w:rFonts w:eastAsiaTheme="majorEastAsia" w:cstheme="majorBidi"/>
      <w:b/>
      <w:bCs/>
      <w:i/>
      <w:iCs/>
      <w:sz w:val="24"/>
    </w:rPr>
  </w:style>
  <w:style w:type="paragraph" w:styleId="Quote">
    <w:name w:val="Quote"/>
    <w:basedOn w:val="Normal"/>
    <w:next w:val="Normal"/>
    <w:link w:val="QuoteChar"/>
    <w:uiPriority w:val="1"/>
    <w:qFormat/>
    <w:rsid w:val="000028B5"/>
    <w:pPr>
      <w:ind w:left="709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1"/>
    <w:rsid w:val="000028B5"/>
    <w:rPr>
      <w:sz w:val="22"/>
    </w:rPr>
  </w:style>
  <w:style w:type="paragraph" w:styleId="ListParagraph">
    <w:name w:val="List Paragraph"/>
    <w:basedOn w:val="Normal"/>
    <w:uiPriority w:val="34"/>
    <w:qFormat/>
    <w:rsid w:val="009702CD"/>
    <w:pPr>
      <w:numPr>
        <w:numId w:val="1"/>
      </w:numPr>
      <w:spacing w:before="120" w:after="120"/>
      <w:ind w:hanging="578"/>
    </w:pPr>
  </w:style>
  <w:style w:type="paragraph" w:styleId="NormalWeb">
    <w:name w:val="Normal (Web)"/>
    <w:basedOn w:val="Normal"/>
    <w:uiPriority w:val="99"/>
    <w:semiHidden/>
    <w:unhideWhenUsed/>
    <w:rsid w:val="009702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22"/>
    <w:unhideWhenUsed/>
    <w:qFormat/>
    <w:rsid w:val="009702CD"/>
    <w:rPr>
      <w:b/>
      <w:bCs/>
    </w:rPr>
  </w:style>
  <w:style w:type="character" w:styleId="Hyperlink">
    <w:name w:val="Hyperlink"/>
    <w:basedOn w:val="DefaultParagraphFont"/>
    <w:unhideWhenUsed/>
    <w:rsid w:val="009702C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035604"/>
    <w:pPr>
      <w:tabs>
        <w:tab w:val="left" w:pos="357"/>
      </w:tabs>
      <w:spacing w:after="0"/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604"/>
  </w:style>
  <w:style w:type="character" w:styleId="FootnoteReference">
    <w:name w:val="footnote reference"/>
    <w:basedOn w:val="DefaultParagraphFont"/>
    <w:uiPriority w:val="99"/>
    <w:semiHidden/>
    <w:unhideWhenUsed/>
    <w:rsid w:val="00035604"/>
    <w:rPr>
      <w:vertAlign w:val="superscript"/>
    </w:rPr>
  </w:style>
  <w:style w:type="paragraph" w:customStyle="1" w:styleId="Instructiontext">
    <w:name w:val="Instruction text"/>
    <w:basedOn w:val="Normal"/>
    <w:next w:val="Normal"/>
    <w:uiPriority w:val="4"/>
    <w:qFormat/>
    <w:rsid w:val="00546A48"/>
    <w:pPr>
      <w:spacing w:after="180"/>
    </w:pPr>
    <w:rPr>
      <w:i/>
      <w:color w:val="0070C0"/>
    </w:rPr>
  </w:style>
  <w:style w:type="character" w:customStyle="1" w:styleId="Heading5Char">
    <w:name w:val="Heading 5 Char"/>
    <w:basedOn w:val="DefaultParagraphFont"/>
    <w:link w:val="Heading5"/>
    <w:uiPriority w:val="2"/>
    <w:rsid w:val="004A462A"/>
    <w:rPr>
      <w:rFonts w:eastAsiaTheme="majorEastAsia" w:cstheme="majorBidi"/>
      <w:i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61D9C"/>
    <w:pPr>
      <w:spacing w:before="120" w:after="120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60"/>
      <w:ind w:left="170"/>
    </w:pPr>
  </w:style>
  <w:style w:type="table" w:styleId="TableGrid">
    <w:name w:val="Table Grid"/>
    <w:basedOn w:val="TableNormal"/>
    <w:uiPriority w:val="59"/>
    <w:rsid w:val="00B4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43B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B43B2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Bullets">
    <w:name w:val="Bullets"/>
    <w:basedOn w:val="ListParagraph"/>
    <w:qFormat/>
    <w:rsid w:val="006D3231"/>
    <w:pPr>
      <w:numPr>
        <w:numId w:val="4"/>
      </w:numPr>
      <w:autoSpaceDE w:val="0"/>
      <w:autoSpaceDN w:val="0"/>
      <w:adjustRightInd w:val="0"/>
      <w:ind w:left="567" w:hanging="425"/>
    </w:pPr>
    <w:rPr>
      <w:rFonts w:asciiTheme="minorHAnsi" w:hAnsiTheme="minorHAnsi" w:cstheme="minorHAns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6F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6F3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13"/>
    <w:rPr>
      <w:b/>
      <w:bCs/>
    </w:rPr>
  </w:style>
  <w:style w:type="paragraph" w:styleId="Revision">
    <w:name w:val="Revision"/>
    <w:hidden/>
    <w:uiPriority w:val="99"/>
    <w:semiHidden/>
    <w:rsid w:val="004C18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29"/>
    <w:pPr>
      <w:spacing w:after="240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1"/>
    <w:qFormat/>
    <w:rsid w:val="00810CEB"/>
    <w:pPr>
      <w:keepNext/>
      <w:keepLines/>
      <w:spacing w:before="300"/>
      <w:jc w:val="left"/>
      <w:outlineLvl w:val="0"/>
    </w:pPr>
    <w:rPr>
      <w:rFonts w:eastAsia="Times New Roman" w:cs="Times New Roman"/>
      <w:bCs/>
      <w:spacing w:val="0"/>
      <w:kern w:val="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E0FD5"/>
    <w:pPr>
      <w:keepNext/>
      <w:keepLines/>
      <w:spacing w:before="240" w:after="180"/>
      <w:outlineLvl w:val="1"/>
    </w:pPr>
    <w:rPr>
      <w:rFonts w:eastAsia="Times New Roman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4A462A"/>
    <w:pPr>
      <w:keepNext/>
      <w:keepLines/>
      <w:spacing w:before="240" w:after="1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A462A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A462A"/>
    <w:pPr>
      <w:keepNext/>
      <w:keepLines/>
      <w:spacing w:before="240" w:after="1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0CEB"/>
    <w:rPr>
      <w:rFonts w:eastAsia="Times New Roman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E0FD5"/>
    <w:rPr>
      <w:rFonts w:eastAsia="Times New Roman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qFormat/>
    <w:rsid w:val="000E31C7"/>
    <w:pPr>
      <w:spacing w:before="240" w:after="120"/>
      <w:jc w:val="right"/>
    </w:pPr>
    <w:rPr>
      <w:rFonts w:eastAsiaTheme="majorEastAsia" w:cs="Calibri"/>
      <w:b/>
      <w:spacing w:val="5"/>
      <w:kern w:val="2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0E31C7"/>
    <w:rPr>
      <w:rFonts w:eastAsiaTheme="majorEastAsia" w:cs="Calibri"/>
      <w:b/>
      <w:spacing w:val="5"/>
      <w:kern w:val="28"/>
      <w:sz w:val="56"/>
      <w:szCs w:val="60"/>
    </w:rPr>
  </w:style>
  <w:style w:type="paragraph" w:styleId="Subtitle">
    <w:name w:val="Subtitle"/>
    <w:basedOn w:val="Normal"/>
    <w:next w:val="Normal"/>
    <w:link w:val="SubtitleChar"/>
    <w:uiPriority w:val="3"/>
    <w:qFormat/>
    <w:rsid w:val="0050547C"/>
    <w:pPr>
      <w:numPr>
        <w:ilvl w:val="1"/>
      </w:numPr>
      <w:spacing w:before="120"/>
      <w:jc w:val="right"/>
    </w:pPr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3"/>
    <w:rsid w:val="00E246CB"/>
    <w:rPr>
      <w:rFonts w:eastAsiaTheme="majorEastAsia" w:cs="Calibri"/>
      <w:b/>
      <w:iCs/>
      <w:color w:val="000000" w:themeColor="text1"/>
      <w:spacing w:val="1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91BCC"/>
    <w:pPr>
      <w:pBdr>
        <w:bottom w:val="single" w:sz="4" w:space="1" w:color="A6A6A6" w:themeColor="background1" w:themeShade="A6"/>
      </w:pBdr>
      <w:tabs>
        <w:tab w:val="center" w:pos="4513"/>
        <w:tab w:val="right" w:pos="9026"/>
      </w:tabs>
      <w:spacing w:after="0"/>
      <w:jc w:val="righ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1B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C39"/>
    <w:pPr>
      <w:tabs>
        <w:tab w:val="center" w:pos="4513"/>
        <w:tab w:val="right" w:pos="9026"/>
      </w:tabs>
      <w:spacing w:after="0"/>
    </w:pPr>
    <w:rPr>
      <w:b/>
      <w:color w:val="7F7F7F" w:themeColor="text1" w:themeTint="8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4C39"/>
    <w:rPr>
      <w:b/>
      <w:color w:val="7F7F7F" w:themeColor="text1" w:themeTint="8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A462A"/>
    <w:rPr>
      <w:rFonts w:eastAsiaTheme="majorEastAs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A462A"/>
    <w:rPr>
      <w:rFonts w:eastAsiaTheme="majorEastAsia" w:cstheme="majorBidi"/>
      <w:b/>
      <w:bCs/>
      <w:i/>
      <w:iCs/>
      <w:sz w:val="24"/>
    </w:rPr>
  </w:style>
  <w:style w:type="paragraph" w:styleId="Quote">
    <w:name w:val="Quote"/>
    <w:basedOn w:val="Normal"/>
    <w:next w:val="Normal"/>
    <w:link w:val="QuoteChar"/>
    <w:uiPriority w:val="1"/>
    <w:qFormat/>
    <w:rsid w:val="000028B5"/>
    <w:pPr>
      <w:ind w:left="709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1"/>
    <w:rsid w:val="000028B5"/>
    <w:rPr>
      <w:sz w:val="22"/>
    </w:rPr>
  </w:style>
  <w:style w:type="paragraph" w:styleId="ListParagraph">
    <w:name w:val="List Paragraph"/>
    <w:basedOn w:val="Normal"/>
    <w:uiPriority w:val="34"/>
    <w:qFormat/>
    <w:rsid w:val="009702CD"/>
    <w:pPr>
      <w:numPr>
        <w:numId w:val="1"/>
      </w:numPr>
      <w:spacing w:before="120" w:after="120"/>
      <w:ind w:hanging="578"/>
    </w:pPr>
  </w:style>
  <w:style w:type="paragraph" w:styleId="NormalWeb">
    <w:name w:val="Normal (Web)"/>
    <w:basedOn w:val="Normal"/>
    <w:uiPriority w:val="99"/>
    <w:semiHidden/>
    <w:unhideWhenUsed/>
    <w:rsid w:val="009702C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22"/>
    <w:unhideWhenUsed/>
    <w:qFormat/>
    <w:rsid w:val="009702CD"/>
    <w:rPr>
      <w:b/>
      <w:bCs/>
    </w:rPr>
  </w:style>
  <w:style w:type="character" w:styleId="Hyperlink">
    <w:name w:val="Hyperlink"/>
    <w:basedOn w:val="DefaultParagraphFont"/>
    <w:unhideWhenUsed/>
    <w:rsid w:val="009702C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035604"/>
    <w:pPr>
      <w:tabs>
        <w:tab w:val="left" w:pos="357"/>
      </w:tabs>
      <w:spacing w:after="0"/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604"/>
  </w:style>
  <w:style w:type="character" w:styleId="FootnoteReference">
    <w:name w:val="footnote reference"/>
    <w:basedOn w:val="DefaultParagraphFont"/>
    <w:uiPriority w:val="99"/>
    <w:semiHidden/>
    <w:unhideWhenUsed/>
    <w:rsid w:val="00035604"/>
    <w:rPr>
      <w:vertAlign w:val="superscript"/>
    </w:rPr>
  </w:style>
  <w:style w:type="paragraph" w:customStyle="1" w:styleId="Instructiontext">
    <w:name w:val="Instruction text"/>
    <w:basedOn w:val="Normal"/>
    <w:next w:val="Normal"/>
    <w:uiPriority w:val="4"/>
    <w:qFormat/>
    <w:rsid w:val="00546A48"/>
    <w:pPr>
      <w:spacing w:after="180"/>
    </w:pPr>
    <w:rPr>
      <w:i/>
      <w:color w:val="0070C0"/>
    </w:rPr>
  </w:style>
  <w:style w:type="character" w:customStyle="1" w:styleId="Heading5Char">
    <w:name w:val="Heading 5 Char"/>
    <w:basedOn w:val="DefaultParagraphFont"/>
    <w:link w:val="Heading5"/>
    <w:uiPriority w:val="2"/>
    <w:rsid w:val="004A462A"/>
    <w:rPr>
      <w:rFonts w:eastAsiaTheme="majorEastAsia" w:cstheme="majorBidi"/>
      <w:i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61D9C"/>
    <w:pPr>
      <w:spacing w:before="120" w:after="120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426C2B"/>
    <w:pPr>
      <w:tabs>
        <w:tab w:val="right" w:leader="dot" w:pos="8756"/>
      </w:tabs>
      <w:spacing w:after="60"/>
      <w:ind w:left="170"/>
    </w:pPr>
  </w:style>
  <w:style w:type="table" w:styleId="TableGrid">
    <w:name w:val="Table Grid"/>
    <w:basedOn w:val="TableNormal"/>
    <w:uiPriority w:val="59"/>
    <w:rsid w:val="00B4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43B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B43B2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Bullets">
    <w:name w:val="Bullets"/>
    <w:basedOn w:val="ListParagraph"/>
    <w:qFormat/>
    <w:rsid w:val="006D3231"/>
    <w:pPr>
      <w:numPr>
        <w:numId w:val="4"/>
      </w:numPr>
      <w:autoSpaceDE w:val="0"/>
      <w:autoSpaceDN w:val="0"/>
      <w:adjustRightInd w:val="0"/>
      <w:ind w:left="567" w:hanging="425"/>
    </w:pPr>
    <w:rPr>
      <w:rFonts w:asciiTheme="minorHAnsi" w:hAnsiTheme="minorHAnsi" w:cstheme="minorHAns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6F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6F3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13"/>
    <w:rPr>
      <w:b/>
      <w:bCs/>
    </w:rPr>
  </w:style>
  <w:style w:type="paragraph" w:styleId="Revision">
    <w:name w:val="Revision"/>
    <w:hidden/>
    <w:uiPriority w:val="99"/>
    <w:semiHidden/>
    <w:rsid w:val="004C18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aic.gov.au\fileshare\templates\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2541-0B9F-452F-A7F5-554F5AF9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Report.dotx</Template>
  <TotalTime>1</TotalTime>
  <Pages>7</Pages>
  <Words>2186</Words>
  <Characters>12466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report</vt:lpstr>
    </vt:vector>
  </TitlesOfParts>
  <Company>Office of the Australian Information Commissioner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report</dc:title>
  <dc:subject>Report by the OAIC [issue reported on]</dc:subject>
  <dc:creator>Anna Greenwood</dc:creator>
  <cp:lastModifiedBy>Anna Greenwood</cp:lastModifiedBy>
  <cp:revision>2</cp:revision>
  <dcterms:created xsi:type="dcterms:W3CDTF">2014-03-05T00:02:00Z</dcterms:created>
  <dcterms:modified xsi:type="dcterms:W3CDTF">2014-03-05T00:02:00Z</dcterms:modified>
</cp:coreProperties>
</file>