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A1436" w:rsidRDefault="00193461" w:rsidP="0048364F">
      <w:pPr>
        <w:rPr>
          <w:sz w:val="28"/>
        </w:rPr>
      </w:pPr>
      <w:r w:rsidRPr="00FA1436">
        <w:rPr>
          <w:noProof/>
          <w:lang w:eastAsia="en-AU"/>
        </w:rPr>
        <w:drawing>
          <wp:inline distT="0" distB="0" distL="0" distR="0" wp14:anchorId="58078712" wp14:editId="33D5989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A1436" w:rsidRDefault="0048364F" w:rsidP="0048364F">
      <w:pPr>
        <w:rPr>
          <w:sz w:val="19"/>
        </w:rPr>
      </w:pPr>
    </w:p>
    <w:p w:rsidR="0048364F" w:rsidRPr="00FA1436" w:rsidRDefault="00FE2238" w:rsidP="0048364F">
      <w:pPr>
        <w:pStyle w:val="ShortT"/>
      </w:pPr>
      <w:r w:rsidRPr="00FA1436">
        <w:t>Corporations L</w:t>
      </w:r>
      <w:r w:rsidR="005D5654" w:rsidRPr="00FA1436">
        <w:t>aws</w:t>
      </w:r>
      <w:r w:rsidRPr="00FA1436">
        <w:t xml:space="preserve"> Amendment (2014 Measures No.</w:t>
      </w:r>
      <w:r w:rsidR="00FA1436" w:rsidRPr="00FA1436">
        <w:t> </w:t>
      </w:r>
      <w:r w:rsidRPr="00FA1436">
        <w:t>1) Regulation</w:t>
      </w:r>
      <w:r w:rsidR="00FA1436" w:rsidRPr="00FA1436">
        <w:t> </w:t>
      </w:r>
      <w:r w:rsidRPr="00FA1436">
        <w:t>2014</w:t>
      </w:r>
    </w:p>
    <w:p w:rsidR="0048364F" w:rsidRPr="00FA1436" w:rsidRDefault="0048364F" w:rsidP="0048364F"/>
    <w:p w:rsidR="0048364F" w:rsidRPr="00FA1436" w:rsidRDefault="00A4361F" w:rsidP="00680F17">
      <w:pPr>
        <w:pStyle w:val="InstNo"/>
      </w:pPr>
      <w:r w:rsidRPr="00FA1436">
        <w:t>Select Legislative Instrument</w:t>
      </w:r>
      <w:r w:rsidR="00154EAC" w:rsidRPr="00FA1436">
        <w:t xml:space="preserve"> </w:t>
      </w:r>
      <w:bookmarkStart w:id="0" w:name="BKCheck15B_1"/>
      <w:bookmarkEnd w:id="0"/>
      <w:r w:rsidR="00D0104A" w:rsidRPr="00FA1436">
        <w:fldChar w:fldCharType="begin"/>
      </w:r>
      <w:r w:rsidR="00D0104A" w:rsidRPr="00FA1436">
        <w:instrText xml:space="preserve"> DOCPROPERTY  ActNo </w:instrText>
      </w:r>
      <w:r w:rsidR="00D0104A" w:rsidRPr="00FA1436">
        <w:fldChar w:fldCharType="separate"/>
      </w:r>
      <w:r w:rsidR="00913A77">
        <w:t>No. 33, 2014</w:t>
      </w:r>
      <w:r w:rsidR="00D0104A" w:rsidRPr="00FA1436">
        <w:fldChar w:fldCharType="end"/>
      </w:r>
    </w:p>
    <w:p w:rsidR="004A4886" w:rsidRPr="00FA1436" w:rsidRDefault="004A4886" w:rsidP="001A0BEE">
      <w:pPr>
        <w:pStyle w:val="SignCoverPageStart"/>
        <w:spacing w:before="240"/>
      </w:pPr>
      <w:r w:rsidRPr="00FA1436">
        <w:t>I, Quentin Bryce AC CVO, Governor</w:t>
      </w:r>
      <w:r w:rsidR="00FA1436">
        <w:noBreakHyphen/>
      </w:r>
      <w:r w:rsidRPr="00FA1436">
        <w:t>General of the Commonwealth of Australia, acting with the advice of the Federal Executive Council, make the following regulation under the Acts mentioned in section</w:t>
      </w:r>
      <w:r w:rsidR="00FA1436" w:rsidRPr="00FA1436">
        <w:t> </w:t>
      </w:r>
      <w:r w:rsidRPr="00FA1436">
        <w:t>3.</w:t>
      </w:r>
    </w:p>
    <w:p w:rsidR="004A4886" w:rsidRPr="00FA1436" w:rsidRDefault="004A4886" w:rsidP="001A0BEE">
      <w:pPr>
        <w:keepNext/>
        <w:spacing w:before="720" w:line="240" w:lineRule="atLeast"/>
        <w:ind w:right="397"/>
        <w:jc w:val="both"/>
        <w:rPr>
          <w:sz w:val="24"/>
          <w:szCs w:val="24"/>
        </w:rPr>
      </w:pPr>
      <w:r w:rsidRPr="00FA1436">
        <w:rPr>
          <w:sz w:val="24"/>
          <w:szCs w:val="24"/>
        </w:rPr>
        <w:t xml:space="preserve">Dated </w:t>
      </w:r>
      <w:bookmarkStart w:id="1" w:name="BKCheck15B_2"/>
      <w:bookmarkEnd w:id="1"/>
      <w:r w:rsidRPr="00FA1436">
        <w:rPr>
          <w:sz w:val="24"/>
          <w:szCs w:val="24"/>
        </w:rPr>
        <w:fldChar w:fldCharType="begin"/>
      </w:r>
      <w:r w:rsidRPr="00FA1436">
        <w:rPr>
          <w:sz w:val="24"/>
          <w:szCs w:val="24"/>
        </w:rPr>
        <w:instrText xml:space="preserve"> DOCPROPERTY  DateMade </w:instrText>
      </w:r>
      <w:r w:rsidRPr="00FA1436">
        <w:rPr>
          <w:sz w:val="24"/>
          <w:szCs w:val="24"/>
        </w:rPr>
        <w:fldChar w:fldCharType="separate"/>
      </w:r>
      <w:r w:rsidR="00913A77">
        <w:rPr>
          <w:sz w:val="24"/>
          <w:szCs w:val="24"/>
        </w:rPr>
        <w:t>13 March 2014</w:t>
      </w:r>
      <w:r w:rsidRPr="00FA1436">
        <w:rPr>
          <w:sz w:val="24"/>
          <w:szCs w:val="24"/>
        </w:rPr>
        <w:fldChar w:fldCharType="end"/>
      </w:r>
    </w:p>
    <w:p w:rsidR="004A4886" w:rsidRPr="00FA1436" w:rsidRDefault="004A4886" w:rsidP="004A4886">
      <w:pPr>
        <w:keepNext/>
        <w:tabs>
          <w:tab w:val="left" w:pos="3402"/>
        </w:tabs>
        <w:spacing w:before="1080" w:line="300" w:lineRule="atLeast"/>
        <w:ind w:left="397" w:right="397"/>
        <w:jc w:val="right"/>
        <w:rPr>
          <w:sz w:val="24"/>
          <w:szCs w:val="24"/>
        </w:rPr>
      </w:pPr>
      <w:r w:rsidRPr="00FA1436">
        <w:t>Quentin Bryce</w:t>
      </w:r>
    </w:p>
    <w:p w:rsidR="004A4886" w:rsidRPr="00FA1436" w:rsidRDefault="004A4886" w:rsidP="001A0BEE">
      <w:pPr>
        <w:keepNext/>
        <w:tabs>
          <w:tab w:val="left" w:pos="3402"/>
        </w:tabs>
        <w:spacing w:line="300" w:lineRule="atLeast"/>
        <w:ind w:left="397" w:right="397"/>
        <w:jc w:val="right"/>
        <w:rPr>
          <w:sz w:val="24"/>
          <w:szCs w:val="24"/>
        </w:rPr>
      </w:pPr>
      <w:r w:rsidRPr="00FA1436">
        <w:rPr>
          <w:sz w:val="24"/>
          <w:szCs w:val="24"/>
        </w:rPr>
        <w:t>Governor</w:t>
      </w:r>
      <w:r w:rsidR="00FA1436">
        <w:rPr>
          <w:sz w:val="24"/>
          <w:szCs w:val="24"/>
        </w:rPr>
        <w:noBreakHyphen/>
      </w:r>
      <w:r w:rsidRPr="00FA1436">
        <w:rPr>
          <w:sz w:val="24"/>
          <w:szCs w:val="24"/>
        </w:rPr>
        <w:t>General</w:t>
      </w:r>
    </w:p>
    <w:p w:rsidR="004A4886" w:rsidRPr="00FA1436" w:rsidRDefault="004A4886" w:rsidP="001A0BEE">
      <w:pPr>
        <w:keepNext/>
        <w:tabs>
          <w:tab w:val="left" w:pos="3402"/>
        </w:tabs>
        <w:spacing w:after="800" w:line="300" w:lineRule="atLeast"/>
        <w:ind w:right="397"/>
        <w:rPr>
          <w:sz w:val="24"/>
          <w:szCs w:val="24"/>
        </w:rPr>
      </w:pPr>
      <w:r w:rsidRPr="00FA1436">
        <w:rPr>
          <w:sz w:val="24"/>
          <w:szCs w:val="24"/>
        </w:rPr>
        <w:t>By Her Excellency’s Command</w:t>
      </w:r>
    </w:p>
    <w:p w:rsidR="004A4886" w:rsidRPr="00FA1436" w:rsidRDefault="004A4886" w:rsidP="004A4886">
      <w:pPr>
        <w:keepNext/>
        <w:tabs>
          <w:tab w:val="left" w:pos="3402"/>
        </w:tabs>
        <w:spacing w:before="1080" w:line="300" w:lineRule="atLeast"/>
        <w:ind w:right="397"/>
        <w:rPr>
          <w:szCs w:val="22"/>
        </w:rPr>
      </w:pPr>
      <w:r w:rsidRPr="00FA1436">
        <w:rPr>
          <w:szCs w:val="22"/>
        </w:rPr>
        <w:t>Arthur Sinodinos AO</w:t>
      </w:r>
    </w:p>
    <w:p w:rsidR="004A4886" w:rsidRPr="00FA1436" w:rsidRDefault="004A4886" w:rsidP="001A0BEE">
      <w:pPr>
        <w:pStyle w:val="SignCoverPageEnd"/>
      </w:pPr>
      <w:r w:rsidRPr="00FA1436">
        <w:t>Assistant Treasurer</w:t>
      </w:r>
    </w:p>
    <w:p w:rsidR="004A4886" w:rsidRPr="00FA1436" w:rsidRDefault="004A4886">
      <w:pPr>
        <w:pStyle w:val="Tabletext"/>
      </w:pPr>
    </w:p>
    <w:p w:rsidR="004A4886" w:rsidRPr="00FA1436" w:rsidRDefault="004A4886" w:rsidP="004A4886"/>
    <w:p w:rsidR="0048364F" w:rsidRPr="00FA1436" w:rsidRDefault="0048364F" w:rsidP="0048364F">
      <w:pPr>
        <w:pStyle w:val="Header"/>
        <w:tabs>
          <w:tab w:val="clear" w:pos="4150"/>
          <w:tab w:val="clear" w:pos="8307"/>
        </w:tabs>
      </w:pPr>
      <w:r w:rsidRPr="00FA1436">
        <w:rPr>
          <w:rStyle w:val="CharAmSchNo"/>
        </w:rPr>
        <w:t xml:space="preserve"> </w:t>
      </w:r>
      <w:r w:rsidRPr="00FA1436">
        <w:rPr>
          <w:rStyle w:val="CharAmSchText"/>
        </w:rPr>
        <w:t xml:space="preserve"> </w:t>
      </w:r>
    </w:p>
    <w:p w:rsidR="0048364F" w:rsidRPr="00FA1436" w:rsidRDefault="0048364F" w:rsidP="0048364F">
      <w:pPr>
        <w:pStyle w:val="Header"/>
        <w:tabs>
          <w:tab w:val="clear" w:pos="4150"/>
          <w:tab w:val="clear" w:pos="8307"/>
        </w:tabs>
      </w:pPr>
      <w:r w:rsidRPr="00FA1436">
        <w:rPr>
          <w:rStyle w:val="CharAmPartNo"/>
        </w:rPr>
        <w:t xml:space="preserve"> </w:t>
      </w:r>
      <w:r w:rsidRPr="00FA1436">
        <w:rPr>
          <w:rStyle w:val="CharAmPartText"/>
        </w:rPr>
        <w:t xml:space="preserve"> </w:t>
      </w:r>
    </w:p>
    <w:p w:rsidR="0048364F" w:rsidRPr="00FA1436" w:rsidRDefault="0048364F" w:rsidP="0048364F">
      <w:pPr>
        <w:sectPr w:rsidR="0048364F" w:rsidRPr="00FA1436" w:rsidSect="00B2589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48364F" w:rsidRPr="00FA1436" w:rsidRDefault="0048364F" w:rsidP="0002699E">
      <w:pPr>
        <w:rPr>
          <w:sz w:val="36"/>
        </w:rPr>
      </w:pPr>
      <w:r w:rsidRPr="00FA1436">
        <w:rPr>
          <w:sz w:val="36"/>
        </w:rPr>
        <w:lastRenderedPageBreak/>
        <w:t>Contents</w:t>
      </w:r>
    </w:p>
    <w:bookmarkStart w:id="2" w:name="BKCheck15B_3"/>
    <w:bookmarkEnd w:id="2"/>
    <w:p w:rsidR="000E4270" w:rsidRPr="00FA1436" w:rsidRDefault="000E4270">
      <w:pPr>
        <w:pStyle w:val="TOC5"/>
        <w:rPr>
          <w:rFonts w:asciiTheme="minorHAnsi" w:eastAsiaTheme="minorEastAsia" w:hAnsiTheme="minorHAnsi" w:cstheme="minorBidi"/>
          <w:noProof/>
          <w:kern w:val="0"/>
          <w:sz w:val="22"/>
          <w:szCs w:val="22"/>
        </w:rPr>
      </w:pPr>
      <w:r w:rsidRPr="00FA1436">
        <w:fldChar w:fldCharType="begin"/>
      </w:r>
      <w:r w:rsidRPr="00FA1436">
        <w:instrText xml:space="preserve"> TOC \o "1-9" </w:instrText>
      </w:r>
      <w:r w:rsidRPr="00FA1436">
        <w:fldChar w:fldCharType="separate"/>
      </w:r>
      <w:r w:rsidRPr="00FA1436">
        <w:rPr>
          <w:noProof/>
        </w:rPr>
        <w:t>1</w:t>
      </w:r>
      <w:r w:rsidRPr="00FA1436">
        <w:rPr>
          <w:noProof/>
        </w:rPr>
        <w:tab/>
        <w:t>Name of regulation</w:t>
      </w:r>
      <w:r w:rsidRPr="00FA1436">
        <w:rPr>
          <w:noProof/>
        </w:rPr>
        <w:tab/>
      </w:r>
      <w:r w:rsidRPr="00FA1436">
        <w:rPr>
          <w:noProof/>
        </w:rPr>
        <w:fldChar w:fldCharType="begin"/>
      </w:r>
      <w:r w:rsidRPr="00FA1436">
        <w:rPr>
          <w:noProof/>
        </w:rPr>
        <w:instrText xml:space="preserve"> PAGEREF _Toc381189658 \h </w:instrText>
      </w:r>
      <w:r w:rsidRPr="00FA1436">
        <w:rPr>
          <w:noProof/>
        </w:rPr>
      </w:r>
      <w:r w:rsidRPr="00FA1436">
        <w:rPr>
          <w:noProof/>
        </w:rPr>
        <w:fldChar w:fldCharType="separate"/>
      </w:r>
      <w:r w:rsidR="00913A77">
        <w:rPr>
          <w:noProof/>
        </w:rPr>
        <w:t>1</w:t>
      </w:r>
      <w:r w:rsidRPr="00FA1436">
        <w:rPr>
          <w:noProof/>
        </w:rPr>
        <w:fldChar w:fldCharType="end"/>
      </w:r>
    </w:p>
    <w:p w:rsidR="000E4270" w:rsidRPr="00FA1436" w:rsidRDefault="000E4270">
      <w:pPr>
        <w:pStyle w:val="TOC5"/>
        <w:rPr>
          <w:rFonts w:asciiTheme="minorHAnsi" w:eastAsiaTheme="minorEastAsia" w:hAnsiTheme="minorHAnsi" w:cstheme="minorBidi"/>
          <w:noProof/>
          <w:kern w:val="0"/>
          <w:sz w:val="22"/>
          <w:szCs w:val="22"/>
        </w:rPr>
      </w:pPr>
      <w:r w:rsidRPr="00FA1436">
        <w:rPr>
          <w:noProof/>
        </w:rPr>
        <w:t>2</w:t>
      </w:r>
      <w:r w:rsidRPr="00FA1436">
        <w:rPr>
          <w:noProof/>
        </w:rPr>
        <w:tab/>
        <w:t>Commencement</w:t>
      </w:r>
      <w:r w:rsidRPr="00FA1436">
        <w:rPr>
          <w:noProof/>
        </w:rPr>
        <w:tab/>
      </w:r>
      <w:r w:rsidRPr="00FA1436">
        <w:rPr>
          <w:noProof/>
        </w:rPr>
        <w:fldChar w:fldCharType="begin"/>
      </w:r>
      <w:r w:rsidRPr="00FA1436">
        <w:rPr>
          <w:noProof/>
        </w:rPr>
        <w:instrText xml:space="preserve"> PAGEREF _Toc381189659 \h </w:instrText>
      </w:r>
      <w:r w:rsidRPr="00FA1436">
        <w:rPr>
          <w:noProof/>
        </w:rPr>
      </w:r>
      <w:r w:rsidRPr="00FA1436">
        <w:rPr>
          <w:noProof/>
        </w:rPr>
        <w:fldChar w:fldCharType="separate"/>
      </w:r>
      <w:r w:rsidR="00913A77">
        <w:rPr>
          <w:noProof/>
        </w:rPr>
        <w:t>1</w:t>
      </w:r>
      <w:r w:rsidRPr="00FA1436">
        <w:rPr>
          <w:noProof/>
        </w:rPr>
        <w:fldChar w:fldCharType="end"/>
      </w:r>
    </w:p>
    <w:p w:rsidR="000E4270" w:rsidRPr="00FA1436" w:rsidRDefault="000E4270">
      <w:pPr>
        <w:pStyle w:val="TOC5"/>
        <w:rPr>
          <w:rFonts w:asciiTheme="minorHAnsi" w:eastAsiaTheme="minorEastAsia" w:hAnsiTheme="minorHAnsi" w:cstheme="minorBidi"/>
          <w:noProof/>
          <w:kern w:val="0"/>
          <w:sz w:val="22"/>
          <w:szCs w:val="22"/>
        </w:rPr>
      </w:pPr>
      <w:r w:rsidRPr="00FA1436">
        <w:rPr>
          <w:noProof/>
        </w:rPr>
        <w:t>3</w:t>
      </w:r>
      <w:r w:rsidRPr="00FA1436">
        <w:rPr>
          <w:noProof/>
        </w:rPr>
        <w:tab/>
        <w:t>Authority</w:t>
      </w:r>
      <w:r w:rsidRPr="00FA1436">
        <w:rPr>
          <w:noProof/>
        </w:rPr>
        <w:tab/>
      </w:r>
      <w:r w:rsidRPr="00FA1436">
        <w:rPr>
          <w:noProof/>
        </w:rPr>
        <w:fldChar w:fldCharType="begin"/>
      </w:r>
      <w:r w:rsidRPr="00FA1436">
        <w:rPr>
          <w:noProof/>
        </w:rPr>
        <w:instrText xml:space="preserve"> PAGEREF _Toc381189660 \h </w:instrText>
      </w:r>
      <w:r w:rsidRPr="00FA1436">
        <w:rPr>
          <w:noProof/>
        </w:rPr>
      </w:r>
      <w:r w:rsidRPr="00FA1436">
        <w:rPr>
          <w:noProof/>
        </w:rPr>
        <w:fldChar w:fldCharType="separate"/>
      </w:r>
      <w:r w:rsidR="00913A77">
        <w:rPr>
          <w:noProof/>
        </w:rPr>
        <w:t>1</w:t>
      </w:r>
      <w:r w:rsidRPr="00FA1436">
        <w:rPr>
          <w:noProof/>
        </w:rPr>
        <w:fldChar w:fldCharType="end"/>
      </w:r>
    </w:p>
    <w:p w:rsidR="000E4270" w:rsidRPr="00FA1436" w:rsidRDefault="000E4270">
      <w:pPr>
        <w:pStyle w:val="TOC5"/>
        <w:rPr>
          <w:rFonts w:asciiTheme="minorHAnsi" w:eastAsiaTheme="minorEastAsia" w:hAnsiTheme="minorHAnsi" w:cstheme="minorBidi"/>
          <w:noProof/>
          <w:kern w:val="0"/>
          <w:sz w:val="22"/>
          <w:szCs w:val="22"/>
        </w:rPr>
      </w:pPr>
      <w:r w:rsidRPr="00FA1436">
        <w:rPr>
          <w:noProof/>
        </w:rPr>
        <w:t>4</w:t>
      </w:r>
      <w:r w:rsidRPr="00FA1436">
        <w:rPr>
          <w:noProof/>
        </w:rPr>
        <w:tab/>
        <w:t>Schedule(s)</w:t>
      </w:r>
      <w:r w:rsidRPr="00FA1436">
        <w:rPr>
          <w:noProof/>
        </w:rPr>
        <w:tab/>
      </w:r>
      <w:r w:rsidRPr="00FA1436">
        <w:rPr>
          <w:noProof/>
        </w:rPr>
        <w:fldChar w:fldCharType="begin"/>
      </w:r>
      <w:r w:rsidRPr="00FA1436">
        <w:rPr>
          <w:noProof/>
        </w:rPr>
        <w:instrText xml:space="preserve"> PAGEREF _Toc381189661 \h </w:instrText>
      </w:r>
      <w:r w:rsidRPr="00FA1436">
        <w:rPr>
          <w:noProof/>
        </w:rPr>
      </w:r>
      <w:r w:rsidRPr="00FA1436">
        <w:rPr>
          <w:noProof/>
        </w:rPr>
        <w:fldChar w:fldCharType="separate"/>
      </w:r>
      <w:r w:rsidR="00913A77">
        <w:rPr>
          <w:noProof/>
        </w:rPr>
        <w:t>1</w:t>
      </w:r>
      <w:r w:rsidRPr="00FA1436">
        <w:rPr>
          <w:noProof/>
        </w:rPr>
        <w:fldChar w:fldCharType="end"/>
      </w:r>
    </w:p>
    <w:p w:rsidR="000E4270" w:rsidRPr="00FA1436" w:rsidRDefault="000E4270">
      <w:pPr>
        <w:pStyle w:val="TOC6"/>
        <w:rPr>
          <w:rFonts w:asciiTheme="minorHAnsi" w:eastAsiaTheme="minorEastAsia" w:hAnsiTheme="minorHAnsi" w:cstheme="minorBidi"/>
          <w:b w:val="0"/>
          <w:noProof/>
          <w:kern w:val="0"/>
          <w:sz w:val="22"/>
          <w:szCs w:val="22"/>
        </w:rPr>
      </w:pPr>
      <w:r w:rsidRPr="00FA1436">
        <w:rPr>
          <w:noProof/>
        </w:rPr>
        <w:t>Schedule</w:t>
      </w:r>
      <w:r w:rsidR="00FA1436" w:rsidRPr="00FA1436">
        <w:rPr>
          <w:noProof/>
        </w:rPr>
        <w:t> </w:t>
      </w:r>
      <w:r w:rsidRPr="00FA1436">
        <w:rPr>
          <w:noProof/>
        </w:rPr>
        <w:t>1—Water trading exemptions</w:t>
      </w:r>
      <w:r w:rsidRPr="00FA1436">
        <w:rPr>
          <w:b w:val="0"/>
          <w:noProof/>
          <w:sz w:val="18"/>
        </w:rPr>
        <w:tab/>
      </w:r>
      <w:r w:rsidRPr="00FA1436">
        <w:rPr>
          <w:b w:val="0"/>
          <w:noProof/>
          <w:sz w:val="18"/>
        </w:rPr>
        <w:fldChar w:fldCharType="begin"/>
      </w:r>
      <w:r w:rsidRPr="00FA1436">
        <w:rPr>
          <w:b w:val="0"/>
          <w:noProof/>
          <w:sz w:val="18"/>
        </w:rPr>
        <w:instrText xml:space="preserve"> PAGEREF _Toc381189662 \h </w:instrText>
      </w:r>
      <w:r w:rsidRPr="00FA1436">
        <w:rPr>
          <w:b w:val="0"/>
          <w:noProof/>
          <w:sz w:val="18"/>
        </w:rPr>
      </w:r>
      <w:r w:rsidRPr="00FA1436">
        <w:rPr>
          <w:b w:val="0"/>
          <w:noProof/>
          <w:sz w:val="18"/>
        </w:rPr>
        <w:fldChar w:fldCharType="separate"/>
      </w:r>
      <w:r w:rsidR="00913A77">
        <w:rPr>
          <w:b w:val="0"/>
          <w:noProof/>
          <w:sz w:val="18"/>
        </w:rPr>
        <w:t>2</w:t>
      </w:r>
      <w:r w:rsidRPr="00FA1436">
        <w:rPr>
          <w:b w:val="0"/>
          <w:noProof/>
          <w:sz w:val="18"/>
        </w:rPr>
        <w:fldChar w:fldCharType="end"/>
      </w:r>
    </w:p>
    <w:p w:rsidR="000E4270" w:rsidRPr="00FA1436" w:rsidRDefault="000E4270">
      <w:pPr>
        <w:pStyle w:val="TOC9"/>
        <w:rPr>
          <w:rFonts w:asciiTheme="minorHAnsi" w:eastAsiaTheme="minorEastAsia" w:hAnsiTheme="minorHAnsi" w:cstheme="minorBidi"/>
          <w:i w:val="0"/>
          <w:noProof/>
          <w:kern w:val="0"/>
          <w:sz w:val="22"/>
          <w:szCs w:val="22"/>
        </w:rPr>
      </w:pPr>
      <w:r w:rsidRPr="00FA1436">
        <w:rPr>
          <w:noProof/>
        </w:rPr>
        <w:t>Australian Securities and Investments Commission Regulations</w:t>
      </w:r>
      <w:r w:rsidR="00FA1436" w:rsidRPr="00FA1436">
        <w:rPr>
          <w:noProof/>
        </w:rPr>
        <w:t> </w:t>
      </w:r>
      <w:r w:rsidRPr="00FA1436">
        <w:rPr>
          <w:noProof/>
        </w:rPr>
        <w:t>2001</w:t>
      </w:r>
      <w:r w:rsidRPr="00FA1436">
        <w:rPr>
          <w:i w:val="0"/>
          <w:noProof/>
          <w:sz w:val="18"/>
        </w:rPr>
        <w:tab/>
      </w:r>
      <w:r w:rsidRPr="00FA1436">
        <w:rPr>
          <w:i w:val="0"/>
          <w:noProof/>
          <w:sz w:val="18"/>
        </w:rPr>
        <w:fldChar w:fldCharType="begin"/>
      </w:r>
      <w:r w:rsidRPr="00FA1436">
        <w:rPr>
          <w:i w:val="0"/>
          <w:noProof/>
          <w:sz w:val="18"/>
        </w:rPr>
        <w:instrText xml:space="preserve"> PAGEREF _Toc381189663 \h </w:instrText>
      </w:r>
      <w:r w:rsidRPr="00FA1436">
        <w:rPr>
          <w:i w:val="0"/>
          <w:noProof/>
          <w:sz w:val="18"/>
        </w:rPr>
      </w:r>
      <w:r w:rsidRPr="00FA1436">
        <w:rPr>
          <w:i w:val="0"/>
          <w:noProof/>
          <w:sz w:val="18"/>
        </w:rPr>
        <w:fldChar w:fldCharType="separate"/>
      </w:r>
      <w:r w:rsidR="00913A77">
        <w:rPr>
          <w:i w:val="0"/>
          <w:noProof/>
          <w:sz w:val="18"/>
        </w:rPr>
        <w:t>2</w:t>
      </w:r>
      <w:r w:rsidRPr="00FA1436">
        <w:rPr>
          <w:i w:val="0"/>
          <w:noProof/>
          <w:sz w:val="18"/>
        </w:rPr>
        <w:fldChar w:fldCharType="end"/>
      </w:r>
    </w:p>
    <w:p w:rsidR="000E4270" w:rsidRPr="00FA1436" w:rsidRDefault="000E4270">
      <w:pPr>
        <w:pStyle w:val="TOC9"/>
        <w:rPr>
          <w:rFonts w:asciiTheme="minorHAnsi" w:eastAsiaTheme="minorEastAsia" w:hAnsiTheme="minorHAnsi" w:cstheme="minorBidi"/>
          <w:i w:val="0"/>
          <w:noProof/>
          <w:kern w:val="0"/>
          <w:sz w:val="22"/>
          <w:szCs w:val="22"/>
        </w:rPr>
      </w:pPr>
      <w:r w:rsidRPr="00FA1436">
        <w:rPr>
          <w:noProof/>
        </w:rPr>
        <w:t>Corporations Regulations</w:t>
      </w:r>
      <w:r w:rsidR="00FA1436" w:rsidRPr="00FA1436">
        <w:rPr>
          <w:noProof/>
        </w:rPr>
        <w:t> </w:t>
      </w:r>
      <w:r w:rsidRPr="00FA1436">
        <w:rPr>
          <w:noProof/>
        </w:rPr>
        <w:t>2001</w:t>
      </w:r>
      <w:r w:rsidRPr="00FA1436">
        <w:rPr>
          <w:i w:val="0"/>
          <w:noProof/>
          <w:sz w:val="18"/>
        </w:rPr>
        <w:tab/>
      </w:r>
      <w:r w:rsidRPr="00FA1436">
        <w:rPr>
          <w:i w:val="0"/>
          <w:noProof/>
          <w:sz w:val="18"/>
        </w:rPr>
        <w:fldChar w:fldCharType="begin"/>
      </w:r>
      <w:r w:rsidRPr="00FA1436">
        <w:rPr>
          <w:i w:val="0"/>
          <w:noProof/>
          <w:sz w:val="18"/>
        </w:rPr>
        <w:instrText xml:space="preserve"> PAGEREF _Toc381189665 \h </w:instrText>
      </w:r>
      <w:r w:rsidRPr="00FA1436">
        <w:rPr>
          <w:i w:val="0"/>
          <w:noProof/>
          <w:sz w:val="18"/>
        </w:rPr>
      </w:r>
      <w:r w:rsidRPr="00FA1436">
        <w:rPr>
          <w:i w:val="0"/>
          <w:noProof/>
          <w:sz w:val="18"/>
        </w:rPr>
        <w:fldChar w:fldCharType="separate"/>
      </w:r>
      <w:r w:rsidR="00913A77">
        <w:rPr>
          <w:i w:val="0"/>
          <w:noProof/>
          <w:sz w:val="18"/>
        </w:rPr>
        <w:t>3</w:t>
      </w:r>
      <w:r w:rsidRPr="00FA1436">
        <w:rPr>
          <w:i w:val="0"/>
          <w:noProof/>
          <w:sz w:val="18"/>
        </w:rPr>
        <w:fldChar w:fldCharType="end"/>
      </w:r>
    </w:p>
    <w:p w:rsidR="000E4270" w:rsidRPr="00FA1436" w:rsidRDefault="000E4270">
      <w:pPr>
        <w:pStyle w:val="TOC6"/>
        <w:rPr>
          <w:rFonts w:asciiTheme="minorHAnsi" w:eastAsiaTheme="minorEastAsia" w:hAnsiTheme="minorHAnsi" w:cstheme="minorBidi"/>
          <w:b w:val="0"/>
          <w:noProof/>
          <w:kern w:val="0"/>
          <w:sz w:val="22"/>
          <w:szCs w:val="22"/>
        </w:rPr>
      </w:pPr>
      <w:r w:rsidRPr="00FA1436">
        <w:rPr>
          <w:noProof/>
        </w:rPr>
        <w:t>Schedule</w:t>
      </w:r>
      <w:r w:rsidR="00FA1436" w:rsidRPr="00FA1436">
        <w:rPr>
          <w:noProof/>
        </w:rPr>
        <w:t> </w:t>
      </w:r>
      <w:r w:rsidRPr="00FA1436">
        <w:rPr>
          <w:noProof/>
        </w:rPr>
        <w:t>2—Gas trading exchange</w:t>
      </w:r>
      <w:r w:rsidRPr="00FA1436">
        <w:rPr>
          <w:b w:val="0"/>
          <w:noProof/>
          <w:sz w:val="18"/>
        </w:rPr>
        <w:tab/>
      </w:r>
      <w:r w:rsidRPr="00FA1436">
        <w:rPr>
          <w:b w:val="0"/>
          <w:noProof/>
          <w:sz w:val="18"/>
        </w:rPr>
        <w:fldChar w:fldCharType="begin"/>
      </w:r>
      <w:r w:rsidRPr="00FA1436">
        <w:rPr>
          <w:b w:val="0"/>
          <w:noProof/>
          <w:sz w:val="18"/>
        </w:rPr>
        <w:instrText xml:space="preserve"> PAGEREF _Toc381189666 \h </w:instrText>
      </w:r>
      <w:r w:rsidRPr="00FA1436">
        <w:rPr>
          <w:b w:val="0"/>
          <w:noProof/>
          <w:sz w:val="18"/>
        </w:rPr>
      </w:r>
      <w:r w:rsidRPr="00FA1436">
        <w:rPr>
          <w:b w:val="0"/>
          <w:noProof/>
          <w:sz w:val="18"/>
        </w:rPr>
        <w:fldChar w:fldCharType="separate"/>
      </w:r>
      <w:r w:rsidR="00913A77">
        <w:rPr>
          <w:b w:val="0"/>
          <w:noProof/>
          <w:sz w:val="18"/>
        </w:rPr>
        <w:t>5</w:t>
      </w:r>
      <w:r w:rsidRPr="00FA1436">
        <w:rPr>
          <w:b w:val="0"/>
          <w:noProof/>
          <w:sz w:val="18"/>
        </w:rPr>
        <w:fldChar w:fldCharType="end"/>
      </w:r>
    </w:p>
    <w:p w:rsidR="000E4270" w:rsidRPr="00FA1436" w:rsidRDefault="000E4270">
      <w:pPr>
        <w:pStyle w:val="TOC9"/>
        <w:rPr>
          <w:rFonts w:asciiTheme="minorHAnsi" w:eastAsiaTheme="minorEastAsia" w:hAnsiTheme="minorHAnsi" w:cstheme="minorBidi"/>
          <w:i w:val="0"/>
          <w:noProof/>
          <w:kern w:val="0"/>
          <w:sz w:val="22"/>
          <w:szCs w:val="22"/>
        </w:rPr>
      </w:pPr>
      <w:r w:rsidRPr="00FA1436">
        <w:rPr>
          <w:noProof/>
        </w:rPr>
        <w:t>Corporations Regulations</w:t>
      </w:r>
      <w:r w:rsidR="00FA1436" w:rsidRPr="00FA1436">
        <w:rPr>
          <w:noProof/>
        </w:rPr>
        <w:t> </w:t>
      </w:r>
      <w:r w:rsidRPr="00FA1436">
        <w:rPr>
          <w:noProof/>
        </w:rPr>
        <w:t>2001</w:t>
      </w:r>
      <w:r w:rsidRPr="00FA1436">
        <w:rPr>
          <w:i w:val="0"/>
          <w:noProof/>
          <w:sz w:val="18"/>
        </w:rPr>
        <w:tab/>
      </w:r>
      <w:r w:rsidRPr="00FA1436">
        <w:rPr>
          <w:i w:val="0"/>
          <w:noProof/>
          <w:sz w:val="18"/>
        </w:rPr>
        <w:fldChar w:fldCharType="begin"/>
      </w:r>
      <w:r w:rsidRPr="00FA1436">
        <w:rPr>
          <w:i w:val="0"/>
          <w:noProof/>
          <w:sz w:val="18"/>
        </w:rPr>
        <w:instrText xml:space="preserve"> PAGEREF _Toc381189667 \h </w:instrText>
      </w:r>
      <w:r w:rsidRPr="00FA1436">
        <w:rPr>
          <w:i w:val="0"/>
          <w:noProof/>
          <w:sz w:val="18"/>
        </w:rPr>
      </w:r>
      <w:r w:rsidRPr="00FA1436">
        <w:rPr>
          <w:i w:val="0"/>
          <w:noProof/>
          <w:sz w:val="18"/>
        </w:rPr>
        <w:fldChar w:fldCharType="separate"/>
      </w:r>
      <w:r w:rsidR="00913A77">
        <w:rPr>
          <w:i w:val="0"/>
          <w:noProof/>
          <w:sz w:val="18"/>
        </w:rPr>
        <w:t>5</w:t>
      </w:r>
      <w:r w:rsidRPr="00FA1436">
        <w:rPr>
          <w:i w:val="0"/>
          <w:noProof/>
          <w:sz w:val="18"/>
        </w:rPr>
        <w:fldChar w:fldCharType="end"/>
      </w:r>
    </w:p>
    <w:p w:rsidR="000E4270" w:rsidRPr="00FA1436" w:rsidRDefault="000E4270">
      <w:pPr>
        <w:pStyle w:val="TOC9"/>
        <w:rPr>
          <w:rFonts w:asciiTheme="minorHAnsi" w:eastAsiaTheme="minorEastAsia" w:hAnsiTheme="minorHAnsi" w:cstheme="minorBidi"/>
          <w:i w:val="0"/>
          <w:noProof/>
          <w:kern w:val="0"/>
          <w:sz w:val="22"/>
          <w:szCs w:val="22"/>
        </w:rPr>
      </w:pPr>
      <w:r w:rsidRPr="00FA1436">
        <w:rPr>
          <w:noProof/>
        </w:rPr>
        <w:t>Payments System and Netting Regulations</w:t>
      </w:r>
      <w:r w:rsidR="00FA1436" w:rsidRPr="00FA1436">
        <w:rPr>
          <w:noProof/>
        </w:rPr>
        <w:t> </w:t>
      </w:r>
      <w:r w:rsidRPr="00FA1436">
        <w:rPr>
          <w:noProof/>
        </w:rPr>
        <w:t>2001</w:t>
      </w:r>
      <w:r w:rsidRPr="00FA1436">
        <w:rPr>
          <w:i w:val="0"/>
          <w:noProof/>
          <w:sz w:val="18"/>
        </w:rPr>
        <w:tab/>
      </w:r>
      <w:r w:rsidRPr="00FA1436">
        <w:rPr>
          <w:i w:val="0"/>
          <w:noProof/>
          <w:sz w:val="18"/>
        </w:rPr>
        <w:fldChar w:fldCharType="begin"/>
      </w:r>
      <w:r w:rsidRPr="00FA1436">
        <w:rPr>
          <w:i w:val="0"/>
          <w:noProof/>
          <w:sz w:val="18"/>
        </w:rPr>
        <w:instrText xml:space="preserve"> PAGEREF _Toc381189670 \h </w:instrText>
      </w:r>
      <w:r w:rsidRPr="00FA1436">
        <w:rPr>
          <w:i w:val="0"/>
          <w:noProof/>
          <w:sz w:val="18"/>
        </w:rPr>
      </w:r>
      <w:r w:rsidRPr="00FA1436">
        <w:rPr>
          <w:i w:val="0"/>
          <w:noProof/>
          <w:sz w:val="18"/>
        </w:rPr>
        <w:fldChar w:fldCharType="separate"/>
      </w:r>
      <w:r w:rsidR="00913A77">
        <w:rPr>
          <w:i w:val="0"/>
          <w:noProof/>
          <w:sz w:val="18"/>
        </w:rPr>
        <w:t>6</w:t>
      </w:r>
      <w:r w:rsidRPr="00FA1436">
        <w:rPr>
          <w:i w:val="0"/>
          <w:noProof/>
          <w:sz w:val="18"/>
        </w:rPr>
        <w:fldChar w:fldCharType="end"/>
      </w:r>
    </w:p>
    <w:p w:rsidR="000E4270" w:rsidRPr="00FA1436" w:rsidRDefault="000E4270">
      <w:pPr>
        <w:pStyle w:val="TOC6"/>
        <w:rPr>
          <w:rFonts w:asciiTheme="minorHAnsi" w:eastAsiaTheme="minorEastAsia" w:hAnsiTheme="minorHAnsi" w:cstheme="minorBidi"/>
          <w:b w:val="0"/>
          <w:noProof/>
          <w:kern w:val="0"/>
          <w:sz w:val="22"/>
          <w:szCs w:val="22"/>
        </w:rPr>
      </w:pPr>
      <w:r w:rsidRPr="00FA1436">
        <w:rPr>
          <w:noProof/>
        </w:rPr>
        <w:t>Schedule</w:t>
      </w:r>
      <w:r w:rsidR="00FA1436" w:rsidRPr="00FA1436">
        <w:rPr>
          <w:noProof/>
        </w:rPr>
        <w:t> </w:t>
      </w:r>
      <w:r w:rsidRPr="00FA1436">
        <w:rPr>
          <w:noProof/>
        </w:rPr>
        <w:t>3—Professional standards schemes</w:t>
      </w:r>
      <w:r w:rsidRPr="00FA1436">
        <w:rPr>
          <w:b w:val="0"/>
          <w:noProof/>
          <w:sz w:val="18"/>
        </w:rPr>
        <w:tab/>
      </w:r>
      <w:r w:rsidRPr="00FA1436">
        <w:rPr>
          <w:b w:val="0"/>
          <w:noProof/>
          <w:sz w:val="18"/>
        </w:rPr>
        <w:fldChar w:fldCharType="begin"/>
      </w:r>
      <w:r w:rsidRPr="00FA1436">
        <w:rPr>
          <w:b w:val="0"/>
          <w:noProof/>
          <w:sz w:val="18"/>
        </w:rPr>
        <w:instrText xml:space="preserve"> PAGEREF _Toc381189672 \h </w:instrText>
      </w:r>
      <w:r w:rsidRPr="00FA1436">
        <w:rPr>
          <w:b w:val="0"/>
          <w:noProof/>
          <w:sz w:val="18"/>
        </w:rPr>
      </w:r>
      <w:r w:rsidRPr="00FA1436">
        <w:rPr>
          <w:b w:val="0"/>
          <w:noProof/>
          <w:sz w:val="18"/>
        </w:rPr>
        <w:fldChar w:fldCharType="separate"/>
      </w:r>
      <w:r w:rsidR="00913A77">
        <w:rPr>
          <w:b w:val="0"/>
          <w:noProof/>
          <w:sz w:val="18"/>
        </w:rPr>
        <w:t>8</w:t>
      </w:r>
      <w:r w:rsidRPr="00FA1436">
        <w:rPr>
          <w:b w:val="0"/>
          <w:noProof/>
          <w:sz w:val="18"/>
        </w:rPr>
        <w:fldChar w:fldCharType="end"/>
      </w:r>
    </w:p>
    <w:p w:rsidR="000E4270" w:rsidRPr="00FA1436" w:rsidRDefault="000E4270">
      <w:pPr>
        <w:pStyle w:val="TOC9"/>
        <w:rPr>
          <w:rFonts w:asciiTheme="minorHAnsi" w:eastAsiaTheme="minorEastAsia" w:hAnsiTheme="minorHAnsi" w:cstheme="minorBidi"/>
          <w:i w:val="0"/>
          <w:noProof/>
          <w:kern w:val="0"/>
          <w:sz w:val="22"/>
          <w:szCs w:val="22"/>
        </w:rPr>
      </w:pPr>
      <w:r w:rsidRPr="00FA1436">
        <w:rPr>
          <w:noProof/>
        </w:rPr>
        <w:t>Australian Securities and Investment Commission Regulations</w:t>
      </w:r>
      <w:r w:rsidR="00FA1436" w:rsidRPr="00FA1436">
        <w:rPr>
          <w:noProof/>
        </w:rPr>
        <w:t> </w:t>
      </w:r>
      <w:r w:rsidRPr="00FA1436">
        <w:rPr>
          <w:noProof/>
        </w:rPr>
        <w:t>2001</w:t>
      </w:r>
      <w:r w:rsidRPr="00FA1436">
        <w:rPr>
          <w:i w:val="0"/>
          <w:noProof/>
          <w:sz w:val="18"/>
        </w:rPr>
        <w:tab/>
      </w:r>
      <w:r w:rsidRPr="00FA1436">
        <w:rPr>
          <w:i w:val="0"/>
          <w:noProof/>
          <w:sz w:val="18"/>
        </w:rPr>
        <w:fldChar w:fldCharType="begin"/>
      </w:r>
      <w:r w:rsidRPr="00FA1436">
        <w:rPr>
          <w:i w:val="0"/>
          <w:noProof/>
          <w:sz w:val="18"/>
        </w:rPr>
        <w:instrText xml:space="preserve"> PAGEREF _Toc381189673 \h </w:instrText>
      </w:r>
      <w:r w:rsidRPr="00FA1436">
        <w:rPr>
          <w:i w:val="0"/>
          <w:noProof/>
          <w:sz w:val="18"/>
        </w:rPr>
      </w:r>
      <w:r w:rsidRPr="00FA1436">
        <w:rPr>
          <w:i w:val="0"/>
          <w:noProof/>
          <w:sz w:val="18"/>
        </w:rPr>
        <w:fldChar w:fldCharType="separate"/>
      </w:r>
      <w:r w:rsidR="00913A77">
        <w:rPr>
          <w:i w:val="0"/>
          <w:noProof/>
          <w:sz w:val="18"/>
        </w:rPr>
        <w:t>8</w:t>
      </w:r>
      <w:r w:rsidRPr="00FA1436">
        <w:rPr>
          <w:i w:val="0"/>
          <w:noProof/>
          <w:sz w:val="18"/>
        </w:rPr>
        <w:fldChar w:fldCharType="end"/>
      </w:r>
    </w:p>
    <w:p w:rsidR="000E4270" w:rsidRPr="00FA1436" w:rsidRDefault="000E4270">
      <w:pPr>
        <w:pStyle w:val="TOC9"/>
        <w:rPr>
          <w:rFonts w:asciiTheme="minorHAnsi" w:eastAsiaTheme="minorEastAsia" w:hAnsiTheme="minorHAnsi" w:cstheme="minorBidi"/>
          <w:i w:val="0"/>
          <w:noProof/>
          <w:kern w:val="0"/>
          <w:sz w:val="22"/>
          <w:szCs w:val="22"/>
        </w:rPr>
      </w:pPr>
      <w:r w:rsidRPr="00FA1436">
        <w:rPr>
          <w:noProof/>
        </w:rPr>
        <w:t>Competition and Consumer Regulations</w:t>
      </w:r>
      <w:r w:rsidR="00FA1436" w:rsidRPr="00FA1436">
        <w:rPr>
          <w:noProof/>
        </w:rPr>
        <w:t> </w:t>
      </w:r>
      <w:r w:rsidRPr="00FA1436">
        <w:rPr>
          <w:noProof/>
        </w:rPr>
        <w:t>2010</w:t>
      </w:r>
      <w:r w:rsidRPr="00FA1436">
        <w:rPr>
          <w:i w:val="0"/>
          <w:noProof/>
          <w:sz w:val="18"/>
        </w:rPr>
        <w:tab/>
      </w:r>
      <w:r w:rsidRPr="00FA1436">
        <w:rPr>
          <w:i w:val="0"/>
          <w:noProof/>
          <w:sz w:val="18"/>
        </w:rPr>
        <w:fldChar w:fldCharType="begin"/>
      </w:r>
      <w:r w:rsidRPr="00FA1436">
        <w:rPr>
          <w:i w:val="0"/>
          <w:noProof/>
          <w:sz w:val="18"/>
        </w:rPr>
        <w:instrText xml:space="preserve"> PAGEREF _Toc381189674 \h </w:instrText>
      </w:r>
      <w:r w:rsidRPr="00FA1436">
        <w:rPr>
          <w:i w:val="0"/>
          <w:noProof/>
          <w:sz w:val="18"/>
        </w:rPr>
      </w:r>
      <w:r w:rsidRPr="00FA1436">
        <w:rPr>
          <w:i w:val="0"/>
          <w:noProof/>
          <w:sz w:val="18"/>
        </w:rPr>
        <w:fldChar w:fldCharType="separate"/>
      </w:r>
      <w:r w:rsidR="00913A77">
        <w:rPr>
          <w:i w:val="0"/>
          <w:noProof/>
          <w:sz w:val="18"/>
        </w:rPr>
        <w:t>9</w:t>
      </w:r>
      <w:r w:rsidRPr="00FA1436">
        <w:rPr>
          <w:i w:val="0"/>
          <w:noProof/>
          <w:sz w:val="18"/>
        </w:rPr>
        <w:fldChar w:fldCharType="end"/>
      </w:r>
    </w:p>
    <w:p w:rsidR="000E4270" w:rsidRPr="00FA1436" w:rsidRDefault="000E4270">
      <w:pPr>
        <w:pStyle w:val="TOC9"/>
        <w:rPr>
          <w:rFonts w:asciiTheme="minorHAnsi" w:eastAsiaTheme="minorEastAsia" w:hAnsiTheme="minorHAnsi" w:cstheme="minorBidi"/>
          <w:i w:val="0"/>
          <w:noProof/>
          <w:kern w:val="0"/>
          <w:sz w:val="22"/>
          <w:szCs w:val="22"/>
        </w:rPr>
      </w:pPr>
      <w:r w:rsidRPr="00FA1436">
        <w:rPr>
          <w:noProof/>
        </w:rPr>
        <w:t>Corporations Regulations</w:t>
      </w:r>
      <w:r w:rsidR="00FA1436" w:rsidRPr="00FA1436">
        <w:rPr>
          <w:noProof/>
        </w:rPr>
        <w:t> </w:t>
      </w:r>
      <w:r w:rsidRPr="00FA1436">
        <w:rPr>
          <w:noProof/>
        </w:rPr>
        <w:t>2001</w:t>
      </w:r>
      <w:r w:rsidRPr="00FA1436">
        <w:rPr>
          <w:i w:val="0"/>
          <w:noProof/>
          <w:sz w:val="18"/>
        </w:rPr>
        <w:tab/>
      </w:r>
      <w:r w:rsidRPr="00FA1436">
        <w:rPr>
          <w:i w:val="0"/>
          <w:noProof/>
          <w:sz w:val="18"/>
        </w:rPr>
        <w:fldChar w:fldCharType="begin"/>
      </w:r>
      <w:r w:rsidRPr="00FA1436">
        <w:rPr>
          <w:i w:val="0"/>
          <w:noProof/>
          <w:sz w:val="18"/>
        </w:rPr>
        <w:instrText xml:space="preserve"> PAGEREF _Toc381189675 \h </w:instrText>
      </w:r>
      <w:r w:rsidRPr="00FA1436">
        <w:rPr>
          <w:i w:val="0"/>
          <w:noProof/>
          <w:sz w:val="18"/>
        </w:rPr>
      </w:r>
      <w:r w:rsidRPr="00FA1436">
        <w:rPr>
          <w:i w:val="0"/>
          <w:noProof/>
          <w:sz w:val="18"/>
        </w:rPr>
        <w:fldChar w:fldCharType="separate"/>
      </w:r>
      <w:r w:rsidR="00913A77">
        <w:rPr>
          <w:i w:val="0"/>
          <w:noProof/>
          <w:sz w:val="18"/>
        </w:rPr>
        <w:t>11</w:t>
      </w:r>
      <w:r w:rsidRPr="00FA1436">
        <w:rPr>
          <w:i w:val="0"/>
          <w:noProof/>
          <w:sz w:val="18"/>
        </w:rPr>
        <w:fldChar w:fldCharType="end"/>
      </w:r>
    </w:p>
    <w:p w:rsidR="00833416" w:rsidRPr="00FA1436" w:rsidRDefault="000E4270" w:rsidP="0048364F">
      <w:r w:rsidRPr="00FA1436">
        <w:fldChar w:fldCharType="end"/>
      </w:r>
    </w:p>
    <w:p w:rsidR="00722023" w:rsidRPr="00FA1436" w:rsidRDefault="00722023" w:rsidP="0048364F">
      <w:pPr>
        <w:sectPr w:rsidR="00722023" w:rsidRPr="00FA1436" w:rsidSect="00B25895">
          <w:headerReference w:type="even" r:id="rId16"/>
          <w:headerReference w:type="default" r:id="rId17"/>
          <w:footerReference w:type="even" r:id="rId18"/>
          <w:footerReference w:type="default" r:id="rId19"/>
          <w:headerReference w:type="first" r:id="rId20"/>
          <w:pgSz w:w="11907" w:h="16839"/>
          <w:pgMar w:top="2375" w:right="2410" w:bottom="4253" w:left="2410" w:header="720" w:footer="3402" w:gutter="0"/>
          <w:pgNumType w:fmt="lowerRoman" w:start="1"/>
          <w:cols w:space="708"/>
          <w:docGrid w:linePitch="360"/>
        </w:sectPr>
      </w:pPr>
    </w:p>
    <w:p w:rsidR="0048364F" w:rsidRPr="00FA1436" w:rsidRDefault="0048364F" w:rsidP="0048364F">
      <w:pPr>
        <w:pStyle w:val="ActHead5"/>
      </w:pPr>
      <w:bookmarkStart w:id="3" w:name="_Toc381189658"/>
      <w:r w:rsidRPr="00FA1436">
        <w:rPr>
          <w:rStyle w:val="CharSectno"/>
        </w:rPr>
        <w:lastRenderedPageBreak/>
        <w:t>1</w:t>
      </w:r>
      <w:r w:rsidRPr="00FA1436">
        <w:t xml:space="preserve">  </w:t>
      </w:r>
      <w:r w:rsidR="004F676E" w:rsidRPr="00FA1436">
        <w:t xml:space="preserve">Name of </w:t>
      </w:r>
      <w:r w:rsidR="00FE2238" w:rsidRPr="00FA1436">
        <w:t>regulation</w:t>
      </w:r>
      <w:bookmarkEnd w:id="3"/>
    </w:p>
    <w:p w:rsidR="0048364F" w:rsidRPr="00FA1436" w:rsidRDefault="0048364F" w:rsidP="0048364F">
      <w:pPr>
        <w:pStyle w:val="subsection"/>
      </w:pPr>
      <w:r w:rsidRPr="00FA1436">
        <w:tab/>
      </w:r>
      <w:r w:rsidRPr="00FA1436">
        <w:tab/>
        <w:t>Th</w:t>
      </w:r>
      <w:r w:rsidR="00F24C35" w:rsidRPr="00FA1436">
        <w:t>is</w:t>
      </w:r>
      <w:r w:rsidRPr="00FA1436">
        <w:t xml:space="preserve"> </w:t>
      </w:r>
      <w:r w:rsidR="00FE2238" w:rsidRPr="00FA1436">
        <w:t>regulation</w:t>
      </w:r>
      <w:r w:rsidRPr="00FA1436">
        <w:t xml:space="preserve"> </w:t>
      </w:r>
      <w:r w:rsidR="00F24C35" w:rsidRPr="00FA1436">
        <w:t>is</w:t>
      </w:r>
      <w:r w:rsidR="003801D0" w:rsidRPr="00FA1436">
        <w:t xml:space="preserve"> the</w:t>
      </w:r>
      <w:r w:rsidRPr="00FA1436">
        <w:t xml:space="preserve"> </w:t>
      </w:r>
      <w:bookmarkStart w:id="4" w:name="BKCheck15B_4"/>
      <w:bookmarkEnd w:id="4"/>
      <w:r w:rsidR="00CB0180" w:rsidRPr="00FA1436">
        <w:rPr>
          <w:i/>
        </w:rPr>
        <w:fldChar w:fldCharType="begin"/>
      </w:r>
      <w:r w:rsidR="00CB0180" w:rsidRPr="00FA1436">
        <w:rPr>
          <w:i/>
        </w:rPr>
        <w:instrText xml:space="preserve"> STYLEREF  ShortT </w:instrText>
      </w:r>
      <w:r w:rsidR="00CB0180" w:rsidRPr="00FA1436">
        <w:rPr>
          <w:i/>
        </w:rPr>
        <w:fldChar w:fldCharType="separate"/>
      </w:r>
      <w:r w:rsidR="00913A77">
        <w:rPr>
          <w:i/>
          <w:noProof/>
        </w:rPr>
        <w:t>Corporations Laws Amendment (2014 Measures No. 1) Regulation 2014</w:t>
      </w:r>
      <w:r w:rsidR="00CB0180" w:rsidRPr="00FA1436">
        <w:rPr>
          <w:i/>
        </w:rPr>
        <w:fldChar w:fldCharType="end"/>
      </w:r>
      <w:r w:rsidRPr="00FA1436">
        <w:t>.</w:t>
      </w:r>
    </w:p>
    <w:p w:rsidR="0048364F" w:rsidRPr="00FA1436" w:rsidRDefault="0048364F" w:rsidP="0048364F">
      <w:pPr>
        <w:pStyle w:val="ActHead5"/>
      </w:pPr>
      <w:bookmarkStart w:id="5" w:name="_Toc381189659"/>
      <w:r w:rsidRPr="00FA1436">
        <w:rPr>
          <w:rStyle w:val="CharSectno"/>
        </w:rPr>
        <w:t>2</w:t>
      </w:r>
      <w:r w:rsidRPr="00FA1436">
        <w:t xml:space="preserve">  Commencement</w:t>
      </w:r>
      <w:bookmarkEnd w:id="5"/>
    </w:p>
    <w:p w:rsidR="004F676E" w:rsidRPr="00FA1436" w:rsidRDefault="004F676E" w:rsidP="004F676E">
      <w:pPr>
        <w:pStyle w:val="subsection"/>
      </w:pPr>
      <w:bookmarkStart w:id="6" w:name="_GoBack"/>
      <w:r w:rsidRPr="00FA1436">
        <w:tab/>
      </w:r>
      <w:r w:rsidRPr="00FA1436">
        <w:tab/>
        <w:t>Th</w:t>
      </w:r>
      <w:r w:rsidR="00F24C35" w:rsidRPr="00FA1436">
        <w:t>is</w:t>
      </w:r>
      <w:r w:rsidRPr="00FA1436">
        <w:t xml:space="preserve"> </w:t>
      </w:r>
      <w:r w:rsidR="00FE2238" w:rsidRPr="00FA1436">
        <w:t>regulation</w:t>
      </w:r>
      <w:r w:rsidRPr="00FA1436">
        <w:t xml:space="preserve"> commence</w:t>
      </w:r>
      <w:r w:rsidR="00D17B17" w:rsidRPr="00FA1436">
        <w:t>s</w:t>
      </w:r>
      <w:r w:rsidRPr="00FA1436">
        <w:t xml:space="preserve"> on </w:t>
      </w:r>
      <w:r w:rsidR="00A26DBE" w:rsidRPr="00FA1436">
        <w:t xml:space="preserve">the </w:t>
      </w:r>
      <w:r w:rsidR="00FE2238" w:rsidRPr="00FA1436">
        <w:t>day after it is registered</w:t>
      </w:r>
      <w:r w:rsidRPr="00FA1436">
        <w:t>.</w:t>
      </w:r>
      <w:bookmarkEnd w:id="6"/>
    </w:p>
    <w:p w:rsidR="007769D4" w:rsidRPr="00FA1436" w:rsidRDefault="007769D4" w:rsidP="007769D4">
      <w:pPr>
        <w:pStyle w:val="ActHead5"/>
      </w:pPr>
      <w:bookmarkStart w:id="7" w:name="_Toc381189660"/>
      <w:r w:rsidRPr="00FA1436">
        <w:rPr>
          <w:rStyle w:val="CharSectno"/>
        </w:rPr>
        <w:t>3</w:t>
      </w:r>
      <w:r w:rsidRPr="00FA1436">
        <w:t xml:space="preserve">  Authority</w:t>
      </w:r>
      <w:bookmarkEnd w:id="7"/>
    </w:p>
    <w:p w:rsidR="007769D4" w:rsidRPr="00FA1436" w:rsidRDefault="007769D4" w:rsidP="007769D4">
      <w:pPr>
        <w:pStyle w:val="subsection"/>
      </w:pPr>
      <w:r w:rsidRPr="00FA1436">
        <w:tab/>
      </w:r>
      <w:r w:rsidRPr="00FA1436">
        <w:tab/>
      </w:r>
      <w:r w:rsidR="00AF0336" w:rsidRPr="00FA1436">
        <w:t xml:space="preserve">This </w:t>
      </w:r>
      <w:r w:rsidR="00FE2238" w:rsidRPr="00FA1436">
        <w:t>regulation</w:t>
      </w:r>
      <w:r w:rsidR="00AF0336" w:rsidRPr="00FA1436">
        <w:t xml:space="preserve"> is made under the </w:t>
      </w:r>
      <w:r w:rsidR="004A4886" w:rsidRPr="00FA1436">
        <w:t>following Acts:</w:t>
      </w:r>
    </w:p>
    <w:p w:rsidR="004A4886" w:rsidRPr="00FA1436" w:rsidRDefault="004A4886" w:rsidP="004A4886">
      <w:pPr>
        <w:pStyle w:val="paragraph"/>
      </w:pPr>
      <w:r w:rsidRPr="00FA1436">
        <w:tab/>
        <w:t>(a)</w:t>
      </w:r>
      <w:r w:rsidRPr="00FA1436">
        <w:tab/>
        <w:t xml:space="preserve">the </w:t>
      </w:r>
      <w:r w:rsidRPr="00FA1436">
        <w:rPr>
          <w:i/>
        </w:rPr>
        <w:t>Australian Securities and Investments Commission Act 2001</w:t>
      </w:r>
      <w:r w:rsidRPr="00FA1436">
        <w:t>;</w:t>
      </w:r>
    </w:p>
    <w:p w:rsidR="004A4886" w:rsidRPr="00FA1436" w:rsidRDefault="004A4886" w:rsidP="004A4886">
      <w:pPr>
        <w:pStyle w:val="paragraph"/>
      </w:pPr>
      <w:r w:rsidRPr="00FA1436">
        <w:tab/>
        <w:t>(b)</w:t>
      </w:r>
      <w:r w:rsidRPr="00FA1436">
        <w:tab/>
        <w:t xml:space="preserve">the </w:t>
      </w:r>
      <w:r w:rsidRPr="00FA1436">
        <w:rPr>
          <w:i/>
        </w:rPr>
        <w:t>Competition and Consumer Act 20</w:t>
      </w:r>
      <w:r w:rsidR="0002699E" w:rsidRPr="00FA1436">
        <w:rPr>
          <w:i/>
        </w:rPr>
        <w:t>10</w:t>
      </w:r>
      <w:r w:rsidRPr="00FA1436">
        <w:t>;</w:t>
      </w:r>
    </w:p>
    <w:p w:rsidR="004A4886" w:rsidRPr="00FA1436" w:rsidRDefault="004A4886" w:rsidP="004A4886">
      <w:pPr>
        <w:pStyle w:val="paragraph"/>
      </w:pPr>
      <w:r w:rsidRPr="00FA1436">
        <w:tab/>
        <w:t>(c)</w:t>
      </w:r>
      <w:r w:rsidRPr="00FA1436">
        <w:tab/>
        <w:t xml:space="preserve">the </w:t>
      </w:r>
      <w:r w:rsidRPr="00FA1436">
        <w:rPr>
          <w:i/>
        </w:rPr>
        <w:t>Corporations Act 2001</w:t>
      </w:r>
      <w:r w:rsidRPr="00FA1436">
        <w:t>;</w:t>
      </w:r>
    </w:p>
    <w:p w:rsidR="004A4886" w:rsidRPr="00FA1436" w:rsidRDefault="004A4886" w:rsidP="004A4886">
      <w:pPr>
        <w:pStyle w:val="paragraph"/>
      </w:pPr>
      <w:r w:rsidRPr="00FA1436">
        <w:tab/>
        <w:t>(d)</w:t>
      </w:r>
      <w:r w:rsidRPr="00FA1436">
        <w:tab/>
        <w:t xml:space="preserve">the </w:t>
      </w:r>
      <w:r w:rsidRPr="00FA1436">
        <w:rPr>
          <w:i/>
        </w:rPr>
        <w:t>Payment Systems and Netting Act 1998</w:t>
      </w:r>
      <w:r w:rsidRPr="00FA1436">
        <w:t>.</w:t>
      </w:r>
    </w:p>
    <w:p w:rsidR="00557C7A" w:rsidRPr="00FA1436" w:rsidRDefault="007769D4" w:rsidP="00557C7A">
      <w:pPr>
        <w:pStyle w:val="ActHead5"/>
      </w:pPr>
      <w:bookmarkStart w:id="8" w:name="_Toc381189661"/>
      <w:r w:rsidRPr="00FA1436">
        <w:rPr>
          <w:rStyle w:val="CharSectno"/>
        </w:rPr>
        <w:t>4</w:t>
      </w:r>
      <w:r w:rsidR="00557C7A" w:rsidRPr="00FA1436">
        <w:t xml:space="preserve">  </w:t>
      </w:r>
      <w:r w:rsidR="00B332B8" w:rsidRPr="00FA1436">
        <w:t>Schedule(s)</w:t>
      </w:r>
      <w:bookmarkEnd w:id="8"/>
    </w:p>
    <w:p w:rsidR="00557C7A" w:rsidRPr="00FA1436" w:rsidRDefault="00557C7A" w:rsidP="00557C7A">
      <w:pPr>
        <w:pStyle w:val="subsection"/>
      </w:pPr>
      <w:r w:rsidRPr="00FA1436">
        <w:tab/>
      </w:r>
      <w:r w:rsidRPr="00FA1436">
        <w:tab/>
      </w:r>
      <w:r w:rsidR="00CD7ECB" w:rsidRPr="00FA1436">
        <w:t>Each instrument that is specified in a Schedule to this instrument is amended or repealed as set out in the applicable items in the Schedule concerned, and any other item in a Schedule to this instrument has effect according to its terms.</w:t>
      </w:r>
    </w:p>
    <w:p w:rsidR="0048364F" w:rsidRPr="00FA1436" w:rsidRDefault="0048364F" w:rsidP="00FF3089">
      <w:pPr>
        <w:pStyle w:val="ActHead6"/>
        <w:pageBreakBefore/>
      </w:pPr>
      <w:bookmarkStart w:id="9" w:name="_Toc381189662"/>
      <w:bookmarkStart w:id="10" w:name="opcAmSched"/>
      <w:r w:rsidRPr="00FA1436">
        <w:rPr>
          <w:rStyle w:val="CharAmSchNo"/>
        </w:rPr>
        <w:t>Schedule</w:t>
      </w:r>
      <w:r w:rsidR="00FA1436" w:rsidRPr="00FA1436">
        <w:rPr>
          <w:rStyle w:val="CharAmSchNo"/>
        </w:rPr>
        <w:t> </w:t>
      </w:r>
      <w:r w:rsidRPr="00FA1436">
        <w:rPr>
          <w:rStyle w:val="CharAmSchNo"/>
        </w:rPr>
        <w:t>1</w:t>
      </w:r>
      <w:r w:rsidRPr="00FA1436">
        <w:t>—</w:t>
      </w:r>
      <w:r w:rsidR="0002699E" w:rsidRPr="00FA1436">
        <w:rPr>
          <w:rStyle w:val="CharAmSchText"/>
        </w:rPr>
        <w:t>Water trading exemptions</w:t>
      </w:r>
      <w:bookmarkEnd w:id="9"/>
    </w:p>
    <w:bookmarkEnd w:id="10"/>
    <w:p w:rsidR="0004044E" w:rsidRPr="00FA1436" w:rsidRDefault="0004044E" w:rsidP="0004044E">
      <w:pPr>
        <w:pStyle w:val="Header"/>
      </w:pPr>
      <w:r w:rsidRPr="00FA1436">
        <w:rPr>
          <w:rStyle w:val="CharAmPartNo"/>
        </w:rPr>
        <w:t xml:space="preserve"> </w:t>
      </w:r>
      <w:r w:rsidRPr="00FA1436">
        <w:rPr>
          <w:rStyle w:val="CharAmPartText"/>
        </w:rPr>
        <w:t xml:space="preserve"> </w:t>
      </w:r>
    </w:p>
    <w:p w:rsidR="008A3E97" w:rsidRPr="00FA1436" w:rsidRDefault="008A3E97" w:rsidP="008A3E97">
      <w:pPr>
        <w:pStyle w:val="ActHead9"/>
      </w:pPr>
      <w:bookmarkStart w:id="11" w:name="_Toc381189663"/>
      <w:r w:rsidRPr="00FA1436">
        <w:t>Australian Securities and Investments Commission Regulations</w:t>
      </w:r>
      <w:r w:rsidR="00FA1436" w:rsidRPr="00FA1436">
        <w:t> </w:t>
      </w:r>
      <w:r w:rsidRPr="00FA1436">
        <w:t>2001</w:t>
      </w:r>
      <w:bookmarkEnd w:id="11"/>
    </w:p>
    <w:p w:rsidR="008A3E97" w:rsidRPr="00FA1436" w:rsidRDefault="008A3E97" w:rsidP="008A3E97">
      <w:pPr>
        <w:pStyle w:val="ItemHead"/>
        <w:tabs>
          <w:tab w:val="left" w:pos="6663"/>
        </w:tabs>
      </w:pPr>
      <w:r w:rsidRPr="00FA1436">
        <w:t>1  After regulation</w:t>
      </w:r>
      <w:r w:rsidR="00FA1436" w:rsidRPr="00FA1436">
        <w:t> </w:t>
      </w:r>
      <w:r w:rsidRPr="00FA1436">
        <w:t>2BB</w:t>
      </w:r>
    </w:p>
    <w:p w:rsidR="008A3E97" w:rsidRPr="00FA1436" w:rsidRDefault="008A3E97" w:rsidP="008A3E97">
      <w:pPr>
        <w:pStyle w:val="Item"/>
      </w:pPr>
      <w:r w:rsidRPr="00FA1436">
        <w:t>Insert:</w:t>
      </w:r>
    </w:p>
    <w:p w:rsidR="008A3E97" w:rsidRPr="00FA1436" w:rsidRDefault="008A3E97" w:rsidP="008A3E97">
      <w:pPr>
        <w:pStyle w:val="ActHead5"/>
      </w:pPr>
      <w:bookmarkStart w:id="12" w:name="_Toc381189664"/>
      <w:r w:rsidRPr="00FA1436">
        <w:rPr>
          <w:rStyle w:val="CharSectno"/>
        </w:rPr>
        <w:t>2BC</w:t>
      </w:r>
      <w:r w:rsidRPr="00FA1436">
        <w:t xml:space="preserve">  Specific things that are not financial products—certain tradeable water rights</w:t>
      </w:r>
      <w:bookmarkEnd w:id="12"/>
    </w:p>
    <w:p w:rsidR="008A3E97" w:rsidRPr="00FA1436" w:rsidRDefault="008A3E97" w:rsidP="008A3E97">
      <w:pPr>
        <w:pStyle w:val="subsection"/>
      </w:pPr>
      <w:r w:rsidRPr="00FA1436">
        <w:tab/>
        <w:t>(1)</w:t>
      </w:r>
      <w:r w:rsidRPr="00FA1436">
        <w:tab/>
        <w:t>For paragraph</w:t>
      </w:r>
      <w:r w:rsidR="00FA1436" w:rsidRPr="00FA1436">
        <w:t> </w:t>
      </w:r>
      <w:r w:rsidRPr="00FA1436">
        <w:t>12BAA(8)(p) of the Act, each of the following is not a financial product:</w:t>
      </w:r>
    </w:p>
    <w:p w:rsidR="008A3E97" w:rsidRPr="00FA1436" w:rsidRDefault="008A3E97" w:rsidP="008A3E97">
      <w:pPr>
        <w:pStyle w:val="paragraph"/>
      </w:pPr>
      <w:r w:rsidRPr="00FA1436">
        <w:tab/>
        <w:t>(a)</w:t>
      </w:r>
      <w:r w:rsidRPr="00FA1436">
        <w:tab/>
        <w:t>tradeable water rights;</w:t>
      </w:r>
    </w:p>
    <w:p w:rsidR="008A3E97" w:rsidRPr="00FA1436" w:rsidRDefault="008A3E97" w:rsidP="008A3E97">
      <w:pPr>
        <w:pStyle w:val="paragraph"/>
      </w:pPr>
      <w:r w:rsidRPr="00FA1436">
        <w:tab/>
        <w:t>(b)</w:t>
      </w:r>
      <w:r w:rsidRPr="00FA1436">
        <w:tab/>
        <w:t>an arrangement:</w:t>
      </w:r>
    </w:p>
    <w:p w:rsidR="008A3E97" w:rsidRPr="00FA1436" w:rsidRDefault="008A3E97" w:rsidP="008A3E97">
      <w:pPr>
        <w:pStyle w:val="paragraphsub"/>
      </w:pPr>
      <w:r w:rsidRPr="00FA1436">
        <w:tab/>
        <w:t>(i)</w:t>
      </w:r>
      <w:r w:rsidRPr="00FA1436">
        <w:tab/>
      </w:r>
      <w:r w:rsidR="00D522F9" w:rsidRPr="00FA1436">
        <w:t xml:space="preserve">under which </w:t>
      </w:r>
      <w:r w:rsidRPr="00FA1436">
        <w:t xml:space="preserve">a person (the </w:t>
      </w:r>
      <w:r w:rsidRPr="00FA1436">
        <w:rPr>
          <w:b/>
          <w:i/>
        </w:rPr>
        <w:t>seller</w:t>
      </w:r>
      <w:r w:rsidRPr="00FA1436">
        <w:t>) has</w:t>
      </w:r>
      <w:r w:rsidR="00696D85" w:rsidRPr="00FA1436">
        <w:t>, or may have,</w:t>
      </w:r>
      <w:r w:rsidRPr="00FA1436">
        <w:t xml:space="preserve"> an obligation to sell tradeable water rights </w:t>
      </w:r>
      <w:r w:rsidR="00D522F9" w:rsidRPr="00FA1436">
        <w:t>at</w:t>
      </w:r>
      <w:r w:rsidRPr="00FA1436">
        <w:t xml:space="preserve"> a future date; and</w:t>
      </w:r>
    </w:p>
    <w:p w:rsidR="008A3E97" w:rsidRPr="00FA1436" w:rsidRDefault="008A3E97" w:rsidP="008A3E97">
      <w:pPr>
        <w:pStyle w:val="paragraphsub"/>
      </w:pPr>
      <w:r w:rsidRPr="00FA1436">
        <w:tab/>
        <w:t>(ii)</w:t>
      </w:r>
      <w:r w:rsidRPr="00FA1436">
        <w:tab/>
      </w:r>
      <w:r w:rsidR="00D522F9" w:rsidRPr="00FA1436">
        <w:t xml:space="preserve">under which </w:t>
      </w:r>
      <w:r w:rsidRPr="00FA1436">
        <w:t xml:space="preserve">another person (the </w:t>
      </w:r>
      <w:r w:rsidRPr="00FA1436">
        <w:rPr>
          <w:b/>
          <w:i/>
        </w:rPr>
        <w:t>buyer</w:t>
      </w:r>
      <w:r w:rsidRPr="00FA1436">
        <w:t>) has</w:t>
      </w:r>
      <w:r w:rsidR="00696D85" w:rsidRPr="00FA1436">
        <w:t>, or may have,</w:t>
      </w:r>
      <w:r w:rsidRPr="00FA1436">
        <w:t xml:space="preserve"> an obligation to buy the tradeable water rights, or replacement water rights, </w:t>
      </w:r>
      <w:r w:rsidR="00D522F9" w:rsidRPr="00FA1436">
        <w:t>at</w:t>
      </w:r>
      <w:r w:rsidRPr="00FA1436">
        <w:t xml:space="preserve"> a future date; and</w:t>
      </w:r>
    </w:p>
    <w:p w:rsidR="008A3E97" w:rsidRPr="00FA1436" w:rsidRDefault="008A3E97" w:rsidP="008A3E97">
      <w:pPr>
        <w:pStyle w:val="paragraphsub"/>
      </w:pPr>
      <w:r w:rsidRPr="00FA1436">
        <w:tab/>
        <w:t>(iii)</w:t>
      </w:r>
      <w:r w:rsidRPr="00FA1436">
        <w:tab/>
        <w:t>th</w:t>
      </w:r>
      <w:r w:rsidR="00D522F9" w:rsidRPr="00FA1436">
        <w:t>at</w:t>
      </w:r>
      <w:r w:rsidRPr="00FA1436">
        <w:t xml:space="preserve"> does not permit the seller’s obligations to be wholly settled by cash, or by set</w:t>
      </w:r>
      <w:r w:rsidR="00FA1436">
        <w:noBreakHyphen/>
      </w:r>
      <w:r w:rsidRPr="00FA1436">
        <w:t>off between the seller and the buyer, rather than by transfer of ownership of the tradeable water rights or replacement water rights; and</w:t>
      </w:r>
    </w:p>
    <w:p w:rsidR="008A3E97" w:rsidRPr="00FA1436" w:rsidRDefault="008A3E97" w:rsidP="008A3E97">
      <w:pPr>
        <w:pStyle w:val="paragraphsub"/>
      </w:pPr>
      <w:r w:rsidRPr="00FA1436">
        <w:tab/>
        <w:t>(iv)</w:t>
      </w:r>
      <w:r w:rsidRPr="00FA1436">
        <w:tab/>
      </w:r>
      <w:r w:rsidR="00D522F9" w:rsidRPr="00FA1436">
        <w:t xml:space="preserve">in relation to which </w:t>
      </w:r>
      <w:r w:rsidRPr="00FA1436">
        <w:t>neither usual market practice, nor the rules, allow the seller’s obligations to be closed out by matching up the arrangement with another arrangement of the same kind under which the seller has offsetting obligations to buy</w:t>
      </w:r>
      <w:r w:rsidRPr="00FA1436">
        <w:rPr>
          <w:b/>
        </w:rPr>
        <w:t xml:space="preserve"> </w:t>
      </w:r>
      <w:r w:rsidRPr="00FA1436">
        <w:t>the tradeable water rights or replacement water rights.</w:t>
      </w:r>
    </w:p>
    <w:p w:rsidR="008A3E97" w:rsidRPr="00FA1436" w:rsidRDefault="008A3E97" w:rsidP="008A3E97">
      <w:pPr>
        <w:pStyle w:val="subsection"/>
      </w:pPr>
      <w:r w:rsidRPr="00FA1436">
        <w:tab/>
        <w:t>(2)</w:t>
      </w:r>
      <w:r w:rsidRPr="00FA1436">
        <w:tab/>
        <w:t>In subregulation</w:t>
      </w:r>
      <w:r w:rsidR="00FA1436" w:rsidRPr="00FA1436">
        <w:t> </w:t>
      </w:r>
      <w:r w:rsidRPr="00FA1436">
        <w:t>(1):</w:t>
      </w:r>
    </w:p>
    <w:p w:rsidR="008A3E97" w:rsidRPr="00FA1436" w:rsidRDefault="008A3E97" w:rsidP="008A3E97">
      <w:pPr>
        <w:pStyle w:val="Definition"/>
      </w:pPr>
      <w:r w:rsidRPr="00FA1436">
        <w:rPr>
          <w:b/>
          <w:i/>
        </w:rPr>
        <w:t>replacement water rights</w:t>
      </w:r>
      <w:r w:rsidRPr="00FA1436">
        <w:t xml:space="preserve"> means tradeable water rights that are granted, issued or authorised as a replacement for the seller’s tradeable water rights, including as a result of transformation arrangements mentioned in subsection</w:t>
      </w:r>
      <w:r w:rsidR="00FA1436" w:rsidRPr="00FA1436">
        <w:t> </w:t>
      </w:r>
      <w:r w:rsidRPr="00FA1436">
        <w:t xml:space="preserve">97(1) of the </w:t>
      </w:r>
      <w:r w:rsidRPr="00FA1436">
        <w:rPr>
          <w:i/>
        </w:rPr>
        <w:t>Water Act 2007</w:t>
      </w:r>
      <w:r w:rsidRPr="00FA1436">
        <w:t>.</w:t>
      </w:r>
    </w:p>
    <w:p w:rsidR="008A3E97" w:rsidRPr="00FA1436" w:rsidRDefault="008A3E97" w:rsidP="008A3E97">
      <w:pPr>
        <w:pStyle w:val="Definition"/>
      </w:pPr>
      <w:r w:rsidRPr="00FA1436">
        <w:rPr>
          <w:b/>
          <w:i/>
        </w:rPr>
        <w:t xml:space="preserve">rules </w:t>
      </w:r>
      <w:r w:rsidRPr="00FA1436">
        <w:t>means the rules of:</w:t>
      </w:r>
    </w:p>
    <w:p w:rsidR="008A3E97" w:rsidRPr="00FA1436" w:rsidRDefault="008A3E97" w:rsidP="008A3E97">
      <w:pPr>
        <w:pStyle w:val="paragraph"/>
      </w:pPr>
      <w:r w:rsidRPr="00FA1436">
        <w:tab/>
        <w:t>(a)</w:t>
      </w:r>
      <w:r w:rsidRPr="00FA1436">
        <w:tab/>
        <w:t>a licensed market (</w:t>
      </w:r>
      <w:r w:rsidR="00D522F9" w:rsidRPr="00FA1436">
        <w:t>as defined in</w:t>
      </w:r>
      <w:r w:rsidRPr="00FA1436">
        <w:t xml:space="preserve"> section</w:t>
      </w:r>
      <w:r w:rsidR="00FA1436" w:rsidRPr="00FA1436">
        <w:t> </w:t>
      </w:r>
      <w:r w:rsidRPr="00FA1436">
        <w:t>761A of the Corporations Act); or</w:t>
      </w:r>
    </w:p>
    <w:p w:rsidR="008A3E97" w:rsidRPr="00FA1436" w:rsidRDefault="008A3E97" w:rsidP="008A3E97">
      <w:pPr>
        <w:pStyle w:val="paragraph"/>
      </w:pPr>
      <w:r w:rsidRPr="00FA1436">
        <w:tab/>
        <w:t>(b)</w:t>
      </w:r>
      <w:r w:rsidRPr="00FA1436">
        <w:tab/>
        <w:t>a licensed CS facility (</w:t>
      </w:r>
      <w:r w:rsidR="00D522F9" w:rsidRPr="00FA1436">
        <w:t>as defined in sec</w:t>
      </w:r>
      <w:r w:rsidRPr="00FA1436">
        <w:t>tion</w:t>
      </w:r>
      <w:r w:rsidR="00FA1436" w:rsidRPr="00FA1436">
        <w:t> </w:t>
      </w:r>
      <w:r w:rsidRPr="00FA1436">
        <w:t>761A of the Corporations Act).</w:t>
      </w:r>
    </w:p>
    <w:p w:rsidR="008A3E97" w:rsidRPr="00FA1436" w:rsidRDefault="008A3E97" w:rsidP="008A3E97">
      <w:pPr>
        <w:pStyle w:val="Definition"/>
      </w:pPr>
      <w:r w:rsidRPr="00FA1436">
        <w:rPr>
          <w:b/>
          <w:i/>
        </w:rPr>
        <w:t xml:space="preserve">tradeable water rights </w:t>
      </w:r>
      <w:r w:rsidRPr="00FA1436">
        <w:t xml:space="preserve">has the same meaning as in the </w:t>
      </w:r>
      <w:r w:rsidRPr="00FA1436">
        <w:rPr>
          <w:i/>
        </w:rPr>
        <w:t>Water Act 2007</w:t>
      </w:r>
      <w:r w:rsidRPr="00FA1436">
        <w:t>.</w:t>
      </w:r>
    </w:p>
    <w:p w:rsidR="008A3E97" w:rsidRPr="00FA1436" w:rsidRDefault="008A3E97" w:rsidP="008A3E97">
      <w:pPr>
        <w:pStyle w:val="ActHead9"/>
        <w:rPr>
          <w:rFonts w:cs="Arial"/>
        </w:rPr>
      </w:pPr>
      <w:bookmarkStart w:id="13" w:name="_Toc381189665"/>
      <w:r w:rsidRPr="00FA1436">
        <w:t>Corporations Regulations</w:t>
      </w:r>
      <w:r w:rsidR="00FA1436" w:rsidRPr="00FA1436">
        <w:t> </w:t>
      </w:r>
      <w:r w:rsidRPr="00FA1436">
        <w:t>2001</w:t>
      </w:r>
      <w:bookmarkEnd w:id="13"/>
    </w:p>
    <w:p w:rsidR="008A3E97" w:rsidRPr="00FA1436" w:rsidRDefault="008A3E97" w:rsidP="008A3E97">
      <w:pPr>
        <w:pStyle w:val="ItemHead"/>
        <w:rPr>
          <w:rFonts w:cs="Arial"/>
        </w:rPr>
      </w:pPr>
      <w:r w:rsidRPr="00FA1436">
        <w:t xml:space="preserve">2  </w:t>
      </w:r>
      <w:r w:rsidRPr="00FA1436">
        <w:rPr>
          <w:rFonts w:cs="Arial"/>
        </w:rPr>
        <w:t>Subregulation</w:t>
      </w:r>
      <w:r w:rsidR="00FA1436" w:rsidRPr="00FA1436">
        <w:rPr>
          <w:rFonts w:cs="Arial"/>
        </w:rPr>
        <w:t> </w:t>
      </w:r>
      <w:r w:rsidRPr="00FA1436">
        <w:rPr>
          <w:rFonts w:cs="Arial"/>
        </w:rPr>
        <w:t>7.1.04(8)</w:t>
      </w:r>
    </w:p>
    <w:p w:rsidR="008A3E97" w:rsidRPr="00FA1436" w:rsidRDefault="008A3E97" w:rsidP="008A3E97">
      <w:pPr>
        <w:pStyle w:val="Item"/>
      </w:pPr>
      <w:r w:rsidRPr="00FA1436">
        <w:t>Repeal the subregulation, substitute:</w:t>
      </w:r>
    </w:p>
    <w:p w:rsidR="008A3E97" w:rsidRPr="00FA1436" w:rsidRDefault="008A3E97" w:rsidP="008A3E97">
      <w:pPr>
        <w:pStyle w:val="subsection"/>
      </w:pPr>
      <w:r w:rsidRPr="00FA1436">
        <w:tab/>
        <w:t>(8)</w:t>
      </w:r>
      <w:r w:rsidRPr="00FA1436">
        <w:tab/>
        <w:t>For paragraph</w:t>
      </w:r>
      <w:r w:rsidR="00FA1436" w:rsidRPr="00FA1436">
        <w:t> </w:t>
      </w:r>
      <w:r w:rsidRPr="00FA1436">
        <w:t>761D(3)(d) of the Act, each of the following is declared not to be a derivative for Chapter</w:t>
      </w:r>
      <w:r w:rsidR="00FA1436" w:rsidRPr="00FA1436">
        <w:t> </w:t>
      </w:r>
      <w:r w:rsidRPr="00FA1436">
        <w:t>7 of the Act:</w:t>
      </w:r>
    </w:p>
    <w:p w:rsidR="008A3E97" w:rsidRPr="00FA1436" w:rsidRDefault="008A3E97" w:rsidP="008A3E97">
      <w:pPr>
        <w:pStyle w:val="paragraph"/>
      </w:pPr>
      <w:r w:rsidRPr="00FA1436">
        <w:tab/>
        <w:t>(a)</w:t>
      </w:r>
      <w:r w:rsidRPr="00FA1436">
        <w:tab/>
        <w:t>tradeable water rights;</w:t>
      </w:r>
    </w:p>
    <w:p w:rsidR="008A3E97" w:rsidRPr="00FA1436" w:rsidRDefault="008A3E97" w:rsidP="008A3E97">
      <w:pPr>
        <w:pStyle w:val="paragraph"/>
      </w:pPr>
      <w:r w:rsidRPr="00FA1436">
        <w:tab/>
        <w:t>(b)</w:t>
      </w:r>
      <w:r w:rsidRPr="00FA1436">
        <w:tab/>
        <w:t>an arrangement:</w:t>
      </w:r>
    </w:p>
    <w:p w:rsidR="008A3E97" w:rsidRPr="00FA1436" w:rsidRDefault="008A3E97" w:rsidP="008A3E97">
      <w:pPr>
        <w:pStyle w:val="paragraphsub"/>
      </w:pPr>
      <w:r w:rsidRPr="00FA1436">
        <w:tab/>
        <w:t>(i)</w:t>
      </w:r>
      <w:r w:rsidRPr="00FA1436">
        <w:tab/>
      </w:r>
      <w:r w:rsidR="00D522F9" w:rsidRPr="00FA1436">
        <w:t xml:space="preserve">under which </w:t>
      </w:r>
      <w:r w:rsidRPr="00FA1436">
        <w:t xml:space="preserve">a person (the </w:t>
      </w:r>
      <w:r w:rsidRPr="00FA1436">
        <w:rPr>
          <w:b/>
          <w:i/>
        </w:rPr>
        <w:t>seller</w:t>
      </w:r>
      <w:r w:rsidRPr="00FA1436">
        <w:t>) has</w:t>
      </w:r>
      <w:r w:rsidR="00696D85" w:rsidRPr="00FA1436">
        <w:t>, or may have,</w:t>
      </w:r>
      <w:r w:rsidRPr="00FA1436">
        <w:t xml:space="preserve"> an obligation to sell tradeable water rights </w:t>
      </w:r>
      <w:r w:rsidR="00D522F9" w:rsidRPr="00FA1436">
        <w:t>at</w:t>
      </w:r>
      <w:r w:rsidRPr="00FA1436">
        <w:t xml:space="preserve"> a future date; and</w:t>
      </w:r>
    </w:p>
    <w:p w:rsidR="008A3E97" w:rsidRPr="00FA1436" w:rsidRDefault="008A3E97" w:rsidP="008A3E97">
      <w:pPr>
        <w:pStyle w:val="paragraphsub"/>
      </w:pPr>
      <w:r w:rsidRPr="00FA1436">
        <w:tab/>
        <w:t>(ii)</w:t>
      </w:r>
      <w:r w:rsidRPr="00FA1436">
        <w:tab/>
      </w:r>
      <w:r w:rsidR="00D522F9" w:rsidRPr="00FA1436">
        <w:t xml:space="preserve">under which </w:t>
      </w:r>
      <w:r w:rsidRPr="00FA1436">
        <w:t xml:space="preserve">another person (the </w:t>
      </w:r>
      <w:r w:rsidRPr="00FA1436">
        <w:rPr>
          <w:b/>
          <w:i/>
        </w:rPr>
        <w:t>buyer</w:t>
      </w:r>
      <w:r w:rsidRPr="00FA1436">
        <w:t>) has</w:t>
      </w:r>
      <w:r w:rsidR="00696D85" w:rsidRPr="00FA1436">
        <w:t>, or may have,</w:t>
      </w:r>
      <w:r w:rsidRPr="00FA1436">
        <w:t xml:space="preserve"> an obligation to buy the tradeable water rights, or replacement water rights, </w:t>
      </w:r>
      <w:r w:rsidR="00D522F9" w:rsidRPr="00FA1436">
        <w:t>at</w:t>
      </w:r>
      <w:r w:rsidRPr="00FA1436">
        <w:t xml:space="preserve"> </w:t>
      </w:r>
      <w:r w:rsidR="00E575E5" w:rsidRPr="00FA1436">
        <w:t xml:space="preserve">a </w:t>
      </w:r>
      <w:r w:rsidRPr="00FA1436">
        <w:t>future date; and</w:t>
      </w:r>
    </w:p>
    <w:p w:rsidR="008A3E97" w:rsidRPr="00FA1436" w:rsidRDefault="008A3E97" w:rsidP="008A3E97">
      <w:pPr>
        <w:pStyle w:val="paragraphsub"/>
      </w:pPr>
      <w:r w:rsidRPr="00FA1436">
        <w:tab/>
        <w:t>(iii)</w:t>
      </w:r>
      <w:r w:rsidRPr="00FA1436">
        <w:tab/>
        <w:t>th</w:t>
      </w:r>
      <w:r w:rsidR="00D522F9" w:rsidRPr="00FA1436">
        <w:t>at</w:t>
      </w:r>
      <w:r w:rsidRPr="00FA1436">
        <w:t xml:space="preserve"> does not permit the seller’s obligations to be wholly settled by cash, or by set</w:t>
      </w:r>
      <w:r w:rsidR="00FA1436">
        <w:noBreakHyphen/>
      </w:r>
      <w:r w:rsidRPr="00FA1436">
        <w:t>off between the seller and the buyer, rather than by transfer of ownership of the tradeable water rights or replacement water rights; and</w:t>
      </w:r>
    </w:p>
    <w:p w:rsidR="008A3E97" w:rsidRPr="00FA1436" w:rsidRDefault="008A3E97" w:rsidP="008A3E97">
      <w:pPr>
        <w:pStyle w:val="paragraphsub"/>
      </w:pPr>
      <w:r w:rsidRPr="00FA1436">
        <w:tab/>
        <w:t>(iv)</w:t>
      </w:r>
      <w:r w:rsidRPr="00FA1436">
        <w:tab/>
      </w:r>
      <w:r w:rsidR="00D522F9" w:rsidRPr="00FA1436">
        <w:t xml:space="preserve">in relation to which </w:t>
      </w:r>
      <w:r w:rsidRPr="00FA1436">
        <w:t>neither usual market practice, nor the rules, allow the seller’s obligations to be closed out by matching up the arrangement with another arrangement of the same kind under which the seller has offsetting obligations to buy</w:t>
      </w:r>
      <w:r w:rsidRPr="00FA1436">
        <w:rPr>
          <w:b/>
        </w:rPr>
        <w:t xml:space="preserve"> </w:t>
      </w:r>
      <w:r w:rsidRPr="00FA1436">
        <w:t>the tradeable water rights or replacement water rights.</w:t>
      </w:r>
    </w:p>
    <w:p w:rsidR="008A3E97" w:rsidRPr="00FA1436" w:rsidRDefault="008A3E97" w:rsidP="008A3E97">
      <w:pPr>
        <w:pStyle w:val="subsection"/>
      </w:pPr>
      <w:r w:rsidRPr="00FA1436">
        <w:tab/>
        <w:t>(9)</w:t>
      </w:r>
      <w:r w:rsidRPr="00FA1436">
        <w:tab/>
        <w:t>Subregulations (4) to (8) apply whether or not a matter mentioned in those subregulations is described in subsection</w:t>
      </w:r>
      <w:r w:rsidR="00FA1436" w:rsidRPr="00FA1436">
        <w:t> </w:t>
      </w:r>
      <w:r w:rsidRPr="00FA1436">
        <w:t>761D(1) of the Act.</w:t>
      </w:r>
    </w:p>
    <w:p w:rsidR="008A3E97" w:rsidRPr="00FA1436" w:rsidRDefault="008A3E97" w:rsidP="008A3E97">
      <w:pPr>
        <w:pStyle w:val="subsection"/>
      </w:pPr>
      <w:r w:rsidRPr="00FA1436">
        <w:tab/>
        <w:t>(10)</w:t>
      </w:r>
      <w:r w:rsidRPr="00FA1436">
        <w:tab/>
        <w:t>In subregulation</w:t>
      </w:r>
      <w:r w:rsidR="00FA1436" w:rsidRPr="00FA1436">
        <w:t> </w:t>
      </w:r>
      <w:r w:rsidRPr="00FA1436">
        <w:t>(8):</w:t>
      </w:r>
    </w:p>
    <w:p w:rsidR="008A3E97" w:rsidRPr="00FA1436" w:rsidRDefault="008A3E97" w:rsidP="008A3E97">
      <w:pPr>
        <w:pStyle w:val="Definition"/>
      </w:pPr>
      <w:r w:rsidRPr="00FA1436">
        <w:rPr>
          <w:b/>
          <w:i/>
        </w:rPr>
        <w:t>replacement water rights</w:t>
      </w:r>
      <w:r w:rsidRPr="00FA1436">
        <w:t xml:space="preserve"> means tradeable water rights that are granted, issued or authorised as a replacement for the seller’s tradeable water rights, including as a result of transformation arrangements mentioned in subsection</w:t>
      </w:r>
      <w:r w:rsidR="00FA1436" w:rsidRPr="00FA1436">
        <w:t> </w:t>
      </w:r>
      <w:r w:rsidRPr="00FA1436">
        <w:t xml:space="preserve">97(1) of the </w:t>
      </w:r>
      <w:r w:rsidRPr="00FA1436">
        <w:rPr>
          <w:i/>
        </w:rPr>
        <w:t>Water Act 2007</w:t>
      </w:r>
      <w:r w:rsidRPr="00FA1436">
        <w:t>.</w:t>
      </w:r>
    </w:p>
    <w:p w:rsidR="008A3E97" w:rsidRPr="00FA1436" w:rsidRDefault="008A3E97" w:rsidP="008A3E97">
      <w:pPr>
        <w:pStyle w:val="Definition"/>
      </w:pPr>
      <w:r w:rsidRPr="00FA1436">
        <w:rPr>
          <w:b/>
          <w:i/>
        </w:rPr>
        <w:t xml:space="preserve">rules </w:t>
      </w:r>
      <w:r w:rsidRPr="00FA1436">
        <w:t>means the rules of:</w:t>
      </w:r>
    </w:p>
    <w:p w:rsidR="008A3E97" w:rsidRPr="00FA1436" w:rsidRDefault="008A3E97" w:rsidP="008A3E97">
      <w:pPr>
        <w:pStyle w:val="paragraph"/>
      </w:pPr>
      <w:r w:rsidRPr="00FA1436">
        <w:tab/>
        <w:t>(a)</w:t>
      </w:r>
      <w:r w:rsidRPr="00FA1436">
        <w:tab/>
        <w:t>a licensed market; or</w:t>
      </w:r>
    </w:p>
    <w:p w:rsidR="008A3E97" w:rsidRPr="00FA1436" w:rsidRDefault="008A3E97" w:rsidP="008A3E97">
      <w:pPr>
        <w:pStyle w:val="paragraph"/>
      </w:pPr>
      <w:r w:rsidRPr="00FA1436">
        <w:tab/>
        <w:t>(b)</w:t>
      </w:r>
      <w:r w:rsidRPr="00FA1436">
        <w:tab/>
        <w:t>a licensed CS facility.</w:t>
      </w:r>
    </w:p>
    <w:p w:rsidR="006D3667" w:rsidRPr="00FA1436" w:rsidRDefault="008A3E97" w:rsidP="008A3E97">
      <w:pPr>
        <w:pStyle w:val="Definition"/>
      </w:pPr>
      <w:r w:rsidRPr="00FA1436">
        <w:rPr>
          <w:b/>
          <w:i/>
        </w:rPr>
        <w:t xml:space="preserve">tradeable water rights </w:t>
      </w:r>
      <w:r w:rsidRPr="00FA1436">
        <w:t xml:space="preserve">has the same meaning as in the </w:t>
      </w:r>
      <w:r w:rsidRPr="00FA1436">
        <w:rPr>
          <w:i/>
        </w:rPr>
        <w:t>Water Act 2007</w:t>
      </w:r>
      <w:r w:rsidRPr="00FA1436">
        <w:t>.</w:t>
      </w:r>
    </w:p>
    <w:p w:rsidR="008A3E97" w:rsidRPr="00FA1436" w:rsidRDefault="008A3E97" w:rsidP="008A3E97">
      <w:pPr>
        <w:pStyle w:val="ActHead6"/>
        <w:pageBreakBefore/>
      </w:pPr>
      <w:bookmarkStart w:id="14" w:name="_Toc381189666"/>
      <w:r w:rsidRPr="00FA1436">
        <w:rPr>
          <w:rStyle w:val="CharAmSchNo"/>
        </w:rPr>
        <w:t>Schedule</w:t>
      </w:r>
      <w:r w:rsidR="00FA1436" w:rsidRPr="00FA1436">
        <w:rPr>
          <w:rStyle w:val="CharAmSchNo"/>
        </w:rPr>
        <w:t> </w:t>
      </w:r>
      <w:r w:rsidR="004A4886" w:rsidRPr="00FA1436">
        <w:rPr>
          <w:rStyle w:val="CharAmSchNo"/>
        </w:rPr>
        <w:t>2</w:t>
      </w:r>
      <w:r w:rsidRPr="00FA1436">
        <w:t>—</w:t>
      </w:r>
      <w:r w:rsidR="0002699E" w:rsidRPr="00FA1436">
        <w:rPr>
          <w:rStyle w:val="CharAmSchText"/>
        </w:rPr>
        <w:t>Gas trading exchange</w:t>
      </w:r>
      <w:bookmarkEnd w:id="14"/>
    </w:p>
    <w:p w:rsidR="008A3E97" w:rsidRPr="00FA1436" w:rsidRDefault="008A3E97" w:rsidP="008A3E97">
      <w:pPr>
        <w:pStyle w:val="Header"/>
      </w:pPr>
      <w:r w:rsidRPr="00FA1436">
        <w:rPr>
          <w:rStyle w:val="CharAmPartNo"/>
        </w:rPr>
        <w:t xml:space="preserve"> </w:t>
      </w:r>
      <w:r w:rsidRPr="00FA1436">
        <w:rPr>
          <w:rStyle w:val="CharAmPartText"/>
        </w:rPr>
        <w:t xml:space="preserve"> </w:t>
      </w:r>
    </w:p>
    <w:p w:rsidR="008A3E97" w:rsidRPr="00FA1436" w:rsidRDefault="008A3E97" w:rsidP="008A3E97">
      <w:pPr>
        <w:pStyle w:val="ActHead9"/>
      </w:pPr>
      <w:bookmarkStart w:id="15" w:name="_Toc381189667"/>
      <w:r w:rsidRPr="00FA1436">
        <w:t>Corporations Regulations</w:t>
      </w:r>
      <w:r w:rsidR="00FA1436" w:rsidRPr="00FA1436">
        <w:t> </w:t>
      </w:r>
      <w:r w:rsidRPr="00FA1436">
        <w:t>2001</w:t>
      </w:r>
      <w:bookmarkEnd w:id="15"/>
    </w:p>
    <w:p w:rsidR="008A3E97" w:rsidRPr="00FA1436" w:rsidRDefault="008A3E97" w:rsidP="008A3E97">
      <w:pPr>
        <w:pStyle w:val="ItemHead"/>
      </w:pPr>
      <w:r w:rsidRPr="00FA1436">
        <w:t>1  Subregulation</w:t>
      </w:r>
      <w:r w:rsidR="00FA1436" w:rsidRPr="00FA1436">
        <w:t> </w:t>
      </w:r>
      <w:r w:rsidRPr="00FA1436">
        <w:t>1.0.02(1)</w:t>
      </w:r>
    </w:p>
    <w:p w:rsidR="008A3E97" w:rsidRPr="00FA1436" w:rsidRDefault="008A3E97" w:rsidP="008A3E97">
      <w:pPr>
        <w:pStyle w:val="Item"/>
      </w:pPr>
      <w:r w:rsidRPr="00FA1436">
        <w:t>Insert:</w:t>
      </w:r>
    </w:p>
    <w:p w:rsidR="008A3E97" w:rsidRPr="00FA1436" w:rsidRDefault="008A3E97" w:rsidP="008A3E97">
      <w:pPr>
        <w:pStyle w:val="Definition"/>
      </w:pPr>
      <w:r w:rsidRPr="00FA1436">
        <w:rPr>
          <w:b/>
          <w:i/>
        </w:rPr>
        <w:t xml:space="preserve">qualifying gas exchange product </w:t>
      </w:r>
      <w:r w:rsidRPr="00FA1436">
        <w:t>means an arrangement for the physical delivery of natural gas or related goods or services, including pipeline capacity.</w:t>
      </w:r>
    </w:p>
    <w:p w:rsidR="008A3E97" w:rsidRPr="00FA1436" w:rsidRDefault="008A3E97" w:rsidP="008A3E97">
      <w:pPr>
        <w:pStyle w:val="Definition"/>
      </w:pPr>
      <w:r w:rsidRPr="00FA1436">
        <w:rPr>
          <w:b/>
          <w:i/>
        </w:rPr>
        <w:t>qualifying gas trading exchange</w:t>
      </w:r>
      <w:r w:rsidRPr="00FA1436">
        <w:t xml:space="preserve"> means a facility:</w:t>
      </w:r>
    </w:p>
    <w:p w:rsidR="008A3E97" w:rsidRPr="00FA1436" w:rsidRDefault="008A3E97" w:rsidP="008A3E97">
      <w:pPr>
        <w:pStyle w:val="paragraph"/>
      </w:pPr>
      <w:r w:rsidRPr="00FA1436">
        <w:tab/>
        <w:t>(a)</w:t>
      </w:r>
      <w:r w:rsidRPr="00FA1436">
        <w:tab/>
        <w:t>established by the Australian Energy Market Operator Limited (ACN 072</w:t>
      </w:r>
      <w:r w:rsidR="00FA1436" w:rsidRPr="00FA1436">
        <w:t> </w:t>
      </w:r>
      <w:r w:rsidRPr="00FA1436">
        <w:t>010</w:t>
      </w:r>
      <w:r w:rsidR="00FA1436" w:rsidRPr="00FA1436">
        <w:t> </w:t>
      </w:r>
      <w:r w:rsidRPr="00FA1436">
        <w:t>3</w:t>
      </w:r>
      <w:r w:rsidR="000E3C15" w:rsidRPr="00FA1436">
        <w:t>2</w:t>
      </w:r>
      <w:r w:rsidRPr="00FA1436">
        <w:t>7) exercising its functions under subsection</w:t>
      </w:r>
      <w:r w:rsidR="00FA1436" w:rsidRPr="00FA1436">
        <w:t> </w:t>
      </w:r>
      <w:r w:rsidRPr="00FA1436">
        <w:t xml:space="preserve">91BRK(1) of the </w:t>
      </w:r>
      <w:r w:rsidRPr="00FA1436">
        <w:rPr>
          <w:rFonts w:eastAsiaTheme="minorHAnsi"/>
          <w:i/>
        </w:rPr>
        <w:t>National Gas Law</w:t>
      </w:r>
      <w:r w:rsidRPr="00FA1436">
        <w:rPr>
          <w:rFonts w:eastAsiaTheme="minorHAnsi"/>
        </w:rPr>
        <w:t xml:space="preserve"> set out in the Schedule to the</w:t>
      </w:r>
      <w:r w:rsidRPr="00FA1436">
        <w:t xml:space="preserve"> </w:t>
      </w:r>
      <w:r w:rsidRPr="00FA1436">
        <w:rPr>
          <w:i/>
        </w:rPr>
        <w:t xml:space="preserve">National Gas (South Australia) Act 2008 </w:t>
      </w:r>
      <w:r w:rsidRPr="00FA1436">
        <w:t>(SA); and</w:t>
      </w:r>
    </w:p>
    <w:p w:rsidR="008A3E97" w:rsidRPr="00FA1436" w:rsidRDefault="008A3E97" w:rsidP="008A3E97">
      <w:pPr>
        <w:pStyle w:val="paragraph"/>
        <w:rPr>
          <w:rFonts w:eastAsiaTheme="minorHAnsi"/>
        </w:rPr>
      </w:pPr>
      <w:r w:rsidRPr="00FA1436">
        <w:tab/>
        <w:t>(b)</w:t>
      </w:r>
      <w:r w:rsidRPr="00FA1436">
        <w:tab/>
      </w:r>
      <w:r w:rsidRPr="00FA1436">
        <w:rPr>
          <w:rFonts w:eastAsiaTheme="minorHAnsi"/>
        </w:rPr>
        <w:t>through which persons may elect to buy and sell natural gas or related goods or services (including pipeline capacity).</w:t>
      </w:r>
    </w:p>
    <w:p w:rsidR="008A3E97" w:rsidRPr="00FA1436" w:rsidRDefault="008A3E97" w:rsidP="008A3E97">
      <w:pPr>
        <w:pStyle w:val="ItemHead"/>
      </w:pPr>
      <w:r w:rsidRPr="00FA1436">
        <w:t>2  At the end of subregulation</w:t>
      </w:r>
      <w:r w:rsidR="00FA1436" w:rsidRPr="00FA1436">
        <w:t> </w:t>
      </w:r>
      <w:r w:rsidRPr="00FA1436">
        <w:t>7.6.01(1)</w:t>
      </w:r>
    </w:p>
    <w:p w:rsidR="008A3E97" w:rsidRPr="00FA1436" w:rsidRDefault="008A3E97" w:rsidP="008A3E97">
      <w:pPr>
        <w:pStyle w:val="Item"/>
      </w:pPr>
      <w:r w:rsidRPr="00FA1436">
        <w:t>Add:</w:t>
      </w:r>
    </w:p>
    <w:p w:rsidR="008A3E97" w:rsidRPr="00FA1436" w:rsidRDefault="008A3E97" w:rsidP="008A3E97">
      <w:pPr>
        <w:pStyle w:val="paragraph"/>
      </w:pPr>
      <w:r w:rsidRPr="00FA1436">
        <w:tab/>
        <w:t>; (z)</w:t>
      </w:r>
      <w:r w:rsidRPr="00FA1436">
        <w:tab/>
        <w:t>a financial service provided by a person in the following circumstances:</w:t>
      </w:r>
    </w:p>
    <w:p w:rsidR="008A3E97" w:rsidRPr="00FA1436" w:rsidRDefault="008A3E97" w:rsidP="008A3E97">
      <w:pPr>
        <w:pStyle w:val="paragraphsub"/>
      </w:pPr>
      <w:r w:rsidRPr="00FA1436">
        <w:tab/>
        <w:t>(i)</w:t>
      </w:r>
      <w:r w:rsidRPr="00FA1436">
        <w:tab/>
        <w:t>the person is:</w:t>
      </w:r>
    </w:p>
    <w:p w:rsidR="008A3E97" w:rsidRPr="00FA1436" w:rsidRDefault="008A3E97" w:rsidP="008A3E97">
      <w:pPr>
        <w:pStyle w:val="paragraphsub-sub"/>
      </w:pPr>
      <w:r w:rsidRPr="00FA1436">
        <w:tab/>
        <w:t>(A)</w:t>
      </w:r>
      <w:r w:rsidRPr="00FA1436">
        <w:tab/>
        <w:t>the operator of a qualifying gas trading exchange; or</w:t>
      </w:r>
    </w:p>
    <w:p w:rsidR="008A3E97" w:rsidRPr="00FA1436" w:rsidRDefault="008A3E97" w:rsidP="008A3E97">
      <w:pPr>
        <w:pStyle w:val="paragraphsub-sub"/>
      </w:pPr>
      <w:r w:rsidRPr="00FA1436">
        <w:tab/>
        <w:t>(B)</w:t>
      </w:r>
      <w:r w:rsidRPr="00FA1436">
        <w:tab/>
        <w:t>a participant in relation to a qualifying gas trading exchange;</w:t>
      </w:r>
    </w:p>
    <w:p w:rsidR="008A3E97" w:rsidRPr="00FA1436" w:rsidRDefault="008A3E97" w:rsidP="008A3E97">
      <w:pPr>
        <w:pStyle w:val="paragraphsub"/>
      </w:pPr>
      <w:r w:rsidRPr="00FA1436">
        <w:tab/>
        <w:t>(ii)</w:t>
      </w:r>
      <w:r w:rsidRPr="00FA1436">
        <w:tab/>
        <w:t>the service is provided in relation to a qualifying gas exchange product traded on the qualifying gas trading exchange.</w:t>
      </w:r>
    </w:p>
    <w:p w:rsidR="008A3E97" w:rsidRPr="00FA1436" w:rsidRDefault="008A3E97" w:rsidP="008A3E97">
      <w:pPr>
        <w:pStyle w:val="ItemHead"/>
      </w:pPr>
      <w:r w:rsidRPr="00FA1436">
        <w:t>3  At the end of Part</w:t>
      </w:r>
      <w:r w:rsidR="00FA1436" w:rsidRPr="00FA1436">
        <w:t> </w:t>
      </w:r>
      <w:r w:rsidRPr="00FA1436">
        <w:t>7.10</w:t>
      </w:r>
    </w:p>
    <w:p w:rsidR="008A3E97" w:rsidRPr="00FA1436" w:rsidRDefault="008A3E97" w:rsidP="008A3E97">
      <w:pPr>
        <w:pStyle w:val="Item"/>
      </w:pPr>
      <w:r w:rsidRPr="00FA1436">
        <w:t>Add:</w:t>
      </w:r>
    </w:p>
    <w:p w:rsidR="008A3E97" w:rsidRPr="00FA1436" w:rsidRDefault="008A3E97" w:rsidP="008A3E97">
      <w:pPr>
        <w:pStyle w:val="ActHead5"/>
      </w:pPr>
      <w:bookmarkStart w:id="16" w:name="_Toc381189668"/>
      <w:r w:rsidRPr="00FA1436">
        <w:rPr>
          <w:rStyle w:val="CharSectno"/>
        </w:rPr>
        <w:t>7.10.03</w:t>
      </w:r>
      <w:r w:rsidRPr="00FA1436">
        <w:t xml:space="preserve">  Exemption for market participants of qualifying gas trading exchange</w:t>
      </w:r>
      <w:bookmarkEnd w:id="16"/>
    </w:p>
    <w:p w:rsidR="008A3E97" w:rsidRPr="00FA1436" w:rsidRDefault="008A3E97" w:rsidP="008A3E97">
      <w:pPr>
        <w:pStyle w:val="subsection"/>
      </w:pPr>
      <w:r w:rsidRPr="00FA1436">
        <w:tab/>
      </w:r>
      <w:r w:rsidRPr="00FA1436">
        <w:tab/>
        <w:t>For paragraph</w:t>
      </w:r>
      <w:r w:rsidR="00FA1436" w:rsidRPr="00FA1436">
        <w:t> </w:t>
      </w:r>
      <w:r w:rsidRPr="00FA1436">
        <w:t>1045A(1)(a) of the Act, a person is exempt from Part</w:t>
      </w:r>
      <w:r w:rsidR="00FA1436" w:rsidRPr="00FA1436">
        <w:t> </w:t>
      </w:r>
      <w:r w:rsidRPr="00FA1436">
        <w:t>7.10 of the Act if the person:</w:t>
      </w:r>
    </w:p>
    <w:p w:rsidR="008A3E97" w:rsidRPr="00FA1436" w:rsidRDefault="008A3E97" w:rsidP="008A3E97">
      <w:pPr>
        <w:pStyle w:val="paragraph"/>
      </w:pPr>
      <w:r w:rsidRPr="00FA1436">
        <w:tab/>
        <w:t>(a)</w:t>
      </w:r>
      <w:r w:rsidRPr="00FA1436">
        <w:tab/>
        <w:t>is a participant in relation to a qualifying gas trading exchange; and</w:t>
      </w:r>
    </w:p>
    <w:p w:rsidR="008A3E97" w:rsidRPr="00FA1436" w:rsidRDefault="008A3E97" w:rsidP="008A3E97">
      <w:pPr>
        <w:pStyle w:val="paragraph"/>
      </w:pPr>
      <w:r w:rsidRPr="00FA1436">
        <w:tab/>
        <w:t>(b)</w:t>
      </w:r>
      <w:r w:rsidRPr="00FA1436">
        <w:tab/>
        <w:t>is engaging in trading activities in relation to qualifying gas exchange products on a qualifying gas trading exchange.</w:t>
      </w:r>
    </w:p>
    <w:p w:rsidR="008A3E97" w:rsidRPr="00FA1436" w:rsidRDefault="008A3E97" w:rsidP="008A3E97">
      <w:pPr>
        <w:pStyle w:val="ItemHead"/>
      </w:pPr>
      <w:r w:rsidRPr="00FA1436">
        <w:t>4  At the end of Chapter</w:t>
      </w:r>
      <w:r w:rsidR="00FA1436" w:rsidRPr="00FA1436">
        <w:t> </w:t>
      </w:r>
      <w:r w:rsidRPr="00FA1436">
        <w:t>9</w:t>
      </w:r>
    </w:p>
    <w:p w:rsidR="008A3E97" w:rsidRPr="00FA1436" w:rsidRDefault="008A3E97" w:rsidP="008A3E97">
      <w:pPr>
        <w:pStyle w:val="Item"/>
      </w:pPr>
      <w:r w:rsidRPr="00FA1436">
        <w:t>Add:</w:t>
      </w:r>
    </w:p>
    <w:p w:rsidR="008A3E97" w:rsidRPr="00FA1436" w:rsidRDefault="008A3E97" w:rsidP="008A3E97">
      <w:pPr>
        <w:pStyle w:val="ActHead5"/>
      </w:pPr>
      <w:bookmarkStart w:id="17" w:name="_Toc381189669"/>
      <w:r w:rsidRPr="00FA1436">
        <w:rPr>
          <w:rStyle w:val="CharSectno"/>
        </w:rPr>
        <w:t>9.12.05</w:t>
      </w:r>
      <w:r w:rsidRPr="00FA1436">
        <w:t xml:space="preserve">  Exemption from provisions of Chapter</w:t>
      </w:r>
      <w:r w:rsidR="00FA1436" w:rsidRPr="00FA1436">
        <w:t> </w:t>
      </w:r>
      <w:r w:rsidRPr="00FA1436">
        <w:t>7—gas trading exchange</w:t>
      </w:r>
      <w:bookmarkEnd w:id="17"/>
    </w:p>
    <w:p w:rsidR="008A3E97" w:rsidRPr="00FA1436" w:rsidRDefault="008A3E97" w:rsidP="008A3E97">
      <w:pPr>
        <w:pStyle w:val="subsection"/>
      </w:pPr>
      <w:r w:rsidRPr="00FA1436">
        <w:tab/>
        <w:t>(1)</w:t>
      </w:r>
      <w:r w:rsidRPr="00FA1436">
        <w:tab/>
        <w:t>For paragraph</w:t>
      </w:r>
      <w:r w:rsidR="00FA1436" w:rsidRPr="00FA1436">
        <w:t> </w:t>
      </w:r>
      <w:r w:rsidRPr="00FA1436">
        <w:t>1368(a) of the Act, section</w:t>
      </w:r>
      <w:r w:rsidR="00FA1436" w:rsidRPr="00FA1436">
        <w:t> </w:t>
      </w:r>
      <w:r w:rsidRPr="00FA1436">
        <w:t>791A of the Act does not have effect in relation to the operator of a qualifying gas trading exchange carrying out its role of operating a market in qualifying gas exchange products on the qualifying gas trading exchange.</w:t>
      </w:r>
    </w:p>
    <w:p w:rsidR="008A3E97" w:rsidRPr="00FA1436" w:rsidRDefault="008A3E97" w:rsidP="008A3E97">
      <w:pPr>
        <w:pStyle w:val="subsection"/>
      </w:pPr>
      <w:r w:rsidRPr="00FA1436">
        <w:tab/>
        <w:t>(2)</w:t>
      </w:r>
      <w:r w:rsidRPr="00FA1436">
        <w:tab/>
        <w:t>For paragraph</w:t>
      </w:r>
      <w:r w:rsidR="00FA1436" w:rsidRPr="00FA1436">
        <w:t> </w:t>
      </w:r>
      <w:r w:rsidRPr="00FA1436">
        <w:t>1368(a) of the Act, section</w:t>
      </w:r>
      <w:r w:rsidR="00FA1436" w:rsidRPr="00FA1436">
        <w:t> </w:t>
      </w:r>
      <w:r w:rsidRPr="00FA1436">
        <w:t>820A of the Act does not have effect in relation to the operator of a qualifying gas trading exchange carrying out its role in relation to clearing and settlement arrangements for qualifying gas exchange products on the qualifying gas trading exchange.</w:t>
      </w:r>
    </w:p>
    <w:p w:rsidR="008A3E97" w:rsidRPr="00FA1436" w:rsidRDefault="008A3E97" w:rsidP="008A3E97">
      <w:pPr>
        <w:pStyle w:val="ActHead9"/>
      </w:pPr>
      <w:bookmarkStart w:id="18" w:name="_Toc381189670"/>
      <w:r w:rsidRPr="00FA1436">
        <w:t>Payment</w:t>
      </w:r>
      <w:r w:rsidR="000E3C15" w:rsidRPr="00FA1436">
        <w:t>s</w:t>
      </w:r>
      <w:r w:rsidRPr="00FA1436">
        <w:t xml:space="preserve"> System and Netting Regulations</w:t>
      </w:r>
      <w:r w:rsidR="00FA1436" w:rsidRPr="00FA1436">
        <w:t> </w:t>
      </w:r>
      <w:r w:rsidRPr="00FA1436">
        <w:t>2001</w:t>
      </w:r>
      <w:bookmarkEnd w:id="18"/>
    </w:p>
    <w:p w:rsidR="008A3E97" w:rsidRPr="00FA1436" w:rsidRDefault="008A3E97" w:rsidP="008A3E97">
      <w:pPr>
        <w:pStyle w:val="ItemHead"/>
      </w:pPr>
      <w:r w:rsidRPr="00FA1436">
        <w:t>5  After regulation</w:t>
      </w:r>
      <w:r w:rsidR="00FA1436" w:rsidRPr="00FA1436">
        <w:t> </w:t>
      </w:r>
      <w:r w:rsidRPr="00FA1436">
        <w:t>3</w:t>
      </w:r>
    </w:p>
    <w:p w:rsidR="008A3E97" w:rsidRPr="00FA1436" w:rsidRDefault="008A3E97" w:rsidP="008A3E97">
      <w:pPr>
        <w:pStyle w:val="Item"/>
      </w:pPr>
      <w:r w:rsidRPr="00FA1436">
        <w:t>Insert:</w:t>
      </w:r>
    </w:p>
    <w:p w:rsidR="008A3E97" w:rsidRPr="00FA1436" w:rsidRDefault="008A3E97" w:rsidP="008A3E97">
      <w:pPr>
        <w:pStyle w:val="ActHead5"/>
      </w:pPr>
      <w:bookmarkStart w:id="19" w:name="_Toc381189671"/>
      <w:r w:rsidRPr="00FA1436">
        <w:rPr>
          <w:rStyle w:val="CharSectno"/>
        </w:rPr>
        <w:t>3A</w:t>
      </w:r>
      <w:r w:rsidRPr="00FA1436">
        <w:t xml:space="preserve">  Declaration under definition of</w:t>
      </w:r>
      <w:r w:rsidRPr="00FA1436">
        <w:rPr>
          <w:i/>
        </w:rPr>
        <w:t xml:space="preserve"> market netting contract</w:t>
      </w:r>
      <w:bookmarkEnd w:id="19"/>
    </w:p>
    <w:p w:rsidR="008A3E97" w:rsidRPr="00FA1436" w:rsidRDefault="008A3E97" w:rsidP="008A3E97">
      <w:pPr>
        <w:pStyle w:val="subsection"/>
      </w:pPr>
      <w:r w:rsidRPr="00FA1436">
        <w:tab/>
        <w:t>(1)</w:t>
      </w:r>
      <w:r w:rsidRPr="00FA1436">
        <w:tab/>
        <w:t xml:space="preserve">For </w:t>
      </w:r>
      <w:r w:rsidR="00FA1436" w:rsidRPr="00FA1436">
        <w:t>paragraph (</w:t>
      </w:r>
      <w:r w:rsidRPr="00FA1436">
        <w:t xml:space="preserve">b) of the definition of </w:t>
      </w:r>
      <w:r w:rsidRPr="00FA1436">
        <w:rPr>
          <w:b/>
          <w:i/>
        </w:rPr>
        <w:t xml:space="preserve">market netting contract </w:t>
      </w:r>
      <w:r w:rsidRPr="00FA1436">
        <w:t>in section</w:t>
      </w:r>
      <w:r w:rsidR="00FA1436" w:rsidRPr="00FA1436">
        <w:t> </w:t>
      </w:r>
      <w:r w:rsidRPr="00FA1436">
        <w:t>5 of the Act, a gas trading exchange agreement is declared to be a market netting contract for the purposes of the Act.</w:t>
      </w:r>
    </w:p>
    <w:p w:rsidR="008A3E97" w:rsidRPr="00FA1436" w:rsidRDefault="008A3E97" w:rsidP="008A3E97">
      <w:pPr>
        <w:pStyle w:val="subsection"/>
      </w:pPr>
      <w:r w:rsidRPr="00FA1436">
        <w:tab/>
        <w:t>(2)</w:t>
      </w:r>
      <w:r w:rsidRPr="00FA1436">
        <w:tab/>
        <w:t>In this regulation:</w:t>
      </w:r>
    </w:p>
    <w:p w:rsidR="008A3E97" w:rsidRPr="00FA1436" w:rsidRDefault="008A3E97" w:rsidP="008A3E97">
      <w:pPr>
        <w:pStyle w:val="Definition"/>
      </w:pPr>
      <w:r w:rsidRPr="00FA1436">
        <w:rPr>
          <w:b/>
          <w:bCs/>
          <w:i/>
          <w:iCs/>
        </w:rPr>
        <w:t xml:space="preserve">AEMO </w:t>
      </w:r>
      <w:r w:rsidRPr="00FA1436">
        <w:t>means Australian Energy Market Operator Limited (ACN 072</w:t>
      </w:r>
      <w:r w:rsidR="00FA1436" w:rsidRPr="00FA1436">
        <w:t> </w:t>
      </w:r>
      <w:r w:rsidRPr="00FA1436">
        <w:t>010</w:t>
      </w:r>
      <w:r w:rsidR="00FA1436" w:rsidRPr="00FA1436">
        <w:t> </w:t>
      </w:r>
      <w:r w:rsidRPr="00FA1436">
        <w:t>3</w:t>
      </w:r>
      <w:r w:rsidR="000E3C15" w:rsidRPr="00FA1436">
        <w:t>2</w:t>
      </w:r>
      <w:r w:rsidRPr="00FA1436">
        <w:t>7).</w:t>
      </w:r>
    </w:p>
    <w:p w:rsidR="008A3E97" w:rsidRPr="00FA1436" w:rsidRDefault="008A3E97" w:rsidP="008A3E97">
      <w:pPr>
        <w:pStyle w:val="Definition"/>
      </w:pPr>
      <w:r w:rsidRPr="00FA1436">
        <w:rPr>
          <w:b/>
          <w:i/>
        </w:rPr>
        <w:t>gas trading exchange</w:t>
      </w:r>
      <w:r w:rsidRPr="00FA1436">
        <w:t xml:space="preserve"> means a facility:</w:t>
      </w:r>
    </w:p>
    <w:p w:rsidR="008A3E97" w:rsidRPr="00FA1436" w:rsidRDefault="008A3E97" w:rsidP="008A3E97">
      <w:pPr>
        <w:pStyle w:val="paragraph"/>
      </w:pPr>
      <w:r w:rsidRPr="00FA1436">
        <w:tab/>
        <w:t>(a)</w:t>
      </w:r>
      <w:r w:rsidRPr="00FA1436">
        <w:tab/>
        <w:t>established by AEMO exercising its functions under subsection</w:t>
      </w:r>
      <w:r w:rsidR="00FA1436" w:rsidRPr="00FA1436">
        <w:t> </w:t>
      </w:r>
      <w:r w:rsidRPr="00FA1436">
        <w:t xml:space="preserve">91BRK(1) of the </w:t>
      </w:r>
      <w:r w:rsidRPr="00FA1436">
        <w:rPr>
          <w:i/>
        </w:rPr>
        <w:t>National Gas Law</w:t>
      </w:r>
      <w:r w:rsidRPr="00FA1436">
        <w:t xml:space="preserve"> set out in the Schedule to the </w:t>
      </w:r>
      <w:r w:rsidRPr="00FA1436">
        <w:rPr>
          <w:i/>
        </w:rPr>
        <w:t xml:space="preserve">National Gas (South Australia) Act 2008 </w:t>
      </w:r>
      <w:r w:rsidRPr="00FA1436">
        <w:t>(SA); and</w:t>
      </w:r>
    </w:p>
    <w:p w:rsidR="008A3E97" w:rsidRPr="00FA1436" w:rsidRDefault="008A3E97" w:rsidP="008A3E97">
      <w:pPr>
        <w:pStyle w:val="paragraph"/>
      </w:pPr>
      <w:r w:rsidRPr="00FA1436">
        <w:tab/>
        <w:t>(b)</w:t>
      </w:r>
      <w:r w:rsidRPr="00FA1436">
        <w:tab/>
        <w:t>through which persons may elect to buy and sell natural gas or related goods or services (including pipeline capacity).</w:t>
      </w:r>
    </w:p>
    <w:p w:rsidR="008A3E97" w:rsidRPr="00FA1436" w:rsidRDefault="008A3E97" w:rsidP="008A3E97">
      <w:pPr>
        <w:pStyle w:val="Definition"/>
      </w:pPr>
      <w:r w:rsidRPr="00FA1436">
        <w:rPr>
          <w:b/>
          <w:i/>
        </w:rPr>
        <w:t>gas trading exchange agreement</w:t>
      </w:r>
      <w:r w:rsidRPr="00FA1436">
        <w:t xml:space="preserve"> means an agreement:</w:t>
      </w:r>
    </w:p>
    <w:p w:rsidR="008A3E97" w:rsidRPr="00FA1436" w:rsidRDefault="008A3E97" w:rsidP="008A3E97">
      <w:pPr>
        <w:pStyle w:val="paragraph"/>
      </w:pPr>
      <w:r w:rsidRPr="00FA1436">
        <w:tab/>
        <w:t>(a)</w:t>
      </w:r>
      <w:r w:rsidRPr="00FA1436">
        <w:tab/>
        <w:t>that relates to participation in, and the operation and administration of, a gas trading exchange; and</w:t>
      </w:r>
    </w:p>
    <w:p w:rsidR="008A3E97" w:rsidRPr="00FA1436" w:rsidRDefault="008A3E97" w:rsidP="008A3E97">
      <w:pPr>
        <w:pStyle w:val="paragraph"/>
      </w:pPr>
      <w:r w:rsidRPr="00FA1436">
        <w:tab/>
        <w:t>(b)</w:t>
      </w:r>
      <w:r w:rsidRPr="00FA1436">
        <w:tab/>
        <w:t>to which AEMO, or a person appointed by AEMO to operate the gas trading exchange, and a person who becomes a member of the exchange, are parties.</w:t>
      </w:r>
      <w:bookmarkStart w:id="20" w:name="ConfidenceBlock"/>
      <w:bookmarkEnd w:id="20"/>
    </w:p>
    <w:p w:rsidR="008A3E97" w:rsidRPr="00FA1436" w:rsidRDefault="008A3E97" w:rsidP="008A3E97">
      <w:pPr>
        <w:pStyle w:val="ActHead6"/>
        <w:pageBreakBefore/>
      </w:pPr>
      <w:bookmarkStart w:id="21" w:name="_Toc381189672"/>
      <w:bookmarkStart w:id="22" w:name="opcCurrentFind"/>
      <w:r w:rsidRPr="00FA1436">
        <w:rPr>
          <w:rStyle w:val="CharAmSchNo"/>
        </w:rPr>
        <w:t>Schedule</w:t>
      </w:r>
      <w:r w:rsidR="00FA1436" w:rsidRPr="00FA1436">
        <w:rPr>
          <w:rStyle w:val="CharAmSchNo"/>
        </w:rPr>
        <w:t> </w:t>
      </w:r>
      <w:r w:rsidR="00671605" w:rsidRPr="00FA1436">
        <w:rPr>
          <w:rStyle w:val="CharAmSchNo"/>
        </w:rPr>
        <w:t>3</w:t>
      </w:r>
      <w:r w:rsidRPr="00FA1436">
        <w:t>—</w:t>
      </w:r>
      <w:r w:rsidRPr="00FA1436">
        <w:rPr>
          <w:rStyle w:val="CharAmSchText"/>
        </w:rPr>
        <w:t xml:space="preserve">Professional </w:t>
      </w:r>
      <w:r w:rsidR="0002699E" w:rsidRPr="00FA1436">
        <w:rPr>
          <w:rStyle w:val="CharAmSchText"/>
        </w:rPr>
        <w:t>s</w:t>
      </w:r>
      <w:r w:rsidRPr="00FA1436">
        <w:rPr>
          <w:rStyle w:val="CharAmSchText"/>
        </w:rPr>
        <w:t xml:space="preserve">tandards </w:t>
      </w:r>
      <w:r w:rsidR="0002699E" w:rsidRPr="00FA1436">
        <w:rPr>
          <w:rStyle w:val="CharAmSchText"/>
        </w:rPr>
        <w:t>s</w:t>
      </w:r>
      <w:r w:rsidRPr="00FA1436">
        <w:rPr>
          <w:rStyle w:val="CharAmSchText"/>
        </w:rPr>
        <w:t>chemes</w:t>
      </w:r>
      <w:bookmarkEnd w:id="21"/>
    </w:p>
    <w:bookmarkEnd w:id="22"/>
    <w:p w:rsidR="008A3E97" w:rsidRPr="00FA1436" w:rsidRDefault="008A3E97" w:rsidP="008A3E97">
      <w:pPr>
        <w:pStyle w:val="Header"/>
      </w:pPr>
      <w:r w:rsidRPr="00FA1436">
        <w:rPr>
          <w:rStyle w:val="CharAmPartNo"/>
        </w:rPr>
        <w:t xml:space="preserve"> </w:t>
      </w:r>
      <w:r w:rsidRPr="00FA1436">
        <w:rPr>
          <w:rStyle w:val="CharAmPartText"/>
        </w:rPr>
        <w:t xml:space="preserve"> </w:t>
      </w:r>
    </w:p>
    <w:p w:rsidR="008A3E97" w:rsidRPr="00FA1436" w:rsidRDefault="008A3E97" w:rsidP="008A3E97">
      <w:pPr>
        <w:pStyle w:val="ActHead9"/>
      </w:pPr>
      <w:bookmarkStart w:id="23" w:name="_Toc381189673"/>
      <w:r w:rsidRPr="00FA1436">
        <w:t>Australian Securities and Investment Commission Regulations</w:t>
      </w:r>
      <w:r w:rsidR="00FA1436" w:rsidRPr="00FA1436">
        <w:t> </w:t>
      </w:r>
      <w:r w:rsidRPr="00FA1436">
        <w:t>2001</w:t>
      </w:r>
      <w:bookmarkEnd w:id="23"/>
    </w:p>
    <w:p w:rsidR="008A3E97" w:rsidRPr="00FA1436" w:rsidRDefault="008A3E97" w:rsidP="008A3E97">
      <w:pPr>
        <w:pStyle w:val="ItemHead"/>
      </w:pPr>
      <w:r w:rsidRPr="00FA1436">
        <w:t>1  Regulation</w:t>
      </w:r>
      <w:r w:rsidR="00FA1436" w:rsidRPr="00FA1436">
        <w:t> </w:t>
      </w:r>
      <w:r w:rsidRPr="00FA1436">
        <w:t>3A (table)</w:t>
      </w:r>
    </w:p>
    <w:p w:rsidR="008A3E97" w:rsidRPr="00FA1436" w:rsidRDefault="008A3E97" w:rsidP="008A3E97">
      <w:pPr>
        <w:pStyle w:val="Item"/>
      </w:pPr>
      <w:r w:rsidRPr="00FA1436">
        <w:t>Repeal the table, substitute:</w:t>
      </w:r>
    </w:p>
    <w:p w:rsidR="008A3E97" w:rsidRPr="00FA1436" w:rsidRDefault="008A3E97" w:rsidP="008A3E97">
      <w:pPr>
        <w:pStyle w:val="Tabletext"/>
      </w:pPr>
    </w:p>
    <w:tbl>
      <w:tblPr>
        <w:tblW w:w="7308" w:type="dxa"/>
        <w:tblBorders>
          <w:top w:val="single" w:sz="4" w:space="0" w:color="auto"/>
          <w:bottom w:val="single" w:sz="2" w:space="0" w:color="auto"/>
          <w:insideH w:val="single" w:sz="4" w:space="0" w:color="auto"/>
        </w:tblBorders>
        <w:tblLook w:val="01E0" w:firstRow="1" w:lastRow="1" w:firstColumn="1" w:lastColumn="1" w:noHBand="0" w:noVBand="0"/>
      </w:tblPr>
      <w:tblGrid>
        <w:gridCol w:w="942"/>
        <w:gridCol w:w="6366"/>
      </w:tblGrid>
      <w:tr w:rsidR="008663E9" w:rsidRPr="00FA1436" w:rsidTr="008801D7">
        <w:trPr>
          <w:tblHeader/>
        </w:trPr>
        <w:tc>
          <w:tcPr>
            <w:tcW w:w="7308" w:type="dxa"/>
            <w:gridSpan w:val="2"/>
            <w:tcBorders>
              <w:top w:val="single" w:sz="12" w:space="0" w:color="auto"/>
              <w:bottom w:val="single" w:sz="6" w:space="0" w:color="auto"/>
            </w:tcBorders>
            <w:shd w:val="clear" w:color="auto" w:fill="auto"/>
          </w:tcPr>
          <w:p w:rsidR="008A3E97" w:rsidRPr="00FA1436" w:rsidRDefault="008A3E97" w:rsidP="008801D7">
            <w:pPr>
              <w:pStyle w:val="TableHeading"/>
            </w:pPr>
            <w:r w:rsidRPr="00FA1436">
              <w:t>Prescribed professional standards schemes</w:t>
            </w:r>
          </w:p>
        </w:tc>
      </w:tr>
      <w:tr w:rsidR="008663E9" w:rsidRPr="00FA1436" w:rsidTr="008801D7">
        <w:trPr>
          <w:tblHeader/>
        </w:trPr>
        <w:tc>
          <w:tcPr>
            <w:tcW w:w="942" w:type="dxa"/>
            <w:tcBorders>
              <w:top w:val="single" w:sz="6" w:space="0" w:color="auto"/>
              <w:bottom w:val="single" w:sz="12" w:space="0" w:color="auto"/>
            </w:tcBorders>
            <w:shd w:val="clear" w:color="auto" w:fill="auto"/>
          </w:tcPr>
          <w:p w:rsidR="008A3E97" w:rsidRPr="00FA1436" w:rsidRDefault="008A3E97" w:rsidP="008801D7">
            <w:pPr>
              <w:pStyle w:val="TableHeading"/>
            </w:pPr>
            <w:r w:rsidRPr="00FA1436">
              <w:t>Item</w:t>
            </w:r>
          </w:p>
        </w:tc>
        <w:tc>
          <w:tcPr>
            <w:tcW w:w="6366" w:type="dxa"/>
            <w:tcBorders>
              <w:top w:val="single" w:sz="6" w:space="0" w:color="auto"/>
              <w:bottom w:val="single" w:sz="12" w:space="0" w:color="auto"/>
            </w:tcBorders>
            <w:shd w:val="clear" w:color="auto" w:fill="auto"/>
          </w:tcPr>
          <w:p w:rsidR="008A3E97" w:rsidRPr="00FA1436" w:rsidRDefault="008A3E97" w:rsidP="008801D7">
            <w:pPr>
              <w:pStyle w:val="TableHeading"/>
            </w:pPr>
            <w:r w:rsidRPr="00FA1436">
              <w:t>Scheme</w:t>
            </w:r>
          </w:p>
        </w:tc>
      </w:tr>
      <w:tr w:rsidR="008663E9" w:rsidRPr="00FA1436" w:rsidTr="008801D7">
        <w:tc>
          <w:tcPr>
            <w:tcW w:w="942" w:type="dxa"/>
            <w:tcBorders>
              <w:top w:val="single" w:sz="12" w:space="0" w:color="auto"/>
            </w:tcBorders>
            <w:shd w:val="clear" w:color="auto" w:fill="auto"/>
          </w:tcPr>
          <w:p w:rsidR="008A3E97" w:rsidRPr="00FA1436" w:rsidRDefault="008A3E97" w:rsidP="008801D7">
            <w:pPr>
              <w:pStyle w:val="Tabletext"/>
            </w:pPr>
            <w:r w:rsidRPr="00FA1436">
              <w:t>1</w:t>
            </w:r>
          </w:p>
        </w:tc>
        <w:tc>
          <w:tcPr>
            <w:tcW w:w="6366" w:type="dxa"/>
            <w:tcBorders>
              <w:top w:val="single" w:sz="12" w:space="0" w:color="auto"/>
            </w:tcBorders>
            <w:shd w:val="clear" w:color="auto" w:fill="auto"/>
          </w:tcPr>
          <w:p w:rsidR="008A3E97" w:rsidRPr="00FA1436" w:rsidRDefault="008A3E97" w:rsidP="008801D7">
            <w:pPr>
              <w:pStyle w:val="Tabletext"/>
            </w:pPr>
            <w:r w:rsidRPr="00FA1436">
              <w:t>The New South Wales Bar Association Scheme, published in the New South Wales Government Gazette No.</w:t>
            </w:r>
            <w:r w:rsidR="00FA1436" w:rsidRPr="00FA1436">
              <w:t> </w:t>
            </w:r>
            <w:r w:rsidRPr="00FA1436">
              <w:t>84, 25</w:t>
            </w:r>
            <w:r w:rsidR="00FA1436" w:rsidRPr="00FA1436">
              <w:t> </w:t>
            </w:r>
            <w:r w:rsidRPr="00FA1436">
              <w:t>June 2010</w:t>
            </w:r>
          </w:p>
        </w:tc>
      </w:tr>
      <w:tr w:rsidR="008663E9" w:rsidRPr="00FA1436" w:rsidTr="008801D7">
        <w:tc>
          <w:tcPr>
            <w:tcW w:w="942" w:type="dxa"/>
            <w:shd w:val="clear" w:color="auto" w:fill="auto"/>
          </w:tcPr>
          <w:p w:rsidR="008A3E97" w:rsidRPr="00FA1436" w:rsidRDefault="008A3E97" w:rsidP="008801D7">
            <w:pPr>
              <w:pStyle w:val="Tabletext"/>
            </w:pPr>
            <w:r w:rsidRPr="00FA1436">
              <w:t>2</w:t>
            </w:r>
          </w:p>
        </w:tc>
        <w:tc>
          <w:tcPr>
            <w:tcW w:w="6366" w:type="dxa"/>
            <w:shd w:val="clear" w:color="auto" w:fill="auto"/>
          </w:tcPr>
          <w:p w:rsidR="008A3E97" w:rsidRPr="00FA1436" w:rsidRDefault="008A3E97" w:rsidP="008801D7">
            <w:pPr>
              <w:pStyle w:val="Tabletext"/>
            </w:pPr>
            <w:r w:rsidRPr="00FA1436">
              <w:t>The Law Society of New South Wales Scheme, published in the New South Wales Government Gazette No.</w:t>
            </w:r>
            <w:r w:rsidR="00FA1436" w:rsidRPr="00FA1436">
              <w:t> </w:t>
            </w:r>
            <w:r w:rsidRPr="00FA1436">
              <w:t>78, 27</w:t>
            </w:r>
            <w:r w:rsidR="00FA1436" w:rsidRPr="00FA1436">
              <w:t> </w:t>
            </w:r>
            <w:r w:rsidRPr="00FA1436">
              <w:t>July 2012</w:t>
            </w:r>
          </w:p>
        </w:tc>
      </w:tr>
      <w:tr w:rsidR="008663E9" w:rsidRPr="00FA1436" w:rsidTr="008801D7">
        <w:tc>
          <w:tcPr>
            <w:tcW w:w="942" w:type="dxa"/>
            <w:shd w:val="clear" w:color="auto" w:fill="auto"/>
          </w:tcPr>
          <w:p w:rsidR="008A3E97" w:rsidRPr="00FA1436" w:rsidRDefault="008A3E97" w:rsidP="008801D7">
            <w:pPr>
              <w:pStyle w:val="Tabletext"/>
            </w:pPr>
            <w:r w:rsidRPr="00FA1436">
              <w:t>3</w:t>
            </w:r>
          </w:p>
        </w:tc>
        <w:tc>
          <w:tcPr>
            <w:tcW w:w="6366" w:type="dxa"/>
            <w:shd w:val="clear" w:color="auto" w:fill="auto"/>
          </w:tcPr>
          <w:p w:rsidR="008A3E97" w:rsidRPr="00FA1436" w:rsidRDefault="008A3E97" w:rsidP="008801D7">
            <w:pPr>
              <w:pStyle w:val="Tabletext"/>
            </w:pPr>
            <w:r w:rsidRPr="00FA1436">
              <w:t>The Law Institute of Victoria Limited Scheme:</w:t>
            </w:r>
          </w:p>
          <w:p w:rsidR="008A3E97" w:rsidRPr="00FA1436" w:rsidRDefault="008A3E97" w:rsidP="008801D7">
            <w:pPr>
              <w:pStyle w:val="Tablea"/>
            </w:pPr>
            <w:r w:rsidRPr="00FA1436">
              <w:t>(a) published in the Victorian Government Gazette No. G 10, 11</w:t>
            </w:r>
            <w:r w:rsidR="00FA1436" w:rsidRPr="00FA1436">
              <w:t> </w:t>
            </w:r>
            <w:r w:rsidRPr="00FA1436">
              <w:t>March 2010; and</w:t>
            </w:r>
          </w:p>
          <w:p w:rsidR="008A3E97" w:rsidRPr="00FA1436" w:rsidRDefault="008A3E97" w:rsidP="008801D7">
            <w:pPr>
              <w:pStyle w:val="Tablea"/>
            </w:pPr>
            <w:r w:rsidRPr="00FA1436">
              <w:t>(b) amended by instrument published in the Victorian Government Gazette No. S 164, 1</w:t>
            </w:r>
            <w:r w:rsidR="00FA1436" w:rsidRPr="00FA1436">
              <w:t> </w:t>
            </w:r>
            <w:r w:rsidRPr="00FA1436">
              <w:t>May 2013; and</w:t>
            </w:r>
          </w:p>
          <w:p w:rsidR="008A3E97" w:rsidRPr="00FA1436" w:rsidRDefault="008A3E97" w:rsidP="001F6247">
            <w:pPr>
              <w:pStyle w:val="Tablea"/>
            </w:pPr>
            <w:r w:rsidRPr="00FA1436">
              <w:t>(c) amended by instrument published in the Victorian Government Gazette No. G 36, 5</w:t>
            </w:r>
            <w:r w:rsidR="00FA1436" w:rsidRPr="00FA1436">
              <w:t> </w:t>
            </w:r>
            <w:r w:rsidRPr="00FA1436">
              <w:t>September 2013</w:t>
            </w:r>
          </w:p>
        </w:tc>
      </w:tr>
      <w:tr w:rsidR="008663E9" w:rsidRPr="00FA1436" w:rsidTr="008801D7">
        <w:tc>
          <w:tcPr>
            <w:tcW w:w="942" w:type="dxa"/>
            <w:shd w:val="clear" w:color="auto" w:fill="auto"/>
          </w:tcPr>
          <w:p w:rsidR="008A3E97" w:rsidRPr="00FA1436" w:rsidRDefault="008A3E97" w:rsidP="008801D7">
            <w:pPr>
              <w:pStyle w:val="Tabletext"/>
            </w:pPr>
            <w:r w:rsidRPr="00FA1436">
              <w:t>4</w:t>
            </w:r>
          </w:p>
        </w:tc>
        <w:tc>
          <w:tcPr>
            <w:tcW w:w="6366" w:type="dxa"/>
            <w:shd w:val="clear" w:color="auto" w:fill="auto"/>
          </w:tcPr>
          <w:p w:rsidR="008A3E97" w:rsidRPr="00FA1436" w:rsidRDefault="008A3E97" w:rsidP="008801D7">
            <w:pPr>
              <w:pStyle w:val="Tabletext"/>
            </w:pPr>
            <w:r w:rsidRPr="00FA1436">
              <w:t>The Victorian Bar Professional Standards Scheme, consisting of:</w:t>
            </w:r>
          </w:p>
          <w:p w:rsidR="008A3E97" w:rsidRPr="00FA1436" w:rsidRDefault="008A3E97" w:rsidP="008801D7">
            <w:pPr>
              <w:pStyle w:val="Tablea"/>
            </w:pPr>
            <w:r w:rsidRPr="00FA1436">
              <w:t>(a) the Victorian Bar Scheme published in the Victorian Government Gazette No. G 17, 24</w:t>
            </w:r>
            <w:r w:rsidR="00FA1436" w:rsidRPr="00FA1436">
              <w:t> </w:t>
            </w:r>
            <w:r w:rsidRPr="00FA1436">
              <w:t>April 2008; and</w:t>
            </w:r>
          </w:p>
          <w:p w:rsidR="008A3E97" w:rsidRPr="00FA1436" w:rsidRDefault="008A3E97" w:rsidP="008801D7">
            <w:pPr>
              <w:pStyle w:val="Tablea"/>
            </w:pPr>
            <w:r w:rsidRPr="00FA1436">
              <w:t>(b) amended by:</w:t>
            </w:r>
          </w:p>
          <w:p w:rsidR="008A3E97" w:rsidRPr="00FA1436" w:rsidRDefault="008A3E97" w:rsidP="008801D7">
            <w:pPr>
              <w:pStyle w:val="Tablei"/>
            </w:pPr>
            <w:r w:rsidRPr="00FA1436">
              <w:t>(i) instrument published in the Victorian Government Gazette No. G 10, 11</w:t>
            </w:r>
            <w:r w:rsidR="00FA1436" w:rsidRPr="00FA1436">
              <w:t> </w:t>
            </w:r>
            <w:r w:rsidRPr="00FA1436">
              <w:t>March 2010; and</w:t>
            </w:r>
          </w:p>
          <w:p w:rsidR="008A3E97" w:rsidRPr="00FA1436" w:rsidRDefault="008A3E97" w:rsidP="008801D7">
            <w:pPr>
              <w:pStyle w:val="Tablei"/>
            </w:pPr>
            <w:r w:rsidRPr="00FA1436">
              <w:t>(ii) instrument published in the Victorian Government Gazette No. S 29, 7</w:t>
            </w:r>
            <w:r w:rsidR="00FA1436" w:rsidRPr="00FA1436">
              <w:t> </w:t>
            </w:r>
            <w:r w:rsidRPr="00FA1436">
              <w:t>February 2012</w:t>
            </w:r>
          </w:p>
        </w:tc>
      </w:tr>
      <w:tr w:rsidR="008663E9" w:rsidRPr="00FA1436" w:rsidTr="008801D7">
        <w:tc>
          <w:tcPr>
            <w:tcW w:w="942" w:type="dxa"/>
            <w:shd w:val="clear" w:color="auto" w:fill="auto"/>
          </w:tcPr>
          <w:p w:rsidR="008A3E97" w:rsidRPr="00FA1436" w:rsidRDefault="008A3E97" w:rsidP="008801D7">
            <w:pPr>
              <w:pStyle w:val="Tabletext"/>
            </w:pPr>
            <w:r w:rsidRPr="00FA1436">
              <w:t>5</w:t>
            </w:r>
          </w:p>
        </w:tc>
        <w:tc>
          <w:tcPr>
            <w:tcW w:w="6366" w:type="dxa"/>
            <w:shd w:val="clear" w:color="auto" w:fill="auto"/>
          </w:tcPr>
          <w:p w:rsidR="008A3E97" w:rsidRPr="00FA1436" w:rsidRDefault="008A3E97" w:rsidP="0002699E">
            <w:pPr>
              <w:pStyle w:val="Tabletext"/>
            </w:pPr>
            <w:r w:rsidRPr="00FA1436">
              <w:t>The Queensland Law Society Scheme, published in the Queensland Government Gazette No.</w:t>
            </w:r>
            <w:r w:rsidR="00FA1436" w:rsidRPr="00FA1436">
              <w:t> </w:t>
            </w:r>
            <w:r w:rsidRPr="00FA1436">
              <w:t>64, 25</w:t>
            </w:r>
            <w:r w:rsidR="00FA1436" w:rsidRPr="00FA1436">
              <w:t> </w:t>
            </w:r>
            <w:r w:rsidRPr="00FA1436">
              <w:t>June 2010</w:t>
            </w:r>
          </w:p>
        </w:tc>
      </w:tr>
      <w:tr w:rsidR="008663E9" w:rsidRPr="00FA1436" w:rsidTr="008801D7">
        <w:tc>
          <w:tcPr>
            <w:tcW w:w="942" w:type="dxa"/>
            <w:shd w:val="clear" w:color="auto" w:fill="auto"/>
          </w:tcPr>
          <w:p w:rsidR="008A3E97" w:rsidRPr="00FA1436" w:rsidRDefault="008A3E97" w:rsidP="008801D7">
            <w:pPr>
              <w:pStyle w:val="Tabletext"/>
            </w:pPr>
            <w:r w:rsidRPr="00FA1436">
              <w:t>6</w:t>
            </w:r>
          </w:p>
        </w:tc>
        <w:tc>
          <w:tcPr>
            <w:tcW w:w="6366" w:type="dxa"/>
            <w:shd w:val="clear" w:color="auto" w:fill="auto"/>
          </w:tcPr>
          <w:p w:rsidR="008A3E97" w:rsidRPr="00FA1436" w:rsidRDefault="008A3E97" w:rsidP="008801D7">
            <w:pPr>
              <w:pStyle w:val="Tabletext"/>
            </w:pPr>
            <w:r w:rsidRPr="00FA1436">
              <w:t>The South Australian Bar Association Inc. Scheme, published in the South Australian Government Gazette No.</w:t>
            </w:r>
            <w:r w:rsidR="00FA1436" w:rsidRPr="00FA1436">
              <w:t> </w:t>
            </w:r>
            <w:r w:rsidRPr="00FA1436">
              <w:t>76, 3</w:t>
            </w:r>
            <w:r w:rsidR="00FA1436" w:rsidRPr="00FA1436">
              <w:t> </w:t>
            </w:r>
            <w:r w:rsidRPr="00FA1436">
              <w:t>November 2011</w:t>
            </w:r>
          </w:p>
        </w:tc>
      </w:tr>
      <w:tr w:rsidR="008663E9" w:rsidRPr="00FA1436" w:rsidTr="008801D7">
        <w:tc>
          <w:tcPr>
            <w:tcW w:w="942" w:type="dxa"/>
            <w:tcBorders>
              <w:bottom w:val="single" w:sz="4" w:space="0" w:color="auto"/>
            </w:tcBorders>
            <w:shd w:val="clear" w:color="auto" w:fill="auto"/>
          </w:tcPr>
          <w:p w:rsidR="008A3E97" w:rsidRPr="00FA1436" w:rsidRDefault="008A3E97" w:rsidP="008801D7">
            <w:pPr>
              <w:pStyle w:val="Tabletext"/>
            </w:pPr>
            <w:r w:rsidRPr="00FA1436">
              <w:t>7</w:t>
            </w:r>
          </w:p>
        </w:tc>
        <w:tc>
          <w:tcPr>
            <w:tcW w:w="6366" w:type="dxa"/>
            <w:tcBorders>
              <w:bottom w:val="single" w:sz="4" w:space="0" w:color="auto"/>
            </w:tcBorders>
            <w:shd w:val="clear" w:color="auto" w:fill="auto"/>
          </w:tcPr>
          <w:p w:rsidR="008A3E97" w:rsidRPr="00FA1436" w:rsidRDefault="008A3E97" w:rsidP="008801D7">
            <w:pPr>
              <w:pStyle w:val="Tabletext"/>
            </w:pPr>
            <w:r w:rsidRPr="00FA1436">
              <w:t>The Law Society of South Australia Professional Standards Scheme, published in the South Australian Government Gazette No.</w:t>
            </w:r>
            <w:r w:rsidR="00FA1436" w:rsidRPr="00FA1436">
              <w:t> </w:t>
            </w:r>
            <w:r w:rsidRPr="00FA1436">
              <w:t>76, 3</w:t>
            </w:r>
            <w:r w:rsidR="00FA1436" w:rsidRPr="00FA1436">
              <w:t> </w:t>
            </w:r>
            <w:r w:rsidRPr="00FA1436">
              <w:t>November 2011</w:t>
            </w:r>
          </w:p>
        </w:tc>
      </w:tr>
      <w:tr w:rsidR="008663E9" w:rsidRPr="00FA1436" w:rsidTr="008801D7">
        <w:tc>
          <w:tcPr>
            <w:tcW w:w="942" w:type="dxa"/>
            <w:tcBorders>
              <w:bottom w:val="single" w:sz="12" w:space="0" w:color="auto"/>
            </w:tcBorders>
            <w:shd w:val="clear" w:color="auto" w:fill="auto"/>
          </w:tcPr>
          <w:p w:rsidR="008A3E97" w:rsidRPr="00FA1436" w:rsidRDefault="008A3E97" w:rsidP="008801D7">
            <w:pPr>
              <w:pStyle w:val="Tabletext"/>
            </w:pPr>
            <w:r w:rsidRPr="00FA1436">
              <w:t>8</w:t>
            </w:r>
          </w:p>
        </w:tc>
        <w:tc>
          <w:tcPr>
            <w:tcW w:w="6366" w:type="dxa"/>
            <w:tcBorders>
              <w:bottom w:val="single" w:sz="12" w:space="0" w:color="auto"/>
            </w:tcBorders>
            <w:shd w:val="clear" w:color="auto" w:fill="auto"/>
          </w:tcPr>
          <w:p w:rsidR="008A3E97" w:rsidRPr="00FA1436" w:rsidRDefault="008A3E97" w:rsidP="008801D7">
            <w:pPr>
              <w:pStyle w:val="Tabletext"/>
            </w:pPr>
            <w:r w:rsidRPr="00FA1436">
              <w:t>The Bar Association of Queensland Scheme, published in the Queensland Government Gazette No.</w:t>
            </w:r>
            <w:r w:rsidR="00FA1436" w:rsidRPr="00FA1436">
              <w:t> </w:t>
            </w:r>
            <w:r w:rsidRPr="00FA1436">
              <w:t>40, 24</w:t>
            </w:r>
            <w:r w:rsidR="00FA1436" w:rsidRPr="00FA1436">
              <w:t> </w:t>
            </w:r>
            <w:r w:rsidRPr="00FA1436">
              <w:t>June 2013</w:t>
            </w:r>
          </w:p>
        </w:tc>
      </w:tr>
    </w:tbl>
    <w:p w:rsidR="008A3E97" w:rsidRPr="00FA1436" w:rsidRDefault="008A3E97" w:rsidP="008A3E97">
      <w:pPr>
        <w:pStyle w:val="ActHead9"/>
      </w:pPr>
      <w:bookmarkStart w:id="24" w:name="_Toc381189674"/>
      <w:r w:rsidRPr="00FA1436">
        <w:t>Competition and Consumer Regulations</w:t>
      </w:r>
      <w:r w:rsidR="00FA1436" w:rsidRPr="00FA1436">
        <w:t> </w:t>
      </w:r>
      <w:r w:rsidRPr="00FA1436">
        <w:t>2010</w:t>
      </w:r>
      <w:bookmarkEnd w:id="24"/>
    </w:p>
    <w:p w:rsidR="008A3E97" w:rsidRPr="00FA1436" w:rsidRDefault="008A3E97" w:rsidP="008A3E97">
      <w:pPr>
        <w:pStyle w:val="ItemHead"/>
      </w:pPr>
      <w:r w:rsidRPr="00FA1436">
        <w:t>2  Subregulation</w:t>
      </w:r>
      <w:r w:rsidR="00FA1436" w:rsidRPr="00FA1436">
        <w:t> </w:t>
      </w:r>
      <w:r w:rsidRPr="00FA1436">
        <w:t>8A(1)</w:t>
      </w:r>
    </w:p>
    <w:p w:rsidR="008A3E97" w:rsidRPr="00FA1436" w:rsidRDefault="008A3E97" w:rsidP="008A3E97">
      <w:pPr>
        <w:pStyle w:val="Item"/>
      </w:pPr>
      <w:r w:rsidRPr="00FA1436">
        <w:t>Repeal the subregulation, substitute:</w:t>
      </w:r>
    </w:p>
    <w:p w:rsidR="008A3E97" w:rsidRPr="00FA1436" w:rsidRDefault="008A3E97" w:rsidP="008A3E97">
      <w:pPr>
        <w:pStyle w:val="subsection"/>
      </w:pPr>
      <w:r w:rsidRPr="00FA1436">
        <w:tab/>
      </w:r>
      <w:r w:rsidRPr="00FA1436">
        <w:tab/>
        <w:t>For paragraph</w:t>
      </w:r>
      <w:r w:rsidR="00FA1436" w:rsidRPr="00FA1436">
        <w:t> </w:t>
      </w:r>
      <w:r w:rsidRPr="00FA1436">
        <w:t>137(2)(a) of the Act, a scheme in the following table is prescribed.</w:t>
      </w:r>
    </w:p>
    <w:p w:rsidR="008A3E97" w:rsidRPr="00FA1436" w:rsidRDefault="008A3E97" w:rsidP="008A3E97">
      <w:pPr>
        <w:pStyle w:val="Tabletext"/>
      </w:pPr>
    </w:p>
    <w:tbl>
      <w:tblPr>
        <w:tblW w:w="7372" w:type="dxa"/>
        <w:tblInd w:w="-34" w:type="dxa"/>
        <w:tblBorders>
          <w:top w:val="single" w:sz="4" w:space="0" w:color="auto"/>
          <w:bottom w:val="single" w:sz="2" w:space="0" w:color="auto"/>
          <w:insideH w:val="single" w:sz="4" w:space="0" w:color="auto"/>
        </w:tblBorders>
        <w:tblLook w:val="01E0" w:firstRow="1" w:lastRow="1" w:firstColumn="1" w:lastColumn="1" w:noHBand="0" w:noVBand="0"/>
      </w:tblPr>
      <w:tblGrid>
        <w:gridCol w:w="920"/>
        <w:gridCol w:w="6452"/>
      </w:tblGrid>
      <w:tr w:rsidR="008663E9" w:rsidRPr="00FA1436" w:rsidTr="008801D7">
        <w:trPr>
          <w:tblHeader/>
        </w:trPr>
        <w:tc>
          <w:tcPr>
            <w:tcW w:w="7372" w:type="dxa"/>
            <w:gridSpan w:val="2"/>
            <w:tcBorders>
              <w:top w:val="single" w:sz="12" w:space="0" w:color="auto"/>
              <w:bottom w:val="single" w:sz="6" w:space="0" w:color="auto"/>
            </w:tcBorders>
            <w:shd w:val="clear" w:color="auto" w:fill="auto"/>
          </w:tcPr>
          <w:p w:rsidR="008A3E97" w:rsidRPr="00FA1436" w:rsidRDefault="008A3E97" w:rsidP="008801D7">
            <w:pPr>
              <w:pStyle w:val="TableHeading"/>
              <w:keepLines/>
            </w:pPr>
            <w:r w:rsidRPr="00FA1436">
              <w:t>Prescribed professional standards schemes</w:t>
            </w:r>
          </w:p>
        </w:tc>
      </w:tr>
      <w:tr w:rsidR="008663E9" w:rsidRPr="00FA1436" w:rsidTr="008801D7">
        <w:trPr>
          <w:tblHeader/>
        </w:trPr>
        <w:tc>
          <w:tcPr>
            <w:tcW w:w="920" w:type="dxa"/>
            <w:tcBorders>
              <w:top w:val="single" w:sz="6" w:space="0" w:color="auto"/>
              <w:bottom w:val="single" w:sz="12" w:space="0" w:color="auto"/>
            </w:tcBorders>
            <w:shd w:val="clear" w:color="auto" w:fill="auto"/>
          </w:tcPr>
          <w:p w:rsidR="008A3E97" w:rsidRPr="00FA1436" w:rsidRDefault="008A3E97" w:rsidP="008801D7">
            <w:pPr>
              <w:pStyle w:val="TableHeading"/>
              <w:keepLines/>
            </w:pPr>
            <w:r w:rsidRPr="00FA1436">
              <w:t>Item</w:t>
            </w:r>
          </w:p>
        </w:tc>
        <w:tc>
          <w:tcPr>
            <w:tcW w:w="6452" w:type="dxa"/>
            <w:tcBorders>
              <w:top w:val="single" w:sz="6" w:space="0" w:color="auto"/>
              <w:bottom w:val="single" w:sz="12" w:space="0" w:color="auto"/>
            </w:tcBorders>
            <w:shd w:val="clear" w:color="auto" w:fill="auto"/>
          </w:tcPr>
          <w:p w:rsidR="008A3E97" w:rsidRPr="00FA1436" w:rsidRDefault="008A3E97" w:rsidP="008801D7">
            <w:pPr>
              <w:pStyle w:val="TableHeading"/>
              <w:keepLines/>
            </w:pPr>
            <w:r w:rsidRPr="00FA1436">
              <w:t>Scheme</w:t>
            </w:r>
          </w:p>
        </w:tc>
      </w:tr>
      <w:tr w:rsidR="008663E9" w:rsidRPr="00FA1436" w:rsidTr="008801D7">
        <w:tc>
          <w:tcPr>
            <w:tcW w:w="920" w:type="dxa"/>
            <w:tcBorders>
              <w:top w:val="single" w:sz="12" w:space="0" w:color="auto"/>
            </w:tcBorders>
            <w:shd w:val="clear" w:color="auto" w:fill="auto"/>
          </w:tcPr>
          <w:p w:rsidR="008A3E97" w:rsidRPr="00FA1436" w:rsidRDefault="008A3E97" w:rsidP="008801D7">
            <w:pPr>
              <w:pStyle w:val="Tabletext"/>
              <w:keepNext/>
              <w:keepLines/>
            </w:pPr>
            <w:r w:rsidRPr="00FA1436">
              <w:t>1</w:t>
            </w:r>
          </w:p>
        </w:tc>
        <w:tc>
          <w:tcPr>
            <w:tcW w:w="6452" w:type="dxa"/>
            <w:tcBorders>
              <w:top w:val="single" w:sz="12" w:space="0" w:color="auto"/>
            </w:tcBorders>
            <w:shd w:val="clear" w:color="auto" w:fill="auto"/>
          </w:tcPr>
          <w:p w:rsidR="008A3E97" w:rsidRPr="00FA1436" w:rsidRDefault="008A3E97" w:rsidP="008801D7">
            <w:pPr>
              <w:pStyle w:val="Tabletext"/>
              <w:keepNext/>
              <w:keepLines/>
            </w:pPr>
            <w:r w:rsidRPr="00FA1436">
              <w:t>The ACS Limited Liability (NSW) Scheme, published in the New South Wales Government Gazette No.</w:t>
            </w:r>
            <w:r w:rsidR="00FA1436" w:rsidRPr="00FA1436">
              <w:t> </w:t>
            </w:r>
            <w:r w:rsidRPr="00FA1436">
              <w:t>51, 18</w:t>
            </w:r>
            <w:r w:rsidR="00FA1436" w:rsidRPr="00FA1436">
              <w:t> </w:t>
            </w:r>
            <w:r w:rsidRPr="00FA1436">
              <w:t>December 2009</w:t>
            </w:r>
          </w:p>
        </w:tc>
      </w:tr>
      <w:tr w:rsidR="008663E9" w:rsidRPr="00FA1436" w:rsidTr="008801D7">
        <w:tc>
          <w:tcPr>
            <w:tcW w:w="920" w:type="dxa"/>
            <w:shd w:val="clear" w:color="auto" w:fill="auto"/>
          </w:tcPr>
          <w:p w:rsidR="008A3E97" w:rsidRPr="00FA1436" w:rsidRDefault="008A3E97" w:rsidP="008801D7">
            <w:pPr>
              <w:pStyle w:val="Tabletext"/>
            </w:pPr>
            <w:r w:rsidRPr="00FA1436">
              <w:t>2</w:t>
            </w:r>
          </w:p>
        </w:tc>
        <w:tc>
          <w:tcPr>
            <w:tcW w:w="6452" w:type="dxa"/>
            <w:shd w:val="clear" w:color="auto" w:fill="auto"/>
          </w:tcPr>
          <w:p w:rsidR="008A3E97" w:rsidRPr="00FA1436" w:rsidRDefault="008A3E97" w:rsidP="008801D7">
            <w:pPr>
              <w:pStyle w:val="Tabletext"/>
            </w:pPr>
            <w:r w:rsidRPr="00FA1436">
              <w:t>The ATMA Scheme, prepared by the Association of Taxation and Management Accountants and published in the Victorian Government Gazette No. S 361 on 29</w:t>
            </w:r>
            <w:r w:rsidR="00FA1436" w:rsidRPr="00FA1436">
              <w:t> </w:t>
            </w:r>
            <w:r w:rsidRPr="00FA1436">
              <w:t>October 2012</w:t>
            </w:r>
          </w:p>
        </w:tc>
      </w:tr>
      <w:tr w:rsidR="008663E9" w:rsidRPr="00FA1436" w:rsidTr="008801D7">
        <w:tc>
          <w:tcPr>
            <w:tcW w:w="920" w:type="dxa"/>
            <w:shd w:val="clear" w:color="auto" w:fill="auto"/>
          </w:tcPr>
          <w:p w:rsidR="008A3E97" w:rsidRPr="00FA1436" w:rsidRDefault="008A3E97" w:rsidP="008801D7">
            <w:pPr>
              <w:pStyle w:val="Tabletext"/>
            </w:pPr>
            <w:r w:rsidRPr="00FA1436">
              <w:t>3</w:t>
            </w:r>
          </w:p>
        </w:tc>
        <w:tc>
          <w:tcPr>
            <w:tcW w:w="6452" w:type="dxa"/>
            <w:shd w:val="clear" w:color="auto" w:fill="auto"/>
          </w:tcPr>
          <w:p w:rsidR="008A3E97" w:rsidRPr="00FA1436" w:rsidRDefault="008A3E97" w:rsidP="008801D7">
            <w:pPr>
              <w:pStyle w:val="Tabletext"/>
            </w:pPr>
            <w:r w:rsidRPr="00FA1436">
              <w:t>The Australian Property Institute Valuers Limited Scheme, published in the New South Wales Government Gazette No.</w:t>
            </w:r>
            <w:r w:rsidR="00FA1436" w:rsidRPr="00FA1436">
              <w:t> </w:t>
            </w:r>
            <w:r w:rsidRPr="00FA1436">
              <w:t>108, 27</w:t>
            </w:r>
            <w:r w:rsidR="00FA1436" w:rsidRPr="00FA1436">
              <w:t> </w:t>
            </w:r>
            <w:r w:rsidRPr="00FA1436">
              <w:t>August 2010</w:t>
            </w:r>
          </w:p>
        </w:tc>
      </w:tr>
      <w:tr w:rsidR="008663E9" w:rsidRPr="00FA1436" w:rsidTr="008801D7">
        <w:tc>
          <w:tcPr>
            <w:tcW w:w="920" w:type="dxa"/>
            <w:shd w:val="clear" w:color="auto" w:fill="auto"/>
          </w:tcPr>
          <w:p w:rsidR="008A3E97" w:rsidRPr="00FA1436" w:rsidRDefault="008A3E97" w:rsidP="008801D7">
            <w:pPr>
              <w:pStyle w:val="Tabletext"/>
            </w:pPr>
            <w:r w:rsidRPr="00FA1436">
              <w:t>4</w:t>
            </w:r>
          </w:p>
        </w:tc>
        <w:tc>
          <w:tcPr>
            <w:tcW w:w="6452" w:type="dxa"/>
            <w:shd w:val="clear" w:color="auto" w:fill="auto"/>
          </w:tcPr>
          <w:p w:rsidR="008A3E97" w:rsidRPr="00FA1436" w:rsidRDefault="008A3E97" w:rsidP="008801D7">
            <w:pPr>
              <w:pStyle w:val="Tabletext"/>
            </w:pPr>
            <w:r w:rsidRPr="00FA1436">
              <w:t>The Australian Valuers Institute (NSW) Scheme, published in the New South Wales Government Gazette No.</w:t>
            </w:r>
            <w:r w:rsidR="00FA1436" w:rsidRPr="00FA1436">
              <w:t> </w:t>
            </w:r>
            <w:r w:rsidRPr="00FA1436">
              <w:t>83, 29</w:t>
            </w:r>
            <w:r w:rsidR="00FA1436" w:rsidRPr="00FA1436">
              <w:t> </w:t>
            </w:r>
            <w:r w:rsidRPr="00FA1436">
              <w:t>June 2007</w:t>
            </w:r>
          </w:p>
        </w:tc>
      </w:tr>
      <w:tr w:rsidR="008663E9" w:rsidRPr="00FA1436" w:rsidTr="008801D7">
        <w:tc>
          <w:tcPr>
            <w:tcW w:w="920" w:type="dxa"/>
            <w:shd w:val="clear" w:color="auto" w:fill="auto"/>
          </w:tcPr>
          <w:p w:rsidR="008A3E97" w:rsidRPr="00FA1436" w:rsidRDefault="008A3E97" w:rsidP="008801D7">
            <w:pPr>
              <w:pStyle w:val="Tabletext"/>
            </w:pPr>
            <w:r w:rsidRPr="00FA1436">
              <w:t>5</w:t>
            </w:r>
          </w:p>
        </w:tc>
        <w:tc>
          <w:tcPr>
            <w:tcW w:w="6452" w:type="dxa"/>
            <w:shd w:val="clear" w:color="auto" w:fill="auto"/>
          </w:tcPr>
          <w:p w:rsidR="008A3E97" w:rsidRPr="00FA1436" w:rsidRDefault="008A3E97" w:rsidP="008801D7">
            <w:pPr>
              <w:pStyle w:val="Tabletext"/>
            </w:pPr>
            <w:r w:rsidRPr="00FA1436">
              <w:t>The Bar Association of Queensland Scheme, published in the Queensland Government Gazette No.</w:t>
            </w:r>
            <w:r w:rsidR="00FA1436" w:rsidRPr="00FA1436">
              <w:t> </w:t>
            </w:r>
            <w:r w:rsidRPr="00FA1436">
              <w:t>40, 24</w:t>
            </w:r>
            <w:r w:rsidR="00FA1436" w:rsidRPr="00FA1436">
              <w:t> </w:t>
            </w:r>
            <w:r w:rsidRPr="00FA1436">
              <w:t>June 2013</w:t>
            </w:r>
          </w:p>
        </w:tc>
      </w:tr>
      <w:tr w:rsidR="008663E9" w:rsidRPr="00FA1436" w:rsidTr="008801D7">
        <w:tc>
          <w:tcPr>
            <w:tcW w:w="920" w:type="dxa"/>
            <w:shd w:val="clear" w:color="auto" w:fill="auto"/>
          </w:tcPr>
          <w:p w:rsidR="008A3E97" w:rsidRPr="00FA1436" w:rsidRDefault="008A3E97" w:rsidP="008801D7">
            <w:pPr>
              <w:pStyle w:val="Tabletext"/>
            </w:pPr>
            <w:r w:rsidRPr="00FA1436">
              <w:t>6</w:t>
            </w:r>
          </w:p>
        </w:tc>
        <w:tc>
          <w:tcPr>
            <w:tcW w:w="6452" w:type="dxa"/>
            <w:shd w:val="clear" w:color="auto" w:fill="auto"/>
          </w:tcPr>
          <w:p w:rsidR="008A3E97" w:rsidRPr="00FA1436" w:rsidRDefault="008A3E97" w:rsidP="008801D7">
            <w:pPr>
              <w:pStyle w:val="Tabletext"/>
            </w:pPr>
            <w:r w:rsidRPr="00FA1436">
              <w:t>The CPA Australia Limited Professional Standards Scheme:</w:t>
            </w:r>
          </w:p>
          <w:p w:rsidR="008A3E97" w:rsidRPr="00FA1436" w:rsidRDefault="008A3E97" w:rsidP="008801D7">
            <w:pPr>
              <w:pStyle w:val="Tablea"/>
            </w:pPr>
            <w:r w:rsidRPr="00FA1436">
              <w:t>(a) published in the New South Wales Government Gazette No.</w:t>
            </w:r>
            <w:r w:rsidR="00FA1436" w:rsidRPr="00FA1436">
              <w:t> </w:t>
            </w:r>
            <w:r w:rsidRPr="00FA1436">
              <w:t>40, 4</w:t>
            </w:r>
            <w:r w:rsidR="00FA1436" w:rsidRPr="00FA1436">
              <w:t> </w:t>
            </w:r>
            <w:r w:rsidRPr="00FA1436">
              <w:t>October 2013; and</w:t>
            </w:r>
          </w:p>
          <w:p w:rsidR="008A3E97" w:rsidRPr="00FA1436" w:rsidRDefault="008A3E97" w:rsidP="008801D7">
            <w:pPr>
              <w:pStyle w:val="Tablea"/>
            </w:pPr>
            <w:r w:rsidRPr="00FA1436">
              <w:t>(b) amended by instrument published in the New South Wales Government Gazette No.</w:t>
            </w:r>
            <w:r w:rsidR="00FA1436" w:rsidRPr="00FA1436">
              <w:t> </w:t>
            </w:r>
            <w:r w:rsidRPr="00FA1436">
              <w:t>13, 31</w:t>
            </w:r>
            <w:r w:rsidR="00FA1436" w:rsidRPr="00FA1436">
              <w:t> </w:t>
            </w:r>
            <w:r w:rsidRPr="00FA1436">
              <w:t>January 2014</w:t>
            </w:r>
          </w:p>
        </w:tc>
      </w:tr>
      <w:tr w:rsidR="008663E9" w:rsidRPr="00FA1436" w:rsidTr="008801D7">
        <w:tc>
          <w:tcPr>
            <w:tcW w:w="920" w:type="dxa"/>
            <w:shd w:val="clear" w:color="auto" w:fill="auto"/>
          </w:tcPr>
          <w:p w:rsidR="008A3E97" w:rsidRPr="00FA1436" w:rsidRDefault="008A3E97" w:rsidP="008801D7">
            <w:pPr>
              <w:pStyle w:val="Tabletext"/>
            </w:pPr>
            <w:r w:rsidRPr="00FA1436">
              <w:t>7</w:t>
            </w:r>
          </w:p>
        </w:tc>
        <w:tc>
          <w:tcPr>
            <w:tcW w:w="6452" w:type="dxa"/>
            <w:shd w:val="clear" w:color="auto" w:fill="auto"/>
          </w:tcPr>
          <w:p w:rsidR="008A3E97" w:rsidRPr="00FA1436" w:rsidRDefault="008A3E97" w:rsidP="008801D7">
            <w:pPr>
              <w:pStyle w:val="Tabletext"/>
            </w:pPr>
            <w:r w:rsidRPr="00FA1436">
              <w:t>The Engineers Australia (ACT) Scheme, approved on 17</w:t>
            </w:r>
            <w:r w:rsidR="00FA1436" w:rsidRPr="00FA1436">
              <w:t> </w:t>
            </w:r>
            <w:r w:rsidRPr="00FA1436">
              <w:t>December 2008</w:t>
            </w:r>
          </w:p>
        </w:tc>
      </w:tr>
      <w:tr w:rsidR="008663E9" w:rsidRPr="00FA1436" w:rsidTr="008801D7">
        <w:trPr>
          <w:trHeight w:val="1382"/>
        </w:trPr>
        <w:tc>
          <w:tcPr>
            <w:tcW w:w="920" w:type="dxa"/>
            <w:shd w:val="clear" w:color="auto" w:fill="auto"/>
          </w:tcPr>
          <w:p w:rsidR="008A3E97" w:rsidRPr="00FA1436" w:rsidRDefault="008A3E97" w:rsidP="008801D7">
            <w:pPr>
              <w:pStyle w:val="Tabletext"/>
            </w:pPr>
            <w:r w:rsidRPr="00FA1436">
              <w:t>8</w:t>
            </w:r>
          </w:p>
        </w:tc>
        <w:tc>
          <w:tcPr>
            <w:tcW w:w="6452" w:type="dxa"/>
            <w:shd w:val="clear" w:color="auto" w:fill="auto"/>
          </w:tcPr>
          <w:p w:rsidR="008A3E97" w:rsidRPr="00FA1436" w:rsidRDefault="008A3E97" w:rsidP="008801D7">
            <w:pPr>
              <w:pStyle w:val="Tabletext"/>
            </w:pPr>
            <w:r w:rsidRPr="00FA1436">
              <w:t>The Engineers Australia (NSW) Scheme:</w:t>
            </w:r>
          </w:p>
          <w:p w:rsidR="008A3E97" w:rsidRPr="00FA1436" w:rsidRDefault="008A3E97" w:rsidP="008801D7">
            <w:pPr>
              <w:pStyle w:val="Tablea"/>
            </w:pPr>
            <w:r w:rsidRPr="00FA1436">
              <w:t>(a) published in the New South Wales Government Gazette No.</w:t>
            </w:r>
            <w:r w:rsidR="00FA1436" w:rsidRPr="00FA1436">
              <w:t> </w:t>
            </w:r>
            <w:r w:rsidRPr="00FA1436">
              <w:t>32, 16</w:t>
            </w:r>
            <w:r w:rsidR="00FA1436" w:rsidRPr="00FA1436">
              <w:t> </w:t>
            </w:r>
            <w:r w:rsidRPr="00FA1436">
              <w:t>February 2007; and</w:t>
            </w:r>
          </w:p>
          <w:p w:rsidR="008A3E97" w:rsidRPr="00FA1436" w:rsidRDefault="008A3E97" w:rsidP="008801D7">
            <w:pPr>
              <w:pStyle w:val="Tablea"/>
            </w:pPr>
            <w:r w:rsidRPr="00FA1436">
              <w:t>(b) amended by instrument published in the New South Wales Government Gazette No.</w:t>
            </w:r>
            <w:r w:rsidR="00FA1436" w:rsidRPr="00FA1436">
              <w:t> </w:t>
            </w:r>
            <w:r w:rsidRPr="00FA1436">
              <w:t>157, 12</w:t>
            </w:r>
            <w:r w:rsidR="00FA1436" w:rsidRPr="00FA1436">
              <w:t> </w:t>
            </w:r>
            <w:r w:rsidRPr="00FA1436">
              <w:t>December 2008</w:t>
            </w:r>
          </w:p>
        </w:tc>
      </w:tr>
      <w:tr w:rsidR="008663E9" w:rsidRPr="00FA1436" w:rsidTr="008801D7">
        <w:tc>
          <w:tcPr>
            <w:tcW w:w="920" w:type="dxa"/>
            <w:shd w:val="clear" w:color="auto" w:fill="auto"/>
          </w:tcPr>
          <w:p w:rsidR="008A3E97" w:rsidRPr="00FA1436" w:rsidRDefault="008A3E97" w:rsidP="008801D7">
            <w:pPr>
              <w:pStyle w:val="Tabletext"/>
            </w:pPr>
            <w:r w:rsidRPr="00FA1436">
              <w:t>9</w:t>
            </w:r>
          </w:p>
        </w:tc>
        <w:tc>
          <w:tcPr>
            <w:tcW w:w="6452" w:type="dxa"/>
            <w:shd w:val="clear" w:color="auto" w:fill="auto"/>
          </w:tcPr>
          <w:p w:rsidR="008A3E97" w:rsidRPr="00FA1436" w:rsidRDefault="008A3E97" w:rsidP="008801D7">
            <w:pPr>
              <w:pStyle w:val="Tabletext"/>
            </w:pPr>
            <w:r w:rsidRPr="00FA1436">
              <w:t>The Engineers Australia South Australia Scheme, published in the South Australian Government Gazette No.</w:t>
            </w:r>
            <w:r w:rsidR="00FA1436" w:rsidRPr="00FA1436">
              <w:t> </w:t>
            </w:r>
            <w:r w:rsidRPr="00FA1436">
              <w:t>59, 20</w:t>
            </w:r>
            <w:r w:rsidR="00FA1436" w:rsidRPr="00FA1436">
              <w:t> </w:t>
            </w:r>
            <w:r w:rsidRPr="00FA1436">
              <w:t>August 2009</w:t>
            </w:r>
          </w:p>
        </w:tc>
      </w:tr>
      <w:tr w:rsidR="008663E9" w:rsidRPr="00FA1436" w:rsidTr="008801D7">
        <w:tc>
          <w:tcPr>
            <w:tcW w:w="920" w:type="dxa"/>
            <w:shd w:val="clear" w:color="auto" w:fill="auto"/>
          </w:tcPr>
          <w:p w:rsidR="008A3E97" w:rsidRPr="00FA1436" w:rsidRDefault="008A3E97" w:rsidP="008801D7">
            <w:pPr>
              <w:pStyle w:val="Tabletext"/>
            </w:pPr>
            <w:r w:rsidRPr="00FA1436">
              <w:t>10</w:t>
            </w:r>
          </w:p>
        </w:tc>
        <w:tc>
          <w:tcPr>
            <w:tcW w:w="6452" w:type="dxa"/>
            <w:shd w:val="clear" w:color="auto" w:fill="auto"/>
          </w:tcPr>
          <w:p w:rsidR="008A3E97" w:rsidRPr="00FA1436" w:rsidRDefault="008A3E97" w:rsidP="008801D7">
            <w:pPr>
              <w:pStyle w:val="Tabletext"/>
            </w:pPr>
            <w:r w:rsidRPr="00FA1436">
              <w:t>The Engineers Australia Tasmania Scheme, published in the Tasmanian Government Gazette No.</w:t>
            </w:r>
            <w:r w:rsidR="00FA1436" w:rsidRPr="00FA1436">
              <w:t> </w:t>
            </w:r>
            <w:r w:rsidRPr="00FA1436">
              <w:t>20</w:t>
            </w:r>
            <w:r w:rsidR="00FA1436" w:rsidRPr="00FA1436">
              <w:t> </w:t>
            </w:r>
            <w:r w:rsidRPr="00FA1436">
              <w:t>929, 1</w:t>
            </w:r>
            <w:r w:rsidR="00FA1436" w:rsidRPr="00FA1436">
              <w:t> </w:t>
            </w:r>
            <w:r w:rsidRPr="00FA1436">
              <w:t>April 2009</w:t>
            </w:r>
          </w:p>
        </w:tc>
      </w:tr>
      <w:tr w:rsidR="008663E9" w:rsidRPr="00FA1436" w:rsidTr="008801D7">
        <w:tc>
          <w:tcPr>
            <w:tcW w:w="920" w:type="dxa"/>
            <w:shd w:val="clear" w:color="auto" w:fill="auto"/>
          </w:tcPr>
          <w:p w:rsidR="008A3E97" w:rsidRPr="00FA1436" w:rsidRDefault="008A3E97" w:rsidP="008801D7">
            <w:pPr>
              <w:pStyle w:val="Tabletext"/>
            </w:pPr>
            <w:r w:rsidRPr="00FA1436">
              <w:t>11</w:t>
            </w:r>
          </w:p>
        </w:tc>
        <w:tc>
          <w:tcPr>
            <w:tcW w:w="6452" w:type="dxa"/>
            <w:shd w:val="clear" w:color="auto" w:fill="auto"/>
          </w:tcPr>
          <w:p w:rsidR="008A3E97" w:rsidRPr="00FA1436" w:rsidRDefault="008A3E97" w:rsidP="008801D7">
            <w:pPr>
              <w:pStyle w:val="Tabletext"/>
            </w:pPr>
            <w:r w:rsidRPr="00FA1436">
              <w:t>The Engineers Australia (Victoria) Scheme, published in the Victorian Government Gazette No. G 47, 19</w:t>
            </w:r>
            <w:r w:rsidR="00FA1436" w:rsidRPr="00FA1436">
              <w:t> </w:t>
            </w:r>
            <w:r w:rsidRPr="00FA1436">
              <w:t>November 2009</w:t>
            </w:r>
          </w:p>
        </w:tc>
      </w:tr>
      <w:tr w:rsidR="008663E9" w:rsidRPr="00FA1436" w:rsidTr="008801D7">
        <w:tc>
          <w:tcPr>
            <w:tcW w:w="920" w:type="dxa"/>
            <w:shd w:val="clear" w:color="auto" w:fill="auto"/>
          </w:tcPr>
          <w:p w:rsidR="008A3E97" w:rsidRPr="00FA1436" w:rsidRDefault="008A3E97" w:rsidP="008801D7">
            <w:pPr>
              <w:pStyle w:val="Tabletext"/>
            </w:pPr>
            <w:r w:rsidRPr="00FA1436">
              <w:t>12</w:t>
            </w:r>
          </w:p>
        </w:tc>
        <w:tc>
          <w:tcPr>
            <w:tcW w:w="6452" w:type="dxa"/>
            <w:shd w:val="clear" w:color="auto" w:fill="auto"/>
          </w:tcPr>
          <w:p w:rsidR="008A3E97" w:rsidRPr="00FA1436" w:rsidRDefault="008A3E97" w:rsidP="008801D7">
            <w:pPr>
              <w:pStyle w:val="Tabletext"/>
            </w:pPr>
            <w:r w:rsidRPr="00FA1436">
              <w:t>The Engineers Australia Western Australia Scheme, published in the Western Australian Government Gazette No.</w:t>
            </w:r>
            <w:r w:rsidR="00FA1436" w:rsidRPr="00FA1436">
              <w:t> </w:t>
            </w:r>
            <w:r w:rsidRPr="00FA1436">
              <w:t>207, 9</w:t>
            </w:r>
            <w:r w:rsidR="00FA1436" w:rsidRPr="00FA1436">
              <w:t> </w:t>
            </w:r>
            <w:r w:rsidRPr="00FA1436">
              <w:t>December 2008</w:t>
            </w:r>
          </w:p>
        </w:tc>
      </w:tr>
      <w:tr w:rsidR="008663E9" w:rsidRPr="00FA1436" w:rsidTr="008801D7">
        <w:tc>
          <w:tcPr>
            <w:tcW w:w="920" w:type="dxa"/>
            <w:shd w:val="clear" w:color="auto" w:fill="auto"/>
          </w:tcPr>
          <w:p w:rsidR="008A3E97" w:rsidRPr="00FA1436" w:rsidRDefault="008A3E97" w:rsidP="008801D7">
            <w:pPr>
              <w:pStyle w:val="Tabletext"/>
            </w:pPr>
            <w:r w:rsidRPr="00FA1436">
              <w:t>13</w:t>
            </w:r>
          </w:p>
        </w:tc>
        <w:tc>
          <w:tcPr>
            <w:tcW w:w="6452" w:type="dxa"/>
            <w:shd w:val="clear" w:color="auto" w:fill="auto"/>
          </w:tcPr>
          <w:p w:rsidR="008A3E97" w:rsidRPr="00FA1436" w:rsidRDefault="008A3E97" w:rsidP="008801D7">
            <w:pPr>
              <w:pStyle w:val="Tabletext"/>
            </w:pPr>
            <w:r w:rsidRPr="00FA1436">
              <w:t>The Institute of Chartered Accountants in Australia (ACT) Scheme, approved on 7</w:t>
            </w:r>
            <w:r w:rsidR="00FA1436" w:rsidRPr="00FA1436">
              <w:t> </w:t>
            </w:r>
            <w:r w:rsidRPr="00FA1436">
              <w:t>October 2013</w:t>
            </w:r>
          </w:p>
        </w:tc>
      </w:tr>
      <w:tr w:rsidR="008663E9" w:rsidRPr="00FA1436" w:rsidTr="008801D7">
        <w:tc>
          <w:tcPr>
            <w:tcW w:w="920" w:type="dxa"/>
            <w:shd w:val="clear" w:color="auto" w:fill="auto"/>
          </w:tcPr>
          <w:p w:rsidR="008A3E97" w:rsidRPr="00FA1436" w:rsidRDefault="008A3E97" w:rsidP="008801D7">
            <w:pPr>
              <w:pStyle w:val="Tabletext"/>
            </w:pPr>
            <w:r w:rsidRPr="00FA1436">
              <w:t>14</w:t>
            </w:r>
          </w:p>
        </w:tc>
        <w:tc>
          <w:tcPr>
            <w:tcW w:w="6452" w:type="dxa"/>
            <w:shd w:val="clear" w:color="auto" w:fill="auto"/>
          </w:tcPr>
          <w:p w:rsidR="008A3E97" w:rsidRPr="00FA1436" w:rsidRDefault="008A3E97" w:rsidP="008801D7">
            <w:pPr>
              <w:pStyle w:val="Tabletext"/>
            </w:pPr>
            <w:r w:rsidRPr="00FA1436">
              <w:t>The Institute of Chartered Accountants in Australia (NSW) Scheme, published in the New South Wales Government Gazette No.</w:t>
            </w:r>
            <w:r w:rsidR="00FA1436" w:rsidRPr="00FA1436">
              <w:t> </w:t>
            </w:r>
            <w:r w:rsidRPr="00FA1436">
              <w:t>40, 4</w:t>
            </w:r>
            <w:r w:rsidR="00FA1436" w:rsidRPr="00FA1436">
              <w:t> </w:t>
            </w:r>
            <w:r w:rsidRPr="00FA1436">
              <w:t>October 2013</w:t>
            </w:r>
          </w:p>
        </w:tc>
      </w:tr>
      <w:tr w:rsidR="008663E9" w:rsidRPr="00FA1436" w:rsidTr="008801D7">
        <w:tc>
          <w:tcPr>
            <w:tcW w:w="920" w:type="dxa"/>
            <w:shd w:val="clear" w:color="auto" w:fill="auto"/>
          </w:tcPr>
          <w:p w:rsidR="008A3E97" w:rsidRPr="00FA1436" w:rsidRDefault="008A3E97" w:rsidP="008801D7">
            <w:pPr>
              <w:pStyle w:val="Tabletext"/>
            </w:pPr>
            <w:r w:rsidRPr="00FA1436">
              <w:t>15</w:t>
            </w:r>
          </w:p>
        </w:tc>
        <w:tc>
          <w:tcPr>
            <w:tcW w:w="6452" w:type="dxa"/>
            <w:shd w:val="clear" w:color="auto" w:fill="auto"/>
          </w:tcPr>
          <w:p w:rsidR="008A3E97" w:rsidRPr="00FA1436" w:rsidRDefault="008A3E97" w:rsidP="008801D7">
            <w:pPr>
              <w:pStyle w:val="Tabletext"/>
            </w:pPr>
            <w:r w:rsidRPr="00FA1436">
              <w:t>The Institute of Chartered Accountants in Australia (NT) Scheme, published in the Northern Territory Government Gazette No. S50, 7</w:t>
            </w:r>
            <w:r w:rsidR="00FA1436" w:rsidRPr="00FA1436">
              <w:t> </w:t>
            </w:r>
            <w:r w:rsidRPr="00FA1436">
              <w:t>October 2013</w:t>
            </w:r>
          </w:p>
        </w:tc>
      </w:tr>
      <w:tr w:rsidR="008663E9" w:rsidRPr="00FA1436" w:rsidTr="008801D7">
        <w:tc>
          <w:tcPr>
            <w:tcW w:w="920" w:type="dxa"/>
            <w:shd w:val="clear" w:color="auto" w:fill="auto"/>
          </w:tcPr>
          <w:p w:rsidR="008A3E97" w:rsidRPr="00FA1436" w:rsidRDefault="008A3E97" w:rsidP="008801D7">
            <w:pPr>
              <w:pStyle w:val="Tabletext"/>
            </w:pPr>
            <w:r w:rsidRPr="00FA1436">
              <w:t>16</w:t>
            </w:r>
          </w:p>
        </w:tc>
        <w:tc>
          <w:tcPr>
            <w:tcW w:w="6452" w:type="dxa"/>
            <w:shd w:val="clear" w:color="auto" w:fill="auto"/>
          </w:tcPr>
          <w:p w:rsidR="008A3E97" w:rsidRPr="00FA1436" w:rsidRDefault="008A3E97" w:rsidP="008801D7">
            <w:pPr>
              <w:pStyle w:val="Tabletext"/>
            </w:pPr>
            <w:r w:rsidRPr="00FA1436">
              <w:t>The Institute of Chartered Accountants in Australia (Qld) Scheme, notified by the Queensland Government on 4</w:t>
            </w:r>
            <w:r w:rsidR="00FA1436" w:rsidRPr="00FA1436">
              <w:t> </w:t>
            </w:r>
            <w:r w:rsidRPr="00FA1436">
              <w:t>October 2013</w:t>
            </w:r>
          </w:p>
        </w:tc>
      </w:tr>
      <w:tr w:rsidR="008663E9" w:rsidRPr="00FA1436" w:rsidTr="008801D7">
        <w:tc>
          <w:tcPr>
            <w:tcW w:w="920" w:type="dxa"/>
            <w:shd w:val="clear" w:color="auto" w:fill="auto"/>
          </w:tcPr>
          <w:p w:rsidR="008A3E97" w:rsidRPr="00FA1436" w:rsidRDefault="008A3E97" w:rsidP="008801D7">
            <w:pPr>
              <w:pStyle w:val="Tabletext"/>
            </w:pPr>
            <w:r w:rsidRPr="00FA1436">
              <w:t>17</w:t>
            </w:r>
          </w:p>
        </w:tc>
        <w:tc>
          <w:tcPr>
            <w:tcW w:w="6452" w:type="dxa"/>
            <w:shd w:val="clear" w:color="auto" w:fill="auto"/>
          </w:tcPr>
          <w:p w:rsidR="008A3E97" w:rsidRPr="00FA1436" w:rsidRDefault="008A3E97" w:rsidP="008801D7">
            <w:pPr>
              <w:pStyle w:val="Tabletext"/>
            </w:pPr>
            <w:r w:rsidRPr="00FA1436">
              <w:t>The Institute of Chartered Accountants in Australia (SA) Scheme, published in the South Australian Government Gazette No.</w:t>
            </w:r>
            <w:r w:rsidR="00FA1436" w:rsidRPr="00FA1436">
              <w:t> </w:t>
            </w:r>
            <w:r w:rsidRPr="00FA1436">
              <w:t>63, 8</w:t>
            </w:r>
            <w:r w:rsidR="00FA1436" w:rsidRPr="00FA1436">
              <w:t> </w:t>
            </w:r>
            <w:r w:rsidRPr="00FA1436">
              <w:t>October 2013</w:t>
            </w:r>
          </w:p>
        </w:tc>
      </w:tr>
      <w:tr w:rsidR="008663E9" w:rsidRPr="00FA1436" w:rsidTr="008801D7">
        <w:tc>
          <w:tcPr>
            <w:tcW w:w="920" w:type="dxa"/>
            <w:shd w:val="clear" w:color="auto" w:fill="auto"/>
          </w:tcPr>
          <w:p w:rsidR="008A3E97" w:rsidRPr="00FA1436" w:rsidRDefault="008A3E97" w:rsidP="008801D7">
            <w:pPr>
              <w:pStyle w:val="Tabletext"/>
            </w:pPr>
            <w:r w:rsidRPr="00FA1436">
              <w:t>18</w:t>
            </w:r>
          </w:p>
        </w:tc>
        <w:tc>
          <w:tcPr>
            <w:tcW w:w="6452" w:type="dxa"/>
            <w:shd w:val="clear" w:color="auto" w:fill="auto"/>
          </w:tcPr>
          <w:p w:rsidR="008A3E97" w:rsidRPr="00FA1436" w:rsidRDefault="008A3E97" w:rsidP="008801D7">
            <w:pPr>
              <w:pStyle w:val="Tabletext"/>
            </w:pPr>
            <w:r w:rsidRPr="00FA1436">
              <w:t>The Institute of Chartered Accountants in Australia (Vic.) Scheme, published in the Victoria Government Gazette No. S 348</w:t>
            </w:r>
            <w:r w:rsidR="001F6247" w:rsidRPr="00FA1436">
              <w:t>,</w:t>
            </w:r>
            <w:r w:rsidR="006C5556" w:rsidRPr="00FA1436">
              <w:t xml:space="preserve"> </w:t>
            </w:r>
            <w:r w:rsidRPr="00FA1436">
              <w:t>7</w:t>
            </w:r>
            <w:r w:rsidR="00FA1436" w:rsidRPr="00FA1436">
              <w:t> </w:t>
            </w:r>
            <w:r w:rsidRPr="00FA1436">
              <w:t>October 2013</w:t>
            </w:r>
          </w:p>
        </w:tc>
      </w:tr>
      <w:tr w:rsidR="008663E9" w:rsidRPr="00FA1436" w:rsidTr="008801D7">
        <w:tc>
          <w:tcPr>
            <w:tcW w:w="920" w:type="dxa"/>
            <w:shd w:val="clear" w:color="auto" w:fill="auto"/>
          </w:tcPr>
          <w:p w:rsidR="008A3E97" w:rsidRPr="00FA1436" w:rsidRDefault="008A3E97" w:rsidP="008801D7">
            <w:pPr>
              <w:pStyle w:val="Tabletext"/>
            </w:pPr>
            <w:r w:rsidRPr="00FA1436">
              <w:t>19</w:t>
            </w:r>
          </w:p>
        </w:tc>
        <w:tc>
          <w:tcPr>
            <w:tcW w:w="6452" w:type="dxa"/>
            <w:shd w:val="clear" w:color="auto" w:fill="auto"/>
          </w:tcPr>
          <w:p w:rsidR="008A3E97" w:rsidRPr="00FA1436" w:rsidRDefault="008A3E97" w:rsidP="008801D7">
            <w:pPr>
              <w:pStyle w:val="Tabletext"/>
            </w:pPr>
            <w:r w:rsidRPr="00FA1436">
              <w:t>The Institute of Chartered Accountants in Australia (Western Australia) Scheme, published in the Western Australian Government Gazette No.</w:t>
            </w:r>
            <w:r w:rsidR="00FA1436" w:rsidRPr="00FA1436">
              <w:t> </w:t>
            </w:r>
            <w:r w:rsidRPr="00FA1436">
              <w:t>180, 4</w:t>
            </w:r>
            <w:r w:rsidR="00FA1436" w:rsidRPr="00FA1436">
              <w:t> </w:t>
            </w:r>
            <w:r w:rsidRPr="00FA1436">
              <w:t>October 2013</w:t>
            </w:r>
          </w:p>
        </w:tc>
      </w:tr>
      <w:tr w:rsidR="008663E9" w:rsidRPr="00FA1436" w:rsidTr="008801D7">
        <w:tc>
          <w:tcPr>
            <w:tcW w:w="920" w:type="dxa"/>
            <w:shd w:val="clear" w:color="auto" w:fill="auto"/>
          </w:tcPr>
          <w:p w:rsidR="008A3E97" w:rsidRPr="00FA1436" w:rsidRDefault="008A3E97" w:rsidP="008801D7">
            <w:pPr>
              <w:pStyle w:val="Tabletext"/>
            </w:pPr>
            <w:r w:rsidRPr="00FA1436">
              <w:t>20</w:t>
            </w:r>
          </w:p>
        </w:tc>
        <w:tc>
          <w:tcPr>
            <w:tcW w:w="6452" w:type="dxa"/>
            <w:shd w:val="clear" w:color="auto" w:fill="auto"/>
          </w:tcPr>
          <w:p w:rsidR="008A3E97" w:rsidRPr="00FA1436" w:rsidRDefault="008A3E97" w:rsidP="008801D7">
            <w:pPr>
              <w:pStyle w:val="Tabletext"/>
            </w:pPr>
            <w:r w:rsidRPr="00FA1436">
              <w:t>Engineers Australia Northern Territory Professional Standards Scheme, published in the Northern Territory Government Gazette No. S73, 23</w:t>
            </w:r>
            <w:r w:rsidR="00FA1436" w:rsidRPr="00FA1436">
              <w:t> </w:t>
            </w:r>
            <w:r w:rsidRPr="00FA1436">
              <w:t>December 2013</w:t>
            </w:r>
          </w:p>
        </w:tc>
      </w:tr>
      <w:tr w:rsidR="008663E9" w:rsidRPr="00FA1436" w:rsidTr="008801D7">
        <w:tc>
          <w:tcPr>
            <w:tcW w:w="920" w:type="dxa"/>
            <w:shd w:val="clear" w:color="auto" w:fill="auto"/>
          </w:tcPr>
          <w:p w:rsidR="008A3E97" w:rsidRPr="00FA1436" w:rsidRDefault="008A3E97" w:rsidP="008801D7">
            <w:pPr>
              <w:pStyle w:val="Tabletext"/>
            </w:pPr>
            <w:r w:rsidRPr="00FA1436">
              <w:t>21</w:t>
            </w:r>
          </w:p>
        </w:tc>
        <w:tc>
          <w:tcPr>
            <w:tcW w:w="6452" w:type="dxa"/>
            <w:shd w:val="clear" w:color="auto" w:fill="auto"/>
          </w:tcPr>
          <w:p w:rsidR="008A3E97" w:rsidRPr="00FA1436" w:rsidRDefault="008A3E97" w:rsidP="008801D7">
            <w:pPr>
              <w:pStyle w:val="Tabletext"/>
            </w:pPr>
            <w:r w:rsidRPr="00FA1436">
              <w:t>The Institution of Engineers Australia (Queensland) Scheme, published in the Queensland Government Gazette No.</w:t>
            </w:r>
            <w:r w:rsidR="00FA1436" w:rsidRPr="00FA1436">
              <w:t> </w:t>
            </w:r>
            <w:r w:rsidRPr="00FA1436">
              <w:t>111, 19</w:t>
            </w:r>
            <w:r w:rsidR="00FA1436" w:rsidRPr="00FA1436">
              <w:t> </w:t>
            </w:r>
            <w:r w:rsidRPr="00FA1436">
              <w:t>December 2008</w:t>
            </w:r>
          </w:p>
        </w:tc>
      </w:tr>
      <w:tr w:rsidR="008663E9" w:rsidRPr="00FA1436" w:rsidTr="008801D7">
        <w:tc>
          <w:tcPr>
            <w:tcW w:w="920" w:type="dxa"/>
            <w:shd w:val="clear" w:color="auto" w:fill="auto"/>
          </w:tcPr>
          <w:p w:rsidR="008A3E97" w:rsidRPr="00FA1436" w:rsidRDefault="008A3E97" w:rsidP="008801D7">
            <w:pPr>
              <w:pStyle w:val="Tabletext"/>
            </w:pPr>
            <w:r w:rsidRPr="00FA1436">
              <w:t>22</w:t>
            </w:r>
          </w:p>
        </w:tc>
        <w:tc>
          <w:tcPr>
            <w:tcW w:w="6452" w:type="dxa"/>
            <w:shd w:val="clear" w:color="auto" w:fill="auto"/>
          </w:tcPr>
          <w:p w:rsidR="008A3E97" w:rsidRPr="00FA1436" w:rsidRDefault="008A3E97" w:rsidP="008801D7">
            <w:pPr>
              <w:pStyle w:val="Tabletext"/>
            </w:pPr>
            <w:r w:rsidRPr="00FA1436">
              <w:t>The College of Investigative and Remedial Consulting Engineers Australia Professional Standards Scheme, published in the New South Wales Government Gazette No.</w:t>
            </w:r>
            <w:r w:rsidR="00FA1436" w:rsidRPr="00FA1436">
              <w:t> </w:t>
            </w:r>
            <w:r w:rsidRPr="00FA1436">
              <w:t>135, 28</w:t>
            </w:r>
            <w:r w:rsidR="00FA1436" w:rsidRPr="00FA1436">
              <w:t> </w:t>
            </w:r>
            <w:r w:rsidRPr="00FA1436">
              <w:t>December 2012</w:t>
            </w:r>
          </w:p>
        </w:tc>
      </w:tr>
      <w:tr w:rsidR="008663E9" w:rsidRPr="00FA1436" w:rsidTr="008801D7">
        <w:tc>
          <w:tcPr>
            <w:tcW w:w="920" w:type="dxa"/>
            <w:shd w:val="clear" w:color="auto" w:fill="auto"/>
          </w:tcPr>
          <w:p w:rsidR="008A3E97" w:rsidRPr="00FA1436" w:rsidRDefault="008A3E97" w:rsidP="008801D7">
            <w:pPr>
              <w:pStyle w:val="Tabletext"/>
            </w:pPr>
            <w:r w:rsidRPr="00FA1436">
              <w:t>23</w:t>
            </w:r>
          </w:p>
        </w:tc>
        <w:tc>
          <w:tcPr>
            <w:tcW w:w="6452" w:type="dxa"/>
            <w:shd w:val="clear" w:color="auto" w:fill="auto"/>
          </w:tcPr>
          <w:p w:rsidR="008A3E97" w:rsidRPr="00FA1436" w:rsidRDefault="008A3E97" w:rsidP="008801D7">
            <w:pPr>
              <w:pStyle w:val="Tabletext"/>
            </w:pPr>
            <w:r w:rsidRPr="00FA1436">
              <w:t>The Law Institute of Victoria Limited Scheme:</w:t>
            </w:r>
          </w:p>
          <w:p w:rsidR="008A3E97" w:rsidRPr="00FA1436" w:rsidRDefault="008A3E97" w:rsidP="008801D7">
            <w:pPr>
              <w:pStyle w:val="Tablea"/>
            </w:pPr>
            <w:r w:rsidRPr="00FA1436">
              <w:t>(a) published in the Victorian Government Gazette No. G 10, 11</w:t>
            </w:r>
            <w:r w:rsidR="00FA1436" w:rsidRPr="00FA1436">
              <w:t> </w:t>
            </w:r>
            <w:r w:rsidRPr="00FA1436">
              <w:t>March 2010; and</w:t>
            </w:r>
          </w:p>
          <w:p w:rsidR="008A3E97" w:rsidRPr="00FA1436" w:rsidRDefault="008A3E97" w:rsidP="008801D7">
            <w:pPr>
              <w:pStyle w:val="Tablea"/>
            </w:pPr>
            <w:r w:rsidRPr="00FA1436">
              <w:t>(b) amended by instrument published in the Victorian Government Gazette No. S 164, 1</w:t>
            </w:r>
            <w:r w:rsidR="00FA1436" w:rsidRPr="00FA1436">
              <w:t> </w:t>
            </w:r>
            <w:r w:rsidRPr="00FA1436">
              <w:t>May 2013; and</w:t>
            </w:r>
          </w:p>
          <w:p w:rsidR="008A3E97" w:rsidRPr="00FA1436" w:rsidRDefault="008A3E97" w:rsidP="008801D7">
            <w:pPr>
              <w:pStyle w:val="Tablea"/>
            </w:pPr>
            <w:r w:rsidRPr="00FA1436">
              <w:t>(c) amended by instrument published in the Victorian Government Gazette No. G 36, 5</w:t>
            </w:r>
            <w:r w:rsidR="00FA1436" w:rsidRPr="00FA1436">
              <w:t> </w:t>
            </w:r>
            <w:r w:rsidRPr="00FA1436">
              <w:t>September 2013</w:t>
            </w:r>
          </w:p>
        </w:tc>
      </w:tr>
      <w:tr w:rsidR="008663E9" w:rsidRPr="00FA1436" w:rsidTr="008801D7">
        <w:tc>
          <w:tcPr>
            <w:tcW w:w="920" w:type="dxa"/>
            <w:shd w:val="clear" w:color="auto" w:fill="auto"/>
          </w:tcPr>
          <w:p w:rsidR="008A3E97" w:rsidRPr="00FA1436" w:rsidRDefault="008A3E97" w:rsidP="008801D7">
            <w:pPr>
              <w:pStyle w:val="Tabletext"/>
            </w:pPr>
            <w:r w:rsidRPr="00FA1436">
              <w:t>24</w:t>
            </w:r>
          </w:p>
        </w:tc>
        <w:tc>
          <w:tcPr>
            <w:tcW w:w="6452" w:type="dxa"/>
            <w:shd w:val="clear" w:color="auto" w:fill="auto"/>
          </w:tcPr>
          <w:p w:rsidR="008A3E97" w:rsidRPr="00FA1436" w:rsidRDefault="008A3E97" w:rsidP="008801D7">
            <w:pPr>
              <w:pStyle w:val="Tabletext"/>
            </w:pPr>
            <w:r w:rsidRPr="00FA1436">
              <w:t>The Law Society of NSW (NSW) Scheme, published in the New South Wales Government Gazette No.</w:t>
            </w:r>
            <w:r w:rsidR="00FA1436" w:rsidRPr="00FA1436">
              <w:t> </w:t>
            </w:r>
            <w:r w:rsidRPr="00FA1436">
              <w:t>1, 10</w:t>
            </w:r>
            <w:r w:rsidR="00FA1436" w:rsidRPr="00FA1436">
              <w:t> </w:t>
            </w:r>
            <w:r w:rsidRPr="00FA1436">
              <w:t>November 2006</w:t>
            </w:r>
          </w:p>
        </w:tc>
      </w:tr>
      <w:tr w:rsidR="008663E9" w:rsidRPr="00FA1436" w:rsidTr="008801D7">
        <w:tc>
          <w:tcPr>
            <w:tcW w:w="920" w:type="dxa"/>
            <w:shd w:val="clear" w:color="auto" w:fill="auto"/>
          </w:tcPr>
          <w:p w:rsidR="008A3E97" w:rsidRPr="00FA1436" w:rsidRDefault="008A3E97" w:rsidP="008801D7">
            <w:pPr>
              <w:pStyle w:val="Tabletext"/>
            </w:pPr>
            <w:r w:rsidRPr="00FA1436">
              <w:t>25</w:t>
            </w:r>
          </w:p>
        </w:tc>
        <w:tc>
          <w:tcPr>
            <w:tcW w:w="6452" w:type="dxa"/>
            <w:shd w:val="clear" w:color="auto" w:fill="auto"/>
          </w:tcPr>
          <w:p w:rsidR="008A3E97" w:rsidRPr="00FA1436" w:rsidRDefault="008A3E97" w:rsidP="008801D7">
            <w:pPr>
              <w:pStyle w:val="Tabletext"/>
            </w:pPr>
            <w:r w:rsidRPr="00FA1436">
              <w:t>The Law Society of South Australia Professional Standards Scheme, published in the South Australian Government Gazette No.</w:t>
            </w:r>
            <w:r w:rsidR="00FA1436" w:rsidRPr="00FA1436">
              <w:t> </w:t>
            </w:r>
            <w:r w:rsidRPr="00FA1436">
              <w:t>76, 3</w:t>
            </w:r>
            <w:r w:rsidR="00FA1436" w:rsidRPr="00FA1436">
              <w:t> </w:t>
            </w:r>
            <w:r w:rsidRPr="00FA1436">
              <w:t>November 2011</w:t>
            </w:r>
          </w:p>
        </w:tc>
      </w:tr>
      <w:tr w:rsidR="008663E9" w:rsidRPr="00FA1436" w:rsidTr="008801D7">
        <w:tc>
          <w:tcPr>
            <w:tcW w:w="920" w:type="dxa"/>
            <w:shd w:val="clear" w:color="auto" w:fill="auto"/>
          </w:tcPr>
          <w:p w:rsidR="008A3E97" w:rsidRPr="00FA1436" w:rsidRDefault="008A3E97" w:rsidP="008801D7">
            <w:pPr>
              <w:pStyle w:val="Tabletext"/>
            </w:pPr>
            <w:r w:rsidRPr="00FA1436">
              <w:t>26</w:t>
            </w:r>
          </w:p>
        </w:tc>
        <w:tc>
          <w:tcPr>
            <w:tcW w:w="6452" w:type="dxa"/>
            <w:shd w:val="clear" w:color="auto" w:fill="auto"/>
          </w:tcPr>
          <w:p w:rsidR="008A3E97" w:rsidRPr="00FA1436" w:rsidRDefault="008A3E97" w:rsidP="008801D7">
            <w:pPr>
              <w:pStyle w:val="Tabletext"/>
            </w:pPr>
            <w:r w:rsidRPr="00FA1436">
              <w:t>The New South Wales Bar Association Scheme, published in the New South Wales Government Gazette No.</w:t>
            </w:r>
            <w:r w:rsidR="00FA1436" w:rsidRPr="00FA1436">
              <w:t> </w:t>
            </w:r>
            <w:r w:rsidRPr="00FA1436">
              <w:t>84, 25</w:t>
            </w:r>
            <w:r w:rsidR="00FA1436" w:rsidRPr="00FA1436">
              <w:t> </w:t>
            </w:r>
            <w:r w:rsidRPr="00FA1436">
              <w:t>June 2010</w:t>
            </w:r>
          </w:p>
        </w:tc>
      </w:tr>
      <w:tr w:rsidR="008663E9" w:rsidRPr="00FA1436" w:rsidTr="008801D7">
        <w:tc>
          <w:tcPr>
            <w:tcW w:w="920" w:type="dxa"/>
            <w:shd w:val="clear" w:color="auto" w:fill="auto"/>
          </w:tcPr>
          <w:p w:rsidR="008A3E97" w:rsidRPr="00FA1436" w:rsidRDefault="008A3E97" w:rsidP="008801D7">
            <w:pPr>
              <w:pStyle w:val="Tabletext"/>
            </w:pPr>
            <w:r w:rsidRPr="00FA1436">
              <w:t>27</w:t>
            </w:r>
          </w:p>
        </w:tc>
        <w:tc>
          <w:tcPr>
            <w:tcW w:w="6452" w:type="dxa"/>
            <w:shd w:val="clear" w:color="auto" w:fill="auto"/>
          </w:tcPr>
          <w:p w:rsidR="008A3E97" w:rsidRPr="00FA1436" w:rsidRDefault="008A3E97" w:rsidP="008801D7">
            <w:pPr>
              <w:pStyle w:val="Tabletext"/>
            </w:pPr>
            <w:r w:rsidRPr="00FA1436">
              <w:t>The Professional Surveyors Occupational Association Scheme published in the New South Wales Government Gazette No.</w:t>
            </w:r>
            <w:r w:rsidR="00FA1436" w:rsidRPr="00FA1436">
              <w:t> </w:t>
            </w:r>
            <w:r w:rsidRPr="00FA1436">
              <w:t>147, 1</w:t>
            </w:r>
            <w:r w:rsidR="00FA1436" w:rsidRPr="00FA1436">
              <w:t> </w:t>
            </w:r>
            <w:r w:rsidRPr="00FA1436">
              <w:t>November 2013</w:t>
            </w:r>
          </w:p>
        </w:tc>
      </w:tr>
      <w:tr w:rsidR="008663E9" w:rsidRPr="00FA1436" w:rsidTr="008801D7">
        <w:tc>
          <w:tcPr>
            <w:tcW w:w="920" w:type="dxa"/>
            <w:shd w:val="clear" w:color="auto" w:fill="auto"/>
          </w:tcPr>
          <w:p w:rsidR="008A3E97" w:rsidRPr="00FA1436" w:rsidRDefault="008A3E97" w:rsidP="008801D7">
            <w:pPr>
              <w:pStyle w:val="Tabletext"/>
            </w:pPr>
            <w:r w:rsidRPr="00FA1436">
              <w:t>28</w:t>
            </w:r>
          </w:p>
        </w:tc>
        <w:tc>
          <w:tcPr>
            <w:tcW w:w="6452" w:type="dxa"/>
            <w:shd w:val="clear" w:color="auto" w:fill="auto"/>
          </w:tcPr>
          <w:p w:rsidR="008A3E97" w:rsidRPr="00FA1436" w:rsidRDefault="008A3E97" w:rsidP="008801D7">
            <w:pPr>
              <w:pStyle w:val="Tabletext"/>
            </w:pPr>
            <w:r w:rsidRPr="00FA1436">
              <w:t>The Queensland Law Society Scheme, published in the Queensland Government Gazette No.</w:t>
            </w:r>
            <w:r w:rsidR="00FA1436" w:rsidRPr="00FA1436">
              <w:t> </w:t>
            </w:r>
            <w:r w:rsidRPr="00FA1436">
              <w:t>64, 25</w:t>
            </w:r>
            <w:r w:rsidR="00FA1436" w:rsidRPr="00FA1436">
              <w:t> </w:t>
            </w:r>
            <w:r w:rsidRPr="00FA1436">
              <w:t>June 2010</w:t>
            </w:r>
          </w:p>
        </w:tc>
      </w:tr>
      <w:tr w:rsidR="008663E9" w:rsidRPr="00FA1436" w:rsidTr="008801D7">
        <w:tc>
          <w:tcPr>
            <w:tcW w:w="920" w:type="dxa"/>
            <w:tcBorders>
              <w:bottom w:val="single" w:sz="4" w:space="0" w:color="auto"/>
            </w:tcBorders>
            <w:shd w:val="clear" w:color="auto" w:fill="auto"/>
          </w:tcPr>
          <w:p w:rsidR="008A3E97" w:rsidRPr="00FA1436" w:rsidRDefault="008A3E97" w:rsidP="008801D7">
            <w:pPr>
              <w:pStyle w:val="Tabletext"/>
            </w:pPr>
            <w:r w:rsidRPr="00FA1436">
              <w:t>29</w:t>
            </w:r>
          </w:p>
        </w:tc>
        <w:tc>
          <w:tcPr>
            <w:tcW w:w="6452" w:type="dxa"/>
            <w:tcBorders>
              <w:bottom w:val="single" w:sz="4" w:space="0" w:color="auto"/>
            </w:tcBorders>
            <w:shd w:val="clear" w:color="auto" w:fill="auto"/>
          </w:tcPr>
          <w:p w:rsidR="008A3E97" w:rsidRPr="00FA1436" w:rsidRDefault="008A3E97" w:rsidP="008801D7">
            <w:pPr>
              <w:pStyle w:val="Tabletext"/>
            </w:pPr>
            <w:r w:rsidRPr="00FA1436">
              <w:t>The South Australian Bar Association Inc. Scheme, published in the South Australian Government Gazette No.</w:t>
            </w:r>
            <w:r w:rsidR="00FA1436" w:rsidRPr="00FA1436">
              <w:t> </w:t>
            </w:r>
            <w:r w:rsidRPr="00FA1436">
              <w:t>76, 3</w:t>
            </w:r>
            <w:r w:rsidR="00FA1436" w:rsidRPr="00FA1436">
              <w:t> </w:t>
            </w:r>
            <w:r w:rsidRPr="00FA1436">
              <w:t>November 2011</w:t>
            </w:r>
          </w:p>
        </w:tc>
      </w:tr>
      <w:tr w:rsidR="008663E9" w:rsidRPr="00FA1436" w:rsidTr="008801D7">
        <w:tc>
          <w:tcPr>
            <w:tcW w:w="920" w:type="dxa"/>
            <w:tcBorders>
              <w:bottom w:val="single" w:sz="12" w:space="0" w:color="auto"/>
            </w:tcBorders>
            <w:shd w:val="clear" w:color="auto" w:fill="auto"/>
          </w:tcPr>
          <w:p w:rsidR="008A3E97" w:rsidRPr="00FA1436" w:rsidRDefault="008A3E97" w:rsidP="008801D7">
            <w:pPr>
              <w:pStyle w:val="Tabletext"/>
            </w:pPr>
            <w:r w:rsidRPr="00FA1436">
              <w:t>30</w:t>
            </w:r>
          </w:p>
        </w:tc>
        <w:tc>
          <w:tcPr>
            <w:tcW w:w="6452" w:type="dxa"/>
            <w:tcBorders>
              <w:bottom w:val="single" w:sz="12" w:space="0" w:color="auto"/>
            </w:tcBorders>
            <w:shd w:val="clear" w:color="auto" w:fill="auto"/>
          </w:tcPr>
          <w:p w:rsidR="008A3E97" w:rsidRPr="00FA1436" w:rsidRDefault="008A3E97" w:rsidP="008801D7">
            <w:pPr>
              <w:pStyle w:val="Tabletext"/>
            </w:pPr>
            <w:r w:rsidRPr="00FA1436">
              <w:t>The Victorian Bar Professional Standards Scheme, consisting of:</w:t>
            </w:r>
          </w:p>
          <w:p w:rsidR="008A3E97" w:rsidRPr="00FA1436" w:rsidRDefault="008A3E97" w:rsidP="008801D7">
            <w:pPr>
              <w:pStyle w:val="Tablea"/>
            </w:pPr>
            <w:r w:rsidRPr="00FA1436">
              <w:t>(a) the Victorian Bar Scheme published in the Victoria Government Gazette No. G 17, 24</w:t>
            </w:r>
            <w:r w:rsidR="00FA1436" w:rsidRPr="00FA1436">
              <w:t> </w:t>
            </w:r>
            <w:r w:rsidRPr="00FA1436">
              <w:t>April 2008; and</w:t>
            </w:r>
          </w:p>
          <w:p w:rsidR="008A3E97" w:rsidRPr="00FA1436" w:rsidRDefault="008A3E97" w:rsidP="008801D7">
            <w:pPr>
              <w:pStyle w:val="Tablea"/>
            </w:pPr>
            <w:r w:rsidRPr="00FA1436">
              <w:t>(b) amended by instrument published in the Victoria Government Gazette No. G 10, 11</w:t>
            </w:r>
            <w:r w:rsidR="00FA1436" w:rsidRPr="00FA1436">
              <w:t> </w:t>
            </w:r>
            <w:r w:rsidRPr="00FA1436">
              <w:t>March 2010; and</w:t>
            </w:r>
          </w:p>
          <w:p w:rsidR="008A3E97" w:rsidRPr="00FA1436" w:rsidRDefault="008A3E97" w:rsidP="008801D7">
            <w:pPr>
              <w:pStyle w:val="Tablea"/>
            </w:pPr>
            <w:r w:rsidRPr="00FA1436">
              <w:t>(c) amended by instrument published in the Victorian Government Gazette No. S 29, 7</w:t>
            </w:r>
            <w:r w:rsidR="00FA1436" w:rsidRPr="00FA1436">
              <w:t> </w:t>
            </w:r>
            <w:r w:rsidRPr="00FA1436">
              <w:t>February 2012</w:t>
            </w:r>
          </w:p>
        </w:tc>
      </w:tr>
    </w:tbl>
    <w:p w:rsidR="008A3E97" w:rsidRPr="00FA1436" w:rsidRDefault="008A3E97" w:rsidP="008A3E97">
      <w:pPr>
        <w:pStyle w:val="ActHead9"/>
      </w:pPr>
      <w:bookmarkStart w:id="25" w:name="_Toc381189675"/>
      <w:r w:rsidRPr="00FA1436">
        <w:t>Corporations Regulations</w:t>
      </w:r>
      <w:r w:rsidR="00FA1436" w:rsidRPr="00FA1436">
        <w:t> </w:t>
      </w:r>
      <w:r w:rsidRPr="00FA1436">
        <w:t>2001</w:t>
      </w:r>
      <w:bookmarkEnd w:id="25"/>
    </w:p>
    <w:p w:rsidR="008A3E97" w:rsidRPr="00FA1436" w:rsidRDefault="00671605" w:rsidP="008A3E97">
      <w:pPr>
        <w:pStyle w:val="ItemHead"/>
      </w:pPr>
      <w:r w:rsidRPr="00FA1436">
        <w:t>3</w:t>
      </w:r>
      <w:r w:rsidR="008A3E97" w:rsidRPr="00FA1436">
        <w:t xml:space="preserve">  Regulation</w:t>
      </w:r>
      <w:r w:rsidR="00FA1436" w:rsidRPr="00FA1436">
        <w:t> </w:t>
      </w:r>
      <w:r w:rsidR="008A3E97" w:rsidRPr="00FA1436">
        <w:t>7.10.02 (table)</w:t>
      </w:r>
    </w:p>
    <w:p w:rsidR="008A3E97" w:rsidRPr="00FA1436" w:rsidRDefault="008A3E97" w:rsidP="008A3E97">
      <w:pPr>
        <w:pStyle w:val="Item"/>
      </w:pPr>
      <w:r w:rsidRPr="00FA1436">
        <w:t>Repeal the table, substitute:</w:t>
      </w:r>
    </w:p>
    <w:p w:rsidR="008A3E97" w:rsidRPr="00FA1436" w:rsidRDefault="008A3E97" w:rsidP="008A3E97">
      <w:pPr>
        <w:pStyle w:val="Tabletext"/>
      </w:pPr>
    </w:p>
    <w:tbl>
      <w:tblPr>
        <w:tblW w:w="7479" w:type="dxa"/>
        <w:tblBorders>
          <w:top w:val="single" w:sz="4" w:space="0" w:color="auto"/>
          <w:bottom w:val="single" w:sz="2" w:space="0" w:color="auto"/>
          <w:insideH w:val="single" w:sz="4" w:space="0" w:color="auto"/>
        </w:tblBorders>
        <w:tblLook w:val="01E0" w:firstRow="1" w:lastRow="1" w:firstColumn="1" w:lastColumn="1" w:noHBand="0" w:noVBand="0"/>
      </w:tblPr>
      <w:tblGrid>
        <w:gridCol w:w="916"/>
        <w:gridCol w:w="6563"/>
      </w:tblGrid>
      <w:tr w:rsidR="008663E9" w:rsidRPr="00FA1436" w:rsidTr="008801D7">
        <w:trPr>
          <w:tblHeader/>
        </w:trPr>
        <w:tc>
          <w:tcPr>
            <w:tcW w:w="7479" w:type="dxa"/>
            <w:gridSpan w:val="2"/>
            <w:tcBorders>
              <w:top w:val="single" w:sz="12" w:space="0" w:color="auto"/>
              <w:bottom w:val="single" w:sz="6" w:space="0" w:color="auto"/>
            </w:tcBorders>
            <w:shd w:val="clear" w:color="auto" w:fill="auto"/>
          </w:tcPr>
          <w:p w:rsidR="008A3E97" w:rsidRPr="00FA1436" w:rsidRDefault="008A3E97" w:rsidP="008801D7">
            <w:pPr>
              <w:pStyle w:val="TableHeading"/>
            </w:pPr>
            <w:r w:rsidRPr="00FA1436">
              <w:t>Prescribed professional standards schemes</w:t>
            </w:r>
          </w:p>
        </w:tc>
      </w:tr>
      <w:tr w:rsidR="008663E9" w:rsidRPr="00FA1436" w:rsidTr="008801D7">
        <w:trPr>
          <w:tblHeader/>
        </w:trPr>
        <w:tc>
          <w:tcPr>
            <w:tcW w:w="916" w:type="dxa"/>
            <w:tcBorders>
              <w:top w:val="single" w:sz="6" w:space="0" w:color="auto"/>
              <w:bottom w:val="single" w:sz="12" w:space="0" w:color="auto"/>
            </w:tcBorders>
            <w:shd w:val="clear" w:color="auto" w:fill="auto"/>
          </w:tcPr>
          <w:p w:rsidR="008A3E97" w:rsidRPr="00FA1436" w:rsidRDefault="008A3E97" w:rsidP="008801D7">
            <w:pPr>
              <w:pStyle w:val="TableHeading"/>
            </w:pPr>
            <w:r w:rsidRPr="00FA1436">
              <w:t>Item</w:t>
            </w:r>
          </w:p>
        </w:tc>
        <w:tc>
          <w:tcPr>
            <w:tcW w:w="6563" w:type="dxa"/>
            <w:tcBorders>
              <w:top w:val="single" w:sz="6" w:space="0" w:color="auto"/>
              <w:bottom w:val="single" w:sz="12" w:space="0" w:color="auto"/>
            </w:tcBorders>
            <w:shd w:val="clear" w:color="auto" w:fill="auto"/>
          </w:tcPr>
          <w:p w:rsidR="008A3E97" w:rsidRPr="00FA1436" w:rsidRDefault="008A3E97" w:rsidP="008801D7">
            <w:pPr>
              <w:pStyle w:val="TableHeading"/>
            </w:pPr>
            <w:r w:rsidRPr="00FA1436">
              <w:t>Scheme</w:t>
            </w:r>
          </w:p>
        </w:tc>
      </w:tr>
      <w:tr w:rsidR="008663E9" w:rsidRPr="00FA1436" w:rsidTr="008801D7">
        <w:tc>
          <w:tcPr>
            <w:tcW w:w="916" w:type="dxa"/>
            <w:tcBorders>
              <w:top w:val="single" w:sz="12" w:space="0" w:color="auto"/>
            </w:tcBorders>
            <w:shd w:val="clear" w:color="auto" w:fill="auto"/>
          </w:tcPr>
          <w:p w:rsidR="008A3E97" w:rsidRPr="00FA1436" w:rsidRDefault="008A3E97" w:rsidP="008801D7">
            <w:pPr>
              <w:pStyle w:val="Tabletext"/>
            </w:pPr>
            <w:r w:rsidRPr="00FA1436">
              <w:t>1</w:t>
            </w:r>
          </w:p>
        </w:tc>
        <w:tc>
          <w:tcPr>
            <w:tcW w:w="6563" w:type="dxa"/>
            <w:tcBorders>
              <w:top w:val="single" w:sz="12" w:space="0" w:color="auto"/>
            </w:tcBorders>
            <w:shd w:val="clear" w:color="auto" w:fill="auto"/>
          </w:tcPr>
          <w:p w:rsidR="008A3E97" w:rsidRPr="00FA1436" w:rsidRDefault="008A3E97" w:rsidP="008801D7">
            <w:pPr>
              <w:pStyle w:val="Tabletext"/>
            </w:pPr>
            <w:r w:rsidRPr="00FA1436">
              <w:t>The New South Wales Bar Association Scheme, published in the New South Wales Government Gazette No.</w:t>
            </w:r>
            <w:r w:rsidR="00FA1436" w:rsidRPr="00FA1436">
              <w:t> </w:t>
            </w:r>
            <w:r w:rsidRPr="00FA1436">
              <w:t>84, 25</w:t>
            </w:r>
            <w:r w:rsidR="00FA1436" w:rsidRPr="00FA1436">
              <w:t> </w:t>
            </w:r>
            <w:r w:rsidRPr="00FA1436">
              <w:t>June 2010</w:t>
            </w:r>
          </w:p>
        </w:tc>
      </w:tr>
      <w:tr w:rsidR="008663E9" w:rsidRPr="00FA1436" w:rsidTr="008801D7">
        <w:tc>
          <w:tcPr>
            <w:tcW w:w="916" w:type="dxa"/>
            <w:shd w:val="clear" w:color="auto" w:fill="auto"/>
          </w:tcPr>
          <w:p w:rsidR="008A3E97" w:rsidRPr="00FA1436" w:rsidRDefault="008A3E97" w:rsidP="008801D7">
            <w:pPr>
              <w:pStyle w:val="Tabletext"/>
            </w:pPr>
            <w:r w:rsidRPr="00FA1436">
              <w:t>2</w:t>
            </w:r>
          </w:p>
        </w:tc>
        <w:tc>
          <w:tcPr>
            <w:tcW w:w="6563" w:type="dxa"/>
            <w:shd w:val="clear" w:color="auto" w:fill="auto"/>
          </w:tcPr>
          <w:p w:rsidR="008A3E97" w:rsidRPr="00FA1436" w:rsidRDefault="008A3E97" w:rsidP="008801D7">
            <w:pPr>
              <w:pStyle w:val="Tabletext"/>
            </w:pPr>
            <w:r w:rsidRPr="00FA1436">
              <w:t>The Law Society of New South Wales Scheme, published in the New South Wales Government Gazette No.</w:t>
            </w:r>
            <w:r w:rsidR="00FA1436" w:rsidRPr="00FA1436">
              <w:t> </w:t>
            </w:r>
            <w:r w:rsidRPr="00FA1436">
              <w:t>78, 27</w:t>
            </w:r>
            <w:r w:rsidR="00FA1436" w:rsidRPr="00FA1436">
              <w:t> </w:t>
            </w:r>
            <w:r w:rsidRPr="00FA1436">
              <w:t>July 2012</w:t>
            </w:r>
          </w:p>
        </w:tc>
      </w:tr>
      <w:tr w:rsidR="008663E9" w:rsidRPr="00FA1436" w:rsidTr="008801D7">
        <w:tc>
          <w:tcPr>
            <w:tcW w:w="916" w:type="dxa"/>
            <w:shd w:val="clear" w:color="auto" w:fill="auto"/>
          </w:tcPr>
          <w:p w:rsidR="008A3E97" w:rsidRPr="00FA1436" w:rsidRDefault="008A3E97" w:rsidP="008801D7">
            <w:pPr>
              <w:pStyle w:val="Tabletext"/>
            </w:pPr>
            <w:r w:rsidRPr="00FA1436">
              <w:t>3</w:t>
            </w:r>
          </w:p>
        </w:tc>
        <w:tc>
          <w:tcPr>
            <w:tcW w:w="6563" w:type="dxa"/>
            <w:shd w:val="clear" w:color="auto" w:fill="auto"/>
          </w:tcPr>
          <w:p w:rsidR="008A3E97" w:rsidRPr="00FA1436" w:rsidRDefault="008A3E97" w:rsidP="008801D7">
            <w:pPr>
              <w:pStyle w:val="Tabletext"/>
            </w:pPr>
            <w:r w:rsidRPr="00FA1436">
              <w:t>The Law Institute of Victoria Limited Scheme:</w:t>
            </w:r>
          </w:p>
          <w:p w:rsidR="008A3E97" w:rsidRPr="00FA1436" w:rsidRDefault="008A3E97" w:rsidP="008801D7">
            <w:pPr>
              <w:pStyle w:val="Tablea"/>
            </w:pPr>
            <w:r w:rsidRPr="00FA1436">
              <w:t>(a) published in the Victorian Government Gazette No. G 10, 11</w:t>
            </w:r>
            <w:r w:rsidR="00FA1436" w:rsidRPr="00FA1436">
              <w:t> </w:t>
            </w:r>
            <w:r w:rsidRPr="00FA1436">
              <w:t>March 2010;</w:t>
            </w:r>
            <w:r w:rsidR="001F6247" w:rsidRPr="00FA1436">
              <w:t xml:space="preserve"> </w:t>
            </w:r>
            <w:r w:rsidRPr="00FA1436">
              <w:t>and</w:t>
            </w:r>
          </w:p>
          <w:p w:rsidR="008A3E97" w:rsidRPr="00FA1436" w:rsidRDefault="008A3E97" w:rsidP="008801D7">
            <w:pPr>
              <w:pStyle w:val="Tablea"/>
            </w:pPr>
            <w:r w:rsidRPr="00FA1436">
              <w:t>(b) amended by instrument published in the Victorian Government Gazette No. S 164, 1</w:t>
            </w:r>
            <w:r w:rsidR="00FA1436" w:rsidRPr="00FA1436">
              <w:t> </w:t>
            </w:r>
            <w:r w:rsidRPr="00FA1436">
              <w:t>May 2013; and</w:t>
            </w:r>
          </w:p>
          <w:p w:rsidR="008A3E97" w:rsidRPr="00FA1436" w:rsidRDefault="008A3E97" w:rsidP="008801D7">
            <w:pPr>
              <w:pStyle w:val="Tablea"/>
            </w:pPr>
            <w:r w:rsidRPr="00FA1436">
              <w:t>(c) amended by instrument published in the Victorian Government Gazette No. G 36, 5</w:t>
            </w:r>
            <w:r w:rsidR="00FA1436" w:rsidRPr="00FA1436">
              <w:t> </w:t>
            </w:r>
            <w:r w:rsidRPr="00FA1436">
              <w:t>September 2013</w:t>
            </w:r>
          </w:p>
        </w:tc>
      </w:tr>
      <w:tr w:rsidR="008663E9" w:rsidRPr="00FA1436" w:rsidTr="008801D7">
        <w:tc>
          <w:tcPr>
            <w:tcW w:w="916" w:type="dxa"/>
            <w:shd w:val="clear" w:color="auto" w:fill="auto"/>
          </w:tcPr>
          <w:p w:rsidR="008A3E97" w:rsidRPr="00FA1436" w:rsidRDefault="008A3E97" w:rsidP="008801D7">
            <w:pPr>
              <w:pStyle w:val="Tabletext"/>
            </w:pPr>
            <w:r w:rsidRPr="00FA1436">
              <w:t>4</w:t>
            </w:r>
          </w:p>
        </w:tc>
        <w:tc>
          <w:tcPr>
            <w:tcW w:w="6563" w:type="dxa"/>
            <w:shd w:val="clear" w:color="auto" w:fill="auto"/>
          </w:tcPr>
          <w:p w:rsidR="008A3E97" w:rsidRPr="00FA1436" w:rsidRDefault="008A3E97" w:rsidP="008801D7">
            <w:pPr>
              <w:pStyle w:val="Tabletext"/>
            </w:pPr>
            <w:r w:rsidRPr="00FA1436">
              <w:t>The Victorian Bar Professional Standards Scheme, consisting of:</w:t>
            </w:r>
          </w:p>
          <w:p w:rsidR="008A3E97" w:rsidRPr="00FA1436" w:rsidRDefault="008A3E97" w:rsidP="008801D7">
            <w:pPr>
              <w:pStyle w:val="Tablea"/>
            </w:pPr>
            <w:r w:rsidRPr="00FA1436">
              <w:t>(a) the Victorian Bar Scheme published in the Victorian Government Gazette No. G 17, 24</w:t>
            </w:r>
            <w:r w:rsidR="00FA1436" w:rsidRPr="00FA1436">
              <w:t> </w:t>
            </w:r>
            <w:r w:rsidRPr="00FA1436">
              <w:t>April 2008; and</w:t>
            </w:r>
          </w:p>
          <w:p w:rsidR="008A3E97" w:rsidRPr="00FA1436" w:rsidRDefault="008A3E97" w:rsidP="008801D7">
            <w:pPr>
              <w:pStyle w:val="Tablea"/>
            </w:pPr>
            <w:r w:rsidRPr="00FA1436">
              <w:t>(b) amended by:</w:t>
            </w:r>
          </w:p>
          <w:p w:rsidR="008A3E97" w:rsidRPr="00FA1436" w:rsidRDefault="008A3E97" w:rsidP="008801D7">
            <w:pPr>
              <w:pStyle w:val="Tablei"/>
            </w:pPr>
            <w:r w:rsidRPr="00FA1436">
              <w:t>(i) instrument published in the Victorian Government Gazette No. G 10, 11</w:t>
            </w:r>
            <w:r w:rsidR="00FA1436" w:rsidRPr="00FA1436">
              <w:t> </w:t>
            </w:r>
            <w:r w:rsidRPr="00FA1436">
              <w:t>March 2010; and</w:t>
            </w:r>
          </w:p>
          <w:p w:rsidR="008A3E97" w:rsidRPr="00FA1436" w:rsidRDefault="008A3E97" w:rsidP="008801D7">
            <w:pPr>
              <w:pStyle w:val="Tablei"/>
            </w:pPr>
            <w:r w:rsidRPr="00FA1436">
              <w:t>(ii) instrument published in the Victorian Government Gazette No. S 29, 7</w:t>
            </w:r>
            <w:r w:rsidR="00FA1436" w:rsidRPr="00FA1436">
              <w:t> </w:t>
            </w:r>
            <w:r w:rsidRPr="00FA1436">
              <w:t>February 2012</w:t>
            </w:r>
          </w:p>
        </w:tc>
      </w:tr>
      <w:tr w:rsidR="008663E9" w:rsidRPr="00FA1436" w:rsidTr="008801D7">
        <w:tc>
          <w:tcPr>
            <w:tcW w:w="916" w:type="dxa"/>
            <w:shd w:val="clear" w:color="auto" w:fill="auto"/>
          </w:tcPr>
          <w:p w:rsidR="008A3E97" w:rsidRPr="00FA1436" w:rsidRDefault="008A3E97" w:rsidP="008801D7">
            <w:pPr>
              <w:pStyle w:val="Tabletext"/>
            </w:pPr>
            <w:r w:rsidRPr="00FA1436">
              <w:t>5</w:t>
            </w:r>
          </w:p>
        </w:tc>
        <w:tc>
          <w:tcPr>
            <w:tcW w:w="6563" w:type="dxa"/>
            <w:shd w:val="clear" w:color="auto" w:fill="auto"/>
          </w:tcPr>
          <w:p w:rsidR="008A3E97" w:rsidRPr="00FA1436" w:rsidRDefault="008A3E97" w:rsidP="0002699E">
            <w:pPr>
              <w:pStyle w:val="Tabletext"/>
            </w:pPr>
            <w:r w:rsidRPr="00FA1436">
              <w:t>The Queensland Law Society Scheme, published in the Queensland Government Gazette No.</w:t>
            </w:r>
            <w:r w:rsidR="00FA1436" w:rsidRPr="00FA1436">
              <w:t> </w:t>
            </w:r>
            <w:r w:rsidRPr="00FA1436">
              <w:t>64, 25</w:t>
            </w:r>
            <w:r w:rsidR="00FA1436" w:rsidRPr="00FA1436">
              <w:t> </w:t>
            </w:r>
            <w:r w:rsidRPr="00FA1436">
              <w:t>June 2010</w:t>
            </w:r>
          </w:p>
        </w:tc>
      </w:tr>
      <w:tr w:rsidR="008663E9" w:rsidRPr="00FA1436" w:rsidTr="008801D7">
        <w:tc>
          <w:tcPr>
            <w:tcW w:w="916" w:type="dxa"/>
            <w:shd w:val="clear" w:color="auto" w:fill="auto"/>
          </w:tcPr>
          <w:p w:rsidR="008A3E97" w:rsidRPr="00FA1436" w:rsidRDefault="008A3E97" w:rsidP="008801D7">
            <w:pPr>
              <w:pStyle w:val="Tabletext"/>
            </w:pPr>
            <w:r w:rsidRPr="00FA1436">
              <w:t>6</w:t>
            </w:r>
          </w:p>
        </w:tc>
        <w:tc>
          <w:tcPr>
            <w:tcW w:w="6563" w:type="dxa"/>
            <w:shd w:val="clear" w:color="auto" w:fill="auto"/>
          </w:tcPr>
          <w:p w:rsidR="008A3E97" w:rsidRPr="00FA1436" w:rsidRDefault="008A3E97" w:rsidP="008801D7">
            <w:pPr>
              <w:pStyle w:val="Tabletext"/>
            </w:pPr>
            <w:r w:rsidRPr="00FA1436">
              <w:t>The South Australian Bar Association Inc. Scheme, published in the South Australian Government Gazette No.</w:t>
            </w:r>
            <w:r w:rsidR="00FA1436" w:rsidRPr="00FA1436">
              <w:t> </w:t>
            </w:r>
            <w:r w:rsidRPr="00FA1436">
              <w:t>76, 3</w:t>
            </w:r>
            <w:r w:rsidR="00FA1436" w:rsidRPr="00FA1436">
              <w:t> </w:t>
            </w:r>
            <w:r w:rsidRPr="00FA1436">
              <w:t>November</w:t>
            </w:r>
            <w:r w:rsidR="0002699E" w:rsidRPr="00FA1436">
              <w:t xml:space="preserve"> </w:t>
            </w:r>
            <w:r w:rsidRPr="00FA1436">
              <w:t>2011</w:t>
            </w:r>
          </w:p>
        </w:tc>
      </w:tr>
      <w:tr w:rsidR="008663E9" w:rsidRPr="00FA1436" w:rsidTr="008801D7">
        <w:tc>
          <w:tcPr>
            <w:tcW w:w="916" w:type="dxa"/>
            <w:tcBorders>
              <w:bottom w:val="single" w:sz="4" w:space="0" w:color="auto"/>
            </w:tcBorders>
            <w:shd w:val="clear" w:color="auto" w:fill="auto"/>
          </w:tcPr>
          <w:p w:rsidR="008A3E97" w:rsidRPr="00FA1436" w:rsidRDefault="008A3E97" w:rsidP="008801D7">
            <w:pPr>
              <w:pStyle w:val="Tabletext"/>
            </w:pPr>
            <w:r w:rsidRPr="00FA1436">
              <w:t>7</w:t>
            </w:r>
          </w:p>
        </w:tc>
        <w:tc>
          <w:tcPr>
            <w:tcW w:w="6563" w:type="dxa"/>
            <w:tcBorders>
              <w:bottom w:val="single" w:sz="4" w:space="0" w:color="auto"/>
            </w:tcBorders>
            <w:shd w:val="clear" w:color="auto" w:fill="auto"/>
          </w:tcPr>
          <w:p w:rsidR="008A3E97" w:rsidRPr="00FA1436" w:rsidRDefault="008A3E97" w:rsidP="008801D7">
            <w:pPr>
              <w:pStyle w:val="Tabletext"/>
            </w:pPr>
            <w:r w:rsidRPr="00FA1436">
              <w:t>The Law Society of South Australia Professional Standards Scheme, published in the South Australian Government Gazette No.</w:t>
            </w:r>
            <w:r w:rsidR="00FA1436" w:rsidRPr="00FA1436">
              <w:t> </w:t>
            </w:r>
            <w:r w:rsidRPr="00FA1436">
              <w:t>76, 3</w:t>
            </w:r>
            <w:r w:rsidR="00FA1436" w:rsidRPr="00FA1436">
              <w:t> </w:t>
            </w:r>
            <w:r w:rsidRPr="00FA1436">
              <w:t>November</w:t>
            </w:r>
            <w:r w:rsidR="0002699E" w:rsidRPr="00FA1436">
              <w:t xml:space="preserve"> </w:t>
            </w:r>
            <w:r w:rsidRPr="00FA1436">
              <w:t>2011</w:t>
            </w:r>
          </w:p>
        </w:tc>
      </w:tr>
      <w:tr w:rsidR="008A3E97" w:rsidRPr="00FA1436" w:rsidTr="008801D7">
        <w:tc>
          <w:tcPr>
            <w:tcW w:w="916" w:type="dxa"/>
            <w:tcBorders>
              <w:bottom w:val="single" w:sz="12" w:space="0" w:color="auto"/>
            </w:tcBorders>
            <w:shd w:val="clear" w:color="auto" w:fill="auto"/>
          </w:tcPr>
          <w:p w:rsidR="008A3E97" w:rsidRPr="00FA1436" w:rsidRDefault="008A3E97" w:rsidP="008801D7">
            <w:pPr>
              <w:pStyle w:val="Tabletext"/>
            </w:pPr>
            <w:r w:rsidRPr="00FA1436">
              <w:t>8</w:t>
            </w:r>
          </w:p>
        </w:tc>
        <w:tc>
          <w:tcPr>
            <w:tcW w:w="6563" w:type="dxa"/>
            <w:tcBorders>
              <w:bottom w:val="single" w:sz="12" w:space="0" w:color="auto"/>
            </w:tcBorders>
            <w:shd w:val="clear" w:color="auto" w:fill="auto"/>
          </w:tcPr>
          <w:p w:rsidR="008A3E97" w:rsidRPr="00FA1436" w:rsidRDefault="008A3E97" w:rsidP="008801D7">
            <w:pPr>
              <w:pStyle w:val="Tabletext"/>
            </w:pPr>
            <w:r w:rsidRPr="00FA1436">
              <w:t>The Bar Association of Queensland Scheme, published in the Queensland Government Gazette No.</w:t>
            </w:r>
            <w:r w:rsidR="00FA1436" w:rsidRPr="00FA1436">
              <w:t> </w:t>
            </w:r>
            <w:r w:rsidRPr="00FA1436">
              <w:t>40, 24</w:t>
            </w:r>
            <w:r w:rsidR="00FA1436" w:rsidRPr="00FA1436">
              <w:t> </w:t>
            </w:r>
            <w:r w:rsidRPr="00FA1436">
              <w:t>June 2013</w:t>
            </w:r>
          </w:p>
        </w:tc>
      </w:tr>
    </w:tbl>
    <w:p w:rsidR="008A3E97" w:rsidRPr="00FA1436" w:rsidRDefault="008A3E97" w:rsidP="00671605">
      <w:pPr>
        <w:pStyle w:val="Tabletext"/>
      </w:pPr>
    </w:p>
    <w:sectPr w:rsidR="008A3E97" w:rsidRPr="00FA1436" w:rsidSect="00B25895">
      <w:headerReference w:type="even" r:id="rId21"/>
      <w:headerReference w:type="default" r:id="rId22"/>
      <w:footerReference w:type="even" r:id="rId23"/>
      <w:footerReference w:type="default" r:id="rId24"/>
      <w:headerReference w:type="firs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238" w:rsidRDefault="00FE2238" w:rsidP="0048364F">
      <w:pPr>
        <w:spacing w:line="240" w:lineRule="auto"/>
      </w:pPr>
      <w:r>
        <w:separator/>
      </w:r>
    </w:p>
  </w:endnote>
  <w:endnote w:type="continuationSeparator" w:id="0">
    <w:p w:rsidR="00FE2238" w:rsidRDefault="00FE223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B25895" w:rsidRDefault="0048364F" w:rsidP="00B25895">
    <w:pPr>
      <w:pStyle w:val="Footer"/>
      <w:tabs>
        <w:tab w:val="clear" w:pos="4153"/>
        <w:tab w:val="clear" w:pos="8306"/>
        <w:tab w:val="center" w:pos="4150"/>
        <w:tab w:val="right" w:pos="8307"/>
      </w:tabs>
      <w:spacing w:before="120"/>
      <w:rPr>
        <w:i/>
        <w:sz w:val="18"/>
      </w:rPr>
    </w:pPr>
    <w:r w:rsidRPr="00B25895">
      <w:rPr>
        <w:i/>
        <w:sz w:val="18"/>
      </w:rPr>
      <w:t xml:space="preserve"> </w:t>
    </w:r>
    <w:r w:rsidR="00B25895" w:rsidRPr="00B25895">
      <w:rPr>
        <w:i/>
        <w:sz w:val="18"/>
      </w:rPr>
      <w:t>OPC60396 -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95" w:rsidRDefault="00B25895" w:rsidP="00B25895">
    <w:pPr>
      <w:pStyle w:val="Footer"/>
    </w:pPr>
    <w:r w:rsidRPr="00B25895">
      <w:rPr>
        <w:i/>
        <w:sz w:val="18"/>
      </w:rPr>
      <w:t>OPC60396 -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B25895" w:rsidRDefault="007A7F9F" w:rsidP="00486382">
    <w:pPr>
      <w:pStyle w:val="Footer"/>
      <w:rPr>
        <w:sz w:val="18"/>
      </w:rPr>
    </w:pPr>
  </w:p>
  <w:p w:rsidR="00486382" w:rsidRPr="00B25895" w:rsidRDefault="00B25895" w:rsidP="00B25895">
    <w:pPr>
      <w:pStyle w:val="Footer"/>
      <w:rPr>
        <w:sz w:val="18"/>
      </w:rPr>
    </w:pPr>
    <w:r w:rsidRPr="00B25895">
      <w:rPr>
        <w:i/>
        <w:sz w:val="18"/>
      </w:rPr>
      <w:t>OPC60396 -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B25895"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B25895" w:rsidTr="00E33C1C">
      <w:tc>
        <w:tcPr>
          <w:tcW w:w="533" w:type="dxa"/>
          <w:tcBorders>
            <w:top w:val="nil"/>
            <w:left w:val="nil"/>
            <w:bottom w:val="nil"/>
            <w:right w:val="nil"/>
          </w:tcBorders>
        </w:tcPr>
        <w:p w:rsidR="006D3667" w:rsidRPr="00B25895" w:rsidRDefault="006D3667" w:rsidP="00E33C1C">
          <w:pPr>
            <w:spacing w:line="0" w:lineRule="atLeast"/>
            <w:rPr>
              <w:rFonts w:cs="Times New Roman"/>
              <w:i/>
              <w:sz w:val="18"/>
            </w:rPr>
          </w:pPr>
          <w:r w:rsidRPr="00B25895">
            <w:rPr>
              <w:rFonts w:cs="Times New Roman"/>
              <w:i/>
              <w:sz w:val="18"/>
            </w:rPr>
            <w:fldChar w:fldCharType="begin"/>
          </w:r>
          <w:r w:rsidRPr="00B25895">
            <w:rPr>
              <w:rFonts w:cs="Times New Roman"/>
              <w:i/>
              <w:sz w:val="18"/>
            </w:rPr>
            <w:instrText xml:space="preserve"> PAGE </w:instrText>
          </w:r>
          <w:r w:rsidRPr="00B25895">
            <w:rPr>
              <w:rFonts w:cs="Times New Roman"/>
              <w:i/>
              <w:sz w:val="18"/>
            </w:rPr>
            <w:fldChar w:fldCharType="separate"/>
          </w:r>
          <w:r w:rsidR="00F87455">
            <w:rPr>
              <w:rFonts w:cs="Times New Roman"/>
              <w:i/>
              <w:noProof/>
              <w:sz w:val="18"/>
            </w:rPr>
            <w:t>xi</w:t>
          </w:r>
          <w:r w:rsidRPr="00B25895">
            <w:rPr>
              <w:rFonts w:cs="Times New Roman"/>
              <w:i/>
              <w:sz w:val="18"/>
            </w:rPr>
            <w:fldChar w:fldCharType="end"/>
          </w:r>
        </w:p>
      </w:tc>
      <w:tc>
        <w:tcPr>
          <w:tcW w:w="5387" w:type="dxa"/>
          <w:tcBorders>
            <w:top w:val="nil"/>
            <w:left w:val="nil"/>
            <w:bottom w:val="nil"/>
            <w:right w:val="nil"/>
          </w:tcBorders>
        </w:tcPr>
        <w:p w:rsidR="006D3667" w:rsidRPr="00B25895" w:rsidRDefault="00A2057D" w:rsidP="00E33C1C">
          <w:pPr>
            <w:spacing w:line="0" w:lineRule="atLeast"/>
            <w:jc w:val="center"/>
            <w:rPr>
              <w:rFonts w:cs="Times New Roman"/>
              <w:i/>
              <w:sz w:val="18"/>
            </w:rPr>
          </w:pPr>
          <w:r w:rsidRPr="00B25895">
            <w:rPr>
              <w:rFonts w:cs="Times New Roman"/>
              <w:i/>
              <w:sz w:val="18"/>
            </w:rPr>
            <w:fldChar w:fldCharType="begin"/>
          </w:r>
          <w:r w:rsidRPr="00B25895">
            <w:rPr>
              <w:rFonts w:cs="Times New Roman"/>
              <w:i/>
              <w:sz w:val="18"/>
            </w:rPr>
            <w:instrText xml:space="preserve"> DOCPROPERTY ShortT </w:instrText>
          </w:r>
          <w:r w:rsidRPr="00B25895">
            <w:rPr>
              <w:rFonts w:cs="Times New Roman"/>
              <w:i/>
              <w:sz w:val="18"/>
            </w:rPr>
            <w:fldChar w:fldCharType="separate"/>
          </w:r>
          <w:r w:rsidR="00913A77">
            <w:rPr>
              <w:rFonts w:cs="Times New Roman"/>
              <w:i/>
              <w:sz w:val="18"/>
            </w:rPr>
            <w:t>Corporations Laws Amendment (2014 Measures No. 1) Regulation 2014</w:t>
          </w:r>
          <w:r w:rsidRPr="00B25895">
            <w:rPr>
              <w:rFonts w:cs="Times New Roman"/>
              <w:i/>
              <w:sz w:val="18"/>
            </w:rPr>
            <w:fldChar w:fldCharType="end"/>
          </w:r>
        </w:p>
      </w:tc>
      <w:tc>
        <w:tcPr>
          <w:tcW w:w="1383" w:type="dxa"/>
          <w:tcBorders>
            <w:top w:val="nil"/>
            <w:left w:val="nil"/>
            <w:bottom w:val="nil"/>
            <w:right w:val="nil"/>
          </w:tcBorders>
        </w:tcPr>
        <w:p w:rsidR="006D3667" w:rsidRPr="00B25895" w:rsidRDefault="00A2057D" w:rsidP="00E33C1C">
          <w:pPr>
            <w:spacing w:line="0" w:lineRule="atLeast"/>
            <w:jc w:val="right"/>
            <w:rPr>
              <w:rFonts w:cs="Times New Roman"/>
              <w:i/>
              <w:sz w:val="18"/>
            </w:rPr>
          </w:pPr>
          <w:r w:rsidRPr="00B25895">
            <w:rPr>
              <w:rFonts w:cs="Times New Roman"/>
              <w:i/>
              <w:sz w:val="18"/>
            </w:rPr>
            <w:fldChar w:fldCharType="begin"/>
          </w:r>
          <w:r w:rsidRPr="00B25895">
            <w:rPr>
              <w:rFonts w:cs="Times New Roman"/>
              <w:i/>
              <w:sz w:val="18"/>
            </w:rPr>
            <w:instrText xml:space="preserve"> DOCPROPERTY ActNo </w:instrText>
          </w:r>
          <w:r w:rsidRPr="00B25895">
            <w:rPr>
              <w:rFonts w:cs="Times New Roman"/>
              <w:i/>
              <w:sz w:val="18"/>
            </w:rPr>
            <w:fldChar w:fldCharType="separate"/>
          </w:r>
          <w:r w:rsidR="00913A77">
            <w:rPr>
              <w:rFonts w:cs="Times New Roman"/>
              <w:i/>
              <w:sz w:val="18"/>
            </w:rPr>
            <w:t>No. 33, 2014</w:t>
          </w:r>
          <w:r w:rsidRPr="00B25895">
            <w:rPr>
              <w:rFonts w:cs="Times New Roman"/>
              <w:i/>
              <w:sz w:val="18"/>
            </w:rPr>
            <w:fldChar w:fldCharType="end"/>
          </w:r>
        </w:p>
      </w:tc>
    </w:tr>
  </w:tbl>
  <w:p w:rsidR="006D3667" w:rsidRPr="00B25895" w:rsidRDefault="00B25895" w:rsidP="00B25895">
    <w:pPr>
      <w:rPr>
        <w:rFonts w:cs="Times New Roman"/>
        <w:i/>
        <w:sz w:val="18"/>
      </w:rPr>
    </w:pPr>
    <w:r w:rsidRPr="00B25895">
      <w:rPr>
        <w:rFonts w:cs="Times New Roman"/>
        <w:i/>
        <w:sz w:val="18"/>
      </w:rPr>
      <w:t>OPC60396 -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13A77">
            <w:rPr>
              <w:i/>
              <w:sz w:val="18"/>
            </w:rPr>
            <w:t>No. 33, 2014</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13A77">
            <w:rPr>
              <w:i/>
              <w:sz w:val="18"/>
            </w:rPr>
            <w:t>Corporations Laws Amendment (2014 Measures No. 1) Regulation 2014</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2E67">
            <w:rPr>
              <w:i/>
              <w:noProof/>
              <w:sz w:val="18"/>
            </w:rPr>
            <w:t>i</w:t>
          </w:r>
          <w:r w:rsidRPr="00ED79B6">
            <w:rPr>
              <w:i/>
              <w:sz w:val="18"/>
            </w:rPr>
            <w:fldChar w:fldCharType="end"/>
          </w:r>
        </w:p>
      </w:tc>
    </w:tr>
  </w:tbl>
  <w:p w:rsidR="006D3667" w:rsidRPr="00ED79B6" w:rsidRDefault="00B25895" w:rsidP="00B25895">
    <w:pPr>
      <w:rPr>
        <w:i/>
        <w:sz w:val="18"/>
      </w:rPr>
    </w:pPr>
    <w:r w:rsidRPr="00B25895">
      <w:rPr>
        <w:rFonts w:cs="Times New Roman"/>
        <w:i/>
        <w:sz w:val="18"/>
      </w:rPr>
      <w:t>OPC60396 -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B25895"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B25895" w:rsidTr="00E33C1C">
      <w:tc>
        <w:tcPr>
          <w:tcW w:w="533" w:type="dxa"/>
          <w:tcBorders>
            <w:top w:val="nil"/>
            <w:left w:val="nil"/>
            <w:bottom w:val="nil"/>
            <w:right w:val="nil"/>
          </w:tcBorders>
        </w:tcPr>
        <w:p w:rsidR="00304E75" w:rsidRPr="00B25895" w:rsidRDefault="00304E75" w:rsidP="00E33C1C">
          <w:pPr>
            <w:spacing w:line="0" w:lineRule="atLeast"/>
            <w:rPr>
              <w:rFonts w:cs="Times New Roman"/>
              <w:i/>
              <w:sz w:val="18"/>
            </w:rPr>
          </w:pPr>
          <w:r w:rsidRPr="00B25895">
            <w:rPr>
              <w:rFonts w:cs="Times New Roman"/>
              <w:i/>
              <w:sz w:val="18"/>
            </w:rPr>
            <w:fldChar w:fldCharType="begin"/>
          </w:r>
          <w:r w:rsidRPr="00B25895">
            <w:rPr>
              <w:rFonts w:cs="Times New Roman"/>
              <w:i/>
              <w:sz w:val="18"/>
            </w:rPr>
            <w:instrText xml:space="preserve"> PAGE </w:instrText>
          </w:r>
          <w:r w:rsidRPr="00B25895">
            <w:rPr>
              <w:rFonts w:cs="Times New Roman"/>
              <w:i/>
              <w:sz w:val="18"/>
            </w:rPr>
            <w:fldChar w:fldCharType="separate"/>
          </w:r>
          <w:r w:rsidR="002D5A34">
            <w:rPr>
              <w:rFonts w:cs="Times New Roman"/>
              <w:i/>
              <w:noProof/>
              <w:sz w:val="18"/>
            </w:rPr>
            <w:t>12</w:t>
          </w:r>
          <w:r w:rsidRPr="00B25895">
            <w:rPr>
              <w:rFonts w:cs="Times New Roman"/>
              <w:i/>
              <w:sz w:val="18"/>
            </w:rPr>
            <w:fldChar w:fldCharType="end"/>
          </w:r>
        </w:p>
      </w:tc>
      <w:tc>
        <w:tcPr>
          <w:tcW w:w="5387" w:type="dxa"/>
          <w:tcBorders>
            <w:top w:val="nil"/>
            <w:left w:val="nil"/>
            <w:bottom w:val="nil"/>
            <w:right w:val="nil"/>
          </w:tcBorders>
        </w:tcPr>
        <w:p w:rsidR="00304E75" w:rsidRPr="00B25895" w:rsidRDefault="00304E75" w:rsidP="00E33C1C">
          <w:pPr>
            <w:spacing w:line="0" w:lineRule="atLeast"/>
            <w:jc w:val="center"/>
            <w:rPr>
              <w:rFonts w:cs="Times New Roman"/>
              <w:i/>
              <w:sz w:val="18"/>
            </w:rPr>
          </w:pPr>
          <w:r w:rsidRPr="00B25895">
            <w:rPr>
              <w:rFonts w:cs="Times New Roman"/>
              <w:i/>
              <w:sz w:val="18"/>
            </w:rPr>
            <w:fldChar w:fldCharType="begin"/>
          </w:r>
          <w:r w:rsidRPr="00B25895">
            <w:rPr>
              <w:rFonts w:cs="Times New Roman"/>
              <w:i/>
              <w:sz w:val="18"/>
            </w:rPr>
            <w:instrText xml:space="preserve"> DOCPROPERTY ShortT </w:instrText>
          </w:r>
          <w:r w:rsidRPr="00B25895">
            <w:rPr>
              <w:rFonts w:cs="Times New Roman"/>
              <w:i/>
              <w:sz w:val="18"/>
            </w:rPr>
            <w:fldChar w:fldCharType="separate"/>
          </w:r>
          <w:r w:rsidR="00913A77">
            <w:rPr>
              <w:rFonts w:cs="Times New Roman"/>
              <w:i/>
              <w:sz w:val="18"/>
            </w:rPr>
            <w:t>Corporations Laws Amendment (2014 Measures No. 1) Regulation 2014</w:t>
          </w:r>
          <w:r w:rsidRPr="00B25895">
            <w:rPr>
              <w:rFonts w:cs="Times New Roman"/>
              <w:i/>
              <w:sz w:val="18"/>
            </w:rPr>
            <w:fldChar w:fldCharType="end"/>
          </w:r>
        </w:p>
      </w:tc>
      <w:tc>
        <w:tcPr>
          <w:tcW w:w="1383" w:type="dxa"/>
          <w:tcBorders>
            <w:top w:val="nil"/>
            <w:left w:val="nil"/>
            <w:bottom w:val="nil"/>
            <w:right w:val="nil"/>
          </w:tcBorders>
        </w:tcPr>
        <w:p w:rsidR="00304E75" w:rsidRPr="00B25895" w:rsidRDefault="00304E75" w:rsidP="00E33C1C">
          <w:pPr>
            <w:spacing w:line="0" w:lineRule="atLeast"/>
            <w:jc w:val="right"/>
            <w:rPr>
              <w:rFonts w:cs="Times New Roman"/>
              <w:i/>
              <w:sz w:val="18"/>
            </w:rPr>
          </w:pPr>
          <w:r w:rsidRPr="00B25895">
            <w:rPr>
              <w:rFonts w:cs="Times New Roman"/>
              <w:i/>
              <w:sz w:val="18"/>
            </w:rPr>
            <w:fldChar w:fldCharType="begin"/>
          </w:r>
          <w:r w:rsidRPr="00B25895">
            <w:rPr>
              <w:rFonts w:cs="Times New Roman"/>
              <w:i/>
              <w:sz w:val="18"/>
            </w:rPr>
            <w:instrText xml:space="preserve"> DOCPROPERTY ActNo </w:instrText>
          </w:r>
          <w:r w:rsidRPr="00B25895">
            <w:rPr>
              <w:rFonts w:cs="Times New Roman"/>
              <w:i/>
              <w:sz w:val="18"/>
            </w:rPr>
            <w:fldChar w:fldCharType="separate"/>
          </w:r>
          <w:r w:rsidR="00913A77">
            <w:rPr>
              <w:rFonts w:cs="Times New Roman"/>
              <w:i/>
              <w:sz w:val="18"/>
            </w:rPr>
            <w:t>No. 33, 2014</w:t>
          </w:r>
          <w:r w:rsidRPr="00B25895">
            <w:rPr>
              <w:rFonts w:cs="Times New Roman"/>
              <w:i/>
              <w:sz w:val="18"/>
            </w:rPr>
            <w:fldChar w:fldCharType="end"/>
          </w:r>
        </w:p>
      </w:tc>
    </w:tr>
  </w:tbl>
  <w:p w:rsidR="00304E75" w:rsidRPr="00B25895" w:rsidRDefault="00B25895" w:rsidP="00B25895">
    <w:pPr>
      <w:rPr>
        <w:rFonts w:cs="Times New Roman"/>
        <w:i/>
        <w:sz w:val="18"/>
      </w:rPr>
    </w:pPr>
    <w:r w:rsidRPr="00B25895">
      <w:rPr>
        <w:rFonts w:cs="Times New Roman"/>
        <w:i/>
        <w:sz w:val="18"/>
      </w:rPr>
      <w:t>OPC60396 -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13A77">
            <w:rPr>
              <w:i/>
              <w:sz w:val="18"/>
            </w:rPr>
            <w:t>No. 33, 2014</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13A77">
            <w:rPr>
              <w:i/>
              <w:sz w:val="18"/>
            </w:rPr>
            <w:t>Corporations Laws Amendment (2014 Measures No. 1) Regulation 2014</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2E67">
            <w:rPr>
              <w:i/>
              <w:noProof/>
              <w:sz w:val="18"/>
            </w:rPr>
            <w:t>1</w:t>
          </w:r>
          <w:r w:rsidRPr="00ED79B6">
            <w:rPr>
              <w:i/>
              <w:sz w:val="18"/>
            </w:rPr>
            <w:fldChar w:fldCharType="end"/>
          </w:r>
        </w:p>
      </w:tc>
    </w:tr>
  </w:tbl>
  <w:p w:rsidR="00B63BDE" w:rsidRPr="00ED79B6" w:rsidRDefault="00B25895" w:rsidP="00B25895">
    <w:pPr>
      <w:rPr>
        <w:i/>
        <w:sz w:val="18"/>
      </w:rPr>
    </w:pPr>
    <w:r w:rsidRPr="00B25895">
      <w:rPr>
        <w:rFonts w:cs="Times New Roman"/>
        <w:i/>
        <w:sz w:val="18"/>
      </w:rPr>
      <w:t>OPC60396 -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913A77">
            <w:rPr>
              <w:i/>
              <w:sz w:val="18"/>
            </w:rPr>
            <w:t>No. 33, 2014</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13A77">
            <w:rPr>
              <w:i/>
              <w:sz w:val="18"/>
            </w:rPr>
            <w:t>Corporations Laws Amendment (2014 Measures No. 1) Regulation 2014</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7455">
            <w:rPr>
              <w:i/>
              <w:noProof/>
              <w:sz w:val="18"/>
            </w:rPr>
            <w:t>11</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238" w:rsidRDefault="00FE2238" w:rsidP="0048364F">
      <w:pPr>
        <w:spacing w:line="240" w:lineRule="auto"/>
      </w:pPr>
      <w:r>
        <w:separator/>
      </w:r>
    </w:p>
  </w:footnote>
  <w:footnote w:type="continuationSeparator" w:id="0">
    <w:p w:rsidR="00FE2238" w:rsidRDefault="00FE223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2D5A34">
      <w:rPr>
        <w:b/>
        <w:sz w:val="20"/>
      </w:rPr>
      <w:fldChar w:fldCharType="separate"/>
    </w:r>
    <w:r w:rsidR="002D5A34">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D5A34">
      <w:rPr>
        <w:sz w:val="20"/>
      </w:rPr>
      <w:fldChar w:fldCharType="separate"/>
    </w:r>
    <w:r w:rsidR="002D5A34">
      <w:rPr>
        <w:noProof/>
        <w:sz w:val="20"/>
      </w:rPr>
      <w:t>Professional standards schemes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A2982"/>
    <w:lvl w:ilvl="0">
      <w:start w:val="1"/>
      <w:numFmt w:val="decimal"/>
      <w:lvlText w:val="%1."/>
      <w:lvlJc w:val="left"/>
      <w:pPr>
        <w:tabs>
          <w:tab w:val="num" w:pos="1492"/>
        </w:tabs>
        <w:ind w:left="1492" w:hanging="360"/>
      </w:pPr>
    </w:lvl>
  </w:abstractNum>
  <w:abstractNum w:abstractNumId="1">
    <w:nsid w:val="FFFFFF7D"/>
    <w:multiLevelType w:val="singleLevel"/>
    <w:tmpl w:val="C8E697B0"/>
    <w:lvl w:ilvl="0">
      <w:start w:val="1"/>
      <w:numFmt w:val="decimal"/>
      <w:lvlText w:val="%1."/>
      <w:lvlJc w:val="left"/>
      <w:pPr>
        <w:tabs>
          <w:tab w:val="num" w:pos="1209"/>
        </w:tabs>
        <w:ind w:left="1209" w:hanging="360"/>
      </w:pPr>
    </w:lvl>
  </w:abstractNum>
  <w:abstractNum w:abstractNumId="2">
    <w:nsid w:val="FFFFFF7E"/>
    <w:multiLevelType w:val="singleLevel"/>
    <w:tmpl w:val="1C704B44"/>
    <w:lvl w:ilvl="0">
      <w:start w:val="1"/>
      <w:numFmt w:val="decimal"/>
      <w:lvlText w:val="%1."/>
      <w:lvlJc w:val="left"/>
      <w:pPr>
        <w:tabs>
          <w:tab w:val="num" w:pos="926"/>
        </w:tabs>
        <w:ind w:left="926" w:hanging="360"/>
      </w:pPr>
    </w:lvl>
  </w:abstractNum>
  <w:abstractNum w:abstractNumId="3">
    <w:nsid w:val="FFFFFF7F"/>
    <w:multiLevelType w:val="singleLevel"/>
    <w:tmpl w:val="3BB4D934"/>
    <w:lvl w:ilvl="0">
      <w:start w:val="1"/>
      <w:numFmt w:val="decimal"/>
      <w:lvlText w:val="%1."/>
      <w:lvlJc w:val="left"/>
      <w:pPr>
        <w:tabs>
          <w:tab w:val="num" w:pos="643"/>
        </w:tabs>
        <w:ind w:left="643" w:hanging="360"/>
      </w:pPr>
    </w:lvl>
  </w:abstractNum>
  <w:abstractNum w:abstractNumId="4">
    <w:nsid w:val="FFFFFF80"/>
    <w:multiLevelType w:val="singleLevel"/>
    <w:tmpl w:val="5AD6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80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2B598"/>
    <w:lvl w:ilvl="0">
      <w:start w:val="1"/>
      <w:numFmt w:val="decimal"/>
      <w:lvlText w:val="%1."/>
      <w:lvlJc w:val="left"/>
      <w:pPr>
        <w:tabs>
          <w:tab w:val="num" w:pos="360"/>
        </w:tabs>
        <w:ind w:left="360" w:hanging="360"/>
      </w:pPr>
    </w:lvl>
  </w:abstractNum>
  <w:abstractNum w:abstractNumId="9">
    <w:nsid w:val="FFFFFF89"/>
    <w:multiLevelType w:val="singleLevel"/>
    <w:tmpl w:val="B0C2746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38"/>
    <w:rsid w:val="000041C6"/>
    <w:rsid w:val="000063E4"/>
    <w:rsid w:val="000113BC"/>
    <w:rsid w:val="000136AF"/>
    <w:rsid w:val="00025060"/>
    <w:rsid w:val="0002699E"/>
    <w:rsid w:val="0004044E"/>
    <w:rsid w:val="000614BF"/>
    <w:rsid w:val="000C4E79"/>
    <w:rsid w:val="000D05EF"/>
    <w:rsid w:val="000E3C15"/>
    <w:rsid w:val="000E4270"/>
    <w:rsid w:val="000F21C1"/>
    <w:rsid w:val="000F7427"/>
    <w:rsid w:val="0010745C"/>
    <w:rsid w:val="00116975"/>
    <w:rsid w:val="00116F17"/>
    <w:rsid w:val="00154EAC"/>
    <w:rsid w:val="001643C9"/>
    <w:rsid w:val="00165568"/>
    <w:rsid w:val="00166C2F"/>
    <w:rsid w:val="001716C9"/>
    <w:rsid w:val="00171EAE"/>
    <w:rsid w:val="00182E67"/>
    <w:rsid w:val="00191859"/>
    <w:rsid w:val="00193461"/>
    <w:rsid w:val="001939E1"/>
    <w:rsid w:val="00195382"/>
    <w:rsid w:val="001B3097"/>
    <w:rsid w:val="001B7A5D"/>
    <w:rsid w:val="001C69C4"/>
    <w:rsid w:val="001D4229"/>
    <w:rsid w:val="001D7F83"/>
    <w:rsid w:val="001E16D0"/>
    <w:rsid w:val="001E3590"/>
    <w:rsid w:val="001E562E"/>
    <w:rsid w:val="001E7407"/>
    <w:rsid w:val="001F6247"/>
    <w:rsid w:val="001F6924"/>
    <w:rsid w:val="00201D27"/>
    <w:rsid w:val="00206333"/>
    <w:rsid w:val="00231427"/>
    <w:rsid w:val="00240749"/>
    <w:rsid w:val="00265FBC"/>
    <w:rsid w:val="00266D05"/>
    <w:rsid w:val="002932B1"/>
    <w:rsid w:val="00297ECB"/>
    <w:rsid w:val="002A0FFD"/>
    <w:rsid w:val="002B2731"/>
    <w:rsid w:val="002B5B89"/>
    <w:rsid w:val="002B7D96"/>
    <w:rsid w:val="002D043A"/>
    <w:rsid w:val="002D5A34"/>
    <w:rsid w:val="002E7FBC"/>
    <w:rsid w:val="00304E75"/>
    <w:rsid w:val="003072FA"/>
    <w:rsid w:val="0031713F"/>
    <w:rsid w:val="003415D3"/>
    <w:rsid w:val="00352B0F"/>
    <w:rsid w:val="00361BD9"/>
    <w:rsid w:val="00363549"/>
    <w:rsid w:val="003801D0"/>
    <w:rsid w:val="0039228E"/>
    <w:rsid w:val="003926B5"/>
    <w:rsid w:val="003A29E2"/>
    <w:rsid w:val="003A52D3"/>
    <w:rsid w:val="003B04EC"/>
    <w:rsid w:val="003C5F2B"/>
    <w:rsid w:val="003D0BFE"/>
    <w:rsid w:val="003D5700"/>
    <w:rsid w:val="003E5FF5"/>
    <w:rsid w:val="003F4CA9"/>
    <w:rsid w:val="003F567B"/>
    <w:rsid w:val="004010E7"/>
    <w:rsid w:val="00401403"/>
    <w:rsid w:val="004116CD"/>
    <w:rsid w:val="00412B83"/>
    <w:rsid w:val="00424CA9"/>
    <w:rsid w:val="00433910"/>
    <w:rsid w:val="0044291A"/>
    <w:rsid w:val="004541B9"/>
    <w:rsid w:val="00460499"/>
    <w:rsid w:val="00480FB9"/>
    <w:rsid w:val="0048364F"/>
    <w:rsid w:val="00486382"/>
    <w:rsid w:val="00496F97"/>
    <w:rsid w:val="004A2484"/>
    <w:rsid w:val="004A4886"/>
    <w:rsid w:val="004C0255"/>
    <w:rsid w:val="004C5B5A"/>
    <w:rsid w:val="004C6444"/>
    <w:rsid w:val="004C6DE1"/>
    <w:rsid w:val="004F1FAC"/>
    <w:rsid w:val="004F3A90"/>
    <w:rsid w:val="004F676E"/>
    <w:rsid w:val="00516B8D"/>
    <w:rsid w:val="00537FBC"/>
    <w:rsid w:val="00543469"/>
    <w:rsid w:val="00557C7A"/>
    <w:rsid w:val="00584811"/>
    <w:rsid w:val="005851A5"/>
    <w:rsid w:val="0058646E"/>
    <w:rsid w:val="00591E07"/>
    <w:rsid w:val="00593AA6"/>
    <w:rsid w:val="00594161"/>
    <w:rsid w:val="00594749"/>
    <w:rsid w:val="005B4067"/>
    <w:rsid w:val="005C12DE"/>
    <w:rsid w:val="005C3F41"/>
    <w:rsid w:val="005D5654"/>
    <w:rsid w:val="005E552A"/>
    <w:rsid w:val="00600219"/>
    <w:rsid w:val="006249E6"/>
    <w:rsid w:val="00630733"/>
    <w:rsid w:val="0064468A"/>
    <w:rsid w:val="00654CCA"/>
    <w:rsid w:val="00656DE9"/>
    <w:rsid w:val="006601C7"/>
    <w:rsid w:val="00663BDD"/>
    <w:rsid w:val="00671605"/>
    <w:rsid w:val="00677CC2"/>
    <w:rsid w:val="00680F17"/>
    <w:rsid w:val="00685F42"/>
    <w:rsid w:val="0069207B"/>
    <w:rsid w:val="006937E2"/>
    <w:rsid w:val="00696D85"/>
    <w:rsid w:val="006977FB"/>
    <w:rsid w:val="006B262A"/>
    <w:rsid w:val="006B7012"/>
    <w:rsid w:val="006C2C12"/>
    <w:rsid w:val="006C3FFF"/>
    <w:rsid w:val="006C5556"/>
    <w:rsid w:val="006C7F8C"/>
    <w:rsid w:val="006D3667"/>
    <w:rsid w:val="006D4E91"/>
    <w:rsid w:val="006E004B"/>
    <w:rsid w:val="006E7147"/>
    <w:rsid w:val="00700B2C"/>
    <w:rsid w:val="00701E6A"/>
    <w:rsid w:val="00713084"/>
    <w:rsid w:val="00722023"/>
    <w:rsid w:val="00731E00"/>
    <w:rsid w:val="007440B7"/>
    <w:rsid w:val="007634AD"/>
    <w:rsid w:val="007715C9"/>
    <w:rsid w:val="00774EDD"/>
    <w:rsid w:val="007757EC"/>
    <w:rsid w:val="007769D4"/>
    <w:rsid w:val="00785AFA"/>
    <w:rsid w:val="007903AC"/>
    <w:rsid w:val="007A7F9F"/>
    <w:rsid w:val="007E7D4A"/>
    <w:rsid w:val="00826DA5"/>
    <w:rsid w:val="00833416"/>
    <w:rsid w:val="00856A31"/>
    <w:rsid w:val="008663E9"/>
    <w:rsid w:val="00874B69"/>
    <w:rsid w:val="008754D0"/>
    <w:rsid w:val="00877D48"/>
    <w:rsid w:val="0089783B"/>
    <w:rsid w:val="008A3E97"/>
    <w:rsid w:val="008A5B57"/>
    <w:rsid w:val="008D0EE0"/>
    <w:rsid w:val="008F07E3"/>
    <w:rsid w:val="008F4F1C"/>
    <w:rsid w:val="00907271"/>
    <w:rsid w:val="00913A77"/>
    <w:rsid w:val="00932377"/>
    <w:rsid w:val="00932A33"/>
    <w:rsid w:val="009848EC"/>
    <w:rsid w:val="009B3629"/>
    <w:rsid w:val="009C49D8"/>
    <w:rsid w:val="009E3601"/>
    <w:rsid w:val="009F727E"/>
    <w:rsid w:val="00A1027A"/>
    <w:rsid w:val="00A2057D"/>
    <w:rsid w:val="00A231E2"/>
    <w:rsid w:val="00A2550D"/>
    <w:rsid w:val="00A26DBE"/>
    <w:rsid w:val="00A326A4"/>
    <w:rsid w:val="00A4169B"/>
    <w:rsid w:val="00A4361F"/>
    <w:rsid w:val="00A5197F"/>
    <w:rsid w:val="00A64912"/>
    <w:rsid w:val="00A708E9"/>
    <w:rsid w:val="00A70A74"/>
    <w:rsid w:val="00A71C4E"/>
    <w:rsid w:val="00A87AB9"/>
    <w:rsid w:val="00AB3315"/>
    <w:rsid w:val="00AB7B41"/>
    <w:rsid w:val="00AC06B3"/>
    <w:rsid w:val="00AD5641"/>
    <w:rsid w:val="00AE50A2"/>
    <w:rsid w:val="00AF0336"/>
    <w:rsid w:val="00AF6613"/>
    <w:rsid w:val="00B00902"/>
    <w:rsid w:val="00B032D8"/>
    <w:rsid w:val="00B25895"/>
    <w:rsid w:val="00B332B8"/>
    <w:rsid w:val="00B33B3C"/>
    <w:rsid w:val="00B61D2C"/>
    <w:rsid w:val="00B63BDE"/>
    <w:rsid w:val="00BA5026"/>
    <w:rsid w:val="00BB6E79"/>
    <w:rsid w:val="00BC4F91"/>
    <w:rsid w:val="00BD60E6"/>
    <w:rsid w:val="00BE253A"/>
    <w:rsid w:val="00BE719A"/>
    <w:rsid w:val="00BE720A"/>
    <w:rsid w:val="00BF4533"/>
    <w:rsid w:val="00C067E5"/>
    <w:rsid w:val="00C164CA"/>
    <w:rsid w:val="00C21B63"/>
    <w:rsid w:val="00C42BF8"/>
    <w:rsid w:val="00C460AE"/>
    <w:rsid w:val="00C50043"/>
    <w:rsid w:val="00C7573B"/>
    <w:rsid w:val="00C76CF3"/>
    <w:rsid w:val="00C77E30"/>
    <w:rsid w:val="00C96615"/>
    <w:rsid w:val="00CB0180"/>
    <w:rsid w:val="00CB3470"/>
    <w:rsid w:val="00CD606E"/>
    <w:rsid w:val="00CD7ECB"/>
    <w:rsid w:val="00CF0BB2"/>
    <w:rsid w:val="00D0104A"/>
    <w:rsid w:val="00D13441"/>
    <w:rsid w:val="00D17B17"/>
    <w:rsid w:val="00D243A3"/>
    <w:rsid w:val="00D333D9"/>
    <w:rsid w:val="00D33440"/>
    <w:rsid w:val="00D40403"/>
    <w:rsid w:val="00D522F9"/>
    <w:rsid w:val="00D52EFE"/>
    <w:rsid w:val="00D63EF6"/>
    <w:rsid w:val="00D70DFB"/>
    <w:rsid w:val="00D766DF"/>
    <w:rsid w:val="00D83D21"/>
    <w:rsid w:val="00D84B58"/>
    <w:rsid w:val="00D84FB2"/>
    <w:rsid w:val="00D925D1"/>
    <w:rsid w:val="00E05704"/>
    <w:rsid w:val="00E05C46"/>
    <w:rsid w:val="00E30206"/>
    <w:rsid w:val="00E33C1C"/>
    <w:rsid w:val="00E443FC"/>
    <w:rsid w:val="00E45FE7"/>
    <w:rsid w:val="00E476B8"/>
    <w:rsid w:val="00E54292"/>
    <w:rsid w:val="00E55BCD"/>
    <w:rsid w:val="00E575E5"/>
    <w:rsid w:val="00E73EC4"/>
    <w:rsid w:val="00E74DC7"/>
    <w:rsid w:val="00E76FAB"/>
    <w:rsid w:val="00E84B32"/>
    <w:rsid w:val="00E87699"/>
    <w:rsid w:val="00E971F6"/>
    <w:rsid w:val="00ED3A7D"/>
    <w:rsid w:val="00EF2E3A"/>
    <w:rsid w:val="00F030ED"/>
    <w:rsid w:val="00F047E2"/>
    <w:rsid w:val="00F078DC"/>
    <w:rsid w:val="00F13E86"/>
    <w:rsid w:val="00F24C35"/>
    <w:rsid w:val="00F56759"/>
    <w:rsid w:val="00F677A9"/>
    <w:rsid w:val="00F84CF5"/>
    <w:rsid w:val="00F87455"/>
    <w:rsid w:val="00FA1436"/>
    <w:rsid w:val="00FA420B"/>
    <w:rsid w:val="00FB03B3"/>
    <w:rsid w:val="00FB192C"/>
    <w:rsid w:val="00FD7CFE"/>
    <w:rsid w:val="00FE2238"/>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1436"/>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A1436"/>
  </w:style>
  <w:style w:type="paragraph" w:customStyle="1" w:styleId="OPCParaBase">
    <w:name w:val="OPCParaBase"/>
    <w:qFormat/>
    <w:rsid w:val="00FA1436"/>
    <w:pPr>
      <w:spacing w:line="260" w:lineRule="atLeast"/>
    </w:pPr>
    <w:rPr>
      <w:rFonts w:eastAsia="Times New Roman" w:cs="Times New Roman"/>
      <w:sz w:val="22"/>
      <w:lang w:eastAsia="en-AU"/>
    </w:rPr>
  </w:style>
  <w:style w:type="paragraph" w:customStyle="1" w:styleId="ShortT">
    <w:name w:val="ShortT"/>
    <w:basedOn w:val="OPCParaBase"/>
    <w:next w:val="Normal"/>
    <w:qFormat/>
    <w:rsid w:val="00FA1436"/>
    <w:pPr>
      <w:spacing w:line="240" w:lineRule="auto"/>
    </w:pPr>
    <w:rPr>
      <w:b/>
      <w:sz w:val="40"/>
    </w:rPr>
  </w:style>
  <w:style w:type="paragraph" w:customStyle="1" w:styleId="ActHead1">
    <w:name w:val="ActHead 1"/>
    <w:aliases w:val="c"/>
    <w:basedOn w:val="OPCParaBase"/>
    <w:next w:val="Normal"/>
    <w:qFormat/>
    <w:rsid w:val="00FA14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14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14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14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14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14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14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14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143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1436"/>
  </w:style>
  <w:style w:type="paragraph" w:customStyle="1" w:styleId="Blocks">
    <w:name w:val="Blocks"/>
    <w:aliases w:val="bb"/>
    <w:basedOn w:val="OPCParaBase"/>
    <w:qFormat/>
    <w:rsid w:val="00FA1436"/>
    <w:pPr>
      <w:spacing w:line="240" w:lineRule="auto"/>
    </w:pPr>
    <w:rPr>
      <w:sz w:val="24"/>
    </w:rPr>
  </w:style>
  <w:style w:type="paragraph" w:customStyle="1" w:styleId="BoxText">
    <w:name w:val="BoxText"/>
    <w:aliases w:val="bt"/>
    <w:basedOn w:val="OPCParaBase"/>
    <w:qFormat/>
    <w:rsid w:val="00FA14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1436"/>
    <w:rPr>
      <w:b/>
    </w:rPr>
  </w:style>
  <w:style w:type="paragraph" w:customStyle="1" w:styleId="BoxHeadItalic">
    <w:name w:val="BoxHeadItalic"/>
    <w:aliases w:val="bhi"/>
    <w:basedOn w:val="BoxText"/>
    <w:next w:val="BoxStep"/>
    <w:qFormat/>
    <w:rsid w:val="00FA1436"/>
    <w:rPr>
      <w:i/>
    </w:rPr>
  </w:style>
  <w:style w:type="paragraph" w:customStyle="1" w:styleId="BoxList">
    <w:name w:val="BoxList"/>
    <w:aliases w:val="bl"/>
    <w:basedOn w:val="BoxText"/>
    <w:qFormat/>
    <w:rsid w:val="00FA1436"/>
    <w:pPr>
      <w:ind w:left="1559" w:hanging="425"/>
    </w:pPr>
  </w:style>
  <w:style w:type="paragraph" w:customStyle="1" w:styleId="BoxNote">
    <w:name w:val="BoxNote"/>
    <w:aliases w:val="bn"/>
    <w:basedOn w:val="BoxText"/>
    <w:qFormat/>
    <w:rsid w:val="00FA1436"/>
    <w:pPr>
      <w:tabs>
        <w:tab w:val="left" w:pos="1985"/>
      </w:tabs>
      <w:spacing w:before="122" w:line="198" w:lineRule="exact"/>
      <w:ind w:left="2948" w:hanging="1814"/>
    </w:pPr>
    <w:rPr>
      <w:sz w:val="18"/>
    </w:rPr>
  </w:style>
  <w:style w:type="paragraph" w:customStyle="1" w:styleId="BoxPara">
    <w:name w:val="BoxPara"/>
    <w:aliases w:val="bp"/>
    <w:basedOn w:val="BoxText"/>
    <w:qFormat/>
    <w:rsid w:val="00FA1436"/>
    <w:pPr>
      <w:tabs>
        <w:tab w:val="right" w:pos="2268"/>
      </w:tabs>
      <w:ind w:left="2552" w:hanging="1418"/>
    </w:pPr>
  </w:style>
  <w:style w:type="paragraph" w:customStyle="1" w:styleId="BoxStep">
    <w:name w:val="BoxStep"/>
    <w:aliases w:val="bs"/>
    <w:basedOn w:val="BoxText"/>
    <w:qFormat/>
    <w:rsid w:val="00FA1436"/>
    <w:pPr>
      <w:ind w:left="1985" w:hanging="851"/>
    </w:pPr>
  </w:style>
  <w:style w:type="character" w:customStyle="1" w:styleId="CharAmPartNo">
    <w:name w:val="CharAmPartNo"/>
    <w:basedOn w:val="OPCCharBase"/>
    <w:qFormat/>
    <w:rsid w:val="00FA1436"/>
  </w:style>
  <w:style w:type="character" w:customStyle="1" w:styleId="CharAmPartText">
    <w:name w:val="CharAmPartText"/>
    <w:basedOn w:val="OPCCharBase"/>
    <w:qFormat/>
    <w:rsid w:val="00FA1436"/>
  </w:style>
  <w:style w:type="character" w:customStyle="1" w:styleId="CharAmSchNo">
    <w:name w:val="CharAmSchNo"/>
    <w:basedOn w:val="OPCCharBase"/>
    <w:qFormat/>
    <w:rsid w:val="00FA1436"/>
  </w:style>
  <w:style w:type="character" w:customStyle="1" w:styleId="CharAmSchText">
    <w:name w:val="CharAmSchText"/>
    <w:basedOn w:val="OPCCharBase"/>
    <w:qFormat/>
    <w:rsid w:val="00FA1436"/>
  </w:style>
  <w:style w:type="character" w:customStyle="1" w:styleId="CharBoldItalic">
    <w:name w:val="CharBoldItalic"/>
    <w:basedOn w:val="OPCCharBase"/>
    <w:uiPriority w:val="1"/>
    <w:qFormat/>
    <w:rsid w:val="00FA1436"/>
    <w:rPr>
      <w:b/>
      <w:i/>
    </w:rPr>
  </w:style>
  <w:style w:type="character" w:customStyle="1" w:styleId="CharChapNo">
    <w:name w:val="CharChapNo"/>
    <w:basedOn w:val="OPCCharBase"/>
    <w:uiPriority w:val="1"/>
    <w:qFormat/>
    <w:rsid w:val="00FA1436"/>
  </w:style>
  <w:style w:type="character" w:customStyle="1" w:styleId="CharChapText">
    <w:name w:val="CharChapText"/>
    <w:basedOn w:val="OPCCharBase"/>
    <w:uiPriority w:val="1"/>
    <w:qFormat/>
    <w:rsid w:val="00FA1436"/>
  </w:style>
  <w:style w:type="character" w:customStyle="1" w:styleId="CharDivNo">
    <w:name w:val="CharDivNo"/>
    <w:basedOn w:val="OPCCharBase"/>
    <w:uiPriority w:val="1"/>
    <w:qFormat/>
    <w:rsid w:val="00FA1436"/>
  </w:style>
  <w:style w:type="character" w:customStyle="1" w:styleId="CharDivText">
    <w:name w:val="CharDivText"/>
    <w:basedOn w:val="OPCCharBase"/>
    <w:uiPriority w:val="1"/>
    <w:qFormat/>
    <w:rsid w:val="00FA1436"/>
  </w:style>
  <w:style w:type="character" w:customStyle="1" w:styleId="CharItalic">
    <w:name w:val="CharItalic"/>
    <w:basedOn w:val="OPCCharBase"/>
    <w:uiPriority w:val="1"/>
    <w:qFormat/>
    <w:rsid w:val="00FA1436"/>
    <w:rPr>
      <w:i/>
    </w:rPr>
  </w:style>
  <w:style w:type="character" w:customStyle="1" w:styleId="CharPartNo">
    <w:name w:val="CharPartNo"/>
    <w:basedOn w:val="OPCCharBase"/>
    <w:uiPriority w:val="1"/>
    <w:qFormat/>
    <w:rsid w:val="00FA1436"/>
  </w:style>
  <w:style w:type="character" w:customStyle="1" w:styleId="CharPartText">
    <w:name w:val="CharPartText"/>
    <w:basedOn w:val="OPCCharBase"/>
    <w:uiPriority w:val="1"/>
    <w:qFormat/>
    <w:rsid w:val="00FA1436"/>
  </w:style>
  <w:style w:type="character" w:customStyle="1" w:styleId="CharSectno">
    <w:name w:val="CharSectno"/>
    <w:basedOn w:val="OPCCharBase"/>
    <w:qFormat/>
    <w:rsid w:val="00FA1436"/>
  </w:style>
  <w:style w:type="character" w:customStyle="1" w:styleId="CharSubdNo">
    <w:name w:val="CharSubdNo"/>
    <w:basedOn w:val="OPCCharBase"/>
    <w:uiPriority w:val="1"/>
    <w:qFormat/>
    <w:rsid w:val="00FA1436"/>
  </w:style>
  <w:style w:type="character" w:customStyle="1" w:styleId="CharSubdText">
    <w:name w:val="CharSubdText"/>
    <w:basedOn w:val="OPCCharBase"/>
    <w:uiPriority w:val="1"/>
    <w:qFormat/>
    <w:rsid w:val="00FA1436"/>
  </w:style>
  <w:style w:type="paragraph" w:customStyle="1" w:styleId="CTA--">
    <w:name w:val="CTA --"/>
    <w:basedOn w:val="OPCParaBase"/>
    <w:next w:val="Normal"/>
    <w:rsid w:val="00FA1436"/>
    <w:pPr>
      <w:spacing w:before="60" w:line="240" w:lineRule="atLeast"/>
      <w:ind w:left="142" w:hanging="142"/>
    </w:pPr>
    <w:rPr>
      <w:sz w:val="20"/>
    </w:rPr>
  </w:style>
  <w:style w:type="paragraph" w:customStyle="1" w:styleId="CTA-">
    <w:name w:val="CTA -"/>
    <w:basedOn w:val="OPCParaBase"/>
    <w:rsid w:val="00FA1436"/>
    <w:pPr>
      <w:spacing w:before="60" w:line="240" w:lineRule="atLeast"/>
      <w:ind w:left="85" w:hanging="85"/>
    </w:pPr>
    <w:rPr>
      <w:sz w:val="20"/>
    </w:rPr>
  </w:style>
  <w:style w:type="paragraph" w:customStyle="1" w:styleId="CTA---">
    <w:name w:val="CTA ---"/>
    <w:basedOn w:val="OPCParaBase"/>
    <w:next w:val="Normal"/>
    <w:rsid w:val="00FA1436"/>
    <w:pPr>
      <w:spacing w:before="60" w:line="240" w:lineRule="atLeast"/>
      <w:ind w:left="198" w:hanging="198"/>
    </w:pPr>
    <w:rPr>
      <w:sz w:val="20"/>
    </w:rPr>
  </w:style>
  <w:style w:type="paragraph" w:customStyle="1" w:styleId="CTA----">
    <w:name w:val="CTA ----"/>
    <w:basedOn w:val="OPCParaBase"/>
    <w:next w:val="Normal"/>
    <w:rsid w:val="00FA1436"/>
    <w:pPr>
      <w:spacing w:before="60" w:line="240" w:lineRule="atLeast"/>
      <w:ind w:left="255" w:hanging="255"/>
    </w:pPr>
    <w:rPr>
      <w:sz w:val="20"/>
    </w:rPr>
  </w:style>
  <w:style w:type="paragraph" w:customStyle="1" w:styleId="CTA1a">
    <w:name w:val="CTA 1(a)"/>
    <w:basedOn w:val="OPCParaBase"/>
    <w:rsid w:val="00FA1436"/>
    <w:pPr>
      <w:tabs>
        <w:tab w:val="right" w:pos="414"/>
      </w:tabs>
      <w:spacing w:before="40" w:line="240" w:lineRule="atLeast"/>
      <w:ind w:left="675" w:hanging="675"/>
    </w:pPr>
    <w:rPr>
      <w:sz w:val="20"/>
    </w:rPr>
  </w:style>
  <w:style w:type="paragraph" w:customStyle="1" w:styleId="CTA1ai">
    <w:name w:val="CTA 1(a)(i)"/>
    <w:basedOn w:val="OPCParaBase"/>
    <w:rsid w:val="00FA1436"/>
    <w:pPr>
      <w:tabs>
        <w:tab w:val="right" w:pos="1004"/>
      </w:tabs>
      <w:spacing w:before="40" w:line="240" w:lineRule="atLeast"/>
      <w:ind w:left="1253" w:hanging="1253"/>
    </w:pPr>
    <w:rPr>
      <w:sz w:val="20"/>
    </w:rPr>
  </w:style>
  <w:style w:type="paragraph" w:customStyle="1" w:styleId="CTA2a">
    <w:name w:val="CTA 2(a)"/>
    <w:basedOn w:val="OPCParaBase"/>
    <w:rsid w:val="00FA1436"/>
    <w:pPr>
      <w:tabs>
        <w:tab w:val="right" w:pos="482"/>
      </w:tabs>
      <w:spacing w:before="40" w:line="240" w:lineRule="atLeast"/>
      <w:ind w:left="748" w:hanging="748"/>
    </w:pPr>
    <w:rPr>
      <w:sz w:val="20"/>
    </w:rPr>
  </w:style>
  <w:style w:type="paragraph" w:customStyle="1" w:styleId="CTA2ai">
    <w:name w:val="CTA 2(a)(i)"/>
    <w:basedOn w:val="OPCParaBase"/>
    <w:rsid w:val="00FA1436"/>
    <w:pPr>
      <w:tabs>
        <w:tab w:val="right" w:pos="1089"/>
      </w:tabs>
      <w:spacing w:before="40" w:line="240" w:lineRule="atLeast"/>
      <w:ind w:left="1327" w:hanging="1327"/>
    </w:pPr>
    <w:rPr>
      <w:sz w:val="20"/>
    </w:rPr>
  </w:style>
  <w:style w:type="paragraph" w:customStyle="1" w:styleId="CTA3a">
    <w:name w:val="CTA 3(a)"/>
    <w:basedOn w:val="OPCParaBase"/>
    <w:rsid w:val="00FA1436"/>
    <w:pPr>
      <w:tabs>
        <w:tab w:val="right" w:pos="556"/>
      </w:tabs>
      <w:spacing w:before="40" w:line="240" w:lineRule="atLeast"/>
      <w:ind w:left="805" w:hanging="805"/>
    </w:pPr>
    <w:rPr>
      <w:sz w:val="20"/>
    </w:rPr>
  </w:style>
  <w:style w:type="paragraph" w:customStyle="1" w:styleId="CTA3ai">
    <w:name w:val="CTA 3(a)(i)"/>
    <w:basedOn w:val="OPCParaBase"/>
    <w:rsid w:val="00FA1436"/>
    <w:pPr>
      <w:tabs>
        <w:tab w:val="right" w:pos="1140"/>
      </w:tabs>
      <w:spacing w:before="40" w:line="240" w:lineRule="atLeast"/>
      <w:ind w:left="1361" w:hanging="1361"/>
    </w:pPr>
    <w:rPr>
      <w:sz w:val="20"/>
    </w:rPr>
  </w:style>
  <w:style w:type="paragraph" w:customStyle="1" w:styleId="CTA4a">
    <w:name w:val="CTA 4(a)"/>
    <w:basedOn w:val="OPCParaBase"/>
    <w:rsid w:val="00FA1436"/>
    <w:pPr>
      <w:tabs>
        <w:tab w:val="right" w:pos="624"/>
      </w:tabs>
      <w:spacing w:before="40" w:line="240" w:lineRule="atLeast"/>
      <w:ind w:left="873" w:hanging="873"/>
    </w:pPr>
    <w:rPr>
      <w:sz w:val="20"/>
    </w:rPr>
  </w:style>
  <w:style w:type="paragraph" w:customStyle="1" w:styleId="CTA4ai">
    <w:name w:val="CTA 4(a)(i)"/>
    <w:basedOn w:val="OPCParaBase"/>
    <w:rsid w:val="00FA1436"/>
    <w:pPr>
      <w:tabs>
        <w:tab w:val="right" w:pos="1213"/>
      </w:tabs>
      <w:spacing w:before="40" w:line="240" w:lineRule="atLeast"/>
      <w:ind w:left="1452" w:hanging="1452"/>
    </w:pPr>
    <w:rPr>
      <w:sz w:val="20"/>
    </w:rPr>
  </w:style>
  <w:style w:type="paragraph" w:customStyle="1" w:styleId="CTACAPS">
    <w:name w:val="CTA CAPS"/>
    <w:basedOn w:val="OPCParaBase"/>
    <w:rsid w:val="00FA1436"/>
    <w:pPr>
      <w:spacing w:before="60" w:line="240" w:lineRule="atLeast"/>
    </w:pPr>
    <w:rPr>
      <w:sz w:val="20"/>
    </w:rPr>
  </w:style>
  <w:style w:type="paragraph" w:customStyle="1" w:styleId="CTAright">
    <w:name w:val="CTA right"/>
    <w:basedOn w:val="OPCParaBase"/>
    <w:rsid w:val="00FA1436"/>
    <w:pPr>
      <w:spacing w:before="60" w:line="240" w:lineRule="auto"/>
      <w:jc w:val="right"/>
    </w:pPr>
    <w:rPr>
      <w:sz w:val="20"/>
    </w:rPr>
  </w:style>
  <w:style w:type="paragraph" w:customStyle="1" w:styleId="subsection">
    <w:name w:val="subsection"/>
    <w:aliases w:val="ss"/>
    <w:basedOn w:val="OPCParaBase"/>
    <w:link w:val="subsectionChar"/>
    <w:rsid w:val="00FA1436"/>
    <w:pPr>
      <w:tabs>
        <w:tab w:val="right" w:pos="1021"/>
      </w:tabs>
      <w:spacing w:before="180" w:line="240" w:lineRule="auto"/>
      <w:ind w:left="1134" w:hanging="1134"/>
    </w:pPr>
  </w:style>
  <w:style w:type="paragraph" w:customStyle="1" w:styleId="Definition">
    <w:name w:val="Definition"/>
    <w:aliases w:val="dd"/>
    <w:basedOn w:val="OPCParaBase"/>
    <w:rsid w:val="00FA1436"/>
    <w:pPr>
      <w:spacing w:before="180" w:line="240" w:lineRule="auto"/>
      <w:ind w:left="1134"/>
    </w:pPr>
  </w:style>
  <w:style w:type="paragraph" w:customStyle="1" w:styleId="ETAsubitem">
    <w:name w:val="ETA(subitem)"/>
    <w:basedOn w:val="OPCParaBase"/>
    <w:rsid w:val="00FA1436"/>
    <w:pPr>
      <w:tabs>
        <w:tab w:val="right" w:pos="340"/>
      </w:tabs>
      <w:spacing w:before="60" w:line="240" w:lineRule="auto"/>
      <w:ind w:left="454" w:hanging="454"/>
    </w:pPr>
    <w:rPr>
      <w:sz w:val="20"/>
    </w:rPr>
  </w:style>
  <w:style w:type="paragraph" w:customStyle="1" w:styleId="ETApara">
    <w:name w:val="ETA(para)"/>
    <w:basedOn w:val="OPCParaBase"/>
    <w:rsid w:val="00FA1436"/>
    <w:pPr>
      <w:tabs>
        <w:tab w:val="right" w:pos="754"/>
      </w:tabs>
      <w:spacing w:before="60" w:line="240" w:lineRule="auto"/>
      <w:ind w:left="828" w:hanging="828"/>
    </w:pPr>
    <w:rPr>
      <w:sz w:val="20"/>
    </w:rPr>
  </w:style>
  <w:style w:type="paragraph" w:customStyle="1" w:styleId="ETAsubpara">
    <w:name w:val="ETA(subpara)"/>
    <w:basedOn w:val="OPCParaBase"/>
    <w:rsid w:val="00FA1436"/>
    <w:pPr>
      <w:tabs>
        <w:tab w:val="right" w:pos="1083"/>
      </w:tabs>
      <w:spacing w:before="60" w:line="240" w:lineRule="auto"/>
      <w:ind w:left="1191" w:hanging="1191"/>
    </w:pPr>
    <w:rPr>
      <w:sz w:val="20"/>
    </w:rPr>
  </w:style>
  <w:style w:type="paragraph" w:customStyle="1" w:styleId="ETAsub-subpara">
    <w:name w:val="ETA(sub-subpara)"/>
    <w:basedOn w:val="OPCParaBase"/>
    <w:rsid w:val="00FA1436"/>
    <w:pPr>
      <w:tabs>
        <w:tab w:val="right" w:pos="1412"/>
      </w:tabs>
      <w:spacing w:before="60" w:line="240" w:lineRule="auto"/>
      <w:ind w:left="1525" w:hanging="1525"/>
    </w:pPr>
    <w:rPr>
      <w:sz w:val="20"/>
    </w:rPr>
  </w:style>
  <w:style w:type="paragraph" w:customStyle="1" w:styleId="Formula">
    <w:name w:val="Formula"/>
    <w:basedOn w:val="OPCParaBase"/>
    <w:rsid w:val="00FA1436"/>
    <w:pPr>
      <w:spacing w:line="240" w:lineRule="auto"/>
      <w:ind w:left="1134"/>
    </w:pPr>
    <w:rPr>
      <w:sz w:val="20"/>
    </w:rPr>
  </w:style>
  <w:style w:type="paragraph" w:styleId="Header">
    <w:name w:val="header"/>
    <w:basedOn w:val="OPCParaBase"/>
    <w:link w:val="HeaderChar"/>
    <w:unhideWhenUsed/>
    <w:rsid w:val="00FA14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1436"/>
    <w:rPr>
      <w:rFonts w:eastAsia="Times New Roman" w:cs="Times New Roman"/>
      <w:sz w:val="16"/>
      <w:lang w:eastAsia="en-AU"/>
    </w:rPr>
  </w:style>
  <w:style w:type="paragraph" w:customStyle="1" w:styleId="House">
    <w:name w:val="House"/>
    <w:basedOn w:val="OPCParaBase"/>
    <w:rsid w:val="00FA1436"/>
    <w:pPr>
      <w:spacing w:line="240" w:lineRule="auto"/>
    </w:pPr>
    <w:rPr>
      <w:sz w:val="28"/>
    </w:rPr>
  </w:style>
  <w:style w:type="paragraph" w:customStyle="1" w:styleId="Item">
    <w:name w:val="Item"/>
    <w:aliases w:val="i"/>
    <w:basedOn w:val="OPCParaBase"/>
    <w:next w:val="ItemHead"/>
    <w:rsid w:val="00FA1436"/>
    <w:pPr>
      <w:keepLines/>
      <w:spacing w:before="80" w:line="240" w:lineRule="auto"/>
      <w:ind w:left="709"/>
    </w:pPr>
  </w:style>
  <w:style w:type="paragraph" w:customStyle="1" w:styleId="ItemHead">
    <w:name w:val="ItemHead"/>
    <w:aliases w:val="ih"/>
    <w:basedOn w:val="OPCParaBase"/>
    <w:next w:val="Item"/>
    <w:rsid w:val="00FA143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1436"/>
    <w:pPr>
      <w:spacing w:line="240" w:lineRule="auto"/>
    </w:pPr>
    <w:rPr>
      <w:b/>
      <w:sz w:val="32"/>
    </w:rPr>
  </w:style>
  <w:style w:type="paragraph" w:customStyle="1" w:styleId="notedraft">
    <w:name w:val="note(draft)"/>
    <w:aliases w:val="nd"/>
    <w:basedOn w:val="OPCParaBase"/>
    <w:rsid w:val="00FA1436"/>
    <w:pPr>
      <w:spacing w:before="240" w:line="240" w:lineRule="auto"/>
      <w:ind w:left="284" w:hanging="284"/>
    </w:pPr>
    <w:rPr>
      <w:i/>
      <w:sz w:val="24"/>
    </w:rPr>
  </w:style>
  <w:style w:type="paragraph" w:customStyle="1" w:styleId="notemargin">
    <w:name w:val="note(margin)"/>
    <w:aliases w:val="nm"/>
    <w:basedOn w:val="OPCParaBase"/>
    <w:rsid w:val="00FA1436"/>
    <w:pPr>
      <w:tabs>
        <w:tab w:val="left" w:pos="709"/>
      </w:tabs>
      <w:spacing w:before="122" w:line="198" w:lineRule="exact"/>
      <w:ind w:left="709" w:hanging="709"/>
    </w:pPr>
    <w:rPr>
      <w:sz w:val="18"/>
    </w:rPr>
  </w:style>
  <w:style w:type="paragraph" w:customStyle="1" w:styleId="noteToPara">
    <w:name w:val="noteToPara"/>
    <w:aliases w:val="ntp"/>
    <w:basedOn w:val="OPCParaBase"/>
    <w:rsid w:val="00FA1436"/>
    <w:pPr>
      <w:spacing w:before="122" w:line="198" w:lineRule="exact"/>
      <w:ind w:left="2353" w:hanging="709"/>
    </w:pPr>
    <w:rPr>
      <w:sz w:val="18"/>
    </w:rPr>
  </w:style>
  <w:style w:type="paragraph" w:customStyle="1" w:styleId="noteParlAmend">
    <w:name w:val="note(ParlAmend)"/>
    <w:aliases w:val="npp"/>
    <w:basedOn w:val="OPCParaBase"/>
    <w:next w:val="ParlAmend"/>
    <w:rsid w:val="00FA1436"/>
    <w:pPr>
      <w:spacing w:line="240" w:lineRule="auto"/>
      <w:jc w:val="right"/>
    </w:pPr>
    <w:rPr>
      <w:rFonts w:ascii="Arial" w:hAnsi="Arial"/>
      <w:b/>
      <w:i/>
    </w:rPr>
  </w:style>
  <w:style w:type="paragraph" w:customStyle="1" w:styleId="Page1">
    <w:name w:val="Page1"/>
    <w:basedOn w:val="OPCParaBase"/>
    <w:rsid w:val="00FA1436"/>
    <w:pPr>
      <w:spacing w:before="5600" w:line="240" w:lineRule="auto"/>
    </w:pPr>
    <w:rPr>
      <w:b/>
      <w:sz w:val="32"/>
    </w:rPr>
  </w:style>
  <w:style w:type="paragraph" w:customStyle="1" w:styleId="PageBreak">
    <w:name w:val="PageBreak"/>
    <w:aliases w:val="pb"/>
    <w:basedOn w:val="OPCParaBase"/>
    <w:rsid w:val="00FA1436"/>
    <w:pPr>
      <w:spacing w:line="240" w:lineRule="auto"/>
    </w:pPr>
    <w:rPr>
      <w:sz w:val="20"/>
    </w:rPr>
  </w:style>
  <w:style w:type="paragraph" w:customStyle="1" w:styleId="paragraphsub">
    <w:name w:val="paragraph(sub)"/>
    <w:aliases w:val="aa"/>
    <w:basedOn w:val="OPCParaBase"/>
    <w:rsid w:val="00FA1436"/>
    <w:pPr>
      <w:tabs>
        <w:tab w:val="right" w:pos="1985"/>
      </w:tabs>
      <w:spacing w:before="40" w:line="240" w:lineRule="auto"/>
      <w:ind w:left="2098" w:hanging="2098"/>
    </w:pPr>
  </w:style>
  <w:style w:type="paragraph" w:customStyle="1" w:styleId="paragraphsub-sub">
    <w:name w:val="paragraph(sub-sub)"/>
    <w:aliases w:val="aaa"/>
    <w:basedOn w:val="OPCParaBase"/>
    <w:rsid w:val="00FA1436"/>
    <w:pPr>
      <w:tabs>
        <w:tab w:val="right" w:pos="2722"/>
      </w:tabs>
      <w:spacing w:before="40" w:line="240" w:lineRule="auto"/>
      <w:ind w:left="2835" w:hanging="2835"/>
    </w:pPr>
  </w:style>
  <w:style w:type="paragraph" w:customStyle="1" w:styleId="paragraph">
    <w:name w:val="paragraph"/>
    <w:aliases w:val="a"/>
    <w:basedOn w:val="OPCParaBase"/>
    <w:link w:val="paragraphChar"/>
    <w:rsid w:val="00FA1436"/>
    <w:pPr>
      <w:tabs>
        <w:tab w:val="right" w:pos="1531"/>
      </w:tabs>
      <w:spacing w:before="40" w:line="240" w:lineRule="auto"/>
      <w:ind w:left="1644" w:hanging="1644"/>
    </w:pPr>
  </w:style>
  <w:style w:type="paragraph" w:customStyle="1" w:styleId="ParlAmend">
    <w:name w:val="ParlAmend"/>
    <w:aliases w:val="pp"/>
    <w:basedOn w:val="OPCParaBase"/>
    <w:rsid w:val="00FA1436"/>
    <w:pPr>
      <w:spacing w:before="240" w:line="240" w:lineRule="atLeast"/>
      <w:ind w:hanging="567"/>
    </w:pPr>
    <w:rPr>
      <w:sz w:val="24"/>
    </w:rPr>
  </w:style>
  <w:style w:type="paragraph" w:customStyle="1" w:styleId="Penalty">
    <w:name w:val="Penalty"/>
    <w:basedOn w:val="OPCParaBase"/>
    <w:rsid w:val="00FA1436"/>
    <w:pPr>
      <w:tabs>
        <w:tab w:val="left" w:pos="2977"/>
      </w:tabs>
      <w:spacing w:before="180" w:line="240" w:lineRule="auto"/>
      <w:ind w:left="1985" w:hanging="851"/>
    </w:pPr>
  </w:style>
  <w:style w:type="paragraph" w:customStyle="1" w:styleId="Portfolio">
    <w:name w:val="Portfolio"/>
    <w:basedOn w:val="OPCParaBase"/>
    <w:rsid w:val="00FA1436"/>
    <w:pPr>
      <w:spacing w:line="240" w:lineRule="auto"/>
    </w:pPr>
    <w:rPr>
      <w:i/>
      <w:sz w:val="20"/>
    </w:rPr>
  </w:style>
  <w:style w:type="paragraph" w:customStyle="1" w:styleId="Preamble">
    <w:name w:val="Preamble"/>
    <w:basedOn w:val="OPCParaBase"/>
    <w:next w:val="Normal"/>
    <w:rsid w:val="00FA14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1436"/>
    <w:pPr>
      <w:spacing w:line="240" w:lineRule="auto"/>
    </w:pPr>
    <w:rPr>
      <w:i/>
      <w:sz w:val="20"/>
    </w:rPr>
  </w:style>
  <w:style w:type="paragraph" w:customStyle="1" w:styleId="Session">
    <w:name w:val="Session"/>
    <w:basedOn w:val="OPCParaBase"/>
    <w:rsid w:val="00FA1436"/>
    <w:pPr>
      <w:spacing w:line="240" w:lineRule="auto"/>
    </w:pPr>
    <w:rPr>
      <w:sz w:val="28"/>
    </w:rPr>
  </w:style>
  <w:style w:type="paragraph" w:customStyle="1" w:styleId="Sponsor">
    <w:name w:val="Sponsor"/>
    <w:basedOn w:val="OPCParaBase"/>
    <w:rsid w:val="00FA1436"/>
    <w:pPr>
      <w:spacing w:line="240" w:lineRule="auto"/>
    </w:pPr>
    <w:rPr>
      <w:i/>
    </w:rPr>
  </w:style>
  <w:style w:type="paragraph" w:customStyle="1" w:styleId="Subitem">
    <w:name w:val="Subitem"/>
    <w:aliases w:val="iss"/>
    <w:basedOn w:val="OPCParaBase"/>
    <w:rsid w:val="00FA1436"/>
    <w:pPr>
      <w:spacing w:before="180" w:line="240" w:lineRule="auto"/>
      <w:ind w:left="709" w:hanging="709"/>
    </w:pPr>
  </w:style>
  <w:style w:type="paragraph" w:customStyle="1" w:styleId="SubitemHead">
    <w:name w:val="SubitemHead"/>
    <w:aliases w:val="issh"/>
    <w:basedOn w:val="OPCParaBase"/>
    <w:rsid w:val="00FA14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1436"/>
    <w:pPr>
      <w:spacing w:before="40" w:line="240" w:lineRule="auto"/>
      <w:ind w:left="1134"/>
    </w:pPr>
  </w:style>
  <w:style w:type="paragraph" w:customStyle="1" w:styleId="SubsectionHead">
    <w:name w:val="SubsectionHead"/>
    <w:aliases w:val="ssh"/>
    <w:basedOn w:val="OPCParaBase"/>
    <w:next w:val="subsection"/>
    <w:rsid w:val="00FA1436"/>
    <w:pPr>
      <w:keepNext/>
      <w:keepLines/>
      <w:spacing w:before="240" w:line="240" w:lineRule="auto"/>
      <w:ind w:left="1134"/>
    </w:pPr>
    <w:rPr>
      <w:i/>
    </w:rPr>
  </w:style>
  <w:style w:type="paragraph" w:customStyle="1" w:styleId="Tablea">
    <w:name w:val="Table(a)"/>
    <w:aliases w:val="ta"/>
    <w:basedOn w:val="OPCParaBase"/>
    <w:rsid w:val="00FA1436"/>
    <w:pPr>
      <w:spacing w:before="60" w:line="240" w:lineRule="auto"/>
      <w:ind w:left="284" w:hanging="284"/>
    </w:pPr>
    <w:rPr>
      <w:sz w:val="20"/>
    </w:rPr>
  </w:style>
  <w:style w:type="paragraph" w:customStyle="1" w:styleId="TableAA">
    <w:name w:val="Table(AA)"/>
    <w:aliases w:val="taaa"/>
    <w:basedOn w:val="OPCParaBase"/>
    <w:rsid w:val="00FA14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14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1436"/>
    <w:pPr>
      <w:spacing w:before="60" w:line="240" w:lineRule="atLeast"/>
    </w:pPr>
    <w:rPr>
      <w:sz w:val="20"/>
    </w:rPr>
  </w:style>
  <w:style w:type="paragraph" w:customStyle="1" w:styleId="TLPBoxTextnote">
    <w:name w:val="TLPBoxText(note"/>
    <w:aliases w:val="right)"/>
    <w:basedOn w:val="OPCParaBase"/>
    <w:rsid w:val="00FA14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14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1436"/>
    <w:pPr>
      <w:spacing w:before="122" w:line="198" w:lineRule="exact"/>
      <w:ind w:left="1985" w:hanging="851"/>
      <w:jc w:val="right"/>
    </w:pPr>
    <w:rPr>
      <w:sz w:val="18"/>
    </w:rPr>
  </w:style>
  <w:style w:type="paragraph" w:customStyle="1" w:styleId="TLPTableBullet">
    <w:name w:val="TLPTableBullet"/>
    <w:aliases w:val="ttb"/>
    <w:basedOn w:val="OPCParaBase"/>
    <w:rsid w:val="00FA1436"/>
    <w:pPr>
      <w:spacing w:line="240" w:lineRule="exact"/>
      <w:ind w:left="284" w:hanging="284"/>
    </w:pPr>
    <w:rPr>
      <w:sz w:val="20"/>
    </w:rPr>
  </w:style>
  <w:style w:type="paragraph" w:styleId="TOC1">
    <w:name w:val="toc 1"/>
    <w:basedOn w:val="OPCParaBase"/>
    <w:next w:val="Normal"/>
    <w:uiPriority w:val="39"/>
    <w:semiHidden/>
    <w:unhideWhenUsed/>
    <w:rsid w:val="00FA143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A143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143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143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143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143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143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143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143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1436"/>
    <w:pPr>
      <w:keepLines/>
      <w:spacing w:before="240" w:after="120" w:line="240" w:lineRule="auto"/>
      <w:ind w:left="794"/>
    </w:pPr>
    <w:rPr>
      <w:b/>
      <w:kern w:val="28"/>
      <w:sz w:val="20"/>
    </w:rPr>
  </w:style>
  <w:style w:type="paragraph" w:customStyle="1" w:styleId="TofSectsHeading">
    <w:name w:val="TofSects(Heading)"/>
    <w:basedOn w:val="OPCParaBase"/>
    <w:rsid w:val="00FA1436"/>
    <w:pPr>
      <w:spacing w:before="240" w:after="120" w:line="240" w:lineRule="auto"/>
    </w:pPr>
    <w:rPr>
      <w:b/>
      <w:sz w:val="24"/>
    </w:rPr>
  </w:style>
  <w:style w:type="paragraph" w:customStyle="1" w:styleId="TofSectsSection">
    <w:name w:val="TofSects(Section)"/>
    <w:basedOn w:val="OPCParaBase"/>
    <w:rsid w:val="00FA1436"/>
    <w:pPr>
      <w:keepLines/>
      <w:spacing w:before="40" w:line="240" w:lineRule="auto"/>
      <w:ind w:left="1588" w:hanging="794"/>
    </w:pPr>
    <w:rPr>
      <w:kern w:val="28"/>
      <w:sz w:val="18"/>
    </w:rPr>
  </w:style>
  <w:style w:type="paragraph" w:customStyle="1" w:styleId="TofSectsSubdiv">
    <w:name w:val="TofSects(Subdiv)"/>
    <w:basedOn w:val="OPCParaBase"/>
    <w:rsid w:val="00FA1436"/>
    <w:pPr>
      <w:keepLines/>
      <w:spacing w:before="80" w:line="240" w:lineRule="auto"/>
      <w:ind w:left="1588" w:hanging="794"/>
    </w:pPr>
    <w:rPr>
      <w:kern w:val="28"/>
    </w:rPr>
  </w:style>
  <w:style w:type="paragraph" w:customStyle="1" w:styleId="WRStyle">
    <w:name w:val="WR Style"/>
    <w:aliases w:val="WR"/>
    <w:basedOn w:val="OPCParaBase"/>
    <w:rsid w:val="00FA1436"/>
    <w:pPr>
      <w:spacing w:before="240" w:line="240" w:lineRule="auto"/>
      <w:ind w:left="284" w:hanging="284"/>
    </w:pPr>
    <w:rPr>
      <w:b/>
      <w:i/>
      <w:kern w:val="28"/>
      <w:sz w:val="24"/>
    </w:rPr>
  </w:style>
  <w:style w:type="paragraph" w:customStyle="1" w:styleId="notepara">
    <w:name w:val="note(para)"/>
    <w:aliases w:val="na"/>
    <w:basedOn w:val="OPCParaBase"/>
    <w:rsid w:val="00FA1436"/>
    <w:pPr>
      <w:spacing w:before="40" w:line="198" w:lineRule="exact"/>
      <w:ind w:left="2354" w:hanging="369"/>
    </w:pPr>
    <w:rPr>
      <w:sz w:val="18"/>
    </w:rPr>
  </w:style>
  <w:style w:type="paragraph" w:styleId="Footer">
    <w:name w:val="footer"/>
    <w:link w:val="FooterChar"/>
    <w:rsid w:val="00FA14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A1436"/>
    <w:rPr>
      <w:rFonts w:eastAsia="Times New Roman" w:cs="Times New Roman"/>
      <w:sz w:val="22"/>
      <w:szCs w:val="24"/>
      <w:lang w:eastAsia="en-AU"/>
    </w:rPr>
  </w:style>
  <w:style w:type="character" w:styleId="LineNumber">
    <w:name w:val="line number"/>
    <w:basedOn w:val="OPCCharBase"/>
    <w:uiPriority w:val="99"/>
    <w:semiHidden/>
    <w:unhideWhenUsed/>
    <w:rsid w:val="00FA1436"/>
    <w:rPr>
      <w:sz w:val="16"/>
    </w:rPr>
  </w:style>
  <w:style w:type="table" w:customStyle="1" w:styleId="CFlag">
    <w:name w:val="CFlag"/>
    <w:basedOn w:val="TableNormal"/>
    <w:uiPriority w:val="99"/>
    <w:rsid w:val="00FA1436"/>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14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436"/>
    <w:rPr>
      <w:rFonts w:ascii="Tahoma" w:hAnsi="Tahoma" w:cs="Tahoma"/>
      <w:sz w:val="16"/>
      <w:szCs w:val="16"/>
    </w:rPr>
  </w:style>
  <w:style w:type="character" w:styleId="Hyperlink">
    <w:name w:val="Hyperlink"/>
    <w:basedOn w:val="DefaultParagraphFont"/>
    <w:rsid w:val="00FA1436"/>
    <w:rPr>
      <w:color w:val="0000FF"/>
      <w:u w:val="single"/>
    </w:rPr>
  </w:style>
  <w:style w:type="table" w:styleId="TableGrid">
    <w:name w:val="Table Grid"/>
    <w:basedOn w:val="TableNormal"/>
    <w:uiPriority w:val="59"/>
    <w:rsid w:val="00FA1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FA1436"/>
    <w:rPr>
      <w:b/>
      <w:sz w:val="28"/>
      <w:szCs w:val="32"/>
    </w:rPr>
  </w:style>
  <w:style w:type="paragraph" w:customStyle="1" w:styleId="TerritoryT">
    <w:name w:val="TerritoryT"/>
    <w:basedOn w:val="OPCParaBase"/>
    <w:next w:val="Normal"/>
    <w:rsid w:val="00FA1436"/>
    <w:rPr>
      <w:b/>
      <w:sz w:val="32"/>
    </w:rPr>
  </w:style>
  <w:style w:type="paragraph" w:customStyle="1" w:styleId="LegislationMadeUnder">
    <w:name w:val="LegislationMadeUnder"/>
    <w:basedOn w:val="OPCParaBase"/>
    <w:next w:val="Normal"/>
    <w:rsid w:val="00FA1436"/>
    <w:rPr>
      <w:i/>
      <w:sz w:val="32"/>
      <w:szCs w:val="32"/>
    </w:rPr>
  </w:style>
  <w:style w:type="paragraph" w:customStyle="1" w:styleId="SignCoverPageEnd">
    <w:name w:val="SignCoverPageEnd"/>
    <w:basedOn w:val="OPCParaBase"/>
    <w:next w:val="Normal"/>
    <w:rsid w:val="00FA1436"/>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FA1436"/>
    <w:pPr>
      <w:pBdr>
        <w:top w:val="single" w:sz="4" w:space="1" w:color="auto"/>
      </w:pBdr>
      <w:spacing w:before="360"/>
      <w:ind w:right="397"/>
      <w:jc w:val="both"/>
    </w:pPr>
  </w:style>
  <w:style w:type="paragraph" w:customStyle="1" w:styleId="NotesHeading1">
    <w:name w:val="NotesHeading 1"/>
    <w:basedOn w:val="OPCParaBase"/>
    <w:next w:val="Normal"/>
    <w:rsid w:val="00FA1436"/>
    <w:rPr>
      <w:b/>
      <w:sz w:val="28"/>
      <w:szCs w:val="28"/>
    </w:rPr>
  </w:style>
  <w:style w:type="paragraph" w:customStyle="1" w:styleId="NotesHeading2">
    <w:name w:val="NotesHeading 2"/>
    <w:basedOn w:val="OPCParaBase"/>
    <w:next w:val="Normal"/>
    <w:rsid w:val="00FA1436"/>
    <w:rPr>
      <w:b/>
      <w:sz w:val="28"/>
      <w:szCs w:val="28"/>
    </w:rPr>
  </w:style>
  <w:style w:type="paragraph" w:customStyle="1" w:styleId="ENotesText">
    <w:name w:val="ENotesText"/>
    <w:basedOn w:val="OPCParaBase"/>
    <w:next w:val="Normal"/>
    <w:rsid w:val="00FA1436"/>
  </w:style>
  <w:style w:type="paragraph" w:customStyle="1" w:styleId="CompiledActNo">
    <w:name w:val="CompiledActNo"/>
    <w:basedOn w:val="OPCParaBase"/>
    <w:next w:val="Normal"/>
    <w:rsid w:val="00FA1436"/>
    <w:rPr>
      <w:b/>
      <w:sz w:val="24"/>
      <w:szCs w:val="24"/>
    </w:rPr>
  </w:style>
  <w:style w:type="paragraph" w:customStyle="1" w:styleId="CompiledMadeUnder">
    <w:name w:val="CompiledMadeUnder"/>
    <w:basedOn w:val="OPCParaBase"/>
    <w:next w:val="Normal"/>
    <w:rsid w:val="00FA1436"/>
    <w:rPr>
      <w:i/>
      <w:sz w:val="24"/>
      <w:szCs w:val="24"/>
    </w:rPr>
  </w:style>
  <w:style w:type="paragraph" w:customStyle="1" w:styleId="Paragraphsub-sub-sub">
    <w:name w:val="Paragraph(sub-sub-sub)"/>
    <w:aliases w:val="aaaa"/>
    <w:basedOn w:val="OPCParaBase"/>
    <w:rsid w:val="00FA1436"/>
    <w:pPr>
      <w:tabs>
        <w:tab w:val="right" w:pos="3402"/>
      </w:tabs>
      <w:spacing w:before="40" w:line="240" w:lineRule="auto"/>
      <w:ind w:left="3402" w:hanging="3402"/>
    </w:pPr>
  </w:style>
  <w:style w:type="paragraph" w:customStyle="1" w:styleId="NoteToSubpara">
    <w:name w:val="NoteToSubpara"/>
    <w:aliases w:val="nts"/>
    <w:basedOn w:val="OPCParaBase"/>
    <w:rsid w:val="00FA1436"/>
    <w:pPr>
      <w:spacing w:before="40" w:line="198" w:lineRule="exact"/>
      <w:ind w:left="2835" w:hanging="709"/>
    </w:pPr>
    <w:rPr>
      <w:sz w:val="18"/>
    </w:rPr>
  </w:style>
  <w:style w:type="paragraph" w:customStyle="1" w:styleId="EndNotespara">
    <w:name w:val="EndNotes(para)"/>
    <w:aliases w:val="eta"/>
    <w:basedOn w:val="OPCParaBase"/>
    <w:next w:val="Normal"/>
    <w:rsid w:val="00FA14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14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FA14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143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A1436"/>
    <w:pPr>
      <w:keepNext/>
      <w:spacing w:before="60" w:line="240" w:lineRule="atLeast"/>
    </w:pPr>
    <w:rPr>
      <w:rFonts w:ascii="Arial" w:hAnsi="Arial"/>
      <w:b/>
      <w:sz w:val="16"/>
    </w:rPr>
  </w:style>
  <w:style w:type="paragraph" w:customStyle="1" w:styleId="ENoteTTi">
    <w:name w:val="ENoteTTi"/>
    <w:aliases w:val="entti"/>
    <w:basedOn w:val="OPCParaBase"/>
    <w:rsid w:val="00FA1436"/>
    <w:pPr>
      <w:keepNext/>
      <w:spacing w:before="60" w:line="240" w:lineRule="atLeast"/>
      <w:ind w:left="170"/>
    </w:pPr>
    <w:rPr>
      <w:sz w:val="16"/>
    </w:rPr>
  </w:style>
  <w:style w:type="paragraph" w:customStyle="1" w:styleId="ENotesHeading1">
    <w:name w:val="ENotesHeading 1"/>
    <w:aliases w:val="Enh1"/>
    <w:basedOn w:val="OPCParaBase"/>
    <w:next w:val="Normal"/>
    <w:rsid w:val="00FA1436"/>
    <w:pPr>
      <w:spacing w:before="120"/>
      <w:outlineLvl w:val="1"/>
    </w:pPr>
    <w:rPr>
      <w:b/>
      <w:sz w:val="28"/>
      <w:szCs w:val="28"/>
    </w:rPr>
  </w:style>
  <w:style w:type="paragraph" w:customStyle="1" w:styleId="ENotesHeading2">
    <w:name w:val="ENotesHeading 2"/>
    <w:aliases w:val="Enh2"/>
    <w:basedOn w:val="OPCParaBase"/>
    <w:next w:val="Normal"/>
    <w:rsid w:val="00FA1436"/>
    <w:pPr>
      <w:spacing w:before="120" w:after="120"/>
      <w:outlineLvl w:val="2"/>
    </w:pPr>
    <w:rPr>
      <w:b/>
      <w:sz w:val="24"/>
      <w:szCs w:val="28"/>
    </w:rPr>
  </w:style>
  <w:style w:type="paragraph" w:customStyle="1" w:styleId="ENoteTTIndentHeading">
    <w:name w:val="ENoteTTIndentHeading"/>
    <w:aliases w:val="enTTHi"/>
    <w:basedOn w:val="OPCParaBase"/>
    <w:rsid w:val="00FA14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1436"/>
    <w:pPr>
      <w:spacing w:before="60" w:line="240" w:lineRule="atLeast"/>
    </w:pPr>
    <w:rPr>
      <w:sz w:val="16"/>
    </w:rPr>
  </w:style>
  <w:style w:type="paragraph" w:customStyle="1" w:styleId="MadeunderText">
    <w:name w:val="MadeunderText"/>
    <w:basedOn w:val="OPCParaBase"/>
    <w:next w:val="CompiledMadeUnder"/>
    <w:rsid w:val="00FA1436"/>
    <w:pPr>
      <w:spacing w:before="240"/>
    </w:pPr>
    <w:rPr>
      <w:sz w:val="24"/>
      <w:szCs w:val="24"/>
    </w:rPr>
  </w:style>
  <w:style w:type="paragraph" w:customStyle="1" w:styleId="ENotesHeading3">
    <w:name w:val="ENotesHeading 3"/>
    <w:aliases w:val="Enh3"/>
    <w:basedOn w:val="OPCParaBase"/>
    <w:next w:val="Normal"/>
    <w:rsid w:val="00FA1436"/>
    <w:pPr>
      <w:keepNext/>
      <w:spacing w:before="120" w:line="240" w:lineRule="auto"/>
      <w:outlineLvl w:val="4"/>
    </w:pPr>
    <w:rPr>
      <w:b/>
      <w:szCs w:val="24"/>
    </w:rPr>
  </w:style>
  <w:style w:type="paragraph" w:customStyle="1" w:styleId="SubPartCASA">
    <w:name w:val="SubPart(CASA)"/>
    <w:aliases w:val="csp"/>
    <w:basedOn w:val="OPCParaBase"/>
    <w:next w:val="ActHead3"/>
    <w:rsid w:val="00FA1436"/>
    <w:pPr>
      <w:keepNext/>
      <w:keepLines/>
      <w:spacing w:before="280"/>
      <w:outlineLvl w:val="1"/>
    </w:pPr>
    <w:rPr>
      <w:b/>
      <w:kern w:val="28"/>
      <w:sz w:val="32"/>
    </w:rPr>
  </w:style>
  <w:style w:type="character" w:customStyle="1" w:styleId="CharSubPartTextCASA">
    <w:name w:val="CharSubPartText(CASA)"/>
    <w:basedOn w:val="OPCCharBase"/>
    <w:uiPriority w:val="1"/>
    <w:rsid w:val="00FA1436"/>
  </w:style>
  <w:style w:type="character" w:customStyle="1" w:styleId="CharSubPartNoCASA">
    <w:name w:val="CharSubPartNo(CASA)"/>
    <w:basedOn w:val="OPCCharBase"/>
    <w:uiPriority w:val="1"/>
    <w:rsid w:val="00FA1436"/>
  </w:style>
  <w:style w:type="paragraph" w:customStyle="1" w:styleId="ENoteTTIndentHeadingSub">
    <w:name w:val="ENoteTTIndentHeadingSub"/>
    <w:aliases w:val="enTTHis"/>
    <w:basedOn w:val="OPCParaBase"/>
    <w:rsid w:val="00FA1436"/>
    <w:pPr>
      <w:keepNext/>
      <w:spacing w:before="60" w:line="240" w:lineRule="atLeast"/>
      <w:ind w:left="340"/>
    </w:pPr>
    <w:rPr>
      <w:b/>
      <w:sz w:val="16"/>
    </w:rPr>
  </w:style>
  <w:style w:type="paragraph" w:customStyle="1" w:styleId="ENoteTTiSub">
    <w:name w:val="ENoteTTiSub"/>
    <w:aliases w:val="enttis"/>
    <w:basedOn w:val="OPCParaBase"/>
    <w:rsid w:val="00FA1436"/>
    <w:pPr>
      <w:keepNext/>
      <w:spacing w:before="60" w:line="240" w:lineRule="atLeast"/>
      <w:ind w:left="340"/>
    </w:pPr>
    <w:rPr>
      <w:sz w:val="16"/>
    </w:rPr>
  </w:style>
  <w:style w:type="paragraph" w:customStyle="1" w:styleId="SubDivisionMigration">
    <w:name w:val="SubDivisionMigration"/>
    <w:aliases w:val="sdm"/>
    <w:basedOn w:val="OPCParaBase"/>
    <w:rsid w:val="00FA14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1436"/>
    <w:pPr>
      <w:keepNext/>
      <w:keepLines/>
      <w:spacing w:before="240" w:line="240" w:lineRule="auto"/>
      <w:ind w:left="1134" w:hanging="1134"/>
    </w:pPr>
    <w:rPr>
      <w:b/>
      <w:sz w:val="28"/>
    </w:rPr>
  </w:style>
  <w:style w:type="paragraph" w:customStyle="1" w:styleId="notetext">
    <w:name w:val="note(text)"/>
    <w:aliases w:val="n"/>
    <w:basedOn w:val="OPCParaBase"/>
    <w:rsid w:val="00FA1436"/>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FA14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A1436"/>
    <w:rPr>
      <w:sz w:val="22"/>
    </w:rPr>
  </w:style>
  <w:style w:type="paragraph" w:customStyle="1" w:styleId="SOTextNote">
    <w:name w:val="SO TextNote"/>
    <w:aliases w:val="sont"/>
    <w:basedOn w:val="SOText"/>
    <w:qFormat/>
    <w:rsid w:val="00FA1436"/>
    <w:pPr>
      <w:spacing w:before="122" w:line="198" w:lineRule="exact"/>
      <w:ind w:left="1843" w:hanging="709"/>
    </w:pPr>
    <w:rPr>
      <w:sz w:val="18"/>
    </w:rPr>
  </w:style>
  <w:style w:type="paragraph" w:customStyle="1" w:styleId="SOPara">
    <w:name w:val="SO Para"/>
    <w:aliases w:val="soa"/>
    <w:basedOn w:val="SOText"/>
    <w:link w:val="SOParaChar"/>
    <w:qFormat/>
    <w:rsid w:val="00FA1436"/>
    <w:pPr>
      <w:tabs>
        <w:tab w:val="right" w:pos="1786"/>
      </w:tabs>
      <w:spacing w:before="40"/>
      <w:ind w:left="2070" w:hanging="936"/>
    </w:pPr>
  </w:style>
  <w:style w:type="character" w:customStyle="1" w:styleId="SOParaChar">
    <w:name w:val="SO Para Char"/>
    <w:aliases w:val="soa Char"/>
    <w:basedOn w:val="DefaultParagraphFont"/>
    <w:link w:val="SOPara"/>
    <w:rsid w:val="00FA1436"/>
    <w:rPr>
      <w:sz w:val="22"/>
    </w:rPr>
  </w:style>
  <w:style w:type="paragraph" w:customStyle="1" w:styleId="FileName">
    <w:name w:val="FileName"/>
    <w:basedOn w:val="Normal"/>
    <w:rsid w:val="00FA1436"/>
  </w:style>
  <w:style w:type="paragraph" w:customStyle="1" w:styleId="TableHeading">
    <w:name w:val="TableHeading"/>
    <w:aliases w:val="th"/>
    <w:basedOn w:val="OPCParaBase"/>
    <w:next w:val="Tabletext"/>
    <w:rsid w:val="00FA1436"/>
    <w:pPr>
      <w:keepNext/>
      <w:spacing w:before="60" w:line="240" w:lineRule="atLeast"/>
    </w:pPr>
    <w:rPr>
      <w:b/>
      <w:sz w:val="20"/>
    </w:rPr>
  </w:style>
  <w:style w:type="paragraph" w:customStyle="1" w:styleId="SOHeadBold">
    <w:name w:val="SO HeadBold"/>
    <w:aliases w:val="sohb"/>
    <w:basedOn w:val="SOText"/>
    <w:next w:val="SOText"/>
    <w:link w:val="SOHeadBoldChar"/>
    <w:qFormat/>
    <w:rsid w:val="00FA1436"/>
    <w:rPr>
      <w:b/>
    </w:rPr>
  </w:style>
  <w:style w:type="character" w:customStyle="1" w:styleId="SOHeadBoldChar">
    <w:name w:val="SO HeadBold Char"/>
    <w:aliases w:val="sohb Char"/>
    <w:basedOn w:val="DefaultParagraphFont"/>
    <w:link w:val="SOHeadBold"/>
    <w:rsid w:val="00FA1436"/>
    <w:rPr>
      <w:b/>
      <w:sz w:val="22"/>
    </w:rPr>
  </w:style>
  <w:style w:type="paragraph" w:customStyle="1" w:styleId="SOHeadItalic">
    <w:name w:val="SO HeadItalic"/>
    <w:aliases w:val="sohi"/>
    <w:basedOn w:val="SOText"/>
    <w:next w:val="SOText"/>
    <w:link w:val="SOHeadItalicChar"/>
    <w:qFormat/>
    <w:rsid w:val="00FA1436"/>
    <w:rPr>
      <w:i/>
    </w:rPr>
  </w:style>
  <w:style w:type="character" w:customStyle="1" w:styleId="SOHeadItalicChar">
    <w:name w:val="SO HeadItalic Char"/>
    <w:aliases w:val="sohi Char"/>
    <w:basedOn w:val="DefaultParagraphFont"/>
    <w:link w:val="SOHeadItalic"/>
    <w:rsid w:val="00FA1436"/>
    <w:rPr>
      <w:i/>
      <w:sz w:val="22"/>
    </w:rPr>
  </w:style>
  <w:style w:type="paragraph" w:customStyle="1" w:styleId="SOBullet">
    <w:name w:val="SO Bullet"/>
    <w:aliases w:val="sotb"/>
    <w:basedOn w:val="SOText"/>
    <w:link w:val="SOBulletChar"/>
    <w:qFormat/>
    <w:rsid w:val="00FA1436"/>
    <w:pPr>
      <w:ind w:left="1559" w:hanging="425"/>
    </w:pPr>
  </w:style>
  <w:style w:type="character" w:customStyle="1" w:styleId="SOBulletChar">
    <w:name w:val="SO Bullet Char"/>
    <w:aliases w:val="sotb Char"/>
    <w:basedOn w:val="DefaultParagraphFont"/>
    <w:link w:val="SOBullet"/>
    <w:rsid w:val="00FA1436"/>
    <w:rPr>
      <w:sz w:val="22"/>
    </w:rPr>
  </w:style>
  <w:style w:type="paragraph" w:customStyle="1" w:styleId="SOBulletNote">
    <w:name w:val="SO BulletNote"/>
    <w:aliases w:val="sonb"/>
    <w:basedOn w:val="SOTextNote"/>
    <w:link w:val="SOBulletNoteChar"/>
    <w:qFormat/>
    <w:rsid w:val="00FA1436"/>
    <w:pPr>
      <w:tabs>
        <w:tab w:val="left" w:pos="1560"/>
      </w:tabs>
      <w:ind w:left="2268" w:hanging="1134"/>
    </w:pPr>
  </w:style>
  <w:style w:type="character" w:customStyle="1" w:styleId="SOBulletNoteChar">
    <w:name w:val="SO BulletNote Char"/>
    <w:aliases w:val="sonb Char"/>
    <w:basedOn w:val="DefaultParagraphFont"/>
    <w:link w:val="SOBulletNote"/>
    <w:rsid w:val="00FA1436"/>
    <w:rPr>
      <w:sz w:val="18"/>
    </w:rPr>
  </w:style>
  <w:style w:type="character" w:customStyle="1" w:styleId="subsectionChar">
    <w:name w:val="subsection Char"/>
    <w:aliases w:val="ss Char"/>
    <w:basedOn w:val="DefaultParagraphFont"/>
    <w:link w:val="subsection"/>
    <w:rsid w:val="008A3E97"/>
    <w:rPr>
      <w:rFonts w:eastAsia="Times New Roman" w:cs="Times New Roman"/>
      <w:sz w:val="22"/>
      <w:lang w:eastAsia="en-AU"/>
    </w:rPr>
  </w:style>
  <w:style w:type="character" w:customStyle="1" w:styleId="paragraphChar">
    <w:name w:val="paragraph Char"/>
    <w:aliases w:val="a Char"/>
    <w:link w:val="paragraph"/>
    <w:rsid w:val="008A3E97"/>
    <w:rPr>
      <w:rFonts w:eastAsia="Times New Roman" w:cs="Times New Roman"/>
      <w:sz w:val="22"/>
      <w:lang w:eastAsia="en-AU"/>
    </w:rPr>
  </w:style>
  <w:style w:type="paragraph" w:customStyle="1" w:styleId="SOText2">
    <w:name w:val="SO Text2"/>
    <w:aliases w:val="sot2"/>
    <w:basedOn w:val="Normal"/>
    <w:next w:val="SOText"/>
    <w:link w:val="SOText2Char"/>
    <w:rsid w:val="00FA143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143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1436"/>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A1436"/>
  </w:style>
  <w:style w:type="paragraph" w:customStyle="1" w:styleId="OPCParaBase">
    <w:name w:val="OPCParaBase"/>
    <w:qFormat/>
    <w:rsid w:val="00FA1436"/>
    <w:pPr>
      <w:spacing w:line="260" w:lineRule="atLeast"/>
    </w:pPr>
    <w:rPr>
      <w:rFonts w:eastAsia="Times New Roman" w:cs="Times New Roman"/>
      <w:sz w:val="22"/>
      <w:lang w:eastAsia="en-AU"/>
    </w:rPr>
  </w:style>
  <w:style w:type="paragraph" w:customStyle="1" w:styleId="ShortT">
    <w:name w:val="ShortT"/>
    <w:basedOn w:val="OPCParaBase"/>
    <w:next w:val="Normal"/>
    <w:qFormat/>
    <w:rsid w:val="00FA1436"/>
    <w:pPr>
      <w:spacing w:line="240" w:lineRule="auto"/>
    </w:pPr>
    <w:rPr>
      <w:b/>
      <w:sz w:val="40"/>
    </w:rPr>
  </w:style>
  <w:style w:type="paragraph" w:customStyle="1" w:styleId="ActHead1">
    <w:name w:val="ActHead 1"/>
    <w:aliases w:val="c"/>
    <w:basedOn w:val="OPCParaBase"/>
    <w:next w:val="Normal"/>
    <w:qFormat/>
    <w:rsid w:val="00FA143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143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143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143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143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143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143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143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143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1436"/>
  </w:style>
  <w:style w:type="paragraph" w:customStyle="1" w:styleId="Blocks">
    <w:name w:val="Blocks"/>
    <w:aliases w:val="bb"/>
    <w:basedOn w:val="OPCParaBase"/>
    <w:qFormat/>
    <w:rsid w:val="00FA1436"/>
    <w:pPr>
      <w:spacing w:line="240" w:lineRule="auto"/>
    </w:pPr>
    <w:rPr>
      <w:sz w:val="24"/>
    </w:rPr>
  </w:style>
  <w:style w:type="paragraph" w:customStyle="1" w:styleId="BoxText">
    <w:name w:val="BoxText"/>
    <w:aliases w:val="bt"/>
    <w:basedOn w:val="OPCParaBase"/>
    <w:qFormat/>
    <w:rsid w:val="00FA143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1436"/>
    <w:rPr>
      <w:b/>
    </w:rPr>
  </w:style>
  <w:style w:type="paragraph" w:customStyle="1" w:styleId="BoxHeadItalic">
    <w:name w:val="BoxHeadItalic"/>
    <w:aliases w:val="bhi"/>
    <w:basedOn w:val="BoxText"/>
    <w:next w:val="BoxStep"/>
    <w:qFormat/>
    <w:rsid w:val="00FA1436"/>
    <w:rPr>
      <w:i/>
    </w:rPr>
  </w:style>
  <w:style w:type="paragraph" w:customStyle="1" w:styleId="BoxList">
    <w:name w:val="BoxList"/>
    <w:aliases w:val="bl"/>
    <w:basedOn w:val="BoxText"/>
    <w:qFormat/>
    <w:rsid w:val="00FA1436"/>
    <w:pPr>
      <w:ind w:left="1559" w:hanging="425"/>
    </w:pPr>
  </w:style>
  <w:style w:type="paragraph" w:customStyle="1" w:styleId="BoxNote">
    <w:name w:val="BoxNote"/>
    <w:aliases w:val="bn"/>
    <w:basedOn w:val="BoxText"/>
    <w:qFormat/>
    <w:rsid w:val="00FA1436"/>
    <w:pPr>
      <w:tabs>
        <w:tab w:val="left" w:pos="1985"/>
      </w:tabs>
      <w:spacing w:before="122" w:line="198" w:lineRule="exact"/>
      <w:ind w:left="2948" w:hanging="1814"/>
    </w:pPr>
    <w:rPr>
      <w:sz w:val="18"/>
    </w:rPr>
  </w:style>
  <w:style w:type="paragraph" w:customStyle="1" w:styleId="BoxPara">
    <w:name w:val="BoxPara"/>
    <w:aliases w:val="bp"/>
    <w:basedOn w:val="BoxText"/>
    <w:qFormat/>
    <w:rsid w:val="00FA1436"/>
    <w:pPr>
      <w:tabs>
        <w:tab w:val="right" w:pos="2268"/>
      </w:tabs>
      <w:ind w:left="2552" w:hanging="1418"/>
    </w:pPr>
  </w:style>
  <w:style w:type="paragraph" w:customStyle="1" w:styleId="BoxStep">
    <w:name w:val="BoxStep"/>
    <w:aliases w:val="bs"/>
    <w:basedOn w:val="BoxText"/>
    <w:qFormat/>
    <w:rsid w:val="00FA1436"/>
    <w:pPr>
      <w:ind w:left="1985" w:hanging="851"/>
    </w:pPr>
  </w:style>
  <w:style w:type="character" w:customStyle="1" w:styleId="CharAmPartNo">
    <w:name w:val="CharAmPartNo"/>
    <w:basedOn w:val="OPCCharBase"/>
    <w:qFormat/>
    <w:rsid w:val="00FA1436"/>
  </w:style>
  <w:style w:type="character" w:customStyle="1" w:styleId="CharAmPartText">
    <w:name w:val="CharAmPartText"/>
    <w:basedOn w:val="OPCCharBase"/>
    <w:qFormat/>
    <w:rsid w:val="00FA1436"/>
  </w:style>
  <w:style w:type="character" w:customStyle="1" w:styleId="CharAmSchNo">
    <w:name w:val="CharAmSchNo"/>
    <w:basedOn w:val="OPCCharBase"/>
    <w:qFormat/>
    <w:rsid w:val="00FA1436"/>
  </w:style>
  <w:style w:type="character" w:customStyle="1" w:styleId="CharAmSchText">
    <w:name w:val="CharAmSchText"/>
    <w:basedOn w:val="OPCCharBase"/>
    <w:qFormat/>
    <w:rsid w:val="00FA1436"/>
  </w:style>
  <w:style w:type="character" w:customStyle="1" w:styleId="CharBoldItalic">
    <w:name w:val="CharBoldItalic"/>
    <w:basedOn w:val="OPCCharBase"/>
    <w:uiPriority w:val="1"/>
    <w:qFormat/>
    <w:rsid w:val="00FA1436"/>
    <w:rPr>
      <w:b/>
      <w:i/>
    </w:rPr>
  </w:style>
  <w:style w:type="character" w:customStyle="1" w:styleId="CharChapNo">
    <w:name w:val="CharChapNo"/>
    <w:basedOn w:val="OPCCharBase"/>
    <w:uiPriority w:val="1"/>
    <w:qFormat/>
    <w:rsid w:val="00FA1436"/>
  </w:style>
  <w:style w:type="character" w:customStyle="1" w:styleId="CharChapText">
    <w:name w:val="CharChapText"/>
    <w:basedOn w:val="OPCCharBase"/>
    <w:uiPriority w:val="1"/>
    <w:qFormat/>
    <w:rsid w:val="00FA1436"/>
  </w:style>
  <w:style w:type="character" w:customStyle="1" w:styleId="CharDivNo">
    <w:name w:val="CharDivNo"/>
    <w:basedOn w:val="OPCCharBase"/>
    <w:uiPriority w:val="1"/>
    <w:qFormat/>
    <w:rsid w:val="00FA1436"/>
  </w:style>
  <w:style w:type="character" w:customStyle="1" w:styleId="CharDivText">
    <w:name w:val="CharDivText"/>
    <w:basedOn w:val="OPCCharBase"/>
    <w:uiPriority w:val="1"/>
    <w:qFormat/>
    <w:rsid w:val="00FA1436"/>
  </w:style>
  <w:style w:type="character" w:customStyle="1" w:styleId="CharItalic">
    <w:name w:val="CharItalic"/>
    <w:basedOn w:val="OPCCharBase"/>
    <w:uiPriority w:val="1"/>
    <w:qFormat/>
    <w:rsid w:val="00FA1436"/>
    <w:rPr>
      <w:i/>
    </w:rPr>
  </w:style>
  <w:style w:type="character" w:customStyle="1" w:styleId="CharPartNo">
    <w:name w:val="CharPartNo"/>
    <w:basedOn w:val="OPCCharBase"/>
    <w:uiPriority w:val="1"/>
    <w:qFormat/>
    <w:rsid w:val="00FA1436"/>
  </w:style>
  <w:style w:type="character" w:customStyle="1" w:styleId="CharPartText">
    <w:name w:val="CharPartText"/>
    <w:basedOn w:val="OPCCharBase"/>
    <w:uiPriority w:val="1"/>
    <w:qFormat/>
    <w:rsid w:val="00FA1436"/>
  </w:style>
  <w:style w:type="character" w:customStyle="1" w:styleId="CharSectno">
    <w:name w:val="CharSectno"/>
    <w:basedOn w:val="OPCCharBase"/>
    <w:qFormat/>
    <w:rsid w:val="00FA1436"/>
  </w:style>
  <w:style w:type="character" w:customStyle="1" w:styleId="CharSubdNo">
    <w:name w:val="CharSubdNo"/>
    <w:basedOn w:val="OPCCharBase"/>
    <w:uiPriority w:val="1"/>
    <w:qFormat/>
    <w:rsid w:val="00FA1436"/>
  </w:style>
  <w:style w:type="character" w:customStyle="1" w:styleId="CharSubdText">
    <w:name w:val="CharSubdText"/>
    <w:basedOn w:val="OPCCharBase"/>
    <w:uiPriority w:val="1"/>
    <w:qFormat/>
    <w:rsid w:val="00FA1436"/>
  </w:style>
  <w:style w:type="paragraph" w:customStyle="1" w:styleId="CTA--">
    <w:name w:val="CTA --"/>
    <w:basedOn w:val="OPCParaBase"/>
    <w:next w:val="Normal"/>
    <w:rsid w:val="00FA1436"/>
    <w:pPr>
      <w:spacing w:before="60" w:line="240" w:lineRule="atLeast"/>
      <w:ind w:left="142" w:hanging="142"/>
    </w:pPr>
    <w:rPr>
      <w:sz w:val="20"/>
    </w:rPr>
  </w:style>
  <w:style w:type="paragraph" w:customStyle="1" w:styleId="CTA-">
    <w:name w:val="CTA -"/>
    <w:basedOn w:val="OPCParaBase"/>
    <w:rsid w:val="00FA1436"/>
    <w:pPr>
      <w:spacing w:before="60" w:line="240" w:lineRule="atLeast"/>
      <w:ind w:left="85" w:hanging="85"/>
    </w:pPr>
    <w:rPr>
      <w:sz w:val="20"/>
    </w:rPr>
  </w:style>
  <w:style w:type="paragraph" w:customStyle="1" w:styleId="CTA---">
    <w:name w:val="CTA ---"/>
    <w:basedOn w:val="OPCParaBase"/>
    <w:next w:val="Normal"/>
    <w:rsid w:val="00FA1436"/>
    <w:pPr>
      <w:spacing w:before="60" w:line="240" w:lineRule="atLeast"/>
      <w:ind w:left="198" w:hanging="198"/>
    </w:pPr>
    <w:rPr>
      <w:sz w:val="20"/>
    </w:rPr>
  </w:style>
  <w:style w:type="paragraph" w:customStyle="1" w:styleId="CTA----">
    <w:name w:val="CTA ----"/>
    <w:basedOn w:val="OPCParaBase"/>
    <w:next w:val="Normal"/>
    <w:rsid w:val="00FA1436"/>
    <w:pPr>
      <w:spacing w:before="60" w:line="240" w:lineRule="atLeast"/>
      <w:ind w:left="255" w:hanging="255"/>
    </w:pPr>
    <w:rPr>
      <w:sz w:val="20"/>
    </w:rPr>
  </w:style>
  <w:style w:type="paragraph" w:customStyle="1" w:styleId="CTA1a">
    <w:name w:val="CTA 1(a)"/>
    <w:basedOn w:val="OPCParaBase"/>
    <w:rsid w:val="00FA1436"/>
    <w:pPr>
      <w:tabs>
        <w:tab w:val="right" w:pos="414"/>
      </w:tabs>
      <w:spacing w:before="40" w:line="240" w:lineRule="atLeast"/>
      <w:ind w:left="675" w:hanging="675"/>
    </w:pPr>
    <w:rPr>
      <w:sz w:val="20"/>
    </w:rPr>
  </w:style>
  <w:style w:type="paragraph" w:customStyle="1" w:styleId="CTA1ai">
    <w:name w:val="CTA 1(a)(i)"/>
    <w:basedOn w:val="OPCParaBase"/>
    <w:rsid w:val="00FA1436"/>
    <w:pPr>
      <w:tabs>
        <w:tab w:val="right" w:pos="1004"/>
      </w:tabs>
      <w:spacing w:before="40" w:line="240" w:lineRule="atLeast"/>
      <w:ind w:left="1253" w:hanging="1253"/>
    </w:pPr>
    <w:rPr>
      <w:sz w:val="20"/>
    </w:rPr>
  </w:style>
  <w:style w:type="paragraph" w:customStyle="1" w:styleId="CTA2a">
    <w:name w:val="CTA 2(a)"/>
    <w:basedOn w:val="OPCParaBase"/>
    <w:rsid w:val="00FA1436"/>
    <w:pPr>
      <w:tabs>
        <w:tab w:val="right" w:pos="482"/>
      </w:tabs>
      <w:spacing w:before="40" w:line="240" w:lineRule="atLeast"/>
      <w:ind w:left="748" w:hanging="748"/>
    </w:pPr>
    <w:rPr>
      <w:sz w:val="20"/>
    </w:rPr>
  </w:style>
  <w:style w:type="paragraph" w:customStyle="1" w:styleId="CTA2ai">
    <w:name w:val="CTA 2(a)(i)"/>
    <w:basedOn w:val="OPCParaBase"/>
    <w:rsid w:val="00FA1436"/>
    <w:pPr>
      <w:tabs>
        <w:tab w:val="right" w:pos="1089"/>
      </w:tabs>
      <w:spacing w:before="40" w:line="240" w:lineRule="atLeast"/>
      <w:ind w:left="1327" w:hanging="1327"/>
    </w:pPr>
    <w:rPr>
      <w:sz w:val="20"/>
    </w:rPr>
  </w:style>
  <w:style w:type="paragraph" w:customStyle="1" w:styleId="CTA3a">
    <w:name w:val="CTA 3(a)"/>
    <w:basedOn w:val="OPCParaBase"/>
    <w:rsid w:val="00FA1436"/>
    <w:pPr>
      <w:tabs>
        <w:tab w:val="right" w:pos="556"/>
      </w:tabs>
      <w:spacing w:before="40" w:line="240" w:lineRule="atLeast"/>
      <w:ind w:left="805" w:hanging="805"/>
    </w:pPr>
    <w:rPr>
      <w:sz w:val="20"/>
    </w:rPr>
  </w:style>
  <w:style w:type="paragraph" w:customStyle="1" w:styleId="CTA3ai">
    <w:name w:val="CTA 3(a)(i)"/>
    <w:basedOn w:val="OPCParaBase"/>
    <w:rsid w:val="00FA1436"/>
    <w:pPr>
      <w:tabs>
        <w:tab w:val="right" w:pos="1140"/>
      </w:tabs>
      <w:spacing w:before="40" w:line="240" w:lineRule="atLeast"/>
      <w:ind w:left="1361" w:hanging="1361"/>
    </w:pPr>
    <w:rPr>
      <w:sz w:val="20"/>
    </w:rPr>
  </w:style>
  <w:style w:type="paragraph" w:customStyle="1" w:styleId="CTA4a">
    <w:name w:val="CTA 4(a)"/>
    <w:basedOn w:val="OPCParaBase"/>
    <w:rsid w:val="00FA1436"/>
    <w:pPr>
      <w:tabs>
        <w:tab w:val="right" w:pos="624"/>
      </w:tabs>
      <w:spacing w:before="40" w:line="240" w:lineRule="atLeast"/>
      <w:ind w:left="873" w:hanging="873"/>
    </w:pPr>
    <w:rPr>
      <w:sz w:val="20"/>
    </w:rPr>
  </w:style>
  <w:style w:type="paragraph" w:customStyle="1" w:styleId="CTA4ai">
    <w:name w:val="CTA 4(a)(i)"/>
    <w:basedOn w:val="OPCParaBase"/>
    <w:rsid w:val="00FA1436"/>
    <w:pPr>
      <w:tabs>
        <w:tab w:val="right" w:pos="1213"/>
      </w:tabs>
      <w:spacing w:before="40" w:line="240" w:lineRule="atLeast"/>
      <w:ind w:left="1452" w:hanging="1452"/>
    </w:pPr>
    <w:rPr>
      <w:sz w:val="20"/>
    </w:rPr>
  </w:style>
  <w:style w:type="paragraph" w:customStyle="1" w:styleId="CTACAPS">
    <w:name w:val="CTA CAPS"/>
    <w:basedOn w:val="OPCParaBase"/>
    <w:rsid w:val="00FA1436"/>
    <w:pPr>
      <w:spacing w:before="60" w:line="240" w:lineRule="atLeast"/>
    </w:pPr>
    <w:rPr>
      <w:sz w:val="20"/>
    </w:rPr>
  </w:style>
  <w:style w:type="paragraph" w:customStyle="1" w:styleId="CTAright">
    <w:name w:val="CTA right"/>
    <w:basedOn w:val="OPCParaBase"/>
    <w:rsid w:val="00FA1436"/>
    <w:pPr>
      <w:spacing w:before="60" w:line="240" w:lineRule="auto"/>
      <w:jc w:val="right"/>
    </w:pPr>
    <w:rPr>
      <w:sz w:val="20"/>
    </w:rPr>
  </w:style>
  <w:style w:type="paragraph" w:customStyle="1" w:styleId="subsection">
    <w:name w:val="subsection"/>
    <w:aliases w:val="ss"/>
    <w:basedOn w:val="OPCParaBase"/>
    <w:link w:val="subsectionChar"/>
    <w:rsid w:val="00FA1436"/>
    <w:pPr>
      <w:tabs>
        <w:tab w:val="right" w:pos="1021"/>
      </w:tabs>
      <w:spacing w:before="180" w:line="240" w:lineRule="auto"/>
      <w:ind w:left="1134" w:hanging="1134"/>
    </w:pPr>
  </w:style>
  <w:style w:type="paragraph" w:customStyle="1" w:styleId="Definition">
    <w:name w:val="Definition"/>
    <w:aliases w:val="dd"/>
    <w:basedOn w:val="OPCParaBase"/>
    <w:rsid w:val="00FA1436"/>
    <w:pPr>
      <w:spacing w:before="180" w:line="240" w:lineRule="auto"/>
      <w:ind w:left="1134"/>
    </w:pPr>
  </w:style>
  <w:style w:type="paragraph" w:customStyle="1" w:styleId="ETAsubitem">
    <w:name w:val="ETA(subitem)"/>
    <w:basedOn w:val="OPCParaBase"/>
    <w:rsid w:val="00FA1436"/>
    <w:pPr>
      <w:tabs>
        <w:tab w:val="right" w:pos="340"/>
      </w:tabs>
      <w:spacing w:before="60" w:line="240" w:lineRule="auto"/>
      <w:ind w:left="454" w:hanging="454"/>
    </w:pPr>
    <w:rPr>
      <w:sz w:val="20"/>
    </w:rPr>
  </w:style>
  <w:style w:type="paragraph" w:customStyle="1" w:styleId="ETApara">
    <w:name w:val="ETA(para)"/>
    <w:basedOn w:val="OPCParaBase"/>
    <w:rsid w:val="00FA1436"/>
    <w:pPr>
      <w:tabs>
        <w:tab w:val="right" w:pos="754"/>
      </w:tabs>
      <w:spacing w:before="60" w:line="240" w:lineRule="auto"/>
      <w:ind w:left="828" w:hanging="828"/>
    </w:pPr>
    <w:rPr>
      <w:sz w:val="20"/>
    </w:rPr>
  </w:style>
  <w:style w:type="paragraph" w:customStyle="1" w:styleId="ETAsubpara">
    <w:name w:val="ETA(subpara)"/>
    <w:basedOn w:val="OPCParaBase"/>
    <w:rsid w:val="00FA1436"/>
    <w:pPr>
      <w:tabs>
        <w:tab w:val="right" w:pos="1083"/>
      </w:tabs>
      <w:spacing w:before="60" w:line="240" w:lineRule="auto"/>
      <w:ind w:left="1191" w:hanging="1191"/>
    </w:pPr>
    <w:rPr>
      <w:sz w:val="20"/>
    </w:rPr>
  </w:style>
  <w:style w:type="paragraph" w:customStyle="1" w:styleId="ETAsub-subpara">
    <w:name w:val="ETA(sub-subpara)"/>
    <w:basedOn w:val="OPCParaBase"/>
    <w:rsid w:val="00FA1436"/>
    <w:pPr>
      <w:tabs>
        <w:tab w:val="right" w:pos="1412"/>
      </w:tabs>
      <w:spacing w:before="60" w:line="240" w:lineRule="auto"/>
      <w:ind w:left="1525" w:hanging="1525"/>
    </w:pPr>
    <w:rPr>
      <w:sz w:val="20"/>
    </w:rPr>
  </w:style>
  <w:style w:type="paragraph" w:customStyle="1" w:styleId="Formula">
    <w:name w:val="Formula"/>
    <w:basedOn w:val="OPCParaBase"/>
    <w:rsid w:val="00FA1436"/>
    <w:pPr>
      <w:spacing w:line="240" w:lineRule="auto"/>
      <w:ind w:left="1134"/>
    </w:pPr>
    <w:rPr>
      <w:sz w:val="20"/>
    </w:rPr>
  </w:style>
  <w:style w:type="paragraph" w:styleId="Header">
    <w:name w:val="header"/>
    <w:basedOn w:val="OPCParaBase"/>
    <w:link w:val="HeaderChar"/>
    <w:unhideWhenUsed/>
    <w:rsid w:val="00FA143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1436"/>
    <w:rPr>
      <w:rFonts w:eastAsia="Times New Roman" w:cs="Times New Roman"/>
      <w:sz w:val="16"/>
      <w:lang w:eastAsia="en-AU"/>
    </w:rPr>
  </w:style>
  <w:style w:type="paragraph" w:customStyle="1" w:styleId="House">
    <w:name w:val="House"/>
    <w:basedOn w:val="OPCParaBase"/>
    <w:rsid w:val="00FA1436"/>
    <w:pPr>
      <w:spacing w:line="240" w:lineRule="auto"/>
    </w:pPr>
    <w:rPr>
      <w:sz w:val="28"/>
    </w:rPr>
  </w:style>
  <w:style w:type="paragraph" w:customStyle="1" w:styleId="Item">
    <w:name w:val="Item"/>
    <w:aliases w:val="i"/>
    <w:basedOn w:val="OPCParaBase"/>
    <w:next w:val="ItemHead"/>
    <w:rsid w:val="00FA1436"/>
    <w:pPr>
      <w:keepLines/>
      <w:spacing w:before="80" w:line="240" w:lineRule="auto"/>
      <w:ind w:left="709"/>
    </w:pPr>
  </w:style>
  <w:style w:type="paragraph" w:customStyle="1" w:styleId="ItemHead">
    <w:name w:val="ItemHead"/>
    <w:aliases w:val="ih"/>
    <w:basedOn w:val="OPCParaBase"/>
    <w:next w:val="Item"/>
    <w:rsid w:val="00FA143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1436"/>
    <w:pPr>
      <w:spacing w:line="240" w:lineRule="auto"/>
    </w:pPr>
    <w:rPr>
      <w:b/>
      <w:sz w:val="32"/>
    </w:rPr>
  </w:style>
  <w:style w:type="paragraph" w:customStyle="1" w:styleId="notedraft">
    <w:name w:val="note(draft)"/>
    <w:aliases w:val="nd"/>
    <w:basedOn w:val="OPCParaBase"/>
    <w:rsid w:val="00FA1436"/>
    <w:pPr>
      <w:spacing w:before="240" w:line="240" w:lineRule="auto"/>
      <w:ind w:left="284" w:hanging="284"/>
    </w:pPr>
    <w:rPr>
      <w:i/>
      <w:sz w:val="24"/>
    </w:rPr>
  </w:style>
  <w:style w:type="paragraph" w:customStyle="1" w:styleId="notemargin">
    <w:name w:val="note(margin)"/>
    <w:aliases w:val="nm"/>
    <w:basedOn w:val="OPCParaBase"/>
    <w:rsid w:val="00FA1436"/>
    <w:pPr>
      <w:tabs>
        <w:tab w:val="left" w:pos="709"/>
      </w:tabs>
      <w:spacing w:before="122" w:line="198" w:lineRule="exact"/>
      <w:ind w:left="709" w:hanging="709"/>
    </w:pPr>
    <w:rPr>
      <w:sz w:val="18"/>
    </w:rPr>
  </w:style>
  <w:style w:type="paragraph" w:customStyle="1" w:styleId="noteToPara">
    <w:name w:val="noteToPara"/>
    <w:aliases w:val="ntp"/>
    <w:basedOn w:val="OPCParaBase"/>
    <w:rsid w:val="00FA1436"/>
    <w:pPr>
      <w:spacing w:before="122" w:line="198" w:lineRule="exact"/>
      <w:ind w:left="2353" w:hanging="709"/>
    </w:pPr>
    <w:rPr>
      <w:sz w:val="18"/>
    </w:rPr>
  </w:style>
  <w:style w:type="paragraph" w:customStyle="1" w:styleId="noteParlAmend">
    <w:name w:val="note(ParlAmend)"/>
    <w:aliases w:val="npp"/>
    <w:basedOn w:val="OPCParaBase"/>
    <w:next w:val="ParlAmend"/>
    <w:rsid w:val="00FA1436"/>
    <w:pPr>
      <w:spacing w:line="240" w:lineRule="auto"/>
      <w:jc w:val="right"/>
    </w:pPr>
    <w:rPr>
      <w:rFonts w:ascii="Arial" w:hAnsi="Arial"/>
      <w:b/>
      <w:i/>
    </w:rPr>
  </w:style>
  <w:style w:type="paragraph" w:customStyle="1" w:styleId="Page1">
    <w:name w:val="Page1"/>
    <w:basedOn w:val="OPCParaBase"/>
    <w:rsid w:val="00FA1436"/>
    <w:pPr>
      <w:spacing w:before="5600" w:line="240" w:lineRule="auto"/>
    </w:pPr>
    <w:rPr>
      <w:b/>
      <w:sz w:val="32"/>
    </w:rPr>
  </w:style>
  <w:style w:type="paragraph" w:customStyle="1" w:styleId="PageBreak">
    <w:name w:val="PageBreak"/>
    <w:aliases w:val="pb"/>
    <w:basedOn w:val="OPCParaBase"/>
    <w:rsid w:val="00FA1436"/>
    <w:pPr>
      <w:spacing w:line="240" w:lineRule="auto"/>
    </w:pPr>
    <w:rPr>
      <w:sz w:val="20"/>
    </w:rPr>
  </w:style>
  <w:style w:type="paragraph" w:customStyle="1" w:styleId="paragraphsub">
    <w:name w:val="paragraph(sub)"/>
    <w:aliases w:val="aa"/>
    <w:basedOn w:val="OPCParaBase"/>
    <w:rsid w:val="00FA1436"/>
    <w:pPr>
      <w:tabs>
        <w:tab w:val="right" w:pos="1985"/>
      </w:tabs>
      <w:spacing w:before="40" w:line="240" w:lineRule="auto"/>
      <w:ind w:left="2098" w:hanging="2098"/>
    </w:pPr>
  </w:style>
  <w:style w:type="paragraph" w:customStyle="1" w:styleId="paragraphsub-sub">
    <w:name w:val="paragraph(sub-sub)"/>
    <w:aliases w:val="aaa"/>
    <w:basedOn w:val="OPCParaBase"/>
    <w:rsid w:val="00FA1436"/>
    <w:pPr>
      <w:tabs>
        <w:tab w:val="right" w:pos="2722"/>
      </w:tabs>
      <w:spacing w:before="40" w:line="240" w:lineRule="auto"/>
      <w:ind w:left="2835" w:hanging="2835"/>
    </w:pPr>
  </w:style>
  <w:style w:type="paragraph" w:customStyle="1" w:styleId="paragraph">
    <w:name w:val="paragraph"/>
    <w:aliases w:val="a"/>
    <w:basedOn w:val="OPCParaBase"/>
    <w:link w:val="paragraphChar"/>
    <w:rsid w:val="00FA1436"/>
    <w:pPr>
      <w:tabs>
        <w:tab w:val="right" w:pos="1531"/>
      </w:tabs>
      <w:spacing w:before="40" w:line="240" w:lineRule="auto"/>
      <w:ind w:left="1644" w:hanging="1644"/>
    </w:pPr>
  </w:style>
  <w:style w:type="paragraph" w:customStyle="1" w:styleId="ParlAmend">
    <w:name w:val="ParlAmend"/>
    <w:aliases w:val="pp"/>
    <w:basedOn w:val="OPCParaBase"/>
    <w:rsid w:val="00FA1436"/>
    <w:pPr>
      <w:spacing w:before="240" w:line="240" w:lineRule="atLeast"/>
      <w:ind w:hanging="567"/>
    </w:pPr>
    <w:rPr>
      <w:sz w:val="24"/>
    </w:rPr>
  </w:style>
  <w:style w:type="paragraph" w:customStyle="1" w:styleId="Penalty">
    <w:name w:val="Penalty"/>
    <w:basedOn w:val="OPCParaBase"/>
    <w:rsid w:val="00FA1436"/>
    <w:pPr>
      <w:tabs>
        <w:tab w:val="left" w:pos="2977"/>
      </w:tabs>
      <w:spacing w:before="180" w:line="240" w:lineRule="auto"/>
      <w:ind w:left="1985" w:hanging="851"/>
    </w:pPr>
  </w:style>
  <w:style w:type="paragraph" w:customStyle="1" w:styleId="Portfolio">
    <w:name w:val="Portfolio"/>
    <w:basedOn w:val="OPCParaBase"/>
    <w:rsid w:val="00FA1436"/>
    <w:pPr>
      <w:spacing w:line="240" w:lineRule="auto"/>
    </w:pPr>
    <w:rPr>
      <w:i/>
      <w:sz w:val="20"/>
    </w:rPr>
  </w:style>
  <w:style w:type="paragraph" w:customStyle="1" w:styleId="Preamble">
    <w:name w:val="Preamble"/>
    <w:basedOn w:val="OPCParaBase"/>
    <w:next w:val="Normal"/>
    <w:rsid w:val="00FA143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1436"/>
    <w:pPr>
      <w:spacing w:line="240" w:lineRule="auto"/>
    </w:pPr>
    <w:rPr>
      <w:i/>
      <w:sz w:val="20"/>
    </w:rPr>
  </w:style>
  <w:style w:type="paragraph" w:customStyle="1" w:styleId="Session">
    <w:name w:val="Session"/>
    <w:basedOn w:val="OPCParaBase"/>
    <w:rsid w:val="00FA1436"/>
    <w:pPr>
      <w:spacing w:line="240" w:lineRule="auto"/>
    </w:pPr>
    <w:rPr>
      <w:sz w:val="28"/>
    </w:rPr>
  </w:style>
  <w:style w:type="paragraph" w:customStyle="1" w:styleId="Sponsor">
    <w:name w:val="Sponsor"/>
    <w:basedOn w:val="OPCParaBase"/>
    <w:rsid w:val="00FA1436"/>
    <w:pPr>
      <w:spacing w:line="240" w:lineRule="auto"/>
    </w:pPr>
    <w:rPr>
      <w:i/>
    </w:rPr>
  </w:style>
  <w:style w:type="paragraph" w:customStyle="1" w:styleId="Subitem">
    <w:name w:val="Subitem"/>
    <w:aliases w:val="iss"/>
    <w:basedOn w:val="OPCParaBase"/>
    <w:rsid w:val="00FA1436"/>
    <w:pPr>
      <w:spacing w:before="180" w:line="240" w:lineRule="auto"/>
      <w:ind w:left="709" w:hanging="709"/>
    </w:pPr>
  </w:style>
  <w:style w:type="paragraph" w:customStyle="1" w:styleId="SubitemHead">
    <w:name w:val="SubitemHead"/>
    <w:aliases w:val="issh"/>
    <w:basedOn w:val="OPCParaBase"/>
    <w:rsid w:val="00FA143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1436"/>
    <w:pPr>
      <w:spacing w:before="40" w:line="240" w:lineRule="auto"/>
      <w:ind w:left="1134"/>
    </w:pPr>
  </w:style>
  <w:style w:type="paragraph" w:customStyle="1" w:styleId="SubsectionHead">
    <w:name w:val="SubsectionHead"/>
    <w:aliases w:val="ssh"/>
    <w:basedOn w:val="OPCParaBase"/>
    <w:next w:val="subsection"/>
    <w:rsid w:val="00FA1436"/>
    <w:pPr>
      <w:keepNext/>
      <w:keepLines/>
      <w:spacing w:before="240" w:line="240" w:lineRule="auto"/>
      <w:ind w:left="1134"/>
    </w:pPr>
    <w:rPr>
      <w:i/>
    </w:rPr>
  </w:style>
  <w:style w:type="paragraph" w:customStyle="1" w:styleId="Tablea">
    <w:name w:val="Table(a)"/>
    <w:aliases w:val="ta"/>
    <w:basedOn w:val="OPCParaBase"/>
    <w:rsid w:val="00FA1436"/>
    <w:pPr>
      <w:spacing w:before="60" w:line="240" w:lineRule="auto"/>
      <w:ind w:left="284" w:hanging="284"/>
    </w:pPr>
    <w:rPr>
      <w:sz w:val="20"/>
    </w:rPr>
  </w:style>
  <w:style w:type="paragraph" w:customStyle="1" w:styleId="TableAA">
    <w:name w:val="Table(AA)"/>
    <w:aliases w:val="taaa"/>
    <w:basedOn w:val="OPCParaBase"/>
    <w:rsid w:val="00FA143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143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1436"/>
    <w:pPr>
      <w:spacing w:before="60" w:line="240" w:lineRule="atLeast"/>
    </w:pPr>
    <w:rPr>
      <w:sz w:val="20"/>
    </w:rPr>
  </w:style>
  <w:style w:type="paragraph" w:customStyle="1" w:styleId="TLPBoxTextnote">
    <w:name w:val="TLPBoxText(note"/>
    <w:aliases w:val="right)"/>
    <w:basedOn w:val="OPCParaBase"/>
    <w:rsid w:val="00FA143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143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1436"/>
    <w:pPr>
      <w:spacing w:before="122" w:line="198" w:lineRule="exact"/>
      <w:ind w:left="1985" w:hanging="851"/>
      <w:jc w:val="right"/>
    </w:pPr>
    <w:rPr>
      <w:sz w:val="18"/>
    </w:rPr>
  </w:style>
  <w:style w:type="paragraph" w:customStyle="1" w:styleId="TLPTableBullet">
    <w:name w:val="TLPTableBullet"/>
    <w:aliases w:val="ttb"/>
    <w:basedOn w:val="OPCParaBase"/>
    <w:rsid w:val="00FA1436"/>
    <w:pPr>
      <w:spacing w:line="240" w:lineRule="exact"/>
      <w:ind w:left="284" w:hanging="284"/>
    </w:pPr>
    <w:rPr>
      <w:sz w:val="20"/>
    </w:rPr>
  </w:style>
  <w:style w:type="paragraph" w:styleId="TOC1">
    <w:name w:val="toc 1"/>
    <w:basedOn w:val="OPCParaBase"/>
    <w:next w:val="Normal"/>
    <w:uiPriority w:val="39"/>
    <w:semiHidden/>
    <w:unhideWhenUsed/>
    <w:rsid w:val="00FA143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A143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143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143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A143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A143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143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143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A143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1436"/>
    <w:pPr>
      <w:keepLines/>
      <w:spacing w:before="240" w:after="120" w:line="240" w:lineRule="auto"/>
      <w:ind w:left="794"/>
    </w:pPr>
    <w:rPr>
      <w:b/>
      <w:kern w:val="28"/>
      <w:sz w:val="20"/>
    </w:rPr>
  </w:style>
  <w:style w:type="paragraph" w:customStyle="1" w:styleId="TofSectsHeading">
    <w:name w:val="TofSects(Heading)"/>
    <w:basedOn w:val="OPCParaBase"/>
    <w:rsid w:val="00FA1436"/>
    <w:pPr>
      <w:spacing w:before="240" w:after="120" w:line="240" w:lineRule="auto"/>
    </w:pPr>
    <w:rPr>
      <w:b/>
      <w:sz w:val="24"/>
    </w:rPr>
  </w:style>
  <w:style w:type="paragraph" w:customStyle="1" w:styleId="TofSectsSection">
    <w:name w:val="TofSects(Section)"/>
    <w:basedOn w:val="OPCParaBase"/>
    <w:rsid w:val="00FA1436"/>
    <w:pPr>
      <w:keepLines/>
      <w:spacing w:before="40" w:line="240" w:lineRule="auto"/>
      <w:ind w:left="1588" w:hanging="794"/>
    </w:pPr>
    <w:rPr>
      <w:kern w:val="28"/>
      <w:sz w:val="18"/>
    </w:rPr>
  </w:style>
  <w:style w:type="paragraph" w:customStyle="1" w:styleId="TofSectsSubdiv">
    <w:name w:val="TofSects(Subdiv)"/>
    <w:basedOn w:val="OPCParaBase"/>
    <w:rsid w:val="00FA1436"/>
    <w:pPr>
      <w:keepLines/>
      <w:spacing w:before="80" w:line="240" w:lineRule="auto"/>
      <w:ind w:left="1588" w:hanging="794"/>
    </w:pPr>
    <w:rPr>
      <w:kern w:val="28"/>
    </w:rPr>
  </w:style>
  <w:style w:type="paragraph" w:customStyle="1" w:styleId="WRStyle">
    <w:name w:val="WR Style"/>
    <w:aliases w:val="WR"/>
    <w:basedOn w:val="OPCParaBase"/>
    <w:rsid w:val="00FA1436"/>
    <w:pPr>
      <w:spacing w:before="240" w:line="240" w:lineRule="auto"/>
      <w:ind w:left="284" w:hanging="284"/>
    </w:pPr>
    <w:rPr>
      <w:b/>
      <w:i/>
      <w:kern w:val="28"/>
      <w:sz w:val="24"/>
    </w:rPr>
  </w:style>
  <w:style w:type="paragraph" w:customStyle="1" w:styleId="notepara">
    <w:name w:val="note(para)"/>
    <w:aliases w:val="na"/>
    <w:basedOn w:val="OPCParaBase"/>
    <w:rsid w:val="00FA1436"/>
    <w:pPr>
      <w:spacing w:before="40" w:line="198" w:lineRule="exact"/>
      <w:ind w:left="2354" w:hanging="369"/>
    </w:pPr>
    <w:rPr>
      <w:sz w:val="18"/>
    </w:rPr>
  </w:style>
  <w:style w:type="paragraph" w:styleId="Footer">
    <w:name w:val="footer"/>
    <w:link w:val="FooterChar"/>
    <w:rsid w:val="00FA143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A1436"/>
    <w:rPr>
      <w:rFonts w:eastAsia="Times New Roman" w:cs="Times New Roman"/>
      <w:sz w:val="22"/>
      <w:szCs w:val="24"/>
      <w:lang w:eastAsia="en-AU"/>
    </w:rPr>
  </w:style>
  <w:style w:type="character" w:styleId="LineNumber">
    <w:name w:val="line number"/>
    <w:basedOn w:val="OPCCharBase"/>
    <w:uiPriority w:val="99"/>
    <w:semiHidden/>
    <w:unhideWhenUsed/>
    <w:rsid w:val="00FA1436"/>
    <w:rPr>
      <w:sz w:val="16"/>
    </w:rPr>
  </w:style>
  <w:style w:type="table" w:customStyle="1" w:styleId="CFlag">
    <w:name w:val="CFlag"/>
    <w:basedOn w:val="TableNormal"/>
    <w:uiPriority w:val="99"/>
    <w:rsid w:val="00FA1436"/>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14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436"/>
    <w:rPr>
      <w:rFonts w:ascii="Tahoma" w:hAnsi="Tahoma" w:cs="Tahoma"/>
      <w:sz w:val="16"/>
      <w:szCs w:val="16"/>
    </w:rPr>
  </w:style>
  <w:style w:type="character" w:styleId="Hyperlink">
    <w:name w:val="Hyperlink"/>
    <w:basedOn w:val="DefaultParagraphFont"/>
    <w:rsid w:val="00FA1436"/>
    <w:rPr>
      <w:color w:val="0000FF"/>
      <w:u w:val="single"/>
    </w:rPr>
  </w:style>
  <w:style w:type="table" w:styleId="TableGrid">
    <w:name w:val="Table Grid"/>
    <w:basedOn w:val="TableNormal"/>
    <w:uiPriority w:val="59"/>
    <w:rsid w:val="00FA1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FA1436"/>
    <w:rPr>
      <w:b/>
      <w:sz w:val="28"/>
      <w:szCs w:val="32"/>
    </w:rPr>
  </w:style>
  <w:style w:type="paragraph" w:customStyle="1" w:styleId="TerritoryT">
    <w:name w:val="TerritoryT"/>
    <w:basedOn w:val="OPCParaBase"/>
    <w:next w:val="Normal"/>
    <w:rsid w:val="00FA1436"/>
    <w:rPr>
      <w:b/>
      <w:sz w:val="32"/>
    </w:rPr>
  </w:style>
  <w:style w:type="paragraph" w:customStyle="1" w:styleId="LegislationMadeUnder">
    <w:name w:val="LegislationMadeUnder"/>
    <w:basedOn w:val="OPCParaBase"/>
    <w:next w:val="Normal"/>
    <w:rsid w:val="00FA1436"/>
    <w:rPr>
      <w:i/>
      <w:sz w:val="32"/>
      <w:szCs w:val="32"/>
    </w:rPr>
  </w:style>
  <w:style w:type="paragraph" w:customStyle="1" w:styleId="SignCoverPageEnd">
    <w:name w:val="SignCoverPageEnd"/>
    <w:basedOn w:val="OPCParaBase"/>
    <w:next w:val="Normal"/>
    <w:rsid w:val="00FA1436"/>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FA1436"/>
    <w:pPr>
      <w:pBdr>
        <w:top w:val="single" w:sz="4" w:space="1" w:color="auto"/>
      </w:pBdr>
      <w:spacing w:before="360"/>
      <w:ind w:right="397"/>
      <w:jc w:val="both"/>
    </w:pPr>
  </w:style>
  <w:style w:type="paragraph" w:customStyle="1" w:styleId="NotesHeading1">
    <w:name w:val="NotesHeading 1"/>
    <w:basedOn w:val="OPCParaBase"/>
    <w:next w:val="Normal"/>
    <w:rsid w:val="00FA1436"/>
    <w:rPr>
      <w:b/>
      <w:sz w:val="28"/>
      <w:szCs w:val="28"/>
    </w:rPr>
  </w:style>
  <w:style w:type="paragraph" w:customStyle="1" w:styleId="NotesHeading2">
    <w:name w:val="NotesHeading 2"/>
    <w:basedOn w:val="OPCParaBase"/>
    <w:next w:val="Normal"/>
    <w:rsid w:val="00FA1436"/>
    <w:rPr>
      <w:b/>
      <w:sz w:val="28"/>
      <w:szCs w:val="28"/>
    </w:rPr>
  </w:style>
  <w:style w:type="paragraph" w:customStyle="1" w:styleId="ENotesText">
    <w:name w:val="ENotesText"/>
    <w:basedOn w:val="OPCParaBase"/>
    <w:next w:val="Normal"/>
    <w:rsid w:val="00FA1436"/>
  </w:style>
  <w:style w:type="paragraph" w:customStyle="1" w:styleId="CompiledActNo">
    <w:name w:val="CompiledActNo"/>
    <w:basedOn w:val="OPCParaBase"/>
    <w:next w:val="Normal"/>
    <w:rsid w:val="00FA1436"/>
    <w:rPr>
      <w:b/>
      <w:sz w:val="24"/>
      <w:szCs w:val="24"/>
    </w:rPr>
  </w:style>
  <w:style w:type="paragraph" w:customStyle="1" w:styleId="CompiledMadeUnder">
    <w:name w:val="CompiledMadeUnder"/>
    <w:basedOn w:val="OPCParaBase"/>
    <w:next w:val="Normal"/>
    <w:rsid w:val="00FA1436"/>
    <w:rPr>
      <w:i/>
      <w:sz w:val="24"/>
      <w:szCs w:val="24"/>
    </w:rPr>
  </w:style>
  <w:style w:type="paragraph" w:customStyle="1" w:styleId="Paragraphsub-sub-sub">
    <w:name w:val="Paragraph(sub-sub-sub)"/>
    <w:aliases w:val="aaaa"/>
    <w:basedOn w:val="OPCParaBase"/>
    <w:rsid w:val="00FA1436"/>
    <w:pPr>
      <w:tabs>
        <w:tab w:val="right" w:pos="3402"/>
      </w:tabs>
      <w:spacing w:before="40" w:line="240" w:lineRule="auto"/>
      <w:ind w:left="3402" w:hanging="3402"/>
    </w:pPr>
  </w:style>
  <w:style w:type="paragraph" w:customStyle="1" w:styleId="NoteToSubpara">
    <w:name w:val="NoteToSubpara"/>
    <w:aliases w:val="nts"/>
    <w:basedOn w:val="OPCParaBase"/>
    <w:rsid w:val="00FA1436"/>
    <w:pPr>
      <w:spacing w:before="40" w:line="198" w:lineRule="exact"/>
      <w:ind w:left="2835" w:hanging="709"/>
    </w:pPr>
    <w:rPr>
      <w:sz w:val="18"/>
    </w:rPr>
  </w:style>
  <w:style w:type="paragraph" w:customStyle="1" w:styleId="EndNotespara">
    <w:name w:val="EndNotes(para)"/>
    <w:aliases w:val="eta"/>
    <w:basedOn w:val="OPCParaBase"/>
    <w:next w:val="Normal"/>
    <w:rsid w:val="00FA143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143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FA143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143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FA1436"/>
    <w:pPr>
      <w:keepNext/>
      <w:spacing w:before="60" w:line="240" w:lineRule="atLeast"/>
    </w:pPr>
    <w:rPr>
      <w:rFonts w:ascii="Arial" w:hAnsi="Arial"/>
      <w:b/>
      <w:sz w:val="16"/>
    </w:rPr>
  </w:style>
  <w:style w:type="paragraph" w:customStyle="1" w:styleId="ENoteTTi">
    <w:name w:val="ENoteTTi"/>
    <w:aliases w:val="entti"/>
    <w:basedOn w:val="OPCParaBase"/>
    <w:rsid w:val="00FA1436"/>
    <w:pPr>
      <w:keepNext/>
      <w:spacing w:before="60" w:line="240" w:lineRule="atLeast"/>
      <w:ind w:left="170"/>
    </w:pPr>
    <w:rPr>
      <w:sz w:val="16"/>
    </w:rPr>
  </w:style>
  <w:style w:type="paragraph" w:customStyle="1" w:styleId="ENotesHeading1">
    <w:name w:val="ENotesHeading 1"/>
    <w:aliases w:val="Enh1"/>
    <w:basedOn w:val="OPCParaBase"/>
    <w:next w:val="Normal"/>
    <w:rsid w:val="00FA1436"/>
    <w:pPr>
      <w:spacing w:before="120"/>
      <w:outlineLvl w:val="1"/>
    </w:pPr>
    <w:rPr>
      <w:b/>
      <w:sz w:val="28"/>
      <w:szCs w:val="28"/>
    </w:rPr>
  </w:style>
  <w:style w:type="paragraph" w:customStyle="1" w:styleId="ENotesHeading2">
    <w:name w:val="ENotesHeading 2"/>
    <w:aliases w:val="Enh2"/>
    <w:basedOn w:val="OPCParaBase"/>
    <w:next w:val="Normal"/>
    <w:rsid w:val="00FA1436"/>
    <w:pPr>
      <w:spacing w:before="120" w:after="120"/>
      <w:outlineLvl w:val="2"/>
    </w:pPr>
    <w:rPr>
      <w:b/>
      <w:sz w:val="24"/>
      <w:szCs w:val="28"/>
    </w:rPr>
  </w:style>
  <w:style w:type="paragraph" w:customStyle="1" w:styleId="ENoteTTIndentHeading">
    <w:name w:val="ENoteTTIndentHeading"/>
    <w:aliases w:val="enTTHi"/>
    <w:basedOn w:val="OPCParaBase"/>
    <w:rsid w:val="00FA143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1436"/>
    <w:pPr>
      <w:spacing w:before="60" w:line="240" w:lineRule="atLeast"/>
    </w:pPr>
    <w:rPr>
      <w:sz w:val="16"/>
    </w:rPr>
  </w:style>
  <w:style w:type="paragraph" w:customStyle="1" w:styleId="MadeunderText">
    <w:name w:val="MadeunderText"/>
    <w:basedOn w:val="OPCParaBase"/>
    <w:next w:val="CompiledMadeUnder"/>
    <w:rsid w:val="00FA1436"/>
    <w:pPr>
      <w:spacing w:before="240"/>
    </w:pPr>
    <w:rPr>
      <w:sz w:val="24"/>
      <w:szCs w:val="24"/>
    </w:rPr>
  </w:style>
  <w:style w:type="paragraph" w:customStyle="1" w:styleId="ENotesHeading3">
    <w:name w:val="ENotesHeading 3"/>
    <w:aliases w:val="Enh3"/>
    <w:basedOn w:val="OPCParaBase"/>
    <w:next w:val="Normal"/>
    <w:rsid w:val="00FA1436"/>
    <w:pPr>
      <w:keepNext/>
      <w:spacing w:before="120" w:line="240" w:lineRule="auto"/>
      <w:outlineLvl w:val="4"/>
    </w:pPr>
    <w:rPr>
      <w:b/>
      <w:szCs w:val="24"/>
    </w:rPr>
  </w:style>
  <w:style w:type="paragraph" w:customStyle="1" w:styleId="SubPartCASA">
    <w:name w:val="SubPart(CASA)"/>
    <w:aliases w:val="csp"/>
    <w:basedOn w:val="OPCParaBase"/>
    <w:next w:val="ActHead3"/>
    <w:rsid w:val="00FA1436"/>
    <w:pPr>
      <w:keepNext/>
      <w:keepLines/>
      <w:spacing w:before="280"/>
      <w:outlineLvl w:val="1"/>
    </w:pPr>
    <w:rPr>
      <w:b/>
      <w:kern w:val="28"/>
      <w:sz w:val="32"/>
    </w:rPr>
  </w:style>
  <w:style w:type="character" w:customStyle="1" w:styleId="CharSubPartTextCASA">
    <w:name w:val="CharSubPartText(CASA)"/>
    <w:basedOn w:val="OPCCharBase"/>
    <w:uiPriority w:val="1"/>
    <w:rsid w:val="00FA1436"/>
  </w:style>
  <w:style w:type="character" w:customStyle="1" w:styleId="CharSubPartNoCASA">
    <w:name w:val="CharSubPartNo(CASA)"/>
    <w:basedOn w:val="OPCCharBase"/>
    <w:uiPriority w:val="1"/>
    <w:rsid w:val="00FA1436"/>
  </w:style>
  <w:style w:type="paragraph" w:customStyle="1" w:styleId="ENoteTTIndentHeadingSub">
    <w:name w:val="ENoteTTIndentHeadingSub"/>
    <w:aliases w:val="enTTHis"/>
    <w:basedOn w:val="OPCParaBase"/>
    <w:rsid w:val="00FA1436"/>
    <w:pPr>
      <w:keepNext/>
      <w:spacing w:before="60" w:line="240" w:lineRule="atLeast"/>
      <w:ind w:left="340"/>
    </w:pPr>
    <w:rPr>
      <w:b/>
      <w:sz w:val="16"/>
    </w:rPr>
  </w:style>
  <w:style w:type="paragraph" w:customStyle="1" w:styleId="ENoteTTiSub">
    <w:name w:val="ENoteTTiSub"/>
    <w:aliases w:val="enttis"/>
    <w:basedOn w:val="OPCParaBase"/>
    <w:rsid w:val="00FA1436"/>
    <w:pPr>
      <w:keepNext/>
      <w:spacing w:before="60" w:line="240" w:lineRule="atLeast"/>
      <w:ind w:left="340"/>
    </w:pPr>
    <w:rPr>
      <w:sz w:val="16"/>
    </w:rPr>
  </w:style>
  <w:style w:type="paragraph" w:customStyle="1" w:styleId="SubDivisionMigration">
    <w:name w:val="SubDivisionMigration"/>
    <w:aliases w:val="sdm"/>
    <w:basedOn w:val="OPCParaBase"/>
    <w:rsid w:val="00FA143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1436"/>
    <w:pPr>
      <w:keepNext/>
      <w:keepLines/>
      <w:spacing w:before="240" w:line="240" w:lineRule="auto"/>
      <w:ind w:left="1134" w:hanging="1134"/>
    </w:pPr>
    <w:rPr>
      <w:b/>
      <w:sz w:val="28"/>
    </w:rPr>
  </w:style>
  <w:style w:type="paragraph" w:customStyle="1" w:styleId="notetext">
    <w:name w:val="note(text)"/>
    <w:aliases w:val="n"/>
    <w:basedOn w:val="OPCParaBase"/>
    <w:rsid w:val="00FA1436"/>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FA143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A1436"/>
    <w:rPr>
      <w:sz w:val="22"/>
    </w:rPr>
  </w:style>
  <w:style w:type="paragraph" w:customStyle="1" w:styleId="SOTextNote">
    <w:name w:val="SO TextNote"/>
    <w:aliases w:val="sont"/>
    <w:basedOn w:val="SOText"/>
    <w:qFormat/>
    <w:rsid w:val="00FA1436"/>
    <w:pPr>
      <w:spacing w:before="122" w:line="198" w:lineRule="exact"/>
      <w:ind w:left="1843" w:hanging="709"/>
    </w:pPr>
    <w:rPr>
      <w:sz w:val="18"/>
    </w:rPr>
  </w:style>
  <w:style w:type="paragraph" w:customStyle="1" w:styleId="SOPara">
    <w:name w:val="SO Para"/>
    <w:aliases w:val="soa"/>
    <w:basedOn w:val="SOText"/>
    <w:link w:val="SOParaChar"/>
    <w:qFormat/>
    <w:rsid w:val="00FA1436"/>
    <w:pPr>
      <w:tabs>
        <w:tab w:val="right" w:pos="1786"/>
      </w:tabs>
      <w:spacing w:before="40"/>
      <w:ind w:left="2070" w:hanging="936"/>
    </w:pPr>
  </w:style>
  <w:style w:type="character" w:customStyle="1" w:styleId="SOParaChar">
    <w:name w:val="SO Para Char"/>
    <w:aliases w:val="soa Char"/>
    <w:basedOn w:val="DefaultParagraphFont"/>
    <w:link w:val="SOPara"/>
    <w:rsid w:val="00FA1436"/>
    <w:rPr>
      <w:sz w:val="22"/>
    </w:rPr>
  </w:style>
  <w:style w:type="paragraph" w:customStyle="1" w:styleId="FileName">
    <w:name w:val="FileName"/>
    <w:basedOn w:val="Normal"/>
    <w:rsid w:val="00FA1436"/>
  </w:style>
  <w:style w:type="paragraph" w:customStyle="1" w:styleId="TableHeading">
    <w:name w:val="TableHeading"/>
    <w:aliases w:val="th"/>
    <w:basedOn w:val="OPCParaBase"/>
    <w:next w:val="Tabletext"/>
    <w:rsid w:val="00FA1436"/>
    <w:pPr>
      <w:keepNext/>
      <w:spacing w:before="60" w:line="240" w:lineRule="atLeast"/>
    </w:pPr>
    <w:rPr>
      <w:b/>
      <w:sz w:val="20"/>
    </w:rPr>
  </w:style>
  <w:style w:type="paragraph" w:customStyle="1" w:styleId="SOHeadBold">
    <w:name w:val="SO HeadBold"/>
    <w:aliases w:val="sohb"/>
    <w:basedOn w:val="SOText"/>
    <w:next w:val="SOText"/>
    <w:link w:val="SOHeadBoldChar"/>
    <w:qFormat/>
    <w:rsid w:val="00FA1436"/>
    <w:rPr>
      <w:b/>
    </w:rPr>
  </w:style>
  <w:style w:type="character" w:customStyle="1" w:styleId="SOHeadBoldChar">
    <w:name w:val="SO HeadBold Char"/>
    <w:aliases w:val="sohb Char"/>
    <w:basedOn w:val="DefaultParagraphFont"/>
    <w:link w:val="SOHeadBold"/>
    <w:rsid w:val="00FA1436"/>
    <w:rPr>
      <w:b/>
      <w:sz w:val="22"/>
    </w:rPr>
  </w:style>
  <w:style w:type="paragraph" w:customStyle="1" w:styleId="SOHeadItalic">
    <w:name w:val="SO HeadItalic"/>
    <w:aliases w:val="sohi"/>
    <w:basedOn w:val="SOText"/>
    <w:next w:val="SOText"/>
    <w:link w:val="SOHeadItalicChar"/>
    <w:qFormat/>
    <w:rsid w:val="00FA1436"/>
    <w:rPr>
      <w:i/>
    </w:rPr>
  </w:style>
  <w:style w:type="character" w:customStyle="1" w:styleId="SOHeadItalicChar">
    <w:name w:val="SO HeadItalic Char"/>
    <w:aliases w:val="sohi Char"/>
    <w:basedOn w:val="DefaultParagraphFont"/>
    <w:link w:val="SOHeadItalic"/>
    <w:rsid w:val="00FA1436"/>
    <w:rPr>
      <w:i/>
      <w:sz w:val="22"/>
    </w:rPr>
  </w:style>
  <w:style w:type="paragraph" w:customStyle="1" w:styleId="SOBullet">
    <w:name w:val="SO Bullet"/>
    <w:aliases w:val="sotb"/>
    <w:basedOn w:val="SOText"/>
    <w:link w:val="SOBulletChar"/>
    <w:qFormat/>
    <w:rsid w:val="00FA1436"/>
    <w:pPr>
      <w:ind w:left="1559" w:hanging="425"/>
    </w:pPr>
  </w:style>
  <w:style w:type="character" w:customStyle="1" w:styleId="SOBulletChar">
    <w:name w:val="SO Bullet Char"/>
    <w:aliases w:val="sotb Char"/>
    <w:basedOn w:val="DefaultParagraphFont"/>
    <w:link w:val="SOBullet"/>
    <w:rsid w:val="00FA1436"/>
    <w:rPr>
      <w:sz w:val="22"/>
    </w:rPr>
  </w:style>
  <w:style w:type="paragraph" w:customStyle="1" w:styleId="SOBulletNote">
    <w:name w:val="SO BulletNote"/>
    <w:aliases w:val="sonb"/>
    <w:basedOn w:val="SOTextNote"/>
    <w:link w:val="SOBulletNoteChar"/>
    <w:qFormat/>
    <w:rsid w:val="00FA1436"/>
    <w:pPr>
      <w:tabs>
        <w:tab w:val="left" w:pos="1560"/>
      </w:tabs>
      <w:ind w:left="2268" w:hanging="1134"/>
    </w:pPr>
  </w:style>
  <w:style w:type="character" w:customStyle="1" w:styleId="SOBulletNoteChar">
    <w:name w:val="SO BulletNote Char"/>
    <w:aliases w:val="sonb Char"/>
    <w:basedOn w:val="DefaultParagraphFont"/>
    <w:link w:val="SOBulletNote"/>
    <w:rsid w:val="00FA1436"/>
    <w:rPr>
      <w:sz w:val="18"/>
    </w:rPr>
  </w:style>
  <w:style w:type="character" w:customStyle="1" w:styleId="subsectionChar">
    <w:name w:val="subsection Char"/>
    <w:aliases w:val="ss Char"/>
    <w:basedOn w:val="DefaultParagraphFont"/>
    <w:link w:val="subsection"/>
    <w:rsid w:val="008A3E97"/>
    <w:rPr>
      <w:rFonts w:eastAsia="Times New Roman" w:cs="Times New Roman"/>
      <w:sz w:val="22"/>
      <w:lang w:eastAsia="en-AU"/>
    </w:rPr>
  </w:style>
  <w:style w:type="character" w:customStyle="1" w:styleId="paragraphChar">
    <w:name w:val="paragraph Char"/>
    <w:aliases w:val="a Char"/>
    <w:link w:val="paragraph"/>
    <w:rsid w:val="008A3E97"/>
    <w:rPr>
      <w:rFonts w:eastAsia="Times New Roman" w:cs="Times New Roman"/>
      <w:sz w:val="22"/>
      <w:lang w:eastAsia="en-AU"/>
    </w:rPr>
  </w:style>
  <w:style w:type="paragraph" w:customStyle="1" w:styleId="SOText2">
    <w:name w:val="SO Text2"/>
    <w:aliases w:val="sot2"/>
    <w:basedOn w:val="Normal"/>
    <w:next w:val="SOText"/>
    <w:link w:val="SOText2Char"/>
    <w:rsid w:val="00FA143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143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4D9D3-E760-4FAC-98F0-935F4E56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16</Pages>
  <Words>2585</Words>
  <Characters>13650</Characters>
  <Application>Microsoft Office Word</Application>
  <DocSecurity>0</DocSecurity>
  <PresentationFormat/>
  <Lines>414</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2014-03-07T03:04:00Z</dcterms:created>
  <dcterms:modified xsi:type="dcterms:W3CDTF">2014-03-07T03:04:00Z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33, 2014</vt:lpwstr>
  </property>
  <property fmtid="{D5CDD505-2E9C-101B-9397-08002B2CF9AE}" pid="3" name="ShortT">
    <vt:lpwstr>Corporations Laws Amendment (2014 Measures No. 1)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13 March 2014</vt:lpwstr>
  </property>
  <property fmtid="{D5CDD505-2E9C-101B-9397-08002B2CF9AE}" pid="10" name="Authority">
    <vt:lpwstr/>
  </property>
  <property fmtid="{D5CDD505-2E9C-101B-9397-08002B2CF9AE}" pid="11" name="ID">
    <vt:lpwstr>OPC60396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13 March 2014</vt:lpwstr>
  </property>
</Properties>
</file>