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8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EX</w:t>
      </w:r>
      <w:r w:rsidR="006D0E6D">
        <w:rPr>
          <w:rFonts w:ascii="Arial" w:hAnsi="Arial" w:cs="Arial"/>
          <w:b/>
          <w:sz w:val="20"/>
          <w:szCs w:val="20"/>
        </w:rPr>
        <w:t>P</w:t>
      </w:r>
      <w:r w:rsidRPr="00993194">
        <w:rPr>
          <w:rFonts w:ascii="Arial" w:hAnsi="Arial" w:cs="Arial"/>
          <w:b/>
          <w:sz w:val="20"/>
          <w:szCs w:val="20"/>
        </w:rPr>
        <w:t>LANATORY STATEMENT</w:t>
      </w:r>
    </w:p>
    <w:p w:rsidR="00FD4084" w:rsidRPr="0099319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Issued by the Australian Communications and Media Authority</w:t>
      </w:r>
    </w:p>
    <w:p w:rsidR="00FD4084" w:rsidRPr="00993194" w:rsidRDefault="008532AA">
      <w:pPr>
        <w:spacing w:before="80" w:after="120" w:line="280" w:lineRule="atLeast"/>
        <w:jc w:val="center"/>
        <w:rPr>
          <w:rFonts w:ascii="Arial" w:hAnsi="Arial" w:cs="Arial"/>
          <w:b/>
          <w:i/>
          <w:sz w:val="20"/>
          <w:szCs w:val="20"/>
        </w:rPr>
      </w:pPr>
      <w:bookmarkStart w:id="0" w:name="OLE_LINK1"/>
      <w:bookmarkStart w:id="1" w:name="OLE_LINK2"/>
      <w:r w:rsidRPr="008532AA">
        <w:rPr>
          <w:rFonts w:ascii="Arial" w:hAnsi="Arial" w:cs="Arial"/>
          <w:b/>
          <w:i/>
          <w:sz w:val="20"/>
          <w:szCs w:val="20"/>
        </w:rPr>
        <w:t xml:space="preserve">Australian Communications and Media Authority Omnibus Revocation Instrument 2014 </w:t>
      </w:r>
    </w:p>
    <w:bookmarkEnd w:id="0"/>
    <w:bookmarkEnd w:id="1"/>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Purpose</w:t>
      </w:r>
    </w:p>
    <w:p w:rsidR="004021B6" w:rsidRDefault="00FD4084" w:rsidP="008532AA">
      <w:pPr>
        <w:spacing w:before="80" w:after="120" w:line="280" w:lineRule="atLeast"/>
        <w:jc w:val="both"/>
        <w:rPr>
          <w:rFonts w:ascii="Arial" w:hAnsi="Arial" w:cs="Arial"/>
          <w:sz w:val="20"/>
          <w:szCs w:val="20"/>
        </w:rPr>
      </w:pPr>
      <w:r w:rsidRPr="00993194">
        <w:rPr>
          <w:rFonts w:ascii="Arial" w:hAnsi="Arial" w:cs="Arial"/>
          <w:sz w:val="20"/>
          <w:szCs w:val="20"/>
        </w:rPr>
        <w:t xml:space="preserve">The purpose of the </w:t>
      </w:r>
      <w:r w:rsidR="008532AA" w:rsidRPr="008532AA">
        <w:rPr>
          <w:rFonts w:ascii="Arial" w:hAnsi="Arial" w:cs="Arial"/>
          <w:i/>
          <w:sz w:val="20"/>
          <w:szCs w:val="20"/>
        </w:rPr>
        <w:t xml:space="preserve">Australian Communications and Media Authority Omnibus Revocation Instrument 2014 </w:t>
      </w:r>
      <w:r w:rsidR="007468EA">
        <w:rPr>
          <w:rFonts w:ascii="Arial" w:hAnsi="Arial" w:cs="Arial"/>
          <w:sz w:val="20"/>
          <w:szCs w:val="20"/>
        </w:rPr>
        <w:t>(</w:t>
      </w:r>
      <w:r w:rsidR="007468EA" w:rsidRPr="007468EA">
        <w:rPr>
          <w:rFonts w:ascii="Arial" w:hAnsi="Arial" w:cs="Arial"/>
          <w:b/>
          <w:sz w:val="20"/>
          <w:szCs w:val="20"/>
        </w:rPr>
        <w:t xml:space="preserve">Revocation </w:t>
      </w:r>
      <w:r w:rsidR="004D6255">
        <w:rPr>
          <w:rFonts w:ascii="Arial" w:hAnsi="Arial" w:cs="Arial"/>
          <w:b/>
          <w:sz w:val="20"/>
          <w:szCs w:val="20"/>
        </w:rPr>
        <w:t>Instrument</w:t>
      </w:r>
      <w:r w:rsidR="007468EA">
        <w:rPr>
          <w:rFonts w:ascii="Arial" w:hAnsi="Arial" w:cs="Arial"/>
          <w:sz w:val="20"/>
          <w:szCs w:val="20"/>
        </w:rPr>
        <w:t xml:space="preserve">) </w:t>
      </w:r>
      <w:r w:rsidR="00673BBB">
        <w:rPr>
          <w:rFonts w:ascii="Arial" w:hAnsi="Arial" w:cs="Arial"/>
          <w:sz w:val="20"/>
          <w:szCs w:val="20"/>
        </w:rPr>
        <w:t>is to revoke</w:t>
      </w:r>
      <w:r w:rsidR="00EB37A2">
        <w:rPr>
          <w:rFonts w:ascii="Arial" w:hAnsi="Arial" w:cs="Arial"/>
          <w:sz w:val="20"/>
          <w:szCs w:val="20"/>
        </w:rPr>
        <w:t xml:space="preserve"> 2</w:t>
      </w:r>
      <w:r w:rsidR="008532AA">
        <w:rPr>
          <w:rFonts w:ascii="Arial" w:hAnsi="Arial" w:cs="Arial"/>
          <w:sz w:val="20"/>
          <w:szCs w:val="20"/>
        </w:rPr>
        <w:t>4</w:t>
      </w:r>
      <w:r w:rsidR="00EB37A2">
        <w:rPr>
          <w:rFonts w:ascii="Arial" w:hAnsi="Arial" w:cs="Arial"/>
          <w:sz w:val="20"/>
          <w:szCs w:val="20"/>
        </w:rPr>
        <w:t xml:space="preserve"> instruments that have been made under the </w:t>
      </w:r>
      <w:r w:rsidR="008532AA" w:rsidRPr="008532AA">
        <w:rPr>
          <w:rFonts w:ascii="Arial" w:hAnsi="Arial" w:cs="Arial"/>
          <w:i/>
          <w:sz w:val="20"/>
          <w:szCs w:val="20"/>
        </w:rPr>
        <w:t>Radiocommunications Act 1992</w:t>
      </w:r>
      <w:r w:rsidR="008532AA">
        <w:rPr>
          <w:rFonts w:ascii="Arial" w:hAnsi="Arial" w:cs="Arial"/>
          <w:sz w:val="20"/>
          <w:szCs w:val="20"/>
        </w:rPr>
        <w:t xml:space="preserve">, </w:t>
      </w:r>
      <w:r w:rsidR="0096232E">
        <w:rPr>
          <w:rFonts w:ascii="Arial" w:hAnsi="Arial" w:cs="Arial"/>
          <w:sz w:val="20"/>
          <w:szCs w:val="20"/>
        </w:rPr>
        <w:t xml:space="preserve">the </w:t>
      </w:r>
      <w:r w:rsidR="009C4E89" w:rsidRPr="008532AA">
        <w:rPr>
          <w:rFonts w:ascii="Arial" w:hAnsi="Arial" w:cs="Arial"/>
          <w:i/>
          <w:sz w:val="20"/>
          <w:szCs w:val="20"/>
        </w:rPr>
        <w:t>Telecommunications Act 1997</w:t>
      </w:r>
      <w:r w:rsidR="009C4E89">
        <w:rPr>
          <w:rFonts w:ascii="Arial" w:hAnsi="Arial" w:cs="Arial"/>
          <w:sz w:val="20"/>
          <w:szCs w:val="20"/>
        </w:rPr>
        <w:t xml:space="preserve">, the </w:t>
      </w:r>
      <w:r w:rsidR="009C4E89">
        <w:rPr>
          <w:rFonts w:ascii="Arial" w:hAnsi="Arial" w:cs="Arial"/>
          <w:i/>
          <w:sz w:val="20"/>
          <w:szCs w:val="20"/>
        </w:rPr>
        <w:t xml:space="preserve"> </w:t>
      </w:r>
      <w:r w:rsidR="008532AA" w:rsidRPr="008532AA">
        <w:rPr>
          <w:rFonts w:ascii="Arial" w:hAnsi="Arial" w:cs="Arial"/>
          <w:i/>
          <w:sz w:val="20"/>
          <w:szCs w:val="20"/>
        </w:rPr>
        <w:t>Telecommunications (Consumer Protection and Service Standards) Act 1999</w:t>
      </w:r>
      <w:r w:rsidR="009C4E89">
        <w:rPr>
          <w:rFonts w:ascii="Arial" w:hAnsi="Arial" w:cs="Arial"/>
          <w:i/>
          <w:sz w:val="20"/>
          <w:szCs w:val="20"/>
        </w:rPr>
        <w:t xml:space="preserve"> </w:t>
      </w:r>
      <w:r w:rsidR="009C4E89">
        <w:rPr>
          <w:rFonts w:ascii="Arial" w:hAnsi="Arial" w:cs="Arial"/>
          <w:sz w:val="20"/>
          <w:szCs w:val="20"/>
        </w:rPr>
        <w:t>(</w:t>
      </w:r>
      <w:r w:rsidR="009C4E89">
        <w:rPr>
          <w:rFonts w:ascii="Arial" w:hAnsi="Arial" w:cs="Arial"/>
          <w:b/>
          <w:sz w:val="20"/>
          <w:szCs w:val="20"/>
        </w:rPr>
        <w:t>TCPSS Act</w:t>
      </w:r>
      <w:r w:rsidR="009C4E89" w:rsidRPr="009C4E89">
        <w:rPr>
          <w:rFonts w:ascii="Arial" w:hAnsi="Arial" w:cs="Arial"/>
          <w:sz w:val="20"/>
          <w:szCs w:val="20"/>
        </w:rPr>
        <w:t>)</w:t>
      </w:r>
      <w:r w:rsidR="00042E79">
        <w:rPr>
          <w:rFonts w:ascii="Arial" w:hAnsi="Arial" w:cs="Arial"/>
          <w:sz w:val="20"/>
          <w:szCs w:val="20"/>
        </w:rPr>
        <w:t xml:space="preserve">, </w:t>
      </w:r>
      <w:r w:rsidR="008532AA">
        <w:rPr>
          <w:rFonts w:ascii="Arial" w:hAnsi="Arial" w:cs="Arial"/>
          <w:sz w:val="20"/>
          <w:szCs w:val="20"/>
        </w:rPr>
        <w:t xml:space="preserve">and </w:t>
      </w:r>
      <w:r w:rsidR="0096232E" w:rsidRPr="0096232E">
        <w:rPr>
          <w:rFonts w:ascii="Arial" w:hAnsi="Arial" w:cs="Arial"/>
          <w:sz w:val="20"/>
          <w:szCs w:val="20"/>
        </w:rPr>
        <w:t>the</w:t>
      </w:r>
      <w:r w:rsidR="0096232E">
        <w:rPr>
          <w:rFonts w:ascii="Arial" w:hAnsi="Arial" w:cs="Arial"/>
          <w:i/>
          <w:sz w:val="20"/>
          <w:szCs w:val="20"/>
        </w:rPr>
        <w:t xml:space="preserve"> </w:t>
      </w:r>
      <w:r w:rsidR="008532AA" w:rsidRPr="008532AA">
        <w:rPr>
          <w:rFonts w:ascii="Arial" w:hAnsi="Arial" w:cs="Arial"/>
          <w:i/>
          <w:sz w:val="20"/>
          <w:szCs w:val="20"/>
        </w:rPr>
        <w:t>Telecommunications (Numbering Charges) Act 1997</w:t>
      </w:r>
      <w:r w:rsidR="008532AA">
        <w:rPr>
          <w:rFonts w:ascii="Arial" w:hAnsi="Arial" w:cs="Arial"/>
          <w:sz w:val="20"/>
          <w:szCs w:val="20"/>
        </w:rPr>
        <w:t xml:space="preserve"> </w:t>
      </w:r>
      <w:r w:rsidR="000A2D2D">
        <w:rPr>
          <w:rFonts w:ascii="Arial" w:hAnsi="Arial" w:cs="Arial"/>
          <w:sz w:val="20"/>
          <w:szCs w:val="20"/>
        </w:rPr>
        <w:t xml:space="preserve">which are now spent and redundant. </w:t>
      </w:r>
    </w:p>
    <w:p w:rsidR="00EB37A2" w:rsidRDefault="00EB37A2" w:rsidP="00993194">
      <w:pPr>
        <w:spacing w:before="80" w:after="120" w:line="280" w:lineRule="atLeast"/>
        <w:jc w:val="both"/>
        <w:rPr>
          <w:rFonts w:ascii="Arial" w:hAnsi="Arial" w:cs="Arial"/>
          <w:sz w:val="20"/>
          <w:szCs w:val="20"/>
        </w:rPr>
      </w:pPr>
      <w:r>
        <w:rPr>
          <w:rFonts w:ascii="Arial" w:hAnsi="Arial" w:cs="Arial"/>
          <w:sz w:val="20"/>
          <w:szCs w:val="20"/>
        </w:rPr>
        <w:t>Re</w:t>
      </w:r>
      <w:r w:rsidR="001B36B5">
        <w:rPr>
          <w:rFonts w:ascii="Arial" w:hAnsi="Arial" w:cs="Arial"/>
          <w:sz w:val="20"/>
          <w:szCs w:val="20"/>
        </w:rPr>
        <w:t xml:space="preserve">vocation </w:t>
      </w:r>
      <w:r>
        <w:rPr>
          <w:rFonts w:ascii="Arial" w:hAnsi="Arial" w:cs="Arial"/>
          <w:sz w:val="20"/>
          <w:szCs w:val="20"/>
        </w:rPr>
        <w:t xml:space="preserve">of the instruments will </w:t>
      </w:r>
      <w:r w:rsidR="003D6A4D">
        <w:rPr>
          <w:rFonts w:ascii="Arial" w:hAnsi="Arial" w:cs="Arial"/>
          <w:sz w:val="20"/>
          <w:szCs w:val="20"/>
        </w:rPr>
        <w:t xml:space="preserve">reduce the possibility for confusion about the status of redundant instruments and </w:t>
      </w:r>
      <w:r>
        <w:rPr>
          <w:rFonts w:ascii="Arial" w:hAnsi="Arial" w:cs="Arial"/>
          <w:sz w:val="20"/>
          <w:szCs w:val="20"/>
        </w:rPr>
        <w:t xml:space="preserve">make accessing the law simpler for </w:t>
      </w:r>
      <w:r w:rsidR="00522673">
        <w:rPr>
          <w:rFonts w:ascii="Arial" w:hAnsi="Arial" w:cs="Arial"/>
          <w:sz w:val="20"/>
          <w:szCs w:val="20"/>
        </w:rPr>
        <w:t>b</w:t>
      </w:r>
      <w:r>
        <w:rPr>
          <w:rFonts w:ascii="Arial" w:hAnsi="Arial" w:cs="Arial"/>
          <w:sz w:val="20"/>
          <w:szCs w:val="20"/>
        </w:rPr>
        <w:t xml:space="preserve">usinesses and individuals.   </w:t>
      </w:r>
    </w:p>
    <w:p w:rsidR="00FD4084" w:rsidRPr="00993194" w:rsidRDefault="00FD4084" w:rsidP="00993194">
      <w:pPr>
        <w:spacing w:before="80" w:after="120" w:line="280" w:lineRule="atLeast"/>
        <w:jc w:val="both"/>
        <w:rPr>
          <w:rFonts w:ascii="Arial" w:hAnsi="Arial" w:cs="Arial"/>
          <w:b/>
          <w:sz w:val="20"/>
          <w:szCs w:val="20"/>
        </w:rPr>
      </w:pPr>
      <w:r w:rsidRPr="00402512">
        <w:rPr>
          <w:rFonts w:ascii="Arial" w:hAnsi="Arial" w:cs="Arial"/>
          <w:b/>
          <w:sz w:val="20"/>
          <w:szCs w:val="20"/>
        </w:rPr>
        <w:t>Legislative provisions</w:t>
      </w:r>
    </w:p>
    <w:p w:rsidR="00E4144F" w:rsidRPr="00E4144F" w:rsidRDefault="00E4144F" w:rsidP="00993194">
      <w:pPr>
        <w:spacing w:before="80" w:after="120" w:line="280" w:lineRule="atLeast"/>
        <w:jc w:val="both"/>
        <w:rPr>
          <w:rFonts w:ascii="Arial" w:hAnsi="Arial" w:cs="Arial"/>
          <w:i/>
          <w:sz w:val="20"/>
          <w:szCs w:val="20"/>
        </w:rPr>
      </w:pPr>
      <w:r>
        <w:rPr>
          <w:rFonts w:ascii="Arial" w:hAnsi="Arial" w:cs="Arial"/>
          <w:i/>
          <w:sz w:val="20"/>
          <w:szCs w:val="20"/>
        </w:rPr>
        <w:t>Radiocommunications Act 1997</w:t>
      </w:r>
    </w:p>
    <w:p w:rsidR="002C7672" w:rsidRPr="002C7672" w:rsidRDefault="00E4144F" w:rsidP="00993194">
      <w:pPr>
        <w:spacing w:before="80" w:after="120" w:line="280" w:lineRule="atLeast"/>
        <w:jc w:val="both"/>
        <w:rPr>
          <w:rFonts w:ascii="Arial" w:hAnsi="Arial" w:cs="Arial"/>
          <w:sz w:val="20"/>
          <w:szCs w:val="20"/>
        </w:rPr>
      </w:pPr>
      <w:r>
        <w:rPr>
          <w:rFonts w:ascii="Arial" w:hAnsi="Arial" w:cs="Arial"/>
          <w:sz w:val="20"/>
          <w:szCs w:val="20"/>
        </w:rPr>
        <w:t xml:space="preserve">Under the </w:t>
      </w:r>
      <w:r>
        <w:rPr>
          <w:rFonts w:ascii="Arial" w:hAnsi="Arial" w:cs="Arial"/>
          <w:i/>
          <w:sz w:val="20"/>
          <w:szCs w:val="20"/>
        </w:rPr>
        <w:t>Radiocommunications Act 1997</w:t>
      </w:r>
      <w:r>
        <w:rPr>
          <w:rFonts w:ascii="Arial" w:hAnsi="Arial" w:cs="Arial"/>
          <w:sz w:val="20"/>
          <w:szCs w:val="20"/>
        </w:rPr>
        <w:t xml:space="preserve">, the ACMA is responsible for managing and regulating radiofrequency spectrum.  Chapter 2 of the </w:t>
      </w:r>
      <w:r>
        <w:rPr>
          <w:rFonts w:ascii="Arial" w:hAnsi="Arial" w:cs="Arial"/>
          <w:i/>
          <w:sz w:val="20"/>
          <w:szCs w:val="20"/>
        </w:rPr>
        <w:t xml:space="preserve">Radiocommunications Act 1997 </w:t>
      </w:r>
      <w:r>
        <w:rPr>
          <w:rFonts w:ascii="Arial" w:hAnsi="Arial" w:cs="Arial"/>
          <w:sz w:val="20"/>
          <w:szCs w:val="20"/>
        </w:rPr>
        <w:t xml:space="preserve">provides for the preparation of plans </w:t>
      </w:r>
      <w:r w:rsidR="004D6255">
        <w:rPr>
          <w:rFonts w:ascii="Arial" w:hAnsi="Arial" w:cs="Arial"/>
          <w:sz w:val="20"/>
          <w:szCs w:val="20"/>
        </w:rPr>
        <w:t xml:space="preserve">and procedures to </w:t>
      </w:r>
      <w:r>
        <w:rPr>
          <w:rFonts w:ascii="Arial" w:hAnsi="Arial" w:cs="Arial"/>
          <w:sz w:val="20"/>
          <w:szCs w:val="20"/>
        </w:rPr>
        <w:t>govern the allocation of spectrum under the licensing syst</w:t>
      </w:r>
      <w:r w:rsidR="002C7672">
        <w:rPr>
          <w:rFonts w:ascii="Arial" w:hAnsi="Arial" w:cs="Arial"/>
          <w:sz w:val="20"/>
          <w:szCs w:val="20"/>
        </w:rPr>
        <w:t xml:space="preserve">ems provided for in Chapter 3.  </w:t>
      </w:r>
    </w:p>
    <w:p w:rsidR="00E4144F" w:rsidRDefault="00685713" w:rsidP="00993194">
      <w:pPr>
        <w:spacing w:before="80" w:after="120" w:line="280" w:lineRule="atLeast"/>
        <w:jc w:val="both"/>
        <w:rPr>
          <w:rFonts w:ascii="Arial" w:hAnsi="Arial" w:cs="Arial"/>
          <w:sz w:val="20"/>
          <w:szCs w:val="20"/>
        </w:rPr>
      </w:pPr>
      <w:r>
        <w:rPr>
          <w:rFonts w:ascii="Arial" w:hAnsi="Arial" w:cs="Arial"/>
          <w:sz w:val="20"/>
          <w:szCs w:val="20"/>
        </w:rPr>
        <w:t xml:space="preserve">Section 38 of the </w:t>
      </w:r>
      <w:r>
        <w:rPr>
          <w:rFonts w:ascii="Arial" w:hAnsi="Arial" w:cs="Arial"/>
          <w:i/>
          <w:sz w:val="20"/>
          <w:szCs w:val="20"/>
        </w:rPr>
        <w:t xml:space="preserve">Radiocommunications Act 1997 </w:t>
      </w:r>
      <w:r>
        <w:rPr>
          <w:rFonts w:ascii="Arial" w:hAnsi="Arial" w:cs="Arial"/>
          <w:sz w:val="20"/>
          <w:szCs w:val="20"/>
        </w:rPr>
        <w:t xml:space="preserve">requires the ACMA (on receiving a notice designating a specified part of the spectrum to be allocated by issuing spectrum licences) to prepare a conversion plan which sets out the procedures and timetables for issuing spectrum licences to replace existing apparatus licences that authorise operation of radiocommunications devices.  Sections 39 and 39A of the </w:t>
      </w:r>
      <w:r>
        <w:rPr>
          <w:rFonts w:ascii="Arial" w:hAnsi="Arial" w:cs="Arial"/>
          <w:i/>
          <w:sz w:val="20"/>
          <w:szCs w:val="20"/>
        </w:rPr>
        <w:t>Radiocommunications Act 1997</w:t>
      </w:r>
      <w:r>
        <w:rPr>
          <w:rFonts w:ascii="Arial" w:hAnsi="Arial" w:cs="Arial"/>
          <w:sz w:val="20"/>
          <w:szCs w:val="20"/>
        </w:rPr>
        <w:t xml:space="preserve">, require the ACMA to prepare marketing plans for issuing spectrum licences that authorise the operation of radiocommunications devices where it receives a notice designating a part of the spectrum to be allocated by issuing spectrum licences or where a spectrum re-allocation declaration states that part or parts of spectrum should be re-allocated by spectrum licences.   </w:t>
      </w:r>
    </w:p>
    <w:p w:rsidR="000D41F2" w:rsidRDefault="00685713" w:rsidP="00993194">
      <w:pPr>
        <w:spacing w:before="80" w:after="120" w:line="280" w:lineRule="atLeast"/>
        <w:jc w:val="both"/>
        <w:rPr>
          <w:rFonts w:ascii="Arial" w:hAnsi="Arial" w:cs="Arial"/>
          <w:sz w:val="20"/>
          <w:szCs w:val="20"/>
        </w:rPr>
      </w:pPr>
      <w:r>
        <w:rPr>
          <w:rFonts w:ascii="Arial" w:hAnsi="Arial" w:cs="Arial"/>
          <w:sz w:val="20"/>
          <w:szCs w:val="20"/>
        </w:rPr>
        <w:t xml:space="preserve">Section 60 of the </w:t>
      </w:r>
      <w:r>
        <w:rPr>
          <w:rFonts w:ascii="Arial" w:hAnsi="Arial" w:cs="Arial"/>
          <w:i/>
          <w:sz w:val="20"/>
          <w:szCs w:val="20"/>
        </w:rPr>
        <w:t xml:space="preserve">Radiocommunications Act 1997 </w:t>
      </w:r>
      <w:r w:rsidR="002C7672">
        <w:rPr>
          <w:rFonts w:ascii="Arial" w:hAnsi="Arial" w:cs="Arial"/>
          <w:sz w:val="20"/>
          <w:szCs w:val="20"/>
        </w:rPr>
        <w:t>requires the ACMA to determine procedures to be applied in allocating spectrum licences under Subdivision B, Division 1 of Part 3.2.  Section 106 provides that the ACMA may determine a price-based allocation system for allocating and/or issuing specified</w:t>
      </w:r>
      <w:r w:rsidR="00084C59">
        <w:rPr>
          <w:rFonts w:ascii="Arial" w:hAnsi="Arial" w:cs="Arial"/>
          <w:sz w:val="20"/>
          <w:szCs w:val="20"/>
        </w:rPr>
        <w:t xml:space="preserve"> transmitter licences.  </w:t>
      </w:r>
    </w:p>
    <w:p w:rsidR="00685713" w:rsidRDefault="002506FD" w:rsidP="00993194">
      <w:pPr>
        <w:spacing w:before="80" w:after="120" w:line="280" w:lineRule="atLeast"/>
        <w:jc w:val="both"/>
        <w:rPr>
          <w:rFonts w:ascii="Arial" w:hAnsi="Arial" w:cs="Arial"/>
          <w:sz w:val="20"/>
          <w:szCs w:val="20"/>
        </w:rPr>
      </w:pPr>
      <w:r>
        <w:rPr>
          <w:rFonts w:ascii="Arial" w:hAnsi="Arial" w:cs="Arial"/>
          <w:sz w:val="20"/>
          <w:szCs w:val="20"/>
        </w:rPr>
        <w:t xml:space="preserve">Subsection 145(4) provides that the ACMA may determine </w:t>
      </w:r>
      <w:proofErr w:type="gramStart"/>
      <w:r>
        <w:rPr>
          <w:rFonts w:ascii="Arial" w:hAnsi="Arial" w:cs="Arial"/>
          <w:sz w:val="20"/>
          <w:szCs w:val="20"/>
        </w:rPr>
        <w:t xml:space="preserve">what </w:t>
      </w:r>
      <w:r w:rsidR="00080DAB">
        <w:rPr>
          <w:rFonts w:ascii="Arial" w:hAnsi="Arial" w:cs="Arial"/>
          <w:sz w:val="20"/>
          <w:szCs w:val="20"/>
        </w:rPr>
        <w:t>ar</w:t>
      </w:r>
      <w:r>
        <w:rPr>
          <w:rFonts w:ascii="Arial" w:hAnsi="Arial" w:cs="Arial"/>
          <w:sz w:val="20"/>
          <w:szCs w:val="20"/>
        </w:rPr>
        <w:t xml:space="preserve">e unacceptable levels of interference </w:t>
      </w:r>
      <w:r w:rsidR="00080DAB">
        <w:rPr>
          <w:rFonts w:ascii="Arial" w:hAnsi="Arial" w:cs="Arial"/>
          <w:sz w:val="20"/>
          <w:szCs w:val="20"/>
        </w:rPr>
        <w:t xml:space="preserve">that could be caused by a transmitter </w:t>
      </w:r>
      <w:r>
        <w:rPr>
          <w:rFonts w:ascii="Arial" w:hAnsi="Arial" w:cs="Arial"/>
          <w:sz w:val="20"/>
          <w:szCs w:val="20"/>
        </w:rPr>
        <w:t>to the operation of other radiocommunications devices under a spectrum or any other licence</w:t>
      </w:r>
      <w:proofErr w:type="gramEnd"/>
      <w:r>
        <w:rPr>
          <w:rFonts w:ascii="Arial" w:hAnsi="Arial" w:cs="Arial"/>
          <w:sz w:val="20"/>
          <w:szCs w:val="20"/>
        </w:rPr>
        <w:t xml:space="preserve">. </w:t>
      </w:r>
    </w:p>
    <w:p w:rsidR="00084C59" w:rsidRPr="002C7672" w:rsidRDefault="00084C59" w:rsidP="00993194">
      <w:pPr>
        <w:spacing w:before="80" w:after="120" w:line="280" w:lineRule="atLeast"/>
        <w:jc w:val="both"/>
        <w:rPr>
          <w:rFonts w:ascii="Arial" w:hAnsi="Arial" w:cs="Arial"/>
          <w:i/>
          <w:sz w:val="20"/>
          <w:szCs w:val="20"/>
        </w:rPr>
      </w:pPr>
      <w:r>
        <w:rPr>
          <w:rFonts w:ascii="Arial" w:hAnsi="Arial" w:cs="Arial"/>
          <w:sz w:val="20"/>
          <w:szCs w:val="20"/>
        </w:rPr>
        <w:t xml:space="preserve">Chapter 5 of the </w:t>
      </w:r>
      <w:r>
        <w:rPr>
          <w:rFonts w:ascii="Arial" w:hAnsi="Arial" w:cs="Arial"/>
          <w:i/>
          <w:sz w:val="20"/>
          <w:szCs w:val="20"/>
        </w:rPr>
        <w:t xml:space="preserve">Radiocommunications Act 1997 </w:t>
      </w:r>
      <w:r>
        <w:rPr>
          <w:rFonts w:ascii="Arial" w:hAnsi="Arial" w:cs="Arial"/>
          <w:sz w:val="20"/>
          <w:szCs w:val="20"/>
        </w:rPr>
        <w:t>provides for various matters dealing with administration and enforcement, including allowing the ACMA to make advisory guidelines about any aspect of radiocommunication or radio emission (section 262) and providing for the ACMA to determine charges for things done by the ACMA, including spectrum access charges for spectrum licences (section 294).</w:t>
      </w:r>
    </w:p>
    <w:p w:rsidR="00042E79" w:rsidRDefault="00042E79" w:rsidP="00993194">
      <w:pPr>
        <w:spacing w:before="80" w:after="120" w:line="280" w:lineRule="atLeast"/>
        <w:jc w:val="both"/>
        <w:rPr>
          <w:rFonts w:ascii="Arial" w:hAnsi="Arial" w:cs="Arial"/>
          <w:i/>
          <w:sz w:val="20"/>
          <w:szCs w:val="20"/>
        </w:rPr>
      </w:pPr>
      <w:r>
        <w:rPr>
          <w:rFonts w:ascii="Arial" w:hAnsi="Arial" w:cs="Arial"/>
          <w:i/>
          <w:sz w:val="20"/>
          <w:szCs w:val="20"/>
        </w:rPr>
        <w:t>Telecommunications Act 1992</w:t>
      </w:r>
    </w:p>
    <w:p w:rsidR="00042E79" w:rsidRDefault="009C4E89" w:rsidP="00993194">
      <w:pPr>
        <w:spacing w:before="80" w:after="120" w:line="280" w:lineRule="atLeast"/>
        <w:jc w:val="both"/>
        <w:rPr>
          <w:rFonts w:ascii="Arial" w:hAnsi="Arial" w:cs="Arial"/>
          <w:sz w:val="20"/>
          <w:szCs w:val="20"/>
        </w:rPr>
      </w:pPr>
      <w:r>
        <w:rPr>
          <w:rFonts w:ascii="Arial" w:hAnsi="Arial" w:cs="Arial"/>
          <w:sz w:val="20"/>
          <w:szCs w:val="20"/>
        </w:rPr>
        <w:t xml:space="preserve">Under subparagraph 460(3)(a)(ii) of the </w:t>
      </w:r>
      <w:r>
        <w:rPr>
          <w:rFonts w:ascii="Arial" w:hAnsi="Arial" w:cs="Arial"/>
          <w:i/>
          <w:sz w:val="20"/>
          <w:szCs w:val="20"/>
        </w:rPr>
        <w:t xml:space="preserve">Telecommunications Act 1992, </w:t>
      </w:r>
      <w:r>
        <w:rPr>
          <w:rFonts w:ascii="Arial" w:hAnsi="Arial" w:cs="Arial"/>
          <w:sz w:val="20"/>
          <w:szCs w:val="20"/>
        </w:rPr>
        <w:t xml:space="preserve">if the ACMA is of the opinion that a variation to the </w:t>
      </w:r>
      <w:r>
        <w:rPr>
          <w:rFonts w:ascii="Arial" w:hAnsi="Arial" w:cs="Arial"/>
          <w:i/>
          <w:sz w:val="20"/>
          <w:szCs w:val="20"/>
        </w:rPr>
        <w:t xml:space="preserve">Telecommunications Numbering Plan 1997 </w:t>
      </w:r>
      <w:r>
        <w:rPr>
          <w:rFonts w:ascii="Arial" w:hAnsi="Arial" w:cs="Arial"/>
          <w:sz w:val="20"/>
          <w:szCs w:val="20"/>
        </w:rPr>
        <w:t xml:space="preserve">is a minor variation, the ACMA may make a written declaration to that effect.  </w:t>
      </w:r>
    </w:p>
    <w:p w:rsidR="009C4E89" w:rsidRPr="009C4E89" w:rsidRDefault="009C4E89" w:rsidP="00993194">
      <w:pPr>
        <w:spacing w:before="80" w:after="120" w:line="280" w:lineRule="atLeast"/>
        <w:jc w:val="both"/>
        <w:rPr>
          <w:rFonts w:ascii="Arial" w:hAnsi="Arial" w:cs="Arial"/>
          <w:i/>
          <w:sz w:val="20"/>
          <w:szCs w:val="20"/>
        </w:rPr>
      </w:pPr>
    </w:p>
    <w:p w:rsidR="009C4E89" w:rsidRDefault="009C4E89" w:rsidP="00993194">
      <w:pPr>
        <w:spacing w:before="80" w:after="120" w:line="280" w:lineRule="atLeast"/>
        <w:jc w:val="both"/>
        <w:rPr>
          <w:rFonts w:ascii="Arial" w:hAnsi="Arial" w:cs="Arial"/>
          <w:i/>
          <w:sz w:val="20"/>
          <w:szCs w:val="20"/>
        </w:rPr>
      </w:pPr>
      <w:r w:rsidRPr="008532AA">
        <w:rPr>
          <w:rFonts w:ascii="Arial" w:hAnsi="Arial" w:cs="Arial"/>
          <w:i/>
          <w:sz w:val="20"/>
          <w:szCs w:val="20"/>
        </w:rPr>
        <w:t>T</w:t>
      </w:r>
      <w:r>
        <w:rPr>
          <w:rFonts w:ascii="Arial" w:hAnsi="Arial" w:cs="Arial"/>
          <w:i/>
          <w:sz w:val="20"/>
          <w:szCs w:val="20"/>
        </w:rPr>
        <w:t>CPSS Act</w:t>
      </w:r>
    </w:p>
    <w:p w:rsidR="009C4E89" w:rsidRDefault="009C4E89" w:rsidP="009C4E89">
      <w:pPr>
        <w:spacing w:before="80" w:after="120" w:line="280" w:lineRule="atLeast"/>
        <w:jc w:val="both"/>
        <w:rPr>
          <w:rFonts w:ascii="Arial" w:hAnsi="Arial" w:cs="Arial"/>
          <w:sz w:val="20"/>
          <w:szCs w:val="20"/>
        </w:rPr>
      </w:pPr>
      <w:r w:rsidRPr="009C4E89">
        <w:rPr>
          <w:rFonts w:ascii="Arial" w:hAnsi="Arial" w:cs="Arial"/>
          <w:sz w:val="20"/>
          <w:szCs w:val="20"/>
        </w:rPr>
        <w:t xml:space="preserve">Under section 20F of the TCPSS Act the ACMA </w:t>
      </w:r>
      <w:r w:rsidR="00080DAB">
        <w:rPr>
          <w:rFonts w:ascii="Arial" w:hAnsi="Arial" w:cs="Arial"/>
          <w:sz w:val="20"/>
          <w:szCs w:val="20"/>
        </w:rPr>
        <w:t>has previously been</w:t>
      </w:r>
      <w:r w:rsidR="00556A5F">
        <w:rPr>
          <w:rFonts w:ascii="Arial" w:hAnsi="Arial" w:cs="Arial"/>
          <w:sz w:val="20"/>
          <w:szCs w:val="20"/>
        </w:rPr>
        <w:t xml:space="preserve"> </w:t>
      </w:r>
      <w:r w:rsidRPr="009C4E89">
        <w:rPr>
          <w:rFonts w:ascii="Arial" w:hAnsi="Arial" w:cs="Arial"/>
          <w:sz w:val="20"/>
          <w:szCs w:val="20"/>
        </w:rPr>
        <w:t>required to make a written assessment of a participating person’s eligible revenue for an eligible revenue period.</w:t>
      </w:r>
      <w:r>
        <w:rPr>
          <w:rFonts w:ascii="Arial" w:hAnsi="Arial" w:cs="Arial"/>
          <w:sz w:val="20"/>
          <w:szCs w:val="20"/>
        </w:rPr>
        <w:t xml:space="preserve">  A person’s eligible revenue for an eligible revenue period </w:t>
      </w:r>
      <w:r w:rsidR="00080DAB">
        <w:rPr>
          <w:rFonts w:ascii="Arial" w:hAnsi="Arial" w:cs="Arial"/>
          <w:sz w:val="20"/>
          <w:szCs w:val="20"/>
        </w:rPr>
        <w:t>was</w:t>
      </w:r>
      <w:r w:rsidR="00556A5F">
        <w:rPr>
          <w:rFonts w:ascii="Arial" w:hAnsi="Arial" w:cs="Arial"/>
          <w:sz w:val="20"/>
          <w:szCs w:val="20"/>
        </w:rPr>
        <w:t xml:space="preserve"> </w:t>
      </w:r>
      <w:r>
        <w:rPr>
          <w:rFonts w:ascii="Arial" w:hAnsi="Arial" w:cs="Arial"/>
          <w:sz w:val="20"/>
          <w:szCs w:val="20"/>
        </w:rPr>
        <w:t xml:space="preserve">the amount taken to be the person’s eligible revenue for that period in accordance with a determination in writing made by the ACMA for the purposes of subsection 20B(1) of the TCPSS Act.  </w:t>
      </w:r>
    </w:p>
    <w:p w:rsidR="00556A5F" w:rsidRDefault="00556A5F" w:rsidP="009C4E89">
      <w:pPr>
        <w:spacing w:before="80" w:after="120" w:line="280" w:lineRule="atLeast"/>
        <w:jc w:val="both"/>
        <w:rPr>
          <w:rFonts w:ascii="Arial" w:hAnsi="Arial" w:cs="Arial"/>
          <w:sz w:val="20"/>
          <w:szCs w:val="20"/>
        </w:rPr>
      </w:pPr>
      <w:r>
        <w:rPr>
          <w:rFonts w:ascii="Arial" w:hAnsi="Arial" w:cs="Arial"/>
          <w:sz w:val="20"/>
          <w:szCs w:val="20"/>
        </w:rPr>
        <w:t xml:space="preserve">The written assessment made by the ACMA </w:t>
      </w:r>
      <w:r w:rsidR="00080DAB">
        <w:rPr>
          <w:rFonts w:ascii="Arial" w:hAnsi="Arial" w:cs="Arial"/>
          <w:sz w:val="20"/>
          <w:szCs w:val="20"/>
        </w:rPr>
        <w:t>was</w:t>
      </w:r>
      <w:r>
        <w:rPr>
          <w:rFonts w:ascii="Arial" w:hAnsi="Arial" w:cs="Arial"/>
          <w:sz w:val="20"/>
          <w:szCs w:val="20"/>
        </w:rPr>
        <w:t xml:space="preserve"> </w:t>
      </w:r>
      <w:r w:rsidR="009C4E89" w:rsidRPr="009C4E89">
        <w:rPr>
          <w:rFonts w:ascii="Arial" w:hAnsi="Arial" w:cs="Arial"/>
          <w:sz w:val="20"/>
          <w:szCs w:val="20"/>
        </w:rPr>
        <w:t xml:space="preserve">then used to calculate how much a participating person must pay to the ACMA in levies.  </w:t>
      </w:r>
      <w:r>
        <w:rPr>
          <w:rFonts w:ascii="Arial" w:hAnsi="Arial" w:cs="Arial"/>
          <w:sz w:val="20"/>
          <w:szCs w:val="20"/>
        </w:rPr>
        <w:t xml:space="preserve">Subsection </w:t>
      </w:r>
      <w:proofErr w:type="gramStart"/>
      <w:r>
        <w:rPr>
          <w:rFonts w:ascii="Arial" w:hAnsi="Arial" w:cs="Arial"/>
          <w:sz w:val="20"/>
          <w:szCs w:val="20"/>
        </w:rPr>
        <w:t>23D(</w:t>
      </w:r>
      <w:proofErr w:type="gramEnd"/>
      <w:r>
        <w:rPr>
          <w:rFonts w:ascii="Arial" w:hAnsi="Arial" w:cs="Arial"/>
          <w:sz w:val="20"/>
          <w:szCs w:val="20"/>
        </w:rPr>
        <w:t>2) and subsection 101A(2) allow</w:t>
      </w:r>
      <w:r w:rsidR="00080DAB">
        <w:rPr>
          <w:rFonts w:ascii="Arial" w:hAnsi="Arial" w:cs="Arial"/>
          <w:sz w:val="20"/>
          <w:szCs w:val="20"/>
        </w:rPr>
        <w:t>ed</w:t>
      </w:r>
      <w:r>
        <w:rPr>
          <w:rFonts w:ascii="Arial" w:hAnsi="Arial" w:cs="Arial"/>
          <w:sz w:val="20"/>
          <w:szCs w:val="20"/>
        </w:rPr>
        <w:t xml:space="preserve"> the ACMA to set interest rates on outstanding levy amounts owing under the TCPSS Act.  </w:t>
      </w:r>
    </w:p>
    <w:p w:rsidR="009C4E89" w:rsidRPr="009C4E89" w:rsidRDefault="009C4E89" w:rsidP="009C4E89">
      <w:pPr>
        <w:spacing w:before="80" w:after="120" w:line="280" w:lineRule="atLeast"/>
        <w:jc w:val="both"/>
        <w:rPr>
          <w:rFonts w:ascii="Arial" w:hAnsi="Arial" w:cs="Arial"/>
          <w:sz w:val="20"/>
          <w:szCs w:val="20"/>
        </w:rPr>
      </w:pPr>
      <w:r w:rsidRPr="009C4E89">
        <w:rPr>
          <w:rFonts w:ascii="Arial" w:hAnsi="Arial" w:cs="Arial"/>
          <w:sz w:val="20"/>
          <w:szCs w:val="20"/>
        </w:rPr>
        <w:t xml:space="preserve">Under the TCPSS Act, the last eligible revenue period was the 2011-12 financial year.  From 1 July 2012, the basis for calculating a participating person’s eligible revenue was transferred to the </w:t>
      </w:r>
      <w:r w:rsidRPr="009C4E89">
        <w:rPr>
          <w:rFonts w:ascii="Arial" w:hAnsi="Arial" w:cs="Arial"/>
          <w:i/>
          <w:sz w:val="20"/>
          <w:szCs w:val="20"/>
        </w:rPr>
        <w:t>Telecommunications Universal Service Management Agency Act 2012</w:t>
      </w:r>
      <w:r w:rsidRPr="009C4E89">
        <w:rPr>
          <w:rFonts w:ascii="Arial" w:hAnsi="Arial" w:cs="Arial"/>
          <w:sz w:val="20"/>
          <w:szCs w:val="20"/>
        </w:rPr>
        <w:t xml:space="preserve">.  </w:t>
      </w:r>
    </w:p>
    <w:p w:rsidR="009C4E89" w:rsidRDefault="009C4E89" w:rsidP="00993194">
      <w:pPr>
        <w:spacing w:before="80" w:after="120" w:line="280" w:lineRule="atLeast"/>
        <w:jc w:val="both"/>
        <w:rPr>
          <w:rFonts w:ascii="Arial" w:hAnsi="Arial" w:cs="Arial"/>
          <w:sz w:val="20"/>
          <w:szCs w:val="20"/>
        </w:rPr>
      </w:pPr>
      <w:r w:rsidRPr="008532AA">
        <w:rPr>
          <w:rFonts w:ascii="Arial" w:hAnsi="Arial" w:cs="Arial"/>
          <w:i/>
          <w:sz w:val="20"/>
          <w:szCs w:val="20"/>
        </w:rPr>
        <w:t>Telecommunications (Numbering Charges) Act 1997</w:t>
      </w:r>
      <w:r>
        <w:rPr>
          <w:rFonts w:ascii="Arial" w:hAnsi="Arial" w:cs="Arial"/>
          <w:sz w:val="20"/>
          <w:szCs w:val="20"/>
        </w:rPr>
        <w:t xml:space="preserve"> </w:t>
      </w:r>
    </w:p>
    <w:p w:rsidR="009C4E89" w:rsidRPr="009C4E89" w:rsidRDefault="009C4E89" w:rsidP="009C4E89">
      <w:pPr>
        <w:spacing w:before="80" w:after="120" w:line="280" w:lineRule="atLeast"/>
        <w:jc w:val="both"/>
        <w:rPr>
          <w:rFonts w:ascii="Arial" w:hAnsi="Arial" w:cs="Arial"/>
          <w:sz w:val="20"/>
          <w:szCs w:val="20"/>
        </w:rPr>
      </w:pPr>
      <w:r w:rsidRPr="009C4E89">
        <w:rPr>
          <w:rFonts w:ascii="Arial" w:hAnsi="Arial" w:cs="Arial"/>
          <w:sz w:val="20"/>
          <w:szCs w:val="20"/>
        </w:rPr>
        <w:t>Under section 18</w:t>
      </w:r>
      <w:r>
        <w:rPr>
          <w:rFonts w:ascii="Arial" w:hAnsi="Arial" w:cs="Arial"/>
          <w:sz w:val="20"/>
          <w:szCs w:val="20"/>
        </w:rPr>
        <w:t xml:space="preserve"> of the </w:t>
      </w:r>
      <w:r w:rsidRPr="008532AA">
        <w:rPr>
          <w:rFonts w:ascii="Arial" w:hAnsi="Arial" w:cs="Arial"/>
          <w:i/>
          <w:sz w:val="20"/>
          <w:szCs w:val="20"/>
        </w:rPr>
        <w:t>Telecommunications (Numbering Charges) Act 1997</w:t>
      </w:r>
      <w:r>
        <w:rPr>
          <w:rFonts w:ascii="Arial" w:hAnsi="Arial" w:cs="Arial"/>
          <w:sz w:val="20"/>
          <w:szCs w:val="20"/>
        </w:rPr>
        <w:t xml:space="preserve">, </w:t>
      </w:r>
      <w:r w:rsidRPr="009C4E89">
        <w:rPr>
          <w:rFonts w:ascii="Arial" w:hAnsi="Arial" w:cs="Arial"/>
          <w:sz w:val="20"/>
          <w:szCs w:val="20"/>
        </w:rPr>
        <w:t>if a carriage service provider holds an allocated number at the beginning of a day determined under subsection 18(2)</w:t>
      </w:r>
      <w:r>
        <w:rPr>
          <w:rFonts w:ascii="Arial" w:hAnsi="Arial" w:cs="Arial"/>
          <w:sz w:val="20"/>
          <w:szCs w:val="20"/>
        </w:rPr>
        <w:t xml:space="preserve"> of that Act</w:t>
      </w:r>
      <w:r w:rsidRPr="009C4E89">
        <w:rPr>
          <w:rFonts w:ascii="Arial" w:hAnsi="Arial" w:cs="Arial"/>
          <w:sz w:val="20"/>
          <w:szCs w:val="20"/>
        </w:rPr>
        <w:t>, a charge is imposed on that number.  Subsection 18(2) provides that before 16 February in each year, the ACMA must determine in writi</w:t>
      </w:r>
      <w:r>
        <w:rPr>
          <w:rFonts w:ascii="Arial" w:hAnsi="Arial" w:cs="Arial"/>
          <w:sz w:val="20"/>
          <w:szCs w:val="20"/>
        </w:rPr>
        <w:t xml:space="preserve">ng a day in April in that year.    </w:t>
      </w:r>
    </w:p>
    <w:p w:rsidR="00042E79" w:rsidRPr="00042E79" w:rsidRDefault="00042E79" w:rsidP="00993194">
      <w:pPr>
        <w:spacing w:before="80" w:after="120" w:line="280" w:lineRule="atLeast"/>
        <w:jc w:val="both"/>
        <w:rPr>
          <w:rFonts w:ascii="Arial" w:hAnsi="Arial" w:cs="Arial"/>
          <w:i/>
          <w:sz w:val="20"/>
          <w:szCs w:val="20"/>
        </w:rPr>
      </w:pPr>
      <w:r>
        <w:rPr>
          <w:rFonts w:ascii="Arial" w:hAnsi="Arial" w:cs="Arial"/>
          <w:i/>
          <w:sz w:val="20"/>
          <w:szCs w:val="20"/>
        </w:rPr>
        <w:t>Acts Interpretation Act 1901</w:t>
      </w:r>
    </w:p>
    <w:p w:rsidR="00EB37A2" w:rsidRPr="001D35E0" w:rsidRDefault="00780616" w:rsidP="00993194">
      <w:pPr>
        <w:spacing w:before="80" w:after="120" w:line="280" w:lineRule="atLeast"/>
        <w:jc w:val="both"/>
        <w:rPr>
          <w:rFonts w:ascii="Arial" w:hAnsi="Arial" w:cs="Arial"/>
          <w:sz w:val="20"/>
          <w:szCs w:val="20"/>
        </w:rPr>
      </w:pPr>
      <w:r>
        <w:rPr>
          <w:rFonts w:ascii="Arial" w:hAnsi="Arial" w:cs="Arial"/>
          <w:sz w:val="20"/>
          <w:szCs w:val="20"/>
        </w:rPr>
        <w:t>S</w:t>
      </w:r>
      <w:r w:rsidR="00EB37A2">
        <w:rPr>
          <w:rFonts w:ascii="Arial" w:hAnsi="Arial" w:cs="Arial"/>
          <w:sz w:val="20"/>
          <w:szCs w:val="20"/>
        </w:rPr>
        <w:t>ubsection 33(</w:t>
      </w:r>
      <w:r w:rsidR="001D35E0">
        <w:rPr>
          <w:rFonts w:ascii="Arial" w:hAnsi="Arial" w:cs="Arial"/>
          <w:sz w:val="20"/>
          <w:szCs w:val="20"/>
        </w:rPr>
        <w:t>3</w:t>
      </w:r>
      <w:r w:rsidR="00EB37A2">
        <w:rPr>
          <w:rFonts w:ascii="Arial" w:hAnsi="Arial" w:cs="Arial"/>
          <w:sz w:val="20"/>
          <w:szCs w:val="20"/>
        </w:rPr>
        <w:t xml:space="preserve">) of the </w:t>
      </w:r>
      <w:r w:rsidR="001D35E0">
        <w:rPr>
          <w:rFonts w:ascii="Arial" w:hAnsi="Arial" w:cs="Arial"/>
          <w:i/>
          <w:sz w:val="20"/>
          <w:szCs w:val="20"/>
        </w:rPr>
        <w:t xml:space="preserve">Acts Interpretation Act 1901 </w:t>
      </w:r>
      <w:r w:rsidR="001D35E0">
        <w:rPr>
          <w:rFonts w:ascii="Arial" w:hAnsi="Arial" w:cs="Arial"/>
          <w:sz w:val="20"/>
          <w:szCs w:val="20"/>
        </w:rPr>
        <w:t xml:space="preserve">provides that </w:t>
      </w:r>
      <w:r w:rsidR="000A2D2D">
        <w:rPr>
          <w:rFonts w:ascii="Arial" w:hAnsi="Arial" w:cs="Arial"/>
          <w:sz w:val="20"/>
          <w:szCs w:val="20"/>
        </w:rPr>
        <w:t xml:space="preserve">the </w:t>
      </w:r>
      <w:r w:rsidR="001D35E0" w:rsidRPr="001D35E0">
        <w:rPr>
          <w:rFonts w:ascii="Arial" w:hAnsi="Arial" w:cs="Arial"/>
          <w:sz w:val="20"/>
          <w:szCs w:val="20"/>
        </w:rPr>
        <w:t>power to make</w:t>
      </w:r>
      <w:r w:rsidR="000A2D2D">
        <w:rPr>
          <w:rFonts w:ascii="Arial" w:hAnsi="Arial" w:cs="Arial"/>
          <w:sz w:val="20"/>
          <w:szCs w:val="20"/>
        </w:rPr>
        <w:t xml:space="preserve"> </w:t>
      </w:r>
      <w:r w:rsidR="001D35E0" w:rsidRPr="001D35E0">
        <w:rPr>
          <w:rFonts w:ascii="Arial" w:hAnsi="Arial" w:cs="Arial"/>
          <w:sz w:val="20"/>
          <w:szCs w:val="20"/>
        </w:rPr>
        <w:t xml:space="preserve">an instrument </w:t>
      </w:r>
      <w:r w:rsidR="000A2D2D">
        <w:rPr>
          <w:rFonts w:ascii="Arial" w:hAnsi="Arial" w:cs="Arial"/>
          <w:sz w:val="20"/>
          <w:szCs w:val="20"/>
        </w:rPr>
        <w:t xml:space="preserve">includes, unless </w:t>
      </w:r>
      <w:r w:rsidR="00D76E65">
        <w:rPr>
          <w:rFonts w:ascii="Arial" w:hAnsi="Arial" w:cs="Arial"/>
          <w:sz w:val="20"/>
          <w:szCs w:val="20"/>
        </w:rPr>
        <w:t xml:space="preserve">the </w:t>
      </w:r>
      <w:r w:rsidR="000A2D2D">
        <w:rPr>
          <w:rFonts w:ascii="Arial" w:hAnsi="Arial" w:cs="Arial"/>
          <w:sz w:val="20"/>
          <w:szCs w:val="20"/>
        </w:rPr>
        <w:t xml:space="preserve">contrary intention appears, </w:t>
      </w:r>
      <w:r w:rsidR="001D35E0" w:rsidRPr="001D35E0">
        <w:rPr>
          <w:rFonts w:ascii="Arial" w:hAnsi="Arial" w:cs="Arial"/>
          <w:sz w:val="20"/>
          <w:szCs w:val="20"/>
        </w:rPr>
        <w:t>a power exercisable in the like manner and subject to the like conditions (if any) to repeal, rescind, revoke, amend, or vary any such instrument</w:t>
      </w:r>
      <w:r w:rsidR="001D35E0">
        <w:rPr>
          <w:rFonts w:ascii="Arial" w:hAnsi="Arial" w:cs="Arial"/>
          <w:sz w:val="20"/>
          <w:szCs w:val="20"/>
        </w:rPr>
        <w:t xml:space="preserve">.  </w:t>
      </w:r>
    </w:p>
    <w:p w:rsidR="00FD4084" w:rsidRPr="00993194" w:rsidRDefault="00FD4084" w:rsidP="00993194">
      <w:pPr>
        <w:spacing w:before="80" w:after="120" w:line="280" w:lineRule="atLeast"/>
        <w:jc w:val="both"/>
        <w:rPr>
          <w:rFonts w:ascii="Arial" w:hAnsi="Arial" w:cs="Arial"/>
          <w:sz w:val="20"/>
          <w:szCs w:val="20"/>
        </w:rPr>
      </w:pPr>
      <w:r w:rsidRPr="00D52441">
        <w:rPr>
          <w:rFonts w:ascii="Arial" w:hAnsi="Arial" w:cs="Arial"/>
          <w:b/>
          <w:sz w:val="20"/>
          <w:szCs w:val="20"/>
        </w:rPr>
        <w:t>Operation</w:t>
      </w:r>
      <w:r w:rsidRPr="00993194">
        <w:rPr>
          <w:rFonts w:ascii="Arial" w:hAnsi="Arial" w:cs="Arial"/>
          <w:sz w:val="20"/>
          <w:szCs w:val="20"/>
        </w:rPr>
        <w:t xml:space="preserve"> </w:t>
      </w:r>
    </w:p>
    <w:p w:rsidR="007468EA" w:rsidRDefault="00FA0C10" w:rsidP="007468EA">
      <w:pPr>
        <w:spacing w:before="80" w:after="120" w:line="280" w:lineRule="atLeast"/>
        <w:jc w:val="both"/>
        <w:rPr>
          <w:rFonts w:ascii="Arial" w:hAnsi="Arial" w:cs="Arial"/>
          <w:sz w:val="20"/>
          <w:szCs w:val="20"/>
        </w:rPr>
      </w:pPr>
      <w:r w:rsidRPr="00993194">
        <w:rPr>
          <w:rFonts w:ascii="Arial" w:hAnsi="Arial" w:cs="Arial"/>
          <w:sz w:val="20"/>
          <w:szCs w:val="20"/>
        </w:rPr>
        <w:t xml:space="preserve">The </w:t>
      </w:r>
      <w:r w:rsidR="003C4F88">
        <w:rPr>
          <w:rFonts w:ascii="Arial" w:hAnsi="Arial" w:cs="Arial"/>
          <w:sz w:val="20"/>
          <w:szCs w:val="20"/>
        </w:rPr>
        <w:t xml:space="preserve">instruments that are being revoked under the </w:t>
      </w:r>
      <w:r w:rsidR="007468EA">
        <w:rPr>
          <w:rFonts w:ascii="Arial" w:hAnsi="Arial" w:cs="Arial"/>
          <w:sz w:val="20"/>
          <w:szCs w:val="20"/>
        </w:rPr>
        <w:t>Rev</w:t>
      </w:r>
      <w:r w:rsidR="003C4F88">
        <w:rPr>
          <w:rFonts w:ascii="Arial" w:hAnsi="Arial" w:cs="Arial"/>
          <w:sz w:val="20"/>
          <w:szCs w:val="20"/>
        </w:rPr>
        <w:t xml:space="preserve">ocation </w:t>
      </w:r>
      <w:r w:rsidR="004D6255">
        <w:rPr>
          <w:rFonts w:ascii="Arial" w:hAnsi="Arial" w:cs="Arial"/>
          <w:sz w:val="20"/>
          <w:szCs w:val="20"/>
        </w:rPr>
        <w:t xml:space="preserve">Instrument </w:t>
      </w:r>
      <w:r w:rsidR="00556A5F">
        <w:rPr>
          <w:rFonts w:ascii="Arial" w:hAnsi="Arial" w:cs="Arial"/>
          <w:sz w:val="20"/>
          <w:szCs w:val="20"/>
        </w:rPr>
        <w:t>relate to instruments which are spent</w:t>
      </w:r>
      <w:r w:rsidR="00080DAB">
        <w:rPr>
          <w:rFonts w:ascii="Arial" w:hAnsi="Arial" w:cs="Arial"/>
          <w:sz w:val="20"/>
          <w:szCs w:val="20"/>
        </w:rPr>
        <w:t xml:space="preserve"> or</w:t>
      </w:r>
      <w:r w:rsidR="00556A5F">
        <w:rPr>
          <w:rFonts w:ascii="Arial" w:hAnsi="Arial" w:cs="Arial"/>
          <w:sz w:val="20"/>
          <w:szCs w:val="20"/>
        </w:rPr>
        <w:t xml:space="preserve"> redundant and have no ongoing </w:t>
      </w:r>
      <w:r w:rsidR="00080DAB">
        <w:rPr>
          <w:rFonts w:ascii="Arial" w:hAnsi="Arial" w:cs="Arial"/>
          <w:sz w:val="20"/>
          <w:szCs w:val="20"/>
        </w:rPr>
        <w:t>operation</w:t>
      </w:r>
      <w:r w:rsidR="00556A5F">
        <w:rPr>
          <w:rFonts w:ascii="Arial" w:hAnsi="Arial" w:cs="Arial"/>
          <w:sz w:val="20"/>
          <w:szCs w:val="20"/>
        </w:rPr>
        <w:t xml:space="preserve">.  </w:t>
      </w:r>
    </w:p>
    <w:p w:rsidR="00FD4084" w:rsidRPr="00993194" w:rsidRDefault="00FD4084" w:rsidP="000A2D2D">
      <w:pPr>
        <w:keepNext/>
        <w:spacing w:before="80" w:after="120" w:line="280" w:lineRule="atLeast"/>
        <w:jc w:val="both"/>
        <w:rPr>
          <w:rFonts w:ascii="Arial" w:hAnsi="Arial" w:cs="Arial"/>
          <w:sz w:val="20"/>
          <w:szCs w:val="20"/>
        </w:rPr>
      </w:pPr>
      <w:bookmarkStart w:id="2" w:name="OLE_LINK8"/>
      <w:bookmarkStart w:id="3" w:name="OLE_LINK9"/>
      <w:r w:rsidRPr="00993194">
        <w:rPr>
          <w:rFonts w:ascii="Arial" w:hAnsi="Arial" w:cs="Arial"/>
          <w:b/>
          <w:sz w:val="20"/>
          <w:szCs w:val="20"/>
        </w:rPr>
        <w:t>Consultation</w:t>
      </w:r>
    </w:p>
    <w:p w:rsidR="00952F2C" w:rsidRDefault="0064245E" w:rsidP="001412ED">
      <w:pPr>
        <w:spacing w:before="80" w:after="120" w:line="280" w:lineRule="atLeast"/>
        <w:jc w:val="both"/>
        <w:rPr>
          <w:rFonts w:ascii="Arial" w:hAnsi="Arial" w:cs="Arial"/>
          <w:sz w:val="20"/>
          <w:szCs w:val="20"/>
        </w:rPr>
      </w:pPr>
      <w:r>
        <w:rPr>
          <w:rFonts w:ascii="Arial" w:hAnsi="Arial" w:cs="Arial"/>
          <w:sz w:val="20"/>
          <w:szCs w:val="20"/>
        </w:rPr>
        <w:t xml:space="preserve">Section 17 of the </w:t>
      </w:r>
      <w:r>
        <w:rPr>
          <w:rFonts w:ascii="Arial" w:hAnsi="Arial" w:cs="Arial"/>
          <w:i/>
          <w:sz w:val="20"/>
          <w:szCs w:val="20"/>
        </w:rPr>
        <w:t xml:space="preserve">Legislative Instruments Act 2005 </w:t>
      </w:r>
      <w:r>
        <w:rPr>
          <w:rFonts w:ascii="Arial" w:hAnsi="Arial" w:cs="Arial"/>
          <w:sz w:val="20"/>
          <w:szCs w:val="20"/>
        </w:rPr>
        <w:t>(</w:t>
      </w:r>
      <w:r w:rsidRPr="0064245E">
        <w:rPr>
          <w:rFonts w:ascii="Arial" w:hAnsi="Arial" w:cs="Arial"/>
          <w:b/>
          <w:sz w:val="20"/>
          <w:szCs w:val="20"/>
        </w:rPr>
        <w:t>LIA</w:t>
      </w:r>
      <w:r>
        <w:rPr>
          <w:rFonts w:ascii="Arial" w:hAnsi="Arial" w:cs="Arial"/>
          <w:sz w:val="20"/>
          <w:szCs w:val="20"/>
        </w:rPr>
        <w:t xml:space="preserve">) </w:t>
      </w:r>
      <w:r w:rsidRPr="0064245E">
        <w:rPr>
          <w:rFonts w:ascii="Arial" w:hAnsi="Arial" w:cs="Arial"/>
          <w:sz w:val="20"/>
          <w:szCs w:val="20"/>
        </w:rPr>
        <w:t>requires</w:t>
      </w:r>
      <w:r>
        <w:rPr>
          <w:rFonts w:ascii="Arial" w:hAnsi="Arial" w:cs="Arial"/>
          <w:sz w:val="20"/>
          <w:szCs w:val="20"/>
        </w:rPr>
        <w:t xml:space="preserve"> the ACMA to be satisfied that any consultation it considers to be appropriate and that is reasonably practicable to undertake in relation to </w:t>
      </w:r>
      <w:r w:rsidR="00D76E65">
        <w:rPr>
          <w:rFonts w:ascii="Arial" w:hAnsi="Arial" w:cs="Arial"/>
          <w:sz w:val="20"/>
          <w:szCs w:val="20"/>
        </w:rPr>
        <w:t xml:space="preserve">an instrument </w:t>
      </w:r>
      <w:r>
        <w:rPr>
          <w:rFonts w:ascii="Arial" w:hAnsi="Arial" w:cs="Arial"/>
          <w:sz w:val="20"/>
          <w:szCs w:val="20"/>
        </w:rPr>
        <w:t xml:space="preserve">has been undertaken.  Paragraph 18(2)(a) of the LIA provides that a rule-maker may be satisfied that consultation is unnecessary or inappropriate </w:t>
      </w:r>
      <w:r w:rsidR="00952F2C">
        <w:rPr>
          <w:rFonts w:ascii="Arial" w:hAnsi="Arial" w:cs="Arial"/>
          <w:sz w:val="20"/>
          <w:szCs w:val="20"/>
        </w:rPr>
        <w:t xml:space="preserve">for an </w:t>
      </w:r>
      <w:r>
        <w:rPr>
          <w:rFonts w:ascii="Arial" w:hAnsi="Arial" w:cs="Arial"/>
          <w:sz w:val="20"/>
          <w:szCs w:val="20"/>
        </w:rPr>
        <w:t xml:space="preserve">instrument </w:t>
      </w:r>
      <w:r w:rsidR="00952F2C">
        <w:rPr>
          <w:rFonts w:ascii="Arial" w:hAnsi="Arial" w:cs="Arial"/>
          <w:sz w:val="20"/>
          <w:szCs w:val="20"/>
        </w:rPr>
        <w:t xml:space="preserve">if the instrument is of a minor or machinery nature and does not substantially alter existing arrangements.  </w:t>
      </w:r>
    </w:p>
    <w:p w:rsidR="001412ED" w:rsidRDefault="001412ED" w:rsidP="001412ED">
      <w:pPr>
        <w:spacing w:before="80" w:after="120" w:line="280" w:lineRule="atLeast"/>
        <w:jc w:val="both"/>
        <w:rPr>
          <w:rFonts w:ascii="Arial" w:hAnsi="Arial" w:cs="Arial"/>
          <w:sz w:val="20"/>
          <w:szCs w:val="20"/>
        </w:rPr>
      </w:pPr>
      <w:r>
        <w:rPr>
          <w:rFonts w:ascii="Arial" w:hAnsi="Arial" w:cs="Arial"/>
          <w:sz w:val="20"/>
          <w:szCs w:val="20"/>
        </w:rPr>
        <w:t xml:space="preserve">No public consultation has been undertaken because the </w:t>
      </w:r>
      <w:r w:rsidR="00F50DA5">
        <w:rPr>
          <w:rFonts w:ascii="Arial" w:hAnsi="Arial" w:cs="Arial"/>
          <w:sz w:val="20"/>
          <w:szCs w:val="20"/>
        </w:rPr>
        <w:t xml:space="preserve">ACMA is satisfied that the </w:t>
      </w:r>
      <w:r>
        <w:rPr>
          <w:rFonts w:ascii="Arial" w:hAnsi="Arial" w:cs="Arial"/>
          <w:sz w:val="20"/>
          <w:szCs w:val="20"/>
        </w:rPr>
        <w:t xml:space="preserve">Revocation </w:t>
      </w:r>
      <w:r w:rsidR="004D6255">
        <w:rPr>
          <w:rFonts w:ascii="Arial" w:hAnsi="Arial" w:cs="Arial"/>
          <w:sz w:val="20"/>
          <w:szCs w:val="20"/>
        </w:rPr>
        <w:t xml:space="preserve">Instrument </w:t>
      </w:r>
      <w:r>
        <w:rPr>
          <w:rFonts w:ascii="Arial" w:hAnsi="Arial" w:cs="Arial"/>
          <w:sz w:val="20"/>
          <w:szCs w:val="20"/>
        </w:rPr>
        <w:t xml:space="preserve">is </w:t>
      </w:r>
      <w:r w:rsidR="00952F2C">
        <w:rPr>
          <w:rFonts w:ascii="Arial" w:hAnsi="Arial" w:cs="Arial"/>
          <w:sz w:val="20"/>
          <w:szCs w:val="20"/>
        </w:rPr>
        <w:t xml:space="preserve">minor and machinery in nature.  The Revocation </w:t>
      </w:r>
      <w:r w:rsidR="004D6255">
        <w:rPr>
          <w:rFonts w:ascii="Arial" w:hAnsi="Arial" w:cs="Arial"/>
          <w:sz w:val="20"/>
          <w:szCs w:val="20"/>
        </w:rPr>
        <w:t xml:space="preserve">Instrument </w:t>
      </w:r>
      <w:r w:rsidR="00952F2C">
        <w:rPr>
          <w:rFonts w:ascii="Arial" w:hAnsi="Arial" w:cs="Arial"/>
          <w:sz w:val="20"/>
          <w:szCs w:val="20"/>
        </w:rPr>
        <w:t xml:space="preserve">revokes instruments which are spent and redundant and the revocation of those instruments will not substantially alter existing arrangements.  </w:t>
      </w:r>
    </w:p>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Regulation impact</w:t>
      </w:r>
    </w:p>
    <w:p w:rsidR="006C6500" w:rsidRDefault="0007738C" w:rsidP="00993194">
      <w:pPr>
        <w:spacing w:before="80" w:after="120" w:line="280" w:lineRule="atLeast"/>
        <w:jc w:val="both"/>
        <w:rPr>
          <w:rFonts w:ascii="Arial" w:hAnsi="Arial" w:cs="Arial"/>
          <w:sz w:val="20"/>
          <w:szCs w:val="20"/>
        </w:rPr>
      </w:pPr>
      <w:r>
        <w:rPr>
          <w:rFonts w:ascii="Arial" w:hAnsi="Arial" w:cs="Arial"/>
          <w:sz w:val="20"/>
          <w:szCs w:val="20"/>
        </w:rPr>
        <w:t xml:space="preserve">The ACMA has undertaken a preliminary assessment of the regulatory impact in accordance with the requirements </w:t>
      </w:r>
      <w:r w:rsidRPr="0007738C">
        <w:rPr>
          <w:rFonts w:ascii="Arial" w:hAnsi="Arial" w:cs="Arial"/>
          <w:sz w:val="20"/>
          <w:szCs w:val="20"/>
        </w:rPr>
        <w:t>of the Office of Best Practice Regulation. It has been determined that re</w:t>
      </w:r>
      <w:r w:rsidR="00522673">
        <w:rPr>
          <w:rFonts w:ascii="Arial" w:hAnsi="Arial" w:cs="Arial"/>
          <w:sz w:val="20"/>
          <w:szCs w:val="20"/>
        </w:rPr>
        <w:t>voking</w:t>
      </w:r>
      <w:r w:rsidRPr="0007738C">
        <w:rPr>
          <w:rFonts w:ascii="Arial" w:hAnsi="Arial" w:cs="Arial"/>
          <w:sz w:val="20"/>
          <w:szCs w:val="20"/>
        </w:rPr>
        <w:t xml:space="preserve"> the</w:t>
      </w:r>
      <w:r>
        <w:rPr>
          <w:rFonts w:ascii="Arial" w:hAnsi="Arial" w:cs="Arial"/>
          <w:sz w:val="20"/>
          <w:szCs w:val="20"/>
        </w:rPr>
        <w:t xml:space="preserve"> 2</w:t>
      </w:r>
      <w:r w:rsidR="0096232E">
        <w:rPr>
          <w:rFonts w:ascii="Arial" w:hAnsi="Arial" w:cs="Arial"/>
          <w:sz w:val="20"/>
          <w:szCs w:val="20"/>
        </w:rPr>
        <w:t>4</w:t>
      </w:r>
      <w:r>
        <w:rPr>
          <w:rFonts w:ascii="Arial" w:hAnsi="Arial" w:cs="Arial"/>
          <w:sz w:val="20"/>
          <w:szCs w:val="20"/>
        </w:rPr>
        <w:t xml:space="preserve"> </w:t>
      </w:r>
      <w:r w:rsidRPr="0007738C">
        <w:rPr>
          <w:rFonts w:ascii="Arial" w:hAnsi="Arial" w:cs="Arial"/>
          <w:sz w:val="20"/>
          <w:szCs w:val="20"/>
        </w:rPr>
        <w:t xml:space="preserve">instruments </w:t>
      </w:r>
      <w:r>
        <w:rPr>
          <w:rFonts w:ascii="Arial" w:hAnsi="Arial" w:cs="Arial"/>
          <w:sz w:val="20"/>
          <w:szCs w:val="20"/>
        </w:rPr>
        <w:t xml:space="preserve">will </w:t>
      </w:r>
      <w:r w:rsidRPr="0007738C">
        <w:rPr>
          <w:rFonts w:ascii="Arial" w:hAnsi="Arial" w:cs="Arial"/>
          <w:sz w:val="20"/>
          <w:szCs w:val="20"/>
        </w:rPr>
        <w:t xml:space="preserve">have no direct or significant indirect impact on business or </w:t>
      </w:r>
      <w:r w:rsidRPr="0007738C">
        <w:rPr>
          <w:rFonts w:ascii="Arial" w:hAnsi="Arial" w:cs="Arial"/>
          <w:sz w:val="20"/>
          <w:szCs w:val="20"/>
        </w:rPr>
        <w:lastRenderedPageBreak/>
        <w:t xml:space="preserve">the economy. </w:t>
      </w:r>
      <w:r w:rsidRPr="003C4F88">
        <w:rPr>
          <w:rFonts w:ascii="Arial" w:hAnsi="Arial" w:cs="Arial"/>
          <w:sz w:val="20"/>
          <w:szCs w:val="20"/>
        </w:rPr>
        <w:t xml:space="preserve">For those reasons, an exemption from the need to provide a Regulatory Impact </w:t>
      </w:r>
      <w:r w:rsidRPr="004D6255">
        <w:rPr>
          <w:rFonts w:ascii="Arial" w:hAnsi="Arial" w:cs="Arial"/>
          <w:sz w:val="20"/>
          <w:szCs w:val="20"/>
        </w:rPr>
        <w:t xml:space="preserve">Statement (RIS) has been obtained. The ACMA RIS exemption reference number is </w:t>
      </w:r>
      <w:r w:rsidR="004D6255" w:rsidRPr="004D6255">
        <w:rPr>
          <w:rFonts w:ascii="Arial" w:hAnsi="Arial" w:cs="Arial"/>
          <w:sz w:val="20"/>
          <w:szCs w:val="20"/>
        </w:rPr>
        <w:t>ID 16628</w:t>
      </w:r>
      <w:r w:rsidR="003C4F88" w:rsidRPr="004D6255">
        <w:rPr>
          <w:rFonts w:ascii="Arial" w:hAnsi="Arial" w:cs="Arial"/>
          <w:sz w:val="20"/>
          <w:szCs w:val="20"/>
        </w:rPr>
        <w:t>.</w:t>
      </w:r>
    </w:p>
    <w:p w:rsidR="00825443" w:rsidRPr="008E730A" w:rsidRDefault="00825443" w:rsidP="00825443">
      <w:pPr>
        <w:pStyle w:val="ACMAHeading3"/>
        <w:rPr>
          <w:rFonts w:cs="Arial"/>
          <w:sz w:val="20"/>
        </w:rPr>
      </w:pPr>
      <w:r w:rsidRPr="008E730A">
        <w:rPr>
          <w:rFonts w:cs="Arial"/>
          <w:sz w:val="20"/>
        </w:rPr>
        <w:t>Statement of compatibility with human rights</w:t>
      </w:r>
    </w:p>
    <w:p w:rsidR="00825443" w:rsidRDefault="00825443" w:rsidP="00825443">
      <w:pPr>
        <w:pStyle w:val="ACMABodyText"/>
        <w:rPr>
          <w:rFonts w:ascii="Arial" w:hAnsi="Arial" w:cs="Arial"/>
          <w:sz w:val="20"/>
          <w:lang w:val="en-US"/>
        </w:rPr>
      </w:pPr>
      <w:r w:rsidRPr="008E730A">
        <w:rPr>
          <w:rFonts w:ascii="Arial" w:hAnsi="Arial" w:cs="Arial"/>
          <w:sz w:val="20"/>
          <w:lang w:val="en-US"/>
        </w:rPr>
        <w:t xml:space="preserve">Subsection 9(1) of the </w:t>
      </w:r>
      <w:r w:rsidRPr="00943694">
        <w:rPr>
          <w:rFonts w:ascii="Arial" w:hAnsi="Arial" w:cs="Arial"/>
          <w:i/>
          <w:sz w:val="20"/>
          <w:lang w:val="en-US"/>
        </w:rPr>
        <w:t>Human Rights (Parliamentary Scrutiny) Act 2011</w:t>
      </w:r>
      <w:r w:rsidRPr="008E730A">
        <w:rPr>
          <w:rFonts w:ascii="Arial" w:hAnsi="Arial" w:cs="Arial"/>
          <w:sz w:val="20"/>
          <w:lang w:val="en-US"/>
        </w:rPr>
        <w:t xml:space="preserve"> requires the rule maker in relation to a legislative instrument to which section 42 (disallowance) of the </w:t>
      </w:r>
      <w:r w:rsidRPr="00943694">
        <w:rPr>
          <w:rFonts w:ascii="Arial" w:hAnsi="Arial" w:cs="Arial"/>
          <w:i/>
          <w:sz w:val="20"/>
          <w:lang w:val="en-US"/>
        </w:rPr>
        <w:t xml:space="preserve">Legislative Instruments Act 2003 </w:t>
      </w:r>
      <w:r w:rsidRPr="008E730A">
        <w:rPr>
          <w:rFonts w:ascii="Arial" w:hAnsi="Arial" w:cs="Arial"/>
          <w:sz w:val="20"/>
          <w:lang w:val="en-US"/>
        </w:rPr>
        <w:t xml:space="preserve">applies to cause a statement of compatibility to be prepared in respect of that legislative instrument. </w:t>
      </w:r>
    </w:p>
    <w:p w:rsidR="000A2D2D" w:rsidRPr="000A2D2D" w:rsidRDefault="000A2D2D" w:rsidP="000A2D2D">
      <w:pPr>
        <w:pStyle w:val="ACMABodyText"/>
        <w:rPr>
          <w:rFonts w:ascii="Arial" w:hAnsi="Arial" w:cs="Arial"/>
          <w:sz w:val="20"/>
          <w:lang w:val="en-US"/>
        </w:rPr>
      </w:pPr>
      <w:r w:rsidRPr="000A2D2D">
        <w:rPr>
          <w:rFonts w:ascii="Arial" w:hAnsi="Arial" w:cs="Arial"/>
          <w:sz w:val="20"/>
          <w:lang w:val="en-US"/>
        </w:rPr>
        <w:t xml:space="preserve">This statement has been prepared in accordance with Part 3 of the </w:t>
      </w:r>
      <w:r w:rsidRPr="000A2D2D">
        <w:rPr>
          <w:rFonts w:ascii="Arial" w:hAnsi="Arial" w:cs="Arial"/>
          <w:i/>
          <w:sz w:val="20"/>
          <w:lang w:val="en-US"/>
        </w:rPr>
        <w:t>Human Rights (Parliamentary Scrutiny) Act 2011</w:t>
      </w:r>
      <w:r w:rsidRPr="000A2D2D">
        <w:rPr>
          <w:rFonts w:ascii="Arial" w:hAnsi="Arial" w:cs="Arial"/>
          <w:sz w:val="20"/>
          <w:lang w:val="en-US"/>
        </w:rPr>
        <w:t>.</w:t>
      </w:r>
    </w:p>
    <w:p w:rsidR="000A2D2D" w:rsidRDefault="000A2D2D" w:rsidP="000A2D2D">
      <w:pPr>
        <w:pStyle w:val="ACMABodyText"/>
        <w:rPr>
          <w:rFonts w:ascii="Arial" w:hAnsi="Arial" w:cs="Arial"/>
          <w:sz w:val="20"/>
          <w:lang w:val="en-US"/>
        </w:rPr>
      </w:pPr>
      <w:r w:rsidRPr="000A2D2D">
        <w:rPr>
          <w:rFonts w:ascii="Arial" w:hAnsi="Arial" w:cs="Arial"/>
          <w:sz w:val="20"/>
          <w:lang w:val="en-US"/>
        </w:rPr>
        <w:t xml:space="preserve">The Revocation </w:t>
      </w:r>
      <w:r w:rsidR="004D6255">
        <w:rPr>
          <w:rFonts w:ascii="Arial" w:hAnsi="Arial" w:cs="Arial"/>
          <w:sz w:val="20"/>
          <w:lang w:val="en-US"/>
        </w:rPr>
        <w:t>Instrument</w:t>
      </w:r>
      <w:r w:rsidRPr="000A2D2D">
        <w:rPr>
          <w:rFonts w:ascii="Arial" w:hAnsi="Arial" w:cs="Arial"/>
          <w:sz w:val="20"/>
          <w:lang w:val="en-US"/>
        </w:rPr>
        <w:t xml:space="preserve">, the purpose of which is to revoke </w:t>
      </w:r>
      <w:r>
        <w:rPr>
          <w:rFonts w:ascii="Arial" w:hAnsi="Arial" w:cs="Arial"/>
          <w:sz w:val="20"/>
          <w:lang w:val="en-US"/>
        </w:rPr>
        <w:t>2</w:t>
      </w:r>
      <w:r w:rsidR="0096232E">
        <w:rPr>
          <w:rFonts w:ascii="Arial" w:hAnsi="Arial" w:cs="Arial"/>
          <w:sz w:val="20"/>
          <w:lang w:val="en-US"/>
        </w:rPr>
        <w:t>4</w:t>
      </w:r>
      <w:r>
        <w:rPr>
          <w:rFonts w:ascii="Arial" w:hAnsi="Arial" w:cs="Arial"/>
          <w:sz w:val="20"/>
          <w:lang w:val="en-US"/>
        </w:rPr>
        <w:t xml:space="preserve"> </w:t>
      </w:r>
      <w:r w:rsidR="0096232E">
        <w:rPr>
          <w:rFonts w:ascii="Arial" w:hAnsi="Arial" w:cs="Arial"/>
          <w:sz w:val="20"/>
          <w:lang w:val="en-US"/>
        </w:rPr>
        <w:t>instruments</w:t>
      </w:r>
      <w:r>
        <w:rPr>
          <w:rFonts w:ascii="Arial" w:hAnsi="Arial" w:cs="Arial"/>
          <w:sz w:val="20"/>
          <w:lang w:val="en-US"/>
        </w:rPr>
        <w:t xml:space="preserve">, </w:t>
      </w:r>
      <w:r w:rsidRPr="000A2D2D">
        <w:rPr>
          <w:rFonts w:ascii="Arial" w:hAnsi="Arial" w:cs="Arial"/>
          <w:sz w:val="20"/>
          <w:lang w:val="en-US"/>
        </w:rPr>
        <w:t xml:space="preserve">is compatible with the human rights and freedoms recognised or declared in the international instruments listed in section 3 of the </w:t>
      </w:r>
      <w:r w:rsidRPr="000A2D2D">
        <w:rPr>
          <w:rFonts w:ascii="Arial" w:hAnsi="Arial" w:cs="Arial"/>
          <w:i/>
          <w:sz w:val="20"/>
          <w:lang w:val="en-US"/>
        </w:rPr>
        <w:t>Human Rights (Parliamentary Scrutiny) Act 2011</w:t>
      </w:r>
      <w:r w:rsidRPr="000A2D2D">
        <w:rPr>
          <w:rFonts w:ascii="Arial" w:hAnsi="Arial" w:cs="Arial"/>
          <w:sz w:val="20"/>
          <w:lang w:val="en-US"/>
        </w:rPr>
        <w:t>.</w:t>
      </w:r>
    </w:p>
    <w:p w:rsidR="000A2D2D" w:rsidRPr="008E730A" w:rsidRDefault="000A2D2D" w:rsidP="000A2D2D">
      <w:pPr>
        <w:pStyle w:val="ACMABodyText"/>
        <w:rPr>
          <w:rFonts w:ascii="Arial" w:hAnsi="Arial" w:cs="Arial"/>
          <w:sz w:val="20"/>
          <w:lang w:val="en-US"/>
        </w:rPr>
      </w:pPr>
      <w:r w:rsidRPr="000A2D2D">
        <w:rPr>
          <w:rFonts w:ascii="Arial" w:hAnsi="Arial" w:cs="Arial"/>
          <w:sz w:val="20"/>
          <w:lang w:val="en-US"/>
        </w:rPr>
        <w:t xml:space="preserve">The ACMA has considered whether the Revocation </w:t>
      </w:r>
      <w:r w:rsidR="004D6255">
        <w:rPr>
          <w:rFonts w:ascii="Arial" w:hAnsi="Arial" w:cs="Arial"/>
          <w:sz w:val="20"/>
          <w:lang w:val="en-US"/>
        </w:rPr>
        <w:t xml:space="preserve">Instrument </w:t>
      </w:r>
      <w:r w:rsidRPr="000A2D2D">
        <w:rPr>
          <w:rFonts w:ascii="Arial" w:hAnsi="Arial" w:cs="Arial"/>
          <w:sz w:val="20"/>
          <w:lang w:val="en-US"/>
        </w:rPr>
        <w:t xml:space="preserve">engages any applicable human rights or freedoms and has formed the view that it does not. The Revocation </w:t>
      </w:r>
      <w:r w:rsidR="004D6255">
        <w:rPr>
          <w:rFonts w:ascii="Arial" w:hAnsi="Arial" w:cs="Arial"/>
          <w:sz w:val="20"/>
          <w:lang w:val="en-US"/>
        </w:rPr>
        <w:t xml:space="preserve">Instrument </w:t>
      </w:r>
      <w:r w:rsidRPr="000A2D2D">
        <w:rPr>
          <w:rFonts w:ascii="Arial" w:hAnsi="Arial" w:cs="Arial"/>
          <w:sz w:val="20"/>
          <w:lang w:val="en-US"/>
        </w:rPr>
        <w:t>is compatible with human rights as it does not raise any human rights issues.</w:t>
      </w:r>
    </w:p>
    <w:bookmarkEnd w:id="2"/>
    <w:bookmarkEnd w:id="3"/>
    <w:p w:rsidR="00A822FF" w:rsidRDefault="000F70BF" w:rsidP="000F70BF">
      <w:pPr>
        <w:pStyle w:val="ACMAHeading3"/>
        <w:rPr>
          <w:rFonts w:cs="Arial"/>
          <w:sz w:val="20"/>
        </w:rPr>
      </w:pPr>
      <w:r w:rsidRPr="000F70BF">
        <w:rPr>
          <w:rFonts w:cs="Arial"/>
          <w:sz w:val="20"/>
        </w:rPr>
        <w:t>Attachment</w:t>
      </w:r>
    </w:p>
    <w:p w:rsidR="000F70BF" w:rsidRPr="008E730A" w:rsidRDefault="000F70BF" w:rsidP="000F70BF">
      <w:pPr>
        <w:pStyle w:val="ACMABodyText"/>
        <w:rPr>
          <w:rFonts w:ascii="Arial" w:hAnsi="Arial" w:cs="Arial"/>
          <w:sz w:val="20"/>
          <w:lang w:val="en-US"/>
        </w:rPr>
      </w:pPr>
      <w:r>
        <w:rPr>
          <w:rFonts w:ascii="Arial" w:hAnsi="Arial" w:cs="Arial"/>
          <w:sz w:val="20"/>
          <w:lang w:val="en-US"/>
        </w:rPr>
        <w:t xml:space="preserve">Further details of the Revocation </w:t>
      </w:r>
      <w:r w:rsidR="004D6255">
        <w:rPr>
          <w:rFonts w:ascii="Arial" w:hAnsi="Arial" w:cs="Arial"/>
          <w:sz w:val="20"/>
          <w:lang w:val="en-US"/>
        </w:rPr>
        <w:t xml:space="preserve">Instrument </w:t>
      </w:r>
      <w:r>
        <w:rPr>
          <w:rFonts w:ascii="Arial" w:hAnsi="Arial" w:cs="Arial"/>
          <w:sz w:val="20"/>
          <w:lang w:val="en-US"/>
        </w:rPr>
        <w:t>are set out in Attachment A</w:t>
      </w:r>
      <w:r w:rsidRPr="000A2D2D">
        <w:rPr>
          <w:rFonts w:ascii="Arial" w:hAnsi="Arial" w:cs="Arial"/>
          <w:sz w:val="20"/>
          <w:lang w:val="en-US"/>
        </w:rPr>
        <w:t>.</w:t>
      </w:r>
    </w:p>
    <w:p w:rsidR="000F70BF" w:rsidRPr="000F70BF" w:rsidRDefault="000F70BF" w:rsidP="000F70BF">
      <w:pPr>
        <w:pStyle w:val="ACMABodyText"/>
        <w:rPr>
          <w:b/>
          <w:lang w:val="en-US"/>
        </w:rPr>
      </w:pPr>
    </w:p>
    <w:p w:rsidR="000F70BF" w:rsidRDefault="000F70BF" w:rsidP="00C31F0D">
      <w:pPr>
        <w:spacing w:beforeLines="80" w:afterLines="120" w:line="280" w:lineRule="atLeast"/>
        <w:rPr>
          <w:rFonts w:ascii="Arial" w:hAnsi="Arial" w:cs="Arial"/>
          <w:b/>
          <w:szCs w:val="20"/>
        </w:rPr>
      </w:pPr>
      <w:r>
        <w:rPr>
          <w:rFonts w:ascii="Arial" w:hAnsi="Arial" w:cs="Arial"/>
          <w:b/>
          <w:szCs w:val="20"/>
        </w:rPr>
        <w:br/>
      </w:r>
    </w:p>
    <w:p w:rsidR="000F70BF" w:rsidRDefault="000F70BF" w:rsidP="00C31F0D">
      <w:pPr>
        <w:spacing w:beforeLines="80" w:afterLines="120" w:line="280" w:lineRule="atLeast"/>
        <w:jc w:val="right"/>
        <w:rPr>
          <w:rFonts w:ascii="Arial" w:hAnsi="Arial" w:cs="Arial"/>
          <w:b/>
          <w:szCs w:val="20"/>
        </w:rPr>
      </w:pPr>
      <w:r>
        <w:rPr>
          <w:rFonts w:ascii="Arial" w:hAnsi="Arial" w:cs="Arial"/>
          <w:b/>
          <w:szCs w:val="20"/>
        </w:rPr>
        <w:br w:type="page"/>
        <w:t>ATTACHMENT A</w:t>
      </w:r>
    </w:p>
    <w:p w:rsidR="001D35E0" w:rsidRDefault="00FD4084" w:rsidP="00C31F0D">
      <w:pPr>
        <w:spacing w:beforeLines="80" w:afterLines="120" w:line="280" w:lineRule="atLeast"/>
        <w:rPr>
          <w:rFonts w:ascii="Arial" w:hAnsi="Arial" w:cs="Arial"/>
          <w:b/>
          <w:szCs w:val="20"/>
        </w:rPr>
      </w:pPr>
      <w:r w:rsidRPr="00AF5EA2">
        <w:rPr>
          <w:rFonts w:ascii="Arial" w:hAnsi="Arial" w:cs="Arial"/>
          <w:b/>
          <w:szCs w:val="20"/>
        </w:rPr>
        <w:t>NOTE</w:t>
      </w:r>
      <w:r w:rsidR="007C0A20">
        <w:rPr>
          <w:rFonts w:ascii="Arial" w:hAnsi="Arial" w:cs="Arial"/>
          <w:b/>
          <w:szCs w:val="20"/>
        </w:rPr>
        <w:t>S</w:t>
      </w:r>
      <w:r w:rsidRPr="00AF5EA2">
        <w:rPr>
          <w:rFonts w:ascii="Arial" w:hAnsi="Arial" w:cs="Arial"/>
          <w:b/>
          <w:szCs w:val="20"/>
        </w:rPr>
        <w:t xml:space="preserve"> ON </w:t>
      </w:r>
      <w:r w:rsidR="00E13F4A">
        <w:rPr>
          <w:rFonts w:ascii="Arial" w:hAnsi="Arial" w:cs="Arial"/>
          <w:b/>
          <w:szCs w:val="20"/>
        </w:rPr>
        <w:t>INSTRUMENT</w:t>
      </w:r>
    </w:p>
    <w:p w:rsidR="00842AE1" w:rsidRPr="00842AE1" w:rsidRDefault="00842AE1" w:rsidP="00842AE1">
      <w:pPr>
        <w:spacing w:before="80" w:after="120" w:line="280" w:lineRule="atLeast"/>
        <w:ind w:left="1134" w:hanging="1134"/>
        <w:rPr>
          <w:rFonts w:ascii="Arial" w:hAnsi="Arial" w:cs="Arial"/>
          <w:b/>
        </w:rPr>
      </w:pPr>
      <w:r w:rsidRPr="00842AE1">
        <w:rPr>
          <w:rFonts w:ascii="Arial" w:hAnsi="Arial"/>
          <w:b/>
        </w:rPr>
        <w:t>Part</w:t>
      </w:r>
      <w:bookmarkStart w:id="4" w:name="_GoBack"/>
      <w:bookmarkEnd w:id="4"/>
      <w:r w:rsidRPr="00842AE1">
        <w:rPr>
          <w:rFonts w:ascii="Arial" w:hAnsi="Arial"/>
          <w:b/>
        </w:rPr>
        <w:t> 1</w:t>
      </w:r>
      <w:r>
        <w:rPr>
          <w:rFonts w:ascii="Arial" w:hAnsi="Arial"/>
          <w:b/>
        </w:rPr>
        <w:tab/>
      </w:r>
      <w:r w:rsidRPr="00842AE1">
        <w:rPr>
          <w:rFonts w:ascii="Arial" w:hAnsi="Arial"/>
          <w:b/>
        </w:rPr>
        <w:t>Preliminary</w:t>
      </w:r>
    </w:p>
    <w:p w:rsidR="00FD4084" w:rsidRPr="00993194" w:rsidRDefault="00FD4084" w:rsidP="00993194">
      <w:pPr>
        <w:spacing w:before="80" w:after="120" w:line="280" w:lineRule="atLeast"/>
        <w:rPr>
          <w:rFonts w:ascii="Arial" w:hAnsi="Arial" w:cs="Arial"/>
          <w:b/>
          <w:sz w:val="20"/>
          <w:szCs w:val="20"/>
        </w:rPr>
      </w:pPr>
      <w:r w:rsidRPr="00993194">
        <w:rPr>
          <w:rFonts w:ascii="Arial" w:hAnsi="Arial" w:cs="Arial"/>
          <w:b/>
          <w:sz w:val="20"/>
          <w:szCs w:val="20"/>
        </w:rPr>
        <w:t>Section 1</w:t>
      </w:r>
      <w:r w:rsidR="000A2D2D">
        <w:rPr>
          <w:rFonts w:ascii="Arial" w:hAnsi="Arial" w:cs="Arial"/>
          <w:b/>
          <w:sz w:val="20"/>
          <w:szCs w:val="20"/>
        </w:rPr>
        <w:t xml:space="preserve"> - </w:t>
      </w:r>
      <w:r w:rsidRPr="00993194">
        <w:rPr>
          <w:rFonts w:ascii="Arial" w:hAnsi="Arial" w:cs="Arial"/>
          <w:b/>
          <w:sz w:val="20"/>
          <w:szCs w:val="20"/>
        </w:rPr>
        <w:t xml:space="preserve">Name of </w:t>
      </w:r>
      <w:r w:rsidR="004D6255">
        <w:rPr>
          <w:rFonts w:ascii="Arial" w:hAnsi="Arial" w:cs="Arial"/>
          <w:b/>
          <w:sz w:val="20"/>
          <w:szCs w:val="20"/>
        </w:rPr>
        <w:t>Instrument</w:t>
      </w:r>
    </w:p>
    <w:p w:rsidR="00FD4084" w:rsidRPr="00103E1E" w:rsidRDefault="00FD4084" w:rsidP="00993194">
      <w:pPr>
        <w:spacing w:before="80" w:after="120" w:line="280" w:lineRule="atLeast"/>
        <w:rPr>
          <w:rFonts w:ascii="Arial" w:hAnsi="Arial" w:cs="Arial"/>
          <w:sz w:val="20"/>
          <w:szCs w:val="20"/>
        </w:rPr>
      </w:pPr>
      <w:r w:rsidRPr="00993194">
        <w:rPr>
          <w:rFonts w:ascii="Arial" w:hAnsi="Arial" w:cs="Arial"/>
          <w:sz w:val="20"/>
          <w:szCs w:val="20"/>
        </w:rPr>
        <w:t xml:space="preserve">Section 1 provides that the name of the </w:t>
      </w:r>
      <w:r w:rsidR="004D6255">
        <w:rPr>
          <w:rFonts w:ascii="Arial" w:hAnsi="Arial" w:cs="Arial"/>
          <w:sz w:val="20"/>
          <w:szCs w:val="20"/>
        </w:rPr>
        <w:t xml:space="preserve">Instrument </w:t>
      </w:r>
      <w:r w:rsidRPr="00993194">
        <w:rPr>
          <w:rFonts w:ascii="Arial" w:hAnsi="Arial" w:cs="Arial"/>
          <w:sz w:val="20"/>
          <w:szCs w:val="20"/>
        </w:rPr>
        <w:t>is</w:t>
      </w:r>
      <w:r w:rsidR="006E5E51">
        <w:rPr>
          <w:rFonts w:ascii="Arial" w:hAnsi="Arial" w:cs="Arial"/>
          <w:sz w:val="20"/>
          <w:szCs w:val="20"/>
        </w:rPr>
        <w:t xml:space="preserve"> the</w:t>
      </w:r>
      <w:r w:rsidRPr="00993194">
        <w:rPr>
          <w:rFonts w:ascii="Arial" w:hAnsi="Arial" w:cs="Arial"/>
          <w:sz w:val="20"/>
          <w:szCs w:val="20"/>
        </w:rPr>
        <w:t xml:space="preserve"> </w:t>
      </w:r>
      <w:r w:rsidR="0096232E" w:rsidRPr="0096232E">
        <w:rPr>
          <w:rFonts w:ascii="Arial" w:hAnsi="Arial" w:cs="Arial"/>
          <w:i/>
          <w:sz w:val="20"/>
          <w:szCs w:val="20"/>
        </w:rPr>
        <w:t>Australian Communications and Media Authority Omnibus Revocation Instrument 2014</w:t>
      </w:r>
      <w:r w:rsidR="00103E1E">
        <w:rPr>
          <w:rFonts w:ascii="Arial" w:hAnsi="Arial" w:cs="Arial"/>
          <w:sz w:val="20"/>
          <w:szCs w:val="20"/>
        </w:rPr>
        <w:t xml:space="preserve">. </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b/>
          <w:sz w:val="20"/>
          <w:szCs w:val="20"/>
        </w:rPr>
        <w:t>Section 2</w:t>
      </w:r>
      <w:r w:rsidR="000A2D2D">
        <w:rPr>
          <w:rFonts w:ascii="Arial" w:hAnsi="Arial" w:cs="Arial"/>
          <w:b/>
          <w:sz w:val="20"/>
          <w:szCs w:val="20"/>
        </w:rPr>
        <w:t xml:space="preserve"> - </w:t>
      </w:r>
      <w:r w:rsidRPr="00993194">
        <w:rPr>
          <w:rFonts w:ascii="Arial" w:hAnsi="Arial" w:cs="Arial"/>
          <w:b/>
          <w:sz w:val="20"/>
          <w:szCs w:val="20"/>
        </w:rPr>
        <w:t>Commencement</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sz w:val="20"/>
          <w:szCs w:val="20"/>
        </w:rPr>
        <w:t xml:space="preserve">Section 2 provides that the </w:t>
      </w:r>
      <w:r w:rsidR="004D6255">
        <w:rPr>
          <w:rFonts w:ascii="Arial" w:hAnsi="Arial" w:cs="Arial"/>
          <w:sz w:val="20"/>
          <w:szCs w:val="20"/>
        </w:rPr>
        <w:t xml:space="preserve">Instrument </w:t>
      </w:r>
      <w:r w:rsidRPr="00993194">
        <w:rPr>
          <w:rFonts w:ascii="Arial" w:hAnsi="Arial" w:cs="Arial"/>
          <w:sz w:val="20"/>
          <w:szCs w:val="20"/>
        </w:rPr>
        <w:t xml:space="preserve">commences on </w:t>
      </w:r>
      <w:r w:rsidR="00103E1E">
        <w:rPr>
          <w:rFonts w:ascii="Arial" w:hAnsi="Arial" w:cs="Arial"/>
          <w:sz w:val="20"/>
          <w:szCs w:val="20"/>
        </w:rPr>
        <w:t>the day after it is registered</w:t>
      </w:r>
      <w:r w:rsidR="00A23B6F">
        <w:rPr>
          <w:rFonts w:ascii="Arial" w:hAnsi="Arial" w:cs="Arial"/>
          <w:sz w:val="20"/>
          <w:szCs w:val="20"/>
        </w:rPr>
        <w:t>.</w:t>
      </w:r>
    </w:p>
    <w:p w:rsidR="00842AE1" w:rsidRPr="00842AE1" w:rsidRDefault="00842AE1" w:rsidP="00842AE1">
      <w:pPr>
        <w:pStyle w:val="ActHead2"/>
        <w:rPr>
          <w:rFonts w:ascii="Arial" w:hAnsi="Arial"/>
          <w:kern w:val="0"/>
          <w:sz w:val="24"/>
          <w:szCs w:val="24"/>
        </w:rPr>
      </w:pPr>
      <w:r w:rsidRPr="00842AE1">
        <w:rPr>
          <w:rFonts w:ascii="Arial" w:hAnsi="Arial"/>
          <w:kern w:val="0"/>
          <w:sz w:val="24"/>
          <w:szCs w:val="24"/>
        </w:rPr>
        <w:t>Part 2</w:t>
      </w:r>
      <w:r>
        <w:rPr>
          <w:rFonts w:ascii="Arial" w:hAnsi="Arial"/>
          <w:kern w:val="0"/>
          <w:sz w:val="24"/>
          <w:szCs w:val="24"/>
        </w:rPr>
        <w:tab/>
      </w:r>
      <w:r w:rsidRPr="00842AE1">
        <w:rPr>
          <w:rFonts w:ascii="Arial" w:hAnsi="Arial"/>
          <w:kern w:val="0"/>
          <w:sz w:val="24"/>
          <w:szCs w:val="24"/>
        </w:rPr>
        <w:t xml:space="preserve">Revocation of spent and redundant </w:t>
      </w:r>
      <w:r w:rsidRPr="00842AE1">
        <w:rPr>
          <w:rFonts w:ascii="Arial" w:hAnsi="Arial"/>
          <w:i/>
          <w:kern w:val="0"/>
          <w:sz w:val="24"/>
          <w:szCs w:val="24"/>
        </w:rPr>
        <w:t xml:space="preserve">Radiocommunications Act 1992 </w:t>
      </w:r>
      <w:r w:rsidRPr="00842AE1">
        <w:rPr>
          <w:rFonts w:ascii="Arial" w:hAnsi="Arial"/>
          <w:kern w:val="0"/>
          <w:sz w:val="24"/>
          <w:szCs w:val="24"/>
        </w:rPr>
        <w:t>instruments</w:t>
      </w:r>
    </w:p>
    <w:p w:rsidR="00FD4084" w:rsidRPr="00993194" w:rsidRDefault="00FD4084" w:rsidP="000A2D2D">
      <w:pPr>
        <w:spacing w:before="80" w:after="120" w:line="280" w:lineRule="atLeast"/>
        <w:rPr>
          <w:rFonts w:ascii="Arial" w:hAnsi="Arial" w:cs="Arial"/>
          <w:sz w:val="20"/>
          <w:szCs w:val="20"/>
        </w:rPr>
      </w:pPr>
      <w:r w:rsidRPr="00993194">
        <w:rPr>
          <w:rFonts w:ascii="Arial" w:hAnsi="Arial" w:cs="Arial"/>
          <w:b/>
          <w:sz w:val="20"/>
          <w:szCs w:val="20"/>
        </w:rPr>
        <w:t>Section 3</w:t>
      </w:r>
      <w:r w:rsidR="000A2D2D">
        <w:rPr>
          <w:rFonts w:ascii="Arial" w:hAnsi="Arial" w:cs="Arial"/>
          <w:b/>
          <w:sz w:val="20"/>
          <w:szCs w:val="20"/>
        </w:rPr>
        <w:t xml:space="preserve"> - </w:t>
      </w:r>
      <w:r w:rsidR="00842AE1" w:rsidRPr="00842AE1">
        <w:rPr>
          <w:rFonts w:ascii="Arial" w:hAnsi="Arial" w:cs="Arial"/>
          <w:b/>
          <w:sz w:val="20"/>
          <w:szCs w:val="20"/>
        </w:rPr>
        <w:t>Revocation of 500 MHz conversion plan</w:t>
      </w:r>
    </w:p>
    <w:p w:rsidR="000F5B0D" w:rsidRDefault="00842AE1" w:rsidP="00993194">
      <w:pPr>
        <w:spacing w:before="80" w:after="120" w:line="280" w:lineRule="atLeast"/>
        <w:rPr>
          <w:rFonts w:ascii="Arial" w:hAnsi="Arial" w:cs="Arial"/>
          <w:sz w:val="20"/>
          <w:szCs w:val="20"/>
        </w:rPr>
      </w:pPr>
      <w:r>
        <w:rPr>
          <w:rFonts w:ascii="Arial" w:hAnsi="Arial" w:cs="Arial"/>
          <w:sz w:val="20"/>
          <w:szCs w:val="20"/>
        </w:rPr>
        <w:t xml:space="preserve">Section 3 </w:t>
      </w:r>
      <w:r w:rsidR="00103E1E">
        <w:rPr>
          <w:rFonts w:ascii="Arial" w:hAnsi="Arial" w:cs="Arial"/>
          <w:sz w:val="20"/>
          <w:szCs w:val="20"/>
        </w:rPr>
        <w:t xml:space="preserve">revokes </w:t>
      </w:r>
      <w:r>
        <w:rPr>
          <w:rFonts w:ascii="Arial" w:hAnsi="Arial" w:cs="Arial"/>
          <w:sz w:val="20"/>
          <w:szCs w:val="20"/>
        </w:rPr>
        <w:t xml:space="preserve">the </w:t>
      </w:r>
      <w:r w:rsidRPr="00842AE1">
        <w:rPr>
          <w:rFonts w:ascii="Arial" w:hAnsi="Arial" w:cs="Arial"/>
          <w:i/>
          <w:sz w:val="20"/>
          <w:szCs w:val="20"/>
        </w:rPr>
        <w:t>Radiocommunications Spectrum Conversion Plan (500 MHz Band) 1996</w:t>
      </w:r>
      <w:r w:rsidRPr="00842AE1">
        <w:rPr>
          <w:rFonts w:ascii="Arial" w:hAnsi="Arial" w:cs="Arial"/>
          <w:sz w:val="20"/>
          <w:szCs w:val="20"/>
        </w:rPr>
        <w:t xml:space="preserve"> </w:t>
      </w:r>
      <w:r w:rsidR="000F5B0D">
        <w:rPr>
          <w:rFonts w:ascii="Arial" w:hAnsi="Arial" w:cs="Arial"/>
          <w:sz w:val="20"/>
          <w:szCs w:val="20"/>
        </w:rPr>
        <w:t>(</w:t>
      </w:r>
      <w:r w:rsidR="000F5B0D">
        <w:rPr>
          <w:rFonts w:ascii="Arial" w:hAnsi="Arial" w:cs="Arial"/>
          <w:b/>
          <w:sz w:val="20"/>
          <w:szCs w:val="20"/>
        </w:rPr>
        <w:t xml:space="preserve">conversion </w:t>
      </w:r>
      <w:r w:rsidR="000F5B0D" w:rsidRPr="000F5B0D">
        <w:rPr>
          <w:rFonts w:ascii="Arial" w:hAnsi="Arial" w:cs="Arial"/>
          <w:b/>
          <w:sz w:val="20"/>
          <w:szCs w:val="20"/>
        </w:rPr>
        <w:t>plan</w:t>
      </w:r>
      <w:r w:rsidR="000F5B0D">
        <w:rPr>
          <w:rFonts w:ascii="Arial" w:hAnsi="Arial" w:cs="Arial"/>
          <w:sz w:val="20"/>
          <w:szCs w:val="20"/>
        </w:rPr>
        <w:t xml:space="preserve">) </w:t>
      </w:r>
      <w:r w:rsidRPr="000F5B0D">
        <w:rPr>
          <w:rFonts w:ascii="Arial" w:hAnsi="Arial" w:cs="Arial"/>
          <w:sz w:val="20"/>
          <w:szCs w:val="20"/>
        </w:rPr>
        <w:t>made</w:t>
      </w:r>
      <w:r>
        <w:rPr>
          <w:rFonts w:ascii="Arial" w:hAnsi="Arial" w:cs="Arial"/>
          <w:sz w:val="20"/>
          <w:szCs w:val="20"/>
        </w:rPr>
        <w:t xml:space="preserve"> under subsection 38(1) of the </w:t>
      </w:r>
      <w:r w:rsidR="00FF0CD6">
        <w:rPr>
          <w:rFonts w:ascii="Arial" w:hAnsi="Arial" w:cs="Arial"/>
          <w:i/>
          <w:sz w:val="20"/>
          <w:szCs w:val="20"/>
        </w:rPr>
        <w:t>Radiocommunications Act 1997</w:t>
      </w:r>
      <w:r w:rsidRPr="00842AE1">
        <w:rPr>
          <w:rFonts w:ascii="Arial" w:hAnsi="Arial" w:cs="Arial"/>
          <w:sz w:val="20"/>
          <w:szCs w:val="20"/>
        </w:rPr>
        <w:t>.  The</w:t>
      </w:r>
      <w:r>
        <w:rPr>
          <w:rFonts w:ascii="Arial" w:hAnsi="Arial" w:cs="Arial"/>
          <w:sz w:val="20"/>
          <w:szCs w:val="20"/>
        </w:rPr>
        <w:t xml:space="preserve"> </w:t>
      </w:r>
      <w:r w:rsidR="000F5B0D">
        <w:rPr>
          <w:rFonts w:ascii="Arial" w:hAnsi="Arial" w:cs="Arial"/>
          <w:sz w:val="20"/>
          <w:szCs w:val="20"/>
        </w:rPr>
        <w:t>conversion plan set</w:t>
      </w:r>
      <w:r w:rsidR="00080DAB">
        <w:rPr>
          <w:rFonts w:ascii="Arial" w:hAnsi="Arial" w:cs="Arial"/>
          <w:sz w:val="20"/>
          <w:szCs w:val="20"/>
        </w:rPr>
        <w:t>s</w:t>
      </w:r>
      <w:r w:rsidR="000F5B0D">
        <w:rPr>
          <w:rFonts w:ascii="Arial" w:hAnsi="Arial" w:cs="Arial"/>
          <w:sz w:val="20"/>
          <w:szCs w:val="20"/>
        </w:rPr>
        <w:t xml:space="preserve"> out the procedures and timetable for issuing spectrum licences to replace existing apparatus licences that authorised the operation of radiocommunications devices in the 500 MHz frequency band.  Licences issued in the 500 MHz spectrum band in accordance with the conversion plan expired on 31 May 2012.   </w:t>
      </w:r>
    </w:p>
    <w:p w:rsidR="000F5B0D" w:rsidRDefault="000D41F2" w:rsidP="00993194">
      <w:pPr>
        <w:spacing w:before="80" w:after="120" w:line="280" w:lineRule="atLeast"/>
        <w:rPr>
          <w:rFonts w:ascii="Arial" w:hAnsi="Arial" w:cs="Arial"/>
          <w:sz w:val="20"/>
          <w:szCs w:val="20"/>
        </w:rPr>
      </w:pPr>
      <w:r>
        <w:rPr>
          <w:rFonts w:ascii="Arial" w:hAnsi="Arial" w:cs="Arial"/>
          <w:sz w:val="20"/>
          <w:szCs w:val="20"/>
        </w:rPr>
        <w:t>O</w:t>
      </w:r>
      <w:r w:rsidR="000F5B0D" w:rsidRPr="000F5B0D">
        <w:rPr>
          <w:rFonts w:ascii="Arial" w:hAnsi="Arial" w:cs="Arial"/>
          <w:sz w:val="20"/>
          <w:szCs w:val="20"/>
        </w:rPr>
        <w:t xml:space="preserve">n 20 December 2010, the then Minister for Broadband, Communications and the Digital Economy made the </w:t>
      </w:r>
      <w:r w:rsidR="000F5B0D" w:rsidRPr="000F5B0D">
        <w:rPr>
          <w:rFonts w:ascii="Arial" w:hAnsi="Arial" w:cs="Arial"/>
          <w:i/>
          <w:sz w:val="20"/>
          <w:szCs w:val="20"/>
        </w:rPr>
        <w:t>Radiocommunications (Spectrum Designation) Notice No. 1 of 1996 Instrument of Revocation No. 1 of 2010</w:t>
      </w:r>
      <w:r w:rsidR="000F5B0D" w:rsidRPr="000F5B0D">
        <w:rPr>
          <w:rFonts w:ascii="Arial" w:hAnsi="Arial" w:cs="Arial"/>
          <w:sz w:val="20"/>
          <w:szCs w:val="20"/>
        </w:rPr>
        <w:t xml:space="preserve"> which revoked the </w:t>
      </w:r>
      <w:r w:rsidR="000F5B0D" w:rsidRPr="000F5B0D">
        <w:rPr>
          <w:rFonts w:ascii="Arial" w:hAnsi="Arial" w:cs="Arial"/>
          <w:i/>
          <w:sz w:val="20"/>
          <w:szCs w:val="20"/>
        </w:rPr>
        <w:t>Radiocommunications (Spectrum Designation) Notice No. 1 of 1996</w:t>
      </w:r>
      <w:r w:rsidR="000F5B0D" w:rsidRPr="000F5B0D">
        <w:rPr>
          <w:rFonts w:ascii="Arial" w:hAnsi="Arial" w:cs="Arial"/>
          <w:sz w:val="20"/>
          <w:szCs w:val="20"/>
        </w:rPr>
        <w:t xml:space="preserve"> (</w:t>
      </w:r>
      <w:r w:rsidR="000F5B0D" w:rsidRPr="000F5B0D">
        <w:rPr>
          <w:rFonts w:ascii="Arial" w:hAnsi="Arial" w:cs="Arial"/>
          <w:b/>
          <w:sz w:val="20"/>
          <w:szCs w:val="20"/>
        </w:rPr>
        <w:t>1996 Designation Notice</w:t>
      </w:r>
      <w:r w:rsidR="000F5B0D" w:rsidRPr="000F5B0D">
        <w:rPr>
          <w:rFonts w:ascii="Arial" w:hAnsi="Arial" w:cs="Arial"/>
          <w:sz w:val="20"/>
          <w:szCs w:val="20"/>
        </w:rPr>
        <w:t xml:space="preserve">).  As a consequence of the revocation of the 1996 Designation Notice, and the expiry of the 500 MHz band instruments, the 500 MHz band </w:t>
      </w:r>
      <w:r w:rsidR="00080DAB">
        <w:rPr>
          <w:rFonts w:ascii="Arial" w:hAnsi="Arial" w:cs="Arial"/>
          <w:sz w:val="20"/>
          <w:szCs w:val="20"/>
        </w:rPr>
        <w:t>is</w:t>
      </w:r>
      <w:r w:rsidR="000F5B0D" w:rsidRPr="000F5B0D">
        <w:rPr>
          <w:rFonts w:ascii="Arial" w:hAnsi="Arial" w:cs="Arial"/>
          <w:sz w:val="20"/>
          <w:szCs w:val="20"/>
        </w:rPr>
        <w:t xml:space="preserve"> no longer subject to spectrum licensing. </w:t>
      </w:r>
    </w:p>
    <w:p w:rsidR="00FD4084" w:rsidRPr="00FF0CD6" w:rsidRDefault="000F5B0D" w:rsidP="00993194">
      <w:pPr>
        <w:spacing w:before="80" w:after="120" w:line="280" w:lineRule="atLeast"/>
        <w:rPr>
          <w:rFonts w:ascii="Arial" w:hAnsi="Arial" w:cs="Arial"/>
          <w:sz w:val="20"/>
          <w:szCs w:val="20"/>
        </w:rPr>
      </w:pPr>
      <w:r>
        <w:rPr>
          <w:rFonts w:ascii="Arial" w:hAnsi="Arial" w:cs="Arial"/>
          <w:sz w:val="20"/>
          <w:szCs w:val="20"/>
        </w:rPr>
        <w:t>The conversion plan is therefore spent and redundant</w:t>
      </w:r>
      <w:r w:rsidR="00FF0CD6">
        <w:rPr>
          <w:rFonts w:ascii="Arial" w:hAnsi="Arial" w:cs="Arial"/>
          <w:sz w:val="20"/>
          <w:szCs w:val="20"/>
        </w:rPr>
        <w:t xml:space="preserve">. </w:t>
      </w:r>
    </w:p>
    <w:p w:rsidR="00103E1E" w:rsidRPr="00993194" w:rsidRDefault="00103E1E" w:rsidP="000A2D2D">
      <w:pPr>
        <w:spacing w:before="80" w:after="120" w:line="280" w:lineRule="atLeast"/>
        <w:rPr>
          <w:rFonts w:ascii="Arial" w:hAnsi="Arial" w:cs="Arial"/>
          <w:sz w:val="20"/>
          <w:szCs w:val="20"/>
        </w:rPr>
      </w:pPr>
      <w:r w:rsidRPr="00993194">
        <w:rPr>
          <w:rFonts w:ascii="Arial" w:hAnsi="Arial" w:cs="Arial"/>
          <w:b/>
          <w:sz w:val="20"/>
          <w:szCs w:val="20"/>
        </w:rPr>
        <w:t xml:space="preserve">Section </w:t>
      </w:r>
      <w:r>
        <w:rPr>
          <w:rFonts w:ascii="Arial" w:hAnsi="Arial" w:cs="Arial"/>
          <w:b/>
          <w:sz w:val="20"/>
          <w:szCs w:val="20"/>
        </w:rPr>
        <w:t>4</w:t>
      </w:r>
      <w:r w:rsidR="000A2D2D">
        <w:rPr>
          <w:rFonts w:ascii="Arial" w:hAnsi="Arial" w:cs="Arial"/>
          <w:b/>
          <w:sz w:val="20"/>
          <w:szCs w:val="20"/>
        </w:rPr>
        <w:t xml:space="preserve"> - </w:t>
      </w:r>
      <w:r w:rsidR="00842AE1" w:rsidRPr="00842AE1">
        <w:rPr>
          <w:rFonts w:ascii="Arial" w:hAnsi="Arial" w:cs="Arial"/>
          <w:b/>
          <w:sz w:val="20"/>
          <w:szCs w:val="20"/>
        </w:rPr>
        <w:t>Revocation of 500 MHz marketing plans</w:t>
      </w:r>
    </w:p>
    <w:p w:rsidR="000F5B0D" w:rsidRDefault="00103E1E" w:rsidP="00103E1E">
      <w:pPr>
        <w:spacing w:before="80" w:after="120" w:line="280" w:lineRule="atLeast"/>
        <w:rPr>
          <w:rFonts w:ascii="Arial" w:hAnsi="Arial" w:cs="Arial"/>
          <w:sz w:val="20"/>
          <w:szCs w:val="20"/>
        </w:rPr>
      </w:pPr>
      <w:r w:rsidRPr="00993194">
        <w:rPr>
          <w:rFonts w:ascii="Arial" w:hAnsi="Arial" w:cs="Arial"/>
          <w:sz w:val="20"/>
          <w:szCs w:val="20"/>
        </w:rPr>
        <w:t xml:space="preserve">Section </w:t>
      </w:r>
      <w:r>
        <w:rPr>
          <w:rFonts w:ascii="Arial" w:hAnsi="Arial" w:cs="Arial"/>
          <w:sz w:val="20"/>
          <w:szCs w:val="20"/>
        </w:rPr>
        <w:t>4</w:t>
      </w:r>
      <w:r w:rsidRPr="00993194">
        <w:rPr>
          <w:rFonts w:ascii="Arial" w:hAnsi="Arial" w:cs="Arial"/>
          <w:sz w:val="20"/>
          <w:szCs w:val="20"/>
        </w:rPr>
        <w:t xml:space="preserve"> </w:t>
      </w:r>
      <w:r>
        <w:rPr>
          <w:rFonts w:ascii="Arial" w:hAnsi="Arial" w:cs="Arial"/>
          <w:sz w:val="20"/>
          <w:szCs w:val="20"/>
        </w:rPr>
        <w:t xml:space="preserve">revokes </w:t>
      </w:r>
      <w:r w:rsidR="000F5B0D">
        <w:rPr>
          <w:rFonts w:ascii="Arial" w:hAnsi="Arial" w:cs="Arial"/>
          <w:sz w:val="20"/>
          <w:szCs w:val="20"/>
        </w:rPr>
        <w:t xml:space="preserve">2 spectrum marketing plans made under </w:t>
      </w:r>
      <w:r w:rsidR="000D41F2">
        <w:rPr>
          <w:rFonts w:ascii="Arial" w:hAnsi="Arial" w:cs="Arial"/>
          <w:sz w:val="20"/>
          <w:szCs w:val="20"/>
        </w:rPr>
        <w:t>sub</w:t>
      </w:r>
      <w:r w:rsidR="000F5B0D">
        <w:rPr>
          <w:rFonts w:ascii="Arial" w:hAnsi="Arial" w:cs="Arial"/>
          <w:sz w:val="20"/>
          <w:szCs w:val="20"/>
        </w:rPr>
        <w:t>section 39</w:t>
      </w:r>
      <w:r w:rsidR="000D41F2">
        <w:rPr>
          <w:rFonts w:ascii="Arial" w:hAnsi="Arial" w:cs="Arial"/>
          <w:sz w:val="20"/>
          <w:szCs w:val="20"/>
        </w:rPr>
        <w:t>(1)</w:t>
      </w:r>
      <w:r w:rsidR="000F5B0D">
        <w:rPr>
          <w:rFonts w:ascii="Arial" w:hAnsi="Arial" w:cs="Arial"/>
          <w:sz w:val="20"/>
          <w:szCs w:val="20"/>
        </w:rPr>
        <w:t xml:space="preserve"> of the </w:t>
      </w:r>
      <w:r w:rsidR="000F5B0D">
        <w:rPr>
          <w:rFonts w:ascii="Arial" w:hAnsi="Arial" w:cs="Arial"/>
          <w:i/>
          <w:sz w:val="20"/>
          <w:szCs w:val="20"/>
        </w:rPr>
        <w:t>Radiocommunications Act 1992</w:t>
      </w:r>
      <w:r w:rsidR="000F5B0D">
        <w:rPr>
          <w:rFonts w:ascii="Arial" w:hAnsi="Arial" w:cs="Arial"/>
          <w:sz w:val="20"/>
          <w:szCs w:val="20"/>
        </w:rPr>
        <w:t xml:space="preserve">. </w:t>
      </w:r>
      <w:r w:rsidR="00C0493B">
        <w:rPr>
          <w:rFonts w:ascii="Arial" w:hAnsi="Arial" w:cs="Arial"/>
          <w:sz w:val="20"/>
          <w:szCs w:val="20"/>
        </w:rPr>
        <w:t xml:space="preserve"> </w:t>
      </w:r>
      <w:r w:rsidR="00C0493B" w:rsidRPr="00C0493B">
        <w:rPr>
          <w:rFonts w:ascii="Arial" w:hAnsi="Arial" w:cs="Arial"/>
          <w:sz w:val="20"/>
          <w:szCs w:val="20"/>
        </w:rPr>
        <w:t xml:space="preserve">These plans dealt with the issue of spectrum licences that authorised the operation of </w:t>
      </w:r>
      <w:proofErr w:type="spellStart"/>
      <w:r w:rsidR="00C0493B" w:rsidRPr="00C0493B">
        <w:rPr>
          <w:rFonts w:ascii="Arial" w:hAnsi="Arial" w:cs="Arial"/>
          <w:sz w:val="20"/>
          <w:szCs w:val="20"/>
        </w:rPr>
        <w:t>radiocommunications</w:t>
      </w:r>
      <w:proofErr w:type="spellEnd"/>
      <w:r w:rsidR="00C0493B" w:rsidRPr="00C0493B">
        <w:rPr>
          <w:rFonts w:ascii="Arial" w:hAnsi="Arial" w:cs="Arial"/>
          <w:sz w:val="20"/>
          <w:szCs w:val="20"/>
        </w:rPr>
        <w:t xml:space="preserve"> devices in the 500 MHz band at frequencies not used under spectrum licences issued in accordance with the conversion plan.  </w:t>
      </w:r>
    </w:p>
    <w:p w:rsidR="000F5B0D" w:rsidRDefault="000F5B0D" w:rsidP="00103E1E">
      <w:pPr>
        <w:spacing w:before="80" w:after="120" w:line="280" w:lineRule="atLeast"/>
        <w:rPr>
          <w:rFonts w:ascii="Arial" w:hAnsi="Arial" w:cs="Arial"/>
          <w:sz w:val="20"/>
          <w:szCs w:val="20"/>
        </w:rPr>
      </w:pPr>
      <w:r>
        <w:rPr>
          <w:rFonts w:ascii="Arial" w:hAnsi="Arial" w:cs="Arial"/>
          <w:sz w:val="20"/>
          <w:szCs w:val="20"/>
        </w:rPr>
        <w:t xml:space="preserve">As set out above, licences issued in the 500 MHz spectrum band expired on 31 May 2012 and the 500 MHz band </w:t>
      </w:r>
      <w:r w:rsidR="00080DAB">
        <w:rPr>
          <w:rFonts w:ascii="Arial" w:hAnsi="Arial" w:cs="Arial"/>
          <w:sz w:val="20"/>
          <w:szCs w:val="20"/>
        </w:rPr>
        <w:t>is</w:t>
      </w:r>
      <w:r>
        <w:rPr>
          <w:rFonts w:ascii="Arial" w:hAnsi="Arial" w:cs="Arial"/>
          <w:sz w:val="20"/>
          <w:szCs w:val="20"/>
        </w:rPr>
        <w:t xml:space="preserve"> no longer subject to spectrum </w:t>
      </w:r>
      <w:r w:rsidR="008A09EC">
        <w:rPr>
          <w:rFonts w:ascii="Arial" w:hAnsi="Arial" w:cs="Arial"/>
          <w:sz w:val="20"/>
          <w:szCs w:val="20"/>
        </w:rPr>
        <w:t>licensing</w:t>
      </w:r>
      <w:r>
        <w:rPr>
          <w:rFonts w:ascii="Arial" w:hAnsi="Arial" w:cs="Arial"/>
          <w:sz w:val="20"/>
          <w:szCs w:val="20"/>
        </w:rPr>
        <w:t xml:space="preserve">. </w:t>
      </w:r>
    </w:p>
    <w:p w:rsidR="00103E1E" w:rsidRPr="00993194" w:rsidRDefault="000F5B0D" w:rsidP="00103E1E">
      <w:pPr>
        <w:spacing w:before="80" w:after="120" w:line="280" w:lineRule="atLeast"/>
        <w:rPr>
          <w:rFonts w:ascii="Arial" w:hAnsi="Arial" w:cs="Arial"/>
          <w:sz w:val="20"/>
          <w:szCs w:val="20"/>
        </w:rPr>
      </w:pPr>
      <w:r>
        <w:rPr>
          <w:rFonts w:ascii="Arial" w:hAnsi="Arial" w:cs="Arial"/>
          <w:sz w:val="20"/>
          <w:szCs w:val="20"/>
        </w:rPr>
        <w:t xml:space="preserve">The </w:t>
      </w:r>
      <w:r w:rsidR="000D41F2">
        <w:rPr>
          <w:rFonts w:ascii="Arial" w:hAnsi="Arial" w:cs="Arial"/>
          <w:sz w:val="20"/>
          <w:szCs w:val="20"/>
        </w:rPr>
        <w:t xml:space="preserve">500 MHz </w:t>
      </w:r>
      <w:r>
        <w:rPr>
          <w:rFonts w:ascii="Arial" w:hAnsi="Arial" w:cs="Arial"/>
          <w:sz w:val="20"/>
          <w:szCs w:val="20"/>
        </w:rPr>
        <w:t xml:space="preserve">spectrum marketing plans are therefore spent and redundant. </w:t>
      </w:r>
    </w:p>
    <w:p w:rsidR="00103E1E" w:rsidRPr="00993194" w:rsidRDefault="00103E1E" w:rsidP="000A2D2D">
      <w:pPr>
        <w:spacing w:before="80" w:after="120" w:line="280" w:lineRule="atLeast"/>
        <w:rPr>
          <w:rFonts w:ascii="Arial" w:hAnsi="Arial" w:cs="Arial"/>
          <w:sz w:val="20"/>
          <w:szCs w:val="20"/>
        </w:rPr>
      </w:pPr>
      <w:r w:rsidRPr="00993194">
        <w:rPr>
          <w:rFonts w:ascii="Arial" w:hAnsi="Arial" w:cs="Arial"/>
          <w:b/>
          <w:sz w:val="20"/>
          <w:szCs w:val="20"/>
        </w:rPr>
        <w:t xml:space="preserve">Section </w:t>
      </w:r>
      <w:r>
        <w:rPr>
          <w:rFonts w:ascii="Arial" w:hAnsi="Arial" w:cs="Arial"/>
          <w:b/>
          <w:sz w:val="20"/>
          <w:szCs w:val="20"/>
        </w:rPr>
        <w:t>5</w:t>
      </w:r>
      <w:r w:rsidR="000A2D2D">
        <w:rPr>
          <w:rFonts w:ascii="Arial" w:hAnsi="Arial" w:cs="Arial"/>
          <w:b/>
          <w:sz w:val="20"/>
          <w:szCs w:val="20"/>
        </w:rPr>
        <w:t xml:space="preserve"> - </w:t>
      </w:r>
      <w:r w:rsidR="00842AE1" w:rsidRPr="00842AE1">
        <w:rPr>
          <w:rFonts w:ascii="Arial" w:hAnsi="Arial" w:cs="Arial"/>
          <w:b/>
          <w:sz w:val="20"/>
          <w:szCs w:val="20"/>
        </w:rPr>
        <w:t xml:space="preserve">Revocation of </w:t>
      </w:r>
      <w:r w:rsidR="00080DAB">
        <w:rPr>
          <w:rFonts w:ascii="Arial" w:hAnsi="Arial" w:cs="Arial"/>
          <w:b/>
          <w:sz w:val="20"/>
          <w:szCs w:val="20"/>
        </w:rPr>
        <w:t xml:space="preserve">certain </w:t>
      </w:r>
      <w:r w:rsidR="00842AE1" w:rsidRPr="00842AE1">
        <w:rPr>
          <w:rFonts w:ascii="Arial" w:hAnsi="Arial" w:cs="Arial"/>
          <w:b/>
          <w:sz w:val="20"/>
          <w:szCs w:val="20"/>
        </w:rPr>
        <w:t>marketing plans the subject of a spectrum re-allocation declaration</w:t>
      </w:r>
    </w:p>
    <w:p w:rsidR="00F2522B" w:rsidRPr="00F2522B" w:rsidRDefault="00103E1E" w:rsidP="00F2522B">
      <w:pPr>
        <w:spacing w:before="80" w:after="120" w:line="280" w:lineRule="atLeast"/>
        <w:rPr>
          <w:rFonts w:ascii="Arial" w:hAnsi="Arial" w:cs="Arial"/>
          <w:sz w:val="20"/>
          <w:szCs w:val="20"/>
        </w:rPr>
      </w:pPr>
      <w:r w:rsidRPr="00F2522B">
        <w:rPr>
          <w:rFonts w:ascii="Arial" w:hAnsi="Arial" w:cs="Arial"/>
          <w:sz w:val="20"/>
          <w:szCs w:val="20"/>
        </w:rPr>
        <w:t xml:space="preserve">Section 5 revokes </w:t>
      </w:r>
      <w:r w:rsidR="00080DAB">
        <w:rPr>
          <w:rFonts w:ascii="Arial" w:hAnsi="Arial" w:cs="Arial"/>
          <w:sz w:val="20"/>
          <w:szCs w:val="20"/>
        </w:rPr>
        <w:t xml:space="preserve">four </w:t>
      </w:r>
      <w:r w:rsidR="000F5B0D" w:rsidRPr="00F2522B">
        <w:rPr>
          <w:rFonts w:ascii="Arial" w:hAnsi="Arial" w:cs="Arial"/>
          <w:sz w:val="20"/>
          <w:szCs w:val="20"/>
        </w:rPr>
        <w:t xml:space="preserve">spectrum marketing plans made under </w:t>
      </w:r>
      <w:r w:rsidR="000D41F2">
        <w:rPr>
          <w:rFonts w:ascii="Arial" w:hAnsi="Arial" w:cs="Arial"/>
          <w:sz w:val="20"/>
          <w:szCs w:val="20"/>
        </w:rPr>
        <w:t>sub</w:t>
      </w:r>
      <w:r w:rsidR="000F5B0D" w:rsidRPr="00F2522B">
        <w:rPr>
          <w:rFonts w:ascii="Arial" w:hAnsi="Arial" w:cs="Arial"/>
          <w:sz w:val="20"/>
          <w:szCs w:val="20"/>
        </w:rPr>
        <w:t xml:space="preserve">section </w:t>
      </w:r>
      <w:proofErr w:type="gramStart"/>
      <w:r w:rsidR="000F5B0D" w:rsidRPr="00F2522B">
        <w:rPr>
          <w:rFonts w:ascii="Arial" w:hAnsi="Arial" w:cs="Arial"/>
          <w:sz w:val="20"/>
          <w:szCs w:val="20"/>
        </w:rPr>
        <w:t>39A</w:t>
      </w:r>
      <w:r w:rsidR="000D41F2">
        <w:rPr>
          <w:rFonts w:ascii="Arial" w:hAnsi="Arial" w:cs="Arial"/>
          <w:sz w:val="20"/>
          <w:szCs w:val="20"/>
        </w:rPr>
        <w:t>(</w:t>
      </w:r>
      <w:proofErr w:type="gramEnd"/>
      <w:r w:rsidR="00080DAB">
        <w:rPr>
          <w:rFonts w:ascii="Arial" w:hAnsi="Arial" w:cs="Arial"/>
          <w:sz w:val="20"/>
          <w:szCs w:val="20"/>
        </w:rPr>
        <w:t>2</w:t>
      </w:r>
      <w:r w:rsidR="000D41F2">
        <w:rPr>
          <w:rFonts w:ascii="Arial" w:hAnsi="Arial" w:cs="Arial"/>
          <w:sz w:val="20"/>
          <w:szCs w:val="20"/>
        </w:rPr>
        <w:t>)</w:t>
      </w:r>
      <w:r w:rsidR="000F5B0D" w:rsidRPr="00F2522B">
        <w:rPr>
          <w:rFonts w:ascii="Arial" w:hAnsi="Arial" w:cs="Arial"/>
          <w:sz w:val="20"/>
          <w:szCs w:val="20"/>
        </w:rPr>
        <w:t xml:space="preserve"> of the </w:t>
      </w:r>
      <w:r w:rsidR="000F5B0D" w:rsidRPr="00F2522B">
        <w:rPr>
          <w:rFonts w:ascii="Arial" w:hAnsi="Arial" w:cs="Arial"/>
          <w:i/>
          <w:sz w:val="20"/>
          <w:szCs w:val="20"/>
        </w:rPr>
        <w:t>Radiocommunications Act 1992</w:t>
      </w:r>
      <w:r w:rsidR="000F5B0D" w:rsidRPr="00F2522B">
        <w:rPr>
          <w:rFonts w:ascii="Arial" w:hAnsi="Arial" w:cs="Arial"/>
          <w:sz w:val="20"/>
          <w:szCs w:val="20"/>
        </w:rPr>
        <w:t xml:space="preserve">.  The marketing plans made under </w:t>
      </w:r>
      <w:r w:rsidR="000D41F2">
        <w:rPr>
          <w:rFonts w:ascii="Arial" w:hAnsi="Arial" w:cs="Arial"/>
          <w:sz w:val="20"/>
          <w:szCs w:val="20"/>
        </w:rPr>
        <w:t>sub</w:t>
      </w:r>
      <w:r w:rsidR="000F5B0D" w:rsidRPr="00F2522B">
        <w:rPr>
          <w:rFonts w:ascii="Arial" w:hAnsi="Arial" w:cs="Arial"/>
          <w:sz w:val="20"/>
          <w:szCs w:val="20"/>
        </w:rPr>
        <w:t xml:space="preserve">section </w:t>
      </w:r>
      <w:proofErr w:type="gramStart"/>
      <w:r w:rsidR="000F5B0D" w:rsidRPr="00F2522B">
        <w:rPr>
          <w:rFonts w:ascii="Arial" w:hAnsi="Arial" w:cs="Arial"/>
          <w:sz w:val="20"/>
          <w:szCs w:val="20"/>
        </w:rPr>
        <w:t>39A</w:t>
      </w:r>
      <w:r w:rsidR="000D41F2">
        <w:rPr>
          <w:rFonts w:ascii="Arial" w:hAnsi="Arial" w:cs="Arial"/>
          <w:sz w:val="20"/>
          <w:szCs w:val="20"/>
        </w:rPr>
        <w:t>(</w:t>
      </w:r>
      <w:proofErr w:type="gramEnd"/>
      <w:r w:rsidR="00080DAB">
        <w:rPr>
          <w:rFonts w:ascii="Arial" w:hAnsi="Arial" w:cs="Arial"/>
          <w:sz w:val="20"/>
          <w:szCs w:val="20"/>
        </w:rPr>
        <w:t>2</w:t>
      </w:r>
      <w:r w:rsidR="000D41F2">
        <w:rPr>
          <w:rFonts w:ascii="Arial" w:hAnsi="Arial" w:cs="Arial"/>
          <w:sz w:val="20"/>
          <w:szCs w:val="20"/>
        </w:rPr>
        <w:t>)</w:t>
      </w:r>
      <w:r w:rsidR="000F5B0D" w:rsidRPr="00F2522B">
        <w:rPr>
          <w:rFonts w:ascii="Arial" w:hAnsi="Arial" w:cs="Arial"/>
          <w:sz w:val="20"/>
          <w:szCs w:val="20"/>
        </w:rPr>
        <w:t xml:space="preserve"> relate to spectrum in the 800 MHz, 1.8 GHz and 2010-2025 MHz spectrum bands, all of which had been the subject of a spectrum re-allocation declaration.  </w:t>
      </w:r>
    </w:p>
    <w:p w:rsidR="00F2522B" w:rsidRPr="00F2522B" w:rsidRDefault="000F5B0D" w:rsidP="00F2522B">
      <w:pPr>
        <w:spacing w:before="80" w:after="120" w:line="280" w:lineRule="atLeast"/>
        <w:rPr>
          <w:rFonts w:ascii="Arial" w:hAnsi="Arial" w:cs="Arial"/>
          <w:sz w:val="20"/>
          <w:szCs w:val="20"/>
        </w:rPr>
      </w:pPr>
      <w:r w:rsidRPr="00F2522B">
        <w:rPr>
          <w:rFonts w:ascii="Arial" w:hAnsi="Arial" w:cs="Arial"/>
          <w:sz w:val="20"/>
          <w:szCs w:val="20"/>
        </w:rPr>
        <w:t xml:space="preserve">The spectrum marketing plans </w:t>
      </w:r>
      <w:r w:rsidR="00F2522B" w:rsidRPr="00F2522B">
        <w:rPr>
          <w:rFonts w:ascii="Arial" w:hAnsi="Arial" w:cs="Arial"/>
          <w:sz w:val="20"/>
          <w:szCs w:val="20"/>
        </w:rPr>
        <w:t>for the 800 MHz and 1.8 GHz bands described the relevant geographic areas and frequency ranges that were to make up “lots” that would be subject to a price-based allocation.  The plans also included an example of a spectrum licence that would be issued to successful bidders in the auction.  Spectrum licences were issued in the 800 MHz and 1800 MHz bands by the ACMA in accordance with the plans described at paragraphs 5(a), (b) and (c).  Because these plans relate to the particular auction products and lots in the 800 MHz and 1800 MHz bands which have now been issued, the instruments are wholly spent and no longer required</w:t>
      </w:r>
    </w:p>
    <w:p w:rsidR="00103E1E" w:rsidRPr="00F2522B" w:rsidRDefault="00F2522B" w:rsidP="00F2522B">
      <w:pPr>
        <w:spacing w:before="80" w:after="120" w:line="280" w:lineRule="atLeast"/>
        <w:rPr>
          <w:rFonts w:ascii="Arial" w:hAnsi="Arial" w:cs="Arial"/>
          <w:sz w:val="20"/>
          <w:szCs w:val="20"/>
        </w:rPr>
      </w:pPr>
      <w:r w:rsidRPr="00F2522B">
        <w:rPr>
          <w:rFonts w:ascii="Arial" w:hAnsi="Arial" w:cs="Arial"/>
          <w:sz w:val="20"/>
          <w:szCs w:val="20"/>
        </w:rPr>
        <w:t xml:space="preserve">The spectrum marketing plan for the 2010-2025 MHz </w:t>
      </w:r>
      <w:r w:rsidR="000D41F2">
        <w:rPr>
          <w:rFonts w:ascii="Arial" w:hAnsi="Arial" w:cs="Arial"/>
          <w:sz w:val="20"/>
          <w:szCs w:val="20"/>
        </w:rPr>
        <w:t xml:space="preserve">band </w:t>
      </w:r>
      <w:r w:rsidRPr="00F2522B">
        <w:rPr>
          <w:rFonts w:ascii="Arial" w:hAnsi="Arial" w:cs="Arial"/>
          <w:sz w:val="20"/>
          <w:szCs w:val="20"/>
        </w:rPr>
        <w:t>set</w:t>
      </w:r>
      <w:r w:rsidR="00080DAB">
        <w:rPr>
          <w:rFonts w:ascii="Arial" w:hAnsi="Arial" w:cs="Arial"/>
          <w:sz w:val="20"/>
          <w:szCs w:val="20"/>
        </w:rPr>
        <w:t>s</w:t>
      </w:r>
      <w:r w:rsidRPr="00F2522B">
        <w:rPr>
          <w:rFonts w:ascii="Arial" w:hAnsi="Arial" w:cs="Arial"/>
          <w:sz w:val="20"/>
          <w:szCs w:val="20"/>
        </w:rPr>
        <w:t xml:space="preserve"> out the plan for issuing spectrum licences in the 2010-2025 MHz band.  Spectrum licences were never issued in this frequency range and the band is not subject to spectrum licensing.  The plan described at paragraph 5(d) is therefore </w:t>
      </w:r>
      <w:r w:rsidR="00080DAB">
        <w:rPr>
          <w:rFonts w:ascii="Arial" w:hAnsi="Arial" w:cs="Arial"/>
          <w:sz w:val="20"/>
          <w:szCs w:val="20"/>
        </w:rPr>
        <w:t>redundant</w:t>
      </w:r>
      <w:r w:rsidRPr="00F2522B">
        <w:rPr>
          <w:rFonts w:ascii="Arial" w:hAnsi="Arial" w:cs="Arial"/>
          <w:sz w:val="20"/>
          <w:szCs w:val="20"/>
        </w:rPr>
        <w:t xml:space="preserve"> and not required</w:t>
      </w:r>
      <w:r w:rsidR="00103E1E" w:rsidRPr="00F2522B">
        <w:rPr>
          <w:rFonts w:ascii="Arial" w:hAnsi="Arial" w:cs="Arial"/>
          <w:sz w:val="20"/>
          <w:szCs w:val="20"/>
        </w:rPr>
        <w:t>.</w:t>
      </w:r>
    </w:p>
    <w:p w:rsidR="00103E1E" w:rsidRPr="00993194" w:rsidRDefault="00103E1E" w:rsidP="000A2D2D">
      <w:pPr>
        <w:spacing w:before="80" w:after="120" w:line="280" w:lineRule="atLeast"/>
        <w:rPr>
          <w:rFonts w:ascii="Arial" w:hAnsi="Arial" w:cs="Arial"/>
          <w:sz w:val="20"/>
          <w:szCs w:val="20"/>
        </w:rPr>
      </w:pPr>
      <w:r w:rsidRPr="00993194">
        <w:rPr>
          <w:rFonts w:ascii="Arial" w:hAnsi="Arial" w:cs="Arial"/>
          <w:b/>
          <w:sz w:val="20"/>
          <w:szCs w:val="20"/>
        </w:rPr>
        <w:t xml:space="preserve">Section </w:t>
      </w:r>
      <w:r>
        <w:rPr>
          <w:rFonts w:ascii="Arial" w:hAnsi="Arial" w:cs="Arial"/>
          <w:b/>
          <w:sz w:val="20"/>
          <w:szCs w:val="20"/>
        </w:rPr>
        <w:t>6</w:t>
      </w:r>
      <w:r w:rsidR="000A2D2D">
        <w:rPr>
          <w:rFonts w:ascii="Arial" w:hAnsi="Arial" w:cs="Arial"/>
          <w:b/>
          <w:sz w:val="20"/>
          <w:szCs w:val="20"/>
        </w:rPr>
        <w:t xml:space="preserve"> - </w:t>
      </w:r>
      <w:r w:rsidR="00842AE1" w:rsidRPr="00842AE1">
        <w:rPr>
          <w:rFonts w:ascii="Arial" w:hAnsi="Arial" w:cs="Arial"/>
          <w:b/>
          <w:sz w:val="20"/>
          <w:szCs w:val="20"/>
        </w:rPr>
        <w:t xml:space="preserve">Revocation of instruments which determine the procedures to be applied in allocating </w:t>
      </w:r>
      <w:r w:rsidR="00080DAB">
        <w:rPr>
          <w:rFonts w:ascii="Arial" w:hAnsi="Arial" w:cs="Arial"/>
          <w:b/>
          <w:sz w:val="20"/>
          <w:szCs w:val="20"/>
        </w:rPr>
        <w:t xml:space="preserve">certain </w:t>
      </w:r>
      <w:r w:rsidR="00842AE1" w:rsidRPr="00842AE1">
        <w:rPr>
          <w:rFonts w:ascii="Arial" w:hAnsi="Arial" w:cs="Arial"/>
          <w:b/>
          <w:sz w:val="20"/>
          <w:szCs w:val="20"/>
        </w:rPr>
        <w:t>spectrum licences</w:t>
      </w:r>
    </w:p>
    <w:p w:rsidR="00F2522B" w:rsidRDefault="00F2522B" w:rsidP="00F2522B">
      <w:pPr>
        <w:spacing w:before="80" w:after="120" w:line="280" w:lineRule="atLeast"/>
        <w:rPr>
          <w:rFonts w:ascii="Arial" w:hAnsi="Arial" w:cs="Arial"/>
          <w:sz w:val="20"/>
          <w:szCs w:val="20"/>
        </w:rPr>
      </w:pPr>
      <w:r w:rsidRPr="00F2522B">
        <w:rPr>
          <w:rFonts w:ascii="Arial" w:hAnsi="Arial" w:cs="Arial"/>
          <w:sz w:val="20"/>
          <w:szCs w:val="20"/>
        </w:rPr>
        <w:t xml:space="preserve">Subsection 6(1) revokes 3 instruments made under </w:t>
      </w:r>
      <w:r w:rsidR="000D41F2">
        <w:rPr>
          <w:rFonts w:ascii="Arial" w:hAnsi="Arial" w:cs="Arial"/>
          <w:sz w:val="20"/>
          <w:szCs w:val="20"/>
        </w:rPr>
        <w:t>sub</w:t>
      </w:r>
      <w:r w:rsidRPr="00F2522B">
        <w:rPr>
          <w:rFonts w:ascii="Arial" w:hAnsi="Arial" w:cs="Arial"/>
          <w:sz w:val="20"/>
          <w:szCs w:val="20"/>
        </w:rPr>
        <w:t>section 60</w:t>
      </w:r>
      <w:r w:rsidR="000D41F2">
        <w:rPr>
          <w:rFonts w:ascii="Arial" w:hAnsi="Arial" w:cs="Arial"/>
          <w:sz w:val="20"/>
          <w:szCs w:val="20"/>
        </w:rPr>
        <w:t>(1)</w:t>
      </w:r>
      <w:r w:rsidRPr="00F2522B">
        <w:rPr>
          <w:rFonts w:ascii="Arial" w:hAnsi="Arial" w:cs="Arial"/>
          <w:sz w:val="20"/>
          <w:szCs w:val="20"/>
        </w:rPr>
        <w:t xml:space="preserve"> of the </w:t>
      </w:r>
      <w:r w:rsidRPr="00F2522B">
        <w:rPr>
          <w:rFonts w:ascii="Arial" w:hAnsi="Arial" w:cs="Arial"/>
          <w:i/>
          <w:sz w:val="20"/>
          <w:szCs w:val="20"/>
        </w:rPr>
        <w:t>Radiocommunications Act 1992</w:t>
      </w:r>
      <w:r w:rsidRPr="00F2522B">
        <w:rPr>
          <w:rFonts w:ascii="Arial" w:hAnsi="Arial" w:cs="Arial"/>
          <w:sz w:val="20"/>
          <w:szCs w:val="20"/>
        </w:rPr>
        <w:t xml:space="preserve">.  The </w:t>
      </w:r>
      <w:r>
        <w:rPr>
          <w:rFonts w:ascii="Arial" w:hAnsi="Arial" w:cs="Arial"/>
          <w:sz w:val="20"/>
          <w:szCs w:val="20"/>
        </w:rPr>
        <w:t xml:space="preserve">instruments set out the procedures to be applied in allocating spectrum licences in the 500 MHz </w:t>
      </w:r>
      <w:r w:rsidR="00AF37D2">
        <w:rPr>
          <w:rFonts w:ascii="Arial" w:hAnsi="Arial" w:cs="Arial"/>
          <w:sz w:val="20"/>
          <w:szCs w:val="20"/>
        </w:rPr>
        <w:t xml:space="preserve">band </w:t>
      </w:r>
      <w:r>
        <w:rPr>
          <w:rFonts w:ascii="Arial" w:hAnsi="Arial" w:cs="Arial"/>
          <w:sz w:val="20"/>
          <w:szCs w:val="20"/>
        </w:rPr>
        <w:t xml:space="preserve">(in the case of the instrument at paragraph (1)(a)), </w:t>
      </w:r>
      <w:r w:rsidR="000D41F2">
        <w:rPr>
          <w:rFonts w:ascii="Arial" w:hAnsi="Arial" w:cs="Arial"/>
          <w:sz w:val="20"/>
          <w:szCs w:val="20"/>
        </w:rPr>
        <w:t xml:space="preserve">the </w:t>
      </w:r>
      <w:r>
        <w:rPr>
          <w:rFonts w:ascii="Arial" w:hAnsi="Arial" w:cs="Arial"/>
          <w:sz w:val="20"/>
          <w:szCs w:val="20"/>
        </w:rPr>
        <w:t xml:space="preserve">1.8 GHz </w:t>
      </w:r>
      <w:r w:rsidR="00AF37D2">
        <w:rPr>
          <w:rFonts w:ascii="Arial" w:hAnsi="Arial" w:cs="Arial"/>
          <w:sz w:val="20"/>
          <w:szCs w:val="20"/>
        </w:rPr>
        <w:t xml:space="preserve">band </w:t>
      </w:r>
      <w:r>
        <w:rPr>
          <w:rFonts w:ascii="Arial" w:hAnsi="Arial" w:cs="Arial"/>
          <w:sz w:val="20"/>
          <w:szCs w:val="20"/>
        </w:rPr>
        <w:t xml:space="preserve">(in the case of the instrument at paragraph (1)(b)) and </w:t>
      </w:r>
      <w:r w:rsidR="000D41F2">
        <w:rPr>
          <w:rFonts w:ascii="Arial" w:hAnsi="Arial" w:cs="Arial"/>
          <w:sz w:val="20"/>
          <w:szCs w:val="20"/>
        </w:rPr>
        <w:t xml:space="preserve">the </w:t>
      </w:r>
      <w:r>
        <w:rPr>
          <w:rFonts w:ascii="Arial" w:hAnsi="Arial" w:cs="Arial"/>
          <w:sz w:val="20"/>
          <w:szCs w:val="20"/>
        </w:rPr>
        <w:t>27 GHz band (in the case of the in</w:t>
      </w:r>
      <w:r w:rsidR="00A81B05">
        <w:rPr>
          <w:rFonts w:ascii="Arial" w:hAnsi="Arial" w:cs="Arial"/>
          <w:sz w:val="20"/>
          <w:szCs w:val="20"/>
        </w:rPr>
        <w:t xml:space="preserve">strument at paragraph (1)(c)).  Spectrum licences in each of those bands have been issued and allocated in accordance with the relevant determinations.  The instruments are therefore spent and no longer required. </w:t>
      </w:r>
    </w:p>
    <w:p w:rsidR="00A81B05" w:rsidRPr="00A81B05" w:rsidRDefault="00A81B05" w:rsidP="00F2522B">
      <w:pPr>
        <w:spacing w:before="80" w:after="120" w:line="280" w:lineRule="atLeast"/>
        <w:rPr>
          <w:rFonts w:ascii="Arial" w:hAnsi="Arial" w:cs="Arial"/>
          <w:sz w:val="20"/>
          <w:szCs w:val="20"/>
        </w:rPr>
      </w:pPr>
      <w:r>
        <w:rPr>
          <w:rFonts w:ascii="Arial" w:hAnsi="Arial" w:cs="Arial"/>
          <w:sz w:val="20"/>
          <w:szCs w:val="20"/>
        </w:rPr>
        <w:t xml:space="preserve">Subsection 6(2) revokes 2 instruments made under </w:t>
      </w:r>
      <w:r w:rsidR="000D41F2">
        <w:rPr>
          <w:rFonts w:ascii="Arial" w:hAnsi="Arial" w:cs="Arial"/>
          <w:sz w:val="20"/>
          <w:szCs w:val="20"/>
        </w:rPr>
        <w:t>sub</w:t>
      </w:r>
      <w:r>
        <w:rPr>
          <w:rFonts w:ascii="Arial" w:hAnsi="Arial" w:cs="Arial"/>
          <w:sz w:val="20"/>
          <w:szCs w:val="20"/>
        </w:rPr>
        <w:t>section</w:t>
      </w:r>
      <w:r w:rsidR="000D41F2">
        <w:rPr>
          <w:rFonts w:ascii="Arial" w:hAnsi="Arial" w:cs="Arial"/>
          <w:sz w:val="20"/>
          <w:szCs w:val="20"/>
        </w:rPr>
        <w:t>s</w:t>
      </w:r>
      <w:r>
        <w:rPr>
          <w:rFonts w:ascii="Arial" w:hAnsi="Arial" w:cs="Arial"/>
          <w:sz w:val="20"/>
          <w:szCs w:val="20"/>
        </w:rPr>
        <w:t xml:space="preserve"> 60</w:t>
      </w:r>
      <w:r w:rsidR="000D41F2">
        <w:rPr>
          <w:rFonts w:ascii="Arial" w:hAnsi="Arial" w:cs="Arial"/>
          <w:sz w:val="20"/>
          <w:szCs w:val="20"/>
        </w:rPr>
        <w:t>(1)</w:t>
      </w:r>
      <w:r>
        <w:rPr>
          <w:rFonts w:ascii="Arial" w:hAnsi="Arial" w:cs="Arial"/>
          <w:sz w:val="20"/>
          <w:szCs w:val="20"/>
        </w:rPr>
        <w:t xml:space="preserve"> and 294</w:t>
      </w:r>
      <w:r w:rsidR="000D41F2">
        <w:rPr>
          <w:rFonts w:ascii="Arial" w:hAnsi="Arial" w:cs="Arial"/>
          <w:sz w:val="20"/>
          <w:szCs w:val="20"/>
        </w:rPr>
        <w:t>(1)</w:t>
      </w:r>
      <w:r>
        <w:rPr>
          <w:rFonts w:ascii="Arial" w:hAnsi="Arial" w:cs="Arial"/>
          <w:sz w:val="20"/>
          <w:szCs w:val="20"/>
        </w:rPr>
        <w:t xml:space="preserve"> of the </w:t>
      </w:r>
      <w:r>
        <w:rPr>
          <w:rFonts w:ascii="Arial" w:hAnsi="Arial" w:cs="Arial"/>
          <w:i/>
          <w:sz w:val="20"/>
          <w:szCs w:val="20"/>
        </w:rPr>
        <w:t>Radiocommunications Act 1992</w:t>
      </w:r>
      <w:r>
        <w:rPr>
          <w:rFonts w:ascii="Arial" w:hAnsi="Arial" w:cs="Arial"/>
          <w:sz w:val="20"/>
          <w:szCs w:val="20"/>
        </w:rPr>
        <w:t>.</w:t>
      </w:r>
      <w:r w:rsidR="00AF37D2">
        <w:rPr>
          <w:rFonts w:ascii="Arial" w:hAnsi="Arial" w:cs="Arial"/>
          <w:sz w:val="20"/>
          <w:szCs w:val="20"/>
        </w:rPr>
        <w:t xml:space="preserve">  The instruments set out the procedures to be applied and the spectrum access charges payable by licensees for issuing spectrum licences in the 800 MHz band (in the case of the instrument at paragraph (2)(a)) and the 2010-2025 MHz band (in the case of the instrument at paragraph (2)(b)).  Spectrum licences in the 800 MHz band were issued in accordance with the determination at paragraph (2)(a) and licences were never issued in the 2010-2025 MHz band.  Both instruments are therefore no longer required. </w:t>
      </w:r>
    </w:p>
    <w:p w:rsidR="00103E1E" w:rsidRPr="00993194" w:rsidRDefault="00103E1E" w:rsidP="000A2D2D">
      <w:pPr>
        <w:spacing w:before="80" w:after="120" w:line="280" w:lineRule="atLeast"/>
        <w:rPr>
          <w:rFonts w:ascii="Arial" w:hAnsi="Arial" w:cs="Arial"/>
          <w:sz w:val="20"/>
          <w:szCs w:val="20"/>
        </w:rPr>
      </w:pPr>
      <w:r w:rsidRPr="00993194">
        <w:rPr>
          <w:rFonts w:ascii="Arial" w:hAnsi="Arial" w:cs="Arial"/>
          <w:b/>
          <w:sz w:val="20"/>
          <w:szCs w:val="20"/>
        </w:rPr>
        <w:t xml:space="preserve">Section </w:t>
      </w:r>
      <w:r>
        <w:rPr>
          <w:rFonts w:ascii="Arial" w:hAnsi="Arial" w:cs="Arial"/>
          <w:b/>
          <w:sz w:val="20"/>
          <w:szCs w:val="20"/>
        </w:rPr>
        <w:t>7</w:t>
      </w:r>
      <w:r w:rsidR="000A2D2D">
        <w:rPr>
          <w:rFonts w:ascii="Arial" w:hAnsi="Arial" w:cs="Arial"/>
          <w:b/>
          <w:sz w:val="20"/>
          <w:szCs w:val="20"/>
        </w:rPr>
        <w:t xml:space="preserve"> - </w:t>
      </w:r>
      <w:r w:rsidR="00842AE1" w:rsidRPr="00842AE1">
        <w:rPr>
          <w:rFonts w:ascii="Arial" w:hAnsi="Arial" w:cs="Arial"/>
          <w:b/>
          <w:sz w:val="20"/>
          <w:szCs w:val="20"/>
        </w:rPr>
        <w:t>Revocation of instrument which determines a price-based allocation system for allocating and</w:t>
      </w:r>
      <w:r w:rsidR="00AB4165">
        <w:rPr>
          <w:rFonts w:ascii="Arial" w:hAnsi="Arial" w:cs="Arial"/>
          <w:b/>
          <w:sz w:val="20"/>
          <w:szCs w:val="20"/>
        </w:rPr>
        <w:t xml:space="preserve"> </w:t>
      </w:r>
      <w:r w:rsidR="00842AE1" w:rsidRPr="00842AE1">
        <w:rPr>
          <w:rFonts w:ascii="Arial" w:hAnsi="Arial" w:cs="Arial"/>
          <w:b/>
          <w:sz w:val="20"/>
          <w:szCs w:val="20"/>
        </w:rPr>
        <w:t>issuing specified transmitter licences</w:t>
      </w:r>
    </w:p>
    <w:p w:rsidR="00AF37D2" w:rsidRDefault="00913509" w:rsidP="00842AE1">
      <w:pPr>
        <w:spacing w:before="80" w:after="120" w:line="280" w:lineRule="atLeast"/>
        <w:rPr>
          <w:rFonts w:ascii="Arial" w:hAnsi="Arial" w:cs="Arial"/>
          <w:sz w:val="20"/>
          <w:szCs w:val="20"/>
        </w:rPr>
      </w:pPr>
      <w:r>
        <w:rPr>
          <w:rFonts w:ascii="Arial" w:hAnsi="Arial" w:cs="Arial"/>
          <w:sz w:val="20"/>
          <w:szCs w:val="20"/>
        </w:rPr>
        <w:t xml:space="preserve">Section 7 revokes </w:t>
      </w:r>
      <w:r w:rsidR="000D41F2">
        <w:rPr>
          <w:rFonts w:ascii="Arial" w:hAnsi="Arial" w:cs="Arial"/>
          <w:sz w:val="20"/>
          <w:szCs w:val="20"/>
        </w:rPr>
        <w:t xml:space="preserve">the </w:t>
      </w:r>
      <w:r w:rsidR="000D41F2" w:rsidRPr="000D41F2">
        <w:rPr>
          <w:rFonts w:ascii="Arial" w:hAnsi="Arial" w:cs="Arial"/>
          <w:i/>
          <w:sz w:val="20"/>
          <w:szCs w:val="20"/>
        </w:rPr>
        <w:t>Radiocommunications (Space Licence Allocation) Determination 2001</w:t>
      </w:r>
      <w:r w:rsidR="000D41F2" w:rsidRPr="000D41F2">
        <w:rPr>
          <w:rFonts w:ascii="Arial" w:hAnsi="Arial" w:cs="Arial"/>
          <w:sz w:val="20"/>
          <w:szCs w:val="20"/>
        </w:rPr>
        <w:t xml:space="preserve"> </w:t>
      </w:r>
      <w:r>
        <w:rPr>
          <w:rFonts w:ascii="Arial" w:hAnsi="Arial" w:cs="Arial"/>
          <w:sz w:val="20"/>
          <w:szCs w:val="20"/>
        </w:rPr>
        <w:t xml:space="preserve">which sets out a price-based allocation system for the allocation and issue of space transmitter licences.  </w:t>
      </w:r>
      <w:r w:rsidRPr="00913509">
        <w:rPr>
          <w:rFonts w:ascii="Arial" w:hAnsi="Arial" w:cs="Arial"/>
          <w:sz w:val="20"/>
          <w:szCs w:val="20"/>
        </w:rPr>
        <w:t xml:space="preserve">The instrument related to an auction conducted on 30 October 2001 following which one transmitter licence was issued.  That </w:t>
      </w:r>
      <w:r>
        <w:rPr>
          <w:rFonts w:ascii="Arial" w:hAnsi="Arial" w:cs="Arial"/>
          <w:sz w:val="20"/>
          <w:szCs w:val="20"/>
        </w:rPr>
        <w:t xml:space="preserve">transmitter </w:t>
      </w:r>
      <w:r w:rsidRPr="00913509">
        <w:rPr>
          <w:rFonts w:ascii="Arial" w:hAnsi="Arial" w:cs="Arial"/>
          <w:sz w:val="20"/>
          <w:szCs w:val="20"/>
        </w:rPr>
        <w:t>licence ended on 23 May 2007.</w:t>
      </w:r>
      <w:r>
        <w:rPr>
          <w:rFonts w:ascii="Arial" w:hAnsi="Arial" w:cs="Arial"/>
          <w:sz w:val="20"/>
          <w:szCs w:val="20"/>
        </w:rPr>
        <w:t xml:space="preserve">  The </w:t>
      </w:r>
      <w:r w:rsidR="000D41F2" w:rsidRPr="000D41F2">
        <w:rPr>
          <w:rFonts w:ascii="Arial" w:hAnsi="Arial" w:cs="Arial"/>
          <w:i/>
          <w:sz w:val="20"/>
          <w:szCs w:val="20"/>
        </w:rPr>
        <w:t>Radiocommunications (Space Licence Allocation) Determination 2001</w:t>
      </w:r>
      <w:r w:rsidR="000D41F2" w:rsidRPr="000D41F2">
        <w:rPr>
          <w:rFonts w:ascii="Arial" w:hAnsi="Arial" w:cs="Arial"/>
          <w:sz w:val="20"/>
          <w:szCs w:val="20"/>
        </w:rPr>
        <w:t xml:space="preserve"> </w:t>
      </w:r>
      <w:r>
        <w:rPr>
          <w:rFonts w:ascii="Arial" w:hAnsi="Arial" w:cs="Arial"/>
          <w:sz w:val="20"/>
          <w:szCs w:val="20"/>
        </w:rPr>
        <w:t xml:space="preserve">is therefore spent and no longer required. </w:t>
      </w:r>
    </w:p>
    <w:p w:rsidR="00842AE1" w:rsidRPr="00993194" w:rsidRDefault="00842AE1" w:rsidP="00842AE1">
      <w:pPr>
        <w:spacing w:before="80" w:after="120" w:line="280" w:lineRule="atLeast"/>
        <w:rPr>
          <w:rFonts w:ascii="Arial" w:hAnsi="Arial" w:cs="Arial"/>
          <w:sz w:val="20"/>
          <w:szCs w:val="20"/>
        </w:rPr>
      </w:pPr>
      <w:r w:rsidRPr="00993194">
        <w:rPr>
          <w:rFonts w:ascii="Arial" w:hAnsi="Arial" w:cs="Arial"/>
          <w:b/>
          <w:sz w:val="20"/>
          <w:szCs w:val="20"/>
        </w:rPr>
        <w:t xml:space="preserve">Section </w:t>
      </w:r>
      <w:r>
        <w:rPr>
          <w:rFonts w:ascii="Arial" w:hAnsi="Arial" w:cs="Arial"/>
          <w:b/>
          <w:sz w:val="20"/>
          <w:szCs w:val="20"/>
        </w:rPr>
        <w:t xml:space="preserve">8 - </w:t>
      </w:r>
      <w:r w:rsidRPr="00842AE1">
        <w:rPr>
          <w:rFonts w:ascii="Arial" w:hAnsi="Arial" w:cs="Arial"/>
          <w:b/>
          <w:sz w:val="20"/>
          <w:szCs w:val="20"/>
        </w:rPr>
        <w:t xml:space="preserve">Revocation of instruments specifying unacceptable levels of </w:t>
      </w:r>
      <w:r w:rsidR="008A09EC" w:rsidRPr="00842AE1">
        <w:rPr>
          <w:rFonts w:ascii="Arial" w:hAnsi="Arial" w:cs="Arial"/>
          <w:b/>
          <w:sz w:val="20"/>
          <w:szCs w:val="20"/>
        </w:rPr>
        <w:t>interference</w:t>
      </w:r>
    </w:p>
    <w:p w:rsidR="00842AE1" w:rsidRDefault="00913509" w:rsidP="00913509">
      <w:pPr>
        <w:spacing w:before="80" w:after="120" w:line="280" w:lineRule="atLeast"/>
        <w:rPr>
          <w:rFonts w:ascii="Arial" w:hAnsi="Arial" w:cs="Arial"/>
          <w:sz w:val="20"/>
          <w:szCs w:val="20"/>
        </w:rPr>
      </w:pPr>
      <w:r>
        <w:rPr>
          <w:rFonts w:ascii="Arial" w:hAnsi="Arial" w:cs="Arial"/>
          <w:sz w:val="20"/>
          <w:szCs w:val="20"/>
        </w:rPr>
        <w:t xml:space="preserve">Section 8 revokes two instruments which specify what </w:t>
      </w:r>
      <w:r w:rsidR="00080DAB">
        <w:rPr>
          <w:rFonts w:ascii="Arial" w:hAnsi="Arial" w:cs="Arial"/>
          <w:sz w:val="20"/>
          <w:szCs w:val="20"/>
        </w:rPr>
        <w:t>ar</w:t>
      </w:r>
      <w:r>
        <w:rPr>
          <w:rFonts w:ascii="Arial" w:hAnsi="Arial" w:cs="Arial"/>
          <w:sz w:val="20"/>
          <w:szCs w:val="20"/>
        </w:rPr>
        <w:t>e unacceptable levels of interference to the operation of other radiocommunications devices under spectrum licences in the 500 MHz band</w:t>
      </w:r>
      <w:r w:rsidR="00AB4165">
        <w:rPr>
          <w:rFonts w:ascii="Arial" w:hAnsi="Arial" w:cs="Arial"/>
          <w:sz w:val="20"/>
          <w:szCs w:val="20"/>
        </w:rPr>
        <w:t xml:space="preserve"> (</w:t>
      </w:r>
      <w:r>
        <w:rPr>
          <w:rFonts w:ascii="Arial" w:hAnsi="Arial" w:cs="Arial"/>
          <w:sz w:val="20"/>
          <w:szCs w:val="20"/>
        </w:rPr>
        <w:t xml:space="preserve">in the case of the instrument listed at paragraph (a)) and the 2010-2025 MHz band (in the case of the instrument listed at paragraph (b)).  </w:t>
      </w:r>
    </w:p>
    <w:p w:rsidR="00913509" w:rsidRPr="00913509" w:rsidRDefault="00913509" w:rsidP="00913509">
      <w:pPr>
        <w:spacing w:before="80" w:after="120" w:line="280" w:lineRule="atLeast"/>
        <w:rPr>
          <w:rFonts w:ascii="Arial" w:hAnsi="Arial" w:cs="Arial"/>
          <w:sz w:val="20"/>
          <w:szCs w:val="20"/>
        </w:rPr>
      </w:pPr>
      <w:r>
        <w:rPr>
          <w:rFonts w:ascii="Arial" w:hAnsi="Arial" w:cs="Arial"/>
          <w:sz w:val="20"/>
          <w:szCs w:val="20"/>
        </w:rPr>
        <w:t xml:space="preserve">As set out above, licences issued in the 500 MHz spectrum band expired on 31 May 2012 and the 500 MHz band </w:t>
      </w:r>
      <w:r w:rsidR="00080DAB">
        <w:rPr>
          <w:rFonts w:ascii="Arial" w:hAnsi="Arial" w:cs="Arial"/>
          <w:sz w:val="20"/>
          <w:szCs w:val="20"/>
        </w:rPr>
        <w:t>is</w:t>
      </w:r>
      <w:r>
        <w:rPr>
          <w:rFonts w:ascii="Arial" w:hAnsi="Arial" w:cs="Arial"/>
          <w:sz w:val="20"/>
          <w:szCs w:val="20"/>
        </w:rPr>
        <w:t xml:space="preserve"> no longer subject to spectrum licensing.  In addition, no spectrum licences were ever issued in the 2010-2025 MHz band.  Both instruments are therefore no longer required. </w:t>
      </w:r>
    </w:p>
    <w:p w:rsidR="00842AE1" w:rsidRPr="00993194" w:rsidRDefault="00842AE1" w:rsidP="00E13F4A">
      <w:pPr>
        <w:keepNext/>
        <w:spacing w:before="80" w:after="120" w:line="280" w:lineRule="atLeast"/>
        <w:rPr>
          <w:rFonts w:ascii="Arial" w:hAnsi="Arial" w:cs="Arial"/>
          <w:sz w:val="20"/>
          <w:szCs w:val="20"/>
        </w:rPr>
      </w:pPr>
      <w:r w:rsidRPr="00993194">
        <w:rPr>
          <w:rFonts w:ascii="Arial" w:hAnsi="Arial" w:cs="Arial"/>
          <w:b/>
          <w:sz w:val="20"/>
          <w:szCs w:val="20"/>
        </w:rPr>
        <w:t xml:space="preserve">Section </w:t>
      </w:r>
      <w:r>
        <w:rPr>
          <w:rFonts w:ascii="Arial" w:hAnsi="Arial" w:cs="Arial"/>
          <w:b/>
          <w:sz w:val="20"/>
          <w:szCs w:val="20"/>
        </w:rPr>
        <w:t xml:space="preserve">9 - </w:t>
      </w:r>
      <w:r w:rsidRPr="00842AE1">
        <w:rPr>
          <w:rFonts w:ascii="Arial" w:hAnsi="Arial" w:cs="Arial"/>
          <w:b/>
          <w:sz w:val="20"/>
          <w:szCs w:val="20"/>
        </w:rPr>
        <w:t>Revocation of 500 MHz advisory guideline</w:t>
      </w:r>
      <w:r w:rsidR="00080DAB">
        <w:rPr>
          <w:rFonts w:ascii="Arial" w:hAnsi="Arial" w:cs="Arial"/>
          <w:b/>
          <w:sz w:val="20"/>
          <w:szCs w:val="20"/>
        </w:rPr>
        <w:t>s</w:t>
      </w:r>
    </w:p>
    <w:p w:rsidR="00842AE1" w:rsidRPr="00913509" w:rsidRDefault="00913509" w:rsidP="00913509">
      <w:pPr>
        <w:spacing w:before="80" w:after="120" w:line="280" w:lineRule="atLeast"/>
        <w:rPr>
          <w:rFonts w:ascii="Arial" w:hAnsi="Arial" w:cs="Arial"/>
          <w:sz w:val="20"/>
          <w:szCs w:val="20"/>
        </w:rPr>
      </w:pPr>
      <w:r w:rsidRPr="00913509">
        <w:rPr>
          <w:rFonts w:ascii="Arial" w:hAnsi="Arial" w:cs="Arial"/>
          <w:sz w:val="20"/>
          <w:szCs w:val="20"/>
        </w:rPr>
        <w:t xml:space="preserve">Section </w:t>
      </w:r>
      <w:r>
        <w:rPr>
          <w:rFonts w:ascii="Arial" w:hAnsi="Arial" w:cs="Arial"/>
          <w:sz w:val="20"/>
          <w:szCs w:val="20"/>
        </w:rPr>
        <w:t xml:space="preserve">9 revokes advisory guidelines for transmitters in the 500 MHz band and </w:t>
      </w:r>
      <w:r w:rsidR="000D41F2">
        <w:rPr>
          <w:rFonts w:ascii="Arial" w:hAnsi="Arial" w:cs="Arial"/>
          <w:sz w:val="20"/>
          <w:szCs w:val="20"/>
        </w:rPr>
        <w:t xml:space="preserve">was </w:t>
      </w:r>
      <w:r>
        <w:rPr>
          <w:rFonts w:ascii="Arial" w:hAnsi="Arial" w:cs="Arial"/>
          <w:sz w:val="20"/>
          <w:szCs w:val="20"/>
        </w:rPr>
        <w:t xml:space="preserve">made under subsection 262(1) of the </w:t>
      </w:r>
      <w:r>
        <w:rPr>
          <w:rFonts w:ascii="Arial" w:hAnsi="Arial" w:cs="Arial"/>
          <w:i/>
          <w:sz w:val="20"/>
          <w:szCs w:val="20"/>
        </w:rPr>
        <w:t>Radiocommunications Act 1992</w:t>
      </w:r>
      <w:r>
        <w:rPr>
          <w:rFonts w:ascii="Arial" w:hAnsi="Arial" w:cs="Arial"/>
          <w:sz w:val="20"/>
          <w:szCs w:val="20"/>
        </w:rPr>
        <w:t xml:space="preserve">.  As the instrument relates to licences which are now expired and a spectrum frequency which </w:t>
      </w:r>
      <w:r w:rsidR="00080DAB">
        <w:rPr>
          <w:rFonts w:ascii="Arial" w:hAnsi="Arial" w:cs="Arial"/>
          <w:sz w:val="20"/>
          <w:szCs w:val="20"/>
        </w:rPr>
        <w:t>is</w:t>
      </w:r>
      <w:r>
        <w:rPr>
          <w:rFonts w:ascii="Arial" w:hAnsi="Arial" w:cs="Arial"/>
          <w:sz w:val="20"/>
          <w:szCs w:val="20"/>
        </w:rPr>
        <w:t xml:space="preserve"> no longer subject to spectrum licensing, the advisory guidelines are spent and no longer required. </w:t>
      </w:r>
    </w:p>
    <w:p w:rsidR="00842AE1" w:rsidRPr="00842AE1" w:rsidRDefault="00842AE1" w:rsidP="00842AE1">
      <w:pPr>
        <w:pStyle w:val="ActHead2"/>
        <w:rPr>
          <w:rFonts w:ascii="Arial" w:hAnsi="Arial"/>
          <w:kern w:val="0"/>
          <w:sz w:val="24"/>
          <w:szCs w:val="24"/>
        </w:rPr>
      </w:pPr>
      <w:r w:rsidRPr="00842AE1">
        <w:rPr>
          <w:rFonts w:ascii="Arial" w:hAnsi="Arial"/>
          <w:kern w:val="0"/>
          <w:sz w:val="24"/>
          <w:szCs w:val="24"/>
        </w:rPr>
        <w:t>Part 3</w:t>
      </w:r>
      <w:r w:rsidRPr="00842AE1">
        <w:rPr>
          <w:rFonts w:ascii="Arial" w:hAnsi="Arial"/>
          <w:kern w:val="0"/>
          <w:sz w:val="24"/>
          <w:szCs w:val="24"/>
        </w:rPr>
        <w:tab/>
        <w:t xml:space="preserve">Revocation of spent and redundant </w:t>
      </w:r>
      <w:r w:rsidRPr="00842AE1">
        <w:rPr>
          <w:rFonts w:ascii="Arial" w:hAnsi="Arial"/>
          <w:i/>
          <w:kern w:val="0"/>
          <w:sz w:val="24"/>
          <w:szCs w:val="24"/>
        </w:rPr>
        <w:t>Telecommunications Act 1997</w:t>
      </w:r>
      <w:r w:rsidRPr="00842AE1">
        <w:rPr>
          <w:rFonts w:ascii="Arial" w:hAnsi="Arial"/>
          <w:kern w:val="0"/>
          <w:sz w:val="24"/>
          <w:szCs w:val="24"/>
        </w:rPr>
        <w:t xml:space="preserve"> instruments</w:t>
      </w:r>
    </w:p>
    <w:p w:rsidR="00842AE1" w:rsidRPr="00993194" w:rsidRDefault="00842AE1" w:rsidP="00842AE1">
      <w:pPr>
        <w:spacing w:before="80" w:after="120" w:line="280" w:lineRule="atLeast"/>
        <w:rPr>
          <w:rFonts w:ascii="Arial" w:hAnsi="Arial" w:cs="Arial"/>
          <w:sz w:val="20"/>
          <w:szCs w:val="20"/>
        </w:rPr>
      </w:pPr>
      <w:r w:rsidRPr="00993194">
        <w:rPr>
          <w:rFonts w:ascii="Arial" w:hAnsi="Arial" w:cs="Arial"/>
          <w:b/>
          <w:sz w:val="20"/>
          <w:szCs w:val="20"/>
        </w:rPr>
        <w:t xml:space="preserve">Section </w:t>
      </w:r>
      <w:r>
        <w:rPr>
          <w:rFonts w:ascii="Arial" w:hAnsi="Arial" w:cs="Arial"/>
          <w:b/>
          <w:sz w:val="20"/>
          <w:szCs w:val="20"/>
        </w:rPr>
        <w:t xml:space="preserve">10 - </w:t>
      </w:r>
      <w:r w:rsidRPr="00842AE1">
        <w:rPr>
          <w:rFonts w:ascii="Arial" w:hAnsi="Arial" w:cs="Arial"/>
          <w:b/>
          <w:sz w:val="20"/>
          <w:szCs w:val="20"/>
        </w:rPr>
        <w:t>Revocation of minor variation to numbering plan declarations</w:t>
      </w:r>
    </w:p>
    <w:p w:rsidR="00842AE1" w:rsidRPr="00913509" w:rsidRDefault="00913509" w:rsidP="00913509">
      <w:pPr>
        <w:spacing w:before="80" w:after="120" w:line="280" w:lineRule="atLeast"/>
        <w:rPr>
          <w:rFonts w:ascii="Arial" w:hAnsi="Arial" w:cs="Arial"/>
          <w:sz w:val="20"/>
          <w:szCs w:val="20"/>
        </w:rPr>
      </w:pPr>
      <w:r w:rsidRPr="00913509">
        <w:rPr>
          <w:rFonts w:ascii="Arial" w:hAnsi="Arial" w:cs="Arial"/>
          <w:sz w:val="20"/>
          <w:szCs w:val="20"/>
        </w:rPr>
        <w:t xml:space="preserve">Section </w:t>
      </w:r>
      <w:r>
        <w:rPr>
          <w:rFonts w:ascii="Arial" w:hAnsi="Arial" w:cs="Arial"/>
          <w:sz w:val="20"/>
          <w:szCs w:val="20"/>
        </w:rPr>
        <w:t xml:space="preserve">10 revokes 2 instruments made under paragraph 460(3)(a) of the </w:t>
      </w:r>
      <w:r>
        <w:rPr>
          <w:rFonts w:ascii="Arial" w:hAnsi="Arial" w:cs="Arial"/>
          <w:i/>
          <w:sz w:val="20"/>
          <w:szCs w:val="20"/>
        </w:rPr>
        <w:t>Telecommunications Act 1997</w:t>
      </w:r>
      <w:r>
        <w:rPr>
          <w:rFonts w:ascii="Arial" w:hAnsi="Arial" w:cs="Arial"/>
          <w:sz w:val="20"/>
          <w:szCs w:val="20"/>
        </w:rPr>
        <w:t xml:space="preserve">.  The instruments declared </w:t>
      </w:r>
      <w:r w:rsidRPr="00913509">
        <w:rPr>
          <w:rFonts w:ascii="Arial" w:hAnsi="Arial" w:cs="Arial"/>
          <w:sz w:val="20"/>
          <w:szCs w:val="20"/>
        </w:rPr>
        <w:t>that particular variation</w:t>
      </w:r>
      <w:r w:rsidR="00080DAB">
        <w:rPr>
          <w:rFonts w:ascii="Arial" w:hAnsi="Arial" w:cs="Arial"/>
          <w:sz w:val="20"/>
          <w:szCs w:val="20"/>
        </w:rPr>
        <w:t>s</w:t>
      </w:r>
      <w:r w:rsidRPr="00913509">
        <w:rPr>
          <w:rFonts w:ascii="Arial" w:hAnsi="Arial" w:cs="Arial"/>
          <w:sz w:val="20"/>
          <w:szCs w:val="20"/>
        </w:rPr>
        <w:t xml:space="preserve"> made in </w:t>
      </w:r>
      <w:r w:rsidR="00080DAB">
        <w:rPr>
          <w:rFonts w:ascii="Arial" w:hAnsi="Arial" w:cs="Arial"/>
          <w:sz w:val="20"/>
          <w:szCs w:val="20"/>
        </w:rPr>
        <w:t>past</w:t>
      </w:r>
      <w:r w:rsidRPr="00913509">
        <w:rPr>
          <w:rFonts w:ascii="Arial" w:hAnsi="Arial" w:cs="Arial"/>
          <w:sz w:val="20"/>
          <w:szCs w:val="20"/>
        </w:rPr>
        <w:t xml:space="preserve"> years to the </w:t>
      </w:r>
      <w:r w:rsidRPr="00913509">
        <w:rPr>
          <w:rFonts w:ascii="Arial" w:hAnsi="Arial" w:cs="Arial"/>
          <w:i/>
          <w:sz w:val="20"/>
          <w:szCs w:val="20"/>
        </w:rPr>
        <w:t>Telecommunications Numbering Plan 1997</w:t>
      </w:r>
      <w:r w:rsidRPr="00913509">
        <w:rPr>
          <w:rFonts w:ascii="Arial" w:hAnsi="Arial" w:cs="Arial"/>
          <w:sz w:val="20"/>
          <w:szCs w:val="20"/>
        </w:rPr>
        <w:t xml:space="preserve"> were minor variation</w:t>
      </w:r>
      <w:r w:rsidR="00080DAB">
        <w:rPr>
          <w:rFonts w:ascii="Arial" w:hAnsi="Arial" w:cs="Arial"/>
          <w:sz w:val="20"/>
          <w:szCs w:val="20"/>
        </w:rPr>
        <w:t>s</w:t>
      </w:r>
      <w:r w:rsidRPr="00913509">
        <w:rPr>
          <w:rFonts w:ascii="Arial" w:hAnsi="Arial" w:cs="Arial"/>
          <w:sz w:val="20"/>
          <w:szCs w:val="20"/>
        </w:rPr>
        <w:t xml:space="preserve"> which did not require public consultation.  As those minor variations to the Numbering Plan were fully effected, the</w:t>
      </w:r>
      <w:r>
        <w:rPr>
          <w:rFonts w:ascii="Arial" w:hAnsi="Arial" w:cs="Arial"/>
          <w:sz w:val="20"/>
          <w:szCs w:val="20"/>
        </w:rPr>
        <w:t xml:space="preserve"> </w:t>
      </w:r>
      <w:r w:rsidRPr="00913509">
        <w:rPr>
          <w:rFonts w:ascii="Arial" w:hAnsi="Arial" w:cs="Arial"/>
          <w:sz w:val="20"/>
          <w:szCs w:val="20"/>
        </w:rPr>
        <w:t xml:space="preserve">instruments </w:t>
      </w:r>
      <w:r>
        <w:rPr>
          <w:rFonts w:ascii="Arial" w:hAnsi="Arial" w:cs="Arial"/>
          <w:sz w:val="20"/>
          <w:szCs w:val="20"/>
        </w:rPr>
        <w:t xml:space="preserve">are </w:t>
      </w:r>
      <w:r w:rsidRPr="00913509">
        <w:rPr>
          <w:rFonts w:ascii="Arial" w:hAnsi="Arial" w:cs="Arial"/>
          <w:sz w:val="20"/>
          <w:szCs w:val="20"/>
        </w:rPr>
        <w:t>spent and no longer required</w:t>
      </w:r>
      <w:r>
        <w:rPr>
          <w:rFonts w:ascii="Arial" w:hAnsi="Arial" w:cs="Arial"/>
          <w:sz w:val="20"/>
          <w:szCs w:val="20"/>
        </w:rPr>
        <w:t xml:space="preserve">.  </w:t>
      </w:r>
    </w:p>
    <w:p w:rsidR="00842AE1" w:rsidRPr="00842AE1" w:rsidRDefault="00842AE1" w:rsidP="00842AE1">
      <w:pPr>
        <w:pStyle w:val="ActHead2"/>
        <w:rPr>
          <w:rFonts w:ascii="Arial" w:hAnsi="Arial"/>
          <w:kern w:val="0"/>
          <w:sz w:val="24"/>
          <w:szCs w:val="24"/>
        </w:rPr>
      </w:pPr>
      <w:r w:rsidRPr="00842AE1">
        <w:rPr>
          <w:rFonts w:ascii="Arial" w:hAnsi="Arial"/>
          <w:kern w:val="0"/>
          <w:sz w:val="24"/>
          <w:szCs w:val="24"/>
        </w:rPr>
        <w:t>Part 4</w:t>
      </w:r>
      <w:r w:rsidRPr="00842AE1">
        <w:rPr>
          <w:rFonts w:ascii="Arial" w:hAnsi="Arial"/>
          <w:kern w:val="0"/>
          <w:sz w:val="24"/>
          <w:szCs w:val="24"/>
        </w:rPr>
        <w:tab/>
        <w:t xml:space="preserve">Revocation of spent and redundant </w:t>
      </w:r>
      <w:r w:rsidRPr="00842AE1">
        <w:rPr>
          <w:rFonts w:ascii="Arial" w:hAnsi="Arial"/>
          <w:i/>
          <w:kern w:val="0"/>
          <w:sz w:val="24"/>
          <w:szCs w:val="24"/>
        </w:rPr>
        <w:t xml:space="preserve">Telecommunications (Consumer Protection and Service Standards) Act 1999 </w:t>
      </w:r>
      <w:r w:rsidRPr="00842AE1">
        <w:rPr>
          <w:rFonts w:ascii="Arial" w:hAnsi="Arial"/>
          <w:kern w:val="0"/>
          <w:sz w:val="24"/>
          <w:szCs w:val="24"/>
        </w:rPr>
        <w:t>instruments</w:t>
      </w:r>
    </w:p>
    <w:p w:rsidR="00842AE1" w:rsidRPr="00993194" w:rsidRDefault="00842AE1" w:rsidP="00842AE1">
      <w:pPr>
        <w:spacing w:before="80" w:after="120" w:line="280" w:lineRule="atLeast"/>
        <w:rPr>
          <w:rFonts w:ascii="Arial" w:hAnsi="Arial" w:cs="Arial"/>
          <w:sz w:val="20"/>
          <w:szCs w:val="20"/>
        </w:rPr>
      </w:pPr>
      <w:r w:rsidRPr="00993194">
        <w:rPr>
          <w:rFonts w:ascii="Arial" w:hAnsi="Arial" w:cs="Arial"/>
          <w:b/>
          <w:sz w:val="20"/>
          <w:szCs w:val="20"/>
        </w:rPr>
        <w:t xml:space="preserve">Section </w:t>
      </w:r>
      <w:r>
        <w:rPr>
          <w:rFonts w:ascii="Arial" w:hAnsi="Arial" w:cs="Arial"/>
          <w:b/>
          <w:sz w:val="20"/>
          <w:szCs w:val="20"/>
        </w:rPr>
        <w:t xml:space="preserve">11 - </w:t>
      </w:r>
      <w:r w:rsidRPr="00842AE1">
        <w:rPr>
          <w:rFonts w:ascii="Arial" w:hAnsi="Arial" w:cs="Arial"/>
          <w:b/>
          <w:sz w:val="20"/>
          <w:szCs w:val="20"/>
        </w:rPr>
        <w:t xml:space="preserve">Revocation of spent and redundant </w:t>
      </w:r>
      <w:r w:rsidRPr="00842AE1">
        <w:rPr>
          <w:rFonts w:ascii="Arial" w:hAnsi="Arial" w:cs="Arial"/>
          <w:b/>
          <w:i/>
          <w:sz w:val="20"/>
          <w:szCs w:val="20"/>
        </w:rPr>
        <w:t xml:space="preserve">Telecommunications (Consumer Protection and Service Standards) Act 1999 </w:t>
      </w:r>
      <w:r w:rsidRPr="00842AE1">
        <w:rPr>
          <w:rFonts w:ascii="Arial" w:hAnsi="Arial" w:cs="Arial"/>
          <w:b/>
          <w:sz w:val="20"/>
          <w:szCs w:val="20"/>
        </w:rPr>
        <w:t>instruments</w:t>
      </w:r>
    </w:p>
    <w:p w:rsidR="00842AE1" w:rsidRDefault="00913509" w:rsidP="00913509">
      <w:pPr>
        <w:spacing w:before="80" w:after="120" w:line="280" w:lineRule="atLeast"/>
        <w:rPr>
          <w:rFonts w:ascii="Arial" w:hAnsi="Arial" w:cs="Arial"/>
          <w:sz w:val="20"/>
          <w:szCs w:val="20"/>
        </w:rPr>
      </w:pPr>
      <w:r>
        <w:rPr>
          <w:rFonts w:ascii="Arial" w:hAnsi="Arial" w:cs="Arial"/>
          <w:sz w:val="20"/>
          <w:szCs w:val="20"/>
        </w:rPr>
        <w:t>Section 1</w:t>
      </w:r>
      <w:r w:rsidR="00AB4165">
        <w:rPr>
          <w:rFonts w:ascii="Arial" w:hAnsi="Arial" w:cs="Arial"/>
          <w:sz w:val="20"/>
          <w:szCs w:val="20"/>
        </w:rPr>
        <w:t>1</w:t>
      </w:r>
      <w:r>
        <w:rPr>
          <w:rFonts w:ascii="Arial" w:hAnsi="Arial" w:cs="Arial"/>
          <w:sz w:val="20"/>
          <w:szCs w:val="20"/>
        </w:rPr>
        <w:t xml:space="preserve"> revokes 3 instruments made under subsection</w:t>
      </w:r>
      <w:r w:rsidR="00AB4165">
        <w:rPr>
          <w:rFonts w:ascii="Arial" w:hAnsi="Arial" w:cs="Arial"/>
          <w:sz w:val="20"/>
          <w:szCs w:val="20"/>
        </w:rPr>
        <w:t>s</w:t>
      </w:r>
      <w:r>
        <w:rPr>
          <w:rFonts w:ascii="Arial" w:hAnsi="Arial" w:cs="Arial"/>
          <w:sz w:val="20"/>
          <w:szCs w:val="20"/>
        </w:rPr>
        <w:t xml:space="preserve"> </w:t>
      </w:r>
      <w:proofErr w:type="gramStart"/>
      <w:r>
        <w:rPr>
          <w:rFonts w:ascii="Arial" w:hAnsi="Arial" w:cs="Arial"/>
          <w:sz w:val="20"/>
          <w:szCs w:val="20"/>
        </w:rPr>
        <w:t>20B(</w:t>
      </w:r>
      <w:proofErr w:type="gramEnd"/>
      <w:r>
        <w:rPr>
          <w:rFonts w:ascii="Arial" w:hAnsi="Arial" w:cs="Arial"/>
          <w:sz w:val="20"/>
          <w:szCs w:val="20"/>
        </w:rPr>
        <w:t xml:space="preserve">1), 23D(2) and 101A(2) of the </w:t>
      </w:r>
      <w:r w:rsidR="00080DAB">
        <w:rPr>
          <w:rFonts w:ascii="Arial" w:hAnsi="Arial" w:cs="Arial"/>
          <w:sz w:val="20"/>
          <w:szCs w:val="20"/>
        </w:rPr>
        <w:t>TCPSS Act</w:t>
      </w:r>
      <w:r>
        <w:rPr>
          <w:rFonts w:ascii="Arial" w:hAnsi="Arial" w:cs="Arial"/>
          <w:sz w:val="20"/>
          <w:szCs w:val="20"/>
        </w:rPr>
        <w:t xml:space="preserve">.  </w:t>
      </w:r>
      <w:r w:rsidR="00EB6EFE">
        <w:rPr>
          <w:rFonts w:ascii="Arial" w:hAnsi="Arial" w:cs="Arial"/>
          <w:sz w:val="20"/>
          <w:szCs w:val="20"/>
        </w:rPr>
        <w:t xml:space="preserve">The instrument at paragraph (a) sets out the requirements </w:t>
      </w:r>
      <w:r w:rsidR="00EB6EFE" w:rsidRPr="00EB6EFE">
        <w:rPr>
          <w:rFonts w:ascii="Arial" w:hAnsi="Arial" w:cs="Arial"/>
          <w:sz w:val="20"/>
          <w:szCs w:val="20"/>
        </w:rPr>
        <w:t>for calculating a person’s eligible revenue for financial years ending on 30 June 2012 or earlier</w:t>
      </w:r>
      <w:r w:rsidR="00EB6EFE">
        <w:rPr>
          <w:rFonts w:ascii="Arial" w:hAnsi="Arial" w:cs="Arial"/>
          <w:sz w:val="20"/>
          <w:szCs w:val="20"/>
        </w:rPr>
        <w:t xml:space="preserve">.  The instruments at paragraphs (b) and (c) </w:t>
      </w:r>
      <w:r w:rsidR="00EB6EFE" w:rsidRPr="00EB6EFE">
        <w:rPr>
          <w:rFonts w:ascii="Arial" w:hAnsi="Arial" w:cs="Arial"/>
          <w:sz w:val="20"/>
          <w:szCs w:val="20"/>
        </w:rPr>
        <w:t>set interest rates on outstanding levy amounts owing under the TCPSS Act for financial years ending 30 June 2012 or earlier</w:t>
      </w:r>
      <w:r w:rsidR="00EB6EFE">
        <w:rPr>
          <w:rFonts w:ascii="Arial" w:hAnsi="Arial" w:cs="Arial"/>
          <w:sz w:val="20"/>
          <w:szCs w:val="20"/>
        </w:rPr>
        <w:t xml:space="preserve">.  </w:t>
      </w:r>
    </w:p>
    <w:p w:rsidR="00EB6EFE" w:rsidRPr="00913509" w:rsidRDefault="00EB6EFE" w:rsidP="00913509">
      <w:pPr>
        <w:spacing w:before="80" w:after="120" w:line="280" w:lineRule="atLeast"/>
        <w:rPr>
          <w:rFonts w:ascii="Arial" w:hAnsi="Arial" w:cs="Arial"/>
          <w:sz w:val="20"/>
          <w:szCs w:val="20"/>
        </w:rPr>
      </w:pPr>
      <w:r>
        <w:rPr>
          <w:rFonts w:ascii="Arial" w:hAnsi="Arial" w:cs="Arial"/>
          <w:sz w:val="20"/>
          <w:szCs w:val="20"/>
        </w:rPr>
        <w:t xml:space="preserve">As all instruments relate to financial years which have now passed, the instruments are spent and no longer required. </w:t>
      </w:r>
    </w:p>
    <w:p w:rsidR="00842AE1" w:rsidRPr="00842AE1" w:rsidRDefault="00842AE1" w:rsidP="00842AE1">
      <w:pPr>
        <w:pStyle w:val="ActHead2"/>
        <w:rPr>
          <w:rFonts w:ascii="Arial" w:hAnsi="Arial"/>
          <w:kern w:val="0"/>
          <w:sz w:val="24"/>
          <w:szCs w:val="24"/>
        </w:rPr>
      </w:pPr>
      <w:r w:rsidRPr="00842AE1">
        <w:rPr>
          <w:rFonts w:ascii="Arial" w:hAnsi="Arial"/>
          <w:kern w:val="0"/>
          <w:sz w:val="24"/>
          <w:szCs w:val="24"/>
        </w:rPr>
        <w:t>Part 5</w:t>
      </w:r>
      <w:r w:rsidRPr="00842AE1">
        <w:rPr>
          <w:rFonts w:ascii="Arial" w:hAnsi="Arial"/>
          <w:kern w:val="0"/>
          <w:sz w:val="24"/>
          <w:szCs w:val="24"/>
        </w:rPr>
        <w:tab/>
        <w:t xml:space="preserve">Revocation of spent and redundant </w:t>
      </w:r>
      <w:r w:rsidRPr="00842AE1">
        <w:rPr>
          <w:rFonts w:ascii="Arial" w:hAnsi="Arial"/>
          <w:i/>
          <w:kern w:val="0"/>
          <w:sz w:val="24"/>
          <w:szCs w:val="24"/>
        </w:rPr>
        <w:t>Telecommunications (Numbering Charges) Act 1997</w:t>
      </w:r>
      <w:r w:rsidRPr="00842AE1">
        <w:rPr>
          <w:rFonts w:ascii="Arial" w:hAnsi="Arial"/>
          <w:kern w:val="0"/>
          <w:sz w:val="24"/>
          <w:szCs w:val="24"/>
        </w:rPr>
        <w:t xml:space="preserve"> instruments</w:t>
      </w:r>
    </w:p>
    <w:p w:rsidR="00842AE1" w:rsidRPr="00993194" w:rsidRDefault="00842AE1" w:rsidP="00842AE1">
      <w:pPr>
        <w:spacing w:before="80" w:after="120" w:line="280" w:lineRule="atLeast"/>
        <w:rPr>
          <w:rFonts w:ascii="Arial" w:hAnsi="Arial" w:cs="Arial"/>
          <w:sz w:val="20"/>
          <w:szCs w:val="20"/>
        </w:rPr>
      </w:pPr>
      <w:r w:rsidRPr="00993194">
        <w:rPr>
          <w:rFonts w:ascii="Arial" w:hAnsi="Arial" w:cs="Arial"/>
          <w:b/>
          <w:sz w:val="20"/>
          <w:szCs w:val="20"/>
        </w:rPr>
        <w:t xml:space="preserve">Section </w:t>
      </w:r>
      <w:r>
        <w:rPr>
          <w:rFonts w:ascii="Arial" w:hAnsi="Arial" w:cs="Arial"/>
          <w:b/>
          <w:sz w:val="20"/>
          <w:szCs w:val="20"/>
        </w:rPr>
        <w:t xml:space="preserve">12 - </w:t>
      </w:r>
      <w:r w:rsidRPr="00842AE1">
        <w:rPr>
          <w:rFonts w:ascii="Arial" w:hAnsi="Arial" w:cs="Arial"/>
          <w:b/>
          <w:sz w:val="20"/>
          <w:szCs w:val="20"/>
        </w:rPr>
        <w:t xml:space="preserve">Revocation of determinations specifying a date under section 18 of the </w:t>
      </w:r>
      <w:r w:rsidR="00EB6EFE" w:rsidRPr="00EB6EFE">
        <w:rPr>
          <w:rFonts w:ascii="Arial" w:hAnsi="Arial" w:cs="Arial"/>
          <w:b/>
          <w:i/>
          <w:sz w:val="20"/>
          <w:szCs w:val="20"/>
        </w:rPr>
        <w:t>Telecommunications (Numbering Charges) Act 1997</w:t>
      </w:r>
    </w:p>
    <w:p w:rsidR="00842AE1" w:rsidRPr="00913509" w:rsidRDefault="00EB6EFE" w:rsidP="00913509">
      <w:pPr>
        <w:spacing w:before="80" w:after="120" w:line="280" w:lineRule="atLeast"/>
        <w:rPr>
          <w:rFonts w:ascii="Arial" w:hAnsi="Arial" w:cs="Arial"/>
          <w:sz w:val="20"/>
          <w:szCs w:val="20"/>
        </w:rPr>
      </w:pPr>
      <w:r>
        <w:rPr>
          <w:rFonts w:ascii="Arial" w:hAnsi="Arial" w:cs="Arial"/>
          <w:sz w:val="20"/>
          <w:szCs w:val="20"/>
        </w:rPr>
        <w:t>Section 1</w:t>
      </w:r>
      <w:r w:rsidR="00AB4165">
        <w:rPr>
          <w:rFonts w:ascii="Arial" w:hAnsi="Arial" w:cs="Arial"/>
          <w:sz w:val="20"/>
          <w:szCs w:val="20"/>
        </w:rPr>
        <w:t>2</w:t>
      </w:r>
      <w:r>
        <w:rPr>
          <w:rFonts w:ascii="Arial" w:hAnsi="Arial" w:cs="Arial"/>
          <w:sz w:val="20"/>
          <w:szCs w:val="20"/>
        </w:rPr>
        <w:t xml:space="preserve"> revokes 3 instruments </w:t>
      </w:r>
      <w:r w:rsidR="000D41F2">
        <w:rPr>
          <w:rFonts w:ascii="Arial" w:hAnsi="Arial" w:cs="Arial"/>
          <w:sz w:val="20"/>
          <w:szCs w:val="20"/>
        </w:rPr>
        <w:t xml:space="preserve">which </w:t>
      </w:r>
      <w:r w:rsidRPr="00EB6EFE">
        <w:rPr>
          <w:rFonts w:ascii="Arial" w:hAnsi="Arial" w:cs="Arial"/>
          <w:sz w:val="20"/>
          <w:szCs w:val="20"/>
        </w:rPr>
        <w:t xml:space="preserve">set out a day in April for </w:t>
      </w:r>
      <w:r w:rsidR="00DA62B7">
        <w:rPr>
          <w:rFonts w:ascii="Arial" w:hAnsi="Arial" w:cs="Arial"/>
          <w:sz w:val="20"/>
          <w:szCs w:val="20"/>
        </w:rPr>
        <w:t xml:space="preserve">calendar </w:t>
      </w:r>
      <w:r w:rsidRPr="00EB6EFE">
        <w:rPr>
          <w:rFonts w:ascii="Arial" w:hAnsi="Arial" w:cs="Arial"/>
          <w:sz w:val="20"/>
          <w:szCs w:val="20"/>
        </w:rPr>
        <w:t xml:space="preserve">years that have now passed.  Carriage service providers required to pay </w:t>
      </w:r>
      <w:r w:rsidR="000D41F2">
        <w:rPr>
          <w:rFonts w:ascii="Arial" w:hAnsi="Arial" w:cs="Arial"/>
          <w:sz w:val="20"/>
          <w:szCs w:val="20"/>
        </w:rPr>
        <w:t xml:space="preserve">a </w:t>
      </w:r>
      <w:r w:rsidRPr="00EB6EFE">
        <w:rPr>
          <w:rFonts w:ascii="Arial" w:hAnsi="Arial" w:cs="Arial"/>
          <w:sz w:val="20"/>
          <w:szCs w:val="20"/>
        </w:rPr>
        <w:t xml:space="preserve">charge </w:t>
      </w:r>
      <w:r>
        <w:rPr>
          <w:rFonts w:ascii="Arial" w:hAnsi="Arial" w:cs="Arial"/>
          <w:sz w:val="20"/>
          <w:szCs w:val="20"/>
        </w:rPr>
        <w:t xml:space="preserve">under the </w:t>
      </w:r>
      <w:r w:rsidRPr="00EB6EFE">
        <w:rPr>
          <w:rFonts w:ascii="Arial" w:hAnsi="Arial" w:cs="Arial"/>
          <w:i/>
          <w:sz w:val="20"/>
          <w:szCs w:val="20"/>
        </w:rPr>
        <w:t>Telecommunications (Numbering Charges) Act 1997</w:t>
      </w:r>
      <w:r>
        <w:rPr>
          <w:rFonts w:ascii="Arial" w:hAnsi="Arial" w:cs="Arial"/>
          <w:sz w:val="20"/>
          <w:szCs w:val="20"/>
        </w:rPr>
        <w:t xml:space="preserve"> by reference to the date set out in the instruments listed in section 1</w:t>
      </w:r>
      <w:r w:rsidR="00080DAB">
        <w:rPr>
          <w:rFonts w:ascii="Arial" w:hAnsi="Arial" w:cs="Arial"/>
          <w:sz w:val="20"/>
          <w:szCs w:val="20"/>
        </w:rPr>
        <w:t>2</w:t>
      </w:r>
      <w:r>
        <w:rPr>
          <w:rFonts w:ascii="Arial" w:hAnsi="Arial" w:cs="Arial"/>
          <w:sz w:val="20"/>
          <w:szCs w:val="20"/>
        </w:rPr>
        <w:t xml:space="preserve"> </w:t>
      </w:r>
      <w:r w:rsidRPr="00EB6EFE">
        <w:rPr>
          <w:rFonts w:ascii="Arial" w:hAnsi="Arial" w:cs="Arial"/>
          <w:sz w:val="20"/>
          <w:szCs w:val="20"/>
        </w:rPr>
        <w:t>would, by now, have paid the charge for numbers allocated and held on the day determined by the ACMA.  The instruments are therefore spent and no longer required</w:t>
      </w:r>
      <w:r w:rsidR="00D4537B">
        <w:rPr>
          <w:rFonts w:ascii="Arial" w:hAnsi="Arial" w:cs="Arial"/>
          <w:sz w:val="20"/>
          <w:szCs w:val="20"/>
        </w:rPr>
        <w:t xml:space="preserve">. </w:t>
      </w:r>
    </w:p>
    <w:p w:rsidR="00842AE1" w:rsidRDefault="00842AE1" w:rsidP="00842AE1">
      <w:pPr>
        <w:rPr>
          <w:lang w:eastAsia="en-US"/>
        </w:rPr>
      </w:pPr>
    </w:p>
    <w:p w:rsidR="00842AE1" w:rsidRPr="00842AE1" w:rsidRDefault="00842AE1" w:rsidP="00842AE1">
      <w:pPr>
        <w:rPr>
          <w:lang w:eastAsia="en-US"/>
        </w:rPr>
      </w:pPr>
    </w:p>
    <w:sectPr w:rsidR="00842AE1" w:rsidRPr="00842AE1" w:rsidSect="004A73DD">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509" w:rsidRDefault="00913509" w:rsidP="00E03567">
      <w:r>
        <w:separator/>
      </w:r>
    </w:p>
  </w:endnote>
  <w:endnote w:type="continuationSeparator" w:id="0">
    <w:p w:rsidR="00913509" w:rsidRDefault="00913509" w:rsidP="00E03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DC46C8">
    <w:pPr>
      <w:pStyle w:val="Footer"/>
      <w:jc w:val="right"/>
    </w:pPr>
    <w:fldSimple w:instr=" PAGE   \* MERGEFORMAT ">
      <w:r w:rsidR="00C31F0D">
        <w:rPr>
          <w:noProof/>
        </w:rPr>
        <w:t>6</w:t>
      </w:r>
    </w:fldSimple>
  </w:p>
  <w:p w:rsidR="00913509" w:rsidRDefault="00913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509" w:rsidRDefault="00913509" w:rsidP="00E03567">
      <w:r>
        <w:separator/>
      </w:r>
    </w:p>
  </w:footnote>
  <w:footnote w:type="continuationSeparator" w:id="0">
    <w:p w:rsidR="00913509" w:rsidRDefault="00913509" w:rsidP="00E035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EBB"/>
    <w:multiLevelType w:val="hybridMultilevel"/>
    <w:tmpl w:val="B2BA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A83B90"/>
    <w:multiLevelType w:val="hybridMultilevel"/>
    <w:tmpl w:val="A55A05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9133CA0"/>
    <w:multiLevelType w:val="hybridMultilevel"/>
    <w:tmpl w:val="13002B62"/>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2C80CB8"/>
    <w:multiLevelType w:val="hybridMultilevel"/>
    <w:tmpl w:val="27E00078"/>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nsid w:val="52DA3A8A"/>
    <w:multiLevelType w:val="hybridMultilevel"/>
    <w:tmpl w:val="FE0E0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F852C4C"/>
    <w:multiLevelType w:val="hybridMultilevel"/>
    <w:tmpl w:val="4D4A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FC2F11"/>
    <w:multiLevelType w:val="hybridMultilevel"/>
    <w:tmpl w:val="6E8088D4"/>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2F3110"/>
    <w:multiLevelType w:val="hybridMultilevel"/>
    <w:tmpl w:val="EDB8696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F8C2BEA"/>
    <w:multiLevelType w:val="hybridMultilevel"/>
    <w:tmpl w:val="22EE4E1C"/>
    <w:lvl w:ilvl="0" w:tplc="9F04DE98">
      <w:numFmt w:val="bullet"/>
      <w:lvlText w:val="-"/>
      <w:lvlJc w:val="left"/>
      <w:pPr>
        <w:tabs>
          <w:tab w:val="num" w:pos="1080"/>
        </w:tabs>
        <w:ind w:left="1080" w:hanging="360"/>
      </w:pPr>
      <w:rPr>
        <w:rFonts w:ascii="Times New Roman" w:eastAsia="Times New Roman" w:hAnsi="Times New Roman"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7D306FF8"/>
    <w:multiLevelType w:val="hybridMultilevel"/>
    <w:tmpl w:val="ADFC07D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2"/>
  </w:num>
  <w:num w:numId="5">
    <w:abstractNumId w:val="1"/>
  </w:num>
  <w:num w:numId="6">
    <w:abstractNumId w:val="6"/>
  </w:num>
  <w:num w:numId="7">
    <w:abstractNumId w:val="3"/>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characterSpacingControl w:val="doNotCompress"/>
  <w:footnotePr>
    <w:footnote w:id="-1"/>
    <w:footnote w:id="0"/>
  </w:footnotePr>
  <w:endnotePr>
    <w:endnote w:id="-1"/>
    <w:endnote w:id="0"/>
  </w:endnotePr>
  <w:compat/>
  <w:rsids>
    <w:rsidRoot w:val="009E02FF"/>
    <w:rsid w:val="0000050F"/>
    <w:rsid w:val="0000719A"/>
    <w:rsid w:val="00007C70"/>
    <w:rsid w:val="00013B19"/>
    <w:rsid w:val="00014FC8"/>
    <w:rsid w:val="000252DB"/>
    <w:rsid w:val="00031668"/>
    <w:rsid w:val="00033527"/>
    <w:rsid w:val="0003400B"/>
    <w:rsid w:val="00036494"/>
    <w:rsid w:val="00042E79"/>
    <w:rsid w:val="00044248"/>
    <w:rsid w:val="00061D3E"/>
    <w:rsid w:val="00073EA7"/>
    <w:rsid w:val="0007738C"/>
    <w:rsid w:val="00080493"/>
    <w:rsid w:val="00080DAB"/>
    <w:rsid w:val="000833D4"/>
    <w:rsid w:val="0008429A"/>
    <w:rsid w:val="00084C59"/>
    <w:rsid w:val="00091887"/>
    <w:rsid w:val="00092C4C"/>
    <w:rsid w:val="00093662"/>
    <w:rsid w:val="00095524"/>
    <w:rsid w:val="00097C68"/>
    <w:rsid w:val="000A0B9F"/>
    <w:rsid w:val="000A0E46"/>
    <w:rsid w:val="000A19BA"/>
    <w:rsid w:val="000A2D2D"/>
    <w:rsid w:val="000A7A43"/>
    <w:rsid w:val="000B1596"/>
    <w:rsid w:val="000B39A4"/>
    <w:rsid w:val="000C17A1"/>
    <w:rsid w:val="000D08AE"/>
    <w:rsid w:val="000D41F2"/>
    <w:rsid w:val="000D4D1A"/>
    <w:rsid w:val="000E43B8"/>
    <w:rsid w:val="000F27BB"/>
    <w:rsid w:val="000F4255"/>
    <w:rsid w:val="000F5B0D"/>
    <w:rsid w:val="000F70BF"/>
    <w:rsid w:val="00102911"/>
    <w:rsid w:val="00103E1E"/>
    <w:rsid w:val="00106E24"/>
    <w:rsid w:val="00110D52"/>
    <w:rsid w:val="00120CE6"/>
    <w:rsid w:val="0012797D"/>
    <w:rsid w:val="00131D4A"/>
    <w:rsid w:val="0013489D"/>
    <w:rsid w:val="00135806"/>
    <w:rsid w:val="00135927"/>
    <w:rsid w:val="001408C3"/>
    <w:rsid w:val="001412ED"/>
    <w:rsid w:val="00142295"/>
    <w:rsid w:val="001451F6"/>
    <w:rsid w:val="001452BA"/>
    <w:rsid w:val="00146920"/>
    <w:rsid w:val="00151C30"/>
    <w:rsid w:val="00154CEA"/>
    <w:rsid w:val="00156DA5"/>
    <w:rsid w:val="001645B0"/>
    <w:rsid w:val="00170D39"/>
    <w:rsid w:val="001816A8"/>
    <w:rsid w:val="00184D60"/>
    <w:rsid w:val="001931C4"/>
    <w:rsid w:val="00193CE2"/>
    <w:rsid w:val="00194102"/>
    <w:rsid w:val="001A6AC1"/>
    <w:rsid w:val="001B36B5"/>
    <w:rsid w:val="001B7853"/>
    <w:rsid w:val="001C0D7D"/>
    <w:rsid w:val="001C210D"/>
    <w:rsid w:val="001D35E0"/>
    <w:rsid w:val="001D5305"/>
    <w:rsid w:val="001D7008"/>
    <w:rsid w:val="001E3471"/>
    <w:rsid w:val="001F079C"/>
    <w:rsid w:val="001F4899"/>
    <w:rsid w:val="00201ED4"/>
    <w:rsid w:val="002045DA"/>
    <w:rsid w:val="00205521"/>
    <w:rsid w:val="00211480"/>
    <w:rsid w:val="002151F1"/>
    <w:rsid w:val="002223E6"/>
    <w:rsid w:val="002253A9"/>
    <w:rsid w:val="00241E58"/>
    <w:rsid w:val="002446B8"/>
    <w:rsid w:val="002506FD"/>
    <w:rsid w:val="00257A39"/>
    <w:rsid w:val="002641E3"/>
    <w:rsid w:val="002649BC"/>
    <w:rsid w:val="00274EBE"/>
    <w:rsid w:val="00275275"/>
    <w:rsid w:val="00275289"/>
    <w:rsid w:val="002773CC"/>
    <w:rsid w:val="0029071F"/>
    <w:rsid w:val="0029344A"/>
    <w:rsid w:val="002A23F6"/>
    <w:rsid w:val="002A26CC"/>
    <w:rsid w:val="002A39BD"/>
    <w:rsid w:val="002A5EBD"/>
    <w:rsid w:val="002A6597"/>
    <w:rsid w:val="002A65D3"/>
    <w:rsid w:val="002B5F65"/>
    <w:rsid w:val="002C5429"/>
    <w:rsid w:val="002C72B7"/>
    <w:rsid w:val="002C74D1"/>
    <w:rsid w:val="002C7672"/>
    <w:rsid w:val="002D0EE5"/>
    <w:rsid w:val="002D1937"/>
    <w:rsid w:val="002D1E92"/>
    <w:rsid w:val="002D288E"/>
    <w:rsid w:val="002D6C1C"/>
    <w:rsid w:val="002F1101"/>
    <w:rsid w:val="00310651"/>
    <w:rsid w:val="00313481"/>
    <w:rsid w:val="003145AE"/>
    <w:rsid w:val="00315A5D"/>
    <w:rsid w:val="003206D6"/>
    <w:rsid w:val="00323763"/>
    <w:rsid w:val="00324423"/>
    <w:rsid w:val="00333FD4"/>
    <w:rsid w:val="003340DE"/>
    <w:rsid w:val="0033645F"/>
    <w:rsid w:val="003414FA"/>
    <w:rsid w:val="00344C1B"/>
    <w:rsid w:val="0034523F"/>
    <w:rsid w:val="00345FBC"/>
    <w:rsid w:val="003509F5"/>
    <w:rsid w:val="00355AF7"/>
    <w:rsid w:val="003571C5"/>
    <w:rsid w:val="00360FCB"/>
    <w:rsid w:val="003634E8"/>
    <w:rsid w:val="00364D35"/>
    <w:rsid w:val="0036783C"/>
    <w:rsid w:val="003732EE"/>
    <w:rsid w:val="003806A5"/>
    <w:rsid w:val="0038406E"/>
    <w:rsid w:val="0038530B"/>
    <w:rsid w:val="0039398B"/>
    <w:rsid w:val="003A13EB"/>
    <w:rsid w:val="003A358C"/>
    <w:rsid w:val="003B0859"/>
    <w:rsid w:val="003C26FD"/>
    <w:rsid w:val="003C4F88"/>
    <w:rsid w:val="003C77BE"/>
    <w:rsid w:val="003D17BD"/>
    <w:rsid w:val="003D54FD"/>
    <w:rsid w:val="003D6A4D"/>
    <w:rsid w:val="003D7B28"/>
    <w:rsid w:val="003F160E"/>
    <w:rsid w:val="003F7FBC"/>
    <w:rsid w:val="00400974"/>
    <w:rsid w:val="004021B6"/>
    <w:rsid w:val="00402512"/>
    <w:rsid w:val="00407145"/>
    <w:rsid w:val="0041373F"/>
    <w:rsid w:val="00414E92"/>
    <w:rsid w:val="0042285C"/>
    <w:rsid w:val="00425384"/>
    <w:rsid w:val="00426548"/>
    <w:rsid w:val="00427AD3"/>
    <w:rsid w:val="00436874"/>
    <w:rsid w:val="004377B8"/>
    <w:rsid w:val="004379D1"/>
    <w:rsid w:val="00440E62"/>
    <w:rsid w:val="00452D85"/>
    <w:rsid w:val="004573F2"/>
    <w:rsid w:val="004578CE"/>
    <w:rsid w:val="004600B6"/>
    <w:rsid w:val="004634E9"/>
    <w:rsid w:val="004745BF"/>
    <w:rsid w:val="00476BF4"/>
    <w:rsid w:val="00482E35"/>
    <w:rsid w:val="004836AB"/>
    <w:rsid w:val="00490125"/>
    <w:rsid w:val="00490C58"/>
    <w:rsid w:val="00493CB2"/>
    <w:rsid w:val="00495648"/>
    <w:rsid w:val="004A09FD"/>
    <w:rsid w:val="004A2233"/>
    <w:rsid w:val="004A7318"/>
    <w:rsid w:val="004A73DD"/>
    <w:rsid w:val="004B14E0"/>
    <w:rsid w:val="004C0ADD"/>
    <w:rsid w:val="004C0E21"/>
    <w:rsid w:val="004C255E"/>
    <w:rsid w:val="004D2F95"/>
    <w:rsid w:val="004D6255"/>
    <w:rsid w:val="004D79F9"/>
    <w:rsid w:val="004E65B1"/>
    <w:rsid w:val="004F2146"/>
    <w:rsid w:val="004F426E"/>
    <w:rsid w:val="0050579B"/>
    <w:rsid w:val="00506F24"/>
    <w:rsid w:val="005110BE"/>
    <w:rsid w:val="0051241C"/>
    <w:rsid w:val="00513317"/>
    <w:rsid w:val="00517D63"/>
    <w:rsid w:val="0052044F"/>
    <w:rsid w:val="00521BC6"/>
    <w:rsid w:val="00522673"/>
    <w:rsid w:val="00532AF0"/>
    <w:rsid w:val="00541A3C"/>
    <w:rsid w:val="00550045"/>
    <w:rsid w:val="005525E0"/>
    <w:rsid w:val="00553720"/>
    <w:rsid w:val="0055575E"/>
    <w:rsid w:val="00556A5F"/>
    <w:rsid w:val="005635F4"/>
    <w:rsid w:val="005646BB"/>
    <w:rsid w:val="00571263"/>
    <w:rsid w:val="005743AE"/>
    <w:rsid w:val="005804E1"/>
    <w:rsid w:val="00586DE7"/>
    <w:rsid w:val="00593FFF"/>
    <w:rsid w:val="005A1346"/>
    <w:rsid w:val="005A60BC"/>
    <w:rsid w:val="005A6961"/>
    <w:rsid w:val="005B5C55"/>
    <w:rsid w:val="005B75FE"/>
    <w:rsid w:val="005C1275"/>
    <w:rsid w:val="005C3FB2"/>
    <w:rsid w:val="005D0A63"/>
    <w:rsid w:val="005D63F9"/>
    <w:rsid w:val="005D6CD7"/>
    <w:rsid w:val="005E228F"/>
    <w:rsid w:val="005E3A1B"/>
    <w:rsid w:val="005E5D80"/>
    <w:rsid w:val="00601911"/>
    <w:rsid w:val="00603668"/>
    <w:rsid w:val="00605414"/>
    <w:rsid w:val="006130A2"/>
    <w:rsid w:val="006224D9"/>
    <w:rsid w:val="00627C35"/>
    <w:rsid w:val="0063014A"/>
    <w:rsid w:val="00640898"/>
    <w:rsid w:val="0064245E"/>
    <w:rsid w:val="006437E6"/>
    <w:rsid w:val="00645E9D"/>
    <w:rsid w:val="00646BAE"/>
    <w:rsid w:val="006562FE"/>
    <w:rsid w:val="006578AB"/>
    <w:rsid w:val="00663587"/>
    <w:rsid w:val="00673BBB"/>
    <w:rsid w:val="006745A6"/>
    <w:rsid w:val="00680928"/>
    <w:rsid w:val="006809E5"/>
    <w:rsid w:val="006847F6"/>
    <w:rsid w:val="00685713"/>
    <w:rsid w:val="006A6A71"/>
    <w:rsid w:val="006A6B9A"/>
    <w:rsid w:val="006B596F"/>
    <w:rsid w:val="006C1AE0"/>
    <w:rsid w:val="006C1BBD"/>
    <w:rsid w:val="006C6500"/>
    <w:rsid w:val="006D0E6D"/>
    <w:rsid w:val="006D1BAB"/>
    <w:rsid w:val="006E2092"/>
    <w:rsid w:val="006E3397"/>
    <w:rsid w:val="006E5E51"/>
    <w:rsid w:val="006F27DE"/>
    <w:rsid w:val="006F5237"/>
    <w:rsid w:val="006F7478"/>
    <w:rsid w:val="007077F7"/>
    <w:rsid w:val="00710159"/>
    <w:rsid w:val="00710B93"/>
    <w:rsid w:val="0071190A"/>
    <w:rsid w:val="00715191"/>
    <w:rsid w:val="007449BD"/>
    <w:rsid w:val="007468EA"/>
    <w:rsid w:val="007556DF"/>
    <w:rsid w:val="00770949"/>
    <w:rsid w:val="00780616"/>
    <w:rsid w:val="00780D43"/>
    <w:rsid w:val="0078369A"/>
    <w:rsid w:val="007871F0"/>
    <w:rsid w:val="0079118F"/>
    <w:rsid w:val="007917C4"/>
    <w:rsid w:val="007932A2"/>
    <w:rsid w:val="00797838"/>
    <w:rsid w:val="00797B7A"/>
    <w:rsid w:val="007A5678"/>
    <w:rsid w:val="007B4CDB"/>
    <w:rsid w:val="007B50F5"/>
    <w:rsid w:val="007C0A20"/>
    <w:rsid w:val="007C1A70"/>
    <w:rsid w:val="007C23AD"/>
    <w:rsid w:val="007C3063"/>
    <w:rsid w:val="007C7662"/>
    <w:rsid w:val="007D0429"/>
    <w:rsid w:val="007D2A65"/>
    <w:rsid w:val="007D508A"/>
    <w:rsid w:val="007E0A94"/>
    <w:rsid w:val="007E13CC"/>
    <w:rsid w:val="007F46C1"/>
    <w:rsid w:val="007F63AB"/>
    <w:rsid w:val="00803B06"/>
    <w:rsid w:val="008062E5"/>
    <w:rsid w:val="00806EA0"/>
    <w:rsid w:val="00814D11"/>
    <w:rsid w:val="00815926"/>
    <w:rsid w:val="00822D41"/>
    <w:rsid w:val="00825443"/>
    <w:rsid w:val="00826933"/>
    <w:rsid w:val="00833595"/>
    <w:rsid w:val="00836C45"/>
    <w:rsid w:val="00842AE1"/>
    <w:rsid w:val="00844D31"/>
    <w:rsid w:val="008532AA"/>
    <w:rsid w:val="00854FF8"/>
    <w:rsid w:val="008571FE"/>
    <w:rsid w:val="00861003"/>
    <w:rsid w:val="00861FE9"/>
    <w:rsid w:val="00862CB6"/>
    <w:rsid w:val="00863BAD"/>
    <w:rsid w:val="00863F39"/>
    <w:rsid w:val="00873B3A"/>
    <w:rsid w:val="008774DE"/>
    <w:rsid w:val="0089559E"/>
    <w:rsid w:val="008A09EC"/>
    <w:rsid w:val="008A3F33"/>
    <w:rsid w:val="008B5345"/>
    <w:rsid w:val="008B5FE2"/>
    <w:rsid w:val="008B6B93"/>
    <w:rsid w:val="008B6CCF"/>
    <w:rsid w:val="008C61E3"/>
    <w:rsid w:val="008D3064"/>
    <w:rsid w:val="008D7451"/>
    <w:rsid w:val="00901E34"/>
    <w:rsid w:val="00901E38"/>
    <w:rsid w:val="00905BE0"/>
    <w:rsid w:val="00913509"/>
    <w:rsid w:val="0091515A"/>
    <w:rsid w:val="0091611C"/>
    <w:rsid w:val="00916D42"/>
    <w:rsid w:val="00920095"/>
    <w:rsid w:val="0093595E"/>
    <w:rsid w:val="00940CF3"/>
    <w:rsid w:val="00942429"/>
    <w:rsid w:val="0094350A"/>
    <w:rsid w:val="009451DF"/>
    <w:rsid w:val="0095018C"/>
    <w:rsid w:val="00952F2C"/>
    <w:rsid w:val="00960C8E"/>
    <w:rsid w:val="0096232E"/>
    <w:rsid w:val="00965297"/>
    <w:rsid w:val="00975961"/>
    <w:rsid w:val="00976823"/>
    <w:rsid w:val="00981DBF"/>
    <w:rsid w:val="00993194"/>
    <w:rsid w:val="00993667"/>
    <w:rsid w:val="009A065D"/>
    <w:rsid w:val="009B3215"/>
    <w:rsid w:val="009B3AC7"/>
    <w:rsid w:val="009B4BB9"/>
    <w:rsid w:val="009B4F60"/>
    <w:rsid w:val="009B755A"/>
    <w:rsid w:val="009B7649"/>
    <w:rsid w:val="009C4E89"/>
    <w:rsid w:val="009C6BB3"/>
    <w:rsid w:val="009C7B71"/>
    <w:rsid w:val="009D58B4"/>
    <w:rsid w:val="009D591D"/>
    <w:rsid w:val="009E02FF"/>
    <w:rsid w:val="009E1EAC"/>
    <w:rsid w:val="009E7A9B"/>
    <w:rsid w:val="009F5ADB"/>
    <w:rsid w:val="00A023FA"/>
    <w:rsid w:val="00A02532"/>
    <w:rsid w:val="00A10095"/>
    <w:rsid w:val="00A10115"/>
    <w:rsid w:val="00A216DF"/>
    <w:rsid w:val="00A22F9E"/>
    <w:rsid w:val="00A23B6F"/>
    <w:rsid w:val="00A33379"/>
    <w:rsid w:val="00A340A1"/>
    <w:rsid w:val="00A347E8"/>
    <w:rsid w:val="00A37125"/>
    <w:rsid w:val="00A47F7E"/>
    <w:rsid w:val="00A51FDD"/>
    <w:rsid w:val="00A60370"/>
    <w:rsid w:val="00A75620"/>
    <w:rsid w:val="00A77EDE"/>
    <w:rsid w:val="00A81B05"/>
    <w:rsid w:val="00A822FF"/>
    <w:rsid w:val="00A853DE"/>
    <w:rsid w:val="00A9265B"/>
    <w:rsid w:val="00A96A57"/>
    <w:rsid w:val="00A96E73"/>
    <w:rsid w:val="00A9781D"/>
    <w:rsid w:val="00AB4165"/>
    <w:rsid w:val="00AC1FA6"/>
    <w:rsid w:val="00AD048D"/>
    <w:rsid w:val="00AD2C12"/>
    <w:rsid w:val="00AD6245"/>
    <w:rsid w:val="00AE1B0B"/>
    <w:rsid w:val="00AE4BE1"/>
    <w:rsid w:val="00AE5479"/>
    <w:rsid w:val="00AF37D2"/>
    <w:rsid w:val="00AF5EA2"/>
    <w:rsid w:val="00AF7B00"/>
    <w:rsid w:val="00B00AF1"/>
    <w:rsid w:val="00B04DE4"/>
    <w:rsid w:val="00B20692"/>
    <w:rsid w:val="00B2371F"/>
    <w:rsid w:val="00B314D7"/>
    <w:rsid w:val="00B37F85"/>
    <w:rsid w:val="00B41F86"/>
    <w:rsid w:val="00B45DF1"/>
    <w:rsid w:val="00B520F8"/>
    <w:rsid w:val="00B524F2"/>
    <w:rsid w:val="00B577F3"/>
    <w:rsid w:val="00B62765"/>
    <w:rsid w:val="00B669C6"/>
    <w:rsid w:val="00B67C73"/>
    <w:rsid w:val="00B73843"/>
    <w:rsid w:val="00B75688"/>
    <w:rsid w:val="00B76D16"/>
    <w:rsid w:val="00B777D4"/>
    <w:rsid w:val="00B87799"/>
    <w:rsid w:val="00B9030E"/>
    <w:rsid w:val="00B94A1C"/>
    <w:rsid w:val="00BA29CE"/>
    <w:rsid w:val="00BA6EC5"/>
    <w:rsid w:val="00BB3EAB"/>
    <w:rsid w:val="00BB62E5"/>
    <w:rsid w:val="00BB6E91"/>
    <w:rsid w:val="00BB781F"/>
    <w:rsid w:val="00BC4B16"/>
    <w:rsid w:val="00BE1FAB"/>
    <w:rsid w:val="00BE45AE"/>
    <w:rsid w:val="00BE6263"/>
    <w:rsid w:val="00BF3328"/>
    <w:rsid w:val="00BF67BB"/>
    <w:rsid w:val="00C0493B"/>
    <w:rsid w:val="00C05C47"/>
    <w:rsid w:val="00C10780"/>
    <w:rsid w:val="00C13ACE"/>
    <w:rsid w:val="00C14CA8"/>
    <w:rsid w:val="00C16165"/>
    <w:rsid w:val="00C204D9"/>
    <w:rsid w:val="00C2187E"/>
    <w:rsid w:val="00C23509"/>
    <w:rsid w:val="00C239B5"/>
    <w:rsid w:val="00C31F0D"/>
    <w:rsid w:val="00C37878"/>
    <w:rsid w:val="00C41C16"/>
    <w:rsid w:val="00C41EBB"/>
    <w:rsid w:val="00C4288C"/>
    <w:rsid w:val="00C44992"/>
    <w:rsid w:val="00C46FCD"/>
    <w:rsid w:val="00C5448A"/>
    <w:rsid w:val="00C6020B"/>
    <w:rsid w:val="00C64B59"/>
    <w:rsid w:val="00C676F7"/>
    <w:rsid w:val="00C76A0D"/>
    <w:rsid w:val="00C83E8F"/>
    <w:rsid w:val="00C8622A"/>
    <w:rsid w:val="00C86414"/>
    <w:rsid w:val="00C93296"/>
    <w:rsid w:val="00CB3B33"/>
    <w:rsid w:val="00CC0D23"/>
    <w:rsid w:val="00CD1376"/>
    <w:rsid w:val="00CD1CDA"/>
    <w:rsid w:val="00CD6B43"/>
    <w:rsid w:val="00CE5429"/>
    <w:rsid w:val="00CF6AA7"/>
    <w:rsid w:val="00D126A8"/>
    <w:rsid w:val="00D135AE"/>
    <w:rsid w:val="00D22066"/>
    <w:rsid w:val="00D22306"/>
    <w:rsid w:val="00D2336B"/>
    <w:rsid w:val="00D337AD"/>
    <w:rsid w:val="00D40028"/>
    <w:rsid w:val="00D4166A"/>
    <w:rsid w:val="00D4537B"/>
    <w:rsid w:val="00D4621B"/>
    <w:rsid w:val="00D50E39"/>
    <w:rsid w:val="00D52441"/>
    <w:rsid w:val="00D52D7E"/>
    <w:rsid w:val="00D5762F"/>
    <w:rsid w:val="00D612D8"/>
    <w:rsid w:val="00D66011"/>
    <w:rsid w:val="00D66706"/>
    <w:rsid w:val="00D72661"/>
    <w:rsid w:val="00D73E29"/>
    <w:rsid w:val="00D75685"/>
    <w:rsid w:val="00D76E65"/>
    <w:rsid w:val="00D80B46"/>
    <w:rsid w:val="00D83E02"/>
    <w:rsid w:val="00D84870"/>
    <w:rsid w:val="00DA12BA"/>
    <w:rsid w:val="00DA4545"/>
    <w:rsid w:val="00DA62B7"/>
    <w:rsid w:val="00DB4BF7"/>
    <w:rsid w:val="00DC42A2"/>
    <w:rsid w:val="00DC46C8"/>
    <w:rsid w:val="00DC6002"/>
    <w:rsid w:val="00DD1339"/>
    <w:rsid w:val="00DD4A5E"/>
    <w:rsid w:val="00DD7671"/>
    <w:rsid w:val="00DE5E89"/>
    <w:rsid w:val="00DF6CFD"/>
    <w:rsid w:val="00E03567"/>
    <w:rsid w:val="00E10A07"/>
    <w:rsid w:val="00E12476"/>
    <w:rsid w:val="00E13F4A"/>
    <w:rsid w:val="00E21400"/>
    <w:rsid w:val="00E23047"/>
    <w:rsid w:val="00E2497F"/>
    <w:rsid w:val="00E24990"/>
    <w:rsid w:val="00E4144F"/>
    <w:rsid w:val="00E41707"/>
    <w:rsid w:val="00E453AF"/>
    <w:rsid w:val="00E45D66"/>
    <w:rsid w:val="00E4790B"/>
    <w:rsid w:val="00E52703"/>
    <w:rsid w:val="00E5589C"/>
    <w:rsid w:val="00E558DB"/>
    <w:rsid w:val="00E56152"/>
    <w:rsid w:val="00E56F07"/>
    <w:rsid w:val="00E651C9"/>
    <w:rsid w:val="00E73589"/>
    <w:rsid w:val="00E73767"/>
    <w:rsid w:val="00E74CDA"/>
    <w:rsid w:val="00E761C8"/>
    <w:rsid w:val="00E76527"/>
    <w:rsid w:val="00E83ACC"/>
    <w:rsid w:val="00E84667"/>
    <w:rsid w:val="00E84E96"/>
    <w:rsid w:val="00E96675"/>
    <w:rsid w:val="00E96C65"/>
    <w:rsid w:val="00EA1C8E"/>
    <w:rsid w:val="00EA74E0"/>
    <w:rsid w:val="00EB37A2"/>
    <w:rsid w:val="00EB4C5A"/>
    <w:rsid w:val="00EB6EFE"/>
    <w:rsid w:val="00EB7ADB"/>
    <w:rsid w:val="00EC1D90"/>
    <w:rsid w:val="00EC4B55"/>
    <w:rsid w:val="00EC6AF4"/>
    <w:rsid w:val="00ED006E"/>
    <w:rsid w:val="00ED63C7"/>
    <w:rsid w:val="00ED6C9C"/>
    <w:rsid w:val="00EE345F"/>
    <w:rsid w:val="00EE5718"/>
    <w:rsid w:val="00EE708C"/>
    <w:rsid w:val="00EF2E80"/>
    <w:rsid w:val="00EF6A64"/>
    <w:rsid w:val="00F06405"/>
    <w:rsid w:val="00F15598"/>
    <w:rsid w:val="00F15CAD"/>
    <w:rsid w:val="00F167EE"/>
    <w:rsid w:val="00F2522B"/>
    <w:rsid w:val="00F26EEE"/>
    <w:rsid w:val="00F3033C"/>
    <w:rsid w:val="00F30C45"/>
    <w:rsid w:val="00F318F7"/>
    <w:rsid w:val="00F41498"/>
    <w:rsid w:val="00F453E6"/>
    <w:rsid w:val="00F50DA5"/>
    <w:rsid w:val="00F5448A"/>
    <w:rsid w:val="00F6511D"/>
    <w:rsid w:val="00F72097"/>
    <w:rsid w:val="00F72A5B"/>
    <w:rsid w:val="00F72C9B"/>
    <w:rsid w:val="00F72F71"/>
    <w:rsid w:val="00F73304"/>
    <w:rsid w:val="00F743A4"/>
    <w:rsid w:val="00F81E6B"/>
    <w:rsid w:val="00F85454"/>
    <w:rsid w:val="00F93D32"/>
    <w:rsid w:val="00FA0C10"/>
    <w:rsid w:val="00FA1AE8"/>
    <w:rsid w:val="00FA5852"/>
    <w:rsid w:val="00FA71AF"/>
    <w:rsid w:val="00FA7556"/>
    <w:rsid w:val="00FB489A"/>
    <w:rsid w:val="00FC311F"/>
    <w:rsid w:val="00FD001F"/>
    <w:rsid w:val="00FD4084"/>
    <w:rsid w:val="00FE018B"/>
    <w:rsid w:val="00FF0CD6"/>
    <w:rsid w:val="00FF22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DD"/>
    <w:rPr>
      <w:sz w:val="24"/>
      <w:szCs w:val="24"/>
    </w:rPr>
  </w:style>
  <w:style w:type="paragraph" w:styleId="Heading1">
    <w:name w:val="heading 1"/>
    <w:basedOn w:val="Normal"/>
    <w:next w:val="Normal"/>
    <w:link w:val="Heading1Char"/>
    <w:uiPriority w:val="9"/>
    <w:qFormat/>
    <w:locked/>
    <w:rsid w:val="005B5C55"/>
    <w:pPr>
      <w:keepNext/>
      <w:spacing w:before="240" w:after="60" w:line="276" w:lineRule="auto"/>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24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AA7"/>
    <w:rPr>
      <w:rFonts w:cs="Times New Roman"/>
      <w:sz w:val="2"/>
    </w:rPr>
  </w:style>
  <w:style w:type="character" w:styleId="CommentReference">
    <w:name w:val="annotation reference"/>
    <w:basedOn w:val="DefaultParagraphFont"/>
    <w:uiPriority w:val="99"/>
    <w:rsid w:val="00E2497F"/>
    <w:rPr>
      <w:rFonts w:cs="Times New Roman"/>
      <w:sz w:val="16"/>
      <w:szCs w:val="16"/>
    </w:rPr>
  </w:style>
  <w:style w:type="paragraph" w:styleId="CommentText">
    <w:name w:val="annotation text"/>
    <w:basedOn w:val="Normal"/>
    <w:link w:val="CommentTextChar"/>
    <w:uiPriority w:val="99"/>
    <w:rsid w:val="00E2497F"/>
    <w:rPr>
      <w:sz w:val="20"/>
      <w:szCs w:val="20"/>
    </w:rPr>
  </w:style>
  <w:style w:type="character" w:customStyle="1" w:styleId="CommentTextChar">
    <w:name w:val="Comment Text Char"/>
    <w:basedOn w:val="DefaultParagraphFont"/>
    <w:link w:val="CommentText"/>
    <w:uiPriority w:val="99"/>
    <w:locked/>
    <w:rsid w:val="00E2497F"/>
    <w:rPr>
      <w:rFonts w:cs="Times New Roman"/>
    </w:rPr>
  </w:style>
  <w:style w:type="paragraph" w:styleId="CommentSubject">
    <w:name w:val="annotation subject"/>
    <w:basedOn w:val="CommentText"/>
    <w:next w:val="CommentText"/>
    <w:link w:val="CommentSubjectChar"/>
    <w:uiPriority w:val="99"/>
    <w:rsid w:val="00E2497F"/>
    <w:rPr>
      <w:b/>
      <w:bCs/>
    </w:rPr>
  </w:style>
  <w:style w:type="character" w:customStyle="1" w:styleId="CommentSubjectChar">
    <w:name w:val="Comment Subject Char"/>
    <w:basedOn w:val="CommentTextChar"/>
    <w:link w:val="CommentSubject"/>
    <w:uiPriority w:val="99"/>
    <w:locked/>
    <w:rsid w:val="00E2497F"/>
    <w:rPr>
      <w:b/>
      <w:bCs/>
    </w:rPr>
  </w:style>
  <w:style w:type="paragraph" w:styleId="Revision">
    <w:name w:val="Revision"/>
    <w:hidden/>
    <w:uiPriority w:val="99"/>
    <w:semiHidden/>
    <w:rsid w:val="00D22306"/>
    <w:rPr>
      <w:sz w:val="24"/>
      <w:szCs w:val="24"/>
    </w:rPr>
  </w:style>
  <w:style w:type="paragraph" w:styleId="FootnoteText">
    <w:name w:val="footnote text"/>
    <w:basedOn w:val="Normal"/>
    <w:link w:val="FootnoteTextChar"/>
    <w:uiPriority w:val="99"/>
    <w:semiHidden/>
    <w:unhideWhenUsed/>
    <w:rsid w:val="00E03567"/>
    <w:rPr>
      <w:sz w:val="20"/>
      <w:szCs w:val="20"/>
    </w:rPr>
  </w:style>
  <w:style w:type="character" w:customStyle="1" w:styleId="FootnoteTextChar">
    <w:name w:val="Footnote Text Char"/>
    <w:basedOn w:val="DefaultParagraphFont"/>
    <w:link w:val="FootnoteText"/>
    <w:uiPriority w:val="99"/>
    <w:semiHidden/>
    <w:rsid w:val="00E03567"/>
    <w:rPr>
      <w:sz w:val="20"/>
      <w:szCs w:val="20"/>
    </w:rPr>
  </w:style>
  <w:style w:type="character" w:styleId="FootnoteReference">
    <w:name w:val="footnote reference"/>
    <w:basedOn w:val="DefaultParagraphFont"/>
    <w:uiPriority w:val="99"/>
    <w:semiHidden/>
    <w:unhideWhenUsed/>
    <w:rsid w:val="00E03567"/>
    <w:rPr>
      <w:vertAlign w:val="superscript"/>
    </w:rPr>
  </w:style>
  <w:style w:type="character" w:customStyle="1" w:styleId="Heading1Char">
    <w:name w:val="Heading 1 Char"/>
    <w:basedOn w:val="DefaultParagraphFont"/>
    <w:link w:val="Heading1"/>
    <w:uiPriority w:val="9"/>
    <w:rsid w:val="005B5C55"/>
    <w:rPr>
      <w:rFonts w:ascii="Cambria" w:hAnsi="Cambria"/>
      <w:b/>
      <w:bCs/>
      <w:kern w:val="32"/>
      <w:sz w:val="32"/>
      <w:szCs w:val="32"/>
      <w:lang w:eastAsia="en-US"/>
    </w:rPr>
  </w:style>
  <w:style w:type="paragraph" w:customStyle="1" w:styleId="ACMABodyText">
    <w:name w:val="ACMA Body Text"/>
    <w:link w:val="ACMABodyTextChar1"/>
    <w:uiPriority w:val="99"/>
    <w:rsid w:val="00825443"/>
    <w:pPr>
      <w:suppressAutoHyphens/>
      <w:spacing w:before="80" w:after="120" w:line="280" w:lineRule="atLeast"/>
    </w:pPr>
    <w:rPr>
      <w:snapToGrid w:val="0"/>
      <w:sz w:val="24"/>
      <w:lang w:eastAsia="en-US"/>
    </w:rPr>
  </w:style>
  <w:style w:type="paragraph" w:customStyle="1" w:styleId="ACMAHeading3">
    <w:name w:val="ACMA Heading 3"/>
    <w:next w:val="ACMABodyText"/>
    <w:rsid w:val="00825443"/>
    <w:pPr>
      <w:keepNext/>
      <w:suppressAutoHyphens/>
      <w:spacing w:before="240"/>
      <w:outlineLvl w:val="3"/>
    </w:pPr>
    <w:rPr>
      <w:rFonts w:ascii="Arial" w:hAnsi="Arial"/>
      <w:b/>
      <w:sz w:val="24"/>
      <w:lang w:val="en-US" w:eastAsia="en-US"/>
    </w:rPr>
  </w:style>
  <w:style w:type="character" w:customStyle="1" w:styleId="ACMABodyTextChar1">
    <w:name w:val="ACMA Body Text Char1"/>
    <w:basedOn w:val="DefaultParagraphFont"/>
    <w:link w:val="ACMABodyText"/>
    <w:uiPriority w:val="99"/>
    <w:rsid w:val="00825443"/>
    <w:rPr>
      <w:snapToGrid w:val="0"/>
      <w:sz w:val="24"/>
      <w:lang w:val="en-AU" w:eastAsia="en-US" w:bidi="ar-SA"/>
    </w:rPr>
  </w:style>
  <w:style w:type="paragraph" w:styleId="Header">
    <w:name w:val="header"/>
    <w:basedOn w:val="Normal"/>
    <w:link w:val="HeaderChar"/>
    <w:uiPriority w:val="99"/>
    <w:semiHidden/>
    <w:unhideWhenUsed/>
    <w:rsid w:val="003B0859"/>
    <w:pPr>
      <w:tabs>
        <w:tab w:val="center" w:pos="4513"/>
        <w:tab w:val="right" w:pos="9026"/>
      </w:tabs>
    </w:pPr>
  </w:style>
  <w:style w:type="character" w:customStyle="1" w:styleId="HeaderChar">
    <w:name w:val="Header Char"/>
    <w:basedOn w:val="DefaultParagraphFont"/>
    <w:link w:val="Header"/>
    <w:uiPriority w:val="99"/>
    <w:semiHidden/>
    <w:rsid w:val="003B0859"/>
    <w:rPr>
      <w:sz w:val="24"/>
      <w:szCs w:val="24"/>
    </w:rPr>
  </w:style>
  <w:style w:type="paragraph" w:styleId="Footer">
    <w:name w:val="footer"/>
    <w:basedOn w:val="Normal"/>
    <w:link w:val="FooterChar"/>
    <w:uiPriority w:val="99"/>
    <w:unhideWhenUsed/>
    <w:rsid w:val="003B0859"/>
    <w:pPr>
      <w:tabs>
        <w:tab w:val="center" w:pos="4513"/>
        <w:tab w:val="right" w:pos="9026"/>
      </w:tabs>
    </w:pPr>
  </w:style>
  <w:style w:type="character" w:customStyle="1" w:styleId="FooterChar">
    <w:name w:val="Footer Char"/>
    <w:basedOn w:val="DefaultParagraphFont"/>
    <w:link w:val="Footer"/>
    <w:uiPriority w:val="99"/>
    <w:rsid w:val="003B0859"/>
    <w:rPr>
      <w:sz w:val="24"/>
      <w:szCs w:val="24"/>
    </w:rPr>
  </w:style>
  <w:style w:type="paragraph" w:customStyle="1" w:styleId="ActHead2">
    <w:name w:val="ActHead 2"/>
    <w:aliases w:val="p"/>
    <w:basedOn w:val="Normal"/>
    <w:next w:val="Normal"/>
    <w:qFormat/>
    <w:rsid w:val="00842AE1"/>
    <w:pPr>
      <w:keepNext/>
      <w:keepLines/>
      <w:spacing w:before="280"/>
      <w:ind w:left="1134" w:hanging="1134"/>
      <w:outlineLvl w:val="1"/>
    </w:pPr>
    <w:rPr>
      <w:b/>
      <w:kern w:val="28"/>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35" ma:contentTypeDescription="A document enhanced so that it is automatically captured by RecordPoint." ma:contentTypeScope="" ma:versionID="1b072fbd30c1a63ea8e63a2c0385c599">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5cb7b8efecd42c539099e757c2687b6"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KNAH4PPFC442-2667-142</_dlc_DocId>
    <_dlc_DocIdUrl xmlns="6db8f3c6-01a1-4322-b043-a3b2a190f7a8">
      <Url>http://collaboration/organisation/Auth/Chair/Auth/_layouts/DocIdRedir.aspx?ID=KNAH4PPFC442-2667-142</Url>
      <Description>KNAH4PPFC442-2667-142</Description>
    </_dlc_DocIdUrl>
    <Record_x0020_Number xmlns="83630db1-6fc2-4dfd-b3fe-d61d34e1440c">ER2014/059008</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29B21-A336-46A7-AA5B-FBF07C199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2260A-565D-442E-933A-478E7734D7E0}">
  <ds:schemaRefs>
    <ds:schemaRef ds:uri="Microsoft.SharePoint.Taxonomy.ContentTypeSync"/>
  </ds:schemaRefs>
</ds:datastoreItem>
</file>

<file path=customXml/itemProps3.xml><?xml version="1.0" encoding="utf-8"?>
<ds:datastoreItem xmlns:ds="http://schemas.openxmlformats.org/officeDocument/2006/customXml" ds:itemID="{A47D7DC3-3470-4A4E-9417-A6C42A29FEDD}">
  <ds:schemaRefs>
    <ds:schemaRef ds:uri="http://schemas.microsoft.com/sharepoint/events"/>
  </ds:schemaRefs>
</ds:datastoreItem>
</file>

<file path=customXml/itemProps4.xml><?xml version="1.0" encoding="utf-8"?>
<ds:datastoreItem xmlns:ds="http://schemas.openxmlformats.org/officeDocument/2006/customXml" ds:itemID="{9621FBDC-F781-43F7-AB8A-6BE42EC9DD9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F927DC60-177B-492A-A229-0A31B49774A7}">
  <ds:schemaRefs>
    <ds:schemaRef ds:uri="http://schemas.microsoft.com/sharepoint/v3/contenttype/forms"/>
  </ds:schemaRefs>
</ds:datastoreItem>
</file>

<file path=customXml/itemProps6.xml><?xml version="1.0" encoding="utf-8"?>
<ds:datastoreItem xmlns:ds="http://schemas.openxmlformats.org/officeDocument/2006/customXml" ds:itemID="{F13A81F6-73BC-47E3-BD1F-2CF896AF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2450</Words>
  <Characters>13612</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EXLANATORY STATEMENT</vt:lpstr>
    </vt:vector>
  </TitlesOfParts>
  <Company>Australian Communications Media Authority</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EXLANATORY STATEMENT</dc:title>
  <dc:creator>jchua</dc:creator>
  <cp:lastModifiedBy>Helen Turnbull</cp:lastModifiedBy>
  <cp:revision>2</cp:revision>
  <cp:lastPrinted>2014-02-20T21:20:00Z</cp:lastPrinted>
  <dcterms:created xsi:type="dcterms:W3CDTF">2014-03-14T01:20:00Z</dcterms:created>
  <dcterms:modified xsi:type="dcterms:W3CDTF">2014-03-14T01:20:00Z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ddb63a43-ddc4-4108-ba87-ed6889939c54</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ActiveItemMoved">
    <vt:lpwstr/>
  </property>
  <property fmtid="{D5CDD505-2E9C-101B-9397-08002B2CF9AE}" pid="8" name="RecordPoint_SubmissionCompleted">
    <vt:lpwstr>2014-02-26T14:00:58.9845673+11:00</vt:lpwstr>
  </property>
  <property fmtid="{D5CDD505-2E9C-101B-9397-08002B2CF9AE}" pid="9" name="RecordPoint_ActiveItemUniqueId">
    <vt:lpwstr>{ddb63a43-ddc4-4108-ba87-ed6889939c54}</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