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BD" w:rsidRPr="000916F7" w:rsidRDefault="001B26BD" w:rsidP="00693790">
      <w:pPr>
        <w:pStyle w:val="Title"/>
      </w:pPr>
      <w:bookmarkStart w:id="0" w:name="_GoBack"/>
      <w:bookmarkEnd w:id="0"/>
      <w:r w:rsidRPr="000916F7">
        <w:t>EXPLANATORY STATEMENT</w:t>
      </w:r>
    </w:p>
    <w:p w:rsidR="001B26BD" w:rsidRDefault="001B26BD" w:rsidP="00693790">
      <w:pPr>
        <w:pStyle w:val="BodyText3"/>
        <w:jc w:val="center"/>
      </w:pPr>
    </w:p>
    <w:p w:rsidR="00457B2E" w:rsidRPr="000916F7" w:rsidRDefault="00457B2E" w:rsidP="00693790">
      <w:pPr>
        <w:pStyle w:val="BodyText3"/>
        <w:jc w:val="center"/>
      </w:pPr>
    </w:p>
    <w:p w:rsidR="001B26BD" w:rsidRPr="000916F7" w:rsidRDefault="00AF2D77" w:rsidP="00693790">
      <w:pPr>
        <w:pStyle w:val="BodyText"/>
      </w:pPr>
      <w:r>
        <w:t>Issued by the a</w:t>
      </w:r>
      <w:r w:rsidR="001B26BD" w:rsidRPr="000916F7">
        <w:t>uthority of the Minister for</w:t>
      </w:r>
      <w:r w:rsidR="00E27F3A">
        <w:t xml:space="preserve"> Communications</w:t>
      </w:r>
    </w:p>
    <w:p w:rsidR="001B26BD" w:rsidRPr="000916F7" w:rsidRDefault="001B26BD" w:rsidP="00693790">
      <w:pPr>
        <w:rPr>
          <w:sz w:val="24"/>
        </w:rPr>
      </w:pPr>
    </w:p>
    <w:p w:rsidR="001B26BD" w:rsidRPr="00250779" w:rsidRDefault="00C26E8A" w:rsidP="00693790">
      <w:pPr>
        <w:pStyle w:val="Heading1"/>
        <w:rPr>
          <w:szCs w:val="24"/>
        </w:rPr>
      </w:pPr>
      <w:r>
        <w:rPr>
          <w:szCs w:val="24"/>
        </w:rPr>
        <w:t>Telecommunications Act 1997</w:t>
      </w:r>
    </w:p>
    <w:p w:rsidR="001B26BD" w:rsidRDefault="001B26BD" w:rsidP="00693790">
      <w:pPr>
        <w:jc w:val="center"/>
        <w:rPr>
          <w:i/>
          <w:sz w:val="24"/>
        </w:rPr>
      </w:pPr>
    </w:p>
    <w:p w:rsidR="00457B2E" w:rsidRDefault="00457B2E" w:rsidP="00693790">
      <w:pPr>
        <w:jc w:val="center"/>
        <w:rPr>
          <w:i/>
          <w:sz w:val="24"/>
        </w:rPr>
      </w:pPr>
    </w:p>
    <w:p w:rsidR="001B26BD" w:rsidRPr="00C26E8A" w:rsidRDefault="00C26E8A" w:rsidP="00C26E8A">
      <w:pPr>
        <w:jc w:val="center"/>
        <w:rPr>
          <w:b/>
          <w:szCs w:val="24"/>
        </w:rPr>
      </w:pPr>
      <w:r w:rsidRPr="00C26E8A">
        <w:rPr>
          <w:b/>
          <w:i/>
          <w:sz w:val="24"/>
        </w:rPr>
        <w:t>Carrier Licence Conditions (</w:t>
      </w:r>
      <w:r w:rsidR="00237901">
        <w:rPr>
          <w:b/>
          <w:i/>
          <w:sz w:val="24"/>
        </w:rPr>
        <w:t>Optus Mobile Pty Ltd</w:t>
      </w:r>
      <w:r w:rsidRPr="00C26E8A">
        <w:rPr>
          <w:b/>
          <w:i/>
          <w:sz w:val="24"/>
        </w:rPr>
        <w:t xml:space="preserve">) Declaration 1997 </w:t>
      </w:r>
      <w:r w:rsidR="00457B2E">
        <w:rPr>
          <w:b/>
          <w:i/>
          <w:sz w:val="24"/>
        </w:rPr>
        <w:t xml:space="preserve">              </w:t>
      </w:r>
      <w:r w:rsidRPr="00C26E8A">
        <w:rPr>
          <w:b/>
          <w:i/>
          <w:sz w:val="24"/>
        </w:rPr>
        <w:t>Instrument of Revocation 2014</w:t>
      </w:r>
    </w:p>
    <w:p w:rsidR="00C9524C" w:rsidRDefault="00C9524C" w:rsidP="00693790">
      <w:pPr>
        <w:rPr>
          <w:sz w:val="24"/>
          <w:szCs w:val="24"/>
        </w:rPr>
      </w:pPr>
    </w:p>
    <w:p w:rsidR="00457B2E" w:rsidRPr="002612B8" w:rsidRDefault="00457B2E" w:rsidP="00457B2E">
      <w:pPr>
        <w:tabs>
          <w:tab w:val="left" w:pos="521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Legislative authority </w:t>
      </w:r>
      <w:r>
        <w:rPr>
          <w:b/>
          <w:sz w:val="24"/>
          <w:szCs w:val="24"/>
        </w:rPr>
        <w:tab/>
      </w:r>
    </w:p>
    <w:p w:rsidR="00457B2E" w:rsidRPr="002612B8" w:rsidRDefault="00457B2E" w:rsidP="00457B2E">
      <w:pPr>
        <w:rPr>
          <w:sz w:val="24"/>
          <w:szCs w:val="24"/>
        </w:rPr>
      </w:pPr>
    </w:p>
    <w:p w:rsidR="00457B2E" w:rsidRDefault="00457B2E" w:rsidP="00457B2E">
      <w:pPr>
        <w:rPr>
          <w:sz w:val="24"/>
          <w:szCs w:val="24"/>
        </w:rPr>
      </w:pPr>
      <w:r>
        <w:rPr>
          <w:sz w:val="24"/>
          <w:szCs w:val="24"/>
        </w:rPr>
        <w:t xml:space="preserve">Subsection 63(6) of </w:t>
      </w:r>
      <w:r>
        <w:rPr>
          <w:i/>
          <w:sz w:val="24"/>
          <w:szCs w:val="24"/>
        </w:rPr>
        <w:t>Telecommunications Act 1997</w:t>
      </w:r>
      <w:r>
        <w:rPr>
          <w:sz w:val="24"/>
          <w:szCs w:val="24"/>
        </w:rPr>
        <w:t xml:space="preserve"> (the Act) allows the Minister</w:t>
      </w:r>
      <w:r w:rsidRPr="00457B2E">
        <w:rPr>
          <w:sz w:val="24"/>
          <w:szCs w:val="24"/>
        </w:rPr>
        <w:t xml:space="preserve">, by written instrument, </w:t>
      </w:r>
      <w:r>
        <w:rPr>
          <w:sz w:val="24"/>
          <w:szCs w:val="24"/>
        </w:rPr>
        <w:t xml:space="preserve">to revoke </w:t>
      </w:r>
      <w:r w:rsidR="000B4F29">
        <w:rPr>
          <w:sz w:val="24"/>
          <w:szCs w:val="24"/>
        </w:rPr>
        <w:t>a</w:t>
      </w:r>
      <w:r>
        <w:rPr>
          <w:sz w:val="24"/>
          <w:szCs w:val="24"/>
        </w:rPr>
        <w:t xml:space="preserve"> declaration made </w:t>
      </w:r>
      <w:r w:rsidRPr="00457B2E">
        <w:rPr>
          <w:sz w:val="24"/>
          <w:szCs w:val="24"/>
        </w:rPr>
        <w:t xml:space="preserve">under subsection </w:t>
      </w:r>
      <w:r>
        <w:rPr>
          <w:sz w:val="24"/>
          <w:szCs w:val="24"/>
        </w:rPr>
        <w:t>63</w:t>
      </w:r>
      <w:r w:rsidRPr="00457B2E">
        <w:rPr>
          <w:sz w:val="24"/>
          <w:szCs w:val="24"/>
        </w:rPr>
        <w:t>(1</w:t>
      </w:r>
      <w:r>
        <w:rPr>
          <w:sz w:val="24"/>
          <w:szCs w:val="24"/>
        </w:rPr>
        <w:t xml:space="preserve">) of the Act. </w:t>
      </w:r>
    </w:p>
    <w:p w:rsidR="00972BD0" w:rsidRDefault="00972BD0" w:rsidP="00457B2E">
      <w:pPr>
        <w:rPr>
          <w:sz w:val="24"/>
          <w:szCs w:val="24"/>
        </w:rPr>
      </w:pPr>
    </w:p>
    <w:p w:rsidR="00972BD0" w:rsidRPr="002612B8" w:rsidRDefault="00972BD0" w:rsidP="00457B2E">
      <w:pPr>
        <w:rPr>
          <w:sz w:val="24"/>
          <w:szCs w:val="24"/>
        </w:rPr>
      </w:pPr>
      <w:r w:rsidRPr="009D59A1">
        <w:rPr>
          <w:sz w:val="24"/>
          <w:szCs w:val="24"/>
        </w:rPr>
        <w:t>Subsection 63(13) of the Act provides that an instrument under subsection 63(</w:t>
      </w:r>
      <w:r>
        <w:rPr>
          <w:sz w:val="24"/>
          <w:szCs w:val="24"/>
        </w:rPr>
        <w:t>6</w:t>
      </w:r>
      <w:r w:rsidRPr="009D59A1">
        <w:rPr>
          <w:sz w:val="24"/>
          <w:szCs w:val="24"/>
        </w:rPr>
        <w:t>) is a disallowable instrument</w:t>
      </w:r>
      <w:r>
        <w:rPr>
          <w:sz w:val="24"/>
          <w:szCs w:val="24"/>
        </w:rPr>
        <w:t xml:space="preserve"> </w:t>
      </w:r>
      <w:r w:rsidRPr="00E83262">
        <w:rPr>
          <w:sz w:val="24"/>
          <w:szCs w:val="24"/>
        </w:rPr>
        <w:t xml:space="preserve">for the purposes of section 46A of the </w:t>
      </w:r>
      <w:r w:rsidRPr="00E83262">
        <w:rPr>
          <w:i/>
          <w:sz w:val="24"/>
          <w:szCs w:val="24"/>
        </w:rPr>
        <w:t>Acts Interpretation Act 1901</w:t>
      </w:r>
      <w:r w:rsidRPr="009D59A1">
        <w:rPr>
          <w:sz w:val="24"/>
          <w:szCs w:val="24"/>
        </w:rPr>
        <w:t>.</w:t>
      </w:r>
    </w:p>
    <w:p w:rsidR="00457B2E" w:rsidRPr="000916F7" w:rsidRDefault="00457B2E" w:rsidP="00693790">
      <w:pPr>
        <w:rPr>
          <w:sz w:val="24"/>
          <w:szCs w:val="24"/>
        </w:rPr>
      </w:pPr>
    </w:p>
    <w:p w:rsidR="00C9524C" w:rsidRPr="00B54E38" w:rsidRDefault="00C9524C" w:rsidP="00693790">
      <w:pPr>
        <w:rPr>
          <w:b/>
          <w:sz w:val="24"/>
          <w:szCs w:val="24"/>
        </w:rPr>
      </w:pPr>
      <w:r w:rsidRPr="00B54E38">
        <w:rPr>
          <w:b/>
          <w:sz w:val="24"/>
          <w:szCs w:val="24"/>
        </w:rPr>
        <w:t>Purpose</w:t>
      </w:r>
    </w:p>
    <w:p w:rsidR="001B26BD" w:rsidRPr="00693790" w:rsidRDefault="001B26BD" w:rsidP="00693790">
      <w:pPr>
        <w:rPr>
          <w:sz w:val="24"/>
          <w:szCs w:val="24"/>
        </w:rPr>
      </w:pPr>
    </w:p>
    <w:p w:rsidR="00D37312" w:rsidRPr="00693790" w:rsidRDefault="00D37312" w:rsidP="00693790">
      <w:pPr>
        <w:rPr>
          <w:sz w:val="24"/>
          <w:szCs w:val="24"/>
        </w:rPr>
      </w:pPr>
      <w:r w:rsidRPr="00693790">
        <w:rPr>
          <w:sz w:val="24"/>
          <w:szCs w:val="24"/>
        </w:rPr>
        <w:t xml:space="preserve">The purpose of the </w:t>
      </w:r>
      <w:r w:rsidR="00C26E8A" w:rsidRPr="00C26E8A">
        <w:rPr>
          <w:i/>
          <w:sz w:val="24"/>
          <w:szCs w:val="24"/>
        </w:rPr>
        <w:t>Carrier Licence Conditions (</w:t>
      </w:r>
      <w:r w:rsidR="00237901">
        <w:rPr>
          <w:i/>
          <w:sz w:val="24"/>
          <w:szCs w:val="24"/>
        </w:rPr>
        <w:t>Optus Mobile Pty Ltd</w:t>
      </w:r>
      <w:r w:rsidR="00C26E8A" w:rsidRPr="00C26E8A">
        <w:rPr>
          <w:i/>
          <w:sz w:val="24"/>
          <w:szCs w:val="24"/>
        </w:rPr>
        <w:t>) Declaration 1997 Instrument of Revocation 2014</w:t>
      </w:r>
      <w:r w:rsidR="00C26E8A">
        <w:rPr>
          <w:sz w:val="24"/>
          <w:szCs w:val="24"/>
        </w:rPr>
        <w:t xml:space="preserve"> </w:t>
      </w:r>
      <w:r w:rsidR="004836E7">
        <w:rPr>
          <w:sz w:val="24"/>
          <w:szCs w:val="24"/>
        </w:rPr>
        <w:t xml:space="preserve">(the Revocation Instrument) </w:t>
      </w:r>
      <w:r w:rsidRPr="00693790">
        <w:rPr>
          <w:sz w:val="24"/>
          <w:szCs w:val="24"/>
        </w:rPr>
        <w:t xml:space="preserve">is to revoke the </w:t>
      </w:r>
      <w:r w:rsidR="00C26E8A" w:rsidRPr="00C26E8A">
        <w:rPr>
          <w:i/>
          <w:sz w:val="24"/>
          <w:szCs w:val="24"/>
        </w:rPr>
        <w:t>Carrier Licence Conditions (</w:t>
      </w:r>
      <w:r w:rsidR="00237901">
        <w:rPr>
          <w:i/>
          <w:sz w:val="24"/>
          <w:szCs w:val="24"/>
        </w:rPr>
        <w:t>Optus Mobile Pty Ltd</w:t>
      </w:r>
      <w:r w:rsidR="00C26E8A" w:rsidRPr="00C26E8A">
        <w:rPr>
          <w:i/>
          <w:sz w:val="24"/>
          <w:szCs w:val="24"/>
        </w:rPr>
        <w:t>) Declaration 1997</w:t>
      </w:r>
      <w:r w:rsidR="00C26E8A" w:rsidRPr="00C26E8A">
        <w:rPr>
          <w:sz w:val="24"/>
          <w:szCs w:val="24"/>
        </w:rPr>
        <w:t xml:space="preserve"> </w:t>
      </w:r>
      <w:r w:rsidRPr="00693790">
        <w:rPr>
          <w:sz w:val="24"/>
          <w:szCs w:val="24"/>
        </w:rPr>
        <w:t xml:space="preserve">(the </w:t>
      </w:r>
      <w:r w:rsidR="00237901">
        <w:rPr>
          <w:sz w:val="24"/>
          <w:szCs w:val="24"/>
        </w:rPr>
        <w:t>Optus Mobile</w:t>
      </w:r>
      <w:r w:rsidR="00457B2E">
        <w:rPr>
          <w:sz w:val="24"/>
          <w:szCs w:val="24"/>
        </w:rPr>
        <w:t xml:space="preserve"> </w:t>
      </w:r>
      <w:r w:rsidR="00C26E8A">
        <w:rPr>
          <w:sz w:val="24"/>
          <w:szCs w:val="24"/>
        </w:rPr>
        <w:t>Declaration</w:t>
      </w:r>
      <w:r w:rsidRPr="00693790">
        <w:rPr>
          <w:sz w:val="24"/>
          <w:szCs w:val="24"/>
        </w:rPr>
        <w:t>)</w:t>
      </w:r>
      <w:r w:rsidR="00BC713C">
        <w:rPr>
          <w:sz w:val="24"/>
          <w:szCs w:val="24"/>
        </w:rPr>
        <w:t xml:space="preserve"> as currently in force</w:t>
      </w:r>
      <w:r w:rsidRPr="00693790">
        <w:rPr>
          <w:sz w:val="24"/>
          <w:szCs w:val="24"/>
        </w:rPr>
        <w:t>.</w:t>
      </w:r>
    </w:p>
    <w:p w:rsidR="00C9524C" w:rsidRPr="00693790" w:rsidRDefault="00C9524C" w:rsidP="00693790">
      <w:pPr>
        <w:rPr>
          <w:sz w:val="24"/>
          <w:szCs w:val="24"/>
        </w:rPr>
      </w:pPr>
    </w:p>
    <w:p w:rsidR="00C9524C" w:rsidRPr="00B54E38" w:rsidRDefault="00C9524C" w:rsidP="00693790">
      <w:pPr>
        <w:rPr>
          <w:b/>
          <w:sz w:val="24"/>
          <w:szCs w:val="24"/>
        </w:rPr>
      </w:pPr>
      <w:r w:rsidRPr="00B54E38">
        <w:rPr>
          <w:b/>
          <w:sz w:val="24"/>
          <w:szCs w:val="24"/>
        </w:rPr>
        <w:t>Background</w:t>
      </w:r>
    </w:p>
    <w:p w:rsidR="00B54E38" w:rsidRDefault="00B54E38" w:rsidP="00693790">
      <w:pPr>
        <w:rPr>
          <w:sz w:val="24"/>
          <w:szCs w:val="24"/>
        </w:rPr>
      </w:pPr>
    </w:p>
    <w:p w:rsidR="00733491" w:rsidRDefault="00237901" w:rsidP="00A3645B">
      <w:pPr>
        <w:rPr>
          <w:sz w:val="24"/>
          <w:szCs w:val="24"/>
        </w:rPr>
      </w:pPr>
      <w:r>
        <w:rPr>
          <w:sz w:val="24"/>
          <w:szCs w:val="24"/>
        </w:rPr>
        <w:t>Optus Mobile</w:t>
      </w:r>
      <w:r w:rsidR="00045ADA">
        <w:rPr>
          <w:sz w:val="24"/>
          <w:szCs w:val="24"/>
        </w:rPr>
        <w:t xml:space="preserve"> </w:t>
      </w:r>
      <w:r w:rsidR="00733491">
        <w:rPr>
          <w:sz w:val="24"/>
          <w:szCs w:val="24"/>
        </w:rPr>
        <w:t xml:space="preserve">Pty Limited is currently subject to </w:t>
      </w:r>
      <w:r w:rsidR="00731AB9">
        <w:rPr>
          <w:sz w:val="24"/>
          <w:szCs w:val="24"/>
        </w:rPr>
        <w:t xml:space="preserve">two </w:t>
      </w:r>
      <w:r w:rsidR="00733491">
        <w:rPr>
          <w:sz w:val="24"/>
          <w:szCs w:val="24"/>
        </w:rPr>
        <w:t>classes of carrier licence conditions: standard licence conditions under the</w:t>
      </w:r>
      <w:r w:rsidR="004836E7">
        <w:rPr>
          <w:sz w:val="24"/>
          <w:szCs w:val="24"/>
        </w:rPr>
        <w:t xml:space="preserve"> Act</w:t>
      </w:r>
      <w:r w:rsidR="00733491">
        <w:rPr>
          <w:sz w:val="24"/>
          <w:szCs w:val="24"/>
        </w:rPr>
        <w:t xml:space="preserve">; and the specific licence conditions under the </w:t>
      </w:r>
      <w:r w:rsidR="00733491" w:rsidRPr="00BC713C">
        <w:rPr>
          <w:i/>
          <w:sz w:val="24"/>
          <w:szCs w:val="24"/>
        </w:rPr>
        <w:t>Carrier Licence Conditions (</w:t>
      </w:r>
      <w:r>
        <w:rPr>
          <w:i/>
          <w:sz w:val="24"/>
          <w:szCs w:val="24"/>
        </w:rPr>
        <w:t>Optus Mobile Pty Ltd</w:t>
      </w:r>
      <w:r w:rsidR="00733491" w:rsidRPr="00BC713C">
        <w:rPr>
          <w:i/>
          <w:sz w:val="24"/>
          <w:szCs w:val="24"/>
        </w:rPr>
        <w:t>) Declaration 1997</w:t>
      </w:r>
      <w:r w:rsidR="00733491">
        <w:rPr>
          <w:sz w:val="24"/>
          <w:szCs w:val="24"/>
        </w:rPr>
        <w:t xml:space="preserve">. </w:t>
      </w:r>
    </w:p>
    <w:p w:rsidR="00733491" w:rsidRDefault="00733491" w:rsidP="00A3645B">
      <w:pPr>
        <w:rPr>
          <w:sz w:val="24"/>
          <w:szCs w:val="24"/>
        </w:rPr>
      </w:pPr>
    </w:p>
    <w:p w:rsidR="00A3645B" w:rsidRDefault="00733491" w:rsidP="00A3645B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37901">
        <w:rPr>
          <w:sz w:val="24"/>
          <w:szCs w:val="24"/>
        </w:rPr>
        <w:t>Optus Mobile</w:t>
      </w:r>
      <w:r>
        <w:rPr>
          <w:sz w:val="24"/>
          <w:szCs w:val="24"/>
        </w:rPr>
        <w:t xml:space="preserve"> Declaration, in its original form, </w:t>
      </w:r>
      <w:r w:rsidR="00110F55">
        <w:rPr>
          <w:sz w:val="24"/>
          <w:szCs w:val="24"/>
        </w:rPr>
        <w:t xml:space="preserve">came into force on 1 July </w:t>
      </w:r>
      <w:r w:rsidR="00457B2E">
        <w:rPr>
          <w:sz w:val="24"/>
          <w:szCs w:val="24"/>
        </w:rPr>
        <w:t>1997</w:t>
      </w:r>
      <w:r>
        <w:rPr>
          <w:sz w:val="24"/>
          <w:szCs w:val="24"/>
        </w:rPr>
        <w:t xml:space="preserve">. It </w:t>
      </w:r>
      <w:r w:rsidR="000B4F29">
        <w:rPr>
          <w:sz w:val="24"/>
          <w:szCs w:val="24"/>
        </w:rPr>
        <w:t xml:space="preserve">imposed </w:t>
      </w:r>
      <w:r w:rsidR="00731AB9">
        <w:rPr>
          <w:sz w:val="24"/>
          <w:szCs w:val="24"/>
        </w:rPr>
        <w:t xml:space="preserve">four </w:t>
      </w:r>
      <w:r>
        <w:rPr>
          <w:sz w:val="24"/>
          <w:szCs w:val="24"/>
        </w:rPr>
        <w:t xml:space="preserve">specific carrier licence </w:t>
      </w:r>
      <w:r w:rsidR="000B4F29">
        <w:rPr>
          <w:sz w:val="24"/>
          <w:szCs w:val="24"/>
        </w:rPr>
        <w:t xml:space="preserve">conditions upon </w:t>
      </w:r>
      <w:r w:rsidR="00237901">
        <w:rPr>
          <w:sz w:val="24"/>
          <w:szCs w:val="24"/>
        </w:rPr>
        <w:t>Optus Mobile Pty Ltd</w:t>
      </w:r>
      <w:r w:rsidR="00A3645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two </w:t>
      </w:r>
      <w:r w:rsidR="00A3645B">
        <w:rPr>
          <w:sz w:val="24"/>
          <w:szCs w:val="24"/>
        </w:rPr>
        <w:t>relating to industr</w:t>
      </w:r>
      <w:r w:rsidR="009F06C0">
        <w:rPr>
          <w:sz w:val="24"/>
          <w:szCs w:val="24"/>
        </w:rPr>
        <w:t xml:space="preserve">y development plans </w:t>
      </w:r>
      <w:r w:rsidR="00BC713C">
        <w:rPr>
          <w:sz w:val="24"/>
          <w:szCs w:val="24"/>
        </w:rPr>
        <w:t xml:space="preserve">(clause 5); </w:t>
      </w:r>
      <w:r w:rsidR="00110F55">
        <w:rPr>
          <w:sz w:val="24"/>
          <w:szCs w:val="24"/>
        </w:rPr>
        <w:t xml:space="preserve">a condition </w:t>
      </w:r>
      <w:r w:rsidR="00A3645B">
        <w:rPr>
          <w:sz w:val="24"/>
          <w:szCs w:val="24"/>
        </w:rPr>
        <w:t xml:space="preserve">relating to </w:t>
      </w:r>
      <w:r w:rsidR="00731AB9">
        <w:rPr>
          <w:sz w:val="24"/>
          <w:szCs w:val="24"/>
        </w:rPr>
        <w:t xml:space="preserve">network rollout </w:t>
      </w:r>
      <w:r w:rsidR="00A3645B">
        <w:rPr>
          <w:sz w:val="24"/>
          <w:szCs w:val="24"/>
        </w:rPr>
        <w:t>(clause 6)</w:t>
      </w:r>
      <w:r w:rsidR="00110F55">
        <w:rPr>
          <w:sz w:val="24"/>
          <w:szCs w:val="24"/>
        </w:rPr>
        <w:t xml:space="preserve">; </w:t>
      </w:r>
      <w:r w:rsidR="00731AB9">
        <w:rPr>
          <w:sz w:val="24"/>
          <w:szCs w:val="24"/>
        </w:rPr>
        <w:t xml:space="preserve">and </w:t>
      </w:r>
      <w:r w:rsidR="00110F55">
        <w:rPr>
          <w:sz w:val="24"/>
          <w:szCs w:val="24"/>
        </w:rPr>
        <w:t xml:space="preserve">another condition </w:t>
      </w:r>
      <w:r w:rsidR="00731AB9">
        <w:rPr>
          <w:sz w:val="24"/>
          <w:szCs w:val="24"/>
        </w:rPr>
        <w:t>relating to foreign ownership and control (clause 7)</w:t>
      </w:r>
      <w:r w:rsidR="00A3645B">
        <w:rPr>
          <w:sz w:val="24"/>
          <w:szCs w:val="24"/>
        </w:rPr>
        <w:t xml:space="preserve">.  </w:t>
      </w:r>
      <w:r w:rsidR="00A3645B" w:rsidRPr="00A3645B">
        <w:rPr>
          <w:sz w:val="24"/>
          <w:szCs w:val="24"/>
        </w:rPr>
        <w:t xml:space="preserve">The </w:t>
      </w:r>
      <w:r w:rsidR="00BC713C">
        <w:rPr>
          <w:sz w:val="24"/>
          <w:szCs w:val="24"/>
        </w:rPr>
        <w:t xml:space="preserve">condition </w:t>
      </w:r>
      <w:r w:rsidR="00045ADA">
        <w:rPr>
          <w:sz w:val="24"/>
          <w:szCs w:val="24"/>
        </w:rPr>
        <w:t xml:space="preserve">under clause </w:t>
      </w:r>
      <w:r w:rsidR="00731AB9">
        <w:rPr>
          <w:sz w:val="24"/>
          <w:szCs w:val="24"/>
        </w:rPr>
        <w:t xml:space="preserve">7 </w:t>
      </w:r>
      <w:r w:rsidR="00457B2E" w:rsidRPr="00A3645B">
        <w:rPr>
          <w:sz w:val="24"/>
          <w:szCs w:val="24"/>
        </w:rPr>
        <w:t xml:space="preserve">was </w:t>
      </w:r>
      <w:r w:rsidR="00045ADA">
        <w:rPr>
          <w:sz w:val="24"/>
          <w:szCs w:val="24"/>
        </w:rPr>
        <w:t xml:space="preserve">removed </w:t>
      </w:r>
      <w:r w:rsidR="00457B2E" w:rsidRPr="00A3645B">
        <w:rPr>
          <w:sz w:val="24"/>
          <w:szCs w:val="24"/>
        </w:rPr>
        <w:t>on 18 December 1997</w:t>
      </w:r>
      <w:r w:rsidR="000B4F29" w:rsidRPr="00A3645B">
        <w:rPr>
          <w:sz w:val="24"/>
          <w:szCs w:val="24"/>
        </w:rPr>
        <w:t xml:space="preserve"> by </w:t>
      </w:r>
      <w:r w:rsidR="000B4F29" w:rsidRPr="00A3645B">
        <w:rPr>
          <w:i/>
          <w:sz w:val="24"/>
          <w:szCs w:val="24"/>
        </w:rPr>
        <w:t>the Carrier Licence Conditions (</w:t>
      </w:r>
      <w:r w:rsidR="00237901">
        <w:rPr>
          <w:i/>
          <w:sz w:val="24"/>
          <w:szCs w:val="24"/>
        </w:rPr>
        <w:t>Optus Mobile Pty Ltd</w:t>
      </w:r>
      <w:r w:rsidR="000B4F29" w:rsidRPr="00A3645B">
        <w:rPr>
          <w:i/>
          <w:sz w:val="24"/>
          <w:szCs w:val="24"/>
        </w:rPr>
        <w:t>) Declaration 1997 (Amendment No. 1 of 1997</w:t>
      </w:r>
      <w:r w:rsidR="004836E7">
        <w:rPr>
          <w:i/>
          <w:sz w:val="24"/>
          <w:szCs w:val="24"/>
        </w:rPr>
        <w:t>)</w:t>
      </w:r>
      <w:r w:rsidR="004451E3">
        <w:rPr>
          <w:sz w:val="24"/>
          <w:szCs w:val="24"/>
        </w:rPr>
        <w:t xml:space="preserve"> as it was </w:t>
      </w:r>
      <w:r w:rsidR="00731AB9">
        <w:rPr>
          <w:sz w:val="24"/>
          <w:szCs w:val="24"/>
        </w:rPr>
        <w:t>no longer required</w:t>
      </w:r>
      <w:r w:rsidR="00457B2E" w:rsidRPr="00A3645B">
        <w:rPr>
          <w:sz w:val="24"/>
          <w:szCs w:val="24"/>
        </w:rPr>
        <w:t xml:space="preserve">.  </w:t>
      </w:r>
    </w:p>
    <w:p w:rsidR="009F06C0" w:rsidRDefault="009F06C0" w:rsidP="00A3645B">
      <w:pPr>
        <w:rPr>
          <w:sz w:val="24"/>
          <w:szCs w:val="24"/>
        </w:rPr>
      </w:pPr>
    </w:p>
    <w:p w:rsidR="00733491" w:rsidRDefault="009F06C0" w:rsidP="00A3645B">
      <w:pPr>
        <w:rPr>
          <w:sz w:val="24"/>
          <w:szCs w:val="24"/>
        </w:rPr>
      </w:pPr>
      <w:r>
        <w:rPr>
          <w:sz w:val="24"/>
          <w:szCs w:val="24"/>
        </w:rPr>
        <w:t xml:space="preserve">The remaining </w:t>
      </w:r>
      <w:r w:rsidR="00731AB9">
        <w:rPr>
          <w:sz w:val="24"/>
          <w:szCs w:val="24"/>
        </w:rPr>
        <w:t xml:space="preserve">three </w:t>
      </w:r>
      <w:r>
        <w:rPr>
          <w:sz w:val="24"/>
          <w:szCs w:val="24"/>
        </w:rPr>
        <w:t xml:space="preserve">carrier licence conditions under the </w:t>
      </w:r>
      <w:r w:rsidR="00237901">
        <w:rPr>
          <w:sz w:val="24"/>
          <w:szCs w:val="24"/>
        </w:rPr>
        <w:t>Optus Mobile</w:t>
      </w:r>
      <w:r>
        <w:rPr>
          <w:sz w:val="24"/>
          <w:szCs w:val="24"/>
        </w:rPr>
        <w:t xml:space="preserve"> Declaration </w:t>
      </w:r>
      <w:r w:rsidR="00733491">
        <w:rPr>
          <w:sz w:val="24"/>
          <w:szCs w:val="24"/>
        </w:rPr>
        <w:t xml:space="preserve">(as noted below) </w:t>
      </w:r>
      <w:r>
        <w:rPr>
          <w:sz w:val="24"/>
          <w:szCs w:val="24"/>
        </w:rPr>
        <w:t>are no longer required</w:t>
      </w:r>
      <w:r w:rsidR="00A81ADB">
        <w:rPr>
          <w:sz w:val="24"/>
          <w:szCs w:val="24"/>
        </w:rPr>
        <w:t xml:space="preserve"> and therefore, the </w:t>
      </w:r>
      <w:r w:rsidR="00237901">
        <w:rPr>
          <w:sz w:val="24"/>
          <w:szCs w:val="24"/>
        </w:rPr>
        <w:t>Optus Mobile</w:t>
      </w:r>
      <w:r w:rsidR="00A81ADB">
        <w:rPr>
          <w:sz w:val="24"/>
          <w:szCs w:val="24"/>
        </w:rPr>
        <w:t xml:space="preserve"> Declaration is being revoked </w:t>
      </w:r>
      <w:r w:rsidR="00110F55">
        <w:rPr>
          <w:sz w:val="24"/>
          <w:szCs w:val="24"/>
        </w:rPr>
        <w:t xml:space="preserve">in </w:t>
      </w:r>
      <w:r w:rsidR="00A81ADB">
        <w:rPr>
          <w:sz w:val="24"/>
          <w:szCs w:val="24"/>
        </w:rPr>
        <w:t>its entirety.</w:t>
      </w:r>
      <w:r>
        <w:rPr>
          <w:sz w:val="24"/>
          <w:szCs w:val="24"/>
        </w:rPr>
        <w:t xml:space="preserve"> </w:t>
      </w:r>
    </w:p>
    <w:p w:rsidR="00733491" w:rsidRDefault="00733491" w:rsidP="00733491">
      <w:pPr>
        <w:rPr>
          <w:sz w:val="24"/>
          <w:szCs w:val="24"/>
        </w:rPr>
      </w:pPr>
    </w:p>
    <w:p w:rsidR="00045ADA" w:rsidRDefault="00045ADA" w:rsidP="00045ADA">
      <w:pPr>
        <w:rPr>
          <w:sz w:val="24"/>
          <w:szCs w:val="24"/>
        </w:rPr>
      </w:pPr>
      <w:r>
        <w:rPr>
          <w:sz w:val="24"/>
          <w:szCs w:val="24"/>
        </w:rPr>
        <w:t>Subclause 5</w:t>
      </w:r>
      <w:r w:rsidR="00731AB9">
        <w:rPr>
          <w:sz w:val="24"/>
          <w:szCs w:val="24"/>
        </w:rPr>
        <w:t>(a</w:t>
      </w:r>
      <w:r>
        <w:rPr>
          <w:sz w:val="24"/>
          <w:szCs w:val="24"/>
        </w:rPr>
        <w:t xml:space="preserve">) of the </w:t>
      </w:r>
      <w:r w:rsidR="00237901">
        <w:rPr>
          <w:sz w:val="24"/>
          <w:szCs w:val="24"/>
        </w:rPr>
        <w:t>Optus Mobile</w:t>
      </w:r>
      <w:r>
        <w:rPr>
          <w:sz w:val="24"/>
          <w:szCs w:val="24"/>
        </w:rPr>
        <w:t xml:space="preserve"> Declaration </w:t>
      </w:r>
      <w:r w:rsidRPr="004451E3">
        <w:rPr>
          <w:sz w:val="24"/>
          <w:szCs w:val="24"/>
        </w:rPr>
        <w:t>require</w:t>
      </w:r>
      <w:r>
        <w:rPr>
          <w:sz w:val="24"/>
          <w:szCs w:val="24"/>
        </w:rPr>
        <w:t>d</w:t>
      </w:r>
      <w:r w:rsidRPr="004451E3">
        <w:rPr>
          <w:sz w:val="24"/>
          <w:szCs w:val="24"/>
        </w:rPr>
        <w:t xml:space="preserve"> </w:t>
      </w:r>
      <w:r w:rsidR="00237901">
        <w:rPr>
          <w:sz w:val="24"/>
          <w:szCs w:val="24"/>
        </w:rPr>
        <w:t>Optus Mobile</w:t>
      </w:r>
      <w:r>
        <w:rPr>
          <w:sz w:val="24"/>
          <w:szCs w:val="24"/>
        </w:rPr>
        <w:t xml:space="preserve"> </w:t>
      </w:r>
      <w:r w:rsidRPr="004451E3">
        <w:rPr>
          <w:sz w:val="24"/>
          <w:szCs w:val="24"/>
        </w:rPr>
        <w:t xml:space="preserve">to give a current industry development plan (as defined in clause 3) to the Minister for Industry, Science and Tourism and obtain his or her approval of the plan within </w:t>
      </w:r>
      <w:r w:rsidRPr="004451E3">
        <w:rPr>
          <w:sz w:val="24"/>
          <w:szCs w:val="24"/>
        </w:rPr>
        <w:lastRenderedPageBreak/>
        <w:t>90</w:t>
      </w:r>
      <w:proofErr w:type="gramStart"/>
      <w:r w:rsidR="00786BA6">
        <w:rPr>
          <w:sz w:val="24"/>
          <w:szCs w:val="24"/>
        </w:rPr>
        <w:t> </w:t>
      </w:r>
      <w:r w:rsidRPr="004451E3">
        <w:rPr>
          <w:sz w:val="24"/>
          <w:szCs w:val="24"/>
        </w:rPr>
        <w:t xml:space="preserve"> days</w:t>
      </w:r>
      <w:proofErr w:type="gramEnd"/>
      <w:r w:rsidRPr="004451E3">
        <w:rPr>
          <w:sz w:val="24"/>
          <w:szCs w:val="24"/>
        </w:rPr>
        <w:t xml:space="preserve"> after 1 July 1997</w:t>
      </w:r>
      <w:r>
        <w:rPr>
          <w:sz w:val="24"/>
          <w:szCs w:val="24"/>
        </w:rPr>
        <w:t>. As this carrier licence condition has been met, subclause</w:t>
      </w:r>
      <w:r w:rsidR="00786BA6">
        <w:rPr>
          <w:sz w:val="24"/>
          <w:szCs w:val="24"/>
        </w:rPr>
        <w:t> </w:t>
      </w:r>
      <w:r w:rsidR="00731AB9">
        <w:rPr>
          <w:sz w:val="24"/>
          <w:szCs w:val="24"/>
        </w:rPr>
        <w:t>5(a</w:t>
      </w:r>
      <w:r>
        <w:rPr>
          <w:sz w:val="24"/>
          <w:szCs w:val="24"/>
        </w:rPr>
        <w:t>) is spent.</w:t>
      </w:r>
    </w:p>
    <w:p w:rsidR="00045ADA" w:rsidRDefault="00045ADA" w:rsidP="00045ADA">
      <w:pPr>
        <w:rPr>
          <w:sz w:val="24"/>
          <w:szCs w:val="24"/>
        </w:rPr>
      </w:pPr>
    </w:p>
    <w:p w:rsidR="00045ADA" w:rsidRDefault="00045ADA" w:rsidP="00045ADA">
      <w:pPr>
        <w:rPr>
          <w:sz w:val="24"/>
          <w:szCs w:val="24"/>
        </w:rPr>
      </w:pPr>
      <w:r>
        <w:rPr>
          <w:sz w:val="24"/>
          <w:szCs w:val="24"/>
        </w:rPr>
        <w:t xml:space="preserve">Subclause </w:t>
      </w:r>
      <w:r w:rsidR="00731AB9">
        <w:rPr>
          <w:sz w:val="24"/>
          <w:szCs w:val="24"/>
        </w:rPr>
        <w:t>5(b</w:t>
      </w:r>
      <w:r>
        <w:rPr>
          <w:sz w:val="24"/>
          <w:szCs w:val="24"/>
        </w:rPr>
        <w:t xml:space="preserve">) of the </w:t>
      </w:r>
      <w:r w:rsidR="00237901">
        <w:rPr>
          <w:sz w:val="24"/>
          <w:szCs w:val="24"/>
        </w:rPr>
        <w:t>Optus Mobile</w:t>
      </w:r>
      <w:r>
        <w:rPr>
          <w:sz w:val="24"/>
          <w:szCs w:val="24"/>
        </w:rPr>
        <w:t xml:space="preserve"> Declaration </w:t>
      </w:r>
      <w:r w:rsidRPr="004451E3">
        <w:rPr>
          <w:sz w:val="24"/>
          <w:szCs w:val="24"/>
        </w:rPr>
        <w:t>require</w:t>
      </w:r>
      <w:r>
        <w:rPr>
          <w:sz w:val="24"/>
          <w:szCs w:val="24"/>
        </w:rPr>
        <w:t>d</w:t>
      </w:r>
      <w:r w:rsidRPr="004451E3">
        <w:rPr>
          <w:sz w:val="24"/>
          <w:szCs w:val="24"/>
        </w:rPr>
        <w:t xml:space="preserve"> </w:t>
      </w:r>
      <w:r w:rsidR="00237901">
        <w:rPr>
          <w:sz w:val="24"/>
          <w:szCs w:val="24"/>
        </w:rPr>
        <w:t>Optus Mobile</w:t>
      </w:r>
      <w:r>
        <w:rPr>
          <w:sz w:val="24"/>
          <w:szCs w:val="24"/>
        </w:rPr>
        <w:t xml:space="preserve"> </w:t>
      </w:r>
      <w:r w:rsidRPr="004451E3">
        <w:rPr>
          <w:sz w:val="24"/>
          <w:szCs w:val="24"/>
        </w:rPr>
        <w:t>to comply with clauses 8, 9, 10, 11, 12, 13 and 14 of Schedule 1 to the Act as if the plan were an industry development plan made under Part 2 of Schedule 1 to the Act.</w:t>
      </w:r>
      <w:r>
        <w:rPr>
          <w:sz w:val="24"/>
          <w:szCs w:val="24"/>
        </w:rPr>
        <w:t xml:space="preserve">  </w:t>
      </w:r>
      <w:r w:rsidRPr="00045ADA">
        <w:rPr>
          <w:sz w:val="24"/>
          <w:szCs w:val="24"/>
        </w:rPr>
        <w:t xml:space="preserve">The Productivity Commission report “Telecommunications Competition Regulation”, Report No. 16, 21 September 2001, found that there was no compelling argument for continuing with the operation of </w:t>
      </w:r>
      <w:r>
        <w:rPr>
          <w:sz w:val="24"/>
          <w:szCs w:val="24"/>
        </w:rPr>
        <w:t xml:space="preserve">industry development plans </w:t>
      </w:r>
      <w:r w:rsidRPr="00045ADA">
        <w:rPr>
          <w:sz w:val="24"/>
          <w:szCs w:val="24"/>
        </w:rPr>
        <w:t xml:space="preserve">and recommended that the legal requirement for </w:t>
      </w:r>
      <w:r w:rsidR="00353F06">
        <w:rPr>
          <w:sz w:val="24"/>
          <w:szCs w:val="24"/>
        </w:rPr>
        <w:t>industry development plans</w:t>
      </w:r>
      <w:r w:rsidRPr="00045ADA">
        <w:rPr>
          <w:sz w:val="24"/>
          <w:szCs w:val="24"/>
        </w:rPr>
        <w:t xml:space="preserve"> be repealed.  Schedule 1 to the </w:t>
      </w:r>
      <w:r w:rsidRPr="00045ADA">
        <w:rPr>
          <w:i/>
          <w:sz w:val="24"/>
          <w:szCs w:val="24"/>
        </w:rPr>
        <w:t>Telecommunications Legislation Amendment (Competition and Consumer Issues) Act 2005</w:t>
      </w:r>
      <w:r>
        <w:rPr>
          <w:i/>
          <w:sz w:val="24"/>
          <w:szCs w:val="24"/>
        </w:rPr>
        <w:t xml:space="preserve"> </w:t>
      </w:r>
      <w:r w:rsidRPr="00045ADA">
        <w:rPr>
          <w:sz w:val="24"/>
          <w:szCs w:val="24"/>
        </w:rPr>
        <w:t>repeal</w:t>
      </w:r>
      <w:r>
        <w:rPr>
          <w:sz w:val="24"/>
          <w:szCs w:val="24"/>
        </w:rPr>
        <w:t xml:space="preserve">ed </w:t>
      </w:r>
      <w:r w:rsidRPr="00045ADA">
        <w:rPr>
          <w:sz w:val="24"/>
          <w:szCs w:val="24"/>
        </w:rPr>
        <w:t xml:space="preserve">Part 2 of Schedule 1 to the Telecommunications Act, thereby removing the requirement for carriers to have </w:t>
      </w:r>
      <w:r>
        <w:rPr>
          <w:sz w:val="24"/>
          <w:szCs w:val="24"/>
        </w:rPr>
        <w:t>industry development plans</w:t>
      </w:r>
      <w:r w:rsidRPr="00045ADA">
        <w:rPr>
          <w:sz w:val="24"/>
          <w:szCs w:val="24"/>
        </w:rPr>
        <w:t>.</w:t>
      </w:r>
      <w:r>
        <w:rPr>
          <w:sz w:val="24"/>
          <w:szCs w:val="24"/>
        </w:rPr>
        <w:t xml:space="preserve"> Accordingly, the carrier licence condition imposed upon </w:t>
      </w:r>
      <w:r w:rsidR="00237901">
        <w:rPr>
          <w:sz w:val="24"/>
          <w:szCs w:val="24"/>
        </w:rPr>
        <w:t>Optus Mobile</w:t>
      </w:r>
      <w:r>
        <w:rPr>
          <w:sz w:val="24"/>
          <w:szCs w:val="24"/>
        </w:rPr>
        <w:t xml:space="preserve"> under subclause </w:t>
      </w:r>
      <w:r w:rsidR="00731AB9">
        <w:rPr>
          <w:sz w:val="24"/>
          <w:szCs w:val="24"/>
        </w:rPr>
        <w:t>5(b</w:t>
      </w:r>
      <w:r>
        <w:rPr>
          <w:sz w:val="24"/>
          <w:szCs w:val="24"/>
        </w:rPr>
        <w:t>) is redundant.</w:t>
      </w:r>
    </w:p>
    <w:p w:rsidR="00045ADA" w:rsidRDefault="00045ADA" w:rsidP="00BC713C">
      <w:pPr>
        <w:pStyle w:val="BodyText2"/>
        <w:keepNext/>
        <w:rPr>
          <w:b/>
          <w:szCs w:val="24"/>
        </w:rPr>
      </w:pPr>
    </w:p>
    <w:p w:rsidR="00731AB9" w:rsidRDefault="00731AB9" w:rsidP="00731AB9">
      <w:pPr>
        <w:pStyle w:val="BodyText2"/>
        <w:ind w:right="-432"/>
      </w:pPr>
      <w:r>
        <w:t>Clause 6 requi</w:t>
      </w:r>
      <w:r w:rsidR="0004709E">
        <w:t>red</w:t>
      </w:r>
      <w:r>
        <w:t xml:space="preserve"> Optus Mobile</w:t>
      </w:r>
      <w:r w:rsidR="0004709E">
        <w:t xml:space="preserve"> to </w:t>
      </w:r>
      <w:r>
        <w:t>have offered, and be able to supply</w:t>
      </w:r>
      <w:r w:rsidR="0004709E">
        <w:t xml:space="preserve"> between 1 July and 30 December 1997</w:t>
      </w:r>
      <w:r>
        <w:t>, public mobile telecommunications services by means of digital facilities in areas in which at least 80% of the Australian population lives.</w:t>
      </w:r>
      <w:r w:rsidR="00527B11" w:rsidRPr="00527B11">
        <w:rPr>
          <w:szCs w:val="24"/>
        </w:rPr>
        <w:t xml:space="preserve"> </w:t>
      </w:r>
      <w:r w:rsidR="00527B11">
        <w:rPr>
          <w:szCs w:val="24"/>
        </w:rPr>
        <w:t>This carrier licence condition was satisfied fully</w:t>
      </w:r>
      <w:r w:rsidR="00972BD0">
        <w:rPr>
          <w:szCs w:val="24"/>
        </w:rPr>
        <w:t>;</w:t>
      </w:r>
      <w:r w:rsidR="00527B11">
        <w:rPr>
          <w:szCs w:val="24"/>
        </w:rPr>
        <w:t xml:space="preserve"> therefore subclause </w:t>
      </w:r>
      <w:r w:rsidR="0004709E">
        <w:rPr>
          <w:szCs w:val="24"/>
        </w:rPr>
        <w:t xml:space="preserve">6 </w:t>
      </w:r>
      <w:r w:rsidR="00527B11">
        <w:rPr>
          <w:szCs w:val="24"/>
        </w:rPr>
        <w:t>is spent.</w:t>
      </w:r>
    </w:p>
    <w:p w:rsidR="005D50DF" w:rsidRDefault="005D50DF" w:rsidP="00BC713C">
      <w:pPr>
        <w:pStyle w:val="BodyText2"/>
        <w:keepNext/>
        <w:rPr>
          <w:b/>
          <w:szCs w:val="24"/>
        </w:rPr>
      </w:pPr>
    </w:p>
    <w:p w:rsidR="00BC713C" w:rsidRPr="002612B8" w:rsidRDefault="00BC713C" w:rsidP="00BC713C">
      <w:pPr>
        <w:pStyle w:val="BodyText2"/>
        <w:keepNext/>
        <w:rPr>
          <w:b/>
          <w:szCs w:val="24"/>
        </w:rPr>
      </w:pPr>
      <w:r>
        <w:rPr>
          <w:b/>
          <w:szCs w:val="24"/>
        </w:rPr>
        <w:t>Consultation</w:t>
      </w:r>
    </w:p>
    <w:p w:rsidR="00A52C63" w:rsidRPr="00A52C63" w:rsidRDefault="00A52C63" w:rsidP="00A52C63">
      <w:pPr>
        <w:spacing w:before="100" w:beforeAutospacing="1" w:after="100" w:afterAutospacing="1"/>
        <w:rPr>
          <w:sz w:val="24"/>
          <w:szCs w:val="24"/>
        </w:rPr>
      </w:pPr>
      <w:r w:rsidRPr="00A52C63">
        <w:rPr>
          <w:color w:val="000000"/>
          <w:sz w:val="24"/>
          <w:szCs w:val="24"/>
        </w:rPr>
        <w:t>Section 64 of the Act</w:t>
      </w:r>
      <w:r w:rsidRPr="00A52C63">
        <w:rPr>
          <w:i/>
          <w:iCs/>
          <w:color w:val="000000"/>
          <w:sz w:val="24"/>
          <w:szCs w:val="24"/>
        </w:rPr>
        <w:t xml:space="preserve"> </w:t>
      </w:r>
      <w:r w:rsidRPr="00A52C63">
        <w:rPr>
          <w:color w:val="000000"/>
          <w:sz w:val="24"/>
          <w:szCs w:val="24"/>
        </w:rPr>
        <w:t>provides that before making an instrument under subsection 63(</w:t>
      </w:r>
      <w:r>
        <w:rPr>
          <w:color w:val="000000"/>
          <w:sz w:val="24"/>
          <w:szCs w:val="24"/>
        </w:rPr>
        <w:t>6</w:t>
      </w:r>
      <w:r w:rsidRPr="00A52C63">
        <w:rPr>
          <w:color w:val="000000"/>
          <w:sz w:val="24"/>
          <w:szCs w:val="24"/>
        </w:rPr>
        <w:t xml:space="preserve">) of the Act, the Minister must arrange for a draft version of the instrument to be provided to the licence holder and invite the holder to make a submission to the Minister on the draft.  Consistent with this requirement, the Minister formally </w:t>
      </w:r>
      <w:r w:rsidR="00FE43BE">
        <w:rPr>
          <w:color w:val="000000"/>
          <w:sz w:val="24"/>
          <w:szCs w:val="24"/>
        </w:rPr>
        <w:t>wrote to</w:t>
      </w:r>
      <w:r w:rsidRPr="00A52C63">
        <w:rPr>
          <w:color w:val="000000"/>
          <w:sz w:val="24"/>
          <w:szCs w:val="24"/>
        </w:rPr>
        <w:t xml:space="preserve"> </w:t>
      </w:r>
      <w:r w:rsidR="00237901">
        <w:rPr>
          <w:color w:val="000000"/>
          <w:sz w:val="24"/>
          <w:szCs w:val="24"/>
        </w:rPr>
        <w:t>Optus</w:t>
      </w:r>
      <w:r>
        <w:rPr>
          <w:color w:val="000000"/>
          <w:sz w:val="24"/>
          <w:szCs w:val="24"/>
        </w:rPr>
        <w:t xml:space="preserve"> </w:t>
      </w:r>
      <w:r w:rsidRPr="00A52C63">
        <w:rPr>
          <w:color w:val="000000"/>
          <w:sz w:val="24"/>
          <w:szCs w:val="24"/>
        </w:rPr>
        <w:t xml:space="preserve">on </w:t>
      </w:r>
      <w:r w:rsidR="00353F06">
        <w:rPr>
          <w:color w:val="000000"/>
          <w:sz w:val="24"/>
          <w:szCs w:val="24"/>
        </w:rPr>
        <w:t>13 February 2014</w:t>
      </w:r>
      <w:r>
        <w:rPr>
          <w:color w:val="000000"/>
          <w:sz w:val="24"/>
          <w:szCs w:val="24"/>
        </w:rPr>
        <w:t xml:space="preserve"> </w:t>
      </w:r>
      <w:r w:rsidRPr="00A52C63">
        <w:rPr>
          <w:color w:val="000000"/>
          <w:sz w:val="24"/>
          <w:szCs w:val="24"/>
        </w:rPr>
        <w:t xml:space="preserve">regarding the proposed </w:t>
      </w:r>
      <w:r>
        <w:rPr>
          <w:color w:val="000000"/>
          <w:sz w:val="24"/>
          <w:szCs w:val="24"/>
        </w:rPr>
        <w:t xml:space="preserve">revocation </w:t>
      </w:r>
      <w:r w:rsidRPr="00A52C63">
        <w:rPr>
          <w:color w:val="000000"/>
          <w:sz w:val="24"/>
          <w:szCs w:val="24"/>
        </w:rPr>
        <w:t xml:space="preserve">of </w:t>
      </w:r>
      <w:r>
        <w:rPr>
          <w:color w:val="000000"/>
          <w:sz w:val="24"/>
          <w:szCs w:val="24"/>
        </w:rPr>
        <w:t xml:space="preserve">the </w:t>
      </w:r>
      <w:r w:rsidR="00237901">
        <w:rPr>
          <w:color w:val="000000"/>
          <w:sz w:val="24"/>
          <w:szCs w:val="24"/>
        </w:rPr>
        <w:t>Optus Mobile</w:t>
      </w:r>
      <w:r>
        <w:rPr>
          <w:color w:val="000000"/>
          <w:sz w:val="24"/>
          <w:szCs w:val="24"/>
        </w:rPr>
        <w:t xml:space="preserve"> Declaration</w:t>
      </w:r>
      <w:r w:rsidRPr="00A52C63">
        <w:rPr>
          <w:color w:val="000000"/>
          <w:sz w:val="24"/>
          <w:szCs w:val="24"/>
        </w:rPr>
        <w:t>.  </w:t>
      </w:r>
      <w:r w:rsidR="00237901">
        <w:rPr>
          <w:color w:val="000000"/>
          <w:sz w:val="24"/>
          <w:szCs w:val="24"/>
        </w:rPr>
        <w:t xml:space="preserve">Optus </w:t>
      </w:r>
      <w:r w:rsidR="00FE43BE">
        <w:rPr>
          <w:color w:val="000000"/>
          <w:sz w:val="24"/>
          <w:szCs w:val="24"/>
        </w:rPr>
        <w:t>replied</w:t>
      </w:r>
      <w:r w:rsidRPr="00A52C63">
        <w:rPr>
          <w:color w:val="000000"/>
          <w:sz w:val="24"/>
          <w:szCs w:val="24"/>
        </w:rPr>
        <w:t xml:space="preserve"> to the Minister on </w:t>
      </w:r>
      <w:r w:rsidR="00353F06">
        <w:rPr>
          <w:color w:val="000000"/>
          <w:sz w:val="24"/>
          <w:szCs w:val="24"/>
        </w:rPr>
        <w:t>18 February 2014</w:t>
      </w:r>
      <w:r>
        <w:rPr>
          <w:color w:val="000000"/>
          <w:sz w:val="24"/>
          <w:szCs w:val="24"/>
        </w:rPr>
        <w:t xml:space="preserve"> </w:t>
      </w:r>
      <w:r w:rsidR="00FE43BE">
        <w:rPr>
          <w:color w:val="000000"/>
          <w:sz w:val="24"/>
          <w:szCs w:val="24"/>
        </w:rPr>
        <w:t>stating its support for</w:t>
      </w:r>
      <w:r w:rsidRPr="00A52C63">
        <w:rPr>
          <w:color w:val="000000"/>
          <w:sz w:val="24"/>
          <w:szCs w:val="24"/>
        </w:rPr>
        <w:t xml:space="preserve"> the proposed </w:t>
      </w:r>
      <w:r>
        <w:rPr>
          <w:color w:val="000000"/>
          <w:sz w:val="24"/>
          <w:szCs w:val="24"/>
        </w:rPr>
        <w:t>revocation</w:t>
      </w:r>
      <w:r w:rsidRPr="00A52C63">
        <w:rPr>
          <w:color w:val="000000"/>
          <w:sz w:val="24"/>
          <w:szCs w:val="24"/>
        </w:rPr>
        <w:t xml:space="preserve">. </w:t>
      </w:r>
    </w:p>
    <w:p w:rsidR="00A52C63" w:rsidRPr="00A52C63" w:rsidRDefault="00A52C63" w:rsidP="00A52C63">
      <w:pPr>
        <w:spacing w:before="100" w:beforeAutospacing="1" w:after="100" w:afterAutospacing="1"/>
        <w:rPr>
          <w:sz w:val="24"/>
          <w:szCs w:val="24"/>
        </w:rPr>
      </w:pPr>
      <w:r w:rsidRPr="00A52C63">
        <w:rPr>
          <w:color w:val="000000"/>
          <w:sz w:val="24"/>
          <w:szCs w:val="24"/>
        </w:rPr>
        <w:t xml:space="preserve">The Office of Best Practice Regulation has advised that a regulatory impact statement is not required for this </w:t>
      </w:r>
      <w:r w:rsidR="0096793E">
        <w:rPr>
          <w:color w:val="000000"/>
          <w:sz w:val="24"/>
          <w:szCs w:val="24"/>
        </w:rPr>
        <w:t>In</w:t>
      </w:r>
      <w:r w:rsidR="0096793E" w:rsidRPr="00A52C63">
        <w:rPr>
          <w:color w:val="000000"/>
          <w:sz w:val="24"/>
          <w:szCs w:val="24"/>
        </w:rPr>
        <w:t>strument</w:t>
      </w:r>
      <w:r w:rsidR="00151B89">
        <w:rPr>
          <w:color w:val="000000"/>
          <w:sz w:val="24"/>
          <w:szCs w:val="24"/>
        </w:rPr>
        <w:t>.</w:t>
      </w:r>
    </w:p>
    <w:p w:rsidR="00BC713C" w:rsidRDefault="00BC713C" w:rsidP="005C7D57">
      <w:pPr>
        <w:rPr>
          <w:b/>
          <w:sz w:val="24"/>
          <w:szCs w:val="24"/>
        </w:rPr>
      </w:pPr>
    </w:p>
    <w:p w:rsidR="005C7D57" w:rsidRPr="00BC713C" w:rsidRDefault="00A03A7F" w:rsidP="005C7D57">
      <w:pPr>
        <w:rPr>
          <w:b/>
          <w:sz w:val="24"/>
          <w:szCs w:val="24"/>
        </w:rPr>
      </w:pPr>
      <w:r w:rsidRPr="00BC713C">
        <w:rPr>
          <w:b/>
          <w:sz w:val="24"/>
          <w:szCs w:val="24"/>
        </w:rPr>
        <w:t xml:space="preserve">Other details </w:t>
      </w:r>
    </w:p>
    <w:p w:rsidR="005C7D57" w:rsidRDefault="005C7D57" w:rsidP="005C7D57">
      <w:pPr>
        <w:rPr>
          <w:sz w:val="24"/>
          <w:szCs w:val="24"/>
        </w:rPr>
      </w:pPr>
    </w:p>
    <w:p w:rsidR="00460B93" w:rsidRDefault="00460B93" w:rsidP="00460B93">
      <w:pPr>
        <w:rPr>
          <w:sz w:val="24"/>
          <w:szCs w:val="24"/>
        </w:rPr>
      </w:pPr>
      <w:r w:rsidRPr="00693790">
        <w:rPr>
          <w:sz w:val="24"/>
          <w:szCs w:val="24"/>
        </w:rPr>
        <w:t xml:space="preserve">The Revocation Instrument is a legislative instrument for the purposes of the </w:t>
      </w:r>
      <w:r w:rsidRPr="00693790">
        <w:rPr>
          <w:i/>
          <w:sz w:val="24"/>
          <w:szCs w:val="24"/>
        </w:rPr>
        <w:t>Legislative Instruments Act 2003</w:t>
      </w:r>
      <w:r w:rsidRPr="00693790">
        <w:rPr>
          <w:sz w:val="24"/>
          <w:szCs w:val="24"/>
        </w:rPr>
        <w:t xml:space="preserve"> and shall commence on</w:t>
      </w:r>
      <w:r w:rsidRPr="00693790">
        <w:rPr>
          <w:color w:val="0000FF"/>
          <w:sz w:val="24"/>
          <w:szCs w:val="24"/>
        </w:rPr>
        <w:t xml:space="preserve"> </w:t>
      </w:r>
      <w:r w:rsidRPr="00693790">
        <w:rPr>
          <w:sz w:val="24"/>
          <w:szCs w:val="24"/>
        </w:rPr>
        <w:t>the day after it is registered in the Federal Register of Legislative Instruments.</w:t>
      </w:r>
    </w:p>
    <w:p w:rsidR="00460B93" w:rsidRPr="005C7D57" w:rsidRDefault="00460B93" w:rsidP="005C7D57">
      <w:pPr>
        <w:rPr>
          <w:sz w:val="24"/>
          <w:szCs w:val="24"/>
        </w:rPr>
      </w:pPr>
    </w:p>
    <w:p w:rsidR="00BC713C" w:rsidRDefault="00BC713C" w:rsidP="005C7D57">
      <w:pPr>
        <w:rPr>
          <w:sz w:val="24"/>
          <w:szCs w:val="24"/>
        </w:rPr>
      </w:pPr>
      <w:r>
        <w:rPr>
          <w:sz w:val="24"/>
          <w:szCs w:val="24"/>
        </w:rPr>
        <w:t>Notwithstanding the r</w:t>
      </w:r>
      <w:r w:rsidR="005C7D57" w:rsidRPr="005C7D57">
        <w:rPr>
          <w:sz w:val="24"/>
          <w:szCs w:val="24"/>
        </w:rPr>
        <w:t xml:space="preserve">evocation of the </w:t>
      </w:r>
      <w:r w:rsidR="00237901">
        <w:rPr>
          <w:sz w:val="24"/>
          <w:szCs w:val="24"/>
        </w:rPr>
        <w:t>Optus Mobile</w:t>
      </w:r>
      <w:r>
        <w:rPr>
          <w:sz w:val="24"/>
          <w:szCs w:val="24"/>
        </w:rPr>
        <w:t xml:space="preserve"> Declaration, </w:t>
      </w:r>
      <w:r w:rsidR="00237901">
        <w:rPr>
          <w:sz w:val="24"/>
          <w:szCs w:val="24"/>
        </w:rPr>
        <w:t>Optus Mobile</w:t>
      </w:r>
      <w:r>
        <w:rPr>
          <w:sz w:val="24"/>
          <w:szCs w:val="24"/>
        </w:rPr>
        <w:t>, as a carrier under the Act, continues to be subject to the standard carrier licence conditions under the Act.</w:t>
      </w:r>
    </w:p>
    <w:p w:rsidR="004451E3" w:rsidRPr="004451E3" w:rsidRDefault="004451E3" w:rsidP="004451E3">
      <w:pPr>
        <w:pStyle w:val="BodyText2"/>
        <w:rPr>
          <w:szCs w:val="24"/>
        </w:rPr>
      </w:pPr>
    </w:p>
    <w:p w:rsidR="004451E3" w:rsidRDefault="004451E3" w:rsidP="004451E3">
      <w:pPr>
        <w:pStyle w:val="BodyText2"/>
        <w:rPr>
          <w:szCs w:val="24"/>
          <w:u w:val="single"/>
        </w:rPr>
      </w:pPr>
      <w:r>
        <w:rPr>
          <w:szCs w:val="24"/>
        </w:rPr>
        <w:t xml:space="preserve">The </w:t>
      </w:r>
      <w:r w:rsidRPr="004451E3">
        <w:rPr>
          <w:szCs w:val="24"/>
        </w:rPr>
        <w:t>Statement of Compatibility with Human Rights</w:t>
      </w:r>
      <w:r>
        <w:rPr>
          <w:szCs w:val="24"/>
        </w:rPr>
        <w:t xml:space="preserve"> for this Revocation Instrument is </w:t>
      </w:r>
      <w:r w:rsidRPr="00693790">
        <w:rPr>
          <w:szCs w:val="24"/>
        </w:rPr>
        <w:t xml:space="preserve">set out in </w:t>
      </w:r>
      <w:r w:rsidRPr="00693790">
        <w:rPr>
          <w:szCs w:val="24"/>
          <w:u w:val="single"/>
        </w:rPr>
        <w:t>Attachment</w:t>
      </w:r>
      <w:r>
        <w:rPr>
          <w:szCs w:val="24"/>
          <w:u w:val="single"/>
        </w:rPr>
        <w:t xml:space="preserve"> 1.</w:t>
      </w:r>
    </w:p>
    <w:p w:rsidR="004451E3" w:rsidRDefault="004451E3" w:rsidP="00265A6F">
      <w:pPr>
        <w:pStyle w:val="BodyText2"/>
        <w:rPr>
          <w:szCs w:val="24"/>
          <w:u w:val="single"/>
        </w:rPr>
      </w:pPr>
    </w:p>
    <w:p w:rsidR="00265A6F" w:rsidRPr="000916F7" w:rsidRDefault="00265A6F" w:rsidP="00265A6F">
      <w:pPr>
        <w:pStyle w:val="BodyText2"/>
        <w:rPr>
          <w:szCs w:val="24"/>
        </w:rPr>
      </w:pPr>
      <w:r w:rsidRPr="00693790">
        <w:rPr>
          <w:szCs w:val="24"/>
        </w:rPr>
        <w:t xml:space="preserve">Details of the accompanying Revocation Instrument are set out in </w:t>
      </w:r>
      <w:r w:rsidRPr="00693790">
        <w:rPr>
          <w:szCs w:val="24"/>
          <w:u w:val="single"/>
        </w:rPr>
        <w:t>Attachment</w:t>
      </w:r>
      <w:r w:rsidR="004451E3">
        <w:rPr>
          <w:szCs w:val="24"/>
          <w:u w:val="single"/>
        </w:rPr>
        <w:t xml:space="preserve"> 2</w:t>
      </w:r>
      <w:r w:rsidRPr="00693790">
        <w:rPr>
          <w:szCs w:val="24"/>
        </w:rPr>
        <w:t>.</w:t>
      </w:r>
    </w:p>
    <w:p w:rsidR="00265A6F" w:rsidRDefault="00265A6F" w:rsidP="00693790">
      <w:pPr>
        <w:rPr>
          <w:sz w:val="24"/>
          <w:szCs w:val="24"/>
        </w:rPr>
      </w:pPr>
    </w:p>
    <w:p w:rsidR="004451E3" w:rsidRPr="004451E3" w:rsidRDefault="00A3645B" w:rsidP="004451E3">
      <w:pPr>
        <w:ind w:left="5760" w:firstLine="720"/>
        <w:jc w:val="center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br w:type="column"/>
      </w:r>
      <w:r w:rsidR="004451E3" w:rsidRPr="004451E3">
        <w:rPr>
          <w:b/>
          <w:sz w:val="24"/>
          <w:szCs w:val="24"/>
          <w:u w:val="single"/>
        </w:rPr>
        <w:lastRenderedPageBreak/>
        <w:t xml:space="preserve">Attachment 1 </w:t>
      </w:r>
    </w:p>
    <w:p w:rsidR="004451E3" w:rsidRPr="004451E3" w:rsidRDefault="004451E3" w:rsidP="004451E3">
      <w:pPr>
        <w:ind w:left="5760" w:firstLine="720"/>
        <w:jc w:val="center"/>
        <w:rPr>
          <w:sz w:val="24"/>
          <w:szCs w:val="24"/>
          <w:u w:val="single"/>
        </w:rPr>
      </w:pPr>
    </w:p>
    <w:p w:rsidR="00DB5C10" w:rsidRPr="00366326" w:rsidRDefault="00DB5C10" w:rsidP="00693790">
      <w:pPr>
        <w:jc w:val="center"/>
        <w:rPr>
          <w:b/>
          <w:i/>
          <w:sz w:val="24"/>
          <w:szCs w:val="24"/>
        </w:rPr>
      </w:pPr>
      <w:r w:rsidRPr="00366326">
        <w:rPr>
          <w:b/>
          <w:i/>
          <w:sz w:val="24"/>
          <w:szCs w:val="24"/>
        </w:rPr>
        <w:t>Statement of Compatibility with Human Rights</w:t>
      </w:r>
    </w:p>
    <w:p w:rsidR="00F10B1A" w:rsidRDefault="00F10B1A" w:rsidP="00693790">
      <w:pPr>
        <w:jc w:val="center"/>
        <w:rPr>
          <w:i/>
          <w:sz w:val="24"/>
          <w:szCs w:val="24"/>
        </w:rPr>
      </w:pPr>
    </w:p>
    <w:p w:rsidR="00DB5C10" w:rsidRPr="00366326" w:rsidRDefault="00DB5C10" w:rsidP="00693790">
      <w:pPr>
        <w:jc w:val="center"/>
        <w:rPr>
          <w:i/>
          <w:sz w:val="24"/>
          <w:szCs w:val="24"/>
        </w:rPr>
      </w:pPr>
      <w:r w:rsidRPr="00366326">
        <w:rPr>
          <w:i/>
          <w:sz w:val="24"/>
          <w:szCs w:val="24"/>
        </w:rPr>
        <w:t>Prepared in accordance with Part 3 of the Human Rights (Parliamentary Scrutiny) Act 2011</w:t>
      </w:r>
    </w:p>
    <w:p w:rsidR="00DB5C10" w:rsidRPr="00366326" w:rsidRDefault="00DB5C10" w:rsidP="00693790">
      <w:pPr>
        <w:jc w:val="center"/>
        <w:rPr>
          <w:i/>
          <w:sz w:val="24"/>
          <w:szCs w:val="24"/>
        </w:rPr>
      </w:pPr>
    </w:p>
    <w:p w:rsidR="00BC713C" w:rsidRDefault="00BC713C" w:rsidP="00693790">
      <w:pPr>
        <w:jc w:val="center"/>
        <w:rPr>
          <w:b/>
          <w:i/>
          <w:sz w:val="24"/>
          <w:szCs w:val="24"/>
        </w:rPr>
      </w:pPr>
      <w:r w:rsidRPr="00BC713C">
        <w:rPr>
          <w:b/>
          <w:i/>
          <w:sz w:val="24"/>
          <w:szCs w:val="24"/>
        </w:rPr>
        <w:t>Carrier Licence Conditions (</w:t>
      </w:r>
      <w:r w:rsidR="00237901">
        <w:rPr>
          <w:b/>
          <w:i/>
          <w:sz w:val="24"/>
          <w:szCs w:val="24"/>
        </w:rPr>
        <w:t>Optus Mobile Pty Ltd</w:t>
      </w:r>
      <w:r w:rsidRPr="00BC713C">
        <w:rPr>
          <w:b/>
          <w:i/>
          <w:sz w:val="24"/>
          <w:szCs w:val="24"/>
        </w:rPr>
        <w:t>) Declaration 1997               Instrument of Revocation 2014</w:t>
      </w:r>
    </w:p>
    <w:p w:rsidR="00DB5C10" w:rsidRDefault="00DB5C10" w:rsidP="00693790">
      <w:pPr>
        <w:jc w:val="center"/>
        <w:rPr>
          <w:b/>
          <w:i/>
          <w:sz w:val="24"/>
          <w:szCs w:val="24"/>
        </w:rPr>
      </w:pPr>
    </w:p>
    <w:p w:rsidR="00BC713C" w:rsidRPr="00366326" w:rsidRDefault="00BC713C" w:rsidP="00693790">
      <w:pPr>
        <w:jc w:val="center"/>
        <w:rPr>
          <w:sz w:val="24"/>
          <w:szCs w:val="24"/>
        </w:rPr>
      </w:pPr>
    </w:p>
    <w:p w:rsidR="00DB5C10" w:rsidRPr="00366326" w:rsidRDefault="00BC713C" w:rsidP="0069379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BC713C">
        <w:rPr>
          <w:i/>
          <w:sz w:val="24"/>
          <w:szCs w:val="24"/>
        </w:rPr>
        <w:t>Carrier Licence Conditions (</w:t>
      </w:r>
      <w:r w:rsidR="00237901">
        <w:rPr>
          <w:i/>
          <w:sz w:val="24"/>
          <w:szCs w:val="24"/>
        </w:rPr>
        <w:t>Optus Mobile Pty Ltd</w:t>
      </w:r>
      <w:r w:rsidRPr="00BC713C">
        <w:rPr>
          <w:i/>
          <w:sz w:val="24"/>
          <w:szCs w:val="24"/>
        </w:rPr>
        <w:t>) Declaration 1997 Instrument of Revocation 2014</w:t>
      </w:r>
      <w:r w:rsidR="00E62002">
        <w:rPr>
          <w:i/>
          <w:sz w:val="24"/>
          <w:szCs w:val="24"/>
        </w:rPr>
        <w:t xml:space="preserve"> </w:t>
      </w:r>
      <w:r w:rsidR="00E62002">
        <w:rPr>
          <w:sz w:val="24"/>
          <w:szCs w:val="24"/>
        </w:rPr>
        <w:t xml:space="preserve">(the Revocation Instrument) </w:t>
      </w:r>
      <w:r w:rsidR="00DB5C10" w:rsidRPr="00366326">
        <w:rPr>
          <w:sz w:val="24"/>
          <w:szCs w:val="24"/>
        </w:rPr>
        <w:t>is compatible with the human rights and freedoms recognised or declared in the international instruments listed in section</w:t>
      </w:r>
      <w:r w:rsidR="002D5CBC">
        <w:rPr>
          <w:sz w:val="24"/>
          <w:szCs w:val="24"/>
        </w:rPr>
        <w:t> </w:t>
      </w:r>
      <w:r w:rsidR="00DB5C10" w:rsidRPr="00366326">
        <w:rPr>
          <w:sz w:val="24"/>
          <w:szCs w:val="24"/>
        </w:rPr>
        <w:t xml:space="preserve">3 of the </w:t>
      </w:r>
      <w:r w:rsidR="00DB5C10" w:rsidRPr="00366326">
        <w:rPr>
          <w:i/>
          <w:sz w:val="24"/>
          <w:szCs w:val="24"/>
        </w:rPr>
        <w:t>Human Rights (Parliamentary Scrutiny) Act 2011</w:t>
      </w:r>
      <w:r w:rsidR="00DB5C10" w:rsidRPr="00366326">
        <w:rPr>
          <w:sz w:val="24"/>
          <w:szCs w:val="24"/>
        </w:rPr>
        <w:t>.</w:t>
      </w:r>
    </w:p>
    <w:p w:rsidR="003729DD" w:rsidRDefault="003729DD" w:rsidP="00693790">
      <w:pPr>
        <w:rPr>
          <w:sz w:val="24"/>
          <w:szCs w:val="24"/>
        </w:rPr>
      </w:pPr>
    </w:p>
    <w:p w:rsidR="003729DD" w:rsidRDefault="00DB5C10" w:rsidP="00693790">
      <w:pPr>
        <w:rPr>
          <w:b/>
          <w:sz w:val="24"/>
          <w:szCs w:val="24"/>
        </w:rPr>
      </w:pPr>
      <w:r w:rsidRPr="00366326">
        <w:rPr>
          <w:b/>
          <w:sz w:val="24"/>
          <w:szCs w:val="24"/>
        </w:rPr>
        <w:t xml:space="preserve">Overview of the </w:t>
      </w:r>
      <w:r w:rsidR="00B459CF">
        <w:rPr>
          <w:b/>
          <w:sz w:val="24"/>
          <w:szCs w:val="24"/>
        </w:rPr>
        <w:t>Revocation</w:t>
      </w:r>
      <w:r w:rsidR="00DA7523">
        <w:rPr>
          <w:b/>
          <w:sz w:val="24"/>
          <w:szCs w:val="24"/>
        </w:rPr>
        <w:t xml:space="preserve"> Instrument</w:t>
      </w:r>
    </w:p>
    <w:p w:rsidR="003729DD" w:rsidRDefault="003729DD" w:rsidP="00693790">
      <w:pPr>
        <w:rPr>
          <w:b/>
          <w:sz w:val="24"/>
          <w:szCs w:val="24"/>
        </w:rPr>
      </w:pPr>
    </w:p>
    <w:p w:rsidR="00EF5346" w:rsidRDefault="00237901" w:rsidP="00A81ADB">
      <w:pPr>
        <w:rPr>
          <w:sz w:val="24"/>
          <w:szCs w:val="24"/>
        </w:rPr>
      </w:pPr>
      <w:r>
        <w:rPr>
          <w:sz w:val="24"/>
          <w:szCs w:val="24"/>
        </w:rPr>
        <w:t>Optus Mobile</w:t>
      </w:r>
      <w:r w:rsidR="00A81ADB">
        <w:rPr>
          <w:sz w:val="24"/>
          <w:szCs w:val="24"/>
        </w:rPr>
        <w:t xml:space="preserve"> Pty Limited </w:t>
      </w:r>
      <w:r w:rsidR="009A02BB">
        <w:rPr>
          <w:sz w:val="24"/>
          <w:szCs w:val="24"/>
        </w:rPr>
        <w:t>(</w:t>
      </w:r>
      <w:r>
        <w:rPr>
          <w:sz w:val="24"/>
          <w:szCs w:val="24"/>
        </w:rPr>
        <w:t>Optus Mobile</w:t>
      </w:r>
      <w:r w:rsidR="009A02BB">
        <w:rPr>
          <w:sz w:val="24"/>
          <w:szCs w:val="24"/>
        </w:rPr>
        <w:t xml:space="preserve">) </w:t>
      </w:r>
      <w:r w:rsidR="00A81ADB">
        <w:rPr>
          <w:sz w:val="24"/>
          <w:szCs w:val="24"/>
        </w:rPr>
        <w:t>is currently subject to two classes of carrier licence conditions</w:t>
      </w:r>
      <w:r w:rsidR="00EF5346">
        <w:rPr>
          <w:sz w:val="24"/>
          <w:szCs w:val="24"/>
        </w:rPr>
        <w:t>:</w:t>
      </w:r>
      <w:r w:rsidR="00A81ADB">
        <w:rPr>
          <w:sz w:val="24"/>
          <w:szCs w:val="24"/>
        </w:rPr>
        <w:t xml:space="preserve"> standard licence conditions under the </w:t>
      </w:r>
      <w:r w:rsidR="00A81ADB" w:rsidRPr="00A81ADB">
        <w:rPr>
          <w:i/>
          <w:sz w:val="24"/>
          <w:szCs w:val="24"/>
        </w:rPr>
        <w:t>Telecommunications Act 1997</w:t>
      </w:r>
      <w:r w:rsidR="00972BD0">
        <w:rPr>
          <w:i/>
          <w:sz w:val="24"/>
          <w:szCs w:val="24"/>
        </w:rPr>
        <w:t xml:space="preserve"> </w:t>
      </w:r>
      <w:r w:rsidR="00972BD0">
        <w:rPr>
          <w:sz w:val="24"/>
          <w:szCs w:val="24"/>
        </w:rPr>
        <w:t>(the Act)</w:t>
      </w:r>
      <w:r w:rsidR="00A81ADB">
        <w:rPr>
          <w:sz w:val="24"/>
          <w:szCs w:val="24"/>
        </w:rPr>
        <w:t xml:space="preserve">; and the specific licence conditions under the </w:t>
      </w:r>
      <w:r w:rsidR="00EF5346" w:rsidRPr="00BC713C">
        <w:rPr>
          <w:i/>
          <w:sz w:val="24"/>
          <w:szCs w:val="24"/>
        </w:rPr>
        <w:t>Carrier Licence Conditions (</w:t>
      </w:r>
      <w:r>
        <w:rPr>
          <w:i/>
          <w:sz w:val="24"/>
          <w:szCs w:val="24"/>
        </w:rPr>
        <w:t>Optus Mobile Pty Ltd</w:t>
      </w:r>
      <w:r w:rsidR="00EF5346" w:rsidRPr="00BC713C">
        <w:rPr>
          <w:i/>
          <w:sz w:val="24"/>
          <w:szCs w:val="24"/>
        </w:rPr>
        <w:t xml:space="preserve">) Declaration 1997 </w:t>
      </w:r>
      <w:r w:rsidR="00EF5346" w:rsidRPr="00EF5346">
        <w:rPr>
          <w:sz w:val="24"/>
          <w:szCs w:val="24"/>
        </w:rPr>
        <w:t>(</w:t>
      </w:r>
      <w:r>
        <w:rPr>
          <w:sz w:val="24"/>
          <w:szCs w:val="24"/>
        </w:rPr>
        <w:t>Optus Mobile</w:t>
      </w:r>
      <w:r w:rsidR="00A81ADB">
        <w:rPr>
          <w:sz w:val="24"/>
          <w:szCs w:val="24"/>
        </w:rPr>
        <w:t xml:space="preserve"> Declaration</w:t>
      </w:r>
      <w:r w:rsidR="00EF5346">
        <w:rPr>
          <w:sz w:val="24"/>
          <w:szCs w:val="24"/>
        </w:rPr>
        <w:t>)</w:t>
      </w:r>
      <w:r w:rsidR="00A81ADB">
        <w:rPr>
          <w:sz w:val="24"/>
          <w:szCs w:val="24"/>
        </w:rPr>
        <w:t xml:space="preserve">. In respect of the latter, </w:t>
      </w:r>
      <w:r w:rsidR="00EF5346">
        <w:rPr>
          <w:sz w:val="24"/>
          <w:szCs w:val="24"/>
        </w:rPr>
        <w:t xml:space="preserve">there are </w:t>
      </w:r>
      <w:r w:rsidR="0096793E">
        <w:rPr>
          <w:sz w:val="24"/>
          <w:szCs w:val="24"/>
        </w:rPr>
        <w:t xml:space="preserve">three </w:t>
      </w:r>
      <w:r w:rsidR="00EF5346">
        <w:rPr>
          <w:sz w:val="24"/>
          <w:szCs w:val="24"/>
        </w:rPr>
        <w:t xml:space="preserve">specific licence conditions </w:t>
      </w:r>
      <w:r w:rsidR="00045ADA">
        <w:rPr>
          <w:sz w:val="24"/>
          <w:szCs w:val="24"/>
        </w:rPr>
        <w:t xml:space="preserve">relating </w:t>
      </w:r>
      <w:r w:rsidR="00EF5346">
        <w:rPr>
          <w:sz w:val="24"/>
          <w:szCs w:val="24"/>
        </w:rPr>
        <w:t xml:space="preserve">to industry development plans </w:t>
      </w:r>
      <w:r w:rsidR="00972BD0">
        <w:rPr>
          <w:sz w:val="24"/>
          <w:szCs w:val="24"/>
        </w:rPr>
        <w:t xml:space="preserve">and network coverage </w:t>
      </w:r>
      <w:r w:rsidR="00EF5346">
        <w:rPr>
          <w:sz w:val="24"/>
          <w:szCs w:val="24"/>
        </w:rPr>
        <w:t xml:space="preserve">(described below) which are no longer required, thereby justifying the revocation of the </w:t>
      </w:r>
      <w:r>
        <w:rPr>
          <w:sz w:val="24"/>
          <w:szCs w:val="24"/>
        </w:rPr>
        <w:t>Optus Mobile</w:t>
      </w:r>
      <w:r w:rsidR="00EF5346">
        <w:rPr>
          <w:sz w:val="24"/>
          <w:szCs w:val="24"/>
        </w:rPr>
        <w:t xml:space="preserve"> Declaration in its entirety. </w:t>
      </w:r>
    </w:p>
    <w:p w:rsidR="00EF5346" w:rsidRDefault="00EF5346" w:rsidP="00A81ADB">
      <w:pPr>
        <w:rPr>
          <w:sz w:val="24"/>
          <w:szCs w:val="24"/>
        </w:rPr>
      </w:pPr>
    </w:p>
    <w:p w:rsidR="00045ADA" w:rsidRDefault="00EA31DF" w:rsidP="00045ADA">
      <w:pPr>
        <w:rPr>
          <w:sz w:val="24"/>
          <w:szCs w:val="24"/>
        </w:rPr>
      </w:pPr>
      <w:r>
        <w:rPr>
          <w:sz w:val="24"/>
          <w:szCs w:val="24"/>
        </w:rPr>
        <w:t>Subclause 5(a</w:t>
      </w:r>
      <w:r w:rsidR="00045ADA">
        <w:rPr>
          <w:sz w:val="24"/>
          <w:szCs w:val="24"/>
        </w:rPr>
        <w:t xml:space="preserve">) of the </w:t>
      </w:r>
      <w:r w:rsidR="00237901">
        <w:rPr>
          <w:sz w:val="24"/>
          <w:szCs w:val="24"/>
        </w:rPr>
        <w:t>Optus Mobile</w:t>
      </w:r>
      <w:r w:rsidR="00045ADA">
        <w:rPr>
          <w:sz w:val="24"/>
          <w:szCs w:val="24"/>
        </w:rPr>
        <w:t xml:space="preserve"> Declaration </w:t>
      </w:r>
      <w:r w:rsidR="00045ADA" w:rsidRPr="004451E3">
        <w:rPr>
          <w:sz w:val="24"/>
          <w:szCs w:val="24"/>
        </w:rPr>
        <w:t>require</w:t>
      </w:r>
      <w:r w:rsidR="00045ADA">
        <w:rPr>
          <w:sz w:val="24"/>
          <w:szCs w:val="24"/>
        </w:rPr>
        <w:t>d</w:t>
      </w:r>
      <w:r w:rsidR="00045ADA" w:rsidRPr="004451E3">
        <w:rPr>
          <w:sz w:val="24"/>
          <w:szCs w:val="24"/>
        </w:rPr>
        <w:t xml:space="preserve"> </w:t>
      </w:r>
      <w:r w:rsidR="00237901">
        <w:rPr>
          <w:sz w:val="24"/>
          <w:szCs w:val="24"/>
        </w:rPr>
        <w:t>Optus Mobile</w:t>
      </w:r>
      <w:r w:rsidR="00045ADA">
        <w:rPr>
          <w:sz w:val="24"/>
          <w:szCs w:val="24"/>
        </w:rPr>
        <w:t xml:space="preserve"> </w:t>
      </w:r>
      <w:r w:rsidR="00045ADA" w:rsidRPr="004451E3">
        <w:rPr>
          <w:sz w:val="24"/>
          <w:szCs w:val="24"/>
        </w:rPr>
        <w:t>to give a current industry development plan (as defined in clause 3) to the Minister for Industry, Science and Tourism and obtain his or her approval of the plan within 90 days after 1 July 1997</w:t>
      </w:r>
      <w:r w:rsidR="00045ADA">
        <w:rPr>
          <w:sz w:val="24"/>
          <w:szCs w:val="24"/>
        </w:rPr>
        <w:t>. As this carrier licence condi</w:t>
      </w:r>
      <w:r>
        <w:rPr>
          <w:sz w:val="24"/>
          <w:szCs w:val="24"/>
        </w:rPr>
        <w:t>tion has been met, subclause 5(a</w:t>
      </w:r>
      <w:r w:rsidR="00045ADA">
        <w:rPr>
          <w:sz w:val="24"/>
          <w:szCs w:val="24"/>
        </w:rPr>
        <w:t xml:space="preserve">) is </w:t>
      </w:r>
      <w:r w:rsidR="009A02BB">
        <w:rPr>
          <w:sz w:val="24"/>
          <w:szCs w:val="24"/>
        </w:rPr>
        <w:t>spent</w:t>
      </w:r>
      <w:r w:rsidR="00045ADA">
        <w:rPr>
          <w:sz w:val="24"/>
          <w:szCs w:val="24"/>
        </w:rPr>
        <w:t>.</w:t>
      </w:r>
    </w:p>
    <w:p w:rsidR="00045ADA" w:rsidRDefault="00045ADA" w:rsidP="00045ADA">
      <w:pPr>
        <w:rPr>
          <w:sz w:val="24"/>
          <w:szCs w:val="24"/>
        </w:rPr>
      </w:pPr>
    </w:p>
    <w:p w:rsidR="00045ADA" w:rsidRDefault="00045ADA" w:rsidP="00045ADA">
      <w:pPr>
        <w:rPr>
          <w:sz w:val="24"/>
          <w:szCs w:val="24"/>
        </w:rPr>
      </w:pPr>
      <w:r>
        <w:rPr>
          <w:sz w:val="24"/>
          <w:szCs w:val="24"/>
        </w:rPr>
        <w:t>Su</w:t>
      </w:r>
      <w:r w:rsidR="00EA31DF">
        <w:rPr>
          <w:sz w:val="24"/>
          <w:szCs w:val="24"/>
        </w:rPr>
        <w:t>bclause 5(b</w:t>
      </w:r>
      <w:r>
        <w:rPr>
          <w:sz w:val="24"/>
          <w:szCs w:val="24"/>
        </w:rPr>
        <w:t xml:space="preserve">) of the </w:t>
      </w:r>
      <w:r w:rsidR="00237901">
        <w:rPr>
          <w:sz w:val="24"/>
          <w:szCs w:val="24"/>
        </w:rPr>
        <w:t>Optus Mobile</w:t>
      </w:r>
      <w:r>
        <w:rPr>
          <w:sz w:val="24"/>
          <w:szCs w:val="24"/>
        </w:rPr>
        <w:t xml:space="preserve"> Declaration </w:t>
      </w:r>
      <w:r w:rsidRPr="004451E3">
        <w:rPr>
          <w:sz w:val="24"/>
          <w:szCs w:val="24"/>
        </w:rPr>
        <w:t>require</w:t>
      </w:r>
      <w:r>
        <w:rPr>
          <w:sz w:val="24"/>
          <w:szCs w:val="24"/>
        </w:rPr>
        <w:t>d</w:t>
      </w:r>
      <w:r w:rsidRPr="004451E3">
        <w:rPr>
          <w:sz w:val="24"/>
          <w:szCs w:val="24"/>
        </w:rPr>
        <w:t xml:space="preserve"> </w:t>
      </w:r>
      <w:r w:rsidR="00237901">
        <w:rPr>
          <w:sz w:val="24"/>
          <w:szCs w:val="24"/>
        </w:rPr>
        <w:t>Optus Mobile</w:t>
      </w:r>
      <w:r>
        <w:rPr>
          <w:sz w:val="24"/>
          <w:szCs w:val="24"/>
        </w:rPr>
        <w:t xml:space="preserve"> </w:t>
      </w:r>
      <w:r w:rsidRPr="004451E3">
        <w:rPr>
          <w:sz w:val="24"/>
          <w:szCs w:val="24"/>
        </w:rPr>
        <w:t>to comply with clauses 8, 9, 10, 11, 12, 13 and 14 of Schedule 1 to the Act as if the plan were an industry development plan made under Part 2 of Schedule 1 to the Act.</w:t>
      </w:r>
      <w:r>
        <w:rPr>
          <w:sz w:val="24"/>
          <w:szCs w:val="24"/>
        </w:rPr>
        <w:t xml:space="preserve"> Part 2 of Schedule 1 was </w:t>
      </w:r>
      <w:r w:rsidRPr="004451E3">
        <w:rPr>
          <w:sz w:val="24"/>
          <w:szCs w:val="24"/>
        </w:rPr>
        <w:t>rep</w:t>
      </w:r>
      <w:r>
        <w:rPr>
          <w:sz w:val="24"/>
          <w:szCs w:val="24"/>
        </w:rPr>
        <w:t xml:space="preserve">ealed by the </w:t>
      </w:r>
      <w:r w:rsidRPr="00045ADA">
        <w:rPr>
          <w:i/>
          <w:sz w:val="24"/>
          <w:szCs w:val="24"/>
        </w:rPr>
        <w:t>Telecommunications Legislation Amendment (Competition and Consumer Issues) Act 2005</w:t>
      </w:r>
      <w:r w:rsidRPr="00045ADA">
        <w:rPr>
          <w:sz w:val="24"/>
          <w:szCs w:val="24"/>
        </w:rPr>
        <w:t>.</w:t>
      </w:r>
      <w:r>
        <w:rPr>
          <w:sz w:val="24"/>
          <w:szCs w:val="24"/>
        </w:rPr>
        <w:t xml:space="preserve"> Accordingly, the carrier licence condition imposed upon </w:t>
      </w:r>
      <w:r w:rsidR="00237901">
        <w:rPr>
          <w:sz w:val="24"/>
          <w:szCs w:val="24"/>
        </w:rPr>
        <w:t>Optus Mobile</w:t>
      </w:r>
      <w:r w:rsidR="00EA31DF">
        <w:rPr>
          <w:sz w:val="24"/>
          <w:szCs w:val="24"/>
        </w:rPr>
        <w:t xml:space="preserve"> under subclause 5(b</w:t>
      </w:r>
      <w:r>
        <w:rPr>
          <w:sz w:val="24"/>
          <w:szCs w:val="24"/>
        </w:rPr>
        <w:t>) is redundant.</w:t>
      </w:r>
    </w:p>
    <w:p w:rsidR="00A81ADB" w:rsidRDefault="00A81ADB" w:rsidP="00045ADA">
      <w:pPr>
        <w:jc w:val="right"/>
        <w:rPr>
          <w:sz w:val="24"/>
          <w:szCs w:val="24"/>
        </w:rPr>
      </w:pPr>
    </w:p>
    <w:p w:rsidR="00EA31DF" w:rsidRDefault="00EA31DF" w:rsidP="00EA31DF">
      <w:pPr>
        <w:pStyle w:val="BodyText2"/>
        <w:ind w:right="-432"/>
      </w:pPr>
      <w:r>
        <w:t>Clause 6 required Optus Mobile to have offered, and be able to supply between 1 July and 30 December 1997, public mobile telecommunications services by means of digital facilities in areas in which at least 80% of the Australian population lives.</w:t>
      </w:r>
      <w:r w:rsidRPr="00527B11">
        <w:rPr>
          <w:szCs w:val="24"/>
        </w:rPr>
        <w:t xml:space="preserve"> </w:t>
      </w:r>
      <w:r>
        <w:rPr>
          <w:szCs w:val="24"/>
        </w:rPr>
        <w:t>This carrier licence condition was satisfied fully</w:t>
      </w:r>
      <w:r w:rsidR="00972BD0">
        <w:rPr>
          <w:szCs w:val="24"/>
        </w:rPr>
        <w:t>;</w:t>
      </w:r>
      <w:r>
        <w:rPr>
          <w:szCs w:val="24"/>
        </w:rPr>
        <w:t xml:space="preserve"> therefore subclause 6 is </w:t>
      </w:r>
      <w:r w:rsidR="0096793E">
        <w:rPr>
          <w:szCs w:val="24"/>
        </w:rPr>
        <w:t xml:space="preserve">now </w:t>
      </w:r>
      <w:r>
        <w:rPr>
          <w:szCs w:val="24"/>
        </w:rPr>
        <w:t>spent.</w:t>
      </w:r>
    </w:p>
    <w:p w:rsidR="00EA31DF" w:rsidRPr="00EA31DF" w:rsidRDefault="00EA31DF" w:rsidP="00045ADA">
      <w:pPr>
        <w:jc w:val="right"/>
        <w:rPr>
          <w:b/>
          <w:sz w:val="24"/>
          <w:szCs w:val="24"/>
        </w:rPr>
      </w:pPr>
    </w:p>
    <w:p w:rsidR="00EF5346" w:rsidRDefault="00EF5346" w:rsidP="00EF5346">
      <w:pPr>
        <w:rPr>
          <w:sz w:val="24"/>
          <w:szCs w:val="24"/>
        </w:rPr>
      </w:pPr>
      <w:r>
        <w:rPr>
          <w:sz w:val="24"/>
          <w:szCs w:val="24"/>
        </w:rPr>
        <w:t>The effect of the Revocation Instrument is that the</w:t>
      </w:r>
      <w:r w:rsidR="009A02BB">
        <w:rPr>
          <w:sz w:val="24"/>
          <w:szCs w:val="24"/>
        </w:rPr>
        <w:t xml:space="preserve">se </w:t>
      </w:r>
      <w:r w:rsidR="0096793E">
        <w:rPr>
          <w:sz w:val="24"/>
          <w:szCs w:val="24"/>
        </w:rPr>
        <w:t xml:space="preserve">three </w:t>
      </w:r>
      <w:r w:rsidR="00045ADA">
        <w:rPr>
          <w:sz w:val="24"/>
          <w:szCs w:val="24"/>
        </w:rPr>
        <w:t xml:space="preserve">specific carrier licence conditions applying to </w:t>
      </w:r>
      <w:r w:rsidR="00237901">
        <w:rPr>
          <w:sz w:val="24"/>
          <w:szCs w:val="24"/>
        </w:rPr>
        <w:t>Optus Mobile</w:t>
      </w:r>
      <w:r w:rsidR="00045ADA">
        <w:rPr>
          <w:sz w:val="24"/>
          <w:szCs w:val="24"/>
        </w:rPr>
        <w:t xml:space="preserve"> are removed. </w:t>
      </w:r>
      <w:r w:rsidR="009A02BB">
        <w:rPr>
          <w:sz w:val="24"/>
          <w:szCs w:val="24"/>
        </w:rPr>
        <w:t>Notwithstanding</w:t>
      </w:r>
      <w:r w:rsidR="00045ADA">
        <w:rPr>
          <w:sz w:val="24"/>
          <w:szCs w:val="24"/>
        </w:rPr>
        <w:t xml:space="preserve"> this, </w:t>
      </w:r>
      <w:r w:rsidR="00237901">
        <w:rPr>
          <w:sz w:val="24"/>
          <w:szCs w:val="24"/>
        </w:rPr>
        <w:t>Optus Mobile</w:t>
      </w:r>
      <w:r w:rsidR="009A02BB">
        <w:rPr>
          <w:sz w:val="24"/>
          <w:szCs w:val="24"/>
        </w:rPr>
        <w:t xml:space="preserve"> </w:t>
      </w:r>
      <w:r w:rsidR="00045ADA">
        <w:rPr>
          <w:sz w:val="24"/>
          <w:szCs w:val="24"/>
        </w:rPr>
        <w:t xml:space="preserve">continues to be subject to the standard carrier </w:t>
      </w:r>
      <w:r w:rsidR="009A02BB">
        <w:rPr>
          <w:sz w:val="24"/>
          <w:szCs w:val="24"/>
        </w:rPr>
        <w:t>licence</w:t>
      </w:r>
      <w:r w:rsidR="00045ADA">
        <w:rPr>
          <w:sz w:val="24"/>
          <w:szCs w:val="24"/>
        </w:rPr>
        <w:t xml:space="preserve"> conditions </w:t>
      </w:r>
      <w:r w:rsidR="009A02BB">
        <w:rPr>
          <w:sz w:val="24"/>
          <w:szCs w:val="24"/>
        </w:rPr>
        <w:t>und</w:t>
      </w:r>
      <w:r w:rsidR="00045ADA">
        <w:rPr>
          <w:sz w:val="24"/>
          <w:szCs w:val="24"/>
        </w:rPr>
        <w:t>e</w:t>
      </w:r>
      <w:r w:rsidR="009A02BB">
        <w:rPr>
          <w:sz w:val="24"/>
          <w:szCs w:val="24"/>
        </w:rPr>
        <w:t>r</w:t>
      </w:r>
      <w:r w:rsidR="00045ADA">
        <w:rPr>
          <w:sz w:val="24"/>
          <w:szCs w:val="24"/>
        </w:rPr>
        <w:t xml:space="preserve"> </w:t>
      </w:r>
      <w:r w:rsidR="009A02BB">
        <w:rPr>
          <w:sz w:val="24"/>
          <w:szCs w:val="24"/>
        </w:rPr>
        <w:t xml:space="preserve">the </w:t>
      </w:r>
      <w:r w:rsidR="00045ADA">
        <w:rPr>
          <w:sz w:val="24"/>
          <w:szCs w:val="24"/>
        </w:rPr>
        <w:t>Act.</w:t>
      </w:r>
    </w:p>
    <w:p w:rsidR="00EF5346" w:rsidRDefault="00EF5346" w:rsidP="00A81ADB">
      <w:pPr>
        <w:rPr>
          <w:sz w:val="24"/>
          <w:szCs w:val="24"/>
        </w:rPr>
      </w:pPr>
    </w:p>
    <w:p w:rsidR="00DB5C10" w:rsidRPr="00366326" w:rsidRDefault="00DB5C10" w:rsidP="00693790">
      <w:pPr>
        <w:keepNext/>
        <w:rPr>
          <w:b/>
          <w:sz w:val="24"/>
          <w:szCs w:val="24"/>
        </w:rPr>
      </w:pPr>
      <w:r w:rsidRPr="00366326">
        <w:rPr>
          <w:b/>
          <w:sz w:val="24"/>
          <w:szCs w:val="24"/>
        </w:rPr>
        <w:t>Human rights implications</w:t>
      </w:r>
    </w:p>
    <w:p w:rsidR="00DB5C10" w:rsidRPr="00366326" w:rsidRDefault="00DB5C10" w:rsidP="00693790">
      <w:pPr>
        <w:keepNext/>
        <w:rPr>
          <w:b/>
          <w:sz w:val="24"/>
          <w:szCs w:val="24"/>
        </w:rPr>
      </w:pPr>
    </w:p>
    <w:p w:rsidR="002D4DC1" w:rsidRDefault="007142F7" w:rsidP="002D4DC1">
      <w:pPr>
        <w:keepNext/>
        <w:rPr>
          <w:sz w:val="24"/>
          <w:szCs w:val="24"/>
        </w:rPr>
      </w:pPr>
      <w:r>
        <w:rPr>
          <w:sz w:val="24"/>
          <w:szCs w:val="24"/>
        </w:rPr>
        <w:t>The</w:t>
      </w:r>
      <w:r w:rsidR="00DB5C10" w:rsidRPr="00366326">
        <w:rPr>
          <w:sz w:val="24"/>
          <w:szCs w:val="24"/>
        </w:rPr>
        <w:t xml:space="preserve"> </w:t>
      </w:r>
      <w:r w:rsidR="00B459CF">
        <w:rPr>
          <w:sz w:val="24"/>
          <w:szCs w:val="24"/>
        </w:rPr>
        <w:t>Revocation</w:t>
      </w:r>
      <w:r w:rsidR="00DB5C10" w:rsidRPr="00366326">
        <w:rPr>
          <w:sz w:val="24"/>
          <w:szCs w:val="24"/>
        </w:rPr>
        <w:t xml:space="preserve"> </w:t>
      </w:r>
      <w:r w:rsidR="00DA7523">
        <w:rPr>
          <w:sz w:val="24"/>
          <w:szCs w:val="24"/>
        </w:rPr>
        <w:t xml:space="preserve">Instrument </w:t>
      </w:r>
      <w:r w:rsidR="00DB5C10" w:rsidRPr="00366326">
        <w:rPr>
          <w:sz w:val="24"/>
          <w:szCs w:val="24"/>
        </w:rPr>
        <w:t>does not engage any of the</w:t>
      </w:r>
      <w:r w:rsidR="00B459CF">
        <w:rPr>
          <w:sz w:val="24"/>
          <w:szCs w:val="24"/>
        </w:rPr>
        <w:t xml:space="preserve"> applicable rights or freedoms.</w:t>
      </w:r>
      <w:r w:rsidR="00101D7D">
        <w:rPr>
          <w:sz w:val="24"/>
          <w:szCs w:val="24"/>
        </w:rPr>
        <w:t xml:space="preserve"> </w:t>
      </w:r>
    </w:p>
    <w:p w:rsidR="002D4DC1" w:rsidRPr="00366326" w:rsidRDefault="002D4DC1" w:rsidP="00693790">
      <w:pPr>
        <w:rPr>
          <w:sz w:val="24"/>
          <w:szCs w:val="24"/>
        </w:rPr>
      </w:pPr>
    </w:p>
    <w:p w:rsidR="00DB5C10" w:rsidRPr="00366326" w:rsidRDefault="00DB5C10" w:rsidP="00693790">
      <w:pPr>
        <w:rPr>
          <w:b/>
          <w:sz w:val="24"/>
          <w:szCs w:val="24"/>
        </w:rPr>
      </w:pPr>
      <w:r w:rsidRPr="00366326">
        <w:rPr>
          <w:b/>
          <w:sz w:val="24"/>
          <w:szCs w:val="24"/>
        </w:rPr>
        <w:t>Conclusion</w:t>
      </w:r>
    </w:p>
    <w:p w:rsidR="00DB5C10" w:rsidRPr="00366326" w:rsidRDefault="00DB5C10" w:rsidP="00693790">
      <w:pPr>
        <w:rPr>
          <w:b/>
          <w:sz w:val="24"/>
          <w:szCs w:val="24"/>
        </w:rPr>
      </w:pPr>
    </w:p>
    <w:p w:rsidR="00DB5C10" w:rsidRPr="00366326" w:rsidRDefault="00DB5C10" w:rsidP="00693790">
      <w:pPr>
        <w:rPr>
          <w:sz w:val="24"/>
          <w:szCs w:val="24"/>
        </w:rPr>
      </w:pPr>
      <w:r w:rsidRPr="00366326">
        <w:rPr>
          <w:sz w:val="24"/>
          <w:szCs w:val="24"/>
        </w:rPr>
        <w:t xml:space="preserve">This </w:t>
      </w:r>
      <w:r w:rsidR="00B459CF">
        <w:rPr>
          <w:sz w:val="24"/>
          <w:szCs w:val="24"/>
        </w:rPr>
        <w:t xml:space="preserve">Revocation </w:t>
      </w:r>
      <w:r w:rsidR="00DA7523">
        <w:rPr>
          <w:sz w:val="24"/>
          <w:szCs w:val="24"/>
        </w:rPr>
        <w:t xml:space="preserve">Instrument </w:t>
      </w:r>
      <w:r w:rsidRPr="00366326">
        <w:rPr>
          <w:sz w:val="24"/>
          <w:szCs w:val="24"/>
        </w:rPr>
        <w:t>is compatible with human rights as it does not raise any human rights issues.</w:t>
      </w:r>
    </w:p>
    <w:p w:rsidR="00DB5C10" w:rsidRDefault="00DB5C10" w:rsidP="00693790">
      <w:pPr>
        <w:jc w:val="both"/>
        <w:rPr>
          <w:b/>
          <w:sz w:val="24"/>
          <w:szCs w:val="24"/>
        </w:rPr>
      </w:pPr>
    </w:p>
    <w:p w:rsidR="00F10B1A" w:rsidRDefault="00F10B1A" w:rsidP="00693790">
      <w:pPr>
        <w:jc w:val="both"/>
        <w:rPr>
          <w:b/>
          <w:sz w:val="24"/>
          <w:szCs w:val="24"/>
        </w:rPr>
      </w:pPr>
    </w:p>
    <w:p w:rsidR="0079130F" w:rsidRDefault="0079130F" w:rsidP="0079130F">
      <w:pPr>
        <w:ind w:right="91"/>
        <w:jc w:val="center"/>
        <w:rPr>
          <w:b/>
          <w:sz w:val="24"/>
          <w:szCs w:val="24"/>
        </w:rPr>
      </w:pPr>
    </w:p>
    <w:p w:rsidR="001B26BD" w:rsidRPr="000916F7" w:rsidRDefault="00A2675E" w:rsidP="0079130F">
      <w:pPr>
        <w:ind w:right="91"/>
        <w:jc w:val="right"/>
        <w:rPr>
          <w:sz w:val="24"/>
          <w:szCs w:val="24"/>
          <w:u w:val="single"/>
        </w:rPr>
      </w:pPr>
      <w:r w:rsidRPr="000916F7">
        <w:rPr>
          <w:sz w:val="24"/>
          <w:szCs w:val="24"/>
        </w:rPr>
        <w:br w:type="page"/>
      </w:r>
      <w:r w:rsidR="003350A1">
        <w:rPr>
          <w:b/>
          <w:sz w:val="24"/>
          <w:szCs w:val="24"/>
          <w:u w:val="single"/>
        </w:rPr>
        <w:t>Attachment</w:t>
      </w:r>
      <w:r w:rsidR="004451E3">
        <w:rPr>
          <w:b/>
          <w:sz w:val="24"/>
          <w:szCs w:val="24"/>
          <w:u w:val="single"/>
        </w:rPr>
        <w:t xml:space="preserve"> 2</w:t>
      </w:r>
    </w:p>
    <w:p w:rsidR="001B26BD" w:rsidRPr="00C7721E" w:rsidRDefault="001B26BD" w:rsidP="00693790">
      <w:pPr>
        <w:ind w:right="91"/>
        <w:jc w:val="right"/>
        <w:rPr>
          <w:sz w:val="24"/>
          <w:szCs w:val="24"/>
        </w:rPr>
      </w:pPr>
    </w:p>
    <w:p w:rsidR="001B26BD" w:rsidRPr="002864F7" w:rsidRDefault="001B26BD" w:rsidP="00693790">
      <w:pPr>
        <w:ind w:right="91"/>
        <w:rPr>
          <w:sz w:val="24"/>
          <w:szCs w:val="24"/>
          <w:u w:val="single"/>
        </w:rPr>
      </w:pPr>
      <w:r w:rsidRPr="00C7721E">
        <w:rPr>
          <w:b/>
          <w:sz w:val="24"/>
          <w:szCs w:val="24"/>
          <w:u w:val="single"/>
        </w:rPr>
        <w:t xml:space="preserve">Details of the </w:t>
      </w:r>
      <w:r w:rsidR="002864F7" w:rsidRPr="002864F7">
        <w:rPr>
          <w:b/>
          <w:sz w:val="24"/>
          <w:szCs w:val="24"/>
          <w:u w:val="single"/>
        </w:rPr>
        <w:t>Carrier Licence Conditions (</w:t>
      </w:r>
      <w:r w:rsidR="00237901">
        <w:rPr>
          <w:b/>
          <w:sz w:val="24"/>
          <w:szCs w:val="24"/>
          <w:u w:val="single"/>
        </w:rPr>
        <w:t>Optus Mobile Pty Ltd</w:t>
      </w:r>
      <w:r w:rsidR="002864F7" w:rsidRPr="002864F7">
        <w:rPr>
          <w:b/>
          <w:sz w:val="24"/>
          <w:szCs w:val="24"/>
          <w:u w:val="single"/>
        </w:rPr>
        <w:t>) Declaration 1997</w:t>
      </w:r>
      <w:r w:rsidR="0004709E">
        <w:rPr>
          <w:b/>
          <w:sz w:val="24"/>
          <w:szCs w:val="24"/>
          <w:u w:val="single"/>
        </w:rPr>
        <w:t xml:space="preserve"> </w:t>
      </w:r>
      <w:r w:rsidR="002864F7" w:rsidRPr="002864F7">
        <w:rPr>
          <w:b/>
          <w:sz w:val="24"/>
          <w:szCs w:val="24"/>
          <w:u w:val="single"/>
        </w:rPr>
        <w:t>Instrument of Revocation 2014</w:t>
      </w:r>
    </w:p>
    <w:p w:rsidR="002864F7" w:rsidRDefault="002864F7" w:rsidP="00693790">
      <w:pPr>
        <w:pStyle w:val="Att-Sectionheading"/>
      </w:pPr>
    </w:p>
    <w:p w:rsidR="001B26BD" w:rsidRPr="00C7721E" w:rsidRDefault="00E5399F" w:rsidP="00693790">
      <w:pPr>
        <w:pStyle w:val="Att-Sectionheading"/>
      </w:pPr>
      <w:r w:rsidRPr="00C7721E">
        <w:t>Section</w:t>
      </w:r>
      <w:r w:rsidR="003350A1" w:rsidRPr="00C7721E">
        <w:t xml:space="preserve"> 1 – Name of </w:t>
      </w:r>
      <w:r w:rsidR="008228A5" w:rsidRPr="00C7721E">
        <w:t>instrument</w:t>
      </w:r>
    </w:p>
    <w:p w:rsidR="001B26BD" w:rsidRPr="00C7721E" w:rsidRDefault="001B26BD" w:rsidP="00693790">
      <w:pPr>
        <w:ind w:right="91"/>
        <w:rPr>
          <w:sz w:val="24"/>
          <w:szCs w:val="24"/>
        </w:rPr>
      </w:pPr>
    </w:p>
    <w:p w:rsidR="001B26BD" w:rsidRPr="00C7721E" w:rsidRDefault="008228A5" w:rsidP="00693790">
      <w:pPr>
        <w:pStyle w:val="BodyText1"/>
      </w:pPr>
      <w:r w:rsidRPr="00C7721E">
        <w:t>Section 1</w:t>
      </w:r>
      <w:r w:rsidR="001B26BD" w:rsidRPr="00C7721E">
        <w:t xml:space="preserve"> provides t</w:t>
      </w:r>
      <w:r w:rsidR="00433EB7" w:rsidRPr="00C7721E">
        <w:t xml:space="preserve">hat the title of the </w:t>
      </w:r>
      <w:r w:rsidR="00DA7523">
        <w:t>Instrument</w:t>
      </w:r>
      <w:r w:rsidR="001B26BD" w:rsidRPr="00C7721E">
        <w:t xml:space="preserve"> is the</w:t>
      </w:r>
      <w:r w:rsidR="000916F7" w:rsidRPr="00C7721E">
        <w:t xml:space="preserve"> </w:t>
      </w:r>
      <w:r w:rsidR="002864F7" w:rsidRPr="002864F7">
        <w:rPr>
          <w:i/>
        </w:rPr>
        <w:t>Carrier Licence Conditions (</w:t>
      </w:r>
      <w:r w:rsidR="00237901">
        <w:rPr>
          <w:i/>
        </w:rPr>
        <w:t>Optus Mobile Pty Ltd</w:t>
      </w:r>
      <w:r w:rsidR="002864F7" w:rsidRPr="002864F7">
        <w:rPr>
          <w:i/>
        </w:rPr>
        <w:t>) Declaration 1997 Instrument of Revocation 2014</w:t>
      </w:r>
      <w:r w:rsidR="001B26BD" w:rsidRPr="002864F7">
        <w:rPr>
          <w:i/>
        </w:rPr>
        <w:t>.</w:t>
      </w:r>
    </w:p>
    <w:p w:rsidR="001B26BD" w:rsidRPr="00C7721E" w:rsidRDefault="001B26BD" w:rsidP="00693790">
      <w:pPr>
        <w:ind w:right="91"/>
        <w:rPr>
          <w:sz w:val="24"/>
          <w:szCs w:val="24"/>
        </w:rPr>
      </w:pPr>
    </w:p>
    <w:p w:rsidR="001B26BD" w:rsidRPr="00C7721E" w:rsidRDefault="00E5399F" w:rsidP="00693790">
      <w:pPr>
        <w:pStyle w:val="Att-Sectionheading"/>
      </w:pPr>
      <w:r w:rsidRPr="00C7721E">
        <w:t>Section</w:t>
      </w:r>
      <w:r w:rsidR="001B26BD" w:rsidRPr="00C7721E">
        <w:t xml:space="preserve"> 2 – Commencement</w:t>
      </w:r>
    </w:p>
    <w:p w:rsidR="001B26BD" w:rsidRPr="00C7721E" w:rsidRDefault="001B26BD" w:rsidP="00693790">
      <w:pPr>
        <w:ind w:right="91"/>
        <w:rPr>
          <w:sz w:val="24"/>
          <w:szCs w:val="24"/>
        </w:rPr>
      </w:pPr>
    </w:p>
    <w:p w:rsidR="001B26BD" w:rsidRPr="00C7721E" w:rsidRDefault="008228A5" w:rsidP="00693790">
      <w:pPr>
        <w:pStyle w:val="BodyText1"/>
      </w:pPr>
      <w:r w:rsidRPr="00C7721E">
        <w:t>Section 2</w:t>
      </w:r>
      <w:r w:rsidR="001B26BD" w:rsidRPr="00C7721E">
        <w:t xml:space="preserve"> </w:t>
      </w:r>
      <w:r w:rsidRPr="00C7721E">
        <w:t xml:space="preserve">provides that the </w:t>
      </w:r>
      <w:r w:rsidR="00744D88" w:rsidRPr="002864F7">
        <w:rPr>
          <w:i/>
        </w:rPr>
        <w:t>Carrier Licence Conditions (</w:t>
      </w:r>
      <w:r w:rsidR="00744D88">
        <w:rPr>
          <w:i/>
        </w:rPr>
        <w:t>Optus Mobile Pty Ltd</w:t>
      </w:r>
      <w:r w:rsidR="00744D88" w:rsidRPr="002864F7">
        <w:rPr>
          <w:i/>
        </w:rPr>
        <w:t>) Declaration 1997 Instrument of Revocation 2014</w:t>
      </w:r>
      <w:r w:rsidR="00744D88">
        <w:rPr>
          <w:i/>
        </w:rPr>
        <w:t xml:space="preserve"> </w:t>
      </w:r>
      <w:r w:rsidR="00744D88">
        <w:t>(</w:t>
      </w:r>
      <w:r w:rsidR="000315A3" w:rsidRPr="00C7721E">
        <w:t>Revocation</w:t>
      </w:r>
      <w:r w:rsidRPr="00C7721E">
        <w:t xml:space="preserve"> </w:t>
      </w:r>
      <w:r w:rsidR="00DA7523">
        <w:t>Instrument</w:t>
      </w:r>
      <w:r w:rsidR="00744D88">
        <w:t>)</w:t>
      </w:r>
      <w:r w:rsidR="00DA7523">
        <w:t xml:space="preserve"> </w:t>
      </w:r>
      <w:r w:rsidRPr="00C7721E">
        <w:t>commences on the day after it is registered on the Federal Register of Legislative Instruments</w:t>
      </w:r>
      <w:r w:rsidR="001B26BD" w:rsidRPr="00C7721E">
        <w:t>.</w:t>
      </w:r>
    </w:p>
    <w:p w:rsidR="001B26BD" w:rsidRPr="00C7721E" w:rsidRDefault="001B26BD" w:rsidP="00693790">
      <w:pPr>
        <w:ind w:right="91"/>
        <w:rPr>
          <w:sz w:val="24"/>
          <w:szCs w:val="24"/>
        </w:rPr>
      </w:pPr>
    </w:p>
    <w:p w:rsidR="001B26BD" w:rsidRPr="00C7721E" w:rsidRDefault="00E5399F" w:rsidP="00693790">
      <w:pPr>
        <w:pStyle w:val="Att-Sectionheading"/>
      </w:pPr>
      <w:r w:rsidRPr="00C7721E">
        <w:t>Section</w:t>
      </w:r>
      <w:r w:rsidR="001B26BD" w:rsidRPr="00C7721E">
        <w:t xml:space="preserve"> 3 –</w:t>
      </w:r>
      <w:r w:rsidR="008228A5" w:rsidRPr="00C7721E">
        <w:t xml:space="preserve"> Revocation</w:t>
      </w:r>
    </w:p>
    <w:p w:rsidR="008228A5" w:rsidRPr="00C7721E" w:rsidRDefault="008228A5" w:rsidP="00693790">
      <w:pPr>
        <w:pStyle w:val="Att-Sectionheading"/>
      </w:pPr>
    </w:p>
    <w:p w:rsidR="002864F7" w:rsidRPr="002864F7" w:rsidRDefault="008228A5" w:rsidP="002864F7">
      <w:pPr>
        <w:rPr>
          <w:sz w:val="24"/>
          <w:szCs w:val="24"/>
        </w:rPr>
      </w:pPr>
      <w:r w:rsidRPr="002864F7">
        <w:rPr>
          <w:sz w:val="24"/>
          <w:szCs w:val="24"/>
        </w:rPr>
        <w:t xml:space="preserve">Section 3 provides for the revocation of the </w:t>
      </w:r>
      <w:r w:rsidR="002864F7" w:rsidRPr="002864F7">
        <w:rPr>
          <w:i/>
          <w:sz w:val="24"/>
          <w:szCs w:val="24"/>
        </w:rPr>
        <w:t>Carrier Licence Conditions (</w:t>
      </w:r>
      <w:r w:rsidR="00237901">
        <w:rPr>
          <w:i/>
          <w:sz w:val="24"/>
          <w:szCs w:val="24"/>
        </w:rPr>
        <w:t>Optus Mobile Pty Ltd</w:t>
      </w:r>
      <w:r w:rsidR="002864F7" w:rsidRPr="002864F7">
        <w:rPr>
          <w:i/>
          <w:sz w:val="24"/>
          <w:szCs w:val="24"/>
        </w:rPr>
        <w:t>) Declaration 1997</w:t>
      </w:r>
      <w:r w:rsidR="002864F7" w:rsidRPr="002864F7">
        <w:rPr>
          <w:sz w:val="24"/>
          <w:szCs w:val="24"/>
        </w:rPr>
        <w:t xml:space="preserve"> (</w:t>
      </w:r>
      <w:r w:rsidR="00237901">
        <w:rPr>
          <w:sz w:val="24"/>
          <w:szCs w:val="24"/>
        </w:rPr>
        <w:t>Optus Mobile</w:t>
      </w:r>
      <w:r w:rsidR="002864F7" w:rsidRPr="002864F7">
        <w:rPr>
          <w:sz w:val="24"/>
          <w:szCs w:val="24"/>
        </w:rPr>
        <w:t xml:space="preserve"> Declaration). Notwithstanding the revocation of the </w:t>
      </w:r>
      <w:r w:rsidR="00237901">
        <w:rPr>
          <w:sz w:val="24"/>
          <w:szCs w:val="24"/>
        </w:rPr>
        <w:t>Optus Mobile</w:t>
      </w:r>
      <w:r w:rsidR="002864F7" w:rsidRPr="002864F7">
        <w:rPr>
          <w:sz w:val="24"/>
          <w:szCs w:val="24"/>
        </w:rPr>
        <w:t xml:space="preserve"> Declaration, </w:t>
      </w:r>
      <w:r w:rsidR="00237901">
        <w:rPr>
          <w:sz w:val="24"/>
          <w:szCs w:val="24"/>
        </w:rPr>
        <w:t>Optus Mobile</w:t>
      </w:r>
      <w:r w:rsidR="002864F7" w:rsidRPr="002864F7">
        <w:rPr>
          <w:sz w:val="24"/>
          <w:szCs w:val="24"/>
        </w:rPr>
        <w:t>, as a carrier under the Act, continues to be subject to the standard carrier licence conditions under the Act.</w:t>
      </w:r>
    </w:p>
    <w:p w:rsidR="001B26BD" w:rsidRPr="00C7721E" w:rsidRDefault="001B26BD" w:rsidP="00693790">
      <w:pPr>
        <w:ind w:right="91"/>
        <w:rPr>
          <w:sz w:val="24"/>
          <w:szCs w:val="24"/>
        </w:rPr>
      </w:pPr>
    </w:p>
    <w:p w:rsidR="001B26BD" w:rsidRPr="00C7721E" w:rsidRDefault="00E5399F" w:rsidP="00693790">
      <w:pPr>
        <w:pStyle w:val="Att-Sectionheading"/>
      </w:pPr>
      <w:r w:rsidRPr="00C7721E">
        <w:t>Section</w:t>
      </w:r>
      <w:r w:rsidR="001B26BD" w:rsidRPr="00C7721E">
        <w:t xml:space="preserve"> 4 –</w:t>
      </w:r>
      <w:r w:rsidR="008228A5" w:rsidRPr="00C7721E">
        <w:t xml:space="preserve"> Expiry</w:t>
      </w:r>
    </w:p>
    <w:p w:rsidR="001B26BD" w:rsidRPr="00C7721E" w:rsidRDefault="001B26BD" w:rsidP="00693790">
      <w:pPr>
        <w:keepNext/>
        <w:ind w:right="91"/>
        <w:rPr>
          <w:sz w:val="24"/>
          <w:szCs w:val="24"/>
        </w:rPr>
      </w:pPr>
    </w:p>
    <w:p w:rsidR="00744D88" w:rsidRPr="00AB38DE" w:rsidRDefault="00744D88" w:rsidP="00744D88">
      <w:pPr>
        <w:rPr>
          <w:sz w:val="24"/>
          <w:szCs w:val="24"/>
        </w:rPr>
      </w:pPr>
      <w:r w:rsidRPr="00AB38DE">
        <w:rPr>
          <w:sz w:val="24"/>
          <w:szCs w:val="24"/>
        </w:rPr>
        <w:t xml:space="preserve">Once the Revocation </w:t>
      </w:r>
      <w:r>
        <w:rPr>
          <w:sz w:val="24"/>
          <w:szCs w:val="24"/>
        </w:rPr>
        <w:t xml:space="preserve">Instrument </w:t>
      </w:r>
      <w:r w:rsidRPr="00AB38DE">
        <w:rPr>
          <w:sz w:val="24"/>
          <w:szCs w:val="24"/>
        </w:rPr>
        <w:t>comes into effect, it will have fulfilled its purpose (i.e</w:t>
      </w:r>
      <w:r w:rsidR="004836E7">
        <w:rPr>
          <w:sz w:val="24"/>
          <w:szCs w:val="24"/>
        </w:rPr>
        <w:t>.</w:t>
      </w:r>
      <w:r w:rsidRPr="00AB38DE">
        <w:rPr>
          <w:sz w:val="24"/>
          <w:szCs w:val="24"/>
        </w:rPr>
        <w:t xml:space="preserve"> revoked the Original Declaration).  Therefore, the </w:t>
      </w:r>
      <w:r>
        <w:rPr>
          <w:sz w:val="24"/>
          <w:szCs w:val="24"/>
        </w:rPr>
        <w:t xml:space="preserve">Revocation </w:t>
      </w:r>
      <w:r w:rsidRPr="00AB38DE">
        <w:rPr>
          <w:sz w:val="24"/>
          <w:szCs w:val="24"/>
        </w:rPr>
        <w:t xml:space="preserve">Instrument itself can be removed from the Federal Register of Legislative Instruments. Accordingly, a self-expiry provision has been included at clause </w:t>
      </w:r>
      <w:r>
        <w:rPr>
          <w:sz w:val="24"/>
          <w:szCs w:val="24"/>
        </w:rPr>
        <w:t>4</w:t>
      </w:r>
      <w:r w:rsidRPr="00AB38DE">
        <w:rPr>
          <w:sz w:val="24"/>
          <w:szCs w:val="24"/>
        </w:rPr>
        <w:t xml:space="preserve">. </w:t>
      </w:r>
    </w:p>
    <w:p w:rsidR="00081ACE" w:rsidRPr="00C7721E" w:rsidRDefault="00081ACE" w:rsidP="00693790">
      <w:pPr>
        <w:rPr>
          <w:szCs w:val="24"/>
        </w:rPr>
      </w:pPr>
    </w:p>
    <w:sectPr w:rsidR="00081ACE" w:rsidRPr="00C7721E" w:rsidSect="00B65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58" w:rsidRDefault="00CC1758">
      <w:r>
        <w:separator/>
      </w:r>
    </w:p>
  </w:endnote>
  <w:endnote w:type="continuationSeparator" w:id="0">
    <w:p w:rsidR="00CC1758" w:rsidRDefault="00CC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E5" w:rsidRDefault="00337B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E5" w:rsidRDefault="00337B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E5" w:rsidRDefault="00337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58" w:rsidRDefault="00CC1758">
      <w:r>
        <w:separator/>
      </w:r>
    </w:p>
  </w:footnote>
  <w:footnote w:type="continuationSeparator" w:id="0">
    <w:p w:rsidR="00CC1758" w:rsidRDefault="00CC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E5" w:rsidRDefault="00337B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C1" w:rsidRDefault="002D4DC1">
    <w:pPr>
      <w:pStyle w:val="Header"/>
    </w:pPr>
    <w:r>
      <w:tab/>
    </w:r>
    <w:r w:rsidR="000D0D5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0D5D">
      <w:rPr>
        <w:rStyle w:val="PageNumber"/>
      </w:rPr>
      <w:fldChar w:fldCharType="separate"/>
    </w:r>
    <w:r w:rsidR="008D6D67">
      <w:rPr>
        <w:rStyle w:val="PageNumber"/>
        <w:noProof/>
      </w:rPr>
      <w:t>2</w:t>
    </w:r>
    <w:r w:rsidR="000D0D5D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E5" w:rsidRDefault="00337B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828"/>
    <w:multiLevelType w:val="hybridMultilevel"/>
    <w:tmpl w:val="CB480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0072E"/>
    <w:multiLevelType w:val="hybridMultilevel"/>
    <w:tmpl w:val="0F28EFA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740E02"/>
    <w:multiLevelType w:val="hybridMultilevel"/>
    <w:tmpl w:val="05EEC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03EA9"/>
    <w:multiLevelType w:val="hybridMultilevel"/>
    <w:tmpl w:val="4CD633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91395C"/>
    <w:multiLevelType w:val="hybridMultilevel"/>
    <w:tmpl w:val="90E4F4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A8356F"/>
    <w:multiLevelType w:val="hybridMultilevel"/>
    <w:tmpl w:val="30C6AB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60088B"/>
    <w:multiLevelType w:val="hybridMultilevel"/>
    <w:tmpl w:val="F9C6B30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2BE6D86"/>
    <w:multiLevelType w:val="hybridMultilevel"/>
    <w:tmpl w:val="4EA8D886"/>
    <w:lvl w:ilvl="0" w:tplc="FFEA4D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F2CD2"/>
    <w:multiLevelType w:val="hybridMultilevel"/>
    <w:tmpl w:val="5FAA91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F83862C-5B4A-4C17-A85D-518D944A975C}"/>
    <w:docVar w:name="dgnword-eventsink" w:val="82444712"/>
  </w:docVars>
  <w:rsids>
    <w:rsidRoot w:val="00B65F86"/>
    <w:rsid w:val="00003EAB"/>
    <w:rsid w:val="00006502"/>
    <w:rsid w:val="000315A3"/>
    <w:rsid w:val="00035EBD"/>
    <w:rsid w:val="00042331"/>
    <w:rsid w:val="00045ADA"/>
    <w:rsid w:val="0004709E"/>
    <w:rsid w:val="00066F22"/>
    <w:rsid w:val="00070476"/>
    <w:rsid w:val="00073AE2"/>
    <w:rsid w:val="00074F31"/>
    <w:rsid w:val="00076B18"/>
    <w:rsid w:val="000805C5"/>
    <w:rsid w:val="00081ACE"/>
    <w:rsid w:val="00081DCE"/>
    <w:rsid w:val="0008322E"/>
    <w:rsid w:val="00086AB8"/>
    <w:rsid w:val="000916F7"/>
    <w:rsid w:val="000A0678"/>
    <w:rsid w:val="000B0CBA"/>
    <w:rsid w:val="000B4F29"/>
    <w:rsid w:val="000C2968"/>
    <w:rsid w:val="000C2A62"/>
    <w:rsid w:val="000D0D5D"/>
    <w:rsid w:val="000D3B86"/>
    <w:rsid w:val="000D5482"/>
    <w:rsid w:val="000D74E2"/>
    <w:rsid w:val="000E0BE3"/>
    <w:rsid w:val="000E5D36"/>
    <w:rsid w:val="000E68CF"/>
    <w:rsid w:val="000E6BF0"/>
    <w:rsid w:val="000F004E"/>
    <w:rsid w:val="000F3CD3"/>
    <w:rsid w:val="00101D7D"/>
    <w:rsid w:val="00105AE5"/>
    <w:rsid w:val="00110F55"/>
    <w:rsid w:val="00124B63"/>
    <w:rsid w:val="00126AE6"/>
    <w:rsid w:val="00130AD8"/>
    <w:rsid w:val="00131DFB"/>
    <w:rsid w:val="001423A9"/>
    <w:rsid w:val="00150FAC"/>
    <w:rsid w:val="00151B89"/>
    <w:rsid w:val="00153DFF"/>
    <w:rsid w:val="00155781"/>
    <w:rsid w:val="00157A8D"/>
    <w:rsid w:val="001766C6"/>
    <w:rsid w:val="00177F15"/>
    <w:rsid w:val="001829B6"/>
    <w:rsid w:val="001830C0"/>
    <w:rsid w:val="001863D1"/>
    <w:rsid w:val="001873BD"/>
    <w:rsid w:val="001972A9"/>
    <w:rsid w:val="001A4774"/>
    <w:rsid w:val="001B1465"/>
    <w:rsid w:val="001B26BD"/>
    <w:rsid w:val="001B41C0"/>
    <w:rsid w:val="001B5B31"/>
    <w:rsid w:val="001C75CE"/>
    <w:rsid w:val="001D3F42"/>
    <w:rsid w:val="001D7DEE"/>
    <w:rsid w:val="001F2155"/>
    <w:rsid w:val="001F2975"/>
    <w:rsid w:val="001F5062"/>
    <w:rsid w:val="001F685D"/>
    <w:rsid w:val="00201BD3"/>
    <w:rsid w:val="0020470C"/>
    <w:rsid w:val="002222B5"/>
    <w:rsid w:val="00224076"/>
    <w:rsid w:val="002240FA"/>
    <w:rsid w:val="00237901"/>
    <w:rsid w:val="00241142"/>
    <w:rsid w:val="00244441"/>
    <w:rsid w:val="0024444C"/>
    <w:rsid w:val="00250779"/>
    <w:rsid w:val="00252F57"/>
    <w:rsid w:val="002557BC"/>
    <w:rsid w:val="002574B7"/>
    <w:rsid w:val="00265A6F"/>
    <w:rsid w:val="0028243F"/>
    <w:rsid w:val="0028468C"/>
    <w:rsid w:val="0028481F"/>
    <w:rsid w:val="002864F7"/>
    <w:rsid w:val="002964D1"/>
    <w:rsid w:val="002A4B83"/>
    <w:rsid w:val="002A7B8A"/>
    <w:rsid w:val="002C201E"/>
    <w:rsid w:val="002D3E02"/>
    <w:rsid w:val="002D4DC1"/>
    <w:rsid w:val="002D5CBC"/>
    <w:rsid w:val="00305C60"/>
    <w:rsid w:val="00306E49"/>
    <w:rsid w:val="00312A3C"/>
    <w:rsid w:val="0031418E"/>
    <w:rsid w:val="00320925"/>
    <w:rsid w:val="0033186E"/>
    <w:rsid w:val="003350A1"/>
    <w:rsid w:val="00337BE5"/>
    <w:rsid w:val="00341911"/>
    <w:rsid w:val="00342EC8"/>
    <w:rsid w:val="00351C2B"/>
    <w:rsid w:val="00353F06"/>
    <w:rsid w:val="00355635"/>
    <w:rsid w:val="0035692E"/>
    <w:rsid w:val="0035743A"/>
    <w:rsid w:val="00361057"/>
    <w:rsid w:val="00363A41"/>
    <w:rsid w:val="003729DD"/>
    <w:rsid w:val="00384D31"/>
    <w:rsid w:val="00395C01"/>
    <w:rsid w:val="003A48A6"/>
    <w:rsid w:val="003B380B"/>
    <w:rsid w:val="003B4183"/>
    <w:rsid w:val="003B5799"/>
    <w:rsid w:val="003C7E05"/>
    <w:rsid w:val="003D212C"/>
    <w:rsid w:val="003E3D72"/>
    <w:rsid w:val="003E4249"/>
    <w:rsid w:val="003E44D1"/>
    <w:rsid w:val="003F4A9A"/>
    <w:rsid w:val="00400799"/>
    <w:rsid w:val="00403B36"/>
    <w:rsid w:val="0040684B"/>
    <w:rsid w:val="00414C28"/>
    <w:rsid w:val="004236F0"/>
    <w:rsid w:val="004327E1"/>
    <w:rsid w:val="00433EB7"/>
    <w:rsid w:val="00440D2A"/>
    <w:rsid w:val="004451E3"/>
    <w:rsid w:val="00447569"/>
    <w:rsid w:val="00457B2E"/>
    <w:rsid w:val="00460B93"/>
    <w:rsid w:val="00473EF2"/>
    <w:rsid w:val="00474A76"/>
    <w:rsid w:val="00474B2F"/>
    <w:rsid w:val="004763C8"/>
    <w:rsid w:val="0048075D"/>
    <w:rsid w:val="004836E7"/>
    <w:rsid w:val="00483B84"/>
    <w:rsid w:val="004923C8"/>
    <w:rsid w:val="0049542A"/>
    <w:rsid w:val="004A0985"/>
    <w:rsid w:val="004A1ECA"/>
    <w:rsid w:val="004A2DBF"/>
    <w:rsid w:val="004B03A7"/>
    <w:rsid w:val="004C55EA"/>
    <w:rsid w:val="004C5E11"/>
    <w:rsid w:val="004C7EEF"/>
    <w:rsid w:val="004D65F8"/>
    <w:rsid w:val="004E48E7"/>
    <w:rsid w:val="004F574E"/>
    <w:rsid w:val="004F78A4"/>
    <w:rsid w:val="00505955"/>
    <w:rsid w:val="0051206F"/>
    <w:rsid w:val="0052250A"/>
    <w:rsid w:val="00523A28"/>
    <w:rsid w:val="00527B11"/>
    <w:rsid w:val="0053114E"/>
    <w:rsid w:val="00537876"/>
    <w:rsid w:val="00546A75"/>
    <w:rsid w:val="00547266"/>
    <w:rsid w:val="00550F88"/>
    <w:rsid w:val="005650F7"/>
    <w:rsid w:val="005931D8"/>
    <w:rsid w:val="0059792A"/>
    <w:rsid w:val="005A223D"/>
    <w:rsid w:val="005A3F1F"/>
    <w:rsid w:val="005A4660"/>
    <w:rsid w:val="005A7567"/>
    <w:rsid w:val="005B0D7E"/>
    <w:rsid w:val="005B2621"/>
    <w:rsid w:val="005C1CCD"/>
    <w:rsid w:val="005C1EBF"/>
    <w:rsid w:val="005C46F7"/>
    <w:rsid w:val="005C4AAE"/>
    <w:rsid w:val="005C7D57"/>
    <w:rsid w:val="005D50DF"/>
    <w:rsid w:val="005D6562"/>
    <w:rsid w:val="005E5504"/>
    <w:rsid w:val="005E78A5"/>
    <w:rsid w:val="005F53DB"/>
    <w:rsid w:val="005F65FD"/>
    <w:rsid w:val="006023B7"/>
    <w:rsid w:val="00602886"/>
    <w:rsid w:val="00623F76"/>
    <w:rsid w:val="006340BE"/>
    <w:rsid w:val="006377EE"/>
    <w:rsid w:val="00641348"/>
    <w:rsid w:val="00647D31"/>
    <w:rsid w:val="0066628E"/>
    <w:rsid w:val="00667473"/>
    <w:rsid w:val="00667F7A"/>
    <w:rsid w:val="00676D2F"/>
    <w:rsid w:val="00680634"/>
    <w:rsid w:val="00685436"/>
    <w:rsid w:val="00692FE1"/>
    <w:rsid w:val="00693790"/>
    <w:rsid w:val="00696BDC"/>
    <w:rsid w:val="006A1D0D"/>
    <w:rsid w:val="006A24AB"/>
    <w:rsid w:val="006A55FE"/>
    <w:rsid w:val="006A56BA"/>
    <w:rsid w:val="006A5820"/>
    <w:rsid w:val="006B04B9"/>
    <w:rsid w:val="006B4DE9"/>
    <w:rsid w:val="006D7757"/>
    <w:rsid w:val="006E131F"/>
    <w:rsid w:val="006E7C35"/>
    <w:rsid w:val="006F5B8F"/>
    <w:rsid w:val="006F69BD"/>
    <w:rsid w:val="007142F7"/>
    <w:rsid w:val="00714E16"/>
    <w:rsid w:val="007170CF"/>
    <w:rsid w:val="007217DC"/>
    <w:rsid w:val="00726385"/>
    <w:rsid w:val="007264DA"/>
    <w:rsid w:val="00731AB9"/>
    <w:rsid w:val="0073344B"/>
    <w:rsid w:val="00733491"/>
    <w:rsid w:val="00735941"/>
    <w:rsid w:val="00735BF5"/>
    <w:rsid w:val="00737318"/>
    <w:rsid w:val="00737716"/>
    <w:rsid w:val="007378B0"/>
    <w:rsid w:val="0074009A"/>
    <w:rsid w:val="007403B4"/>
    <w:rsid w:val="00744D88"/>
    <w:rsid w:val="007568B0"/>
    <w:rsid w:val="00776446"/>
    <w:rsid w:val="00786BA6"/>
    <w:rsid w:val="0079130F"/>
    <w:rsid w:val="00793D2D"/>
    <w:rsid w:val="0079583E"/>
    <w:rsid w:val="00795AA7"/>
    <w:rsid w:val="007963D0"/>
    <w:rsid w:val="007A04C2"/>
    <w:rsid w:val="007A1D57"/>
    <w:rsid w:val="007A2B72"/>
    <w:rsid w:val="007A6C3E"/>
    <w:rsid w:val="007B0C81"/>
    <w:rsid w:val="007C449C"/>
    <w:rsid w:val="007C65E0"/>
    <w:rsid w:val="007D5C7A"/>
    <w:rsid w:val="007D6DCF"/>
    <w:rsid w:val="007D7B51"/>
    <w:rsid w:val="007E7DD3"/>
    <w:rsid w:val="007F3594"/>
    <w:rsid w:val="007F5CEE"/>
    <w:rsid w:val="00800B00"/>
    <w:rsid w:val="00800DB5"/>
    <w:rsid w:val="00800E5D"/>
    <w:rsid w:val="00821E8C"/>
    <w:rsid w:val="008228A5"/>
    <w:rsid w:val="00843561"/>
    <w:rsid w:val="00844845"/>
    <w:rsid w:val="00853629"/>
    <w:rsid w:val="00865453"/>
    <w:rsid w:val="00880115"/>
    <w:rsid w:val="00892D46"/>
    <w:rsid w:val="00893321"/>
    <w:rsid w:val="008B0830"/>
    <w:rsid w:val="008C1240"/>
    <w:rsid w:val="008D1181"/>
    <w:rsid w:val="008D53F7"/>
    <w:rsid w:val="008D6D67"/>
    <w:rsid w:val="008E0581"/>
    <w:rsid w:val="008E080A"/>
    <w:rsid w:val="008E6720"/>
    <w:rsid w:val="008F1192"/>
    <w:rsid w:val="008F2D1C"/>
    <w:rsid w:val="008F2E53"/>
    <w:rsid w:val="008F6639"/>
    <w:rsid w:val="009027F5"/>
    <w:rsid w:val="009035EE"/>
    <w:rsid w:val="009138EA"/>
    <w:rsid w:val="00917571"/>
    <w:rsid w:val="00921930"/>
    <w:rsid w:val="00922162"/>
    <w:rsid w:val="00926502"/>
    <w:rsid w:val="0093351E"/>
    <w:rsid w:val="00943BFF"/>
    <w:rsid w:val="0096793E"/>
    <w:rsid w:val="00972BD0"/>
    <w:rsid w:val="00975A88"/>
    <w:rsid w:val="0098041D"/>
    <w:rsid w:val="00984801"/>
    <w:rsid w:val="00994480"/>
    <w:rsid w:val="00995243"/>
    <w:rsid w:val="009A02BB"/>
    <w:rsid w:val="009A162B"/>
    <w:rsid w:val="009B1021"/>
    <w:rsid w:val="009C49DC"/>
    <w:rsid w:val="009C7F5D"/>
    <w:rsid w:val="009D4940"/>
    <w:rsid w:val="009D595B"/>
    <w:rsid w:val="009F06C0"/>
    <w:rsid w:val="009F5339"/>
    <w:rsid w:val="00A03A7F"/>
    <w:rsid w:val="00A03CE2"/>
    <w:rsid w:val="00A110B3"/>
    <w:rsid w:val="00A177C4"/>
    <w:rsid w:val="00A2061A"/>
    <w:rsid w:val="00A2675E"/>
    <w:rsid w:val="00A26FC9"/>
    <w:rsid w:val="00A30DA9"/>
    <w:rsid w:val="00A33A7A"/>
    <w:rsid w:val="00A3645B"/>
    <w:rsid w:val="00A42967"/>
    <w:rsid w:val="00A45317"/>
    <w:rsid w:val="00A4655A"/>
    <w:rsid w:val="00A52C63"/>
    <w:rsid w:val="00A608B4"/>
    <w:rsid w:val="00A62EFD"/>
    <w:rsid w:val="00A6313E"/>
    <w:rsid w:val="00A70BC9"/>
    <w:rsid w:val="00A77865"/>
    <w:rsid w:val="00A81ADB"/>
    <w:rsid w:val="00A94789"/>
    <w:rsid w:val="00AB0A35"/>
    <w:rsid w:val="00AB7597"/>
    <w:rsid w:val="00AD3E9E"/>
    <w:rsid w:val="00AD434D"/>
    <w:rsid w:val="00AD46E6"/>
    <w:rsid w:val="00AD63E3"/>
    <w:rsid w:val="00AD64FD"/>
    <w:rsid w:val="00AE2269"/>
    <w:rsid w:val="00AE6148"/>
    <w:rsid w:val="00AF0CD5"/>
    <w:rsid w:val="00AF2D77"/>
    <w:rsid w:val="00B00C30"/>
    <w:rsid w:val="00B05D9A"/>
    <w:rsid w:val="00B062DA"/>
    <w:rsid w:val="00B06C57"/>
    <w:rsid w:val="00B13288"/>
    <w:rsid w:val="00B13FDD"/>
    <w:rsid w:val="00B30B5F"/>
    <w:rsid w:val="00B33825"/>
    <w:rsid w:val="00B354FA"/>
    <w:rsid w:val="00B40278"/>
    <w:rsid w:val="00B402A1"/>
    <w:rsid w:val="00B459CF"/>
    <w:rsid w:val="00B5388E"/>
    <w:rsid w:val="00B54E38"/>
    <w:rsid w:val="00B54E91"/>
    <w:rsid w:val="00B57E53"/>
    <w:rsid w:val="00B64A43"/>
    <w:rsid w:val="00B65F86"/>
    <w:rsid w:val="00B66895"/>
    <w:rsid w:val="00B73C66"/>
    <w:rsid w:val="00B94B4C"/>
    <w:rsid w:val="00B94EAD"/>
    <w:rsid w:val="00BB1950"/>
    <w:rsid w:val="00BB47E4"/>
    <w:rsid w:val="00BB57F1"/>
    <w:rsid w:val="00BC2E08"/>
    <w:rsid w:val="00BC3289"/>
    <w:rsid w:val="00BC3C9A"/>
    <w:rsid w:val="00BC713C"/>
    <w:rsid w:val="00BE516D"/>
    <w:rsid w:val="00BF1325"/>
    <w:rsid w:val="00C022EA"/>
    <w:rsid w:val="00C02B77"/>
    <w:rsid w:val="00C0610F"/>
    <w:rsid w:val="00C2395B"/>
    <w:rsid w:val="00C2411D"/>
    <w:rsid w:val="00C26E8A"/>
    <w:rsid w:val="00C3681B"/>
    <w:rsid w:val="00C42D1A"/>
    <w:rsid w:val="00C43002"/>
    <w:rsid w:val="00C44FBD"/>
    <w:rsid w:val="00C46B95"/>
    <w:rsid w:val="00C46D96"/>
    <w:rsid w:val="00C6163E"/>
    <w:rsid w:val="00C63FB3"/>
    <w:rsid w:val="00C70FBA"/>
    <w:rsid w:val="00C71846"/>
    <w:rsid w:val="00C72261"/>
    <w:rsid w:val="00C74DE2"/>
    <w:rsid w:val="00C7721E"/>
    <w:rsid w:val="00C80012"/>
    <w:rsid w:val="00C83777"/>
    <w:rsid w:val="00C858EA"/>
    <w:rsid w:val="00C9524C"/>
    <w:rsid w:val="00CB328B"/>
    <w:rsid w:val="00CC1758"/>
    <w:rsid w:val="00CC40F3"/>
    <w:rsid w:val="00CE07AC"/>
    <w:rsid w:val="00CE0D2C"/>
    <w:rsid w:val="00CF29F6"/>
    <w:rsid w:val="00CF3D81"/>
    <w:rsid w:val="00D060DE"/>
    <w:rsid w:val="00D2225B"/>
    <w:rsid w:val="00D23B8D"/>
    <w:rsid w:val="00D2568B"/>
    <w:rsid w:val="00D26B16"/>
    <w:rsid w:val="00D30E35"/>
    <w:rsid w:val="00D35622"/>
    <w:rsid w:val="00D35BC8"/>
    <w:rsid w:val="00D37312"/>
    <w:rsid w:val="00D602BE"/>
    <w:rsid w:val="00D60655"/>
    <w:rsid w:val="00D62EDC"/>
    <w:rsid w:val="00D63413"/>
    <w:rsid w:val="00D728EF"/>
    <w:rsid w:val="00D75A23"/>
    <w:rsid w:val="00D96271"/>
    <w:rsid w:val="00D977A0"/>
    <w:rsid w:val="00DA1AC3"/>
    <w:rsid w:val="00DA30A8"/>
    <w:rsid w:val="00DA7523"/>
    <w:rsid w:val="00DB0DF8"/>
    <w:rsid w:val="00DB5C10"/>
    <w:rsid w:val="00DE37D7"/>
    <w:rsid w:val="00DE6EA2"/>
    <w:rsid w:val="00DE713B"/>
    <w:rsid w:val="00E21C41"/>
    <w:rsid w:val="00E22575"/>
    <w:rsid w:val="00E2464B"/>
    <w:rsid w:val="00E25F21"/>
    <w:rsid w:val="00E26A37"/>
    <w:rsid w:val="00E27F3A"/>
    <w:rsid w:val="00E516D7"/>
    <w:rsid w:val="00E5399F"/>
    <w:rsid w:val="00E56CAE"/>
    <w:rsid w:val="00E57993"/>
    <w:rsid w:val="00E62002"/>
    <w:rsid w:val="00E62547"/>
    <w:rsid w:val="00E712B3"/>
    <w:rsid w:val="00E7736E"/>
    <w:rsid w:val="00E802CB"/>
    <w:rsid w:val="00E865DC"/>
    <w:rsid w:val="00E91EFF"/>
    <w:rsid w:val="00EA0B74"/>
    <w:rsid w:val="00EA31DF"/>
    <w:rsid w:val="00EA47CB"/>
    <w:rsid w:val="00EA56D0"/>
    <w:rsid w:val="00EB5BCE"/>
    <w:rsid w:val="00EB6013"/>
    <w:rsid w:val="00EB761B"/>
    <w:rsid w:val="00EC2893"/>
    <w:rsid w:val="00EE596C"/>
    <w:rsid w:val="00EF373A"/>
    <w:rsid w:val="00EF5346"/>
    <w:rsid w:val="00F10B1A"/>
    <w:rsid w:val="00F111B6"/>
    <w:rsid w:val="00F11966"/>
    <w:rsid w:val="00F13AD0"/>
    <w:rsid w:val="00F14986"/>
    <w:rsid w:val="00F35B5E"/>
    <w:rsid w:val="00F37B8F"/>
    <w:rsid w:val="00F41DCC"/>
    <w:rsid w:val="00F55169"/>
    <w:rsid w:val="00F55A84"/>
    <w:rsid w:val="00F629C6"/>
    <w:rsid w:val="00F709E1"/>
    <w:rsid w:val="00F71701"/>
    <w:rsid w:val="00F774A3"/>
    <w:rsid w:val="00F866C5"/>
    <w:rsid w:val="00F96B3A"/>
    <w:rsid w:val="00F976E6"/>
    <w:rsid w:val="00FB6134"/>
    <w:rsid w:val="00FD0C38"/>
    <w:rsid w:val="00FE43BE"/>
    <w:rsid w:val="00FE6DB6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F86"/>
  </w:style>
  <w:style w:type="paragraph" w:styleId="Heading1">
    <w:name w:val="heading 1"/>
    <w:basedOn w:val="Normal"/>
    <w:next w:val="Normal"/>
    <w:qFormat/>
    <w:rsid w:val="00B65F86"/>
    <w:pPr>
      <w:keepNext/>
      <w:jc w:val="center"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5F86"/>
    <w:pPr>
      <w:jc w:val="center"/>
    </w:pPr>
    <w:rPr>
      <w:b/>
      <w:sz w:val="24"/>
      <w:u w:val="single"/>
      <w:lang w:val="en-GB" w:eastAsia="en-US"/>
    </w:rPr>
  </w:style>
  <w:style w:type="paragraph" w:styleId="BodyText3">
    <w:name w:val="Body Text 3"/>
    <w:basedOn w:val="Normal"/>
    <w:rsid w:val="00B65F86"/>
    <w:rPr>
      <w:sz w:val="24"/>
      <w:u w:val="single"/>
      <w:lang w:val="en-GB" w:eastAsia="en-US"/>
    </w:rPr>
  </w:style>
  <w:style w:type="paragraph" w:styleId="BodyText">
    <w:name w:val="Body Text"/>
    <w:basedOn w:val="Normal"/>
    <w:rsid w:val="00B65F86"/>
    <w:pPr>
      <w:jc w:val="center"/>
    </w:pPr>
    <w:rPr>
      <w:sz w:val="24"/>
    </w:rPr>
  </w:style>
  <w:style w:type="paragraph" w:styleId="BodyText2">
    <w:name w:val="Body Text 2"/>
    <w:basedOn w:val="Normal"/>
    <w:rsid w:val="00B65F86"/>
    <w:rPr>
      <w:snapToGrid w:val="0"/>
      <w:sz w:val="24"/>
      <w:lang w:eastAsia="en-US"/>
    </w:rPr>
  </w:style>
  <w:style w:type="paragraph" w:styleId="Header">
    <w:name w:val="header"/>
    <w:basedOn w:val="Normal"/>
    <w:rsid w:val="00B65F86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B65F86"/>
  </w:style>
  <w:style w:type="paragraph" w:customStyle="1" w:styleId="Att-Sectionheading">
    <w:name w:val="Att - Section heading"/>
    <w:basedOn w:val="Normal"/>
    <w:link w:val="Att-SectionheadingChar"/>
    <w:qFormat/>
    <w:rsid w:val="001863D1"/>
    <w:pPr>
      <w:ind w:right="91"/>
    </w:pPr>
    <w:rPr>
      <w:sz w:val="24"/>
      <w:szCs w:val="24"/>
      <w:u w:val="single"/>
    </w:rPr>
  </w:style>
  <w:style w:type="paragraph" w:customStyle="1" w:styleId="BodyText1">
    <w:name w:val="Body Text1"/>
    <w:basedOn w:val="Normal"/>
    <w:link w:val="BodytextChar"/>
    <w:qFormat/>
    <w:rsid w:val="001863D1"/>
    <w:pPr>
      <w:ind w:right="91"/>
    </w:pPr>
    <w:rPr>
      <w:sz w:val="24"/>
      <w:szCs w:val="24"/>
    </w:rPr>
  </w:style>
  <w:style w:type="character" w:customStyle="1" w:styleId="Att-SectionheadingChar">
    <w:name w:val="Att - Section heading Char"/>
    <w:link w:val="Att-Sectionheading"/>
    <w:rsid w:val="001863D1"/>
    <w:rPr>
      <w:sz w:val="24"/>
      <w:szCs w:val="24"/>
      <w:u w:val="single"/>
    </w:rPr>
  </w:style>
  <w:style w:type="character" w:customStyle="1" w:styleId="BodytextChar">
    <w:name w:val="Body text Char"/>
    <w:link w:val="BodyText1"/>
    <w:rsid w:val="001863D1"/>
    <w:rPr>
      <w:sz w:val="24"/>
      <w:szCs w:val="24"/>
    </w:rPr>
  </w:style>
  <w:style w:type="character" w:styleId="CommentReference">
    <w:name w:val="annotation reference"/>
    <w:rsid w:val="00250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0779"/>
  </w:style>
  <w:style w:type="character" w:customStyle="1" w:styleId="CommentTextChar">
    <w:name w:val="Comment Text Char"/>
    <w:basedOn w:val="DefaultParagraphFont"/>
    <w:link w:val="CommentText"/>
    <w:rsid w:val="00250779"/>
  </w:style>
  <w:style w:type="paragraph" w:styleId="CommentSubject">
    <w:name w:val="annotation subject"/>
    <w:basedOn w:val="CommentText"/>
    <w:next w:val="CommentText"/>
    <w:link w:val="CommentSubjectChar"/>
    <w:rsid w:val="00250779"/>
    <w:rPr>
      <w:b/>
      <w:bCs/>
    </w:rPr>
  </w:style>
  <w:style w:type="character" w:customStyle="1" w:styleId="CommentSubjectChar">
    <w:name w:val="Comment Subject Char"/>
    <w:link w:val="CommentSubject"/>
    <w:rsid w:val="00250779"/>
    <w:rPr>
      <w:b/>
      <w:bCs/>
    </w:rPr>
  </w:style>
  <w:style w:type="paragraph" w:styleId="BalloonText">
    <w:name w:val="Balloon Text"/>
    <w:basedOn w:val="Normal"/>
    <w:link w:val="BalloonTextChar"/>
    <w:rsid w:val="00250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07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01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01D7D"/>
  </w:style>
  <w:style w:type="paragraph" w:styleId="Revision">
    <w:name w:val="Revision"/>
    <w:hidden/>
    <w:uiPriority w:val="99"/>
    <w:semiHidden/>
    <w:rsid w:val="003729DD"/>
  </w:style>
  <w:style w:type="paragraph" w:styleId="ListParagraph">
    <w:name w:val="List Paragraph"/>
    <w:basedOn w:val="Normal"/>
    <w:uiPriority w:val="34"/>
    <w:qFormat/>
    <w:rsid w:val="00A36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F86"/>
  </w:style>
  <w:style w:type="paragraph" w:styleId="Heading1">
    <w:name w:val="heading 1"/>
    <w:basedOn w:val="Normal"/>
    <w:next w:val="Normal"/>
    <w:qFormat/>
    <w:rsid w:val="00B65F86"/>
    <w:pPr>
      <w:keepNext/>
      <w:jc w:val="center"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5F86"/>
    <w:pPr>
      <w:jc w:val="center"/>
    </w:pPr>
    <w:rPr>
      <w:b/>
      <w:sz w:val="24"/>
      <w:u w:val="single"/>
      <w:lang w:val="en-GB" w:eastAsia="en-US"/>
    </w:rPr>
  </w:style>
  <w:style w:type="paragraph" w:styleId="BodyText3">
    <w:name w:val="Body Text 3"/>
    <w:basedOn w:val="Normal"/>
    <w:rsid w:val="00B65F86"/>
    <w:rPr>
      <w:sz w:val="24"/>
      <w:u w:val="single"/>
      <w:lang w:val="en-GB" w:eastAsia="en-US"/>
    </w:rPr>
  </w:style>
  <w:style w:type="paragraph" w:styleId="BodyText">
    <w:name w:val="Body Text"/>
    <w:basedOn w:val="Normal"/>
    <w:rsid w:val="00B65F86"/>
    <w:pPr>
      <w:jc w:val="center"/>
    </w:pPr>
    <w:rPr>
      <w:sz w:val="24"/>
    </w:rPr>
  </w:style>
  <w:style w:type="paragraph" w:styleId="BodyText2">
    <w:name w:val="Body Text 2"/>
    <w:basedOn w:val="Normal"/>
    <w:rsid w:val="00B65F86"/>
    <w:rPr>
      <w:snapToGrid w:val="0"/>
      <w:sz w:val="24"/>
      <w:lang w:eastAsia="en-US"/>
    </w:rPr>
  </w:style>
  <w:style w:type="paragraph" w:styleId="Header">
    <w:name w:val="header"/>
    <w:basedOn w:val="Normal"/>
    <w:rsid w:val="00B65F86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B65F86"/>
  </w:style>
  <w:style w:type="paragraph" w:customStyle="1" w:styleId="Att-Sectionheading">
    <w:name w:val="Att - Section heading"/>
    <w:basedOn w:val="Normal"/>
    <w:link w:val="Att-SectionheadingChar"/>
    <w:qFormat/>
    <w:rsid w:val="001863D1"/>
    <w:pPr>
      <w:ind w:right="91"/>
    </w:pPr>
    <w:rPr>
      <w:sz w:val="24"/>
      <w:szCs w:val="24"/>
      <w:u w:val="single"/>
    </w:rPr>
  </w:style>
  <w:style w:type="paragraph" w:customStyle="1" w:styleId="BodyText1">
    <w:name w:val="Body Text1"/>
    <w:basedOn w:val="Normal"/>
    <w:link w:val="BodytextChar"/>
    <w:qFormat/>
    <w:rsid w:val="001863D1"/>
    <w:pPr>
      <w:ind w:right="91"/>
    </w:pPr>
    <w:rPr>
      <w:sz w:val="24"/>
      <w:szCs w:val="24"/>
    </w:rPr>
  </w:style>
  <w:style w:type="character" w:customStyle="1" w:styleId="Att-SectionheadingChar">
    <w:name w:val="Att - Section heading Char"/>
    <w:link w:val="Att-Sectionheading"/>
    <w:rsid w:val="001863D1"/>
    <w:rPr>
      <w:sz w:val="24"/>
      <w:szCs w:val="24"/>
      <w:u w:val="single"/>
    </w:rPr>
  </w:style>
  <w:style w:type="character" w:customStyle="1" w:styleId="BodytextChar">
    <w:name w:val="Body text Char"/>
    <w:link w:val="BodyText1"/>
    <w:rsid w:val="001863D1"/>
    <w:rPr>
      <w:sz w:val="24"/>
      <w:szCs w:val="24"/>
    </w:rPr>
  </w:style>
  <w:style w:type="character" w:styleId="CommentReference">
    <w:name w:val="annotation reference"/>
    <w:rsid w:val="00250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0779"/>
  </w:style>
  <w:style w:type="character" w:customStyle="1" w:styleId="CommentTextChar">
    <w:name w:val="Comment Text Char"/>
    <w:basedOn w:val="DefaultParagraphFont"/>
    <w:link w:val="CommentText"/>
    <w:rsid w:val="00250779"/>
  </w:style>
  <w:style w:type="paragraph" w:styleId="CommentSubject">
    <w:name w:val="annotation subject"/>
    <w:basedOn w:val="CommentText"/>
    <w:next w:val="CommentText"/>
    <w:link w:val="CommentSubjectChar"/>
    <w:rsid w:val="00250779"/>
    <w:rPr>
      <w:b/>
      <w:bCs/>
    </w:rPr>
  </w:style>
  <w:style w:type="character" w:customStyle="1" w:styleId="CommentSubjectChar">
    <w:name w:val="Comment Subject Char"/>
    <w:link w:val="CommentSubject"/>
    <w:rsid w:val="00250779"/>
    <w:rPr>
      <w:b/>
      <w:bCs/>
    </w:rPr>
  </w:style>
  <w:style w:type="paragraph" w:styleId="BalloonText">
    <w:name w:val="Balloon Text"/>
    <w:basedOn w:val="Normal"/>
    <w:link w:val="BalloonTextChar"/>
    <w:rsid w:val="00250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07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01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01D7D"/>
  </w:style>
  <w:style w:type="paragraph" w:styleId="Revision">
    <w:name w:val="Revision"/>
    <w:hidden/>
    <w:uiPriority w:val="99"/>
    <w:semiHidden/>
    <w:rsid w:val="003729DD"/>
  </w:style>
  <w:style w:type="paragraph" w:styleId="ListParagraph">
    <w:name w:val="List Paragraph"/>
    <w:basedOn w:val="Normal"/>
    <w:uiPriority w:val="34"/>
    <w:qFormat/>
    <w:rsid w:val="00A3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2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3955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24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9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34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08C63-91B0-48F5-9586-29EDD7CF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7531</Characters>
  <Application>Microsoft Office Word</Application>
  <DocSecurity>6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DBCDE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Dept Laptop</dc:creator>
  <cp:lastModifiedBy>Mlittle</cp:lastModifiedBy>
  <cp:revision>2</cp:revision>
  <cp:lastPrinted>2014-03-13T05:25:00Z</cp:lastPrinted>
  <dcterms:created xsi:type="dcterms:W3CDTF">2014-03-20T00:07:00Z</dcterms:created>
  <dcterms:modified xsi:type="dcterms:W3CDTF">2014-03-20T00:07:00Z</dcterms:modified>
</cp:coreProperties>
</file>