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2E568B" w:rsidP="00524102">
      <w:pPr>
        <w:pStyle w:val="Title"/>
        <w:ind w:right="-188"/>
        <w:rPr>
          <w:szCs w:val="24"/>
        </w:rPr>
      </w:pPr>
      <w:r w:rsidRPr="00BA306B">
        <w:rPr>
          <w:szCs w:val="24"/>
        </w:rPr>
        <w:t xml:space="preserve">EXPLANATORY </w:t>
      </w:r>
      <w:r w:rsidR="00524102">
        <w:rPr>
          <w:szCs w:val="24"/>
        </w:rPr>
        <w:t>STATEMENT</w:t>
      </w:r>
    </w:p>
    <w:p w:rsidR="002E568B" w:rsidRPr="00BA306B" w:rsidRDefault="002E568B" w:rsidP="00524102">
      <w:pPr>
        <w:ind w:right="-188"/>
        <w:jc w:val="center"/>
        <w:rPr>
          <w:b/>
          <w:szCs w:val="24"/>
        </w:rPr>
      </w:pPr>
    </w:p>
    <w:p w:rsidR="002E568B" w:rsidRPr="00E85BB6" w:rsidRDefault="00524102" w:rsidP="00524102">
      <w:pPr>
        <w:ind w:right="-188"/>
        <w:jc w:val="center"/>
        <w:rPr>
          <w:b/>
          <w:szCs w:val="24"/>
          <w:u w:val="single"/>
        </w:rPr>
      </w:pPr>
      <w:r w:rsidRPr="00E85BB6">
        <w:rPr>
          <w:b/>
          <w:szCs w:val="24"/>
          <w:u w:val="single"/>
        </w:rPr>
        <w:t>Select</w:t>
      </w:r>
      <w:r w:rsidR="00E85BB6">
        <w:rPr>
          <w:b/>
          <w:szCs w:val="24"/>
          <w:u w:val="single"/>
        </w:rPr>
        <w:t xml:space="preserve"> Legislative Instrument No. 38, 2014</w:t>
      </w:r>
    </w:p>
    <w:p w:rsidR="00815065" w:rsidRDefault="00815065" w:rsidP="00524102">
      <w:pPr>
        <w:ind w:right="-188"/>
        <w:jc w:val="center"/>
        <w:rPr>
          <w:szCs w:val="24"/>
        </w:rPr>
      </w:pPr>
    </w:p>
    <w:p w:rsidR="003E33C4" w:rsidRDefault="007B086B" w:rsidP="00524102">
      <w:pPr>
        <w:ind w:right="-188"/>
        <w:jc w:val="center"/>
        <w:rPr>
          <w:i/>
          <w:szCs w:val="24"/>
        </w:rPr>
      </w:pPr>
      <w:r w:rsidRPr="00BA306B">
        <w:rPr>
          <w:i/>
          <w:szCs w:val="24"/>
        </w:rPr>
        <w:t>Therapeutic Goods Act 1989</w:t>
      </w:r>
    </w:p>
    <w:p w:rsidR="00B85A19" w:rsidRDefault="00B85A19" w:rsidP="00524102">
      <w:pPr>
        <w:ind w:right="-188" w:firstLine="1134"/>
        <w:jc w:val="center"/>
        <w:rPr>
          <w:i/>
          <w:szCs w:val="24"/>
        </w:rPr>
      </w:pPr>
    </w:p>
    <w:p w:rsidR="002E568B" w:rsidRPr="00BA306B" w:rsidRDefault="002E568B" w:rsidP="00524102">
      <w:pPr>
        <w:ind w:right="-188"/>
        <w:jc w:val="center"/>
        <w:rPr>
          <w:i/>
          <w:szCs w:val="24"/>
        </w:rPr>
      </w:pPr>
      <w:r w:rsidRPr="00BA306B">
        <w:rPr>
          <w:i/>
          <w:szCs w:val="24"/>
        </w:rPr>
        <w:t xml:space="preserve">Therapeutic Goods </w:t>
      </w:r>
      <w:r w:rsidR="00E81C4E">
        <w:rPr>
          <w:i/>
          <w:szCs w:val="24"/>
        </w:rPr>
        <w:t xml:space="preserve">(Medical Devices) </w:t>
      </w:r>
      <w:r w:rsidR="009B4412">
        <w:rPr>
          <w:i/>
          <w:szCs w:val="24"/>
        </w:rPr>
        <w:t>Amendment</w:t>
      </w:r>
      <w:r w:rsidRPr="00BA306B">
        <w:rPr>
          <w:i/>
          <w:szCs w:val="24"/>
        </w:rPr>
        <w:t xml:space="preserve"> </w:t>
      </w:r>
      <w:r w:rsidR="00FE20E0">
        <w:rPr>
          <w:i/>
          <w:szCs w:val="24"/>
        </w:rPr>
        <w:t>(</w:t>
      </w:r>
      <w:r w:rsidR="00550CC8">
        <w:rPr>
          <w:i/>
          <w:szCs w:val="24"/>
        </w:rPr>
        <w:t>Auditing Applications</w:t>
      </w:r>
      <w:r w:rsidR="00D9475C">
        <w:rPr>
          <w:i/>
          <w:szCs w:val="24"/>
        </w:rPr>
        <w:t>)</w:t>
      </w:r>
      <w:r w:rsidR="00D416DD">
        <w:rPr>
          <w:i/>
          <w:szCs w:val="24"/>
        </w:rPr>
        <w:t xml:space="preserve"> </w:t>
      </w:r>
      <w:r w:rsidRPr="00BA306B">
        <w:rPr>
          <w:i/>
          <w:szCs w:val="24"/>
        </w:rPr>
        <w:t xml:space="preserve">Regulation </w:t>
      </w:r>
      <w:r>
        <w:rPr>
          <w:i/>
          <w:szCs w:val="24"/>
        </w:rPr>
        <w:t>201</w:t>
      </w:r>
      <w:r w:rsidR="00E81C4E">
        <w:rPr>
          <w:i/>
          <w:szCs w:val="24"/>
        </w:rPr>
        <w:t>4</w:t>
      </w:r>
    </w:p>
    <w:p w:rsidR="002E568B" w:rsidRPr="00704057" w:rsidRDefault="002E568B" w:rsidP="001B6539">
      <w:pPr>
        <w:ind w:right="-188"/>
        <w:rPr>
          <w:szCs w:val="24"/>
          <w:highlight w:val="yellow"/>
        </w:rPr>
      </w:pPr>
    </w:p>
    <w:p w:rsidR="00ED3AE4" w:rsidRDefault="00ED3AE4" w:rsidP="001B6539">
      <w:pPr>
        <w:ind w:right="-188"/>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w:t>
      </w:r>
      <w:r w:rsidR="007C6FD8">
        <w:rPr>
          <w:szCs w:val="24"/>
        </w:rPr>
        <w:t>/performance</w:t>
      </w:r>
      <w:r>
        <w:rPr>
          <w:szCs w:val="24"/>
        </w:rPr>
        <w:t xml:space="preserve"> and timel</w:t>
      </w:r>
      <w:bookmarkStart w:id="0" w:name="_GoBack"/>
      <w:bookmarkEnd w:id="0"/>
      <w:r>
        <w:rPr>
          <w:szCs w:val="24"/>
        </w:rPr>
        <w:t xml:space="preserve">y availability of therapeutic goods that are used in Australia or exported from Australia. </w:t>
      </w:r>
      <w:r w:rsidR="00F54C3B">
        <w:rPr>
          <w:szCs w:val="24"/>
        </w:rPr>
        <w:t xml:space="preserve"> </w:t>
      </w:r>
      <w:r>
        <w:rPr>
          <w:szCs w:val="24"/>
        </w:rPr>
        <w:t>The Therapeutic Goods Administration (the TGA), which is part of the Department of Health, is responsible for administering the Act.</w:t>
      </w:r>
    </w:p>
    <w:p w:rsidR="00ED3AE4" w:rsidRDefault="00ED3AE4" w:rsidP="001B6539">
      <w:pPr>
        <w:ind w:right="-188"/>
        <w:rPr>
          <w:szCs w:val="24"/>
        </w:rPr>
      </w:pPr>
    </w:p>
    <w:p w:rsidR="00ED3AE4" w:rsidRDefault="00ED3AE4" w:rsidP="001B6539">
      <w:pPr>
        <w:ind w:right="-188"/>
        <w:rPr>
          <w:szCs w:val="24"/>
        </w:rPr>
      </w:pPr>
      <w:r>
        <w:rPr>
          <w:szCs w:val="24"/>
        </w:rPr>
        <w:t>Subsection 63(1) of the Act provides that the Governor-General may make regulation</w:t>
      </w:r>
      <w:r w:rsidR="00821421">
        <w:rPr>
          <w:szCs w:val="24"/>
        </w:rPr>
        <w:t xml:space="preserve">s, not inconsistent with the </w:t>
      </w:r>
      <w:r>
        <w:rPr>
          <w:szCs w:val="24"/>
        </w:rPr>
        <w:t>Act, prescribing matters required or permitted to be prescribed by the Act or necessary or convenient to be prescribed for carrying out or giving effect to the Act.</w:t>
      </w:r>
    </w:p>
    <w:p w:rsidR="00ED3AE4" w:rsidRDefault="00ED3AE4" w:rsidP="001B6539">
      <w:pPr>
        <w:ind w:right="-188"/>
        <w:rPr>
          <w:szCs w:val="24"/>
        </w:rPr>
      </w:pPr>
    </w:p>
    <w:p w:rsidR="00081712" w:rsidRDefault="00081712" w:rsidP="00081712">
      <w:pPr>
        <w:pStyle w:val="ListParagraph"/>
        <w:ind w:left="0" w:right="-188"/>
        <w:rPr>
          <w:rFonts w:ascii="Times" w:hAnsi="Times"/>
          <w:szCs w:val="24"/>
        </w:rPr>
      </w:pPr>
      <w:bookmarkStart w:id="1" w:name="OLE_LINK1"/>
      <w:r>
        <w:rPr>
          <w:rFonts w:ascii="Times" w:hAnsi="Times"/>
          <w:szCs w:val="24"/>
        </w:rPr>
        <w:t xml:space="preserve">Under the Act, the Secretary of the Department of Health is required to select for audit by the Secretary, applications for the inclusion of kinds of medical devices in the Australian Register of Therapeutic Goods (the Register) of a kind prescribed in the </w:t>
      </w:r>
      <w:r w:rsidRPr="00005F8F">
        <w:rPr>
          <w:i/>
          <w:szCs w:val="24"/>
        </w:rPr>
        <w:t xml:space="preserve">Therapeutic Goods </w:t>
      </w:r>
      <w:r>
        <w:rPr>
          <w:i/>
          <w:szCs w:val="24"/>
        </w:rPr>
        <w:t>(Medical Devices) Regulations 2002</w:t>
      </w:r>
      <w:r>
        <w:rPr>
          <w:szCs w:val="24"/>
        </w:rPr>
        <w:t xml:space="preserve"> (the Principal Regulations) (these include, for example, applications involving implantable intra-ocular lenses or implantable contraceptive devices)</w:t>
      </w:r>
      <w:r>
        <w:rPr>
          <w:rFonts w:ascii="Times" w:hAnsi="Times"/>
          <w:szCs w:val="24"/>
        </w:rPr>
        <w:t xml:space="preserve">, and also has a discretion to select for auditing any other applications to include a kind of medical device in the Register.  </w:t>
      </w:r>
      <w:r>
        <w:rPr>
          <w:rFonts w:eastAsia="Calibri"/>
          <w:color w:val="000000"/>
          <w:szCs w:val="24"/>
          <w:lang w:eastAsia="en-US"/>
        </w:rPr>
        <w:t xml:space="preserve">An audit can involve a range of matters, including examining whether the kind of device complies with minimum technical requirements for safety and performance and whether they contain substances prohibited under the </w:t>
      </w:r>
      <w:r>
        <w:rPr>
          <w:rFonts w:eastAsia="Calibri"/>
          <w:i/>
          <w:iCs/>
          <w:color w:val="000000"/>
          <w:szCs w:val="24"/>
          <w:lang w:eastAsia="en-US"/>
        </w:rPr>
        <w:t>Customs Act 1901</w:t>
      </w:r>
      <w:r>
        <w:rPr>
          <w:rFonts w:eastAsia="Calibri"/>
          <w:color w:val="000000"/>
          <w:szCs w:val="24"/>
          <w:lang w:eastAsia="en-US"/>
        </w:rPr>
        <w:t xml:space="preserve">.  </w:t>
      </w:r>
      <w:r>
        <w:rPr>
          <w:rFonts w:ascii="Times" w:hAnsi="Times"/>
          <w:szCs w:val="24"/>
        </w:rPr>
        <w:t>For applications selected for audit, the Secretary must, under the Act, inform the applicant of that selection and require them to provide any information the Secretary is satisfied is relevant to the audit, either within 20 working days after the application was made or within such longer period as is prescribed for particular kinds of applications. There is currently no period prescribed for this purpose.</w:t>
      </w:r>
    </w:p>
    <w:p w:rsidR="00D9475C" w:rsidRDefault="00D9475C" w:rsidP="001B6539">
      <w:pPr>
        <w:pStyle w:val="ListParagraph"/>
        <w:ind w:left="0" w:right="-188"/>
        <w:rPr>
          <w:rFonts w:ascii="Times" w:hAnsi="Times"/>
          <w:szCs w:val="24"/>
        </w:rPr>
      </w:pPr>
    </w:p>
    <w:p w:rsidR="00D416DD" w:rsidRDefault="006973A0" w:rsidP="001B6539">
      <w:pPr>
        <w:pStyle w:val="ListParagraph"/>
        <w:ind w:left="0" w:right="-188"/>
        <w:rPr>
          <w:rFonts w:ascii="Times" w:hAnsi="Times"/>
          <w:szCs w:val="24"/>
        </w:rPr>
      </w:pPr>
      <w:r>
        <w:rPr>
          <w:rFonts w:ascii="Times" w:hAnsi="Times"/>
          <w:szCs w:val="24"/>
        </w:rPr>
        <w:t xml:space="preserve">The purpose of the regulation is to amend the </w:t>
      </w:r>
      <w:r w:rsidRPr="00005F8F">
        <w:rPr>
          <w:i/>
          <w:szCs w:val="24"/>
        </w:rPr>
        <w:t xml:space="preserve">Therapeutic Goods </w:t>
      </w:r>
      <w:r>
        <w:rPr>
          <w:i/>
          <w:szCs w:val="24"/>
        </w:rPr>
        <w:t>(Medical Devices) Regulations 2002</w:t>
      </w:r>
      <w:r>
        <w:rPr>
          <w:szCs w:val="24"/>
        </w:rPr>
        <w:t xml:space="preserve"> (the Principal Regulations) </w:t>
      </w:r>
      <w:r w:rsidR="00A246A5">
        <w:rPr>
          <w:rFonts w:ascii="Times" w:hAnsi="Times"/>
          <w:szCs w:val="24"/>
        </w:rPr>
        <w:t>to now</w:t>
      </w:r>
      <w:r w:rsidR="00D416DD">
        <w:rPr>
          <w:rFonts w:ascii="Times" w:hAnsi="Times"/>
          <w:szCs w:val="24"/>
        </w:rPr>
        <w:t xml:space="preserve"> prescribe such a longer period – 60 working days after the application was made – for applications known as “up-classification” applications.</w:t>
      </w:r>
    </w:p>
    <w:p w:rsidR="00D416DD" w:rsidRDefault="00D416DD" w:rsidP="001B6539">
      <w:pPr>
        <w:pStyle w:val="ListParagraph"/>
        <w:ind w:left="0" w:right="-188"/>
        <w:rPr>
          <w:rFonts w:ascii="Times" w:hAnsi="Times"/>
          <w:szCs w:val="24"/>
        </w:rPr>
      </w:pPr>
    </w:p>
    <w:p w:rsidR="004C1689" w:rsidRDefault="000E2076" w:rsidP="001B6539">
      <w:pPr>
        <w:pStyle w:val="ListParagraph"/>
        <w:ind w:left="0" w:right="-188"/>
        <w:rPr>
          <w:rFonts w:ascii="Times" w:hAnsi="Times"/>
          <w:szCs w:val="24"/>
        </w:rPr>
      </w:pPr>
      <w:r>
        <w:rPr>
          <w:rFonts w:ascii="Times" w:hAnsi="Times"/>
          <w:szCs w:val="24"/>
        </w:rPr>
        <w:t>“Up-classification”</w:t>
      </w:r>
      <w:r w:rsidR="00D416DD">
        <w:rPr>
          <w:rFonts w:ascii="Times" w:hAnsi="Times"/>
          <w:szCs w:val="24"/>
        </w:rPr>
        <w:t xml:space="preserve"> applications </w:t>
      </w:r>
      <w:r>
        <w:rPr>
          <w:rFonts w:ascii="Times" w:hAnsi="Times"/>
          <w:szCs w:val="24"/>
        </w:rPr>
        <w:t xml:space="preserve">are applications </w:t>
      </w:r>
      <w:r w:rsidR="00D416DD">
        <w:rPr>
          <w:rFonts w:ascii="Times" w:hAnsi="Times"/>
          <w:szCs w:val="24"/>
        </w:rPr>
        <w:t>for the inclusion in t</w:t>
      </w:r>
      <w:r w:rsidR="00CA4146">
        <w:rPr>
          <w:rFonts w:ascii="Times" w:hAnsi="Times"/>
          <w:szCs w:val="24"/>
        </w:rPr>
        <w:t>he Register of</w:t>
      </w:r>
      <w:r>
        <w:rPr>
          <w:rFonts w:ascii="Times" w:hAnsi="Times"/>
          <w:szCs w:val="24"/>
        </w:rPr>
        <w:t xml:space="preserve"> </w:t>
      </w:r>
      <w:r w:rsidR="00FE16A4">
        <w:rPr>
          <w:rFonts w:ascii="Times" w:hAnsi="Times"/>
          <w:szCs w:val="24"/>
        </w:rPr>
        <w:t xml:space="preserve">certain kinds of </w:t>
      </w:r>
      <w:r w:rsidR="00D416DD">
        <w:rPr>
          <w:rFonts w:ascii="Times" w:hAnsi="Times"/>
          <w:szCs w:val="24"/>
        </w:rPr>
        <w:t>Class III implantable medical devices</w:t>
      </w:r>
      <w:r w:rsidR="001C54E8">
        <w:rPr>
          <w:rFonts w:ascii="Times" w:hAnsi="Times"/>
          <w:szCs w:val="24"/>
        </w:rPr>
        <w:t>.  They are device</w:t>
      </w:r>
      <w:r w:rsidR="006A57B3">
        <w:rPr>
          <w:rFonts w:ascii="Times" w:hAnsi="Times"/>
          <w:szCs w:val="24"/>
        </w:rPr>
        <w:t>s</w:t>
      </w:r>
      <w:r w:rsidR="001C54E8">
        <w:rPr>
          <w:rFonts w:ascii="Times" w:hAnsi="Times"/>
          <w:szCs w:val="24"/>
        </w:rPr>
        <w:t xml:space="preserve"> </w:t>
      </w:r>
      <w:r w:rsidR="00D416DD">
        <w:rPr>
          <w:rFonts w:ascii="Times" w:hAnsi="Times"/>
          <w:szCs w:val="24"/>
        </w:rPr>
        <w:t xml:space="preserve">intended by their manufacturer to be total or partial shoulder, hip or knee replacements </w:t>
      </w:r>
      <w:r w:rsidR="00CA4146">
        <w:rPr>
          <w:rFonts w:ascii="Times" w:hAnsi="Times"/>
          <w:szCs w:val="24"/>
        </w:rPr>
        <w:t xml:space="preserve">and </w:t>
      </w:r>
      <w:r w:rsidR="006A57B3">
        <w:rPr>
          <w:rFonts w:ascii="Times" w:hAnsi="Times"/>
          <w:szCs w:val="24"/>
        </w:rPr>
        <w:t>which</w:t>
      </w:r>
      <w:r w:rsidR="00DE4AED">
        <w:rPr>
          <w:rFonts w:ascii="Times" w:hAnsi="Times"/>
          <w:szCs w:val="24"/>
        </w:rPr>
        <w:t>,</w:t>
      </w:r>
      <w:r w:rsidR="00D416DD">
        <w:rPr>
          <w:rFonts w:ascii="Times" w:hAnsi="Times"/>
          <w:szCs w:val="24"/>
        </w:rPr>
        <w:t xml:space="preserve"> </w:t>
      </w:r>
      <w:r w:rsidR="007C6FD8">
        <w:rPr>
          <w:rFonts w:ascii="Times" w:hAnsi="Times"/>
          <w:szCs w:val="24"/>
        </w:rPr>
        <w:t xml:space="preserve">as at </w:t>
      </w:r>
      <w:r w:rsidR="00F54C3B">
        <w:rPr>
          <w:rFonts w:ascii="Times" w:hAnsi="Times"/>
          <w:szCs w:val="24"/>
        </w:rPr>
        <w:t xml:space="preserve">              </w:t>
      </w:r>
      <w:r w:rsidR="007C6FD8">
        <w:rPr>
          <w:rFonts w:ascii="Times" w:hAnsi="Times"/>
          <w:szCs w:val="24"/>
        </w:rPr>
        <w:t>1 July 2012</w:t>
      </w:r>
      <w:r w:rsidR="00DE4AED">
        <w:rPr>
          <w:rFonts w:ascii="Times" w:hAnsi="Times"/>
          <w:szCs w:val="24"/>
        </w:rPr>
        <w:t>,</w:t>
      </w:r>
      <w:r w:rsidR="007C6FD8">
        <w:rPr>
          <w:rFonts w:ascii="Times" w:hAnsi="Times"/>
          <w:szCs w:val="24"/>
        </w:rPr>
        <w:t xml:space="preserve"> were </w:t>
      </w:r>
      <w:r w:rsidR="00D416DD">
        <w:rPr>
          <w:rFonts w:ascii="Times" w:hAnsi="Times"/>
          <w:szCs w:val="24"/>
        </w:rPr>
        <w:t>included in the Register as Class IIb medical devices</w:t>
      </w:r>
      <w:r w:rsidR="000D44B8">
        <w:rPr>
          <w:rFonts w:ascii="Times" w:hAnsi="Times"/>
          <w:szCs w:val="24"/>
        </w:rPr>
        <w:t xml:space="preserve"> </w:t>
      </w:r>
      <w:r w:rsidR="000D44B8">
        <w:t>or were the subject of an application for inclusion as a Class IIb device that had not yet been finally determined</w:t>
      </w:r>
      <w:r w:rsidR="001C54E8">
        <w:t xml:space="preserve"> at that time</w:t>
      </w:r>
      <w:r w:rsidR="00D416DD">
        <w:rPr>
          <w:rFonts w:ascii="Times" w:hAnsi="Times"/>
          <w:szCs w:val="24"/>
        </w:rPr>
        <w:t>.</w:t>
      </w:r>
    </w:p>
    <w:p w:rsidR="00D416DD" w:rsidRDefault="00D416DD" w:rsidP="001B6539">
      <w:pPr>
        <w:pStyle w:val="ListParagraph"/>
        <w:ind w:left="0" w:right="-188"/>
        <w:rPr>
          <w:rFonts w:ascii="Times" w:hAnsi="Times"/>
          <w:szCs w:val="24"/>
        </w:rPr>
      </w:pPr>
    </w:p>
    <w:p w:rsidR="00D416DD" w:rsidRDefault="00D416DD" w:rsidP="001B6539">
      <w:pPr>
        <w:pStyle w:val="ListParagraph"/>
        <w:ind w:left="0" w:right="-188"/>
        <w:rPr>
          <w:rFonts w:ascii="Times" w:hAnsi="Times"/>
          <w:szCs w:val="24"/>
        </w:rPr>
      </w:pPr>
      <w:r>
        <w:rPr>
          <w:rFonts w:ascii="Times" w:hAnsi="Times"/>
          <w:szCs w:val="24"/>
        </w:rPr>
        <w:t>On 1 July 2012, these products were reclassified from Class IIb medical devices to the higher risk classification of Class III, in order that they be subjected to an increased degree of pre-market scrutiny.</w:t>
      </w:r>
      <w:r w:rsidR="007C6FD8">
        <w:rPr>
          <w:rFonts w:ascii="Times" w:hAnsi="Times"/>
          <w:szCs w:val="24"/>
        </w:rPr>
        <w:t xml:space="preserve">  This meant that any application for the inclusion of such products </w:t>
      </w:r>
      <w:r w:rsidR="00FE16A4">
        <w:rPr>
          <w:rFonts w:ascii="Times" w:hAnsi="Times"/>
          <w:szCs w:val="24"/>
        </w:rPr>
        <w:t xml:space="preserve">in the Register </w:t>
      </w:r>
      <w:r w:rsidR="007C6FD8">
        <w:rPr>
          <w:rFonts w:ascii="Times" w:hAnsi="Times"/>
          <w:szCs w:val="24"/>
        </w:rPr>
        <w:t>after that date  have to satisfy the regulatory requirements for a Class III medical device rather than a Class IIb medical device.</w:t>
      </w:r>
    </w:p>
    <w:p w:rsidR="00D416DD" w:rsidRDefault="00D416DD" w:rsidP="001B6539">
      <w:pPr>
        <w:pStyle w:val="ListParagraph"/>
        <w:ind w:left="0" w:right="-188"/>
        <w:rPr>
          <w:rFonts w:ascii="Times" w:hAnsi="Times"/>
          <w:szCs w:val="24"/>
        </w:rPr>
      </w:pPr>
    </w:p>
    <w:p w:rsidR="00FA31AE" w:rsidRDefault="00CA4146" w:rsidP="001B6539">
      <w:pPr>
        <w:pStyle w:val="ListParagraph"/>
        <w:ind w:left="0" w:right="-188"/>
        <w:rPr>
          <w:rFonts w:ascii="Times" w:hAnsi="Times"/>
          <w:szCs w:val="24"/>
        </w:rPr>
      </w:pPr>
      <w:r>
        <w:rPr>
          <w:rFonts w:ascii="Times" w:hAnsi="Times"/>
          <w:szCs w:val="24"/>
        </w:rPr>
        <w:lastRenderedPageBreak/>
        <w:t xml:space="preserve">A two year transition process was provided for in the </w:t>
      </w:r>
      <w:r w:rsidRPr="00E16574">
        <w:rPr>
          <w:rFonts w:ascii="Times" w:hAnsi="Times"/>
          <w:i/>
          <w:szCs w:val="24"/>
        </w:rPr>
        <w:t>Therapeutic Goods (Medical Devices) Amendment Regulation 2012 (No.1)</w:t>
      </w:r>
      <w:r w:rsidR="00F56145">
        <w:rPr>
          <w:rFonts w:ascii="Times" w:hAnsi="Times"/>
          <w:szCs w:val="24"/>
        </w:rPr>
        <w:t xml:space="preserve"> </w:t>
      </w:r>
      <w:r w:rsidR="00E16574">
        <w:rPr>
          <w:rFonts w:ascii="Times" w:hAnsi="Times"/>
          <w:szCs w:val="24"/>
        </w:rPr>
        <w:t>(the 2012 Regulation Amendments</w:t>
      </w:r>
      <w:r>
        <w:rPr>
          <w:rFonts w:ascii="Times" w:hAnsi="Times"/>
          <w:szCs w:val="24"/>
        </w:rPr>
        <w:t xml:space="preserve">).  </w:t>
      </w:r>
      <w:r w:rsidR="009D4AC1">
        <w:rPr>
          <w:rFonts w:ascii="Times" w:hAnsi="Times"/>
          <w:szCs w:val="24"/>
        </w:rPr>
        <w:t>As part of t</w:t>
      </w:r>
      <w:r>
        <w:rPr>
          <w:rFonts w:ascii="Times" w:hAnsi="Times"/>
          <w:szCs w:val="24"/>
        </w:rPr>
        <w:t xml:space="preserve">his </w:t>
      </w:r>
    </w:p>
    <w:p w:rsidR="00FA31AE" w:rsidRDefault="00FA31AE" w:rsidP="001B6539">
      <w:pPr>
        <w:pStyle w:val="ListParagraph"/>
        <w:ind w:left="0" w:right="-188"/>
        <w:rPr>
          <w:rFonts w:ascii="Times" w:hAnsi="Times"/>
          <w:szCs w:val="24"/>
        </w:rPr>
      </w:pPr>
    </w:p>
    <w:p w:rsidR="009D4AC1" w:rsidRDefault="00CA4146" w:rsidP="001B6539">
      <w:pPr>
        <w:pStyle w:val="ListParagraph"/>
        <w:ind w:left="0" w:right="-188"/>
        <w:rPr>
          <w:rFonts w:ascii="Times" w:hAnsi="Times"/>
          <w:szCs w:val="24"/>
        </w:rPr>
      </w:pPr>
      <w:r>
        <w:rPr>
          <w:rFonts w:ascii="Times" w:hAnsi="Times"/>
          <w:szCs w:val="24"/>
        </w:rPr>
        <w:t>process</w:t>
      </w:r>
      <w:r w:rsidR="009D4AC1">
        <w:rPr>
          <w:rFonts w:ascii="Times" w:hAnsi="Times"/>
          <w:szCs w:val="24"/>
        </w:rPr>
        <w:t xml:space="preserve">, </w:t>
      </w:r>
      <w:r>
        <w:rPr>
          <w:rFonts w:ascii="Times" w:hAnsi="Times"/>
          <w:szCs w:val="24"/>
        </w:rPr>
        <w:t>sponsor</w:t>
      </w:r>
      <w:r w:rsidR="006A2C5D">
        <w:rPr>
          <w:rFonts w:ascii="Times" w:hAnsi="Times"/>
          <w:szCs w:val="24"/>
        </w:rPr>
        <w:t>s of</w:t>
      </w:r>
      <w:r>
        <w:rPr>
          <w:rFonts w:ascii="Times" w:hAnsi="Times"/>
          <w:szCs w:val="24"/>
        </w:rPr>
        <w:t xml:space="preserve"> </w:t>
      </w:r>
      <w:r w:rsidR="007C6FD8">
        <w:rPr>
          <w:rFonts w:ascii="Times" w:hAnsi="Times"/>
          <w:szCs w:val="24"/>
        </w:rPr>
        <w:t xml:space="preserve">total or partial shoulder, hip or knee replacement medical devices </w:t>
      </w:r>
      <w:r w:rsidR="006A2C5D">
        <w:rPr>
          <w:rFonts w:ascii="Times" w:hAnsi="Times"/>
          <w:szCs w:val="24"/>
        </w:rPr>
        <w:t>which, as at 1 July 2012, were</w:t>
      </w:r>
      <w:r>
        <w:rPr>
          <w:rFonts w:ascii="Times" w:hAnsi="Times"/>
          <w:szCs w:val="24"/>
        </w:rPr>
        <w:t xml:space="preserve"> </w:t>
      </w:r>
      <w:r w:rsidR="007C6FD8">
        <w:rPr>
          <w:rFonts w:ascii="Times" w:hAnsi="Times"/>
          <w:szCs w:val="24"/>
        </w:rPr>
        <w:t xml:space="preserve">either </w:t>
      </w:r>
      <w:r>
        <w:rPr>
          <w:rFonts w:ascii="Times" w:hAnsi="Times"/>
          <w:szCs w:val="24"/>
        </w:rPr>
        <w:t xml:space="preserve">already included in the Register </w:t>
      </w:r>
      <w:r w:rsidR="006A2C5D">
        <w:rPr>
          <w:rFonts w:ascii="Times" w:hAnsi="Times"/>
          <w:szCs w:val="24"/>
        </w:rPr>
        <w:t xml:space="preserve">as </w:t>
      </w:r>
      <w:r>
        <w:rPr>
          <w:rFonts w:ascii="Times" w:hAnsi="Times"/>
          <w:szCs w:val="24"/>
        </w:rPr>
        <w:t>Class IIb device</w:t>
      </w:r>
      <w:r w:rsidR="00FE16A4">
        <w:rPr>
          <w:rFonts w:ascii="Times" w:hAnsi="Times"/>
          <w:szCs w:val="24"/>
        </w:rPr>
        <w:t>s</w:t>
      </w:r>
      <w:r>
        <w:rPr>
          <w:rFonts w:ascii="Times" w:hAnsi="Times"/>
          <w:szCs w:val="24"/>
        </w:rPr>
        <w:t xml:space="preserve"> or </w:t>
      </w:r>
      <w:r w:rsidR="006A2C5D">
        <w:rPr>
          <w:rFonts w:ascii="Times" w:hAnsi="Times"/>
          <w:szCs w:val="24"/>
        </w:rPr>
        <w:t xml:space="preserve">were </w:t>
      </w:r>
      <w:r>
        <w:rPr>
          <w:rFonts w:ascii="Times" w:hAnsi="Times"/>
          <w:szCs w:val="24"/>
        </w:rPr>
        <w:t>the subject of</w:t>
      </w:r>
      <w:r w:rsidR="00FE16A4">
        <w:rPr>
          <w:rFonts w:ascii="Times" w:hAnsi="Times"/>
          <w:szCs w:val="24"/>
        </w:rPr>
        <w:t xml:space="preserve"> </w:t>
      </w:r>
      <w:r>
        <w:rPr>
          <w:rFonts w:ascii="Times" w:hAnsi="Times"/>
          <w:szCs w:val="24"/>
        </w:rPr>
        <w:t>application</w:t>
      </w:r>
      <w:r w:rsidR="00FE16A4">
        <w:rPr>
          <w:rFonts w:ascii="Times" w:hAnsi="Times"/>
          <w:szCs w:val="24"/>
        </w:rPr>
        <w:t>s</w:t>
      </w:r>
      <w:r>
        <w:rPr>
          <w:rFonts w:ascii="Times" w:hAnsi="Times"/>
          <w:szCs w:val="24"/>
        </w:rPr>
        <w:t xml:space="preserve"> for inclusion in the Register </w:t>
      </w:r>
      <w:r w:rsidR="006A2C5D">
        <w:rPr>
          <w:rFonts w:ascii="Times" w:hAnsi="Times"/>
          <w:szCs w:val="24"/>
        </w:rPr>
        <w:t xml:space="preserve">as </w:t>
      </w:r>
      <w:r>
        <w:rPr>
          <w:rFonts w:ascii="Times" w:hAnsi="Times"/>
          <w:szCs w:val="24"/>
        </w:rPr>
        <w:t>Class IIb device</w:t>
      </w:r>
      <w:r w:rsidR="00FE16A4">
        <w:rPr>
          <w:rFonts w:ascii="Times" w:hAnsi="Times"/>
          <w:szCs w:val="24"/>
        </w:rPr>
        <w:t>s</w:t>
      </w:r>
      <w:r>
        <w:rPr>
          <w:rFonts w:ascii="Times" w:hAnsi="Times"/>
          <w:szCs w:val="24"/>
        </w:rPr>
        <w:t xml:space="preserve"> that had not been finally determined, </w:t>
      </w:r>
      <w:r w:rsidR="009D4AC1">
        <w:rPr>
          <w:rFonts w:ascii="Times" w:hAnsi="Times"/>
          <w:szCs w:val="24"/>
        </w:rPr>
        <w:t xml:space="preserve">were given </w:t>
      </w:r>
      <w:r>
        <w:rPr>
          <w:rFonts w:ascii="Times" w:hAnsi="Times"/>
          <w:szCs w:val="24"/>
        </w:rPr>
        <w:t>until 30 June 2014 to submit an appl</w:t>
      </w:r>
      <w:r w:rsidR="006A2C5D">
        <w:rPr>
          <w:rFonts w:ascii="Times" w:hAnsi="Times"/>
          <w:szCs w:val="24"/>
        </w:rPr>
        <w:t xml:space="preserve">ication to </w:t>
      </w:r>
      <w:r w:rsidR="007C6FD8">
        <w:rPr>
          <w:rFonts w:ascii="Times" w:hAnsi="Times"/>
          <w:szCs w:val="24"/>
        </w:rPr>
        <w:t xml:space="preserve">the TGA </w:t>
      </w:r>
      <w:r w:rsidR="00FE16A4">
        <w:rPr>
          <w:rFonts w:ascii="Times" w:hAnsi="Times"/>
          <w:szCs w:val="24"/>
        </w:rPr>
        <w:t xml:space="preserve">to </w:t>
      </w:r>
      <w:r w:rsidR="006A2C5D">
        <w:rPr>
          <w:rFonts w:ascii="Times" w:hAnsi="Times"/>
          <w:szCs w:val="24"/>
        </w:rPr>
        <w:t>include their product</w:t>
      </w:r>
      <w:r w:rsidR="00FE16A4">
        <w:rPr>
          <w:rFonts w:ascii="Times" w:hAnsi="Times"/>
          <w:szCs w:val="24"/>
        </w:rPr>
        <w:t>s</w:t>
      </w:r>
      <w:r>
        <w:rPr>
          <w:rFonts w:ascii="Times" w:hAnsi="Times"/>
          <w:szCs w:val="24"/>
        </w:rPr>
        <w:t xml:space="preserve"> in the Register as Class III device</w:t>
      </w:r>
      <w:r w:rsidR="00FE16A4">
        <w:rPr>
          <w:rFonts w:ascii="Times" w:hAnsi="Times"/>
          <w:szCs w:val="24"/>
        </w:rPr>
        <w:t>s</w:t>
      </w:r>
      <w:r>
        <w:rPr>
          <w:rFonts w:ascii="Times" w:hAnsi="Times"/>
          <w:szCs w:val="24"/>
        </w:rPr>
        <w:t>.</w:t>
      </w:r>
      <w:r w:rsidR="00FE16A4">
        <w:rPr>
          <w:rFonts w:ascii="Times" w:hAnsi="Times"/>
          <w:szCs w:val="24"/>
        </w:rPr>
        <w:t xml:space="preserve">  </w:t>
      </w:r>
      <w:r w:rsidR="009D4AC1">
        <w:rPr>
          <w:rFonts w:ascii="Times" w:hAnsi="Times"/>
          <w:szCs w:val="24"/>
        </w:rPr>
        <w:t xml:space="preserve">If </w:t>
      </w:r>
      <w:r w:rsidR="00FE16A4">
        <w:rPr>
          <w:rFonts w:ascii="Times" w:hAnsi="Times"/>
          <w:szCs w:val="24"/>
        </w:rPr>
        <w:t>sponsors</w:t>
      </w:r>
      <w:r w:rsidR="009D4AC1">
        <w:rPr>
          <w:rFonts w:ascii="Times" w:hAnsi="Times"/>
          <w:szCs w:val="24"/>
        </w:rPr>
        <w:t xml:space="preserve"> do not submit a Class III application by that date, </w:t>
      </w:r>
      <w:r w:rsidR="006A57B3">
        <w:rPr>
          <w:rFonts w:ascii="Times" w:hAnsi="Times"/>
          <w:szCs w:val="24"/>
        </w:rPr>
        <w:t xml:space="preserve">the inclusion of their Class IIb devices </w:t>
      </w:r>
      <w:r w:rsidR="009D4AC1">
        <w:rPr>
          <w:rFonts w:ascii="Times" w:hAnsi="Times"/>
          <w:szCs w:val="24"/>
        </w:rPr>
        <w:t>will be taken to be cancelled from the Register on 1 July 2014.</w:t>
      </w:r>
      <w:r w:rsidR="007C6FD8">
        <w:rPr>
          <w:rFonts w:ascii="Times" w:hAnsi="Times"/>
          <w:szCs w:val="24"/>
        </w:rPr>
        <w:t xml:space="preserve">  The relevant </w:t>
      </w:r>
      <w:r w:rsidR="009D4AC1">
        <w:rPr>
          <w:rFonts w:ascii="Times" w:hAnsi="Times"/>
          <w:szCs w:val="24"/>
        </w:rPr>
        <w:t>Class IIb entry will remain in the Register while their Class III application is being considered.</w:t>
      </w:r>
    </w:p>
    <w:p w:rsidR="009D4AC1" w:rsidRDefault="009D4AC1" w:rsidP="001B6539">
      <w:pPr>
        <w:pStyle w:val="ListParagraph"/>
        <w:ind w:left="0" w:right="-188"/>
        <w:rPr>
          <w:rFonts w:ascii="Times" w:hAnsi="Times"/>
          <w:szCs w:val="24"/>
        </w:rPr>
      </w:pPr>
    </w:p>
    <w:p w:rsidR="008843CC" w:rsidRDefault="00B862E2" w:rsidP="001B6539">
      <w:pPr>
        <w:pStyle w:val="ListParagraph"/>
        <w:ind w:left="0" w:right="-188"/>
        <w:rPr>
          <w:rFonts w:ascii="Times" w:hAnsi="Times"/>
          <w:szCs w:val="24"/>
        </w:rPr>
      </w:pPr>
      <w:r>
        <w:rPr>
          <w:rFonts w:ascii="Times" w:hAnsi="Times"/>
          <w:szCs w:val="24"/>
        </w:rPr>
        <w:t>B</w:t>
      </w:r>
      <w:r w:rsidR="009D4AC1">
        <w:rPr>
          <w:rFonts w:ascii="Times" w:hAnsi="Times"/>
          <w:szCs w:val="24"/>
        </w:rPr>
        <w:t xml:space="preserve">ased on </w:t>
      </w:r>
      <w:r w:rsidR="008843CC">
        <w:rPr>
          <w:rFonts w:ascii="Times" w:hAnsi="Times"/>
          <w:szCs w:val="24"/>
        </w:rPr>
        <w:t xml:space="preserve">the TGA’s </w:t>
      </w:r>
      <w:r w:rsidR="009D4AC1">
        <w:rPr>
          <w:rFonts w:ascii="Times" w:hAnsi="Times"/>
          <w:szCs w:val="24"/>
        </w:rPr>
        <w:t>experience</w:t>
      </w:r>
      <w:r w:rsidR="008843CC">
        <w:rPr>
          <w:rFonts w:ascii="Times" w:hAnsi="Times"/>
          <w:szCs w:val="24"/>
        </w:rPr>
        <w:t>, a large number o</w:t>
      </w:r>
      <w:r w:rsidR="00D559C6">
        <w:rPr>
          <w:rFonts w:ascii="Times" w:hAnsi="Times"/>
          <w:szCs w:val="24"/>
        </w:rPr>
        <w:t>f these appli</w:t>
      </w:r>
      <w:r w:rsidR="004A5C83">
        <w:rPr>
          <w:rFonts w:ascii="Times" w:hAnsi="Times"/>
          <w:szCs w:val="24"/>
        </w:rPr>
        <w:t>cations are</w:t>
      </w:r>
      <w:r w:rsidR="00D559C6">
        <w:rPr>
          <w:rFonts w:ascii="Times" w:hAnsi="Times"/>
          <w:szCs w:val="24"/>
        </w:rPr>
        <w:t xml:space="preserve"> likely to be received </w:t>
      </w:r>
      <w:r w:rsidR="008843CC">
        <w:rPr>
          <w:rFonts w:ascii="Times" w:hAnsi="Times"/>
          <w:szCs w:val="24"/>
        </w:rPr>
        <w:t>within a relatively short timeframe in the lead-</w:t>
      </w:r>
      <w:r w:rsidR="004A5C83">
        <w:rPr>
          <w:rFonts w:ascii="Times" w:hAnsi="Times"/>
          <w:szCs w:val="24"/>
        </w:rPr>
        <w:t xml:space="preserve">up </w:t>
      </w:r>
      <w:r w:rsidR="004241E3">
        <w:rPr>
          <w:rFonts w:ascii="Times" w:hAnsi="Times"/>
          <w:szCs w:val="24"/>
        </w:rPr>
        <w:t>to the 30 June 2014 deadline.</w:t>
      </w:r>
      <w:r w:rsidR="007C6FD8">
        <w:rPr>
          <w:rFonts w:ascii="Times" w:hAnsi="Times"/>
          <w:szCs w:val="24"/>
        </w:rPr>
        <w:t xml:space="preserve">  </w:t>
      </w:r>
      <w:r w:rsidR="004241E3">
        <w:rPr>
          <w:rFonts w:ascii="Times" w:hAnsi="Times"/>
          <w:szCs w:val="24"/>
        </w:rPr>
        <w:t>T</w:t>
      </w:r>
      <w:r w:rsidR="008843CC">
        <w:rPr>
          <w:rFonts w:ascii="Times" w:hAnsi="Times"/>
          <w:szCs w:val="24"/>
        </w:rPr>
        <w:t xml:space="preserve">he TGA expects that that around 900 up-classification applications </w:t>
      </w:r>
      <w:r w:rsidR="007C6FD8">
        <w:rPr>
          <w:rFonts w:ascii="Times" w:hAnsi="Times"/>
          <w:szCs w:val="24"/>
        </w:rPr>
        <w:t xml:space="preserve">will </w:t>
      </w:r>
      <w:r w:rsidR="008843CC">
        <w:rPr>
          <w:rFonts w:ascii="Times" w:hAnsi="Times"/>
          <w:szCs w:val="24"/>
        </w:rPr>
        <w:t xml:space="preserve">be submitted </w:t>
      </w:r>
      <w:r w:rsidR="001C54E8">
        <w:rPr>
          <w:rFonts w:ascii="Times" w:hAnsi="Times"/>
          <w:szCs w:val="24"/>
        </w:rPr>
        <w:t xml:space="preserve">to the TGA </w:t>
      </w:r>
      <w:r w:rsidR="00FE16A4">
        <w:rPr>
          <w:rFonts w:ascii="Times" w:hAnsi="Times"/>
          <w:szCs w:val="24"/>
        </w:rPr>
        <w:t>between the start of March 2014 and</w:t>
      </w:r>
      <w:r w:rsidR="007C6FD8">
        <w:rPr>
          <w:rFonts w:ascii="Times" w:hAnsi="Times"/>
          <w:szCs w:val="24"/>
        </w:rPr>
        <w:t xml:space="preserve"> </w:t>
      </w:r>
      <w:r w:rsidR="00FE16A4">
        <w:rPr>
          <w:rFonts w:ascii="Times" w:hAnsi="Times"/>
          <w:szCs w:val="24"/>
        </w:rPr>
        <w:t>30</w:t>
      </w:r>
      <w:r w:rsidR="007C6FD8">
        <w:rPr>
          <w:rFonts w:ascii="Times" w:hAnsi="Times"/>
          <w:szCs w:val="24"/>
        </w:rPr>
        <w:t xml:space="preserve"> </w:t>
      </w:r>
      <w:r w:rsidR="008843CC">
        <w:rPr>
          <w:rFonts w:ascii="Times" w:hAnsi="Times"/>
          <w:szCs w:val="24"/>
        </w:rPr>
        <w:t xml:space="preserve">June </w:t>
      </w:r>
      <w:r w:rsidR="004241E3">
        <w:rPr>
          <w:rFonts w:ascii="Times" w:hAnsi="Times"/>
          <w:szCs w:val="24"/>
        </w:rPr>
        <w:t>2014</w:t>
      </w:r>
      <w:r w:rsidR="007C6FD8">
        <w:rPr>
          <w:rFonts w:ascii="Times" w:hAnsi="Times"/>
          <w:szCs w:val="24"/>
        </w:rPr>
        <w:t xml:space="preserve">.  This </w:t>
      </w:r>
      <w:r w:rsidR="008843CC">
        <w:rPr>
          <w:rFonts w:ascii="Times" w:hAnsi="Times"/>
          <w:szCs w:val="24"/>
        </w:rPr>
        <w:t>is equivalent to around 50 per cent of the total number of medical device applications the TGA usually receives annually.</w:t>
      </w:r>
    </w:p>
    <w:p w:rsidR="008843CC" w:rsidRDefault="008843CC" w:rsidP="001B6539">
      <w:pPr>
        <w:pStyle w:val="ListParagraph"/>
        <w:ind w:left="0" w:right="-188"/>
        <w:rPr>
          <w:rFonts w:ascii="Times" w:hAnsi="Times"/>
          <w:szCs w:val="24"/>
        </w:rPr>
      </w:pPr>
    </w:p>
    <w:p w:rsidR="00E81C4E" w:rsidRDefault="00942E52" w:rsidP="001B6539">
      <w:pPr>
        <w:pStyle w:val="ListParagraph"/>
        <w:ind w:left="0" w:right="-188"/>
        <w:rPr>
          <w:rFonts w:ascii="Times" w:hAnsi="Times"/>
          <w:szCs w:val="24"/>
        </w:rPr>
      </w:pPr>
      <w:r>
        <w:rPr>
          <w:rFonts w:ascii="Times" w:hAnsi="Times"/>
          <w:szCs w:val="24"/>
        </w:rPr>
        <w:t>H</w:t>
      </w:r>
      <w:r w:rsidR="00FB4EF3">
        <w:rPr>
          <w:rFonts w:ascii="Times" w:hAnsi="Times"/>
          <w:szCs w:val="24"/>
        </w:rPr>
        <w:t xml:space="preserve">aving 60 </w:t>
      </w:r>
      <w:r w:rsidR="007C6FD8">
        <w:rPr>
          <w:rFonts w:ascii="Times" w:hAnsi="Times"/>
          <w:szCs w:val="24"/>
        </w:rPr>
        <w:t xml:space="preserve">rather than 20 </w:t>
      </w:r>
      <w:r w:rsidR="00FB4EF3">
        <w:rPr>
          <w:rFonts w:ascii="Times" w:hAnsi="Times"/>
          <w:szCs w:val="24"/>
        </w:rPr>
        <w:t xml:space="preserve">working days for the Secretary to </w:t>
      </w:r>
      <w:r w:rsidR="00080DB1">
        <w:rPr>
          <w:rFonts w:ascii="Times" w:hAnsi="Times"/>
          <w:szCs w:val="24"/>
        </w:rPr>
        <w:t xml:space="preserve">inform applicants that their applications have been selected for audit </w:t>
      </w:r>
      <w:r w:rsidR="004241E3">
        <w:rPr>
          <w:rFonts w:ascii="Times" w:hAnsi="Times"/>
          <w:szCs w:val="24"/>
        </w:rPr>
        <w:t>will assist the TGA in managing all relevant applications efficiently and in a manner that does not divert resources unnecessarily from processing applications for other types of medical devices that are not involved in the up</w:t>
      </w:r>
      <w:r w:rsidR="001C54E8">
        <w:rPr>
          <w:rFonts w:ascii="Times" w:hAnsi="Times"/>
          <w:szCs w:val="24"/>
        </w:rPr>
        <w:noBreakHyphen/>
      </w:r>
      <w:r w:rsidR="004241E3">
        <w:rPr>
          <w:rFonts w:ascii="Times" w:hAnsi="Times"/>
          <w:szCs w:val="24"/>
        </w:rPr>
        <w:t>classification process.</w:t>
      </w:r>
    </w:p>
    <w:p w:rsidR="00E81C4E" w:rsidRDefault="00E81C4E" w:rsidP="001B6539">
      <w:pPr>
        <w:pStyle w:val="ListParagraph"/>
        <w:ind w:left="0" w:right="-188"/>
        <w:rPr>
          <w:rFonts w:ascii="Times" w:hAnsi="Times"/>
          <w:szCs w:val="24"/>
        </w:rPr>
      </w:pPr>
    </w:p>
    <w:bookmarkEnd w:id="1"/>
    <w:p w:rsidR="002E568B" w:rsidRPr="003856A4" w:rsidRDefault="002E568B" w:rsidP="001B6539">
      <w:pPr>
        <w:ind w:right="-188"/>
        <w:rPr>
          <w:szCs w:val="24"/>
        </w:rPr>
      </w:pPr>
      <w:r w:rsidRPr="003856A4">
        <w:rPr>
          <w:szCs w:val="24"/>
        </w:rPr>
        <w:t xml:space="preserve">Details of the </w:t>
      </w:r>
      <w:r>
        <w:rPr>
          <w:szCs w:val="24"/>
        </w:rPr>
        <w:t>r</w:t>
      </w:r>
      <w:r w:rsidRPr="003856A4">
        <w:rPr>
          <w:szCs w:val="24"/>
        </w:rPr>
        <w:t xml:space="preserve">egulation are set out in the </w:t>
      </w:r>
      <w:r w:rsidRPr="003856A4">
        <w:rPr>
          <w:szCs w:val="24"/>
          <w:u w:val="single"/>
        </w:rPr>
        <w:t>Attachment</w:t>
      </w:r>
      <w:r w:rsidRPr="003856A4">
        <w:rPr>
          <w:szCs w:val="24"/>
        </w:rPr>
        <w:t>.</w:t>
      </w:r>
    </w:p>
    <w:p w:rsidR="002E568B" w:rsidRPr="002747DD" w:rsidRDefault="002E568B" w:rsidP="001B6539">
      <w:pPr>
        <w:ind w:right="-188"/>
        <w:rPr>
          <w:szCs w:val="24"/>
        </w:rPr>
      </w:pPr>
    </w:p>
    <w:p w:rsidR="002E568B" w:rsidRPr="003856A4" w:rsidRDefault="009B4412" w:rsidP="001B6539">
      <w:pPr>
        <w:ind w:right="-188"/>
        <w:rPr>
          <w:szCs w:val="24"/>
        </w:rPr>
      </w:pPr>
      <w:r>
        <w:rPr>
          <w:szCs w:val="24"/>
        </w:rPr>
        <w:t>T</w:t>
      </w:r>
      <w:r w:rsidR="002E568B" w:rsidRPr="003856A4">
        <w:rPr>
          <w:szCs w:val="24"/>
        </w:rPr>
        <w:t xml:space="preserve">he Act </w:t>
      </w:r>
      <w:r>
        <w:rPr>
          <w:szCs w:val="24"/>
        </w:rPr>
        <w:t>does not</w:t>
      </w:r>
      <w:r w:rsidR="00EF1F76">
        <w:rPr>
          <w:szCs w:val="24"/>
        </w:rPr>
        <w:t xml:space="preserve"> specify </w:t>
      </w:r>
      <w:r w:rsidR="002E568B" w:rsidRPr="003856A4">
        <w:rPr>
          <w:szCs w:val="24"/>
        </w:rPr>
        <w:t xml:space="preserve">conditions that need to be met before the power to make </w:t>
      </w:r>
      <w:r w:rsidR="00BA167E">
        <w:rPr>
          <w:szCs w:val="24"/>
        </w:rPr>
        <w:t xml:space="preserve">the </w:t>
      </w:r>
      <w:r w:rsidR="002E568B">
        <w:rPr>
          <w:szCs w:val="24"/>
        </w:rPr>
        <w:t>r</w:t>
      </w:r>
      <w:r w:rsidR="002E568B" w:rsidRPr="003856A4">
        <w:rPr>
          <w:szCs w:val="24"/>
        </w:rPr>
        <w:t>egulation may be exercised.</w:t>
      </w:r>
    </w:p>
    <w:p w:rsidR="002E568B" w:rsidRPr="003856A4" w:rsidRDefault="002E568B" w:rsidP="001B6539">
      <w:pPr>
        <w:ind w:right="-188"/>
        <w:rPr>
          <w:szCs w:val="24"/>
        </w:rPr>
      </w:pPr>
    </w:p>
    <w:p w:rsidR="002E568B" w:rsidRPr="003856A4" w:rsidRDefault="002E568B" w:rsidP="001B6539">
      <w:pPr>
        <w:ind w:right="-188"/>
        <w:rPr>
          <w:szCs w:val="24"/>
        </w:rPr>
      </w:pPr>
      <w:r w:rsidRPr="003856A4">
        <w:rPr>
          <w:szCs w:val="24"/>
        </w:rPr>
        <w:t xml:space="preserve">The </w:t>
      </w:r>
      <w:r>
        <w:rPr>
          <w:szCs w:val="24"/>
        </w:rPr>
        <w:t>r</w:t>
      </w:r>
      <w:r w:rsidRPr="003856A4">
        <w:rPr>
          <w:szCs w:val="24"/>
        </w:rPr>
        <w:t xml:space="preserve">egulation </w:t>
      </w:r>
      <w:r w:rsidR="00524102">
        <w:rPr>
          <w:szCs w:val="24"/>
        </w:rPr>
        <w:t>is</w:t>
      </w:r>
      <w:r w:rsidR="00524102" w:rsidRPr="003856A4">
        <w:rPr>
          <w:szCs w:val="24"/>
        </w:rPr>
        <w:t xml:space="preserve"> </w:t>
      </w:r>
      <w:r w:rsidRPr="003856A4">
        <w:rPr>
          <w:szCs w:val="24"/>
        </w:rPr>
        <w:t xml:space="preserve">a legislative instrument for the purposes of the </w:t>
      </w:r>
      <w:r w:rsidRPr="003856A4">
        <w:rPr>
          <w:i/>
          <w:szCs w:val="24"/>
        </w:rPr>
        <w:t>Legislative Instruments Act 2003</w:t>
      </w:r>
      <w:r w:rsidRPr="003856A4">
        <w:rPr>
          <w:szCs w:val="24"/>
        </w:rPr>
        <w:t>.</w:t>
      </w:r>
    </w:p>
    <w:p w:rsidR="002E568B" w:rsidRPr="003856A4" w:rsidRDefault="002E568B" w:rsidP="001B6539">
      <w:pPr>
        <w:ind w:right="-188"/>
        <w:rPr>
          <w:szCs w:val="24"/>
        </w:rPr>
      </w:pPr>
    </w:p>
    <w:p w:rsidR="002E568B" w:rsidRPr="003856A4" w:rsidRDefault="002E568B" w:rsidP="001B6539">
      <w:pPr>
        <w:ind w:right="-188"/>
        <w:rPr>
          <w:szCs w:val="24"/>
        </w:rPr>
      </w:pPr>
      <w:r w:rsidRPr="003856A4">
        <w:rPr>
          <w:szCs w:val="24"/>
        </w:rPr>
        <w:t xml:space="preserve">The </w:t>
      </w:r>
      <w:r>
        <w:rPr>
          <w:szCs w:val="24"/>
        </w:rPr>
        <w:t>r</w:t>
      </w:r>
      <w:r w:rsidRPr="003856A4">
        <w:rPr>
          <w:szCs w:val="24"/>
        </w:rPr>
        <w:t>egulation commence</w:t>
      </w:r>
      <w:r w:rsidR="00524102">
        <w:rPr>
          <w:szCs w:val="24"/>
        </w:rPr>
        <w:t>s</w:t>
      </w:r>
      <w:r w:rsidRPr="003856A4">
        <w:rPr>
          <w:szCs w:val="24"/>
        </w:rPr>
        <w:t xml:space="preserve"> on </w:t>
      </w:r>
      <w:r w:rsidR="00382ED9">
        <w:rPr>
          <w:szCs w:val="24"/>
        </w:rPr>
        <w:t>the day after it is registered</w:t>
      </w:r>
      <w:r w:rsidRPr="003856A4">
        <w:rPr>
          <w:szCs w:val="24"/>
        </w:rPr>
        <w:t>.</w:t>
      </w:r>
    </w:p>
    <w:p w:rsidR="002E568B" w:rsidRPr="003856A4" w:rsidRDefault="002E568B" w:rsidP="001B6539">
      <w:pPr>
        <w:ind w:right="-188"/>
        <w:rPr>
          <w:szCs w:val="24"/>
        </w:rPr>
      </w:pPr>
    </w:p>
    <w:p w:rsidR="00524102" w:rsidRDefault="00524102" w:rsidP="001B6539">
      <w:pPr>
        <w:ind w:right="-188"/>
        <w:rPr>
          <w:b/>
          <w:szCs w:val="24"/>
          <w:u w:val="single"/>
        </w:rPr>
      </w:pPr>
      <w:r>
        <w:rPr>
          <w:b/>
          <w:szCs w:val="24"/>
          <w:u w:val="single"/>
        </w:rPr>
        <w:t>Consultation</w:t>
      </w:r>
    </w:p>
    <w:p w:rsidR="00524102" w:rsidRDefault="00524102" w:rsidP="001B6539">
      <w:pPr>
        <w:ind w:right="-188"/>
        <w:rPr>
          <w:b/>
          <w:szCs w:val="24"/>
          <w:u w:val="single"/>
        </w:rPr>
      </w:pPr>
    </w:p>
    <w:p w:rsidR="00524102" w:rsidRDefault="00524102" w:rsidP="00524102">
      <w:r>
        <w:t xml:space="preserve">Key medical devices peak bodies, including the Medical Technology Association of Australia and </w:t>
      </w:r>
      <w:proofErr w:type="spellStart"/>
      <w:r>
        <w:t>AusBiotech</w:t>
      </w:r>
      <w:proofErr w:type="spellEnd"/>
      <w:r>
        <w:t xml:space="preserve">, were consulted about these amendments at the 6 February 2014 meeting of the Regulatory and Technical Consultative Forum for medical devices (the </w:t>
      </w:r>
      <w:proofErr w:type="spellStart"/>
      <w:r>
        <w:t>RegTech</w:t>
      </w:r>
      <w:proofErr w:type="spellEnd"/>
      <w:r>
        <w:t xml:space="preserve"> Forum). </w:t>
      </w:r>
    </w:p>
    <w:p w:rsidR="00524102" w:rsidRDefault="00524102" w:rsidP="00524102"/>
    <w:p w:rsidR="00524102" w:rsidRDefault="00524102" w:rsidP="00524102">
      <w:pPr>
        <w:ind w:right="-188"/>
      </w:pPr>
      <w:r>
        <w:t>The response at that meeting from the peak bodies in relation to these amendments and, in particular, to the new 60 working day timeframe for informing applicants of affected devices of their selection for audit, was positive.</w:t>
      </w:r>
      <w:r w:rsidR="00F54C3B">
        <w:t xml:space="preserve"> </w:t>
      </w:r>
      <w:r>
        <w:t xml:space="preserve"> This support has since been confirmed in written responses to the TGA to an email sent to </w:t>
      </w:r>
      <w:proofErr w:type="spellStart"/>
      <w:r>
        <w:t>RegTech</w:t>
      </w:r>
      <w:proofErr w:type="spellEnd"/>
      <w:r>
        <w:t xml:space="preserve"> members on 24 February 2014 about the measures</w:t>
      </w:r>
      <w:r w:rsidR="00F54C3B">
        <w:t>.</w:t>
      </w:r>
    </w:p>
    <w:p w:rsidR="00524102" w:rsidRPr="00524102" w:rsidRDefault="00524102" w:rsidP="00524102">
      <w:pPr>
        <w:ind w:right="-188"/>
        <w:rPr>
          <w:b/>
          <w:szCs w:val="24"/>
          <w:u w:val="single"/>
        </w:rPr>
      </w:pPr>
    </w:p>
    <w:p w:rsidR="00BA167E" w:rsidRPr="00BA167E" w:rsidRDefault="002E568B" w:rsidP="001B6539">
      <w:pPr>
        <w:ind w:left="5670" w:right="-188" w:hanging="1134"/>
        <w:rPr>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63(1) of the </w:t>
      </w:r>
      <w:r w:rsidR="00FE16A4">
        <w:rPr>
          <w:szCs w:val="24"/>
        </w:rPr>
        <w:t xml:space="preserve">             </w:t>
      </w:r>
      <w:r w:rsidR="00BA167E" w:rsidRPr="00BA167E">
        <w:rPr>
          <w:i/>
          <w:szCs w:val="24"/>
        </w:rPr>
        <w:t>Therapeutic Goods Act 1989</w:t>
      </w:r>
    </w:p>
    <w:p w:rsidR="0056578D" w:rsidRDefault="0056578D" w:rsidP="001B6539">
      <w:pPr>
        <w:ind w:left="5670" w:right="-188"/>
        <w:rPr>
          <w:szCs w:val="24"/>
        </w:rPr>
      </w:pPr>
    </w:p>
    <w:p w:rsidR="002E568B" w:rsidRPr="00AC42A1" w:rsidRDefault="002E568B" w:rsidP="001B6539">
      <w:pPr>
        <w:ind w:left="6237" w:right="-188" w:firstLine="3"/>
        <w:jc w:val="right"/>
        <w:rPr>
          <w:b/>
          <w:szCs w:val="24"/>
          <w:u w:val="single"/>
        </w:rPr>
      </w:pPr>
      <w:r w:rsidRPr="003856A4">
        <w:rPr>
          <w:color w:val="FF0000"/>
          <w:szCs w:val="24"/>
          <w:u w:val="single"/>
        </w:rPr>
        <w:br w:type="page"/>
      </w:r>
      <w:r w:rsidRPr="00AC42A1">
        <w:rPr>
          <w:b/>
          <w:szCs w:val="24"/>
          <w:u w:val="single"/>
        </w:rPr>
        <w:lastRenderedPageBreak/>
        <w:t>ATTACHMENT</w:t>
      </w:r>
    </w:p>
    <w:p w:rsidR="002E568B" w:rsidRPr="00684780" w:rsidRDefault="002E568B" w:rsidP="001B6539">
      <w:pPr>
        <w:ind w:right="-188" w:firstLine="3"/>
        <w:rPr>
          <w:b/>
          <w:szCs w:val="24"/>
        </w:rPr>
      </w:pPr>
    </w:p>
    <w:p w:rsidR="002E568B" w:rsidRPr="00613321" w:rsidRDefault="002E568B" w:rsidP="001B6539">
      <w:pPr>
        <w:ind w:right="-188" w:firstLine="3"/>
        <w:rPr>
          <w:b/>
          <w:i/>
          <w:caps/>
          <w:szCs w:val="24"/>
          <w:u w:val="single"/>
        </w:rPr>
      </w:pPr>
      <w:r w:rsidRPr="00613321">
        <w:rPr>
          <w:b/>
          <w:szCs w:val="24"/>
          <w:u w:val="single"/>
        </w:rPr>
        <w:t xml:space="preserve">Details of the </w:t>
      </w:r>
      <w:r w:rsidRPr="00613321">
        <w:rPr>
          <w:b/>
          <w:i/>
          <w:szCs w:val="24"/>
          <w:u w:val="single"/>
        </w:rPr>
        <w:t xml:space="preserve">Therapeutic Goods </w:t>
      </w:r>
      <w:r w:rsidR="00E81C4E">
        <w:rPr>
          <w:b/>
          <w:i/>
          <w:szCs w:val="24"/>
          <w:u w:val="single"/>
        </w:rPr>
        <w:t>(</w:t>
      </w:r>
      <w:r w:rsidR="00550CC8">
        <w:rPr>
          <w:b/>
          <w:i/>
          <w:szCs w:val="24"/>
          <w:u w:val="single"/>
        </w:rPr>
        <w:t xml:space="preserve">Medical Devices) </w:t>
      </w:r>
      <w:r w:rsidR="00FE20E0">
        <w:rPr>
          <w:b/>
          <w:i/>
          <w:szCs w:val="24"/>
          <w:u w:val="single"/>
        </w:rPr>
        <w:t>Amendment (</w:t>
      </w:r>
      <w:r w:rsidR="00550CC8">
        <w:rPr>
          <w:b/>
          <w:i/>
          <w:szCs w:val="24"/>
          <w:u w:val="single"/>
        </w:rPr>
        <w:t>Auditing Applications</w:t>
      </w:r>
      <w:r w:rsidR="004553EE">
        <w:rPr>
          <w:b/>
          <w:i/>
          <w:szCs w:val="24"/>
          <w:u w:val="single"/>
        </w:rPr>
        <w:t>)</w:t>
      </w:r>
      <w:r w:rsidR="00E81C4E">
        <w:rPr>
          <w:b/>
          <w:i/>
          <w:szCs w:val="24"/>
          <w:u w:val="single"/>
        </w:rPr>
        <w:t xml:space="preserve"> Regulation 2014</w:t>
      </w:r>
    </w:p>
    <w:p w:rsidR="002E568B" w:rsidRPr="00684780" w:rsidRDefault="002E568B" w:rsidP="001B6539">
      <w:pPr>
        <w:ind w:right="-188" w:firstLine="3"/>
        <w:rPr>
          <w:b/>
          <w:szCs w:val="24"/>
          <w:highlight w:val="yellow"/>
        </w:rPr>
      </w:pPr>
    </w:p>
    <w:p w:rsidR="002E568B" w:rsidRPr="00684780" w:rsidRDefault="002E568B" w:rsidP="001B6539">
      <w:pPr>
        <w:ind w:right="-188" w:firstLine="3"/>
        <w:rPr>
          <w:szCs w:val="24"/>
        </w:rPr>
      </w:pPr>
      <w:r>
        <w:rPr>
          <w:szCs w:val="24"/>
          <w:u w:val="single"/>
        </w:rPr>
        <w:t>Sec</w:t>
      </w:r>
      <w:r w:rsidRPr="00684780">
        <w:rPr>
          <w:szCs w:val="24"/>
          <w:u w:val="single"/>
        </w:rPr>
        <w:t xml:space="preserve">tion 1 – Name of </w:t>
      </w:r>
      <w:r>
        <w:rPr>
          <w:szCs w:val="24"/>
          <w:u w:val="single"/>
        </w:rPr>
        <w:t>r</w:t>
      </w:r>
      <w:r w:rsidRPr="00684780">
        <w:rPr>
          <w:szCs w:val="24"/>
          <w:u w:val="single"/>
        </w:rPr>
        <w:t>egulation</w:t>
      </w:r>
    </w:p>
    <w:p w:rsidR="002E568B" w:rsidRPr="00684780" w:rsidRDefault="002E568B" w:rsidP="001B6539">
      <w:pPr>
        <w:ind w:right="-188" w:firstLine="3"/>
        <w:rPr>
          <w:szCs w:val="24"/>
        </w:rPr>
      </w:pPr>
      <w:r w:rsidRPr="00684780">
        <w:rPr>
          <w:szCs w:val="24"/>
        </w:rPr>
        <w:t xml:space="preserve">This </w:t>
      </w:r>
      <w:r w:rsidR="00BA167E">
        <w:rPr>
          <w:szCs w:val="24"/>
        </w:rPr>
        <w:t>section</w:t>
      </w:r>
      <w:r w:rsidRPr="00684780">
        <w:rPr>
          <w:szCs w:val="24"/>
        </w:rPr>
        <w:t xml:space="preserve"> provide</w:t>
      </w:r>
      <w:r w:rsidR="00524102">
        <w:rPr>
          <w:szCs w:val="24"/>
        </w:rPr>
        <w:t>s</w:t>
      </w:r>
      <w:r w:rsidRPr="00684780">
        <w:rPr>
          <w:szCs w:val="24"/>
        </w:rPr>
        <w:t xml:space="preserve"> for the </w:t>
      </w:r>
      <w:r>
        <w:rPr>
          <w:szCs w:val="24"/>
        </w:rPr>
        <w:t>r</w:t>
      </w:r>
      <w:r w:rsidRPr="00684780">
        <w:rPr>
          <w:szCs w:val="24"/>
        </w:rPr>
        <w:t xml:space="preserve">egulation to be referred to as the </w:t>
      </w:r>
      <w:r w:rsidRPr="00684780">
        <w:rPr>
          <w:i/>
          <w:szCs w:val="24"/>
        </w:rPr>
        <w:t>Therapeutic Goods</w:t>
      </w:r>
      <w:r w:rsidR="009B4412">
        <w:rPr>
          <w:i/>
          <w:szCs w:val="24"/>
        </w:rPr>
        <w:t xml:space="preserve"> </w:t>
      </w:r>
      <w:r w:rsidR="00E81C4E">
        <w:rPr>
          <w:i/>
          <w:szCs w:val="24"/>
        </w:rPr>
        <w:t xml:space="preserve">(Medical Devices) </w:t>
      </w:r>
      <w:r w:rsidR="009B4412">
        <w:rPr>
          <w:i/>
          <w:szCs w:val="24"/>
        </w:rPr>
        <w:t>Amendment</w:t>
      </w:r>
      <w:r w:rsidRPr="00684780">
        <w:rPr>
          <w:i/>
          <w:szCs w:val="24"/>
        </w:rPr>
        <w:t xml:space="preserve"> </w:t>
      </w:r>
      <w:r w:rsidR="00FE20E0">
        <w:rPr>
          <w:i/>
          <w:szCs w:val="24"/>
        </w:rPr>
        <w:t>(</w:t>
      </w:r>
      <w:r w:rsidR="00550CC8">
        <w:rPr>
          <w:i/>
          <w:szCs w:val="24"/>
        </w:rPr>
        <w:t>Auditing Applications</w:t>
      </w:r>
      <w:r w:rsidR="004553EE">
        <w:rPr>
          <w:i/>
          <w:szCs w:val="24"/>
        </w:rPr>
        <w:t xml:space="preserve">) </w:t>
      </w:r>
      <w:r w:rsidRPr="00684780">
        <w:rPr>
          <w:i/>
          <w:szCs w:val="24"/>
        </w:rPr>
        <w:t>Regulation 201</w:t>
      </w:r>
      <w:r w:rsidR="00E81C4E">
        <w:rPr>
          <w:i/>
          <w:szCs w:val="24"/>
        </w:rPr>
        <w:t>4</w:t>
      </w:r>
      <w:r w:rsidRPr="00684780">
        <w:rPr>
          <w:i/>
          <w:szCs w:val="24"/>
        </w:rPr>
        <w:t>.</w:t>
      </w:r>
    </w:p>
    <w:p w:rsidR="002E568B" w:rsidRPr="00154185" w:rsidRDefault="002E568B" w:rsidP="001B6539">
      <w:pPr>
        <w:ind w:right="-188" w:firstLine="3"/>
        <w:rPr>
          <w:szCs w:val="24"/>
        </w:rPr>
      </w:pPr>
    </w:p>
    <w:p w:rsidR="002E568B" w:rsidRPr="00684780" w:rsidRDefault="002E568B" w:rsidP="001B6539">
      <w:pPr>
        <w:ind w:right="-188"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1B6539">
      <w:pPr>
        <w:ind w:right="-188" w:firstLine="3"/>
        <w:rPr>
          <w:szCs w:val="24"/>
        </w:rPr>
      </w:pPr>
      <w:r w:rsidRPr="00684780">
        <w:rPr>
          <w:szCs w:val="24"/>
        </w:rPr>
        <w:t xml:space="preserve">This </w:t>
      </w:r>
      <w:r>
        <w:rPr>
          <w:szCs w:val="24"/>
        </w:rPr>
        <w:t>sec</w:t>
      </w:r>
      <w:r w:rsidRPr="00684780">
        <w:rPr>
          <w:szCs w:val="24"/>
        </w:rPr>
        <w:t>tion provide</w:t>
      </w:r>
      <w:r w:rsidR="00524102">
        <w:rPr>
          <w:szCs w:val="24"/>
        </w:rPr>
        <w:t>s</w:t>
      </w:r>
      <w:r w:rsidRPr="00684780">
        <w:rPr>
          <w:szCs w:val="24"/>
        </w:rPr>
        <w:t xml:space="preserve"> for the </w:t>
      </w:r>
      <w:r>
        <w:rPr>
          <w:szCs w:val="24"/>
        </w:rPr>
        <w:t>r</w:t>
      </w:r>
      <w:r w:rsidRPr="00684780">
        <w:rPr>
          <w:szCs w:val="24"/>
        </w:rPr>
        <w:t>egu</w:t>
      </w:r>
      <w:r w:rsidR="009B4412">
        <w:rPr>
          <w:szCs w:val="24"/>
        </w:rPr>
        <w:t>lation to commence the day after it is registered</w:t>
      </w:r>
      <w:r w:rsidRPr="00684780">
        <w:rPr>
          <w:szCs w:val="24"/>
        </w:rPr>
        <w:t>.</w:t>
      </w:r>
    </w:p>
    <w:p w:rsidR="002E568B" w:rsidRPr="00154185" w:rsidRDefault="002E568B" w:rsidP="001B6539">
      <w:pPr>
        <w:ind w:right="-188" w:firstLine="3"/>
        <w:rPr>
          <w:szCs w:val="24"/>
        </w:rPr>
      </w:pPr>
    </w:p>
    <w:p w:rsidR="00922B98" w:rsidRDefault="002E568B" w:rsidP="001B6539">
      <w:pPr>
        <w:ind w:right="-188"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C326E4" w:rsidP="001B6539">
      <w:pPr>
        <w:ind w:right="-188" w:firstLine="3"/>
        <w:rPr>
          <w:szCs w:val="24"/>
        </w:rPr>
      </w:pPr>
      <w:r>
        <w:rPr>
          <w:szCs w:val="24"/>
        </w:rPr>
        <w:t>This section provide</w:t>
      </w:r>
      <w:r w:rsidR="00524102">
        <w:rPr>
          <w:szCs w:val="24"/>
        </w:rPr>
        <w:t>s</w:t>
      </w:r>
      <w:r>
        <w:rPr>
          <w:szCs w:val="24"/>
        </w:rPr>
        <w:t xml:space="preserve"> that the regulation is made</w:t>
      </w:r>
      <w:r w:rsidR="00574D01">
        <w:rPr>
          <w:szCs w:val="24"/>
        </w:rPr>
        <w:t xml:space="preserve"> under the </w:t>
      </w:r>
      <w:r w:rsidRPr="00C326E4">
        <w:rPr>
          <w:i/>
          <w:szCs w:val="24"/>
        </w:rPr>
        <w:t>Therapeutic Goods Act 1989</w:t>
      </w:r>
      <w:r w:rsidR="00A251B0">
        <w:rPr>
          <w:i/>
          <w:szCs w:val="24"/>
        </w:rPr>
        <w:t xml:space="preserve"> </w:t>
      </w:r>
      <w:r w:rsidR="0042269B" w:rsidRPr="0042269B">
        <w:rPr>
          <w:szCs w:val="24"/>
        </w:rPr>
        <w:t>(the Act)</w:t>
      </w:r>
      <w:r>
        <w:rPr>
          <w:szCs w:val="24"/>
        </w:rPr>
        <w:t>.</w:t>
      </w:r>
    </w:p>
    <w:p w:rsidR="00900C44" w:rsidRDefault="00900C44" w:rsidP="001B6539">
      <w:pPr>
        <w:ind w:right="-188" w:firstLine="3"/>
        <w:rPr>
          <w:szCs w:val="24"/>
          <w:u w:val="single"/>
        </w:rPr>
      </w:pPr>
    </w:p>
    <w:p w:rsidR="00922B98" w:rsidRDefault="00922B98" w:rsidP="001B6539">
      <w:pPr>
        <w:pStyle w:val="Heading1"/>
        <w:ind w:right="-188"/>
        <w:rPr>
          <w:b w:val="0"/>
          <w:szCs w:val="24"/>
          <w:u w:val="single"/>
        </w:rPr>
      </w:pPr>
      <w:r>
        <w:rPr>
          <w:b w:val="0"/>
          <w:szCs w:val="24"/>
          <w:u w:val="single"/>
        </w:rPr>
        <w:t>Section 4 – Schedule</w:t>
      </w:r>
    </w:p>
    <w:p w:rsidR="00941170" w:rsidRDefault="0004764F" w:rsidP="001B6539">
      <w:pPr>
        <w:pStyle w:val="Heading1"/>
        <w:ind w:right="-188"/>
        <w:rPr>
          <w:b w:val="0"/>
          <w:szCs w:val="24"/>
        </w:rPr>
      </w:pPr>
      <w:r>
        <w:rPr>
          <w:b w:val="0"/>
          <w:szCs w:val="24"/>
        </w:rPr>
        <w:t>This section provide</w:t>
      </w:r>
      <w:r w:rsidR="00524102">
        <w:rPr>
          <w:b w:val="0"/>
          <w:szCs w:val="24"/>
        </w:rPr>
        <w:t>s</w:t>
      </w:r>
      <w:r>
        <w:rPr>
          <w:b w:val="0"/>
          <w:szCs w:val="24"/>
        </w:rPr>
        <w:t xml:space="preserve"> that e</w:t>
      </w:r>
      <w:r w:rsidR="00EE6E54">
        <w:rPr>
          <w:b w:val="0"/>
          <w:szCs w:val="24"/>
        </w:rPr>
        <w:t xml:space="preserve">ach instrument that is specified in a Schedule to this instrument is </w:t>
      </w:r>
      <w:r w:rsidR="0056578D">
        <w:rPr>
          <w:b w:val="0"/>
          <w:szCs w:val="24"/>
        </w:rPr>
        <w:t>amended or repeal</w:t>
      </w:r>
      <w:r w:rsidR="007D7FA8">
        <w:rPr>
          <w:b w:val="0"/>
          <w:szCs w:val="24"/>
        </w:rPr>
        <w:t>ed</w:t>
      </w:r>
      <w:r w:rsidR="0056578D">
        <w:rPr>
          <w:b w:val="0"/>
          <w:szCs w:val="24"/>
        </w:rPr>
        <w:t xml:space="preserve"> as set out in the applicable items in the Schedule concerned, and any other item in a Schedule to this instrument has effect according to its terms.</w:t>
      </w:r>
    </w:p>
    <w:p w:rsidR="000B380F" w:rsidRDefault="000B380F" w:rsidP="001B6539">
      <w:pPr>
        <w:ind w:right="-188"/>
      </w:pPr>
    </w:p>
    <w:p w:rsidR="000B380F" w:rsidRPr="00D30DEE" w:rsidRDefault="00D30DEE" w:rsidP="001B6539">
      <w:pPr>
        <w:ind w:right="-188"/>
        <w:rPr>
          <w:u w:val="single"/>
        </w:rPr>
      </w:pPr>
      <w:r w:rsidRPr="00D30DEE">
        <w:rPr>
          <w:u w:val="single"/>
        </w:rPr>
        <w:t>Schedule 1 –</w:t>
      </w:r>
      <w:r>
        <w:rPr>
          <w:u w:val="single"/>
        </w:rPr>
        <w:t xml:space="preserve"> Amendments</w:t>
      </w:r>
    </w:p>
    <w:p w:rsidR="000B380F" w:rsidRDefault="000B380F" w:rsidP="001B6539">
      <w:pPr>
        <w:ind w:right="-188"/>
      </w:pPr>
    </w:p>
    <w:p w:rsidR="0056578D" w:rsidRDefault="009B4412" w:rsidP="001B6539">
      <w:pPr>
        <w:ind w:right="-188"/>
        <w:rPr>
          <w:b/>
          <w:i/>
        </w:rPr>
      </w:pPr>
      <w:r>
        <w:rPr>
          <w:b/>
          <w:i/>
        </w:rPr>
        <w:t xml:space="preserve">Therapeutic Goods </w:t>
      </w:r>
      <w:r w:rsidR="00E81C4E">
        <w:rPr>
          <w:b/>
          <w:i/>
        </w:rPr>
        <w:t xml:space="preserve">(Medical Devices) </w:t>
      </w:r>
      <w:r w:rsidR="0056578D">
        <w:rPr>
          <w:b/>
          <w:i/>
        </w:rPr>
        <w:t>Regulation</w:t>
      </w:r>
      <w:r w:rsidR="00DF45CA">
        <w:rPr>
          <w:b/>
          <w:i/>
        </w:rPr>
        <w:t>s</w:t>
      </w:r>
      <w:r w:rsidR="00E81C4E">
        <w:rPr>
          <w:b/>
          <w:i/>
        </w:rPr>
        <w:t xml:space="preserve"> 2002</w:t>
      </w:r>
    </w:p>
    <w:p w:rsidR="0056578D" w:rsidRDefault="0056578D" w:rsidP="001B6539">
      <w:pPr>
        <w:ind w:right="-188"/>
      </w:pPr>
    </w:p>
    <w:p w:rsidR="005F65C6" w:rsidRPr="005F65C6" w:rsidRDefault="005F65C6" w:rsidP="001B6539">
      <w:pPr>
        <w:ind w:right="-188"/>
        <w:rPr>
          <w:b/>
        </w:rPr>
      </w:pPr>
      <w:r w:rsidRPr="005F65C6">
        <w:rPr>
          <w:b/>
        </w:rPr>
        <w:t>Item 1</w:t>
      </w:r>
      <w:r w:rsidR="00E81C4E">
        <w:rPr>
          <w:b/>
        </w:rPr>
        <w:t xml:space="preserve"> – </w:t>
      </w:r>
      <w:r w:rsidR="00B45CEC">
        <w:rPr>
          <w:b/>
        </w:rPr>
        <w:t>Regulation 5.3 (heading)</w:t>
      </w:r>
    </w:p>
    <w:p w:rsidR="00A01223" w:rsidRDefault="00B45CEC" w:rsidP="00E81C4E">
      <w:pPr>
        <w:ind w:right="-188"/>
      </w:pPr>
      <w:r>
        <w:t>This item make</w:t>
      </w:r>
      <w:r w:rsidR="00524102">
        <w:t>s</w:t>
      </w:r>
      <w:r>
        <w:t xml:space="preserve"> a minor</w:t>
      </w:r>
      <w:r w:rsidR="00A01223">
        <w:t xml:space="preserve"> consequential</w:t>
      </w:r>
      <w:r>
        <w:t xml:space="preserve"> amendment </w:t>
      </w:r>
      <w:r w:rsidR="00A01223">
        <w:t>to replace</w:t>
      </w:r>
      <w:r>
        <w:t xml:space="preserve"> the </w:t>
      </w:r>
      <w:r w:rsidR="00A01223">
        <w:t xml:space="preserve">current </w:t>
      </w:r>
      <w:r>
        <w:t>heading of regulation 5.3 of the Therapeutic Goods (Medical Devices) Regulations 2002 (the Principal Regulations)</w:t>
      </w:r>
      <w:r w:rsidR="00A01223">
        <w:t xml:space="preserve"> with a new heading.</w:t>
      </w:r>
    </w:p>
    <w:p w:rsidR="00A01223" w:rsidRDefault="00A01223" w:rsidP="00E81C4E">
      <w:pPr>
        <w:ind w:right="-188"/>
      </w:pPr>
    </w:p>
    <w:p w:rsidR="00E81C4E" w:rsidRDefault="00A01223" w:rsidP="00E81C4E">
      <w:pPr>
        <w:ind w:right="-188"/>
      </w:pPr>
      <w:r>
        <w:t>The current heading of regulation 5.3 refers to “</w:t>
      </w:r>
      <w:r w:rsidRPr="005E6986">
        <w:rPr>
          <w:i/>
        </w:rPr>
        <w:t xml:space="preserve">Applications to </w:t>
      </w:r>
      <w:r w:rsidR="009354F7" w:rsidRPr="005E6986">
        <w:rPr>
          <w:i/>
        </w:rPr>
        <w:t>be selected for auditing (Act s</w:t>
      </w:r>
      <w:r w:rsidRPr="005E6986">
        <w:rPr>
          <w:i/>
        </w:rPr>
        <w:t>41FH)</w:t>
      </w:r>
      <w:r>
        <w:t>”</w:t>
      </w:r>
      <w:r w:rsidR="0004764F">
        <w:t xml:space="preserve">.  </w:t>
      </w:r>
      <w:r w:rsidR="009354F7">
        <w:t>As item 2 below amend</w:t>
      </w:r>
      <w:r w:rsidR="00524102">
        <w:t>s</w:t>
      </w:r>
      <w:r w:rsidR="009354F7">
        <w:t xml:space="preserve"> regulation 5.3 to also include information about the period of time within which </w:t>
      </w:r>
      <w:r w:rsidR="005E6986">
        <w:t xml:space="preserve">the Secretary must advise applicants of </w:t>
      </w:r>
      <w:r w:rsidR="009354F7">
        <w:t xml:space="preserve">certain </w:t>
      </w:r>
      <w:r w:rsidR="005E6986">
        <w:t xml:space="preserve">kinds of medical device </w:t>
      </w:r>
      <w:r w:rsidR="009354F7">
        <w:t>applications</w:t>
      </w:r>
      <w:r w:rsidR="005E6986">
        <w:t xml:space="preserve"> that their applications have bee</w:t>
      </w:r>
      <w:r w:rsidR="00F54C3B">
        <w:t xml:space="preserve">n selected for auditing, item 1 </w:t>
      </w:r>
      <w:r w:rsidR="005E6986">
        <w:t>introduce</w:t>
      </w:r>
      <w:r w:rsidR="00524102">
        <w:t>s</w:t>
      </w:r>
      <w:r w:rsidR="005E6986">
        <w:t xml:space="preserve"> a new, broader, heading for subregulation 5.3 that reflects this.</w:t>
      </w:r>
      <w:r w:rsidR="009354F7">
        <w:t xml:space="preserve">  </w:t>
      </w:r>
      <w:r>
        <w:t xml:space="preserve"> </w:t>
      </w:r>
    </w:p>
    <w:p w:rsidR="005D271C" w:rsidRDefault="005D271C" w:rsidP="001B6539">
      <w:pPr>
        <w:ind w:right="-188"/>
      </w:pPr>
    </w:p>
    <w:p w:rsidR="00DC3CFF" w:rsidRPr="0073644B" w:rsidRDefault="0073644B" w:rsidP="001B6539">
      <w:pPr>
        <w:tabs>
          <w:tab w:val="left" w:pos="0"/>
        </w:tabs>
        <w:ind w:right="-188"/>
        <w:rPr>
          <w:b/>
        </w:rPr>
      </w:pPr>
      <w:r w:rsidRPr="0073644B">
        <w:rPr>
          <w:b/>
        </w:rPr>
        <w:t>Item 2</w:t>
      </w:r>
      <w:r w:rsidR="00E81C4E">
        <w:rPr>
          <w:b/>
        </w:rPr>
        <w:t xml:space="preserve"> – </w:t>
      </w:r>
      <w:r w:rsidR="005E6986">
        <w:rPr>
          <w:b/>
        </w:rPr>
        <w:t>At the end of regulation 5.3</w:t>
      </w:r>
    </w:p>
    <w:p w:rsidR="00D32F37" w:rsidRDefault="00607B0F" w:rsidP="00E81C4E">
      <w:pPr>
        <w:ind w:right="-188"/>
      </w:pPr>
      <w:r>
        <w:t>This item introduce</w:t>
      </w:r>
      <w:r w:rsidR="00524102">
        <w:t>s</w:t>
      </w:r>
      <w:r>
        <w:t xml:space="preserve"> a new </w:t>
      </w:r>
      <w:proofErr w:type="spellStart"/>
      <w:r>
        <w:t>subregulation</w:t>
      </w:r>
      <w:proofErr w:type="spellEnd"/>
      <w:r>
        <w:t xml:space="preserve"> 5.3(3) </w:t>
      </w:r>
      <w:r w:rsidR="004419FE">
        <w:t>to the Principal Regulations</w:t>
      </w:r>
      <w:r>
        <w:t xml:space="preserve"> which prescribes</w:t>
      </w:r>
      <w:r w:rsidR="004419FE">
        <w:t>, for the purposes of paragraph 41FH(3)(b) of the Act,</w:t>
      </w:r>
      <w:r>
        <w:t xml:space="preserve"> a period of 60 w</w:t>
      </w:r>
      <w:r w:rsidR="004419FE">
        <w:t xml:space="preserve">orking days </w:t>
      </w:r>
      <w:r w:rsidR="00224FD4">
        <w:t xml:space="preserve">(after the application was made) </w:t>
      </w:r>
      <w:r w:rsidR="004419FE">
        <w:t xml:space="preserve">for the Secretary to advise applicants </w:t>
      </w:r>
      <w:r w:rsidR="00FE16A4">
        <w:t>seeking</w:t>
      </w:r>
      <w:r w:rsidR="004419FE">
        <w:t xml:space="preserve"> inclusion of certain kinds of medical devices </w:t>
      </w:r>
      <w:r w:rsidR="00224FD4">
        <w:t xml:space="preserve">in the Register </w:t>
      </w:r>
      <w:r w:rsidR="004419FE">
        <w:t>that their applications have been selected for auditing.</w:t>
      </w:r>
    </w:p>
    <w:p w:rsidR="000B58BA" w:rsidRDefault="000B58BA" w:rsidP="00E81C4E">
      <w:pPr>
        <w:ind w:right="-188"/>
      </w:pPr>
    </w:p>
    <w:p w:rsidR="00E36456" w:rsidRDefault="00E36456" w:rsidP="00E81C4E">
      <w:pPr>
        <w:ind w:right="-188"/>
      </w:pPr>
      <w:r>
        <w:t xml:space="preserve">The </w:t>
      </w:r>
      <w:r w:rsidR="00224FD4">
        <w:t xml:space="preserve">kinds of applications </w:t>
      </w:r>
      <w:r w:rsidR="00FE16A4">
        <w:t>to which this</w:t>
      </w:r>
      <w:r w:rsidR="00224FD4">
        <w:t xml:space="preserve"> appl</w:t>
      </w:r>
      <w:r w:rsidR="00524102">
        <w:t>ies</w:t>
      </w:r>
      <w:r>
        <w:t xml:space="preserve"> are those mentioned in subregulation 11.1(3) of the Principal Regulations that are submitted </w:t>
      </w:r>
      <w:r w:rsidR="0004764F">
        <w:t xml:space="preserve">to the TGA </w:t>
      </w:r>
      <w:r>
        <w:t>before 1 July 2014.</w:t>
      </w:r>
    </w:p>
    <w:p w:rsidR="00E36456" w:rsidRDefault="00E36456" w:rsidP="00E81C4E">
      <w:pPr>
        <w:ind w:right="-188"/>
      </w:pPr>
    </w:p>
    <w:p w:rsidR="00224FD4" w:rsidRDefault="00E36456" w:rsidP="00E81C4E">
      <w:pPr>
        <w:ind w:right="-188"/>
      </w:pPr>
      <w:r>
        <w:t>Subregulation 11.1(3) refers to applications fo</w:t>
      </w:r>
      <w:r w:rsidR="009572C1">
        <w:t xml:space="preserve">r </w:t>
      </w:r>
      <w:r>
        <w:t>inclusion in the Register as Class III medical devices</w:t>
      </w:r>
      <w:r w:rsidR="009572C1">
        <w:t xml:space="preserve"> involving products</w:t>
      </w:r>
      <w:r>
        <w:t xml:space="preserve"> that are implantable medical devices intended by their manufacturer to be a total or partial shoulder, hip or knee joint replacement</w:t>
      </w:r>
      <w:r w:rsidR="00224FD4">
        <w:t xml:space="preserve"> that were included in the Register on or after 1 July 2012</w:t>
      </w:r>
      <w:r w:rsidR="009572C1">
        <w:t xml:space="preserve"> as Class IIb medical devices</w:t>
      </w:r>
      <w:r w:rsidR="00224FD4">
        <w:t>.</w:t>
      </w:r>
    </w:p>
    <w:p w:rsidR="00E36456" w:rsidRDefault="00224FD4" w:rsidP="00E81C4E">
      <w:pPr>
        <w:ind w:right="-188"/>
      </w:pPr>
      <w:r>
        <w:t xml:space="preserve"> </w:t>
      </w:r>
    </w:p>
    <w:p w:rsidR="00224FD4" w:rsidRDefault="001B50D1" w:rsidP="00E81C4E">
      <w:pPr>
        <w:ind w:right="-188"/>
      </w:pPr>
      <w:r>
        <w:t>T</w:t>
      </w:r>
      <w:r w:rsidR="00224FD4">
        <w:t xml:space="preserve">hese implantable joint replacements were reclassified </w:t>
      </w:r>
      <w:r>
        <w:t xml:space="preserve">on 1 July 2012, </w:t>
      </w:r>
      <w:r w:rsidR="00224FD4">
        <w:t>under the Principal Regulations</w:t>
      </w:r>
      <w:r>
        <w:t>,</w:t>
      </w:r>
      <w:r w:rsidR="00224FD4">
        <w:t xml:space="preserve"> from Class IIb medical devices to the higher risk classification of Class III – this reflected concerns to ensure that an increased degree of pre-market scrutiny </w:t>
      </w:r>
      <w:r w:rsidR="009572C1">
        <w:t>be applied</w:t>
      </w:r>
      <w:r w:rsidR="00224FD4">
        <w:t xml:space="preserve"> to such products, proportionate to their risk.</w:t>
      </w:r>
    </w:p>
    <w:p w:rsidR="00224FD4" w:rsidRDefault="00224FD4" w:rsidP="00E81C4E">
      <w:pPr>
        <w:ind w:right="-188"/>
      </w:pPr>
    </w:p>
    <w:p w:rsidR="00224FD4" w:rsidRDefault="00315C7A" w:rsidP="00E81C4E">
      <w:pPr>
        <w:ind w:right="-188"/>
      </w:pPr>
      <w:r>
        <w:t xml:space="preserve">Under regulation 11.1 of the Principal Regulations, </w:t>
      </w:r>
      <w:r w:rsidR="001B50D1">
        <w:t xml:space="preserve">sponsors of such devices that, as at 1 July 2012, were either already included in the Register </w:t>
      </w:r>
      <w:r w:rsidR="001015DF">
        <w:t xml:space="preserve">as Class IIb devices </w:t>
      </w:r>
      <w:r w:rsidR="001B50D1">
        <w:t xml:space="preserve">or were the subject of an application for inclusion that </w:t>
      </w:r>
      <w:r w:rsidR="0004764F">
        <w:t xml:space="preserve">had not yet been </w:t>
      </w:r>
      <w:r w:rsidR="001B50D1">
        <w:t>finally determined</w:t>
      </w:r>
      <w:r w:rsidR="00524102">
        <w:t>,</w:t>
      </w:r>
      <w:r>
        <w:t xml:space="preserve"> have</w:t>
      </w:r>
      <w:r w:rsidR="001015DF">
        <w:t xml:space="preserve"> </w:t>
      </w:r>
      <w:r w:rsidR="00224FD4">
        <w:t xml:space="preserve">until </w:t>
      </w:r>
      <w:r>
        <w:t>30 June 2014</w:t>
      </w:r>
      <w:r w:rsidR="00224FD4">
        <w:t xml:space="preserve"> to apply to include their kind of device in the Register </w:t>
      </w:r>
      <w:r w:rsidR="0004764F">
        <w:t xml:space="preserve">as a </w:t>
      </w:r>
      <w:r w:rsidR="00224FD4">
        <w:t xml:space="preserve">Class III </w:t>
      </w:r>
      <w:r w:rsidR="0004764F">
        <w:t>medical device</w:t>
      </w:r>
      <w:r w:rsidR="00224FD4">
        <w:t xml:space="preserve">. </w:t>
      </w:r>
    </w:p>
    <w:p w:rsidR="00224FD4" w:rsidRDefault="00224FD4" w:rsidP="00E81C4E">
      <w:pPr>
        <w:ind w:right="-188"/>
      </w:pPr>
    </w:p>
    <w:p w:rsidR="004419FE" w:rsidRDefault="001015DF" w:rsidP="00E81C4E">
      <w:pPr>
        <w:ind w:right="-188"/>
      </w:pPr>
      <w:r>
        <w:t>A large volume of these “up-classification”</w:t>
      </w:r>
      <w:r w:rsidR="00224FD4">
        <w:t xml:space="preserve"> applications are expected </w:t>
      </w:r>
      <w:r w:rsidR="0004764F">
        <w:t xml:space="preserve">to be lodged with the TGA </w:t>
      </w:r>
      <w:r w:rsidR="00224FD4">
        <w:t>in the lead-up to the 30 June 2014 deadline.</w:t>
      </w:r>
    </w:p>
    <w:p w:rsidR="00224FD4" w:rsidRDefault="00224FD4" w:rsidP="00E81C4E">
      <w:pPr>
        <w:ind w:right="-188"/>
      </w:pPr>
    </w:p>
    <w:p w:rsidR="000B58BA" w:rsidRDefault="000B58BA" w:rsidP="000B58BA">
      <w:pPr>
        <w:ind w:right="-188"/>
      </w:pPr>
      <w:r>
        <w:t xml:space="preserve">Under subsections 41FH(2) and (3) of the Act, </w:t>
      </w:r>
      <w:r w:rsidR="0004764F">
        <w:t xml:space="preserve">if the Secretary selects </w:t>
      </w:r>
      <w:r>
        <w:t xml:space="preserve">an application to include a kind of medical device in the Register for auditing, the Secretary must, within 20 working days – or such </w:t>
      </w:r>
      <w:r w:rsidR="00524102">
        <w:t xml:space="preserve">other period as is prescribed – </w:t>
      </w:r>
      <w:r>
        <w:t>after the application is made, inform the applicant of that selection and require them to provide any information considered by the Secretary to be relevant to the audit.</w:t>
      </w:r>
      <w:r w:rsidR="0004764F">
        <w:t xml:space="preserve">  </w:t>
      </w:r>
    </w:p>
    <w:p w:rsidR="00224FD4" w:rsidRDefault="00224FD4" w:rsidP="00E81C4E">
      <w:pPr>
        <w:ind w:right="-188"/>
      </w:pPr>
    </w:p>
    <w:p w:rsidR="00196332" w:rsidRDefault="001015DF" w:rsidP="00E81C4E">
      <w:pPr>
        <w:ind w:right="-188"/>
      </w:pPr>
      <w:r>
        <w:t xml:space="preserve">The </w:t>
      </w:r>
      <w:r w:rsidR="00196332">
        <w:t xml:space="preserve">effect of the amendment in item 2 </w:t>
      </w:r>
      <w:r w:rsidR="00524102">
        <w:t xml:space="preserve">is </w:t>
      </w:r>
      <w:r w:rsidR="00196332">
        <w:t>to give the Secretary a longer period</w:t>
      </w:r>
      <w:r w:rsidR="00524102">
        <w:t xml:space="preserve"> – 60 working days – </w:t>
      </w:r>
      <w:r w:rsidR="008D11E0">
        <w:t xml:space="preserve">after the </w:t>
      </w:r>
      <w:r w:rsidR="0052564C">
        <w:t>receipt</w:t>
      </w:r>
      <w:r w:rsidR="008D11E0">
        <w:t xml:space="preserve"> of one of these up-classification application</w:t>
      </w:r>
      <w:r w:rsidR="00D0358B">
        <w:t xml:space="preserve">s for the Secretary to </w:t>
      </w:r>
      <w:r w:rsidR="000F1F48">
        <w:t>advise</w:t>
      </w:r>
      <w:r w:rsidR="00D0358B">
        <w:t xml:space="preserve"> the applicant of that fact and require them to provide any information relevant to completing the audit.</w:t>
      </w:r>
    </w:p>
    <w:p w:rsidR="002A6FEA" w:rsidRDefault="002A6FEA" w:rsidP="001B6539">
      <w:pPr>
        <w:ind w:right="-188"/>
      </w:pPr>
    </w:p>
    <w:p w:rsidR="000F1F48" w:rsidRDefault="000F1F48" w:rsidP="000F1F48">
      <w:pPr>
        <w:pStyle w:val="ListParagraph"/>
        <w:ind w:left="0" w:right="-188"/>
        <w:rPr>
          <w:rFonts w:ascii="Times" w:hAnsi="Times"/>
          <w:szCs w:val="24"/>
        </w:rPr>
      </w:pPr>
      <w:r>
        <w:rPr>
          <w:rFonts w:ascii="Times" w:hAnsi="Times"/>
          <w:szCs w:val="24"/>
        </w:rPr>
        <w:t xml:space="preserve">This </w:t>
      </w:r>
      <w:r w:rsidR="00315C7A">
        <w:rPr>
          <w:rFonts w:ascii="Times" w:hAnsi="Times"/>
          <w:szCs w:val="24"/>
        </w:rPr>
        <w:t>assist</w:t>
      </w:r>
      <w:r w:rsidR="00524102">
        <w:rPr>
          <w:rFonts w:ascii="Times" w:hAnsi="Times"/>
          <w:szCs w:val="24"/>
        </w:rPr>
        <w:t>s</w:t>
      </w:r>
      <w:r w:rsidR="00315C7A">
        <w:rPr>
          <w:rFonts w:ascii="Times" w:hAnsi="Times"/>
          <w:szCs w:val="24"/>
        </w:rPr>
        <w:t xml:space="preserve"> the TGA to ensure that the expected volume of up-classification applications are able to managed </w:t>
      </w:r>
      <w:r>
        <w:rPr>
          <w:rFonts w:ascii="Times" w:hAnsi="Times"/>
          <w:szCs w:val="24"/>
        </w:rPr>
        <w:t xml:space="preserve">efficiently </w:t>
      </w:r>
      <w:r w:rsidR="00315C7A">
        <w:rPr>
          <w:rFonts w:ascii="Times" w:hAnsi="Times"/>
          <w:szCs w:val="24"/>
        </w:rPr>
        <w:t xml:space="preserve">in the lead-up to 30 June 2014, </w:t>
      </w:r>
      <w:r>
        <w:rPr>
          <w:rFonts w:ascii="Times" w:hAnsi="Times"/>
          <w:szCs w:val="24"/>
        </w:rPr>
        <w:t>and in a manner that does not divert resources unnecessarily from processing applications for other types of medical devices that are not involved in the up-classification process.</w:t>
      </w:r>
    </w:p>
    <w:p w:rsidR="00D0358B" w:rsidRDefault="00D0358B" w:rsidP="001B6539">
      <w:pPr>
        <w:ind w:right="-188"/>
      </w:pPr>
    </w:p>
    <w:p w:rsidR="00E81C4E" w:rsidRPr="00315C7A" w:rsidRDefault="00CB22E2" w:rsidP="001B6539">
      <w:pPr>
        <w:ind w:right="-188"/>
        <w:rPr>
          <w:b/>
        </w:rPr>
      </w:pPr>
      <w:r w:rsidRPr="00CB22E2">
        <w:rPr>
          <w:b/>
        </w:rPr>
        <w:t>Item 3</w:t>
      </w:r>
      <w:r w:rsidR="0020352D">
        <w:rPr>
          <w:b/>
        </w:rPr>
        <w:t xml:space="preserve"> –</w:t>
      </w:r>
      <w:r w:rsidR="00FA31AE">
        <w:rPr>
          <w:b/>
        </w:rPr>
        <w:t xml:space="preserve"> </w:t>
      </w:r>
      <w:proofErr w:type="spellStart"/>
      <w:r w:rsidR="00FA31AE">
        <w:rPr>
          <w:b/>
        </w:rPr>
        <w:t>Subregulation</w:t>
      </w:r>
      <w:proofErr w:type="spellEnd"/>
      <w:r w:rsidR="00FA31AE">
        <w:rPr>
          <w:b/>
        </w:rPr>
        <w:t xml:space="preserve"> 11.1(4)</w:t>
      </w:r>
    </w:p>
    <w:p w:rsidR="00695945" w:rsidRDefault="00315C7A" w:rsidP="001B6539">
      <w:pPr>
        <w:ind w:right="-188"/>
      </w:pPr>
      <w:r>
        <w:t>This item make</w:t>
      </w:r>
      <w:r w:rsidR="00524102">
        <w:t>s</w:t>
      </w:r>
      <w:r>
        <w:t xml:space="preserve"> a minor editing change to subregulation 11.4 to reflect the introduction of a new subregulation 5.3(3) to the Principal Regulations by item 2 above.</w:t>
      </w:r>
    </w:p>
    <w:p w:rsidR="00820F1F" w:rsidRDefault="00820F1F" w:rsidP="00820F1F">
      <w:pPr>
        <w:pStyle w:val="ListParagraph"/>
        <w:ind w:left="0" w:right="-188"/>
        <w:rPr>
          <w:rFonts w:ascii="Times" w:hAnsi="Times"/>
          <w:szCs w:val="24"/>
        </w:rPr>
      </w:pPr>
    </w:p>
    <w:p w:rsidR="00524102" w:rsidRDefault="00524102">
      <w:pPr>
        <w:rPr>
          <w:b/>
          <w:sz w:val="28"/>
          <w:szCs w:val="28"/>
        </w:rPr>
      </w:pPr>
      <w:r>
        <w:rPr>
          <w:b/>
          <w:sz w:val="28"/>
          <w:szCs w:val="28"/>
        </w:rPr>
        <w:br w:type="page"/>
      </w:r>
    </w:p>
    <w:p w:rsidR="00524102" w:rsidRDefault="00524102" w:rsidP="00524102">
      <w:pPr>
        <w:spacing w:before="360" w:after="120"/>
        <w:ind w:right="-46"/>
        <w:jc w:val="center"/>
        <w:rPr>
          <w:b/>
          <w:sz w:val="28"/>
          <w:szCs w:val="28"/>
        </w:rPr>
      </w:pPr>
      <w:r>
        <w:rPr>
          <w:b/>
          <w:sz w:val="28"/>
          <w:szCs w:val="28"/>
        </w:rPr>
        <w:t>Statement of Compatibility with Human Rights</w:t>
      </w:r>
    </w:p>
    <w:p w:rsidR="00524102" w:rsidRDefault="00524102" w:rsidP="00524102">
      <w:pPr>
        <w:spacing w:before="120" w:after="120"/>
        <w:ind w:right="-46"/>
        <w:jc w:val="center"/>
        <w:rPr>
          <w:szCs w:val="24"/>
        </w:rPr>
      </w:pPr>
      <w:r>
        <w:rPr>
          <w:i/>
          <w:szCs w:val="24"/>
        </w:rPr>
        <w:t>Prepared in accordance with Part 3 of the Human Rights (Parliamentary Scrutiny) Act 2011</w:t>
      </w:r>
    </w:p>
    <w:p w:rsidR="00524102" w:rsidRDefault="00524102" w:rsidP="00524102">
      <w:pPr>
        <w:spacing w:before="120" w:after="120"/>
        <w:ind w:right="-46"/>
        <w:jc w:val="center"/>
        <w:rPr>
          <w:szCs w:val="24"/>
        </w:rPr>
      </w:pPr>
    </w:p>
    <w:p w:rsidR="00524102" w:rsidRDefault="00524102" w:rsidP="00524102">
      <w:pPr>
        <w:spacing w:before="120" w:after="120"/>
        <w:ind w:right="-46"/>
        <w:jc w:val="center"/>
        <w:rPr>
          <w:b/>
          <w:szCs w:val="24"/>
        </w:rPr>
      </w:pPr>
      <w:r>
        <w:rPr>
          <w:b/>
          <w:szCs w:val="24"/>
        </w:rPr>
        <w:t>Therapeutic Goods (Medical Devices) Amendment (Auditing Applications) Regulation 2014</w:t>
      </w:r>
    </w:p>
    <w:p w:rsidR="00524102" w:rsidRDefault="00524102" w:rsidP="00524102">
      <w:pPr>
        <w:spacing w:before="120" w:after="120"/>
        <w:ind w:right="-46"/>
        <w:jc w:val="center"/>
        <w:rPr>
          <w:szCs w:val="24"/>
        </w:rPr>
      </w:pPr>
    </w:p>
    <w:p w:rsidR="00524102" w:rsidRDefault="00524102" w:rsidP="00524102">
      <w:pPr>
        <w:spacing w:before="120" w:after="120"/>
        <w:ind w:right="-46"/>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524102" w:rsidRDefault="00524102" w:rsidP="00524102">
      <w:pPr>
        <w:spacing w:before="120" w:after="120"/>
        <w:ind w:right="-46"/>
        <w:jc w:val="center"/>
        <w:rPr>
          <w:szCs w:val="24"/>
        </w:rPr>
      </w:pPr>
    </w:p>
    <w:p w:rsidR="00524102" w:rsidRDefault="00524102" w:rsidP="00524102">
      <w:pPr>
        <w:spacing w:before="120" w:after="120"/>
        <w:ind w:right="-46"/>
        <w:jc w:val="both"/>
        <w:rPr>
          <w:b/>
          <w:szCs w:val="24"/>
        </w:rPr>
      </w:pPr>
      <w:r>
        <w:rPr>
          <w:b/>
          <w:szCs w:val="24"/>
        </w:rPr>
        <w:t>Overview of the Legislative Instrument</w:t>
      </w:r>
    </w:p>
    <w:p w:rsidR="00524102" w:rsidRDefault="00524102" w:rsidP="00524102">
      <w:pPr>
        <w:spacing w:before="120" w:after="120"/>
        <w:ind w:right="-46"/>
        <w:rPr>
          <w:szCs w:val="24"/>
        </w:rPr>
      </w:pPr>
      <w:r>
        <w:rPr>
          <w:szCs w:val="24"/>
        </w:rPr>
        <w:t xml:space="preserve">The </w:t>
      </w:r>
      <w:r>
        <w:rPr>
          <w:i/>
          <w:szCs w:val="24"/>
        </w:rPr>
        <w:t xml:space="preserve">Therapeutic Goods (Medical Devices) Amendment (Auditing Applications) Regulation 2014 </w:t>
      </w:r>
      <w:r>
        <w:rPr>
          <w:szCs w:val="24"/>
        </w:rPr>
        <w:t xml:space="preserve">(the Amendment Regulation) is made under subsection 63(1) of the </w:t>
      </w:r>
      <w:r>
        <w:rPr>
          <w:i/>
          <w:szCs w:val="24"/>
        </w:rPr>
        <w:t>Therapeutic Goods Act 1989</w:t>
      </w:r>
      <w:r>
        <w:rPr>
          <w:szCs w:val="24"/>
        </w:rPr>
        <w:t xml:space="preserve"> (the Act). Under the Act, when a person applies for marketing approval for a kind of medical device and the Secretary decides to audit the application, the Secretary has 20 working days – or such other period as is prescribed – to inform the applicant of that fact, and to request from the applicant information the Secretary considers to be relevant to completing the audit.</w:t>
      </w:r>
    </w:p>
    <w:p w:rsidR="00524102" w:rsidRDefault="00524102" w:rsidP="00524102">
      <w:pPr>
        <w:spacing w:before="120" w:after="120"/>
        <w:ind w:right="-46"/>
        <w:rPr>
          <w:szCs w:val="24"/>
        </w:rPr>
      </w:pPr>
      <w:r>
        <w:rPr>
          <w:szCs w:val="24"/>
        </w:rPr>
        <w:t xml:space="preserve">Implantable medical devices intended by their manufacturer to be total or partial shoulder, hip or knee replacements were reclassified from Class </w:t>
      </w:r>
      <w:proofErr w:type="spellStart"/>
      <w:r>
        <w:rPr>
          <w:szCs w:val="24"/>
        </w:rPr>
        <w:t>IIb</w:t>
      </w:r>
      <w:proofErr w:type="spellEnd"/>
      <w:r>
        <w:rPr>
          <w:szCs w:val="24"/>
        </w:rPr>
        <w:t xml:space="preserve"> to Class III medical devices on 1 July 2012, subjecting them to an increased degree of pre-market scrutiny proportionate to their risk. Such products that, as at that date, had marketing approval or were the subject of an application for marketing approval, were given until 30 June 2014 to apply for marketing approval for their products as Class III medical devices. A large number of these applications are expected before that deadline. </w:t>
      </w:r>
    </w:p>
    <w:p w:rsidR="00524102" w:rsidRDefault="00524102" w:rsidP="00524102">
      <w:pPr>
        <w:spacing w:before="120" w:after="120"/>
        <w:ind w:right="-46"/>
        <w:rPr>
          <w:szCs w:val="24"/>
        </w:rPr>
      </w:pPr>
      <w:r>
        <w:rPr>
          <w:szCs w:val="24"/>
        </w:rPr>
        <w:t>The purpose of the Amendment Regulation is to amend the Therapeutic Goods (Medical Devices) Regulations 2002 (the Principal Regulations) to prescribe a longer period – 60 working days – than the 20 working day period mentioned above for informing applicants of their selection for audit and for requesting supporting information – to assist with the management of those applications in that relatively short timeframe.</w:t>
      </w:r>
    </w:p>
    <w:p w:rsidR="00524102" w:rsidRDefault="00524102" w:rsidP="00524102">
      <w:pPr>
        <w:spacing w:before="120" w:after="120"/>
        <w:ind w:right="-46"/>
        <w:rPr>
          <w:b/>
          <w:szCs w:val="24"/>
        </w:rPr>
      </w:pPr>
      <w:r>
        <w:rPr>
          <w:b/>
          <w:szCs w:val="24"/>
        </w:rPr>
        <w:t>Human rights implications</w:t>
      </w:r>
    </w:p>
    <w:p w:rsidR="00524102" w:rsidRDefault="00524102" w:rsidP="00524102">
      <w:pPr>
        <w:ind w:right="-46"/>
        <w:rPr>
          <w:szCs w:val="24"/>
        </w:rPr>
      </w:pPr>
      <w:r>
        <w:rPr>
          <w:szCs w:val="24"/>
        </w:rPr>
        <w:t>As the Amendment Regulation does not introduce any changes to the Principal Regulations other than to implement the minor changes mentioned above, it does not engage any of the applicable rights or freedoms.</w:t>
      </w:r>
    </w:p>
    <w:p w:rsidR="00524102" w:rsidRDefault="00524102" w:rsidP="00524102">
      <w:pPr>
        <w:spacing w:before="120" w:after="120"/>
        <w:ind w:right="-46"/>
        <w:rPr>
          <w:szCs w:val="24"/>
        </w:rPr>
      </w:pPr>
    </w:p>
    <w:p w:rsidR="00524102" w:rsidRDefault="00524102" w:rsidP="00524102">
      <w:pPr>
        <w:spacing w:before="120" w:after="120"/>
        <w:ind w:right="-46"/>
        <w:rPr>
          <w:b/>
          <w:szCs w:val="24"/>
        </w:rPr>
      </w:pPr>
      <w:r>
        <w:rPr>
          <w:b/>
          <w:szCs w:val="24"/>
        </w:rPr>
        <w:t>Conclusion</w:t>
      </w:r>
    </w:p>
    <w:p w:rsidR="00524102" w:rsidRDefault="00524102" w:rsidP="00524102">
      <w:pPr>
        <w:spacing w:before="120" w:after="120"/>
        <w:ind w:right="-46"/>
        <w:rPr>
          <w:szCs w:val="24"/>
        </w:rPr>
      </w:pPr>
      <w:r>
        <w:rPr>
          <w:szCs w:val="24"/>
        </w:rPr>
        <w:t>This legislative instrument is compatible with human rights as it does not raise any human rights issues.</w:t>
      </w:r>
    </w:p>
    <w:p w:rsidR="00524102" w:rsidRPr="005F7046" w:rsidRDefault="00524102" w:rsidP="00524102">
      <w:pPr>
        <w:ind w:right="-46"/>
        <w:rPr>
          <w:szCs w:val="24"/>
        </w:rPr>
      </w:pPr>
    </w:p>
    <w:p w:rsidR="00524102" w:rsidRDefault="00D17D6A" w:rsidP="00524102">
      <w:pPr>
        <w:spacing w:before="120" w:after="120"/>
        <w:ind w:right="-46"/>
        <w:jc w:val="center"/>
        <w:rPr>
          <w:b/>
          <w:szCs w:val="24"/>
        </w:rPr>
      </w:pPr>
      <w:r>
        <w:rPr>
          <w:b/>
          <w:szCs w:val="24"/>
        </w:rPr>
        <w:t xml:space="preserve">Senator the Hon </w:t>
      </w:r>
      <w:r w:rsidR="00524102">
        <w:rPr>
          <w:b/>
          <w:szCs w:val="24"/>
        </w:rPr>
        <w:t>Fiona Nash</w:t>
      </w:r>
    </w:p>
    <w:p w:rsidR="00524102" w:rsidRPr="00BD0659" w:rsidRDefault="00524102" w:rsidP="00524102">
      <w:pPr>
        <w:spacing w:before="120" w:after="120"/>
        <w:ind w:right="-46"/>
        <w:jc w:val="center"/>
      </w:pPr>
      <w:r>
        <w:rPr>
          <w:b/>
          <w:szCs w:val="24"/>
        </w:rPr>
        <w:t>Assistant Minister for Health</w:t>
      </w:r>
    </w:p>
    <w:p w:rsidR="00820F1F" w:rsidRDefault="00820F1F" w:rsidP="001B6539">
      <w:pPr>
        <w:ind w:right="-188"/>
      </w:pPr>
    </w:p>
    <w:sectPr w:rsidR="00820F1F" w:rsidSect="00FA31AE">
      <w:headerReference w:type="default" r:id="rId9"/>
      <w:pgSz w:w="11906" w:h="16838"/>
      <w:pgMar w:top="1304" w:right="1440" w:bottom="1304"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A6" w:rsidRDefault="00D450A6" w:rsidP="00A2299B">
      <w:r>
        <w:separator/>
      </w:r>
    </w:p>
  </w:endnote>
  <w:endnote w:type="continuationSeparator" w:id="0">
    <w:p w:rsidR="00D450A6" w:rsidRDefault="00D450A6"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A6" w:rsidRDefault="00D450A6" w:rsidP="00A2299B">
      <w:r>
        <w:separator/>
      </w:r>
    </w:p>
  </w:footnote>
  <w:footnote w:type="continuationSeparator" w:id="0">
    <w:p w:rsidR="00D450A6" w:rsidRDefault="00D450A6"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642005"/>
      <w:docPartObj>
        <w:docPartGallery w:val="Page Numbers (Top of Page)"/>
        <w:docPartUnique/>
      </w:docPartObj>
    </w:sdtPr>
    <w:sdtEndPr>
      <w:rPr>
        <w:noProof/>
      </w:rPr>
    </w:sdtEndPr>
    <w:sdtContent>
      <w:p w:rsidR="00FA31AE" w:rsidRDefault="00FA31AE">
        <w:pPr>
          <w:pStyle w:val="Header"/>
          <w:jc w:val="center"/>
        </w:pPr>
        <w:r>
          <w:fldChar w:fldCharType="begin"/>
        </w:r>
        <w:r>
          <w:instrText xml:space="preserve"> PAGE   \* MERGEFORMAT </w:instrText>
        </w:r>
        <w:r>
          <w:fldChar w:fldCharType="separate"/>
        </w:r>
        <w:r w:rsidR="00E85BB6">
          <w:rPr>
            <w:noProof/>
          </w:rPr>
          <w:t>2</w:t>
        </w:r>
        <w:r>
          <w:rPr>
            <w:noProof/>
          </w:rPr>
          <w:fldChar w:fldCharType="end"/>
        </w:r>
      </w:p>
    </w:sdtContent>
  </w:sdt>
  <w:p w:rsidR="00FA31AE" w:rsidRDefault="00FA3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551"/>
    <w:multiLevelType w:val="hybridMultilevel"/>
    <w:tmpl w:val="48CE6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F8146D"/>
    <w:multiLevelType w:val="hybridMultilevel"/>
    <w:tmpl w:val="E29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232AD6"/>
    <w:multiLevelType w:val="hybridMultilevel"/>
    <w:tmpl w:val="1F8C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1D51FB"/>
    <w:multiLevelType w:val="hybridMultilevel"/>
    <w:tmpl w:val="8CDEB254"/>
    <w:lvl w:ilvl="0" w:tplc="AB5A07EC">
      <w:start w:val="1"/>
      <w:numFmt w:val="decimal"/>
      <w:lvlText w:val="%1. "/>
      <w:lvlJc w:val="left"/>
      <w:pPr>
        <w:ind w:left="360" w:hanging="360"/>
      </w:pPr>
      <w:rPr>
        <w:rFonts w:hint="default"/>
        <w:spacing w:val="-20"/>
        <w:w w:val="100"/>
        <w:kern w:val="0"/>
        <w:position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46799A"/>
    <w:multiLevelType w:val="hybridMultilevel"/>
    <w:tmpl w:val="91F8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E163DA"/>
    <w:multiLevelType w:val="hybridMultilevel"/>
    <w:tmpl w:val="D008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3D243AA"/>
    <w:multiLevelType w:val="hybridMultilevel"/>
    <w:tmpl w:val="2628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B2649B"/>
    <w:multiLevelType w:val="hybridMultilevel"/>
    <w:tmpl w:val="9A66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0">
    <w:nsid w:val="5B824454"/>
    <w:multiLevelType w:val="hybridMultilevel"/>
    <w:tmpl w:val="4976BD14"/>
    <w:lvl w:ilvl="0" w:tplc="AB5A07EC">
      <w:start w:val="1"/>
      <w:numFmt w:val="decimal"/>
      <w:lvlText w:val="%1. "/>
      <w:lvlJc w:val="left"/>
      <w:pPr>
        <w:ind w:left="360" w:hanging="360"/>
      </w:pPr>
      <w:rPr>
        <w:rFonts w:hint="default"/>
        <w:spacing w:val="-20"/>
        <w:w w:val="100"/>
        <w:kern w:val="0"/>
        <w:position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94D7D65"/>
    <w:multiLevelType w:val="hybridMultilevel"/>
    <w:tmpl w:val="D068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3F5AB0"/>
    <w:multiLevelType w:val="hybridMultilevel"/>
    <w:tmpl w:val="D8C8E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2"/>
  </w:num>
  <w:num w:numId="4">
    <w:abstractNumId w:val="10"/>
  </w:num>
  <w:num w:numId="5">
    <w:abstractNumId w:val="0"/>
  </w:num>
  <w:num w:numId="6">
    <w:abstractNumId w:val="7"/>
  </w:num>
  <w:num w:numId="7">
    <w:abstractNumId w:val="3"/>
  </w:num>
  <w:num w:numId="8">
    <w:abstractNumId w:val="11"/>
  </w:num>
  <w:num w:numId="9">
    <w:abstractNumId w:val="5"/>
  </w:num>
  <w:num w:numId="10">
    <w:abstractNumId w:val="1"/>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5F8F"/>
    <w:rsid w:val="00006EED"/>
    <w:rsid w:val="000149B5"/>
    <w:rsid w:val="00030D81"/>
    <w:rsid w:val="00036391"/>
    <w:rsid w:val="00037882"/>
    <w:rsid w:val="0004282E"/>
    <w:rsid w:val="0004434A"/>
    <w:rsid w:val="000450DA"/>
    <w:rsid w:val="0004764F"/>
    <w:rsid w:val="00051EAE"/>
    <w:rsid w:val="00056B7A"/>
    <w:rsid w:val="000605C4"/>
    <w:rsid w:val="00060820"/>
    <w:rsid w:val="000627DF"/>
    <w:rsid w:val="00063280"/>
    <w:rsid w:val="00066E1B"/>
    <w:rsid w:val="0007195A"/>
    <w:rsid w:val="000734F6"/>
    <w:rsid w:val="000748D7"/>
    <w:rsid w:val="000749D3"/>
    <w:rsid w:val="0007636B"/>
    <w:rsid w:val="00080A30"/>
    <w:rsid w:val="00080DB1"/>
    <w:rsid w:val="00081712"/>
    <w:rsid w:val="00084325"/>
    <w:rsid w:val="00087448"/>
    <w:rsid w:val="00090014"/>
    <w:rsid w:val="00092711"/>
    <w:rsid w:val="000957D5"/>
    <w:rsid w:val="0009764C"/>
    <w:rsid w:val="000B0FF3"/>
    <w:rsid w:val="000B1535"/>
    <w:rsid w:val="000B380F"/>
    <w:rsid w:val="000B58BA"/>
    <w:rsid w:val="000C029A"/>
    <w:rsid w:val="000C6B8D"/>
    <w:rsid w:val="000C7524"/>
    <w:rsid w:val="000D44B8"/>
    <w:rsid w:val="000D572D"/>
    <w:rsid w:val="000D5BFD"/>
    <w:rsid w:val="000E1A7D"/>
    <w:rsid w:val="000E2076"/>
    <w:rsid w:val="000E4581"/>
    <w:rsid w:val="000F1F48"/>
    <w:rsid w:val="000F2F45"/>
    <w:rsid w:val="000F5D0F"/>
    <w:rsid w:val="001015DF"/>
    <w:rsid w:val="00113533"/>
    <w:rsid w:val="00113B45"/>
    <w:rsid w:val="001163EC"/>
    <w:rsid w:val="00122C61"/>
    <w:rsid w:val="00125550"/>
    <w:rsid w:val="0012593D"/>
    <w:rsid w:val="001270E0"/>
    <w:rsid w:val="001360A1"/>
    <w:rsid w:val="00153688"/>
    <w:rsid w:val="00153C58"/>
    <w:rsid w:val="00154185"/>
    <w:rsid w:val="001542B5"/>
    <w:rsid w:val="00156491"/>
    <w:rsid w:val="00163597"/>
    <w:rsid w:val="00164764"/>
    <w:rsid w:val="001658E2"/>
    <w:rsid w:val="001756EF"/>
    <w:rsid w:val="00175A79"/>
    <w:rsid w:val="001766E6"/>
    <w:rsid w:val="00183016"/>
    <w:rsid w:val="00185569"/>
    <w:rsid w:val="00187972"/>
    <w:rsid w:val="0019006E"/>
    <w:rsid w:val="0019011B"/>
    <w:rsid w:val="00192250"/>
    <w:rsid w:val="00192453"/>
    <w:rsid w:val="0019271E"/>
    <w:rsid w:val="00193D79"/>
    <w:rsid w:val="00196332"/>
    <w:rsid w:val="00196CD4"/>
    <w:rsid w:val="00197CC0"/>
    <w:rsid w:val="001B38E8"/>
    <w:rsid w:val="001B50D1"/>
    <w:rsid w:val="001B6539"/>
    <w:rsid w:val="001C54E8"/>
    <w:rsid w:val="001C56A8"/>
    <w:rsid w:val="001C6DCC"/>
    <w:rsid w:val="001D0725"/>
    <w:rsid w:val="001D2AEF"/>
    <w:rsid w:val="001D2E82"/>
    <w:rsid w:val="001D711C"/>
    <w:rsid w:val="001E64D3"/>
    <w:rsid w:val="00202085"/>
    <w:rsid w:val="0020352D"/>
    <w:rsid w:val="00203E51"/>
    <w:rsid w:val="00204A29"/>
    <w:rsid w:val="0020743D"/>
    <w:rsid w:val="00213B8C"/>
    <w:rsid w:val="002153D5"/>
    <w:rsid w:val="0021688E"/>
    <w:rsid w:val="00217465"/>
    <w:rsid w:val="00223A41"/>
    <w:rsid w:val="00224FD4"/>
    <w:rsid w:val="00235126"/>
    <w:rsid w:val="00241672"/>
    <w:rsid w:val="00244753"/>
    <w:rsid w:val="0024495C"/>
    <w:rsid w:val="00246AD2"/>
    <w:rsid w:val="00247FA8"/>
    <w:rsid w:val="00264954"/>
    <w:rsid w:val="00266787"/>
    <w:rsid w:val="00270C51"/>
    <w:rsid w:val="00273AEB"/>
    <w:rsid w:val="002747DD"/>
    <w:rsid w:val="00277E34"/>
    <w:rsid w:val="002810EE"/>
    <w:rsid w:val="00283A2F"/>
    <w:rsid w:val="002945AB"/>
    <w:rsid w:val="00295A1D"/>
    <w:rsid w:val="00296838"/>
    <w:rsid w:val="00297F4D"/>
    <w:rsid w:val="002A351A"/>
    <w:rsid w:val="002A5AE1"/>
    <w:rsid w:val="002A6FEA"/>
    <w:rsid w:val="002B48E2"/>
    <w:rsid w:val="002C1A9B"/>
    <w:rsid w:val="002C1AFC"/>
    <w:rsid w:val="002C2885"/>
    <w:rsid w:val="002C4298"/>
    <w:rsid w:val="002C5267"/>
    <w:rsid w:val="002C5C61"/>
    <w:rsid w:val="002D5938"/>
    <w:rsid w:val="002D70E0"/>
    <w:rsid w:val="002E0B8C"/>
    <w:rsid w:val="002E568B"/>
    <w:rsid w:val="002F3E9E"/>
    <w:rsid w:val="002F413F"/>
    <w:rsid w:val="00304C8B"/>
    <w:rsid w:val="00311F0C"/>
    <w:rsid w:val="00313B30"/>
    <w:rsid w:val="00315C7A"/>
    <w:rsid w:val="003172AB"/>
    <w:rsid w:val="00320ABB"/>
    <w:rsid w:val="0032168C"/>
    <w:rsid w:val="00322D3A"/>
    <w:rsid w:val="00323171"/>
    <w:rsid w:val="003261E6"/>
    <w:rsid w:val="00327722"/>
    <w:rsid w:val="0033580D"/>
    <w:rsid w:val="00335F54"/>
    <w:rsid w:val="00337CDA"/>
    <w:rsid w:val="003411ED"/>
    <w:rsid w:val="00342F0F"/>
    <w:rsid w:val="003442D9"/>
    <w:rsid w:val="00347FB1"/>
    <w:rsid w:val="003516DD"/>
    <w:rsid w:val="0036468F"/>
    <w:rsid w:val="00364CA3"/>
    <w:rsid w:val="00365402"/>
    <w:rsid w:val="00376B26"/>
    <w:rsid w:val="00380326"/>
    <w:rsid w:val="00382ED9"/>
    <w:rsid w:val="003856A4"/>
    <w:rsid w:val="00387931"/>
    <w:rsid w:val="0039169F"/>
    <w:rsid w:val="00392C09"/>
    <w:rsid w:val="003A26DD"/>
    <w:rsid w:val="003A2845"/>
    <w:rsid w:val="003A4BB8"/>
    <w:rsid w:val="003A5C6B"/>
    <w:rsid w:val="003A73CF"/>
    <w:rsid w:val="003B2F54"/>
    <w:rsid w:val="003C4B49"/>
    <w:rsid w:val="003C4E57"/>
    <w:rsid w:val="003C72AF"/>
    <w:rsid w:val="003D1810"/>
    <w:rsid w:val="003D377F"/>
    <w:rsid w:val="003D3F2F"/>
    <w:rsid w:val="003D5AD5"/>
    <w:rsid w:val="003D6118"/>
    <w:rsid w:val="003E33C4"/>
    <w:rsid w:val="003E37AF"/>
    <w:rsid w:val="003E4FBA"/>
    <w:rsid w:val="003E6BDB"/>
    <w:rsid w:val="003F7635"/>
    <w:rsid w:val="003F7719"/>
    <w:rsid w:val="004078D3"/>
    <w:rsid w:val="00415793"/>
    <w:rsid w:val="00415C2D"/>
    <w:rsid w:val="00417C2F"/>
    <w:rsid w:val="0042269B"/>
    <w:rsid w:val="004241E3"/>
    <w:rsid w:val="00431FBB"/>
    <w:rsid w:val="004352DD"/>
    <w:rsid w:val="004366B4"/>
    <w:rsid w:val="00436721"/>
    <w:rsid w:val="004408A5"/>
    <w:rsid w:val="004419FE"/>
    <w:rsid w:val="0044252B"/>
    <w:rsid w:val="004463A1"/>
    <w:rsid w:val="004548E3"/>
    <w:rsid w:val="00454FD6"/>
    <w:rsid w:val="004553EE"/>
    <w:rsid w:val="0046065D"/>
    <w:rsid w:val="00462276"/>
    <w:rsid w:val="00462FBF"/>
    <w:rsid w:val="0046430C"/>
    <w:rsid w:val="00470A7B"/>
    <w:rsid w:val="004728EB"/>
    <w:rsid w:val="00473809"/>
    <w:rsid w:val="00473E85"/>
    <w:rsid w:val="00476DEF"/>
    <w:rsid w:val="00482665"/>
    <w:rsid w:val="004906E3"/>
    <w:rsid w:val="004947F7"/>
    <w:rsid w:val="00497028"/>
    <w:rsid w:val="004A1B01"/>
    <w:rsid w:val="004A1FC0"/>
    <w:rsid w:val="004A3CD3"/>
    <w:rsid w:val="004A53A0"/>
    <w:rsid w:val="004A5C83"/>
    <w:rsid w:val="004A6582"/>
    <w:rsid w:val="004B211D"/>
    <w:rsid w:val="004B285A"/>
    <w:rsid w:val="004B6251"/>
    <w:rsid w:val="004C1689"/>
    <w:rsid w:val="004C2476"/>
    <w:rsid w:val="004C4DD5"/>
    <w:rsid w:val="004C78AD"/>
    <w:rsid w:val="004D7B80"/>
    <w:rsid w:val="004E2513"/>
    <w:rsid w:val="004E3A8A"/>
    <w:rsid w:val="004E658C"/>
    <w:rsid w:val="00500F1D"/>
    <w:rsid w:val="0050217E"/>
    <w:rsid w:val="00506562"/>
    <w:rsid w:val="00506C06"/>
    <w:rsid w:val="00507967"/>
    <w:rsid w:val="00510644"/>
    <w:rsid w:val="00512873"/>
    <w:rsid w:val="00514672"/>
    <w:rsid w:val="00517846"/>
    <w:rsid w:val="005178B5"/>
    <w:rsid w:val="00517F2B"/>
    <w:rsid w:val="00522D42"/>
    <w:rsid w:val="00524102"/>
    <w:rsid w:val="0052564C"/>
    <w:rsid w:val="0052612F"/>
    <w:rsid w:val="00530B7D"/>
    <w:rsid w:val="00531A46"/>
    <w:rsid w:val="005329D6"/>
    <w:rsid w:val="00537149"/>
    <w:rsid w:val="00537C85"/>
    <w:rsid w:val="00541077"/>
    <w:rsid w:val="00542F8E"/>
    <w:rsid w:val="005446FF"/>
    <w:rsid w:val="0054771E"/>
    <w:rsid w:val="00550CC8"/>
    <w:rsid w:val="0056578D"/>
    <w:rsid w:val="00572DC2"/>
    <w:rsid w:val="00574D01"/>
    <w:rsid w:val="00575D61"/>
    <w:rsid w:val="00575EA8"/>
    <w:rsid w:val="00575F8F"/>
    <w:rsid w:val="0057784E"/>
    <w:rsid w:val="00577CA2"/>
    <w:rsid w:val="005815DD"/>
    <w:rsid w:val="0058378B"/>
    <w:rsid w:val="00585729"/>
    <w:rsid w:val="00586D88"/>
    <w:rsid w:val="0059077B"/>
    <w:rsid w:val="0059172C"/>
    <w:rsid w:val="00594F74"/>
    <w:rsid w:val="005A054C"/>
    <w:rsid w:val="005A07DE"/>
    <w:rsid w:val="005B0F41"/>
    <w:rsid w:val="005B371D"/>
    <w:rsid w:val="005B4ABF"/>
    <w:rsid w:val="005C173B"/>
    <w:rsid w:val="005C1FA3"/>
    <w:rsid w:val="005D271C"/>
    <w:rsid w:val="005D7E8D"/>
    <w:rsid w:val="005E39E7"/>
    <w:rsid w:val="005E6986"/>
    <w:rsid w:val="005F1FEA"/>
    <w:rsid w:val="005F3B1E"/>
    <w:rsid w:val="005F4FBA"/>
    <w:rsid w:val="005F65C6"/>
    <w:rsid w:val="005F75F0"/>
    <w:rsid w:val="00600CB8"/>
    <w:rsid w:val="00601891"/>
    <w:rsid w:val="006028FD"/>
    <w:rsid w:val="00607B0F"/>
    <w:rsid w:val="00613321"/>
    <w:rsid w:val="00616021"/>
    <w:rsid w:val="00621174"/>
    <w:rsid w:val="00622F2F"/>
    <w:rsid w:val="00623B27"/>
    <w:rsid w:val="00624DF4"/>
    <w:rsid w:val="006311D3"/>
    <w:rsid w:val="006322D5"/>
    <w:rsid w:val="00634DF1"/>
    <w:rsid w:val="00641252"/>
    <w:rsid w:val="0064335B"/>
    <w:rsid w:val="00646CC0"/>
    <w:rsid w:val="0064791B"/>
    <w:rsid w:val="00666057"/>
    <w:rsid w:val="006672A6"/>
    <w:rsid w:val="00671C55"/>
    <w:rsid w:val="0067242A"/>
    <w:rsid w:val="00673B84"/>
    <w:rsid w:val="00675505"/>
    <w:rsid w:val="00680200"/>
    <w:rsid w:val="00682C3E"/>
    <w:rsid w:val="00684173"/>
    <w:rsid w:val="00684780"/>
    <w:rsid w:val="00694012"/>
    <w:rsid w:val="00695945"/>
    <w:rsid w:val="00696D9F"/>
    <w:rsid w:val="006973A0"/>
    <w:rsid w:val="00697608"/>
    <w:rsid w:val="006A2C5D"/>
    <w:rsid w:val="006A2C75"/>
    <w:rsid w:val="006A57AE"/>
    <w:rsid w:val="006A57B3"/>
    <w:rsid w:val="006A5FE2"/>
    <w:rsid w:val="006A68E5"/>
    <w:rsid w:val="006A7534"/>
    <w:rsid w:val="006B07BF"/>
    <w:rsid w:val="006B3112"/>
    <w:rsid w:val="006C1907"/>
    <w:rsid w:val="006C6278"/>
    <w:rsid w:val="006D75A9"/>
    <w:rsid w:val="006E0AA8"/>
    <w:rsid w:val="006E4C3D"/>
    <w:rsid w:val="006E7A6C"/>
    <w:rsid w:val="006F575B"/>
    <w:rsid w:val="00700444"/>
    <w:rsid w:val="00704057"/>
    <w:rsid w:val="007048C4"/>
    <w:rsid w:val="00704A6B"/>
    <w:rsid w:val="00706DE6"/>
    <w:rsid w:val="00710B2A"/>
    <w:rsid w:val="0071137E"/>
    <w:rsid w:val="007140A6"/>
    <w:rsid w:val="0072242C"/>
    <w:rsid w:val="00722960"/>
    <w:rsid w:val="00730734"/>
    <w:rsid w:val="007322C1"/>
    <w:rsid w:val="00732F9C"/>
    <w:rsid w:val="00735AFD"/>
    <w:rsid w:val="0073644B"/>
    <w:rsid w:val="007405DF"/>
    <w:rsid w:val="00743922"/>
    <w:rsid w:val="00743A70"/>
    <w:rsid w:val="00747579"/>
    <w:rsid w:val="007514B3"/>
    <w:rsid w:val="00751C9B"/>
    <w:rsid w:val="00753273"/>
    <w:rsid w:val="00756F52"/>
    <w:rsid w:val="00771BDB"/>
    <w:rsid w:val="0077263E"/>
    <w:rsid w:val="00773588"/>
    <w:rsid w:val="00773852"/>
    <w:rsid w:val="00783E35"/>
    <w:rsid w:val="00792D36"/>
    <w:rsid w:val="00793714"/>
    <w:rsid w:val="00794E77"/>
    <w:rsid w:val="00795062"/>
    <w:rsid w:val="00797701"/>
    <w:rsid w:val="007A2D51"/>
    <w:rsid w:val="007A458D"/>
    <w:rsid w:val="007A706C"/>
    <w:rsid w:val="007B086B"/>
    <w:rsid w:val="007B31FD"/>
    <w:rsid w:val="007B6541"/>
    <w:rsid w:val="007C08F3"/>
    <w:rsid w:val="007C0E54"/>
    <w:rsid w:val="007C210C"/>
    <w:rsid w:val="007C6FD8"/>
    <w:rsid w:val="007D3116"/>
    <w:rsid w:val="007D6CAF"/>
    <w:rsid w:val="007D7FA8"/>
    <w:rsid w:val="007E5DD2"/>
    <w:rsid w:val="007F4F1E"/>
    <w:rsid w:val="007F51A0"/>
    <w:rsid w:val="007F6167"/>
    <w:rsid w:val="00800C44"/>
    <w:rsid w:val="00806B73"/>
    <w:rsid w:val="00806BDA"/>
    <w:rsid w:val="00810717"/>
    <w:rsid w:val="00812E96"/>
    <w:rsid w:val="00814EC4"/>
    <w:rsid w:val="00815065"/>
    <w:rsid w:val="008179AC"/>
    <w:rsid w:val="00820F1F"/>
    <w:rsid w:val="00821421"/>
    <w:rsid w:val="008244B1"/>
    <w:rsid w:val="00826374"/>
    <w:rsid w:val="00827DA5"/>
    <w:rsid w:val="00831EF9"/>
    <w:rsid w:val="0083516C"/>
    <w:rsid w:val="00836B07"/>
    <w:rsid w:val="00846E3C"/>
    <w:rsid w:val="00850F73"/>
    <w:rsid w:val="00852AF3"/>
    <w:rsid w:val="008545ED"/>
    <w:rsid w:val="008772B3"/>
    <w:rsid w:val="008839D2"/>
    <w:rsid w:val="008843CC"/>
    <w:rsid w:val="008849BE"/>
    <w:rsid w:val="00891888"/>
    <w:rsid w:val="0089192E"/>
    <w:rsid w:val="008974B8"/>
    <w:rsid w:val="008A0AD6"/>
    <w:rsid w:val="008A0FDA"/>
    <w:rsid w:val="008A2198"/>
    <w:rsid w:val="008A3758"/>
    <w:rsid w:val="008A4684"/>
    <w:rsid w:val="008A4B48"/>
    <w:rsid w:val="008B2CB5"/>
    <w:rsid w:val="008C6489"/>
    <w:rsid w:val="008D11E0"/>
    <w:rsid w:val="008D5C3B"/>
    <w:rsid w:val="008E30B6"/>
    <w:rsid w:val="008E7167"/>
    <w:rsid w:val="008F11E7"/>
    <w:rsid w:val="008F3A73"/>
    <w:rsid w:val="008F464D"/>
    <w:rsid w:val="00900C44"/>
    <w:rsid w:val="00901A68"/>
    <w:rsid w:val="00903DEB"/>
    <w:rsid w:val="009161C8"/>
    <w:rsid w:val="00917950"/>
    <w:rsid w:val="00920CF0"/>
    <w:rsid w:val="00920D23"/>
    <w:rsid w:val="00922B98"/>
    <w:rsid w:val="009354F7"/>
    <w:rsid w:val="00935A9A"/>
    <w:rsid w:val="0093638A"/>
    <w:rsid w:val="00941170"/>
    <w:rsid w:val="00942E52"/>
    <w:rsid w:val="009438BE"/>
    <w:rsid w:val="009455DC"/>
    <w:rsid w:val="00945A69"/>
    <w:rsid w:val="0095025A"/>
    <w:rsid w:val="009503F8"/>
    <w:rsid w:val="00951323"/>
    <w:rsid w:val="00951650"/>
    <w:rsid w:val="00951CBB"/>
    <w:rsid w:val="00955891"/>
    <w:rsid w:val="00955B3E"/>
    <w:rsid w:val="009572C1"/>
    <w:rsid w:val="00961F07"/>
    <w:rsid w:val="00967351"/>
    <w:rsid w:val="009679EE"/>
    <w:rsid w:val="00967B90"/>
    <w:rsid w:val="00971254"/>
    <w:rsid w:val="00973269"/>
    <w:rsid w:val="009732BE"/>
    <w:rsid w:val="0097624B"/>
    <w:rsid w:val="009830FB"/>
    <w:rsid w:val="009958EE"/>
    <w:rsid w:val="00995BEC"/>
    <w:rsid w:val="00996541"/>
    <w:rsid w:val="009A0D09"/>
    <w:rsid w:val="009A43F9"/>
    <w:rsid w:val="009B4412"/>
    <w:rsid w:val="009C010D"/>
    <w:rsid w:val="009C36C7"/>
    <w:rsid w:val="009C63C9"/>
    <w:rsid w:val="009C737D"/>
    <w:rsid w:val="009D12C6"/>
    <w:rsid w:val="009D29AB"/>
    <w:rsid w:val="009D43ED"/>
    <w:rsid w:val="009D4AC1"/>
    <w:rsid w:val="009D5DB7"/>
    <w:rsid w:val="009D740E"/>
    <w:rsid w:val="009E637B"/>
    <w:rsid w:val="009F0F57"/>
    <w:rsid w:val="00A01223"/>
    <w:rsid w:val="00A01FCA"/>
    <w:rsid w:val="00A033D5"/>
    <w:rsid w:val="00A06BE5"/>
    <w:rsid w:val="00A12278"/>
    <w:rsid w:val="00A13FE4"/>
    <w:rsid w:val="00A148E9"/>
    <w:rsid w:val="00A17D8C"/>
    <w:rsid w:val="00A2299B"/>
    <w:rsid w:val="00A22CDC"/>
    <w:rsid w:val="00A246A5"/>
    <w:rsid w:val="00A251B0"/>
    <w:rsid w:val="00A3114F"/>
    <w:rsid w:val="00A354CA"/>
    <w:rsid w:val="00A46A18"/>
    <w:rsid w:val="00A47D7E"/>
    <w:rsid w:val="00A52DE7"/>
    <w:rsid w:val="00A55B3E"/>
    <w:rsid w:val="00A641D4"/>
    <w:rsid w:val="00A67055"/>
    <w:rsid w:val="00A75822"/>
    <w:rsid w:val="00A77D74"/>
    <w:rsid w:val="00A81758"/>
    <w:rsid w:val="00A85600"/>
    <w:rsid w:val="00A85D75"/>
    <w:rsid w:val="00A8653F"/>
    <w:rsid w:val="00A86D8F"/>
    <w:rsid w:val="00A91AE5"/>
    <w:rsid w:val="00A91FB7"/>
    <w:rsid w:val="00A951A5"/>
    <w:rsid w:val="00A95A6C"/>
    <w:rsid w:val="00AA1654"/>
    <w:rsid w:val="00AA3401"/>
    <w:rsid w:val="00AA4CF1"/>
    <w:rsid w:val="00AA4F2C"/>
    <w:rsid w:val="00AC0627"/>
    <w:rsid w:val="00AC11C8"/>
    <w:rsid w:val="00AC16BE"/>
    <w:rsid w:val="00AC42A1"/>
    <w:rsid w:val="00AD14E2"/>
    <w:rsid w:val="00AD390C"/>
    <w:rsid w:val="00AD482F"/>
    <w:rsid w:val="00AD4F3B"/>
    <w:rsid w:val="00AD7222"/>
    <w:rsid w:val="00AD72DB"/>
    <w:rsid w:val="00AE3DDE"/>
    <w:rsid w:val="00AE5795"/>
    <w:rsid w:val="00AF14FF"/>
    <w:rsid w:val="00B00892"/>
    <w:rsid w:val="00B0417C"/>
    <w:rsid w:val="00B11F16"/>
    <w:rsid w:val="00B15BAC"/>
    <w:rsid w:val="00B16191"/>
    <w:rsid w:val="00B163A7"/>
    <w:rsid w:val="00B25B8F"/>
    <w:rsid w:val="00B26600"/>
    <w:rsid w:val="00B323DF"/>
    <w:rsid w:val="00B377DB"/>
    <w:rsid w:val="00B42634"/>
    <w:rsid w:val="00B43D28"/>
    <w:rsid w:val="00B446E4"/>
    <w:rsid w:val="00B45CEC"/>
    <w:rsid w:val="00B46646"/>
    <w:rsid w:val="00B46E4E"/>
    <w:rsid w:val="00B50B81"/>
    <w:rsid w:val="00B62ECF"/>
    <w:rsid w:val="00B70663"/>
    <w:rsid w:val="00B73B7E"/>
    <w:rsid w:val="00B749B8"/>
    <w:rsid w:val="00B77AB9"/>
    <w:rsid w:val="00B80D30"/>
    <w:rsid w:val="00B85A19"/>
    <w:rsid w:val="00B85EC1"/>
    <w:rsid w:val="00B862E2"/>
    <w:rsid w:val="00B93A28"/>
    <w:rsid w:val="00B94493"/>
    <w:rsid w:val="00B94717"/>
    <w:rsid w:val="00BA167E"/>
    <w:rsid w:val="00BA306B"/>
    <w:rsid w:val="00BA6847"/>
    <w:rsid w:val="00BB095E"/>
    <w:rsid w:val="00BB1A7C"/>
    <w:rsid w:val="00BB2087"/>
    <w:rsid w:val="00BB7B51"/>
    <w:rsid w:val="00BC01FE"/>
    <w:rsid w:val="00BC67DB"/>
    <w:rsid w:val="00BC74B5"/>
    <w:rsid w:val="00BD19B6"/>
    <w:rsid w:val="00BD3B96"/>
    <w:rsid w:val="00BD67F0"/>
    <w:rsid w:val="00BE295C"/>
    <w:rsid w:val="00BE356E"/>
    <w:rsid w:val="00BE4008"/>
    <w:rsid w:val="00BF41B6"/>
    <w:rsid w:val="00BF6DCC"/>
    <w:rsid w:val="00BF7750"/>
    <w:rsid w:val="00C001FC"/>
    <w:rsid w:val="00C047D9"/>
    <w:rsid w:val="00C103B9"/>
    <w:rsid w:val="00C20D4C"/>
    <w:rsid w:val="00C214DD"/>
    <w:rsid w:val="00C26A0A"/>
    <w:rsid w:val="00C3139C"/>
    <w:rsid w:val="00C326E4"/>
    <w:rsid w:val="00C4022C"/>
    <w:rsid w:val="00C40436"/>
    <w:rsid w:val="00C44B5B"/>
    <w:rsid w:val="00C463D5"/>
    <w:rsid w:val="00C47D97"/>
    <w:rsid w:val="00C513B4"/>
    <w:rsid w:val="00C55671"/>
    <w:rsid w:val="00C56741"/>
    <w:rsid w:val="00C571D1"/>
    <w:rsid w:val="00C57FA9"/>
    <w:rsid w:val="00C61DC9"/>
    <w:rsid w:val="00C626A1"/>
    <w:rsid w:val="00C6471F"/>
    <w:rsid w:val="00C6703F"/>
    <w:rsid w:val="00C6778C"/>
    <w:rsid w:val="00C73432"/>
    <w:rsid w:val="00C81D32"/>
    <w:rsid w:val="00C82242"/>
    <w:rsid w:val="00C83867"/>
    <w:rsid w:val="00C856C9"/>
    <w:rsid w:val="00C863BC"/>
    <w:rsid w:val="00C90500"/>
    <w:rsid w:val="00C90901"/>
    <w:rsid w:val="00C93586"/>
    <w:rsid w:val="00C96E92"/>
    <w:rsid w:val="00C97005"/>
    <w:rsid w:val="00C97411"/>
    <w:rsid w:val="00C97781"/>
    <w:rsid w:val="00CA4146"/>
    <w:rsid w:val="00CB22E2"/>
    <w:rsid w:val="00CB7508"/>
    <w:rsid w:val="00CD0A0B"/>
    <w:rsid w:val="00CD0ED3"/>
    <w:rsid w:val="00CD49B1"/>
    <w:rsid w:val="00CD5504"/>
    <w:rsid w:val="00CD75F5"/>
    <w:rsid w:val="00CD7CD9"/>
    <w:rsid w:val="00CE1C24"/>
    <w:rsid w:val="00CE1FA7"/>
    <w:rsid w:val="00CE4765"/>
    <w:rsid w:val="00CE4CD7"/>
    <w:rsid w:val="00CE619E"/>
    <w:rsid w:val="00CE6216"/>
    <w:rsid w:val="00CF0DC8"/>
    <w:rsid w:val="00CF4AC9"/>
    <w:rsid w:val="00CF6A09"/>
    <w:rsid w:val="00CF71DD"/>
    <w:rsid w:val="00D023FB"/>
    <w:rsid w:val="00D027A9"/>
    <w:rsid w:val="00D0358B"/>
    <w:rsid w:val="00D1357E"/>
    <w:rsid w:val="00D13F15"/>
    <w:rsid w:val="00D140DB"/>
    <w:rsid w:val="00D17848"/>
    <w:rsid w:val="00D17D6A"/>
    <w:rsid w:val="00D2672A"/>
    <w:rsid w:val="00D30DEE"/>
    <w:rsid w:val="00D32EA9"/>
    <w:rsid w:val="00D32F37"/>
    <w:rsid w:val="00D360A6"/>
    <w:rsid w:val="00D416DD"/>
    <w:rsid w:val="00D443FC"/>
    <w:rsid w:val="00D447F2"/>
    <w:rsid w:val="00D450A6"/>
    <w:rsid w:val="00D46B3C"/>
    <w:rsid w:val="00D4730B"/>
    <w:rsid w:val="00D559C6"/>
    <w:rsid w:val="00D562AD"/>
    <w:rsid w:val="00D6356B"/>
    <w:rsid w:val="00D65FFD"/>
    <w:rsid w:val="00D66A30"/>
    <w:rsid w:val="00D71E5A"/>
    <w:rsid w:val="00D73E73"/>
    <w:rsid w:val="00D761A2"/>
    <w:rsid w:val="00D774AA"/>
    <w:rsid w:val="00D83EA8"/>
    <w:rsid w:val="00D8442B"/>
    <w:rsid w:val="00D84927"/>
    <w:rsid w:val="00D84E6E"/>
    <w:rsid w:val="00D86657"/>
    <w:rsid w:val="00D86EC1"/>
    <w:rsid w:val="00D878AE"/>
    <w:rsid w:val="00D9238E"/>
    <w:rsid w:val="00D9475C"/>
    <w:rsid w:val="00D95DAE"/>
    <w:rsid w:val="00D975EE"/>
    <w:rsid w:val="00DA53EC"/>
    <w:rsid w:val="00DB064D"/>
    <w:rsid w:val="00DB62C5"/>
    <w:rsid w:val="00DB6F99"/>
    <w:rsid w:val="00DC3CFF"/>
    <w:rsid w:val="00DD5EB3"/>
    <w:rsid w:val="00DE0372"/>
    <w:rsid w:val="00DE1E1A"/>
    <w:rsid w:val="00DE2D23"/>
    <w:rsid w:val="00DE4AED"/>
    <w:rsid w:val="00DE6864"/>
    <w:rsid w:val="00DE68CF"/>
    <w:rsid w:val="00DF22D7"/>
    <w:rsid w:val="00DF45CA"/>
    <w:rsid w:val="00DF76DD"/>
    <w:rsid w:val="00E0323E"/>
    <w:rsid w:val="00E06387"/>
    <w:rsid w:val="00E1049D"/>
    <w:rsid w:val="00E129BF"/>
    <w:rsid w:val="00E1333B"/>
    <w:rsid w:val="00E15798"/>
    <w:rsid w:val="00E16574"/>
    <w:rsid w:val="00E170D6"/>
    <w:rsid w:val="00E22292"/>
    <w:rsid w:val="00E2509F"/>
    <w:rsid w:val="00E2744D"/>
    <w:rsid w:val="00E2752A"/>
    <w:rsid w:val="00E3083F"/>
    <w:rsid w:val="00E31573"/>
    <w:rsid w:val="00E36456"/>
    <w:rsid w:val="00E3700D"/>
    <w:rsid w:val="00E409DC"/>
    <w:rsid w:val="00E41F02"/>
    <w:rsid w:val="00E47D17"/>
    <w:rsid w:val="00E5529E"/>
    <w:rsid w:val="00E5544E"/>
    <w:rsid w:val="00E5589A"/>
    <w:rsid w:val="00E56FBC"/>
    <w:rsid w:val="00E60488"/>
    <w:rsid w:val="00E608CA"/>
    <w:rsid w:val="00E6149D"/>
    <w:rsid w:val="00E63361"/>
    <w:rsid w:val="00E6405D"/>
    <w:rsid w:val="00E70921"/>
    <w:rsid w:val="00E72D69"/>
    <w:rsid w:val="00E81C4E"/>
    <w:rsid w:val="00E81E6C"/>
    <w:rsid w:val="00E85BB6"/>
    <w:rsid w:val="00E86888"/>
    <w:rsid w:val="00E90EC6"/>
    <w:rsid w:val="00E91F84"/>
    <w:rsid w:val="00E93A0F"/>
    <w:rsid w:val="00EA2F76"/>
    <w:rsid w:val="00EB25DE"/>
    <w:rsid w:val="00EB3C6F"/>
    <w:rsid w:val="00EB441B"/>
    <w:rsid w:val="00EB66C8"/>
    <w:rsid w:val="00EB6F85"/>
    <w:rsid w:val="00EB7787"/>
    <w:rsid w:val="00EC0460"/>
    <w:rsid w:val="00EC2556"/>
    <w:rsid w:val="00EC5E3C"/>
    <w:rsid w:val="00ED19AA"/>
    <w:rsid w:val="00ED3AE4"/>
    <w:rsid w:val="00ED6246"/>
    <w:rsid w:val="00EE2C6F"/>
    <w:rsid w:val="00EE437F"/>
    <w:rsid w:val="00EE6E54"/>
    <w:rsid w:val="00EE7940"/>
    <w:rsid w:val="00EF0EC4"/>
    <w:rsid w:val="00EF0F4F"/>
    <w:rsid w:val="00EF1F76"/>
    <w:rsid w:val="00EF6410"/>
    <w:rsid w:val="00EF6D89"/>
    <w:rsid w:val="00F00015"/>
    <w:rsid w:val="00F03FD6"/>
    <w:rsid w:val="00F06B34"/>
    <w:rsid w:val="00F06D90"/>
    <w:rsid w:val="00F15DF0"/>
    <w:rsid w:val="00F22B63"/>
    <w:rsid w:val="00F235B3"/>
    <w:rsid w:val="00F25B4C"/>
    <w:rsid w:val="00F27418"/>
    <w:rsid w:val="00F336AD"/>
    <w:rsid w:val="00F35DC6"/>
    <w:rsid w:val="00F478C7"/>
    <w:rsid w:val="00F52483"/>
    <w:rsid w:val="00F52CBD"/>
    <w:rsid w:val="00F53C1D"/>
    <w:rsid w:val="00F53ED2"/>
    <w:rsid w:val="00F54C3B"/>
    <w:rsid w:val="00F56145"/>
    <w:rsid w:val="00F57A4A"/>
    <w:rsid w:val="00F61134"/>
    <w:rsid w:val="00F61524"/>
    <w:rsid w:val="00F66E67"/>
    <w:rsid w:val="00F83577"/>
    <w:rsid w:val="00F87284"/>
    <w:rsid w:val="00F9796C"/>
    <w:rsid w:val="00FA2332"/>
    <w:rsid w:val="00FA31AE"/>
    <w:rsid w:val="00FA33AC"/>
    <w:rsid w:val="00FA6381"/>
    <w:rsid w:val="00FA7030"/>
    <w:rsid w:val="00FB1315"/>
    <w:rsid w:val="00FB24E5"/>
    <w:rsid w:val="00FB4EF3"/>
    <w:rsid w:val="00FB7657"/>
    <w:rsid w:val="00FD1F28"/>
    <w:rsid w:val="00FD466C"/>
    <w:rsid w:val="00FD7B79"/>
    <w:rsid w:val="00FE13A9"/>
    <w:rsid w:val="00FE16A4"/>
    <w:rsid w:val="00FE20E0"/>
    <w:rsid w:val="00FE6DEF"/>
    <w:rsid w:val="00FF1672"/>
    <w:rsid w:val="00FF3CD5"/>
    <w:rsid w:val="00FF3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CCF63-5138-4150-8B8E-A8454D25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2042</Words>
  <Characters>11082</Characters>
  <Application>Microsoft Office Word</Application>
  <DocSecurity>0</DocSecurity>
  <Lines>1583</Lines>
  <Paragraphs>771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Hilhorst, Matt</cp:lastModifiedBy>
  <cp:revision>2</cp:revision>
  <cp:lastPrinted>2014-03-12T00:54:00Z</cp:lastPrinted>
  <dcterms:created xsi:type="dcterms:W3CDTF">2014-03-24T01:11:00Z</dcterms:created>
  <dcterms:modified xsi:type="dcterms:W3CDTF">2014-03-24T01:11:00Z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