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A5B" w:rsidRPr="004C0758" w:rsidRDefault="00807A5B" w:rsidP="00807A5B">
      <w:pPr>
        <w:keepNext/>
        <w:spacing w:before="240" w:after="360"/>
        <w:ind w:right="3"/>
        <w:jc w:val="center"/>
        <w:outlineLvl w:val="0"/>
        <w:rPr>
          <w:rFonts w:ascii="Times New Roman" w:hAnsi="Times New Roman"/>
          <w:b/>
          <w:caps/>
          <w:sz w:val="28"/>
          <w:u w:val="single"/>
        </w:rPr>
      </w:pPr>
      <w:r w:rsidRPr="004C0758">
        <w:rPr>
          <w:rFonts w:ascii="Times New Roman" w:hAnsi="Times New Roman"/>
          <w:b/>
          <w:caps/>
          <w:sz w:val="28"/>
          <w:u w:val="single"/>
        </w:rPr>
        <w:t>explanatory STATEMENT</w:t>
      </w:r>
    </w:p>
    <w:p w:rsidR="00807A5B" w:rsidRPr="004C0758" w:rsidRDefault="00807A5B" w:rsidP="00807A5B">
      <w:pPr>
        <w:keepNext/>
        <w:spacing w:before="120" w:after="240"/>
        <w:jc w:val="center"/>
        <w:outlineLvl w:val="1"/>
        <w:rPr>
          <w:rFonts w:ascii="Times New Roman" w:hAnsi="Times New Roman"/>
        </w:rPr>
      </w:pPr>
      <w:r w:rsidRPr="004C0758">
        <w:rPr>
          <w:rFonts w:ascii="Times New Roman" w:hAnsi="Times New Roman"/>
        </w:rPr>
        <w:t xml:space="preserve">Issued by the Authority of the </w:t>
      </w:r>
      <w:r>
        <w:rPr>
          <w:rFonts w:ascii="Times New Roman" w:hAnsi="Times New Roman"/>
        </w:rPr>
        <w:t>Minister for Small Business</w:t>
      </w:r>
    </w:p>
    <w:p w:rsidR="00807A5B" w:rsidRPr="004C0758" w:rsidRDefault="00807A5B" w:rsidP="00807A5B">
      <w:pPr>
        <w:spacing w:after="240"/>
        <w:ind w:right="3"/>
        <w:jc w:val="center"/>
        <w:rPr>
          <w:rFonts w:ascii="Times New Roman" w:hAnsi="Times New Roman"/>
          <w:i/>
        </w:rPr>
      </w:pPr>
      <w:r w:rsidRPr="004C0758">
        <w:rPr>
          <w:rFonts w:ascii="Times New Roman" w:hAnsi="Times New Roman"/>
          <w:i/>
        </w:rPr>
        <w:t>Competition and Consumer Act 2010</w:t>
      </w:r>
    </w:p>
    <w:p w:rsidR="00807A5B" w:rsidRPr="004C0758" w:rsidRDefault="00807A5B" w:rsidP="00807A5B">
      <w:pPr>
        <w:spacing w:after="240"/>
        <w:ind w:right="3"/>
        <w:jc w:val="center"/>
        <w:rPr>
          <w:rFonts w:ascii="Times New Roman" w:hAnsi="Times New Roman"/>
          <w:i/>
        </w:rPr>
      </w:pPr>
      <w:r>
        <w:rPr>
          <w:rFonts w:ascii="Times New Roman" w:hAnsi="Times New Roman"/>
          <w:i/>
        </w:rPr>
        <w:t>Competition and Consumer (Corded Internal Window Coverings) Safety Standard 2014</w:t>
      </w:r>
    </w:p>
    <w:p w:rsidR="00807A5B" w:rsidRPr="004C0758" w:rsidRDefault="00807A5B" w:rsidP="00807A5B">
      <w:pPr>
        <w:spacing w:after="240"/>
        <w:ind w:right="3"/>
        <w:jc w:val="both"/>
        <w:rPr>
          <w:rFonts w:ascii="Times New Roman" w:hAnsi="Times New Roman"/>
          <w:szCs w:val="24"/>
          <w:u w:val="single"/>
        </w:rPr>
      </w:pPr>
      <w:r w:rsidRPr="004C0758">
        <w:rPr>
          <w:rFonts w:ascii="Times New Roman" w:hAnsi="Times New Roman"/>
          <w:szCs w:val="24"/>
          <w:u w:val="single"/>
        </w:rPr>
        <w:t>Overview</w:t>
      </w:r>
    </w:p>
    <w:p w:rsidR="00807A5B" w:rsidRDefault="00807A5B" w:rsidP="00807A5B">
      <w:pPr>
        <w:spacing w:after="240"/>
        <w:ind w:right="3"/>
        <w:jc w:val="both"/>
        <w:rPr>
          <w:rFonts w:ascii="Times New Roman" w:hAnsi="Times New Roman"/>
          <w:szCs w:val="24"/>
        </w:rPr>
      </w:pPr>
      <w:r w:rsidRPr="004C0758">
        <w:rPr>
          <w:rFonts w:ascii="Times New Roman" w:hAnsi="Times New Roman"/>
          <w:szCs w:val="24"/>
        </w:rPr>
        <w:t xml:space="preserve">This Legislative Instrument </w:t>
      </w:r>
      <w:r>
        <w:rPr>
          <w:rFonts w:ascii="Times New Roman" w:hAnsi="Times New Roman"/>
          <w:szCs w:val="24"/>
        </w:rPr>
        <w:t xml:space="preserve">introduces requirements for the installation of Corded Internal Window Coverings (CIWC) in domestic dwellings, specifically excluding caravans, boats and mobile homes.  Once in force, the ACL will prohibit installation of CIWC in trade or </w:t>
      </w:r>
      <w:proofErr w:type="gramStart"/>
      <w:r>
        <w:rPr>
          <w:rFonts w:ascii="Times New Roman" w:hAnsi="Times New Roman"/>
          <w:szCs w:val="24"/>
        </w:rPr>
        <w:t>commerce, that</w:t>
      </w:r>
      <w:proofErr w:type="gramEnd"/>
      <w:r>
        <w:rPr>
          <w:rFonts w:ascii="Times New Roman" w:hAnsi="Times New Roman"/>
          <w:szCs w:val="24"/>
        </w:rPr>
        <w:t xml:space="preserve"> does not comply with the standard.</w:t>
      </w:r>
    </w:p>
    <w:p w:rsidR="00807A5B" w:rsidRDefault="00807A5B" w:rsidP="00807A5B">
      <w:pPr>
        <w:spacing w:after="240"/>
        <w:ind w:right="3"/>
        <w:jc w:val="both"/>
        <w:rPr>
          <w:rFonts w:ascii="Times New Roman" w:hAnsi="Times New Roman"/>
          <w:szCs w:val="24"/>
        </w:rPr>
      </w:pPr>
      <w:r>
        <w:rPr>
          <w:rFonts w:ascii="Times New Roman" w:hAnsi="Times New Roman"/>
          <w:szCs w:val="24"/>
        </w:rPr>
        <w:t xml:space="preserve">The requirements relate to the safety of young children and are directed at ensuring that corded internal window coverings installed in domestic dwellings in trade or commerce are installed in accordance with the safety instructions and using any safety devices that are required to be supplied with the product under the existing safety standard on the supply of these products, </w:t>
      </w:r>
      <w:r w:rsidRPr="00010042">
        <w:rPr>
          <w:rFonts w:ascii="Times New Roman" w:hAnsi="Times New Roman"/>
          <w:i/>
          <w:szCs w:val="24"/>
          <w:shd w:val="clear" w:color="auto" w:fill="FFFFFF"/>
        </w:rPr>
        <w:t>Trade Practices (Consumer Product Safety Standard - Corded Internal Window Coverings) Regulations 2010</w:t>
      </w:r>
      <w:r>
        <w:rPr>
          <w:rFonts w:ascii="Times New Roman" w:hAnsi="Times New Roman"/>
          <w:szCs w:val="24"/>
        </w:rPr>
        <w:t xml:space="preserve">.  </w:t>
      </w:r>
    </w:p>
    <w:p w:rsidR="00807A5B" w:rsidRPr="004C0758" w:rsidRDefault="00807A5B" w:rsidP="00807A5B">
      <w:pPr>
        <w:spacing w:after="240"/>
        <w:ind w:right="3"/>
        <w:jc w:val="both"/>
        <w:rPr>
          <w:rFonts w:ascii="Times New Roman" w:hAnsi="Times New Roman"/>
          <w:szCs w:val="24"/>
          <w:u w:val="single"/>
        </w:rPr>
      </w:pPr>
      <w:r w:rsidRPr="004C0758">
        <w:rPr>
          <w:rFonts w:ascii="Times New Roman" w:hAnsi="Times New Roman"/>
          <w:szCs w:val="24"/>
          <w:u w:val="single"/>
        </w:rPr>
        <w:t>Background</w:t>
      </w:r>
    </w:p>
    <w:p w:rsidR="00807A5B" w:rsidRPr="004C0758" w:rsidRDefault="00807A5B" w:rsidP="00807A5B">
      <w:pPr>
        <w:spacing w:after="240"/>
        <w:ind w:right="3"/>
        <w:jc w:val="both"/>
        <w:rPr>
          <w:rFonts w:ascii="Times New Roman" w:hAnsi="Times New Roman"/>
          <w:i/>
          <w:szCs w:val="24"/>
        </w:rPr>
      </w:pPr>
      <w:r w:rsidRPr="004C0758">
        <w:rPr>
          <w:rFonts w:ascii="Times New Roman" w:hAnsi="Times New Roman"/>
          <w:i/>
          <w:szCs w:val="24"/>
        </w:rPr>
        <w:t>Legislative Power</w:t>
      </w:r>
    </w:p>
    <w:p w:rsidR="00807A5B" w:rsidRPr="004C0758" w:rsidRDefault="00807A5B" w:rsidP="00807A5B">
      <w:pPr>
        <w:spacing w:after="240"/>
        <w:ind w:right="3"/>
        <w:jc w:val="both"/>
        <w:rPr>
          <w:rFonts w:ascii="Times New Roman" w:hAnsi="Times New Roman"/>
          <w:i/>
          <w:szCs w:val="24"/>
        </w:rPr>
      </w:pPr>
      <w:r w:rsidRPr="004C0758">
        <w:rPr>
          <w:rFonts w:ascii="Times New Roman" w:hAnsi="Times New Roman"/>
          <w:szCs w:val="24"/>
        </w:rPr>
        <w:t xml:space="preserve">The </w:t>
      </w:r>
      <w:r w:rsidRPr="004C0758">
        <w:rPr>
          <w:rFonts w:ascii="Times New Roman" w:hAnsi="Times New Roman"/>
          <w:i/>
          <w:szCs w:val="24"/>
        </w:rPr>
        <w:t xml:space="preserve">Trade Practices Amendment (Australian Consumer Law) Act (No.2) 2010 </w:t>
      </w:r>
      <w:r w:rsidRPr="004C0758">
        <w:rPr>
          <w:rFonts w:ascii="Times New Roman" w:hAnsi="Times New Roman"/>
          <w:szCs w:val="24"/>
        </w:rPr>
        <w:t xml:space="preserve">together with the </w:t>
      </w:r>
      <w:r w:rsidRPr="004C0758">
        <w:rPr>
          <w:rFonts w:ascii="Times New Roman" w:hAnsi="Times New Roman"/>
          <w:i/>
          <w:szCs w:val="24"/>
        </w:rPr>
        <w:t xml:space="preserve">Trade Practices Amendment (Australian Consumer Law) Act (No.1) 2010, </w:t>
      </w:r>
      <w:r w:rsidRPr="004C0758">
        <w:rPr>
          <w:rFonts w:ascii="Times New Roman" w:hAnsi="Times New Roman"/>
          <w:szCs w:val="24"/>
        </w:rPr>
        <w:t xml:space="preserve">amended the </w:t>
      </w:r>
      <w:r w:rsidRPr="004C0758">
        <w:rPr>
          <w:rFonts w:ascii="Times New Roman" w:hAnsi="Times New Roman"/>
          <w:i/>
          <w:szCs w:val="24"/>
        </w:rPr>
        <w:t>Trade Practices Act 1974</w:t>
      </w:r>
      <w:r w:rsidRPr="004C0758">
        <w:rPr>
          <w:rFonts w:ascii="Times New Roman" w:hAnsi="Times New Roman"/>
          <w:szCs w:val="24"/>
        </w:rPr>
        <w:t xml:space="preserve"> (TPA) to implement a new national consumer law regime known as the Australian Consumer Law (ACL). The TPA was renamed the </w:t>
      </w:r>
      <w:r w:rsidRPr="004C0758">
        <w:rPr>
          <w:rFonts w:ascii="Times New Roman" w:hAnsi="Times New Roman"/>
          <w:i/>
          <w:szCs w:val="24"/>
        </w:rPr>
        <w:t xml:space="preserve">Competition and Consumer Act 2010 </w:t>
      </w:r>
      <w:r w:rsidRPr="004C0758">
        <w:rPr>
          <w:rFonts w:ascii="Times New Roman" w:hAnsi="Times New Roman"/>
          <w:szCs w:val="24"/>
        </w:rPr>
        <w:t>(CCA)</w:t>
      </w:r>
      <w:r w:rsidRPr="004C0758">
        <w:rPr>
          <w:rFonts w:ascii="Times New Roman" w:hAnsi="Times New Roman"/>
          <w:i/>
          <w:szCs w:val="24"/>
        </w:rPr>
        <w:t xml:space="preserve"> </w:t>
      </w:r>
      <w:r w:rsidRPr="004C0758">
        <w:rPr>
          <w:rFonts w:ascii="Times New Roman" w:hAnsi="Times New Roman"/>
          <w:szCs w:val="24"/>
        </w:rPr>
        <w:t>on 1 January 2011. The ACL forms Schedule 2 to the CCA.</w:t>
      </w:r>
      <w:r w:rsidRPr="004C0758">
        <w:rPr>
          <w:rFonts w:ascii="Times New Roman" w:hAnsi="Times New Roman"/>
          <w:i/>
          <w:szCs w:val="24"/>
        </w:rPr>
        <w:t xml:space="preserve"> </w:t>
      </w:r>
    </w:p>
    <w:p w:rsidR="00807A5B" w:rsidRDefault="00807A5B" w:rsidP="00807A5B">
      <w:pPr>
        <w:spacing w:after="240"/>
        <w:ind w:right="3"/>
        <w:jc w:val="both"/>
        <w:rPr>
          <w:rFonts w:ascii="Times New Roman" w:hAnsi="Times New Roman"/>
          <w:szCs w:val="24"/>
        </w:rPr>
      </w:pPr>
      <w:r w:rsidRPr="004C0758">
        <w:rPr>
          <w:rFonts w:ascii="Times New Roman" w:hAnsi="Times New Roman"/>
          <w:szCs w:val="24"/>
        </w:rPr>
        <w:t xml:space="preserve">Subsection 104 of </w:t>
      </w:r>
      <w:r>
        <w:rPr>
          <w:rFonts w:ascii="Times New Roman" w:hAnsi="Times New Roman"/>
          <w:szCs w:val="24"/>
        </w:rPr>
        <w:t>the ACL</w:t>
      </w:r>
      <w:r w:rsidRPr="004C0758">
        <w:rPr>
          <w:rFonts w:ascii="Times New Roman" w:hAnsi="Times New Roman"/>
          <w:szCs w:val="24"/>
        </w:rPr>
        <w:t xml:space="preserve"> provides that the Commonwealth Minister may, by written notice published on the internet, make a safety standard for </w:t>
      </w:r>
      <w:r>
        <w:rPr>
          <w:rFonts w:ascii="Times New Roman" w:hAnsi="Times New Roman"/>
          <w:szCs w:val="24"/>
        </w:rPr>
        <w:t>product related services</w:t>
      </w:r>
      <w:r w:rsidRPr="004C0758">
        <w:rPr>
          <w:rFonts w:ascii="Times New Roman" w:hAnsi="Times New Roman"/>
          <w:szCs w:val="24"/>
        </w:rPr>
        <w:t xml:space="preserve"> </w:t>
      </w:r>
      <w:r>
        <w:rPr>
          <w:rFonts w:ascii="Times New Roman" w:hAnsi="Times New Roman"/>
          <w:szCs w:val="24"/>
        </w:rPr>
        <w:t xml:space="preserve">of a particular kind, consisting of such requirements about the matters specified in s.104(3), </w:t>
      </w:r>
      <w:r w:rsidRPr="004C0758">
        <w:rPr>
          <w:rFonts w:ascii="Times New Roman" w:hAnsi="Times New Roman"/>
          <w:szCs w:val="24"/>
        </w:rPr>
        <w:t>as are reasonably necessary to prevent or reduce risk of injuries.</w:t>
      </w:r>
      <w:r>
        <w:rPr>
          <w:rFonts w:ascii="Times New Roman" w:hAnsi="Times New Roman"/>
          <w:szCs w:val="24"/>
        </w:rPr>
        <w:t xml:space="preserve"> </w:t>
      </w:r>
    </w:p>
    <w:p w:rsidR="00807A5B" w:rsidRPr="004C0758" w:rsidRDefault="00807A5B" w:rsidP="00807A5B">
      <w:pPr>
        <w:spacing w:after="240"/>
        <w:ind w:right="3"/>
        <w:jc w:val="both"/>
        <w:rPr>
          <w:rFonts w:ascii="Times New Roman" w:hAnsi="Times New Roman"/>
          <w:szCs w:val="24"/>
        </w:rPr>
      </w:pPr>
      <w:r>
        <w:rPr>
          <w:rFonts w:ascii="Times New Roman" w:hAnsi="Times New Roman"/>
          <w:szCs w:val="24"/>
        </w:rPr>
        <w:t>The matters specified in s.104(3) include the manner in which the services are supplied, the skills or qualifications of the person supplying the service, materials used, testing and the form and content of warnings, instructions and other information.</w:t>
      </w:r>
    </w:p>
    <w:p w:rsidR="00807A5B" w:rsidRPr="004C0758" w:rsidRDefault="00807A5B" w:rsidP="00807A5B">
      <w:pPr>
        <w:spacing w:after="240"/>
        <w:ind w:right="3"/>
        <w:jc w:val="both"/>
        <w:rPr>
          <w:rFonts w:ascii="Times New Roman" w:hAnsi="Times New Roman"/>
          <w:szCs w:val="24"/>
        </w:rPr>
      </w:pPr>
      <w:r>
        <w:rPr>
          <w:rFonts w:ascii="Times New Roman" w:hAnsi="Times New Roman"/>
          <w:szCs w:val="24"/>
        </w:rPr>
        <w:t>Subsection 107</w:t>
      </w:r>
      <w:r w:rsidRPr="004C0758">
        <w:rPr>
          <w:rFonts w:ascii="Times New Roman" w:hAnsi="Times New Roman"/>
          <w:szCs w:val="24"/>
        </w:rPr>
        <w:t xml:space="preserve">(1) provides that a person must not, in trade or commerce, </w:t>
      </w:r>
      <w:r>
        <w:rPr>
          <w:rFonts w:ascii="Times New Roman" w:hAnsi="Times New Roman"/>
          <w:szCs w:val="24"/>
        </w:rPr>
        <w:t xml:space="preserve">provide product related services of a particular kind </w:t>
      </w:r>
      <w:r w:rsidRPr="004C0758">
        <w:rPr>
          <w:rFonts w:ascii="Times New Roman" w:hAnsi="Times New Roman"/>
          <w:szCs w:val="24"/>
        </w:rPr>
        <w:t xml:space="preserve">if a safety standard for </w:t>
      </w:r>
      <w:r>
        <w:rPr>
          <w:rFonts w:ascii="Times New Roman" w:hAnsi="Times New Roman"/>
          <w:szCs w:val="24"/>
        </w:rPr>
        <w:t xml:space="preserve">services of that kind </w:t>
      </w:r>
      <w:r w:rsidRPr="004C0758">
        <w:rPr>
          <w:rFonts w:ascii="Times New Roman" w:hAnsi="Times New Roman"/>
          <w:szCs w:val="24"/>
        </w:rPr>
        <w:t xml:space="preserve">is in force and those </w:t>
      </w:r>
      <w:r>
        <w:rPr>
          <w:rFonts w:ascii="Times New Roman" w:hAnsi="Times New Roman"/>
          <w:szCs w:val="24"/>
        </w:rPr>
        <w:t>services</w:t>
      </w:r>
      <w:r w:rsidRPr="004C0758">
        <w:rPr>
          <w:rFonts w:ascii="Times New Roman" w:hAnsi="Times New Roman"/>
          <w:szCs w:val="24"/>
        </w:rPr>
        <w:t xml:space="preserve"> do not comply with the standard.</w:t>
      </w:r>
    </w:p>
    <w:p w:rsidR="00807A5B" w:rsidRPr="001060C2" w:rsidRDefault="00807A5B" w:rsidP="00807A5B">
      <w:pPr>
        <w:spacing w:after="240"/>
        <w:ind w:right="3"/>
        <w:jc w:val="both"/>
        <w:rPr>
          <w:rFonts w:cs="Arial"/>
          <w:sz w:val="18"/>
          <w:szCs w:val="18"/>
        </w:rPr>
      </w:pPr>
      <w:r w:rsidRPr="009A597B">
        <w:rPr>
          <w:rFonts w:ascii="Times New Roman" w:hAnsi="Times New Roman"/>
          <w:szCs w:val="24"/>
        </w:rPr>
        <w:t xml:space="preserve">Safety requirements for the supply of corded internal window coverings are set by </w:t>
      </w:r>
      <w:hyperlink r:id="rId7" w:history="1">
        <w:r w:rsidRPr="009A597B">
          <w:rPr>
            <w:rStyle w:val="Hyperlink"/>
            <w:rFonts w:ascii="Times New Roman" w:hAnsi="Times New Roman"/>
            <w:i/>
            <w:szCs w:val="24"/>
          </w:rPr>
          <w:t>Trade Practices (Consumer Product Safety Standard - Corded Internal Window Coverings) Regulations 2010</w:t>
        </w:r>
      </w:hyperlink>
      <w:r w:rsidRPr="009A597B">
        <w:rPr>
          <w:rFonts w:ascii="Times New Roman" w:hAnsi="Times New Roman"/>
          <w:szCs w:val="24"/>
        </w:rPr>
        <w:t xml:space="preserve"> </w:t>
      </w:r>
      <w:r>
        <w:rPr>
          <w:rFonts w:ascii="Times New Roman" w:hAnsi="Times New Roman"/>
          <w:szCs w:val="24"/>
        </w:rPr>
        <w:t xml:space="preserve">which was prescribed </w:t>
      </w:r>
      <w:r w:rsidRPr="009A597B">
        <w:rPr>
          <w:rFonts w:ascii="Times New Roman" w:hAnsi="Times New Roman"/>
          <w:szCs w:val="24"/>
        </w:rPr>
        <w:t>pursuant to subsection</w:t>
      </w:r>
      <w:r w:rsidRPr="004C0758">
        <w:rPr>
          <w:rFonts w:ascii="Times New Roman" w:hAnsi="Times New Roman"/>
          <w:szCs w:val="24"/>
        </w:rPr>
        <w:t> 65C</w:t>
      </w:r>
      <w:r>
        <w:rPr>
          <w:rFonts w:ascii="Times New Roman" w:hAnsi="Times New Roman"/>
          <w:szCs w:val="24"/>
        </w:rPr>
        <w:t>(2)</w:t>
      </w:r>
      <w:r w:rsidRPr="004C0758">
        <w:rPr>
          <w:rFonts w:ascii="Times New Roman" w:hAnsi="Times New Roman"/>
          <w:szCs w:val="24"/>
        </w:rPr>
        <w:t xml:space="preserve"> of the TPA. Item 4 of Schedule 7 of the </w:t>
      </w:r>
      <w:r w:rsidRPr="004C0758">
        <w:rPr>
          <w:rFonts w:ascii="Times New Roman" w:hAnsi="Times New Roman"/>
          <w:i/>
          <w:szCs w:val="24"/>
        </w:rPr>
        <w:t>Trade Practices Amendment (Australian Consumer Law) Act (No. 2) 2010</w:t>
      </w:r>
      <w:r w:rsidRPr="004C0758">
        <w:rPr>
          <w:rFonts w:ascii="Times New Roman" w:hAnsi="Times New Roman"/>
          <w:szCs w:val="24"/>
        </w:rPr>
        <w:t xml:space="preserve"> provides that a product safety standard made under 65C of the TPA will continue in force under the </w:t>
      </w:r>
      <w:r w:rsidRPr="004C0758">
        <w:rPr>
          <w:rFonts w:ascii="Times New Roman" w:hAnsi="Times New Roman"/>
          <w:szCs w:val="24"/>
        </w:rPr>
        <w:lastRenderedPageBreak/>
        <w:t>ACL as if it had been made section 104 of the ACL.</w:t>
      </w:r>
      <w:r>
        <w:rPr>
          <w:rFonts w:ascii="Times New Roman" w:hAnsi="Times New Roman"/>
          <w:szCs w:val="24"/>
        </w:rPr>
        <w:t xml:space="preserve"> This regulation requires the provision of warning labels and instructions and the provision of any devices necessary for the installation of the product any devices.</w:t>
      </w:r>
    </w:p>
    <w:p w:rsidR="00807A5B" w:rsidRPr="004C0758" w:rsidRDefault="00807A5B" w:rsidP="00807A5B">
      <w:pPr>
        <w:spacing w:after="240"/>
        <w:ind w:right="3"/>
        <w:jc w:val="both"/>
        <w:rPr>
          <w:rFonts w:ascii="Times New Roman" w:hAnsi="Times New Roman"/>
          <w:i/>
          <w:szCs w:val="24"/>
        </w:rPr>
      </w:pPr>
      <w:r w:rsidRPr="004C0758">
        <w:rPr>
          <w:rFonts w:ascii="Times New Roman" w:hAnsi="Times New Roman"/>
          <w:i/>
          <w:szCs w:val="24"/>
        </w:rPr>
        <w:t>Sunset Provisions</w:t>
      </w:r>
    </w:p>
    <w:p w:rsidR="00807A5B" w:rsidRPr="00493675" w:rsidRDefault="00807A5B" w:rsidP="00807A5B">
      <w:pPr>
        <w:spacing w:after="240"/>
        <w:ind w:right="3"/>
        <w:jc w:val="both"/>
        <w:rPr>
          <w:rFonts w:ascii="Times New Roman" w:hAnsi="Times New Roman"/>
          <w:szCs w:val="24"/>
        </w:rPr>
      </w:pPr>
      <w:r w:rsidRPr="00493675">
        <w:rPr>
          <w:rFonts w:ascii="Times New Roman" w:hAnsi="Times New Roman"/>
          <w:szCs w:val="24"/>
        </w:rPr>
        <w:t xml:space="preserve">This safety standard is exempt from sunset provisions.  Schedule 3 of the </w:t>
      </w:r>
      <w:r w:rsidRPr="00493675">
        <w:rPr>
          <w:rFonts w:ascii="Times New Roman" w:hAnsi="Times New Roman"/>
          <w:i/>
          <w:szCs w:val="24"/>
        </w:rPr>
        <w:t>Legislative Instruments Amendment (</w:t>
      </w:r>
      <w:proofErr w:type="spellStart"/>
      <w:r w:rsidRPr="00493675">
        <w:rPr>
          <w:rFonts w:ascii="Times New Roman" w:hAnsi="Times New Roman"/>
          <w:i/>
          <w:szCs w:val="24"/>
        </w:rPr>
        <w:t>Sunsetting</w:t>
      </w:r>
      <w:proofErr w:type="spellEnd"/>
      <w:r w:rsidRPr="00493675">
        <w:rPr>
          <w:rFonts w:ascii="Times New Roman" w:hAnsi="Times New Roman"/>
          <w:i/>
          <w:szCs w:val="24"/>
        </w:rPr>
        <w:t xml:space="preserve"> Exemptions) Regulation 2013 (SLIO No 212 of 2013)</w:t>
      </w:r>
      <w:r>
        <w:rPr>
          <w:rFonts w:ascii="Times New Roman" w:hAnsi="Times New Roman"/>
          <w:i/>
          <w:szCs w:val="24"/>
        </w:rPr>
        <w:t xml:space="preserve"> </w:t>
      </w:r>
      <w:r w:rsidRPr="00493675">
        <w:rPr>
          <w:rFonts w:ascii="Times New Roman" w:hAnsi="Times New Roman"/>
          <w:szCs w:val="24"/>
        </w:rPr>
        <w:t xml:space="preserve">lists as exempt instruments made under section 104 or 105 (safety standards) of Schedule 2 (The Australian Consumer Law) to the </w:t>
      </w:r>
      <w:r w:rsidRPr="00493675">
        <w:rPr>
          <w:rFonts w:ascii="Times New Roman" w:hAnsi="Times New Roman"/>
          <w:i/>
          <w:iCs/>
          <w:szCs w:val="24"/>
        </w:rPr>
        <w:t>Competition and Consumer Act 2010</w:t>
      </w:r>
      <w:r w:rsidRPr="00493675">
        <w:rPr>
          <w:rFonts w:ascii="Times New Roman" w:hAnsi="Times New Roman"/>
          <w:szCs w:val="24"/>
        </w:rPr>
        <w:t xml:space="preserve">, including prescribed consumer product safety standards under section 65C of the </w:t>
      </w:r>
      <w:r w:rsidRPr="00493675">
        <w:rPr>
          <w:rFonts w:ascii="Times New Roman" w:hAnsi="Times New Roman"/>
          <w:i/>
          <w:iCs/>
          <w:szCs w:val="24"/>
        </w:rPr>
        <w:t xml:space="preserve">Trade Practices Act 1974 </w:t>
      </w:r>
      <w:r w:rsidRPr="00493675">
        <w:rPr>
          <w:rFonts w:ascii="Times New Roman" w:hAnsi="Times New Roman"/>
          <w:szCs w:val="24"/>
        </w:rPr>
        <w:t xml:space="preserve">that were in force immediately before the commencement of item 4 of Schedule 7 to the </w:t>
      </w:r>
      <w:r w:rsidRPr="00493675">
        <w:rPr>
          <w:rFonts w:ascii="Times New Roman" w:hAnsi="Times New Roman"/>
          <w:i/>
          <w:iCs/>
          <w:szCs w:val="24"/>
        </w:rPr>
        <w:t>Trade Practices Amendment (Australian Consumer Law) Act (No. 2) 2010</w:t>
      </w:r>
      <w:r>
        <w:rPr>
          <w:rFonts w:ascii="Times New Roman" w:hAnsi="Times New Roman"/>
          <w:i/>
          <w:iCs/>
          <w:szCs w:val="24"/>
        </w:rPr>
        <w:t>.</w:t>
      </w:r>
      <w:r w:rsidRPr="00493675">
        <w:rPr>
          <w:rFonts w:ascii="Times New Roman" w:hAnsi="Times New Roman"/>
          <w:i/>
          <w:iCs/>
          <w:szCs w:val="24"/>
        </w:rPr>
        <w:t xml:space="preserve"> </w:t>
      </w:r>
    </w:p>
    <w:p w:rsidR="00807A5B" w:rsidRPr="00493675" w:rsidRDefault="00807A5B" w:rsidP="00807A5B">
      <w:pPr>
        <w:spacing w:after="240"/>
        <w:ind w:right="3"/>
        <w:jc w:val="both"/>
        <w:rPr>
          <w:rFonts w:ascii="Times New Roman" w:hAnsi="Times New Roman"/>
          <w:szCs w:val="24"/>
        </w:rPr>
      </w:pPr>
      <w:r w:rsidRPr="00493675">
        <w:rPr>
          <w:rFonts w:ascii="Times New Roman" w:hAnsi="Times New Roman"/>
          <w:szCs w:val="24"/>
        </w:rPr>
        <w:t>As a matter of good regulatory practice, the ACCC regularly reviews product safety standards to ensure they remain effective, efficient and appropriate and remain the best available solution, in the public interest, to an identified safety hazard.</w:t>
      </w:r>
    </w:p>
    <w:p w:rsidR="00807A5B" w:rsidRPr="004C0758" w:rsidRDefault="00807A5B" w:rsidP="00807A5B">
      <w:pPr>
        <w:spacing w:after="240"/>
        <w:ind w:right="3"/>
        <w:jc w:val="both"/>
        <w:rPr>
          <w:rFonts w:ascii="Times New Roman" w:hAnsi="Times New Roman"/>
          <w:szCs w:val="24"/>
        </w:rPr>
      </w:pPr>
      <w:r w:rsidRPr="004C0758">
        <w:rPr>
          <w:rFonts w:ascii="Times New Roman" w:hAnsi="Times New Roman"/>
          <w:szCs w:val="24"/>
          <w:u w:val="single"/>
        </w:rPr>
        <w:t>Statement of Compatibility with Human Rights</w:t>
      </w:r>
    </w:p>
    <w:p w:rsidR="00807A5B" w:rsidRPr="00305AF3" w:rsidRDefault="00807A5B" w:rsidP="00807A5B">
      <w:pPr>
        <w:spacing w:after="240"/>
        <w:ind w:right="3"/>
        <w:jc w:val="both"/>
        <w:rPr>
          <w:rFonts w:ascii="Times New Roman" w:hAnsi="Times New Roman"/>
          <w:szCs w:val="24"/>
        </w:rPr>
      </w:pPr>
      <w:proofErr w:type="gramStart"/>
      <w:r w:rsidRPr="004C0758">
        <w:rPr>
          <w:rFonts w:ascii="Times New Roman" w:hAnsi="Times New Roman"/>
          <w:szCs w:val="24"/>
        </w:rPr>
        <w:t xml:space="preserve">Prepared in accordance with Part 3 of the </w:t>
      </w:r>
      <w:r w:rsidRPr="004C0758">
        <w:rPr>
          <w:rFonts w:ascii="Times New Roman" w:hAnsi="Times New Roman"/>
          <w:i/>
          <w:szCs w:val="24"/>
        </w:rPr>
        <w:t>Human Rights (Parliamentary Scrutiny) Act 2011</w:t>
      </w:r>
      <w:r>
        <w:rPr>
          <w:rFonts w:ascii="Times New Roman" w:hAnsi="Times New Roman"/>
          <w:szCs w:val="24"/>
        </w:rPr>
        <w:t>.</w:t>
      </w:r>
      <w:proofErr w:type="gramEnd"/>
    </w:p>
    <w:p w:rsidR="00807A5B" w:rsidRPr="004C0758" w:rsidRDefault="00807A5B" w:rsidP="00807A5B">
      <w:pPr>
        <w:spacing w:after="240"/>
        <w:ind w:right="3"/>
        <w:jc w:val="both"/>
        <w:rPr>
          <w:rFonts w:ascii="Times New Roman" w:hAnsi="Times New Roman"/>
          <w:i/>
          <w:szCs w:val="24"/>
        </w:rPr>
      </w:pPr>
      <w:r w:rsidRPr="004C0758">
        <w:rPr>
          <w:rFonts w:ascii="Times New Roman" w:hAnsi="Times New Roman"/>
          <w:i/>
          <w:szCs w:val="24"/>
        </w:rPr>
        <w:t xml:space="preserve">Overview </w:t>
      </w:r>
    </w:p>
    <w:p w:rsidR="00807A5B" w:rsidRPr="004C0758" w:rsidRDefault="00807A5B" w:rsidP="00807A5B">
      <w:pPr>
        <w:spacing w:after="240"/>
        <w:ind w:right="3"/>
        <w:jc w:val="both"/>
        <w:rPr>
          <w:rFonts w:ascii="Times New Roman" w:hAnsi="Times New Roman"/>
          <w:szCs w:val="24"/>
        </w:rPr>
      </w:pPr>
      <w:r w:rsidRPr="004C0758">
        <w:rPr>
          <w:rFonts w:ascii="Times New Roman" w:hAnsi="Times New Roman"/>
          <w:szCs w:val="24"/>
        </w:rPr>
        <w:t xml:space="preserve">This Legislative Instrument is a safety standard concerning </w:t>
      </w:r>
      <w:r>
        <w:rPr>
          <w:rFonts w:ascii="Times New Roman" w:hAnsi="Times New Roman"/>
          <w:szCs w:val="24"/>
        </w:rPr>
        <w:t>the product related service of installing corded internal window coverings in domestic dwellings.</w:t>
      </w:r>
    </w:p>
    <w:p w:rsidR="00807A5B" w:rsidRPr="004C0758" w:rsidRDefault="00807A5B" w:rsidP="00807A5B">
      <w:pPr>
        <w:spacing w:after="240"/>
        <w:ind w:right="3"/>
        <w:jc w:val="both"/>
        <w:rPr>
          <w:rFonts w:ascii="Times New Roman" w:hAnsi="Times New Roman"/>
          <w:i/>
          <w:szCs w:val="24"/>
        </w:rPr>
      </w:pPr>
      <w:r w:rsidRPr="004C0758">
        <w:rPr>
          <w:rFonts w:ascii="Times New Roman" w:hAnsi="Times New Roman"/>
          <w:i/>
          <w:szCs w:val="24"/>
        </w:rPr>
        <w:t>Human Rights Implications</w:t>
      </w:r>
    </w:p>
    <w:p w:rsidR="00807A5B" w:rsidRPr="004C0758" w:rsidRDefault="00807A5B" w:rsidP="00807A5B">
      <w:pPr>
        <w:spacing w:after="240"/>
        <w:ind w:right="3"/>
        <w:jc w:val="both"/>
        <w:rPr>
          <w:rFonts w:ascii="Times New Roman" w:hAnsi="Times New Roman"/>
          <w:szCs w:val="24"/>
        </w:rPr>
      </w:pPr>
      <w:r w:rsidRPr="004C0758">
        <w:rPr>
          <w:rFonts w:ascii="Times New Roman" w:hAnsi="Times New Roman"/>
          <w:szCs w:val="24"/>
        </w:rPr>
        <w:t>The Legislative Instrument engages the right to health and the rights of the child.</w:t>
      </w:r>
    </w:p>
    <w:p w:rsidR="00807A5B" w:rsidRPr="004C0758" w:rsidRDefault="00807A5B" w:rsidP="00807A5B">
      <w:pPr>
        <w:spacing w:after="240"/>
        <w:ind w:right="3"/>
        <w:jc w:val="both"/>
        <w:rPr>
          <w:rFonts w:ascii="Times New Roman" w:hAnsi="Times New Roman"/>
          <w:szCs w:val="24"/>
        </w:rPr>
      </w:pPr>
      <w:r w:rsidRPr="004C0758">
        <w:rPr>
          <w:rFonts w:ascii="Times New Roman" w:hAnsi="Times New Roman"/>
          <w:szCs w:val="24"/>
        </w:rPr>
        <w:t>The International Covenant on Economic, Social and Cultural Rights recognises the right of everyone to the enjoyment of the highest attainable standard of physical and mental health.</w:t>
      </w:r>
    </w:p>
    <w:p w:rsidR="00807A5B" w:rsidRPr="004C0758" w:rsidRDefault="00807A5B" w:rsidP="00807A5B">
      <w:pPr>
        <w:spacing w:after="240"/>
        <w:ind w:right="3"/>
        <w:jc w:val="both"/>
        <w:rPr>
          <w:rFonts w:ascii="Times New Roman" w:hAnsi="Times New Roman"/>
          <w:szCs w:val="24"/>
        </w:rPr>
      </w:pPr>
      <w:r w:rsidRPr="004C0758">
        <w:rPr>
          <w:rFonts w:ascii="Times New Roman" w:hAnsi="Times New Roman"/>
          <w:szCs w:val="24"/>
        </w:rPr>
        <w:t>The Convention on the Rights of the Child recognises the right of the child to the enjoyment of the highest attainable standard of health.</w:t>
      </w:r>
    </w:p>
    <w:p w:rsidR="00807A5B" w:rsidRPr="004C0758" w:rsidRDefault="00807A5B" w:rsidP="00807A5B">
      <w:pPr>
        <w:spacing w:after="240"/>
        <w:ind w:right="3"/>
        <w:jc w:val="both"/>
        <w:rPr>
          <w:rFonts w:ascii="Times New Roman" w:hAnsi="Times New Roman"/>
          <w:szCs w:val="24"/>
        </w:rPr>
      </w:pPr>
      <w:r w:rsidRPr="004C0758">
        <w:rPr>
          <w:rFonts w:ascii="Times New Roman" w:hAnsi="Times New Roman"/>
          <w:szCs w:val="24"/>
        </w:rPr>
        <w:t xml:space="preserve">The Legislative Instrument promotes these rights by requiring </w:t>
      </w:r>
      <w:r>
        <w:rPr>
          <w:rFonts w:ascii="Times New Roman" w:hAnsi="Times New Roman"/>
          <w:szCs w:val="24"/>
        </w:rPr>
        <w:t>installers to install corded internal window coverings in domestic dwellings in a way which avoids the production of dangerous loops and lengths of cord which are a demonstrated threat to life in young children</w:t>
      </w:r>
      <w:r w:rsidRPr="004C0758">
        <w:rPr>
          <w:rFonts w:ascii="Times New Roman" w:hAnsi="Times New Roman"/>
          <w:szCs w:val="24"/>
        </w:rPr>
        <w:t xml:space="preserve">. </w:t>
      </w:r>
    </w:p>
    <w:p w:rsidR="00807A5B" w:rsidRPr="004C0758" w:rsidRDefault="00807A5B" w:rsidP="00807A5B">
      <w:pPr>
        <w:spacing w:after="240"/>
        <w:ind w:right="3"/>
        <w:jc w:val="both"/>
        <w:rPr>
          <w:rFonts w:ascii="Times New Roman" w:hAnsi="Times New Roman"/>
          <w:i/>
          <w:szCs w:val="24"/>
        </w:rPr>
      </w:pPr>
      <w:r w:rsidRPr="004C0758">
        <w:rPr>
          <w:rFonts w:ascii="Times New Roman" w:hAnsi="Times New Roman"/>
          <w:i/>
          <w:szCs w:val="24"/>
        </w:rPr>
        <w:t>Conclusion</w:t>
      </w:r>
    </w:p>
    <w:p w:rsidR="00807A5B" w:rsidRPr="004C0758" w:rsidRDefault="00807A5B" w:rsidP="00807A5B">
      <w:pPr>
        <w:spacing w:after="240"/>
        <w:ind w:right="3"/>
        <w:jc w:val="both"/>
        <w:rPr>
          <w:rFonts w:ascii="Times New Roman" w:hAnsi="Times New Roman"/>
          <w:szCs w:val="24"/>
        </w:rPr>
      </w:pPr>
      <w:r w:rsidRPr="004C0758">
        <w:rPr>
          <w:rFonts w:ascii="Times New Roman" w:hAnsi="Times New Roman"/>
          <w:szCs w:val="24"/>
        </w:rPr>
        <w:t>The Legislative Instrument does not limit human rights and is compatible with human rights because it advances the protection of human rights by requiring a supplier to supply goods which comply with current international standards, thereby preventing harm or injury to people, including children.</w:t>
      </w:r>
    </w:p>
    <w:p w:rsidR="001F0D39" w:rsidRDefault="001F0D39" w:rsidP="00807A5B">
      <w:pPr>
        <w:spacing w:after="240"/>
        <w:ind w:right="3"/>
        <w:jc w:val="both"/>
        <w:rPr>
          <w:rFonts w:ascii="Times New Roman" w:hAnsi="Times New Roman"/>
          <w:szCs w:val="24"/>
          <w:u w:val="single"/>
        </w:rPr>
      </w:pPr>
    </w:p>
    <w:p w:rsidR="001F0D39" w:rsidRDefault="001F0D39" w:rsidP="00807A5B">
      <w:pPr>
        <w:spacing w:after="240"/>
        <w:ind w:right="3"/>
        <w:jc w:val="both"/>
        <w:rPr>
          <w:rFonts w:ascii="Times New Roman" w:hAnsi="Times New Roman"/>
          <w:szCs w:val="24"/>
          <w:u w:val="single"/>
        </w:rPr>
      </w:pPr>
    </w:p>
    <w:p w:rsidR="00807A5B" w:rsidRPr="004C0758" w:rsidRDefault="00807A5B" w:rsidP="00807A5B">
      <w:pPr>
        <w:spacing w:after="240"/>
        <w:ind w:right="3"/>
        <w:jc w:val="both"/>
        <w:rPr>
          <w:rFonts w:ascii="Times New Roman" w:hAnsi="Times New Roman"/>
          <w:szCs w:val="24"/>
          <w:u w:val="single"/>
        </w:rPr>
      </w:pPr>
      <w:bookmarkStart w:id="0" w:name="_GoBack"/>
      <w:bookmarkEnd w:id="0"/>
      <w:r w:rsidRPr="004C0758">
        <w:rPr>
          <w:rFonts w:ascii="Times New Roman" w:hAnsi="Times New Roman"/>
          <w:szCs w:val="24"/>
          <w:u w:val="single"/>
        </w:rPr>
        <w:lastRenderedPageBreak/>
        <w:t>Consultation</w:t>
      </w:r>
    </w:p>
    <w:p w:rsidR="00807A5B" w:rsidRPr="004C0758" w:rsidRDefault="00807A5B" w:rsidP="00807A5B">
      <w:pPr>
        <w:spacing w:after="240"/>
        <w:ind w:right="3"/>
        <w:jc w:val="both"/>
        <w:rPr>
          <w:rFonts w:ascii="Times New Roman" w:hAnsi="Times New Roman"/>
          <w:szCs w:val="24"/>
        </w:rPr>
      </w:pPr>
      <w:r w:rsidRPr="004C0758">
        <w:rPr>
          <w:rFonts w:ascii="Times New Roman" w:hAnsi="Times New Roman"/>
          <w:szCs w:val="24"/>
        </w:rPr>
        <w:t xml:space="preserve">For the purposes of section 17 of the LIA, consultation has been undertaken concerning the product safety standard. </w:t>
      </w:r>
    </w:p>
    <w:p w:rsidR="00807A5B" w:rsidRDefault="00807A5B" w:rsidP="00807A5B">
      <w:pPr>
        <w:spacing w:after="240"/>
        <w:ind w:right="3"/>
        <w:jc w:val="both"/>
        <w:rPr>
          <w:rFonts w:ascii="Times New Roman" w:hAnsi="Times New Roman"/>
          <w:szCs w:val="24"/>
        </w:rPr>
      </w:pPr>
      <w:r>
        <w:rPr>
          <w:rFonts w:ascii="Times New Roman" w:hAnsi="Times New Roman"/>
          <w:szCs w:val="24"/>
        </w:rPr>
        <w:t xml:space="preserve">Following initial discussion with industry and advocacy groups a Consultation Paper was released in November 2011 asking for public comment on the concept and possible provisions of a services standard and circulated to </w:t>
      </w:r>
      <w:r w:rsidRPr="004C0758">
        <w:rPr>
          <w:rFonts w:ascii="Times New Roman" w:hAnsi="Times New Roman"/>
          <w:szCs w:val="24"/>
        </w:rPr>
        <w:t>interested parties, including the manufacturers</w:t>
      </w:r>
      <w:r>
        <w:rPr>
          <w:rFonts w:ascii="Times New Roman" w:hAnsi="Times New Roman"/>
          <w:szCs w:val="24"/>
        </w:rPr>
        <w:t>,</w:t>
      </w:r>
      <w:r w:rsidRPr="004C0758">
        <w:rPr>
          <w:rFonts w:ascii="Times New Roman" w:hAnsi="Times New Roman"/>
          <w:szCs w:val="24"/>
        </w:rPr>
        <w:t xml:space="preserve"> suppliers </w:t>
      </w:r>
      <w:r>
        <w:rPr>
          <w:rFonts w:ascii="Times New Roman" w:hAnsi="Times New Roman"/>
          <w:szCs w:val="24"/>
        </w:rPr>
        <w:t>and installers of CIWC</w:t>
      </w:r>
      <w:r w:rsidRPr="004C0758">
        <w:rPr>
          <w:rFonts w:ascii="Times New Roman" w:hAnsi="Times New Roman"/>
          <w:szCs w:val="24"/>
        </w:rPr>
        <w:t xml:space="preserve">, State and Territory fair trading / consumer affairs agencies, consumer groups and child safety specialists. </w:t>
      </w:r>
      <w:r>
        <w:rPr>
          <w:rFonts w:ascii="Times New Roman" w:hAnsi="Times New Roman"/>
          <w:szCs w:val="24"/>
        </w:rPr>
        <w:t xml:space="preserve">This consultation identified issues with the coverage and detail of the proposal and, together with research, legal analysis and further informal discussion was used to develop a Draft Regulation.  This draft formed part of a second round consultation conducted in August 2013. </w:t>
      </w:r>
    </w:p>
    <w:p w:rsidR="00807A5B" w:rsidRDefault="00807A5B" w:rsidP="00807A5B">
      <w:pPr>
        <w:spacing w:after="240"/>
        <w:ind w:right="3"/>
        <w:jc w:val="both"/>
        <w:rPr>
          <w:rFonts w:ascii="Times New Roman" w:hAnsi="Times New Roman"/>
          <w:szCs w:val="24"/>
        </w:rPr>
      </w:pPr>
      <w:r w:rsidRPr="00546C55">
        <w:rPr>
          <w:rFonts w:ascii="Times New Roman" w:hAnsi="Times New Roman"/>
          <w:szCs w:val="24"/>
        </w:rPr>
        <w:t xml:space="preserve">There were 20 formal submissions </w:t>
      </w:r>
      <w:r>
        <w:rPr>
          <w:rFonts w:ascii="Times New Roman" w:hAnsi="Times New Roman"/>
          <w:szCs w:val="24"/>
        </w:rPr>
        <w:t xml:space="preserve">in response to the August 2013 Consultation Paper and Draft Regulation.  These were </w:t>
      </w:r>
      <w:r w:rsidRPr="00546C55">
        <w:rPr>
          <w:rFonts w:ascii="Times New Roman" w:hAnsi="Times New Roman"/>
          <w:szCs w:val="24"/>
        </w:rPr>
        <w:t>from industry associations (2), companies or people in industry (14) and health and advocacy groups or individuals (4).  These were made up of:</w:t>
      </w:r>
      <w:r>
        <w:rPr>
          <w:rFonts w:ascii="Times New Roman" w:hAnsi="Times New Roman"/>
          <w:szCs w:val="24"/>
        </w:rPr>
        <w:t xml:space="preserve"> c</w:t>
      </w:r>
      <w:r w:rsidRPr="00546C55">
        <w:rPr>
          <w:rFonts w:ascii="Times New Roman" w:hAnsi="Times New Roman"/>
          <w:szCs w:val="24"/>
        </w:rPr>
        <w:t>lear or probable supporters of the proposal (11)</w:t>
      </w:r>
      <w:r>
        <w:rPr>
          <w:rFonts w:ascii="Times New Roman" w:hAnsi="Times New Roman"/>
          <w:szCs w:val="24"/>
        </w:rPr>
        <w:t>; t</w:t>
      </w:r>
      <w:r w:rsidRPr="00546C55">
        <w:rPr>
          <w:rFonts w:ascii="Times New Roman" w:hAnsi="Times New Roman"/>
          <w:szCs w:val="24"/>
        </w:rPr>
        <w:t>hose raising no objection (including a ‘no objection’)</w:t>
      </w:r>
      <w:r>
        <w:rPr>
          <w:rFonts w:ascii="Times New Roman" w:hAnsi="Times New Roman"/>
          <w:szCs w:val="24"/>
        </w:rPr>
        <w:t xml:space="preserve"> </w:t>
      </w:r>
      <w:r w:rsidRPr="00546C55">
        <w:rPr>
          <w:rFonts w:ascii="Times New Roman" w:hAnsi="Times New Roman"/>
          <w:szCs w:val="24"/>
        </w:rPr>
        <w:t>(4)</w:t>
      </w:r>
      <w:r>
        <w:rPr>
          <w:rFonts w:ascii="Times New Roman" w:hAnsi="Times New Roman"/>
          <w:szCs w:val="24"/>
        </w:rPr>
        <w:t>; c</w:t>
      </w:r>
      <w:r w:rsidRPr="00546C55">
        <w:rPr>
          <w:rFonts w:ascii="Times New Roman" w:hAnsi="Times New Roman"/>
          <w:szCs w:val="24"/>
        </w:rPr>
        <w:t xml:space="preserve">lear or probable negatives (3) </w:t>
      </w:r>
      <w:r>
        <w:rPr>
          <w:rFonts w:ascii="Times New Roman" w:hAnsi="Times New Roman"/>
          <w:szCs w:val="24"/>
        </w:rPr>
        <w:t xml:space="preserve">and those making no </w:t>
      </w:r>
      <w:r w:rsidRPr="00546C55">
        <w:rPr>
          <w:rFonts w:ascii="Times New Roman" w:hAnsi="Times New Roman"/>
          <w:szCs w:val="24"/>
        </w:rPr>
        <w:t xml:space="preserve">direct comment </w:t>
      </w:r>
      <w:r>
        <w:rPr>
          <w:rFonts w:ascii="Times New Roman" w:hAnsi="Times New Roman"/>
          <w:szCs w:val="24"/>
        </w:rPr>
        <w:t>on purpose of the proposed regulation</w:t>
      </w:r>
      <w:r w:rsidRPr="00546C55">
        <w:rPr>
          <w:rFonts w:ascii="Times New Roman" w:hAnsi="Times New Roman"/>
          <w:szCs w:val="24"/>
        </w:rPr>
        <w:t xml:space="preserve"> (2)</w:t>
      </w:r>
      <w:r>
        <w:rPr>
          <w:rFonts w:ascii="Times New Roman" w:hAnsi="Times New Roman"/>
          <w:szCs w:val="24"/>
        </w:rPr>
        <w:t xml:space="preserve">. </w:t>
      </w:r>
    </w:p>
    <w:p w:rsidR="00807A5B" w:rsidRPr="00546C55" w:rsidRDefault="00807A5B" w:rsidP="00807A5B">
      <w:pPr>
        <w:spacing w:after="240"/>
        <w:ind w:right="3"/>
        <w:jc w:val="both"/>
        <w:rPr>
          <w:rFonts w:ascii="Times New Roman" w:hAnsi="Times New Roman"/>
          <w:szCs w:val="24"/>
        </w:rPr>
      </w:pPr>
      <w:r>
        <w:rPr>
          <w:rFonts w:ascii="Times New Roman" w:hAnsi="Times New Roman"/>
          <w:szCs w:val="24"/>
        </w:rPr>
        <w:t>Both rounds of formal consultation and the informal discussions with stakeholders were used to identify issues and practical matters of definition, testing and compliance that have been incorporated in the regulation and will be used to inform the education and compliance program to support it.</w:t>
      </w:r>
    </w:p>
    <w:p w:rsidR="00807A5B" w:rsidRDefault="00807A5B" w:rsidP="00807A5B">
      <w:pPr>
        <w:spacing w:after="240"/>
        <w:ind w:right="3"/>
        <w:jc w:val="both"/>
        <w:rPr>
          <w:rFonts w:ascii="Times New Roman" w:hAnsi="Times New Roman"/>
          <w:szCs w:val="24"/>
          <w:u w:val="single"/>
        </w:rPr>
      </w:pPr>
      <w:r w:rsidRPr="00A316D9">
        <w:rPr>
          <w:rFonts w:ascii="Times New Roman" w:hAnsi="Times New Roman"/>
          <w:szCs w:val="24"/>
          <w:u w:val="single"/>
        </w:rPr>
        <w:t xml:space="preserve">The </w:t>
      </w:r>
      <w:r>
        <w:rPr>
          <w:rFonts w:ascii="Times New Roman" w:hAnsi="Times New Roman"/>
          <w:szCs w:val="24"/>
          <w:u w:val="single"/>
        </w:rPr>
        <w:t>Services</w:t>
      </w:r>
      <w:r w:rsidRPr="00A316D9">
        <w:rPr>
          <w:rFonts w:ascii="Times New Roman" w:hAnsi="Times New Roman"/>
          <w:szCs w:val="24"/>
          <w:u w:val="single"/>
        </w:rPr>
        <w:t xml:space="preserve"> Standard</w:t>
      </w:r>
    </w:p>
    <w:p w:rsidR="00807A5B" w:rsidRDefault="00807A5B" w:rsidP="00807A5B">
      <w:pPr>
        <w:spacing w:after="240"/>
        <w:ind w:right="3"/>
        <w:jc w:val="both"/>
        <w:rPr>
          <w:rFonts w:ascii="Times New Roman" w:hAnsi="Times New Roman"/>
          <w:szCs w:val="24"/>
        </w:rPr>
      </w:pPr>
      <w:r>
        <w:rPr>
          <w:rFonts w:ascii="Times New Roman" w:hAnsi="Times New Roman"/>
          <w:i/>
          <w:szCs w:val="24"/>
        </w:rPr>
        <w:t xml:space="preserve">Application </w:t>
      </w:r>
    </w:p>
    <w:p w:rsidR="00807A5B" w:rsidRDefault="00807A5B" w:rsidP="00807A5B">
      <w:pPr>
        <w:spacing w:after="240"/>
        <w:ind w:right="3"/>
        <w:jc w:val="both"/>
        <w:rPr>
          <w:rFonts w:ascii="Times New Roman" w:hAnsi="Times New Roman"/>
          <w:szCs w:val="24"/>
        </w:rPr>
      </w:pPr>
      <w:r>
        <w:rPr>
          <w:rFonts w:ascii="Times New Roman" w:hAnsi="Times New Roman"/>
          <w:szCs w:val="24"/>
        </w:rPr>
        <w:t>Applies to installations of corded internal window coverings carried out in trade or commerce in domestic dwellings, excluding caravans, mobile homes and boats.</w:t>
      </w:r>
    </w:p>
    <w:p w:rsidR="00807A5B" w:rsidRDefault="00807A5B" w:rsidP="00807A5B">
      <w:pPr>
        <w:spacing w:after="240"/>
        <w:ind w:right="3"/>
        <w:jc w:val="both"/>
        <w:rPr>
          <w:rFonts w:ascii="Times New Roman" w:hAnsi="Times New Roman"/>
          <w:szCs w:val="24"/>
        </w:rPr>
      </w:pPr>
      <w:r>
        <w:rPr>
          <w:rFonts w:ascii="Times New Roman" w:hAnsi="Times New Roman"/>
          <w:i/>
          <w:szCs w:val="24"/>
        </w:rPr>
        <w:t>Definitions</w:t>
      </w:r>
    </w:p>
    <w:p w:rsidR="00807A5B" w:rsidRPr="00487258" w:rsidRDefault="00807A5B" w:rsidP="00807A5B">
      <w:pPr>
        <w:spacing w:after="240"/>
        <w:ind w:right="3"/>
        <w:jc w:val="both"/>
        <w:rPr>
          <w:rFonts w:ascii="Times New Roman" w:hAnsi="Times New Roman"/>
        </w:rPr>
      </w:pPr>
      <w:r>
        <w:rPr>
          <w:rFonts w:ascii="Times New Roman" w:hAnsi="Times New Roman"/>
          <w:szCs w:val="24"/>
        </w:rPr>
        <w:t>T</w:t>
      </w:r>
      <w:r w:rsidRPr="00487258">
        <w:rPr>
          <w:rFonts w:ascii="Times New Roman" w:hAnsi="Times New Roman"/>
          <w:szCs w:val="24"/>
        </w:rPr>
        <w:t xml:space="preserve">he definitions </w:t>
      </w:r>
      <w:r>
        <w:rPr>
          <w:rFonts w:ascii="Times New Roman" w:hAnsi="Times New Roman"/>
          <w:szCs w:val="24"/>
        </w:rPr>
        <w:t xml:space="preserve">in the regulation </w:t>
      </w:r>
      <w:r w:rsidRPr="00487258">
        <w:rPr>
          <w:rFonts w:ascii="Times New Roman" w:hAnsi="Times New Roman"/>
          <w:szCs w:val="24"/>
        </w:rPr>
        <w:t xml:space="preserve">are </w:t>
      </w:r>
      <w:r>
        <w:rPr>
          <w:rFonts w:ascii="Times New Roman" w:hAnsi="Times New Roman"/>
          <w:szCs w:val="24"/>
        </w:rPr>
        <w:t xml:space="preserve">the same as those </w:t>
      </w:r>
      <w:r w:rsidRPr="00487258">
        <w:rPr>
          <w:rFonts w:ascii="Times New Roman" w:hAnsi="Times New Roman"/>
          <w:szCs w:val="24"/>
        </w:rPr>
        <w:t xml:space="preserve">set out in </w:t>
      </w:r>
      <w:r w:rsidRPr="00487258">
        <w:rPr>
          <w:rFonts w:ascii="Times New Roman" w:hAnsi="Times New Roman"/>
          <w:i/>
          <w:szCs w:val="24"/>
          <w:shd w:val="clear" w:color="auto" w:fill="FFFFFF"/>
        </w:rPr>
        <w:t>Trade Practices (Consumer Product Safety Standard - Corded Internal Window Coverings) Regulations 2010</w:t>
      </w:r>
      <w:r w:rsidRPr="00487258">
        <w:rPr>
          <w:rFonts w:ascii="Times New Roman" w:hAnsi="Times New Roman"/>
        </w:rPr>
        <w:t>:</w:t>
      </w:r>
    </w:p>
    <w:p w:rsidR="00807A5B" w:rsidRPr="00AC6E18" w:rsidRDefault="00807A5B" w:rsidP="00807A5B">
      <w:pPr>
        <w:pStyle w:val="definition"/>
      </w:pPr>
      <w:proofErr w:type="gramStart"/>
      <w:r w:rsidRPr="00AC6E18">
        <w:rPr>
          <w:b/>
          <w:i/>
        </w:rPr>
        <w:t>cleat</w:t>
      </w:r>
      <w:proofErr w:type="gramEnd"/>
      <w:r w:rsidRPr="00AC6E18">
        <w:t xml:space="preserve"> means a device that </w:t>
      </w:r>
      <w:r>
        <w:t>ha</w:t>
      </w:r>
      <w:r w:rsidRPr="00AC6E18">
        <w:t>s a bar with arms around which a cord can be wound, and that can be attached to a wall or other structure.</w:t>
      </w:r>
    </w:p>
    <w:p w:rsidR="00807A5B" w:rsidRDefault="00807A5B" w:rsidP="00807A5B">
      <w:pPr>
        <w:pStyle w:val="definition"/>
      </w:pPr>
      <w:proofErr w:type="gramStart"/>
      <w:r w:rsidRPr="00AC6E18">
        <w:rPr>
          <w:b/>
          <w:i/>
        </w:rPr>
        <w:t>cord</w:t>
      </w:r>
      <w:proofErr w:type="gramEnd"/>
      <w:r w:rsidRPr="00AC6E18">
        <w:rPr>
          <w:b/>
          <w:i/>
        </w:rPr>
        <w:t xml:space="preserve"> </w:t>
      </w:r>
      <w:r w:rsidRPr="00AC6E18">
        <w:t>means a rope, strap, string</w:t>
      </w:r>
      <w:r>
        <w:t>,</w:t>
      </w:r>
      <w:r w:rsidRPr="00AC6E18">
        <w:t xml:space="preserve"> chain</w:t>
      </w:r>
      <w:r>
        <w:t>, line or wire</w:t>
      </w:r>
      <w:r w:rsidRPr="00AC6E18">
        <w:t xml:space="preserve"> used to </w:t>
      </w:r>
      <w:r>
        <w:t>manipulate</w:t>
      </w:r>
      <w:r w:rsidRPr="00AC6E18">
        <w:t xml:space="preserve"> a </w:t>
      </w:r>
      <w:r>
        <w:t xml:space="preserve">corded internal </w:t>
      </w:r>
      <w:r w:rsidRPr="00AC6E18">
        <w:t>window covering.</w:t>
      </w:r>
    </w:p>
    <w:p w:rsidR="00807A5B" w:rsidRPr="00AC6E18" w:rsidRDefault="00807A5B" w:rsidP="00807A5B">
      <w:pPr>
        <w:pStyle w:val="Zdefinition"/>
      </w:pPr>
      <w:proofErr w:type="gramStart"/>
      <w:r w:rsidRPr="003550B4">
        <w:rPr>
          <w:b/>
          <w:i/>
        </w:rPr>
        <w:t>corded</w:t>
      </w:r>
      <w:proofErr w:type="gramEnd"/>
      <w:r w:rsidRPr="003550B4">
        <w:rPr>
          <w:b/>
          <w:i/>
        </w:rPr>
        <w:t xml:space="preserve"> internal window covering</w:t>
      </w:r>
      <w:r w:rsidRPr="00AC6E18">
        <w:t xml:space="preserve"> means:</w:t>
      </w:r>
    </w:p>
    <w:p w:rsidR="00807A5B" w:rsidRPr="00AC6E18" w:rsidRDefault="00807A5B" w:rsidP="00807A5B">
      <w:pPr>
        <w:pStyle w:val="P1"/>
      </w:pPr>
      <w:r w:rsidRPr="00AC6E18">
        <w:tab/>
        <w:t>(a)</w:t>
      </w:r>
      <w:r w:rsidRPr="00AC6E18">
        <w:tab/>
      </w:r>
      <w:proofErr w:type="gramStart"/>
      <w:r>
        <w:t>a</w:t>
      </w:r>
      <w:proofErr w:type="gramEnd"/>
      <w:r w:rsidRPr="00AC6E18">
        <w:t xml:space="preserve"> window covering, such as a curtain or blind; or</w:t>
      </w:r>
    </w:p>
    <w:p w:rsidR="00807A5B" w:rsidRPr="00AC6E18" w:rsidRDefault="00807A5B" w:rsidP="00807A5B">
      <w:pPr>
        <w:pStyle w:val="P1"/>
      </w:pPr>
      <w:r w:rsidRPr="00AC6E18">
        <w:tab/>
        <w:t>(b)</w:t>
      </w:r>
      <w:r w:rsidRPr="00AC6E18">
        <w:tab/>
      </w:r>
      <w:proofErr w:type="gramStart"/>
      <w:r>
        <w:t>fittings</w:t>
      </w:r>
      <w:proofErr w:type="gramEnd"/>
      <w:r>
        <w:t xml:space="preserve"> </w:t>
      </w:r>
      <w:r w:rsidRPr="00AC6E18">
        <w:t xml:space="preserve">used with a window covering, such as a </w:t>
      </w:r>
      <w:r>
        <w:t>traverse rod or track</w:t>
      </w:r>
      <w:r w:rsidRPr="00AC6E18">
        <w:t>;</w:t>
      </w:r>
    </w:p>
    <w:p w:rsidR="00807A5B" w:rsidRPr="00AC6E18" w:rsidRDefault="00807A5B" w:rsidP="00807A5B">
      <w:pPr>
        <w:pStyle w:val="definition"/>
      </w:pPr>
      <w:proofErr w:type="gramStart"/>
      <w:r w:rsidRPr="00AC6E18">
        <w:t>that</w:t>
      </w:r>
      <w:proofErr w:type="gramEnd"/>
      <w:r w:rsidRPr="00AC6E18">
        <w:t xml:space="preserve"> can be used inside a building and has a cord.</w:t>
      </w:r>
    </w:p>
    <w:p w:rsidR="00807A5B" w:rsidRPr="00AC6E18" w:rsidRDefault="00807A5B" w:rsidP="00807A5B">
      <w:pPr>
        <w:pStyle w:val="definition"/>
      </w:pPr>
      <w:proofErr w:type="gramStart"/>
      <w:r w:rsidRPr="00AC6E18">
        <w:rPr>
          <w:b/>
          <w:i/>
        </w:rPr>
        <w:t>cord</w:t>
      </w:r>
      <w:proofErr w:type="gramEnd"/>
      <w:r w:rsidRPr="00AC6E18">
        <w:rPr>
          <w:b/>
          <w:i/>
        </w:rPr>
        <w:t xml:space="preserve"> guide </w:t>
      </w:r>
      <w:r w:rsidRPr="00AC6E18">
        <w:t>means a device designed to retract, tension or secure a cord.</w:t>
      </w:r>
    </w:p>
    <w:p w:rsidR="00807A5B" w:rsidRPr="00AC6E18" w:rsidRDefault="00807A5B" w:rsidP="00807A5B">
      <w:pPr>
        <w:pStyle w:val="definition"/>
      </w:pPr>
      <w:proofErr w:type="gramStart"/>
      <w:r w:rsidRPr="00AC6E18">
        <w:rPr>
          <w:b/>
          <w:i/>
        </w:rPr>
        <w:t>retail</w:t>
      </w:r>
      <w:proofErr w:type="gramEnd"/>
      <w:r w:rsidRPr="00AC6E18">
        <w:rPr>
          <w:b/>
          <w:i/>
        </w:rPr>
        <w:t xml:space="preserve"> packaging</w:t>
      </w:r>
      <w:r w:rsidRPr="00AC6E18">
        <w:t xml:space="preserve"> means the packaging in which a corded internal window covering is </w:t>
      </w:r>
      <w:r>
        <w:t xml:space="preserve">supplied when it is </w:t>
      </w:r>
      <w:r w:rsidRPr="00AC6E18">
        <w:t>offered for retail sale.</w:t>
      </w:r>
    </w:p>
    <w:p w:rsidR="00807A5B" w:rsidRDefault="00807A5B" w:rsidP="00807A5B">
      <w:pPr>
        <w:spacing w:after="240"/>
        <w:ind w:right="3"/>
        <w:jc w:val="both"/>
        <w:rPr>
          <w:rFonts w:ascii="Times New Roman" w:hAnsi="Times New Roman"/>
          <w:szCs w:val="24"/>
        </w:rPr>
      </w:pPr>
    </w:p>
    <w:p w:rsidR="00807A5B" w:rsidRDefault="00807A5B" w:rsidP="00807A5B">
      <w:pPr>
        <w:spacing w:after="240"/>
        <w:ind w:right="3"/>
        <w:jc w:val="both"/>
        <w:rPr>
          <w:rFonts w:ascii="Times New Roman" w:hAnsi="Times New Roman"/>
          <w:szCs w:val="24"/>
        </w:rPr>
      </w:pPr>
      <w:r>
        <w:rPr>
          <w:rFonts w:ascii="Times New Roman" w:hAnsi="Times New Roman"/>
          <w:i/>
          <w:szCs w:val="24"/>
        </w:rPr>
        <w:lastRenderedPageBreak/>
        <w:t>Requirements</w:t>
      </w:r>
    </w:p>
    <w:p w:rsidR="00807A5B" w:rsidRDefault="00807A5B" w:rsidP="00807A5B">
      <w:pPr>
        <w:pStyle w:val="ListParagraph"/>
        <w:numPr>
          <w:ilvl w:val="0"/>
          <w:numId w:val="20"/>
        </w:numPr>
        <w:spacing w:after="240"/>
        <w:ind w:right="3"/>
        <w:jc w:val="both"/>
        <w:rPr>
          <w:rFonts w:ascii="Times New Roman" w:hAnsi="Times New Roman"/>
          <w:szCs w:val="24"/>
        </w:rPr>
      </w:pPr>
      <w:r>
        <w:rPr>
          <w:rFonts w:ascii="Times New Roman" w:hAnsi="Times New Roman"/>
          <w:szCs w:val="24"/>
        </w:rPr>
        <w:t>Installation.</w:t>
      </w:r>
    </w:p>
    <w:p w:rsidR="00807A5B" w:rsidRDefault="00807A5B" w:rsidP="00807A5B">
      <w:pPr>
        <w:spacing w:after="240"/>
        <w:ind w:left="1080" w:right="3"/>
        <w:jc w:val="both"/>
        <w:rPr>
          <w:rFonts w:ascii="Times New Roman" w:hAnsi="Times New Roman"/>
          <w:szCs w:val="24"/>
        </w:rPr>
      </w:pPr>
      <w:r>
        <w:rPr>
          <w:rFonts w:ascii="Times New Roman" w:hAnsi="Times New Roman"/>
          <w:szCs w:val="24"/>
        </w:rPr>
        <w:t>The corded internal window covering must be installed in a way that ensures a loose cord cannot form a loop 220 mm or longer at or less than 1,600 mm above floor level and using any components specified in the installation instructions as necessary to meet requirements for cord safety.</w:t>
      </w:r>
    </w:p>
    <w:p w:rsidR="00807A5B" w:rsidRDefault="00807A5B" w:rsidP="00807A5B">
      <w:pPr>
        <w:spacing w:after="240"/>
        <w:ind w:left="1080" w:right="3"/>
        <w:jc w:val="both"/>
        <w:rPr>
          <w:rFonts w:ascii="Times New Roman" w:hAnsi="Times New Roman"/>
          <w:szCs w:val="24"/>
        </w:rPr>
      </w:pPr>
      <w:r>
        <w:rPr>
          <w:rFonts w:ascii="Times New Roman" w:hAnsi="Times New Roman"/>
          <w:szCs w:val="24"/>
        </w:rPr>
        <w:t>The corded internal window covering must be also be installed in accordance with the installation instructions on any retail packaging for the covering and in accordance with any other installation instructions related to ensuring that a loose cord cannot form a loop as described in paragraph (1) (a).</w:t>
      </w:r>
    </w:p>
    <w:p w:rsidR="00807A5B" w:rsidRDefault="00807A5B" w:rsidP="00807A5B">
      <w:pPr>
        <w:spacing w:after="240"/>
        <w:ind w:left="1080" w:right="3"/>
        <w:jc w:val="both"/>
        <w:rPr>
          <w:rFonts w:ascii="Times New Roman" w:hAnsi="Times New Roman"/>
          <w:szCs w:val="24"/>
        </w:rPr>
      </w:pPr>
      <w:r>
        <w:rPr>
          <w:rFonts w:ascii="Times New Roman" w:hAnsi="Times New Roman"/>
          <w:szCs w:val="24"/>
        </w:rPr>
        <w:t>No part of a cord guide may be installed lower than 1,600 mm above the floor level unless the cord guide will remain firmly attached to a wall or other structure specified in the instructions when subjected to a specified force and the cord is sufficiently secured or tensioned so as to prevent formation of a loop 220 mm or longer.</w:t>
      </w:r>
    </w:p>
    <w:p w:rsidR="00807A5B" w:rsidRPr="00487258" w:rsidRDefault="00807A5B" w:rsidP="00807A5B">
      <w:pPr>
        <w:spacing w:after="240"/>
        <w:ind w:left="1080" w:right="3"/>
        <w:jc w:val="both"/>
        <w:rPr>
          <w:rFonts w:ascii="Times New Roman" w:hAnsi="Times New Roman"/>
          <w:szCs w:val="24"/>
        </w:rPr>
      </w:pPr>
      <w:r>
        <w:rPr>
          <w:rFonts w:ascii="Times New Roman" w:hAnsi="Times New Roman"/>
          <w:szCs w:val="24"/>
        </w:rPr>
        <w:t>A cleat used to secure a cord must be installed at least 1,600 mm above floor level.</w:t>
      </w:r>
    </w:p>
    <w:p w:rsidR="00807A5B" w:rsidRDefault="00807A5B" w:rsidP="00807A5B">
      <w:pPr>
        <w:pStyle w:val="ListParagraph"/>
        <w:numPr>
          <w:ilvl w:val="0"/>
          <w:numId w:val="20"/>
        </w:numPr>
        <w:spacing w:after="240"/>
        <w:ind w:right="3"/>
        <w:jc w:val="both"/>
        <w:rPr>
          <w:rFonts w:ascii="Times New Roman" w:hAnsi="Times New Roman"/>
          <w:szCs w:val="24"/>
        </w:rPr>
      </w:pPr>
      <w:r>
        <w:rPr>
          <w:rFonts w:ascii="Times New Roman" w:hAnsi="Times New Roman"/>
          <w:szCs w:val="24"/>
        </w:rPr>
        <w:t>Labelling.</w:t>
      </w:r>
    </w:p>
    <w:p w:rsidR="00807A5B" w:rsidRPr="00487258" w:rsidRDefault="00807A5B" w:rsidP="00807A5B">
      <w:pPr>
        <w:pStyle w:val="ListParagraph"/>
        <w:jc w:val="both"/>
        <w:rPr>
          <w:rFonts w:ascii="Times New Roman" w:hAnsi="Times New Roman"/>
          <w:szCs w:val="24"/>
        </w:rPr>
      </w:pPr>
    </w:p>
    <w:p w:rsidR="00807A5B" w:rsidRPr="00487258" w:rsidRDefault="00807A5B" w:rsidP="00807A5B">
      <w:pPr>
        <w:pStyle w:val="ListParagraph"/>
        <w:spacing w:after="240"/>
        <w:ind w:left="1080" w:right="3"/>
        <w:jc w:val="both"/>
        <w:rPr>
          <w:rFonts w:ascii="Times New Roman" w:hAnsi="Times New Roman"/>
          <w:szCs w:val="24"/>
        </w:rPr>
      </w:pPr>
      <w:r>
        <w:rPr>
          <w:rFonts w:ascii="Times New Roman" w:hAnsi="Times New Roman"/>
          <w:szCs w:val="24"/>
        </w:rPr>
        <w:t>A person installing a corded internal window covering must attach a label to it containing the name and contact details of the person or company responsible for the installation and must not remove any warning label or swing tag supplied with the corded internal window covering.</w:t>
      </w:r>
    </w:p>
    <w:p w:rsidR="00BE1F1B" w:rsidRPr="00BE1F1B" w:rsidRDefault="00BE1F1B" w:rsidP="00BE1F1B"/>
    <w:sectPr w:rsidR="00BE1F1B" w:rsidRPr="00BE1F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243C5214"/>
    <w:multiLevelType w:val="hybridMultilevel"/>
    <w:tmpl w:val="35B6E818"/>
    <w:lvl w:ilvl="0" w:tplc="111A995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16">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8">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2"/>
  </w:num>
  <w:num w:numId="3">
    <w:abstractNumId w:val="11"/>
  </w:num>
  <w:num w:numId="4">
    <w:abstractNumId w:val="18"/>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5"/>
  </w:num>
  <w:num w:numId="19">
    <w:abstractNumId w:val="12"/>
    <w:lvlOverride w:ilvl="0">
      <w:startOverride w:val="1"/>
    </w:lvlOverride>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1"/>
  </w:docVars>
  <w:rsids>
    <w:rsidRoot w:val="00807A5B"/>
    <w:rsid w:val="00021202"/>
    <w:rsid w:val="000E1819"/>
    <w:rsid w:val="000E6C72"/>
    <w:rsid w:val="00124609"/>
    <w:rsid w:val="001573E4"/>
    <w:rsid w:val="001F0D39"/>
    <w:rsid w:val="00251745"/>
    <w:rsid w:val="00286874"/>
    <w:rsid w:val="002A7DEF"/>
    <w:rsid w:val="00307F6D"/>
    <w:rsid w:val="003518B3"/>
    <w:rsid w:val="00532467"/>
    <w:rsid w:val="00564A4D"/>
    <w:rsid w:val="00632D6D"/>
    <w:rsid w:val="007303C3"/>
    <w:rsid w:val="00763E5D"/>
    <w:rsid w:val="00777EE6"/>
    <w:rsid w:val="007C1C53"/>
    <w:rsid w:val="00807A5B"/>
    <w:rsid w:val="00851209"/>
    <w:rsid w:val="008E7031"/>
    <w:rsid w:val="00A60A26"/>
    <w:rsid w:val="00BD3446"/>
    <w:rsid w:val="00BE1F1B"/>
    <w:rsid w:val="00C538A9"/>
    <w:rsid w:val="00C86679"/>
    <w:rsid w:val="00D61A54"/>
    <w:rsid w:val="00DB0F93"/>
    <w:rsid w:val="00E25B8C"/>
    <w:rsid w:val="00E7624D"/>
    <w:rsid w:val="00EA3D42"/>
    <w:rsid w:val="00EA6B1B"/>
    <w:rsid w:val="00F64C7B"/>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7A5B"/>
    <w:pPr>
      <w:spacing w:after="0" w:line="240" w:lineRule="auto"/>
    </w:pPr>
    <w:rPr>
      <w:rFonts w:ascii="Arial" w:eastAsia="Times New Roman" w:hAnsi="Arial"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uiPriority w:val="99"/>
    <w:rsid w:val="001573E4"/>
    <w:rPr>
      <w:rFonts w:ascii="Arial" w:hAnsi="Arial"/>
      <w:sz w:val="16"/>
    </w:rPr>
  </w:style>
  <w:style w:type="paragraph" w:styleId="ListParagraph">
    <w:name w:val="List Paragraph"/>
    <w:basedOn w:val="Normal"/>
    <w:uiPriority w:val="34"/>
    <w:qFormat/>
    <w:rsid w:val="00A60A26"/>
    <w:pPr>
      <w:ind w:left="357"/>
      <w:contextualSpacing/>
    </w:pPr>
  </w:style>
  <w:style w:type="paragraph" w:customStyle="1" w:styleId="definition">
    <w:name w:val="definition"/>
    <w:basedOn w:val="Normal"/>
    <w:rsid w:val="00807A5B"/>
    <w:pPr>
      <w:spacing w:before="80" w:line="260" w:lineRule="exact"/>
      <w:ind w:left="964"/>
      <w:jc w:val="both"/>
    </w:pPr>
    <w:rPr>
      <w:rFonts w:ascii="Times New Roman" w:hAnsi="Times New Roman"/>
      <w:szCs w:val="24"/>
      <w:lang w:val="en-AU" w:eastAsia="en-US"/>
    </w:rPr>
  </w:style>
  <w:style w:type="paragraph" w:customStyle="1" w:styleId="P1">
    <w:name w:val="P1"/>
    <w:aliases w:val="(a)"/>
    <w:basedOn w:val="Normal"/>
    <w:rsid w:val="00807A5B"/>
    <w:pPr>
      <w:tabs>
        <w:tab w:val="right" w:pos="1191"/>
      </w:tabs>
      <w:spacing w:before="60" w:line="260" w:lineRule="exact"/>
      <w:ind w:left="1418" w:hanging="1418"/>
      <w:jc w:val="both"/>
    </w:pPr>
    <w:rPr>
      <w:rFonts w:ascii="Times New Roman" w:hAnsi="Times New Roman"/>
      <w:szCs w:val="24"/>
      <w:lang w:val="en-AU" w:eastAsia="en-US"/>
    </w:rPr>
  </w:style>
  <w:style w:type="paragraph" w:customStyle="1" w:styleId="Zdefinition">
    <w:name w:val="Zdefinition"/>
    <w:basedOn w:val="definition"/>
    <w:rsid w:val="00807A5B"/>
    <w:pPr>
      <w:keepNex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7A5B"/>
    <w:pPr>
      <w:spacing w:after="0" w:line="240" w:lineRule="auto"/>
    </w:pPr>
    <w:rPr>
      <w:rFonts w:ascii="Arial" w:eastAsia="Times New Roman" w:hAnsi="Arial"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uiPriority w:val="99"/>
    <w:rsid w:val="001573E4"/>
    <w:rPr>
      <w:rFonts w:ascii="Arial" w:hAnsi="Arial"/>
      <w:sz w:val="16"/>
    </w:rPr>
  </w:style>
  <w:style w:type="paragraph" w:styleId="ListParagraph">
    <w:name w:val="List Paragraph"/>
    <w:basedOn w:val="Normal"/>
    <w:uiPriority w:val="34"/>
    <w:qFormat/>
    <w:rsid w:val="00A60A26"/>
    <w:pPr>
      <w:ind w:left="357"/>
      <w:contextualSpacing/>
    </w:pPr>
  </w:style>
  <w:style w:type="paragraph" w:customStyle="1" w:styleId="definition">
    <w:name w:val="definition"/>
    <w:basedOn w:val="Normal"/>
    <w:rsid w:val="00807A5B"/>
    <w:pPr>
      <w:spacing w:before="80" w:line="260" w:lineRule="exact"/>
      <w:ind w:left="964"/>
      <w:jc w:val="both"/>
    </w:pPr>
    <w:rPr>
      <w:rFonts w:ascii="Times New Roman" w:hAnsi="Times New Roman"/>
      <w:szCs w:val="24"/>
      <w:lang w:val="en-AU" w:eastAsia="en-US"/>
    </w:rPr>
  </w:style>
  <w:style w:type="paragraph" w:customStyle="1" w:styleId="P1">
    <w:name w:val="P1"/>
    <w:aliases w:val="(a)"/>
    <w:basedOn w:val="Normal"/>
    <w:rsid w:val="00807A5B"/>
    <w:pPr>
      <w:tabs>
        <w:tab w:val="right" w:pos="1191"/>
      </w:tabs>
      <w:spacing w:before="60" w:line="260" w:lineRule="exact"/>
      <w:ind w:left="1418" w:hanging="1418"/>
      <w:jc w:val="both"/>
    </w:pPr>
    <w:rPr>
      <w:rFonts w:ascii="Times New Roman" w:hAnsi="Times New Roman"/>
      <w:szCs w:val="24"/>
      <w:lang w:val="en-AU" w:eastAsia="en-US"/>
    </w:rPr>
  </w:style>
  <w:style w:type="paragraph" w:customStyle="1" w:styleId="Zdefinition">
    <w:name w:val="Zdefinition"/>
    <w:basedOn w:val="definition"/>
    <w:rsid w:val="00807A5B"/>
    <w:pPr>
      <w:keepNex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law.gov.au/Details/F2010C008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09E48-FFF2-4F63-8913-F1AF1FD7B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48186489.dotm</Template>
  <TotalTime>1</TotalTime>
  <Pages>4</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Nicole</dc:creator>
  <cp:keywords/>
  <dc:description/>
  <cp:lastModifiedBy>King, Nicole</cp:lastModifiedBy>
  <cp:revision>2</cp:revision>
  <dcterms:created xsi:type="dcterms:W3CDTF">2014-03-26T02:23:00Z</dcterms:created>
  <dcterms:modified xsi:type="dcterms:W3CDTF">2014-03-26T02:34:00Z</dcterms:modified>
</cp:coreProperties>
</file>