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FA21A2" w:rsidRDefault="005460B8" w:rsidP="005460B8">
      <w:pPr>
        <w:jc w:val="center"/>
        <w:rPr>
          <w:rStyle w:val="BookTitle"/>
          <w:rFonts w:ascii="Times New Roman" w:hAnsi="Times New Roman" w:cs="Times New Roman"/>
          <w:b/>
          <w:i w:val="0"/>
          <w:iCs w:val="0"/>
          <w:smallCaps w:val="0"/>
          <w:spacing w:val="0"/>
        </w:rPr>
      </w:pPr>
      <w:bookmarkStart w:id="0" w:name="_GoBack"/>
      <w:bookmarkEnd w:id="0"/>
      <w:r w:rsidRPr="00FA21A2">
        <w:rPr>
          <w:rStyle w:val="BookTitle"/>
          <w:rFonts w:ascii="Times New Roman" w:hAnsi="Times New Roman" w:cs="Times New Roman"/>
          <w:b/>
          <w:i w:val="0"/>
          <w:iCs w:val="0"/>
          <w:smallCaps w:val="0"/>
          <w:spacing w:val="0"/>
        </w:rPr>
        <w:t>EXPLANATORY STATEMENT</w:t>
      </w:r>
    </w:p>
    <w:p w:rsidR="00284554" w:rsidRPr="00335E68" w:rsidRDefault="00284554" w:rsidP="005460B8">
      <w:pPr>
        <w:rPr>
          <w:rFonts w:ascii="Times New Roman" w:hAnsi="Times New Roman" w:cs="Times New Roman"/>
          <w:b/>
          <w:i/>
          <w:sz w:val="24"/>
          <w:szCs w:val="24"/>
        </w:rPr>
      </w:pPr>
      <w:r w:rsidRPr="00335E68">
        <w:rPr>
          <w:rFonts w:ascii="Times New Roman" w:hAnsi="Times New Roman" w:cs="Times New Roman"/>
          <w:b/>
          <w:i/>
          <w:sz w:val="24"/>
          <w:szCs w:val="24"/>
        </w:rPr>
        <w:t>Workplace Gender Equality (</w:t>
      </w:r>
      <w:r w:rsidR="00C307C3" w:rsidRPr="00335E68">
        <w:rPr>
          <w:rFonts w:ascii="Times New Roman" w:hAnsi="Times New Roman" w:cs="Times New Roman"/>
          <w:b/>
          <w:i/>
          <w:sz w:val="24"/>
          <w:szCs w:val="24"/>
        </w:rPr>
        <w:t>Minimum Standards</w:t>
      </w:r>
      <w:r w:rsidR="004B34AE" w:rsidRPr="00335E68">
        <w:rPr>
          <w:rFonts w:ascii="Times New Roman" w:hAnsi="Times New Roman" w:cs="Times New Roman"/>
          <w:b/>
          <w:i/>
          <w:sz w:val="24"/>
          <w:szCs w:val="24"/>
        </w:rPr>
        <w:t>) Instrument</w:t>
      </w:r>
      <w:r w:rsidR="00C307C3" w:rsidRPr="00335E68">
        <w:rPr>
          <w:rFonts w:ascii="Times New Roman" w:hAnsi="Times New Roman" w:cs="Times New Roman"/>
          <w:b/>
          <w:i/>
          <w:sz w:val="24"/>
          <w:szCs w:val="24"/>
        </w:rPr>
        <w:t xml:space="preserve"> 2014</w:t>
      </w:r>
      <w:r w:rsidRPr="00335E68">
        <w:rPr>
          <w:rFonts w:ascii="Times New Roman" w:hAnsi="Times New Roman" w:cs="Times New Roman"/>
          <w:b/>
          <w:i/>
          <w:sz w:val="24"/>
          <w:szCs w:val="24"/>
        </w:rPr>
        <w:t xml:space="preserve"> </w:t>
      </w:r>
    </w:p>
    <w:p w:rsidR="00976D78" w:rsidRPr="00976D78" w:rsidRDefault="00976D78" w:rsidP="005460B8">
      <w:pPr>
        <w:rPr>
          <w:rStyle w:val="BookTitle"/>
          <w:rFonts w:ascii="Times New Roman" w:hAnsi="Times New Roman" w:cs="Times New Roman"/>
          <w:b/>
          <w:i w:val="0"/>
          <w:iCs w:val="0"/>
          <w:smallCaps w:val="0"/>
          <w:spacing w:val="0"/>
        </w:rPr>
      </w:pPr>
      <w:r w:rsidRPr="00976D78">
        <w:rPr>
          <w:rStyle w:val="BookTitle"/>
          <w:rFonts w:ascii="Times New Roman" w:hAnsi="Times New Roman" w:cs="Times New Roman"/>
          <w:b/>
          <w:i w:val="0"/>
          <w:iCs w:val="0"/>
          <w:smallCaps w:val="0"/>
          <w:spacing w:val="0"/>
        </w:rPr>
        <w:t>Summary</w:t>
      </w:r>
    </w:p>
    <w:p w:rsidR="00C307C3" w:rsidRDefault="00284554" w:rsidP="005460B8">
      <w:pPr>
        <w:rPr>
          <w:rFonts w:ascii="Times New Roman" w:hAnsi="Times New Roman" w:cs="Times New Roman"/>
        </w:rPr>
      </w:pPr>
      <w:r w:rsidRPr="00FA21A2">
        <w:rPr>
          <w:rStyle w:val="BookTitle"/>
          <w:rFonts w:ascii="Times New Roman" w:hAnsi="Times New Roman" w:cs="Times New Roman"/>
          <w:i w:val="0"/>
          <w:iCs w:val="0"/>
          <w:smallCaps w:val="0"/>
          <w:spacing w:val="0"/>
        </w:rPr>
        <w:t xml:space="preserve">The </w:t>
      </w:r>
      <w:r w:rsidRPr="00FA21A2">
        <w:rPr>
          <w:rFonts w:ascii="Times New Roman" w:hAnsi="Times New Roman" w:cs="Times New Roman"/>
          <w:i/>
        </w:rPr>
        <w:t>Workplace Gender Equality (</w:t>
      </w:r>
      <w:r w:rsidR="00C307C3">
        <w:rPr>
          <w:rFonts w:ascii="Times New Roman" w:hAnsi="Times New Roman" w:cs="Times New Roman"/>
          <w:i/>
        </w:rPr>
        <w:t>Minimum Standards</w:t>
      </w:r>
      <w:r w:rsidRPr="00FA21A2">
        <w:rPr>
          <w:rFonts w:ascii="Times New Roman" w:hAnsi="Times New Roman" w:cs="Times New Roman"/>
          <w:i/>
        </w:rPr>
        <w:t>)</w:t>
      </w:r>
      <w:r w:rsidR="004B34AE">
        <w:rPr>
          <w:rFonts w:ascii="Times New Roman" w:hAnsi="Times New Roman" w:cs="Times New Roman"/>
        </w:rPr>
        <w:t xml:space="preserve"> </w:t>
      </w:r>
      <w:r w:rsidR="004B34AE" w:rsidRPr="004B34AE">
        <w:rPr>
          <w:rFonts w:ascii="Times New Roman" w:hAnsi="Times New Roman" w:cs="Times New Roman"/>
          <w:i/>
        </w:rPr>
        <w:t>Instrument</w:t>
      </w:r>
      <w:r w:rsidR="00C307C3">
        <w:rPr>
          <w:rFonts w:ascii="Times New Roman" w:hAnsi="Times New Roman" w:cs="Times New Roman"/>
          <w:i/>
        </w:rPr>
        <w:t xml:space="preserve"> 2014</w:t>
      </w:r>
      <w:r w:rsidRPr="00FA21A2">
        <w:rPr>
          <w:rFonts w:ascii="Times New Roman" w:hAnsi="Times New Roman" w:cs="Times New Roman"/>
          <w:i/>
        </w:rPr>
        <w:t xml:space="preserve"> </w:t>
      </w:r>
      <w:r w:rsidRPr="00FA21A2">
        <w:rPr>
          <w:rFonts w:ascii="Times New Roman" w:hAnsi="Times New Roman" w:cs="Times New Roman"/>
        </w:rPr>
        <w:t>(</w:t>
      </w:r>
      <w:r w:rsidR="004B34AE">
        <w:rPr>
          <w:rFonts w:ascii="Times New Roman" w:hAnsi="Times New Roman" w:cs="Times New Roman"/>
          <w:b/>
        </w:rPr>
        <w:t>the Instrument</w:t>
      </w:r>
      <w:r w:rsidRPr="00FA21A2">
        <w:rPr>
          <w:rFonts w:ascii="Times New Roman" w:hAnsi="Times New Roman" w:cs="Times New Roman"/>
        </w:rPr>
        <w:t>)</w:t>
      </w:r>
      <w:r w:rsidRPr="00FA21A2">
        <w:rPr>
          <w:rFonts w:ascii="Times New Roman" w:hAnsi="Times New Roman" w:cs="Times New Roman"/>
          <w:i/>
        </w:rPr>
        <w:t xml:space="preserve"> </w:t>
      </w:r>
      <w:r w:rsidRPr="00FA21A2">
        <w:rPr>
          <w:rFonts w:ascii="Times New Roman" w:hAnsi="Times New Roman" w:cs="Times New Roman"/>
        </w:rPr>
        <w:t xml:space="preserve">is made </w:t>
      </w:r>
      <w:r w:rsidR="00976D78">
        <w:rPr>
          <w:rFonts w:ascii="Times New Roman" w:hAnsi="Times New Roman" w:cs="Times New Roman"/>
        </w:rPr>
        <w:t xml:space="preserve">by the Minister for </w:t>
      </w:r>
      <w:r w:rsidR="00C307C3">
        <w:rPr>
          <w:rFonts w:ascii="Times New Roman" w:hAnsi="Times New Roman" w:cs="Times New Roman"/>
        </w:rPr>
        <w:t>Employment</w:t>
      </w:r>
      <w:r w:rsidR="00972AD8">
        <w:rPr>
          <w:rFonts w:ascii="Times New Roman" w:hAnsi="Times New Roman" w:cs="Times New Roman"/>
        </w:rPr>
        <w:t xml:space="preserve"> under section 19(1) of the </w:t>
      </w:r>
      <w:r w:rsidR="00972AD8" w:rsidRPr="00FA21A2">
        <w:rPr>
          <w:rStyle w:val="BookTitle"/>
          <w:rFonts w:ascii="Times New Roman" w:hAnsi="Times New Roman" w:cs="Times New Roman"/>
          <w:iCs w:val="0"/>
          <w:smallCaps w:val="0"/>
          <w:spacing w:val="0"/>
        </w:rPr>
        <w:t xml:space="preserve">Workplace Gender Equality Act 2012 </w:t>
      </w:r>
      <w:r w:rsidR="00972AD8" w:rsidRPr="00FA21A2">
        <w:rPr>
          <w:rStyle w:val="BookTitle"/>
          <w:rFonts w:ascii="Times New Roman" w:hAnsi="Times New Roman" w:cs="Times New Roman"/>
          <w:i w:val="0"/>
          <w:iCs w:val="0"/>
          <w:smallCaps w:val="0"/>
          <w:spacing w:val="0"/>
        </w:rPr>
        <w:t>(</w:t>
      </w:r>
      <w:r w:rsidR="003269BD">
        <w:rPr>
          <w:rStyle w:val="BookTitle"/>
          <w:rFonts w:ascii="Times New Roman" w:hAnsi="Times New Roman" w:cs="Times New Roman"/>
          <w:b/>
          <w:i w:val="0"/>
          <w:iCs w:val="0"/>
          <w:smallCaps w:val="0"/>
          <w:spacing w:val="0"/>
        </w:rPr>
        <w:t>the </w:t>
      </w:r>
      <w:r w:rsidR="00972AD8" w:rsidRPr="00FA21A2">
        <w:rPr>
          <w:rStyle w:val="BookTitle"/>
          <w:rFonts w:ascii="Times New Roman" w:hAnsi="Times New Roman" w:cs="Times New Roman"/>
          <w:b/>
          <w:i w:val="0"/>
          <w:iCs w:val="0"/>
          <w:smallCaps w:val="0"/>
          <w:spacing w:val="0"/>
        </w:rPr>
        <w:t>Act</w:t>
      </w:r>
      <w:r w:rsidR="00972AD8" w:rsidRPr="00FA21A2">
        <w:rPr>
          <w:rStyle w:val="BookTitle"/>
          <w:rFonts w:ascii="Times New Roman" w:hAnsi="Times New Roman" w:cs="Times New Roman"/>
          <w:i w:val="0"/>
          <w:iCs w:val="0"/>
          <w:smallCaps w:val="0"/>
          <w:spacing w:val="0"/>
        </w:rPr>
        <w:t>)</w:t>
      </w:r>
      <w:r w:rsidR="003269BD">
        <w:rPr>
          <w:rStyle w:val="BookTitle"/>
          <w:rFonts w:ascii="Times New Roman" w:hAnsi="Times New Roman" w:cs="Times New Roman"/>
          <w:i w:val="0"/>
          <w:iCs w:val="0"/>
          <w:smallCaps w:val="0"/>
          <w:spacing w:val="0"/>
        </w:rPr>
        <w:t xml:space="preserve">. </w:t>
      </w:r>
      <w:r w:rsidR="00976D78">
        <w:rPr>
          <w:rFonts w:ascii="Times New Roman" w:hAnsi="Times New Roman" w:cs="Times New Roman"/>
        </w:rPr>
        <w:t xml:space="preserve">The purpose of the </w:t>
      </w:r>
      <w:r w:rsidR="004B34AE">
        <w:rPr>
          <w:rFonts w:ascii="Times New Roman" w:hAnsi="Times New Roman" w:cs="Times New Roman"/>
        </w:rPr>
        <w:t>Instrument</w:t>
      </w:r>
      <w:r w:rsidR="00976D78">
        <w:rPr>
          <w:rFonts w:ascii="Times New Roman" w:hAnsi="Times New Roman" w:cs="Times New Roman"/>
        </w:rPr>
        <w:t xml:space="preserve"> is to </w:t>
      </w:r>
      <w:r w:rsidR="00C307C3">
        <w:rPr>
          <w:rFonts w:ascii="Times New Roman" w:hAnsi="Times New Roman" w:cs="Times New Roman"/>
        </w:rPr>
        <w:t xml:space="preserve">set the minimum standards </w:t>
      </w:r>
      <w:r w:rsidR="00587026">
        <w:rPr>
          <w:rFonts w:ascii="Times New Roman" w:hAnsi="Times New Roman" w:cs="Times New Roman"/>
        </w:rPr>
        <w:t xml:space="preserve">that apply to </w:t>
      </w:r>
      <w:r w:rsidR="00C307C3">
        <w:rPr>
          <w:rFonts w:ascii="Times New Roman" w:hAnsi="Times New Roman" w:cs="Times New Roman"/>
        </w:rPr>
        <w:t xml:space="preserve">specified relevant employers </w:t>
      </w:r>
      <w:r w:rsidR="009746A8">
        <w:rPr>
          <w:rFonts w:ascii="Times New Roman" w:hAnsi="Times New Roman" w:cs="Times New Roman"/>
        </w:rPr>
        <w:t xml:space="preserve">(those with </w:t>
      </w:r>
      <w:r w:rsidR="00E37640">
        <w:rPr>
          <w:rFonts w:ascii="Times New Roman" w:hAnsi="Times New Roman" w:cs="Times New Roman"/>
        </w:rPr>
        <w:t xml:space="preserve">500 </w:t>
      </w:r>
      <w:r w:rsidR="009746A8">
        <w:rPr>
          <w:rFonts w:ascii="Times New Roman" w:hAnsi="Times New Roman" w:cs="Times New Roman"/>
        </w:rPr>
        <w:t xml:space="preserve">or more employees) </w:t>
      </w:r>
      <w:r w:rsidR="00C307C3">
        <w:rPr>
          <w:rFonts w:ascii="Times New Roman" w:hAnsi="Times New Roman" w:cs="Times New Roman"/>
        </w:rPr>
        <w:t xml:space="preserve">in respect of the gender equality indicators. </w:t>
      </w:r>
    </w:p>
    <w:p w:rsidR="00D90D2D" w:rsidRPr="00D90D2D" w:rsidRDefault="00D90D2D" w:rsidP="00D90D2D">
      <w:pPr>
        <w:rPr>
          <w:rStyle w:val="BookTitle"/>
          <w:rFonts w:ascii="Times New Roman" w:hAnsi="Times New Roman" w:cs="Times New Roman"/>
          <w:i w:val="0"/>
          <w:iCs w:val="0"/>
          <w:smallCaps w:val="0"/>
          <w:spacing w:val="0"/>
        </w:rPr>
      </w:pPr>
      <w:r w:rsidRPr="00D90D2D">
        <w:rPr>
          <w:rStyle w:val="BookTitle"/>
          <w:rFonts w:ascii="Times New Roman" w:hAnsi="Times New Roman" w:cs="Times New Roman"/>
          <w:i w:val="0"/>
          <w:iCs w:val="0"/>
          <w:smallCaps w:val="0"/>
          <w:spacing w:val="0"/>
        </w:rPr>
        <w:t>The minimum standard</w:t>
      </w:r>
      <w:r>
        <w:rPr>
          <w:rStyle w:val="BookTitle"/>
          <w:rFonts w:ascii="Times New Roman" w:hAnsi="Times New Roman" w:cs="Times New Roman"/>
          <w:i w:val="0"/>
          <w:iCs w:val="0"/>
          <w:smallCaps w:val="0"/>
          <w:spacing w:val="0"/>
        </w:rPr>
        <w:t>s</w:t>
      </w:r>
      <w:r w:rsidRPr="00D90D2D">
        <w:rPr>
          <w:rStyle w:val="BookTitle"/>
          <w:rFonts w:ascii="Times New Roman" w:hAnsi="Times New Roman" w:cs="Times New Roman"/>
          <w:i w:val="0"/>
          <w:iCs w:val="0"/>
          <w:smallCaps w:val="0"/>
          <w:spacing w:val="0"/>
        </w:rPr>
        <w:t xml:space="preserve"> represent the minimum an employer must do to demonstrate a commitment to gender equality in their workplace</w:t>
      </w:r>
      <w:r w:rsidR="003269BD">
        <w:rPr>
          <w:rStyle w:val="BookTitle"/>
          <w:rFonts w:ascii="Times New Roman" w:hAnsi="Times New Roman" w:cs="Times New Roman"/>
          <w:i w:val="0"/>
          <w:iCs w:val="0"/>
          <w:smallCaps w:val="0"/>
          <w:spacing w:val="0"/>
        </w:rPr>
        <w:t xml:space="preserve">. </w:t>
      </w:r>
      <w:r w:rsidRPr="00D90D2D">
        <w:rPr>
          <w:rStyle w:val="BookTitle"/>
          <w:rFonts w:ascii="Times New Roman" w:hAnsi="Times New Roman" w:cs="Times New Roman"/>
          <w:i w:val="0"/>
          <w:iCs w:val="0"/>
          <w:smallCaps w:val="0"/>
          <w:spacing w:val="0"/>
        </w:rPr>
        <w:t>In order to meet the minimum standard</w:t>
      </w:r>
      <w:r>
        <w:rPr>
          <w:rStyle w:val="BookTitle"/>
          <w:rFonts w:ascii="Times New Roman" w:hAnsi="Times New Roman" w:cs="Times New Roman"/>
          <w:i w:val="0"/>
          <w:iCs w:val="0"/>
          <w:smallCaps w:val="0"/>
          <w:spacing w:val="0"/>
        </w:rPr>
        <w:t>s</w:t>
      </w:r>
      <w:r w:rsidR="003269BD">
        <w:rPr>
          <w:rStyle w:val="BookTitle"/>
          <w:rFonts w:ascii="Times New Roman" w:hAnsi="Times New Roman" w:cs="Times New Roman"/>
          <w:i w:val="0"/>
          <w:iCs w:val="0"/>
          <w:smallCaps w:val="0"/>
          <w:spacing w:val="0"/>
        </w:rPr>
        <w:t xml:space="preserve"> a relevant</w:t>
      </w:r>
      <w:r w:rsidRPr="00D90D2D">
        <w:rPr>
          <w:rStyle w:val="BookTitle"/>
          <w:rFonts w:ascii="Times New Roman" w:hAnsi="Times New Roman" w:cs="Times New Roman"/>
          <w:i w:val="0"/>
          <w:iCs w:val="0"/>
          <w:smallCaps w:val="0"/>
          <w:spacing w:val="0"/>
        </w:rPr>
        <w:t xml:space="preserve"> employer with over </w:t>
      </w:r>
      <w:r w:rsidR="00E37640">
        <w:rPr>
          <w:rStyle w:val="BookTitle"/>
          <w:rFonts w:ascii="Times New Roman" w:hAnsi="Times New Roman" w:cs="Times New Roman"/>
          <w:i w:val="0"/>
          <w:iCs w:val="0"/>
          <w:smallCaps w:val="0"/>
          <w:spacing w:val="0"/>
        </w:rPr>
        <w:t>500</w:t>
      </w:r>
      <w:r w:rsidRPr="00D90D2D">
        <w:rPr>
          <w:rStyle w:val="BookTitle"/>
          <w:rFonts w:ascii="Times New Roman" w:hAnsi="Times New Roman" w:cs="Times New Roman"/>
          <w:i w:val="0"/>
          <w:iCs w:val="0"/>
          <w:smallCaps w:val="0"/>
          <w:spacing w:val="0"/>
        </w:rPr>
        <w:t xml:space="preserve"> employees must have in place one or more </w:t>
      </w:r>
      <w:r w:rsidR="00972AD8">
        <w:rPr>
          <w:rStyle w:val="BookTitle"/>
          <w:rFonts w:ascii="Times New Roman" w:hAnsi="Times New Roman" w:cs="Times New Roman"/>
          <w:i w:val="0"/>
          <w:iCs w:val="0"/>
          <w:smallCaps w:val="0"/>
          <w:spacing w:val="0"/>
        </w:rPr>
        <w:t xml:space="preserve">of the </w:t>
      </w:r>
      <w:r w:rsidRPr="00D90D2D">
        <w:rPr>
          <w:rStyle w:val="BookTitle"/>
          <w:rFonts w:ascii="Times New Roman" w:hAnsi="Times New Roman" w:cs="Times New Roman"/>
          <w:i w:val="0"/>
          <w:iCs w:val="0"/>
          <w:smallCaps w:val="0"/>
          <w:spacing w:val="0"/>
        </w:rPr>
        <w:t>policies or strategies specified below:</w:t>
      </w:r>
    </w:p>
    <w:p w:rsidR="003269BD" w:rsidRDefault="00972AD8" w:rsidP="003269BD">
      <w:pPr>
        <w:pStyle w:val="ListParagraph"/>
        <w:numPr>
          <w:ilvl w:val="0"/>
          <w:numId w:val="16"/>
        </w:numPr>
        <w:ind w:left="720"/>
        <w:rPr>
          <w:rStyle w:val="BookTitle"/>
          <w:rFonts w:ascii="Times New Roman" w:hAnsi="Times New Roman" w:cs="Times New Roman"/>
          <w:i w:val="0"/>
          <w:iCs w:val="0"/>
          <w:smallCaps w:val="0"/>
          <w:spacing w:val="0"/>
        </w:rPr>
      </w:pPr>
      <w:r w:rsidRPr="003269BD">
        <w:rPr>
          <w:rStyle w:val="BookTitle"/>
          <w:rFonts w:ascii="Times New Roman" w:hAnsi="Times New Roman" w:cs="Times New Roman"/>
          <w:i w:val="0"/>
          <w:iCs w:val="0"/>
          <w:smallCaps w:val="0"/>
          <w:spacing w:val="0"/>
        </w:rPr>
        <w:t>a policy or strategy that supports the gender equality indicator “gender composition of the workforce” and that aims to achieve the objective of s</w:t>
      </w:r>
      <w:r w:rsidR="00D90D2D" w:rsidRPr="003269BD">
        <w:rPr>
          <w:rStyle w:val="BookTitle"/>
          <w:rFonts w:ascii="Times New Roman" w:hAnsi="Times New Roman" w:cs="Times New Roman"/>
          <w:i w:val="0"/>
          <w:iCs w:val="0"/>
          <w:smallCaps w:val="0"/>
          <w:spacing w:val="0"/>
        </w:rPr>
        <w:t>up</w:t>
      </w:r>
      <w:r w:rsidR="003269BD">
        <w:rPr>
          <w:rStyle w:val="BookTitle"/>
          <w:rFonts w:ascii="Times New Roman" w:hAnsi="Times New Roman" w:cs="Times New Roman"/>
          <w:i w:val="0"/>
          <w:iCs w:val="0"/>
          <w:smallCaps w:val="0"/>
          <w:spacing w:val="0"/>
        </w:rPr>
        <w:t>porting gender equality in the e</w:t>
      </w:r>
      <w:r w:rsidR="00D90D2D" w:rsidRPr="003269BD">
        <w:rPr>
          <w:rStyle w:val="BookTitle"/>
          <w:rFonts w:ascii="Times New Roman" w:hAnsi="Times New Roman" w:cs="Times New Roman"/>
          <w:i w:val="0"/>
          <w:iCs w:val="0"/>
          <w:smallCaps w:val="0"/>
          <w:spacing w:val="0"/>
        </w:rPr>
        <w:t>mployer’s workplace</w:t>
      </w:r>
      <w:r w:rsidRPr="003269BD">
        <w:rPr>
          <w:rStyle w:val="BookTitle"/>
          <w:rFonts w:ascii="Times New Roman" w:hAnsi="Times New Roman" w:cs="Times New Roman"/>
          <w:i w:val="0"/>
          <w:iCs w:val="0"/>
          <w:smallCaps w:val="0"/>
          <w:spacing w:val="0"/>
        </w:rPr>
        <w:t>;</w:t>
      </w:r>
    </w:p>
    <w:p w:rsidR="003269BD" w:rsidRDefault="00972AD8" w:rsidP="003269BD">
      <w:pPr>
        <w:pStyle w:val="ListParagraph"/>
        <w:numPr>
          <w:ilvl w:val="0"/>
          <w:numId w:val="16"/>
        </w:numPr>
        <w:ind w:left="720"/>
        <w:rPr>
          <w:rStyle w:val="BookTitle"/>
          <w:rFonts w:ascii="Times New Roman" w:hAnsi="Times New Roman" w:cs="Times New Roman"/>
          <w:i w:val="0"/>
          <w:iCs w:val="0"/>
          <w:smallCaps w:val="0"/>
          <w:spacing w:val="0"/>
        </w:rPr>
      </w:pPr>
      <w:r w:rsidRPr="003269BD">
        <w:rPr>
          <w:rStyle w:val="BookTitle"/>
          <w:rFonts w:ascii="Times New Roman" w:hAnsi="Times New Roman" w:cs="Times New Roman"/>
          <w:i w:val="0"/>
          <w:iCs w:val="0"/>
          <w:smallCaps w:val="0"/>
          <w:spacing w:val="0"/>
        </w:rPr>
        <w:t>a policy or strategy that supports the gender equality indicator “equal remuneration between women and men” and that aims to achieve the objective of e</w:t>
      </w:r>
      <w:r w:rsidR="00D90D2D" w:rsidRPr="003269BD">
        <w:rPr>
          <w:rStyle w:val="BookTitle"/>
          <w:rFonts w:ascii="Times New Roman" w:hAnsi="Times New Roman" w:cs="Times New Roman"/>
          <w:i w:val="0"/>
          <w:iCs w:val="0"/>
          <w:smallCaps w:val="0"/>
          <w:spacing w:val="0"/>
        </w:rPr>
        <w:t>qual remuneration between women and men</w:t>
      </w:r>
      <w:r w:rsidRPr="003269BD">
        <w:rPr>
          <w:rStyle w:val="BookTitle"/>
          <w:rFonts w:ascii="Times New Roman" w:hAnsi="Times New Roman" w:cs="Times New Roman"/>
          <w:i w:val="0"/>
          <w:iCs w:val="0"/>
          <w:smallCaps w:val="0"/>
          <w:spacing w:val="0"/>
        </w:rPr>
        <w:t xml:space="preserve"> employees of the employer; </w:t>
      </w:r>
    </w:p>
    <w:p w:rsidR="003269BD" w:rsidRDefault="003269BD" w:rsidP="003269BD">
      <w:pPr>
        <w:pStyle w:val="ListParagraph"/>
        <w:numPr>
          <w:ilvl w:val="0"/>
          <w:numId w:val="16"/>
        </w:numPr>
        <w:ind w:left="72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w:t>
      </w:r>
      <w:r w:rsidR="00972AD8" w:rsidRPr="003269BD">
        <w:rPr>
          <w:rStyle w:val="BookTitle"/>
          <w:rFonts w:ascii="Times New Roman" w:hAnsi="Times New Roman" w:cs="Times New Roman"/>
          <w:i w:val="0"/>
          <w:iCs w:val="0"/>
          <w:smallCaps w:val="0"/>
          <w:spacing w:val="0"/>
        </w:rPr>
        <w:t xml:space="preserve"> policy or strategy that supports the gender equality indicator “availabilit</w:t>
      </w:r>
      <w:r w:rsidR="008B7DE7" w:rsidRPr="003269BD">
        <w:rPr>
          <w:rStyle w:val="BookTitle"/>
          <w:rFonts w:ascii="Times New Roman" w:hAnsi="Times New Roman" w:cs="Times New Roman"/>
          <w:i w:val="0"/>
          <w:iCs w:val="0"/>
          <w:smallCaps w:val="0"/>
          <w:spacing w:val="0"/>
        </w:rPr>
        <w:t>y and utility</w:t>
      </w:r>
      <w:r w:rsidR="00972AD8" w:rsidRPr="003269BD">
        <w:rPr>
          <w:rStyle w:val="BookTitle"/>
          <w:rFonts w:ascii="Times New Roman" w:hAnsi="Times New Roman" w:cs="Times New Roman"/>
          <w:i w:val="0"/>
          <w:iCs w:val="0"/>
          <w:smallCaps w:val="0"/>
          <w:spacing w:val="0"/>
        </w:rPr>
        <w:t xml:space="preserve"> of employment terms, conditions and practices relating to flexible working arrangements for employees and to working arrangements supporting employees with family or caring responsibilities” and that aims to achieve the objective of f</w:t>
      </w:r>
      <w:r w:rsidR="00D90D2D" w:rsidRPr="003269BD">
        <w:rPr>
          <w:rStyle w:val="BookTitle"/>
          <w:rFonts w:ascii="Times New Roman" w:hAnsi="Times New Roman" w:cs="Times New Roman"/>
          <w:i w:val="0"/>
          <w:iCs w:val="0"/>
          <w:smallCaps w:val="0"/>
          <w:spacing w:val="0"/>
        </w:rPr>
        <w:t xml:space="preserve">lexible working arrangements for employees </w:t>
      </w:r>
      <w:r w:rsidR="00972AD8" w:rsidRPr="003269BD">
        <w:rPr>
          <w:rStyle w:val="BookTitle"/>
          <w:rFonts w:ascii="Times New Roman" w:hAnsi="Times New Roman" w:cs="Times New Roman"/>
          <w:i w:val="0"/>
          <w:iCs w:val="0"/>
          <w:smallCaps w:val="0"/>
          <w:spacing w:val="0"/>
        </w:rPr>
        <w:t xml:space="preserve">of the employer </w:t>
      </w:r>
      <w:r w:rsidR="00D90D2D" w:rsidRPr="003269BD">
        <w:rPr>
          <w:rStyle w:val="BookTitle"/>
          <w:rFonts w:ascii="Times New Roman" w:hAnsi="Times New Roman" w:cs="Times New Roman"/>
          <w:i w:val="0"/>
          <w:iCs w:val="0"/>
          <w:smallCaps w:val="0"/>
          <w:spacing w:val="0"/>
        </w:rPr>
        <w:t>with caring responsibilities</w:t>
      </w:r>
      <w:r w:rsidR="00972AD8" w:rsidRPr="003269BD">
        <w:rPr>
          <w:rStyle w:val="BookTitle"/>
          <w:rFonts w:ascii="Times New Roman" w:hAnsi="Times New Roman" w:cs="Times New Roman"/>
          <w:i w:val="0"/>
          <w:iCs w:val="0"/>
          <w:smallCaps w:val="0"/>
          <w:spacing w:val="0"/>
        </w:rPr>
        <w:t xml:space="preserve">; </w:t>
      </w:r>
    </w:p>
    <w:p w:rsidR="00D90D2D" w:rsidRPr="003269BD" w:rsidRDefault="00972AD8" w:rsidP="003269BD">
      <w:pPr>
        <w:pStyle w:val="ListParagraph"/>
        <w:numPr>
          <w:ilvl w:val="0"/>
          <w:numId w:val="16"/>
        </w:numPr>
        <w:ind w:left="720"/>
        <w:rPr>
          <w:rStyle w:val="BookTitle"/>
          <w:rFonts w:ascii="Times New Roman" w:hAnsi="Times New Roman" w:cs="Times New Roman"/>
          <w:i w:val="0"/>
          <w:iCs w:val="0"/>
          <w:smallCaps w:val="0"/>
          <w:spacing w:val="0"/>
        </w:rPr>
      </w:pPr>
      <w:r w:rsidRPr="003269BD">
        <w:rPr>
          <w:rStyle w:val="BookTitle"/>
          <w:rFonts w:ascii="Times New Roman" w:hAnsi="Times New Roman" w:cs="Times New Roman"/>
          <w:i w:val="0"/>
          <w:iCs w:val="0"/>
          <w:smallCaps w:val="0"/>
          <w:spacing w:val="0"/>
        </w:rPr>
        <w:t>a policy or strategy that supports the gender equality indicator “sex-based harassment and discrimination” and that aims to achieve the objective of s</w:t>
      </w:r>
      <w:r w:rsidR="00D90D2D" w:rsidRPr="003269BD">
        <w:rPr>
          <w:rStyle w:val="BookTitle"/>
          <w:rFonts w:ascii="Times New Roman" w:hAnsi="Times New Roman" w:cs="Times New Roman"/>
          <w:i w:val="0"/>
          <w:iCs w:val="0"/>
          <w:smallCaps w:val="0"/>
          <w:spacing w:val="0"/>
        </w:rPr>
        <w:t>ex-based harassment and discrimination prevention</w:t>
      </w:r>
      <w:r w:rsidRPr="003269BD">
        <w:rPr>
          <w:rStyle w:val="BookTitle"/>
          <w:rFonts w:ascii="Times New Roman" w:hAnsi="Times New Roman" w:cs="Times New Roman"/>
          <w:i w:val="0"/>
          <w:iCs w:val="0"/>
          <w:smallCaps w:val="0"/>
          <w:spacing w:val="0"/>
        </w:rPr>
        <w:t xml:space="preserve"> in the employer’s workplace.</w:t>
      </w:r>
    </w:p>
    <w:p w:rsidR="00284554" w:rsidRPr="00FA21A2" w:rsidRDefault="00284554" w:rsidP="005460B8">
      <w:pPr>
        <w:rPr>
          <w:rStyle w:val="BookTitle"/>
          <w:rFonts w:ascii="Times New Roman" w:hAnsi="Times New Roman" w:cs="Times New Roman"/>
          <w:b/>
          <w:i w:val="0"/>
          <w:iCs w:val="0"/>
          <w:smallCaps w:val="0"/>
          <w:spacing w:val="0"/>
        </w:rPr>
      </w:pPr>
      <w:r w:rsidRPr="00FA21A2">
        <w:rPr>
          <w:rStyle w:val="BookTitle"/>
          <w:rFonts w:ascii="Times New Roman" w:hAnsi="Times New Roman" w:cs="Times New Roman"/>
          <w:b/>
          <w:i w:val="0"/>
          <w:iCs w:val="0"/>
          <w:smallCaps w:val="0"/>
          <w:spacing w:val="0"/>
        </w:rPr>
        <w:t>Background</w:t>
      </w:r>
    </w:p>
    <w:p w:rsidR="005603E0" w:rsidRDefault="00976D78" w:rsidP="005460B8">
      <w:pPr>
        <w:rPr>
          <w:rStyle w:val="BookTitle"/>
          <w:rFonts w:ascii="Times New Roman" w:hAnsi="Times New Roman" w:cs="Times New Roman"/>
          <w:i w:val="0"/>
          <w:iCs w:val="0"/>
          <w:smallCaps w:val="0"/>
          <w:spacing w:val="0"/>
        </w:rPr>
      </w:pPr>
      <w:r>
        <w:rPr>
          <w:rFonts w:ascii="Times New Roman" w:hAnsi="Times New Roman" w:cs="Times New Roman"/>
        </w:rPr>
        <w:t xml:space="preserve">The </w:t>
      </w:r>
      <w:r w:rsidR="004B34AE">
        <w:rPr>
          <w:rFonts w:ascii="Times New Roman" w:hAnsi="Times New Roman" w:cs="Times New Roman"/>
        </w:rPr>
        <w:t>Instrument</w:t>
      </w:r>
      <w:r>
        <w:rPr>
          <w:rFonts w:ascii="Times New Roman" w:hAnsi="Times New Roman" w:cs="Times New Roman"/>
        </w:rPr>
        <w:t xml:space="preserve"> is made </w:t>
      </w:r>
      <w:r w:rsidRPr="00FA21A2">
        <w:rPr>
          <w:rFonts w:ascii="Times New Roman" w:hAnsi="Times New Roman" w:cs="Times New Roman"/>
        </w:rPr>
        <w:t xml:space="preserve">under </w:t>
      </w:r>
      <w:r w:rsidRPr="00D33C3B">
        <w:rPr>
          <w:rFonts w:ascii="Times New Roman" w:hAnsi="Times New Roman" w:cs="Times New Roman"/>
        </w:rPr>
        <w:t>s</w:t>
      </w:r>
      <w:r w:rsidRPr="00FA21A2">
        <w:rPr>
          <w:rStyle w:val="BookTitle"/>
          <w:rFonts w:ascii="Times New Roman" w:hAnsi="Times New Roman" w:cs="Times New Roman"/>
          <w:i w:val="0"/>
          <w:iCs w:val="0"/>
          <w:smallCaps w:val="0"/>
          <w:spacing w:val="0"/>
        </w:rPr>
        <w:t>ubsection</w:t>
      </w:r>
      <w:r w:rsidR="00C307C3">
        <w:rPr>
          <w:rStyle w:val="BookTitle"/>
          <w:rFonts w:ascii="Times New Roman" w:hAnsi="Times New Roman" w:cs="Times New Roman"/>
          <w:i w:val="0"/>
          <w:iCs w:val="0"/>
          <w:smallCaps w:val="0"/>
          <w:spacing w:val="0"/>
        </w:rPr>
        <w:t xml:space="preserve"> 19(1</w:t>
      </w:r>
      <w:r w:rsidRPr="00FA21A2">
        <w:rPr>
          <w:rStyle w:val="BookTitle"/>
          <w:rFonts w:ascii="Times New Roman" w:hAnsi="Times New Roman" w:cs="Times New Roman"/>
          <w:i w:val="0"/>
          <w:iCs w:val="0"/>
          <w:smallCaps w:val="0"/>
          <w:spacing w:val="0"/>
        </w:rPr>
        <w:t>)</w:t>
      </w:r>
      <w:r w:rsidR="00EF6BF8">
        <w:rPr>
          <w:rStyle w:val="BookTitle"/>
          <w:rFonts w:ascii="Times New Roman" w:hAnsi="Times New Roman" w:cs="Times New Roman"/>
          <w:i w:val="0"/>
          <w:iCs w:val="0"/>
          <w:smallCaps w:val="0"/>
          <w:spacing w:val="0"/>
        </w:rPr>
        <w:t xml:space="preserve"> </w:t>
      </w:r>
      <w:r w:rsidRPr="00FA21A2">
        <w:rPr>
          <w:rStyle w:val="BookTitle"/>
          <w:rFonts w:ascii="Times New Roman" w:hAnsi="Times New Roman" w:cs="Times New Roman"/>
          <w:i w:val="0"/>
          <w:iCs w:val="0"/>
          <w:smallCaps w:val="0"/>
          <w:spacing w:val="0"/>
        </w:rPr>
        <w:t xml:space="preserve">of the </w:t>
      </w:r>
      <w:r w:rsidRPr="00972AD8">
        <w:rPr>
          <w:rStyle w:val="BookTitle"/>
          <w:rFonts w:ascii="Times New Roman" w:hAnsi="Times New Roman" w:cs="Times New Roman"/>
          <w:i w:val="0"/>
          <w:iCs w:val="0"/>
          <w:smallCaps w:val="0"/>
          <w:spacing w:val="0"/>
        </w:rPr>
        <w:t>Act</w:t>
      </w:r>
      <w:r w:rsidR="003269BD">
        <w:rPr>
          <w:rStyle w:val="BookTitle"/>
          <w:rFonts w:ascii="Times New Roman" w:hAnsi="Times New Roman" w:cs="Times New Roman"/>
          <w:i w:val="0"/>
          <w:iCs w:val="0"/>
          <w:smallCaps w:val="0"/>
          <w:spacing w:val="0"/>
        </w:rPr>
        <w:t xml:space="preserve">. </w:t>
      </w:r>
      <w:r>
        <w:rPr>
          <w:rStyle w:val="BookTitle"/>
          <w:rFonts w:ascii="Times New Roman" w:hAnsi="Times New Roman" w:cs="Times New Roman"/>
          <w:i w:val="0"/>
          <w:iCs w:val="0"/>
          <w:smallCaps w:val="0"/>
          <w:spacing w:val="0"/>
        </w:rPr>
        <w:t xml:space="preserve">Subsection </w:t>
      </w:r>
      <w:r w:rsidR="00C307C3">
        <w:rPr>
          <w:rStyle w:val="BookTitle"/>
          <w:rFonts w:ascii="Times New Roman" w:hAnsi="Times New Roman" w:cs="Times New Roman"/>
          <w:i w:val="0"/>
          <w:iCs w:val="0"/>
          <w:smallCaps w:val="0"/>
          <w:spacing w:val="0"/>
        </w:rPr>
        <w:t>19(1</w:t>
      </w:r>
      <w:r>
        <w:rPr>
          <w:rStyle w:val="BookTitle"/>
          <w:rFonts w:ascii="Times New Roman" w:hAnsi="Times New Roman" w:cs="Times New Roman"/>
          <w:i w:val="0"/>
          <w:iCs w:val="0"/>
          <w:smallCaps w:val="0"/>
          <w:spacing w:val="0"/>
        </w:rPr>
        <w:t xml:space="preserve">) provides that </w:t>
      </w:r>
      <w:r w:rsidR="00E37640">
        <w:rPr>
          <w:rStyle w:val="BookTitle"/>
          <w:rFonts w:ascii="Times New Roman" w:hAnsi="Times New Roman" w:cs="Times New Roman"/>
          <w:i w:val="0"/>
          <w:iCs w:val="0"/>
          <w:smallCaps w:val="0"/>
          <w:spacing w:val="0"/>
        </w:rPr>
        <w:t>before 1 </w:t>
      </w:r>
      <w:r w:rsidR="00C307C3">
        <w:rPr>
          <w:rStyle w:val="BookTitle"/>
          <w:rFonts w:ascii="Times New Roman" w:hAnsi="Times New Roman" w:cs="Times New Roman"/>
          <w:i w:val="0"/>
          <w:iCs w:val="0"/>
          <w:smallCaps w:val="0"/>
          <w:spacing w:val="0"/>
        </w:rPr>
        <w:t xml:space="preserve">April 2014, </w:t>
      </w:r>
      <w:r>
        <w:rPr>
          <w:rStyle w:val="BookTitle"/>
          <w:rFonts w:ascii="Times New Roman" w:hAnsi="Times New Roman" w:cs="Times New Roman"/>
          <w:i w:val="0"/>
          <w:iCs w:val="0"/>
          <w:smallCaps w:val="0"/>
          <w:spacing w:val="0"/>
        </w:rPr>
        <w:t xml:space="preserve">the Minister </w:t>
      </w:r>
      <w:r w:rsidR="00C307C3">
        <w:rPr>
          <w:rStyle w:val="BookTitle"/>
          <w:rFonts w:ascii="Times New Roman" w:hAnsi="Times New Roman" w:cs="Times New Roman"/>
          <w:i w:val="0"/>
          <w:iCs w:val="0"/>
          <w:smallCaps w:val="0"/>
          <w:spacing w:val="0"/>
        </w:rPr>
        <w:t>will</w:t>
      </w:r>
      <w:r>
        <w:rPr>
          <w:rStyle w:val="BookTitle"/>
          <w:rFonts w:ascii="Times New Roman" w:hAnsi="Times New Roman" w:cs="Times New Roman"/>
          <w:i w:val="0"/>
          <w:iCs w:val="0"/>
          <w:smallCaps w:val="0"/>
          <w:spacing w:val="0"/>
        </w:rPr>
        <w:t xml:space="preserve">, by legislative instrument, </w:t>
      </w:r>
      <w:r w:rsidR="00C307C3">
        <w:rPr>
          <w:rStyle w:val="BookTitle"/>
          <w:rFonts w:ascii="Times New Roman" w:hAnsi="Times New Roman" w:cs="Times New Roman"/>
          <w:i w:val="0"/>
          <w:iCs w:val="0"/>
          <w:smallCaps w:val="0"/>
          <w:spacing w:val="0"/>
        </w:rPr>
        <w:t>set minimum standards in relation to specified gender quality indicators, specified relevant employers and specified reporting periods</w:t>
      </w:r>
      <w:r w:rsidR="003269BD">
        <w:rPr>
          <w:rStyle w:val="BookTitle"/>
          <w:rFonts w:ascii="Times New Roman" w:hAnsi="Times New Roman" w:cs="Times New Roman"/>
          <w:i w:val="0"/>
          <w:iCs w:val="0"/>
          <w:smallCaps w:val="0"/>
          <w:spacing w:val="0"/>
        </w:rPr>
        <w:t xml:space="preserve">. </w:t>
      </w:r>
    </w:p>
    <w:p w:rsidR="00976D78" w:rsidRDefault="00C307C3"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Under the Act, </w:t>
      </w:r>
      <w:r w:rsidR="00976D78">
        <w:rPr>
          <w:rStyle w:val="BookTitle"/>
          <w:rFonts w:ascii="Times New Roman" w:hAnsi="Times New Roman" w:cs="Times New Roman"/>
          <w:i w:val="0"/>
          <w:iCs w:val="0"/>
          <w:smallCaps w:val="0"/>
          <w:spacing w:val="0"/>
        </w:rPr>
        <w:t>relevant employer</w:t>
      </w:r>
      <w:r w:rsidR="00587026">
        <w:rPr>
          <w:rStyle w:val="BookTitle"/>
          <w:rFonts w:ascii="Times New Roman" w:hAnsi="Times New Roman" w:cs="Times New Roman"/>
          <w:i w:val="0"/>
          <w:iCs w:val="0"/>
          <w:smallCaps w:val="0"/>
          <w:spacing w:val="0"/>
        </w:rPr>
        <w:t>s (non-public sector employers with 100 or more employees and registered higher education providers)</w:t>
      </w:r>
      <w:r w:rsidR="00976D78">
        <w:rPr>
          <w:rStyle w:val="BookTitle"/>
          <w:rFonts w:ascii="Times New Roman" w:hAnsi="Times New Roman" w:cs="Times New Roman"/>
          <w:i w:val="0"/>
          <w:iCs w:val="0"/>
          <w:smallCaps w:val="0"/>
          <w:spacing w:val="0"/>
        </w:rPr>
        <w:t xml:space="preserve"> must </w:t>
      </w:r>
      <w:r w:rsidR="00587026">
        <w:rPr>
          <w:rStyle w:val="BookTitle"/>
          <w:rFonts w:ascii="Times New Roman" w:hAnsi="Times New Roman" w:cs="Times New Roman"/>
          <w:i w:val="0"/>
          <w:iCs w:val="0"/>
          <w:smallCaps w:val="0"/>
          <w:spacing w:val="0"/>
        </w:rPr>
        <w:t xml:space="preserve">lodge </w:t>
      </w:r>
      <w:r w:rsidR="00976D78">
        <w:rPr>
          <w:rStyle w:val="BookTitle"/>
          <w:rFonts w:ascii="Times New Roman" w:hAnsi="Times New Roman" w:cs="Times New Roman"/>
          <w:i w:val="0"/>
          <w:iCs w:val="0"/>
          <w:smallCaps w:val="0"/>
          <w:spacing w:val="0"/>
        </w:rPr>
        <w:t>a</w:t>
      </w:r>
      <w:r w:rsidR="00D33C3B">
        <w:rPr>
          <w:rStyle w:val="BookTitle"/>
          <w:rFonts w:ascii="Times New Roman" w:hAnsi="Times New Roman" w:cs="Times New Roman"/>
          <w:i w:val="0"/>
          <w:iCs w:val="0"/>
          <w:smallCaps w:val="0"/>
          <w:spacing w:val="0"/>
        </w:rPr>
        <w:t>n annual</w:t>
      </w:r>
      <w:r w:rsidR="00976D78">
        <w:rPr>
          <w:rStyle w:val="BookTitle"/>
          <w:rFonts w:ascii="Times New Roman" w:hAnsi="Times New Roman" w:cs="Times New Roman"/>
          <w:i w:val="0"/>
          <w:iCs w:val="0"/>
          <w:smallCaps w:val="0"/>
          <w:spacing w:val="0"/>
        </w:rPr>
        <w:t xml:space="preserve"> report </w:t>
      </w:r>
      <w:r w:rsidR="009F6CAB" w:rsidRPr="00FA21A2">
        <w:rPr>
          <w:rStyle w:val="BookTitle"/>
          <w:rFonts w:ascii="Times New Roman" w:hAnsi="Times New Roman" w:cs="Times New Roman"/>
          <w:i w:val="0"/>
          <w:iCs w:val="0"/>
          <w:smallCaps w:val="0"/>
          <w:spacing w:val="0"/>
        </w:rPr>
        <w:t>containing information relating to the employer and the gender equality indicators</w:t>
      </w:r>
      <w:r w:rsidR="003269BD">
        <w:rPr>
          <w:rStyle w:val="BookTitle"/>
          <w:rFonts w:ascii="Times New Roman" w:hAnsi="Times New Roman" w:cs="Times New Roman"/>
          <w:i w:val="0"/>
          <w:iCs w:val="0"/>
          <w:smallCaps w:val="0"/>
          <w:spacing w:val="0"/>
        </w:rPr>
        <w:t xml:space="preserve">. </w:t>
      </w:r>
      <w:r w:rsidR="00587026">
        <w:rPr>
          <w:rStyle w:val="BookTitle"/>
          <w:rFonts w:ascii="Times New Roman" w:hAnsi="Times New Roman" w:cs="Times New Roman"/>
          <w:i w:val="0"/>
          <w:iCs w:val="0"/>
          <w:smallCaps w:val="0"/>
          <w:spacing w:val="0"/>
        </w:rPr>
        <w:t>I</w:t>
      </w:r>
      <w:r w:rsidR="005255B4">
        <w:rPr>
          <w:rStyle w:val="BookTitle"/>
          <w:rFonts w:ascii="Times New Roman" w:hAnsi="Times New Roman" w:cs="Times New Roman"/>
          <w:i w:val="0"/>
          <w:iCs w:val="0"/>
          <w:smallCaps w:val="0"/>
          <w:spacing w:val="0"/>
        </w:rPr>
        <w:t xml:space="preserve">nformation </w:t>
      </w:r>
      <w:r w:rsidR="00587026">
        <w:rPr>
          <w:rStyle w:val="BookTitle"/>
          <w:rFonts w:ascii="Times New Roman" w:hAnsi="Times New Roman" w:cs="Times New Roman"/>
          <w:i w:val="0"/>
          <w:iCs w:val="0"/>
          <w:smallCaps w:val="0"/>
          <w:spacing w:val="0"/>
        </w:rPr>
        <w:t xml:space="preserve">contained in the report </w:t>
      </w:r>
      <w:r w:rsidR="00D33C3B">
        <w:rPr>
          <w:rStyle w:val="BookTitle"/>
          <w:rFonts w:ascii="Times New Roman" w:hAnsi="Times New Roman" w:cs="Times New Roman"/>
          <w:i w:val="0"/>
          <w:iCs w:val="0"/>
          <w:smallCaps w:val="0"/>
          <w:spacing w:val="0"/>
        </w:rPr>
        <w:t xml:space="preserve">will be analysed by </w:t>
      </w:r>
      <w:r w:rsidR="005944DD">
        <w:rPr>
          <w:rStyle w:val="BookTitle"/>
          <w:rFonts w:ascii="Times New Roman" w:hAnsi="Times New Roman" w:cs="Times New Roman"/>
          <w:i w:val="0"/>
          <w:iCs w:val="0"/>
          <w:smallCaps w:val="0"/>
          <w:spacing w:val="0"/>
        </w:rPr>
        <w:t xml:space="preserve">the </w:t>
      </w:r>
      <w:r w:rsidR="005603E0">
        <w:rPr>
          <w:rStyle w:val="BookTitle"/>
          <w:rFonts w:ascii="Times New Roman" w:hAnsi="Times New Roman" w:cs="Times New Roman"/>
          <w:i w:val="0"/>
          <w:iCs w:val="0"/>
          <w:smallCaps w:val="0"/>
          <w:spacing w:val="0"/>
        </w:rPr>
        <w:t>Workplace Gender Equality Agency (</w:t>
      </w:r>
      <w:r w:rsidR="005603E0">
        <w:rPr>
          <w:rStyle w:val="BookTitle"/>
          <w:rFonts w:ascii="Times New Roman" w:hAnsi="Times New Roman" w:cs="Times New Roman"/>
          <w:b/>
          <w:i w:val="0"/>
          <w:iCs w:val="0"/>
          <w:smallCaps w:val="0"/>
          <w:spacing w:val="0"/>
        </w:rPr>
        <w:t xml:space="preserve">the </w:t>
      </w:r>
      <w:r w:rsidR="005603E0" w:rsidRPr="005603E0">
        <w:rPr>
          <w:rStyle w:val="BookTitle"/>
          <w:rFonts w:ascii="Times New Roman" w:hAnsi="Times New Roman" w:cs="Times New Roman"/>
          <w:b/>
          <w:i w:val="0"/>
          <w:iCs w:val="0"/>
          <w:smallCaps w:val="0"/>
          <w:spacing w:val="0"/>
        </w:rPr>
        <w:t>Agency</w:t>
      </w:r>
      <w:r w:rsidR="005603E0">
        <w:rPr>
          <w:rStyle w:val="BookTitle"/>
          <w:rFonts w:ascii="Times New Roman" w:hAnsi="Times New Roman" w:cs="Times New Roman"/>
          <w:i w:val="0"/>
          <w:iCs w:val="0"/>
          <w:smallCaps w:val="0"/>
          <w:spacing w:val="0"/>
        </w:rPr>
        <w:t xml:space="preserve">) </w:t>
      </w:r>
      <w:r w:rsidR="005944DD" w:rsidRPr="005603E0">
        <w:rPr>
          <w:rStyle w:val="BookTitle"/>
          <w:rFonts w:ascii="Times New Roman" w:hAnsi="Times New Roman" w:cs="Times New Roman"/>
          <w:i w:val="0"/>
          <w:iCs w:val="0"/>
          <w:smallCaps w:val="0"/>
          <w:spacing w:val="0"/>
        </w:rPr>
        <w:t>to</w:t>
      </w:r>
      <w:r w:rsidR="005944DD">
        <w:rPr>
          <w:rStyle w:val="BookTitle"/>
          <w:rFonts w:ascii="Times New Roman" w:hAnsi="Times New Roman" w:cs="Times New Roman"/>
          <w:i w:val="0"/>
          <w:iCs w:val="0"/>
          <w:smallCaps w:val="0"/>
          <w:spacing w:val="0"/>
        </w:rPr>
        <w:t xml:space="preserve"> </w:t>
      </w:r>
      <w:r w:rsidR="005255B4">
        <w:rPr>
          <w:rStyle w:val="BookTitle"/>
          <w:rFonts w:ascii="Times New Roman" w:hAnsi="Times New Roman" w:cs="Times New Roman"/>
          <w:i w:val="0"/>
          <w:iCs w:val="0"/>
          <w:smallCaps w:val="0"/>
          <w:spacing w:val="0"/>
        </w:rPr>
        <w:t xml:space="preserve">determine whether </w:t>
      </w:r>
      <w:r w:rsidR="00587026">
        <w:rPr>
          <w:rStyle w:val="BookTitle"/>
          <w:rFonts w:ascii="Times New Roman" w:hAnsi="Times New Roman" w:cs="Times New Roman"/>
          <w:i w:val="0"/>
          <w:iCs w:val="0"/>
          <w:smallCaps w:val="0"/>
          <w:spacing w:val="0"/>
        </w:rPr>
        <w:t>a</w:t>
      </w:r>
      <w:r w:rsidR="00D33C3B">
        <w:rPr>
          <w:rStyle w:val="BookTitle"/>
          <w:rFonts w:ascii="Times New Roman" w:hAnsi="Times New Roman" w:cs="Times New Roman"/>
          <w:i w:val="0"/>
          <w:iCs w:val="0"/>
          <w:smallCaps w:val="0"/>
          <w:spacing w:val="0"/>
        </w:rPr>
        <w:t>n</w:t>
      </w:r>
      <w:r w:rsidR="00587026">
        <w:rPr>
          <w:rStyle w:val="BookTitle"/>
          <w:rFonts w:ascii="Times New Roman" w:hAnsi="Times New Roman" w:cs="Times New Roman"/>
          <w:i w:val="0"/>
          <w:iCs w:val="0"/>
          <w:smallCaps w:val="0"/>
          <w:spacing w:val="0"/>
        </w:rPr>
        <w:t xml:space="preserve"> </w:t>
      </w:r>
      <w:r w:rsidR="005255B4">
        <w:rPr>
          <w:rStyle w:val="BookTitle"/>
          <w:rFonts w:ascii="Times New Roman" w:hAnsi="Times New Roman" w:cs="Times New Roman"/>
          <w:i w:val="0"/>
          <w:iCs w:val="0"/>
          <w:smallCaps w:val="0"/>
          <w:spacing w:val="0"/>
        </w:rPr>
        <w:t xml:space="preserve">employer has met </w:t>
      </w:r>
      <w:r w:rsidR="00D33C3B">
        <w:rPr>
          <w:rStyle w:val="BookTitle"/>
          <w:rFonts w:ascii="Times New Roman" w:hAnsi="Times New Roman" w:cs="Times New Roman"/>
          <w:i w:val="0"/>
          <w:iCs w:val="0"/>
          <w:smallCaps w:val="0"/>
          <w:spacing w:val="0"/>
        </w:rPr>
        <w:t xml:space="preserve">the </w:t>
      </w:r>
      <w:r w:rsidR="005255B4">
        <w:rPr>
          <w:rStyle w:val="BookTitle"/>
          <w:rFonts w:ascii="Times New Roman" w:hAnsi="Times New Roman" w:cs="Times New Roman"/>
          <w:i w:val="0"/>
          <w:iCs w:val="0"/>
          <w:smallCaps w:val="0"/>
          <w:spacing w:val="0"/>
        </w:rPr>
        <w:t>minimum standards</w:t>
      </w:r>
      <w:r w:rsidR="003269BD">
        <w:rPr>
          <w:rStyle w:val="BookTitle"/>
          <w:rFonts w:ascii="Times New Roman" w:hAnsi="Times New Roman" w:cs="Times New Roman"/>
          <w:i w:val="0"/>
          <w:iCs w:val="0"/>
          <w:smallCaps w:val="0"/>
          <w:spacing w:val="0"/>
        </w:rPr>
        <w:t xml:space="preserve">. </w:t>
      </w:r>
      <w:r w:rsidR="005255B4">
        <w:rPr>
          <w:rStyle w:val="BookTitle"/>
          <w:rFonts w:ascii="Times New Roman" w:hAnsi="Times New Roman" w:cs="Times New Roman"/>
          <w:i w:val="0"/>
          <w:iCs w:val="0"/>
          <w:smallCaps w:val="0"/>
          <w:spacing w:val="0"/>
        </w:rPr>
        <w:t xml:space="preserve">The Agency </w:t>
      </w:r>
      <w:r>
        <w:rPr>
          <w:rStyle w:val="BookTitle"/>
          <w:rFonts w:ascii="Times New Roman" w:hAnsi="Times New Roman" w:cs="Times New Roman"/>
          <w:i w:val="0"/>
          <w:iCs w:val="0"/>
          <w:smallCaps w:val="0"/>
          <w:spacing w:val="0"/>
        </w:rPr>
        <w:t xml:space="preserve">may also require a relevant employer to give the Agency </w:t>
      </w:r>
      <w:r w:rsidR="005255B4">
        <w:rPr>
          <w:rStyle w:val="BookTitle"/>
          <w:rFonts w:ascii="Times New Roman" w:hAnsi="Times New Roman" w:cs="Times New Roman"/>
          <w:i w:val="0"/>
          <w:iCs w:val="0"/>
          <w:smallCaps w:val="0"/>
          <w:spacing w:val="0"/>
        </w:rPr>
        <w:t xml:space="preserve">specified </w:t>
      </w:r>
      <w:r w:rsidR="00335E68">
        <w:rPr>
          <w:rStyle w:val="BookTitle"/>
          <w:rFonts w:ascii="Times New Roman" w:hAnsi="Times New Roman" w:cs="Times New Roman"/>
          <w:i w:val="0"/>
          <w:iCs w:val="0"/>
          <w:smallCaps w:val="0"/>
          <w:spacing w:val="0"/>
        </w:rPr>
        <w:t xml:space="preserve">information that relates </w:t>
      </w:r>
      <w:r>
        <w:rPr>
          <w:rStyle w:val="BookTitle"/>
          <w:rFonts w:ascii="Times New Roman" w:hAnsi="Times New Roman" w:cs="Times New Roman"/>
          <w:i w:val="0"/>
          <w:iCs w:val="0"/>
          <w:smallCaps w:val="0"/>
          <w:spacing w:val="0"/>
        </w:rPr>
        <w:t xml:space="preserve">to the employer’s compliance with </w:t>
      </w:r>
      <w:r w:rsidR="005255B4">
        <w:rPr>
          <w:rStyle w:val="BookTitle"/>
          <w:rFonts w:ascii="Times New Roman" w:hAnsi="Times New Roman" w:cs="Times New Roman"/>
          <w:i w:val="0"/>
          <w:iCs w:val="0"/>
          <w:smallCaps w:val="0"/>
          <w:spacing w:val="0"/>
        </w:rPr>
        <w:t xml:space="preserve">the minimum standards. </w:t>
      </w:r>
    </w:p>
    <w:p w:rsidR="005255B4" w:rsidRDefault="00335E68" w:rsidP="005460B8">
      <w:pPr>
        <w:rPr>
          <w:rStyle w:val="BookTitle"/>
          <w:rFonts w:ascii="Times New Roman" w:hAnsi="Times New Roman" w:cs="Times New Roman"/>
          <w:i w:val="0"/>
          <w:iCs w:val="0"/>
          <w:smallCaps w:val="0"/>
          <w:spacing w:val="0"/>
        </w:rPr>
      </w:pPr>
      <w:proofErr w:type="gramStart"/>
      <w:r>
        <w:rPr>
          <w:rStyle w:val="BookTitle"/>
          <w:rFonts w:ascii="Times New Roman" w:hAnsi="Times New Roman" w:cs="Times New Roman"/>
          <w:i w:val="0"/>
          <w:iCs w:val="0"/>
          <w:smallCaps w:val="0"/>
          <w:spacing w:val="0"/>
        </w:rPr>
        <w:t xml:space="preserve">If an </w:t>
      </w:r>
      <w:r w:rsidR="00512F68">
        <w:rPr>
          <w:rStyle w:val="BookTitle"/>
          <w:rFonts w:ascii="Times New Roman" w:hAnsi="Times New Roman" w:cs="Times New Roman"/>
          <w:i w:val="0"/>
          <w:iCs w:val="0"/>
          <w:smallCaps w:val="0"/>
          <w:spacing w:val="0"/>
        </w:rPr>
        <w:t xml:space="preserve">employer fails to meet </w:t>
      </w:r>
      <w:r w:rsidR="003269BD">
        <w:rPr>
          <w:rStyle w:val="BookTitle"/>
          <w:rFonts w:ascii="Times New Roman" w:hAnsi="Times New Roman" w:cs="Times New Roman"/>
          <w:i w:val="0"/>
          <w:iCs w:val="0"/>
          <w:smallCaps w:val="0"/>
          <w:spacing w:val="0"/>
        </w:rPr>
        <w:t>an applicable</w:t>
      </w:r>
      <w:r w:rsidR="00512F68">
        <w:rPr>
          <w:rStyle w:val="BookTitle"/>
          <w:rFonts w:ascii="Times New Roman" w:hAnsi="Times New Roman" w:cs="Times New Roman"/>
          <w:i w:val="0"/>
          <w:iCs w:val="0"/>
          <w:smallCaps w:val="0"/>
          <w:spacing w:val="0"/>
        </w:rPr>
        <w:t xml:space="preserve"> minimum standard </w:t>
      </w:r>
      <w:r w:rsidR="007066A5">
        <w:rPr>
          <w:rStyle w:val="BookTitle"/>
          <w:rFonts w:ascii="Times New Roman" w:hAnsi="Times New Roman" w:cs="Times New Roman"/>
          <w:i w:val="0"/>
          <w:iCs w:val="0"/>
          <w:smallCaps w:val="0"/>
          <w:spacing w:val="0"/>
        </w:rPr>
        <w:t xml:space="preserve">at the end of </w:t>
      </w:r>
      <w:r w:rsidR="00512F68">
        <w:rPr>
          <w:rStyle w:val="BookTitle"/>
          <w:rFonts w:ascii="Times New Roman" w:hAnsi="Times New Roman" w:cs="Times New Roman"/>
          <w:i w:val="0"/>
          <w:iCs w:val="0"/>
          <w:smallCaps w:val="0"/>
          <w:spacing w:val="0"/>
        </w:rPr>
        <w:t>a reporting period</w:t>
      </w:r>
      <w:r w:rsidR="009746A8">
        <w:rPr>
          <w:rStyle w:val="BookTitle"/>
          <w:rFonts w:ascii="Times New Roman" w:hAnsi="Times New Roman" w:cs="Times New Roman"/>
          <w:i w:val="0"/>
          <w:iCs w:val="0"/>
          <w:smallCaps w:val="0"/>
          <w:spacing w:val="0"/>
        </w:rPr>
        <w:t xml:space="preserve"> (the base period)</w:t>
      </w:r>
      <w:r w:rsidR="00512F68">
        <w:rPr>
          <w:rStyle w:val="BookTitle"/>
          <w:rFonts w:ascii="Times New Roman" w:hAnsi="Times New Roman" w:cs="Times New Roman"/>
          <w:i w:val="0"/>
          <w:iCs w:val="0"/>
          <w:smallCaps w:val="0"/>
          <w:spacing w:val="0"/>
        </w:rPr>
        <w:t>, the Agency must offer to provide the employer with advice and assistance in relation to improving the employer’s performance against that minimum standard</w:t>
      </w:r>
      <w:r w:rsidR="003269BD">
        <w:rPr>
          <w:rStyle w:val="BookTitle"/>
          <w:rFonts w:ascii="Times New Roman" w:hAnsi="Times New Roman" w:cs="Times New Roman"/>
          <w:i w:val="0"/>
          <w:iCs w:val="0"/>
          <w:smallCaps w:val="0"/>
          <w:spacing w:val="0"/>
        </w:rPr>
        <w:t>.</w:t>
      </w:r>
      <w:proofErr w:type="gramEnd"/>
      <w:r w:rsidR="003269BD">
        <w:rPr>
          <w:rStyle w:val="BookTitle"/>
          <w:rFonts w:ascii="Times New Roman" w:hAnsi="Times New Roman" w:cs="Times New Roman"/>
          <w:i w:val="0"/>
          <w:iCs w:val="0"/>
          <w:smallCaps w:val="0"/>
          <w:spacing w:val="0"/>
        </w:rPr>
        <w:t xml:space="preserve"> </w:t>
      </w:r>
      <w:proofErr w:type="gramStart"/>
      <w:r w:rsidR="00512F68">
        <w:rPr>
          <w:rStyle w:val="BookTitle"/>
          <w:rFonts w:ascii="Times New Roman" w:hAnsi="Times New Roman" w:cs="Times New Roman"/>
          <w:i w:val="0"/>
          <w:iCs w:val="0"/>
          <w:smallCaps w:val="0"/>
          <w:spacing w:val="0"/>
        </w:rPr>
        <w:t xml:space="preserve">If the employer fails to improve against the minimum standard </w:t>
      </w:r>
      <w:r w:rsidR="007066A5">
        <w:rPr>
          <w:rStyle w:val="BookTitle"/>
          <w:rFonts w:ascii="Times New Roman" w:hAnsi="Times New Roman" w:cs="Times New Roman"/>
          <w:i w:val="0"/>
          <w:iCs w:val="0"/>
          <w:smallCaps w:val="0"/>
          <w:spacing w:val="0"/>
        </w:rPr>
        <w:t>by the end of</w:t>
      </w:r>
      <w:r w:rsidR="00512F68">
        <w:rPr>
          <w:rStyle w:val="BookTitle"/>
          <w:rFonts w:ascii="Times New Roman" w:hAnsi="Times New Roman" w:cs="Times New Roman"/>
          <w:i w:val="0"/>
          <w:iCs w:val="0"/>
          <w:smallCaps w:val="0"/>
          <w:spacing w:val="0"/>
        </w:rPr>
        <w:t xml:space="preserve"> the </w:t>
      </w:r>
      <w:r w:rsidR="009746A8">
        <w:rPr>
          <w:rStyle w:val="BookTitle"/>
          <w:rFonts w:ascii="Times New Roman" w:hAnsi="Times New Roman" w:cs="Times New Roman"/>
          <w:i w:val="0"/>
          <w:iCs w:val="0"/>
          <w:smallCaps w:val="0"/>
          <w:spacing w:val="0"/>
        </w:rPr>
        <w:t xml:space="preserve">second </w:t>
      </w:r>
      <w:r w:rsidR="00512F68">
        <w:rPr>
          <w:rStyle w:val="BookTitle"/>
          <w:rFonts w:ascii="Times New Roman" w:hAnsi="Times New Roman" w:cs="Times New Roman"/>
          <w:i w:val="0"/>
          <w:iCs w:val="0"/>
          <w:smallCaps w:val="0"/>
          <w:spacing w:val="0"/>
        </w:rPr>
        <w:t>reporting period</w:t>
      </w:r>
      <w:r w:rsidR="009746A8">
        <w:rPr>
          <w:rStyle w:val="BookTitle"/>
          <w:rFonts w:ascii="Times New Roman" w:hAnsi="Times New Roman" w:cs="Times New Roman"/>
          <w:i w:val="0"/>
          <w:iCs w:val="0"/>
          <w:smallCaps w:val="0"/>
          <w:spacing w:val="0"/>
        </w:rPr>
        <w:t xml:space="preserve"> after the base period</w:t>
      </w:r>
      <w:r w:rsidR="00D33C3B">
        <w:rPr>
          <w:rStyle w:val="BookTitle"/>
          <w:rFonts w:ascii="Times New Roman" w:hAnsi="Times New Roman" w:cs="Times New Roman"/>
          <w:i w:val="0"/>
          <w:iCs w:val="0"/>
          <w:smallCaps w:val="0"/>
          <w:spacing w:val="0"/>
        </w:rPr>
        <w:t xml:space="preserve"> (after two years)</w:t>
      </w:r>
      <w:r w:rsidR="00512F68">
        <w:rPr>
          <w:rStyle w:val="BookTitle"/>
          <w:rFonts w:ascii="Times New Roman" w:hAnsi="Times New Roman" w:cs="Times New Roman"/>
          <w:i w:val="0"/>
          <w:iCs w:val="0"/>
          <w:smallCaps w:val="0"/>
          <w:spacing w:val="0"/>
        </w:rPr>
        <w:t xml:space="preserve">, the employer will be </w:t>
      </w:r>
      <w:r w:rsidR="00D33C3B">
        <w:rPr>
          <w:rStyle w:val="BookTitle"/>
          <w:rFonts w:ascii="Times New Roman" w:hAnsi="Times New Roman" w:cs="Times New Roman"/>
          <w:i w:val="0"/>
          <w:iCs w:val="0"/>
          <w:smallCaps w:val="0"/>
          <w:spacing w:val="0"/>
        </w:rPr>
        <w:t xml:space="preserve">considered </w:t>
      </w:r>
      <w:r w:rsidR="00512F68">
        <w:rPr>
          <w:rStyle w:val="BookTitle"/>
          <w:rFonts w:ascii="Times New Roman" w:hAnsi="Times New Roman" w:cs="Times New Roman"/>
          <w:i w:val="0"/>
          <w:iCs w:val="0"/>
          <w:smallCaps w:val="0"/>
          <w:spacing w:val="0"/>
        </w:rPr>
        <w:t xml:space="preserve">to have </w:t>
      </w:r>
      <w:r w:rsidR="00587026">
        <w:rPr>
          <w:rStyle w:val="BookTitle"/>
          <w:rFonts w:ascii="Times New Roman" w:hAnsi="Times New Roman" w:cs="Times New Roman"/>
          <w:i w:val="0"/>
          <w:iCs w:val="0"/>
          <w:smallCaps w:val="0"/>
          <w:spacing w:val="0"/>
        </w:rPr>
        <w:t>failed to comply with the Act.</w:t>
      </w:r>
      <w:proofErr w:type="gramEnd"/>
    </w:p>
    <w:p w:rsidR="00512F68" w:rsidRDefault="003B5C21" w:rsidP="005460B8">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lastRenderedPageBreak/>
        <w:t xml:space="preserve">If </w:t>
      </w:r>
      <w:r w:rsidR="00335E68">
        <w:rPr>
          <w:rStyle w:val="BookTitle"/>
          <w:rFonts w:ascii="Times New Roman" w:hAnsi="Times New Roman" w:cs="Times New Roman"/>
          <w:i w:val="0"/>
          <w:iCs w:val="0"/>
          <w:smallCaps w:val="0"/>
          <w:spacing w:val="0"/>
        </w:rPr>
        <w:t xml:space="preserve">an </w:t>
      </w:r>
      <w:r>
        <w:rPr>
          <w:rStyle w:val="BookTitle"/>
          <w:rFonts w:ascii="Times New Roman" w:hAnsi="Times New Roman" w:cs="Times New Roman"/>
          <w:i w:val="0"/>
          <w:iCs w:val="0"/>
          <w:smallCaps w:val="0"/>
          <w:spacing w:val="0"/>
        </w:rPr>
        <w:t>employer fails to comply with the Act without reasonable excuse, the Agency may name the employer in a report or by electronic or other means as having failed to comply with the Act and set out details of the non-compliance</w:t>
      </w:r>
      <w:r w:rsidR="003269BD">
        <w:rPr>
          <w:rStyle w:val="BookTitle"/>
          <w:rFonts w:ascii="Times New Roman" w:hAnsi="Times New Roman" w:cs="Times New Roman"/>
          <w:i w:val="0"/>
          <w:iCs w:val="0"/>
          <w:smallCaps w:val="0"/>
          <w:spacing w:val="0"/>
        </w:rPr>
        <w:t xml:space="preserve">. </w:t>
      </w:r>
      <w:r>
        <w:rPr>
          <w:rStyle w:val="BookTitle"/>
          <w:rFonts w:ascii="Times New Roman" w:hAnsi="Times New Roman" w:cs="Times New Roman"/>
          <w:i w:val="0"/>
          <w:iCs w:val="0"/>
          <w:smallCaps w:val="0"/>
          <w:spacing w:val="0"/>
        </w:rPr>
        <w:t xml:space="preserve">The Agency must give the employer notice in writing of a proposal to name the employer and have regard </w:t>
      </w:r>
      <w:r w:rsidR="001D509E">
        <w:rPr>
          <w:rStyle w:val="BookTitle"/>
          <w:rFonts w:ascii="Times New Roman" w:hAnsi="Times New Roman" w:cs="Times New Roman"/>
          <w:i w:val="0"/>
          <w:iCs w:val="0"/>
          <w:smallCaps w:val="0"/>
          <w:spacing w:val="0"/>
        </w:rPr>
        <w:t xml:space="preserve">to any written representations made to the Agency by the employer within 28 days of the notice. </w:t>
      </w:r>
    </w:p>
    <w:p w:rsidR="008053DB" w:rsidRPr="00FA21A2" w:rsidRDefault="00976D78" w:rsidP="005460B8">
      <w:pPr>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t xml:space="preserve">Explanation of </w:t>
      </w:r>
      <w:r w:rsidR="008053DB" w:rsidRPr="00FA21A2">
        <w:rPr>
          <w:rStyle w:val="BookTitle"/>
          <w:rFonts w:ascii="Times New Roman" w:hAnsi="Times New Roman" w:cs="Times New Roman"/>
          <w:b/>
          <w:i w:val="0"/>
          <w:iCs w:val="0"/>
          <w:smallCaps w:val="0"/>
          <w:spacing w:val="0"/>
        </w:rPr>
        <w:t>Provisions</w:t>
      </w:r>
    </w:p>
    <w:p w:rsidR="007F7819" w:rsidRPr="00D26DCF" w:rsidRDefault="007F7819" w:rsidP="007F7819">
      <w:pPr>
        <w:spacing w:after="0"/>
        <w:rPr>
          <w:rStyle w:val="BookTitle"/>
          <w:rFonts w:ascii="Times New Roman" w:hAnsi="Times New Roman" w:cs="Times New Roman"/>
          <w:iCs w:val="0"/>
          <w:smallCaps w:val="0"/>
          <w:spacing w:val="0"/>
        </w:rPr>
      </w:pPr>
      <w:r w:rsidRPr="00D26DCF">
        <w:rPr>
          <w:rStyle w:val="BookTitle"/>
          <w:rFonts w:ascii="Times New Roman" w:hAnsi="Times New Roman" w:cs="Times New Roman"/>
          <w:iCs w:val="0"/>
          <w:smallCaps w:val="0"/>
          <w:spacing w:val="0"/>
        </w:rPr>
        <w:t xml:space="preserve">Name of </w:t>
      </w:r>
      <w:r w:rsidR="004B34AE" w:rsidRPr="00D26DCF">
        <w:rPr>
          <w:rStyle w:val="BookTitle"/>
          <w:rFonts w:ascii="Times New Roman" w:hAnsi="Times New Roman" w:cs="Times New Roman"/>
          <w:iCs w:val="0"/>
          <w:smallCaps w:val="0"/>
          <w:spacing w:val="0"/>
        </w:rPr>
        <w:t>Instrument</w:t>
      </w:r>
      <w:r w:rsidRPr="00D26DCF">
        <w:rPr>
          <w:rStyle w:val="BookTitle"/>
          <w:rFonts w:ascii="Times New Roman" w:hAnsi="Times New Roman" w:cs="Times New Roman"/>
          <w:iCs w:val="0"/>
          <w:smallCaps w:val="0"/>
          <w:spacing w:val="0"/>
        </w:rPr>
        <w:t xml:space="preserve"> </w:t>
      </w:r>
    </w:p>
    <w:p w:rsidR="000D7D99" w:rsidRPr="00D26DCF" w:rsidRDefault="000D7D99" w:rsidP="007F7819">
      <w:pPr>
        <w:spacing w:after="0"/>
        <w:rPr>
          <w:rStyle w:val="BookTitle"/>
          <w:rFonts w:ascii="Times New Roman" w:hAnsi="Times New Roman" w:cs="Times New Roman"/>
          <w:i w:val="0"/>
          <w:iCs w:val="0"/>
          <w:smallCaps w:val="0"/>
          <w:spacing w:val="0"/>
        </w:rPr>
      </w:pPr>
      <w:r w:rsidRPr="00892C3E">
        <w:rPr>
          <w:rStyle w:val="BookTitle"/>
          <w:rFonts w:ascii="Times New Roman" w:hAnsi="Times New Roman" w:cs="Times New Roman"/>
          <w:i w:val="0"/>
          <w:iCs w:val="0"/>
          <w:smallCaps w:val="0"/>
          <w:spacing w:val="0"/>
        </w:rPr>
        <w:t xml:space="preserve">Section 1 of the </w:t>
      </w:r>
      <w:r w:rsidR="004B34AE" w:rsidRPr="00892C3E">
        <w:rPr>
          <w:rStyle w:val="BookTitle"/>
          <w:rFonts w:ascii="Times New Roman" w:hAnsi="Times New Roman" w:cs="Times New Roman"/>
          <w:i w:val="0"/>
          <w:iCs w:val="0"/>
          <w:smallCaps w:val="0"/>
          <w:spacing w:val="0"/>
        </w:rPr>
        <w:t>Instrument</w:t>
      </w:r>
      <w:r w:rsidRPr="00892C3E">
        <w:rPr>
          <w:rStyle w:val="BookTitle"/>
          <w:rFonts w:ascii="Times New Roman" w:hAnsi="Times New Roman" w:cs="Times New Roman"/>
          <w:i w:val="0"/>
          <w:iCs w:val="0"/>
          <w:smallCaps w:val="0"/>
          <w:spacing w:val="0"/>
        </w:rPr>
        <w:t xml:space="preserve"> states the name of the </w:t>
      </w:r>
      <w:r w:rsidR="004B34AE" w:rsidRPr="00D26DCF">
        <w:rPr>
          <w:rStyle w:val="BookTitle"/>
          <w:rFonts w:ascii="Times New Roman" w:hAnsi="Times New Roman" w:cs="Times New Roman"/>
          <w:i w:val="0"/>
          <w:iCs w:val="0"/>
          <w:smallCaps w:val="0"/>
          <w:spacing w:val="0"/>
        </w:rPr>
        <w:t>Instrument</w:t>
      </w:r>
      <w:r w:rsidR="007F7819" w:rsidRPr="00D26DCF">
        <w:rPr>
          <w:rStyle w:val="BookTitle"/>
          <w:rFonts w:ascii="Times New Roman" w:hAnsi="Times New Roman" w:cs="Times New Roman"/>
          <w:i w:val="0"/>
          <w:iCs w:val="0"/>
          <w:smallCaps w:val="0"/>
          <w:spacing w:val="0"/>
        </w:rPr>
        <w:t xml:space="preserve">, which is the </w:t>
      </w:r>
      <w:r w:rsidR="007F7819" w:rsidRPr="00D26DCF">
        <w:rPr>
          <w:rStyle w:val="BookTitle"/>
          <w:rFonts w:ascii="Times New Roman" w:hAnsi="Times New Roman" w:cs="Times New Roman"/>
          <w:iCs w:val="0"/>
          <w:smallCaps w:val="0"/>
          <w:spacing w:val="0"/>
        </w:rPr>
        <w:t>Workplace Gender Equality (</w:t>
      </w:r>
      <w:r w:rsidR="00E32D8D" w:rsidRPr="00D26DCF">
        <w:rPr>
          <w:rStyle w:val="BookTitle"/>
          <w:rFonts w:ascii="Times New Roman" w:hAnsi="Times New Roman" w:cs="Times New Roman"/>
          <w:iCs w:val="0"/>
          <w:smallCaps w:val="0"/>
          <w:spacing w:val="0"/>
        </w:rPr>
        <w:t>Minimum Standards</w:t>
      </w:r>
      <w:r w:rsidR="007F7819" w:rsidRPr="00D26DCF">
        <w:rPr>
          <w:rStyle w:val="BookTitle"/>
          <w:rFonts w:ascii="Times New Roman" w:hAnsi="Times New Roman" w:cs="Times New Roman"/>
          <w:iCs w:val="0"/>
          <w:smallCaps w:val="0"/>
          <w:spacing w:val="0"/>
        </w:rPr>
        <w:t xml:space="preserve">) </w:t>
      </w:r>
      <w:r w:rsidR="004B34AE" w:rsidRPr="00D26DCF">
        <w:rPr>
          <w:rStyle w:val="BookTitle"/>
          <w:rFonts w:ascii="Times New Roman" w:hAnsi="Times New Roman" w:cs="Times New Roman"/>
          <w:iCs w:val="0"/>
          <w:smallCaps w:val="0"/>
          <w:spacing w:val="0"/>
        </w:rPr>
        <w:t>Instrument</w:t>
      </w:r>
      <w:r w:rsidR="00E32D8D" w:rsidRPr="00D26DCF">
        <w:rPr>
          <w:rStyle w:val="BookTitle"/>
          <w:rFonts w:ascii="Times New Roman" w:hAnsi="Times New Roman" w:cs="Times New Roman"/>
          <w:iCs w:val="0"/>
          <w:smallCaps w:val="0"/>
          <w:spacing w:val="0"/>
        </w:rPr>
        <w:t xml:space="preserve"> 2014</w:t>
      </w:r>
      <w:r w:rsidR="007F7819" w:rsidRPr="00D26DCF">
        <w:rPr>
          <w:rStyle w:val="BookTitle"/>
          <w:rFonts w:ascii="Times New Roman" w:hAnsi="Times New Roman" w:cs="Times New Roman"/>
          <w:i w:val="0"/>
          <w:iCs w:val="0"/>
          <w:smallCaps w:val="0"/>
          <w:spacing w:val="0"/>
        </w:rPr>
        <w:t xml:space="preserve">. </w:t>
      </w:r>
    </w:p>
    <w:p w:rsidR="007F7819" w:rsidRPr="00D26DCF" w:rsidRDefault="007F7819" w:rsidP="007F7819">
      <w:pPr>
        <w:spacing w:after="0"/>
        <w:rPr>
          <w:rStyle w:val="BookTitle"/>
          <w:rFonts w:ascii="Times New Roman" w:hAnsi="Times New Roman" w:cs="Times New Roman"/>
          <w:iCs w:val="0"/>
          <w:smallCaps w:val="0"/>
          <w:spacing w:val="0"/>
        </w:rPr>
      </w:pPr>
    </w:p>
    <w:p w:rsidR="007F7819" w:rsidRPr="00D26DCF" w:rsidRDefault="007F7819" w:rsidP="007F7819">
      <w:pPr>
        <w:spacing w:after="0"/>
        <w:rPr>
          <w:rStyle w:val="BookTitle"/>
          <w:rFonts w:ascii="Times New Roman" w:hAnsi="Times New Roman" w:cs="Times New Roman"/>
          <w:iCs w:val="0"/>
          <w:smallCaps w:val="0"/>
          <w:spacing w:val="0"/>
        </w:rPr>
      </w:pPr>
      <w:r w:rsidRPr="00D26DCF">
        <w:rPr>
          <w:rStyle w:val="BookTitle"/>
          <w:rFonts w:ascii="Times New Roman" w:hAnsi="Times New Roman" w:cs="Times New Roman"/>
          <w:iCs w:val="0"/>
          <w:smallCaps w:val="0"/>
          <w:spacing w:val="0"/>
        </w:rPr>
        <w:t>Commencement</w:t>
      </w:r>
    </w:p>
    <w:p w:rsidR="00E32D8D" w:rsidRPr="00D26DCF" w:rsidRDefault="000D7D99" w:rsidP="007F7819">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Section 2 of the </w:t>
      </w:r>
      <w:r w:rsidR="004B34AE" w:rsidRPr="00D26DCF">
        <w:rPr>
          <w:rStyle w:val="BookTitle"/>
          <w:rFonts w:ascii="Times New Roman" w:hAnsi="Times New Roman" w:cs="Times New Roman"/>
          <w:i w:val="0"/>
          <w:iCs w:val="0"/>
          <w:smallCaps w:val="0"/>
          <w:spacing w:val="0"/>
        </w:rPr>
        <w:t>Instrument</w:t>
      </w:r>
      <w:r w:rsidR="00AE413C" w:rsidRPr="00D26DCF">
        <w:rPr>
          <w:rStyle w:val="BookTitle"/>
          <w:rFonts w:ascii="Times New Roman" w:hAnsi="Times New Roman" w:cs="Times New Roman"/>
          <w:i w:val="0"/>
          <w:iCs w:val="0"/>
          <w:smallCaps w:val="0"/>
          <w:spacing w:val="0"/>
        </w:rPr>
        <w:t xml:space="preserve"> </w:t>
      </w:r>
      <w:r w:rsidR="00DB67D5" w:rsidRPr="00D26DCF">
        <w:rPr>
          <w:rStyle w:val="BookTitle"/>
          <w:rFonts w:ascii="Times New Roman" w:hAnsi="Times New Roman" w:cs="Times New Roman"/>
          <w:i w:val="0"/>
          <w:iCs w:val="0"/>
          <w:smallCaps w:val="0"/>
          <w:spacing w:val="0"/>
        </w:rPr>
        <w:t xml:space="preserve">specifies that </w:t>
      </w:r>
      <w:r w:rsidR="007F7819" w:rsidRPr="00D26DCF">
        <w:rPr>
          <w:rStyle w:val="BookTitle"/>
          <w:rFonts w:ascii="Times New Roman" w:hAnsi="Times New Roman" w:cs="Times New Roman"/>
          <w:i w:val="0"/>
          <w:iCs w:val="0"/>
          <w:smallCaps w:val="0"/>
          <w:spacing w:val="0"/>
        </w:rPr>
        <w:t xml:space="preserve">the </w:t>
      </w:r>
      <w:r w:rsidR="004B34AE" w:rsidRPr="00D26DCF">
        <w:rPr>
          <w:rStyle w:val="BookTitle"/>
          <w:rFonts w:ascii="Times New Roman" w:hAnsi="Times New Roman" w:cs="Times New Roman"/>
          <w:i w:val="0"/>
          <w:iCs w:val="0"/>
          <w:smallCaps w:val="0"/>
          <w:spacing w:val="0"/>
        </w:rPr>
        <w:t>Instrument</w:t>
      </w:r>
      <w:r w:rsidR="007F7819" w:rsidRPr="00D26DCF">
        <w:rPr>
          <w:rStyle w:val="BookTitle"/>
          <w:rFonts w:ascii="Times New Roman" w:hAnsi="Times New Roman" w:cs="Times New Roman"/>
          <w:i w:val="0"/>
          <w:iCs w:val="0"/>
          <w:smallCaps w:val="0"/>
          <w:spacing w:val="0"/>
        </w:rPr>
        <w:t xml:space="preserve"> </w:t>
      </w:r>
      <w:r w:rsidR="000441A5" w:rsidRPr="00D26DCF">
        <w:rPr>
          <w:rStyle w:val="BookTitle"/>
          <w:rFonts w:ascii="Times New Roman" w:hAnsi="Times New Roman" w:cs="Times New Roman"/>
          <w:i w:val="0"/>
          <w:iCs w:val="0"/>
          <w:smallCaps w:val="0"/>
          <w:spacing w:val="0"/>
        </w:rPr>
        <w:t>commences</w:t>
      </w:r>
      <w:r w:rsidR="007F7819" w:rsidRPr="00D26DCF">
        <w:rPr>
          <w:rStyle w:val="BookTitle"/>
          <w:rFonts w:ascii="Times New Roman" w:hAnsi="Times New Roman" w:cs="Times New Roman"/>
          <w:i w:val="0"/>
          <w:iCs w:val="0"/>
          <w:smallCaps w:val="0"/>
          <w:spacing w:val="0"/>
        </w:rPr>
        <w:t xml:space="preserve"> </w:t>
      </w:r>
      <w:r w:rsidR="00E32D8D" w:rsidRPr="00D26DCF">
        <w:rPr>
          <w:rStyle w:val="BookTitle"/>
          <w:rFonts w:ascii="Times New Roman" w:hAnsi="Times New Roman" w:cs="Times New Roman"/>
          <w:i w:val="0"/>
          <w:iCs w:val="0"/>
          <w:smallCaps w:val="0"/>
          <w:spacing w:val="0"/>
        </w:rPr>
        <w:t>on the day after it is registered.</w:t>
      </w:r>
    </w:p>
    <w:p w:rsidR="007F7819" w:rsidRPr="00D26DCF" w:rsidRDefault="00E32D8D" w:rsidP="007F7819">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 </w:t>
      </w:r>
    </w:p>
    <w:p w:rsidR="007F7819" w:rsidRPr="00D26DCF" w:rsidRDefault="007F7819" w:rsidP="007F7819">
      <w:pPr>
        <w:spacing w:after="0"/>
        <w:rPr>
          <w:rStyle w:val="BookTitle"/>
          <w:rFonts w:ascii="Times New Roman" w:hAnsi="Times New Roman" w:cs="Times New Roman"/>
          <w:iCs w:val="0"/>
          <w:smallCaps w:val="0"/>
          <w:spacing w:val="0"/>
        </w:rPr>
      </w:pPr>
      <w:r w:rsidRPr="00D26DCF">
        <w:rPr>
          <w:rStyle w:val="BookTitle"/>
          <w:rFonts w:ascii="Times New Roman" w:hAnsi="Times New Roman" w:cs="Times New Roman"/>
          <w:iCs w:val="0"/>
          <w:smallCaps w:val="0"/>
          <w:spacing w:val="0"/>
        </w:rPr>
        <w:t>Authority</w:t>
      </w:r>
    </w:p>
    <w:p w:rsidR="00890A33" w:rsidRPr="00D26DCF" w:rsidRDefault="00890A33" w:rsidP="007F7819">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Section</w:t>
      </w:r>
      <w:r w:rsidR="0075249F" w:rsidRPr="00D26DCF">
        <w:rPr>
          <w:rStyle w:val="BookTitle"/>
          <w:rFonts w:ascii="Times New Roman" w:hAnsi="Times New Roman" w:cs="Times New Roman"/>
          <w:i w:val="0"/>
          <w:iCs w:val="0"/>
          <w:smallCaps w:val="0"/>
          <w:spacing w:val="0"/>
        </w:rPr>
        <w:t xml:space="preserve"> 3 of the </w:t>
      </w:r>
      <w:r w:rsidR="004B34AE" w:rsidRPr="00D26DCF">
        <w:rPr>
          <w:rStyle w:val="BookTitle"/>
          <w:rFonts w:ascii="Times New Roman" w:hAnsi="Times New Roman" w:cs="Times New Roman"/>
          <w:i w:val="0"/>
          <w:iCs w:val="0"/>
          <w:smallCaps w:val="0"/>
          <w:spacing w:val="0"/>
        </w:rPr>
        <w:t>Instrument</w:t>
      </w:r>
      <w:r w:rsidR="00DB67D5" w:rsidRPr="00D26DCF">
        <w:rPr>
          <w:rStyle w:val="BookTitle"/>
          <w:rFonts w:ascii="Times New Roman" w:hAnsi="Times New Roman" w:cs="Times New Roman"/>
          <w:i w:val="0"/>
          <w:iCs w:val="0"/>
          <w:smallCaps w:val="0"/>
          <w:spacing w:val="0"/>
        </w:rPr>
        <w:t xml:space="preserve"> specifies</w:t>
      </w:r>
      <w:r w:rsidRPr="00D26DCF">
        <w:rPr>
          <w:rStyle w:val="BookTitle"/>
          <w:rFonts w:ascii="Times New Roman" w:hAnsi="Times New Roman" w:cs="Times New Roman"/>
          <w:i w:val="0"/>
          <w:iCs w:val="0"/>
          <w:smallCaps w:val="0"/>
          <w:spacing w:val="0"/>
        </w:rPr>
        <w:t xml:space="preserve"> the </w:t>
      </w:r>
      <w:r w:rsidR="007F7819" w:rsidRPr="00D26DCF">
        <w:rPr>
          <w:rStyle w:val="BookTitle"/>
          <w:rFonts w:ascii="Times New Roman" w:hAnsi="Times New Roman" w:cs="Times New Roman"/>
          <w:i w:val="0"/>
          <w:iCs w:val="0"/>
          <w:smallCaps w:val="0"/>
          <w:spacing w:val="0"/>
        </w:rPr>
        <w:t xml:space="preserve">authority for the </w:t>
      </w:r>
      <w:r w:rsidR="004B34AE" w:rsidRPr="00D26DCF">
        <w:rPr>
          <w:rStyle w:val="BookTitle"/>
          <w:rFonts w:ascii="Times New Roman" w:hAnsi="Times New Roman" w:cs="Times New Roman"/>
          <w:i w:val="0"/>
          <w:iCs w:val="0"/>
          <w:smallCaps w:val="0"/>
          <w:spacing w:val="0"/>
        </w:rPr>
        <w:t>Instrument</w:t>
      </w:r>
      <w:r w:rsidR="009746A8" w:rsidRPr="00D26DCF">
        <w:rPr>
          <w:rStyle w:val="BookTitle"/>
          <w:rFonts w:ascii="Times New Roman" w:hAnsi="Times New Roman" w:cs="Times New Roman"/>
          <w:i w:val="0"/>
          <w:iCs w:val="0"/>
          <w:smallCaps w:val="0"/>
          <w:spacing w:val="0"/>
        </w:rPr>
        <w:t>,</w:t>
      </w:r>
      <w:r w:rsidR="00E32D8D" w:rsidRPr="00D26DCF">
        <w:rPr>
          <w:rStyle w:val="BookTitle"/>
          <w:rFonts w:ascii="Times New Roman" w:hAnsi="Times New Roman" w:cs="Times New Roman"/>
          <w:i w:val="0"/>
          <w:iCs w:val="0"/>
          <w:smallCaps w:val="0"/>
          <w:spacing w:val="0"/>
        </w:rPr>
        <w:t xml:space="preserve"> which is subsection 19(1</w:t>
      </w:r>
      <w:r w:rsidR="007F7819" w:rsidRPr="00D26DCF">
        <w:rPr>
          <w:rStyle w:val="BookTitle"/>
          <w:rFonts w:ascii="Times New Roman" w:hAnsi="Times New Roman" w:cs="Times New Roman"/>
          <w:i w:val="0"/>
          <w:iCs w:val="0"/>
          <w:smallCaps w:val="0"/>
          <w:spacing w:val="0"/>
        </w:rPr>
        <w:t xml:space="preserve">) of the Act. </w:t>
      </w:r>
    </w:p>
    <w:p w:rsidR="007F7819" w:rsidRPr="00D26DCF" w:rsidRDefault="007F7819" w:rsidP="007F7819">
      <w:pPr>
        <w:spacing w:after="0"/>
        <w:rPr>
          <w:rStyle w:val="BookTitle"/>
          <w:rFonts w:ascii="Times New Roman" w:hAnsi="Times New Roman" w:cs="Times New Roman"/>
          <w:iCs w:val="0"/>
          <w:smallCaps w:val="0"/>
          <w:spacing w:val="0"/>
        </w:rPr>
      </w:pPr>
    </w:p>
    <w:p w:rsidR="004B34AE" w:rsidRPr="00D26DCF" w:rsidRDefault="00E32D8D" w:rsidP="007F7819">
      <w:pPr>
        <w:spacing w:after="0"/>
        <w:rPr>
          <w:rStyle w:val="BookTitle"/>
          <w:rFonts w:ascii="Times New Roman" w:hAnsi="Times New Roman" w:cs="Times New Roman"/>
          <w:iCs w:val="0"/>
          <w:smallCaps w:val="0"/>
          <w:spacing w:val="0"/>
        </w:rPr>
      </w:pPr>
      <w:r w:rsidRPr="00D26DCF">
        <w:rPr>
          <w:rStyle w:val="BookTitle"/>
          <w:rFonts w:ascii="Times New Roman" w:hAnsi="Times New Roman" w:cs="Times New Roman"/>
          <w:iCs w:val="0"/>
          <w:smallCaps w:val="0"/>
          <w:spacing w:val="0"/>
        </w:rPr>
        <w:t>Definitions</w:t>
      </w:r>
    </w:p>
    <w:p w:rsidR="00E32D8D" w:rsidRPr="00D26DCF" w:rsidRDefault="004B34AE" w:rsidP="00E32D8D">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Section 4</w:t>
      </w:r>
      <w:r w:rsidR="00E32D8D" w:rsidRPr="00D26DCF">
        <w:rPr>
          <w:rStyle w:val="BookTitle"/>
          <w:rFonts w:ascii="Times New Roman" w:hAnsi="Times New Roman" w:cs="Times New Roman"/>
          <w:i w:val="0"/>
          <w:iCs w:val="0"/>
          <w:smallCaps w:val="0"/>
          <w:spacing w:val="0"/>
        </w:rPr>
        <w:t xml:space="preserve"> of the Instrument defines the terms used in the Instrument</w:t>
      </w:r>
      <w:r w:rsidR="003269BD">
        <w:rPr>
          <w:rStyle w:val="BookTitle"/>
          <w:rFonts w:ascii="Times New Roman" w:hAnsi="Times New Roman" w:cs="Times New Roman"/>
          <w:i w:val="0"/>
          <w:iCs w:val="0"/>
          <w:smallCaps w:val="0"/>
          <w:spacing w:val="0"/>
        </w:rPr>
        <w:t xml:space="preserve">. </w:t>
      </w:r>
    </w:p>
    <w:p w:rsidR="00FA2053" w:rsidRPr="00D26DCF" w:rsidRDefault="00FA2053" w:rsidP="00E32D8D">
      <w:pPr>
        <w:spacing w:after="0"/>
        <w:rPr>
          <w:rStyle w:val="BookTitle"/>
          <w:rFonts w:ascii="Times New Roman" w:hAnsi="Times New Roman" w:cs="Times New Roman"/>
          <w:i w:val="0"/>
          <w:iCs w:val="0"/>
          <w:smallCaps w:val="0"/>
          <w:spacing w:val="0"/>
        </w:rPr>
      </w:pPr>
    </w:p>
    <w:p w:rsidR="00665AA4" w:rsidRPr="00D26DCF" w:rsidRDefault="00E32D8D" w:rsidP="00665AA4">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Cs w:val="0"/>
          <w:smallCaps w:val="0"/>
          <w:spacing w:val="0"/>
        </w:rPr>
        <w:t>Minimum Standards</w:t>
      </w:r>
    </w:p>
    <w:p w:rsidR="00335E68" w:rsidRPr="00D26DCF" w:rsidRDefault="00E32D8D" w:rsidP="005460B8">
      <w:pPr>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Section 5 of the Instrument </w:t>
      </w:r>
      <w:r w:rsidR="00DA276A" w:rsidRPr="00D26DCF">
        <w:rPr>
          <w:rStyle w:val="BookTitle"/>
          <w:rFonts w:ascii="Times New Roman" w:hAnsi="Times New Roman" w:cs="Times New Roman"/>
          <w:i w:val="0"/>
          <w:iCs w:val="0"/>
          <w:smallCaps w:val="0"/>
          <w:spacing w:val="0"/>
        </w:rPr>
        <w:t>sets minimum standards for subsection 19(1</w:t>
      </w:r>
      <w:r w:rsidR="00DA276A" w:rsidRPr="00C7077E">
        <w:rPr>
          <w:rStyle w:val="BookTitle"/>
          <w:rFonts w:ascii="Times New Roman" w:hAnsi="Times New Roman" w:cs="Times New Roman"/>
          <w:i w:val="0"/>
          <w:iCs w:val="0"/>
          <w:smallCaps w:val="0"/>
          <w:spacing w:val="0"/>
        </w:rPr>
        <w:t>) of the Act</w:t>
      </w:r>
      <w:r w:rsidR="00C7077E" w:rsidRPr="00C7077E">
        <w:rPr>
          <w:rStyle w:val="BookTitle"/>
          <w:rFonts w:ascii="Times New Roman" w:hAnsi="Times New Roman" w:cs="Times New Roman"/>
          <w:i w:val="0"/>
          <w:iCs w:val="0"/>
          <w:smallCaps w:val="0"/>
          <w:spacing w:val="0"/>
        </w:rPr>
        <w:t>.</w:t>
      </w:r>
      <w:r w:rsidR="005B5E3E" w:rsidRPr="00C7077E">
        <w:rPr>
          <w:rStyle w:val="BookTitle"/>
          <w:rFonts w:ascii="Times New Roman" w:hAnsi="Times New Roman" w:cs="Times New Roman"/>
          <w:i w:val="0"/>
          <w:iCs w:val="0"/>
          <w:smallCaps w:val="0"/>
          <w:spacing w:val="0"/>
        </w:rPr>
        <w:t xml:space="preserve"> </w:t>
      </w:r>
    </w:p>
    <w:p w:rsidR="00FA2053" w:rsidRDefault="00DA276A" w:rsidP="00E0036A">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Subsection 5(1) of the Instrument provides that the minimum standards apply to a</w:t>
      </w:r>
      <w:r w:rsidR="005808F9" w:rsidRPr="00D26DCF">
        <w:rPr>
          <w:rStyle w:val="BookTitle"/>
          <w:rFonts w:ascii="Times New Roman" w:hAnsi="Times New Roman" w:cs="Times New Roman"/>
          <w:i w:val="0"/>
          <w:iCs w:val="0"/>
          <w:smallCaps w:val="0"/>
          <w:spacing w:val="0"/>
        </w:rPr>
        <w:t xml:space="preserve">n </w:t>
      </w:r>
      <w:r w:rsidR="00335E68" w:rsidRPr="00D26DCF">
        <w:rPr>
          <w:rStyle w:val="BookTitle"/>
          <w:rFonts w:ascii="Times New Roman" w:hAnsi="Times New Roman" w:cs="Times New Roman"/>
          <w:i w:val="0"/>
          <w:iCs w:val="0"/>
          <w:smallCaps w:val="0"/>
          <w:spacing w:val="0"/>
        </w:rPr>
        <w:t>“</w:t>
      </w:r>
      <w:r w:rsidR="005808F9" w:rsidRPr="00D26DCF">
        <w:rPr>
          <w:rStyle w:val="BookTitle"/>
          <w:rFonts w:ascii="Times New Roman" w:hAnsi="Times New Roman" w:cs="Times New Roman"/>
          <w:i w:val="0"/>
          <w:iCs w:val="0"/>
          <w:smallCaps w:val="0"/>
          <w:spacing w:val="0"/>
        </w:rPr>
        <w:t>Employer</w:t>
      </w:r>
      <w:r w:rsidR="00335E68" w:rsidRPr="00D26DCF">
        <w:rPr>
          <w:rStyle w:val="BookTitle"/>
          <w:rFonts w:ascii="Times New Roman" w:hAnsi="Times New Roman" w:cs="Times New Roman"/>
          <w:i w:val="0"/>
          <w:iCs w:val="0"/>
          <w:smallCaps w:val="0"/>
          <w:spacing w:val="0"/>
        </w:rPr>
        <w:t>”</w:t>
      </w:r>
      <w:r w:rsidRPr="00D26DCF">
        <w:rPr>
          <w:rStyle w:val="BookTitle"/>
          <w:rFonts w:ascii="Times New Roman" w:hAnsi="Times New Roman" w:cs="Times New Roman"/>
          <w:i w:val="0"/>
          <w:iCs w:val="0"/>
          <w:smallCaps w:val="0"/>
          <w:spacing w:val="0"/>
        </w:rPr>
        <w:t xml:space="preserve"> for </w:t>
      </w:r>
      <w:r w:rsidR="005808F9" w:rsidRPr="00892C3E">
        <w:rPr>
          <w:rStyle w:val="BookTitle"/>
          <w:rFonts w:ascii="Times New Roman" w:hAnsi="Times New Roman" w:cs="Times New Roman"/>
          <w:i w:val="0"/>
          <w:iCs w:val="0"/>
          <w:smallCaps w:val="0"/>
          <w:spacing w:val="0"/>
        </w:rPr>
        <w:t xml:space="preserve">the </w:t>
      </w:r>
      <w:r w:rsidRPr="00892C3E">
        <w:rPr>
          <w:rStyle w:val="BookTitle"/>
          <w:rFonts w:ascii="Times New Roman" w:hAnsi="Times New Roman" w:cs="Times New Roman"/>
          <w:i w:val="0"/>
          <w:iCs w:val="0"/>
          <w:smallCaps w:val="0"/>
          <w:spacing w:val="0"/>
        </w:rPr>
        <w:t>reporting period</w:t>
      </w:r>
      <w:r w:rsidR="00E37640">
        <w:rPr>
          <w:rStyle w:val="BookTitle"/>
          <w:rFonts w:ascii="Times New Roman" w:hAnsi="Times New Roman" w:cs="Times New Roman"/>
          <w:i w:val="0"/>
          <w:iCs w:val="0"/>
          <w:smallCaps w:val="0"/>
          <w:spacing w:val="0"/>
        </w:rPr>
        <w:t xml:space="preserve"> commencing 1 April 201</w:t>
      </w:r>
      <w:r w:rsidR="008D3E9F">
        <w:rPr>
          <w:rStyle w:val="BookTitle"/>
          <w:rFonts w:ascii="Times New Roman" w:hAnsi="Times New Roman" w:cs="Times New Roman"/>
          <w:i w:val="0"/>
          <w:iCs w:val="0"/>
          <w:smallCaps w:val="0"/>
          <w:spacing w:val="0"/>
        </w:rPr>
        <w:t xml:space="preserve">5 </w:t>
      </w:r>
      <w:r w:rsidR="005808F9" w:rsidRPr="00892C3E">
        <w:rPr>
          <w:rStyle w:val="BookTitle"/>
          <w:rFonts w:ascii="Times New Roman" w:hAnsi="Times New Roman" w:cs="Times New Roman"/>
          <w:i w:val="0"/>
          <w:iCs w:val="0"/>
          <w:smallCaps w:val="0"/>
          <w:spacing w:val="0"/>
        </w:rPr>
        <w:t>and each subsequent reporting period</w:t>
      </w:r>
      <w:r w:rsidR="00D827E9" w:rsidRPr="00D26DCF">
        <w:rPr>
          <w:rStyle w:val="BookTitle"/>
          <w:rFonts w:ascii="Times New Roman" w:hAnsi="Times New Roman" w:cs="Times New Roman"/>
          <w:i w:val="0"/>
          <w:iCs w:val="0"/>
          <w:smallCaps w:val="0"/>
          <w:spacing w:val="0"/>
        </w:rPr>
        <w:t xml:space="preserve">. </w:t>
      </w:r>
      <w:r w:rsidR="00335E68" w:rsidRPr="00D26DCF">
        <w:rPr>
          <w:rStyle w:val="BookTitle"/>
          <w:rFonts w:ascii="Times New Roman" w:hAnsi="Times New Roman" w:cs="Times New Roman"/>
          <w:i w:val="0"/>
          <w:iCs w:val="0"/>
          <w:smallCaps w:val="0"/>
          <w:spacing w:val="0"/>
        </w:rPr>
        <w:t>“</w:t>
      </w:r>
      <w:r w:rsidR="005808F9" w:rsidRPr="00D26DCF">
        <w:rPr>
          <w:rStyle w:val="BookTitle"/>
          <w:rFonts w:ascii="Times New Roman" w:hAnsi="Times New Roman" w:cs="Times New Roman"/>
          <w:i w:val="0"/>
          <w:iCs w:val="0"/>
          <w:smallCaps w:val="0"/>
          <w:spacing w:val="0"/>
        </w:rPr>
        <w:t>Employer</w:t>
      </w:r>
      <w:r w:rsidR="00335E68" w:rsidRPr="00D26DCF">
        <w:rPr>
          <w:rStyle w:val="BookTitle"/>
          <w:rFonts w:ascii="Times New Roman" w:hAnsi="Times New Roman" w:cs="Times New Roman"/>
          <w:i w:val="0"/>
          <w:iCs w:val="0"/>
          <w:smallCaps w:val="0"/>
          <w:spacing w:val="0"/>
        </w:rPr>
        <w:t>”</w:t>
      </w:r>
      <w:r w:rsidR="005808F9" w:rsidRPr="00D26DCF">
        <w:rPr>
          <w:rStyle w:val="BookTitle"/>
          <w:rFonts w:ascii="Times New Roman" w:hAnsi="Times New Roman" w:cs="Times New Roman"/>
          <w:i w:val="0"/>
          <w:iCs w:val="0"/>
          <w:smallCaps w:val="0"/>
          <w:spacing w:val="0"/>
        </w:rPr>
        <w:t xml:space="preserve"> is defined by section 4 of the Instrument to mean a relevant employer that is the employer of </w:t>
      </w:r>
      <w:r w:rsidR="00E37640">
        <w:rPr>
          <w:rStyle w:val="BookTitle"/>
          <w:rFonts w:ascii="Times New Roman" w:hAnsi="Times New Roman" w:cs="Times New Roman"/>
          <w:i w:val="0"/>
          <w:iCs w:val="0"/>
          <w:smallCaps w:val="0"/>
          <w:spacing w:val="0"/>
        </w:rPr>
        <w:t>500</w:t>
      </w:r>
      <w:r w:rsidR="005808F9" w:rsidRPr="00D26DCF">
        <w:rPr>
          <w:rStyle w:val="BookTitle"/>
          <w:rFonts w:ascii="Times New Roman" w:hAnsi="Times New Roman" w:cs="Times New Roman"/>
          <w:i w:val="0"/>
          <w:iCs w:val="0"/>
          <w:smallCaps w:val="0"/>
          <w:spacing w:val="0"/>
        </w:rPr>
        <w:t xml:space="preserve"> or more employees in Australia</w:t>
      </w:r>
      <w:r w:rsidR="00086636" w:rsidRPr="00D26DCF">
        <w:rPr>
          <w:rStyle w:val="BookTitle"/>
          <w:rFonts w:ascii="Times New Roman" w:hAnsi="Times New Roman" w:cs="Times New Roman"/>
          <w:i w:val="0"/>
          <w:iCs w:val="0"/>
          <w:smallCaps w:val="0"/>
          <w:spacing w:val="0"/>
        </w:rPr>
        <w:t>.</w:t>
      </w:r>
    </w:p>
    <w:p w:rsidR="005B5E3E" w:rsidRDefault="005B5E3E" w:rsidP="00E0036A">
      <w:pPr>
        <w:spacing w:after="0"/>
        <w:rPr>
          <w:rStyle w:val="BookTitle"/>
          <w:rFonts w:ascii="Times New Roman" w:hAnsi="Times New Roman" w:cs="Times New Roman"/>
          <w:i w:val="0"/>
          <w:iCs w:val="0"/>
          <w:smallCaps w:val="0"/>
          <w:spacing w:val="0"/>
        </w:rPr>
      </w:pPr>
    </w:p>
    <w:p w:rsidR="007F1CA2" w:rsidRDefault="00C7077E" w:rsidP="00E0036A">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the reporting period commencing 1 April 2014, subsection 5(2) of the Instrument provides that the minimum standards will apply to an Employer from 1 October 2014 to the end of that period (31 March 2015).</w:t>
      </w:r>
    </w:p>
    <w:p w:rsidR="00C7077E" w:rsidRPr="00D26DCF" w:rsidRDefault="00C7077E" w:rsidP="00E0036A">
      <w:pPr>
        <w:spacing w:after="0"/>
        <w:rPr>
          <w:rStyle w:val="BookTitle"/>
          <w:rFonts w:ascii="Times New Roman" w:hAnsi="Times New Roman" w:cs="Times New Roman"/>
          <w:i w:val="0"/>
          <w:iCs w:val="0"/>
          <w:smallCaps w:val="0"/>
          <w:spacing w:val="0"/>
        </w:rPr>
      </w:pPr>
    </w:p>
    <w:p w:rsidR="00240AE8" w:rsidRPr="00D26DCF" w:rsidRDefault="005B5E3E" w:rsidP="00E0036A">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Subsection 5(</w:t>
      </w:r>
      <w:r w:rsidRPr="00C7077E">
        <w:rPr>
          <w:rStyle w:val="BookTitle"/>
          <w:rFonts w:ascii="Times New Roman" w:hAnsi="Times New Roman" w:cs="Times New Roman"/>
          <w:i w:val="0"/>
          <w:iCs w:val="0"/>
          <w:smallCaps w:val="0"/>
          <w:spacing w:val="0"/>
        </w:rPr>
        <w:t>3</w:t>
      </w:r>
      <w:r w:rsidR="009C4179" w:rsidRPr="00C7077E">
        <w:rPr>
          <w:rStyle w:val="BookTitle"/>
          <w:rFonts w:ascii="Times New Roman" w:hAnsi="Times New Roman" w:cs="Times New Roman"/>
          <w:i w:val="0"/>
          <w:iCs w:val="0"/>
          <w:smallCaps w:val="0"/>
          <w:spacing w:val="0"/>
        </w:rPr>
        <w:t>)</w:t>
      </w:r>
      <w:r w:rsidR="009C4179" w:rsidRPr="00D26DCF">
        <w:rPr>
          <w:rStyle w:val="BookTitle"/>
          <w:rFonts w:ascii="Times New Roman" w:hAnsi="Times New Roman" w:cs="Times New Roman"/>
          <w:i w:val="0"/>
          <w:iCs w:val="0"/>
          <w:smallCaps w:val="0"/>
          <w:spacing w:val="0"/>
        </w:rPr>
        <w:t xml:space="preserve"> of the Instrument </w:t>
      </w:r>
      <w:r w:rsidR="00086636" w:rsidRPr="00D26DCF">
        <w:rPr>
          <w:rStyle w:val="BookTitle"/>
          <w:rFonts w:ascii="Times New Roman" w:hAnsi="Times New Roman" w:cs="Times New Roman"/>
          <w:i w:val="0"/>
          <w:iCs w:val="0"/>
          <w:smallCaps w:val="0"/>
          <w:spacing w:val="0"/>
        </w:rPr>
        <w:t xml:space="preserve">describes the </w:t>
      </w:r>
      <w:r w:rsidR="009C4179" w:rsidRPr="00D26DCF">
        <w:rPr>
          <w:rStyle w:val="BookTitle"/>
          <w:rFonts w:ascii="Times New Roman" w:hAnsi="Times New Roman" w:cs="Times New Roman"/>
          <w:i w:val="0"/>
          <w:iCs w:val="0"/>
          <w:smallCaps w:val="0"/>
          <w:spacing w:val="0"/>
        </w:rPr>
        <w:t>minimum standards</w:t>
      </w:r>
      <w:r w:rsidR="003269BD">
        <w:rPr>
          <w:rStyle w:val="BookTitle"/>
          <w:rFonts w:ascii="Times New Roman" w:hAnsi="Times New Roman" w:cs="Times New Roman"/>
          <w:i w:val="0"/>
          <w:iCs w:val="0"/>
          <w:smallCaps w:val="0"/>
          <w:spacing w:val="0"/>
        </w:rPr>
        <w:t xml:space="preserve">. </w:t>
      </w:r>
      <w:r w:rsidR="00335E68" w:rsidRPr="00D26DCF">
        <w:rPr>
          <w:rStyle w:val="BookTitle"/>
          <w:rFonts w:ascii="Times New Roman" w:hAnsi="Times New Roman" w:cs="Times New Roman"/>
          <w:i w:val="0"/>
          <w:iCs w:val="0"/>
          <w:smallCaps w:val="0"/>
          <w:spacing w:val="0"/>
        </w:rPr>
        <w:t>P</w:t>
      </w:r>
      <w:r w:rsidR="00240AE8" w:rsidRPr="00892C3E">
        <w:rPr>
          <w:rStyle w:val="BookTitle"/>
          <w:rFonts w:ascii="Times New Roman" w:hAnsi="Times New Roman" w:cs="Times New Roman"/>
          <w:i w:val="0"/>
          <w:iCs w:val="0"/>
          <w:smallCaps w:val="0"/>
          <w:spacing w:val="0"/>
        </w:rPr>
        <w:t>aragraph 5(2</w:t>
      </w:r>
      <w:proofErr w:type="gramStart"/>
      <w:r w:rsidR="00240AE8" w:rsidRPr="00892C3E">
        <w:rPr>
          <w:rStyle w:val="BookTitle"/>
          <w:rFonts w:ascii="Times New Roman" w:hAnsi="Times New Roman" w:cs="Times New Roman"/>
          <w:i w:val="0"/>
          <w:iCs w:val="0"/>
          <w:smallCaps w:val="0"/>
          <w:spacing w:val="0"/>
        </w:rPr>
        <w:t>)(</w:t>
      </w:r>
      <w:proofErr w:type="gramEnd"/>
      <w:r w:rsidR="00240AE8" w:rsidRPr="00892C3E">
        <w:rPr>
          <w:rStyle w:val="BookTitle"/>
          <w:rFonts w:ascii="Times New Roman" w:hAnsi="Times New Roman" w:cs="Times New Roman"/>
          <w:i w:val="0"/>
          <w:iCs w:val="0"/>
          <w:smallCaps w:val="0"/>
          <w:spacing w:val="0"/>
        </w:rPr>
        <w:t>a) of t</w:t>
      </w:r>
      <w:r w:rsidR="009C4179" w:rsidRPr="00892C3E">
        <w:rPr>
          <w:rStyle w:val="BookTitle"/>
          <w:rFonts w:ascii="Times New Roman" w:hAnsi="Times New Roman" w:cs="Times New Roman"/>
          <w:i w:val="0"/>
          <w:iCs w:val="0"/>
          <w:smallCaps w:val="0"/>
          <w:spacing w:val="0"/>
        </w:rPr>
        <w:t>he minimum standards require</w:t>
      </w:r>
      <w:r w:rsidR="00240AE8" w:rsidRPr="00D26DCF">
        <w:rPr>
          <w:rStyle w:val="BookTitle"/>
          <w:rFonts w:ascii="Times New Roman" w:hAnsi="Times New Roman" w:cs="Times New Roman"/>
          <w:i w:val="0"/>
          <w:iCs w:val="0"/>
          <w:smallCaps w:val="0"/>
          <w:spacing w:val="0"/>
        </w:rPr>
        <w:t>s</w:t>
      </w:r>
      <w:r w:rsidR="009C4179" w:rsidRPr="00D26DCF">
        <w:rPr>
          <w:rStyle w:val="BookTitle"/>
          <w:rFonts w:ascii="Times New Roman" w:hAnsi="Times New Roman" w:cs="Times New Roman"/>
          <w:i w:val="0"/>
          <w:iCs w:val="0"/>
          <w:smallCaps w:val="0"/>
          <w:spacing w:val="0"/>
        </w:rPr>
        <w:t xml:space="preserve"> </w:t>
      </w:r>
      <w:r w:rsidR="00086636" w:rsidRPr="00D26DCF">
        <w:rPr>
          <w:rStyle w:val="BookTitle"/>
          <w:rFonts w:ascii="Times New Roman" w:hAnsi="Times New Roman" w:cs="Times New Roman"/>
          <w:i w:val="0"/>
          <w:iCs w:val="0"/>
          <w:smallCaps w:val="0"/>
          <w:spacing w:val="0"/>
        </w:rPr>
        <w:t>Employers to have in place policies or strategies to support one or more of the specified gender equality indicators</w:t>
      </w:r>
      <w:r w:rsidR="003269BD">
        <w:rPr>
          <w:rStyle w:val="BookTitle"/>
          <w:rFonts w:ascii="Times New Roman" w:hAnsi="Times New Roman" w:cs="Times New Roman"/>
          <w:i w:val="0"/>
          <w:iCs w:val="0"/>
          <w:smallCaps w:val="0"/>
          <w:spacing w:val="0"/>
        </w:rPr>
        <w:t xml:space="preserve">. </w:t>
      </w:r>
      <w:r w:rsidR="00335E68" w:rsidRPr="00D26DCF">
        <w:rPr>
          <w:rStyle w:val="BookTitle"/>
          <w:rFonts w:ascii="Times New Roman" w:hAnsi="Times New Roman" w:cs="Times New Roman"/>
          <w:i w:val="0"/>
          <w:iCs w:val="0"/>
          <w:smallCaps w:val="0"/>
          <w:spacing w:val="0"/>
        </w:rPr>
        <w:t>P</w:t>
      </w:r>
      <w:r w:rsidR="00240AE8" w:rsidRPr="00D26DCF">
        <w:rPr>
          <w:rStyle w:val="BookTitle"/>
          <w:rFonts w:ascii="Times New Roman" w:hAnsi="Times New Roman" w:cs="Times New Roman"/>
          <w:i w:val="0"/>
          <w:iCs w:val="0"/>
          <w:smallCaps w:val="0"/>
          <w:spacing w:val="0"/>
        </w:rPr>
        <w:t>aragraph 5(2</w:t>
      </w:r>
      <w:proofErr w:type="gramStart"/>
      <w:r w:rsidR="00240AE8" w:rsidRPr="00D26DCF">
        <w:rPr>
          <w:rStyle w:val="BookTitle"/>
          <w:rFonts w:ascii="Times New Roman" w:hAnsi="Times New Roman" w:cs="Times New Roman"/>
          <w:i w:val="0"/>
          <w:iCs w:val="0"/>
          <w:smallCaps w:val="0"/>
          <w:spacing w:val="0"/>
        </w:rPr>
        <w:t>)(</w:t>
      </w:r>
      <w:proofErr w:type="gramEnd"/>
      <w:r w:rsidR="00240AE8" w:rsidRPr="00D26DCF">
        <w:rPr>
          <w:rStyle w:val="BookTitle"/>
          <w:rFonts w:ascii="Times New Roman" w:hAnsi="Times New Roman" w:cs="Times New Roman"/>
          <w:i w:val="0"/>
          <w:iCs w:val="0"/>
          <w:smallCaps w:val="0"/>
          <w:spacing w:val="0"/>
        </w:rPr>
        <w:t xml:space="preserve">b) </w:t>
      </w:r>
      <w:r w:rsidR="00261938" w:rsidRPr="00D26DCF">
        <w:rPr>
          <w:rStyle w:val="BookTitle"/>
          <w:rFonts w:ascii="Times New Roman" w:hAnsi="Times New Roman" w:cs="Times New Roman"/>
          <w:i w:val="0"/>
          <w:iCs w:val="0"/>
          <w:smallCaps w:val="0"/>
          <w:spacing w:val="0"/>
        </w:rPr>
        <w:t xml:space="preserve">sets out </w:t>
      </w:r>
      <w:r w:rsidR="00240AE8" w:rsidRPr="00D26DCF">
        <w:rPr>
          <w:rStyle w:val="BookTitle"/>
          <w:rFonts w:ascii="Times New Roman" w:hAnsi="Times New Roman" w:cs="Times New Roman"/>
          <w:i w:val="0"/>
          <w:iCs w:val="0"/>
          <w:smallCaps w:val="0"/>
          <w:spacing w:val="0"/>
        </w:rPr>
        <w:t xml:space="preserve"> </w:t>
      </w:r>
      <w:r w:rsidR="00E56B41" w:rsidRPr="00D26DCF">
        <w:rPr>
          <w:rStyle w:val="BookTitle"/>
          <w:rFonts w:ascii="Times New Roman" w:hAnsi="Times New Roman" w:cs="Times New Roman"/>
          <w:i w:val="0"/>
          <w:iCs w:val="0"/>
          <w:smallCaps w:val="0"/>
          <w:spacing w:val="0"/>
        </w:rPr>
        <w:t xml:space="preserve">the requirement that </w:t>
      </w:r>
      <w:r w:rsidR="00F8359E" w:rsidRPr="00D26DCF">
        <w:rPr>
          <w:rStyle w:val="BookTitle"/>
          <w:rFonts w:ascii="Times New Roman" w:hAnsi="Times New Roman" w:cs="Times New Roman"/>
          <w:i w:val="0"/>
          <w:iCs w:val="0"/>
          <w:smallCaps w:val="0"/>
          <w:spacing w:val="0"/>
        </w:rPr>
        <w:t xml:space="preserve">the </w:t>
      </w:r>
      <w:r w:rsidR="00086636" w:rsidRPr="00D26DCF">
        <w:rPr>
          <w:rStyle w:val="BookTitle"/>
          <w:rFonts w:ascii="Times New Roman" w:hAnsi="Times New Roman" w:cs="Times New Roman"/>
          <w:i w:val="0"/>
          <w:iCs w:val="0"/>
          <w:smallCaps w:val="0"/>
          <w:spacing w:val="0"/>
        </w:rPr>
        <w:t xml:space="preserve">policies or strategies </w:t>
      </w:r>
      <w:r w:rsidR="00E56B41" w:rsidRPr="00D26DCF">
        <w:rPr>
          <w:rStyle w:val="BookTitle"/>
          <w:rFonts w:ascii="Times New Roman" w:hAnsi="Times New Roman" w:cs="Times New Roman"/>
          <w:i w:val="0"/>
          <w:iCs w:val="0"/>
          <w:smallCaps w:val="0"/>
          <w:spacing w:val="0"/>
        </w:rPr>
        <w:t>must</w:t>
      </w:r>
      <w:r w:rsidR="00335E68" w:rsidRPr="00D26DCF">
        <w:rPr>
          <w:rStyle w:val="BookTitle"/>
          <w:rFonts w:ascii="Times New Roman" w:hAnsi="Times New Roman" w:cs="Times New Roman"/>
          <w:i w:val="0"/>
          <w:iCs w:val="0"/>
          <w:smallCaps w:val="0"/>
          <w:spacing w:val="0"/>
        </w:rPr>
        <w:t xml:space="preserve"> </w:t>
      </w:r>
      <w:r w:rsidR="00BF4CF5" w:rsidRPr="00D26DCF">
        <w:rPr>
          <w:rStyle w:val="BookTitle"/>
          <w:rFonts w:ascii="Times New Roman" w:hAnsi="Times New Roman" w:cs="Times New Roman"/>
          <w:i w:val="0"/>
          <w:iCs w:val="0"/>
          <w:smallCaps w:val="0"/>
          <w:spacing w:val="0"/>
        </w:rPr>
        <w:t xml:space="preserve">aim to achieve </w:t>
      </w:r>
      <w:r w:rsidR="00086636" w:rsidRPr="00D26DCF">
        <w:rPr>
          <w:rStyle w:val="BookTitle"/>
          <w:rFonts w:ascii="Times New Roman" w:hAnsi="Times New Roman" w:cs="Times New Roman"/>
          <w:i w:val="0"/>
          <w:iCs w:val="0"/>
          <w:smallCaps w:val="0"/>
          <w:spacing w:val="0"/>
        </w:rPr>
        <w:t xml:space="preserve">the particular objective described in column 2 of the table for </w:t>
      </w:r>
      <w:r w:rsidR="00E56B41" w:rsidRPr="00D26DCF">
        <w:rPr>
          <w:rStyle w:val="BookTitle"/>
          <w:rFonts w:ascii="Times New Roman" w:hAnsi="Times New Roman" w:cs="Times New Roman"/>
          <w:i w:val="0"/>
          <w:iCs w:val="0"/>
          <w:smallCaps w:val="0"/>
          <w:spacing w:val="0"/>
        </w:rPr>
        <w:t xml:space="preserve">each specified </w:t>
      </w:r>
      <w:r w:rsidR="00086636" w:rsidRPr="00D26DCF">
        <w:rPr>
          <w:rStyle w:val="BookTitle"/>
          <w:rFonts w:ascii="Times New Roman" w:hAnsi="Times New Roman" w:cs="Times New Roman"/>
          <w:i w:val="0"/>
          <w:iCs w:val="0"/>
          <w:smallCaps w:val="0"/>
          <w:spacing w:val="0"/>
        </w:rPr>
        <w:t>gender equality indicator</w:t>
      </w:r>
      <w:r w:rsidR="003269BD">
        <w:rPr>
          <w:rStyle w:val="BookTitle"/>
          <w:rFonts w:ascii="Times New Roman" w:hAnsi="Times New Roman" w:cs="Times New Roman"/>
          <w:i w:val="0"/>
          <w:iCs w:val="0"/>
          <w:smallCaps w:val="0"/>
          <w:spacing w:val="0"/>
        </w:rPr>
        <w:t xml:space="preserve">. </w:t>
      </w:r>
    </w:p>
    <w:p w:rsidR="00240AE8" w:rsidRPr="00D26DCF" w:rsidRDefault="00240AE8" w:rsidP="00E0036A">
      <w:pPr>
        <w:spacing w:after="0"/>
        <w:rPr>
          <w:rStyle w:val="BookTitle"/>
          <w:rFonts w:ascii="Times New Roman" w:hAnsi="Times New Roman" w:cs="Times New Roman"/>
          <w:i w:val="0"/>
          <w:iCs w:val="0"/>
          <w:smallCaps w:val="0"/>
          <w:spacing w:val="0"/>
        </w:rPr>
      </w:pPr>
    </w:p>
    <w:p w:rsidR="00EC7277" w:rsidRPr="00D26DCF" w:rsidRDefault="002515F0" w:rsidP="00E0036A">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Relevant employers are required to </w:t>
      </w:r>
      <w:r w:rsidR="00E56B41" w:rsidRPr="00D26DCF">
        <w:rPr>
          <w:rStyle w:val="BookTitle"/>
          <w:rFonts w:ascii="Times New Roman" w:hAnsi="Times New Roman" w:cs="Times New Roman"/>
          <w:i w:val="0"/>
          <w:iCs w:val="0"/>
          <w:smallCaps w:val="0"/>
          <w:spacing w:val="0"/>
        </w:rPr>
        <w:t>provide information on the</w:t>
      </w:r>
      <w:r w:rsidRPr="00D26DCF">
        <w:rPr>
          <w:rStyle w:val="BookTitle"/>
          <w:rFonts w:ascii="Times New Roman" w:hAnsi="Times New Roman" w:cs="Times New Roman"/>
          <w:i w:val="0"/>
          <w:iCs w:val="0"/>
          <w:smallCaps w:val="0"/>
          <w:spacing w:val="0"/>
        </w:rPr>
        <w:t xml:space="preserve"> existence of policies or strategies relating to the objectives described in column 2 of the table </w:t>
      </w:r>
      <w:r w:rsidR="00240AE8" w:rsidRPr="00D26DCF">
        <w:rPr>
          <w:rStyle w:val="BookTitle"/>
          <w:rFonts w:ascii="Times New Roman" w:hAnsi="Times New Roman" w:cs="Times New Roman"/>
          <w:i w:val="0"/>
          <w:iCs w:val="0"/>
          <w:smallCaps w:val="0"/>
          <w:spacing w:val="0"/>
        </w:rPr>
        <w:t>in their reports to the Agency</w:t>
      </w:r>
      <w:r w:rsidR="003269BD">
        <w:rPr>
          <w:rStyle w:val="BookTitle"/>
          <w:rFonts w:ascii="Times New Roman" w:hAnsi="Times New Roman" w:cs="Times New Roman"/>
          <w:i w:val="0"/>
          <w:iCs w:val="0"/>
          <w:smallCaps w:val="0"/>
          <w:spacing w:val="0"/>
        </w:rPr>
        <w:t xml:space="preserve">. </w:t>
      </w:r>
      <w:r w:rsidRPr="00D26DCF">
        <w:rPr>
          <w:rStyle w:val="BookTitle"/>
          <w:rFonts w:ascii="Times New Roman" w:hAnsi="Times New Roman" w:cs="Times New Roman"/>
          <w:i w:val="0"/>
          <w:iCs w:val="0"/>
          <w:smallCaps w:val="0"/>
          <w:spacing w:val="0"/>
        </w:rPr>
        <w:t>The Agency will be able to identify whether a</w:t>
      </w:r>
      <w:r w:rsidR="00240AE8" w:rsidRPr="00D26DCF">
        <w:rPr>
          <w:rStyle w:val="BookTitle"/>
          <w:rFonts w:ascii="Times New Roman" w:hAnsi="Times New Roman" w:cs="Times New Roman"/>
          <w:i w:val="0"/>
          <w:iCs w:val="0"/>
          <w:smallCaps w:val="0"/>
          <w:spacing w:val="0"/>
        </w:rPr>
        <w:t xml:space="preserve">n Employer </w:t>
      </w:r>
      <w:r w:rsidRPr="00D26DCF">
        <w:rPr>
          <w:rStyle w:val="BookTitle"/>
          <w:rFonts w:ascii="Times New Roman" w:hAnsi="Times New Roman" w:cs="Times New Roman"/>
          <w:i w:val="0"/>
          <w:iCs w:val="0"/>
          <w:smallCaps w:val="0"/>
          <w:spacing w:val="0"/>
        </w:rPr>
        <w:t xml:space="preserve">has met the minimum </w:t>
      </w:r>
      <w:r w:rsidR="00240AE8" w:rsidRPr="00D26DCF">
        <w:rPr>
          <w:rStyle w:val="BookTitle"/>
          <w:rFonts w:ascii="Times New Roman" w:hAnsi="Times New Roman" w:cs="Times New Roman"/>
          <w:i w:val="0"/>
          <w:iCs w:val="0"/>
          <w:smallCaps w:val="0"/>
          <w:spacing w:val="0"/>
        </w:rPr>
        <w:t>standards in a reporting period by reviewing the E</w:t>
      </w:r>
      <w:r w:rsidRPr="00D26DCF">
        <w:rPr>
          <w:rStyle w:val="BookTitle"/>
          <w:rFonts w:ascii="Times New Roman" w:hAnsi="Times New Roman" w:cs="Times New Roman"/>
          <w:i w:val="0"/>
          <w:iCs w:val="0"/>
          <w:smallCaps w:val="0"/>
          <w:spacing w:val="0"/>
        </w:rPr>
        <w:t xml:space="preserve">mployer’s </w:t>
      </w:r>
      <w:r w:rsidR="00240AE8" w:rsidRPr="00D26DCF">
        <w:rPr>
          <w:rStyle w:val="BookTitle"/>
          <w:rFonts w:ascii="Times New Roman" w:hAnsi="Times New Roman" w:cs="Times New Roman"/>
          <w:i w:val="0"/>
          <w:iCs w:val="0"/>
          <w:smallCaps w:val="0"/>
          <w:spacing w:val="0"/>
        </w:rPr>
        <w:t>report to the Agency for that period.</w:t>
      </w:r>
    </w:p>
    <w:p w:rsidR="00086636" w:rsidRPr="00D26DCF" w:rsidRDefault="00086636" w:rsidP="00E0036A">
      <w:pPr>
        <w:spacing w:after="0"/>
        <w:rPr>
          <w:rStyle w:val="BookTitle"/>
          <w:rFonts w:ascii="Times New Roman" w:hAnsi="Times New Roman" w:cs="Times New Roman"/>
          <w:i w:val="0"/>
          <w:iCs w:val="0"/>
          <w:smallCaps w:val="0"/>
          <w:spacing w:val="0"/>
        </w:rPr>
      </w:pPr>
    </w:p>
    <w:p w:rsidR="00086636" w:rsidRPr="00D26DCF" w:rsidRDefault="00086636" w:rsidP="00E0036A">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The table at subsection 5(2) of the Instrument specifies the gender equality indicators and particular objectives that are </w:t>
      </w:r>
      <w:r w:rsidR="00BF4CF5" w:rsidRPr="00D26DCF">
        <w:rPr>
          <w:rStyle w:val="BookTitle"/>
          <w:rFonts w:ascii="Times New Roman" w:hAnsi="Times New Roman" w:cs="Times New Roman"/>
          <w:i w:val="0"/>
          <w:iCs w:val="0"/>
          <w:smallCaps w:val="0"/>
          <w:spacing w:val="0"/>
        </w:rPr>
        <w:t xml:space="preserve">the subject of </w:t>
      </w:r>
      <w:r w:rsidRPr="00D26DCF">
        <w:rPr>
          <w:rStyle w:val="BookTitle"/>
          <w:rFonts w:ascii="Times New Roman" w:hAnsi="Times New Roman" w:cs="Times New Roman"/>
          <w:i w:val="0"/>
          <w:iCs w:val="0"/>
          <w:smallCaps w:val="0"/>
          <w:spacing w:val="0"/>
        </w:rPr>
        <w:t>the minimum standards</w:t>
      </w:r>
      <w:r w:rsidR="003269BD">
        <w:rPr>
          <w:rStyle w:val="BookTitle"/>
          <w:rFonts w:ascii="Times New Roman" w:hAnsi="Times New Roman" w:cs="Times New Roman"/>
          <w:i w:val="0"/>
          <w:iCs w:val="0"/>
          <w:smallCaps w:val="0"/>
          <w:spacing w:val="0"/>
        </w:rPr>
        <w:t xml:space="preserve">. </w:t>
      </w:r>
    </w:p>
    <w:p w:rsidR="00DE14BF" w:rsidRPr="00D26DCF" w:rsidRDefault="00DE14BF" w:rsidP="00E0036A">
      <w:pPr>
        <w:spacing w:after="0"/>
        <w:rPr>
          <w:rStyle w:val="BookTitle"/>
          <w:rFonts w:ascii="Times New Roman" w:hAnsi="Times New Roman" w:cs="Times New Roman"/>
          <w:i w:val="0"/>
          <w:iCs w:val="0"/>
          <w:smallCaps w:val="0"/>
          <w:spacing w:val="0"/>
        </w:rPr>
      </w:pPr>
    </w:p>
    <w:p w:rsidR="00086636" w:rsidRPr="00D26DCF" w:rsidRDefault="00086636" w:rsidP="00CD5D14">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lastRenderedPageBreak/>
        <w:t xml:space="preserve">Item 1 of the table </w:t>
      </w:r>
      <w:r w:rsidR="00E56B41" w:rsidRPr="00D26DCF">
        <w:rPr>
          <w:rStyle w:val="BookTitle"/>
          <w:rFonts w:ascii="Times New Roman" w:hAnsi="Times New Roman" w:cs="Times New Roman"/>
          <w:i w:val="0"/>
          <w:iCs w:val="0"/>
          <w:smallCaps w:val="0"/>
          <w:spacing w:val="0"/>
        </w:rPr>
        <w:t>sets out that an</w:t>
      </w:r>
      <w:r w:rsidRPr="00D26DCF">
        <w:rPr>
          <w:rStyle w:val="BookTitle"/>
          <w:rFonts w:ascii="Times New Roman" w:hAnsi="Times New Roman" w:cs="Times New Roman"/>
          <w:i w:val="0"/>
          <w:iCs w:val="0"/>
          <w:smallCaps w:val="0"/>
          <w:spacing w:val="0"/>
        </w:rPr>
        <w:t xml:space="preserve"> Employer may meet the minimum standards</w:t>
      </w:r>
      <w:r w:rsidR="009746A8" w:rsidRPr="00D26DCF">
        <w:rPr>
          <w:rStyle w:val="BookTitle"/>
          <w:rFonts w:ascii="Times New Roman" w:hAnsi="Times New Roman" w:cs="Times New Roman"/>
          <w:i w:val="0"/>
          <w:iCs w:val="0"/>
          <w:smallCaps w:val="0"/>
          <w:spacing w:val="0"/>
        </w:rPr>
        <w:t xml:space="preserve"> relating to this item</w:t>
      </w:r>
      <w:r w:rsidRPr="00D26DCF">
        <w:rPr>
          <w:rStyle w:val="BookTitle"/>
          <w:rFonts w:ascii="Times New Roman" w:hAnsi="Times New Roman" w:cs="Times New Roman"/>
          <w:i w:val="0"/>
          <w:iCs w:val="0"/>
          <w:smallCaps w:val="0"/>
          <w:spacing w:val="0"/>
        </w:rPr>
        <w:t xml:space="preserve"> by putting in place a policy or strategy to support </w:t>
      </w:r>
      <w:r w:rsidR="00BF4CF5" w:rsidRPr="00D26DCF">
        <w:rPr>
          <w:rStyle w:val="BookTitle"/>
          <w:rFonts w:ascii="Times New Roman" w:hAnsi="Times New Roman" w:cs="Times New Roman"/>
          <w:i w:val="0"/>
          <w:iCs w:val="0"/>
          <w:smallCaps w:val="0"/>
          <w:spacing w:val="0"/>
        </w:rPr>
        <w:t xml:space="preserve">the </w:t>
      </w:r>
      <w:r w:rsidRPr="00D26DCF">
        <w:rPr>
          <w:rStyle w:val="BookTitle"/>
          <w:rFonts w:ascii="Times New Roman" w:hAnsi="Times New Roman" w:cs="Times New Roman"/>
          <w:i w:val="0"/>
          <w:iCs w:val="0"/>
          <w:smallCaps w:val="0"/>
          <w:spacing w:val="0"/>
        </w:rPr>
        <w:t xml:space="preserve">gender equality indicator: </w:t>
      </w:r>
      <w:r w:rsidR="00655CFB">
        <w:rPr>
          <w:rStyle w:val="BookTitle"/>
          <w:rFonts w:ascii="Times New Roman" w:hAnsi="Times New Roman" w:cs="Times New Roman"/>
          <w:iCs w:val="0"/>
          <w:smallCaps w:val="0"/>
          <w:spacing w:val="0"/>
        </w:rPr>
        <w:t>gender composition of</w:t>
      </w:r>
      <w:r w:rsidRPr="00D26DCF">
        <w:rPr>
          <w:rStyle w:val="BookTitle"/>
          <w:rFonts w:ascii="Times New Roman" w:hAnsi="Times New Roman" w:cs="Times New Roman"/>
          <w:iCs w:val="0"/>
          <w:smallCaps w:val="0"/>
          <w:spacing w:val="0"/>
        </w:rPr>
        <w:t xml:space="preserve"> the workforce</w:t>
      </w:r>
      <w:r w:rsidR="003269BD">
        <w:rPr>
          <w:rStyle w:val="BookTitle"/>
          <w:rFonts w:ascii="Times New Roman" w:hAnsi="Times New Roman" w:cs="Times New Roman"/>
          <w:i w:val="0"/>
          <w:iCs w:val="0"/>
          <w:smallCaps w:val="0"/>
          <w:spacing w:val="0"/>
        </w:rPr>
        <w:t xml:space="preserve">. </w:t>
      </w:r>
      <w:r w:rsidR="009746A8" w:rsidRPr="00D26DCF">
        <w:rPr>
          <w:rStyle w:val="BookTitle"/>
          <w:rFonts w:ascii="Times New Roman" w:hAnsi="Times New Roman" w:cs="Times New Roman"/>
          <w:i w:val="0"/>
          <w:iCs w:val="0"/>
          <w:smallCaps w:val="0"/>
          <w:spacing w:val="0"/>
        </w:rPr>
        <w:t>S</w:t>
      </w:r>
      <w:r w:rsidRPr="00D26DCF">
        <w:rPr>
          <w:rStyle w:val="BookTitle"/>
          <w:rFonts w:ascii="Times New Roman" w:hAnsi="Times New Roman" w:cs="Times New Roman"/>
          <w:i w:val="0"/>
          <w:iCs w:val="0"/>
          <w:smallCaps w:val="0"/>
          <w:spacing w:val="0"/>
        </w:rPr>
        <w:t xml:space="preserve">uch a policy or strategy must </w:t>
      </w:r>
      <w:r w:rsidR="000F4E6B">
        <w:rPr>
          <w:rStyle w:val="BookTitle"/>
          <w:rFonts w:ascii="Times New Roman" w:hAnsi="Times New Roman" w:cs="Times New Roman"/>
          <w:i w:val="0"/>
          <w:iCs w:val="0"/>
          <w:smallCaps w:val="0"/>
          <w:spacing w:val="0"/>
        </w:rPr>
        <w:t xml:space="preserve">aim </w:t>
      </w:r>
      <w:r w:rsidRPr="00D26DCF">
        <w:rPr>
          <w:rStyle w:val="BookTitle"/>
          <w:rFonts w:ascii="Times New Roman" w:hAnsi="Times New Roman" w:cs="Times New Roman"/>
          <w:i w:val="0"/>
          <w:iCs w:val="0"/>
          <w:smallCaps w:val="0"/>
          <w:spacing w:val="0"/>
        </w:rPr>
        <w:t xml:space="preserve">to </w:t>
      </w:r>
      <w:r w:rsidR="000F4E6B">
        <w:rPr>
          <w:rStyle w:val="BookTitle"/>
          <w:rFonts w:ascii="Times New Roman" w:hAnsi="Times New Roman" w:cs="Times New Roman"/>
          <w:i w:val="0"/>
          <w:iCs w:val="0"/>
          <w:smallCaps w:val="0"/>
          <w:spacing w:val="0"/>
        </w:rPr>
        <w:t xml:space="preserve">achieve the objective of </w:t>
      </w:r>
      <w:r w:rsidRPr="00D26DCF">
        <w:rPr>
          <w:rStyle w:val="BookTitle"/>
          <w:rFonts w:ascii="Times New Roman" w:hAnsi="Times New Roman" w:cs="Times New Roman"/>
          <w:i w:val="0"/>
          <w:iCs w:val="0"/>
          <w:smallCaps w:val="0"/>
          <w:spacing w:val="0"/>
        </w:rPr>
        <w:t>support</w:t>
      </w:r>
      <w:r w:rsidR="000F4E6B">
        <w:rPr>
          <w:rStyle w:val="BookTitle"/>
          <w:rFonts w:ascii="Times New Roman" w:hAnsi="Times New Roman" w:cs="Times New Roman"/>
          <w:i w:val="0"/>
          <w:iCs w:val="0"/>
          <w:smallCaps w:val="0"/>
          <w:spacing w:val="0"/>
        </w:rPr>
        <w:t>ing</w:t>
      </w:r>
      <w:r w:rsidRPr="00D26DCF">
        <w:rPr>
          <w:rStyle w:val="BookTitle"/>
          <w:rFonts w:ascii="Times New Roman" w:hAnsi="Times New Roman" w:cs="Times New Roman"/>
          <w:i w:val="0"/>
          <w:iCs w:val="0"/>
          <w:smallCaps w:val="0"/>
          <w:spacing w:val="0"/>
        </w:rPr>
        <w:t xml:space="preserve"> gender equality in the Employer’</w:t>
      </w:r>
      <w:r w:rsidR="00091F60" w:rsidRPr="00D26DCF">
        <w:rPr>
          <w:rStyle w:val="BookTitle"/>
          <w:rFonts w:ascii="Times New Roman" w:hAnsi="Times New Roman" w:cs="Times New Roman"/>
          <w:i w:val="0"/>
          <w:iCs w:val="0"/>
          <w:smallCaps w:val="0"/>
          <w:spacing w:val="0"/>
        </w:rPr>
        <w:t>s workplace.</w:t>
      </w:r>
      <w:r w:rsidR="00240AE8" w:rsidRPr="00D26DCF">
        <w:rPr>
          <w:rStyle w:val="BookTitle"/>
          <w:rFonts w:ascii="Times New Roman" w:hAnsi="Times New Roman" w:cs="Times New Roman"/>
          <w:i w:val="0"/>
          <w:iCs w:val="0"/>
          <w:smallCaps w:val="0"/>
          <w:spacing w:val="0"/>
        </w:rPr>
        <w:t xml:space="preserve"> </w:t>
      </w:r>
    </w:p>
    <w:p w:rsidR="00B43049" w:rsidRPr="00D26DCF" w:rsidRDefault="00B43049" w:rsidP="00E0036A">
      <w:pPr>
        <w:spacing w:after="0"/>
        <w:rPr>
          <w:rStyle w:val="BookTitle"/>
          <w:rFonts w:ascii="Times New Roman" w:hAnsi="Times New Roman" w:cs="Times New Roman"/>
          <w:i w:val="0"/>
          <w:iCs w:val="0"/>
          <w:smallCaps w:val="0"/>
          <w:spacing w:val="0"/>
        </w:rPr>
      </w:pPr>
    </w:p>
    <w:p w:rsidR="00086636" w:rsidRPr="00D26DCF" w:rsidRDefault="00086636" w:rsidP="00086636">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Item 2 of the table </w:t>
      </w:r>
      <w:r w:rsidR="000F4E6B">
        <w:rPr>
          <w:rStyle w:val="BookTitle"/>
          <w:rFonts w:ascii="Times New Roman" w:hAnsi="Times New Roman" w:cs="Times New Roman"/>
          <w:i w:val="0"/>
          <w:iCs w:val="0"/>
          <w:smallCaps w:val="0"/>
          <w:spacing w:val="0"/>
        </w:rPr>
        <w:t xml:space="preserve">sets out </w:t>
      </w:r>
      <w:r w:rsidRPr="00892C3E">
        <w:rPr>
          <w:rStyle w:val="BookTitle"/>
          <w:rFonts w:ascii="Times New Roman" w:hAnsi="Times New Roman" w:cs="Times New Roman"/>
          <w:i w:val="0"/>
          <w:iCs w:val="0"/>
          <w:smallCaps w:val="0"/>
          <w:spacing w:val="0"/>
        </w:rPr>
        <w:t xml:space="preserve">that an Employer may meet the minimum standards </w:t>
      </w:r>
      <w:r w:rsidR="009746A8" w:rsidRPr="00892C3E">
        <w:rPr>
          <w:rStyle w:val="BookTitle"/>
          <w:rFonts w:ascii="Times New Roman" w:hAnsi="Times New Roman" w:cs="Times New Roman"/>
          <w:i w:val="0"/>
          <w:iCs w:val="0"/>
          <w:smallCaps w:val="0"/>
          <w:spacing w:val="0"/>
        </w:rPr>
        <w:t xml:space="preserve">relating to this item </w:t>
      </w:r>
      <w:r w:rsidRPr="00D26DCF">
        <w:rPr>
          <w:rStyle w:val="BookTitle"/>
          <w:rFonts w:ascii="Times New Roman" w:hAnsi="Times New Roman" w:cs="Times New Roman"/>
          <w:i w:val="0"/>
          <w:iCs w:val="0"/>
          <w:smallCaps w:val="0"/>
          <w:spacing w:val="0"/>
        </w:rPr>
        <w:t xml:space="preserve">by putting in place a policy or strategy to support </w:t>
      </w:r>
      <w:r w:rsidR="00655CFB">
        <w:rPr>
          <w:rStyle w:val="BookTitle"/>
          <w:rFonts w:ascii="Times New Roman" w:hAnsi="Times New Roman" w:cs="Times New Roman"/>
          <w:i w:val="0"/>
          <w:iCs w:val="0"/>
          <w:smallCaps w:val="0"/>
          <w:spacing w:val="0"/>
        </w:rPr>
        <w:t xml:space="preserve">the </w:t>
      </w:r>
      <w:r w:rsidRPr="00D26DCF">
        <w:rPr>
          <w:rStyle w:val="BookTitle"/>
          <w:rFonts w:ascii="Times New Roman" w:hAnsi="Times New Roman" w:cs="Times New Roman"/>
          <w:i w:val="0"/>
          <w:iCs w:val="0"/>
          <w:smallCaps w:val="0"/>
          <w:spacing w:val="0"/>
        </w:rPr>
        <w:t xml:space="preserve">gender equality indicator: </w:t>
      </w:r>
      <w:r w:rsidRPr="00D26DCF">
        <w:rPr>
          <w:rStyle w:val="BookTitle"/>
          <w:rFonts w:ascii="Times New Roman" w:hAnsi="Times New Roman" w:cs="Times New Roman"/>
          <w:iCs w:val="0"/>
          <w:smallCaps w:val="0"/>
          <w:spacing w:val="0"/>
        </w:rPr>
        <w:t>equal remuneration between women and men</w:t>
      </w:r>
      <w:r w:rsidR="003269BD">
        <w:rPr>
          <w:rStyle w:val="BookTitle"/>
          <w:rFonts w:ascii="Times New Roman" w:hAnsi="Times New Roman" w:cs="Times New Roman"/>
          <w:i w:val="0"/>
          <w:iCs w:val="0"/>
          <w:smallCaps w:val="0"/>
          <w:spacing w:val="0"/>
        </w:rPr>
        <w:t xml:space="preserve">. </w:t>
      </w:r>
      <w:r w:rsidR="009746A8" w:rsidRPr="00D26DCF">
        <w:rPr>
          <w:rStyle w:val="BookTitle"/>
          <w:rFonts w:ascii="Times New Roman" w:hAnsi="Times New Roman" w:cs="Times New Roman"/>
          <w:i w:val="0"/>
          <w:iCs w:val="0"/>
          <w:smallCaps w:val="0"/>
          <w:spacing w:val="0"/>
        </w:rPr>
        <w:t>S</w:t>
      </w:r>
      <w:r w:rsidRPr="00D26DCF">
        <w:rPr>
          <w:rStyle w:val="BookTitle"/>
          <w:rFonts w:ascii="Times New Roman" w:hAnsi="Times New Roman" w:cs="Times New Roman"/>
          <w:i w:val="0"/>
          <w:iCs w:val="0"/>
          <w:smallCaps w:val="0"/>
          <w:spacing w:val="0"/>
        </w:rPr>
        <w:t xml:space="preserve">uch a policy or strategy must </w:t>
      </w:r>
      <w:r w:rsidR="000F4E6B">
        <w:rPr>
          <w:rStyle w:val="BookTitle"/>
          <w:rFonts w:ascii="Times New Roman" w:hAnsi="Times New Roman" w:cs="Times New Roman"/>
          <w:i w:val="0"/>
          <w:iCs w:val="0"/>
          <w:smallCaps w:val="0"/>
          <w:spacing w:val="0"/>
        </w:rPr>
        <w:t xml:space="preserve">aim to achieve the objective of </w:t>
      </w:r>
      <w:r w:rsidRPr="00D26DCF">
        <w:rPr>
          <w:rStyle w:val="BookTitle"/>
          <w:rFonts w:ascii="Times New Roman" w:hAnsi="Times New Roman" w:cs="Times New Roman"/>
          <w:i w:val="0"/>
          <w:iCs w:val="0"/>
          <w:smallCaps w:val="0"/>
          <w:spacing w:val="0"/>
        </w:rPr>
        <w:t>equal remuneration between male and female employers of the Employer</w:t>
      </w:r>
      <w:r w:rsidR="008B2A2D" w:rsidRPr="00D26DCF">
        <w:rPr>
          <w:rStyle w:val="BookTitle"/>
          <w:rFonts w:ascii="Times New Roman" w:hAnsi="Times New Roman" w:cs="Times New Roman"/>
          <w:i w:val="0"/>
          <w:iCs w:val="0"/>
          <w:smallCaps w:val="0"/>
          <w:spacing w:val="0"/>
        </w:rPr>
        <w:t xml:space="preserve"> that are performing the same or comparable tasks.</w:t>
      </w:r>
      <w:r w:rsidRPr="00D26DCF">
        <w:rPr>
          <w:rStyle w:val="BookTitle"/>
          <w:rFonts w:ascii="Times New Roman" w:hAnsi="Times New Roman" w:cs="Times New Roman"/>
          <w:i w:val="0"/>
          <w:iCs w:val="0"/>
          <w:smallCaps w:val="0"/>
          <w:spacing w:val="0"/>
        </w:rPr>
        <w:t xml:space="preserve"> </w:t>
      </w:r>
    </w:p>
    <w:p w:rsidR="00C90864" w:rsidRPr="00D26DCF" w:rsidRDefault="00C90864" w:rsidP="00086636">
      <w:pPr>
        <w:spacing w:after="0"/>
        <w:rPr>
          <w:rStyle w:val="BookTitle"/>
          <w:rFonts w:ascii="Times New Roman" w:hAnsi="Times New Roman" w:cs="Times New Roman"/>
          <w:i w:val="0"/>
          <w:iCs w:val="0"/>
          <w:smallCaps w:val="0"/>
          <w:spacing w:val="0"/>
        </w:rPr>
      </w:pPr>
    </w:p>
    <w:p w:rsidR="008B2A2D" w:rsidRPr="00D26DCF" w:rsidRDefault="008B2A2D" w:rsidP="008B2A2D">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Item 3 of the table </w:t>
      </w:r>
      <w:r w:rsidR="000F4E6B">
        <w:rPr>
          <w:rStyle w:val="BookTitle"/>
          <w:rFonts w:ascii="Times New Roman" w:hAnsi="Times New Roman" w:cs="Times New Roman"/>
          <w:i w:val="0"/>
          <w:iCs w:val="0"/>
          <w:smallCaps w:val="0"/>
          <w:spacing w:val="0"/>
        </w:rPr>
        <w:t xml:space="preserve">sets out </w:t>
      </w:r>
      <w:r w:rsidRPr="00D26DCF">
        <w:rPr>
          <w:rStyle w:val="BookTitle"/>
          <w:rFonts w:ascii="Times New Roman" w:hAnsi="Times New Roman" w:cs="Times New Roman"/>
          <w:i w:val="0"/>
          <w:iCs w:val="0"/>
          <w:smallCaps w:val="0"/>
          <w:spacing w:val="0"/>
        </w:rPr>
        <w:t xml:space="preserve">that an Employer may meet the minimum standards </w:t>
      </w:r>
      <w:r w:rsidR="009746A8" w:rsidRPr="00D26DCF">
        <w:rPr>
          <w:rStyle w:val="BookTitle"/>
          <w:rFonts w:ascii="Times New Roman" w:hAnsi="Times New Roman" w:cs="Times New Roman"/>
          <w:i w:val="0"/>
          <w:iCs w:val="0"/>
          <w:smallCaps w:val="0"/>
          <w:spacing w:val="0"/>
        </w:rPr>
        <w:t xml:space="preserve">relating to this item </w:t>
      </w:r>
      <w:r w:rsidRPr="00D26DCF">
        <w:rPr>
          <w:rStyle w:val="BookTitle"/>
          <w:rFonts w:ascii="Times New Roman" w:hAnsi="Times New Roman" w:cs="Times New Roman"/>
          <w:i w:val="0"/>
          <w:iCs w:val="0"/>
          <w:smallCaps w:val="0"/>
          <w:spacing w:val="0"/>
        </w:rPr>
        <w:t xml:space="preserve">by putting in place a policy or strategy to support the gender equality indicator: </w:t>
      </w:r>
      <w:r w:rsidRPr="00D90D2D">
        <w:rPr>
          <w:rFonts w:ascii="Times New Roman" w:hAnsi="Times New Roman" w:cs="Times New Roman"/>
          <w:i/>
        </w:rPr>
        <w:t>availability and utility of employment terms, conditions and practices relating to flexible working arrangements for employees and to working arrangements supporting employees with family or caring responsibilities</w:t>
      </w:r>
      <w:r w:rsidR="003269BD">
        <w:rPr>
          <w:rStyle w:val="BookTitle"/>
          <w:rFonts w:ascii="Times New Roman" w:hAnsi="Times New Roman" w:cs="Times New Roman"/>
          <w:i w:val="0"/>
          <w:iCs w:val="0"/>
          <w:smallCaps w:val="0"/>
          <w:spacing w:val="0"/>
        </w:rPr>
        <w:t xml:space="preserve">. </w:t>
      </w:r>
      <w:r w:rsidR="009746A8" w:rsidRPr="00D26DCF">
        <w:rPr>
          <w:rStyle w:val="BookTitle"/>
          <w:rFonts w:ascii="Times New Roman" w:hAnsi="Times New Roman" w:cs="Times New Roman"/>
          <w:i w:val="0"/>
          <w:iCs w:val="0"/>
          <w:smallCaps w:val="0"/>
          <w:spacing w:val="0"/>
        </w:rPr>
        <w:t>S</w:t>
      </w:r>
      <w:r w:rsidRPr="00D26DCF">
        <w:rPr>
          <w:rStyle w:val="BookTitle"/>
          <w:rFonts w:ascii="Times New Roman" w:hAnsi="Times New Roman" w:cs="Times New Roman"/>
          <w:i w:val="0"/>
          <w:iCs w:val="0"/>
          <w:smallCaps w:val="0"/>
          <w:spacing w:val="0"/>
        </w:rPr>
        <w:t xml:space="preserve">uch a policy or strategy must </w:t>
      </w:r>
      <w:r w:rsidR="000F4E6B">
        <w:rPr>
          <w:rStyle w:val="BookTitle"/>
          <w:rFonts w:ascii="Times New Roman" w:hAnsi="Times New Roman" w:cs="Times New Roman"/>
          <w:i w:val="0"/>
          <w:iCs w:val="0"/>
          <w:smallCaps w:val="0"/>
          <w:spacing w:val="0"/>
        </w:rPr>
        <w:t xml:space="preserve">aim to achieve the objective of </w:t>
      </w:r>
      <w:r w:rsidRPr="00D26DCF">
        <w:rPr>
          <w:rStyle w:val="BookTitle"/>
          <w:rFonts w:ascii="Times New Roman" w:hAnsi="Times New Roman" w:cs="Times New Roman"/>
          <w:i w:val="0"/>
          <w:iCs w:val="0"/>
          <w:smallCaps w:val="0"/>
          <w:spacing w:val="0"/>
        </w:rPr>
        <w:t xml:space="preserve">flexible working arrangements for employees of the Employer with caring responsibilities. </w:t>
      </w:r>
    </w:p>
    <w:p w:rsidR="00091F60" w:rsidRPr="00D26DCF" w:rsidRDefault="00091F60" w:rsidP="008B2A2D">
      <w:pPr>
        <w:spacing w:after="0"/>
        <w:rPr>
          <w:rStyle w:val="BookTitle"/>
          <w:rFonts w:ascii="Times New Roman" w:hAnsi="Times New Roman" w:cs="Times New Roman"/>
          <w:i w:val="0"/>
          <w:iCs w:val="0"/>
          <w:smallCaps w:val="0"/>
          <w:spacing w:val="0"/>
        </w:rPr>
      </w:pPr>
    </w:p>
    <w:p w:rsidR="0066689B" w:rsidRDefault="00091F60" w:rsidP="00CD5D14">
      <w:pPr>
        <w:spacing w:after="0"/>
        <w:rPr>
          <w:rStyle w:val="BookTitle"/>
          <w:rFonts w:ascii="Times New Roman" w:hAnsi="Times New Roman" w:cs="Times New Roman"/>
          <w:i w:val="0"/>
          <w:iCs w:val="0"/>
          <w:smallCaps w:val="0"/>
          <w:spacing w:val="0"/>
        </w:rPr>
      </w:pPr>
      <w:proofErr w:type="gramStart"/>
      <w:r w:rsidRPr="00892C3E">
        <w:rPr>
          <w:rStyle w:val="BookTitle"/>
          <w:rFonts w:ascii="Times New Roman" w:hAnsi="Times New Roman" w:cs="Times New Roman"/>
          <w:i w:val="0"/>
          <w:iCs w:val="0"/>
          <w:smallCaps w:val="0"/>
          <w:spacing w:val="0"/>
        </w:rPr>
        <w:t xml:space="preserve">Item 4 of the table </w:t>
      </w:r>
      <w:r w:rsidR="000F4E6B">
        <w:rPr>
          <w:rStyle w:val="BookTitle"/>
          <w:rFonts w:ascii="Times New Roman" w:hAnsi="Times New Roman" w:cs="Times New Roman"/>
          <w:i w:val="0"/>
          <w:iCs w:val="0"/>
          <w:smallCaps w:val="0"/>
          <w:spacing w:val="0"/>
        </w:rPr>
        <w:t xml:space="preserve">sets out </w:t>
      </w:r>
      <w:r w:rsidRPr="00892C3E">
        <w:rPr>
          <w:rStyle w:val="BookTitle"/>
          <w:rFonts w:ascii="Times New Roman" w:hAnsi="Times New Roman" w:cs="Times New Roman"/>
          <w:i w:val="0"/>
          <w:iCs w:val="0"/>
          <w:smallCaps w:val="0"/>
          <w:spacing w:val="0"/>
        </w:rPr>
        <w:t xml:space="preserve">that an Employer may meet the minimum standards </w:t>
      </w:r>
      <w:r w:rsidR="009746A8" w:rsidRPr="00892C3E">
        <w:rPr>
          <w:rStyle w:val="BookTitle"/>
          <w:rFonts w:ascii="Times New Roman" w:hAnsi="Times New Roman" w:cs="Times New Roman"/>
          <w:i w:val="0"/>
          <w:iCs w:val="0"/>
          <w:smallCaps w:val="0"/>
          <w:spacing w:val="0"/>
        </w:rPr>
        <w:t xml:space="preserve">relating to this item </w:t>
      </w:r>
      <w:r w:rsidRPr="00D26DCF">
        <w:rPr>
          <w:rStyle w:val="BookTitle"/>
          <w:rFonts w:ascii="Times New Roman" w:hAnsi="Times New Roman" w:cs="Times New Roman"/>
          <w:i w:val="0"/>
          <w:iCs w:val="0"/>
          <w:smallCaps w:val="0"/>
          <w:spacing w:val="0"/>
        </w:rPr>
        <w:t xml:space="preserve">by putting in place a policy or strategy to support the gender equality indicator: </w:t>
      </w:r>
      <w:r w:rsidRPr="00D26DCF">
        <w:rPr>
          <w:rStyle w:val="BookTitle"/>
          <w:rFonts w:ascii="Times New Roman" w:hAnsi="Times New Roman" w:cs="Times New Roman"/>
          <w:iCs w:val="0"/>
          <w:smallCaps w:val="0"/>
          <w:spacing w:val="0"/>
        </w:rPr>
        <w:t>sex-based harassment and discrimination</w:t>
      </w:r>
      <w:r w:rsidR="003269BD">
        <w:rPr>
          <w:rStyle w:val="BookTitle"/>
          <w:rFonts w:ascii="Times New Roman" w:hAnsi="Times New Roman" w:cs="Times New Roman"/>
          <w:i w:val="0"/>
          <w:iCs w:val="0"/>
          <w:smallCaps w:val="0"/>
          <w:spacing w:val="0"/>
        </w:rPr>
        <w:t>.</w:t>
      </w:r>
      <w:proofErr w:type="gramEnd"/>
      <w:r w:rsidR="003269BD">
        <w:rPr>
          <w:rStyle w:val="BookTitle"/>
          <w:rFonts w:ascii="Times New Roman" w:hAnsi="Times New Roman" w:cs="Times New Roman"/>
          <w:i w:val="0"/>
          <w:iCs w:val="0"/>
          <w:smallCaps w:val="0"/>
          <w:spacing w:val="0"/>
        </w:rPr>
        <w:t xml:space="preserve"> </w:t>
      </w:r>
      <w:r w:rsidR="009746A8" w:rsidRPr="00D26DCF">
        <w:rPr>
          <w:rStyle w:val="BookTitle"/>
          <w:rFonts w:ascii="Times New Roman" w:hAnsi="Times New Roman" w:cs="Times New Roman"/>
          <w:i w:val="0"/>
          <w:iCs w:val="0"/>
          <w:smallCaps w:val="0"/>
          <w:spacing w:val="0"/>
        </w:rPr>
        <w:t>S</w:t>
      </w:r>
      <w:r w:rsidRPr="00D26DCF">
        <w:rPr>
          <w:rStyle w:val="BookTitle"/>
          <w:rFonts w:ascii="Times New Roman" w:hAnsi="Times New Roman" w:cs="Times New Roman"/>
          <w:i w:val="0"/>
          <w:iCs w:val="0"/>
          <w:smallCaps w:val="0"/>
          <w:spacing w:val="0"/>
        </w:rPr>
        <w:t xml:space="preserve">uch a policy or strategy must </w:t>
      </w:r>
      <w:r w:rsidR="000F4E6B">
        <w:rPr>
          <w:rStyle w:val="BookTitle"/>
          <w:rFonts w:ascii="Times New Roman" w:hAnsi="Times New Roman" w:cs="Times New Roman"/>
          <w:i w:val="0"/>
          <w:iCs w:val="0"/>
          <w:smallCaps w:val="0"/>
          <w:spacing w:val="0"/>
        </w:rPr>
        <w:t xml:space="preserve">aim to achieve the objective of </w:t>
      </w:r>
      <w:r w:rsidRPr="00D26DCF">
        <w:rPr>
          <w:rStyle w:val="BookTitle"/>
          <w:rFonts w:ascii="Times New Roman" w:hAnsi="Times New Roman" w:cs="Times New Roman"/>
          <w:i w:val="0"/>
          <w:iCs w:val="0"/>
          <w:smallCaps w:val="0"/>
          <w:spacing w:val="0"/>
        </w:rPr>
        <w:t xml:space="preserve">sex-based harassment and discrimination </w:t>
      </w:r>
      <w:r w:rsidR="00655CFB">
        <w:rPr>
          <w:rStyle w:val="BookTitle"/>
          <w:rFonts w:ascii="Times New Roman" w:hAnsi="Times New Roman" w:cs="Times New Roman"/>
          <w:i w:val="0"/>
          <w:iCs w:val="0"/>
          <w:smallCaps w:val="0"/>
          <w:spacing w:val="0"/>
        </w:rPr>
        <w:t xml:space="preserve">prevention </w:t>
      </w:r>
      <w:r w:rsidRPr="00D26DCF">
        <w:rPr>
          <w:rStyle w:val="BookTitle"/>
          <w:rFonts w:ascii="Times New Roman" w:hAnsi="Times New Roman" w:cs="Times New Roman"/>
          <w:i w:val="0"/>
          <w:iCs w:val="0"/>
          <w:smallCaps w:val="0"/>
          <w:spacing w:val="0"/>
        </w:rPr>
        <w:t>in the Employer’s workplace.</w:t>
      </w:r>
      <w:r>
        <w:rPr>
          <w:rStyle w:val="BookTitle"/>
          <w:rFonts w:ascii="Times New Roman" w:hAnsi="Times New Roman" w:cs="Times New Roman"/>
          <w:i w:val="0"/>
          <w:iCs w:val="0"/>
          <w:smallCaps w:val="0"/>
          <w:spacing w:val="0"/>
        </w:rPr>
        <w:t xml:space="preserve"> </w:t>
      </w:r>
    </w:p>
    <w:p w:rsidR="00324506" w:rsidRDefault="00324506" w:rsidP="00CD5D14">
      <w:pPr>
        <w:spacing w:after="0"/>
        <w:rPr>
          <w:rStyle w:val="BookTitle"/>
          <w:rFonts w:ascii="Times New Roman" w:hAnsi="Times New Roman" w:cs="Times New Roman"/>
          <w:i w:val="0"/>
          <w:iCs w:val="0"/>
          <w:smallCaps w:val="0"/>
          <w:spacing w:val="0"/>
        </w:rPr>
      </w:pPr>
    </w:p>
    <w:p w:rsidR="00324506" w:rsidRPr="00DB6E27" w:rsidRDefault="00324506" w:rsidP="00324506">
      <w:pPr>
        <w:rPr>
          <w:rStyle w:val="BookTitle"/>
          <w:rFonts w:ascii="Times New Roman" w:hAnsi="Times New Roman" w:cs="Times New Roman"/>
          <w:b/>
          <w:i w:val="0"/>
          <w:iCs w:val="0"/>
          <w:smallCaps w:val="0"/>
          <w:spacing w:val="0"/>
        </w:rPr>
      </w:pPr>
      <w:r w:rsidRPr="00DB6E27">
        <w:rPr>
          <w:rStyle w:val="BookTitle"/>
          <w:rFonts w:ascii="Times New Roman" w:hAnsi="Times New Roman" w:cs="Times New Roman"/>
          <w:b/>
          <w:i w:val="0"/>
          <w:iCs w:val="0"/>
          <w:smallCaps w:val="0"/>
          <w:spacing w:val="0"/>
        </w:rPr>
        <w:t>Consultation</w:t>
      </w:r>
    </w:p>
    <w:p w:rsidR="00324506" w:rsidRPr="00324506" w:rsidRDefault="00324506" w:rsidP="00324506">
      <w:pPr>
        <w:rPr>
          <w:rStyle w:val="BookTitle"/>
          <w:rFonts w:ascii="Times New Roman" w:hAnsi="Times New Roman" w:cs="Times New Roman"/>
          <w:i w:val="0"/>
          <w:iCs w:val="0"/>
          <w:smallCaps w:val="0"/>
          <w:spacing w:val="0"/>
        </w:rPr>
      </w:pPr>
      <w:r w:rsidRPr="00324506">
        <w:rPr>
          <w:rStyle w:val="BookTitle"/>
          <w:rFonts w:ascii="Times New Roman" w:hAnsi="Times New Roman" w:cs="Times New Roman"/>
          <w:i w:val="0"/>
          <w:iCs w:val="0"/>
          <w:smallCaps w:val="0"/>
          <w:spacing w:val="0"/>
        </w:rPr>
        <w:t xml:space="preserve">The Act sets out under Section </w:t>
      </w:r>
      <w:proofErr w:type="spellStart"/>
      <w:r w:rsidRPr="00324506">
        <w:rPr>
          <w:rStyle w:val="BookTitle"/>
          <w:rFonts w:ascii="Times New Roman" w:hAnsi="Times New Roman" w:cs="Times New Roman"/>
          <w:i w:val="0"/>
          <w:iCs w:val="0"/>
          <w:smallCaps w:val="0"/>
          <w:spacing w:val="0"/>
        </w:rPr>
        <w:t>33A</w:t>
      </w:r>
      <w:proofErr w:type="spellEnd"/>
      <w:r w:rsidRPr="00324506">
        <w:rPr>
          <w:rStyle w:val="BookTitle"/>
          <w:rFonts w:ascii="Times New Roman" w:hAnsi="Times New Roman" w:cs="Times New Roman"/>
          <w:i w:val="0"/>
          <w:iCs w:val="0"/>
          <w:smallCaps w:val="0"/>
          <w:spacing w:val="0"/>
        </w:rPr>
        <w:t xml:space="preserve"> that the Minister is required to consult with the Agency before </w:t>
      </w:r>
      <w:r w:rsidR="00972AD8">
        <w:rPr>
          <w:rStyle w:val="BookTitle"/>
          <w:rFonts w:ascii="Times New Roman" w:hAnsi="Times New Roman" w:cs="Times New Roman"/>
          <w:i w:val="0"/>
          <w:iCs w:val="0"/>
          <w:smallCaps w:val="0"/>
          <w:spacing w:val="0"/>
        </w:rPr>
        <w:t>making</w:t>
      </w:r>
      <w:r w:rsidRPr="00324506">
        <w:rPr>
          <w:rStyle w:val="BookTitle"/>
          <w:rFonts w:ascii="Times New Roman" w:hAnsi="Times New Roman" w:cs="Times New Roman"/>
          <w:i w:val="0"/>
          <w:iCs w:val="0"/>
          <w:smallCaps w:val="0"/>
          <w:spacing w:val="0"/>
        </w:rPr>
        <w:t xml:space="preserve"> a legislative instrument</w:t>
      </w:r>
      <w:r w:rsidR="00972AD8">
        <w:rPr>
          <w:rStyle w:val="BookTitle"/>
          <w:rFonts w:ascii="Times New Roman" w:hAnsi="Times New Roman" w:cs="Times New Roman"/>
          <w:i w:val="0"/>
          <w:iCs w:val="0"/>
          <w:smallCaps w:val="0"/>
          <w:spacing w:val="0"/>
        </w:rPr>
        <w:t xml:space="preserve"> under the Act</w:t>
      </w:r>
      <w:r w:rsidRPr="00324506">
        <w:rPr>
          <w:rStyle w:val="BookTitle"/>
          <w:rFonts w:ascii="Times New Roman" w:hAnsi="Times New Roman" w:cs="Times New Roman"/>
          <w:i w:val="0"/>
          <w:iCs w:val="0"/>
          <w:smallCaps w:val="0"/>
          <w:spacing w:val="0"/>
        </w:rPr>
        <w:t xml:space="preserve"> and have regard to any recommendations of the Agency. The Minister must also consult such persons mentioned in subsection 31(3) of the Act as the Minister considers appropriate. This includes persons representing industry or business, employee organisations or higher education providers and persons having special knowledge or interest in relation to gender equality in the workplace, the functions of the Agency or the operation of the Act. </w:t>
      </w:r>
      <w:r w:rsidR="00D61DED">
        <w:rPr>
          <w:rStyle w:val="BookTitle"/>
          <w:rFonts w:ascii="Times New Roman" w:hAnsi="Times New Roman" w:cs="Times New Roman"/>
          <w:i w:val="0"/>
          <w:iCs w:val="0"/>
          <w:smallCaps w:val="0"/>
          <w:spacing w:val="0"/>
        </w:rPr>
        <w:t>This also reflects</w:t>
      </w:r>
      <w:r w:rsidR="007E3EA6">
        <w:rPr>
          <w:rStyle w:val="BookTitle"/>
          <w:rFonts w:ascii="Times New Roman" w:hAnsi="Times New Roman" w:cs="Times New Roman"/>
          <w:i w:val="0"/>
          <w:iCs w:val="0"/>
          <w:smallCaps w:val="0"/>
          <w:spacing w:val="0"/>
        </w:rPr>
        <w:t xml:space="preserve"> the</w:t>
      </w:r>
      <w:r w:rsidRPr="00324506">
        <w:rPr>
          <w:rStyle w:val="BookTitle"/>
          <w:rFonts w:ascii="Times New Roman" w:hAnsi="Times New Roman" w:cs="Times New Roman"/>
          <w:i w:val="0"/>
          <w:iCs w:val="0"/>
          <w:smallCaps w:val="0"/>
          <w:spacing w:val="0"/>
        </w:rPr>
        <w:t xml:space="preserve"> consultation requirements </w:t>
      </w:r>
      <w:r w:rsidR="007E3EA6">
        <w:rPr>
          <w:rStyle w:val="BookTitle"/>
          <w:rFonts w:ascii="Times New Roman" w:hAnsi="Times New Roman" w:cs="Times New Roman"/>
          <w:i w:val="0"/>
          <w:iCs w:val="0"/>
          <w:smallCaps w:val="0"/>
          <w:spacing w:val="0"/>
        </w:rPr>
        <w:t xml:space="preserve">set out in </w:t>
      </w:r>
      <w:r w:rsidRPr="00324506">
        <w:rPr>
          <w:rStyle w:val="BookTitle"/>
          <w:rFonts w:ascii="Times New Roman" w:hAnsi="Times New Roman" w:cs="Times New Roman"/>
          <w:i w:val="0"/>
          <w:iCs w:val="0"/>
          <w:smallCaps w:val="0"/>
          <w:spacing w:val="0"/>
        </w:rPr>
        <w:t xml:space="preserve">Part 3 of the </w:t>
      </w:r>
      <w:r w:rsidRPr="00E37640">
        <w:rPr>
          <w:rStyle w:val="BookTitle"/>
          <w:rFonts w:ascii="Times New Roman" w:hAnsi="Times New Roman"/>
          <w:smallCaps w:val="0"/>
          <w:spacing w:val="0"/>
        </w:rPr>
        <w:t>Legislative Instruments Act 2003</w:t>
      </w:r>
      <w:r w:rsidRPr="00324506">
        <w:rPr>
          <w:rStyle w:val="BookTitle"/>
          <w:rFonts w:ascii="Times New Roman" w:hAnsi="Times New Roman" w:cs="Times New Roman"/>
          <w:i w:val="0"/>
          <w:iCs w:val="0"/>
          <w:smallCaps w:val="0"/>
          <w:spacing w:val="0"/>
        </w:rPr>
        <w:t>.</w:t>
      </w:r>
    </w:p>
    <w:p w:rsidR="00324506" w:rsidRDefault="00D26DCF" w:rsidP="00D26DCF">
      <w:pPr>
        <w:shd w:val="clear" w:color="auto" w:fill="FFFFFF"/>
        <w:spacing w:after="45"/>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C</w:t>
      </w:r>
      <w:r w:rsidR="00324506" w:rsidRPr="00324506">
        <w:rPr>
          <w:rStyle w:val="BookTitle"/>
          <w:rFonts w:ascii="Times New Roman" w:hAnsi="Times New Roman" w:cs="Times New Roman"/>
          <w:i w:val="0"/>
          <w:iCs w:val="0"/>
          <w:smallCaps w:val="0"/>
          <w:spacing w:val="0"/>
        </w:rPr>
        <w:t xml:space="preserve">onsultation </w:t>
      </w:r>
      <w:r w:rsidR="007E3EA6">
        <w:rPr>
          <w:rStyle w:val="BookTitle"/>
          <w:rFonts w:ascii="Times New Roman" w:hAnsi="Times New Roman" w:cs="Times New Roman"/>
          <w:i w:val="0"/>
          <w:iCs w:val="0"/>
          <w:smallCaps w:val="0"/>
          <w:spacing w:val="0"/>
        </w:rPr>
        <w:t xml:space="preserve">was undertaken </w:t>
      </w:r>
      <w:r w:rsidR="00324506" w:rsidRPr="00324506">
        <w:rPr>
          <w:rStyle w:val="BookTitle"/>
          <w:rFonts w:ascii="Times New Roman" w:hAnsi="Times New Roman" w:cs="Times New Roman"/>
          <w:i w:val="0"/>
          <w:iCs w:val="0"/>
          <w:smallCaps w:val="0"/>
          <w:spacing w:val="0"/>
        </w:rPr>
        <w:t>with a number of stakeholders, including the Agency</w:t>
      </w:r>
      <w:r w:rsidR="00722B53">
        <w:rPr>
          <w:rStyle w:val="BookTitle"/>
          <w:rFonts w:ascii="Times New Roman" w:hAnsi="Times New Roman" w:cs="Times New Roman"/>
          <w:i w:val="0"/>
          <w:iCs w:val="0"/>
          <w:smallCaps w:val="0"/>
          <w:spacing w:val="0"/>
        </w:rPr>
        <w:t xml:space="preserve"> and</w:t>
      </w:r>
      <w:r w:rsidR="00324506" w:rsidRPr="00324506">
        <w:rPr>
          <w:rStyle w:val="BookTitle"/>
          <w:rFonts w:ascii="Times New Roman" w:hAnsi="Times New Roman" w:cs="Times New Roman"/>
          <w:i w:val="0"/>
          <w:iCs w:val="0"/>
          <w:smallCaps w:val="0"/>
          <w:spacing w:val="0"/>
        </w:rPr>
        <w:t xml:space="preserve"> industry groups</w:t>
      </w:r>
      <w:r>
        <w:rPr>
          <w:rStyle w:val="BookTitle"/>
          <w:rFonts w:ascii="Times New Roman" w:hAnsi="Times New Roman" w:cs="Times New Roman"/>
          <w:i w:val="0"/>
          <w:iCs w:val="0"/>
          <w:smallCaps w:val="0"/>
          <w:spacing w:val="0"/>
        </w:rPr>
        <w:t xml:space="preserve">, in the initial stages of developing the </w:t>
      </w:r>
      <w:r w:rsidR="00892C3E">
        <w:rPr>
          <w:rStyle w:val="BookTitle"/>
          <w:rFonts w:ascii="Times New Roman" w:hAnsi="Times New Roman" w:cs="Times New Roman"/>
          <w:i w:val="0"/>
          <w:iCs w:val="0"/>
          <w:smallCaps w:val="0"/>
          <w:spacing w:val="0"/>
        </w:rPr>
        <w:t>m</w:t>
      </w:r>
      <w:r>
        <w:rPr>
          <w:rStyle w:val="BookTitle"/>
          <w:rFonts w:ascii="Times New Roman" w:hAnsi="Times New Roman" w:cs="Times New Roman"/>
          <w:i w:val="0"/>
          <w:iCs w:val="0"/>
          <w:smallCaps w:val="0"/>
          <w:spacing w:val="0"/>
        </w:rPr>
        <w:t xml:space="preserve">inimum </w:t>
      </w:r>
      <w:r w:rsidR="00892C3E">
        <w:rPr>
          <w:rStyle w:val="BookTitle"/>
          <w:rFonts w:ascii="Times New Roman" w:hAnsi="Times New Roman" w:cs="Times New Roman"/>
          <w:i w:val="0"/>
          <w:iCs w:val="0"/>
          <w:smallCaps w:val="0"/>
          <w:spacing w:val="0"/>
        </w:rPr>
        <w:t>s</w:t>
      </w:r>
      <w:r>
        <w:rPr>
          <w:rStyle w:val="BookTitle"/>
          <w:rFonts w:ascii="Times New Roman" w:hAnsi="Times New Roman" w:cs="Times New Roman"/>
          <w:i w:val="0"/>
          <w:iCs w:val="0"/>
          <w:smallCaps w:val="0"/>
          <w:spacing w:val="0"/>
        </w:rPr>
        <w:t xml:space="preserve">tandards. </w:t>
      </w:r>
      <w:r w:rsidR="00324506" w:rsidRPr="00324506">
        <w:rPr>
          <w:rStyle w:val="BookTitle"/>
          <w:rFonts w:ascii="Times New Roman" w:hAnsi="Times New Roman" w:cs="Times New Roman"/>
          <w:i w:val="0"/>
          <w:iCs w:val="0"/>
          <w:smallCaps w:val="0"/>
          <w:spacing w:val="0"/>
        </w:rPr>
        <w:t xml:space="preserve">In February 2014, </w:t>
      </w:r>
      <w:r w:rsidR="00655CFB">
        <w:rPr>
          <w:rStyle w:val="BookTitle"/>
          <w:rFonts w:ascii="Times New Roman" w:hAnsi="Times New Roman" w:cs="Times New Roman"/>
          <w:i w:val="0"/>
          <w:iCs w:val="0"/>
          <w:smallCaps w:val="0"/>
          <w:spacing w:val="0"/>
        </w:rPr>
        <w:t xml:space="preserve">consultation was undertaken </w:t>
      </w:r>
      <w:r>
        <w:rPr>
          <w:rStyle w:val="BookTitle"/>
          <w:rFonts w:ascii="Times New Roman" w:hAnsi="Times New Roman" w:cs="Times New Roman"/>
          <w:i w:val="0"/>
          <w:iCs w:val="0"/>
          <w:smallCaps w:val="0"/>
          <w:spacing w:val="0"/>
        </w:rPr>
        <w:t xml:space="preserve">in writing </w:t>
      </w:r>
      <w:r w:rsidR="00324506" w:rsidRPr="00324506">
        <w:rPr>
          <w:rStyle w:val="BookTitle"/>
          <w:rFonts w:ascii="Times New Roman" w:hAnsi="Times New Roman" w:cs="Times New Roman"/>
          <w:i w:val="0"/>
          <w:iCs w:val="0"/>
          <w:smallCaps w:val="0"/>
          <w:spacing w:val="0"/>
        </w:rPr>
        <w:t xml:space="preserve">with a broad range of stakeholders on the proposed </w:t>
      </w:r>
      <w:r w:rsidR="00892C3E">
        <w:rPr>
          <w:rStyle w:val="BookTitle"/>
          <w:rFonts w:ascii="Times New Roman" w:hAnsi="Times New Roman" w:cs="Times New Roman"/>
          <w:i w:val="0"/>
          <w:iCs w:val="0"/>
          <w:smallCaps w:val="0"/>
          <w:spacing w:val="0"/>
        </w:rPr>
        <w:t>m</w:t>
      </w:r>
      <w:r w:rsidR="00722B53">
        <w:rPr>
          <w:rStyle w:val="BookTitle"/>
          <w:rFonts w:ascii="Times New Roman" w:hAnsi="Times New Roman" w:cs="Times New Roman"/>
          <w:i w:val="0"/>
          <w:iCs w:val="0"/>
          <w:smallCaps w:val="0"/>
          <w:spacing w:val="0"/>
        </w:rPr>
        <w:t xml:space="preserve">inimum </w:t>
      </w:r>
      <w:r w:rsidR="00892C3E">
        <w:rPr>
          <w:rStyle w:val="BookTitle"/>
          <w:rFonts w:ascii="Times New Roman" w:hAnsi="Times New Roman" w:cs="Times New Roman"/>
          <w:i w:val="0"/>
          <w:iCs w:val="0"/>
          <w:smallCaps w:val="0"/>
          <w:spacing w:val="0"/>
        </w:rPr>
        <w:t>s</w:t>
      </w:r>
      <w:r w:rsidR="00722B53">
        <w:rPr>
          <w:rStyle w:val="BookTitle"/>
          <w:rFonts w:ascii="Times New Roman" w:hAnsi="Times New Roman" w:cs="Times New Roman"/>
          <w:i w:val="0"/>
          <w:iCs w:val="0"/>
          <w:smallCaps w:val="0"/>
          <w:spacing w:val="0"/>
        </w:rPr>
        <w:t>tandards</w:t>
      </w:r>
      <w:r w:rsidR="00655CFB">
        <w:rPr>
          <w:rStyle w:val="BookTitle"/>
          <w:rFonts w:ascii="Times New Roman" w:hAnsi="Times New Roman" w:cs="Times New Roman"/>
          <w:i w:val="0"/>
          <w:iCs w:val="0"/>
          <w:smallCaps w:val="0"/>
          <w:spacing w:val="0"/>
        </w:rPr>
        <w:t xml:space="preserve"> as part of an exposure d</w:t>
      </w:r>
      <w:r>
        <w:rPr>
          <w:rStyle w:val="BookTitle"/>
          <w:rFonts w:ascii="Times New Roman" w:hAnsi="Times New Roman" w:cs="Times New Roman"/>
          <w:i w:val="0"/>
          <w:iCs w:val="0"/>
          <w:smallCaps w:val="0"/>
          <w:spacing w:val="0"/>
        </w:rPr>
        <w:t>ra</w:t>
      </w:r>
      <w:r w:rsidR="00324506" w:rsidRPr="00324506">
        <w:rPr>
          <w:rStyle w:val="BookTitle"/>
          <w:rFonts w:ascii="Times New Roman" w:hAnsi="Times New Roman" w:cs="Times New Roman"/>
          <w:i w:val="0"/>
          <w:iCs w:val="0"/>
          <w:smallCaps w:val="0"/>
          <w:spacing w:val="0"/>
        </w:rPr>
        <w:t xml:space="preserve">ft process. Key stakeholders representing industry, employee organisations, higher education providers as well as other experts were </w:t>
      </w:r>
      <w:r w:rsidR="00324506" w:rsidRPr="00C35521">
        <w:rPr>
          <w:rStyle w:val="BookTitle"/>
          <w:rFonts w:ascii="Times New Roman" w:hAnsi="Times New Roman" w:cs="Times New Roman"/>
          <w:i w:val="0"/>
          <w:iCs w:val="0"/>
          <w:smallCaps w:val="0"/>
          <w:spacing w:val="0"/>
        </w:rPr>
        <w:t xml:space="preserve">provided with </w:t>
      </w:r>
      <w:r w:rsidR="00B665EC" w:rsidRPr="00C35521">
        <w:rPr>
          <w:rStyle w:val="BookTitle"/>
          <w:rFonts w:ascii="Times New Roman" w:hAnsi="Times New Roman" w:cs="Times New Roman"/>
          <w:i w:val="0"/>
          <w:iCs w:val="0"/>
          <w:smallCaps w:val="0"/>
          <w:spacing w:val="0"/>
        </w:rPr>
        <w:t xml:space="preserve">the exposure </w:t>
      </w:r>
      <w:r w:rsidR="00324506" w:rsidRPr="00C35521">
        <w:rPr>
          <w:rStyle w:val="BookTitle"/>
          <w:rFonts w:ascii="Times New Roman" w:hAnsi="Times New Roman" w:cs="Times New Roman"/>
          <w:i w:val="0"/>
          <w:iCs w:val="0"/>
          <w:smallCaps w:val="0"/>
          <w:spacing w:val="0"/>
        </w:rPr>
        <w:t>dra</w:t>
      </w:r>
      <w:r w:rsidR="00B665EC" w:rsidRPr="00C35521">
        <w:rPr>
          <w:rStyle w:val="BookTitle"/>
          <w:rFonts w:ascii="Times New Roman" w:hAnsi="Times New Roman" w:cs="Times New Roman"/>
          <w:i w:val="0"/>
          <w:iCs w:val="0"/>
          <w:smallCaps w:val="0"/>
          <w:spacing w:val="0"/>
        </w:rPr>
        <w:t>ft</w:t>
      </w:r>
      <w:r w:rsidR="00324506" w:rsidRPr="00C35521">
        <w:rPr>
          <w:rStyle w:val="BookTitle"/>
          <w:rFonts w:ascii="Times New Roman" w:hAnsi="Times New Roman" w:cs="Times New Roman"/>
          <w:i w:val="0"/>
          <w:iCs w:val="0"/>
          <w:smallCaps w:val="0"/>
          <w:spacing w:val="0"/>
        </w:rPr>
        <w:t xml:space="preserve"> of</w:t>
      </w:r>
      <w:r w:rsidR="00324506" w:rsidRPr="00324506">
        <w:rPr>
          <w:rStyle w:val="BookTitle"/>
          <w:rFonts w:ascii="Times New Roman" w:hAnsi="Times New Roman" w:cs="Times New Roman"/>
          <w:i w:val="0"/>
          <w:iCs w:val="0"/>
          <w:smallCaps w:val="0"/>
          <w:spacing w:val="0"/>
        </w:rPr>
        <w:t xml:space="preserve"> the Instrument</w:t>
      </w:r>
      <w:r>
        <w:rPr>
          <w:rStyle w:val="BookTitle"/>
          <w:rFonts w:ascii="Times New Roman" w:hAnsi="Times New Roman" w:cs="Times New Roman"/>
          <w:i w:val="0"/>
          <w:iCs w:val="0"/>
          <w:smallCaps w:val="0"/>
          <w:spacing w:val="0"/>
        </w:rPr>
        <w:t>.</w:t>
      </w:r>
      <w:r w:rsidR="00324506" w:rsidRPr="00324506">
        <w:rPr>
          <w:rStyle w:val="BookTitle"/>
          <w:rFonts w:ascii="Times New Roman" w:hAnsi="Times New Roman" w:cs="Times New Roman"/>
          <w:i w:val="0"/>
          <w:iCs w:val="0"/>
          <w:smallCaps w:val="0"/>
          <w:spacing w:val="0"/>
        </w:rPr>
        <w:t xml:space="preserve"> </w:t>
      </w:r>
    </w:p>
    <w:p w:rsidR="007E3EA6" w:rsidRPr="00324506" w:rsidRDefault="007E3EA6" w:rsidP="00D26DCF">
      <w:pPr>
        <w:shd w:val="clear" w:color="auto" w:fill="FFFFFF"/>
        <w:spacing w:after="45"/>
        <w:rPr>
          <w:rStyle w:val="BookTitle"/>
          <w:rFonts w:ascii="Times New Roman" w:hAnsi="Times New Roman" w:cs="Times New Roman"/>
          <w:i w:val="0"/>
          <w:iCs w:val="0"/>
          <w:smallCaps w:val="0"/>
          <w:spacing w:val="0"/>
        </w:rPr>
      </w:pPr>
    </w:p>
    <w:p w:rsidR="00D26DCF" w:rsidRDefault="00D26DCF" w:rsidP="00CD5D14">
      <w:pPr>
        <w:spacing w:after="0"/>
        <w:rPr>
          <w:rStyle w:val="BookTitle"/>
          <w:rFonts w:ascii="Times New Roman" w:hAnsi="Times New Roman" w:cs="Times New Roman"/>
          <w:i w:val="0"/>
          <w:iCs w:val="0"/>
          <w:smallCaps w:val="0"/>
          <w:spacing w:val="0"/>
        </w:rPr>
      </w:pPr>
      <w:r w:rsidRPr="00D26DCF">
        <w:rPr>
          <w:rStyle w:val="BookTitle"/>
          <w:rFonts w:ascii="Times New Roman" w:hAnsi="Times New Roman" w:cs="Times New Roman"/>
          <w:i w:val="0"/>
          <w:iCs w:val="0"/>
          <w:smallCaps w:val="0"/>
          <w:spacing w:val="0"/>
        </w:rPr>
        <w:t xml:space="preserve">The feedback provided </w:t>
      </w:r>
      <w:r w:rsidR="00D14AD0">
        <w:rPr>
          <w:rStyle w:val="BookTitle"/>
          <w:rFonts w:ascii="Times New Roman" w:hAnsi="Times New Roman" w:cs="Times New Roman"/>
          <w:i w:val="0"/>
          <w:iCs w:val="0"/>
          <w:smallCaps w:val="0"/>
          <w:spacing w:val="0"/>
        </w:rPr>
        <w:t xml:space="preserve">through the consultation process </w:t>
      </w:r>
      <w:r w:rsidRPr="00D26DCF">
        <w:rPr>
          <w:rStyle w:val="BookTitle"/>
          <w:rFonts w:ascii="Times New Roman" w:hAnsi="Times New Roman" w:cs="Times New Roman"/>
          <w:i w:val="0"/>
          <w:iCs w:val="0"/>
          <w:smallCaps w:val="0"/>
          <w:spacing w:val="0"/>
        </w:rPr>
        <w:t xml:space="preserve">formed part of the decision making process </w:t>
      </w:r>
      <w:r w:rsidR="00D14AD0">
        <w:rPr>
          <w:rStyle w:val="BookTitle"/>
          <w:rFonts w:ascii="Times New Roman" w:hAnsi="Times New Roman" w:cs="Times New Roman"/>
          <w:i w:val="0"/>
          <w:iCs w:val="0"/>
          <w:smallCaps w:val="0"/>
          <w:spacing w:val="0"/>
        </w:rPr>
        <w:t xml:space="preserve">by the Minister </w:t>
      </w:r>
      <w:r w:rsidRPr="00D26DCF">
        <w:rPr>
          <w:rStyle w:val="BookTitle"/>
          <w:rFonts w:ascii="Times New Roman" w:hAnsi="Times New Roman" w:cs="Times New Roman"/>
          <w:i w:val="0"/>
          <w:iCs w:val="0"/>
          <w:smallCaps w:val="0"/>
          <w:spacing w:val="0"/>
        </w:rPr>
        <w:t xml:space="preserve">in regards to the </w:t>
      </w:r>
      <w:r w:rsidR="00892C3E">
        <w:rPr>
          <w:rStyle w:val="BookTitle"/>
          <w:rFonts w:ascii="Times New Roman" w:hAnsi="Times New Roman" w:cs="Times New Roman"/>
          <w:i w:val="0"/>
          <w:iCs w:val="0"/>
          <w:smallCaps w:val="0"/>
          <w:spacing w:val="0"/>
        </w:rPr>
        <w:t>m</w:t>
      </w:r>
      <w:r w:rsidRPr="00D26DCF">
        <w:rPr>
          <w:rStyle w:val="BookTitle"/>
          <w:rFonts w:ascii="Times New Roman" w:hAnsi="Times New Roman" w:cs="Times New Roman"/>
          <w:i w:val="0"/>
          <w:iCs w:val="0"/>
          <w:smallCaps w:val="0"/>
          <w:spacing w:val="0"/>
        </w:rPr>
        <w:t xml:space="preserve">inimum </w:t>
      </w:r>
      <w:r w:rsidR="00892C3E">
        <w:rPr>
          <w:rStyle w:val="BookTitle"/>
          <w:rFonts w:ascii="Times New Roman" w:hAnsi="Times New Roman" w:cs="Times New Roman"/>
          <w:i w:val="0"/>
          <w:iCs w:val="0"/>
          <w:smallCaps w:val="0"/>
          <w:spacing w:val="0"/>
        </w:rPr>
        <w:t>s</w:t>
      </w:r>
      <w:r w:rsidRPr="00D26DCF">
        <w:rPr>
          <w:rStyle w:val="BookTitle"/>
          <w:rFonts w:ascii="Times New Roman" w:hAnsi="Times New Roman" w:cs="Times New Roman"/>
          <w:i w:val="0"/>
          <w:iCs w:val="0"/>
          <w:smallCaps w:val="0"/>
          <w:spacing w:val="0"/>
        </w:rPr>
        <w:t>tandards</w:t>
      </w:r>
      <w:r w:rsidR="00655CFB">
        <w:rPr>
          <w:rStyle w:val="BookTitle"/>
          <w:rFonts w:ascii="Times New Roman" w:hAnsi="Times New Roman" w:cs="Times New Roman"/>
          <w:i w:val="0"/>
          <w:iCs w:val="0"/>
          <w:smallCaps w:val="0"/>
          <w:spacing w:val="0"/>
        </w:rPr>
        <w:t>.</w:t>
      </w:r>
    </w:p>
    <w:p w:rsidR="00E37640" w:rsidRDefault="00E37640" w:rsidP="00CD5D14">
      <w:pPr>
        <w:spacing w:after="0"/>
        <w:rPr>
          <w:rStyle w:val="BookTitle"/>
          <w:rFonts w:ascii="Times New Roman" w:hAnsi="Times New Roman" w:cs="Times New Roman"/>
          <w:i w:val="0"/>
          <w:iCs w:val="0"/>
          <w:smallCaps w:val="0"/>
          <w:spacing w:val="0"/>
        </w:rPr>
      </w:pPr>
    </w:p>
    <w:p w:rsidR="00E37640" w:rsidRDefault="00655CFB" w:rsidP="00CD5D14">
      <w:pPr>
        <w:spacing w:after="0"/>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t>Regulatory</w:t>
      </w:r>
      <w:r w:rsidR="00E37640">
        <w:rPr>
          <w:rStyle w:val="BookTitle"/>
          <w:rFonts w:ascii="Times New Roman" w:hAnsi="Times New Roman" w:cs="Times New Roman"/>
          <w:b/>
          <w:i w:val="0"/>
          <w:iCs w:val="0"/>
          <w:smallCaps w:val="0"/>
          <w:spacing w:val="0"/>
        </w:rPr>
        <w:t xml:space="preserve"> Impact Analysis</w:t>
      </w:r>
    </w:p>
    <w:p w:rsidR="00E37640" w:rsidRDefault="00E37640" w:rsidP="00CD5D14">
      <w:pPr>
        <w:spacing w:after="0"/>
        <w:rPr>
          <w:rStyle w:val="BookTitle"/>
          <w:rFonts w:ascii="Times New Roman" w:hAnsi="Times New Roman" w:cs="Times New Roman"/>
          <w:i w:val="0"/>
          <w:iCs w:val="0"/>
          <w:smallCaps w:val="0"/>
          <w:spacing w:val="0"/>
        </w:rPr>
      </w:pPr>
    </w:p>
    <w:p w:rsidR="00DB6E27" w:rsidRPr="00DB6E27" w:rsidRDefault="00E37640" w:rsidP="00E37640">
      <w:pPr>
        <w:spacing w:after="0"/>
        <w:rPr>
          <w:rFonts w:ascii="Times New Roman" w:eastAsia="Times New Roman" w:hAnsi="Times New Roman" w:cs="Times New Roman"/>
          <w:lang w:eastAsia="en-AU"/>
        </w:rPr>
      </w:pPr>
      <w:r>
        <w:rPr>
          <w:rStyle w:val="BookTitle"/>
          <w:rFonts w:ascii="Times New Roman" w:hAnsi="Times New Roman" w:cs="Times New Roman"/>
          <w:i w:val="0"/>
          <w:iCs w:val="0"/>
          <w:smallCaps w:val="0"/>
          <w:spacing w:val="0"/>
        </w:rPr>
        <w:t xml:space="preserve">The Office of Best Practice Regulation determined that the Instrument will have a minor regulatory impact on business, community organisations or individuals, and therefore a Regulation Impact Statement is not required (Office of Best Practice Regulation reference ID 16305). </w:t>
      </w:r>
    </w:p>
    <w:p w:rsidR="00E37640" w:rsidRDefault="00E37640">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lastRenderedPageBreak/>
        <w:br w:type="page"/>
      </w:r>
    </w:p>
    <w:p w:rsidR="00E37640" w:rsidRPr="0008062C" w:rsidRDefault="00E37640" w:rsidP="00A92C06">
      <w:pPr>
        <w:jc w:val="center"/>
        <w:rPr>
          <w:rFonts w:ascii="Times New Roman" w:hAnsi="Times New Roman"/>
        </w:rPr>
      </w:pPr>
      <w:r w:rsidRPr="0008062C">
        <w:rPr>
          <w:rFonts w:ascii="Times New Roman" w:hAnsi="Times New Roman"/>
        </w:rPr>
        <w:lastRenderedPageBreak/>
        <w:t>STATEMENT OF COMPATIBILITY FOR A LEGISLATIVE INSTRUMENT</w:t>
      </w:r>
      <w:r w:rsidR="00A92C06">
        <w:rPr>
          <w:rFonts w:ascii="Times New Roman" w:hAnsi="Times New Roman"/>
        </w:rPr>
        <w:t xml:space="preserve"> </w:t>
      </w:r>
      <w:r w:rsidR="00A92C06">
        <w:rPr>
          <w:rFonts w:ascii="Times New Roman" w:hAnsi="Times New Roman"/>
        </w:rPr>
        <w:br/>
      </w:r>
      <w:r w:rsidRPr="0008062C">
        <w:rPr>
          <w:rFonts w:ascii="Times New Roman" w:hAnsi="Times New Roman"/>
        </w:rPr>
        <w:t>THAT RAISES HUMAN RIGHTS ISSUES</w:t>
      </w:r>
    </w:p>
    <w:p w:rsidR="00E37640" w:rsidRPr="0008062C" w:rsidRDefault="00E37640" w:rsidP="00E37640">
      <w:pPr>
        <w:jc w:val="center"/>
        <w:rPr>
          <w:rFonts w:ascii="Times New Roman" w:hAnsi="Times New Roman"/>
          <w:b/>
        </w:rPr>
      </w:pPr>
      <w:r w:rsidRPr="0008062C">
        <w:rPr>
          <w:rFonts w:ascii="Times New Roman" w:hAnsi="Times New Roman"/>
          <w:b/>
        </w:rPr>
        <w:t>Statement of Compatibility with Human Rights</w:t>
      </w:r>
    </w:p>
    <w:p w:rsidR="00E37640" w:rsidRPr="0008062C" w:rsidRDefault="00E37640" w:rsidP="00E37640">
      <w:pPr>
        <w:jc w:val="center"/>
        <w:rPr>
          <w:rFonts w:ascii="Times New Roman" w:hAnsi="Times New Roman"/>
          <w:i/>
        </w:rPr>
      </w:pPr>
      <w:r w:rsidRPr="0008062C">
        <w:rPr>
          <w:rFonts w:ascii="Times New Roman" w:hAnsi="Times New Roman"/>
          <w:i/>
        </w:rPr>
        <w:t>Prepared in accordance with Part 3 of the Human Rights (Parliamentary Scrutiny) Act 2011</w:t>
      </w:r>
    </w:p>
    <w:p w:rsidR="00E37640" w:rsidRPr="0008062C" w:rsidRDefault="00E37640" w:rsidP="00E37640">
      <w:pPr>
        <w:jc w:val="center"/>
        <w:rPr>
          <w:rFonts w:ascii="Times New Roman" w:hAnsi="Times New Roman"/>
          <w:b/>
          <w:i/>
        </w:rPr>
      </w:pPr>
      <w:r w:rsidRPr="0008062C">
        <w:rPr>
          <w:rFonts w:ascii="Times New Roman" w:hAnsi="Times New Roman"/>
          <w:b/>
          <w:i/>
        </w:rPr>
        <w:t>Workplace Gender Equality (Minimum Standards) Instrument 2014</w:t>
      </w:r>
    </w:p>
    <w:p w:rsidR="00E37640" w:rsidRPr="0008062C" w:rsidRDefault="00E37640" w:rsidP="00E37640">
      <w:pPr>
        <w:rPr>
          <w:rFonts w:ascii="Times New Roman" w:hAnsi="Times New Roman"/>
          <w:i/>
        </w:rPr>
      </w:pPr>
      <w:r w:rsidRPr="0008062C">
        <w:rPr>
          <w:rFonts w:ascii="Times New Roman" w:hAnsi="Times New Roman"/>
        </w:rPr>
        <w:t xml:space="preserve">The </w:t>
      </w:r>
      <w:r w:rsidRPr="0008062C">
        <w:rPr>
          <w:rFonts w:ascii="Times New Roman" w:hAnsi="Times New Roman"/>
          <w:i/>
        </w:rPr>
        <w:t>Workplace Gender Equality (Minimum Standards) Instrument 2014</w:t>
      </w:r>
      <w:r w:rsidRPr="0008062C">
        <w:rPr>
          <w:rFonts w:ascii="Times New Roman" w:hAnsi="Times New Roman"/>
        </w:rPr>
        <w:t xml:space="preserve"> (the Instrument) is compatible with the human rights and freedoms recognised or declared in the international instruments listed in section 3 of the </w:t>
      </w:r>
      <w:r w:rsidRPr="0008062C">
        <w:rPr>
          <w:rFonts w:ascii="Times New Roman" w:hAnsi="Times New Roman"/>
          <w:i/>
        </w:rPr>
        <w:t>Human Rights (Parliamentary Scrutiny) Act 2011.</w:t>
      </w:r>
    </w:p>
    <w:p w:rsidR="00E37640" w:rsidRPr="0008062C" w:rsidRDefault="00E37640" w:rsidP="00E37640">
      <w:pPr>
        <w:rPr>
          <w:rFonts w:ascii="Times New Roman" w:hAnsi="Times New Roman"/>
          <w:b/>
          <w:i/>
        </w:rPr>
      </w:pPr>
      <w:r w:rsidRPr="0008062C">
        <w:rPr>
          <w:rFonts w:ascii="Times New Roman" w:hAnsi="Times New Roman"/>
          <w:b/>
        </w:rPr>
        <w:t xml:space="preserve">Overview of the Instrument under the </w:t>
      </w:r>
      <w:r w:rsidRPr="0008062C">
        <w:rPr>
          <w:rFonts w:ascii="Times New Roman" w:hAnsi="Times New Roman"/>
          <w:b/>
          <w:i/>
        </w:rPr>
        <w:t>Workplace Gender Equality Act 2012</w:t>
      </w:r>
    </w:p>
    <w:p w:rsidR="00E37640" w:rsidRPr="0008062C" w:rsidRDefault="00E37640" w:rsidP="00E37640">
      <w:pPr>
        <w:rPr>
          <w:rFonts w:ascii="Times New Roman" w:hAnsi="Times New Roman"/>
          <w:lang w:eastAsia="en-AU"/>
        </w:rPr>
      </w:pPr>
      <w:r w:rsidRPr="0008062C">
        <w:rPr>
          <w:rFonts w:ascii="Times New Roman" w:hAnsi="Times New Roman"/>
          <w:lang w:eastAsia="en-AU"/>
        </w:rPr>
        <w:t xml:space="preserve">The Instrument sets, </w:t>
      </w:r>
      <w:r w:rsidRPr="00C35521">
        <w:rPr>
          <w:rFonts w:ascii="Times New Roman" w:hAnsi="Times New Roman"/>
          <w:lang w:eastAsia="en-AU"/>
        </w:rPr>
        <w:t xml:space="preserve">for the first time, the minimum standards </w:t>
      </w:r>
      <w:r w:rsidR="00E808C3" w:rsidRPr="00C35521">
        <w:rPr>
          <w:rFonts w:ascii="Times New Roman" w:hAnsi="Times New Roman"/>
          <w:lang w:eastAsia="en-AU"/>
        </w:rPr>
        <w:t>with which</w:t>
      </w:r>
      <w:r w:rsidRPr="00C35521">
        <w:rPr>
          <w:rFonts w:ascii="Times New Roman" w:hAnsi="Times New Roman"/>
          <w:lang w:eastAsia="en-AU"/>
        </w:rPr>
        <w:t xml:space="preserve"> specified relevant employers must comply under</w:t>
      </w:r>
      <w:r w:rsidRPr="0008062C">
        <w:rPr>
          <w:rFonts w:ascii="Times New Roman" w:hAnsi="Times New Roman"/>
          <w:lang w:eastAsia="en-AU"/>
        </w:rPr>
        <w:t xml:space="preserve"> the </w:t>
      </w:r>
      <w:r w:rsidRPr="0008062C">
        <w:rPr>
          <w:rFonts w:ascii="Times New Roman" w:hAnsi="Times New Roman"/>
          <w:i/>
          <w:iCs/>
          <w:lang w:eastAsia="en-AU"/>
        </w:rPr>
        <w:t>Workplace Gender Equality Act 2012</w:t>
      </w:r>
      <w:r w:rsidRPr="0008062C">
        <w:rPr>
          <w:rFonts w:ascii="Times New Roman" w:hAnsi="Times New Roman"/>
          <w:lang w:eastAsia="en-AU"/>
        </w:rPr>
        <w:t xml:space="preserve"> (the Act).</w:t>
      </w:r>
    </w:p>
    <w:p w:rsidR="00E37640" w:rsidRPr="0008062C" w:rsidRDefault="00E37640" w:rsidP="00E37640">
      <w:pPr>
        <w:rPr>
          <w:rFonts w:ascii="Times New Roman" w:hAnsi="Times New Roman"/>
          <w:lang w:eastAsia="en-AU"/>
        </w:rPr>
      </w:pPr>
      <w:r w:rsidRPr="0008062C">
        <w:rPr>
          <w:rFonts w:ascii="Times New Roman" w:hAnsi="Times New Roman"/>
          <w:lang w:eastAsia="en-AU"/>
        </w:rPr>
        <w:t>The purpose of the Act is to promote and improve workforce participation through the promotion of gender equality in the work place, with specific recognition of equal remuneration and family and caring responsibilities as issues central to the achievement of gender equality.</w:t>
      </w:r>
    </w:p>
    <w:p w:rsidR="00E37640" w:rsidRPr="0008062C" w:rsidRDefault="00E37640" w:rsidP="00E37640">
      <w:pPr>
        <w:rPr>
          <w:rFonts w:ascii="Times New Roman" w:hAnsi="Times New Roman"/>
        </w:rPr>
      </w:pPr>
      <w:r w:rsidRPr="0008062C">
        <w:rPr>
          <w:rFonts w:ascii="Times New Roman" w:hAnsi="Times New Roman"/>
        </w:rPr>
        <w:t>To this end, the Act requires that minimum standards are set in relation to specified gender equality indicators, specified relevant employers and specified reporting periods</w:t>
      </w:r>
      <w:r w:rsidR="003269BD">
        <w:rPr>
          <w:rFonts w:ascii="Times New Roman" w:hAnsi="Times New Roman"/>
        </w:rPr>
        <w:t xml:space="preserve">. </w:t>
      </w:r>
      <w:r w:rsidRPr="0008062C">
        <w:rPr>
          <w:rFonts w:ascii="Times New Roman" w:hAnsi="Times New Roman"/>
        </w:rPr>
        <w:t xml:space="preserve">In setting the minimum standards, the Instrument promotes and improves gender equality by </w:t>
      </w:r>
      <w:r w:rsidRPr="0008062C">
        <w:rPr>
          <w:rFonts w:ascii="Times New Roman" w:hAnsi="Times New Roman"/>
          <w:lang w:eastAsia="en-AU"/>
        </w:rPr>
        <w:t xml:space="preserve">supporting employers in identifying and removing </w:t>
      </w:r>
      <w:r w:rsidRPr="0008062C">
        <w:rPr>
          <w:rFonts w:ascii="Times New Roman" w:hAnsi="Times New Roman"/>
        </w:rPr>
        <w:t>barriers to the full and equal participation of women in their workplace.</w:t>
      </w:r>
    </w:p>
    <w:p w:rsidR="00E37640" w:rsidRPr="0008062C" w:rsidRDefault="00E37640" w:rsidP="00E37640">
      <w:pPr>
        <w:spacing w:before="120" w:after="120"/>
        <w:rPr>
          <w:rFonts w:ascii="Times New Roman" w:hAnsi="Times New Roman"/>
          <w:lang w:eastAsia="en-AU"/>
        </w:rPr>
      </w:pPr>
      <w:r w:rsidRPr="0008062C">
        <w:rPr>
          <w:rFonts w:ascii="Times New Roman" w:hAnsi="Times New Roman"/>
        </w:rPr>
        <w:t xml:space="preserve">The Act identifies five gender equality indicators, and a further gender equality indicator is specified by the </w:t>
      </w:r>
      <w:r w:rsidRPr="0008062C">
        <w:rPr>
          <w:rFonts w:ascii="Times New Roman" w:hAnsi="Times New Roman"/>
          <w:i/>
          <w:lang w:eastAsia="en-AU"/>
        </w:rPr>
        <w:t xml:space="preserve">Workplace Gender Equality (Matters in relation to Gender Equality Indicators) Instrument 2013 (No. 1) </w:t>
      </w:r>
      <w:r w:rsidRPr="0008062C">
        <w:rPr>
          <w:rFonts w:ascii="Times New Roman" w:hAnsi="Times New Roman"/>
          <w:lang w:eastAsia="en-AU"/>
        </w:rPr>
        <w:t>(the Gender Equality Indicators Instrument)</w:t>
      </w:r>
      <w:r w:rsidR="003269BD">
        <w:rPr>
          <w:rFonts w:ascii="Times New Roman" w:hAnsi="Times New Roman"/>
          <w:i/>
          <w:lang w:eastAsia="en-AU"/>
        </w:rPr>
        <w:t xml:space="preserve">. </w:t>
      </w:r>
      <w:r w:rsidRPr="0008062C">
        <w:rPr>
          <w:rFonts w:ascii="Times New Roman" w:hAnsi="Times New Roman"/>
          <w:lang w:eastAsia="en-AU"/>
        </w:rPr>
        <w:t>The gender equality indicators are:</w:t>
      </w:r>
    </w:p>
    <w:p w:rsidR="00D638F0" w:rsidRDefault="00E37640" w:rsidP="00D638F0">
      <w:pPr>
        <w:spacing w:after="120" w:line="240" w:lineRule="auto"/>
        <w:ind w:left="720" w:hanging="360"/>
        <w:rPr>
          <w:rFonts w:ascii="Times New Roman" w:hAnsi="Times New Roman"/>
          <w:lang w:eastAsia="en-AU"/>
        </w:rPr>
      </w:pPr>
      <w:r w:rsidRPr="0008062C">
        <w:rPr>
          <w:rFonts w:ascii="Times New Roman" w:hAnsi="Times New Roman"/>
          <w:lang w:eastAsia="en-AU"/>
        </w:rPr>
        <w:t>(a) gend</w:t>
      </w:r>
      <w:r w:rsidR="00D638F0">
        <w:rPr>
          <w:rFonts w:ascii="Times New Roman" w:hAnsi="Times New Roman"/>
          <w:lang w:eastAsia="en-AU"/>
        </w:rPr>
        <w:t>er composition of the workforce;</w:t>
      </w:r>
    </w:p>
    <w:p w:rsidR="00E37640" w:rsidRPr="0008062C" w:rsidRDefault="00E37640" w:rsidP="00D638F0">
      <w:pPr>
        <w:spacing w:after="120" w:line="240" w:lineRule="auto"/>
        <w:ind w:left="720" w:hanging="360"/>
        <w:rPr>
          <w:rFonts w:ascii="Times New Roman" w:hAnsi="Times New Roman"/>
          <w:lang w:eastAsia="en-AU"/>
        </w:rPr>
      </w:pPr>
      <w:r w:rsidRPr="0008062C">
        <w:rPr>
          <w:rFonts w:ascii="Times New Roman" w:hAnsi="Times New Roman"/>
          <w:lang w:eastAsia="en-AU"/>
        </w:rPr>
        <w:t>(b) gender composition of governing bodies of relevant employers;</w:t>
      </w:r>
    </w:p>
    <w:p w:rsidR="00E37640" w:rsidRPr="0008062C" w:rsidRDefault="00E37640" w:rsidP="00D638F0">
      <w:pPr>
        <w:spacing w:after="120" w:line="240" w:lineRule="auto"/>
        <w:ind w:left="360"/>
        <w:rPr>
          <w:rFonts w:ascii="Times New Roman" w:hAnsi="Times New Roman"/>
          <w:lang w:eastAsia="en-AU"/>
        </w:rPr>
      </w:pPr>
      <w:r w:rsidRPr="0008062C">
        <w:rPr>
          <w:rFonts w:ascii="Times New Roman" w:hAnsi="Times New Roman"/>
          <w:lang w:eastAsia="en-AU"/>
        </w:rPr>
        <w:t>(c) equal remuneration between women and men;</w:t>
      </w:r>
    </w:p>
    <w:p w:rsidR="00E37640" w:rsidRPr="0008062C" w:rsidRDefault="00E37640" w:rsidP="00D638F0">
      <w:pPr>
        <w:spacing w:after="120" w:line="240" w:lineRule="auto"/>
        <w:ind w:left="360"/>
        <w:rPr>
          <w:rFonts w:ascii="Times New Roman" w:hAnsi="Times New Roman"/>
          <w:lang w:eastAsia="en-AU"/>
        </w:rPr>
      </w:pPr>
      <w:r w:rsidRPr="0008062C">
        <w:rPr>
          <w:rFonts w:ascii="Times New Roman" w:hAnsi="Times New Roman"/>
          <w:lang w:eastAsia="en-AU"/>
        </w:rPr>
        <w:t>(d) availability and utility of employment terms, conditions and practices relating to flexible working arrangements for employees and to working arrangements supporting employees with family or caring responsibilities;</w:t>
      </w:r>
    </w:p>
    <w:p w:rsidR="00E37640" w:rsidRPr="0008062C" w:rsidRDefault="00E37640" w:rsidP="00D638F0">
      <w:pPr>
        <w:spacing w:after="120" w:line="240" w:lineRule="auto"/>
        <w:ind w:left="360"/>
        <w:rPr>
          <w:rFonts w:ascii="Times New Roman" w:hAnsi="Times New Roman"/>
          <w:lang w:eastAsia="en-AU"/>
        </w:rPr>
      </w:pPr>
      <w:r w:rsidRPr="0008062C">
        <w:rPr>
          <w:rFonts w:ascii="Times New Roman" w:hAnsi="Times New Roman"/>
          <w:lang w:eastAsia="en-AU"/>
        </w:rPr>
        <w:t>(e) consultation with employees on issues concerning gender equality in the workplace;</w:t>
      </w:r>
    </w:p>
    <w:p w:rsidR="00E37640" w:rsidRPr="0008062C" w:rsidRDefault="00E37640" w:rsidP="00D638F0">
      <w:pPr>
        <w:spacing w:after="120" w:line="240" w:lineRule="auto"/>
        <w:ind w:left="360"/>
        <w:rPr>
          <w:rFonts w:ascii="Times New Roman" w:hAnsi="Times New Roman"/>
          <w:lang w:eastAsia="en-AU"/>
        </w:rPr>
      </w:pPr>
      <w:r w:rsidRPr="0008062C">
        <w:rPr>
          <w:rFonts w:ascii="Times New Roman" w:hAnsi="Times New Roman"/>
          <w:lang w:eastAsia="en-AU"/>
        </w:rPr>
        <w:t>(f) sex-based harassment and discrimination.</w:t>
      </w:r>
    </w:p>
    <w:p w:rsidR="00E37640" w:rsidRPr="00E37640" w:rsidRDefault="00E37640" w:rsidP="00E37640">
      <w:pPr>
        <w:rPr>
          <w:rFonts w:ascii="Times New Roman" w:hAnsi="Times New Roman" w:cs="Times New Roman"/>
        </w:rPr>
      </w:pPr>
      <w:r w:rsidRPr="0008062C">
        <w:rPr>
          <w:rFonts w:ascii="Times New Roman" w:hAnsi="Times New Roman"/>
        </w:rPr>
        <w:t xml:space="preserve">The minimum standards represent the minimum an employer must do to demonstrate a commitment to gender equality in their workplace. The minimum standards apply to relevant employers (that is, employers to whom the Act applies) that have </w:t>
      </w:r>
      <w:r w:rsidR="00D638F0">
        <w:rPr>
          <w:rFonts w:ascii="Times New Roman" w:hAnsi="Times New Roman"/>
        </w:rPr>
        <w:t>500</w:t>
      </w:r>
      <w:r w:rsidRPr="0008062C">
        <w:rPr>
          <w:rFonts w:ascii="Times New Roman" w:hAnsi="Times New Roman"/>
        </w:rPr>
        <w:t xml:space="preserve"> or more employees</w:t>
      </w:r>
      <w:r w:rsidR="003269BD">
        <w:rPr>
          <w:rFonts w:ascii="Times New Roman" w:hAnsi="Times New Roman"/>
        </w:rPr>
        <w:t xml:space="preserve">. </w:t>
      </w:r>
      <w:r w:rsidRPr="0008062C">
        <w:rPr>
          <w:rFonts w:ascii="Times New Roman" w:hAnsi="Times New Roman"/>
        </w:rPr>
        <w:t xml:space="preserve">In order to meet the </w:t>
      </w:r>
      <w:r w:rsidRPr="00E37640">
        <w:rPr>
          <w:rFonts w:ascii="Times New Roman" w:hAnsi="Times New Roman" w:cs="Times New Roman"/>
        </w:rPr>
        <w:t>minimum standards employers must have in place one or more policies or strategies to support the specific objective of the gender equality indicators as specified below:</w:t>
      </w:r>
    </w:p>
    <w:p w:rsidR="00800CCA" w:rsidRDefault="00800CCA" w:rsidP="00800CCA">
      <w:pPr>
        <w:pStyle w:val="ListParagraph"/>
        <w:numPr>
          <w:ilvl w:val="0"/>
          <w:numId w:val="16"/>
        </w:numPr>
        <w:ind w:left="720"/>
        <w:rPr>
          <w:rStyle w:val="BookTitle"/>
          <w:rFonts w:ascii="Times New Roman" w:hAnsi="Times New Roman" w:cs="Times New Roman"/>
          <w:i w:val="0"/>
          <w:iCs w:val="0"/>
          <w:smallCaps w:val="0"/>
          <w:spacing w:val="0"/>
        </w:rPr>
      </w:pPr>
      <w:r w:rsidRPr="003269BD">
        <w:rPr>
          <w:rStyle w:val="BookTitle"/>
          <w:rFonts w:ascii="Times New Roman" w:hAnsi="Times New Roman" w:cs="Times New Roman"/>
          <w:i w:val="0"/>
          <w:iCs w:val="0"/>
          <w:smallCaps w:val="0"/>
          <w:spacing w:val="0"/>
        </w:rPr>
        <w:t>a policy or strategy that supports the gender equality indicator “gender composition of the workforce” and that aims to achieve the objective of sup</w:t>
      </w:r>
      <w:r>
        <w:rPr>
          <w:rStyle w:val="BookTitle"/>
          <w:rFonts w:ascii="Times New Roman" w:hAnsi="Times New Roman" w:cs="Times New Roman"/>
          <w:i w:val="0"/>
          <w:iCs w:val="0"/>
          <w:smallCaps w:val="0"/>
          <w:spacing w:val="0"/>
        </w:rPr>
        <w:t>porting gender equality in the e</w:t>
      </w:r>
      <w:r w:rsidRPr="003269BD">
        <w:rPr>
          <w:rStyle w:val="BookTitle"/>
          <w:rFonts w:ascii="Times New Roman" w:hAnsi="Times New Roman" w:cs="Times New Roman"/>
          <w:i w:val="0"/>
          <w:iCs w:val="0"/>
          <w:smallCaps w:val="0"/>
          <w:spacing w:val="0"/>
        </w:rPr>
        <w:t>mployer’s workplace;</w:t>
      </w:r>
    </w:p>
    <w:p w:rsidR="00800CCA" w:rsidRDefault="00800CCA" w:rsidP="00800CCA">
      <w:pPr>
        <w:pStyle w:val="ListParagraph"/>
        <w:numPr>
          <w:ilvl w:val="0"/>
          <w:numId w:val="16"/>
        </w:numPr>
        <w:ind w:left="720"/>
        <w:rPr>
          <w:rStyle w:val="BookTitle"/>
          <w:rFonts w:ascii="Times New Roman" w:hAnsi="Times New Roman" w:cs="Times New Roman"/>
          <w:i w:val="0"/>
          <w:iCs w:val="0"/>
          <w:smallCaps w:val="0"/>
          <w:spacing w:val="0"/>
        </w:rPr>
      </w:pPr>
      <w:r w:rsidRPr="003269BD">
        <w:rPr>
          <w:rStyle w:val="BookTitle"/>
          <w:rFonts w:ascii="Times New Roman" w:hAnsi="Times New Roman" w:cs="Times New Roman"/>
          <w:i w:val="0"/>
          <w:iCs w:val="0"/>
          <w:smallCaps w:val="0"/>
          <w:spacing w:val="0"/>
        </w:rPr>
        <w:lastRenderedPageBreak/>
        <w:t xml:space="preserve">a policy or strategy that supports the gender equality indicator “equal remuneration between women and men” and that aims to achieve the objective of equal remuneration between women and men employees of the employer; </w:t>
      </w:r>
    </w:p>
    <w:p w:rsidR="00800CCA" w:rsidRDefault="00800CCA" w:rsidP="00800CCA">
      <w:pPr>
        <w:pStyle w:val="ListParagraph"/>
        <w:numPr>
          <w:ilvl w:val="0"/>
          <w:numId w:val="16"/>
        </w:numPr>
        <w:ind w:left="720"/>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a</w:t>
      </w:r>
      <w:r w:rsidRPr="003269BD">
        <w:rPr>
          <w:rStyle w:val="BookTitle"/>
          <w:rFonts w:ascii="Times New Roman" w:hAnsi="Times New Roman" w:cs="Times New Roman"/>
          <w:i w:val="0"/>
          <w:iCs w:val="0"/>
          <w:smallCaps w:val="0"/>
          <w:spacing w:val="0"/>
        </w:rPr>
        <w:t xml:space="preserve"> policy or strategy that supports the gender equality indicator “availability and utility of employment terms, conditions and practices relating to flexible working arrangements for employees and to working arrangements supporting employees with family or caring responsibilities” and that aims to achieve the objective of flexible working arrangements for employees of the employer with caring responsibilities; </w:t>
      </w:r>
    </w:p>
    <w:p w:rsidR="00800CCA" w:rsidRPr="003269BD" w:rsidRDefault="00800CCA" w:rsidP="00800CCA">
      <w:pPr>
        <w:pStyle w:val="ListParagraph"/>
        <w:numPr>
          <w:ilvl w:val="0"/>
          <w:numId w:val="16"/>
        </w:numPr>
        <w:ind w:left="720"/>
        <w:rPr>
          <w:rStyle w:val="BookTitle"/>
          <w:rFonts w:ascii="Times New Roman" w:hAnsi="Times New Roman" w:cs="Times New Roman"/>
          <w:i w:val="0"/>
          <w:iCs w:val="0"/>
          <w:smallCaps w:val="0"/>
          <w:spacing w:val="0"/>
        </w:rPr>
      </w:pPr>
      <w:r w:rsidRPr="003269BD">
        <w:rPr>
          <w:rStyle w:val="BookTitle"/>
          <w:rFonts w:ascii="Times New Roman" w:hAnsi="Times New Roman" w:cs="Times New Roman"/>
          <w:i w:val="0"/>
          <w:iCs w:val="0"/>
          <w:smallCaps w:val="0"/>
          <w:spacing w:val="0"/>
        </w:rPr>
        <w:t>a policy or strategy that supports the gender equality indicator “sex-based harassment and discrimination” and that aims to achieve the objective of sex-based harassment and discrimination prevention in the employer’s workplace.</w:t>
      </w:r>
    </w:p>
    <w:p w:rsidR="00E37640" w:rsidRPr="00E37640" w:rsidRDefault="00E37640" w:rsidP="00E37640">
      <w:pPr>
        <w:spacing w:before="120" w:after="120"/>
        <w:rPr>
          <w:rFonts w:ascii="Times New Roman" w:hAnsi="Times New Roman" w:cs="Times New Roman"/>
        </w:rPr>
      </w:pPr>
      <w:r w:rsidRPr="00E37640">
        <w:rPr>
          <w:rFonts w:ascii="Times New Roman" w:hAnsi="Times New Roman" w:cs="Times New Roman"/>
        </w:rPr>
        <w:t>If an employer fails to meet an applicable minimum standard at the end of a reporting period (the base period), the Workplace Gender Equality Agency (the Agency) must offer to provide the employer with advice and assistance in relation to improving the employer’s performance against that minimum standard</w:t>
      </w:r>
      <w:r w:rsidR="003269BD">
        <w:rPr>
          <w:rFonts w:ascii="Times New Roman" w:hAnsi="Times New Roman" w:cs="Times New Roman"/>
        </w:rPr>
        <w:t xml:space="preserve">. </w:t>
      </w:r>
      <w:r w:rsidRPr="00E37640">
        <w:rPr>
          <w:rFonts w:ascii="Times New Roman" w:hAnsi="Times New Roman" w:cs="Times New Roman"/>
        </w:rPr>
        <w:t xml:space="preserve">If the employer fails to improve against the minimum standard by the end of the second reporting period after the base period, the employer will be taken to have failed to comply with the Act. </w:t>
      </w:r>
    </w:p>
    <w:p w:rsidR="00E37640" w:rsidRPr="00E37640" w:rsidRDefault="00E37640" w:rsidP="00E37640">
      <w:pPr>
        <w:rPr>
          <w:rFonts w:ascii="Times New Roman" w:hAnsi="Times New Roman" w:cs="Times New Roman"/>
        </w:rPr>
      </w:pPr>
      <w:r w:rsidRPr="00E37640">
        <w:rPr>
          <w:rFonts w:ascii="Times New Roman" w:hAnsi="Times New Roman" w:cs="Times New Roman"/>
        </w:rPr>
        <w:t>If an employer fails to comply with the Act without reasonable excuse, the Agency may name the employer in a report or by electronic or other means as having failed to comply with the Act and set out details of the non-compliance.</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b/>
          <w:lang w:eastAsia="en-AU"/>
        </w:rPr>
        <w:t>Human rights implications</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lang w:eastAsia="en-AU"/>
        </w:rPr>
        <w:t xml:space="preserve">The Australian Government’s international human rights and labour rights obligations relevant to the issue of gender equality in the workplace are set out in the following international instruments: </w:t>
      </w:r>
    </w:p>
    <w:p w:rsidR="00E37640" w:rsidRPr="00E37640" w:rsidRDefault="00E37640" w:rsidP="00E37640">
      <w:pPr>
        <w:pStyle w:val="ListParagraph"/>
        <w:numPr>
          <w:ilvl w:val="0"/>
          <w:numId w:val="14"/>
        </w:numPr>
        <w:spacing w:before="240" w:beforeAutospacing="1" w:after="240" w:afterAutospacing="1" w:line="240" w:lineRule="auto"/>
        <w:contextualSpacing w:val="0"/>
        <w:rPr>
          <w:rFonts w:ascii="Times New Roman" w:hAnsi="Times New Roman" w:cs="Times New Roman"/>
        </w:rPr>
      </w:pPr>
      <w:r w:rsidRPr="00E37640">
        <w:rPr>
          <w:rFonts w:ascii="Times New Roman" w:hAnsi="Times New Roman" w:cs="Times New Roman"/>
        </w:rPr>
        <w:t>The Convention on the Elimination of All forms of Discrimination against Women (CEDAW)</w:t>
      </w:r>
    </w:p>
    <w:p w:rsidR="00E37640" w:rsidRPr="00E37640" w:rsidRDefault="00E37640" w:rsidP="00E37640">
      <w:pPr>
        <w:pStyle w:val="ListParagraph"/>
        <w:numPr>
          <w:ilvl w:val="0"/>
          <w:numId w:val="14"/>
        </w:numPr>
        <w:spacing w:before="240" w:beforeAutospacing="1" w:after="240" w:afterAutospacing="1" w:line="240" w:lineRule="auto"/>
        <w:contextualSpacing w:val="0"/>
        <w:rPr>
          <w:rFonts w:ascii="Times New Roman" w:hAnsi="Times New Roman" w:cs="Times New Roman"/>
        </w:rPr>
      </w:pPr>
      <w:r w:rsidRPr="00E37640">
        <w:rPr>
          <w:rFonts w:ascii="Times New Roman" w:hAnsi="Times New Roman" w:cs="Times New Roman"/>
        </w:rPr>
        <w:t xml:space="preserve">The International Covenant on Civil and Political Rights (ICCPR) </w:t>
      </w:r>
    </w:p>
    <w:p w:rsidR="00E37640" w:rsidRPr="00E37640" w:rsidRDefault="00E37640" w:rsidP="00E37640">
      <w:pPr>
        <w:pStyle w:val="ListParagraph"/>
        <w:numPr>
          <w:ilvl w:val="0"/>
          <w:numId w:val="14"/>
        </w:numPr>
        <w:spacing w:before="240" w:beforeAutospacing="1" w:after="240" w:afterAutospacing="1" w:line="240" w:lineRule="auto"/>
        <w:contextualSpacing w:val="0"/>
        <w:rPr>
          <w:rFonts w:ascii="Times New Roman" w:hAnsi="Times New Roman" w:cs="Times New Roman"/>
        </w:rPr>
      </w:pPr>
      <w:r w:rsidRPr="00E37640">
        <w:rPr>
          <w:rFonts w:ascii="Times New Roman" w:hAnsi="Times New Roman" w:cs="Times New Roman"/>
        </w:rPr>
        <w:t>The International Covenant on Economic, Social and Cultural Rights (ICESCR)</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lang w:eastAsia="en-AU"/>
        </w:rPr>
        <w:t>In addition to the protections afforded by these instruments, employees’ rights are further supported by the following International Labour Organisation Conventions:</w:t>
      </w:r>
    </w:p>
    <w:p w:rsidR="00E37640" w:rsidRPr="00E37640" w:rsidRDefault="00E37640" w:rsidP="00E37640">
      <w:pPr>
        <w:pStyle w:val="ListParagraph"/>
        <w:numPr>
          <w:ilvl w:val="0"/>
          <w:numId w:val="13"/>
        </w:numPr>
        <w:spacing w:before="240" w:beforeAutospacing="1" w:after="240" w:afterAutospacing="1" w:line="240" w:lineRule="auto"/>
        <w:contextualSpacing w:val="0"/>
        <w:rPr>
          <w:rFonts w:ascii="Times New Roman" w:hAnsi="Times New Roman" w:cs="Times New Roman"/>
        </w:rPr>
      </w:pPr>
      <w:r w:rsidRPr="00E37640">
        <w:rPr>
          <w:rFonts w:ascii="Times New Roman" w:hAnsi="Times New Roman" w:cs="Times New Roman"/>
        </w:rPr>
        <w:t>Equal Remunera</w:t>
      </w:r>
      <w:r w:rsidR="00800CCA">
        <w:rPr>
          <w:rFonts w:ascii="Times New Roman" w:hAnsi="Times New Roman" w:cs="Times New Roman"/>
        </w:rPr>
        <w:t>tion Convention, 1951 (No. 100)</w:t>
      </w:r>
    </w:p>
    <w:p w:rsidR="00E37640" w:rsidRPr="00E37640" w:rsidRDefault="00E37640" w:rsidP="00E37640">
      <w:pPr>
        <w:pStyle w:val="ListParagraph"/>
        <w:numPr>
          <w:ilvl w:val="0"/>
          <w:numId w:val="13"/>
        </w:numPr>
        <w:spacing w:before="240" w:beforeAutospacing="1" w:after="240" w:afterAutospacing="1" w:line="240" w:lineRule="auto"/>
        <w:contextualSpacing w:val="0"/>
        <w:rPr>
          <w:rFonts w:ascii="Times New Roman" w:hAnsi="Times New Roman" w:cs="Times New Roman"/>
        </w:rPr>
      </w:pPr>
      <w:r w:rsidRPr="00E37640">
        <w:rPr>
          <w:rFonts w:ascii="Times New Roman" w:hAnsi="Times New Roman" w:cs="Times New Roman"/>
        </w:rPr>
        <w:t>Discrimination (Employment and Occupat</w:t>
      </w:r>
      <w:r w:rsidR="00800CCA">
        <w:rPr>
          <w:rFonts w:ascii="Times New Roman" w:hAnsi="Times New Roman" w:cs="Times New Roman"/>
        </w:rPr>
        <w:t>ion) Convention, 1958 (No. 111)</w:t>
      </w:r>
    </w:p>
    <w:p w:rsidR="00E37640" w:rsidRPr="00E37640" w:rsidRDefault="00E37640" w:rsidP="00E37640">
      <w:pPr>
        <w:pStyle w:val="ListParagraph"/>
        <w:numPr>
          <w:ilvl w:val="0"/>
          <w:numId w:val="13"/>
        </w:numPr>
        <w:spacing w:before="240" w:beforeAutospacing="1" w:after="240" w:afterAutospacing="1" w:line="240" w:lineRule="auto"/>
        <w:contextualSpacing w:val="0"/>
        <w:rPr>
          <w:rFonts w:ascii="Times New Roman" w:hAnsi="Times New Roman" w:cs="Times New Roman"/>
        </w:rPr>
      </w:pPr>
      <w:r w:rsidRPr="00E37640">
        <w:rPr>
          <w:rFonts w:ascii="Times New Roman" w:hAnsi="Times New Roman" w:cs="Times New Roman"/>
        </w:rPr>
        <w:t>Workers with Family Responsibilities</w:t>
      </w:r>
      <w:r w:rsidR="00800CCA">
        <w:rPr>
          <w:rFonts w:ascii="Times New Roman" w:hAnsi="Times New Roman" w:cs="Times New Roman"/>
        </w:rPr>
        <w:t xml:space="preserve"> Convention, 1981 (No. 156)</w:t>
      </w:r>
    </w:p>
    <w:p w:rsidR="00E37640" w:rsidRPr="00E37640" w:rsidRDefault="00E37640" w:rsidP="00E37640">
      <w:pPr>
        <w:pStyle w:val="ListParagraph"/>
        <w:numPr>
          <w:ilvl w:val="0"/>
          <w:numId w:val="13"/>
        </w:numPr>
        <w:spacing w:before="240" w:beforeAutospacing="1" w:after="240" w:afterAutospacing="1" w:line="240" w:lineRule="auto"/>
        <w:contextualSpacing w:val="0"/>
        <w:rPr>
          <w:rFonts w:ascii="Times New Roman" w:hAnsi="Times New Roman" w:cs="Times New Roman"/>
        </w:rPr>
      </w:pPr>
      <w:r w:rsidRPr="00E37640">
        <w:rPr>
          <w:rFonts w:ascii="Times New Roman" w:hAnsi="Times New Roman" w:cs="Times New Roman"/>
        </w:rPr>
        <w:t>Part-Time Work Convention, 1994 (No. 175)</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lang w:eastAsia="en-AU"/>
        </w:rPr>
        <w:t>The implementation of the Instrument under the Act promotes the following human rights:</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u w:val="single"/>
          <w:lang w:eastAsia="en-AU"/>
        </w:rPr>
        <w:t>Freedom from discrimination in employment</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lang w:eastAsia="en-AU"/>
        </w:rPr>
        <w:t>The elimination of discrimination in employment engages Article 11 of CEDAW. Article 11 expressly obliges Australia to ‘</w:t>
      </w:r>
      <w:r w:rsidRPr="00E37640">
        <w:rPr>
          <w:rFonts w:ascii="Times New Roman" w:hAnsi="Times New Roman" w:cs="Times New Roman"/>
          <w:i/>
          <w:iCs/>
          <w:lang w:eastAsia="en-AU"/>
        </w:rPr>
        <w:t>take all appropriate measures to eliminate discrimination against women in the field of employment in order to ensure, on a basis of equality of men and women, the same rights, in particular… the right to the same employment opportunities… the right to promotion…[and] equal remuneration</w:t>
      </w:r>
      <w:r w:rsidRPr="00E37640">
        <w:rPr>
          <w:rFonts w:ascii="Times New Roman" w:hAnsi="Times New Roman" w:cs="Times New Roman"/>
          <w:lang w:eastAsia="en-AU"/>
        </w:rPr>
        <w:t>.[1]</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lang w:eastAsia="en-AU"/>
        </w:rPr>
        <w:lastRenderedPageBreak/>
        <w:t>The Instrument contributes to the elimination of discriminatory workplace practices by creating the minimum standards relating to gender equality that specified relevant employers must comply with under the Act</w:t>
      </w:r>
      <w:r w:rsidR="003269BD">
        <w:rPr>
          <w:rFonts w:ascii="Times New Roman" w:hAnsi="Times New Roman" w:cs="Times New Roman"/>
          <w:lang w:eastAsia="en-AU"/>
        </w:rPr>
        <w:t xml:space="preserve">. </w:t>
      </w:r>
      <w:r w:rsidRPr="00E37640">
        <w:rPr>
          <w:rFonts w:ascii="Times New Roman" w:hAnsi="Times New Roman" w:cs="Times New Roman"/>
          <w:lang w:eastAsia="en-AU"/>
        </w:rPr>
        <w:t>This will require specified relevant employers to have in place one or more policies or strategies that support gender equality in the workplace. In turn, this will advance freedom from discrimination in employment for women and men.</w:t>
      </w:r>
    </w:p>
    <w:p w:rsidR="00E37640" w:rsidRPr="00E37640" w:rsidRDefault="00E37640" w:rsidP="00D638F0">
      <w:pPr>
        <w:keepNext/>
        <w:spacing w:before="240" w:after="240"/>
        <w:rPr>
          <w:rFonts w:ascii="Times New Roman" w:hAnsi="Times New Roman" w:cs="Times New Roman"/>
          <w:lang w:eastAsia="en-AU"/>
        </w:rPr>
      </w:pPr>
      <w:r w:rsidRPr="00E37640">
        <w:rPr>
          <w:rFonts w:ascii="Times New Roman" w:hAnsi="Times New Roman" w:cs="Times New Roman"/>
          <w:u w:val="single"/>
          <w:lang w:eastAsia="en-AU"/>
        </w:rPr>
        <w:t xml:space="preserve">Protection against discrimination on the ground of sex </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lang w:eastAsia="en-AU"/>
        </w:rPr>
        <w:t>Article 26 of the ICCPR contains a positive obligation on States Parties to take steps to protect against discrimination on the ground of sex. The Instrument promotes the elimination of discrimination on the basis of gender in the workplace by placing a positive obligation on specified relevant employers to meet the minimum gender equality standards specified by the Instrument, in accordance with the Act</w:t>
      </w:r>
      <w:r w:rsidR="003269BD">
        <w:rPr>
          <w:rFonts w:ascii="Times New Roman" w:hAnsi="Times New Roman" w:cs="Times New Roman"/>
          <w:lang w:eastAsia="en-AU"/>
        </w:rPr>
        <w:t xml:space="preserve">. </w:t>
      </w:r>
      <w:r w:rsidRPr="00E37640">
        <w:rPr>
          <w:rFonts w:ascii="Times New Roman" w:hAnsi="Times New Roman" w:cs="Times New Roman"/>
          <w:lang w:eastAsia="en-AU"/>
        </w:rPr>
        <w:t>In this way, the Instrument supports the removal of barriers to the full and equal participation of women and men in the workforce.</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u w:val="single"/>
          <w:lang w:eastAsia="en-AU"/>
        </w:rPr>
        <w:t>The right to fair wages and equal remuneration for work of equal value</w:t>
      </w:r>
    </w:p>
    <w:p w:rsidR="00E37640" w:rsidRPr="00E37640" w:rsidRDefault="00E37640" w:rsidP="00E37640">
      <w:pPr>
        <w:spacing w:before="240" w:after="240"/>
        <w:rPr>
          <w:rFonts w:ascii="Times New Roman" w:hAnsi="Times New Roman" w:cs="Times New Roman"/>
          <w:lang w:eastAsia="en-AU"/>
        </w:rPr>
      </w:pPr>
      <w:r w:rsidRPr="00E37640">
        <w:rPr>
          <w:rFonts w:ascii="Times New Roman" w:hAnsi="Times New Roman" w:cs="Times New Roman"/>
          <w:lang w:eastAsia="en-AU"/>
        </w:rPr>
        <w:t>Article 7 of the ICESC recognises the right of everyone to fair wages and equal remuneration for work of equal value</w:t>
      </w:r>
      <w:r w:rsidR="003269BD">
        <w:rPr>
          <w:rFonts w:ascii="Times New Roman" w:hAnsi="Times New Roman" w:cs="Times New Roman"/>
          <w:lang w:eastAsia="en-AU"/>
        </w:rPr>
        <w:t xml:space="preserve">. </w:t>
      </w:r>
      <w:r w:rsidRPr="00E37640">
        <w:rPr>
          <w:rFonts w:ascii="Times New Roman" w:hAnsi="Times New Roman" w:cs="Times New Roman"/>
          <w:lang w:eastAsia="en-AU"/>
        </w:rPr>
        <w:t>The Instrument promotes equal remuneration between women and men by creating minimum standards that relate to the gender equality indicator: equal remuneration between women and men.</w:t>
      </w:r>
    </w:p>
    <w:p w:rsidR="00E37640" w:rsidRPr="00E37640" w:rsidRDefault="00E37640" w:rsidP="00E37640">
      <w:pPr>
        <w:rPr>
          <w:rFonts w:ascii="Times New Roman" w:hAnsi="Times New Roman" w:cs="Times New Roman"/>
          <w:lang w:eastAsia="en-AU"/>
        </w:rPr>
      </w:pPr>
      <w:r w:rsidRPr="00E37640">
        <w:rPr>
          <w:rFonts w:ascii="Times New Roman" w:hAnsi="Times New Roman" w:cs="Times New Roman"/>
          <w:b/>
          <w:lang w:eastAsia="en-AU"/>
        </w:rPr>
        <w:t>Conclusion</w:t>
      </w:r>
    </w:p>
    <w:p w:rsidR="00E37640" w:rsidRPr="00E37640" w:rsidRDefault="00E37640" w:rsidP="00E37640">
      <w:pPr>
        <w:rPr>
          <w:rFonts w:ascii="Times New Roman" w:hAnsi="Times New Roman" w:cs="Times New Roman"/>
          <w:lang w:eastAsia="en-AU"/>
        </w:rPr>
      </w:pPr>
      <w:r w:rsidRPr="00E37640">
        <w:rPr>
          <w:rFonts w:ascii="Times New Roman" w:hAnsi="Times New Roman" w:cs="Times New Roman"/>
          <w:lang w:eastAsia="en-AU"/>
        </w:rPr>
        <w:t xml:space="preserve">The Instrument is compatible with human rights because it advances the protection of human rights. </w:t>
      </w:r>
    </w:p>
    <w:p w:rsidR="00E37640" w:rsidRPr="00E37640" w:rsidRDefault="00E37640" w:rsidP="00E37640">
      <w:pPr>
        <w:rPr>
          <w:rFonts w:ascii="Times New Roman" w:hAnsi="Times New Roman" w:cs="Times New Roman"/>
          <w:lang w:eastAsia="en-AU"/>
        </w:rPr>
      </w:pPr>
      <w:r w:rsidRPr="00E37640">
        <w:rPr>
          <w:rFonts w:ascii="Times New Roman" w:hAnsi="Times New Roman" w:cs="Times New Roman"/>
          <w:b/>
          <w:lang w:eastAsia="en-AU"/>
        </w:rPr>
        <w:t xml:space="preserve">Minister for Employment, the Hon Eric </w:t>
      </w:r>
      <w:proofErr w:type="spellStart"/>
      <w:r w:rsidRPr="00E37640">
        <w:rPr>
          <w:rFonts w:ascii="Times New Roman" w:hAnsi="Times New Roman" w:cs="Times New Roman"/>
          <w:b/>
          <w:lang w:eastAsia="en-AU"/>
        </w:rPr>
        <w:t>Abetz</w:t>
      </w:r>
      <w:proofErr w:type="spellEnd"/>
    </w:p>
    <w:sectPr w:rsidR="00E37640" w:rsidRPr="00E37640" w:rsidSect="00F64F6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2C" w:rsidRDefault="00212E2C" w:rsidP="005A1BDE">
      <w:pPr>
        <w:spacing w:after="0" w:line="240" w:lineRule="auto"/>
      </w:pPr>
      <w:r>
        <w:separator/>
      </w:r>
    </w:p>
  </w:endnote>
  <w:endnote w:type="continuationSeparator" w:id="0">
    <w:p w:rsidR="00212E2C" w:rsidRDefault="00212E2C" w:rsidP="005A1BDE">
      <w:pPr>
        <w:spacing w:after="0" w:line="240" w:lineRule="auto"/>
      </w:pPr>
      <w:r>
        <w:continuationSeparator/>
      </w:r>
    </w:p>
  </w:endnote>
  <w:endnote w:type="continuationNotice" w:id="1">
    <w:p w:rsidR="00212E2C" w:rsidRDefault="00212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57" w:rsidRDefault="001F6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2C" w:rsidRDefault="00212E2C" w:rsidP="005A1BDE">
      <w:pPr>
        <w:spacing w:after="0" w:line="240" w:lineRule="auto"/>
      </w:pPr>
      <w:r>
        <w:separator/>
      </w:r>
    </w:p>
  </w:footnote>
  <w:footnote w:type="continuationSeparator" w:id="0">
    <w:p w:rsidR="00212E2C" w:rsidRDefault="00212E2C" w:rsidP="005A1BDE">
      <w:pPr>
        <w:spacing w:after="0" w:line="240" w:lineRule="auto"/>
      </w:pPr>
      <w:r>
        <w:continuationSeparator/>
      </w:r>
    </w:p>
  </w:footnote>
  <w:footnote w:type="continuationNotice" w:id="1">
    <w:p w:rsidR="00212E2C" w:rsidRDefault="00212E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57" w:rsidRDefault="001F6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7D4"/>
    <w:multiLevelType w:val="hybridMultilevel"/>
    <w:tmpl w:val="C0F03B10"/>
    <w:lvl w:ilvl="0" w:tplc="CDEA0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3125"/>
        </w:tabs>
        <w:ind w:left="3125" w:hanging="425"/>
      </w:pPr>
      <w:rPr>
        <w:b w:val="0"/>
        <w:i w:val="0"/>
      </w:rPr>
    </w:lvl>
    <w:lvl w:ilvl="8">
      <w:start w:val="1"/>
      <w:numFmt w:val="bullet"/>
      <w:lvlText w:val="–"/>
      <w:lvlJc w:val="left"/>
      <w:pPr>
        <w:tabs>
          <w:tab w:val="num" w:pos="2551"/>
        </w:tabs>
        <w:ind w:left="2551" w:hanging="425"/>
      </w:pPr>
      <w:rPr>
        <w:b w:val="0"/>
        <w:i w:val="0"/>
      </w:rPr>
    </w:lvl>
  </w:abstractNum>
  <w:abstractNum w:abstractNumId="2">
    <w:nsid w:val="2F034B59"/>
    <w:multiLevelType w:val="hybridMultilevel"/>
    <w:tmpl w:val="90E29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3CCD3B6D"/>
    <w:multiLevelType w:val="hybridMultilevel"/>
    <w:tmpl w:val="1A6E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F1261D"/>
    <w:multiLevelType w:val="multilevel"/>
    <w:tmpl w:val="AA5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11569D"/>
    <w:multiLevelType w:val="hybridMultilevel"/>
    <w:tmpl w:val="0E02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6F3018B"/>
    <w:multiLevelType w:val="hybridMultilevel"/>
    <w:tmpl w:val="D8A84E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58F6192D"/>
    <w:multiLevelType w:val="hybridMultilevel"/>
    <w:tmpl w:val="090C74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63CC644C"/>
    <w:multiLevelType w:val="hybridMultilevel"/>
    <w:tmpl w:val="1BE0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7A677A"/>
    <w:multiLevelType w:val="hybridMultilevel"/>
    <w:tmpl w:val="E16A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6A6570"/>
    <w:multiLevelType w:val="multilevel"/>
    <w:tmpl w:val="8AA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020888"/>
    <w:multiLevelType w:val="hybridMultilevel"/>
    <w:tmpl w:val="9908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1B6401"/>
    <w:multiLevelType w:val="hybridMultilevel"/>
    <w:tmpl w:val="77EC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7F6B23"/>
    <w:multiLevelType w:val="multilevel"/>
    <w:tmpl w:val="FA1230AE"/>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4">
    <w:nsid w:val="7A736FD5"/>
    <w:multiLevelType w:val="multilevel"/>
    <w:tmpl w:val="135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90253D"/>
    <w:multiLevelType w:val="multilevel"/>
    <w:tmpl w:val="7CA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6"/>
  </w:num>
  <w:num w:numId="9">
    <w:abstractNumId w:val="4"/>
  </w:num>
  <w:num w:numId="10">
    <w:abstractNumId w:val="14"/>
  </w:num>
  <w:num w:numId="11">
    <w:abstractNumId w:val="10"/>
  </w:num>
  <w:num w:numId="12">
    <w:abstractNumId w:val="15"/>
  </w:num>
  <w:num w:numId="13">
    <w:abstractNumId w:val="3"/>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460B8"/>
    <w:rsid w:val="00000D9B"/>
    <w:rsid w:val="00020F42"/>
    <w:rsid w:val="00030939"/>
    <w:rsid w:val="000441A5"/>
    <w:rsid w:val="0004528B"/>
    <w:rsid w:val="000513E7"/>
    <w:rsid w:val="00067005"/>
    <w:rsid w:val="00076649"/>
    <w:rsid w:val="00080414"/>
    <w:rsid w:val="000811C4"/>
    <w:rsid w:val="00086636"/>
    <w:rsid w:val="00091E42"/>
    <w:rsid w:val="00091F60"/>
    <w:rsid w:val="000C52A3"/>
    <w:rsid w:val="000C5F13"/>
    <w:rsid w:val="000C67E0"/>
    <w:rsid w:val="000D7D99"/>
    <w:rsid w:val="000E75FD"/>
    <w:rsid w:val="000F225B"/>
    <w:rsid w:val="000F3C1B"/>
    <w:rsid w:val="000F4E6B"/>
    <w:rsid w:val="001077FA"/>
    <w:rsid w:val="00112A95"/>
    <w:rsid w:val="001605B8"/>
    <w:rsid w:val="001D4E8E"/>
    <w:rsid w:val="001D509E"/>
    <w:rsid w:val="001E2403"/>
    <w:rsid w:val="001E630D"/>
    <w:rsid w:val="001E63C4"/>
    <w:rsid w:val="001F6279"/>
    <w:rsid w:val="001F6E57"/>
    <w:rsid w:val="001F797F"/>
    <w:rsid w:val="002111C6"/>
    <w:rsid w:val="002125E6"/>
    <w:rsid w:val="00212E2C"/>
    <w:rsid w:val="00213A49"/>
    <w:rsid w:val="0022469C"/>
    <w:rsid w:val="00240AE8"/>
    <w:rsid w:val="00242A1D"/>
    <w:rsid w:val="002515F0"/>
    <w:rsid w:val="00261938"/>
    <w:rsid w:val="00276567"/>
    <w:rsid w:val="00284554"/>
    <w:rsid w:val="002944E7"/>
    <w:rsid w:val="00294F63"/>
    <w:rsid w:val="002A4C45"/>
    <w:rsid w:val="002D3493"/>
    <w:rsid w:val="002D3993"/>
    <w:rsid w:val="002D6F32"/>
    <w:rsid w:val="002E19F6"/>
    <w:rsid w:val="00323B32"/>
    <w:rsid w:val="00324506"/>
    <w:rsid w:val="00325874"/>
    <w:rsid w:val="003269BD"/>
    <w:rsid w:val="00333DC7"/>
    <w:rsid w:val="00335E68"/>
    <w:rsid w:val="00360123"/>
    <w:rsid w:val="00360FA1"/>
    <w:rsid w:val="0036352F"/>
    <w:rsid w:val="00363D1C"/>
    <w:rsid w:val="00373CEA"/>
    <w:rsid w:val="00387032"/>
    <w:rsid w:val="003B065C"/>
    <w:rsid w:val="003B2BB8"/>
    <w:rsid w:val="003B5C21"/>
    <w:rsid w:val="003D34FF"/>
    <w:rsid w:val="003F1439"/>
    <w:rsid w:val="003F1660"/>
    <w:rsid w:val="00413EDF"/>
    <w:rsid w:val="00417D00"/>
    <w:rsid w:val="00422162"/>
    <w:rsid w:val="00440E84"/>
    <w:rsid w:val="0045196B"/>
    <w:rsid w:val="004539D4"/>
    <w:rsid w:val="00463464"/>
    <w:rsid w:val="0047597D"/>
    <w:rsid w:val="004768DE"/>
    <w:rsid w:val="0048310B"/>
    <w:rsid w:val="00493FB6"/>
    <w:rsid w:val="004A1CA6"/>
    <w:rsid w:val="004B0E5B"/>
    <w:rsid w:val="004B34AE"/>
    <w:rsid w:val="004B54CA"/>
    <w:rsid w:val="004D05CB"/>
    <w:rsid w:val="004D55BB"/>
    <w:rsid w:val="004E5CBF"/>
    <w:rsid w:val="004E6245"/>
    <w:rsid w:val="0050690D"/>
    <w:rsid w:val="00512F68"/>
    <w:rsid w:val="005255B4"/>
    <w:rsid w:val="00526A68"/>
    <w:rsid w:val="00531B79"/>
    <w:rsid w:val="00532ABF"/>
    <w:rsid w:val="005460B8"/>
    <w:rsid w:val="005603E0"/>
    <w:rsid w:val="005808F9"/>
    <w:rsid w:val="00585E00"/>
    <w:rsid w:val="00587026"/>
    <w:rsid w:val="005944DD"/>
    <w:rsid w:val="005A1BDE"/>
    <w:rsid w:val="005A798C"/>
    <w:rsid w:val="005B5E3E"/>
    <w:rsid w:val="005C3AA9"/>
    <w:rsid w:val="006052F0"/>
    <w:rsid w:val="00640B4F"/>
    <w:rsid w:val="00647B2D"/>
    <w:rsid w:val="00653F07"/>
    <w:rsid w:val="00655CFB"/>
    <w:rsid w:val="00663843"/>
    <w:rsid w:val="00664B3C"/>
    <w:rsid w:val="00665AA4"/>
    <w:rsid w:val="0066689B"/>
    <w:rsid w:val="00696867"/>
    <w:rsid w:val="006A4CE7"/>
    <w:rsid w:val="006B32A5"/>
    <w:rsid w:val="006B706A"/>
    <w:rsid w:val="007066A5"/>
    <w:rsid w:val="00711F48"/>
    <w:rsid w:val="00722B53"/>
    <w:rsid w:val="0075249F"/>
    <w:rsid w:val="0076084D"/>
    <w:rsid w:val="00781660"/>
    <w:rsid w:val="00785261"/>
    <w:rsid w:val="00785CC8"/>
    <w:rsid w:val="0079323B"/>
    <w:rsid w:val="00793581"/>
    <w:rsid w:val="007A2C82"/>
    <w:rsid w:val="007A788A"/>
    <w:rsid w:val="007B0256"/>
    <w:rsid w:val="007C1543"/>
    <w:rsid w:val="007D2C8A"/>
    <w:rsid w:val="007D2CDA"/>
    <w:rsid w:val="007D36BB"/>
    <w:rsid w:val="007D39AA"/>
    <w:rsid w:val="007E075B"/>
    <w:rsid w:val="007E3EA6"/>
    <w:rsid w:val="007F0C47"/>
    <w:rsid w:val="007F1CA2"/>
    <w:rsid w:val="007F7819"/>
    <w:rsid w:val="00800A85"/>
    <w:rsid w:val="00800CCA"/>
    <w:rsid w:val="008053DB"/>
    <w:rsid w:val="00813829"/>
    <w:rsid w:val="008143C6"/>
    <w:rsid w:val="00822DB1"/>
    <w:rsid w:val="0083742E"/>
    <w:rsid w:val="0085630A"/>
    <w:rsid w:val="00857297"/>
    <w:rsid w:val="00865160"/>
    <w:rsid w:val="00890A33"/>
    <w:rsid w:val="00892C3E"/>
    <w:rsid w:val="00893779"/>
    <w:rsid w:val="00893DB1"/>
    <w:rsid w:val="008976B5"/>
    <w:rsid w:val="008A3703"/>
    <w:rsid w:val="008B2A2D"/>
    <w:rsid w:val="008B7DE7"/>
    <w:rsid w:val="008D3E9F"/>
    <w:rsid w:val="008D60F6"/>
    <w:rsid w:val="008E5057"/>
    <w:rsid w:val="008F3AAF"/>
    <w:rsid w:val="008F4392"/>
    <w:rsid w:val="00906AD7"/>
    <w:rsid w:val="009225F0"/>
    <w:rsid w:val="00934EE9"/>
    <w:rsid w:val="0094358D"/>
    <w:rsid w:val="00972386"/>
    <w:rsid w:val="00972AD8"/>
    <w:rsid w:val="009746A8"/>
    <w:rsid w:val="00976D78"/>
    <w:rsid w:val="00984A6F"/>
    <w:rsid w:val="00985F4C"/>
    <w:rsid w:val="009B0388"/>
    <w:rsid w:val="009C4179"/>
    <w:rsid w:val="009C4429"/>
    <w:rsid w:val="009E4D53"/>
    <w:rsid w:val="009F680F"/>
    <w:rsid w:val="009F6CAB"/>
    <w:rsid w:val="00A05173"/>
    <w:rsid w:val="00A1105A"/>
    <w:rsid w:val="00A21457"/>
    <w:rsid w:val="00A232FA"/>
    <w:rsid w:val="00A34CA6"/>
    <w:rsid w:val="00A47A42"/>
    <w:rsid w:val="00A57E32"/>
    <w:rsid w:val="00A61C25"/>
    <w:rsid w:val="00A70B0F"/>
    <w:rsid w:val="00A83218"/>
    <w:rsid w:val="00A92C06"/>
    <w:rsid w:val="00AA3704"/>
    <w:rsid w:val="00AE413C"/>
    <w:rsid w:val="00AF0C00"/>
    <w:rsid w:val="00AF2284"/>
    <w:rsid w:val="00B019A7"/>
    <w:rsid w:val="00B217A5"/>
    <w:rsid w:val="00B31F4D"/>
    <w:rsid w:val="00B33291"/>
    <w:rsid w:val="00B33AF8"/>
    <w:rsid w:val="00B35BE4"/>
    <w:rsid w:val="00B43049"/>
    <w:rsid w:val="00B5527A"/>
    <w:rsid w:val="00B642E2"/>
    <w:rsid w:val="00B665EC"/>
    <w:rsid w:val="00B76979"/>
    <w:rsid w:val="00B81E2B"/>
    <w:rsid w:val="00B81F74"/>
    <w:rsid w:val="00B94E1E"/>
    <w:rsid w:val="00BA2DB9"/>
    <w:rsid w:val="00BC2A8D"/>
    <w:rsid w:val="00BE7148"/>
    <w:rsid w:val="00BE76F9"/>
    <w:rsid w:val="00BF3FD8"/>
    <w:rsid w:val="00BF4CF5"/>
    <w:rsid w:val="00BF5DF0"/>
    <w:rsid w:val="00C010AA"/>
    <w:rsid w:val="00C1338F"/>
    <w:rsid w:val="00C307C3"/>
    <w:rsid w:val="00C3302D"/>
    <w:rsid w:val="00C34267"/>
    <w:rsid w:val="00C35521"/>
    <w:rsid w:val="00C45EC1"/>
    <w:rsid w:val="00C67053"/>
    <w:rsid w:val="00C7077E"/>
    <w:rsid w:val="00C724B8"/>
    <w:rsid w:val="00C77434"/>
    <w:rsid w:val="00C841BF"/>
    <w:rsid w:val="00C86098"/>
    <w:rsid w:val="00C87532"/>
    <w:rsid w:val="00C90864"/>
    <w:rsid w:val="00CA2EFB"/>
    <w:rsid w:val="00CA528D"/>
    <w:rsid w:val="00CD05CD"/>
    <w:rsid w:val="00CD358B"/>
    <w:rsid w:val="00CD5D14"/>
    <w:rsid w:val="00CD6A3E"/>
    <w:rsid w:val="00CF3862"/>
    <w:rsid w:val="00CF5897"/>
    <w:rsid w:val="00D02710"/>
    <w:rsid w:val="00D0611A"/>
    <w:rsid w:val="00D111AD"/>
    <w:rsid w:val="00D14AD0"/>
    <w:rsid w:val="00D20E97"/>
    <w:rsid w:val="00D26DCF"/>
    <w:rsid w:val="00D30814"/>
    <w:rsid w:val="00D33C3B"/>
    <w:rsid w:val="00D36842"/>
    <w:rsid w:val="00D44D5D"/>
    <w:rsid w:val="00D47BB1"/>
    <w:rsid w:val="00D61DED"/>
    <w:rsid w:val="00D638F0"/>
    <w:rsid w:val="00D64305"/>
    <w:rsid w:val="00D75D04"/>
    <w:rsid w:val="00D76B1A"/>
    <w:rsid w:val="00D8012E"/>
    <w:rsid w:val="00D80DFC"/>
    <w:rsid w:val="00D827E9"/>
    <w:rsid w:val="00D82FD9"/>
    <w:rsid w:val="00D90D2D"/>
    <w:rsid w:val="00D91BD4"/>
    <w:rsid w:val="00DA276A"/>
    <w:rsid w:val="00DB67D5"/>
    <w:rsid w:val="00DB6E27"/>
    <w:rsid w:val="00DD77CC"/>
    <w:rsid w:val="00DE14BF"/>
    <w:rsid w:val="00E0036A"/>
    <w:rsid w:val="00E030D5"/>
    <w:rsid w:val="00E04C29"/>
    <w:rsid w:val="00E074C5"/>
    <w:rsid w:val="00E13057"/>
    <w:rsid w:val="00E13821"/>
    <w:rsid w:val="00E31E62"/>
    <w:rsid w:val="00E32D8D"/>
    <w:rsid w:val="00E33160"/>
    <w:rsid w:val="00E3457F"/>
    <w:rsid w:val="00E37640"/>
    <w:rsid w:val="00E37A38"/>
    <w:rsid w:val="00E40573"/>
    <w:rsid w:val="00E4143A"/>
    <w:rsid w:val="00E51050"/>
    <w:rsid w:val="00E543F0"/>
    <w:rsid w:val="00E56B41"/>
    <w:rsid w:val="00E71E65"/>
    <w:rsid w:val="00E75BBC"/>
    <w:rsid w:val="00E80437"/>
    <w:rsid w:val="00E808C3"/>
    <w:rsid w:val="00E823A4"/>
    <w:rsid w:val="00E83804"/>
    <w:rsid w:val="00E93466"/>
    <w:rsid w:val="00EA411A"/>
    <w:rsid w:val="00EB23ED"/>
    <w:rsid w:val="00EC7277"/>
    <w:rsid w:val="00ED75C5"/>
    <w:rsid w:val="00EF3417"/>
    <w:rsid w:val="00EF6BF8"/>
    <w:rsid w:val="00F07D46"/>
    <w:rsid w:val="00F20015"/>
    <w:rsid w:val="00F416DD"/>
    <w:rsid w:val="00F444FA"/>
    <w:rsid w:val="00F64F61"/>
    <w:rsid w:val="00F743C7"/>
    <w:rsid w:val="00F74E38"/>
    <w:rsid w:val="00F75947"/>
    <w:rsid w:val="00F76D51"/>
    <w:rsid w:val="00F8359E"/>
    <w:rsid w:val="00F83ABA"/>
    <w:rsid w:val="00FA2053"/>
    <w:rsid w:val="00FA21A2"/>
    <w:rsid w:val="00FC16BE"/>
    <w:rsid w:val="00FF0017"/>
    <w:rsid w:val="00FF3E4A"/>
    <w:rsid w:val="00FF6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semiHidden/>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semiHidden/>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 w:type="character" w:styleId="Hyperlink">
    <w:name w:val="Hyperlink"/>
    <w:basedOn w:val="DefaultParagraphFont"/>
    <w:uiPriority w:val="99"/>
    <w:unhideWhenUsed/>
    <w:rsid w:val="003601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semiHidden/>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semiHidden/>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 w:type="character" w:styleId="Hyperlink">
    <w:name w:val="Hyperlink"/>
    <w:basedOn w:val="DefaultParagraphFont"/>
    <w:uiPriority w:val="99"/>
    <w:unhideWhenUsed/>
    <w:rsid w:val="00360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50614">
      <w:bodyDiv w:val="1"/>
      <w:marLeft w:val="0"/>
      <w:marRight w:val="0"/>
      <w:marTop w:val="0"/>
      <w:marBottom w:val="0"/>
      <w:divBdr>
        <w:top w:val="none" w:sz="0" w:space="0" w:color="auto"/>
        <w:left w:val="none" w:sz="0" w:space="0" w:color="auto"/>
        <w:bottom w:val="none" w:sz="0" w:space="0" w:color="auto"/>
        <w:right w:val="none" w:sz="0" w:space="0" w:color="auto"/>
      </w:divBdr>
      <w:divsChild>
        <w:div w:id="1328435676">
          <w:marLeft w:val="0"/>
          <w:marRight w:val="0"/>
          <w:marTop w:val="0"/>
          <w:marBottom w:val="0"/>
          <w:divBdr>
            <w:top w:val="none" w:sz="0" w:space="0" w:color="auto"/>
            <w:left w:val="none" w:sz="0" w:space="0" w:color="auto"/>
            <w:bottom w:val="none" w:sz="0" w:space="0" w:color="auto"/>
            <w:right w:val="none" w:sz="0" w:space="0" w:color="auto"/>
          </w:divBdr>
          <w:divsChild>
            <w:div w:id="1695351603">
              <w:marLeft w:val="0"/>
              <w:marRight w:val="0"/>
              <w:marTop w:val="0"/>
              <w:marBottom w:val="0"/>
              <w:divBdr>
                <w:top w:val="none" w:sz="0" w:space="0" w:color="auto"/>
                <w:left w:val="none" w:sz="0" w:space="0" w:color="auto"/>
                <w:bottom w:val="none" w:sz="0" w:space="0" w:color="auto"/>
                <w:right w:val="none" w:sz="0" w:space="0" w:color="auto"/>
              </w:divBdr>
              <w:divsChild>
                <w:div w:id="468208528">
                  <w:marLeft w:val="0"/>
                  <w:marRight w:val="0"/>
                  <w:marTop w:val="0"/>
                  <w:marBottom w:val="0"/>
                  <w:divBdr>
                    <w:top w:val="none" w:sz="0" w:space="0" w:color="auto"/>
                    <w:left w:val="none" w:sz="0" w:space="0" w:color="auto"/>
                    <w:bottom w:val="none" w:sz="0" w:space="0" w:color="auto"/>
                    <w:right w:val="none" w:sz="0" w:space="0" w:color="auto"/>
                  </w:divBdr>
                  <w:divsChild>
                    <w:div w:id="383139702">
                      <w:marLeft w:val="0"/>
                      <w:marRight w:val="0"/>
                      <w:marTop w:val="0"/>
                      <w:marBottom w:val="0"/>
                      <w:divBdr>
                        <w:top w:val="none" w:sz="0" w:space="0" w:color="auto"/>
                        <w:left w:val="none" w:sz="0" w:space="0" w:color="auto"/>
                        <w:bottom w:val="none" w:sz="0" w:space="0" w:color="auto"/>
                        <w:right w:val="none" w:sz="0" w:space="0" w:color="auto"/>
                      </w:divBdr>
                      <w:divsChild>
                        <w:div w:id="1735546797">
                          <w:marLeft w:val="0"/>
                          <w:marRight w:val="0"/>
                          <w:marTop w:val="0"/>
                          <w:marBottom w:val="0"/>
                          <w:divBdr>
                            <w:top w:val="single" w:sz="6" w:space="0" w:color="828282"/>
                            <w:left w:val="single" w:sz="6" w:space="0" w:color="828282"/>
                            <w:bottom w:val="single" w:sz="6" w:space="0" w:color="828282"/>
                            <w:right w:val="single" w:sz="6" w:space="0" w:color="828282"/>
                          </w:divBdr>
                          <w:divsChild>
                            <w:div w:id="432676298">
                              <w:marLeft w:val="0"/>
                              <w:marRight w:val="0"/>
                              <w:marTop w:val="0"/>
                              <w:marBottom w:val="0"/>
                              <w:divBdr>
                                <w:top w:val="none" w:sz="0" w:space="0" w:color="auto"/>
                                <w:left w:val="none" w:sz="0" w:space="0" w:color="auto"/>
                                <w:bottom w:val="none" w:sz="0" w:space="0" w:color="auto"/>
                                <w:right w:val="none" w:sz="0" w:space="0" w:color="auto"/>
                              </w:divBdr>
                              <w:divsChild>
                                <w:div w:id="1981113628">
                                  <w:marLeft w:val="0"/>
                                  <w:marRight w:val="0"/>
                                  <w:marTop w:val="0"/>
                                  <w:marBottom w:val="0"/>
                                  <w:divBdr>
                                    <w:top w:val="none" w:sz="0" w:space="0" w:color="auto"/>
                                    <w:left w:val="none" w:sz="0" w:space="0" w:color="auto"/>
                                    <w:bottom w:val="none" w:sz="0" w:space="0" w:color="auto"/>
                                    <w:right w:val="none" w:sz="0" w:space="0" w:color="auto"/>
                                  </w:divBdr>
                                  <w:divsChild>
                                    <w:div w:id="1192839961">
                                      <w:marLeft w:val="0"/>
                                      <w:marRight w:val="0"/>
                                      <w:marTop w:val="0"/>
                                      <w:marBottom w:val="0"/>
                                      <w:divBdr>
                                        <w:top w:val="none" w:sz="0" w:space="0" w:color="auto"/>
                                        <w:left w:val="none" w:sz="0" w:space="0" w:color="auto"/>
                                        <w:bottom w:val="none" w:sz="0" w:space="0" w:color="auto"/>
                                        <w:right w:val="none" w:sz="0" w:space="0" w:color="auto"/>
                                      </w:divBdr>
                                      <w:divsChild>
                                        <w:div w:id="1554191914">
                                          <w:marLeft w:val="0"/>
                                          <w:marRight w:val="0"/>
                                          <w:marTop w:val="0"/>
                                          <w:marBottom w:val="0"/>
                                          <w:divBdr>
                                            <w:top w:val="none" w:sz="0" w:space="0" w:color="auto"/>
                                            <w:left w:val="none" w:sz="0" w:space="0" w:color="auto"/>
                                            <w:bottom w:val="none" w:sz="0" w:space="0" w:color="auto"/>
                                            <w:right w:val="none" w:sz="0" w:space="0" w:color="auto"/>
                                          </w:divBdr>
                                          <w:divsChild>
                                            <w:div w:id="1152679917">
                                              <w:marLeft w:val="0"/>
                                              <w:marRight w:val="0"/>
                                              <w:marTop w:val="0"/>
                                              <w:marBottom w:val="0"/>
                                              <w:divBdr>
                                                <w:top w:val="none" w:sz="0" w:space="0" w:color="auto"/>
                                                <w:left w:val="none" w:sz="0" w:space="0" w:color="auto"/>
                                                <w:bottom w:val="none" w:sz="0" w:space="0" w:color="auto"/>
                                                <w:right w:val="none" w:sz="0" w:space="0" w:color="auto"/>
                                              </w:divBdr>
                                              <w:divsChild>
                                                <w:div w:id="142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529435">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575434802">
      <w:bodyDiv w:val="1"/>
      <w:marLeft w:val="0"/>
      <w:marRight w:val="0"/>
      <w:marTop w:val="0"/>
      <w:marBottom w:val="0"/>
      <w:divBdr>
        <w:top w:val="none" w:sz="0" w:space="0" w:color="auto"/>
        <w:left w:val="none" w:sz="0" w:space="0" w:color="auto"/>
        <w:bottom w:val="none" w:sz="0" w:space="0" w:color="auto"/>
        <w:right w:val="none" w:sz="0" w:space="0" w:color="auto"/>
      </w:divBdr>
      <w:divsChild>
        <w:div w:id="1922256889">
          <w:marLeft w:val="0"/>
          <w:marRight w:val="0"/>
          <w:marTop w:val="0"/>
          <w:marBottom w:val="0"/>
          <w:divBdr>
            <w:top w:val="none" w:sz="0" w:space="0" w:color="auto"/>
            <w:left w:val="none" w:sz="0" w:space="0" w:color="auto"/>
            <w:bottom w:val="none" w:sz="0" w:space="0" w:color="auto"/>
            <w:right w:val="none" w:sz="0" w:space="0" w:color="auto"/>
          </w:divBdr>
          <w:divsChild>
            <w:div w:id="1335374568">
              <w:marLeft w:val="0"/>
              <w:marRight w:val="0"/>
              <w:marTop w:val="0"/>
              <w:marBottom w:val="0"/>
              <w:divBdr>
                <w:top w:val="none" w:sz="0" w:space="0" w:color="auto"/>
                <w:left w:val="none" w:sz="0" w:space="0" w:color="auto"/>
                <w:bottom w:val="none" w:sz="0" w:space="0" w:color="auto"/>
                <w:right w:val="none" w:sz="0" w:space="0" w:color="auto"/>
              </w:divBdr>
              <w:divsChild>
                <w:div w:id="1304386502">
                  <w:marLeft w:val="0"/>
                  <w:marRight w:val="0"/>
                  <w:marTop w:val="0"/>
                  <w:marBottom w:val="0"/>
                  <w:divBdr>
                    <w:top w:val="none" w:sz="0" w:space="0" w:color="auto"/>
                    <w:left w:val="none" w:sz="0" w:space="0" w:color="auto"/>
                    <w:bottom w:val="none" w:sz="0" w:space="0" w:color="auto"/>
                    <w:right w:val="none" w:sz="0" w:space="0" w:color="auto"/>
                  </w:divBdr>
                  <w:divsChild>
                    <w:div w:id="222447516">
                      <w:marLeft w:val="0"/>
                      <w:marRight w:val="0"/>
                      <w:marTop w:val="0"/>
                      <w:marBottom w:val="0"/>
                      <w:divBdr>
                        <w:top w:val="none" w:sz="0" w:space="0" w:color="auto"/>
                        <w:left w:val="none" w:sz="0" w:space="0" w:color="auto"/>
                        <w:bottom w:val="none" w:sz="0" w:space="0" w:color="auto"/>
                        <w:right w:val="none" w:sz="0" w:space="0" w:color="auto"/>
                      </w:divBdr>
                      <w:divsChild>
                        <w:div w:id="971639182">
                          <w:marLeft w:val="0"/>
                          <w:marRight w:val="0"/>
                          <w:marTop w:val="0"/>
                          <w:marBottom w:val="0"/>
                          <w:divBdr>
                            <w:top w:val="single" w:sz="6" w:space="0" w:color="828282"/>
                            <w:left w:val="single" w:sz="6" w:space="0" w:color="828282"/>
                            <w:bottom w:val="single" w:sz="6" w:space="0" w:color="828282"/>
                            <w:right w:val="single" w:sz="6" w:space="0" w:color="828282"/>
                          </w:divBdr>
                          <w:divsChild>
                            <w:div w:id="122626512">
                              <w:marLeft w:val="0"/>
                              <w:marRight w:val="0"/>
                              <w:marTop w:val="0"/>
                              <w:marBottom w:val="0"/>
                              <w:divBdr>
                                <w:top w:val="none" w:sz="0" w:space="0" w:color="auto"/>
                                <w:left w:val="none" w:sz="0" w:space="0" w:color="auto"/>
                                <w:bottom w:val="none" w:sz="0" w:space="0" w:color="auto"/>
                                <w:right w:val="none" w:sz="0" w:space="0" w:color="auto"/>
                              </w:divBdr>
                              <w:divsChild>
                                <w:div w:id="147088681">
                                  <w:marLeft w:val="0"/>
                                  <w:marRight w:val="0"/>
                                  <w:marTop w:val="0"/>
                                  <w:marBottom w:val="0"/>
                                  <w:divBdr>
                                    <w:top w:val="none" w:sz="0" w:space="0" w:color="auto"/>
                                    <w:left w:val="none" w:sz="0" w:space="0" w:color="auto"/>
                                    <w:bottom w:val="none" w:sz="0" w:space="0" w:color="auto"/>
                                    <w:right w:val="none" w:sz="0" w:space="0" w:color="auto"/>
                                  </w:divBdr>
                                  <w:divsChild>
                                    <w:div w:id="1971548895">
                                      <w:marLeft w:val="0"/>
                                      <w:marRight w:val="0"/>
                                      <w:marTop w:val="0"/>
                                      <w:marBottom w:val="0"/>
                                      <w:divBdr>
                                        <w:top w:val="none" w:sz="0" w:space="0" w:color="auto"/>
                                        <w:left w:val="none" w:sz="0" w:space="0" w:color="auto"/>
                                        <w:bottom w:val="none" w:sz="0" w:space="0" w:color="auto"/>
                                        <w:right w:val="none" w:sz="0" w:space="0" w:color="auto"/>
                                      </w:divBdr>
                                      <w:divsChild>
                                        <w:div w:id="1888956376">
                                          <w:marLeft w:val="0"/>
                                          <w:marRight w:val="0"/>
                                          <w:marTop w:val="0"/>
                                          <w:marBottom w:val="0"/>
                                          <w:divBdr>
                                            <w:top w:val="none" w:sz="0" w:space="0" w:color="auto"/>
                                            <w:left w:val="none" w:sz="0" w:space="0" w:color="auto"/>
                                            <w:bottom w:val="none" w:sz="0" w:space="0" w:color="auto"/>
                                            <w:right w:val="none" w:sz="0" w:space="0" w:color="auto"/>
                                          </w:divBdr>
                                          <w:divsChild>
                                            <w:div w:id="997223918">
                                              <w:marLeft w:val="0"/>
                                              <w:marRight w:val="0"/>
                                              <w:marTop w:val="0"/>
                                              <w:marBottom w:val="0"/>
                                              <w:divBdr>
                                                <w:top w:val="none" w:sz="0" w:space="0" w:color="auto"/>
                                                <w:left w:val="none" w:sz="0" w:space="0" w:color="auto"/>
                                                <w:bottom w:val="none" w:sz="0" w:space="0" w:color="auto"/>
                                                <w:right w:val="none" w:sz="0" w:space="0" w:color="auto"/>
                                              </w:divBdr>
                                              <w:divsChild>
                                                <w:div w:id="8985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852074">
      <w:bodyDiv w:val="1"/>
      <w:marLeft w:val="0"/>
      <w:marRight w:val="0"/>
      <w:marTop w:val="0"/>
      <w:marBottom w:val="0"/>
      <w:divBdr>
        <w:top w:val="none" w:sz="0" w:space="0" w:color="auto"/>
        <w:left w:val="none" w:sz="0" w:space="0" w:color="auto"/>
        <w:bottom w:val="none" w:sz="0" w:space="0" w:color="auto"/>
        <w:right w:val="none" w:sz="0" w:space="0" w:color="auto"/>
      </w:divBdr>
    </w:div>
    <w:div w:id="825560410">
      <w:bodyDiv w:val="1"/>
      <w:marLeft w:val="0"/>
      <w:marRight w:val="0"/>
      <w:marTop w:val="0"/>
      <w:marBottom w:val="0"/>
      <w:divBdr>
        <w:top w:val="none" w:sz="0" w:space="0" w:color="auto"/>
        <w:left w:val="none" w:sz="0" w:space="0" w:color="auto"/>
        <w:bottom w:val="none" w:sz="0" w:space="0" w:color="auto"/>
        <w:right w:val="none" w:sz="0" w:space="0" w:color="auto"/>
      </w:divBdr>
    </w:div>
    <w:div w:id="1174876174">
      <w:bodyDiv w:val="1"/>
      <w:marLeft w:val="0"/>
      <w:marRight w:val="0"/>
      <w:marTop w:val="0"/>
      <w:marBottom w:val="0"/>
      <w:divBdr>
        <w:top w:val="none" w:sz="0" w:space="0" w:color="auto"/>
        <w:left w:val="none" w:sz="0" w:space="0" w:color="auto"/>
        <w:bottom w:val="none" w:sz="0" w:space="0" w:color="auto"/>
        <w:right w:val="none" w:sz="0" w:space="0" w:color="auto"/>
      </w:divBdr>
      <w:divsChild>
        <w:div w:id="1864971543">
          <w:marLeft w:val="0"/>
          <w:marRight w:val="0"/>
          <w:marTop w:val="0"/>
          <w:marBottom w:val="0"/>
          <w:divBdr>
            <w:top w:val="none" w:sz="0" w:space="0" w:color="auto"/>
            <w:left w:val="none" w:sz="0" w:space="0" w:color="auto"/>
            <w:bottom w:val="none" w:sz="0" w:space="0" w:color="auto"/>
            <w:right w:val="none" w:sz="0" w:space="0" w:color="auto"/>
          </w:divBdr>
          <w:divsChild>
            <w:div w:id="1820729189">
              <w:marLeft w:val="0"/>
              <w:marRight w:val="0"/>
              <w:marTop w:val="0"/>
              <w:marBottom w:val="0"/>
              <w:divBdr>
                <w:top w:val="none" w:sz="0" w:space="0" w:color="auto"/>
                <w:left w:val="none" w:sz="0" w:space="0" w:color="auto"/>
                <w:bottom w:val="none" w:sz="0" w:space="0" w:color="auto"/>
                <w:right w:val="none" w:sz="0" w:space="0" w:color="auto"/>
              </w:divBdr>
              <w:divsChild>
                <w:div w:id="1150756929">
                  <w:marLeft w:val="0"/>
                  <w:marRight w:val="0"/>
                  <w:marTop w:val="0"/>
                  <w:marBottom w:val="0"/>
                  <w:divBdr>
                    <w:top w:val="none" w:sz="0" w:space="0" w:color="auto"/>
                    <w:left w:val="none" w:sz="0" w:space="0" w:color="auto"/>
                    <w:bottom w:val="none" w:sz="0" w:space="0" w:color="auto"/>
                    <w:right w:val="none" w:sz="0" w:space="0" w:color="auto"/>
                  </w:divBdr>
                  <w:divsChild>
                    <w:div w:id="1772048898">
                      <w:marLeft w:val="0"/>
                      <w:marRight w:val="0"/>
                      <w:marTop w:val="0"/>
                      <w:marBottom w:val="0"/>
                      <w:divBdr>
                        <w:top w:val="none" w:sz="0" w:space="0" w:color="auto"/>
                        <w:left w:val="none" w:sz="0" w:space="0" w:color="auto"/>
                        <w:bottom w:val="none" w:sz="0" w:space="0" w:color="auto"/>
                        <w:right w:val="none" w:sz="0" w:space="0" w:color="auto"/>
                      </w:divBdr>
                      <w:divsChild>
                        <w:div w:id="918101163">
                          <w:marLeft w:val="0"/>
                          <w:marRight w:val="0"/>
                          <w:marTop w:val="0"/>
                          <w:marBottom w:val="0"/>
                          <w:divBdr>
                            <w:top w:val="single" w:sz="6" w:space="0" w:color="828282"/>
                            <w:left w:val="single" w:sz="6" w:space="0" w:color="828282"/>
                            <w:bottom w:val="single" w:sz="6" w:space="0" w:color="828282"/>
                            <w:right w:val="single" w:sz="6" w:space="0" w:color="828282"/>
                          </w:divBdr>
                          <w:divsChild>
                            <w:div w:id="679045983">
                              <w:marLeft w:val="0"/>
                              <w:marRight w:val="0"/>
                              <w:marTop w:val="0"/>
                              <w:marBottom w:val="0"/>
                              <w:divBdr>
                                <w:top w:val="none" w:sz="0" w:space="0" w:color="auto"/>
                                <w:left w:val="none" w:sz="0" w:space="0" w:color="auto"/>
                                <w:bottom w:val="none" w:sz="0" w:space="0" w:color="auto"/>
                                <w:right w:val="none" w:sz="0" w:space="0" w:color="auto"/>
                              </w:divBdr>
                              <w:divsChild>
                                <w:div w:id="1470126884">
                                  <w:marLeft w:val="0"/>
                                  <w:marRight w:val="0"/>
                                  <w:marTop w:val="0"/>
                                  <w:marBottom w:val="0"/>
                                  <w:divBdr>
                                    <w:top w:val="none" w:sz="0" w:space="0" w:color="auto"/>
                                    <w:left w:val="none" w:sz="0" w:space="0" w:color="auto"/>
                                    <w:bottom w:val="none" w:sz="0" w:space="0" w:color="auto"/>
                                    <w:right w:val="none" w:sz="0" w:space="0" w:color="auto"/>
                                  </w:divBdr>
                                  <w:divsChild>
                                    <w:div w:id="2090687774">
                                      <w:marLeft w:val="0"/>
                                      <w:marRight w:val="0"/>
                                      <w:marTop w:val="0"/>
                                      <w:marBottom w:val="0"/>
                                      <w:divBdr>
                                        <w:top w:val="none" w:sz="0" w:space="0" w:color="auto"/>
                                        <w:left w:val="none" w:sz="0" w:space="0" w:color="auto"/>
                                        <w:bottom w:val="none" w:sz="0" w:space="0" w:color="auto"/>
                                        <w:right w:val="none" w:sz="0" w:space="0" w:color="auto"/>
                                      </w:divBdr>
                                      <w:divsChild>
                                        <w:div w:id="2123259066">
                                          <w:marLeft w:val="0"/>
                                          <w:marRight w:val="0"/>
                                          <w:marTop w:val="0"/>
                                          <w:marBottom w:val="0"/>
                                          <w:divBdr>
                                            <w:top w:val="none" w:sz="0" w:space="0" w:color="auto"/>
                                            <w:left w:val="none" w:sz="0" w:space="0" w:color="auto"/>
                                            <w:bottom w:val="none" w:sz="0" w:space="0" w:color="auto"/>
                                            <w:right w:val="none" w:sz="0" w:space="0" w:color="auto"/>
                                          </w:divBdr>
                                          <w:divsChild>
                                            <w:div w:id="1915584254">
                                              <w:marLeft w:val="0"/>
                                              <w:marRight w:val="0"/>
                                              <w:marTop w:val="0"/>
                                              <w:marBottom w:val="0"/>
                                              <w:divBdr>
                                                <w:top w:val="none" w:sz="0" w:space="0" w:color="auto"/>
                                                <w:left w:val="none" w:sz="0" w:space="0" w:color="auto"/>
                                                <w:bottom w:val="none" w:sz="0" w:space="0" w:color="auto"/>
                                                <w:right w:val="none" w:sz="0" w:space="0" w:color="auto"/>
                                              </w:divBdr>
                                              <w:divsChild>
                                                <w:div w:id="11981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668014">
      <w:bodyDiv w:val="1"/>
      <w:marLeft w:val="0"/>
      <w:marRight w:val="0"/>
      <w:marTop w:val="0"/>
      <w:marBottom w:val="0"/>
      <w:divBdr>
        <w:top w:val="none" w:sz="0" w:space="0" w:color="auto"/>
        <w:left w:val="none" w:sz="0" w:space="0" w:color="auto"/>
        <w:bottom w:val="none" w:sz="0" w:space="0" w:color="auto"/>
        <w:right w:val="none" w:sz="0" w:space="0" w:color="auto"/>
      </w:divBdr>
    </w:div>
    <w:div w:id="1871256075">
      <w:bodyDiv w:val="1"/>
      <w:marLeft w:val="0"/>
      <w:marRight w:val="0"/>
      <w:marTop w:val="0"/>
      <w:marBottom w:val="0"/>
      <w:divBdr>
        <w:top w:val="none" w:sz="0" w:space="0" w:color="auto"/>
        <w:left w:val="none" w:sz="0" w:space="0" w:color="auto"/>
        <w:bottom w:val="none" w:sz="0" w:space="0" w:color="auto"/>
        <w:right w:val="none" w:sz="0" w:space="0" w:color="auto"/>
      </w:divBdr>
    </w:div>
    <w:div w:id="1889340790">
      <w:bodyDiv w:val="1"/>
      <w:marLeft w:val="0"/>
      <w:marRight w:val="0"/>
      <w:marTop w:val="0"/>
      <w:marBottom w:val="0"/>
      <w:divBdr>
        <w:top w:val="none" w:sz="0" w:space="0" w:color="auto"/>
        <w:left w:val="none" w:sz="0" w:space="0" w:color="auto"/>
        <w:bottom w:val="none" w:sz="0" w:space="0" w:color="auto"/>
        <w:right w:val="none" w:sz="0" w:space="0" w:color="auto"/>
      </w:divBdr>
      <w:divsChild>
        <w:div w:id="111093082">
          <w:marLeft w:val="0"/>
          <w:marRight w:val="0"/>
          <w:marTop w:val="0"/>
          <w:marBottom w:val="0"/>
          <w:divBdr>
            <w:top w:val="single" w:sz="6" w:space="8" w:color="B8B8B8"/>
            <w:left w:val="none" w:sz="0" w:space="0" w:color="auto"/>
            <w:bottom w:val="none" w:sz="0" w:space="0" w:color="auto"/>
            <w:right w:val="none" w:sz="0" w:space="0" w:color="auto"/>
          </w:divBdr>
          <w:divsChild>
            <w:div w:id="890845385">
              <w:marLeft w:val="2"/>
              <w:marRight w:val="2"/>
              <w:marTop w:val="0"/>
              <w:marBottom w:val="0"/>
              <w:divBdr>
                <w:top w:val="single" w:sz="6" w:space="8" w:color="CDCCD4"/>
                <w:left w:val="single" w:sz="6" w:space="8" w:color="CDCCD4"/>
                <w:bottom w:val="single" w:sz="6" w:space="8" w:color="CDCCD4"/>
                <w:right w:val="single" w:sz="6" w:space="4" w:color="CDCCD4"/>
              </w:divBdr>
              <w:divsChild>
                <w:div w:id="364336165">
                  <w:marLeft w:val="0"/>
                  <w:marRight w:val="0"/>
                  <w:marTop w:val="75"/>
                  <w:marBottom w:val="75"/>
                  <w:divBdr>
                    <w:top w:val="single" w:sz="6" w:space="8" w:color="CCCCD4"/>
                    <w:left w:val="single" w:sz="6" w:space="8" w:color="CCCCD4"/>
                    <w:bottom w:val="single" w:sz="6" w:space="8" w:color="CCCCD4"/>
                    <w:right w:val="single" w:sz="6" w:space="8" w:color="CCCCD4"/>
                  </w:divBdr>
                  <w:divsChild>
                    <w:div w:id="10314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82849">
      <w:bodyDiv w:val="1"/>
      <w:marLeft w:val="0"/>
      <w:marRight w:val="0"/>
      <w:marTop w:val="0"/>
      <w:marBottom w:val="0"/>
      <w:divBdr>
        <w:top w:val="none" w:sz="0" w:space="0" w:color="auto"/>
        <w:left w:val="none" w:sz="0" w:space="0" w:color="auto"/>
        <w:bottom w:val="none" w:sz="0" w:space="0" w:color="auto"/>
        <w:right w:val="none" w:sz="0" w:space="0" w:color="auto"/>
      </w:divBdr>
    </w:div>
    <w:div w:id="20852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BCBD-A0BB-48D4-B0B5-C6409AA381BF}">
  <ds:schemaRefs>
    <ds:schemaRef ds:uri="http://schemas.openxmlformats.org/officeDocument/2006/bibliography"/>
  </ds:schemaRefs>
</ds:datastoreItem>
</file>

<file path=customXml/itemProps2.xml><?xml version="1.0" encoding="utf-8"?>
<ds:datastoreItem xmlns:ds="http://schemas.openxmlformats.org/officeDocument/2006/customXml" ds:itemID="{5A8C3870-8AF0-4EB9-A943-C1340FAA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86CA707B.dotm</Template>
  <TotalTime>0</TotalTime>
  <Pages>7</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2014-03-26T04:35:00Z</dcterms:created>
  <dcterms:modified xsi:type="dcterms:W3CDTF">2014-03-26T04:35:00Z</dcterms:modified>
</cp:coreProperties>
</file>