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A2736" w:rsidRDefault="005460B8" w:rsidP="005460B8">
      <w:pPr>
        <w:jc w:val="center"/>
        <w:rPr>
          <w:rStyle w:val="BookTitle"/>
          <w:rFonts w:ascii="Times New Roman" w:hAnsi="Times New Roman" w:cs="Times New Roman"/>
          <w:b/>
          <w:i w:val="0"/>
          <w:iCs w:val="0"/>
          <w:smallCaps w:val="0"/>
          <w:spacing w:val="0"/>
        </w:rPr>
      </w:pPr>
      <w:r w:rsidRPr="004A2736">
        <w:rPr>
          <w:rStyle w:val="BookTitle"/>
          <w:rFonts w:ascii="Times New Roman" w:hAnsi="Times New Roman" w:cs="Times New Roman"/>
          <w:b/>
          <w:i w:val="0"/>
          <w:iCs w:val="0"/>
          <w:smallCaps w:val="0"/>
          <w:spacing w:val="0"/>
        </w:rPr>
        <w:t>EXPLANATORY STATEMENT</w:t>
      </w:r>
    </w:p>
    <w:p w:rsidR="00284554" w:rsidRPr="004A2736" w:rsidRDefault="00284554" w:rsidP="005460B8">
      <w:pPr>
        <w:rPr>
          <w:rFonts w:ascii="Times New Roman" w:hAnsi="Times New Roman" w:cs="Times New Roman"/>
          <w:b/>
          <w:i/>
          <w:sz w:val="24"/>
          <w:szCs w:val="24"/>
        </w:rPr>
      </w:pPr>
      <w:r w:rsidRPr="004A2736">
        <w:rPr>
          <w:rFonts w:ascii="Times New Roman" w:hAnsi="Times New Roman" w:cs="Times New Roman"/>
          <w:b/>
          <w:i/>
          <w:sz w:val="24"/>
          <w:szCs w:val="24"/>
        </w:rPr>
        <w:t>Workplace Gender Equality (</w:t>
      </w:r>
      <w:r w:rsidR="00A8006E" w:rsidRPr="004A2736">
        <w:rPr>
          <w:rFonts w:ascii="Times New Roman" w:hAnsi="Times New Roman" w:cs="Times New Roman"/>
          <w:b/>
          <w:i/>
          <w:sz w:val="24"/>
          <w:szCs w:val="24"/>
        </w:rPr>
        <w:t>Matters in relation to Gender Equality Indicators</w:t>
      </w:r>
      <w:r w:rsidR="004B34AE" w:rsidRPr="004A2736">
        <w:rPr>
          <w:rFonts w:ascii="Times New Roman" w:hAnsi="Times New Roman" w:cs="Times New Roman"/>
          <w:b/>
          <w:i/>
          <w:sz w:val="24"/>
          <w:szCs w:val="24"/>
        </w:rPr>
        <w:t xml:space="preserve">) </w:t>
      </w:r>
      <w:r w:rsidR="00A8006E" w:rsidRPr="004A2736">
        <w:rPr>
          <w:rFonts w:ascii="Times New Roman" w:hAnsi="Times New Roman" w:cs="Times New Roman"/>
          <w:b/>
          <w:i/>
          <w:sz w:val="24"/>
          <w:szCs w:val="24"/>
        </w:rPr>
        <w:t xml:space="preserve">Amendment </w:t>
      </w:r>
      <w:r w:rsidR="004B34AE" w:rsidRPr="004A2736">
        <w:rPr>
          <w:rFonts w:ascii="Times New Roman" w:hAnsi="Times New Roman" w:cs="Times New Roman"/>
          <w:b/>
          <w:i/>
          <w:sz w:val="24"/>
          <w:szCs w:val="24"/>
        </w:rPr>
        <w:t>Instrument</w:t>
      </w:r>
      <w:r w:rsidR="00C307C3" w:rsidRPr="004A2736">
        <w:rPr>
          <w:rFonts w:ascii="Times New Roman" w:hAnsi="Times New Roman" w:cs="Times New Roman"/>
          <w:b/>
          <w:i/>
          <w:sz w:val="24"/>
          <w:szCs w:val="24"/>
        </w:rPr>
        <w:t xml:space="preserve"> 2014</w:t>
      </w:r>
      <w:r w:rsidRPr="004A2736">
        <w:rPr>
          <w:rFonts w:ascii="Times New Roman" w:hAnsi="Times New Roman" w:cs="Times New Roman"/>
          <w:b/>
          <w:i/>
          <w:sz w:val="24"/>
          <w:szCs w:val="24"/>
        </w:rPr>
        <w:t xml:space="preserve"> </w:t>
      </w:r>
      <w:r w:rsidR="00A8006E" w:rsidRPr="004A2736">
        <w:rPr>
          <w:rFonts w:ascii="Times New Roman" w:hAnsi="Times New Roman" w:cs="Times New Roman"/>
          <w:b/>
          <w:i/>
          <w:sz w:val="24"/>
          <w:szCs w:val="24"/>
        </w:rPr>
        <w:t>(No.1)</w:t>
      </w:r>
    </w:p>
    <w:p w:rsidR="00976D78" w:rsidRPr="004A2736" w:rsidRDefault="00976D78" w:rsidP="005460B8">
      <w:pPr>
        <w:rPr>
          <w:rStyle w:val="BookTitle"/>
          <w:rFonts w:ascii="Times New Roman" w:hAnsi="Times New Roman" w:cs="Times New Roman"/>
          <w:b/>
          <w:i w:val="0"/>
          <w:iCs w:val="0"/>
          <w:smallCaps w:val="0"/>
          <w:spacing w:val="0"/>
        </w:rPr>
      </w:pPr>
      <w:r w:rsidRPr="004A2736">
        <w:rPr>
          <w:rStyle w:val="BookTitle"/>
          <w:rFonts w:ascii="Times New Roman" w:hAnsi="Times New Roman" w:cs="Times New Roman"/>
          <w:b/>
          <w:i w:val="0"/>
          <w:iCs w:val="0"/>
          <w:smallCaps w:val="0"/>
          <w:spacing w:val="0"/>
        </w:rPr>
        <w:t>Summary</w:t>
      </w:r>
    </w:p>
    <w:p w:rsidR="000C38AA" w:rsidRPr="004A2736" w:rsidRDefault="00284554" w:rsidP="005460B8">
      <w:pPr>
        <w:rPr>
          <w:rFonts w:ascii="Times New Roman" w:hAnsi="Times New Roman" w:cs="Times New Roman"/>
        </w:rPr>
      </w:pPr>
      <w:r w:rsidRPr="004A2736">
        <w:rPr>
          <w:rStyle w:val="BookTitle"/>
          <w:rFonts w:ascii="Times New Roman" w:hAnsi="Times New Roman" w:cs="Times New Roman"/>
          <w:i w:val="0"/>
          <w:iCs w:val="0"/>
          <w:smallCaps w:val="0"/>
          <w:spacing w:val="0"/>
        </w:rPr>
        <w:t xml:space="preserve">The </w:t>
      </w:r>
      <w:r w:rsidR="00A8006E" w:rsidRPr="004A2736">
        <w:rPr>
          <w:rStyle w:val="BookTitle"/>
          <w:rFonts w:ascii="Times New Roman" w:hAnsi="Times New Roman" w:cs="Times New Roman"/>
          <w:i w:val="0"/>
          <w:iCs w:val="0"/>
          <w:smallCaps w:val="0"/>
          <w:spacing w:val="0"/>
        </w:rPr>
        <w:t xml:space="preserve">purpose of this </w:t>
      </w:r>
      <w:r w:rsidRPr="004A2736">
        <w:rPr>
          <w:rFonts w:ascii="Times New Roman" w:hAnsi="Times New Roman" w:cs="Times New Roman"/>
          <w:i/>
        </w:rPr>
        <w:t>Workplace Gender Equality (</w:t>
      </w:r>
      <w:r w:rsidR="00A8006E" w:rsidRPr="004A2736">
        <w:rPr>
          <w:rFonts w:ascii="Times New Roman" w:hAnsi="Times New Roman" w:cs="Times New Roman"/>
          <w:i/>
        </w:rPr>
        <w:t>Matters in relation to Gender Equality Indicators</w:t>
      </w:r>
      <w:r w:rsidRPr="004A2736">
        <w:rPr>
          <w:rFonts w:ascii="Times New Roman" w:hAnsi="Times New Roman" w:cs="Times New Roman"/>
          <w:i/>
        </w:rPr>
        <w:t>)</w:t>
      </w:r>
      <w:r w:rsidR="004B34AE" w:rsidRPr="004A2736">
        <w:rPr>
          <w:rFonts w:ascii="Times New Roman" w:hAnsi="Times New Roman" w:cs="Times New Roman"/>
        </w:rPr>
        <w:t xml:space="preserve"> </w:t>
      </w:r>
      <w:r w:rsidR="00A8006E" w:rsidRPr="004A2736">
        <w:rPr>
          <w:rFonts w:ascii="Times New Roman" w:hAnsi="Times New Roman" w:cs="Times New Roman"/>
          <w:i/>
        </w:rPr>
        <w:t>Amendment</w:t>
      </w:r>
      <w:r w:rsidR="00A8006E" w:rsidRPr="004A2736">
        <w:rPr>
          <w:rFonts w:ascii="Times New Roman" w:hAnsi="Times New Roman" w:cs="Times New Roman"/>
        </w:rPr>
        <w:t xml:space="preserve"> </w:t>
      </w:r>
      <w:r w:rsidR="004B34AE" w:rsidRPr="004A2736">
        <w:rPr>
          <w:rFonts w:ascii="Times New Roman" w:hAnsi="Times New Roman" w:cs="Times New Roman"/>
          <w:i/>
        </w:rPr>
        <w:t>Instrument</w:t>
      </w:r>
      <w:r w:rsidR="00C307C3" w:rsidRPr="004A2736">
        <w:rPr>
          <w:rFonts w:ascii="Times New Roman" w:hAnsi="Times New Roman" w:cs="Times New Roman"/>
          <w:i/>
        </w:rPr>
        <w:t xml:space="preserve"> 2014</w:t>
      </w:r>
      <w:r w:rsidRPr="004A2736">
        <w:rPr>
          <w:rFonts w:ascii="Times New Roman" w:hAnsi="Times New Roman" w:cs="Times New Roman"/>
          <w:i/>
        </w:rPr>
        <w:t xml:space="preserve"> </w:t>
      </w:r>
      <w:r w:rsidR="00A8006E" w:rsidRPr="004A2736">
        <w:rPr>
          <w:rFonts w:ascii="Times New Roman" w:hAnsi="Times New Roman" w:cs="Times New Roman"/>
          <w:i/>
        </w:rPr>
        <w:t xml:space="preserve">(No.1) </w:t>
      </w:r>
      <w:r w:rsidRPr="004A2736">
        <w:rPr>
          <w:rFonts w:ascii="Times New Roman" w:hAnsi="Times New Roman" w:cs="Times New Roman"/>
        </w:rPr>
        <w:t>(</w:t>
      </w:r>
      <w:r w:rsidR="00A8006E" w:rsidRPr="004A2736">
        <w:rPr>
          <w:rFonts w:ascii="Times New Roman" w:hAnsi="Times New Roman" w:cs="Times New Roman"/>
        </w:rPr>
        <w:t xml:space="preserve">the </w:t>
      </w:r>
      <w:r w:rsidR="004B34AE" w:rsidRPr="004A2736">
        <w:rPr>
          <w:rFonts w:ascii="Times New Roman" w:hAnsi="Times New Roman" w:cs="Times New Roman"/>
        </w:rPr>
        <w:t>Instrument</w:t>
      </w:r>
      <w:r w:rsidRPr="004A2736">
        <w:rPr>
          <w:rFonts w:ascii="Times New Roman" w:hAnsi="Times New Roman" w:cs="Times New Roman"/>
        </w:rPr>
        <w:t>)</w:t>
      </w:r>
      <w:r w:rsidRPr="004A2736">
        <w:rPr>
          <w:rFonts w:ascii="Times New Roman" w:hAnsi="Times New Roman" w:cs="Times New Roman"/>
          <w:i/>
        </w:rPr>
        <w:t xml:space="preserve"> </w:t>
      </w:r>
      <w:r w:rsidRPr="004A2736">
        <w:rPr>
          <w:rFonts w:ascii="Times New Roman" w:hAnsi="Times New Roman" w:cs="Times New Roman"/>
        </w:rPr>
        <w:t xml:space="preserve">is </w:t>
      </w:r>
      <w:r w:rsidR="00A8006E" w:rsidRPr="004A2736">
        <w:rPr>
          <w:rFonts w:ascii="Times New Roman" w:hAnsi="Times New Roman" w:cs="Times New Roman"/>
        </w:rPr>
        <w:t xml:space="preserve">to amend the </w:t>
      </w:r>
      <w:r w:rsidR="00A8006E" w:rsidRPr="004A2736">
        <w:rPr>
          <w:rFonts w:ascii="Times New Roman" w:hAnsi="Times New Roman" w:cs="Times New Roman"/>
          <w:i/>
        </w:rPr>
        <w:t xml:space="preserve">Workplace Gender Equality (Matters in relation to Gender Equality Indicators) Instrument 2013 (No.1) </w:t>
      </w:r>
      <w:r w:rsidR="00A8006E" w:rsidRPr="004A2736">
        <w:rPr>
          <w:rFonts w:ascii="Times New Roman" w:hAnsi="Times New Roman" w:cs="Times New Roman"/>
        </w:rPr>
        <w:t xml:space="preserve">(the </w:t>
      </w:r>
      <w:r w:rsidR="00FB7B49" w:rsidRPr="004A2736">
        <w:rPr>
          <w:rFonts w:ascii="Times New Roman" w:hAnsi="Times New Roman" w:cs="Times New Roman"/>
        </w:rPr>
        <w:t xml:space="preserve">GEI </w:t>
      </w:r>
      <w:r w:rsidR="00A8006E" w:rsidRPr="004A2736">
        <w:rPr>
          <w:rFonts w:ascii="Times New Roman" w:hAnsi="Times New Roman" w:cs="Times New Roman"/>
        </w:rPr>
        <w:t>Instrument)</w:t>
      </w:r>
      <w:r w:rsidR="00B566D4" w:rsidRPr="004A2736">
        <w:rPr>
          <w:rFonts w:ascii="Times New Roman" w:hAnsi="Times New Roman" w:cs="Times New Roman"/>
        </w:rPr>
        <w:t xml:space="preserve"> to </w:t>
      </w:r>
      <w:r w:rsidR="002A5892" w:rsidRPr="004A2736">
        <w:rPr>
          <w:rFonts w:ascii="Times New Roman" w:hAnsi="Times New Roman" w:cs="Times New Roman"/>
        </w:rPr>
        <w:t xml:space="preserve">delay the commencement of </w:t>
      </w:r>
      <w:r w:rsidR="00000388">
        <w:rPr>
          <w:rFonts w:ascii="Times New Roman" w:hAnsi="Times New Roman" w:cs="Times New Roman"/>
        </w:rPr>
        <w:t xml:space="preserve">Schedule 2, which contains </w:t>
      </w:r>
      <w:r w:rsidR="002A5892" w:rsidRPr="004A2736">
        <w:rPr>
          <w:rFonts w:ascii="Times New Roman" w:hAnsi="Times New Roman" w:cs="Times New Roman"/>
        </w:rPr>
        <w:t>amendments to the reporting matters specif</w:t>
      </w:r>
      <w:r w:rsidR="00DC2C9A">
        <w:rPr>
          <w:rFonts w:ascii="Times New Roman" w:hAnsi="Times New Roman" w:cs="Times New Roman"/>
        </w:rPr>
        <w:t>ied in Schedule 1</w:t>
      </w:r>
      <w:r w:rsidR="00000388">
        <w:rPr>
          <w:rFonts w:ascii="Times New Roman" w:hAnsi="Times New Roman" w:cs="Times New Roman"/>
        </w:rPr>
        <w:t>,</w:t>
      </w:r>
      <w:r w:rsidR="00DC2C9A">
        <w:rPr>
          <w:rFonts w:ascii="Times New Roman" w:hAnsi="Times New Roman" w:cs="Times New Roman"/>
        </w:rPr>
        <w:t xml:space="preserve"> by one year.</w:t>
      </w:r>
    </w:p>
    <w:p w:rsidR="00284554" w:rsidRPr="004A2736" w:rsidRDefault="00284554" w:rsidP="005460B8">
      <w:pPr>
        <w:rPr>
          <w:rStyle w:val="BookTitle"/>
          <w:rFonts w:ascii="Times New Roman" w:hAnsi="Times New Roman" w:cs="Times New Roman"/>
          <w:b/>
          <w:i w:val="0"/>
          <w:iCs w:val="0"/>
          <w:smallCaps w:val="0"/>
          <w:spacing w:val="0"/>
        </w:rPr>
      </w:pPr>
      <w:r w:rsidRPr="004A2736">
        <w:rPr>
          <w:rStyle w:val="BookTitle"/>
          <w:rFonts w:ascii="Times New Roman" w:hAnsi="Times New Roman" w:cs="Times New Roman"/>
          <w:b/>
          <w:i w:val="0"/>
          <w:iCs w:val="0"/>
          <w:smallCaps w:val="0"/>
          <w:spacing w:val="0"/>
        </w:rPr>
        <w:t>Background</w:t>
      </w:r>
    </w:p>
    <w:p w:rsidR="00B566D4" w:rsidRPr="004A2736" w:rsidRDefault="00976D78" w:rsidP="005460B8">
      <w:pPr>
        <w:rPr>
          <w:rStyle w:val="BookTitle"/>
          <w:rFonts w:ascii="Times New Roman" w:hAnsi="Times New Roman" w:cs="Times New Roman"/>
          <w:i w:val="0"/>
          <w:iCs w:val="0"/>
          <w:smallCaps w:val="0"/>
          <w:spacing w:val="0"/>
        </w:rPr>
      </w:pPr>
      <w:r w:rsidRPr="004A2736">
        <w:rPr>
          <w:rFonts w:ascii="Times New Roman" w:hAnsi="Times New Roman" w:cs="Times New Roman"/>
        </w:rPr>
        <w:t xml:space="preserve">The </w:t>
      </w:r>
      <w:r w:rsidR="004B34AE" w:rsidRPr="004A2736">
        <w:rPr>
          <w:rFonts w:ascii="Times New Roman" w:hAnsi="Times New Roman" w:cs="Times New Roman"/>
        </w:rPr>
        <w:t>Instrument</w:t>
      </w:r>
      <w:r w:rsidRPr="004A2736">
        <w:rPr>
          <w:rFonts w:ascii="Times New Roman" w:hAnsi="Times New Roman" w:cs="Times New Roman"/>
        </w:rPr>
        <w:t xml:space="preserve"> is made under </w:t>
      </w:r>
      <w:r w:rsidRPr="004A2736">
        <w:rPr>
          <w:rFonts w:ascii="Times New Roman" w:hAnsi="Times New Roman" w:cs="Times New Roman"/>
          <w:i/>
        </w:rPr>
        <w:t>s</w:t>
      </w:r>
      <w:r w:rsidRPr="004A2736">
        <w:rPr>
          <w:rStyle w:val="BookTitle"/>
          <w:rFonts w:ascii="Times New Roman" w:hAnsi="Times New Roman" w:cs="Times New Roman"/>
          <w:i w:val="0"/>
          <w:iCs w:val="0"/>
          <w:smallCaps w:val="0"/>
          <w:spacing w:val="0"/>
        </w:rPr>
        <w:t>ubsection</w:t>
      </w:r>
      <w:r w:rsidR="00660FBF" w:rsidRPr="004A2736">
        <w:rPr>
          <w:rStyle w:val="BookTitle"/>
          <w:rFonts w:ascii="Times New Roman" w:hAnsi="Times New Roman" w:cs="Times New Roman"/>
          <w:i w:val="0"/>
          <w:iCs w:val="0"/>
          <w:smallCaps w:val="0"/>
          <w:spacing w:val="0"/>
        </w:rPr>
        <w:t xml:space="preserve"> 13(3) </w:t>
      </w:r>
      <w:r w:rsidR="00A8006E" w:rsidRPr="004A2736">
        <w:rPr>
          <w:rStyle w:val="BookTitle"/>
          <w:rFonts w:ascii="Times New Roman" w:hAnsi="Times New Roman" w:cs="Times New Roman"/>
          <w:i w:val="0"/>
          <w:iCs w:val="0"/>
          <w:smallCaps w:val="0"/>
          <w:spacing w:val="0"/>
        </w:rPr>
        <w:t xml:space="preserve">of </w:t>
      </w:r>
      <w:r w:rsidRPr="004A2736">
        <w:rPr>
          <w:rStyle w:val="BookTitle"/>
          <w:rFonts w:ascii="Times New Roman" w:hAnsi="Times New Roman" w:cs="Times New Roman"/>
          <w:i w:val="0"/>
          <w:iCs w:val="0"/>
          <w:smallCaps w:val="0"/>
          <w:spacing w:val="0"/>
        </w:rPr>
        <w:t xml:space="preserve">the </w:t>
      </w:r>
      <w:r w:rsidR="00B55A66" w:rsidRPr="004A2736">
        <w:rPr>
          <w:rStyle w:val="BookTitle"/>
          <w:rFonts w:ascii="Times New Roman" w:hAnsi="Times New Roman" w:cs="Times New Roman"/>
          <w:iCs w:val="0"/>
          <w:smallCaps w:val="0"/>
          <w:spacing w:val="0"/>
        </w:rPr>
        <w:t xml:space="preserve">Workplace Gender Equality </w:t>
      </w:r>
      <w:r w:rsidRPr="004A2736">
        <w:rPr>
          <w:rStyle w:val="BookTitle"/>
          <w:rFonts w:ascii="Times New Roman" w:hAnsi="Times New Roman" w:cs="Times New Roman"/>
          <w:iCs w:val="0"/>
          <w:smallCaps w:val="0"/>
          <w:spacing w:val="0"/>
        </w:rPr>
        <w:t>Act</w:t>
      </w:r>
      <w:r w:rsidR="00B55A66" w:rsidRPr="004A2736">
        <w:rPr>
          <w:rStyle w:val="BookTitle"/>
          <w:rFonts w:ascii="Times New Roman" w:hAnsi="Times New Roman" w:cs="Times New Roman"/>
          <w:iCs w:val="0"/>
          <w:smallCaps w:val="0"/>
          <w:spacing w:val="0"/>
        </w:rPr>
        <w:t xml:space="preserve"> 2012</w:t>
      </w:r>
      <w:r w:rsidR="00B55A66" w:rsidRPr="004A2736">
        <w:rPr>
          <w:rStyle w:val="BookTitle"/>
          <w:rFonts w:ascii="Times New Roman" w:hAnsi="Times New Roman" w:cs="Times New Roman"/>
          <w:i w:val="0"/>
          <w:iCs w:val="0"/>
          <w:smallCaps w:val="0"/>
          <w:spacing w:val="0"/>
        </w:rPr>
        <w:t xml:space="preserve"> (the Act)</w:t>
      </w:r>
      <w:r w:rsidRPr="004A2736">
        <w:rPr>
          <w:rStyle w:val="BookTitle"/>
          <w:rFonts w:ascii="Times New Roman" w:hAnsi="Times New Roman" w:cs="Times New Roman"/>
          <w:i w:val="0"/>
          <w:iCs w:val="0"/>
          <w:smallCaps w:val="0"/>
          <w:spacing w:val="0"/>
        </w:rPr>
        <w:t xml:space="preserve">.  Subsection </w:t>
      </w:r>
      <w:r w:rsidR="00660FBF" w:rsidRPr="004A2736">
        <w:rPr>
          <w:rStyle w:val="BookTitle"/>
          <w:rFonts w:ascii="Times New Roman" w:hAnsi="Times New Roman" w:cs="Times New Roman"/>
          <w:i w:val="0"/>
          <w:iCs w:val="0"/>
          <w:smallCaps w:val="0"/>
          <w:spacing w:val="0"/>
        </w:rPr>
        <w:t>13(3</w:t>
      </w:r>
      <w:r w:rsidRPr="004A2736">
        <w:rPr>
          <w:rStyle w:val="BookTitle"/>
          <w:rFonts w:ascii="Times New Roman" w:hAnsi="Times New Roman" w:cs="Times New Roman"/>
          <w:i w:val="0"/>
          <w:iCs w:val="0"/>
          <w:smallCaps w:val="0"/>
          <w:spacing w:val="0"/>
        </w:rPr>
        <w:t xml:space="preserve">) provides that </w:t>
      </w:r>
      <w:r w:rsidR="00660FBF" w:rsidRPr="004A2736">
        <w:rPr>
          <w:rStyle w:val="BookTitle"/>
          <w:rFonts w:ascii="Times New Roman" w:hAnsi="Times New Roman" w:cs="Times New Roman"/>
          <w:i w:val="0"/>
          <w:iCs w:val="0"/>
          <w:smallCaps w:val="0"/>
          <w:spacing w:val="0"/>
        </w:rPr>
        <w:t>the Minister must, by legislative instrument, specify matters in relation to e</w:t>
      </w:r>
      <w:r w:rsidR="00CA4856">
        <w:rPr>
          <w:rStyle w:val="BookTitle"/>
          <w:rFonts w:ascii="Times New Roman" w:hAnsi="Times New Roman" w:cs="Times New Roman"/>
          <w:i w:val="0"/>
          <w:iCs w:val="0"/>
          <w:smallCaps w:val="0"/>
          <w:spacing w:val="0"/>
        </w:rPr>
        <w:t>ach gender equality indicator.</w:t>
      </w:r>
    </w:p>
    <w:p w:rsidR="00C575E0" w:rsidRPr="004A2736" w:rsidRDefault="00C307C3" w:rsidP="005460B8">
      <w:pPr>
        <w:rPr>
          <w:rStyle w:val="BookTitle"/>
          <w:rFonts w:ascii="Times New Roman" w:hAnsi="Times New Roman" w:cs="Times New Roman"/>
          <w:i w:val="0"/>
          <w:iCs w:val="0"/>
          <w:smallCaps w:val="0"/>
          <w:spacing w:val="0"/>
        </w:rPr>
      </w:pPr>
      <w:r w:rsidRPr="004A2736">
        <w:rPr>
          <w:rStyle w:val="BookTitle"/>
          <w:rFonts w:ascii="Times New Roman" w:hAnsi="Times New Roman" w:cs="Times New Roman"/>
          <w:i w:val="0"/>
          <w:iCs w:val="0"/>
          <w:smallCaps w:val="0"/>
          <w:spacing w:val="0"/>
        </w:rPr>
        <w:t xml:space="preserve">Under the Act, </w:t>
      </w:r>
      <w:r w:rsidR="00976D78" w:rsidRPr="004A2736">
        <w:rPr>
          <w:rStyle w:val="BookTitle"/>
          <w:rFonts w:ascii="Times New Roman" w:hAnsi="Times New Roman" w:cs="Times New Roman"/>
          <w:i w:val="0"/>
          <w:iCs w:val="0"/>
          <w:smallCaps w:val="0"/>
          <w:spacing w:val="0"/>
        </w:rPr>
        <w:t>relevant employer</w:t>
      </w:r>
      <w:r w:rsidR="00587026" w:rsidRPr="004A2736">
        <w:rPr>
          <w:rStyle w:val="BookTitle"/>
          <w:rFonts w:ascii="Times New Roman" w:hAnsi="Times New Roman" w:cs="Times New Roman"/>
          <w:i w:val="0"/>
          <w:iCs w:val="0"/>
          <w:smallCaps w:val="0"/>
          <w:spacing w:val="0"/>
        </w:rPr>
        <w:t xml:space="preserve">s </w:t>
      </w:r>
      <w:r w:rsidR="00976D78" w:rsidRPr="004A2736">
        <w:rPr>
          <w:rStyle w:val="BookTitle"/>
          <w:rFonts w:ascii="Times New Roman" w:hAnsi="Times New Roman" w:cs="Times New Roman"/>
          <w:i w:val="0"/>
          <w:iCs w:val="0"/>
          <w:smallCaps w:val="0"/>
          <w:spacing w:val="0"/>
        </w:rPr>
        <w:t xml:space="preserve">must </w:t>
      </w:r>
      <w:r w:rsidR="00587026" w:rsidRPr="004A2736">
        <w:rPr>
          <w:rStyle w:val="BookTitle"/>
          <w:rFonts w:ascii="Times New Roman" w:hAnsi="Times New Roman" w:cs="Times New Roman"/>
          <w:i w:val="0"/>
          <w:iCs w:val="0"/>
          <w:smallCaps w:val="0"/>
          <w:spacing w:val="0"/>
        </w:rPr>
        <w:t xml:space="preserve">lodge </w:t>
      </w:r>
      <w:r w:rsidR="00976D78" w:rsidRPr="004A2736">
        <w:rPr>
          <w:rStyle w:val="BookTitle"/>
          <w:rFonts w:ascii="Times New Roman" w:hAnsi="Times New Roman" w:cs="Times New Roman"/>
          <w:i w:val="0"/>
          <w:iCs w:val="0"/>
          <w:smallCaps w:val="0"/>
          <w:spacing w:val="0"/>
        </w:rPr>
        <w:t xml:space="preserve">a report </w:t>
      </w:r>
      <w:r w:rsidR="009F6CAB" w:rsidRPr="004A2736">
        <w:rPr>
          <w:rStyle w:val="BookTitle"/>
          <w:rFonts w:ascii="Times New Roman" w:hAnsi="Times New Roman" w:cs="Times New Roman"/>
          <w:i w:val="0"/>
          <w:iCs w:val="0"/>
          <w:smallCaps w:val="0"/>
          <w:spacing w:val="0"/>
        </w:rPr>
        <w:t>containing information relating to the employer and to the gender equality indicators</w:t>
      </w:r>
      <w:r w:rsidR="00EF6BF8" w:rsidRPr="004A2736">
        <w:rPr>
          <w:rStyle w:val="BookTitle"/>
          <w:rFonts w:ascii="Times New Roman" w:hAnsi="Times New Roman" w:cs="Times New Roman"/>
          <w:i w:val="0"/>
          <w:iCs w:val="0"/>
          <w:smallCaps w:val="0"/>
          <w:spacing w:val="0"/>
        </w:rPr>
        <w:t xml:space="preserve"> </w:t>
      </w:r>
      <w:r w:rsidR="00335E68" w:rsidRPr="004A2736">
        <w:rPr>
          <w:rStyle w:val="BookTitle"/>
          <w:rFonts w:ascii="Times New Roman" w:hAnsi="Times New Roman" w:cs="Times New Roman"/>
          <w:i w:val="0"/>
          <w:iCs w:val="0"/>
          <w:smallCaps w:val="0"/>
          <w:spacing w:val="0"/>
        </w:rPr>
        <w:t>for each annual reporting period</w:t>
      </w:r>
      <w:r w:rsidRPr="004A2736">
        <w:rPr>
          <w:rStyle w:val="BookTitle"/>
          <w:rFonts w:ascii="Times New Roman" w:hAnsi="Times New Roman" w:cs="Times New Roman"/>
          <w:i w:val="0"/>
          <w:iCs w:val="0"/>
          <w:smallCaps w:val="0"/>
          <w:spacing w:val="0"/>
        </w:rPr>
        <w:t xml:space="preserve">.  </w:t>
      </w:r>
      <w:r w:rsidR="00D05A96" w:rsidRPr="004A2736">
        <w:rPr>
          <w:rStyle w:val="BookTitle"/>
          <w:rFonts w:ascii="Times New Roman" w:hAnsi="Times New Roman" w:cs="Times New Roman"/>
          <w:i w:val="0"/>
          <w:iCs w:val="0"/>
          <w:smallCaps w:val="0"/>
          <w:spacing w:val="0"/>
        </w:rPr>
        <w:t xml:space="preserve">A report lodged under the Act must contain details of the matters specified in the GEI Instrument.  </w:t>
      </w:r>
      <w:r w:rsidR="00B37075" w:rsidRPr="004A2736">
        <w:rPr>
          <w:rStyle w:val="BookTitle"/>
          <w:rFonts w:ascii="Times New Roman" w:hAnsi="Times New Roman" w:cs="Times New Roman"/>
          <w:i w:val="0"/>
          <w:iCs w:val="0"/>
          <w:smallCaps w:val="0"/>
          <w:spacing w:val="0"/>
        </w:rPr>
        <w:t xml:space="preserve">Reporting </w:t>
      </w:r>
      <w:r w:rsidR="00C575E0" w:rsidRPr="004A2736">
        <w:rPr>
          <w:rStyle w:val="BookTitle"/>
          <w:rFonts w:ascii="Times New Roman" w:hAnsi="Times New Roman" w:cs="Times New Roman"/>
          <w:i w:val="0"/>
          <w:iCs w:val="0"/>
          <w:smallCaps w:val="0"/>
          <w:spacing w:val="0"/>
        </w:rPr>
        <w:t xml:space="preserve">is intended to provide employers with the information to better understand the gender equality characteristics of their workplaces and </w:t>
      </w:r>
      <w:r w:rsidR="00B37075" w:rsidRPr="004A2736">
        <w:rPr>
          <w:rStyle w:val="BookTitle"/>
          <w:rFonts w:ascii="Times New Roman" w:hAnsi="Times New Roman" w:cs="Times New Roman"/>
          <w:i w:val="0"/>
          <w:iCs w:val="0"/>
          <w:smallCaps w:val="0"/>
          <w:spacing w:val="0"/>
        </w:rPr>
        <w:t xml:space="preserve">to assist </w:t>
      </w:r>
      <w:r w:rsidR="001C255B" w:rsidRPr="004A2736">
        <w:rPr>
          <w:rStyle w:val="BookTitle"/>
          <w:rFonts w:ascii="Times New Roman" w:hAnsi="Times New Roman" w:cs="Times New Roman"/>
          <w:i w:val="0"/>
          <w:iCs w:val="0"/>
          <w:smallCaps w:val="0"/>
          <w:spacing w:val="0"/>
        </w:rPr>
        <w:t xml:space="preserve">the </w:t>
      </w:r>
      <w:r w:rsidR="00B55A66" w:rsidRPr="004A2736">
        <w:rPr>
          <w:rStyle w:val="BookTitle"/>
          <w:rFonts w:ascii="Times New Roman" w:hAnsi="Times New Roman" w:cs="Times New Roman"/>
          <w:i w:val="0"/>
          <w:iCs w:val="0"/>
          <w:smallCaps w:val="0"/>
          <w:spacing w:val="0"/>
        </w:rPr>
        <w:t xml:space="preserve">Workplace Gender Equality </w:t>
      </w:r>
      <w:r w:rsidR="001C255B" w:rsidRPr="004A2736">
        <w:rPr>
          <w:rStyle w:val="BookTitle"/>
          <w:rFonts w:ascii="Times New Roman" w:hAnsi="Times New Roman" w:cs="Times New Roman"/>
          <w:i w:val="0"/>
          <w:iCs w:val="0"/>
          <w:smallCaps w:val="0"/>
          <w:spacing w:val="0"/>
        </w:rPr>
        <w:t xml:space="preserve">Agency </w:t>
      </w:r>
      <w:r w:rsidR="00B55A66" w:rsidRPr="004A2736">
        <w:rPr>
          <w:rStyle w:val="BookTitle"/>
          <w:rFonts w:ascii="Times New Roman" w:hAnsi="Times New Roman" w:cs="Times New Roman"/>
          <w:i w:val="0"/>
          <w:iCs w:val="0"/>
          <w:smallCaps w:val="0"/>
          <w:spacing w:val="0"/>
        </w:rPr>
        <w:t xml:space="preserve">(the Agency) </w:t>
      </w:r>
      <w:r w:rsidR="00B37075" w:rsidRPr="004A2736">
        <w:rPr>
          <w:rStyle w:val="BookTitle"/>
          <w:rFonts w:ascii="Times New Roman" w:hAnsi="Times New Roman" w:cs="Times New Roman"/>
          <w:i w:val="0"/>
          <w:iCs w:val="0"/>
          <w:smallCaps w:val="0"/>
          <w:spacing w:val="0"/>
        </w:rPr>
        <w:t xml:space="preserve">to promote and improve gender equality </w:t>
      </w:r>
      <w:r w:rsidR="00C575E0" w:rsidRPr="004A2736">
        <w:rPr>
          <w:rStyle w:val="BookTitle"/>
          <w:rFonts w:ascii="Times New Roman" w:hAnsi="Times New Roman" w:cs="Times New Roman"/>
          <w:i w:val="0"/>
          <w:iCs w:val="0"/>
          <w:smallCaps w:val="0"/>
          <w:spacing w:val="0"/>
        </w:rPr>
        <w:t>outcomes.</w:t>
      </w:r>
      <w:r w:rsidR="001C255B" w:rsidRPr="004A2736">
        <w:rPr>
          <w:rStyle w:val="BookTitle"/>
          <w:rFonts w:ascii="Times New Roman" w:hAnsi="Times New Roman" w:cs="Times New Roman"/>
          <w:i w:val="0"/>
          <w:iCs w:val="0"/>
          <w:smallCaps w:val="0"/>
          <w:spacing w:val="0"/>
        </w:rPr>
        <w:t xml:space="preserve">  Reporting is also used to assist the Agency in identifying compliance with </w:t>
      </w:r>
      <w:r w:rsidR="00BB26EE" w:rsidRPr="004A2736">
        <w:rPr>
          <w:rStyle w:val="BookTitle"/>
          <w:rFonts w:ascii="Times New Roman" w:hAnsi="Times New Roman" w:cs="Times New Roman"/>
          <w:i w:val="0"/>
          <w:iCs w:val="0"/>
          <w:smallCaps w:val="0"/>
          <w:spacing w:val="0"/>
        </w:rPr>
        <w:t xml:space="preserve">the requirements under the Act, including the </w:t>
      </w:r>
      <w:r w:rsidR="001C255B" w:rsidRPr="004A2736">
        <w:rPr>
          <w:rStyle w:val="BookTitle"/>
          <w:rFonts w:ascii="Times New Roman" w:hAnsi="Times New Roman" w:cs="Times New Roman"/>
          <w:i w:val="0"/>
          <w:iCs w:val="0"/>
          <w:smallCaps w:val="0"/>
          <w:spacing w:val="0"/>
        </w:rPr>
        <w:t xml:space="preserve">applicable </w:t>
      </w:r>
      <w:r w:rsidR="00000388">
        <w:rPr>
          <w:rStyle w:val="BookTitle"/>
          <w:rFonts w:ascii="Times New Roman" w:hAnsi="Times New Roman" w:cs="Times New Roman"/>
          <w:i w:val="0"/>
          <w:iCs w:val="0"/>
          <w:smallCaps w:val="0"/>
          <w:spacing w:val="0"/>
        </w:rPr>
        <w:t>m</w:t>
      </w:r>
      <w:r w:rsidR="001C255B" w:rsidRPr="004A2736">
        <w:rPr>
          <w:rStyle w:val="BookTitle"/>
          <w:rFonts w:ascii="Times New Roman" w:hAnsi="Times New Roman" w:cs="Times New Roman"/>
          <w:i w:val="0"/>
          <w:iCs w:val="0"/>
          <w:smallCaps w:val="0"/>
          <w:spacing w:val="0"/>
        </w:rPr>
        <w:t xml:space="preserve">inimum </w:t>
      </w:r>
      <w:r w:rsidR="00000388">
        <w:rPr>
          <w:rStyle w:val="BookTitle"/>
          <w:rFonts w:ascii="Times New Roman" w:hAnsi="Times New Roman" w:cs="Times New Roman"/>
          <w:i w:val="0"/>
          <w:iCs w:val="0"/>
          <w:smallCaps w:val="0"/>
          <w:spacing w:val="0"/>
        </w:rPr>
        <w:t>s</w:t>
      </w:r>
      <w:r w:rsidR="001C255B" w:rsidRPr="004A2736">
        <w:rPr>
          <w:rStyle w:val="BookTitle"/>
          <w:rFonts w:ascii="Times New Roman" w:hAnsi="Times New Roman" w:cs="Times New Roman"/>
          <w:i w:val="0"/>
          <w:iCs w:val="0"/>
          <w:smallCaps w:val="0"/>
          <w:spacing w:val="0"/>
        </w:rPr>
        <w:t>tandards.</w:t>
      </w:r>
    </w:p>
    <w:p w:rsidR="004A2736" w:rsidRPr="004A2736" w:rsidRDefault="002A5892" w:rsidP="004A2736">
      <w:pPr>
        <w:spacing w:before="120" w:after="120"/>
        <w:rPr>
          <w:rFonts w:ascii="Times New Roman" w:hAnsi="Times New Roman" w:cs="Times New Roman"/>
          <w:lang w:eastAsia="en-AU"/>
        </w:rPr>
      </w:pPr>
      <w:r w:rsidRPr="004A2736">
        <w:rPr>
          <w:rStyle w:val="BookTitle"/>
          <w:rFonts w:ascii="Times New Roman" w:hAnsi="Times New Roman" w:cs="Times New Roman"/>
          <w:i w:val="0"/>
          <w:iCs w:val="0"/>
          <w:smallCaps w:val="0"/>
          <w:spacing w:val="0"/>
        </w:rPr>
        <w:t xml:space="preserve">The GEI Instrument </w:t>
      </w:r>
      <w:r w:rsidR="00000388">
        <w:rPr>
          <w:rStyle w:val="BookTitle"/>
          <w:rFonts w:ascii="Times New Roman" w:hAnsi="Times New Roman" w:cs="Times New Roman"/>
          <w:i w:val="0"/>
          <w:iCs w:val="0"/>
          <w:smallCaps w:val="0"/>
          <w:spacing w:val="0"/>
        </w:rPr>
        <w:t xml:space="preserve">currently </w:t>
      </w:r>
      <w:r w:rsidRPr="004A2736">
        <w:rPr>
          <w:rStyle w:val="BookTitle"/>
          <w:rFonts w:ascii="Times New Roman" w:hAnsi="Times New Roman" w:cs="Times New Roman"/>
          <w:i w:val="0"/>
          <w:iCs w:val="0"/>
          <w:smallCaps w:val="0"/>
          <w:spacing w:val="0"/>
        </w:rPr>
        <w:t xml:space="preserve">provides that the reporting matters specified </w:t>
      </w:r>
      <w:r w:rsidR="00000388">
        <w:rPr>
          <w:rStyle w:val="BookTitle"/>
          <w:rFonts w:ascii="Times New Roman" w:hAnsi="Times New Roman" w:cs="Times New Roman"/>
          <w:i w:val="0"/>
          <w:iCs w:val="0"/>
          <w:smallCaps w:val="0"/>
          <w:spacing w:val="0"/>
        </w:rPr>
        <w:t>in</w:t>
      </w:r>
      <w:r w:rsidR="00000388" w:rsidRPr="004A2736">
        <w:rPr>
          <w:rStyle w:val="BookTitle"/>
          <w:rFonts w:ascii="Times New Roman" w:hAnsi="Times New Roman" w:cs="Times New Roman"/>
          <w:i w:val="0"/>
          <w:iCs w:val="0"/>
          <w:smallCaps w:val="0"/>
          <w:spacing w:val="0"/>
        </w:rPr>
        <w:t xml:space="preserve"> </w:t>
      </w:r>
      <w:r w:rsidRPr="004A2736">
        <w:rPr>
          <w:rStyle w:val="BookTitle"/>
          <w:rFonts w:ascii="Times New Roman" w:hAnsi="Times New Roman" w:cs="Times New Roman"/>
          <w:i w:val="0"/>
          <w:iCs w:val="0"/>
          <w:smallCaps w:val="0"/>
          <w:spacing w:val="0"/>
        </w:rPr>
        <w:t xml:space="preserve">Schedule 1 of that instrument will be amended with effect from 1 April 2014 </w:t>
      </w:r>
      <w:r w:rsidR="00000388">
        <w:rPr>
          <w:rStyle w:val="BookTitle"/>
          <w:rFonts w:ascii="Times New Roman" w:hAnsi="Times New Roman" w:cs="Times New Roman"/>
          <w:i w:val="0"/>
          <w:iCs w:val="0"/>
          <w:smallCaps w:val="0"/>
          <w:spacing w:val="0"/>
        </w:rPr>
        <w:t xml:space="preserve">(see </w:t>
      </w:r>
      <w:r w:rsidRPr="004A2736">
        <w:rPr>
          <w:rStyle w:val="BookTitle"/>
          <w:rFonts w:ascii="Times New Roman" w:hAnsi="Times New Roman" w:cs="Times New Roman"/>
          <w:i w:val="0"/>
          <w:iCs w:val="0"/>
          <w:smallCaps w:val="0"/>
          <w:spacing w:val="0"/>
        </w:rPr>
        <w:t>Schedule 2</w:t>
      </w:r>
      <w:r w:rsidR="00000388">
        <w:rPr>
          <w:rStyle w:val="BookTitle"/>
          <w:rFonts w:ascii="Times New Roman" w:hAnsi="Times New Roman" w:cs="Times New Roman"/>
          <w:i w:val="0"/>
          <w:iCs w:val="0"/>
          <w:smallCaps w:val="0"/>
          <w:spacing w:val="0"/>
        </w:rPr>
        <w:t>)</w:t>
      </w:r>
      <w:r w:rsidRPr="004A2736">
        <w:rPr>
          <w:rStyle w:val="BookTitle"/>
          <w:rFonts w:ascii="Times New Roman" w:hAnsi="Times New Roman" w:cs="Times New Roman"/>
          <w:i w:val="0"/>
          <w:iCs w:val="0"/>
          <w:smallCaps w:val="0"/>
          <w:spacing w:val="0"/>
        </w:rPr>
        <w:t xml:space="preserve">.  The effect of Schedule 2 of the GEI Instrument is to expand the number of matters that </w:t>
      </w:r>
      <w:r w:rsidR="00C13D9A">
        <w:rPr>
          <w:rStyle w:val="BookTitle"/>
          <w:rFonts w:ascii="Times New Roman" w:hAnsi="Times New Roman" w:cs="Times New Roman"/>
          <w:i w:val="0"/>
          <w:iCs w:val="0"/>
          <w:smallCaps w:val="0"/>
          <w:spacing w:val="0"/>
        </w:rPr>
        <w:t xml:space="preserve">relevant employers must include in their annual reports under </w:t>
      </w:r>
      <w:r w:rsidRPr="004A2736">
        <w:rPr>
          <w:rStyle w:val="BookTitle"/>
          <w:rFonts w:ascii="Times New Roman" w:hAnsi="Times New Roman" w:cs="Times New Roman"/>
          <w:i w:val="0"/>
          <w:iCs w:val="0"/>
          <w:smallCaps w:val="0"/>
          <w:spacing w:val="0"/>
        </w:rPr>
        <w:t>the Act.</w:t>
      </w:r>
      <w:r w:rsidR="004A2736" w:rsidRPr="004A2736">
        <w:rPr>
          <w:rStyle w:val="BookTitle"/>
          <w:rFonts w:ascii="Times New Roman" w:hAnsi="Times New Roman" w:cs="Times New Roman"/>
          <w:i w:val="0"/>
          <w:iCs w:val="0"/>
          <w:smallCaps w:val="0"/>
          <w:spacing w:val="0"/>
        </w:rPr>
        <w:t xml:space="preserve">  </w:t>
      </w:r>
      <w:r w:rsidR="004A2736">
        <w:rPr>
          <w:rStyle w:val="BookTitle"/>
          <w:rFonts w:ascii="Times New Roman" w:hAnsi="Times New Roman" w:cs="Times New Roman"/>
          <w:i w:val="0"/>
          <w:iCs w:val="0"/>
          <w:smallCaps w:val="0"/>
          <w:spacing w:val="0"/>
        </w:rPr>
        <w:t xml:space="preserve">The Instrument amends the GEI Instrument to delay the commencement of the amendments effected by Schedule 2 by one year to allow further consultation to occur in response </w:t>
      </w:r>
      <w:r w:rsidR="00000388">
        <w:rPr>
          <w:rStyle w:val="BookTitle"/>
          <w:rFonts w:ascii="Times New Roman" w:hAnsi="Times New Roman" w:cs="Times New Roman"/>
          <w:i w:val="0"/>
          <w:iCs w:val="0"/>
          <w:smallCaps w:val="0"/>
          <w:spacing w:val="0"/>
        </w:rPr>
        <w:t xml:space="preserve">to the disparity of </w:t>
      </w:r>
      <w:r w:rsidR="004A2736">
        <w:rPr>
          <w:rStyle w:val="BookTitle"/>
          <w:rFonts w:ascii="Times New Roman" w:hAnsi="Times New Roman" w:cs="Times New Roman"/>
          <w:i w:val="0"/>
          <w:iCs w:val="0"/>
          <w:smallCaps w:val="0"/>
          <w:spacing w:val="0"/>
        </w:rPr>
        <w:t xml:space="preserve">concerns expressed by </w:t>
      </w:r>
      <w:r w:rsidR="00D74E7B">
        <w:rPr>
          <w:rStyle w:val="BookTitle"/>
          <w:rFonts w:ascii="Times New Roman" w:hAnsi="Times New Roman" w:cs="Times New Roman"/>
          <w:i w:val="0"/>
          <w:iCs w:val="0"/>
          <w:smallCaps w:val="0"/>
          <w:spacing w:val="0"/>
        </w:rPr>
        <w:t>stakeholders</w:t>
      </w:r>
      <w:r w:rsidR="00000388">
        <w:rPr>
          <w:rStyle w:val="BookTitle"/>
          <w:rFonts w:ascii="Times New Roman" w:hAnsi="Times New Roman" w:cs="Times New Roman"/>
          <w:i w:val="0"/>
          <w:iCs w:val="0"/>
          <w:smallCaps w:val="0"/>
          <w:spacing w:val="0"/>
        </w:rPr>
        <w:t xml:space="preserve"> </w:t>
      </w:r>
      <w:r w:rsidR="004A2736">
        <w:rPr>
          <w:rStyle w:val="BookTitle"/>
          <w:rFonts w:ascii="Times New Roman" w:hAnsi="Times New Roman" w:cs="Times New Roman"/>
          <w:i w:val="0"/>
          <w:iCs w:val="0"/>
          <w:smallCaps w:val="0"/>
          <w:spacing w:val="0"/>
        </w:rPr>
        <w:t xml:space="preserve">about the regulatory impact of </w:t>
      </w:r>
      <w:r w:rsidR="00000388">
        <w:rPr>
          <w:rStyle w:val="BookTitle"/>
          <w:rFonts w:ascii="Times New Roman" w:hAnsi="Times New Roman" w:cs="Times New Roman"/>
          <w:i w:val="0"/>
          <w:iCs w:val="0"/>
          <w:smallCaps w:val="0"/>
          <w:spacing w:val="0"/>
        </w:rPr>
        <w:t xml:space="preserve">the reporting requirements set out in the </w:t>
      </w:r>
      <w:proofErr w:type="spellStart"/>
      <w:r w:rsidR="00000388">
        <w:rPr>
          <w:rStyle w:val="BookTitle"/>
          <w:rFonts w:ascii="Times New Roman" w:hAnsi="Times New Roman" w:cs="Times New Roman"/>
          <w:i w:val="0"/>
          <w:iCs w:val="0"/>
          <w:smallCaps w:val="0"/>
          <w:spacing w:val="0"/>
        </w:rPr>
        <w:t>GEI</w:t>
      </w:r>
      <w:proofErr w:type="spellEnd"/>
      <w:r w:rsidR="00000388">
        <w:rPr>
          <w:rStyle w:val="BookTitle"/>
          <w:rFonts w:ascii="Times New Roman" w:hAnsi="Times New Roman" w:cs="Times New Roman"/>
          <w:i w:val="0"/>
          <w:iCs w:val="0"/>
          <w:smallCaps w:val="0"/>
          <w:spacing w:val="0"/>
        </w:rPr>
        <w:t xml:space="preserve"> Instrument</w:t>
      </w:r>
      <w:r w:rsidR="004A2736">
        <w:rPr>
          <w:rStyle w:val="BookTitle"/>
          <w:rFonts w:ascii="Times New Roman" w:hAnsi="Times New Roman" w:cs="Times New Roman"/>
          <w:i w:val="0"/>
          <w:iCs w:val="0"/>
          <w:smallCaps w:val="0"/>
          <w:spacing w:val="0"/>
        </w:rPr>
        <w:t>.</w:t>
      </w:r>
    </w:p>
    <w:p w:rsidR="008053DB" w:rsidRPr="004A2736" w:rsidRDefault="00976D78" w:rsidP="005460B8">
      <w:pPr>
        <w:rPr>
          <w:rStyle w:val="BookTitle"/>
          <w:rFonts w:ascii="Times New Roman" w:hAnsi="Times New Roman" w:cs="Times New Roman"/>
          <w:b/>
          <w:i w:val="0"/>
          <w:iCs w:val="0"/>
          <w:smallCaps w:val="0"/>
          <w:spacing w:val="0"/>
        </w:rPr>
      </w:pPr>
      <w:r w:rsidRPr="004A2736">
        <w:rPr>
          <w:rStyle w:val="BookTitle"/>
          <w:rFonts w:ascii="Times New Roman" w:hAnsi="Times New Roman" w:cs="Times New Roman"/>
          <w:b/>
          <w:i w:val="0"/>
          <w:iCs w:val="0"/>
          <w:smallCaps w:val="0"/>
          <w:spacing w:val="0"/>
        </w:rPr>
        <w:t xml:space="preserve">Explanation of </w:t>
      </w:r>
      <w:r w:rsidR="008053DB" w:rsidRPr="004A2736">
        <w:rPr>
          <w:rStyle w:val="BookTitle"/>
          <w:rFonts w:ascii="Times New Roman" w:hAnsi="Times New Roman" w:cs="Times New Roman"/>
          <w:b/>
          <w:i w:val="0"/>
          <w:iCs w:val="0"/>
          <w:smallCaps w:val="0"/>
          <w:spacing w:val="0"/>
        </w:rPr>
        <w:t>Provisions</w:t>
      </w:r>
    </w:p>
    <w:p w:rsidR="007F7819" w:rsidRPr="004A2736" w:rsidRDefault="007F7819" w:rsidP="007F7819">
      <w:pPr>
        <w:spacing w:after="0"/>
        <w:rPr>
          <w:rStyle w:val="BookTitle"/>
          <w:rFonts w:ascii="Times New Roman" w:hAnsi="Times New Roman" w:cs="Times New Roman"/>
          <w:iCs w:val="0"/>
          <w:smallCaps w:val="0"/>
          <w:spacing w:val="0"/>
        </w:rPr>
      </w:pPr>
      <w:r w:rsidRPr="004A2736">
        <w:rPr>
          <w:rStyle w:val="BookTitle"/>
          <w:rFonts w:ascii="Times New Roman" w:hAnsi="Times New Roman" w:cs="Times New Roman"/>
          <w:iCs w:val="0"/>
          <w:smallCaps w:val="0"/>
          <w:spacing w:val="0"/>
        </w:rPr>
        <w:t xml:space="preserve">Name of </w:t>
      </w:r>
      <w:r w:rsidR="004B34AE" w:rsidRPr="004A2736">
        <w:rPr>
          <w:rStyle w:val="BookTitle"/>
          <w:rFonts w:ascii="Times New Roman" w:hAnsi="Times New Roman" w:cs="Times New Roman"/>
          <w:iCs w:val="0"/>
          <w:smallCaps w:val="0"/>
          <w:spacing w:val="0"/>
        </w:rPr>
        <w:t>Instrument</w:t>
      </w:r>
      <w:r w:rsidRPr="004A2736">
        <w:rPr>
          <w:rStyle w:val="BookTitle"/>
          <w:rFonts w:ascii="Times New Roman" w:hAnsi="Times New Roman" w:cs="Times New Roman"/>
          <w:iCs w:val="0"/>
          <w:smallCaps w:val="0"/>
          <w:spacing w:val="0"/>
        </w:rPr>
        <w:t xml:space="preserve"> </w:t>
      </w:r>
    </w:p>
    <w:p w:rsidR="000D7D99" w:rsidRPr="004A2736" w:rsidRDefault="000D7D99" w:rsidP="007F7819">
      <w:pPr>
        <w:spacing w:after="0"/>
        <w:rPr>
          <w:rStyle w:val="BookTitle"/>
          <w:rFonts w:ascii="Times New Roman" w:hAnsi="Times New Roman" w:cs="Times New Roman"/>
          <w:i w:val="0"/>
          <w:iCs w:val="0"/>
          <w:smallCaps w:val="0"/>
          <w:spacing w:val="0"/>
        </w:rPr>
      </w:pPr>
      <w:r w:rsidRPr="004A2736">
        <w:rPr>
          <w:rStyle w:val="BookTitle"/>
          <w:rFonts w:ascii="Times New Roman" w:hAnsi="Times New Roman" w:cs="Times New Roman"/>
          <w:i w:val="0"/>
          <w:iCs w:val="0"/>
          <w:smallCaps w:val="0"/>
          <w:spacing w:val="0"/>
        </w:rPr>
        <w:t xml:space="preserve">Section 1 of the </w:t>
      </w:r>
      <w:r w:rsidR="004B34AE" w:rsidRPr="004A2736">
        <w:rPr>
          <w:rStyle w:val="BookTitle"/>
          <w:rFonts w:ascii="Times New Roman" w:hAnsi="Times New Roman" w:cs="Times New Roman"/>
          <w:i w:val="0"/>
          <w:iCs w:val="0"/>
          <w:smallCaps w:val="0"/>
          <w:spacing w:val="0"/>
        </w:rPr>
        <w:t>Instrument</w:t>
      </w:r>
      <w:r w:rsidRPr="004A2736">
        <w:rPr>
          <w:rStyle w:val="BookTitle"/>
          <w:rFonts w:ascii="Times New Roman" w:hAnsi="Times New Roman" w:cs="Times New Roman"/>
          <w:i w:val="0"/>
          <w:iCs w:val="0"/>
          <w:smallCaps w:val="0"/>
          <w:spacing w:val="0"/>
        </w:rPr>
        <w:t xml:space="preserve"> states the name of the </w:t>
      </w:r>
      <w:r w:rsidR="004B34AE" w:rsidRPr="004A2736">
        <w:rPr>
          <w:rStyle w:val="BookTitle"/>
          <w:rFonts w:ascii="Times New Roman" w:hAnsi="Times New Roman" w:cs="Times New Roman"/>
          <w:i w:val="0"/>
          <w:iCs w:val="0"/>
          <w:smallCaps w:val="0"/>
          <w:spacing w:val="0"/>
        </w:rPr>
        <w:t>Instrument</w:t>
      </w:r>
      <w:r w:rsidR="007F7819" w:rsidRPr="004A2736">
        <w:rPr>
          <w:rStyle w:val="BookTitle"/>
          <w:rFonts w:ascii="Times New Roman" w:hAnsi="Times New Roman" w:cs="Times New Roman"/>
          <w:i w:val="0"/>
          <w:iCs w:val="0"/>
          <w:smallCaps w:val="0"/>
          <w:spacing w:val="0"/>
        </w:rPr>
        <w:t xml:space="preserve">, which is the </w:t>
      </w:r>
      <w:r w:rsidR="007F7819" w:rsidRPr="004A2736">
        <w:rPr>
          <w:rStyle w:val="BookTitle"/>
          <w:rFonts w:ascii="Times New Roman" w:hAnsi="Times New Roman" w:cs="Times New Roman"/>
          <w:iCs w:val="0"/>
          <w:smallCaps w:val="0"/>
          <w:spacing w:val="0"/>
        </w:rPr>
        <w:t>Workplace Gender Equality (</w:t>
      </w:r>
      <w:r w:rsidR="00571F2E" w:rsidRPr="004A2736">
        <w:rPr>
          <w:rStyle w:val="BookTitle"/>
          <w:rFonts w:ascii="Times New Roman" w:hAnsi="Times New Roman" w:cs="Times New Roman"/>
          <w:iCs w:val="0"/>
          <w:smallCaps w:val="0"/>
          <w:spacing w:val="0"/>
        </w:rPr>
        <w:t>Matters in relation to Gender Equality Indicators</w:t>
      </w:r>
      <w:r w:rsidR="007F7819" w:rsidRPr="004A2736">
        <w:rPr>
          <w:rStyle w:val="BookTitle"/>
          <w:rFonts w:ascii="Times New Roman" w:hAnsi="Times New Roman" w:cs="Times New Roman"/>
          <w:iCs w:val="0"/>
          <w:smallCaps w:val="0"/>
          <w:spacing w:val="0"/>
        </w:rPr>
        <w:t xml:space="preserve">) </w:t>
      </w:r>
      <w:r w:rsidR="00571F2E" w:rsidRPr="004A2736">
        <w:rPr>
          <w:rStyle w:val="BookTitle"/>
          <w:rFonts w:ascii="Times New Roman" w:hAnsi="Times New Roman" w:cs="Times New Roman"/>
          <w:iCs w:val="0"/>
          <w:smallCaps w:val="0"/>
          <w:spacing w:val="0"/>
        </w:rPr>
        <w:t xml:space="preserve">Amendment </w:t>
      </w:r>
      <w:r w:rsidR="004B34AE" w:rsidRPr="004A2736">
        <w:rPr>
          <w:rStyle w:val="BookTitle"/>
          <w:rFonts w:ascii="Times New Roman" w:hAnsi="Times New Roman" w:cs="Times New Roman"/>
          <w:iCs w:val="0"/>
          <w:smallCaps w:val="0"/>
          <w:spacing w:val="0"/>
        </w:rPr>
        <w:t>Instrument</w:t>
      </w:r>
      <w:r w:rsidR="00E32D8D" w:rsidRPr="004A2736">
        <w:rPr>
          <w:rStyle w:val="BookTitle"/>
          <w:rFonts w:ascii="Times New Roman" w:hAnsi="Times New Roman" w:cs="Times New Roman"/>
          <w:iCs w:val="0"/>
          <w:smallCaps w:val="0"/>
          <w:spacing w:val="0"/>
        </w:rPr>
        <w:t xml:space="preserve"> 2014</w:t>
      </w:r>
      <w:r w:rsidR="00571F2E" w:rsidRPr="004A2736">
        <w:rPr>
          <w:rStyle w:val="BookTitle"/>
          <w:rFonts w:ascii="Times New Roman" w:hAnsi="Times New Roman" w:cs="Times New Roman"/>
          <w:iCs w:val="0"/>
          <w:smallCaps w:val="0"/>
          <w:spacing w:val="0"/>
        </w:rPr>
        <w:t xml:space="preserve"> (No.1)</w:t>
      </w:r>
      <w:r w:rsidR="007F7819" w:rsidRPr="004A2736">
        <w:rPr>
          <w:rStyle w:val="BookTitle"/>
          <w:rFonts w:ascii="Times New Roman" w:hAnsi="Times New Roman" w:cs="Times New Roman"/>
          <w:i w:val="0"/>
          <w:iCs w:val="0"/>
          <w:smallCaps w:val="0"/>
          <w:spacing w:val="0"/>
        </w:rPr>
        <w:t xml:space="preserve">. </w:t>
      </w:r>
    </w:p>
    <w:p w:rsidR="007F7819" w:rsidRPr="004A2736" w:rsidRDefault="007F7819" w:rsidP="007F7819">
      <w:pPr>
        <w:spacing w:after="0"/>
        <w:rPr>
          <w:rStyle w:val="BookTitle"/>
          <w:rFonts w:ascii="Times New Roman" w:hAnsi="Times New Roman" w:cs="Times New Roman"/>
          <w:iCs w:val="0"/>
          <w:smallCaps w:val="0"/>
          <w:spacing w:val="0"/>
        </w:rPr>
      </w:pPr>
    </w:p>
    <w:p w:rsidR="007F7819" w:rsidRPr="004A2736" w:rsidRDefault="007F7819" w:rsidP="007F7819">
      <w:pPr>
        <w:spacing w:after="0"/>
        <w:rPr>
          <w:rStyle w:val="BookTitle"/>
          <w:rFonts w:ascii="Times New Roman" w:hAnsi="Times New Roman" w:cs="Times New Roman"/>
          <w:iCs w:val="0"/>
          <w:smallCaps w:val="0"/>
          <w:spacing w:val="0"/>
        </w:rPr>
      </w:pPr>
      <w:r w:rsidRPr="004A2736">
        <w:rPr>
          <w:rStyle w:val="BookTitle"/>
          <w:rFonts w:ascii="Times New Roman" w:hAnsi="Times New Roman" w:cs="Times New Roman"/>
          <w:iCs w:val="0"/>
          <w:smallCaps w:val="0"/>
          <w:spacing w:val="0"/>
        </w:rPr>
        <w:t>Commencement</w:t>
      </w:r>
    </w:p>
    <w:p w:rsidR="00E32D8D" w:rsidRPr="004A2736" w:rsidRDefault="000D7D99" w:rsidP="007F7819">
      <w:pPr>
        <w:spacing w:after="0"/>
        <w:rPr>
          <w:rStyle w:val="BookTitle"/>
          <w:rFonts w:ascii="Times New Roman" w:hAnsi="Times New Roman" w:cs="Times New Roman"/>
          <w:i w:val="0"/>
          <w:iCs w:val="0"/>
          <w:smallCaps w:val="0"/>
          <w:spacing w:val="0"/>
        </w:rPr>
      </w:pPr>
      <w:r w:rsidRPr="004A2736">
        <w:rPr>
          <w:rStyle w:val="BookTitle"/>
          <w:rFonts w:ascii="Times New Roman" w:hAnsi="Times New Roman" w:cs="Times New Roman"/>
          <w:i w:val="0"/>
          <w:iCs w:val="0"/>
          <w:smallCaps w:val="0"/>
          <w:spacing w:val="0"/>
        </w:rPr>
        <w:t xml:space="preserve">Section 2 of the </w:t>
      </w:r>
      <w:r w:rsidR="004B34AE" w:rsidRPr="004A2736">
        <w:rPr>
          <w:rStyle w:val="BookTitle"/>
          <w:rFonts w:ascii="Times New Roman" w:hAnsi="Times New Roman" w:cs="Times New Roman"/>
          <w:i w:val="0"/>
          <w:iCs w:val="0"/>
          <w:smallCaps w:val="0"/>
          <w:spacing w:val="0"/>
        </w:rPr>
        <w:t>Instrument</w:t>
      </w:r>
      <w:r w:rsidR="00AE413C" w:rsidRPr="004A2736">
        <w:rPr>
          <w:rStyle w:val="BookTitle"/>
          <w:rFonts w:ascii="Times New Roman" w:hAnsi="Times New Roman" w:cs="Times New Roman"/>
          <w:i w:val="0"/>
          <w:iCs w:val="0"/>
          <w:smallCaps w:val="0"/>
          <w:spacing w:val="0"/>
        </w:rPr>
        <w:t xml:space="preserve"> </w:t>
      </w:r>
      <w:r w:rsidR="00DB67D5" w:rsidRPr="004A2736">
        <w:rPr>
          <w:rStyle w:val="BookTitle"/>
          <w:rFonts w:ascii="Times New Roman" w:hAnsi="Times New Roman" w:cs="Times New Roman"/>
          <w:i w:val="0"/>
          <w:iCs w:val="0"/>
          <w:smallCaps w:val="0"/>
          <w:spacing w:val="0"/>
        </w:rPr>
        <w:t xml:space="preserve">specifies that </w:t>
      </w:r>
      <w:r w:rsidR="007F7819" w:rsidRPr="004A2736">
        <w:rPr>
          <w:rStyle w:val="BookTitle"/>
          <w:rFonts w:ascii="Times New Roman" w:hAnsi="Times New Roman" w:cs="Times New Roman"/>
          <w:i w:val="0"/>
          <w:iCs w:val="0"/>
          <w:smallCaps w:val="0"/>
          <w:spacing w:val="0"/>
        </w:rPr>
        <w:t xml:space="preserve">the </w:t>
      </w:r>
      <w:r w:rsidR="004B34AE" w:rsidRPr="004A2736">
        <w:rPr>
          <w:rStyle w:val="BookTitle"/>
          <w:rFonts w:ascii="Times New Roman" w:hAnsi="Times New Roman" w:cs="Times New Roman"/>
          <w:i w:val="0"/>
          <w:iCs w:val="0"/>
          <w:smallCaps w:val="0"/>
          <w:spacing w:val="0"/>
        </w:rPr>
        <w:t>Instrument</w:t>
      </w:r>
      <w:r w:rsidR="007F7819" w:rsidRPr="004A2736">
        <w:rPr>
          <w:rStyle w:val="BookTitle"/>
          <w:rFonts w:ascii="Times New Roman" w:hAnsi="Times New Roman" w:cs="Times New Roman"/>
          <w:i w:val="0"/>
          <w:iCs w:val="0"/>
          <w:smallCaps w:val="0"/>
          <w:spacing w:val="0"/>
        </w:rPr>
        <w:t xml:space="preserve"> </w:t>
      </w:r>
      <w:r w:rsidR="000441A5" w:rsidRPr="004A2736">
        <w:rPr>
          <w:rStyle w:val="BookTitle"/>
          <w:rFonts w:ascii="Times New Roman" w:hAnsi="Times New Roman" w:cs="Times New Roman"/>
          <w:i w:val="0"/>
          <w:iCs w:val="0"/>
          <w:smallCaps w:val="0"/>
          <w:spacing w:val="0"/>
        </w:rPr>
        <w:t>commences</w:t>
      </w:r>
      <w:r w:rsidR="007F7819" w:rsidRPr="004A2736">
        <w:rPr>
          <w:rStyle w:val="BookTitle"/>
          <w:rFonts w:ascii="Times New Roman" w:hAnsi="Times New Roman" w:cs="Times New Roman"/>
          <w:i w:val="0"/>
          <w:iCs w:val="0"/>
          <w:smallCaps w:val="0"/>
          <w:spacing w:val="0"/>
        </w:rPr>
        <w:t xml:space="preserve"> </w:t>
      </w:r>
      <w:r w:rsidR="00E32D8D" w:rsidRPr="004A2736">
        <w:rPr>
          <w:rStyle w:val="BookTitle"/>
          <w:rFonts w:ascii="Times New Roman" w:hAnsi="Times New Roman" w:cs="Times New Roman"/>
          <w:i w:val="0"/>
          <w:iCs w:val="0"/>
          <w:smallCaps w:val="0"/>
          <w:spacing w:val="0"/>
        </w:rPr>
        <w:t>on the day after it is registered.</w:t>
      </w:r>
    </w:p>
    <w:p w:rsidR="007F7819" w:rsidRPr="004A2736" w:rsidRDefault="007F7819" w:rsidP="007F7819">
      <w:pPr>
        <w:spacing w:after="0"/>
        <w:rPr>
          <w:rStyle w:val="BookTitle"/>
          <w:rFonts w:ascii="Times New Roman" w:hAnsi="Times New Roman" w:cs="Times New Roman"/>
          <w:i w:val="0"/>
          <w:iCs w:val="0"/>
          <w:smallCaps w:val="0"/>
          <w:spacing w:val="0"/>
        </w:rPr>
      </w:pPr>
    </w:p>
    <w:p w:rsidR="007F7819" w:rsidRPr="004A2736" w:rsidRDefault="007F7819" w:rsidP="007F7819">
      <w:pPr>
        <w:spacing w:after="0"/>
        <w:rPr>
          <w:rStyle w:val="BookTitle"/>
          <w:rFonts w:ascii="Times New Roman" w:hAnsi="Times New Roman" w:cs="Times New Roman"/>
          <w:iCs w:val="0"/>
          <w:smallCaps w:val="0"/>
          <w:spacing w:val="0"/>
        </w:rPr>
      </w:pPr>
      <w:r w:rsidRPr="004A2736">
        <w:rPr>
          <w:rStyle w:val="BookTitle"/>
          <w:rFonts w:ascii="Times New Roman" w:hAnsi="Times New Roman" w:cs="Times New Roman"/>
          <w:iCs w:val="0"/>
          <w:smallCaps w:val="0"/>
          <w:spacing w:val="0"/>
        </w:rPr>
        <w:t>Authority</w:t>
      </w:r>
    </w:p>
    <w:p w:rsidR="00890A33" w:rsidRPr="004A2736" w:rsidRDefault="00890A33" w:rsidP="007F7819">
      <w:pPr>
        <w:spacing w:after="0"/>
        <w:rPr>
          <w:rStyle w:val="BookTitle"/>
          <w:rFonts w:ascii="Times New Roman" w:hAnsi="Times New Roman" w:cs="Times New Roman"/>
          <w:i w:val="0"/>
          <w:iCs w:val="0"/>
          <w:smallCaps w:val="0"/>
          <w:spacing w:val="0"/>
        </w:rPr>
      </w:pPr>
      <w:r w:rsidRPr="004A2736">
        <w:rPr>
          <w:rStyle w:val="BookTitle"/>
          <w:rFonts w:ascii="Times New Roman" w:hAnsi="Times New Roman" w:cs="Times New Roman"/>
          <w:i w:val="0"/>
          <w:iCs w:val="0"/>
          <w:smallCaps w:val="0"/>
          <w:spacing w:val="0"/>
        </w:rPr>
        <w:t>Section</w:t>
      </w:r>
      <w:r w:rsidR="0075249F" w:rsidRPr="004A2736">
        <w:rPr>
          <w:rStyle w:val="BookTitle"/>
          <w:rFonts w:ascii="Times New Roman" w:hAnsi="Times New Roman" w:cs="Times New Roman"/>
          <w:i w:val="0"/>
          <w:iCs w:val="0"/>
          <w:smallCaps w:val="0"/>
          <w:spacing w:val="0"/>
        </w:rPr>
        <w:t xml:space="preserve"> 3 of the </w:t>
      </w:r>
      <w:r w:rsidR="004B34AE" w:rsidRPr="004A2736">
        <w:rPr>
          <w:rStyle w:val="BookTitle"/>
          <w:rFonts w:ascii="Times New Roman" w:hAnsi="Times New Roman" w:cs="Times New Roman"/>
          <w:i w:val="0"/>
          <w:iCs w:val="0"/>
          <w:smallCaps w:val="0"/>
          <w:spacing w:val="0"/>
        </w:rPr>
        <w:t>Instrument</w:t>
      </w:r>
      <w:r w:rsidR="00DB67D5" w:rsidRPr="004A2736">
        <w:rPr>
          <w:rStyle w:val="BookTitle"/>
          <w:rFonts w:ascii="Times New Roman" w:hAnsi="Times New Roman" w:cs="Times New Roman"/>
          <w:i w:val="0"/>
          <w:iCs w:val="0"/>
          <w:smallCaps w:val="0"/>
          <w:spacing w:val="0"/>
        </w:rPr>
        <w:t xml:space="preserve"> specifies</w:t>
      </w:r>
      <w:r w:rsidRPr="004A2736">
        <w:rPr>
          <w:rStyle w:val="BookTitle"/>
          <w:rFonts w:ascii="Times New Roman" w:hAnsi="Times New Roman" w:cs="Times New Roman"/>
          <w:i w:val="0"/>
          <w:iCs w:val="0"/>
          <w:smallCaps w:val="0"/>
          <w:spacing w:val="0"/>
        </w:rPr>
        <w:t xml:space="preserve"> the </w:t>
      </w:r>
      <w:r w:rsidR="007F7819" w:rsidRPr="004A2736">
        <w:rPr>
          <w:rStyle w:val="BookTitle"/>
          <w:rFonts w:ascii="Times New Roman" w:hAnsi="Times New Roman" w:cs="Times New Roman"/>
          <w:i w:val="0"/>
          <w:iCs w:val="0"/>
          <w:smallCaps w:val="0"/>
          <w:spacing w:val="0"/>
        </w:rPr>
        <w:t xml:space="preserve">authority for the </w:t>
      </w:r>
      <w:r w:rsidR="004B34AE" w:rsidRPr="004A2736">
        <w:rPr>
          <w:rStyle w:val="BookTitle"/>
          <w:rFonts w:ascii="Times New Roman" w:hAnsi="Times New Roman" w:cs="Times New Roman"/>
          <w:i w:val="0"/>
          <w:iCs w:val="0"/>
          <w:smallCaps w:val="0"/>
          <w:spacing w:val="0"/>
        </w:rPr>
        <w:t>Instrument</w:t>
      </w:r>
      <w:r w:rsidR="009746A8" w:rsidRPr="004A2736">
        <w:rPr>
          <w:rStyle w:val="BookTitle"/>
          <w:rFonts w:ascii="Times New Roman" w:hAnsi="Times New Roman" w:cs="Times New Roman"/>
          <w:i w:val="0"/>
          <w:iCs w:val="0"/>
          <w:smallCaps w:val="0"/>
          <w:spacing w:val="0"/>
        </w:rPr>
        <w:t>,</w:t>
      </w:r>
      <w:r w:rsidR="00E32D8D" w:rsidRPr="004A2736">
        <w:rPr>
          <w:rStyle w:val="BookTitle"/>
          <w:rFonts w:ascii="Times New Roman" w:hAnsi="Times New Roman" w:cs="Times New Roman"/>
          <w:i w:val="0"/>
          <w:iCs w:val="0"/>
          <w:smallCaps w:val="0"/>
          <w:spacing w:val="0"/>
        </w:rPr>
        <w:t xml:space="preserve"> which is subsection </w:t>
      </w:r>
      <w:r w:rsidR="00FB7B49" w:rsidRPr="004A2736">
        <w:rPr>
          <w:rStyle w:val="BookTitle"/>
          <w:rFonts w:ascii="Times New Roman" w:hAnsi="Times New Roman" w:cs="Times New Roman"/>
          <w:i w:val="0"/>
          <w:iCs w:val="0"/>
          <w:smallCaps w:val="0"/>
          <w:spacing w:val="0"/>
        </w:rPr>
        <w:t>13(3</w:t>
      </w:r>
      <w:r w:rsidR="007F7819" w:rsidRPr="004A2736">
        <w:rPr>
          <w:rStyle w:val="BookTitle"/>
          <w:rFonts w:ascii="Times New Roman" w:hAnsi="Times New Roman" w:cs="Times New Roman"/>
          <w:i w:val="0"/>
          <w:iCs w:val="0"/>
          <w:smallCaps w:val="0"/>
          <w:spacing w:val="0"/>
        </w:rPr>
        <w:t xml:space="preserve">) </w:t>
      </w:r>
      <w:r w:rsidR="00856AA6" w:rsidRPr="004A2736">
        <w:rPr>
          <w:rStyle w:val="BookTitle"/>
          <w:rFonts w:ascii="Times New Roman" w:hAnsi="Times New Roman" w:cs="Times New Roman"/>
          <w:i w:val="0"/>
          <w:iCs w:val="0"/>
          <w:smallCaps w:val="0"/>
          <w:spacing w:val="0"/>
        </w:rPr>
        <w:t>of the Act.</w:t>
      </w:r>
    </w:p>
    <w:p w:rsidR="007F7819" w:rsidRPr="004A2736" w:rsidRDefault="007F7819" w:rsidP="007F7819">
      <w:pPr>
        <w:spacing w:after="0"/>
        <w:rPr>
          <w:rStyle w:val="BookTitle"/>
          <w:rFonts w:ascii="Times New Roman" w:hAnsi="Times New Roman" w:cs="Times New Roman"/>
          <w:iCs w:val="0"/>
          <w:smallCaps w:val="0"/>
          <w:spacing w:val="0"/>
        </w:rPr>
      </w:pPr>
    </w:p>
    <w:p w:rsidR="00665AA4" w:rsidRPr="004A2736" w:rsidRDefault="00FB7B49" w:rsidP="00665AA4">
      <w:pPr>
        <w:spacing w:after="0"/>
        <w:rPr>
          <w:rStyle w:val="BookTitle"/>
          <w:rFonts w:ascii="Times New Roman" w:hAnsi="Times New Roman" w:cs="Times New Roman"/>
          <w:iCs w:val="0"/>
          <w:smallCaps w:val="0"/>
          <w:spacing w:val="0"/>
        </w:rPr>
      </w:pPr>
      <w:r w:rsidRPr="004A2736">
        <w:rPr>
          <w:rStyle w:val="BookTitle"/>
          <w:rFonts w:ascii="Times New Roman" w:hAnsi="Times New Roman" w:cs="Times New Roman"/>
          <w:iCs w:val="0"/>
          <w:smallCaps w:val="0"/>
          <w:spacing w:val="0"/>
        </w:rPr>
        <w:t>Schedule(s)</w:t>
      </w:r>
    </w:p>
    <w:p w:rsidR="00FB7B49" w:rsidRPr="004A2736" w:rsidRDefault="00694CEB" w:rsidP="00665AA4">
      <w:pPr>
        <w:spacing w:after="0"/>
        <w:rPr>
          <w:rStyle w:val="BookTitle"/>
          <w:rFonts w:ascii="Times New Roman" w:hAnsi="Times New Roman" w:cs="Times New Roman"/>
          <w:i w:val="0"/>
          <w:iCs w:val="0"/>
          <w:smallCaps w:val="0"/>
          <w:spacing w:val="0"/>
        </w:rPr>
      </w:pPr>
      <w:r w:rsidRPr="004A2736">
        <w:rPr>
          <w:rStyle w:val="BookTitle"/>
          <w:rFonts w:ascii="Times New Roman" w:hAnsi="Times New Roman" w:cs="Times New Roman"/>
          <w:i w:val="0"/>
          <w:iCs w:val="0"/>
          <w:smallCaps w:val="0"/>
          <w:spacing w:val="0"/>
        </w:rPr>
        <w:lastRenderedPageBreak/>
        <w:t>Section 4</w:t>
      </w:r>
      <w:r w:rsidR="00FB7B49" w:rsidRPr="004A2736">
        <w:rPr>
          <w:rStyle w:val="BookTitle"/>
          <w:rFonts w:ascii="Times New Roman" w:hAnsi="Times New Roman" w:cs="Times New Roman"/>
          <w:i w:val="0"/>
          <w:iCs w:val="0"/>
          <w:smallCaps w:val="0"/>
          <w:spacing w:val="0"/>
        </w:rPr>
        <w:t xml:space="preserve"> of the Instrument provides </w:t>
      </w:r>
      <w:r w:rsidR="00512230" w:rsidRPr="004A2736">
        <w:rPr>
          <w:rStyle w:val="BookTitle"/>
          <w:rFonts w:ascii="Times New Roman" w:hAnsi="Times New Roman" w:cs="Times New Roman"/>
          <w:i w:val="0"/>
          <w:iCs w:val="0"/>
          <w:smallCaps w:val="0"/>
          <w:spacing w:val="0"/>
        </w:rPr>
        <w:t>that each</w:t>
      </w:r>
      <w:r w:rsidR="006B5F6C" w:rsidRPr="004A2736">
        <w:rPr>
          <w:rStyle w:val="BookTitle"/>
          <w:rFonts w:ascii="Times New Roman" w:hAnsi="Times New Roman" w:cs="Times New Roman"/>
          <w:i w:val="0"/>
          <w:iCs w:val="0"/>
          <w:smallCaps w:val="0"/>
          <w:spacing w:val="0"/>
        </w:rPr>
        <w:t xml:space="preserve"> </w:t>
      </w:r>
      <w:r w:rsidR="00FB7B49" w:rsidRPr="004A2736">
        <w:rPr>
          <w:rStyle w:val="BookTitle"/>
          <w:rFonts w:ascii="Times New Roman" w:hAnsi="Times New Roman" w:cs="Times New Roman"/>
          <w:i w:val="0"/>
          <w:iCs w:val="0"/>
          <w:smallCaps w:val="0"/>
          <w:spacing w:val="0"/>
        </w:rPr>
        <w:t xml:space="preserve">instrument that </w:t>
      </w:r>
      <w:r w:rsidR="00512230" w:rsidRPr="004A2736">
        <w:rPr>
          <w:rStyle w:val="BookTitle"/>
          <w:rFonts w:ascii="Times New Roman" w:hAnsi="Times New Roman" w:cs="Times New Roman"/>
          <w:i w:val="0"/>
          <w:iCs w:val="0"/>
          <w:smallCaps w:val="0"/>
          <w:spacing w:val="0"/>
        </w:rPr>
        <w:t xml:space="preserve">is </w:t>
      </w:r>
      <w:r w:rsidR="00856AA6" w:rsidRPr="004A2736">
        <w:rPr>
          <w:rStyle w:val="BookTitle"/>
          <w:rFonts w:ascii="Times New Roman" w:hAnsi="Times New Roman" w:cs="Times New Roman"/>
          <w:i w:val="0"/>
          <w:iCs w:val="0"/>
          <w:smallCaps w:val="0"/>
          <w:spacing w:val="0"/>
        </w:rPr>
        <w:t xml:space="preserve">specified in </w:t>
      </w:r>
      <w:r w:rsidR="00512230" w:rsidRPr="004A2736">
        <w:rPr>
          <w:rStyle w:val="BookTitle"/>
          <w:rFonts w:ascii="Times New Roman" w:hAnsi="Times New Roman" w:cs="Times New Roman"/>
          <w:i w:val="0"/>
          <w:iCs w:val="0"/>
          <w:smallCaps w:val="0"/>
          <w:spacing w:val="0"/>
        </w:rPr>
        <w:t xml:space="preserve">a </w:t>
      </w:r>
      <w:r w:rsidR="00856AA6" w:rsidRPr="004A2736">
        <w:rPr>
          <w:rStyle w:val="BookTitle"/>
          <w:rFonts w:ascii="Times New Roman" w:hAnsi="Times New Roman" w:cs="Times New Roman"/>
          <w:i w:val="0"/>
          <w:iCs w:val="0"/>
          <w:smallCaps w:val="0"/>
          <w:spacing w:val="0"/>
        </w:rPr>
        <w:t>S</w:t>
      </w:r>
      <w:r w:rsidR="00512230" w:rsidRPr="004A2736">
        <w:rPr>
          <w:rStyle w:val="BookTitle"/>
          <w:rFonts w:ascii="Times New Roman" w:hAnsi="Times New Roman" w:cs="Times New Roman"/>
          <w:i w:val="0"/>
          <w:iCs w:val="0"/>
          <w:smallCaps w:val="0"/>
          <w:spacing w:val="0"/>
        </w:rPr>
        <w:t xml:space="preserve">chedule is amended or repealed as set out in the applicable items in the Schedule concerned, and that </w:t>
      </w:r>
      <w:r w:rsidR="00FB7B49" w:rsidRPr="004A2736">
        <w:rPr>
          <w:rStyle w:val="BookTitle"/>
          <w:rFonts w:ascii="Times New Roman" w:hAnsi="Times New Roman" w:cs="Times New Roman"/>
          <w:i w:val="0"/>
          <w:iCs w:val="0"/>
          <w:smallCaps w:val="0"/>
          <w:spacing w:val="0"/>
        </w:rPr>
        <w:t>any other item in a Schedule has</w:t>
      </w:r>
      <w:r w:rsidR="00DD04E7" w:rsidRPr="004A2736">
        <w:rPr>
          <w:rStyle w:val="BookTitle"/>
          <w:rFonts w:ascii="Times New Roman" w:hAnsi="Times New Roman" w:cs="Times New Roman"/>
          <w:i w:val="0"/>
          <w:iCs w:val="0"/>
          <w:smallCaps w:val="0"/>
          <w:spacing w:val="0"/>
        </w:rPr>
        <w:t xml:space="preserve"> effect according to its terms.</w:t>
      </w:r>
    </w:p>
    <w:p w:rsidR="00FB7B49" w:rsidRPr="004A2736" w:rsidRDefault="00FB7B49" w:rsidP="00665AA4">
      <w:pPr>
        <w:spacing w:after="0"/>
        <w:rPr>
          <w:rStyle w:val="BookTitle"/>
          <w:rFonts w:ascii="Times New Roman" w:hAnsi="Times New Roman" w:cs="Times New Roman"/>
          <w:i w:val="0"/>
          <w:iCs w:val="0"/>
          <w:smallCaps w:val="0"/>
          <w:spacing w:val="0"/>
        </w:rPr>
      </w:pPr>
    </w:p>
    <w:p w:rsidR="00FB7B49" w:rsidRPr="004A2736" w:rsidRDefault="00FB7B49" w:rsidP="00665AA4">
      <w:pPr>
        <w:spacing w:after="0"/>
        <w:rPr>
          <w:rStyle w:val="BookTitle"/>
          <w:rFonts w:ascii="Times New Roman" w:hAnsi="Times New Roman" w:cs="Times New Roman"/>
          <w:i w:val="0"/>
          <w:iCs w:val="0"/>
          <w:smallCaps w:val="0"/>
          <w:spacing w:val="0"/>
        </w:rPr>
      </w:pPr>
      <w:r w:rsidRPr="004A2736">
        <w:rPr>
          <w:rStyle w:val="BookTitle"/>
          <w:rFonts w:ascii="Times New Roman" w:hAnsi="Times New Roman" w:cs="Times New Roman"/>
          <w:iCs w:val="0"/>
          <w:smallCaps w:val="0"/>
          <w:spacing w:val="0"/>
        </w:rPr>
        <w:t xml:space="preserve">Schedule 1 </w:t>
      </w:r>
      <w:r w:rsidR="00C27374" w:rsidRPr="004A2736">
        <w:rPr>
          <w:rStyle w:val="BookTitle"/>
          <w:rFonts w:ascii="Times New Roman" w:hAnsi="Times New Roman" w:cs="Times New Roman"/>
          <w:iCs w:val="0"/>
          <w:smallCaps w:val="0"/>
          <w:spacing w:val="0"/>
        </w:rPr>
        <w:t>–</w:t>
      </w:r>
      <w:r w:rsidRPr="004A2736">
        <w:rPr>
          <w:rStyle w:val="BookTitle"/>
          <w:rFonts w:ascii="Times New Roman" w:hAnsi="Times New Roman" w:cs="Times New Roman"/>
          <w:iCs w:val="0"/>
          <w:smallCaps w:val="0"/>
          <w:spacing w:val="0"/>
        </w:rPr>
        <w:t xml:space="preserve"> Amendments</w:t>
      </w:r>
    </w:p>
    <w:p w:rsidR="00DC2C9A" w:rsidRDefault="00DC2C9A" w:rsidP="00665AA4">
      <w:pPr>
        <w:spacing w:after="0"/>
        <w:rPr>
          <w:rStyle w:val="BookTitle"/>
          <w:rFonts w:ascii="Times New Roman" w:hAnsi="Times New Roman" w:cs="Times New Roman"/>
          <w:b/>
          <w:i w:val="0"/>
          <w:iCs w:val="0"/>
          <w:smallCaps w:val="0"/>
          <w:spacing w:val="0"/>
        </w:rPr>
      </w:pPr>
    </w:p>
    <w:p w:rsidR="00F471FB" w:rsidRPr="00F471FB" w:rsidRDefault="00F471FB" w:rsidP="00665AA4">
      <w:pPr>
        <w:spacing w:after="0"/>
        <w:rPr>
          <w:rStyle w:val="BookTitle"/>
          <w:rFonts w:ascii="Times New Roman" w:hAnsi="Times New Roman" w:cs="Times New Roman"/>
          <w:i w:val="0"/>
          <w:iCs w:val="0"/>
          <w:smallCaps w:val="0"/>
          <w:spacing w:val="0"/>
        </w:rPr>
      </w:pPr>
      <w:r w:rsidRPr="00410ACC">
        <w:rPr>
          <w:rStyle w:val="BookTitle"/>
          <w:rFonts w:ascii="Times New Roman" w:hAnsi="Times New Roman" w:cs="Times New Roman"/>
          <w:b/>
          <w:i w:val="0"/>
          <w:iCs w:val="0"/>
          <w:smallCaps w:val="0"/>
          <w:spacing w:val="0"/>
        </w:rPr>
        <w:t>Item 1</w:t>
      </w:r>
      <w:r w:rsidRPr="00410ACC">
        <w:rPr>
          <w:rStyle w:val="BookTitle"/>
          <w:rFonts w:ascii="Times New Roman" w:hAnsi="Times New Roman" w:cs="Times New Roman"/>
          <w:i w:val="0"/>
          <w:iCs w:val="0"/>
          <w:smallCaps w:val="0"/>
          <w:spacing w:val="0"/>
        </w:rPr>
        <w:t xml:space="preserve"> amends the table in clause 2 (Commencement) of the </w:t>
      </w:r>
      <w:proofErr w:type="spellStart"/>
      <w:r w:rsidRPr="00410ACC">
        <w:rPr>
          <w:rStyle w:val="BookTitle"/>
          <w:rFonts w:ascii="Times New Roman" w:hAnsi="Times New Roman" w:cs="Times New Roman"/>
          <w:i w:val="0"/>
          <w:iCs w:val="0"/>
          <w:smallCaps w:val="0"/>
          <w:spacing w:val="0"/>
        </w:rPr>
        <w:t>GEI</w:t>
      </w:r>
      <w:proofErr w:type="spellEnd"/>
      <w:r w:rsidRPr="00410ACC">
        <w:rPr>
          <w:rStyle w:val="BookTitle"/>
          <w:rFonts w:ascii="Times New Roman" w:hAnsi="Times New Roman" w:cs="Times New Roman"/>
          <w:i w:val="0"/>
          <w:iCs w:val="0"/>
          <w:smallCaps w:val="0"/>
          <w:spacing w:val="0"/>
        </w:rPr>
        <w:t xml:space="preserve"> Instrument to reflect the new commencement date of Schedule 2 (from 1 April 2014 to 1 April 2015).</w:t>
      </w:r>
      <w:r>
        <w:rPr>
          <w:rStyle w:val="BookTitle"/>
          <w:rFonts w:ascii="Times New Roman" w:hAnsi="Times New Roman" w:cs="Times New Roman"/>
          <w:i w:val="0"/>
          <w:iCs w:val="0"/>
          <w:smallCaps w:val="0"/>
          <w:spacing w:val="0"/>
        </w:rPr>
        <w:t xml:space="preserve"> </w:t>
      </w:r>
    </w:p>
    <w:p w:rsidR="00F471FB" w:rsidRDefault="00F471FB" w:rsidP="00665AA4">
      <w:pPr>
        <w:spacing w:after="0"/>
        <w:rPr>
          <w:rStyle w:val="BookTitle"/>
          <w:rFonts w:ascii="Times New Roman" w:hAnsi="Times New Roman" w:cs="Times New Roman"/>
          <w:b/>
          <w:i w:val="0"/>
          <w:iCs w:val="0"/>
          <w:smallCaps w:val="0"/>
          <w:spacing w:val="0"/>
        </w:rPr>
      </w:pPr>
    </w:p>
    <w:p w:rsidR="00B936C9" w:rsidRDefault="00F471FB" w:rsidP="00665AA4">
      <w:pPr>
        <w:spacing w:after="0"/>
        <w:rPr>
          <w:rStyle w:val="BookTitle"/>
          <w:rFonts w:ascii="Times New Roman" w:hAnsi="Times New Roman" w:cs="Times New Roman"/>
          <w:i w:val="0"/>
          <w:iCs w:val="0"/>
          <w:smallCaps w:val="0"/>
          <w:spacing w:val="0"/>
        </w:rPr>
      </w:pPr>
      <w:r>
        <w:rPr>
          <w:rStyle w:val="BookTitle"/>
          <w:rFonts w:ascii="Times New Roman" w:hAnsi="Times New Roman" w:cs="Times New Roman"/>
          <w:b/>
          <w:i w:val="0"/>
          <w:iCs w:val="0"/>
          <w:smallCaps w:val="0"/>
          <w:spacing w:val="0"/>
        </w:rPr>
        <w:t>Item 2</w:t>
      </w:r>
      <w:r w:rsidR="00FB7B49" w:rsidRPr="004A2736">
        <w:rPr>
          <w:rStyle w:val="BookTitle"/>
          <w:rFonts w:ascii="Times New Roman" w:hAnsi="Times New Roman" w:cs="Times New Roman"/>
          <w:i w:val="0"/>
          <w:iCs w:val="0"/>
          <w:smallCaps w:val="0"/>
          <w:spacing w:val="0"/>
        </w:rPr>
        <w:t xml:space="preserve"> amends clause 4 </w:t>
      </w:r>
      <w:r w:rsidR="00F9624D" w:rsidRPr="004A2736">
        <w:rPr>
          <w:rStyle w:val="BookTitle"/>
          <w:rFonts w:ascii="Times New Roman" w:hAnsi="Times New Roman" w:cs="Times New Roman"/>
          <w:i w:val="0"/>
          <w:iCs w:val="0"/>
          <w:smallCaps w:val="0"/>
          <w:spacing w:val="0"/>
        </w:rPr>
        <w:t xml:space="preserve">(Schedules) </w:t>
      </w:r>
      <w:r w:rsidR="00FB7B49" w:rsidRPr="004A2736">
        <w:rPr>
          <w:rStyle w:val="BookTitle"/>
          <w:rFonts w:ascii="Times New Roman" w:hAnsi="Times New Roman" w:cs="Times New Roman"/>
          <w:i w:val="0"/>
          <w:iCs w:val="0"/>
          <w:smallCaps w:val="0"/>
          <w:spacing w:val="0"/>
        </w:rPr>
        <w:t xml:space="preserve">of the GEI Instrument to </w:t>
      </w:r>
      <w:r w:rsidR="00BD6AF0">
        <w:rPr>
          <w:rStyle w:val="BookTitle"/>
          <w:rFonts w:ascii="Times New Roman" w:hAnsi="Times New Roman" w:cs="Times New Roman"/>
          <w:i w:val="0"/>
          <w:iCs w:val="0"/>
          <w:smallCaps w:val="0"/>
          <w:spacing w:val="0"/>
        </w:rPr>
        <w:t xml:space="preserve">delay the commencement date of Schedule 2 by one year (from 1 April 2014 to 1 April 2015). </w:t>
      </w:r>
    </w:p>
    <w:p w:rsidR="00BD6AF0" w:rsidRPr="004A2736" w:rsidRDefault="00BD6AF0" w:rsidP="00665AA4">
      <w:pPr>
        <w:spacing w:after="0"/>
        <w:rPr>
          <w:rStyle w:val="BookTitle"/>
          <w:rFonts w:ascii="Times New Roman" w:hAnsi="Times New Roman" w:cs="Times New Roman"/>
          <w:i w:val="0"/>
          <w:iCs w:val="0"/>
          <w:smallCaps w:val="0"/>
          <w:spacing w:val="0"/>
        </w:rPr>
      </w:pPr>
    </w:p>
    <w:p w:rsidR="00E86A6E" w:rsidRPr="00DC7D5D" w:rsidRDefault="0007294D" w:rsidP="00BD6AF0">
      <w:pPr>
        <w:spacing w:after="0" w:line="240" w:lineRule="auto"/>
        <w:rPr>
          <w:rFonts w:ascii="Times New Roman" w:hAnsi="Times New Roman" w:cs="Times New Roman"/>
        </w:rPr>
      </w:pPr>
      <w:r w:rsidRPr="004A2736">
        <w:rPr>
          <w:rStyle w:val="BookTitle"/>
          <w:rFonts w:ascii="Times New Roman" w:hAnsi="Times New Roman" w:cs="Times New Roman"/>
          <w:b/>
          <w:i w:val="0"/>
          <w:iCs w:val="0"/>
          <w:smallCaps w:val="0"/>
          <w:spacing w:val="0"/>
        </w:rPr>
        <w:t xml:space="preserve">Item </w:t>
      </w:r>
      <w:r w:rsidR="00BD6AF0">
        <w:rPr>
          <w:rStyle w:val="BookTitle"/>
          <w:rFonts w:ascii="Times New Roman" w:hAnsi="Times New Roman" w:cs="Times New Roman"/>
          <w:b/>
          <w:i w:val="0"/>
          <w:iCs w:val="0"/>
          <w:smallCaps w:val="0"/>
          <w:spacing w:val="0"/>
        </w:rPr>
        <w:t>3</w:t>
      </w:r>
      <w:r w:rsidR="00DC7D5D">
        <w:rPr>
          <w:rStyle w:val="BookTitle"/>
          <w:rFonts w:ascii="Times New Roman" w:hAnsi="Times New Roman" w:cs="Times New Roman"/>
          <w:b/>
          <w:i w:val="0"/>
          <w:iCs w:val="0"/>
          <w:smallCaps w:val="0"/>
          <w:spacing w:val="0"/>
        </w:rPr>
        <w:t xml:space="preserve"> </w:t>
      </w:r>
      <w:r w:rsidR="00DC7D5D">
        <w:rPr>
          <w:rStyle w:val="BookTitle"/>
          <w:rFonts w:ascii="Times New Roman" w:hAnsi="Times New Roman" w:cs="Times New Roman"/>
          <w:i w:val="0"/>
          <w:iCs w:val="0"/>
          <w:smallCaps w:val="0"/>
          <w:spacing w:val="0"/>
        </w:rPr>
        <w:t xml:space="preserve">amends the heading </w:t>
      </w:r>
      <w:r w:rsidR="002D7222">
        <w:rPr>
          <w:rStyle w:val="BookTitle"/>
          <w:rFonts w:ascii="Times New Roman" w:hAnsi="Times New Roman" w:cs="Times New Roman"/>
          <w:i w:val="0"/>
          <w:iCs w:val="0"/>
          <w:smallCaps w:val="0"/>
          <w:spacing w:val="0"/>
        </w:rPr>
        <w:t>of</w:t>
      </w:r>
      <w:r w:rsidR="00DC7D5D">
        <w:rPr>
          <w:rStyle w:val="BookTitle"/>
          <w:rFonts w:ascii="Times New Roman" w:hAnsi="Times New Roman" w:cs="Times New Roman"/>
          <w:i w:val="0"/>
          <w:iCs w:val="0"/>
          <w:smallCaps w:val="0"/>
          <w:spacing w:val="0"/>
        </w:rPr>
        <w:t xml:space="preserve"> Schedule 2 to reflect the new commencement date of 1 April 2015 that is given effect by Item 2.</w:t>
      </w:r>
    </w:p>
    <w:p w:rsidR="00C56D2C" w:rsidRPr="004A2736" w:rsidRDefault="00C56D2C" w:rsidP="00665AA4">
      <w:pPr>
        <w:spacing w:after="0"/>
        <w:rPr>
          <w:rStyle w:val="BookTitle"/>
          <w:rFonts w:ascii="Times New Roman" w:hAnsi="Times New Roman" w:cs="Times New Roman"/>
          <w:i w:val="0"/>
          <w:iCs w:val="0"/>
          <w:smallCaps w:val="0"/>
          <w:spacing w:val="0"/>
        </w:rPr>
      </w:pPr>
    </w:p>
    <w:p w:rsidR="004E3081" w:rsidRPr="004A2736" w:rsidRDefault="004E3081" w:rsidP="00A75442">
      <w:pPr>
        <w:rPr>
          <w:rStyle w:val="BookTitle"/>
          <w:rFonts w:ascii="Times New Roman" w:hAnsi="Times New Roman" w:cs="Times New Roman"/>
          <w:b/>
          <w:i w:val="0"/>
          <w:iCs w:val="0"/>
          <w:smallCaps w:val="0"/>
          <w:spacing w:val="0"/>
        </w:rPr>
      </w:pPr>
      <w:r w:rsidRPr="004A2736">
        <w:rPr>
          <w:rStyle w:val="BookTitle"/>
          <w:rFonts w:ascii="Times New Roman" w:hAnsi="Times New Roman" w:cs="Times New Roman"/>
          <w:b/>
          <w:i w:val="0"/>
          <w:iCs w:val="0"/>
          <w:smallCaps w:val="0"/>
          <w:spacing w:val="0"/>
        </w:rPr>
        <w:t>Consultation</w:t>
      </w:r>
    </w:p>
    <w:p w:rsidR="009F3F84" w:rsidRPr="004A2736" w:rsidRDefault="009F3F84" w:rsidP="009F3F84">
      <w:pPr>
        <w:rPr>
          <w:rStyle w:val="BookTitle"/>
          <w:rFonts w:ascii="Times New Roman" w:hAnsi="Times New Roman" w:cs="Times New Roman"/>
          <w:i w:val="0"/>
          <w:iCs w:val="0"/>
          <w:smallCaps w:val="0"/>
          <w:spacing w:val="0"/>
        </w:rPr>
      </w:pPr>
      <w:r w:rsidRPr="004A2736">
        <w:rPr>
          <w:rStyle w:val="BookTitle"/>
          <w:rFonts w:ascii="Times New Roman" w:hAnsi="Times New Roman" w:cs="Times New Roman"/>
          <w:i w:val="0"/>
          <w:iCs w:val="0"/>
          <w:smallCaps w:val="0"/>
          <w:spacing w:val="0"/>
        </w:rPr>
        <w:t xml:space="preserve">The Act sets out under Section 33A that the Minister </w:t>
      </w:r>
      <w:r w:rsidR="00496A68" w:rsidRPr="004A2736">
        <w:rPr>
          <w:rStyle w:val="BookTitle"/>
          <w:rFonts w:ascii="Times New Roman" w:hAnsi="Times New Roman" w:cs="Times New Roman"/>
          <w:i w:val="0"/>
          <w:iCs w:val="0"/>
          <w:smallCaps w:val="0"/>
          <w:spacing w:val="0"/>
        </w:rPr>
        <w:t xml:space="preserve">must </w:t>
      </w:r>
      <w:r w:rsidRPr="004A2736">
        <w:rPr>
          <w:rStyle w:val="BookTitle"/>
          <w:rFonts w:ascii="Times New Roman" w:hAnsi="Times New Roman" w:cs="Times New Roman"/>
          <w:i w:val="0"/>
          <w:iCs w:val="0"/>
          <w:smallCaps w:val="0"/>
          <w:spacing w:val="0"/>
        </w:rPr>
        <w:t xml:space="preserve">consult with the Agency before making any legislative instruments </w:t>
      </w:r>
      <w:r w:rsidR="00496A68" w:rsidRPr="004A2736">
        <w:rPr>
          <w:rStyle w:val="BookTitle"/>
          <w:rFonts w:ascii="Times New Roman" w:hAnsi="Times New Roman" w:cs="Times New Roman"/>
          <w:i w:val="0"/>
          <w:iCs w:val="0"/>
          <w:smallCaps w:val="0"/>
          <w:spacing w:val="0"/>
        </w:rPr>
        <w:t xml:space="preserve">under the Act </w:t>
      </w:r>
      <w:r w:rsidRPr="004A2736">
        <w:rPr>
          <w:rStyle w:val="BookTitle"/>
          <w:rFonts w:ascii="Times New Roman" w:hAnsi="Times New Roman" w:cs="Times New Roman"/>
          <w:i w:val="0"/>
          <w:iCs w:val="0"/>
          <w:smallCaps w:val="0"/>
          <w:spacing w:val="0"/>
        </w:rPr>
        <w:t xml:space="preserve">and have regard to any recommendations of the </w:t>
      </w:r>
      <w:r w:rsidR="00106F31" w:rsidRPr="004A2736">
        <w:rPr>
          <w:rStyle w:val="BookTitle"/>
          <w:rFonts w:ascii="Times New Roman" w:hAnsi="Times New Roman" w:cs="Times New Roman"/>
          <w:i w:val="0"/>
          <w:iCs w:val="0"/>
          <w:smallCaps w:val="0"/>
          <w:spacing w:val="0"/>
        </w:rPr>
        <w:t>A</w:t>
      </w:r>
      <w:r w:rsidRPr="004A2736">
        <w:rPr>
          <w:rStyle w:val="BookTitle"/>
          <w:rFonts w:ascii="Times New Roman" w:hAnsi="Times New Roman" w:cs="Times New Roman"/>
          <w:i w:val="0"/>
          <w:iCs w:val="0"/>
          <w:smallCaps w:val="0"/>
          <w:spacing w:val="0"/>
        </w:rPr>
        <w:t xml:space="preserve">gency. The Minister must also consult such persons mentioned in subsection 31(3) of the Act as the Minister considers appropriate. This includes persons representing industry or business, employee organisations or higher education providers and persons having special knowledge or interest in relation to gender equality in the workplace, the functions of the Agency or the operation of the Act. This also reflects consultation requirements in Part 3 of the </w:t>
      </w:r>
      <w:r w:rsidRPr="004A2736">
        <w:rPr>
          <w:rStyle w:val="BookTitle"/>
          <w:rFonts w:ascii="Times New Roman" w:hAnsi="Times New Roman" w:cs="Times New Roman"/>
          <w:iCs w:val="0"/>
          <w:smallCaps w:val="0"/>
          <w:spacing w:val="0"/>
        </w:rPr>
        <w:t>Legislative Instruments Act 2003</w:t>
      </w:r>
      <w:r w:rsidRPr="004A2736">
        <w:rPr>
          <w:rStyle w:val="BookTitle"/>
          <w:rFonts w:ascii="Times New Roman" w:hAnsi="Times New Roman" w:cs="Times New Roman"/>
          <w:i w:val="0"/>
          <w:iCs w:val="0"/>
          <w:smallCaps w:val="0"/>
          <w:spacing w:val="0"/>
        </w:rPr>
        <w:t>.</w:t>
      </w:r>
    </w:p>
    <w:p w:rsidR="009F3F84" w:rsidRDefault="009F3F84" w:rsidP="009F3F84">
      <w:pPr>
        <w:rPr>
          <w:rStyle w:val="BookTitle"/>
          <w:rFonts w:ascii="Times New Roman" w:hAnsi="Times New Roman" w:cs="Times New Roman"/>
          <w:i w:val="0"/>
          <w:iCs w:val="0"/>
          <w:smallCaps w:val="0"/>
          <w:spacing w:val="0"/>
        </w:rPr>
      </w:pPr>
      <w:r w:rsidRPr="004A2736">
        <w:rPr>
          <w:rStyle w:val="BookTitle"/>
          <w:rFonts w:ascii="Times New Roman" w:hAnsi="Times New Roman" w:cs="Times New Roman"/>
          <w:i w:val="0"/>
          <w:iCs w:val="0"/>
          <w:smallCaps w:val="0"/>
          <w:spacing w:val="0"/>
        </w:rPr>
        <w:t>Consultations were held with a number of stakeholders, including the Agency</w:t>
      </w:r>
      <w:r w:rsidR="00106F31" w:rsidRPr="004A2736">
        <w:rPr>
          <w:rStyle w:val="BookTitle"/>
          <w:rFonts w:ascii="Times New Roman" w:hAnsi="Times New Roman" w:cs="Times New Roman"/>
          <w:i w:val="0"/>
          <w:iCs w:val="0"/>
          <w:smallCaps w:val="0"/>
          <w:spacing w:val="0"/>
        </w:rPr>
        <w:t xml:space="preserve"> </w:t>
      </w:r>
      <w:r w:rsidRPr="004A2736">
        <w:rPr>
          <w:rStyle w:val="BookTitle"/>
          <w:rFonts w:ascii="Times New Roman" w:hAnsi="Times New Roman" w:cs="Times New Roman"/>
          <w:i w:val="0"/>
          <w:iCs w:val="0"/>
          <w:smallCaps w:val="0"/>
          <w:spacing w:val="0"/>
        </w:rPr>
        <w:t xml:space="preserve">and industry groups, in the initial stages of consideration of the reporting requirements. In February 2014, </w:t>
      </w:r>
      <w:r w:rsidR="0043376D">
        <w:rPr>
          <w:rStyle w:val="BookTitle"/>
          <w:rFonts w:ascii="Times New Roman" w:hAnsi="Times New Roman" w:cs="Times New Roman"/>
          <w:i w:val="0"/>
          <w:iCs w:val="0"/>
          <w:smallCaps w:val="0"/>
          <w:spacing w:val="0"/>
        </w:rPr>
        <w:t xml:space="preserve">consultation was undertaken </w:t>
      </w:r>
      <w:r w:rsidRPr="004A2736">
        <w:rPr>
          <w:rStyle w:val="BookTitle"/>
          <w:rFonts w:ascii="Times New Roman" w:hAnsi="Times New Roman" w:cs="Times New Roman"/>
          <w:i w:val="0"/>
          <w:iCs w:val="0"/>
          <w:smallCaps w:val="0"/>
          <w:spacing w:val="0"/>
        </w:rPr>
        <w:t xml:space="preserve">in writing with a broad range of stakeholders on proposed changes to reporting requirements as part of an Exposure Draft process. Key stakeholders representing industry, employee organisations, higher education providers as well as other experts were provided with drafts of </w:t>
      </w:r>
      <w:r w:rsidR="0043376D">
        <w:rPr>
          <w:rStyle w:val="BookTitle"/>
          <w:rFonts w:ascii="Times New Roman" w:hAnsi="Times New Roman" w:cs="Times New Roman"/>
          <w:i w:val="0"/>
          <w:iCs w:val="0"/>
          <w:smallCaps w:val="0"/>
          <w:spacing w:val="0"/>
        </w:rPr>
        <w:t>an instrument that proposed to amend both Schedule 1 and Schedule 2 of the GEI Instrument</w:t>
      </w:r>
      <w:r w:rsidRPr="004A2736">
        <w:rPr>
          <w:rStyle w:val="BookTitle"/>
          <w:rFonts w:ascii="Times New Roman" w:hAnsi="Times New Roman" w:cs="Times New Roman"/>
          <w:i w:val="0"/>
          <w:iCs w:val="0"/>
          <w:smallCaps w:val="0"/>
          <w:spacing w:val="0"/>
        </w:rPr>
        <w:t xml:space="preserve">. </w:t>
      </w:r>
    </w:p>
    <w:p w:rsidR="00BD6AF0" w:rsidRPr="004A2736" w:rsidRDefault="00BD6AF0" w:rsidP="00BD6AF0">
      <w:pPr>
        <w:spacing w:before="120" w:after="120"/>
        <w:rPr>
          <w:rFonts w:ascii="Times New Roman" w:hAnsi="Times New Roman" w:cs="Times New Roman"/>
          <w:lang w:eastAsia="en-AU"/>
        </w:rPr>
      </w:pPr>
      <w:r w:rsidRPr="004A2736">
        <w:rPr>
          <w:rFonts w:ascii="Times New Roman" w:hAnsi="Times New Roman" w:cs="Times New Roman"/>
          <w:lang w:eastAsia="en-AU"/>
        </w:rPr>
        <w:t>The feedback received through the consultation process presented a disparity of views regarding whether the amendments that were proposed would sufficiently reduce the regulatory impact of the reporting regime while continuing to ensure that reporting provide a useful dataset that achieves the gender equality objectives of the Act.  It was determi</w:t>
      </w:r>
      <w:r>
        <w:rPr>
          <w:rFonts w:ascii="Times New Roman" w:hAnsi="Times New Roman" w:cs="Times New Roman"/>
          <w:lang w:eastAsia="en-AU"/>
        </w:rPr>
        <w:t>ned that further consultation was</w:t>
      </w:r>
      <w:r w:rsidRPr="004A2736">
        <w:rPr>
          <w:rFonts w:ascii="Times New Roman" w:hAnsi="Times New Roman" w:cs="Times New Roman"/>
          <w:lang w:eastAsia="en-AU"/>
        </w:rPr>
        <w:t xml:space="preserve"> required.</w:t>
      </w:r>
    </w:p>
    <w:p w:rsidR="002472F9" w:rsidRPr="004A2736" w:rsidRDefault="008C4603" w:rsidP="002472F9">
      <w:pPr>
        <w:spacing w:before="200" w:line="300" w:lineRule="atLeast"/>
        <w:rPr>
          <w:rFonts w:ascii="Times New Roman" w:hAnsi="Times New Roman" w:cs="Times New Roman"/>
          <w:b/>
        </w:rPr>
      </w:pPr>
      <w:r w:rsidRPr="004A2736">
        <w:rPr>
          <w:rFonts w:ascii="Times New Roman" w:hAnsi="Times New Roman" w:cs="Times New Roman"/>
          <w:b/>
        </w:rPr>
        <w:t xml:space="preserve">Regulatory Impact Analysis </w:t>
      </w:r>
    </w:p>
    <w:p w:rsidR="00BF6FF4" w:rsidRDefault="00871CEA" w:rsidP="00871CEA">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 xml:space="preserve">The Office of Best Practice Regulation determined that the Instrument will have a minor regulatory impact on business, community organisations or individuals and therefore a Regulation Impact Statement is not required (Office of Best Practice </w:t>
      </w:r>
      <w:r w:rsidRPr="00410ACC">
        <w:rPr>
          <w:rStyle w:val="BookTitle"/>
          <w:rFonts w:ascii="Times New Roman" w:hAnsi="Times New Roman" w:cs="Times New Roman"/>
          <w:i w:val="0"/>
          <w:iCs w:val="0"/>
          <w:smallCaps w:val="0"/>
          <w:spacing w:val="0"/>
        </w:rPr>
        <w:t xml:space="preserve">Regulation reference ID </w:t>
      </w:r>
      <w:r w:rsidR="00F471FB" w:rsidRPr="00410ACC">
        <w:rPr>
          <w:rStyle w:val="BookTitle"/>
          <w:rFonts w:ascii="Times New Roman" w:hAnsi="Times New Roman" w:cs="Times New Roman"/>
          <w:i w:val="0"/>
          <w:iCs w:val="0"/>
          <w:smallCaps w:val="0"/>
          <w:spacing w:val="0"/>
        </w:rPr>
        <w:t>16810</w:t>
      </w:r>
      <w:r w:rsidRPr="00410ACC">
        <w:rPr>
          <w:rStyle w:val="BookTitle"/>
          <w:rFonts w:ascii="Times New Roman" w:hAnsi="Times New Roman" w:cs="Times New Roman"/>
          <w:i w:val="0"/>
          <w:iCs w:val="0"/>
          <w:smallCaps w:val="0"/>
          <w:spacing w:val="0"/>
        </w:rPr>
        <w:t xml:space="preserve">). </w:t>
      </w:r>
    </w:p>
    <w:p w:rsidR="00BF6FF4" w:rsidRPr="00BF6FF4" w:rsidRDefault="00BF6FF4" w:rsidP="00BF6FF4">
      <w:pPr>
        <w:rPr>
          <w:rStyle w:val="BookTitle"/>
          <w:rFonts w:ascii="Times New Roman" w:hAnsi="Times New Roman" w:cs="Times New Roman"/>
          <w:i w:val="0"/>
          <w:iCs w:val="0"/>
          <w:smallCaps w:val="0"/>
          <w:spacing w:val="0"/>
        </w:rPr>
      </w:pPr>
      <w:r>
        <w:rPr>
          <w:rStyle w:val="BookTitle"/>
          <w:rFonts w:ascii="Times New Roman" w:hAnsi="Times New Roman" w:cs="Times New Roman"/>
          <w:i w:val="0"/>
          <w:iCs w:val="0"/>
          <w:smallCaps w:val="0"/>
          <w:spacing w:val="0"/>
        </w:rPr>
        <w:t>Further, t</w:t>
      </w:r>
      <w:r w:rsidR="00871CEA">
        <w:rPr>
          <w:rStyle w:val="BookTitle"/>
          <w:rFonts w:ascii="Times New Roman" w:hAnsi="Times New Roman" w:cs="Times New Roman"/>
          <w:i w:val="0"/>
          <w:iCs w:val="0"/>
          <w:smallCaps w:val="0"/>
          <w:spacing w:val="0"/>
        </w:rPr>
        <w:t xml:space="preserve">he Office of Best Practice Regulation </w:t>
      </w:r>
      <w:r>
        <w:rPr>
          <w:rStyle w:val="BookTitle"/>
          <w:rFonts w:ascii="Times New Roman" w:hAnsi="Times New Roman" w:cs="Times New Roman"/>
          <w:i w:val="0"/>
          <w:iCs w:val="0"/>
          <w:smallCaps w:val="0"/>
          <w:spacing w:val="0"/>
        </w:rPr>
        <w:t xml:space="preserve">determined that a Regulation Impact Statement for the </w:t>
      </w:r>
      <w:r w:rsidR="00871CEA" w:rsidRPr="00BF6FF4">
        <w:rPr>
          <w:rStyle w:val="BookTitle"/>
          <w:rFonts w:ascii="Times New Roman" w:hAnsi="Times New Roman" w:cs="Times New Roman"/>
          <w:iCs w:val="0"/>
          <w:smallCaps w:val="0"/>
          <w:spacing w:val="0"/>
        </w:rPr>
        <w:t>Workplace Gender Equality (Matters in relation to Gender Equality Indicators) Instrument 2013 (No. 1)</w:t>
      </w:r>
      <w:r>
        <w:rPr>
          <w:rStyle w:val="BookTitle"/>
          <w:rFonts w:ascii="Times New Roman" w:hAnsi="Times New Roman" w:cs="Times New Roman"/>
          <w:i w:val="0"/>
          <w:iCs w:val="0"/>
          <w:smallCaps w:val="0"/>
          <w:spacing w:val="0"/>
        </w:rPr>
        <w:t xml:space="preserve"> was not required when introduced in 2013</w:t>
      </w:r>
      <w:r w:rsidRPr="00BF6FF4">
        <w:rPr>
          <w:rStyle w:val="Heading1Char"/>
          <w:rFonts w:ascii="Times New Roman" w:hAnsi="Times New Roman" w:cs="Times New Roman"/>
        </w:rPr>
        <w:t xml:space="preserve"> </w:t>
      </w:r>
      <w:r w:rsidRPr="00BF6FF4">
        <w:rPr>
          <w:rStyle w:val="BookTitle"/>
          <w:rFonts w:ascii="Times New Roman" w:hAnsi="Times New Roman" w:cs="Times New Roman"/>
          <w:i w:val="0"/>
          <w:iCs w:val="0"/>
          <w:smallCaps w:val="0"/>
          <w:spacing w:val="0"/>
        </w:rPr>
        <w:t>(Office of Best Practice Regulation reference ID 14750).</w:t>
      </w:r>
    </w:p>
    <w:p w:rsidR="00871CEA" w:rsidRPr="00BF6FF4" w:rsidRDefault="00871CEA" w:rsidP="00871CEA">
      <w:pPr>
        <w:rPr>
          <w:rStyle w:val="BookTitle"/>
          <w:rFonts w:ascii="Times New Roman" w:hAnsi="Times New Roman" w:cs="Times New Roman"/>
          <w:i w:val="0"/>
          <w:iCs w:val="0"/>
          <w:smallCaps w:val="0"/>
          <w:spacing w:val="0"/>
        </w:rPr>
      </w:pPr>
    </w:p>
    <w:p w:rsidR="00871CEA" w:rsidRPr="00DB6E27" w:rsidRDefault="00871CEA" w:rsidP="00871CEA">
      <w:pPr>
        <w:spacing w:after="0"/>
        <w:rPr>
          <w:rFonts w:ascii="Times New Roman" w:eastAsia="Times New Roman" w:hAnsi="Times New Roman" w:cs="Times New Roman"/>
          <w:lang w:eastAsia="en-AU"/>
        </w:rPr>
      </w:pPr>
    </w:p>
    <w:p w:rsidR="008C4603" w:rsidRPr="004A2736" w:rsidRDefault="008C4603">
      <w:pPr>
        <w:rPr>
          <w:rStyle w:val="BookTitle"/>
          <w:rFonts w:ascii="Times New Roman" w:hAnsi="Times New Roman" w:cs="Times New Roman"/>
          <w:b/>
          <w:i w:val="0"/>
          <w:iCs w:val="0"/>
          <w:smallCaps w:val="0"/>
          <w:spacing w:val="0"/>
        </w:rPr>
      </w:pPr>
    </w:p>
    <w:p w:rsidR="008C4603" w:rsidRPr="004A2736" w:rsidRDefault="008C4603" w:rsidP="008C4603">
      <w:pPr>
        <w:jc w:val="center"/>
        <w:rPr>
          <w:rFonts w:ascii="Times New Roman" w:hAnsi="Times New Roman" w:cs="Times New Roman"/>
        </w:rPr>
      </w:pPr>
      <w:r w:rsidRPr="004A2736">
        <w:rPr>
          <w:rFonts w:ascii="Times New Roman" w:hAnsi="Times New Roman" w:cs="Times New Roman"/>
        </w:rPr>
        <w:t>STATEMENT OF COMPATIBILITY FOR A LEGISLATIVE INSTRUMENT</w:t>
      </w:r>
    </w:p>
    <w:p w:rsidR="008C4603" w:rsidRPr="004A2736" w:rsidRDefault="008C4603" w:rsidP="008C4603">
      <w:pPr>
        <w:jc w:val="center"/>
        <w:rPr>
          <w:rFonts w:ascii="Times New Roman" w:hAnsi="Times New Roman" w:cs="Times New Roman"/>
        </w:rPr>
      </w:pPr>
      <w:r w:rsidRPr="004A2736">
        <w:rPr>
          <w:rFonts w:ascii="Times New Roman" w:hAnsi="Times New Roman" w:cs="Times New Roman"/>
        </w:rPr>
        <w:t>THAT RAISES HUMAN RIGHTS ISSUES</w:t>
      </w:r>
    </w:p>
    <w:p w:rsidR="008C4603" w:rsidRPr="004A2736" w:rsidRDefault="008C4603" w:rsidP="008C4603">
      <w:pPr>
        <w:jc w:val="center"/>
        <w:rPr>
          <w:rFonts w:ascii="Times New Roman" w:hAnsi="Times New Roman" w:cs="Times New Roman"/>
          <w:b/>
        </w:rPr>
      </w:pPr>
      <w:r w:rsidRPr="004A2736">
        <w:rPr>
          <w:rFonts w:ascii="Times New Roman" w:hAnsi="Times New Roman" w:cs="Times New Roman"/>
          <w:b/>
        </w:rPr>
        <w:t>Statement of Compatibility with Human Rights</w:t>
      </w:r>
    </w:p>
    <w:p w:rsidR="008C4603" w:rsidRPr="004A2736" w:rsidRDefault="008C4603" w:rsidP="008C4603">
      <w:pPr>
        <w:jc w:val="center"/>
        <w:rPr>
          <w:rFonts w:ascii="Times New Roman" w:hAnsi="Times New Roman" w:cs="Times New Roman"/>
          <w:i/>
        </w:rPr>
      </w:pPr>
      <w:r w:rsidRPr="004A2736">
        <w:rPr>
          <w:rFonts w:ascii="Times New Roman" w:hAnsi="Times New Roman" w:cs="Times New Roman"/>
          <w:i/>
        </w:rPr>
        <w:t>Prepared in accordance with Part 3 of the Human Rights (Parliamentary Scrutiny) Act 2011</w:t>
      </w:r>
    </w:p>
    <w:p w:rsidR="008C4603" w:rsidRPr="004A2736" w:rsidRDefault="008C4603" w:rsidP="008C4603">
      <w:pPr>
        <w:jc w:val="center"/>
        <w:rPr>
          <w:rFonts w:ascii="Times New Roman" w:hAnsi="Times New Roman" w:cs="Times New Roman"/>
          <w:b/>
          <w:i/>
        </w:rPr>
      </w:pPr>
      <w:r w:rsidRPr="004A2736">
        <w:rPr>
          <w:rFonts w:ascii="Times New Roman" w:hAnsi="Times New Roman" w:cs="Times New Roman"/>
          <w:b/>
          <w:i/>
        </w:rPr>
        <w:t>Workplace Gender Equality (Matters in Relation to Gender Equality Indicators) Amendment Instrument 2014 (No.1)</w:t>
      </w:r>
    </w:p>
    <w:p w:rsidR="008C4603" w:rsidRPr="004A2736" w:rsidRDefault="008C4603" w:rsidP="008C4603">
      <w:pPr>
        <w:rPr>
          <w:rFonts w:ascii="Times New Roman" w:hAnsi="Times New Roman" w:cs="Times New Roman"/>
          <w:i/>
        </w:rPr>
      </w:pPr>
      <w:r w:rsidRPr="004A2736">
        <w:rPr>
          <w:rFonts w:ascii="Times New Roman" w:hAnsi="Times New Roman" w:cs="Times New Roman"/>
        </w:rPr>
        <w:t xml:space="preserve">The </w:t>
      </w:r>
      <w:r w:rsidRPr="004A2736">
        <w:rPr>
          <w:rFonts w:ascii="Times New Roman" w:hAnsi="Times New Roman" w:cs="Times New Roman"/>
          <w:i/>
        </w:rPr>
        <w:t>Workplace Gender Equality (Matters in Relation to Gender Equality Indicators) Amendment Instrument 2014 (No.1)</w:t>
      </w:r>
      <w:r w:rsidRPr="004A2736">
        <w:rPr>
          <w:rFonts w:ascii="Times New Roman" w:hAnsi="Times New Roman" w:cs="Times New Roman"/>
        </w:rPr>
        <w:t xml:space="preserve"> (the Instrument) is compatible with the human rights and freedoms recognised or declared in the international instruments listed in section 3 of the </w:t>
      </w:r>
      <w:r w:rsidRPr="004A2736">
        <w:rPr>
          <w:rFonts w:ascii="Times New Roman" w:hAnsi="Times New Roman" w:cs="Times New Roman"/>
          <w:i/>
        </w:rPr>
        <w:t>Human Rights (Parliamentary Scrutiny) Act 2011.</w:t>
      </w:r>
    </w:p>
    <w:p w:rsidR="008C4603" w:rsidRPr="004A2736" w:rsidRDefault="008C4603" w:rsidP="008C4603">
      <w:pPr>
        <w:rPr>
          <w:rFonts w:ascii="Times New Roman" w:hAnsi="Times New Roman" w:cs="Times New Roman"/>
          <w:b/>
          <w:i/>
        </w:rPr>
      </w:pPr>
      <w:r w:rsidRPr="004A2736">
        <w:rPr>
          <w:rFonts w:ascii="Times New Roman" w:hAnsi="Times New Roman" w:cs="Times New Roman"/>
          <w:b/>
        </w:rPr>
        <w:t xml:space="preserve">Overview of the Instrument under the </w:t>
      </w:r>
      <w:r w:rsidRPr="004A2736">
        <w:rPr>
          <w:rFonts w:ascii="Times New Roman" w:hAnsi="Times New Roman" w:cs="Times New Roman"/>
          <w:b/>
          <w:i/>
        </w:rPr>
        <w:t>Workplace Gender Equality Act 2012</w:t>
      </w:r>
    </w:p>
    <w:p w:rsidR="008C4603" w:rsidRPr="004A2736" w:rsidRDefault="008C4603" w:rsidP="008C4603">
      <w:pPr>
        <w:spacing w:before="120" w:after="120"/>
        <w:rPr>
          <w:rFonts w:ascii="Times New Roman" w:hAnsi="Times New Roman" w:cs="Times New Roman"/>
        </w:rPr>
      </w:pPr>
      <w:r w:rsidRPr="004A2736">
        <w:rPr>
          <w:rFonts w:ascii="Times New Roman" w:hAnsi="Times New Roman" w:cs="Times New Roman"/>
          <w:lang w:eastAsia="en-AU"/>
        </w:rPr>
        <w:t xml:space="preserve">The purpose of the </w:t>
      </w:r>
      <w:r w:rsidRPr="004A2736">
        <w:rPr>
          <w:rFonts w:ascii="Times New Roman" w:hAnsi="Times New Roman" w:cs="Times New Roman"/>
          <w:i/>
          <w:iCs/>
          <w:lang w:eastAsia="en-AU"/>
        </w:rPr>
        <w:t>Workplace Gender Equality Act 2012</w:t>
      </w:r>
      <w:r w:rsidRPr="004A2736">
        <w:rPr>
          <w:rFonts w:ascii="Times New Roman" w:hAnsi="Times New Roman" w:cs="Times New Roman"/>
          <w:lang w:eastAsia="en-AU"/>
        </w:rPr>
        <w:t xml:space="preserve"> (the Act) is to promote and improve productivity and workforce participation through the promotion of gender equality in the workplace.  To this end, the Act requires relevant employers (employers with 100 or more employees) to report annually on gender equality indicators.  Data obtained through reporting is used by the Workplace Gender Equality Agency (the Agency) to promote and improve gender equality outcomes and develop industry specific benchmarks. Reporting also provides relevant employers with information to better understand the gender equality characteristics of their workplaces and promotes cultural change to improve equality.</w:t>
      </w:r>
    </w:p>
    <w:p w:rsidR="008C4603" w:rsidRPr="004A2736" w:rsidRDefault="008C4603" w:rsidP="008C4603">
      <w:pPr>
        <w:spacing w:before="120" w:after="120"/>
        <w:rPr>
          <w:rFonts w:ascii="Times New Roman" w:hAnsi="Times New Roman" w:cs="Times New Roman"/>
          <w:lang w:eastAsia="en-AU"/>
        </w:rPr>
      </w:pPr>
      <w:r w:rsidRPr="004A2736">
        <w:rPr>
          <w:rFonts w:ascii="Times New Roman" w:hAnsi="Times New Roman" w:cs="Times New Roman"/>
          <w:lang w:eastAsia="en-AU"/>
        </w:rPr>
        <w:t xml:space="preserve">The matters that relevant employers must include in their annual reports are specified by Schedule 1 of the </w:t>
      </w:r>
      <w:r w:rsidRPr="004A2736">
        <w:rPr>
          <w:rFonts w:ascii="Times New Roman" w:hAnsi="Times New Roman" w:cs="Times New Roman"/>
          <w:i/>
          <w:lang w:eastAsia="en-AU"/>
        </w:rPr>
        <w:t xml:space="preserve">Workplace Gender Equality (Matters in relation to Gender Equality Indicators) Instrument 2013 (No. 1) </w:t>
      </w:r>
      <w:r w:rsidRPr="004A2736">
        <w:rPr>
          <w:rFonts w:ascii="Times New Roman" w:hAnsi="Times New Roman" w:cs="Times New Roman"/>
          <w:lang w:eastAsia="en-AU"/>
        </w:rPr>
        <w:t>(the Gender Equality Indicators Instrument).  In its current form, Schedule 2 (together with section 4) of the Gender Equality Indicators Instrument</w:t>
      </w:r>
      <w:r w:rsidRPr="004A2736">
        <w:rPr>
          <w:rFonts w:ascii="Times New Roman" w:hAnsi="Times New Roman" w:cs="Times New Roman"/>
          <w:i/>
          <w:lang w:eastAsia="en-AU"/>
        </w:rPr>
        <w:t xml:space="preserve"> </w:t>
      </w:r>
      <w:r w:rsidRPr="004A2736">
        <w:rPr>
          <w:rFonts w:ascii="Times New Roman" w:hAnsi="Times New Roman" w:cs="Times New Roman"/>
          <w:lang w:eastAsia="en-AU"/>
        </w:rPr>
        <w:t>amends Schedule 1</w:t>
      </w:r>
      <w:r w:rsidR="009264FD">
        <w:rPr>
          <w:rFonts w:ascii="Times New Roman" w:hAnsi="Times New Roman" w:cs="Times New Roman"/>
          <w:lang w:eastAsia="en-AU"/>
        </w:rPr>
        <w:t>,</w:t>
      </w:r>
      <w:r w:rsidRPr="004A2736">
        <w:rPr>
          <w:rFonts w:ascii="Times New Roman" w:hAnsi="Times New Roman" w:cs="Times New Roman"/>
          <w:lang w:eastAsia="en-AU"/>
        </w:rPr>
        <w:t xml:space="preserve"> with effect from 1 April 2014</w:t>
      </w:r>
      <w:r w:rsidR="009264FD">
        <w:rPr>
          <w:rFonts w:ascii="Times New Roman" w:hAnsi="Times New Roman" w:cs="Times New Roman"/>
          <w:lang w:eastAsia="en-AU"/>
        </w:rPr>
        <w:t>,</w:t>
      </w:r>
      <w:r w:rsidRPr="004A2736">
        <w:rPr>
          <w:rFonts w:ascii="Times New Roman" w:hAnsi="Times New Roman" w:cs="Times New Roman"/>
          <w:lang w:eastAsia="en-AU"/>
        </w:rPr>
        <w:t xml:space="preserve"> to increase the number of reporting matters that must be included in</w:t>
      </w:r>
      <w:r w:rsidR="009264FD">
        <w:rPr>
          <w:rFonts w:ascii="Times New Roman" w:hAnsi="Times New Roman" w:cs="Times New Roman"/>
          <w:lang w:eastAsia="en-AU"/>
        </w:rPr>
        <w:t xml:space="preserve"> annual reports under the Act.</w:t>
      </w:r>
    </w:p>
    <w:p w:rsidR="00FC5C3A" w:rsidRPr="004A2736" w:rsidRDefault="00617AF1" w:rsidP="008C4603">
      <w:pPr>
        <w:spacing w:before="120" w:after="120"/>
        <w:rPr>
          <w:rFonts w:ascii="Times New Roman" w:hAnsi="Times New Roman" w:cs="Times New Roman"/>
          <w:lang w:eastAsia="en-AU"/>
        </w:rPr>
      </w:pPr>
      <w:r w:rsidRPr="004A2736">
        <w:rPr>
          <w:rFonts w:ascii="Times New Roman" w:hAnsi="Times New Roman" w:cs="Times New Roman"/>
          <w:lang w:eastAsia="en-AU"/>
        </w:rPr>
        <w:t>C</w:t>
      </w:r>
      <w:r w:rsidR="008C4603" w:rsidRPr="004A2736">
        <w:rPr>
          <w:rFonts w:ascii="Times New Roman" w:hAnsi="Times New Roman" w:cs="Times New Roman"/>
          <w:lang w:eastAsia="en-AU"/>
        </w:rPr>
        <w:t xml:space="preserve">onsultation was undertaken with the Agency, industry groups, women’s alliances, unions, academics and stakeholders with a special interest in gender equality </w:t>
      </w:r>
      <w:r w:rsidRPr="004A2736">
        <w:rPr>
          <w:rFonts w:ascii="Times New Roman" w:hAnsi="Times New Roman" w:cs="Times New Roman"/>
          <w:lang w:eastAsia="en-AU"/>
        </w:rPr>
        <w:t>in response to feedback from industry representatives that engagement by businesses with the reporting process could be improved if reporting requirements that are perceived as being too onerous, invasive or of little relevance were removed</w:t>
      </w:r>
      <w:r w:rsidR="009264FD">
        <w:rPr>
          <w:rFonts w:ascii="Times New Roman" w:hAnsi="Times New Roman" w:cs="Times New Roman"/>
          <w:lang w:eastAsia="en-AU"/>
        </w:rPr>
        <w:t>.  Industry representatives expressed particular concern</w:t>
      </w:r>
      <w:r w:rsidR="00FC5C3A" w:rsidRPr="004A2736">
        <w:rPr>
          <w:rFonts w:ascii="Times New Roman" w:hAnsi="Times New Roman" w:cs="Times New Roman"/>
          <w:lang w:eastAsia="en-AU"/>
        </w:rPr>
        <w:t xml:space="preserve"> regarding the </w:t>
      </w:r>
      <w:r w:rsidR="009264FD">
        <w:rPr>
          <w:rFonts w:ascii="Times New Roman" w:hAnsi="Times New Roman" w:cs="Times New Roman"/>
          <w:lang w:eastAsia="en-AU"/>
        </w:rPr>
        <w:t xml:space="preserve">increased reporting requirements </w:t>
      </w:r>
      <w:r w:rsidR="00FC5C3A" w:rsidRPr="004A2736">
        <w:rPr>
          <w:rFonts w:ascii="Times New Roman" w:hAnsi="Times New Roman" w:cs="Times New Roman"/>
          <w:lang w:eastAsia="en-AU"/>
        </w:rPr>
        <w:t>to be effected by Schedule 2 from 1 April 2014</w:t>
      </w:r>
      <w:r w:rsidRPr="004A2736">
        <w:rPr>
          <w:rFonts w:ascii="Times New Roman" w:hAnsi="Times New Roman" w:cs="Times New Roman"/>
          <w:lang w:eastAsia="en-AU"/>
        </w:rPr>
        <w:t xml:space="preserve">.  </w:t>
      </w:r>
    </w:p>
    <w:p w:rsidR="008C4603" w:rsidRPr="004A2736" w:rsidRDefault="00FC5C3A" w:rsidP="008C4603">
      <w:pPr>
        <w:spacing w:before="120" w:after="120"/>
        <w:rPr>
          <w:rFonts w:ascii="Times New Roman" w:hAnsi="Times New Roman" w:cs="Times New Roman"/>
          <w:lang w:eastAsia="en-AU"/>
        </w:rPr>
      </w:pPr>
      <w:r w:rsidRPr="004A2736">
        <w:rPr>
          <w:rFonts w:ascii="Times New Roman" w:hAnsi="Times New Roman" w:cs="Times New Roman"/>
          <w:lang w:eastAsia="en-AU"/>
        </w:rPr>
        <w:t xml:space="preserve">The feedback received through the consultation process presented a disparity of views regarding whether the </w:t>
      </w:r>
      <w:r w:rsidR="009264FD">
        <w:rPr>
          <w:rFonts w:ascii="Times New Roman" w:hAnsi="Times New Roman" w:cs="Times New Roman"/>
          <w:lang w:eastAsia="en-AU"/>
        </w:rPr>
        <w:t xml:space="preserve">scope of </w:t>
      </w:r>
      <w:r w:rsidRPr="004A2736">
        <w:rPr>
          <w:rFonts w:ascii="Times New Roman" w:hAnsi="Times New Roman" w:cs="Times New Roman"/>
          <w:lang w:eastAsia="en-AU"/>
        </w:rPr>
        <w:t xml:space="preserve">amendments </w:t>
      </w:r>
      <w:r w:rsidR="009264FD">
        <w:rPr>
          <w:rFonts w:ascii="Times New Roman" w:hAnsi="Times New Roman" w:cs="Times New Roman"/>
          <w:lang w:eastAsia="en-AU"/>
        </w:rPr>
        <w:t xml:space="preserve">would </w:t>
      </w:r>
      <w:r w:rsidRPr="004A2736">
        <w:rPr>
          <w:rFonts w:ascii="Times New Roman" w:hAnsi="Times New Roman" w:cs="Times New Roman"/>
          <w:lang w:eastAsia="en-AU"/>
        </w:rPr>
        <w:t xml:space="preserve">sufficiently </w:t>
      </w:r>
      <w:r w:rsidR="008C4603" w:rsidRPr="004A2736">
        <w:rPr>
          <w:rFonts w:ascii="Times New Roman" w:hAnsi="Times New Roman" w:cs="Times New Roman"/>
          <w:lang w:eastAsia="en-AU"/>
        </w:rPr>
        <w:t xml:space="preserve">reduce the regulatory impact of the reporting regime while continuing to ensure that </w:t>
      </w:r>
      <w:r w:rsidR="0082126B" w:rsidRPr="004A2736">
        <w:rPr>
          <w:rFonts w:ascii="Times New Roman" w:hAnsi="Times New Roman" w:cs="Times New Roman"/>
          <w:lang w:eastAsia="en-AU"/>
        </w:rPr>
        <w:t>reporting provides</w:t>
      </w:r>
      <w:r w:rsidR="008C4603" w:rsidRPr="004A2736">
        <w:rPr>
          <w:rFonts w:ascii="Times New Roman" w:hAnsi="Times New Roman" w:cs="Times New Roman"/>
          <w:lang w:eastAsia="en-AU"/>
        </w:rPr>
        <w:t xml:space="preserve"> a useful dataset that achieves the gender equality objectives of the Act. </w:t>
      </w:r>
      <w:r w:rsidRPr="004A2736">
        <w:rPr>
          <w:rFonts w:ascii="Times New Roman" w:hAnsi="Times New Roman" w:cs="Times New Roman"/>
          <w:lang w:eastAsia="en-AU"/>
        </w:rPr>
        <w:t xml:space="preserve"> It was determi</w:t>
      </w:r>
      <w:r w:rsidR="004A2736">
        <w:rPr>
          <w:rFonts w:ascii="Times New Roman" w:hAnsi="Times New Roman" w:cs="Times New Roman"/>
          <w:lang w:eastAsia="en-AU"/>
        </w:rPr>
        <w:t>n</w:t>
      </w:r>
      <w:bookmarkStart w:id="0" w:name="_GoBack"/>
      <w:bookmarkEnd w:id="0"/>
      <w:r w:rsidR="004A2736">
        <w:rPr>
          <w:rFonts w:ascii="Times New Roman" w:hAnsi="Times New Roman" w:cs="Times New Roman"/>
          <w:lang w:eastAsia="en-AU"/>
        </w:rPr>
        <w:t>ed that further consultation was</w:t>
      </w:r>
      <w:r w:rsidRPr="004A2736">
        <w:rPr>
          <w:rFonts w:ascii="Times New Roman" w:hAnsi="Times New Roman" w:cs="Times New Roman"/>
          <w:lang w:eastAsia="en-AU"/>
        </w:rPr>
        <w:t xml:space="preserve"> required.</w:t>
      </w:r>
    </w:p>
    <w:p w:rsidR="009264FD" w:rsidRPr="004A2736" w:rsidRDefault="008C4603" w:rsidP="009264FD">
      <w:pPr>
        <w:spacing w:before="120" w:after="120"/>
        <w:rPr>
          <w:rFonts w:ascii="Times New Roman" w:hAnsi="Times New Roman" w:cs="Times New Roman"/>
          <w:lang w:eastAsia="en-AU"/>
        </w:rPr>
      </w:pPr>
      <w:r w:rsidRPr="004A2736">
        <w:rPr>
          <w:rFonts w:ascii="Times New Roman" w:hAnsi="Times New Roman" w:cs="Times New Roman"/>
          <w:lang w:eastAsia="en-AU"/>
        </w:rPr>
        <w:t xml:space="preserve">Noting the requirement under the Act that any amendments to the reporting matters specified by the Gender Equality Indicators Instrument must be effected prior to 1 April 2014 in order to have effect for the 2014-2015 reporting period, </w:t>
      </w:r>
      <w:r w:rsidR="00FC5C3A" w:rsidRPr="004A2736">
        <w:rPr>
          <w:rFonts w:ascii="Times New Roman" w:hAnsi="Times New Roman" w:cs="Times New Roman"/>
          <w:lang w:eastAsia="en-AU"/>
        </w:rPr>
        <w:t xml:space="preserve">the Instrument </w:t>
      </w:r>
      <w:r w:rsidR="009264FD">
        <w:rPr>
          <w:rFonts w:ascii="Times New Roman" w:hAnsi="Times New Roman" w:cs="Times New Roman"/>
          <w:lang w:eastAsia="en-AU"/>
        </w:rPr>
        <w:t>amends the GEI Instrument</w:t>
      </w:r>
      <w:r w:rsidR="00FC5C3A" w:rsidRPr="004A2736">
        <w:rPr>
          <w:rFonts w:ascii="Times New Roman" w:hAnsi="Times New Roman" w:cs="Times New Roman"/>
          <w:lang w:eastAsia="en-AU"/>
        </w:rPr>
        <w:t xml:space="preserve"> to delay the </w:t>
      </w:r>
      <w:r w:rsidR="00FC5C3A" w:rsidRPr="004A2736">
        <w:rPr>
          <w:rFonts w:ascii="Times New Roman" w:hAnsi="Times New Roman" w:cs="Times New Roman"/>
          <w:lang w:eastAsia="en-AU"/>
        </w:rPr>
        <w:lastRenderedPageBreak/>
        <w:t xml:space="preserve">commencement of </w:t>
      </w:r>
      <w:r w:rsidR="009264FD">
        <w:rPr>
          <w:rFonts w:ascii="Times New Roman" w:hAnsi="Times New Roman" w:cs="Times New Roman"/>
          <w:lang w:eastAsia="en-AU"/>
        </w:rPr>
        <w:t xml:space="preserve">the expanded reporting regime (Schedule 2) </w:t>
      </w:r>
      <w:r w:rsidR="00FC5C3A" w:rsidRPr="004A2736">
        <w:rPr>
          <w:rFonts w:ascii="Times New Roman" w:hAnsi="Times New Roman" w:cs="Times New Roman"/>
          <w:lang w:eastAsia="en-AU"/>
        </w:rPr>
        <w:t>by one year to allow for further consultation to occur.</w:t>
      </w:r>
    </w:p>
    <w:p w:rsidR="008C4603" w:rsidRPr="004A2736" w:rsidRDefault="008C4603" w:rsidP="008C4603">
      <w:pPr>
        <w:spacing w:before="240" w:after="240"/>
        <w:rPr>
          <w:rFonts w:ascii="Times New Roman" w:hAnsi="Times New Roman" w:cs="Times New Roman"/>
          <w:lang w:eastAsia="en-AU"/>
        </w:rPr>
      </w:pPr>
      <w:r w:rsidRPr="004A2736">
        <w:rPr>
          <w:rFonts w:ascii="Times New Roman" w:hAnsi="Times New Roman" w:cs="Times New Roman"/>
          <w:b/>
          <w:lang w:eastAsia="en-AU"/>
        </w:rPr>
        <w:t>Human rights implications</w:t>
      </w:r>
    </w:p>
    <w:p w:rsidR="008C4603" w:rsidRPr="004A2736" w:rsidRDefault="008C4603" w:rsidP="008C4603">
      <w:pPr>
        <w:spacing w:before="240" w:after="240"/>
        <w:rPr>
          <w:rFonts w:ascii="Times New Roman" w:hAnsi="Times New Roman" w:cs="Times New Roman"/>
          <w:lang w:eastAsia="en-AU"/>
        </w:rPr>
      </w:pPr>
      <w:r w:rsidRPr="004A2736">
        <w:rPr>
          <w:rFonts w:ascii="Times New Roman" w:hAnsi="Times New Roman" w:cs="Times New Roman"/>
          <w:lang w:eastAsia="en-AU"/>
        </w:rPr>
        <w:t xml:space="preserve">The Australian Government’s international human rights and labour rights obligations relevant to the issue of gender equality in the workplace are set out in the following international instruments: </w:t>
      </w:r>
    </w:p>
    <w:p w:rsidR="008C4603" w:rsidRPr="004A2736" w:rsidRDefault="008C4603" w:rsidP="008C4603">
      <w:pPr>
        <w:pStyle w:val="ListParagraph"/>
        <w:numPr>
          <w:ilvl w:val="0"/>
          <w:numId w:val="20"/>
        </w:numPr>
        <w:spacing w:before="240" w:beforeAutospacing="1" w:after="240" w:afterAutospacing="1" w:line="240" w:lineRule="auto"/>
        <w:contextualSpacing w:val="0"/>
        <w:rPr>
          <w:rFonts w:ascii="Times New Roman" w:hAnsi="Times New Roman" w:cs="Times New Roman"/>
        </w:rPr>
      </w:pPr>
      <w:r w:rsidRPr="004A2736">
        <w:rPr>
          <w:rFonts w:ascii="Times New Roman" w:hAnsi="Times New Roman" w:cs="Times New Roman"/>
        </w:rPr>
        <w:t>The Convention on the Elimination of All forms of Discrimination against Women (CEDAW)</w:t>
      </w:r>
    </w:p>
    <w:p w:rsidR="008C4603" w:rsidRPr="004A2736" w:rsidRDefault="008C4603" w:rsidP="008C4603">
      <w:pPr>
        <w:pStyle w:val="ListParagraph"/>
        <w:numPr>
          <w:ilvl w:val="0"/>
          <w:numId w:val="20"/>
        </w:numPr>
        <w:spacing w:before="240" w:beforeAutospacing="1" w:after="240" w:afterAutospacing="1" w:line="240" w:lineRule="auto"/>
        <w:contextualSpacing w:val="0"/>
        <w:rPr>
          <w:rFonts w:ascii="Times New Roman" w:hAnsi="Times New Roman" w:cs="Times New Roman"/>
        </w:rPr>
      </w:pPr>
      <w:r w:rsidRPr="004A2736">
        <w:rPr>
          <w:rFonts w:ascii="Times New Roman" w:hAnsi="Times New Roman" w:cs="Times New Roman"/>
        </w:rPr>
        <w:t xml:space="preserve">The International Covenant on Civil and Political Rights (ICCPR) </w:t>
      </w:r>
    </w:p>
    <w:p w:rsidR="008C4603" w:rsidRPr="004A2736" w:rsidRDefault="008C4603" w:rsidP="008C4603">
      <w:pPr>
        <w:pStyle w:val="ListParagraph"/>
        <w:numPr>
          <w:ilvl w:val="0"/>
          <w:numId w:val="20"/>
        </w:numPr>
        <w:spacing w:before="240" w:beforeAutospacing="1" w:after="240" w:afterAutospacing="1" w:line="240" w:lineRule="auto"/>
        <w:contextualSpacing w:val="0"/>
        <w:rPr>
          <w:rFonts w:ascii="Times New Roman" w:hAnsi="Times New Roman" w:cs="Times New Roman"/>
        </w:rPr>
      </w:pPr>
      <w:r w:rsidRPr="004A2736">
        <w:rPr>
          <w:rFonts w:ascii="Times New Roman" w:hAnsi="Times New Roman" w:cs="Times New Roman"/>
        </w:rPr>
        <w:t>The International Covenant on Economic, Social and Cultural Rights (ICESCR)</w:t>
      </w:r>
    </w:p>
    <w:p w:rsidR="008C4603" w:rsidRPr="004A2736" w:rsidRDefault="008C4603" w:rsidP="008C4603">
      <w:pPr>
        <w:spacing w:before="240" w:after="240"/>
        <w:rPr>
          <w:rFonts w:ascii="Times New Roman" w:hAnsi="Times New Roman" w:cs="Times New Roman"/>
          <w:lang w:eastAsia="en-AU"/>
        </w:rPr>
      </w:pPr>
      <w:r w:rsidRPr="004A2736">
        <w:rPr>
          <w:rFonts w:ascii="Times New Roman" w:hAnsi="Times New Roman" w:cs="Times New Roman"/>
          <w:lang w:eastAsia="en-AU"/>
        </w:rPr>
        <w:t>In addition to the protections afforded by these instruments, employees’ rights are further supported by the following International Labour Organisation Conventions:</w:t>
      </w:r>
    </w:p>
    <w:p w:rsidR="008C4603" w:rsidRPr="004A2736" w:rsidRDefault="008C4603" w:rsidP="008C4603">
      <w:pPr>
        <w:pStyle w:val="ListParagraph"/>
        <w:numPr>
          <w:ilvl w:val="0"/>
          <w:numId w:val="19"/>
        </w:numPr>
        <w:spacing w:before="240" w:beforeAutospacing="1" w:after="240" w:afterAutospacing="1" w:line="240" w:lineRule="auto"/>
        <w:contextualSpacing w:val="0"/>
        <w:rPr>
          <w:rFonts w:ascii="Times New Roman" w:hAnsi="Times New Roman" w:cs="Times New Roman"/>
        </w:rPr>
      </w:pPr>
      <w:r w:rsidRPr="004A2736">
        <w:rPr>
          <w:rFonts w:ascii="Times New Roman" w:hAnsi="Times New Roman" w:cs="Times New Roman"/>
        </w:rPr>
        <w:t>Equal Remuneration Convention, 1951 (No. 100);</w:t>
      </w:r>
    </w:p>
    <w:p w:rsidR="008C4603" w:rsidRPr="004A2736" w:rsidRDefault="008C4603" w:rsidP="008C4603">
      <w:pPr>
        <w:pStyle w:val="ListParagraph"/>
        <w:numPr>
          <w:ilvl w:val="0"/>
          <w:numId w:val="19"/>
        </w:numPr>
        <w:spacing w:before="240" w:beforeAutospacing="1" w:after="240" w:afterAutospacing="1" w:line="240" w:lineRule="auto"/>
        <w:contextualSpacing w:val="0"/>
        <w:rPr>
          <w:rFonts w:ascii="Times New Roman" w:hAnsi="Times New Roman" w:cs="Times New Roman"/>
        </w:rPr>
      </w:pPr>
      <w:r w:rsidRPr="004A2736">
        <w:rPr>
          <w:rFonts w:ascii="Times New Roman" w:hAnsi="Times New Roman" w:cs="Times New Roman"/>
        </w:rPr>
        <w:t>Discrimination (Employment and Occupation) Convention, 1958 (No. 111);</w:t>
      </w:r>
    </w:p>
    <w:p w:rsidR="008C4603" w:rsidRPr="004A2736" w:rsidRDefault="008C4603" w:rsidP="008C4603">
      <w:pPr>
        <w:pStyle w:val="ListParagraph"/>
        <w:numPr>
          <w:ilvl w:val="0"/>
          <w:numId w:val="19"/>
        </w:numPr>
        <w:spacing w:before="240" w:beforeAutospacing="1" w:after="240" w:afterAutospacing="1" w:line="240" w:lineRule="auto"/>
        <w:contextualSpacing w:val="0"/>
        <w:rPr>
          <w:rFonts w:ascii="Times New Roman" w:hAnsi="Times New Roman" w:cs="Times New Roman"/>
        </w:rPr>
      </w:pPr>
      <w:r w:rsidRPr="004A2736">
        <w:rPr>
          <w:rFonts w:ascii="Times New Roman" w:hAnsi="Times New Roman" w:cs="Times New Roman"/>
        </w:rPr>
        <w:t>Workers with Family Responsibilities Convention, 1981 (No. 156); and</w:t>
      </w:r>
    </w:p>
    <w:p w:rsidR="008C4603" w:rsidRPr="004A2736" w:rsidRDefault="008C4603" w:rsidP="008C4603">
      <w:pPr>
        <w:pStyle w:val="ListParagraph"/>
        <w:numPr>
          <w:ilvl w:val="0"/>
          <w:numId w:val="19"/>
        </w:numPr>
        <w:spacing w:before="240" w:beforeAutospacing="1" w:after="240" w:afterAutospacing="1" w:line="240" w:lineRule="auto"/>
        <w:contextualSpacing w:val="0"/>
        <w:rPr>
          <w:rFonts w:ascii="Times New Roman" w:hAnsi="Times New Roman" w:cs="Times New Roman"/>
        </w:rPr>
      </w:pPr>
      <w:r w:rsidRPr="004A2736">
        <w:rPr>
          <w:rFonts w:ascii="Times New Roman" w:hAnsi="Times New Roman" w:cs="Times New Roman"/>
        </w:rPr>
        <w:t>Part-Time Work Convention, 1994 (No. 175)</w:t>
      </w:r>
    </w:p>
    <w:p w:rsidR="008C4603" w:rsidRPr="004A2736" w:rsidRDefault="008C4603" w:rsidP="008C4603">
      <w:pPr>
        <w:spacing w:before="240" w:after="240"/>
        <w:rPr>
          <w:rFonts w:ascii="Times New Roman" w:hAnsi="Times New Roman" w:cs="Times New Roman"/>
          <w:lang w:eastAsia="en-AU"/>
        </w:rPr>
      </w:pPr>
      <w:r w:rsidRPr="004A2736">
        <w:rPr>
          <w:rFonts w:ascii="Times New Roman" w:hAnsi="Times New Roman" w:cs="Times New Roman"/>
          <w:lang w:eastAsia="en-AU"/>
        </w:rPr>
        <w:t>The implementation of the Instrument under the Act promotes the following human rights:</w:t>
      </w:r>
    </w:p>
    <w:p w:rsidR="008C4603" w:rsidRPr="004A2736" w:rsidRDefault="008C4603" w:rsidP="008C4603">
      <w:pPr>
        <w:spacing w:before="240" w:after="240"/>
        <w:rPr>
          <w:rFonts w:ascii="Times New Roman" w:hAnsi="Times New Roman" w:cs="Times New Roman"/>
          <w:lang w:eastAsia="en-AU"/>
        </w:rPr>
      </w:pPr>
      <w:r w:rsidRPr="004A2736">
        <w:rPr>
          <w:rFonts w:ascii="Times New Roman" w:hAnsi="Times New Roman" w:cs="Times New Roman"/>
          <w:u w:val="single"/>
          <w:lang w:eastAsia="en-AU"/>
        </w:rPr>
        <w:t xml:space="preserve">Freedom from discrimination in employment </w:t>
      </w:r>
    </w:p>
    <w:p w:rsidR="008C4603" w:rsidRPr="004A2736" w:rsidRDefault="008C4603" w:rsidP="008C4603">
      <w:pPr>
        <w:spacing w:before="240" w:after="240"/>
        <w:rPr>
          <w:rFonts w:ascii="Times New Roman" w:hAnsi="Times New Roman" w:cs="Times New Roman"/>
          <w:lang w:eastAsia="en-AU"/>
        </w:rPr>
      </w:pPr>
      <w:r w:rsidRPr="004A2736">
        <w:rPr>
          <w:rFonts w:ascii="Times New Roman" w:hAnsi="Times New Roman" w:cs="Times New Roman"/>
          <w:lang w:eastAsia="en-AU"/>
        </w:rPr>
        <w:t>The elimination of discrimination in employment engages Article 11 of CEDAW. Article 11 expressly obliges Australia to ‘</w:t>
      </w:r>
      <w:r w:rsidRPr="004A2736">
        <w:rPr>
          <w:rFonts w:ascii="Times New Roman" w:hAnsi="Times New Roman" w:cs="Times New Roman"/>
          <w:i/>
          <w:iCs/>
          <w:lang w:eastAsia="en-AU"/>
        </w:rPr>
        <w:t>take all appropriate measures to eliminate discrimination against women in the field of employment in order to ensure, on a basis of equality of men and women, the same rights, in particular… the right to the same employment opportunities… the right to promotion…[and] equal remuneration</w:t>
      </w:r>
      <w:r w:rsidRPr="004A2736">
        <w:rPr>
          <w:rFonts w:ascii="Times New Roman" w:hAnsi="Times New Roman" w:cs="Times New Roman"/>
          <w:lang w:eastAsia="en-AU"/>
        </w:rPr>
        <w:t>.</w:t>
      </w:r>
      <w:bookmarkStart w:id="1" w:name="_ednref1"/>
      <w:r w:rsidRPr="004A2736">
        <w:rPr>
          <w:rFonts w:ascii="Times New Roman" w:hAnsi="Times New Roman" w:cs="Times New Roman"/>
          <w:lang w:eastAsia="en-AU"/>
        </w:rPr>
        <w:t>[1]</w:t>
      </w:r>
      <w:bookmarkEnd w:id="1"/>
    </w:p>
    <w:p w:rsidR="000D1DF2" w:rsidRDefault="008C4603" w:rsidP="008C4603">
      <w:pPr>
        <w:spacing w:before="240" w:after="240"/>
        <w:rPr>
          <w:rFonts w:ascii="Times New Roman" w:hAnsi="Times New Roman" w:cs="Times New Roman"/>
          <w:lang w:eastAsia="en-AU"/>
        </w:rPr>
      </w:pPr>
      <w:r w:rsidRPr="004A2736">
        <w:rPr>
          <w:rFonts w:ascii="Times New Roman" w:hAnsi="Times New Roman" w:cs="Times New Roman"/>
          <w:lang w:eastAsia="en-AU"/>
        </w:rPr>
        <w:t>The Instrument contributes to the elimination of discriminatory workplace practices by increasing the engagement of business with the gender equality reporting process</w:t>
      </w:r>
      <w:r w:rsidR="008D0D0C">
        <w:rPr>
          <w:rFonts w:ascii="Times New Roman" w:hAnsi="Times New Roman" w:cs="Times New Roman"/>
          <w:lang w:eastAsia="en-AU"/>
        </w:rPr>
        <w:t xml:space="preserve">.  </w:t>
      </w:r>
      <w:r w:rsidR="007F370A">
        <w:rPr>
          <w:rFonts w:ascii="Times New Roman" w:hAnsi="Times New Roman" w:cs="Times New Roman"/>
          <w:lang w:eastAsia="en-AU"/>
        </w:rPr>
        <w:t>By</w:t>
      </w:r>
      <w:r w:rsidR="008D0D0C">
        <w:rPr>
          <w:rFonts w:ascii="Times New Roman" w:hAnsi="Times New Roman" w:cs="Times New Roman"/>
          <w:lang w:eastAsia="en-AU"/>
        </w:rPr>
        <w:t xml:space="preserve"> delay</w:t>
      </w:r>
      <w:r w:rsidR="007F370A">
        <w:rPr>
          <w:rFonts w:ascii="Times New Roman" w:hAnsi="Times New Roman" w:cs="Times New Roman"/>
          <w:lang w:eastAsia="en-AU"/>
        </w:rPr>
        <w:t>ing</w:t>
      </w:r>
      <w:r w:rsidR="008D0D0C">
        <w:rPr>
          <w:rFonts w:ascii="Times New Roman" w:hAnsi="Times New Roman" w:cs="Times New Roman"/>
          <w:lang w:eastAsia="en-AU"/>
        </w:rPr>
        <w:t xml:space="preserve"> the expanded reporting regime by one year</w:t>
      </w:r>
      <w:r w:rsidR="007F370A">
        <w:rPr>
          <w:rFonts w:ascii="Times New Roman" w:hAnsi="Times New Roman" w:cs="Times New Roman"/>
          <w:lang w:eastAsia="en-AU"/>
        </w:rPr>
        <w:t>, the Instrument will enable business</w:t>
      </w:r>
      <w:r w:rsidR="008D0D0C">
        <w:rPr>
          <w:rFonts w:ascii="Times New Roman" w:hAnsi="Times New Roman" w:cs="Times New Roman"/>
          <w:lang w:eastAsia="en-AU"/>
        </w:rPr>
        <w:t xml:space="preserve"> to better prepare for the additional reporting requirements (if they are to come into effect) or otherwise provide sufficient time for well-supported changes to be made to the reporting regime</w:t>
      </w:r>
      <w:r w:rsidR="00D74E7B">
        <w:rPr>
          <w:rFonts w:ascii="Times New Roman" w:hAnsi="Times New Roman" w:cs="Times New Roman"/>
          <w:lang w:eastAsia="en-AU"/>
        </w:rPr>
        <w:t>.</w:t>
      </w:r>
      <w:r w:rsidR="008D0D0C">
        <w:rPr>
          <w:rFonts w:ascii="Times New Roman" w:hAnsi="Times New Roman" w:cs="Times New Roman"/>
          <w:lang w:eastAsia="en-AU"/>
        </w:rPr>
        <w:t xml:space="preserve"> </w:t>
      </w:r>
      <w:r w:rsidR="00D74E7B">
        <w:rPr>
          <w:rFonts w:ascii="Times New Roman" w:hAnsi="Times New Roman" w:cs="Times New Roman"/>
          <w:lang w:eastAsia="en-AU"/>
        </w:rPr>
        <w:t xml:space="preserve"> </w:t>
      </w:r>
      <w:r w:rsidR="009D1EF9">
        <w:rPr>
          <w:rFonts w:ascii="Times New Roman" w:hAnsi="Times New Roman" w:cs="Times New Roman"/>
          <w:lang w:eastAsia="en-AU"/>
        </w:rPr>
        <w:t>The further consultation process</w:t>
      </w:r>
      <w:r w:rsidR="00D74E7B">
        <w:rPr>
          <w:rFonts w:ascii="Times New Roman" w:hAnsi="Times New Roman" w:cs="Times New Roman"/>
          <w:lang w:eastAsia="en-AU"/>
        </w:rPr>
        <w:t xml:space="preserve"> will aim to</w:t>
      </w:r>
      <w:r w:rsidR="008D0D0C">
        <w:rPr>
          <w:rFonts w:ascii="Times New Roman" w:hAnsi="Times New Roman" w:cs="Times New Roman"/>
          <w:lang w:eastAsia="en-AU"/>
        </w:rPr>
        <w:t xml:space="preserve"> strike a balance between increasing industry engagement through the reduction of regulatory burden while ensuring that reporting continues to provide a dataset that promotes and achieves the gender equality objectives of the Act. </w:t>
      </w:r>
    </w:p>
    <w:p w:rsidR="008C4603" w:rsidRPr="004A2736" w:rsidRDefault="008C4603" w:rsidP="008C4603">
      <w:pPr>
        <w:spacing w:before="240" w:after="240"/>
        <w:rPr>
          <w:rFonts w:ascii="Times New Roman" w:hAnsi="Times New Roman" w:cs="Times New Roman"/>
          <w:lang w:eastAsia="en-AU"/>
        </w:rPr>
      </w:pPr>
      <w:r w:rsidRPr="004A2736">
        <w:rPr>
          <w:rFonts w:ascii="Times New Roman" w:hAnsi="Times New Roman" w:cs="Times New Roman"/>
          <w:u w:val="single"/>
          <w:lang w:eastAsia="en-AU"/>
        </w:rPr>
        <w:t xml:space="preserve">Protection against discrimination on the ground of sex </w:t>
      </w:r>
    </w:p>
    <w:p w:rsidR="008C4603" w:rsidRPr="004A2736" w:rsidRDefault="008C4603" w:rsidP="008C4603">
      <w:pPr>
        <w:rPr>
          <w:rFonts w:ascii="Times New Roman" w:hAnsi="Times New Roman" w:cs="Times New Roman"/>
          <w:lang w:eastAsia="en-AU"/>
        </w:rPr>
      </w:pPr>
      <w:r w:rsidRPr="004A2736">
        <w:rPr>
          <w:rFonts w:ascii="Times New Roman" w:hAnsi="Times New Roman" w:cs="Times New Roman"/>
          <w:lang w:eastAsia="en-AU"/>
        </w:rPr>
        <w:t>Article 26 of the ICCPR contains a positive obligation on States Parties to take steps to protect against discrimination on the ground of sex. The Instrument promotes the elimination of discrimination on the basis of gender in the workplace by improving the engagement of businesses with the gender equality reporting framework</w:t>
      </w:r>
      <w:r w:rsidR="008D0D0C">
        <w:rPr>
          <w:rFonts w:ascii="Times New Roman" w:hAnsi="Times New Roman" w:cs="Times New Roman"/>
          <w:lang w:eastAsia="en-AU"/>
        </w:rPr>
        <w:t>.</w:t>
      </w:r>
    </w:p>
    <w:p w:rsidR="008C4603" w:rsidRPr="004A2736" w:rsidRDefault="008C4603" w:rsidP="008C4603">
      <w:pPr>
        <w:spacing w:before="240" w:after="240"/>
        <w:rPr>
          <w:rFonts w:ascii="Times New Roman" w:hAnsi="Times New Roman" w:cs="Times New Roman"/>
          <w:lang w:eastAsia="en-AU"/>
        </w:rPr>
      </w:pPr>
      <w:r w:rsidRPr="004A2736">
        <w:rPr>
          <w:rFonts w:ascii="Times New Roman" w:hAnsi="Times New Roman" w:cs="Times New Roman"/>
          <w:u w:val="single"/>
          <w:lang w:eastAsia="en-AU"/>
        </w:rPr>
        <w:t>The right to fair wages and equal remuneration for work of equal value</w:t>
      </w:r>
    </w:p>
    <w:p w:rsidR="008C4603" w:rsidRPr="004A2736" w:rsidRDefault="008C4603" w:rsidP="008C4603">
      <w:pPr>
        <w:spacing w:before="240" w:after="240"/>
        <w:rPr>
          <w:rFonts w:ascii="Times New Roman" w:hAnsi="Times New Roman" w:cs="Times New Roman"/>
          <w:lang w:eastAsia="en-AU"/>
        </w:rPr>
      </w:pPr>
      <w:r w:rsidRPr="004A2736">
        <w:rPr>
          <w:rFonts w:ascii="Times New Roman" w:hAnsi="Times New Roman" w:cs="Times New Roman"/>
          <w:lang w:eastAsia="en-AU"/>
        </w:rPr>
        <w:lastRenderedPageBreak/>
        <w:t xml:space="preserve">Article 7 of the ICESC recognises the right of everyone to fair wages and equal remuneration for work of equal value.  The Instrument </w:t>
      </w:r>
      <w:r w:rsidR="000732B1">
        <w:rPr>
          <w:rFonts w:ascii="Times New Roman" w:hAnsi="Times New Roman" w:cs="Times New Roman"/>
          <w:lang w:eastAsia="en-AU"/>
        </w:rPr>
        <w:t xml:space="preserve">promotes equal remuneration between women and men in the workplace by improving the engagement of business with the gender equality reporting framework. </w:t>
      </w:r>
    </w:p>
    <w:p w:rsidR="008C4603" w:rsidRPr="004A2736" w:rsidRDefault="008C4603" w:rsidP="008C4603">
      <w:pPr>
        <w:rPr>
          <w:rFonts w:ascii="Times New Roman" w:hAnsi="Times New Roman" w:cs="Times New Roman"/>
          <w:lang w:eastAsia="en-AU"/>
        </w:rPr>
      </w:pPr>
      <w:r w:rsidRPr="004A2736">
        <w:rPr>
          <w:rFonts w:ascii="Times New Roman" w:hAnsi="Times New Roman" w:cs="Times New Roman"/>
          <w:b/>
          <w:lang w:eastAsia="en-AU"/>
        </w:rPr>
        <w:t>Conclusion</w:t>
      </w:r>
    </w:p>
    <w:p w:rsidR="008C4603" w:rsidRPr="004A2736" w:rsidRDefault="008C4603" w:rsidP="008C4603">
      <w:pPr>
        <w:rPr>
          <w:rFonts w:ascii="Times New Roman" w:hAnsi="Times New Roman" w:cs="Times New Roman"/>
          <w:lang w:eastAsia="en-AU"/>
        </w:rPr>
      </w:pPr>
      <w:r w:rsidRPr="004A2736">
        <w:rPr>
          <w:rFonts w:ascii="Times New Roman" w:hAnsi="Times New Roman" w:cs="Times New Roman"/>
          <w:lang w:eastAsia="en-AU"/>
        </w:rPr>
        <w:t xml:space="preserve">The Instrument is compatible with human rights because it advances the protection of human rights. </w:t>
      </w:r>
    </w:p>
    <w:p w:rsidR="008C4603" w:rsidRPr="004A2736" w:rsidRDefault="008C4603" w:rsidP="008C4603">
      <w:pPr>
        <w:rPr>
          <w:rFonts w:ascii="Times New Roman" w:hAnsi="Times New Roman" w:cs="Times New Roman"/>
          <w:lang w:eastAsia="en-AU"/>
        </w:rPr>
      </w:pPr>
      <w:r w:rsidRPr="004A2736">
        <w:rPr>
          <w:rFonts w:ascii="Times New Roman" w:hAnsi="Times New Roman" w:cs="Times New Roman"/>
          <w:b/>
          <w:lang w:eastAsia="en-AU"/>
        </w:rPr>
        <w:t>Minister for Employment, the Hon Eric Abetz</w:t>
      </w:r>
    </w:p>
    <w:p w:rsidR="008634E7" w:rsidRPr="004A2736" w:rsidRDefault="008C4603" w:rsidP="008C4603">
      <w:pPr>
        <w:pStyle w:val="EndnoteText"/>
        <w:rPr>
          <w:rStyle w:val="BookTitle"/>
          <w:i w:val="0"/>
          <w:iCs w:val="0"/>
          <w:smallCaps w:val="0"/>
          <w:spacing w:val="0"/>
        </w:rPr>
      </w:pPr>
      <w:r w:rsidRPr="004A2736">
        <w:t>[1] benefits and conditions of service and the right to receive vocational training and retraining.’ Article 11(1)(d) provides ‘the right to equal remuneration, including benefits, and to equal treatment in respect of work of equal value, as well as equality of treatment in the evaluation of the quality of work.’</w:t>
      </w:r>
    </w:p>
    <w:p w:rsidR="008634E7" w:rsidRPr="004A2736" w:rsidRDefault="008634E7" w:rsidP="008634E7">
      <w:pPr>
        <w:rPr>
          <w:rStyle w:val="BookTitle"/>
          <w:rFonts w:ascii="Times New Roman" w:hAnsi="Times New Roman" w:cs="Times New Roman"/>
          <w:b/>
          <w:i w:val="0"/>
          <w:iCs w:val="0"/>
          <w:smallCaps w:val="0"/>
          <w:spacing w:val="0"/>
        </w:rPr>
      </w:pPr>
    </w:p>
    <w:sectPr w:rsidR="008634E7" w:rsidRPr="004A2736" w:rsidSect="00F64F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DC" w:rsidRDefault="008A4FDC" w:rsidP="005A1BDE">
      <w:pPr>
        <w:spacing w:after="0" w:line="240" w:lineRule="auto"/>
      </w:pPr>
      <w:r>
        <w:separator/>
      </w:r>
    </w:p>
  </w:endnote>
  <w:endnote w:type="continuationSeparator" w:id="0">
    <w:p w:rsidR="008A4FDC" w:rsidRDefault="008A4FDC" w:rsidP="005A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DC" w:rsidRDefault="008A4FDC" w:rsidP="005A1BDE">
      <w:pPr>
        <w:spacing w:after="0" w:line="240" w:lineRule="auto"/>
      </w:pPr>
      <w:r>
        <w:separator/>
      </w:r>
    </w:p>
  </w:footnote>
  <w:footnote w:type="continuationSeparator" w:id="0">
    <w:p w:rsidR="008A4FDC" w:rsidRDefault="008A4FDC" w:rsidP="005A1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04A"/>
    <w:multiLevelType w:val="hybridMultilevel"/>
    <w:tmpl w:val="263C2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0C747D4"/>
    <w:multiLevelType w:val="hybridMultilevel"/>
    <w:tmpl w:val="C0F03B10"/>
    <w:lvl w:ilvl="0" w:tplc="CDEA0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3125"/>
        </w:tabs>
        <w:ind w:left="3125" w:hanging="425"/>
      </w:pPr>
      <w:rPr>
        <w:b w:val="0"/>
        <w:i w:val="0"/>
      </w:rPr>
    </w:lvl>
    <w:lvl w:ilvl="8">
      <w:start w:val="1"/>
      <w:numFmt w:val="bullet"/>
      <w:lvlText w:val="–"/>
      <w:lvlJc w:val="left"/>
      <w:pPr>
        <w:tabs>
          <w:tab w:val="num" w:pos="2551"/>
        </w:tabs>
        <w:ind w:left="2551" w:hanging="425"/>
      </w:pPr>
      <w:rPr>
        <w:b w:val="0"/>
        <w:i w:val="0"/>
      </w:rPr>
    </w:lvl>
  </w:abstractNum>
  <w:abstractNum w:abstractNumId="3">
    <w:nsid w:val="2ACA4DFF"/>
    <w:multiLevelType w:val="hybridMultilevel"/>
    <w:tmpl w:val="19AC3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F034B59"/>
    <w:multiLevelType w:val="hybridMultilevel"/>
    <w:tmpl w:val="90E29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3CCD3B6D"/>
    <w:multiLevelType w:val="hybridMultilevel"/>
    <w:tmpl w:val="1A6E5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F1261D"/>
    <w:multiLevelType w:val="multilevel"/>
    <w:tmpl w:val="AA5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FA1EF6"/>
    <w:multiLevelType w:val="hybridMultilevel"/>
    <w:tmpl w:val="9064F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911569D"/>
    <w:multiLevelType w:val="hybridMultilevel"/>
    <w:tmpl w:val="0E02D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5632797A"/>
    <w:multiLevelType w:val="hybridMultilevel"/>
    <w:tmpl w:val="D8943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6F3018B"/>
    <w:multiLevelType w:val="hybridMultilevel"/>
    <w:tmpl w:val="D8A84E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647A677A"/>
    <w:multiLevelType w:val="hybridMultilevel"/>
    <w:tmpl w:val="E16A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6A6570"/>
    <w:multiLevelType w:val="multilevel"/>
    <w:tmpl w:val="8AAC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9363F7"/>
    <w:multiLevelType w:val="hybridMultilevel"/>
    <w:tmpl w:val="A96C2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E020888"/>
    <w:multiLevelType w:val="hybridMultilevel"/>
    <w:tmpl w:val="9908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3F01966"/>
    <w:multiLevelType w:val="hybridMultilevel"/>
    <w:tmpl w:val="7124158A"/>
    <w:lvl w:ilvl="0" w:tplc="A0DA31F2">
      <w:start w:val="1"/>
      <w:numFmt w:val="decimal"/>
      <w:lvlText w:val="%1."/>
      <w:lvlJc w:val="left"/>
      <w:pPr>
        <w:ind w:left="360" w:hanging="360"/>
      </w:pPr>
      <w:rPr>
        <w:rFonts w:ascii="Arial" w:hAnsi="Arial" w:cs="Arial" w:hint="default"/>
        <w:b/>
        <w:sz w:val="32"/>
        <w:szCs w:val="32"/>
      </w:rPr>
    </w:lvl>
    <w:lvl w:ilvl="1" w:tplc="A002181A">
      <w:start w:val="1"/>
      <w:numFmt w:val="bullet"/>
      <w:lvlText w:val="o"/>
      <w:lvlJc w:val="left"/>
      <w:pPr>
        <w:ind w:left="1080" w:hanging="360"/>
      </w:pPr>
      <w:rPr>
        <w:rFonts w:ascii="Courier New" w:hAnsi="Courier New" w:cs="Courier New" w:hint="default"/>
      </w:rPr>
    </w:lvl>
    <w:lvl w:ilvl="2" w:tplc="1FCE734C" w:tentative="1">
      <w:start w:val="1"/>
      <w:numFmt w:val="bullet"/>
      <w:lvlText w:val=""/>
      <w:lvlJc w:val="left"/>
      <w:pPr>
        <w:ind w:left="1800" w:hanging="360"/>
      </w:pPr>
      <w:rPr>
        <w:rFonts w:ascii="Wingdings" w:hAnsi="Wingdings" w:hint="default"/>
      </w:rPr>
    </w:lvl>
    <w:lvl w:ilvl="3" w:tplc="B1CC869A" w:tentative="1">
      <w:start w:val="1"/>
      <w:numFmt w:val="bullet"/>
      <w:lvlText w:val=""/>
      <w:lvlJc w:val="left"/>
      <w:pPr>
        <w:ind w:left="2520" w:hanging="360"/>
      </w:pPr>
      <w:rPr>
        <w:rFonts w:ascii="Symbol" w:hAnsi="Symbol" w:hint="default"/>
      </w:rPr>
    </w:lvl>
    <w:lvl w:ilvl="4" w:tplc="549C7F3C" w:tentative="1">
      <w:start w:val="1"/>
      <w:numFmt w:val="bullet"/>
      <w:lvlText w:val="o"/>
      <w:lvlJc w:val="left"/>
      <w:pPr>
        <w:ind w:left="3240" w:hanging="360"/>
      </w:pPr>
      <w:rPr>
        <w:rFonts w:ascii="Courier New" w:hAnsi="Courier New" w:cs="Courier New" w:hint="default"/>
      </w:rPr>
    </w:lvl>
    <w:lvl w:ilvl="5" w:tplc="913AFBE0" w:tentative="1">
      <w:start w:val="1"/>
      <w:numFmt w:val="bullet"/>
      <w:lvlText w:val=""/>
      <w:lvlJc w:val="left"/>
      <w:pPr>
        <w:ind w:left="3960" w:hanging="360"/>
      </w:pPr>
      <w:rPr>
        <w:rFonts w:ascii="Wingdings" w:hAnsi="Wingdings" w:hint="default"/>
      </w:rPr>
    </w:lvl>
    <w:lvl w:ilvl="6" w:tplc="7CA42AAC" w:tentative="1">
      <w:start w:val="1"/>
      <w:numFmt w:val="bullet"/>
      <w:lvlText w:val=""/>
      <w:lvlJc w:val="left"/>
      <w:pPr>
        <w:ind w:left="4680" w:hanging="360"/>
      </w:pPr>
      <w:rPr>
        <w:rFonts w:ascii="Symbol" w:hAnsi="Symbol" w:hint="default"/>
      </w:rPr>
    </w:lvl>
    <w:lvl w:ilvl="7" w:tplc="73064952" w:tentative="1">
      <w:start w:val="1"/>
      <w:numFmt w:val="bullet"/>
      <w:lvlText w:val="o"/>
      <w:lvlJc w:val="left"/>
      <w:pPr>
        <w:ind w:left="5400" w:hanging="360"/>
      </w:pPr>
      <w:rPr>
        <w:rFonts w:ascii="Courier New" w:hAnsi="Courier New" w:cs="Courier New" w:hint="default"/>
      </w:rPr>
    </w:lvl>
    <w:lvl w:ilvl="8" w:tplc="5658083C" w:tentative="1">
      <w:start w:val="1"/>
      <w:numFmt w:val="bullet"/>
      <w:lvlText w:val=""/>
      <w:lvlJc w:val="left"/>
      <w:pPr>
        <w:ind w:left="6120" w:hanging="360"/>
      </w:pPr>
      <w:rPr>
        <w:rFonts w:ascii="Wingdings" w:hAnsi="Wingdings" w:hint="default"/>
      </w:rPr>
    </w:lvl>
  </w:abstractNum>
  <w:abstractNum w:abstractNumId="16">
    <w:nsid w:val="751B6401"/>
    <w:multiLevelType w:val="hybridMultilevel"/>
    <w:tmpl w:val="77EC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57F6B23"/>
    <w:multiLevelType w:val="multilevel"/>
    <w:tmpl w:val="FA1230AE"/>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8">
    <w:nsid w:val="7A736FD5"/>
    <w:multiLevelType w:val="multilevel"/>
    <w:tmpl w:val="135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90253D"/>
    <w:multiLevelType w:val="multilevel"/>
    <w:tmpl w:val="7CA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10"/>
  </w:num>
  <w:num w:numId="9">
    <w:abstractNumId w:val="6"/>
  </w:num>
  <w:num w:numId="10">
    <w:abstractNumId w:val="18"/>
  </w:num>
  <w:num w:numId="11">
    <w:abstractNumId w:val="12"/>
  </w:num>
  <w:num w:numId="12">
    <w:abstractNumId w:val="19"/>
  </w:num>
  <w:num w:numId="13">
    <w:abstractNumId w:val="7"/>
  </w:num>
  <w:num w:numId="14">
    <w:abstractNumId w:val="3"/>
  </w:num>
  <w:num w:numId="15">
    <w:abstractNumId w:val="15"/>
  </w:num>
  <w:num w:numId="16">
    <w:abstractNumId w:val="9"/>
  </w:num>
  <w:num w:numId="17">
    <w:abstractNumId w:val="13"/>
  </w:num>
  <w:num w:numId="18">
    <w:abstractNumId w:val="0"/>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B8"/>
    <w:rsid w:val="00000388"/>
    <w:rsid w:val="00000D9B"/>
    <w:rsid w:val="00006543"/>
    <w:rsid w:val="00012777"/>
    <w:rsid w:val="0001594A"/>
    <w:rsid w:val="00020F42"/>
    <w:rsid w:val="00025601"/>
    <w:rsid w:val="00030939"/>
    <w:rsid w:val="0003340D"/>
    <w:rsid w:val="0003342F"/>
    <w:rsid w:val="000441A5"/>
    <w:rsid w:val="00044E32"/>
    <w:rsid w:val="0004528B"/>
    <w:rsid w:val="000513E7"/>
    <w:rsid w:val="000539DE"/>
    <w:rsid w:val="0005501D"/>
    <w:rsid w:val="00067005"/>
    <w:rsid w:val="0007191E"/>
    <w:rsid w:val="0007294D"/>
    <w:rsid w:val="000732B1"/>
    <w:rsid w:val="00076649"/>
    <w:rsid w:val="000811C4"/>
    <w:rsid w:val="00084E38"/>
    <w:rsid w:val="00086636"/>
    <w:rsid w:val="00091E42"/>
    <w:rsid w:val="00091F60"/>
    <w:rsid w:val="00092B46"/>
    <w:rsid w:val="000A3FE5"/>
    <w:rsid w:val="000B4C89"/>
    <w:rsid w:val="000C38AA"/>
    <w:rsid w:val="000C52A3"/>
    <w:rsid w:val="000C5F13"/>
    <w:rsid w:val="000C67E0"/>
    <w:rsid w:val="000D1DF2"/>
    <w:rsid w:val="000D46D3"/>
    <w:rsid w:val="000D7D99"/>
    <w:rsid w:val="000E16D1"/>
    <w:rsid w:val="000F3C1B"/>
    <w:rsid w:val="001021CA"/>
    <w:rsid w:val="00103B0D"/>
    <w:rsid w:val="00106F31"/>
    <w:rsid w:val="0012467E"/>
    <w:rsid w:val="00137045"/>
    <w:rsid w:val="00152D6A"/>
    <w:rsid w:val="001605B8"/>
    <w:rsid w:val="00160C79"/>
    <w:rsid w:val="001707C3"/>
    <w:rsid w:val="001749EC"/>
    <w:rsid w:val="0018485B"/>
    <w:rsid w:val="0018735F"/>
    <w:rsid w:val="001C255B"/>
    <w:rsid w:val="001C3D79"/>
    <w:rsid w:val="001C6DDB"/>
    <w:rsid w:val="001D2CCE"/>
    <w:rsid w:val="001D4E8E"/>
    <w:rsid w:val="001D4EAE"/>
    <w:rsid w:val="001D509E"/>
    <w:rsid w:val="001E630D"/>
    <w:rsid w:val="001E63C4"/>
    <w:rsid w:val="001F6279"/>
    <w:rsid w:val="001F797F"/>
    <w:rsid w:val="002047D5"/>
    <w:rsid w:val="00210426"/>
    <w:rsid w:val="002111C6"/>
    <w:rsid w:val="002125E6"/>
    <w:rsid w:val="00213A49"/>
    <w:rsid w:val="00213B26"/>
    <w:rsid w:val="00223D5D"/>
    <w:rsid w:val="0022469C"/>
    <w:rsid w:val="00227E74"/>
    <w:rsid w:val="00240AE8"/>
    <w:rsid w:val="00241AF5"/>
    <w:rsid w:val="00242A1D"/>
    <w:rsid w:val="002465C3"/>
    <w:rsid w:val="002472F9"/>
    <w:rsid w:val="002515F0"/>
    <w:rsid w:val="00255906"/>
    <w:rsid w:val="00262E7B"/>
    <w:rsid w:val="002666DF"/>
    <w:rsid w:val="00271F48"/>
    <w:rsid w:val="00274581"/>
    <w:rsid w:val="002755E7"/>
    <w:rsid w:val="00276567"/>
    <w:rsid w:val="002829E6"/>
    <w:rsid w:val="00283957"/>
    <w:rsid w:val="00284554"/>
    <w:rsid w:val="002944E7"/>
    <w:rsid w:val="00294F63"/>
    <w:rsid w:val="002A4C45"/>
    <w:rsid w:val="002A5892"/>
    <w:rsid w:val="002B3C1C"/>
    <w:rsid w:val="002B79AB"/>
    <w:rsid w:val="002C0F57"/>
    <w:rsid w:val="002C21EE"/>
    <w:rsid w:val="002C3887"/>
    <w:rsid w:val="002D2A55"/>
    <w:rsid w:val="002D3493"/>
    <w:rsid w:val="002D3993"/>
    <w:rsid w:val="002D6F32"/>
    <w:rsid w:val="002D7222"/>
    <w:rsid w:val="002E19F6"/>
    <w:rsid w:val="002E3C19"/>
    <w:rsid w:val="002E476A"/>
    <w:rsid w:val="002F0266"/>
    <w:rsid w:val="002F2231"/>
    <w:rsid w:val="002F6B13"/>
    <w:rsid w:val="00317228"/>
    <w:rsid w:val="00323B32"/>
    <w:rsid w:val="00325874"/>
    <w:rsid w:val="00330ED3"/>
    <w:rsid w:val="00332026"/>
    <w:rsid w:val="00333DC7"/>
    <w:rsid w:val="00335E68"/>
    <w:rsid w:val="00360123"/>
    <w:rsid w:val="00360E13"/>
    <w:rsid w:val="00360FA1"/>
    <w:rsid w:val="0036352F"/>
    <w:rsid w:val="00363D1C"/>
    <w:rsid w:val="0036555E"/>
    <w:rsid w:val="00370DDD"/>
    <w:rsid w:val="00372B15"/>
    <w:rsid w:val="00373CEA"/>
    <w:rsid w:val="00387032"/>
    <w:rsid w:val="003947E1"/>
    <w:rsid w:val="003B065C"/>
    <w:rsid w:val="003B2BB8"/>
    <w:rsid w:val="003B5C21"/>
    <w:rsid w:val="003C4A77"/>
    <w:rsid w:val="003D34FF"/>
    <w:rsid w:val="003E046C"/>
    <w:rsid w:val="003E7195"/>
    <w:rsid w:val="003F13C8"/>
    <w:rsid w:val="003F1439"/>
    <w:rsid w:val="003F1660"/>
    <w:rsid w:val="00410ACC"/>
    <w:rsid w:val="00413EDF"/>
    <w:rsid w:val="00416CF8"/>
    <w:rsid w:val="00417234"/>
    <w:rsid w:val="00417D00"/>
    <w:rsid w:val="0043376D"/>
    <w:rsid w:val="004341C6"/>
    <w:rsid w:val="00435FB9"/>
    <w:rsid w:val="00440E84"/>
    <w:rsid w:val="00443999"/>
    <w:rsid w:val="004473E6"/>
    <w:rsid w:val="0045196B"/>
    <w:rsid w:val="00453696"/>
    <w:rsid w:val="004572FB"/>
    <w:rsid w:val="00457798"/>
    <w:rsid w:val="0046099D"/>
    <w:rsid w:val="00464408"/>
    <w:rsid w:val="00465481"/>
    <w:rsid w:val="00470A0A"/>
    <w:rsid w:val="0047597D"/>
    <w:rsid w:val="004768DE"/>
    <w:rsid w:val="0048310B"/>
    <w:rsid w:val="004905D3"/>
    <w:rsid w:val="00492827"/>
    <w:rsid w:val="00493389"/>
    <w:rsid w:val="00493FB6"/>
    <w:rsid w:val="00496A68"/>
    <w:rsid w:val="00497E30"/>
    <w:rsid w:val="004A1CA6"/>
    <w:rsid w:val="004A2736"/>
    <w:rsid w:val="004B0E5B"/>
    <w:rsid w:val="004B34AE"/>
    <w:rsid w:val="004B54CA"/>
    <w:rsid w:val="004C2AE3"/>
    <w:rsid w:val="004C556F"/>
    <w:rsid w:val="004C6FF8"/>
    <w:rsid w:val="004D05CB"/>
    <w:rsid w:val="004D240E"/>
    <w:rsid w:val="004D38B4"/>
    <w:rsid w:val="004D613F"/>
    <w:rsid w:val="004E3081"/>
    <w:rsid w:val="004E31DE"/>
    <w:rsid w:val="004E3798"/>
    <w:rsid w:val="004E4105"/>
    <w:rsid w:val="004E5CBF"/>
    <w:rsid w:val="004E6245"/>
    <w:rsid w:val="004F0F33"/>
    <w:rsid w:val="004F6BD2"/>
    <w:rsid w:val="00501A63"/>
    <w:rsid w:val="00503C0E"/>
    <w:rsid w:val="0050690D"/>
    <w:rsid w:val="00512230"/>
    <w:rsid w:val="00512F68"/>
    <w:rsid w:val="00516F54"/>
    <w:rsid w:val="0052109C"/>
    <w:rsid w:val="005255B4"/>
    <w:rsid w:val="00526A68"/>
    <w:rsid w:val="00530A90"/>
    <w:rsid w:val="005317B1"/>
    <w:rsid w:val="00531B79"/>
    <w:rsid w:val="00532ABF"/>
    <w:rsid w:val="00543A2F"/>
    <w:rsid w:val="00545086"/>
    <w:rsid w:val="005460B8"/>
    <w:rsid w:val="0055283E"/>
    <w:rsid w:val="00554FFC"/>
    <w:rsid w:val="005603E0"/>
    <w:rsid w:val="00563A2E"/>
    <w:rsid w:val="00571F2E"/>
    <w:rsid w:val="005808F9"/>
    <w:rsid w:val="00587026"/>
    <w:rsid w:val="005944DD"/>
    <w:rsid w:val="005A1BDE"/>
    <w:rsid w:val="005A26DA"/>
    <w:rsid w:val="005A798C"/>
    <w:rsid w:val="005B17F7"/>
    <w:rsid w:val="005B55B8"/>
    <w:rsid w:val="005C3AA9"/>
    <w:rsid w:val="005E1E5E"/>
    <w:rsid w:val="005E7866"/>
    <w:rsid w:val="005F298D"/>
    <w:rsid w:val="005F29E7"/>
    <w:rsid w:val="005F675A"/>
    <w:rsid w:val="005F68DA"/>
    <w:rsid w:val="005F74C8"/>
    <w:rsid w:val="006001D4"/>
    <w:rsid w:val="00612198"/>
    <w:rsid w:val="00613735"/>
    <w:rsid w:val="00617AF1"/>
    <w:rsid w:val="00626B0F"/>
    <w:rsid w:val="00632343"/>
    <w:rsid w:val="00640B4F"/>
    <w:rsid w:val="00642CAE"/>
    <w:rsid w:val="00647B2D"/>
    <w:rsid w:val="00653F07"/>
    <w:rsid w:val="00660FBF"/>
    <w:rsid w:val="006634DD"/>
    <w:rsid w:val="00663843"/>
    <w:rsid w:val="00664B3C"/>
    <w:rsid w:val="00665AA4"/>
    <w:rsid w:val="0066689B"/>
    <w:rsid w:val="0067256E"/>
    <w:rsid w:val="00676E54"/>
    <w:rsid w:val="006859C4"/>
    <w:rsid w:val="0068751B"/>
    <w:rsid w:val="00694CEB"/>
    <w:rsid w:val="006967D3"/>
    <w:rsid w:val="00696867"/>
    <w:rsid w:val="006A4CE7"/>
    <w:rsid w:val="006A54EB"/>
    <w:rsid w:val="006A5EA3"/>
    <w:rsid w:val="006B1976"/>
    <w:rsid w:val="006B26DE"/>
    <w:rsid w:val="006B32A5"/>
    <w:rsid w:val="006B38CC"/>
    <w:rsid w:val="006B5F6C"/>
    <w:rsid w:val="006B7B11"/>
    <w:rsid w:val="006D740B"/>
    <w:rsid w:val="006E0A80"/>
    <w:rsid w:val="006E33C0"/>
    <w:rsid w:val="006E345E"/>
    <w:rsid w:val="006F19BE"/>
    <w:rsid w:val="006F23B3"/>
    <w:rsid w:val="00701A41"/>
    <w:rsid w:val="007066A5"/>
    <w:rsid w:val="00707ADB"/>
    <w:rsid w:val="00707BD4"/>
    <w:rsid w:val="00721522"/>
    <w:rsid w:val="007434CB"/>
    <w:rsid w:val="00750501"/>
    <w:rsid w:val="0075249F"/>
    <w:rsid w:val="0075707B"/>
    <w:rsid w:val="0076084D"/>
    <w:rsid w:val="007609DD"/>
    <w:rsid w:val="00771FA2"/>
    <w:rsid w:val="00781660"/>
    <w:rsid w:val="00783E53"/>
    <w:rsid w:val="00785261"/>
    <w:rsid w:val="00785CC8"/>
    <w:rsid w:val="0078774D"/>
    <w:rsid w:val="0079145F"/>
    <w:rsid w:val="007916C6"/>
    <w:rsid w:val="00791F61"/>
    <w:rsid w:val="00792A5C"/>
    <w:rsid w:val="0079323B"/>
    <w:rsid w:val="00793581"/>
    <w:rsid w:val="007A07E4"/>
    <w:rsid w:val="007A2239"/>
    <w:rsid w:val="007A2C82"/>
    <w:rsid w:val="007A3E05"/>
    <w:rsid w:val="007A7AC4"/>
    <w:rsid w:val="007B0256"/>
    <w:rsid w:val="007B459E"/>
    <w:rsid w:val="007C0048"/>
    <w:rsid w:val="007C1543"/>
    <w:rsid w:val="007C4012"/>
    <w:rsid w:val="007D2C8A"/>
    <w:rsid w:val="007D2CDA"/>
    <w:rsid w:val="007D36BB"/>
    <w:rsid w:val="007D39AA"/>
    <w:rsid w:val="007F0C47"/>
    <w:rsid w:val="007F2F43"/>
    <w:rsid w:val="007F370A"/>
    <w:rsid w:val="007F7554"/>
    <w:rsid w:val="007F7819"/>
    <w:rsid w:val="00800A85"/>
    <w:rsid w:val="008053DB"/>
    <w:rsid w:val="0081228A"/>
    <w:rsid w:val="00813829"/>
    <w:rsid w:val="008143C6"/>
    <w:rsid w:val="0082126B"/>
    <w:rsid w:val="00821D3B"/>
    <w:rsid w:val="00821F61"/>
    <w:rsid w:val="00822DB1"/>
    <w:rsid w:val="0083448D"/>
    <w:rsid w:val="008400F8"/>
    <w:rsid w:val="00844AF6"/>
    <w:rsid w:val="0085630A"/>
    <w:rsid w:val="00856AA6"/>
    <w:rsid w:val="00857297"/>
    <w:rsid w:val="0086069D"/>
    <w:rsid w:val="00861332"/>
    <w:rsid w:val="008634E7"/>
    <w:rsid w:val="00863571"/>
    <w:rsid w:val="00865160"/>
    <w:rsid w:val="00871CEA"/>
    <w:rsid w:val="00890A33"/>
    <w:rsid w:val="00893779"/>
    <w:rsid w:val="00893DB1"/>
    <w:rsid w:val="008A1562"/>
    <w:rsid w:val="008A3703"/>
    <w:rsid w:val="008A4FDC"/>
    <w:rsid w:val="008B0F77"/>
    <w:rsid w:val="008B2A2D"/>
    <w:rsid w:val="008C4603"/>
    <w:rsid w:val="008D0D0C"/>
    <w:rsid w:val="008E134F"/>
    <w:rsid w:val="008E2606"/>
    <w:rsid w:val="008F4392"/>
    <w:rsid w:val="008F5C0F"/>
    <w:rsid w:val="008F77B5"/>
    <w:rsid w:val="009035DF"/>
    <w:rsid w:val="00905F59"/>
    <w:rsid w:val="00906AD7"/>
    <w:rsid w:val="0091385E"/>
    <w:rsid w:val="00920999"/>
    <w:rsid w:val="009225F0"/>
    <w:rsid w:val="009264FD"/>
    <w:rsid w:val="009325DC"/>
    <w:rsid w:val="00934D92"/>
    <w:rsid w:val="00934EE9"/>
    <w:rsid w:val="0094358D"/>
    <w:rsid w:val="00966DC3"/>
    <w:rsid w:val="00972386"/>
    <w:rsid w:val="009732F1"/>
    <w:rsid w:val="009746A8"/>
    <w:rsid w:val="00976D78"/>
    <w:rsid w:val="00984A6F"/>
    <w:rsid w:val="00985F4C"/>
    <w:rsid w:val="0099303E"/>
    <w:rsid w:val="009A0A75"/>
    <w:rsid w:val="009C0433"/>
    <w:rsid w:val="009C0A27"/>
    <w:rsid w:val="009C34DC"/>
    <w:rsid w:val="009C4179"/>
    <w:rsid w:val="009C4406"/>
    <w:rsid w:val="009D1C67"/>
    <w:rsid w:val="009D1EF9"/>
    <w:rsid w:val="009D3416"/>
    <w:rsid w:val="009E15FC"/>
    <w:rsid w:val="009E4D53"/>
    <w:rsid w:val="009F3F84"/>
    <w:rsid w:val="009F680F"/>
    <w:rsid w:val="009F6CAB"/>
    <w:rsid w:val="00A01341"/>
    <w:rsid w:val="00A03457"/>
    <w:rsid w:val="00A05173"/>
    <w:rsid w:val="00A10F1C"/>
    <w:rsid w:val="00A1105A"/>
    <w:rsid w:val="00A21457"/>
    <w:rsid w:val="00A232FA"/>
    <w:rsid w:val="00A31D90"/>
    <w:rsid w:val="00A32C47"/>
    <w:rsid w:val="00A34CA6"/>
    <w:rsid w:val="00A3531D"/>
    <w:rsid w:val="00A35C30"/>
    <w:rsid w:val="00A37DDA"/>
    <w:rsid w:val="00A46CD9"/>
    <w:rsid w:val="00A57609"/>
    <w:rsid w:val="00A608AE"/>
    <w:rsid w:val="00A70B0F"/>
    <w:rsid w:val="00A74764"/>
    <w:rsid w:val="00A75442"/>
    <w:rsid w:val="00A8006E"/>
    <w:rsid w:val="00A828E2"/>
    <w:rsid w:val="00A83218"/>
    <w:rsid w:val="00A9061E"/>
    <w:rsid w:val="00AA1D7C"/>
    <w:rsid w:val="00AA3704"/>
    <w:rsid w:val="00AA522C"/>
    <w:rsid w:val="00AB0FB1"/>
    <w:rsid w:val="00AB4C94"/>
    <w:rsid w:val="00AC16D9"/>
    <w:rsid w:val="00AC51A9"/>
    <w:rsid w:val="00AC7F91"/>
    <w:rsid w:val="00AD3A3A"/>
    <w:rsid w:val="00AD3ACB"/>
    <w:rsid w:val="00AD7334"/>
    <w:rsid w:val="00AE1658"/>
    <w:rsid w:val="00AE413C"/>
    <w:rsid w:val="00AF0BCD"/>
    <w:rsid w:val="00AF0C00"/>
    <w:rsid w:val="00AF2284"/>
    <w:rsid w:val="00B1159D"/>
    <w:rsid w:val="00B1342A"/>
    <w:rsid w:val="00B16DB4"/>
    <w:rsid w:val="00B217A5"/>
    <w:rsid w:val="00B22C24"/>
    <w:rsid w:val="00B31F4D"/>
    <w:rsid w:val="00B33291"/>
    <w:rsid w:val="00B33AF8"/>
    <w:rsid w:val="00B34544"/>
    <w:rsid w:val="00B37075"/>
    <w:rsid w:val="00B425CB"/>
    <w:rsid w:val="00B43049"/>
    <w:rsid w:val="00B433AE"/>
    <w:rsid w:val="00B5094A"/>
    <w:rsid w:val="00B5527A"/>
    <w:rsid w:val="00B55A66"/>
    <w:rsid w:val="00B566D4"/>
    <w:rsid w:val="00B618F3"/>
    <w:rsid w:val="00B642E2"/>
    <w:rsid w:val="00B6552D"/>
    <w:rsid w:val="00B81F74"/>
    <w:rsid w:val="00B90E2B"/>
    <w:rsid w:val="00B936C9"/>
    <w:rsid w:val="00B94E1E"/>
    <w:rsid w:val="00BA2DB9"/>
    <w:rsid w:val="00BB26EE"/>
    <w:rsid w:val="00BC2714"/>
    <w:rsid w:val="00BC394F"/>
    <w:rsid w:val="00BD1FB3"/>
    <w:rsid w:val="00BD6AF0"/>
    <w:rsid w:val="00BE7148"/>
    <w:rsid w:val="00BE76F9"/>
    <w:rsid w:val="00BF322D"/>
    <w:rsid w:val="00BF3FD8"/>
    <w:rsid w:val="00BF4CF5"/>
    <w:rsid w:val="00BF5DF0"/>
    <w:rsid w:val="00BF6FF4"/>
    <w:rsid w:val="00C0759F"/>
    <w:rsid w:val="00C1338F"/>
    <w:rsid w:val="00C13D9A"/>
    <w:rsid w:val="00C27374"/>
    <w:rsid w:val="00C307C3"/>
    <w:rsid w:val="00C34267"/>
    <w:rsid w:val="00C45EC1"/>
    <w:rsid w:val="00C51B40"/>
    <w:rsid w:val="00C56D2C"/>
    <w:rsid w:val="00C575E0"/>
    <w:rsid w:val="00C60ABF"/>
    <w:rsid w:val="00C67053"/>
    <w:rsid w:val="00C7114E"/>
    <w:rsid w:val="00C724B8"/>
    <w:rsid w:val="00C74733"/>
    <w:rsid w:val="00C77434"/>
    <w:rsid w:val="00C803E7"/>
    <w:rsid w:val="00C80534"/>
    <w:rsid w:val="00C86098"/>
    <w:rsid w:val="00C87532"/>
    <w:rsid w:val="00C90864"/>
    <w:rsid w:val="00C96E34"/>
    <w:rsid w:val="00CA1A33"/>
    <w:rsid w:val="00CA2EFB"/>
    <w:rsid w:val="00CA4856"/>
    <w:rsid w:val="00CA528D"/>
    <w:rsid w:val="00CC10E1"/>
    <w:rsid w:val="00CC3FC7"/>
    <w:rsid w:val="00CD05CD"/>
    <w:rsid w:val="00CD358B"/>
    <w:rsid w:val="00CD5D14"/>
    <w:rsid w:val="00CD6A3E"/>
    <w:rsid w:val="00CE3CC6"/>
    <w:rsid w:val="00CF3862"/>
    <w:rsid w:val="00CF4817"/>
    <w:rsid w:val="00CF5897"/>
    <w:rsid w:val="00D05A96"/>
    <w:rsid w:val="00D0611A"/>
    <w:rsid w:val="00D111AD"/>
    <w:rsid w:val="00D20E97"/>
    <w:rsid w:val="00D22CE4"/>
    <w:rsid w:val="00D250BE"/>
    <w:rsid w:val="00D25FAE"/>
    <w:rsid w:val="00D30814"/>
    <w:rsid w:val="00D31C28"/>
    <w:rsid w:val="00D36842"/>
    <w:rsid w:val="00D44D5D"/>
    <w:rsid w:val="00D47BB1"/>
    <w:rsid w:val="00D51619"/>
    <w:rsid w:val="00D54A12"/>
    <w:rsid w:val="00D64305"/>
    <w:rsid w:val="00D6556F"/>
    <w:rsid w:val="00D66D79"/>
    <w:rsid w:val="00D74E7B"/>
    <w:rsid w:val="00D75D04"/>
    <w:rsid w:val="00D76B1A"/>
    <w:rsid w:val="00D80DFC"/>
    <w:rsid w:val="00D8163E"/>
    <w:rsid w:val="00D827E9"/>
    <w:rsid w:val="00DA276A"/>
    <w:rsid w:val="00DB0765"/>
    <w:rsid w:val="00DB60DF"/>
    <w:rsid w:val="00DB67D5"/>
    <w:rsid w:val="00DC2C9A"/>
    <w:rsid w:val="00DC514E"/>
    <w:rsid w:val="00DC7D5D"/>
    <w:rsid w:val="00DD04E7"/>
    <w:rsid w:val="00DD1B43"/>
    <w:rsid w:val="00DD77CC"/>
    <w:rsid w:val="00DE14BF"/>
    <w:rsid w:val="00DE49E0"/>
    <w:rsid w:val="00DF0556"/>
    <w:rsid w:val="00DF280D"/>
    <w:rsid w:val="00DF6B70"/>
    <w:rsid w:val="00E0036A"/>
    <w:rsid w:val="00E04641"/>
    <w:rsid w:val="00E04C29"/>
    <w:rsid w:val="00E074C5"/>
    <w:rsid w:val="00E1148F"/>
    <w:rsid w:val="00E13057"/>
    <w:rsid w:val="00E13821"/>
    <w:rsid w:val="00E13EB5"/>
    <w:rsid w:val="00E248E8"/>
    <w:rsid w:val="00E31CE2"/>
    <w:rsid w:val="00E31E62"/>
    <w:rsid w:val="00E32D8D"/>
    <w:rsid w:val="00E33CD5"/>
    <w:rsid w:val="00E3435D"/>
    <w:rsid w:val="00E3457F"/>
    <w:rsid w:val="00E37A38"/>
    <w:rsid w:val="00E40573"/>
    <w:rsid w:val="00E4143A"/>
    <w:rsid w:val="00E543F0"/>
    <w:rsid w:val="00E56852"/>
    <w:rsid w:val="00E66F33"/>
    <w:rsid w:val="00E71E65"/>
    <w:rsid w:val="00E72EE1"/>
    <w:rsid w:val="00E75BBC"/>
    <w:rsid w:val="00E80437"/>
    <w:rsid w:val="00E812FE"/>
    <w:rsid w:val="00E823A4"/>
    <w:rsid w:val="00E83804"/>
    <w:rsid w:val="00E85F70"/>
    <w:rsid w:val="00E86A6E"/>
    <w:rsid w:val="00E93466"/>
    <w:rsid w:val="00EA06F5"/>
    <w:rsid w:val="00EA3600"/>
    <w:rsid w:val="00EA40A0"/>
    <w:rsid w:val="00EA411A"/>
    <w:rsid w:val="00EA4967"/>
    <w:rsid w:val="00EB1279"/>
    <w:rsid w:val="00EB1BAD"/>
    <w:rsid w:val="00EB23ED"/>
    <w:rsid w:val="00EB43BB"/>
    <w:rsid w:val="00EB7AEA"/>
    <w:rsid w:val="00EB7B87"/>
    <w:rsid w:val="00EC0C12"/>
    <w:rsid w:val="00EC5E2E"/>
    <w:rsid w:val="00EC7277"/>
    <w:rsid w:val="00EE4B3D"/>
    <w:rsid w:val="00EE661C"/>
    <w:rsid w:val="00EF3417"/>
    <w:rsid w:val="00EF6BF8"/>
    <w:rsid w:val="00EF7DD9"/>
    <w:rsid w:val="00F01076"/>
    <w:rsid w:val="00F07D46"/>
    <w:rsid w:val="00F14237"/>
    <w:rsid w:val="00F20015"/>
    <w:rsid w:val="00F24B12"/>
    <w:rsid w:val="00F31CA6"/>
    <w:rsid w:val="00F372BD"/>
    <w:rsid w:val="00F416DD"/>
    <w:rsid w:val="00F471FB"/>
    <w:rsid w:val="00F47AC4"/>
    <w:rsid w:val="00F53656"/>
    <w:rsid w:val="00F62006"/>
    <w:rsid w:val="00F64F61"/>
    <w:rsid w:val="00F70C1E"/>
    <w:rsid w:val="00F743C7"/>
    <w:rsid w:val="00F74E38"/>
    <w:rsid w:val="00F76D51"/>
    <w:rsid w:val="00F8359E"/>
    <w:rsid w:val="00F83ABA"/>
    <w:rsid w:val="00F855CB"/>
    <w:rsid w:val="00F934EC"/>
    <w:rsid w:val="00F9624D"/>
    <w:rsid w:val="00FA2053"/>
    <w:rsid w:val="00FA21A2"/>
    <w:rsid w:val="00FB23A3"/>
    <w:rsid w:val="00FB6BBF"/>
    <w:rsid w:val="00FB7B49"/>
    <w:rsid w:val="00FC16BE"/>
    <w:rsid w:val="00FC2340"/>
    <w:rsid w:val="00FC502D"/>
    <w:rsid w:val="00FC5C3A"/>
    <w:rsid w:val="00FC6298"/>
    <w:rsid w:val="00FE388B"/>
    <w:rsid w:val="00FE690E"/>
    <w:rsid w:val="00FF0017"/>
    <w:rsid w:val="00FF09B0"/>
    <w:rsid w:val="00FF3E4A"/>
    <w:rsid w:val="00FF6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5A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E"/>
    <w:rPr>
      <w:rFonts w:ascii="Arial" w:hAnsi="Arial"/>
    </w:rPr>
  </w:style>
  <w:style w:type="paragraph" w:styleId="Footer">
    <w:name w:val="footer"/>
    <w:basedOn w:val="Normal"/>
    <w:link w:val="FooterChar"/>
    <w:uiPriority w:val="99"/>
    <w:unhideWhenUsed/>
    <w:rsid w:val="005A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E"/>
    <w:rPr>
      <w:rFonts w:ascii="Arial" w:hAnsi="Arial"/>
    </w:rPr>
  </w:style>
  <w:style w:type="paragraph" w:styleId="BalloonText">
    <w:name w:val="Balloon Text"/>
    <w:basedOn w:val="Normal"/>
    <w:link w:val="BalloonTextChar"/>
    <w:uiPriority w:val="99"/>
    <w:semiHidden/>
    <w:unhideWhenUsed/>
    <w:rsid w:val="007C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43"/>
    <w:rPr>
      <w:rFonts w:ascii="Tahoma" w:hAnsi="Tahoma" w:cs="Tahoma"/>
      <w:sz w:val="16"/>
      <w:szCs w:val="16"/>
    </w:rPr>
  </w:style>
  <w:style w:type="character" w:styleId="CommentReference">
    <w:name w:val="annotation reference"/>
    <w:basedOn w:val="DefaultParagraphFont"/>
    <w:uiPriority w:val="99"/>
    <w:semiHidden/>
    <w:unhideWhenUsed/>
    <w:rsid w:val="00000D9B"/>
    <w:rPr>
      <w:sz w:val="16"/>
      <w:szCs w:val="16"/>
    </w:rPr>
  </w:style>
  <w:style w:type="paragraph" w:styleId="CommentText">
    <w:name w:val="annotation text"/>
    <w:basedOn w:val="Normal"/>
    <w:link w:val="CommentTextChar"/>
    <w:uiPriority w:val="99"/>
    <w:unhideWhenUsed/>
    <w:rsid w:val="00000D9B"/>
    <w:pPr>
      <w:spacing w:line="240" w:lineRule="auto"/>
    </w:pPr>
    <w:rPr>
      <w:sz w:val="20"/>
      <w:szCs w:val="20"/>
    </w:rPr>
  </w:style>
  <w:style w:type="character" w:customStyle="1" w:styleId="CommentTextChar">
    <w:name w:val="Comment Text Char"/>
    <w:basedOn w:val="DefaultParagraphFont"/>
    <w:link w:val="CommentText"/>
    <w:uiPriority w:val="99"/>
    <w:rsid w:val="00000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0D9B"/>
    <w:rPr>
      <w:b/>
      <w:bCs/>
    </w:rPr>
  </w:style>
  <w:style w:type="character" w:customStyle="1" w:styleId="CommentSubjectChar">
    <w:name w:val="Comment Subject Char"/>
    <w:basedOn w:val="CommentTextChar"/>
    <w:link w:val="CommentSubject"/>
    <w:uiPriority w:val="99"/>
    <w:semiHidden/>
    <w:rsid w:val="00000D9B"/>
    <w:rPr>
      <w:rFonts w:ascii="Arial" w:hAnsi="Arial"/>
      <w:b/>
      <w:bCs/>
      <w:sz w:val="20"/>
      <w:szCs w:val="20"/>
    </w:rPr>
  </w:style>
  <w:style w:type="paragraph" w:customStyle="1" w:styleId="AnthonyHeaderLn3">
    <w:name w:val="Anthony Header Ln 3"/>
    <w:basedOn w:val="Normal"/>
    <w:rsid w:val="00B5527A"/>
    <w:pPr>
      <w:spacing w:after="0" w:line="240" w:lineRule="auto"/>
      <w:jc w:val="center"/>
    </w:pPr>
    <w:rPr>
      <w:rFonts w:eastAsia="Times New Roman" w:cs="Arial"/>
      <w:b/>
      <w:bCs/>
      <w:noProof/>
      <w:sz w:val="24"/>
      <w:szCs w:val="24"/>
    </w:rPr>
  </w:style>
  <w:style w:type="paragraph" w:customStyle="1" w:styleId="NumberLevel1">
    <w:name w:val="Number Level 1"/>
    <w:basedOn w:val="Normal"/>
    <w:rsid w:val="00B5527A"/>
    <w:pPr>
      <w:tabs>
        <w:tab w:val="num" w:pos="0"/>
      </w:tabs>
      <w:spacing w:before="140" w:after="140" w:line="280" w:lineRule="atLeast"/>
      <w:ind w:hanging="709"/>
    </w:pPr>
    <w:rPr>
      <w:rFonts w:eastAsia="Times New Roman" w:cs="Arial"/>
      <w:lang w:eastAsia="en-AU"/>
    </w:rPr>
  </w:style>
  <w:style w:type="character" w:styleId="EndnoteReference">
    <w:name w:val="endnote reference"/>
    <w:rsid w:val="00B5527A"/>
    <w:rPr>
      <w:rFonts w:ascii="Arial" w:hAnsi="Arial" w:cs="Times New Roman"/>
      <w:sz w:val="20"/>
      <w:vertAlign w:val="superscript"/>
    </w:rPr>
  </w:style>
  <w:style w:type="paragraph" w:styleId="EndnoteText">
    <w:name w:val="endnote text"/>
    <w:basedOn w:val="Normal"/>
    <w:link w:val="EndnoteTextChar"/>
    <w:uiPriority w:val="99"/>
    <w:rsid w:val="00B5527A"/>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B5527A"/>
    <w:rPr>
      <w:rFonts w:ascii="Times New Roman" w:eastAsia="Times New Roman" w:hAnsi="Times New Roman" w:cs="Times New Roman"/>
      <w:sz w:val="20"/>
      <w:szCs w:val="20"/>
      <w:lang w:eastAsia="en-AU"/>
    </w:rPr>
  </w:style>
  <w:style w:type="paragraph" w:customStyle="1" w:styleId="RISAttachments-Normal">
    <w:name w:val="RIS Attachments - Normal"/>
    <w:basedOn w:val="Normal"/>
    <w:link w:val="RISAttachments-NormalChar"/>
    <w:rsid w:val="00B5527A"/>
    <w:pPr>
      <w:spacing w:before="180" w:after="240" w:line="240" w:lineRule="auto"/>
    </w:pPr>
    <w:rPr>
      <w:rFonts w:eastAsia="Malgun Gothic" w:cs="Arial"/>
    </w:rPr>
  </w:style>
  <w:style w:type="character" w:customStyle="1" w:styleId="RISAttachments-NormalChar">
    <w:name w:val="RIS Attachments - Normal Char"/>
    <w:link w:val="RISAttachments-Normal"/>
    <w:locked/>
    <w:rsid w:val="00B5527A"/>
    <w:rPr>
      <w:rFonts w:ascii="Arial" w:eastAsia="Malgun Gothic" w:hAnsi="Arial" w:cs="Arial"/>
    </w:rPr>
  </w:style>
  <w:style w:type="character" w:styleId="Hyperlink">
    <w:name w:val="Hyperlink"/>
    <w:basedOn w:val="DefaultParagraphFont"/>
    <w:uiPriority w:val="99"/>
    <w:unhideWhenUsed/>
    <w:rsid w:val="00360123"/>
    <w:rPr>
      <w:color w:val="0000FF" w:themeColor="hyperlink"/>
      <w:u w:val="single"/>
    </w:rPr>
  </w:style>
  <w:style w:type="paragraph" w:styleId="Revision">
    <w:name w:val="Revision"/>
    <w:hidden/>
    <w:uiPriority w:val="99"/>
    <w:semiHidden/>
    <w:rsid w:val="00106F31"/>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5A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E"/>
    <w:rPr>
      <w:rFonts w:ascii="Arial" w:hAnsi="Arial"/>
    </w:rPr>
  </w:style>
  <w:style w:type="paragraph" w:styleId="Footer">
    <w:name w:val="footer"/>
    <w:basedOn w:val="Normal"/>
    <w:link w:val="FooterChar"/>
    <w:uiPriority w:val="99"/>
    <w:unhideWhenUsed/>
    <w:rsid w:val="005A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E"/>
    <w:rPr>
      <w:rFonts w:ascii="Arial" w:hAnsi="Arial"/>
    </w:rPr>
  </w:style>
  <w:style w:type="paragraph" w:styleId="BalloonText">
    <w:name w:val="Balloon Text"/>
    <w:basedOn w:val="Normal"/>
    <w:link w:val="BalloonTextChar"/>
    <w:uiPriority w:val="99"/>
    <w:semiHidden/>
    <w:unhideWhenUsed/>
    <w:rsid w:val="007C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43"/>
    <w:rPr>
      <w:rFonts w:ascii="Tahoma" w:hAnsi="Tahoma" w:cs="Tahoma"/>
      <w:sz w:val="16"/>
      <w:szCs w:val="16"/>
    </w:rPr>
  </w:style>
  <w:style w:type="character" w:styleId="CommentReference">
    <w:name w:val="annotation reference"/>
    <w:basedOn w:val="DefaultParagraphFont"/>
    <w:uiPriority w:val="99"/>
    <w:semiHidden/>
    <w:unhideWhenUsed/>
    <w:rsid w:val="00000D9B"/>
    <w:rPr>
      <w:sz w:val="16"/>
      <w:szCs w:val="16"/>
    </w:rPr>
  </w:style>
  <w:style w:type="paragraph" w:styleId="CommentText">
    <w:name w:val="annotation text"/>
    <w:basedOn w:val="Normal"/>
    <w:link w:val="CommentTextChar"/>
    <w:uiPriority w:val="99"/>
    <w:unhideWhenUsed/>
    <w:rsid w:val="00000D9B"/>
    <w:pPr>
      <w:spacing w:line="240" w:lineRule="auto"/>
    </w:pPr>
    <w:rPr>
      <w:sz w:val="20"/>
      <w:szCs w:val="20"/>
    </w:rPr>
  </w:style>
  <w:style w:type="character" w:customStyle="1" w:styleId="CommentTextChar">
    <w:name w:val="Comment Text Char"/>
    <w:basedOn w:val="DefaultParagraphFont"/>
    <w:link w:val="CommentText"/>
    <w:uiPriority w:val="99"/>
    <w:rsid w:val="00000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0D9B"/>
    <w:rPr>
      <w:b/>
      <w:bCs/>
    </w:rPr>
  </w:style>
  <w:style w:type="character" w:customStyle="1" w:styleId="CommentSubjectChar">
    <w:name w:val="Comment Subject Char"/>
    <w:basedOn w:val="CommentTextChar"/>
    <w:link w:val="CommentSubject"/>
    <w:uiPriority w:val="99"/>
    <w:semiHidden/>
    <w:rsid w:val="00000D9B"/>
    <w:rPr>
      <w:rFonts w:ascii="Arial" w:hAnsi="Arial"/>
      <w:b/>
      <w:bCs/>
      <w:sz w:val="20"/>
      <w:szCs w:val="20"/>
    </w:rPr>
  </w:style>
  <w:style w:type="paragraph" w:customStyle="1" w:styleId="AnthonyHeaderLn3">
    <w:name w:val="Anthony Header Ln 3"/>
    <w:basedOn w:val="Normal"/>
    <w:rsid w:val="00B5527A"/>
    <w:pPr>
      <w:spacing w:after="0" w:line="240" w:lineRule="auto"/>
      <w:jc w:val="center"/>
    </w:pPr>
    <w:rPr>
      <w:rFonts w:eastAsia="Times New Roman" w:cs="Arial"/>
      <w:b/>
      <w:bCs/>
      <w:noProof/>
      <w:sz w:val="24"/>
      <w:szCs w:val="24"/>
    </w:rPr>
  </w:style>
  <w:style w:type="paragraph" w:customStyle="1" w:styleId="NumberLevel1">
    <w:name w:val="Number Level 1"/>
    <w:basedOn w:val="Normal"/>
    <w:rsid w:val="00B5527A"/>
    <w:pPr>
      <w:tabs>
        <w:tab w:val="num" w:pos="0"/>
      </w:tabs>
      <w:spacing w:before="140" w:after="140" w:line="280" w:lineRule="atLeast"/>
      <w:ind w:hanging="709"/>
    </w:pPr>
    <w:rPr>
      <w:rFonts w:eastAsia="Times New Roman" w:cs="Arial"/>
      <w:lang w:eastAsia="en-AU"/>
    </w:rPr>
  </w:style>
  <w:style w:type="character" w:styleId="EndnoteReference">
    <w:name w:val="endnote reference"/>
    <w:rsid w:val="00B5527A"/>
    <w:rPr>
      <w:rFonts w:ascii="Arial" w:hAnsi="Arial" w:cs="Times New Roman"/>
      <w:sz w:val="20"/>
      <w:vertAlign w:val="superscript"/>
    </w:rPr>
  </w:style>
  <w:style w:type="paragraph" w:styleId="EndnoteText">
    <w:name w:val="endnote text"/>
    <w:basedOn w:val="Normal"/>
    <w:link w:val="EndnoteTextChar"/>
    <w:uiPriority w:val="99"/>
    <w:rsid w:val="00B5527A"/>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B5527A"/>
    <w:rPr>
      <w:rFonts w:ascii="Times New Roman" w:eastAsia="Times New Roman" w:hAnsi="Times New Roman" w:cs="Times New Roman"/>
      <w:sz w:val="20"/>
      <w:szCs w:val="20"/>
      <w:lang w:eastAsia="en-AU"/>
    </w:rPr>
  </w:style>
  <w:style w:type="paragraph" w:customStyle="1" w:styleId="RISAttachments-Normal">
    <w:name w:val="RIS Attachments - Normal"/>
    <w:basedOn w:val="Normal"/>
    <w:link w:val="RISAttachments-NormalChar"/>
    <w:rsid w:val="00B5527A"/>
    <w:pPr>
      <w:spacing w:before="180" w:after="240" w:line="240" w:lineRule="auto"/>
    </w:pPr>
    <w:rPr>
      <w:rFonts w:eastAsia="Malgun Gothic" w:cs="Arial"/>
    </w:rPr>
  </w:style>
  <w:style w:type="character" w:customStyle="1" w:styleId="RISAttachments-NormalChar">
    <w:name w:val="RIS Attachments - Normal Char"/>
    <w:link w:val="RISAttachments-Normal"/>
    <w:locked/>
    <w:rsid w:val="00B5527A"/>
    <w:rPr>
      <w:rFonts w:ascii="Arial" w:eastAsia="Malgun Gothic" w:hAnsi="Arial" w:cs="Arial"/>
    </w:rPr>
  </w:style>
  <w:style w:type="character" w:styleId="Hyperlink">
    <w:name w:val="Hyperlink"/>
    <w:basedOn w:val="DefaultParagraphFont"/>
    <w:uiPriority w:val="99"/>
    <w:unhideWhenUsed/>
    <w:rsid w:val="00360123"/>
    <w:rPr>
      <w:color w:val="0000FF" w:themeColor="hyperlink"/>
      <w:u w:val="single"/>
    </w:rPr>
  </w:style>
  <w:style w:type="paragraph" w:styleId="Revision">
    <w:name w:val="Revision"/>
    <w:hidden/>
    <w:uiPriority w:val="99"/>
    <w:semiHidden/>
    <w:rsid w:val="00106F3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50614">
      <w:bodyDiv w:val="1"/>
      <w:marLeft w:val="0"/>
      <w:marRight w:val="0"/>
      <w:marTop w:val="0"/>
      <w:marBottom w:val="0"/>
      <w:divBdr>
        <w:top w:val="none" w:sz="0" w:space="0" w:color="auto"/>
        <w:left w:val="none" w:sz="0" w:space="0" w:color="auto"/>
        <w:bottom w:val="none" w:sz="0" w:space="0" w:color="auto"/>
        <w:right w:val="none" w:sz="0" w:space="0" w:color="auto"/>
      </w:divBdr>
      <w:divsChild>
        <w:div w:id="1328435676">
          <w:marLeft w:val="0"/>
          <w:marRight w:val="0"/>
          <w:marTop w:val="0"/>
          <w:marBottom w:val="0"/>
          <w:divBdr>
            <w:top w:val="none" w:sz="0" w:space="0" w:color="auto"/>
            <w:left w:val="none" w:sz="0" w:space="0" w:color="auto"/>
            <w:bottom w:val="none" w:sz="0" w:space="0" w:color="auto"/>
            <w:right w:val="none" w:sz="0" w:space="0" w:color="auto"/>
          </w:divBdr>
          <w:divsChild>
            <w:div w:id="1695351603">
              <w:marLeft w:val="0"/>
              <w:marRight w:val="0"/>
              <w:marTop w:val="0"/>
              <w:marBottom w:val="0"/>
              <w:divBdr>
                <w:top w:val="none" w:sz="0" w:space="0" w:color="auto"/>
                <w:left w:val="none" w:sz="0" w:space="0" w:color="auto"/>
                <w:bottom w:val="none" w:sz="0" w:space="0" w:color="auto"/>
                <w:right w:val="none" w:sz="0" w:space="0" w:color="auto"/>
              </w:divBdr>
              <w:divsChild>
                <w:div w:id="468208528">
                  <w:marLeft w:val="0"/>
                  <w:marRight w:val="0"/>
                  <w:marTop w:val="0"/>
                  <w:marBottom w:val="0"/>
                  <w:divBdr>
                    <w:top w:val="none" w:sz="0" w:space="0" w:color="auto"/>
                    <w:left w:val="none" w:sz="0" w:space="0" w:color="auto"/>
                    <w:bottom w:val="none" w:sz="0" w:space="0" w:color="auto"/>
                    <w:right w:val="none" w:sz="0" w:space="0" w:color="auto"/>
                  </w:divBdr>
                  <w:divsChild>
                    <w:div w:id="383139702">
                      <w:marLeft w:val="0"/>
                      <w:marRight w:val="0"/>
                      <w:marTop w:val="0"/>
                      <w:marBottom w:val="0"/>
                      <w:divBdr>
                        <w:top w:val="none" w:sz="0" w:space="0" w:color="auto"/>
                        <w:left w:val="none" w:sz="0" w:space="0" w:color="auto"/>
                        <w:bottom w:val="none" w:sz="0" w:space="0" w:color="auto"/>
                        <w:right w:val="none" w:sz="0" w:space="0" w:color="auto"/>
                      </w:divBdr>
                      <w:divsChild>
                        <w:div w:id="1735546797">
                          <w:marLeft w:val="0"/>
                          <w:marRight w:val="0"/>
                          <w:marTop w:val="0"/>
                          <w:marBottom w:val="0"/>
                          <w:divBdr>
                            <w:top w:val="single" w:sz="6" w:space="0" w:color="828282"/>
                            <w:left w:val="single" w:sz="6" w:space="0" w:color="828282"/>
                            <w:bottom w:val="single" w:sz="6" w:space="0" w:color="828282"/>
                            <w:right w:val="single" w:sz="6" w:space="0" w:color="828282"/>
                          </w:divBdr>
                          <w:divsChild>
                            <w:div w:id="432676298">
                              <w:marLeft w:val="0"/>
                              <w:marRight w:val="0"/>
                              <w:marTop w:val="0"/>
                              <w:marBottom w:val="0"/>
                              <w:divBdr>
                                <w:top w:val="none" w:sz="0" w:space="0" w:color="auto"/>
                                <w:left w:val="none" w:sz="0" w:space="0" w:color="auto"/>
                                <w:bottom w:val="none" w:sz="0" w:space="0" w:color="auto"/>
                                <w:right w:val="none" w:sz="0" w:space="0" w:color="auto"/>
                              </w:divBdr>
                              <w:divsChild>
                                <w:div w:id="1981113628">
                                  <w:marLeft w:val="0"/>
                                  <w:marRight w:val="0"/>
                                  <w:marTop w:val="0"/>
                                  <w:marBottom w:val="0"/>
                                  <w:divBdr>
                                    <w:top w:val="none" w:sz="0" w:space="0" w:color="auto"/>
                                    <w:left w:val="none" w:sz="0" w:space="0" w:color="auto"/>
                                    <w:bottom w:val="none" w:sz="0" w:space="0" w:color="auto"/>
                                    <w:right w:val="none" w:sz="0" w:space="0" w:color="auto"/>
                                  </w:divBdr>
                                  <w:divsChild>
                                    <w:div w:id="1192839961">
                                      <w:marLeft w:val="0"/>
                                      <w:marRight w:val="0"/>
                                      <w:marTop w:val="0"/>
                                      <w:marBottom w:val="0"/>
                                      <w:divBdr>
                                        <w:top w:val="none" w:sz="0" w:space="0" w:color="auto"/>
                                        <w:left w:val="none" w:sz="0" w:space="0" w:color="auto"/>
                                        <w:bottom w:val="none" w:sz="0" w:space="0" w:color="auto"/>
                                        <w:right w:val="none" w:sz="0" w:space="0" w:color="auto"/>
                                      </w:divBdr>
                                      <w:divsChild>
                                        <w:div w:id="1554191914">
                                          <w:marLeft w:val="0"/>
                                          <w:marRight w:val="0"/>
                                          <w:marTop w:val="0"/>
                                          <w:marBottom w:val="0"/>
                                          <w:divBdr>
                                            <w:top w:val="none" w:sz="0" w:space="0" w:color="auto"/>
                                            <w:left w:val="none" w:sz="0" w:space="0" w:color="auto"/>
                                            <w:bottom w:val="none" w:sz="0" w:space="0" w:color="auto"/>
                                            <w:right w:val="none" w:sz="0" w:space="0" w:color="auto"/>
                                          </w:divBdr>
                                          <w:divsChild>
                                            <w:div w:id="1152679917">
                                              <w:marLeft w:val="0"/>
                                              <w:marRight w:val="0"/>
                                              <w:marTop w:val="0"/>
                                              <w:marBottom w:val="0"/>
                                              <w:divBdr>
                                                <w:top w:val="none" w:sz="0" w:space="0" w:color="auto"/>
                                                <w:left w:val="none" w:sz="0" w:space="0" w:color="auto"/>
                                                <w:bottom w:val="none" w:sz="0" w:space="0" w:color="auto"/>
                                                <w:right w:val="none" w:sz="0" w:space="0" w:color="auto"/>
                                              </w:divBdr>
                                              <w:divsChild>
                                                <w:div w:id="1420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529435">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1146972041">
      <w:bodyDiv w:val="1"/>
      <w:marLeft w:val="0"/>
      <w:marRight w:val="0"/>
      <w:marTop w:val="0"/>
      <w:marBottom w:val="0"/>
      <w:divBdr>
        <w:top w:val="none" w:sz="0" w:space="0" w:color="auto"/>
        <w:left w:val="none" w:sz="0" w:space="0" w:color="auto"/>
        <w:bottom w:val="none" w:sz="0" w:space="0" w:color="auto"/>
        <w:right w:val="none" w:sz="0" w:space="0" w:color="auto"/>
      </w:divBdr>
    </w:div>
    <w:div w:id="1174876174">
      <w:bodyDiv w:val="1"/>
      <w:marLeft w:val="0"/>
      <w:marRight w:val="0"/>
      <w:marTop w:val="0"/>
      <w:marBottom w:val="0"/>
      <w:divBdr>
        <w:top w:val="none" w:sz="0" w:space="0" w:color="auto"/>
        <w:left w:val="none" w:sz="0" w:space="0" w:color="auto"/>
        <w:bottom w:val="none" w:sz="0" w:space="0" w:color="auto"/>
        <w:right w:val="none" w:sz="0" w:space="0" w:color="auto"/>
      </w:divBdr>
      <w:divsChild>
        <w:div w:id="1864971543">
          <w:marLeft w:val="0"/>
          <w:marRight w:val="0"/>
          <w:marTop w:val="0"/>
          <w:marBottom w:val="0"/>
          <w:divBdr>
            <w:top w:val="none" w:sz="0" w:space="0" w:color="auto"/>
            <w:left w:val="none" w:sz="0" w:space="0" w:color="auto"/>
            <w:bottom w:val="none" w:sz="0" w:space="0" w:color="auto"/>
            <w:right w:val="none" w:sz="0" w:space="0" w:color="auto"/>
          </w:divBdr>
          <w:divsChild>
            <w:div w:id="1820729189">
              <w:marLeft w:val="0"/>
              <w:marRight w:val="0"/>
              <w:marTop w:val="0"/>
              <w:marBottom w:val="0"/>
              <w:divBdr>
                <w:top w:val="none" w:sz="0" w:space="0" w:color="auto"/>
                <w:left w:val="none" w:sz="0" w:space="0" w:color="auto"/>
                <w:bottom w:val="none" w:sz="0" w:space="0" w:color="auto"/>
                <w:right w:val="none" w:sz="0" w:space="0" w:color="auto"/>
              </w:divBdr>
              <w:divsChild>
                <w:div w:id="1150756929">
                  <w:marLeft w:val="0"/>
                  <w:marRight w:val="0"/>
                  <w:marTop w:val="0"/>
                  <w:marBottom w:val="0"/>
                  <w:divBdr>
                    <w:top w:val="none" w:sz="0" w:space="0" w:color="auto"/>
                    <w:left w:val="none" w:sz="0" w:space="0" w:color="auto"/>
                    <w:bottom w:val="none" w:sz="0" w:space="0" w:color="auto"/>
                    <w:right w:val="none" w:sz="0" w:space="0" w:color="auto"/>
                  </w:divBdr>
                  <w:divsChild>
                    <w:div w:id="1772048898">
                      <w:marLeft w:val="0"/>
                      <w:marRight w:val="0"/>
                      <w:marTop w:val="0"/>
                      <w:marBottom w:val="0"/>
                      <w:divBdr>
                        <w:top w:val="none" w:sz="0" w:space="0" w:color="auto"/>
                        <w:left w:val="none" w:sz="0" w:space="0" w:color="auto"/>
                        <w:bottom w:val="none" w:sz="0" w:space="0" w:color="auto"/>
                        <w:right w:val="none" w:sz="0" w:space="0" w:color="auto"/>
                      </w:divBdr>
                      <w:divsChild>
                        <w:div w:id="918101163">
                          <w:marLeft w:val="0"/>
                          <w:marRight w:val="0"/>
                          <w:marTop w:val="0"/>
                          <w:marBottom w:val="0"/>
                          <w:divBdr>
                            <w:top w:val="single" w:sz="6" w:space="0" w:color="828282"/>
                            <w:left w:val="single" w:sz="6" w:space="0" w:color="828282"/>
                            <w:bottom w:val="single" w:sz="6" w:space="0" w:color="828282"/>
                            <w:right w:val="single" w:sz="6" w:space="0" w:color="828282"/>
                          </w:divBdr>
                          <w:divsChild>
                            <w:div w:id="679045983">
                              <w:marLeft w:val="0"/>
                              <w:marRight w:val="0"/>
                              <w:marTop w:val="0"/>
                              <w:marBottom w:val="0"/>
                              <w:divBdr>
                                <w:top w:val="none" w:sz="0" w:space="0" w:color="auto"/>
                                <w:left w:val="none" w:sz="0" w:space="0" w:color="auto"/>
                                <w:bottom w:val="none" w:sz="0" w:space="0" w:color="auto"/>
                                <w:right w:val="none" w:sz="0" w:space="0" w:color="auto"/>
                              </w:divBdr>
                              <w:divsChild>
                                <w:div w:id="1470126884">
                                  <w:marLeft w:val="0"/>
                                  <w:marRight w:val="0"/>
                                  <w:marTop w:val="0"/>
                                  <w:marBottom w:val="0"/>
                                  <w:divBdr>
                                    <w:top w:val="none" w:sz="0" w:space="0" w:color="auto"/>
                                    <w:left w:val="none" w:sz="0" w:space="0" w:color="auto"/>
                                    <w:bottom w:val="none" w:sz="0" w:space="0" w:color="auto"/>
                                    <w:right w:val="none" w:sz="0" w:space="0" w:color="auto"/>
                                  </w:divBdr>
                                  <w:divsChild>
                                    <w:div w:id="2090687774">
                                      <w:marLeft w:val="0"/>
                                      <w:marRight w:val="0"/>
                                      <w:marTop w:val="0"/>
                                      <w:marBottom w:val="0"/>
                                      <w:divBdr>
                                        <w:top w:val="none" w:sz="0" w:space="0" w:color="auto"/>
                                        <w:left w:val="none" w:sz="0" w:space="0" w:color="auto"/>
                                        <w:bottom w:val="none" w:sz="0" w:space="0" w:color="auto"/>
                                        <w:right w:val="none" w:sz="0" w:space="0" w:color="auto"/>
                                      </w:divBdr>
                                      <w:divsChild>
                                        <w:div w:id="2123259066">
                                          <w:marLeft w:val="0"/>
                                          <w:marRight w:val="0"/>
                                          <w:marTop w:val="0"/>
                                          <w:marBottom w:val="0"/>
                                          <w:divBdr>
                                            <w:top w:val="none" w:sz="0" w:space="0" w:color="auto"/>
                                            <w:left w:val="none" w:sz="0" w:space="0" w:color="auto"/>
                                            <w:bottom w:val="none" w:sz="0" w:space="0" w:color="auto"/>
                                            <w:right w:val="none" w:sz="0" w:space="0" w:color="auto"/>
                                          </w:divBdr>
                                          <w:divsChild>
                                            <w:div w:id="1915584254">
                                              <w:marLeft w:val="0"/>
                                              <w:marRight w:val="0"/>
                                              <w:marTop w:val="0"/>
                                              <w:marBottom w:val="0"/>
                                              <w:divBdr>
                                                <w:top w:val="none" w:sz="0" w:space="0" w:color="auto"/>
                                                <w:left w:val="none" w:sz="0" w:space="0" w:color="auto"/>
                                                <w:bottom w:val="none" w:sz="0" w:space="0" w:color="auto"/>
                                                <w:right w:val="none" w:sz="0" w:space="0" w:color="auto"/>
                                              </w:divBdr>
                                              <w:divsChild>
                                                <w:div w:id="11981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107703">
      <w:bodyDiv w:val="1"/>
      <w:marLeft w:val="0"/>
      <w:marRight w:val="0"/>
      <w:marTop w:val="0"/>
      <w:marBottom w:val="0"/>
      <w:divBdr>
        <w:top w:val="none" w:sz="0" w:space="0" w:color="auto"/>
        <w:left w:val="none" w:sz="0" w:space="0" w:color="auto"/>
        <w:bottom w:val="none" w:sz="0" w:space="0" w:color="auto"/>
        <w:right w:val="none" w:sz="0" w:space="0" w:color="auto"/>
      </w:divBdr>
    </w:div>
    <w:div w:id="1419444921">
      <w:bodyDiv w:val="1"/>
      <w:marLeft w:val="0"/>
      <w:marRight w:val="0"/>
      <w:marTop w:val="0"/>
      <w:marBottom w:val="0"/>
      <w:divBdr>
        <w:top w:val="none" w:sz="0" w:space="0" w:color="auto"/>
        <w:left w:val="none" w:sz="0" w:space="0" w:color="auto"/>
        <w:bottom w:val="none" w:sz="0" w:space="0" w:color="auto"/>
        <w:right w:val="none" w:sz="0" w:space="0" w:color="auto"/>
      </w:divBdr>
    </w:div>
    <w:div w:id="1518346365">
      <w:bodyDiv w:val="1"/>
      <w:marLeft w:val="0"/>
      <w:marRight w:val="0"/>
      <w:marTop w:val="0"/>
      <w:marBottom w:val="0"/>
      <w:divBdr>
        <w:top w:val="none" w:sz="0" w:space="0" w:color="auto"/>
        <w:left w:val="none" w:sz="0" w:space="0" w:color="auto"/>
        <w:bottom w:val="none" w:sz="0" w:space="0" w:color="auto"/>
        <w:right w:val="none" w:sz="0" w:space="0" w:color="auto"/>
      </w:divBdr>
    </w:div>
    <w:div w:id="1526477433">
      <w:bodyDiv w:val="1"/>
      <w:marLeft w:val="0"/>
      <w:marRight w:val="0"/>
      <w:marTop w:val="0"/>
      <w:marBottom w:val="0"/>
      <w:divBdr>
        <w:top w:val="none" w:sz="0" w:space="0" w:color="auto"/>
        <w:left w:val="none" w:sz="0" w:space="0" w:color="auto"/>
        <w:bottom w:val="none" w:sz="0" w:space="0" w:color="auto"/>
        <w:right w:val="none" w:sz="0" w:space="0" w:color="auto"/>
      </w:divBdr>
      <w:divsChild>
        <w:div w:id="427625595">
          <w:marLeft w:val="0"/>
          <w:marRight w:val="0"/>
          <w:marTop w:val="0"/>
          <w:marBottom w:val="0"/>
          <w:divBdr>
            <w:top w:val="none" w:sz="0" w:space="0" w:color="auto"/>
            <w:left w:val="none" w:sz="0" w:space="0" w:color="auto"/>
            <w:bottom w:val="none" w:sz="0" w:space="0" w:color="auto"/>
            <w:right w:val="none" w:sz="0" w:space="0" w:color="auto"/>
          </w:divBdr>
          <w:divsChild>
            <w:div w:id="2004503308">
              <w:marLeft w:val="0"/>
              <w:marRight w:val="0"/>
              <w:marTop w:val="0"/>
              <w:marBottom w:val="0"/>
              <w:divBdr>
                <w:top w:val="none" w:sz="0" w:space="0" w:color="auto"/>
                <w:left w:val="none" w:sz="0" w:space="0" w:color="auto"/>
                <w:bottom w:val="none" w:sz="0" w:space="0" w:color="auto"/>
                <w:right w:val="none" w:sz="0" w:space="0" w:color="auto"/>
              </w:divBdr>
              <w:divsChild>
                <w:div w:id="359815441">
                  <w:marLeft w:val="15"/>
                  <w:marRight w:val="15"/>
                  <w:marTop w:val="0"/>
                  <w:marBottom w:val="0"/>
                  <w:divBdr>
                    <w:top w:val="single" w:sz="6" w:space="0" w:color="FFFFFF"/>
                    <w:left w:val="single" w:sz="6" w:space="0" w:color="FFFFFF"/>
                    <w:bottom w:val="single" w:sz="6" w:space="11" w:color="FFFFFF"/>
                    <w:right w:val="single" w:sz="6" w:space="0" w:color="FFFFFF"/>
                  </w:divBdr>
                  <w:divsChild>
                    <w:div w:id="283193441">
                      <w:marLeft w:val="300"/>
                      <w:marRight w:val="300"/>
                      <w:marTop w:val="300"/>
                      <w:marBottom w:val="0"/>
                      <w:divBdr>
                        <w:top w:val="none" w:sz="0" w:space="0" w:color="auto"/>
                        <w:left w:val="none" w:sz="0" w:space="0" w:color="auto"/>
                        <w:bottom w:val="none" w:sz="0" w:space="0" w:color="auto"/>
                        <w:right w:val="none" w:sz="0" w:space="0" w:color="auto"/>
                      </w:divBdr>
                      <w:divsChild>
                        <w:div w:id="2014381644">
                          <w:marLeft w:val="0"/>
                          <w:marRight w:val="0"/>
                          <w:marTop w:val="0"/>
                          <w:marBottom w:val="15"/>
                          <w:divBdr>
                            <w:top w:val="single" w:sz="6" w:space="12" w:color="C8C8C8"/>
                            <w:left w:val="single" w:sz="6" w:space="15" w:color="C8C8C8"/>
                            <w:bottom w:val="single" w:sz="6" w:space="0" w:color="C8C8C8"/>
                            <w:right w:val="single" w:sz="6" w:space="15" w:color="C8C8C8"/>
                          </w:divBdr>
                          <w:divsChild>
                            <w:div w:id="1324160275">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024443">
      <w:bodyDiv w:val="1"/>
      <w:marLeft w:val="0"/>
      <w:marRight w:val="0"/>
      <w:marTop w:val="0"/>
      <w:marBottom w:val="0"/>
      <w:divBdr>
        <w:top w:val="none" w:sz="0" w:space="0" w:color="auto"/>
        <w:left w:val="none" w:sz="0" w:space="0" w:color="auto"/>
        <w:bottom w:val="none" w:sz="0" w:space="0" w:color="auto"/>
        <w:right w:val="none" w:sz="0" w:space="0" w:color="auto"/>
      </w:divBdr>
    </w:div>
    <w:div w:id="1871256075">
      <w:bodyDiv w:val="1"/>
      <w:marLeft w:val="0"/>
      <w:marRight w:val="0"/>
      <w:marTop w:val="0"/>
      <w:marBottom w:val="0"/>
      <w:divBdr>
        <w:top w:val="none" w:sz="0" w:space="0" w:color="auto"/>
        <w:left w:val="none" w:sz="0" w:space="0" w:color="auto"/>
        <w:bottom w:val="none" w:sz="0" w:space="0" w:color="auto"/>
        <w:right w:val="none" w:sz="0" w:space="0" w:color="auto"/>
      </w:divBdr>
    </w:div>
    <w:div w:id="1889340790">
      <w:bodyDiv w:val="1"/>
      <w:marLeft w:val="0"/>
      <w:marRight w:val="0"/>
      <w:marTop w:val="0"/>
      <w:marBottom w:val="0"/>
      <w:divBdr>
        <w:top w:val="none" w:sz="0" w:space="0" w:color="auto"/>
        <w:left w:val="none" w:sz="0" w:space="0" w:color="auto"/>
        <w:bottom w:val="none" w:sz="0" w:space="0" w:color="auto"/>
        <w:right w:val="none" w:sz="0" w:space="0" w:color="auto"/>
      </w:divBdr>
      <w:divsChild>
        <w:div w:id="111093082">
          <w:marLeft w:val="0"/>
          <w:marRight w:val="0"/>
          <w:marTop w:val="0"/>
          <w:marBottom w:val="0"/>
          <w:divBdr>
            <w:top w:val="single" w:sz="6" w:space="8" w:color="B8B8B8"/>
            <w:left w:val="none" w:sz="0" w:space="0" w:color="auto"/>
            <w:bottom w:val="none" w:sz="0" w:space="0" w:color="auto"/>
            <w:right w:val="none" w:sz="0" w:space="0" w:color="auto"/>
          </w:divBdr>
          <w:divsChild>
            <w:div w:id="890845385">
              <w:marLeft w:val="2"/>
              <w:marRight w:val="2"/>
              <w:marTop w:val="0"/>
              <w:marBottom w:val="0"/>
              <w:divBdr>
                <w:top w:val="single" w:sz="6" w:space="8" w:color="CDCCD4"/>
                <w:left w:val="single" w:sz="6" w:space="8" w:color="CDCCD4"/>
                <w:bottom w:val="single" w:sz="6" w:space="8" w:color="CDCCD4"/>
                <w:right w:val="single" w:sz="6" w:space="4" w:color="CDCCD4"/>
              </w:divBdr>
              <w:divsChild>
                <w:div w:id="364336165">
                  <w:marLeft w:val="0"/>
                  <w:marRight w:val="0"/>
                  <w:marTop w:val="75"/>
                  <w:marBottom w:val="75"/>
                  <w:divBdr>
                    <w:top w:val="single" w:sz="6" w:space="8" w:color="CCCCD4"/>
                    <w:left w:val="single" w:sz="6" w:space="8" w:color="CCCCD4"/>
                    <w:bottom w:val="single" w:sz="6" w:space="8" w:color="CCCCD4"/>
                    <w:right w:val="single" w:sz="6" w:space="8" w:color="CCCCD4"/>
                  </w:divBdr>
                  <w:divsChild>
                    <w:div w:id="10314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19593163AFFD4093B1A3AF7AAC1FA1" ma:contentTypeVersion="11" ma:contentTypeDescription="Ddocs' Word Content Type" ma:contentTypeScope="" ma:versionID="1e33ed62094b2d2660b9ee50cc2c9589">
  <xsd:schema xmlns:xsd="http://www.w3.org/2001/XMLSchema" xmlns:xs="http://www.w3.org/2001/XMLSchema" xmlns:p="http://schemas.microsoft.com/office/2006/metadata/properties" xmlns:ns2="http://schemas.microsoft.com/sharepoint/v3/fields" xmlns:ns3="7cc041be-b124-475b-b2c8-28c64a1ad968" targetNamespace="http://schemas.microsoft.com/office/2006/metadata/properties" ma:root="true" ma:fieldsID="c3118f6a6f2b4cb5137b5c64f99aff40" ns2:_="" ns3:_="">
    <xsd:import namespace="http://schemas.microsoft.com/sharepoint/v3/fields"/>
    <xsd:import namespace="7cc041be-b124-475b-b2c8-28c64a1ad968"/>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041be-b124-475b-b2c8-28c64a1ad968"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ED80-9085-4C38-94F0-5916E5B2BF19}">
  <ds:schemaRefs>
    <ds:schemaRef ds:uri="http://schemas.microsoft.com/office/infopath/2007/PartnerControls"/>
    <ds:schemaRef ds:uri="http://schemas.microsoft.com/sharepoint/v3/fields"/>
    <ds:schemaRef ds:uri="http://schemas.microsoft.com/office/2006/documentManagement/types"/>
    <ds:schemaRef ds:uri="http://purl.org/dc/dcmitype/"/>
    <ds:schemaRef ds:uri="http://www.w3.org/XML/1998/namespace"/>
    <ds:schemaRef ds:uri="http://schemas.openxmlformats.org/package/2006/metadata/core-properties"/>
    <ds:schemaRef ds:uri="7cc041be-b124-475b-b2c8-28c64a1ad968"/>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A785D192-CF6F-4396-A271-A53FD4911776}">
  <ds:schemaRefs>
    <ds:schemaRef ds:uri="http://schemas.microsoft.com/sharepoint/events"/>
  </ds:schemaRefs>
</ds:datastoreItem>
</file>

<file path=customXml/itemProps3.xml><?xml version="1.0" encoding="utf-8"?>
<ds:datastoreItem xmlns:ds="http://schemas.openxmlformats.org/officeDocument/2006/customXml" ds:itemID="{8A9855D5-2033-46C2-BA35-4D2E3045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cc041be-b124-475b-b2c8-28c64a1ad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56968-6867-4FF8-9395-1BE87A2C7AB8}">
  <ds:schemaRefs>
    <ds:schemaRef ds:uri="office.server.policy"/>
  </ds:schemaRefs>
</ds:datastoreItem>
</file>

<file path=customXml/itemProps5.xml><?xml version="1.0" encoding="utf-8"?>
<ds:datastoreItem xmlns:ds="http://schemas.openxmlformats.org/officeDocument/2006/customXml" ds:itemID="{050D8870-806C-4098-9E6B-155E7081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86CA707B.dotm</Template>
  <TotalTime>0</TotalTime>
  <Pages>5</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2014-03-25T03:00:00Z</dcterms:created>
  <dcterms:modified xsi:type="dcterms:W3CDTF">2014-03-26T04:37:00Z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0x0101009EDC4876AF524A70BD125A9D2C0D191E0C00C919593163AFFD4093B1A3AF7AAC1FA1</vt:lpwstr>
  </property>
  <property fmtid="{D5CDD505-2E9C-101B-9397-08002B2CF9AE}" pid="3" name="ItemRetentionFormula">
    <vt:lpwstr/>
  </property>
  <property fmtid="{D5CDD505-2E9C-101B-9397-08002B2CF9AE}" pid="4" name="_dlc_policyId">
    <vt:lpwstr/>
  </property>
</Properties>
</file>