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99" w:rsidRPr="00A52A3E" w:rsidRDefault="00E06799" w:rsidP="00E06799">
      <w:pPr>
        <w:jc w:val="center"/>
        <w:rPr>
          <w:szCs w:val="20"/>
          <w:lang w:eastAsia="en-US"/>
        </w:rPr>
      </w:pPr>
      <w:bookmarkStart w:id="0" w:name="_GoBack"/>
      <w:bookmarkEnd w:id="0"/>
      <w:r w:rsidRPr="00A52A3E">
        <w:rPr>
          <w:b/>
          <w:bCs/>
          <w:szCs w:val="20"/>
          <w:u w:val="single"/>
          <w:lang w:eastAsia="en-US"/>
        </w:rPr>
        <w:t>EXPLANATORY STATEMENT</w:t>
      </w:r>
    </w:p>
    <w:p w:rsidR="00E06799" w:rsidRPr="00A52A3E" w:rsidRDefault="00E06799" w:rsidP="00E06799">
      <w:pPr>
        <w:rPr>
          <w:szCs w:val="20"/>
          <w:lang w:eastAsia="en-US"/>
        </w:rPr>
      </w:pPr>
    </w:p>
    <w:p w:rsidR="00E06799" w:rsidRPr="00A52A3E" w:rsidRDefault="00E06799" w:rsidP="00E06799">
      <w:pPr>
        <w:jc w:val="center"/>
        <w:rPr>
          <w:b/>
          <w:bCs/>
          <w:szCs w:val="20"/>
          <w:u w:val="single"/>
          <w:lang w:eastAsia="en-US"/>
        </w:rPr>
      </w:pPr>
    </w:p>
    <w:p w:rsidR="00E06799" w:rsidRPr="00A52A3E" w:rsidRDefault="00E06799" w:rsidP="00E06799">
      <w:pPr>
        <w:jc w:val="center"/>
        <w:rPr>
          <w:bCs/>
          <w:szCs w:val="20"/>
          <w:lang w:eastAsia="en-US"/>
        </w:rPr>
      </w:pPr>
      <w:r w:rsidRPr="00A52A3E">
        <w:rPr>
          <w:bCs/>
          <w:szCs w:val="20"/>
          <w:lang w:eastAsia="en-US"/>
        </w:rPr>
        <w:t xml:space="preserve">Issued by the authority of the </w:t>
      </w:r>
      <w:r w:rsidR="001E29DA">
        <w:rPr>
          <w:bCs/>
          <w:szCs w:val="20"/>
          <w:lang w:eastAsia="en-US"/>
        </w:rPr>
        <w:t>Presiding Officers</w:t>
      </w:r>
    </w:p>
    <w:p w:rsidR="00E06799" w:rsidRPr="00A52A3E" w:rsidRDefault="00E06799" w:rsidP="00E06799">
      <w:pPr>
        <w:jc w:val="center"/>
        <w:rPr>
          <w:szCs w:val="20"/>
          <w:lang w:eastAsia="en-US"/>
        </w:rPr>
      </w:pPr>
    </w:p>
    <w:p w:rsidR="00E06799" w:rsidRPr="00A52A3E" w:rsidRDefault="00E06799" w:rsidP="00E06799">
      <w:pPr>
        <w:jc w:val="center"/>
        <w:rPr>
          <w:szCs w:val="20"/>
          <w:lang w:eastAsia="en-US"/>
        </w:rPr>
      </w:pPr>
      <w:r>
        <w:rPr>
          <w:i/>
          <w:iCs/>
          <w:szCs w:val="20"/>
          <w:lang w:eastAsia="en-US"/>
        </w:rPr>
        <w:t>Parliamentary</w:t>
      </w:r>
      <w:r w:rsidRPr="00A52A3E">
        <w:rPr>
          <w:i/>
          <w:iCs/>
          <w:szCs w:val="20"/>
          <w:lang w:eastAsia="en-US"/>
        </w:rPr>
        <w:t xml:space="preserve"> Service Act 1999</w:t>
      </w:r>
    </w:p>
    <w:p w:rsidR="00E06799" w:rsidRPr="00A52A3E" w:rsidRDefault="00E06799" w:rsidP="00E06799">
      <w:pPr>
        <w:rPr>
          <w:szCs w:val="20"/>
          <w:lang w:eastAsia="en-US"/>
        </w:rPr>
      </w:pPr>
    </w:p>
    <w:p w:rsidR="00E06799" w:rsidRDefault="00E06799" w:rsidP="00BD79A9">
      <w:pPr>
        <w:jc w:val="center"/>
        <w:rPr>
          <w:i/>
          <w:iCs/>
          <w:szCs w:val="20"/>
          <w:lang w:eastAsia="en-US"/>
        </w:rPr>
      </w:pPr>
      <w:r>
        <w:rPr>
          <w:i/>
          <w:iCs/>
          <w:szCs w:val="20"/>
          <w:lang w:eastAsia="en-US"/>
        </w:rPr>
        <w:t>Parliamentary</w:t>
      </w:r>
      <w:r w:rsidRPr="00A52A3E">
        <w:rPr>
          <w:i/>
          <w:iCs/>
          <w:szCs w:val="20"/>
          <w:lang w:eastAsia="en-US"/>
        </w:rPr>
        <w:t xml:space="preserve"> Service </w:t>
      </w:r>
      <w:r w:rsidR="00DC555D">
        <w:rPr>
          <w:i/>
          <w:iCs/>
          <w:szCs w:val="20"/>
          <w:lang w:eastAsia="en-US"/>
        </w:rPr>
        <w:t xml:space="preserve">Amendment </w:t>
      </w:r>
      <w:r w:rsidR="00A774A9">
        <w:rPr>
          <w:i/>
          <w:iCs/>
          <w:szCs w:val="20"/>
          <w:lang w:eastAsia="en-US"/>
        </w:rPr>
        <w:t xml:space="preserve">(Public Interest Disclosure and Other Matters) </w:t>
      </w:r>
      <w:r w:rsidR="00DC555D">
        <w:rPr>
          <w:i/>
          <w:iCs/>
          <w:szCs w:val="20"/>
          <w:lang w:eastAsia="en-US"/>
        </w:rPr>
        <w:t xml:space="preserve">Determination </w:t>
      </w:r>
      <w:r w:rsidR="00A774A9">
        <w:rPr>
          <w:i/>
          <w:iCs/>
          <w:szCs w:val="20"/>
          <w:lang w:eastAsia="en-US"/>
        </w:rPr>
        <w:t>2014</w:t>
      </w:r>
    </w:p>
    <w:p w:rsidR="00BD79A9" w:rsidRPr="00A52A3E" w:rsidRDefault="00BD79A9" w:rsidP="00BD79A9">
      <w:pPr>
        <w:jc w:val="center"/>
        <w:rPr>
          <w:szCs w:val="20"/>
          <w:lang w:eastAsia="en-US"/>
        </w:rPr>
      </w:pPr>
    </w:p>
    <w:p w:rsidR="00812523" w:rsidRDefault="00DC555D" w:rsidP="00D80568">
      <w:pPr>
        <w:spacing w:after="240"/>
        <w:rPr>
          <w:szCs w:val="22"/>
        </w:rPr>
      </w:pPr>
      <w:r w:rsidRPr="00A52A3E">
        <w:rPr>
          <w:lang w:eastAsia="en-US"/>
        </w:rPr>
        <w:t xml:space="preserve">The </w:t>
      </w:r>
      <w:r>
        <w:rPr>
          <w:i/>
          <w:lang w:eastAsia="en-US"/>
        </w:rPr>
        <w:t>Parliamentary</w:t>
      </w:r>
      <w:r w:rsidRPr="00A52A3E">
        <w:rPr>
          <w:i/>
          <w:lang w:eastAsia="en-US"/>
        </w:rPr>
        <w:t xml:space="preserve"> Service Act 1999</w:t>
      </w:r>
      <w:r>
        <w:rPr>
          <w:lang w:eastAsia="en-US"/>
        </w:rPr>
        <w:t xml:space="preserve"> (</w:t>
      </w:r>
      <w:r w:rsidR="002512C2">
        <w:rPr>
          <w:lang w:eastAsia="en-US"/>
        </w:rPr>
        <w:t>‘</w:t>
      </w:r>
      <w:r>
        <w:rPr>
          <w:lang w:eastAsia="en-US"/>
        </w:rPr>
        <w:t>the Act</w:t>
      </w:r>
      <w:r w:rsidR="002512C2">
        <w:rPr>
          <w:lang w:eastAsia="en-US"/>
        </w:rPr>
        <w:t>’</w:t>
      </w:r>
      <w:r w:rsidRPr="00A52A3E">
        <w:rPr>
          <w:lang w:eastAsia="en-US"/>
        </w:rPr>
        <w:t xml:space="preserve">) </w:t>
      </w:r>
      <w:r>
        <w:rPr>
          <w:lang w:eastAsia="en-US"/>
        </w:rPr>
        <w:t>establishes the</w:t>
      </w:r>
      <w:r w:rsidRPr="00A52A3E">
        <w:rPr>
          <w:lang w:eastAsia="en-US"/>
        </w:rPr>
        <w:t xml:space="preserve"> </w:t>
      </w:r>
      <w:r>
        <w:rPr>
          <w:lang w:eastAsia="en-US"/>
        </w:rPr>
        <w:t>Parliamentary</w:t>
      </w:r>
      <w:r w:rsidRPr="00A52A3E">
        <w:rPr>
          <w:lang w:eastAsia="en-US"/>
        </w:rPr>
        <w:t xml:space="preserve"> Service</w:t>
      </w:r>
      <w:r>
        <w:rPr>
          <w:lang w:eastAsia="en-US"/>
        </w:rPr>
        <w:t>. Subsection 71</w:t>
      </w:r>
      <w:r w:rsidRPr="00A52A3E">
        <w:rPr>
          <w:lang w:eastAsia="en-US"/>
        </w:rPr>
        <w:t xml:space="preserve">(1) of the Act provides that the </w:t>
      </w:r>
      <w:r>
        <w:rPr>
          <w:lang w:eastAsia="en-US"/>
        </w:rPr>
        <w:t xml:space="preserve">Presiding Officers </w:t>
      </w:r>
      <w:r w:rsidRPr="00A52A3E">
        <w:rPr>
          <w:lang w:eastAsia="en-US"/>
        </w:rPr>
        <w:t xml:space="preserve">may make </w:t>
      </w:r>
      <w:r>
        <w:rPr>
          <w:lang w:eastAsia="en-US"/>
        </w:rPr>
        <w:t>determinations</w:t>
      </w:r>
      <w:r w:rsidRPr="00A52A3E">
        <w:rPr>
          <w:lang w:eastAsia="en-US"/>
        </w:rPr>
        <w:t xml:space="preserve"> prescribing matters required or permitted by the Act to be prescribed, or necessary or convenient to be prescribed, for carrying out or giving effect to the Act.</w:t>
      </w:r>
      <w:r w:rsidR="00BD79A9">
        <w:rPr>
          <w:lang w:eastAsia="en-US"/>
        </w:rPr>
        <w:t xml:space="preserve"> Subsection 71(1) specifies that the Presiding Officers may make determinations after consulting the Parliamentary Service Commissioner.</w:t>
      </w:r>
    </w:p>
    <w:p w:rsidR="00A028B9" w:rsidRDefault="00944E15" w:rsidP="00A028B9">
      <w:pPr>
        <w:spacing w:after="120"/>
        <w:rPr>
          <w:szCs w:val="20"/>
        </w:rPr>
      </w:pPr>
      <w:r>
        <w:rPr>
          <w:rFonts w:ascii="Times" w:hAnsi="Times" w:cs="Arial"/>
          <w:b/>
          <w:bCs/>
          <w:iCs/>
          <w:sz w:val="26"/>
          <w:szCs w:val="28"/>
        </w:rPr>
        <w:t>Purpose</w:t>
      </w:r>
      <w:r w:rsidR="00CC72DA">
        <w:rPr>
          <w:rFonts w:ascii="Times" w:hAnsi="Times" w:cs="Arial"/>
          <w:b/>
          <w:bCs/>
          <w:iCs/>
          <w:sz w:val="26"/>
          <w:szCs w:val="28"/>
        </w:rPr>
        <w:t xml:space="preserve"> of the amendments</w:t>
      </w:r>
      <w:r w:rsidR="00A028B9" w:rsidRPr="00A7376D">
        <w:rPr>
          <w:szCs w:val="20"/>
        </w:rPr>
        <w:t xml:space="preserve"> </w:t>
      </w:r>
    </w:p>
    <w:p w:rsidR="00CC72DA" w:rsidRDefault="000446F9" w:rsidP="00CC72DA">
      <w:pPr>
        <w:rPr>
          <w:iCs/>
          <w:szCs w:val="20"/>
          <w:lang w:eastAsia="en-US"/>
        </w:rPr>
      </w:pPr>
      <w:r>
        <w:rPr>
          <w:iCs/>
          <w:szCs w:val="20"/>
          <w:lang w:eastAsia="en-US"/>
        </w:rPr>
        <w:t xml:space="preserve">The </w:t>
      </w:r>
      <w:r w:rsidR="003104F7">
        <w:rPr>
          <w:i/>
          <w:iCs/>
          <w:szCs w:val="20"/>
          <w:lang w:eastAsia="en-US"/>
        </w:rPr>
        <w:t>Parliamentary</w:t>
      </w:r>
      <w:r w:rsidR="003104F7" w:rsidRPr="00A52A3E">
        <w:rPr>
          <w:i/>
          <w:iCs/>
          <w:szCs w:val="20"/>
          <w:lang w:eastAsia="en-US"/>
        </w:rPr>
        <w:t xml:space="preserve"> Service </w:t>
      </w:r>
      <w:r w:rsidR="003104F7">
        <w:rPr>
          <w:i/>
          <w:iCs/>
          <w:szCs w:val="20"/>
          <w:lang w:eastAsia="en-US"/>
        </w:rPr>
        <w:t>Amendment (Public Interest Disclosure and Other Matters) Determination 2014</w:t>
      </w:r>
      <w:r w:rsidR="00BD79A9">
        <w:rPr>
          <w:iCs/>
          <w:szCs w:val="20"/>
          <w:lang w:eastAsia="en-US"/>
        </w:rPr>
        <w:t xml:space="preserve"> (</w:t>
      </w:r>
      <w:r w:rsidR="00815901">
        <w:rPr>
          <w:iCs/>
          <w:szCs w:val="20"/>
          <w:lang w:eastAsia="en-US"/>
        </w:rPr>
        <w:t>‘</w:t>
      </w:r>
      <w:r w:rsidR="00BD79A9">
        <w:rPr>
          <w:iCs/>
          <w:szCs w:val="20"/>
          <w:lang w:eastAsia="en-US"/>
        </w:rPr>
        <w:t>th</w:t>
      </w:r>
      <w:r w:rsidR="00815901">
        <w:rPr>
          <w:iCs/>
          <w:szCs w:val="20"/>
          <w:lang w:eastAsia="en-US"/>
        </w:rPr>
        <w:t>e</w:t>
      </w:r>
      <w:r w:rsidR="00BD79A9">
        <w:rPr>
          <w:iCs/>
          <w:szCs w:val="20"/>
          <w:lang w:eastAsia="en-US"/>
        </w:rPr>
        <w:t xml:space="preserve"> </w:t>
      </w:r>
      <w:r w:rsidR="0011081B">
        <w:rPr>
          <w:iCs/>
          <w:szCs w:val="20"/>
          <w:lang w:eastAsia="en-US"/>
        </w:rPr>
        <w:t xml:space="preserve">Amendment </w:t>
      </w:r>
      <w:r w:rsidR="00BD79A9">
        <w:rPr>
          <w:iCs/>
          <w:szCs w:val="20"/>
          <w:lang w:eastAsia="en-US"/>
        </w:rPr>
        <w:t>Determination</w:t>
      </w:r>
      <w:r w:rsidR="00815901">
        <w:rPr>
          <w:iCs/>
          <w:szCs w:val="20"/>
          <w:lang w:eastAsia="en-US"/>
        </w:rPr>
        <w:t>’</w:t>
      </w:r>
      <w:r w:rsidR="00BD79A9">
        <w:rPr>
          <w:iCs/>
          <w:szCs w:val="20"/>
          <w:lang w:eastAsia="en-US"/>
        </w:rPr>
        <w:t xml:space="preserve">) </w:t>
      </w:r>
      <w:r w:rsidR="003A0847">
        <w:rPr>
          <w:iCs/>
          <w:szCs w:val="20"/>
          <w:lang w:eastAsia="en-US"/>
        </w:rPr>
        <w:t xml:space="preserve">amends </w:t>
      </w:r>
      <w:r w:rsidR="003A0847">
        <w:rPr>
          <w:i/>
          <w:iCs/>
          <w:szCs w:val="20"/>
          <w:lang w:eastAsia="en-US"/>
        </w:rPr>
        <w:t>Parliamentary Service Determination 2013</w:t>
      </w:r>
      <w:r w:rsidR="003A0847">
        <w:rPr>
          <w:iCs/>
          <w:szCs w:val="20"/>
          <w:lang w:eastAsia="en-US"/>
        </w:rPr>
        <w:t xml:space="preserve"> (</w:t>
      </w:r>
      <w:r w:rsidR="002512C2">
        <w:rPr>
          <w:iCs/>
          <w:szCs w:val="20"/>
          <w:lang w:eastAsia="en-US"/>
        </w:rPr>
        <w:t>‘</w:t>
      </w:r>
      <w:r w:rsidR="003A0847">
        <w:rPr>
          <w:iCs/>
          <w:szCs w:val="20"/>
          <w:lang w:eastAsia="en-US"/>
        </w:rPr>
        <w:t xml:space="preserve">the </w:t>
      </w:r>
      <w:r w:rsidR="00CC72DA">
        <w:rPr>
          <w:iCs/>
          <w:szCs w:val="20"/>
          <w:lang w:eastAsia="en-US"/>
        </w:rPr>
        <w:t>P</w:t>
      </w:r>
      <w:r w:rsidR="003A0847">
        <w:rPr>
          <w:iCs/>
          <w:szCs w:val="20"/>
          <w:lang w:eastAsia="en-US"/>
        </w:rPr>
        <w:t>rincipal Determination</w:t>
      </w:r>
      <w:r w:rsidR="002512C2">
        <w:rPr>
          <w:iCs/>
          <w:szCs w:val="20"/>
          <w:lang w:eastAsia="en-US"/>
        </w:rPr>
        <w:t>’</w:t>
      </w:r>
      <w:r w:rsidR="003A0847">
        <w:rPr>
          <w:iCs/>
          <w:szCs w:val="20"/>
          <w:lang w:eastAsia="en-US"/>
        </w:rPr>
        <w:t xml:space="preserve">) which came into effect on 1 July 2013. </w:t>
      </w:r>
    </w:p>
    <w:p w:rsidR="00B959FC" w:rsidRDefault="00B959FC" w:rsidP="00D80568">
      <w:pPr>
        <w:spacing w:before="240"/>
        <w:rPr>
          <w:i/>
        </w:rPr>
      </w:pPr>
      <w:r>
        <w:rPr>
          <w:i/>
        </w:rPr>
        <w:t>Public interest disclosures</w:t>
      </w:r>
    </w:p>
    <w:p w:rsidR="00B959FC" w:rsidRPr="00F14DD9" w:rsidRDefault="00B959FC" w:rsidP="00E430A0">
      <w:pPr>
        <w:spacing w:before="240" w:after="120"/>
        <w:rPr>
          <w:szCs w:val="20"/>
          <w:lang w:eastAsia="en-US"/>
        </w:rPr>
      </w:pPr>
      <w:r>
        <w:rPr>
          <w:szCs w:val="20"/>
          <w:lang w:eastAsia="en-US"/>
        </w:rPr>
        <w:t xml:space="preserve">The </w:t>
      </w:r>
      <w:r w:rsidRPr="003100DF">
        <w:rPr>
          <w:i/>
          <w:szCs w:val="20"/>
          <w:lang w:eastAsia="en-US"/>
        </w:rPr>
        <w:t>Public Interest Disclosure Act 2013</w:t>
      </w:r>
      <w:r>
        <w:rPr>
          <w:szCs w:val="20"/>
          <w:lang w:eastAsia="en-US"/>
        </w:rPr>
        <w:t xml:space="preserve"> (‘PID Act’) establishes a framework to encourage and facilitate reporting of wrongdoing by public officials in the Commonwealth public sector. It makes provision for the making </w:t>
      </w:r>
      <w:r w:rsidRPr="007F5130">
        <w:rPr>
          <w:szCs w:val="20"/>
          <w:lang w:eastAsia="en-US"/>
        </w:rPr>
        <w:t>of ‘public interest disclosures’</w:t>
      </w:r>
      <w:r>
        <w:rPr>
          <w:szCs w:val="20"/>
          <w:lang w:eastAsia="en-US"/>
        </w:rPr>
        <w:t xml:space="preserve">, for the investigation of such disclosures, and for the protection of disclosers. The </w:t>
      </w:r>
      <w:r>
        <w:rPr>
          <w:i/>
          <w:szCs w:val="20"/>
          <w:lang w:eastAsia="en-US"/>
        </w:rPr>
        <w:t>Public Interest Disclosure (Consequential Amendments) Act 2013</w:t>
      </w:r>
      <w:r>
        <w:rPr>
          <w:szCs w:val="20"/>
          <w:lang w:eastAsia="en-US"/>
        </w:rPr>
        <w:t xml:space="preserve"> (‘PID Consequential Act’</w:t>
      </w:r>
      <w:r w:rsidRPr="00B5345B">
        <w:rPr>
          <w:szCs w:val="20"/>
          <w:lang w:eastAsia="en-US"/>
        </w:rPr>
        <w:t xml:space="preserve">) repeals the </w:t>
      </w:r>
      <w:r>
        <w:rPr>
          <w:szCs w:val="20"/>
          <w:lang w:eastAsia="en-US"/>
        </w:rPr>
        <w:t>Parliamentary Service</w:t>
      </w:r>
      <w:r w:rsidRPr="00B5345B">
        <w:rPr>
          <w:szCs w:val="20"/>
          <w:lang w:eastAsia="en-US"/>
        </w:rPr>
        <w:t xml:space="preserve"> whistleblowin</w:t>
      </w:r>
      <w:r>
        <w:rPr>
          <w:szCs w:val="20"/>
          <w:lang w:eastAsia="en-US"/>
        </w:rPr>
        <w:t>g scheme in section 16 of the</w:t>
      </w:r>
      <w:r w:rsidRPr="00B5345B">
        <w:rPr>
          <w:szCs w:val="20"/>
          <w:lang w:eastAsia="en-US"/>
        </w:rPr>
        <w:t xml:space="preserve"> Act, as well as the functions of the </w:t>
      </w:r>
      <w:r>
        <w:rPr>
          <w:szCs w:val="20"/>
          <w:lang w:eastAsia="en-US"/>
        </w:rPr>
        <w:t xml:space="preserve">Parliamentary Service </w:t>
      </w:r>
      <w:r w:rsidRPr="00B5345B">
        <w:rPr>
          <w:szCs w:val="20"/>
          <w:lang w:eastAsia="en-US"/>
        </w:rPr>
        <w:t xml:space="preserve">Commissioner </w:t>
      </w:r>
      <w:r>
        <w:rPr>
          <w:szCs w:val="20"/>
          <w:lang w:eastAsia="en-US"/>
        </w:rPr>
        <w:t xml:space="preserve">(‘Commissioner’) </w:t>
      </w:r>
      <w:r w:rsidRPr="00B5345B">
        <w:rPr>
          <w:szCs w:val="20"/>
          <w:lang w:eastAsia="en-US"/>
        </w:rPr>
        <w:t xml:space="preserve">and </w:t>
      </w:r>
      <w:r>
        <w:rPr>
          <w:szCs w:val="20"/>
          <w:lang w:eastAsia="en-US"/>
        </w:rPr>
        <w:t>Parliamentary Service Merit Protection Commissioner (‘MPC’)</w:t>
      </w:r>
      <w:r w:rsidRPr="00B5345B">
        <w:rPr>
          <w:szCs w:val="20"/>
          <w:lang w:eastAsia="en-US"/>
        </w:rPr>
        <w:t xml:space="preserve"> </w:t>
      </w:r>
      <w:r>
        <w:rPr>
          <w:szCs w:val="20"/>
          <w:lang w:eastAsia="en-US"/>
        </w:rPr>
        <w:t>of inquiring</w:t>
      </w:r>
      <w:r w:rsidRPr="00B5345B">
        <w:rPr>
          <w:szCs w:val="20"/>
          <w:lang w:eastAsia="en-US"/>
        </w:rPr>
        <w:t xml:space="preserve"> into whistleblower reports, </w:t>
      </w:r>
      <w:r>
        <w:rPr>
          <w:szCs w:val="20"/>
          <w:lang w:eastAsia="en-US"/>
        </w:rPr>
        <w:t xml:space="preserve">and inserts </w:t>
      </w:r>
      <w:r w:rsidRPr="00B5345B">
        <w:rPr>
          <w:szCs w:val="20"/>
          <w:lang w:eastAsia="en-US"/>
        </w:rPr>
        <w:t xml:space="preserve">new functions for the Commissioner and MPC </w:t>
      </w:r>
      <w:r w:rsidR="00D9736B">
        <w:rPr>
          <w:szCs w:val="20"/>
          <w:lang w:eastAsia="en-US"/>
        </w:rPr>
        <w:t xml:space="preserve">(new paragraphs 40(1)(c) and 48(1)(a) of the Act) </w:t>
      </w:r>
      <w:r w:rsidRPr="00B5345B">
        <w:rPr>
          <w:szCs w:val="20"/>
          <w:lang w:eastAsia="en-US"/>
        </w:rPr>
        <w:t xml:space="preserve">to inquire, subject to </w:t>
      </w:r>
      <w:r>
        <w:rPr>
          <w:szCs w:val="20"/>
          <w:lang w:eastAsia="en-US"/>
        </w:rPr>
        <w:t>determinations</w:t>
      </w:r>
      <w:r w:rsidRPr="00B5345B">
        <w:rPr>
          <w:szCs w:val="20"/>
          <w:lang w:eastAsia="en-US"/>
        </w:rPr>
        <w:t>, into public interest disclosures as defined in the PID Act</w:t>
      </w:r>
      <w:r>
        <w:t>, to the extent that the disclosures relate to alleged breaches of the Parliamentary Service Code of Conduct</w:t>
      </w:r>
      <w:r w:rsidR="00E6442F">
        <w:t xml:space="preserve"> (‘Code of Conduct’)</w:t>
      </w:r>
      <w:r>
        <w:t xml:space="preserve">. </w:t>
      </w:r>
      <w:r w:rsidRPr="002A7C4A">
        <w:t xml:space="preserve">The PID Act </w:t>
      </w:r>
      <w:r>
        <w:t>and the PID Consequential Act ca</w:t>
      </w:r>
      <w:r w:rsidRPr="002A7C4A">
        <w:t>me into effect on 15 January 2014.</w:t>
      </w:r>
    </w:p>
    <w:p w:rsidR="002512C2" w:rsidRDefault="0046736A" w:rsidP="00B959FC">
      <w:r>
        <w:t>Th</w:t>
      </w:r>
      <w:r w:rsidR="00A774A9">
        <w:t>e principal purpose of th</w:t>
      </w:r>
      <w:r w:rsidR="00815901">
        <w:t>e</w:t>
      </w:r>
      <w:r>
        <w:t xml:space="preserve"> Amendment Determination </w:t>
      </w:r>
      <w:r w:rsidR="00A774A9">
        <w:t xml:space="preserve">is to </w:t>
      </w:r>
      <w:r w:rsidR="00D9736B">
        <w:rPr>
          <w:szCs w:val="20"/>
          <w:lang w:eastAsia="en-US"/>
        </w:rPr>
        <w:t>provide details of how the new inquiry powers of the Commissioner and the MPC in paragraphs 40(1</w:t>
      </w:r>
      <w:proofErr w:type="gramStart"/>
      <w:r w:rsidR="00D9736B">
        <w:rPr>
          <w:szCs w:val="20"/>
          <w:lang w:eastAsia="en-US"/>
        </w:rPr>
        <w:t>)(</w:t>
      </w:r>
      <w:proofErr w:type="gramEnd"/>
      <w:r w:rsidR="00D9736B">
        <w:rPr>
          <w:szCs w:val="20"/>
          <w:lang w:eastAsia="en-US"/>
        </w:rPr>
        <w:t>c) and 48(1)(a) of the Act operate alongside the inquiry powers set out in the PID Act</w:t>
      </w:r>
      <w:r w:rsidR="000778A6">
        <w:rPr>
          <w:szCs w:val="20"/>
          <w:lang w:eastAsia="en-US"/>
        </w:rPr>
        <w:t>.</w:t>
      </w:r>
    </w:p>
    <w:p w:rsidR="007E3BF6" w:rsidRDefault="007E3BF6" w:rsidP="007E3BF6"/>
    <w:p w:rsidR="007E3BF6" w:rsidRDefault="007E3BF6" w:rsidP="007E3BF6">
      <w:pPr>
        <w:rPr>
          <w:i/>
        </w:rPr>
      </w:pPr>
      <w:r>
        <w:rPr>
          <w:i/>
        </w:rPr>
        <w:t xml:space="preserve">Code of Conduct </w:t>
      </w:r>
    </w:p>
    <w:p w:rsidR="008301C7" w:rsidRDefault="008301C7" w:rsidP="00E430A0">
      <w:pPr>
        <w:spacing w:before="240" w:after="120"/>
      </w:pPr>
      <w:r>
        <w:t xml:space="preserve">The Principal </w:t>
      </w:r>
      <w:r w:rsidR="000778A6">
        <w:t>Determination</w:t>
      </w:r>
      <w:r>
        <w:t xml:space="preserve"> provide</w:t>
      </w:r>
      <w:r w:rsidR="000778A6">
        <w:t>s</w:t>
      </w:r>
      <w:r>
        <w:t xml:space="preserve"> for the actions </w:t>
      </w:r>
      <w:r w:rsidR="000778A6">
        <w:t>a Secretary</w:t>
      </w:r>
      <w:r>
        <w:t xml:space="preserve"> may take following a recommendation by the MPC in relation to a review of action that relates to a</w:t>
      </w:r>
      <w:r w:rsidR="000778A6">
        <w:t xml:space="preserve"> Parliamentary Service</w:t>
      </w:r>
      <w:r>
        <w:t xml:space="preserve"> employee’s employment (including </w:t>
      </w:r>
      <w:r w:rsidR="005A3C95">
        <w:t>a review</w:t>
      </w:r>
      <w:r>
        <w:t xml:space="preserve"> of </w:t>
      </w:r>
      <w:r w:rsidR="005A3C95">
        <w:t>a finding</w:t>
      </w:r>
      <w:r>
        <w:t xml:space="preserve"> of </w:t>
      </w:r>
      <w:r w:rsidR="005A3C95">
        <w:t>a breach</w:t>
      </w:r>
      <w:r>
        <w:t xml:space="preserve"> of the </w:t>
      </w:r>
      <w:r w:rsidR="005A3C95">
        <w:t>Code of Conduct</w:t>
      </w:r>
      <w:r>
        <w:t xml:space="preserve"> and</w:t>
      </w:r>
      <w:r w:rsidR="005A3C95">
        <w:t>/or a</w:t>
      </w:r>
      <w:r>
        <w:t xml:space="preserve"> sanction decision). The Amendment </w:t>
      </w:r>
      <w:r w:rsidR="00571631">
        <w:t>Determination</w:t>
      </w:r>
      <w:r>
        <w:t xml:space="preserve"> </w:t>
      </w:r>
      <w:r w:rsidRPr="00B5345B">
        <w:t>require</w:t>
      </w:r>
      <w:r>
        <w:t>s</w:t>
      </w:r>
      <w:r w:rsidRPr="00B5345B">
        <w:t xml:space="preserve"> a</w:t>
      </w:r>
      <w:r w:rsidR="000778A6">
        <w:t xml:space="preserve"> Secretary</w:t>
      </w:r>
      <w:r w:rsidRPr="00B5345B">
        <w:t xml:space="preserve"> to follow </w:t>
      </w:r>
      <w:r w:rsidR="000778A6">
        <w:t>the</w:t>
      </w:r>
      <w:r>
        <w:t xml:space="preserve"> written p</w:t>
      </w:r>
      <w:r w:rsidRPr="00B5345B">
        <w:t xml:space="preserve">rocedures </w:t>
      </w:r>
      <w:r w:rsidR="000778A6">
        <w:t xml:space="preserve">established </w:t>
      </w:r>
      <w:r w:rsidRPr="0086677E">
        <w:t xml:space="preserve">under </w:t>
      </w:r>
      <w:r>
        <w:t>sub</w:t>
      </w:r>
      <w:r w:rsidRPr="0086677E">
        <w:t>section 15(3) of the Act</w:t>
      </w:r>
      <w:r>
        <w:t xml:space="preserve"> </w:t>
      </w:r>
      <w:r w:rsidR="000778A6">
        <w:t>if the Secretary</w:t>
      </w:r>
      <w:r w:rsidRPr="00B5345B">
        <w:t xml:space="preserve"> make</w:t>
      </w:r>
      <w:r w:rsidR="000778A6">
        <w:t>s</w:t>
      </w:r>
      <w:r w:rsidRPr="00B5345B">
        <w:t xml:space="preserve"> a breach determination or sanction d</w:t>
      </w:r>
      <w:r w:rsidR="000778A6">
        <w:t>ecision that is different from the Secretary’s</w:t>
      </w:r>
      <w:r w:rsidRPr="00B5345B">
        <w:t xml:space="preserve"> original decision or from the MPC recommendation</w:t>
      </w:r>
      <w:r w:rsidR="005A3C95">
        <w:t xml:space="preserve"> following the</w:t>
      </w:r>
      <w:r>
        <w:t xml:space="preserve"> review by the MPC.</w:t>
      </w:r>
      <w:r w:rsidRPr="0086677E">
        <w:t xml:space="preserve"> </w:t>
      </w:r>
    </w:p>
    <w:p w:rsidR="001C0E0B" w:rsidRPr="001C0E0B" w:rsidRDefault="001C0E0B" w:rsidP="00D80568">
      <w:pPr>
        <w:spacing w:before="240"/>
        <w:rPr>
          <w:i/>
        </w:rPr>
      </w:pPr>
      <w:r w:rsidRPr="001C0E0B">
        <w:rPr>
          <w:i/>
        </w:rPr>
        <w:lastRenderedPageBreak/>
        <w:t>Other changes</w:t>
      </w:r>
    </w:p>
    <w:p w:rsidR="002D0684" w:rsidRDefault="001C0E0B" w:rsidP="00E430A0">
      <w:pPr>
        <w:spacing w:before="240"/>
      </w:pPr>
      <w:r>
        <w:t>The Amendment</w:t>
      </w:r>
      <w:r w:rsidR="002D0684">
        <w:t xml:space="preserve"> Determi</w:t>
      </w:r>
      <w:r w:rsidR="000446F9">
        <w:t xml:space="preserve">nation also makes </w:t>
      </w:r>
      <w:r w:rsidR="002D0684">
        <w:t>minor changes to the Principal Determination</w:t>
      </w:r>
      <w:r w:rsidR="000446F9">
        <w:t>,</w:t>
      </w:r>
      <w:r w:rsidR="002D0684">
        <w:t xml:space="preserve"> to</w:t>
      </w:r>
      <w:r w:rsidR="00110AAA">
        <w:t xml:space="preserve"> clarify provisions in relation to requiring employees to attend medical examinations and to </w:t>
      </w:r>
      <w:r w:rsidR="007E3BF6">
        <w:t>make re</w:t>
      </w:r>
      <w:r w:rsidR="00C344C5">
        <w:t>ference changes consequential on</w:t>
      </w:r>
      <w:r w:rsidR="007E3BF6">
        <w:t xml:space="preserve"> the commencement of the </w:t>
      </w:r>
      <w:r w:rsidR="007E3BF6">
        <w:rPr>
          <w:i/>
        </w:rPr>
        <w:t>Privacy Amendment (Enhancing Privacy Protection) Act 2012.</w:t>
      </w:r>
    </w:p>
    <w:p w:rsidR="00E833E3" w:rsidRDefault="00E833E3" w:rsidP="00E833E3">
      <w:pPr>
        <w:keepNext/>
        <w:spacing w:before="240" w:after="120"/>
        <w:outlineLvl w:val="1"/>
        <w:rPr>
          <w:rFonts w:ascii="Times" w:hAnsi="Times" w:cs="Arial"/>
          <w:bCs/>
          <w:iCs/>
          <w:sz w:val="26"/>
          <w:szCs w:val="28"/>
        </w:rPr>
      </w:pPr>
      <w:r>
        <w:rPr>
          <w:rFonts w:ascii="Times" w:hAnsi="Times" w:cs="Arial"/>
          <w:b/>
          <w:bCs/>
          <w:iCs/>
          <w:sz w:val="26"/>
          <w:szCs w:val="28"/>
        </w:rPr>
        <w:t>Consultation</w:t>
      </w:r>
    </w:p>
    <w:p w:rsidR="00E833E3" w:rsidRPr="00AE7372" w:rsidRDefault="00E833E3" w:rsidP="00E833E3">
      <w:pPr>
        <w:rPr>
          <w:szCs w:val="20"/>
          <w:lang w:eastAsia="en-US"/>
        </w:rPr>
      </w:pPr>
      <w:r>
        <w:rPr>
          <w:szCs w:val="20"/>
          <w:lang w:eastAsia="en-US"/>
        </w:rPr>
        <w:t xml:space="preserve">This Amendment Determination was made by the Presiding Officers after they had consulted with the Commissioner in accordance with the requirement </w:t>
      </w:r>
      <w:r w:rsidR="00C344C5">
        <w:rPr>
          <w:szCs w:val="20"/>
          <w:lang w:eastAsia="en-US"/>
        </w:rPr>
        <w:t xml:space="preserve">under subsection 71(1) of the Act </w:t>
      </w:r>
      <w:r>
        <w:rPr>
          <w:szCs w:val="20"/>
          <w:lang w:eastAsia="en-US"/>
        </w:rPr>
        <w:t xml:space="preserve">mentioned above. </w:t>
      </w:r>
    </w:p>
    <w:p w:rsidR="00D80568" w:rsidRDefault="007534E4" w:rsidP="00D80568">
      <w:pPr>
        <w:spacing w:before="240"/>
        <w:rPr>
          <w:rFonts w:ascii="Times" w:hAnsi="Times" w:cs="Arial"/>
          <w:b/>
          <w:bCs/>
          <w:iCs/>
          <w:sz w:val="26"/>
          <w:szCs w:val="28"/>
        </w:rPr>
      </w:pPr>
      <w:r w:rsidRPr="000B0D11">
        <w:rPr>
          <w:rFonts w:ascii="Times" w:hAnsi="Times" w:cs="Arial"/>
          <w:b/>
          <w:bCs/>
          <w:iCs/>
          <w:sz w:val="26"/>
          <w:szCs w:val="28"/>
        </w:rPr>
        <w:t>Regulation Impact Statement</w:t>
      </w:r>
    </w:p>
    <w:p w:rsidR="00D80568" w:rsidRDefault="007534E4" w:rsidP="00D80568">
      <w:pPr>
        <w:spacing w:before="240"/>
      </w:pPr>
      <w:r w:rsidRPr="00A81828">
        <w:rPr>
          <w:rFonts w:ascii="Times" w:hAnsi="Times" w:cs="Arial"/>
          <w:bCs/>
          <w:iCs/>
        </w:rPr>
        <w:t>No r</w:t>
      </w:r>
      <w:r w:rsidRPr="002729F7">
        <w:t xml:space="preserve">egulation impact statement is required for the measures contained in this </w:t>
      </w:r>
      <w:r w:rsidR="00944E15">
        <w:t xml:space="preserve">Amendment </w:t>
      </w:r>
      <w:r w:rsidRPr="002729F7">
        <w:t>Determination.</w:t>
      </w:r>
    </w:p>
    <w:p w:rsidR="00E833E3" w:rsidRDefault="00E833E3" w:rsidP="00D80568">
      <w:pPr>
        <w:spacing w:before="240"/>
        <w:rPr>
          <w:rFonts w:ascii="Times" w:hAnsi="Times" w:cs="Arial"/>
          <w:b/>
          <w:bCs/>
          <w:iCs/>
          <w:sz w:val="26"/>
          <w:szCs w:val="28"/>
        </w:rPr>
      </w:pPr>
      <w:r>
        <w:rPr>
          <w:rFonts w:ascii="Times" w:hAnsi="Times" w:cs="Arial"/>
          <w:b/>
          <w:bCs/>
          <w:iCs/>
          <w:sz w:val="26"/>
          <w:szCs w:val="28"/>
        </w:rPr>
        <w:t>Notes on clauses</w:t>
      </w:r>
    </w:p>
    <w:p w:rsidR="00E833E3" w:rsidRDefault="00E833E3" w:rsidP="00E833E3"/>
    <w:p w:rsidR="00AE3F03" w:rsidRDefault="00E833E3" w:rsidP="00E833E3">
      <w:r>
        <w:t>Notes on the clauses of t</w:t>
      </w:r>
      <w:r w:rsidR="007534E4">
        <w:t xml:space="preserve">he Amendment Determination </w:t>
      </w:r>
      <w:r>
        <w:t xml:space="preserve">are set out at </w:t>
      </w:r>
      <w:r w:rsidRPr="00E833E3">
        <w:rPr>
          <w:u w:val="single"/>
        </w:rPr>
        <w:t xml:space="preserve">Attachment </w:t>
      </w:r>
      <w:r w:rsidR="00944E15">
        <w:rPr>
          <w:u w:val="single"/>
        </w:rPr>
        <w:t>A</w:t>
      </w:r>
      <w:r>
        <w:t xml:space="preserve"> </w:t>
      </w:r>
    </w:p>
    <w:p w:rsidR="00944E15" w:rsidRDefault="00944E15" w:rsidP="00944E15">
      <w:pPr>
        <w:spacing w:before="240"/>
        <w:rPr>
          <w:rFonts w:ascii="Times" w:hAnsi="Times" w:cs="Arial"/>
          <w:b/>
          <w:bCs/>
          <w:iCs/>
          <w:sz w:val="26"/>
          <w:szCs w:val="28"/>
        </w:rPr>
      </w:pPr>
      <w:r>
        <w:rPr>
          <w:rFonts w:ascii="Times" w:hAnsi="Times" w:cs="Arial"/>
          <w:b/>
          <w:bCs/>
          <w:iCs/>
          <w:sz w:val="26"/>
          <w:szCs w:val="28"/>
        </w:rPr>
        <w:t xml:space="preserve">Statement of Compatibility with Human Rights </w:t>
      </w:r>
    </w:p>
    <w:p w:rsidR="00CA7F43" w:rsidRDefault="00CA7F43" w:rsidP="00CA7F43">
      <w:pPr>
        <w:rPr>
          <w:rFonts w:ascii="Times" w:hAnsi="Times" w:cs="Arial"/>
          <w:b/>
          <w:bCs/>
          <w:iCs/>
          <w:sz w:val="26"/>
          <w:szCs w:val="28"/>
        </w:rPr>
      </w:pPr>
    </w:p>
    <w:p w:rsidR="00944E15" w:rsidRDefault="00944E15" w:rsidP="00C344C5">
      <w:pPr>
        <w:rPr>
          <w:rFonts w:ascii="Times" w:hAnsi="Times" w:cs="Arial"/>
          <w:bCs/>
          <w:iCs/>
        </w:rPr>
      </w:pPr>
      <w:r w:rsidRPr="00A81828">
        <w:rPr>
          <w:rFonts w:ascii="Times" w:hAnsi="Times" w:cs="Arial"/>
          <w:bCs/>
          <w:iCs/>
        </w:rPr>
        <w:t xml:space="preserve">A Statement of Compatibility with Human Rights has been completed </w:t>
      </w:r>
      <w:r>
        <w:rPr>
          <w:rFonts w:ascii="Times" w:hAnsi="Times" w:cs="Arial"/>
          <w:bCs/>
          <w:iCs/>
        </w:rPr>
        <w:t>for the Amendment Determination</w:t>
      </w:r>
      <w:r w:rsidRPr="00A81828">
        <w:rPr>
          <w:rFonts w:ascii="Times" w:hAnsi="Times" w:cs="Arial"/>
          <w:bCs/>
          <w:iCs/>
        </w:rPr>
        <w:t xml:space="preserve"> in accordance with the </w:t>
      </w:r>
      <w:r w:rsidRPr="00A81828">
        <w:rPr>
          <w:rFonts w:ascii="Times" w:hAnsi="Times" w:cs="Arial"/>
          <w:bCs/>
          <w:i/>
          <w:iCs/>
        </w:rPr>
        <w:t xml:space="preserve">Human Rights (Parliamentary Scrutiny) Act 2011. </w:t>
      </w:r>
      <w:r>
        <w:rPr>
          <w:rFonts w:ascii="Times" w:hAnsi="Times" w:cs="Arial"/>
          <w:bCs/>
          <w:iCs/>
        </w:rPr>
        <w:t xml:space="preserve">The Statement’s </w:t>
      </w:r>
      <w:r w:rsidRPr="00A81828">
        <w:rPr>
          <w:rFonts w:ascii="Times" w:hAnsi="Times" w:cs="Arial"/>
          <w:bCs/>
          <w:iCs/>
        </w:rPr>
        <w:t xml:space="preserve">assessment is that </w:t>
      </w:r>
      <w:r w:rsidR="00C344C5">
        <w:rPr>
          <w:szCs w:val="20"/>
          <w:lang w:eastAsia="en-US"/>
        </w:rPr>
        <w:t>t</w:t>
      </w:r>
      <w:r w:rsidR="00C344C5" w:rsidRPr="00F14E02">
        <w:rPr>
          <w:szCs w:val="20"/>
          <w:lang w:eastAsia="en-US"/>
        </w:rPr>
        <w:t xml:space="preserve">he </w:t>
      </w:r>
      <w:r w:rsidR="00C344C5">
        <w:rPr>
          <w:szCs w:val="20"/>
          <w:lang w:eastAsia="en-US"/>
        </w:rPr>
        <w:t>Amendment Determination</w:t>
      </w:r>
      <w:r w:rsidR="00C344C5" w:rsidRPr="00F14E02">
        <w:rPr>
          <w:szCs w:val="20"/>
          <w:lang w:eastAsia="en-US"/>
        </w:rPr>
        <w:t xml:space="preserve"> </w:t>
      </w:r>
      <w:r w:rsidR="00C344C5">
        <w:rPr>
          <w:szCs w:val="20"/>
          <w:lang w:eastAsia="en-US"/>
        </w:rPr>
        <w:t>is</w:t>
      </w:r>
      <w:r w:rsidR="00C344C5" w:rsidRPr="00F14E02">
        <w:rPr>
          <w:szCs w:val="20"/>
          <w:lang w:eastAsia="en-US"/>
        </w:rPr>
        <w:t xml:space="preserve"> compatible with human </w:t>
      </w:r>
      <w:r w:rsidR="00C344C5">
        <w:rPr>
          <w:szCs w:val="20"/>
          <w:lang w:eastAsia="en-US"/>
        </w:rPr>
        <w:t>rights: it</w:t>
      </w:r>
      <w:r w:rsidR="00C344C5" w:rsidRPr="00F14E02">
        <w:rPr>
          <w:szCs w:val="20"/>
          <w:lang w:eastAsia="en-US"/>
        </w:rPr>
        <w:t xml:space="preserve"> promote</w:t>
      </w:r>
      <w:r w:rsidR="00C344C5">
        <w:rPr>
          <w:szCs w:val="20"/>
          <w:lang w:eastAsia="en-US"/>
        </w:rPr>
        <w:t>s</w:t>
      </w:r>
      <w:r w:rsidR="00C344C5" w:rsidRPr="00F14E02">
        <w:rPr>
          <w:szCs w:val="20"/>
          <w:lang w:eastAsia="en-US"/>
        </w:rPr>
        <w:t xml:space="preserve"> a number of human rights, and, to the extent that </w:t>
      </w:r>
      <w:r w:rsidR="00C344C5">
        <w:rPr>
          <w:szCs w:val="20"/>
          <w:lang w:eastAsia="en-US"/>
        </w:rPr>
        <w:t>it</w:t>
      </w:r>
      <w:r w:rsidR="00C344C5" w:rsidRPr="00F14E02">
        <w:rPr>
          <w:szCs w:val="20"/>
          <w:lang w:eastAsia="en-US"/>
        </w:rPr>
        <w:t xml:space="preserve"> may limit any human rights, those limitations are reasonable, necessary and proportionate.</w:t>
      </w:r>
      <w:r w:rsidR="00C344C5">
        <w:rPr>
          <w:szCs w:val="20"/>
          <w:lang w:eastAsia="en-US"/>
        </w:rPr>
        <w:t xml:space="preserve"> </w:t>
      </w:r>
      <w:r>
        <w:rPr>
          <w:rFonts w:ascii="Times" w:hAnsi="Times" w:cs="Arial"/>
          <w:bCs/>
          <w:iCs/>
        </w:rPr>
        <w:t xml:space="preserve">The Statement is at </w:t>
      </w:r>
      <w:r w:rsidRPr="002D0684">
        <w:rPr>
          <w:rFonts w:ascii="Times" w:hAnsi="Times" w:cs="Arial"/>
          <w:bCs/>
          <w:iCs/>
          <w:u w:val="single"/>
        </w:rPr>
        <w:t xml:space="preserve">Attachment </w:t>
      </w:r>
      <w:r>
        <w:rPr>
          <w:rFonts w:ascii="Times" w:hAnsi="Times" w:cs="Arial"/>
          <w:bCs/>
          <w:iCs/>
          <w:u w:val="single"/>
        </w:rPr>
        <w:t>B</w:t>
      </w:r>
      <w:r>
        <w:rPr>
          <w:rFonts w:ascii="Times" w:hAnsi="Times" w:cs="Arial"/>
          <w:bCs/>
          <w:iCs/>
        </w:rPr>
        <w:t xml:space="preserve">. </w:t>
      </w:r>
    </w:p>
    <w:p w:rsidR="00074BCC" w:rsidRDefault="00074BCC" w:rsidP="00074BCC"/>
    <w:p w:rsidR="007534E4" w:rsidRPr="00A52A3E" w:rsidRDefault="007534E4" w:rsidP="007534E4">
      <w:pPr>
        <w:rPr>
          <w:szCs w:val="20"/>
          <w:lang w:eastAsia="en-US"/>
        </w:rPr>
      </w:pPr>
      <w:r>
        <w:rPr>
          <w:szCs w:val="20"/>
          <w:lang w:eastAsia="en-US"/>
        </w:rPr>
        <w:t>This Determination</w:t>
      </w:r>
      <w:r w:rsidRPr="00A52A3E">
        <w:rPr>
          <w:szCs w:val="20"/>
          <w:lang w:eastAsia="en-US"/>
        </w:rPr>
        <w:t xml:space="preserve"> is a legislative instrument for the purposes of the </w:t>
      </w:r>
      <w:r w:rsidRPr="00A52A3E">
        <w:rPr>
          <w:i/>
          <w:szCs w:val="20"/>
          <w:lang w:eastAsia="en-US"/>
        </w:rPr>
        <w:t>Legislative Instruments Act 2003</w:t>
      </w:r>
      <w:r w:rsidRPr="00A52A3E">
        <w:rPr>
          <w:szCs w:val="20"/>
          <w:lang w:eastAsia="en-US"/>
        </w:rPr>
        <w:t>.</w:t>
      </w:r>
    </w:p>
    <w:p w:rsidR="007534E4" w:rsidRPr="000B0D11" w:rsidRDefault="007534E4" w:rsidP="007534E4">
      <w:pPr>
        <w:rPr>
          <w:i/>
          <w:szCs w:val="20"/>
        </w:rPr>
      </w:pPr>
      <w:r>
        <w:rPr>
          <w:szCs w:val="20"/>
        </w:rPr>
        <w:tab/>
      </w:r>
      <w:r>
        <w:rPr>
          <w:szCs w:val="20"/>
        </w:rPr>
        <w:tab/>
      </w:r>
      <w:r>
        <w:rPr>
          <w:szCs w:val="20"/>
        </w:rPr>
        <w:tab/>
      </w:r>
      <w:r>
        <w:rPr>
          <w:szCs w:val="20"/>
          <w:u w:val="single"/>
        </w:rPr>
        <w:t>Authority</w:t>
      </w:r>
      <w:r>
        <w:rPr>
          <w:szCs w:val="20"/>
        </w:rPr>
        <w:t xml:space="preserve">:  Subsection 71(1) of the </w:t>
      </w:r>
      <w:r>
        <w:rPr>
          <w:i/>
          <w:szCs w:val="20"/>
        </w:rPr>
        <w:t>Parliamentary Service Act 1999</w:t>
      </w:r>
    </w:p>
    <w:p w:rsidR="007534E4" w:rsidRDefault="007534E4" w:rsidP="007534E4">
      <w:pPr>
        <w:rPr>
          <w:szCs w:val="20"/>
        </w:rPr>
      </w:pPr>
      <w:r>
        <w:rPr>
          <w:szCs w:val="20"/>
        </w:rPr>
        <w:br w:type="page"/>
      </w:r>
    </w:p>
    <w:p w:rsidR="00421184" w:rsidRDefault="00421184" w:rsidP="00421184">
      <w:pPr>
        <w:keepNext/>
        <w:spacing w:after="120"/>
        <w:ind w:left="1433" w:hanging="1410"/>
        <w:jc w:val="right"/>
        <w:outlineLvl w:val="8"/>
        <w:rPr>
          <w:rFonts w:ascii="Times" w:hAnsi="Times" w:cs="Arial"/>
          <w:b/>
          <w:bCs/>
          <w:iCs/>
          <w:sz w:val="26"/>
          <w:szCs w:val="28"/>
        </w:rPr>
      </w:pPr>
      <w:r>
        <w:rPr>
          <w:rFonts w:ascii="Times" w:hAnsi="Times" w:cs="Arial"/>
          <w:b/>
          <w:bCs/>
          <w:iCs/>
          <w:sz w:val="26"/>
          <w:szCs w:val="28"/>
        </w:rPr>
        <w:lastRenderedPageBreak/>
        <w:t xml:space="preserve">Attachment </w:t>
      </w:r>
      <w:r w:rsidR="00FC59C7">
        <w:rPr>
          <w:rFonts w:ascii="Times" w:hAnsi="Times" w:cs="Arial"/>
          <w:b/>
          <w:bCs/>
          <w:iCs/>
          <w:sz w:val="26"/>
          <w:szCs w:val="28"/>
        </w:rPr>
        <w:t>A</w:t>
      </w:r>
    </w:p>
    <w:p w:rsidR="00A028B9" w:rsidRPr="00944E15" w:rsidRDefault="002F5E8E" w:rsidP="00A028B9">
      <w:pPr>
        <w:keepNext/>
        <w:spacing w:after="120"/>
        <w:ind w:left="1433" w:hanging="1410"/>
        <w:outlineLvl w:val="8"/>
        <w:rPr>
          <w:rFonts w:ascii="Times" w:hAnsi="Times" w:cs="Arial"/>
          <w:b/>
          <w:bCs/>
          <w:iCs/>
          <w:sz w:val="28"/>
          <w:szCs w:val="28"/>
        </w:rPr>
      </w:pPr>
      <w:r w:rsidRPr="00944E15">
        <w:rPr>
          <w:rFonts w:ascii="Times" w:hAnsi="Times" w:cs="Arial"/>
          <w:b/>
          <w:bCs/>
          <w:iCs/>
          <w:sz w:val="28"/>
          <w:szCs w:val="28"/>
        </w:rPr>
        <w:t>Notes on clauses</w:t>
      </w:r>
    </w:p>
    <w:p w:rsidR="002F5E8E" w:rsidRDefault="002F5E8E" w:rsidP="00817470">
      <w:pPr>
        <w:keepNext/>
        <w:spacing w:after="120"/>
        <w:ind w:firstLine="23"/>
        <w:outlineLvl w:val="8"/>
        <w:rPr>
          <w:b/>
        </w:rPr>
      </w:pPr>
      <w:r>
        <w:rPr>
          <w:b/>
        </w:rPr>
        <w:t xml:space="preserve">Clause 1—Name of Determination </w:t>
      </w:r>
    </w:p>
    <w:p w:rsidR="005321AB" w:rsidRPr="005321AB" w:rsidRDefault="002F5E8E" w:rsidP="00817470">
      <w:pPr>
        <w:keepNext/>
        <w:spacing w:after="120"/>
        <w:ind w:firstLine="23"/>
        <w:outlineLvl w:val="8"/>
        <w:rPr>
          <w:i/>
        </w:rPr>
      </w:pPr>
      <w:r>
        <w:t>This clause name</w:t>
      </w:r>
      <w:r w:rsidR="00B8015E">
        <w:t>s</w:t>
      </w:r>
      <w:r>
        <w:t xml:space="preserve"> th</w:t>
      </w:r>
      <w:r w:rsidR="00B8015E">
        <w:t>e</w:t>
      </w:r>
      <w:r>
        <w:t xml:space="preserve"> Determination </w:t>
      </w:r>
      <w:r w:rsidR="00B8015E">
        <w:t>a</w:t>
      </w:r>
      <w:r>
        <w:t xml:space="preserve">s the </w:t>
      </w:r>
      <w:r w:rsidR="005321AB">
        <w:rPr>
          <w:i/>
        </w:rPr>
        <w:t>Parliamentary Service Amendment (Public Interest Disclosure and Oth</w:t>
      </w:r>
      <w:r w:rsidR="00C344C5">
        <w:rPr>
          <w:i/>
        </w:rPr>
        <w:t>er Matters) Determination 2014.</w:t>
      </w:r>
    </w:p>
    <w:p w:rsidR="002F5E8E" w:rsidRDefault="002F5E8E" w:rsidP="00817470">
      <w:pPr>
        <w:keepNext/>
        <w:spacing w:after="120"/>
        <w:ind w:firstLine="23"/>
        <w:outlineLvl w:val="8"/>
        <w:rPr>
          <w:b/>
          <w:iCs/>
          <w:szCs w:val="20"/>
          <w:lang w:eastAsia="en-US"/>
        </w:rPr>
      </w:pPr>
      <w:r>
        <w:rPr>
          <w:b/>
          <w:iCs/>
          <w:szCs w:val="20"/>
          <w:lang w:eastAsia="en-US"/>
        </w:rPr>
        <w:t>Clause 2—Commencement</w:t>
      </w:r>
    </w:p>
    <w:p w:rsidR="002F5E8E" w:rsidRDefault="002F5E8E" w:rsidP="00817470">
      <w:pPr>
        <w:keepNext/>
        <w:spacing w:after="120"/>
        <w:ind w:firstLine="23"/>
        <w:outlineLvl w:val="8"/>
        <w:rPr>
          <w:iCs/>
          <w:szCs w:val="20"/>
          <w:lang w:eastAsia="en-US"/>
        </w:rPr>
      </w:pPr>
      <w:r>
        <w:rPr>
          <w:iCs/>
          <w:szCs w:val="20"/>
          <w:lang w:eastAsia="en-US"/>
        </w:rPr>
        <w:t>This clause provides that th</w:t>
      </w:r>
      <w:r w:rsidR="00B8015E">
        <w:rPr>
          <w:iCs/>
          <w:szCs w:val="20"/>
          <w:lang w:eastAsia="en-US"/>
        </w:rPr>
        <w:t>e</w:t>
      </w:r>
      <w:r>
        <w:rPr>
          <w:iCs/>
          <w:szCs w:val="20"/>
          <w:lang w:eastAsia="en-US"/>
        </w:rPr>
        <w:t xml:space="preserve"> Determination </w:t>
      </w:r>
      <w:r w:rsidR="00C96D0A">
        <w:rPr>
          <w:iCs/>
          <w:szCs w:val="20"/>
          <w:lang w:eastAsia="en-US"/>
        </w:rPr>
        <w:t>will commence as follows:</w:t>
      </w:r>
    </w:p>
    <w:p w:rsidR="00C96D0A" w:rsidRDefault="00C96D0A" w:rsidP="00C96D0A">
      <w:pPr>
        <w:pStyle w:val="ListParagraph"/>
        <w:numPr>
          <w:ilvl w:val="0"/>
          <w:numId w:val="11"/>
        </w:numPr>
        <w:spacing w:before="100" w:beforeAutospacing="1"/>
      </w:pPr>
      <w:r>
        <w:t>sections 1 to 4</w:t>
      </w:r>
      <w:r w:rsidRPr="005A4EE3">
        <w:t xml:space="preserve"> </w:t>
      </w:r>
      <w:r>
        <w:t xml:space="preserve">and anything in the Determination not elsewhere covered by the commencement table </w:t>
      </w:r>
      <w:r w:rsidRPr="005A4EE3">
        <w:t xml:space="preserve">will commence on </w:t>
      </w:r>
      <w:r>
        <w:t>the day after the Determination is registered</w:t>
      </w:r>
      <w:r w:rsidRPr="005A4EE3">
        <w:t>;</w:t>
      </w:r>
    </w:p>
    <w:p w:rsidR="00C96D0A" w:rsidRPr="005A4EE3" w:rsidRDefault="00C96D0A" w:rsidP="00C96D0A">
      <w:pPr>
        <w:pStyle w:val="ListParagraph"/>
        <w:numPr>
          <w:ilvl w:val="0"/>
          <w:numId w:val="11"/>
        </w:numPr>
        <w:spacing w:before="100" w:beforeAutospacing="1"/>
      </w:pPr>
      <w:r>
        <w:t xml:space="preserve">Schedule 1 </w:t>
      </w:r>
      <w:r w:rsidRPr="005A4EE3">
        <w:t xml:space="preserve">will commence on </w:t>
      </w:r>
      <w:r>
        <w:t>the day after the Determination is registered;</w:t>
      </w:r>
    </w:p>
    <w:p w:rsidR="00C96D0A" w:rsidRDefault="00C96D0A" w:rsidP="00C96D0A">
      <w:pPr>
        <w:pStyle w:val="ListParagraph"/>
        <w:numPr>
          <w:ilvl w:val="0"/>
          <w:numId w:val="11"/>
        </w:numPr>
        <w:spacing w:before="100" w:beforeAutospacing="1"/>
      </w:pPr>
      <w:r>
        <w:t>Schedule 2 will commence a</w:t>
      </w:r>
      <w:r w:rsidRPr="00056027">
        <w:t xml:space="preserve">t the same time as sections 3 to 83 of the </w:t>
      </w:r>
      <w:r w:rsidRPr="00056027">
        <w:rPr>
          <w:i/>
        </w:rPr>
        <w:t>Public Interest Disclosure Act 2013</w:t>
      </w:r>
      <w:r>
        <w:t xml:space="preserve"> commence; and</w:t>
      </w:r>
    </w:p>
    <w:p w:rsidR="00C96D0A" w:rsidRDefault="00C96D0A" w:rsidP="00C96D0A">
      <w:pPr>
        <w:pStyle w:val="ListParagraph"/>
        <w:numPr>
          <w:ilvl w:val="0"/>
          <w:numId w:val="11"/>
        </w:numPr>
        <w:spacing w:before="100" w:beforeAutospacing="1"/>
      </w:pPr>
      <w:r>
        <w:t xml:space="preserve">Schedule 3 </w:t>
      </w:r>
      <w:r w:rsidRPr="00257AEF">
        <w:t>will commence</w:t>
      </w:r>
      <w:r w:rsidRPr="005A4EE3">
        <w:t xml:space="preserve"> </w:t>
      </w:r>
      <w:r w:rsidR="00DB540D">
        <w:t>on 12 March 2014</w:t>
      </w:r>
      <w:r>
        <w:t>.</w:t>
      </w:r>
    </w:p>
    <w:p w:rsidR="002F5E8E" w:rsidRDefault="002F5E8E" w:rsidP="00421184">
      <w:pPr>
        <w:keepNext/>
        <w:spacing w:before="240" w:after="120"/>
        <w:ind w:firstLine="23"/>
        <w:outlineLvl w:val="8"/>
        <w:rPr>
          <w:b/>
          <w:iCs/>
          <w:szCs w:val="20"/>
          <w:lang w:eastAsia="en-US"/>
        </w:rPr>
      </w:pPr>
      <w:r>
        <w:rPr>
          <w:b/>
          <w:iCs/>
          <w:szCs w:val="20"/>
          <w:lang w:eastAsia="en-US"/>
        </w:rPr>
        <w:t>Clause 3—Authority</w:t>
      </w:r>
    </w:p>
    <w:p w:rsidR="002F5E8E" w:rsidRDefault="002F5E8E" w:rsidP="00817470">
      <w:pPr>
        <w:keepNext/>
        <w:spacing w:after="120"/>
        <w:ind w:firstLine="23"/>
        <w:outlineLvl w:val="8"/>
        <w:rPr>
          <w:iCs/>
          <w:szCs w:val="20"/>
          <w:lang w:eastAsia="en-US"/>
        </w:rPr>
      </w:pPr>
      <w:r>
        <w:rPr>
          <w:iCs/>
          <w:szCs w:val="20"/>
          <w:lang w:eastAsia="en-US"/>
        </w:rPr>
        <w:t>This clause provides that th</w:t>
      </w:r>
      <w:r w:rsidR="00B8015E">
        <w:rPr>
          <w:iCs/>
          <w:szCs w:val="20"/>
          <w:lang w:eastAsia="en-US"/>
        </w:rPr>
        <w:t>e</w:t>
      </w:r>
      <w:r>
        <w:rPr>
          <w:iCs/>
          <w:szCs w:val="20"/>
          <w:lang w:eastAsia="en-US"/>
        </w:rPr>
        <w:t xml:space="preserve"> Determination is made under the </w:t>
      </w:r>
      <w:r>
        <w:rPr>
          <w:i/>
          <w:iCs/>
          <w:szCs w:val="20"/>
          <w:lang w:eastAsia="en-US"/>
        </w:rPr>
        <w:t>Parliamentary Service Act 1999</w:t>
      </w:r>
      <w:r>
        <w:rPr>
          <w:iCs/>
          <w:szCs w:val="20"/>
          <w:lang w:eastAsia="en-US"/>
        </w:rPr>
        <w:t>.</w:t>
      </w:r>
    </w:p>
    <w:p w:rsidR="002F5E8E" w:rsidRDefault="002F5E8E" w:rsidP="00817470">
      <w:pPr>
        <w:keepNext/>
        <w:spacing w:after="120"/>
        <w:ind w:firstLine="23"/>
        <w:outlineLvl w:val="8"/>
        <w:rPr>
          <w:b/>
          <w:iCs/>
          <w:szCs w:val="20"/>
          <w:lang w:eastAsia="en-US"/>
        </w:rPr>
      </w:pPr>
      <w:r>
        <w:rPr>
          <w:b/>
          <w:iCs/>
          <w:szCs w:val="20"/>
          <w:lang w:eastAsia="en-US"/>
        </w:rPr>
        <w:t>Clause 4—Schedule(s)</w:t>
      </w:r>
    </w:p>
    <w:p w:rsidR="00817470" w:rsidRDefault="00817470" w:rsidP="00817470">
      <w:pPr>
        <w:keepNext/>
        <w:spacing w:after="120"/>
        <w:ind w:firstLine="23"/>
        <w:outlineLvl w:val="8"/>
      </w:pPr>
      <w:r>
        <w:rPr>
          <w:bCs/>
          <w:iCs/>
        </w:rPr>
        <w:t xml:space="preserve">This clause </w:t>
      </w:r>
      <w:r w:rsidRPr="00CD761A">
        <w:rPr>
          <w:bCs/>
          <w:iCs/>
        </w:rPr>
        <w:t>p</w:t>
      </w:r>
      <w:r w:rsidRPr="00CD761A">
        <w:t xml:space="preserve">rovides </w:t>
      </w:r>
      <w:r w:rsidR="00B8015E">
        <w:t xml:space="preserve">that the </w:t>
      </w:r>
      <w:r w:rsidR="00B8015E" w:rsidRPr="00A81828">
        <w:rPr>
          <w:i/>
        </w:rPr>
        <w:t>Parliamentary Service Determination 2013</w:t>
      </w:r>
      <w:r w:rsidR="00B8015E">
        <w:t xml:space="preserve"> is amended or repealed as set out in</w:t>
      </w:r>
      <w:r w:rsidRPr="00CD761A">
        <w:t xml:space="preserve"> </w:t>
      </w:r>
      <w:r w:rsidR="00E715E4">
        <w:t xml:space="preserve">a </w:t>
      </w:r>
      <w:r w:rsidRPr="00CD761A">
        <w:t xml:space="preserve">Schedule </w:t>
      </w:r>
      <w:r w:rsidR="00E715E4">
        <w:t>to the Determination</w:t>
      </w:r>
      <w:r>
        <w:t>.</w:t>
      </w:r>
    </w:p>
    <w:p w:rsidR="00421184" w:rsidRDefault="00421184" w:rsidP="00817470">
      <w:pPr>
        <w:keepNext/>
        <w:spacing w:after="120"/>
        <w:ind w:firstLine="23"/>
        <w:outlineLvl w:val="8"/>
      </w:pPr>
    </w:p>
    <w:p w:rsidR="00817470" w:rsidRDefault="00817470" w:rsidP="00817470">
      <w:pPr>
        <w:keepNext/>
        <w:spacing w:after="120"/>
        <w:ind w:firstLine="23"/>
        <w:outlineLvl w:val="8"/>
        <w:rPr>
          <w:b/>
          <w:sz w:val="28"/>
          <w:szCs w:val="20"/>
        </w:rPr>
      </w:pPr>
      <w:r w:rsidRPr="00817470">
        <w:rPr>
          <w:b/>
          <w:sz w:val="28"/>
          <w:szCs w:val="20"/>
        </w:rPr>
        <w:t>Schedule 1—Amendments</w:t>
      </w:r>
      <w:r w:rsidR="00E715E4">
        <w:rPr>
          <w:b/>
          <w:sz w:val="28"/>
          <w:szCs w:val="20"/>
        </w:rPr>
        <w:t xml:space="preserve"> commencing day after registration</w:t>
      </w:r>
    </w:p>
    <w:p w:rsidR="007534E4" w:rsidRDefault="00817470" w:rsidP="00817470">
      <w:pPr>
        <w:keepNext/>
        <w:spacing w:after="120"/>
        <w:ind w:firstLine="23"/>
        <w:outlineLvl w:val="8"/>
        <w:rPr>
          <w:b/>
        </w:rPr>
      </w:pPr>
      <w:r>
        <w:rPr>
          <w:b/>
        </w:rPr>
        <w:t>Item 1</w:t>
      </w:r>
    </w:p>
    <w:p w:rsidR="002D3F15" w:rsidRDefault="0059372F" w:rsidP="00817470">
      <w:pPr>
        <w:keepNext/>
        <w:spacing w:after="120"/>
        <w:ind w:firstLine="23"/>
        <w:outlineLvl w:val="8"/>
      </w:pPr>
      <w:r>
        <w:t xml:space="preserve">This item </w:t>
      </w:r>
      <w:r w:rsidR="005321AB">
        <w:t>amends clause</w:t>
      </w:r>
      <w:r w:rsidR="00E715E4">
        <w:t xml:space="preserve"> 44 by substituting a new subclause 44(1). </w:t>
      </w:r>
    </w:p>
    <w:p w:rsidR="00817470" w:rsidRDefault="00E715E4" w:rsidP="00817470">
      <w:pPr>
        <w:keepNext/>
        <w:spacing w:after="120"/>
        <w:ind w:firstLine="23"/>
        <w:outlineLvl w:val="8"/>
      </w:pPr>
      <w:r>
        <w:t>New subclause 44(1) provides that, if a circumstance mentioned in subclauses 44(2) to (4) applies, a Secretary may</w:t>
      </w:r>
      <w:r w:rsidR="0094488D">
        <w:t>, in writing,</w:t>
      </w:r>
      <w:r>
        <w:t xml:space="preserve"> direct an employee in the Secretary’s department to do either or both of the following</w:t>
      </w:r>
      <w:r w:rsidR="002D3F15">
        <w:t>:</w:t>
      </w:r>
      <w:r>
        <w:t xml:space="preserve"> </w:t>
      </w:r>
    </w:p>
    <w:p w:rsidR="002D3F15" w:rsidRPr="00056027" w:rsidRDefault="002D3F15" w:rsidP="0081041F">
      <w:pPr>
        <w:ind w:left="720" w:hanging="720"/>
      </w:pPr>
      <w:r w:rsidRPr="00056027">
        <w:t>(a)</w:t>
      </w:r>
      <w:r w:rsidRPr="00056027">
        <w:tab/>
      </w:r>
      <w:proofErr w:type="gramStart"/>
      <w:r w:rsidRPr="00056027">
        <w:t>undergo</w:t>
      </w:r>
      <w:proofErr w:type="gramEnd"/>
      <w:r w:rsidRPr="00056027">
        <w:t xml:space="preserve"> an examination by a nominated medical practitioner, either at a time, or within a period, specified by the Secretary in the direction;</w:t>
      </w:r>
    </w:p>
    <w:p w:rsidR="002D3F15" w:rsidRDefault="002D3F15" w:rsidP="002D3F15">
      <w:r w:rsidRPr="00056027">
        <w:t>(b)</w:t>
      </w:r>
      <w:r w:rsidRPr="00056027">
        <w:tab/>
      </w:r>
      <w:proofErr w:type="gramStart"/>
      <w:r w:rsidRPr="00056027">
        <w:t>give</w:t>
      </w:r>
      <w:proofErr w:type="gramEnd"/>
      <w:r w:rsidRPr="00056027">
        <w:t xml:space="preserve"> the Secretary a report of the examination.</w:t>
      </w:r>
    </w:p>
    <w:p w:rsidR="002D3F15" w:rsidRPr="00056027" w:rsidRDefault="002D3F15" w:rsidP="002D3F15"/>
    <w:p w:rsidR="002D3F15" w:rsidRDefault="002D3F15" w:rsidP="002D3F15">
      <w:pPr>
        <w:keepNext/>
        <w:spacing w:after="120"/>
        <w:ind w:firstLine="23"/>
        <w:outlineLvl w:val="8"/>
        <w:rPr>
          <w:b/>
        </w:rPr>
      </w:pPr>
      <w:r>
        <w:rPr>
          <w:b/>
        </w:rPr>
        <w:t>Item 2</w:t>
      </w:r>
    </w:p>
    <w:p w:rsidR="002D3F15" w:rsidRDefault="005A3C95" w:rsidP="002D3F15">
      <w:r>
        <w:t>This item</w:t>
      </w:r>
      <w:r w:rsidR="002D3F15">
        <w:t xml:space="preserve"> inserts new subclauses 104(3A) and (3B). </w:t>
      </w:r>
    </w:p>
    <w:p w:rsidR="00CA7F43" w:rsidRDefault="00CA7F43" w:rsidP="002D3F15"/>
    <w:p w:rsidR="002D3F15" w:rsidRDefault="00CA7F43" w:rsidP="002D3F15">
      <w:r>
        <w:t xml:space="preserve">Clause 104 applies where a Secretary receives a recommendation from the Merit Protection </w:t>
      </w:r>
      <w:proofErr w:type="gramStart"/>
      <w:r>
        <w:t>Commissioner(</w:t>
      </w:r>
      <w:proofErr w:type="gramEnd"/>
      <w:r>
        <w:t>MPC) under clause 100 or 103.</w:t>
      </w:r>
    </w:p>
    <w:p w:rsidR="00CA7F43" w:rsidRDefault="00CA7F43" w:rsidP="002D3F15"/>
    <w:p w:rsidR="002D3F15" w:rsidRDefault="002D3F15" w:rsidP="002D3F15">
      <w:r>
        <w:t>New subclause (</w:t>
      </w:r>
      <w:r w:rsidRPr="00056027">
        <w:t>3A)</w:t>
      </w:r>
      <w:r>
        <w:t xml:space="preserve"> provides that, if, after </w:t>
      </w:r>
      <w:r w:rsidR="00CA7F43">
        <w:t xml:space="preserve">the </w:t>
      </w:r>
      <w:r w:rsidR="00417315">
        <w:t xml:space="preserve">MPC’s </w:t>
      </w:r>
      <w:r w:rsidR="00CA7F43">
        <w:t>recommendation</w:t>
      </w:r>
      <w:r w:rsidRPr="00056027">
        <w:t>:</w:t>
      </w:r>
    </w:p>
    <w:p w:rsidR="002D3F15" w:rsidRPr="00056027" w:rsidRDefault="002D3F15" w:rsidP="002D3F15"/>
    <w:p w:rsidR="002D3F15" w:rsidRPr="00056027" w:rsidRDefault="002D3F15" w:rsidP="002D3F15">
      <w:r w:rsidRPr="00056027">
        <w:t>(a)</w:t>
      </w:r>
      <w:r w:rsidRPr="00056027">
        <w:tab/>
      </w:r>
      <w:proofErr w:type="gramStart"/>
      <w:r w:rsidRPr="00056027">
        <w:t>the</w:t>
      </w:r>
      <w:proofErr w:type="gramEnd"/>
      <w:r w:rsidRPr="00056027">
        <w:t xml:space="preserve"> Secretary considers making a finding of a breach of the Code of Conduct; and</w:t>
      </w:r>
    </w:p>
    <w:p w:rsidR="002D3F15" w:rsidRPr="00056027" w:rsidRDefault="002D3F15" w:rsidP="002D3F15">
      <w:r w:rsidRPr="00056027">
        <w:t>(b)</w:t>
      </w:r>
      <w:r w:rsidRPr="00056027">
        <w:tab/>
      </w:r>
      <w:proofErr w:type="gramStart"/>
      <w:r w:rsidRPr="00056027">
        <w:t>the</w:t>
      </w:r>
      <w:proofErr w:type="gramEnd"/>
      <w:r w:rsidRPr="00056027">
        <w:t xml:space="preserve"> Secretary had not made the finding before the recommendation was made; and</w:t>
      </w:r>
    </w:p>
    <w:p w:rsidR="002D3F15" w:rsidRDefault="002D3F15" w:rsidP="002D3F15">
      <w:r w:rsidRPr="00056027">
        <w:t>(c)</w:t>
      </w:r>
      <w:r w:rsidRPr="00056027">
        <w:tab/>
      </w:r>
      <w:proofErr w:type="gramStart"/>
      <w:r w:rsidRPr="00056027">
        <w:t>the</w:t>
      </w:r>
      <w:proofErr w:type="gramEnd"/>
      <w:r w:rsidRPr="00056027">
        <w:t xml:space="preserve"> finding was not mentioned in the recommendation;</w:t>
      </w:r>
    </w:p>
    <w:p w:rsidR="0073424E" w:rsidRPr="00056027" w:rsidRDefault="0073424E" w:rsidP="002D3F15"/>
    <w:p w:rsidR="002D3F15" w:rsidRDefault="002D3F15" w:rsidP="002D3F15">
      <w:proofErr w:type="gramStart"/>
      <w:r w:rsidRPr="00056027">
        <w:t>the</w:t>
      </w:r>
      <w:proofErr w:type="gramEnd"/>
      <w:r w:rsidRPr="00056027">
        <w:t xml:space="preserve"> Secretary must comply with the procedures established under subsection 15(3) of the Act before deciding whether to make the finding.</w:t>
      </w:r>
    </w:p>
    <w:p w:rsidR="009E3ECA" w:rsidRPr="00056027" w:rsidRDefault="009E3ECA" w:rsidP="002D3F15"/>
    <w:p w:rsidR="002D3F15" w:rsidRDefault="002D3F15" w:rsidP="002D3F15">
      <w:r>
        <w:t xml:space="preserve">New subclause </w:t>
      </w:r>
      <w:r w:rsidRPr="00056027">
        <w:t>(3B)</w:t>
      </w:r>
      <w:r>
        <w:t xml:space="preserve"> provides that if, </w:t>
      </w:r>
      <w:r w:rsidRPr="00056027">
        <w:t xml:space="preserve">after the </w:t>
      </w:r>
      <w:r>
        <w:t xml:space="preserve">MPC’s </w:t>
      </w:r>
      <w:r w:rsidRPr="00056027">
        <w:t>recommendation:</w:t>
      </w:r>
    </w:p>
    <w:p w:rsidR="002D3F15" w:rsidRPr="00056027" w:rsidRDefault="002D3F15" w:rsidP="002D3F15"/>
    <w:p w:rsidR="002D3F15" w:rsidRPr="00056027" w:rsidRDefault="002D3F15" w:rsidP="002D3F15">
      <w:r w:rsidRPr="00056027">
        <w:t>(a)</w:t>
      </w:r>
      <w:r w:rsidRPr="00056027">
        <w:tab/>
        <w:t>the Secretar</w:t>
      </w:r>
      <w:r w:rsidR="00417315">
        <w:t>y considers imposing a sanction,</w:t>
      </w:r>
      <w:r w:rsidRPr="00056027">
        <w:t xml:space="preserve"> for breach of the Code of Conduct</w:t>
      </w:r>
      <w:r w:rsidR="00417315">
        <w:t>’</w:t>
      </w:r>
      <w:r w:rsidRPr="00056027">
        <w:t xml:space="preserve"> that the Secretary had not imposed before the recommendation was made; and</w:t>
      </w:r>
    </w:p>
    <w:p w:rsidR="002D3F15" w:rsidRDefault="002D3F15" w:rsidP="002D3F15">
      <w:r w:rsidRPr="00056027">
        <w:t>(b)</w:t>
      </w:r>
      <w:r w:rsidRPr="00056027">
        <w:tab/>
      </w:r>
      <w:proofErr w:type="gramStart"/>
      <w:r w:rsidRPr="00056027">
        <w:t>the</w:t>
      </w:r>
      <w:proofErr w:type="gramEnd"/>
      <w:r w:rsidRPr="00056027">
        <w:t xml:space="preserve"> sanction was not mentioned in the recommendation;</w:t>
      </w:r>
    </w:p>
    <w:p w:rsidR="0073424E" w:rsidRPr="00056027" w:rsidRDefault="0073424E" w:rsidP="002D3F15"/>
    <w:p w:rsidR="0073424E" w:rsidRDefault="002D3F15" w:rsidP="002D3F15">
      <w:proofErr w:type="gramStart"/>
      <w:r w:rsidRPr="00056027">
        <w:t>the</w:t>
      </w:r>
      <w:proofErr w:type="gramEnd"/>
      <w:r w:rsidRPr="00056027">
        <w:t xml:space="preserve"> Secretary must comply with the procedures established under subsection 15(3) of the Act before deciding whether to impose the sanction.</w:t>
      </w:r>
    </w:p>
    <w:p w:rsidR="002D3F15" w:rsidRPr="00056027" w:rsidRDefault="002D3F15" w:rsidP="002D3F15"/>
    <w:p w:rsidR="002D3F15" w:rsidRPr="0073424E" w:rsidRDefault="002D3F15" w:rsidP="0073424E">
      <w:pPr>
        <w:keepNext/>
        <w:spacing w:after="120"/>
        <w:ind w:firstLine="23"/>
        <w:outlineLvl w:val="8"/>
        <w:rPr>
          <w:b/>
          <w:sz w:val="28"/>
          <w:szCs w:val="20"/>
        </w:rPr>
      </w:pPr>
      <w:bookmarkStart w:id="1" w:name="_Toc375293051"/>
      <w:r w:rsidRPr="0073424E">
        <w:rPr>
          <w:b/>
          <w:sz w:val="28"/>
          <w:szCs w:val="20"/>
        </w:rPr>
        <w:t xml:space="preserve">Schedule 2—Amendments commencing </w:t>
      </w:r>
      <w:r w:rsidR="00417315">
        <w:rPr>
          <w:b/>
          <w:sz w:val="28"/>
          <w:szCs w:val="20"/>
        </w:rPr>
        <w:t xml:space="preserve">at </w:t>
      </w:r>
      <w:r w:rsidRPr="0073424E">
        <w:rPr>
          <w:b/>
          <w:sz w:val="28"/>
          <w:szCs w:val="20"/>
        </w:rPr>
        <w:t xml:space="preserve">the same time as sections 3 to 83 of the </w:t>
      </w:r>
      <w:r w:rsidRPr="009F5516">
        <w:rPr>
          <w:b/>
          <w:i/>
          <w:sz w:val="28"/>
          <w:szCs w:val="20"/>
        </w:rPr>
        <w:t>Public Interest Disclosure Act 2013</w:t>
      </w:r>
      <w:r w:rsidRPr="0073424E">
        <w:rPr>
          <w:b/>
          <w:sz w:val="28"/>
          <w:szCs w:val="20"/>
        </w:rPr>
        <w:t xml:space="preserve"> commence</w:t>
      </w:r>
      <w:bookmarkEnd w:id="1"/>
    </w:p>
    <w:p w:rsidR="002D3F15" w:rsidRPr="0073424E" w:rsidRDefault="0073424E" w:rsidP="0073424E">
      <w:pPr>
        <w:keepNext/>
        <w:spacing w:after="120"/>
        <w:ind w:firstLine="23"/>
        <w:outlineLvl w:val="8"/>
        <w:rPr>
          <w:b/>
        </w:rPr>
      </w:pPr>
      <w:r>
        <w:rPr>
          <w:b/>
        </w:rPr>
        <w:t>Item 1</w:t>
      </w:r>
      <w:r w:rsidR="002D3F15" w:rsidRPr="0073424E">
        <w:rPr>
          <w:b/>
        </w:rPr>
        <w:t xml:space="preserve"> </w:t>
      </w:r>
    </w:p>
    <w:p w:rsidR="002D3F15" w:rsidRDefault="005A3C95" w:rsidP="0073424E">
      <w:r>
        <w:t>This item</w:t>
      </w:r>
      <w:r w:rsidR="0073424E">
        <w:t xml:space="preserve"> inserts a new Part 10A.</w:t>
      </w:r>
    </w:p>
    <w:p w:rsidR="0073424E" w:rsidRDefault="0073424E" w:rsidP="0073424E"/>
    <w:p w:rsidR="0073424E" w:rsidRPr="00056027" w:rsidRDefault="0073424E" w:rsidP="0073424E">
      <w:r>
        <w:t xml:space="preserve">New Part 10A comprises a new clause 112A which establishes the Commissioner’s </w:t>
      </w:r>
    </w:p>
    <w:p w:rsidR="0073424E" w:rsidRDefault="0073424E" w:rsidP="0073424E">
      <w:bookmarkStart w:id="2" w:name="_Toc375293054"/>
      <w:proofErr w:type="gramStart"/>
      <w:r>
        <w:t>functions</w:t>
      </w:r>
      <w:proofErr w:type="gramEnd"/>
      <w:r>
        <w:t xml:space="preserve"> in relation to </w:t>
      </w:r>
      <w:r w:rsidR="002D3F15" w:rsidRPr="00056027">
        <w:t>inquiries into public interest disclosures that relate to alleged breaches of the Code of Conduct</w:t>
      </w:r>
      <w:bookmarkEnd w:id="2"/>
      <w:r>
        <w:t xml:space="preserve">. </w:t>
      </w:r>
    </w:p>
    <w:p w:rsidR="0073424E" w:rsidRDefault="0073424E" w:rsidP="0073424E"/>
    <w:p w:rsidR="002D3F15" w:rsidRPr="00056027" w:rsidRDefault="0073424E" w:rsidP="0073424E">
      <w:r>
        <w:t xml:space="preserve">Subclause </w:t>
      </w:r>
      <w:proofErr w:type="gramStart"/>
      <w:r>
        <w:t>112A(</w:t>
      </w:r>
      <w:proofErr w:type="gramEnd"/>
      <w:r>
        <w:t>1) provides</w:t>
      </w:r>
      <w:r w:rsidR="001B4201">
        <w:t>,</w:t>
      </w:r>
      <w:r>
        <w:t xml:space="preserve"> for</w:t>
      </w:r>
      <w:r w:rsidR="002D3F15" w:rsidRPr="00056027">
        <w:t xml:space="preserve"> paragraph 40(1)(c) of the Act, </w:t>
      </w:r>
      <w:r>
        <w:t xml:space="preserve">that </w:t>
      </w:r>
      <w:r w:rsidR="002D3F15" w:rsidRPr="00056027">
        <w:t xml:space="preserve">clause </w:t>
      </w:r>
      <w:r>
        <w:t xml:space="preserve">112A </w:t>
      </w:r>
      <w:r w:rsidR="002D3F15" w:rsidRPr="00056027">
        <w:t>relates to the function of the Commissioner to inquire into a public interest disclosure (</w:t>
      </w:r>
      <w:r>
        <w:t xml:space="preserve">defined as </w:t>
      </w:r>
      <w:r w:rsidR="002D3F15" w:rsidRPr="00056027">
        <w:t xml:space="preserve">the </w:t>
      </w:r>
      <w:r w:rsidR="002D3F15" w:rsidRPr="00056027">
        <w:rPr>
          <w:b/>
          <w:i/>
        </w:rPr>
        <w:t>disclosure</w:t>
      </w:r>
      <w:r w:rsidR="002D3F15" w:rsidRPr="00056027">
        <w:t>), to the extent that the disclosure relates to one or more alleged breaches of the Code of Conduct.</w:t>
      </w:r>
    </w:p>
    <w:p w:rsidR="002D3F15" w:rsidRDefault="0073424E" w:rsidP="0073424E">
      <w:pPr>
        <w:pStyle w:val="subsection"/>
        <w:tabs>
          <w:tab w:val="clear" w:pos="1021"/>
        </w:tabs>
        <w:ind w:left="0" w:firstLine="0"/>
      </w:pPr>
      <w:r>
        <w:t>Subclause 112A</w:t>
      </w:r>
      <w:r>
        <w:tab/>
        <w:t>(2) provides that t</w:t>
      </w:r>
      <w:r w:rsidR="002D3F15" w:rsidRPr="0073424E">
        <w:t>he Commissioner may inquire into the disclosure if the Commissioner is satisfied that it would be inappropriate for the discloser to make the disclosure to a Secretary.</w:t>
      </w:r>
    </w:p>
    <w:p w:rsidR="002D3F15" w:rsidRDefault="00A23A31" w:rsidP="00A23A31">
      <w:pPr>
        <w:pStyle w:val="subsection"/>
        <w:tabs>
          <w:tab w:val="clear" w:pos="1021"/>
        </w:tabs>
        <w:ind w:left="0" w:firstLine="0"/>
      </w:pPr>
      <w:r>
        <w:t xml:space="preserve">Subclause </w:t>
      </w:r>
      <w:proofErr w:type="gramStart"/>
      <w:r>
        <w:t>112</w:t>
      </w:r>
      <w:r w:rsidR="00DF0181">
        <w:t>A</w:t>
      </w:r>
      <w:r w:rsidR="002D3F15" w:rsidRPr="00056027">
        <w:t>(</w:t>
      </w:r>
      <w:proofErr w:type="gramEnd"/>
      <w:r w:rsidR="002D3F15" w:rsidRPr="00056027">
        <w:t>3)</w:t>
      </w:r>
      <w:r>
        <w:t xml:space="preserve"> provides that t</w:t>
      </w:r>
      <w:r w:rsidR="002D3F15" w:rsidRPr="00056027">
        <w:t>he Commissioner may inquire into the disclosure if the discloser:</w:t>
      </w:r>
    </w:p>
    <w:p w:rsidR="00A23A31" w:rsidRDefault="00A23A31" w:rsidP="00A23A31"/>
    <w:p w:rsidR="002D3F15" w:rsidRPr="00056027" w:rsidRDefault="002D3F15" w:rsidP="00A23A31">
      <w:r w:rsidRPr="00056027">
        <w:t>(a)</w:t>
      </w:r>
      <w:r w:rsidRPr="00056027">
        <w:tab/>
      </w:r>
      <w:proofErr w:type="gramStart"/>
      <w:r w:rsidRPr="00056027">
        <w:t>has</w:t>
      </w:r>
      <w:proofErr w:type="gramEnd"/>
      <w:r w:rsidRPr="00056027">
        <w:t xml:space="preserve"> made the disclosure to a Secretary; and</w:t>
      </w:r>
    </w:p>
    <w:p w:rsidR="002D3F15" w:rsidRPr="00056027" w:rsidRDefault="002D3F15" w:rsidP="00A23A31">
      <w:r w:rsidRPr="00056027">
        <w:t>(b)</w:t>
      </w:r>
      <w:r w:rsidRPr="00056027">
        <w:tab/>
      </w:r>
      <w:proofErr w:type="gramStart"/>
      <w:r w:rsidRPr="00056027">
        <w:t>is</w:t>
      </w:r>
      <w:proofErr w:type="gramEnd"/>
      <w:r w:rsidRPr="00056027">
        <w:t xml:space="preserve"> not satisfied with the outcome that followed the disclosure.</w:t>
      </w:r>
    </w:p>
    <w:p w:rsidR="00A23A31" w:rsidRDefault="00A23A31" w:rsidP="00A23A31"/>
    <w:p w:rsidR="002D3F15" w:rsidRDefault="00A23A31" w:rsidP="00A23A31">
      <w:r>
        <w:t>Subclause 112A</w:t>
      </w:r>
      <w:r w:rsidR="002D3F15" w:rsidRPr="00056027">
        <w:t>(4)</w:t>
      </w:r>
      <w:r>
        <w:t xml:space="preserve"> provides that t</w:t>
      </w:r>
      <w:r w:rsidR="002D3F15" w:rsidRPr="00056027">
        <w:t>he Commissioner may decide to decline to inquire into the disclosure, or to decline to inquire further, if the Commissioner concludes that conducting or continuing the inquiry would not be justified in all the circumstances.</w:t>
      </w:r>
    </w:p>
    <w:p w:rsidR="00A23A31" w:rsidRPr="00056027" w:rsidRDefault="00A23A31" w:rsidP="00A23A31"/>
    <w:p w:rsidR="002D3F15" w:rsidRDefault="00A23A31" w:rsidP="00A23A31">
      <w:r>
        <w:t xml:space="preserve">The following examples of </w:t>
      </w:r>
      <w:r w:rsidR="002D3F15" w:rsidRPr="00056027">
        <w:t xml:space="preserve">circumstances that </w:t>
      </w:r>
      <w:r>
        <w:t xml:space="preserve">may </w:t>
      </w:r>
      <w:r w:rsidR="002D3F15" w:rsidRPr="00056027">
        <w:t xml:space="preserve">exist in a particular case </w:t>
      </w:r>
      <w:r>
        <w:t>are provided</w:t>
      </w:r>
      <w:r w:rsidR="002D3F15" w:rsidRPr="00056027">
        <w:t>:</w:t>
      </w:r>
    </w:p>
    <w:p w:rsidR="009E3ECA" w:rsidRPr="00056027" w:rsidRDefault="009E3ECA" w:rsidP="00A23A31"/>
    <w:p w:rsidR="002D3F15" w:rsidRPr="00056027" w:rsidRDefault="002D3F15" w:rsidP="00A23A31">
      <w:r w:rsidRPr="00056027">
        <w:t>(a)</w:t>
      </w:r>
      <w:r w:rsidRPr="00056027">
        <w:tab/>
      </w:r>
      <w:proofErr w:type="gramStart"/>
      <w:r w:rsidRPr="00056027">
        <w:t>the</w:t>
      </w:r>
      <w:proofErr w:type="gramEnd"/>
      <w:r w:rsidRPr="00056027">
        <w:t xml:space="preserve"> disclosure has been, or is being, considered by the </w:t>
      </w:r>
      <w:r w:rsidR="009E3ECA">
        <w:t>MPC;</w:t>
      </w:r>
    </w:p>
    <w:p w:rsidR="002D3F15" w:rsidRPr="00056027" w:rsidRDefault="002D3F15" w:rsidP="00A23A31">
      <w:r w:rsidRPr="00056027">
        <w:t>(b)</w:t>
      </w:r>
      <w:r w:rsidRPr="00056027">
        <w:tab/>
      </w:r>
      <w:proofErr w:type="gramStart"/>
      <w:r w:rsidRPr="00056027">
        <w:t>the</w:t>
      </w:r>
      <w:proofErr w:type="gramEnd"/>
      <w:r w:rsidRPr="00056027">
        <w:t xml:space="preserve"> disclosure would be dealt with more appropriately by another means;</w:t>
      </w:r>
    </w:p>
    <w:p w:rsidR="002D3F15" w:rsidRPr="00056027" w:rsidRDefault="002D3F15" w:rsidP="00A23A31">
      <w:r w:rsidRPr="00056027">
        <w:t>(c)</w:t>
      </w:r>
      <w:r w:rsidRPr="00056027">
        <w:tab/>
      </w:r>
      <w:proofErr w:type="gramStart"/>
      <w:r w:rsidRPr="00056027">
        <w:t>the</w:t>
      </w:r>
      <w:proofErr w:type="gramEnd"/>
      <w:r w:rsidRPr="00056027">
        <w:t xml:space="preserve"> disclosure is vexatious, frivolous, misconceived, or lacking in substance;</w:t>
      </w:r>
    </w:p>
    <w:p w:rsidR="002D3F15" w:rsidRPr="00056027" w:rsidRDefault="002D3F15" w:rsidP="00A23A31">
      <w:r w:rsidRPr="00056027">
        <w:t>(d)</w:t>
      </w:r>
      <w:r w:rsidRPr="00056027">
        <w:tab/>
      </w:r>
      <w:proofErr w:type="gramStart"/>
      <w:r w:rsidRPr="00056027">
        <w:t>the</w:t>
      </w:r>
      <w:proofErr w:type="gramEnd"/>
      <w:r w:rsidRPr="00056027">
        <w:t xml:space="preserve"> discloser has provided insufficient detail;</w:t>
      </w:r>
    </w:p>
    <w:p w:rsidR="002D3F15" w:rsidRPr="00056027" w:rsidRDefault="002D3F15" w:rsidP="00A23A31">
      <w:r w:rsidRPr="00056027">
        <w:t>(e)</w:t>
      </w:r>
      <w:r w:rsidRPr="00056027">
        <w:tab/>
      </w:r>
      <w:proofErr w:type="gramStart"/>
      <w:r w:rsidRPr="00056027">
        <w:t>the</w:t>
      </w:r>
      <w:proofErr w:type="gramEnd"/>
      <w:r w:rsidRPr="00056027">
        <w:t xml:space="preserve"> disclosure does not to any extent concern serious disclosable conduct;</w:t>
      </w:r>
    </w:p>
    <w:p w:rsidR="002D3F15" w:rsidRDefault="002D3F15" w:rsidP="0081041F">
      <w:pPr>
        <w:ind w:left="720" w:hanging="720"/>
      </w:pPr>
      <w:r w:rsidRPr="00056027">
        <w:t>(f)</w:t>
      </w:r>
      <w:r w:rsidRPr="00056027">
        <w:tab/>
      </w:r>
      <w:proofErr w:type="gramStart"/>
      <w:r w:rsidRPr="00056027">
        <w:t>it</w:t>
      </w:r>
      <w:proofErr w:type="gramEnd"/>
      <w:r w:rsidRPr="00056027">
        <w:t xml:space="preserve"> would not be practical to inquire, or inquire further, because the discloser has not consented to the use or disclosure of identifying information about the discloser.</w:t>
      </w:r>
    </w:p>
    <w:p w:rsidR="009E3ECA" w:rsidRPr="00056027" w:rsidRDefault="009E3ECA" w:rsidP="00A23A31"/>
    <w:p w:rsidR="002D3F15" w:rsidRDefault="009E3ECA" w:rsidP="00A23A31">
      <w:r>
        <w:lastRenderedPageBreak/>
        <w:t>S</w:t>
      </w:r>
      <w:r w:rsidR="00A23A31">
        <w:t xml:space="preserve">ubclause </w:t>
      </w:r>
      <w:proofErr w:type="gramStart"/>
      <w:r w:rsidR="00A23A31">
        <w:t>112A</w:t>
      </w:r>
      <w:r w:rsidR="002D3F15" w:rsidRPr="00056027">
        <w:t>(</w:t>
      </w:r>
      <w:proofErr w:type="gramEnd"/>
      <w:r w:rsidR="002D3F15" w:rsidRPr="00056027">
        <w:t>5)</w:t>
      </w:r>
      <w:r w:rsidR="00A23A31">
        <w:t xml:space="preserve"> provides that, if</w:t>
      </w:r>
      <w:r w:rsidR="002D3F15" w:rsidRPr="00056027">
        <w:t xml:space="preserve"> the Commissioner </w:t>
      </w:r>
      <w:proofErr w:type="spellStart"/>
      <w:r w:rsidR="002D3F15" w:rsidRPr="00056027">
        <w:t>inquires</w:t>
      </w:r>
      <w:proofErr w:type="spellEnd"/>
      <w:r w:rsidR="002D3F15" w:rsidRPr="00056027">
        <w:t xml:space="preserve"> into the disclosure, the Commissioner must:</w:t>
      </w:r>
    </w:p>
    <w:p w:rsidR="00A23A31" w:rsidRPr="00056027" w:rsidRDefault="00A23A31" w:rsidP="00A23A31"/>
    <w:p w:rsidR="002D3F15" w:rsidRPr="00056027" w:rsidRDefault="002D3F15" w:rsidP="00A23A31">
      <w:r w:rsidRPr="00056027">
        <w:t>(a)</w:t>
      </w:r>
      <w:r w:rsidRPr="00056027">
        <w:tab/>
      </w:r>
      <w:proofErr w:type="gramStart"/>
      <w:r w:rsidRPr="00056027">
        <w:t>consider</w:t>
      </w:r>
      <w:proofErr w:type="gramEnd"/>
      <w:r w:rsidRPr="00056027">
        <w:t>, having regard to all the circumstances, whether to give a person about whom the disclosure has been made an opportunity to be heard in relation to the disclosure; and</w:t>
      </w:r>
    </w:p>
    <w:p w:rsidR="002D3F15" w:rsidRDefault="002D3F15" w:rsidP="00A23A31">
      <w:r w:rsidRPr="00056027">
        <w:t>(b)</w:t>
      </w:r>
      <w:r w:rsidRPr="00056027">
        <w:tab/>
      </w:r>
      <w:proofErr w:type="gramStart"/>
      <w:r w:rsidRPr="00056027">
        <w:t>take</w:t>
      </w:r>
      <w:proofErr w:type="gramEnd"/>
      <w:r w:rsidRPr="00056027">
        <w:t xml:space="preserve"> reasonable steps to report the outcome of the inquiry to the discloser and the relevant Secretary.</w:t>
      </w:r>
    </w:p>
    <w:p w:rsidR="00A23A31" w:rsidRPr="00056027" w:rsidRDefault="00A23A31" w:rsidP="00A23A31"/>
    <w:p w:rsidR="002D3F15" w:rsidRPr="00056027" w:rsidRDefault="00A23A31" w:rsidP="00A23A31">
      <w:r>
        <w:t>A Note mentions that i</w:t>
      </w:r>
      <w:r w:rsidR="002D3F15" w:rsidRPr="00056027">
        <w:t xml:space="preserve">nquiring into public interest disclosures is </w:t>
      </w:r>
      <w:r>
        <w:t>a function of the Commissioner and refers to s</w:t>
      </w:r>
      <w:r w:rsidR="002D3F15" w:rsidRPr="00056027">
        <w:t>ection 65AA of the Act deals with circumstances in which the Commissioner may make a record of, disclose or otherwise use certain information for the purposes of, or in connection with, the performance of his or her functions.</w:t>
      </w:r>
      <w:r w:rsidR="001B4201">
        <w:t xml:space="preserve"> </w:t>
      </w:r>
      <w:r>
        <w:t>The Note also mentions that, i</w:t>
      </w:r>
      <w:r w:rsidR="002D3F15" w:rsidRPr="00056027">
        <w:t>f the Commissioner gives a person about whom a disclosure has been made an opportunity to be heard in relation to the disclosure, the Commissioner may give the person information identifying the discloser to the extent the Commissioner considers appropriate in the circumstances.</w:t>
      </w:r>
    </w:p>
    <w:p w:rsidR="00A23A31" w:rsidRDefault="00A23A31" w:rsidP="009F5516"/>
    <w:p w:rsidR="00A23A31" w:rsidRPr="0073424E" w:rsidRDefault="00A23A31" w:rsidP="00A23A31">
      <w:pPr>
        <w:keepNext/>
        <w:spacing w:after="120"/>
        <w:ind w:firstLine="23"/>
        <w:outlineLvl w:val="8"/>
        <w:rPr>
          <w:b/>
        </w:rPr>
      </w:pPr>
      <w:r>
        <w:rPr>
          <w:b/>
        </w:rPr>
        <w:t>Item 2</w:t>
      </w:r>
      <w:r w:rsidRPr="0073424E">
        <w:rPr>
          <w:b/>
        </w:rPr>
        <w:t xml:space="preserve"> </w:t>
      </w:r>
    </w:p>
    <w:p w:rsidR="002D3F15" w:rsidRPr="00056027" w:rsidRDefault="005A3C95" w:rsidP="00A23A31">
      <w:r>
        <w:t>This item</w:t>
      </w:r>
      <w:r w:rsidR="00A23A31">
        <w:t xml:space="preserve"> r</w:t>
      </w:r>
      <w:r w:rsidR="009E3ECA">
        <w:t>epeal</w:t>
      </w:r>
      <w:r w:rsidR="001B4201">
        <w:t>s</w:t>
      </w:r>
      <w:r w:rsidR="009E3ECA">
        <w:t xml:space="preserve"> a</w:t>
      </w:r>
      <w:r w:rsidR="002D3F15" w:rsidRPr="00056027">
        <w:t xml:space="preserve"> note</w:t>
      </w:r>
      <w:r w:rsidR="009E3ECA">
        <w:t xml:space="preserve"> to subclause 113(2).</w:t>
      </w:r>
    </w:p>
    <w:p w:rsidR="009E3ECA" w:rsidRDefault="009E3ECA" w:rsidP="009F5516"/>
    <w:p w:rsidR="002D3F15" w:rsidRPr="009E3ECA" w:rsidRDefault="009E3ECA" w:rsidP="009E3ECA">
      <w:pPr>
        <w:keepNext/>
        <w:spacing w:after="120"/>
        <w:ind w:firstLine="23"/>
        <w:outlineLvl w:val="8"/>
        <w:rPr>
          <w:b/>
        </w:rPr>
      </w:pPr>
      <w:r>
        <w:rPr>
          <w:b/>
        </w:rPr>
        <w:t>Item 3</w:t>
      </w:r>
    </w:p>
    <w:p w:rsidR="009E3ECA" w:rsidRDefault="005A3C95" w:rsidP="009E3ECA">
      <w:bookmarkStart w:id="3" w:name="_Toc375293055"/>
      <w:r>
        <w:t>This item</w:t>
      </w:r>
      <w:r w:rsidR="009E3ECA">
        <w:t xml:space="preserve"> </w:t>
      </w:r>
      <w:r w:rsidR="000C011F">
        <w:t xml:space="preserve">adds </w:t>
      </w:r>
      <w:r w:rsidR="009E3ECA">
        <w:t xml:space="preserve">a new </w:t>
      </w:r>
      <w:r w:rsidR="000C011F">
        <w:t>clause 113A</w:t>
      </w:r>
      <w:r w:rsidR="009E3ECA">
        <w:t>.</w:t>
      </w:r>
    </w:p>
    <w:p w:rsidR="009E3ECA" w:rsidRDefault="009E3ECA" w:rsidP="009E3ECA"/>
    <w:p w:rsidR="009E3ECA" w:rsidRDefault="009E3ECA" w:rsidP="009E3ECA">
      <w:r>
        <w:t xml:space="preserve">New clause </w:t>
      </w:r>
      <w:r w:rsidR="002D3F15" w:rsidRPr="00056027">
        <w:rPr>
          <w:rStyle w:val="CharSectno"/>
        </w:rPr>
        <w:t>113A</w:t>
      </w:r>
      <w:r w:rsidR="002D3F15" w:rsidRPr="00056027">
        <w:t xml:space="preserve"> </w:t>
      </w:r>
      <w:bookmarkEnd w:id="3"/>
      <w:r w:rsidR="00944E15">
        <w:t>which establishes the MPC</w:t>
      </w:r>
      <w:r>
        <w:t xml:space="preserve">’s functions in relation to </w:t>
      </w:r>
      <w:r w:rsidRPr="00056027">
        <w:t>inquiries into public interest disclosures that relate to alleged breaches of the Code of Conduct</w:t>
      </w:r>
      <w:r>
        <w:t xml:space="preserve">. </w:t>
      </w:r>
    </w:p>
    <w:p w:rsidR="009E3ECA" w:rsidRDefault="009E3ECA" w:rsidP="009E3ECA"/>
    <w:p w:rsidR="002D3F15" w:rsidRPr="00056027" w:rsidRDefault="00DF0181" w:rsidP="009E3ECA">
      <w:r>
        <w:t>Subclause 113A</w:t>
      </w:r>
      <w:r w:rsidR="002D3F15" w:rsidRPr="00056027">
        <w:t>(1)</w:t>
      </w:r>
      <w:r>
        <w:t xml:space="preserve"> </w:t>
      </w:r>
      <w:r w:rsidR="001B4201">
        <w:t>provides</w:t>
      </w:r>
      <w:r>
        <w:t xml:space="preserve"> that, f</w:t>
      </w:r>
      <w:r w:rsidR="002D3F15" w:rsidRPr="00056027">
        <w:t xml:space="preserve">or paragraph 48(1)(a) of the Act, clause </w:t>
      </w:r>
      <w:r>
        <w:t xml:space="preserve">113A </w:t>
      </w:r>
      <w:r w:rsidR="002D3F15" w:rsidRPr="00056027">
        <w:t xml:space="preserve">relates to the function of the </w:t>
      </w:r>
      <w:r>
        <w:t>MPC</w:t>
      </w:r>
      <w:r w:rsidR="002D3F15" w:rsidRPr="00056027">
        <w:t xml:space="preserve"> to inquire into a public interest disclosure to the extent that the disclosure relates to one or more alleged breaches of the Code of Conduct.</w:t>
      </w:r>
    </w:p>
    <w:p w:rsidR="00DF0181" w:rsidRDefault="00DF0181" w:rsidP="00DF0181">
      <w:pPr>
        <w:pStyle w:val="subsection"/>
        <w:tabs>
          <w:tab w:val="clear" w:pos="1021"/>
        </w:tabs>
        <w:ind w:left="0" w:firstLine="0"/>
      </w:pPr>
      <w:r>
        <w:t>Subclause 113A</w:t>
      </w:r>
      <w:r>
        <w:tab/>
        <w:t>(2) provides that t</w:t>
      </w:r>
      <w:r w:rsidRPr="0073424E">
        <w:t xml:space="preserve">he </w:t>
      </w:r>
      <w:r>
        <w:t>MPC</w:t>
      </w:r>
      <w:r w:rsidRPr="0073424E">
        <w:t xml:space="preserve"> may inquire into the disclosure if the </w:t>
      </w:r>
      <w:r>
        <w:t>MPC</w:t>
      </w:r>
      <w:r w:rsidRPr="0073424E">
        <w:t xml:space="preserve"> is satisfied that it would be inappropriate for the discloser to make the disclosure to a Secretary.</w:t>
      </w:r>
    </w:p>
    <w:p w:rsidR="00DF0181" w:rsidRDefault="00DF0181" w:rsidP="00DF0181">
      <w:pPr>
        <w:pStyle w:val="subsection"/>
        <w:tabs>
          <w:tab w:val="clear" w:pos="1021"/>
        </w:tabs>
        <w:ind w:left="0" w:firstLine="0"/>
      </w:pPr>
      <w:r>
        <w:t xml:space="preserve">Subclause </w:t>
      </w:r>
      <w:proofErr w:type="gramStart"/>
      <w:r>
        <w:t>113A</w:t>
      </w:r>
      <w:r w:rsidRPr="00056027">
        <w:t>(</w:t>
      </w:r>
      <w:proofErr w:type="gramEnd"/>
      <w:r w:rsidRPr="00056027">
        <w:t>3)</w:t>
      </w:r>
      <w:r>
        <w:t xml:space="preserve"> provides that t</w:t>
      </w:r>
      <w:r w:rsidRPr="00056027">
        <w:t xml:space="preserve">he </w:t>
      </w:r>
      <w:r>
        <w:t>MPC</w:t>
      </w:r>
      <w:r w:rsidRPr="00056027">
        <w:t xml:space="preserve"> may inquire into the disclosure if the discloser:</w:t>
      </w:r>
    </w:p>
    <w:p w:rsidR="00DF0181" w:rsidRDefault="00DF0181" w:rsidP="00DF0181"/>
    <w:p w:rsidR="00DF0181" w:rsidRPr="00056027" w:rsidRDefault="00DF0181" w:rsidP="00DF0181">
      <w:r w:rsidRPr="00056027">
        <w:t>(a)</w:t>
      </w:r>
      <w:r w:rsidRPr="00056027">
        <w:tab/>
      </w:r>
      <w:proofErr w:type="gramStart"/>
      <w:r w:rsidRPr="00056027">
        <w:t>has</w:t>
      </w:r>
      <w:proofErr w:type="gramEnd"/>
      <w:r w:rsidRPr="00056027">
        <w:t xml:space="preserve"> made the disclosure to a Secretary; and</w:t>
      </w:r>
    </w:p>
    <w:p w:rsidR="00DF0181" w:rsidRPr="00056027" w:rsidRDefault="00DF0181" w:rsidP="00DF0181">
      <w:r w:rsidRPr="00056027">
        <w:t>(b)</w:t>
      </w:r>
      <w:r w:rsidRPr="00056027">
        <w:tab/>
      </w:r>
      <w:proofErr w:type="gramStart"/>
      <w:r w:rsidRPr="00056027">
        <w:t>is</w:t>
      </w:r>
      <w:proofErr w:type="gramEnd"/>
      <w:r w:rsidRPr="00056027">
        <w:t xml:space="preserve"> not satisfied with the outcome that followed the disclosure.</w:t>
      </w:r>
    </w:p>
    <w:p w:rsidR="00DF0181" w:rsidRDefault="00DF0181" w:rsidP="00DF0181"/>
    <w:p w:rsidR="00DF0181" w:rsidRDefault="00DF0181" w:rsidP="00DF0181">
      <w:r>
        <w:t>Subclause 113A</w:t>
      </w:r>
      <w:r w:rsidRPr="00056027">
        <w:t>(4)</w:t>
      </w:r>
      <w:r>
        <w:t xml:space="preserve"> provides that t</w:t>
      </w:r>
      <w:r w:rsidRPr="00056027">
        <w:t xml:space="preserve">he </w:t>
      </w:r>
      <w:r>
        <w:t>MPC</w:t>
      </w:r>
      <w:r w:rsidRPr="00056027">
        <w:t xml:space="preserve"> may decide to decline to inquire into the disclosure, or to decline to inquire further, if the </w:t>
      </w:r>
      <w:r>
        <w:t>MPC</w:t>
      </w:r>
      <w:r w:rsidRPr="00056027">
        <w:t xml:space="preserve"> concludes that conducting or continuing the inquiry would not be justified in all the circumstances.</w:t>
      </w:r>
    </w:p>
    <w:p w:rsidR="00DF0181" w:rsidRPr="00056027" w:rsidRDefault="00DF0181" w:rsidP="00DF0181"/>
    <w:p w:rsidR="00DF0181" w:rsidRDefault="00DF0181" w:rsidP="00DF0181">
      <w:r>
        <w:t xml:space="preserve">The following examples of </w:t>
      </w:r>
      <w:r w:rsidRPr="00056027">
        <w:t>circumstances</w:t>
      </w:r>
      <w:r w:rsidR="00CD52AE">
        <w:t>, some or all of which</w:t>
      </w:r>
      <w:r w:rsidRPr="00056027">
        <w:t xml:space="preserve"> </w:t>
      </w:r>
      <w:r>
        <w:t xml:space="preserve">may </w:t>
      </w:r>
      <w:r w:rsidRPr="00056027">
        <w:t>exist in a particular case</w:t>
      </w:r>
      <w:r w:rsidR="00CD52AE">
        <w:t>,</w:t>
      </w:r>
      <w:r w:rsidRPr="00056027">
        <w:t xml:space="preserve"> </w:t>
      </w:r>
      <w:r>
        <w:t>are provided</w:t>
      </w:r>
      <w:r w:rsidRPr="00056027">
        <w:t>:</w:t>
      </w:r>
    </w:p>
    <w:p w:rsidR="00DF0181" w:rsidRPr="00056027" w:rsidRDefault="00DF0181" w:rsidP="00DF0181"/>
    <w:p w:rsidR="00DF0181" w:rsidRPr="00056027" w:rsidRDefault="00DF0181" w:rsidP="00DF0181">
      <w:r w:rsidRPr="00056027">
        <w:t>(a)</w:t>
      </w:r>
      <w:r w:rsidRPr="00056027">
        <w:tab/>
      </w:r>
      <w:proofErr w:type="gramStart"/>
      <w:r w:rsidRPr="00056027">
        <w:t>the</w:t>
      </w:r>
      <w:proofErr w:type="gramEnd"/>
      <w:r w:rsidRPr="00056027">
        <w:t xml:space="preserve"> disclosure has been, or is being, considered by the </w:t>
      </w:r>
      <w:r>
        <w:t>Commissioner;</w:t>
      </w:r>
    </w:p>
    <w:p w:rsidR="00DF0181" w:rsidRPr="00056027" w:rsidRDefault="00DF0181" w:rsidP="00DF0181">
      <w:r w:rsidRPr="00056027">
        <w:t>(b)</w:t>
      </w:r>
      <w:r w:rsidRPr="00056027">
        <w:tab/>
      </w:r>
      <w:proofErr w:type="gramStart"/>
      <w:r w:rsidRPr="00056027">
        <w:t>the</w:t>
      </w:r>
      <w:proofErr w:type="gramEnd"/>
      <w:r w:rsidRPr="00056027">
        <w:t xml:space="preserve"> disclosure would be dealt with more appropriately by another means;</w:t>
      </w:r>
    </w:p>
    <w:p w:rsidR="00DF0181" w:rsidRPr="00056027" w:rsidRDefault="00DF0181" w:rsidP="00DF0181">
      <w:r w:rsidRPr="00056027">
        <w:t>(c)</w:t>
      </w:r>
      <w:r w:rsidRPr="00056027">
        <w:tab/>
      </w:r>
      <w:proofErr w:type="gramStart"/>
      <w:r w:rsidRPr="00056027">
        <w:t>the</w:t>
      </w:r>
      <w:proofErr w:type="gramEnd"/>
      <w:r w:rsidRPr="00056027">
        <w:t xml:space="preserve"> disclosure is vexatious, frivolous, misconceived, or lacking in substance;</w:t>
      </w:r>
    </w:p>
    <w:p w:rsidR="00DF0181" w:rsidRPr="00056027" w:rsidRDefault="00DF0181" w:rsidP="00DF0181">
      <w:r w:rsidRPr="00056027">
        <w:t>(d)</w:t>
      </w:r>
      <w:r w:rsidRPr="00056027">
        <w:tab/>
      </w:r>
      <w:proofErr w:type="gramStart"/>
      <w:r w:rsidRPr="00056027">
        <w:t>the</w:t>
      </w:r>
      <w:proofErr w:type="gramEnd"/>
      <w:r w:rsidRPr="00056027">
        <w:t xml:space="preserve"> discloser has provided insufficient detail;</w:t>
      </w:r>
    </w:p>
    <w:p w:rsidR="00DF0181" w:rsidRPr="00056027" w:rsidRDefault="00DF0181" w:rsidP="00DF0181">
      <w:r w:rsidRPr="00056027">
        <w:lastRenderedPageBreak/>
        <w:t>(e)</w:t>
      </w:r>
      <w:r w:rsidRPr="00056027">
        <w:tab/>
      </w:r>
      <w:proofErr w:type="gramStart"/>
      <w:r w:rsidRPr="00056027">
        <w:t>the</w:t>
      </w:r>
      <w:proofErr w:type="gramEnd"/>
      <w:r w:rsidRPr="00056027">
        <w:t xml:space="preserve"> disclosure does not to any extent concern serious disclosable conduct;</w:t>
      </w:r>
    </w:p>
    <w:p w:rsidR="00DF0181" w:rsidRDefault="00DF0181" w:rsidP="0081041F">
      <w:pPr>
        <w:ind w:left="720" w:hanging="720"/>
      </w:pPr>
      <w:r w:rsidRPr="00056027">
        <w:t>(f)</w:t>
      </w:r>
      <w:r w:rsidRPr="00056027">
        <w:tab/>
      </w:r>
      <w:proofErr w:type="gramStart"/>
      <w:r w:rsidRPr="00056027">
        <w:t>it</w:t>
      </w:r>
      <w:proofErr w:type="gramEnd"/>
      <w:r w:rsidRPr="00056027">
        <w:t xml:space="preserve"> would not be practical to inquire, or inquire further, because the discloser has not consented to the use or disclosure of identifying information about the discloser.</w:t>
      </w:r>
    </w:p>
    <w:p w:rsidR="00DF0181" w:rsidRPr="00056027" w:rsidRDefault="00DF0181" w:rsidP="00DF0181"/>
    <w:p w:rsidR="00DF0181" w:rsidRDefault="00DF0181" w:rsidP="00DF0181">
      <w:r>
        <w:t xml:space="preserve">Subclause </w:t>
      </w:r>
      <w:proofErr w:type="gramStart"/>
      <w:r>
        <w:t>113A</w:t>
      </w:r>
      <w:r w:rsidRPr="00056027">
        <w:t>(</w:t>
      </w:r>
      <w:proofErr w:type="gramEnd"/>
      <w:r w:rsidRPr="00056027">
        <w:t>5)</w:t>
      </w:r>
      <w:r>
        <w:t xml:space="preserve"> provides that, if</w:t>
      </w:r>
      <w:r w:rsidRPr="00056027">
        <w:t xml:space="preserve"> the </w:t>
      </w:r>
      <w:r>
        <w:t>MPC</w:t>
      </w:r>
      <w:r w:rsidRPr="00056027">
        <w:t xml:space="preserve"> </w:t>
      </w:r>
      <w:proofErr w:type="spellStart"/>
      <w:r w:rsidRPr="00056027">
        <w:t>inquires</w:t>
      </w:r>
      <w:proofErr w:type="spellEnd"/>
      <w:r w:rsidRPr="00056027">
        <w:t xml:space="preserve"> into the disclosure, the </w:t>
      </w:r>
      <w:r>
        <w:t>MPC</w:t>
      </w:r>
      <w:r w:rsidRPr="00056027">
        <w:t xml:space="preserve"> must:</w:t>
      </w:r>
    </w:p>
    <w:p w:rsidR="00DF0181" w:rsidRPr="00056027" w:rsidRDefault="00DF0181" w:rsidP="00DF0181"/>
    <w:p w:rsidR="00DF0181" w:rsidRPr="00056027" w:rsidRDefault="00DF0181" w:rsidP="00DF0181">
      <w:r w:rsidRPr="00056027">
        <w:t>(a)</w:t>
      </w:r>
      <w:r w:rsidRPr="00056027">
        <w:tab/>
      </w:r>
      <w:proofErr w:type="gramStart"/>
      <w:r w:rsidRPr="00056027">
        <w:t>consider</w:t>
      </w:r>
      <w:proofErr w:type="gramEnd"/>
      <w:r w:rsidRPr="00056027">
        <w:t>, having regard to all the circumstances, whether to give a person about whom the disclosure has been made an opportunity to be heard in relation to the disclosure; and</w:t>
      </w:r>
    </w:p>
    <w:p w:rsidR="00DF0181" w:rsidRDefault="00DF0181" w:rsidP="00DF0181">
      <w:r w:rsidRPr="00056027">
        <w:t>(b)</w:t>
      </w:r>
      <w:r w:rsidRPr="00056027">
        <w:tab/>
      </w:r>
      <w:proofErr w:type="gramStart"/>
      <w:r w:rsidRPr="00056027">
        <w:t>take</w:t>
      </w:r>
      <w:proofErr w:type="gramEnd"/>
      <w:r w:rsidRPr="00056027">
        <w:t xml:space="preserve"> reasonable steps to report the outcome of the inquiry to the discloser and the relevant Secretary.</w:t>
      </w:r>
    </w:p>
    <w:p w:rsidR="00DF0181" w:rsidRPr="00056027" w:rsidRDefault="00DF0181" w:rsidP="00DF0181"/>
    <w:p w:rsidR="00DF0181" w:rsidRPr="00056027" w:rsidRDefault="00DF0181" w:rsidP="00DF0181">
      <w:r>
        <w:t>A Note mentions that i</w:t>
      </w:r>
      <w:r w:rsidRPr="00056027">
        <w:t xml:space="preserve">nquiring into public interest disclosures is </w:t>
      </w:r>
      <w:r>
        <w:t>a function of the MPC and refers to s</w:t>
      </w:r>
      <w:r w:rsidRPr="00056027">
        <w:t>ection 65A</w:t>
      </w:r>
      <w:r>
        <w:t>B</w:t>
      </w:r>
      <w:r w:rsidRPr="00056027">
        <w:t xml:space="preserve"> of the Act </w:t>
      </w:r>
      <w:r w:rsidR="000C011F">
        <w:t xml:space="preserve">which </w:t>
      </w:r>
      <w:r w:rsidRPr="00056027">
        <w:t xml:space="preserve">deals with circumstances in which the </w:t>
      </w:r>
      <w:r>
        <w:t>MPC</w:t>
      </w:r>
      <w:r w:rsidRPr="00056027">
        <w:t xml:space="preserve"> may make a record of, disclose or otherwise use certain information for the purposes of, or in connection with, the performance of his or her functions.</w:t>
      </w:r>
      <w:r w:rsidR="00451BF8">
        <w:t xml:space="preserve"> </w:t>
      </w:r>
      <w:r>
        <w:t>The Note also mentions that, i</w:t>
      </w:r>
      <w:r w:rsidRPr="00056027">
        <w:t xml:space="preserve">f the </w:t>
      </w:r>
      <w:r>
        <w:t>MPC</w:t>
      </w:r>
      <w:r w:rsidRPr="00056027">
        <w:t xml:space="preserve"> gives a person about whom a disclosure has been made an opportunity to be heard in relation to the disclosure, the </w:t>
      </w:r>
      <w:r>
        <w:t>MPC</w:t>
      </w:r>
      <w:r w:rsidRPr="00056027">
        <w:t xml:space="preserve"> may give the person information identifying the discloser to the extent the </w:t>
      </w:r>
      <w:r>
        <w:t>MPC</w:t>
      </w:r>
      <w:r w:rsidRPr="00056027">
        <w:t xml:space="preserve"> considers appropriate in the circumstances.</w:t>
      </w:r>
    </w:p>
    <w:p w:rsidR="00DF0181" w:rsidRDefault="00DF0181" w:rsidP="009F5516"/>
    <w:p w:rsidR="00DF0181" w:rsidRPr="009E3ECA" w:rsidRDefault="009F5516" w:rsidP="00DF0181">
      <w:pPr>
        <w:keepNext/>
        <w:spacing w:after="120"/>
        <w:ind w:firstLine="23"/>
        <w:outlineLvl w:val="8"/>
        <w:rPr>
          <w:b/>
        </w:rPr>
      </w:pPr>
      <w:r>
        <w:rPr>
          <w:b/>
        </w:rPr>
        <w:t>Item 4</w:t>
      </w:r>
    </w:p>
    <w:p w:rsidR="002D3F15" w:rsidRPr="00056027" w:rsidRDefault="005A3C95" w:rsidP="00DF0181">
      <w:r>
        <w:t>This item</w:t>
      </w:r>
      <w:r w:rsidR="00DF0181">
        <w:t xml:space="preserve"> re</w:t>
      </w:r>
      <w:r w:rsidR="002D3F15" w:rsidRPr="00056027">
        <w:t>peal</w:t>
      </w:r>
      <w:r w:rsidR="00DF0181">
        <w:t>s</w:t>
      </w:r>
      <w:r w:rsidR="002D3F15" w:rsidRPr="00056027">
        <w:t xml:space="preserve"> Part</w:t>
      </w:r>
      <w:r w:rsidR="00DF0181">
        <w:t xml:space="preserve"> 12</w:t>
      </w:r>
      <w:r w:rsidR="002D3F15" w:rsidRPr="00056027">
        <w:t>.</w:t>
      </w:r>
    </w:p>
    <w:p w:rsidR="00DF0181" w:rsidRDefault="00DF0181" w:rsidP="009F5516"/>
    <w:p w:rsidR="00DF0181" w:rsidRDefault="009F5516" w:rsidP="00DF0181">
      <w:pPr>
        <w:keepNext/>
        <w:spacing w:after="120"/>
        <w:ind w:firstLine="23"/>
        <w:outlineLvl w:val="8"/>
        <w:rPr>
          <w:b/>
        </w:rPr>
      </w:pPr>
      <w:r>
        <w:rPr>
          <w:b/>
        </w:rPr>
        <w:t>Item 5</w:t>
      </w:r>
    </w:p>
    <w:p w:rsidR="00DF0181" w:rsidRPr="00DF0181" w:rsidRDefault="00964B23" w:rsidP="009F5516">
      <w:r>
        <w:t>This i</w:t>
      </w:r>
      <w:r w:rsidR="00DF0181">
        <w:t>tem introduces</w:t>
      </w:r>
      <w:r w:rsidR="009F5516">
        <w:t xml:space="preserve"> the foll</w:t>
      </w:r>
      <w:r w:rsidR="00451BF8">
        <w:t>owing new definitions into the D</w:t>
      </w:r>
      <w:r w:rsidR="009F5516">
        <w:t>ictionary:</w:t>
      </w:r>
    </w:p>
    <w:p w:rsidR="002D3F15" w:rsidRPr="00056027" w:rsidRDefault="002D3F15" w:rsidP="009F5516">
      <w:pPr>
        <w:pStyle w:val="Definition"/>
        <w:ind w:hanging="425"/>
      </w:pPr>
      <w:proofErr w:type="gramStart"/>
      <w:r w:rsidRPr="00056027">
        <w:rPr>
          <w:b/>
          <w:i/>
        </w:rPr>
        <w:t>discloser</w:t>
      </w:r>
      <w:proofErr w:type="gramEnd"/>
      <w:r w:rsidRPr="00056027">
        <w:t xml:space="preserve"> has the same meaning as in the </w:t>
      </w:r>
      <w:r w:rsidRPr="00056027">
        <w:rPr>
          <w:i/>
        </w:rPr>
        <w:t>Public Interest Disclosure Act 2013</w:t>
      </w:r>
      <w:r w:rsidRPr="00056027">
        <w:t>.</w:t>
      </w:r>
    </w:p>
    <w:p w:rsidR="002D3F15" w:rsidRPr="00056027" w:rsidRDefault="002D3F15" w:rsidP="009F5516">
      <w:pPr>
        <w:pStyle w:val="Definition"/>
        <w:ind w:hanging="425"/>
      </w:pPr>
      <w:proofErr w:type="gramStart"/>
      <w:r w:rsidRPr="00056027">
        <w:rPr>
          <w:b/>
          <w:i/>
        </w:rPr>
        <w:t>public</w:t>
      </w:r>
      <w:proofErr w:type="gramEnd"/>
      <w:r w:rsidRPr="00056027">
        <w:rPr>
          <w:b/>
          <w:i/>
        </w:rPr>
        <w:t xml:space="preserve"> interest disclosure</w:t>
      </w:r>
      <w:r w:rsidRPr="00056027">
        <w:t xml:space="preserve"> has the same meaning as in the </w:t>
      </w:r>
      <w:r w:rsidRPr="00056027">
        <w:rPr>
          <w:i/>
        </w:rPr>
        <w:t>Public Interest Disclosure Act 2013</w:t>
      </w:r>
      <w:r w:rsidRPr="00056027">
        <w:t>.</w:t>
      </w:r>
    </w:p>
    <w:p w:rsidR="009F5516" w:rsidRDefault="009F5516" w:rsidP="009F5516"/>
    <w:p w:rsidR="009F5516" w:rsidRDefault="009F5516" w:rsidP="009F5516">
      <w:pPr>
        <w:keepNext/>
        <w:spacing w:after="120"/>
        <w:ind w:firstLine="23"/>
        <w:outlineLvl w:val="8"/>
        <w:rPr>
          <w:b/>
        </w:rPr>
      </w:pPr>
      <w:r>
        <w:rPr>
          <w:b/>
        </w:rPr>
        <w:t>Item 6</w:t>
      </w:r>
    </w:p>
    <w:p w:rsidR="002D3F15" w:rsidRPr="009F5516" w:rsidRDefault="009F5516" w:rsidP="009F5516">
      <w:r>
        <w:t>This item r</w:t>
      </w:r>
      <w:r w:rsidR="002D3F15" w:rsidRPr="00056027">
        <w:t>epeal</w:t>
      </w:r>
      <w:r>
        <w:t>s</w:t>
      </w:r>
      <w:r w:rsidR="002D3F15" w:rsidRPr="00056027">
        <w:t xml:space="preserve"> the definition</w:t>
      </w:r>
      <w:r>
        <w:t xml:space="preserve"> of </w:t>
      </w:r>
      <w:r w:rsidRPr="009F5516">
        <w:rPr>
          <w:b/>
          <w:i/>
        </w:rPr>
        <w:t>whistleblower</w:t>
      </w:r>
      <w:r>
        <w:t>.</w:t>
      </w:r>
    </w:p>
    <w:p w:rsidR="009F5516" w:rsidRDefault="009F5516" w:rsidP="009F5516">
      <w:bookmarkStart w:id="4" w:name="_Toc375293056"/>
      <w:bookmarkStart w:id="5" w:name="opcCurrentFind"/>
    </w:p>
    <w:p w:rsidR="009F5516" w:rsidRDefault="009F5516" w:rsidP="009F5516">
      <w:pPr>
        <w:keepNext/>
        <w:spacing w:after="120"/>
        <w:ind w:firstLine="23"/>
        <w:outlineLvl w:val="8"/>
        <w:rPr>
          <w:b/>
        </w:rPr>
      </w:pPr>
      <w:r>
        <w:rPr>
          <w:b/>
        </w:rPr>
        <w:t>Item 7</w:t>
      </w:r>
    </w:p>
    <w:p w:rsidR="009F5516" w:rsidRDefault="009F5516" w:rsidP="009F5516">
      <w:r>
        <w:t>This item r</w:t>
      </w:r>
      <w:r w:rsidRPr="00056027">
        <w:t>epeal</w:t>
      </w:r>
      <w:r>
        <w:t>s</w:t>
      </w:r>
      <w:r w:rsidRPr="00056027">
        <w:t xml:space="preserve"> the definition</w:t>
      </w:r>
      <w:r>
        <w:t xml:space="preserve"> of </w:t>
      </w:r>
      <w:r w:rsidRPr="009F5516">
        <w:rPr>
          <w:b/>
          <w:i/>
        </w:rPr>
        <w:t>whistleblower</w:t>
      </w:r>
      <w:r>
        <w:rPr>
          <w:b/>
          <w:i/>
        </w:rPr>
        <w:t xml:space="preserve"> report</w:t>
      </w:r>
      <w:r>
        <w:t>.</w:t>
      </w:r>
    </w:p>
    <w:p w:rsidR="00D24539" w:rsidRDefault="00D24539" w:rsidP="00D24539"/>
    <w:p w:rsidR="002D3F15" w:rsidRPr="00D24539" w:rsidRDefault="002D3F15" w:rsidP="00D24539">
      <w:pPr>
        <w:keepNext/>
        <w:spacing w:after="120"/>
        <w:ind w:firstLine="23"/>
        <w:outlineLvl w:val="8"/>
        <w:rPr>
          <w:b/>
          <w:sz w:val="28"/>
          <w:szCs w:val="20"/>
        </w:rPr>
      </w:pPr>
      <w:r w:rsidRPr="00D24539">
        <w:rPr>
          <w:b/>
          <w:sz w:val="28"/>
          <w:szCs w:val="20"/>
        </w:rPr>
        <w:t>Schedule 3—Amendments commencing 12 March 2014</w:t>
      </w:r>
      <w:bookmarkEnd w:id="4"/>
    </w:p>
    <w:bookmarkEnd w:id="5"/>
    <w:p w:rsidR="002D3F15" w:rsidRPr="009F5516" w:rsidRDefault="009F5516" w:rsidP="009F5516">
      <w:pPr>
        <w:keepNext/>
        <w:spacing w:after="120"/>
        <w:ind w:firstLine="23"/>
        <w:outlineLvl w:val="8"/>
        <w:rPr>
          <w:b/>
        </w:rPr>
      </w:pPr>
      <w:r w:rsidRPr="009F5516">
        <w:rPr>
          <w:b/>
        </w:rPr>
        <w:t xml:space="preserve">Item 1 </w:t>
      </w:r>
    </w:p>
    <w:p w:rsidR="002D3F15" w:rsidRDefault="009F5516" w:rsidP="00CD52AE">
      <w:pPr>
        <w:pStyle w:val="subsection"/>
        <w:tabs>
          <w:tab w:val="clear" w:pos="1021"/>
          <w:tab w:val="right" w:pos="0"/>
        </w:tabs>
        <w:ind w:left="0" w:firstLine="0"/>
      </w:pPr>
      <w:r>
        <w:t>This item amends clause 147 by repealing subclauses 147(7) and (8) and su</w:t>
      </w:r>
      <w:r w:rsidR="00CD52AE">
        <w:t>bstituting</w:t>
      </w:r>
      <w:r>
        <w:t xml:space="preserve"> new </w:t>
      </w:r>
      <w:r w:rsidR="00CD52AE">
        <w:t>subclause 147(7) which provides that the u</w:t>
      </w:r>
      <w:r w:rsidR="002D3F15" w:rsidRPr="00CD52AE">
        <w:t xml:space="preserve">se or disclosure of </w:t>
      </w:r>
      <w:r w:rsidR="00CD52AE">
        <w:t xml:space="preserve">personal information under </w:t>
      </w:r>
      <w:r w:rsidR="002D3F15" w:rsidRPr="00CD52AE">
        <w:t xml:space="preserve">clause </w:t>
      </w:r>
      <w:r w:rsidR="00CD52AE">
        <w:t xml:space="preserve">147 </w:t>
      </w:r>
      <w:r w:rsidR="002D3F15" w:rsidRPr="00CD52AE">
        <w:t xml:space="preserve">is authorised for the purposes of Australian Privacy Principle 6.2(b) under the </w:t>
      </w:r>
      <w:r w:rsidR="002D3F15" w:rsidRPr="00CD52AE">
        <w:rPr>
          <w:i/>
        </w:rPr>
        <w:t>Privacy Act 1988</w:t>
      </w:r>
      <w:r w:rsidR="002D3F15" w:rsidRPr="00CD52AE">
        <w:t>.</w:t>
      </w:r>
    </w:p>
    <w:p w:rsidR="00D24539" w:rsidRDefault="00D24539">
      <w:pPr>
        <w:spacing w:after="200" w:line="276" w:lineRule="auto"/>
        <w:rPr>
          <w:sz w:val="22"/>
          <w:szCs w:val="20"/>
        </w:rPr>
      </w:pPr>
      <w:r>
        <w:br w:type="page"/>
      </w:r>
    </w:p>
    <w:p w:rsidR="00D24539" w:rsidRDefault="00D24539" w:rsidP="00D24539">
      <w:pPr>
        <w:spacing w:before="240"/>
        <w:rPr>
          <w:rFonts w:ascii="Times" w:hAnsi="Times" w:cs="Arial"/>
          <w:b/>
          <w:bCs/>
          <w:iCs/>
          <w:sz w:val="26"/>
          <w:szCs w:val="28"/>
        </w:rPr>
      </w:pPr>
    </w:p>
    <w:p w:rsidR="00D24539" w:rsidRDefault="00D24539" w:rsidP="00D24539">
      <w:pPr>
        <w:spacing w:before="240"/>
        <w:jc w:val="right"/>
        <w:rPr>
          <w:rFonts w:ascii="Times" w:hAnsi="Times" w:cs="Arial"/>
          <w:b/>
          <w:bCs/>
          <w:iCs/>
          <w:sz w:val="26"/>
          <w:szCs w:val="28"/>
        </w:rPr>
      </w:pPr>
      <w:r>
        <w:rPr>
          <w:rFonts w:ascii="Times" w:hAnsi="Times" w:cs="Arial"/>
          <w:b/>
          <w:bCs/>
          <w:iCs/>
          <w:sz w:val="26"/>
          <w:szCs w:val="28"/>
        </w:rPr>
        <w:t>Attachment B</w:t>
      </w:r>
    </w:p>
    <w:p w:rsidR="00D24539" w:rsidRDefault="00D24539" w:rsidP="00D24539">
      <w:pPr>
        <w:spacing w:before="240"/>
        <w:rPr>
          <w:rFonts w:ascii="Times" w:hAnsi="Times" w:cs="Arial"/>
          <w:b/>
          <w:bCs/>
          <w:iCs/>
          <w:sz w:val="26"/>
          <w:szCs w:val="28"/>
        </w:rPr>
      </w:pPr>
      <w:r>
        <w:rPr>
          <w:rFonts w:ascii="Times" w:hAnsi="Times" w:cs="Arial"/>
          <w:b/>
          <w:bCs/>
          <w:iCs/>
          <w:sz w:val="26"/>
          <w:szCs w:val="28"/>
        </w:rPr>
        <w:t xml:space="preserve">Statement of Compatibility with Human Rights </w:t>
      </w:r>
    </w:p>
    <w:p w:rsidR="00D24539" w:rsidRPr="00096126" w:rsidRDefault="00D24539" w:rsidP="00D24539">
      <w:pPr>
        <w:spacing w:before="160" w:after="40"/>
        <w:rPr>
          <w:b/>
        </w:rPr>
      </w:pPr>
      <w:r w:rsidRPr="00096126">
        <w:rPr>
          <w:b/>
        </w:rPr>
        <w:t>Overview of the Legislative Instrument</w:t>
      </w:r>
    </w:p>
    <w:p w:rsidR="00D24539" w:rsidRDefault="00D24539" w:rsidP="00D24539">
      <w:pPr>
        <w:spacing w:before="100" w:after="40"/>
      </w:pPr>
      <w:r>
        <w:t>The</w:t>
      </w:r>
      <w:r w:rsidRPr="000446F9">
        <w:rPr>
          <w:iCs/>
          <w:szCs w:val="20"/>
          <w:lang w:eastAsia="en-US"/>
        </w:rPr>
        <w:t xml:space="preserve"> </w:t>
      </w:r>
      <w:r>
        <w:rPr>
          <w:i/>
          <w:iCs/>
          <w:szCs w:val="20"/>
          <w:lang w:eastAsia="en-US"/>
        </w:rPr>
        <w:t>Parliamentary</w:t>
      </w:r>
      <w:r w:rsidRPr="00A52A3E">
        <w:rPr>
          <w:i/>
          <w:iCs/>
          <w:szCs w:val="20"/>
          <w:lang w:eastAsia="en-US"/>
        </w:rPr>
        <w:t xml:space="preserve"> Service </w:t>
      </w:r>
      <w:r>
        <w:rPr>
          <w:i/>
          <w:iCs/>
          <w:szCs w:val="20"/>
          <w:lang w:eastAsia="en-US"/>
        </w:rPr>
        <w:t>Amendment (Public Interest Disclosure and Other Matters) Determination 2014</w:t>
      </w:r>
      <w:r>
        <w:rPr>
          <w:iCs/>
          <w:szCs w:val="20"/>
          <w:lang w:eastAsia="en-US"/>
        </w:rPr>
        <w:t xml:space="preserve"> (‘the Amendment Determination’)</w:t>
      </w:r>
      <w:r w:rsidRPr="00D42DEF">
        <w:t xml:space="preserve"> amend</w:t>
      </w:r>
      <w:r>
        <w:t>s</w:t>
      </w:r>
      <w:r w:rsidRPr="00D42DEF">
        <w:t xml:space="preserve"> </w:t>
      </w:r>
      <w:r>
        <w:t xml:space="preserve">clause 44 of </w:t>
      </w:r>
      <w:r w:rsidR="00D60D55" w:rsidRPr="00D60D55">
        <w:rPr>
          <w:i/>
        </w:rPr>
        <w:t>Parliamentary Service Determination 2013</w:t>
      </w:r>
      <w:r w:rsidR="00D60D55">
        <w:t xml:space="preserve"> (‘the </w:t>
      </w:r>
      <w:r>
        <w:t>Principal Determination</w:t>
      </w:r>
      <w:r w:rsidR="00D60D55">
        <w:t>’)</w:t>
      </w:r>
      <w:r>
        <w:t xml:space="preserve"> to clarify that, when giving an employee a direction to attend an examination by a medical practitioner, a Secretary may specify a time for the employee to attend.</w:t>
      </w:r>
    </w:p>
    <w:p w:rsidR="00D24539" w:rsidRDefault="00D24539" w:rsidP="00D24539">
      <w:pPr>
        <w:spacing w:before="100" w:after="40"/>
        <w:rPr>
          <w:szCs w:val="20"/>
          <w:lang w:eastAsia="en-US"/>
        </w:rPr>
      </w:pPr>
      <w:r>
        <w:rPr>
          <w:szCs w:val="20"/>
          <w:lang w:eastAsia="en-US"/>
        </w:rPr>
        <w:t>The Amendment Determination</w:t>
      </w:r>
      <w:r w:rsidRPr="00975744">
        <w:rPr>
          <w:szCs w:val="20"/>
          <w:lang w:eastAsia="en-US"/>
        </w:rPr>
        <w:t xml:space="preserve"> amend</w:t>
      </w:r>
      <w:r>
        <w:rPr>
          <w:szCs w:val="20"/>
          <w:lang w:eastAsia="en-US"/>
        </w:rPr>
        <w:t>s</w:t>
      </w:r>
      <w:r w:rsidRPr="00975744">
        <w:rPr>
          <w:szCs w:val="20"/>
          <w:lang w:eastAsia="en-US"/>
        </w:rPr>
        <w:t xml:space="preserve"> </w:t>
      </w:r>
      <w:r>
        <w:rPr>
          <w:szCs w:val="20"/>
          <w:lang w:eastAsia="en-US"/>
        </w:rPr>
        <w:t>clause 104</w:t>
      </w:r>
      <w:r w:rsidRPr="00975744">
        <w:rPr>
          <w:szCs w:val="20"/>
          <w:lang w:eastAsia="en-US"/>
        </w:rPr>
        <w:t xml:space="preserve"> </w:t>
      </w:r>
      <w:r>
        <w:rPr>
          <w:szCs w:val="20"/>
          <w:lang w:eastAsia="en-US"/>
        </w:rPr>
        <w:t xml:space="preserve">of the Principal Determination </w:t>
      </w:r>
      <w:r w:rsidRPr="00975744">
        <w:rPr>
          <w:szCs w:val="20"/>
          <w:lang w:eastAsia="en-US"/>
        </w:rPr>
        <w:t xml:space="preserve">to provide certainty for </w:t>
      </w:r>
      <w:r>
        <w:t>Parliamentary Service</w:t>
      </w:r>
      <w:r w:rsidRPr="00975744">
        <w:rPr>
          <w:szCs w:val="20"/>
          <w:lang w:eastAsia="en-US"/>
        </w:rPr>
        <w:t xml:space="preserve"> employees that all findings of a breach of the </w:t>
      </w:r>
      <w:r>
        <w:t>Parliamentary Service</w:t>
      </w:r>
      <w:r w:rsidRPr="00975744">
        <w:rPr>
          <w:szCs w:val="20"/>
          <w:lang w:eastAsia="en-US"/>
        </w:rPr>
        <w:t xml:space="preserve"> Code of Conduct </w:t>
      </w:r>
      <w:r>
        <w:rPr>
          <w:szCs w:val="20"/>
          <w:lang w:eastAsia="en-US"/>
        </w:rPr>
        <w:t xml:space="preserve">(‘Code of Conduct’) </w:t>
      </w:r>
      <w:r w:rsidRPr="00975744">
        <w:rPr>
          <w:szCs w:val="20"/>
          <w:lang w:eastAsia="en-US"/>
        </w:rPr>
        <w:t xml:space="preserve">or the imposition of sanctions by </w:t>
      </w:r>
      <w:r>
        <w:rPr>
          <w:szCs w:val="20"/>
          <w:lang w:eastAsia="en-US"/>
        </w:rPr>
        <w:t>a Secretary</w:t>
      </w:r>
      <w:r w:rsidRPr="00975744">
        <w:rPr>
          <w:szCs w:val="20"/>
          <w:lang w:eastAsia="en-US"/>
        </w:rPr>
        <w:t xml:space="preserve"> must be made in accordance with the procedures established </w:t>
      </w:r>
      <w:r>
        <w:rPr>
          <w:szCs w:val="20"/>
          <w:lang w:eastAsia="en-US"/>
        </w:rPr>
        <w:t xml:space="preserve">by the Secretary </w:t>
      </w:r>
      <w:r w:rsidRPr="00975744">
        <w:rPr>
          <w:szCs w:val="20"/>
          <w:lang w:eastAsia="en-US"/>
        </w:rPr>
        <w:t xml:space="preserve">under </w:t>
      </w:r>
      <w:r>
        <w:rPr>
          <w:szCs w:val="20"/>
          <w:lang w:eastAsia="en-US"/>
        </w:rPr>
        <w:t>sub</w:t>
      </w:r>
      <w:r w:rsidRPr="00975744">
        <w:rPr>
          <w:szCs w:val="20"/>
          <w:lang w:eastAsia="en-US"/>
        </w:rPr>
        <w:t xml:space="preserve">section 15(3) of the </w:t>
      </w:r>
      <w:r w:rsidRPr="00EA78E0">
        <w:rPr>
          <w:i/>
          <w:szCs w:val="20"/>
          <w:lang w:eastAsia="en-US"/>
        </w:rPr>
        <w:t>Parliamentary Service Act 1999</w:t>
      </w:r>
      <w:r>
        <w:rPr>
          <w:szCs w:val="20"/>
          <w:lang w:eastAsia="en-US"/>
        </w:rPr>
        <w:t xml:space="preserve"> (‘the Act’) for determining Code of Conduct breaches, and sanctions where appropriate. The amendment deals with circumstances in which the Parliamentary Service Merit Protection Commissioner (‘MPC’) has reviewed a department’s decision in respect of a Code of Conduct determination or sanction decision, and, following the review, the Secretary proposes to make a Code of Conduct finding or a sanction decision that was not the same as either the Secretary’s original decision or the MPC’s recommendation. In those circumstances, clause 104, as amended, requires the Secretary to follow the subsection 15(3) procedures in making the new </w:t>
      </w:r>
      <w:r w:rsidR="000C42CF">
        <w:rPr>
          <w:szCs w:val="20"/>
          <w:lang w:eastAsia="en-US"/>
        </w:rPr>
        <w:t>finding or deciding the sanction</w:t>
      </w:r>
      <w:r>
        <w:rPr>
          <w:szCs w:val="20"/>
          <w:lang w:eastAsia="en-US"/>
        </w:rPr>
        <w:t>.</w:t>
      </w:r>
    </w:p>
    <w:p w:rsidR="00D24539" w:rsidRDefault="00D24539" w:rsidP="00D24539">
      <w:pPr>
        <w:spacing w:before="100" w:after="40"/>
        <w:rPr>
          <w:szCs w:val="20"/>
          <w:lang w:eastAsia="en-US"/>
        </w:rPr>
      </w:pPr>
      <w:r>
        <w:rPr>
          <w:szCs w:val="20"/>
          <w:lang w:eastAsia="en-US"/>
        </w:rPr>
        <w:t>T</w:t>
      </w:r>
      <w:r w:rsidRPr="00F14E02">
        <w:rPr>
          <w:szCs w:val="20"/>
          <w:lang w:eastAsia="en-US"/>
        </w:rPr>
        <w:t xml:space="preserve">he </w:t>
      </w:r>
      <w:r>
        <w:rPr>
          <w:szCs w:val="20"/>
          <w:lang w:eastAsia="en-US"/>
        </w:rPr>
        <w:t xml:space="preserve">Amendment </w:t>
      </w:r>
      <w:r w:rsidR="000C42CF">
        <w:rPr>
          <w:szCs w:val="20"/>
          <w:lang w:eastAsia="en-US"/>
        </w:rPr>
        <w:t>Determination</w:t>
      </w:r>
      <w:r w:rsidRPr="00F14E02">
        <w:rPr>
          <w:szCs w:val="20"/>
          <w:lang w:eastAsia="en-US"/>
        </w:rPr>
        <w:t xml:space="preserve"> amend</w:t>
      </w:r>
      <w:r>
        <w:rPr>
          <w:szCs w:val="20"/>
          <w:lang w:eastAsia="en-US"/>
        </w:rPr>
        <w:t xml:space="preserve">s the </w:t>
      </w:r>
      <w:r w:rsidRPr="00F14E02">
        <w:rPr>
          <w:szCs w:val="20"/>
          <w:lang w:eastAsia="en-US"/>
        </w:rPr>
        <w:t xml:space="preserve">Principal </w:t>
      </w:r>
      <w:r>
        <w:rPr>
          <w:szCs w:val="20"/>
          <w:lang w:eastAsia="en-US"/>
        </w:rPr>
        <w:t>Determination</w:t>
      </w:r>
      <w:r w:rsidRPr="00F14E02">
        <w:rPr>
          <w:szCs w:val="20"/>
          <w:lang w:eastAsia="en-US"/>
        </w:rPr>
        <w:t xml:space="preserve"> </w:t>
      </w:r>
      <w:r>
        <w:rPr>
          <w:szCs w:val="20"/>
          <w:lang w:eastAsia="en-US"/>
        </w:rPr>
        <w:t xml:space="preserve">by inserting new clauses 112A and 113A </w:t>
      </w:r>
      <w:r w:rsidRPr="00F14E02">
        <w:rPr>
          <w:szCs w:val="20"/>
          <w:lang w:eastAsia="en-US"/>
        </w:rPr>
        <w:t xml:space="preserve">to give effect to provisions of the </w:t>
      </w:r>
      <w:r>
        <w:rPr>
          <w:i/>
          <w:szCs w:val="20"/>
          <w:lang w:eastAsia="en-US"/>
        </w:rPr>
        <w:t>Public Interest Disclosure (Consequential Amendments) Act 2013</w:t>
      </w:r>
      <w:r>
        <w:rPr>
          <w:szCs w:val="20"/>
          <w:lang w:eastAsia="en-US"/>
        </w:rPr>
        <w:t xml:space="preserve"> (‘PID Consequential Act’)</w:t>
      </w:r>
      <w:r w:rsidRPr="00F14E02">
        <w:rPr>
          <w:szCs w:val="20"/>
          <w:lang w:eastAsia="en-US"/>
        </w:rPr>
        <w:t xml:space="preserve">. </w:t>
      </w:r>
      <w:r>
        <w:rPr>
          <w:szCs w:val="20"/>
          <w:lang w:eastAsia="en-US"/>
        </w:rPr>
        <w:t>Notably, the Amendment Determination clarifies the functions of the Parliamentary Service Commissioner (‘Commissioner’) and the MPC in dealing with public interest disclosures.</w:t>
      </w:r>
    </w:p>
    <w:p w:rsidR="00D24539" w:rsidRDefault="00D24539" w:rsidP="00D24539">
      <w:pPr>
        <w:spacing w:before="100" w:after="40"/>
        <w:rPr>
          <w:szCs w:val="20"/>
          <w:lang w:eastAsia="en-US"/>
        </w:rPr>
      </w:pPr>
      <w:r w:rsidRPr="00705BF4">
        <w:rPr>
          <w:szCs w:val="20"/>
          <w:lang w:eastAsia="en-US"/>
        </w:rPr>
        <w:t>T</w:t>
      </w:r>
      <w:r>
        <w:rPr>
          <w:szCs w:val="20"/>
          <w:lang w:eastAsia="en-US"/>
        </w:rPr>
        <w:t>he PID Consequential Act repealed section 16 and paragraphs 40(1)(c) and 48(1)(a) of the</w:t>
      </w:r>
      <w:r w:rsidRPr="00705BF4">
        <w:rPr>
          <w:szCs w:val="20"/>
          <w:lang w:eastAsia="en-US"/>
        </w:rPr>
        <w:t xml:space="preserve"> Act</w:t>
      </w:r>
      <w:r>
        <w:rPr>
          <w:szCs w:val="20"/>
          <w:lang w:eastAsia="en-US"/>
        </w:rPr>
        <w:t>, which dealt with whistleblower reports, and inserted</w:t>
      </w:r>
      <w:r w:rsidRPr="00705BF4">
        <w:rPr>
          <w:szCs w:val="20"/>
          <w:lang w:eastAsia="en-US"/>
        </w:rPr>
        <w:t xml:space="preserve"> new paragraphs </w:t>
      </w:r>
      <w:r>
        <w:rPr>
          <w:szCs w:val="20"/>
          <w:lang w:eastAsia="en-US"/>
        </w:rPr>
        <w:t>40(1)(c) and 48(1)(a), which give the Commissioner and MPC respectively the function of inquiring</w:t>
      </w:r>
      <w:r w:rsidRPr="00B5345B">
        <w:rPr>
          <w:szCs w:val="20"/>
          <w:lang w:eastAsia="en-US"/>
        </w:rPr>
        <w:t xml:space="preserve">, subject to </w:t>
      </w:r>
      <w:r w:rsidR="00A90BA0">
        <w:rPr>
          <w:szCs w:val="20"/>
          <w:lang w:eastAsia="en-US"/>
        </w:rPr>
        <w:t>determinations</w:t>
      </w:r>
      <w:r w:rsidRPr="00B5345B">
        <w:rPr>
          <w:szCs w:val="20"/>
          <w:lang w:eastAsia="en-US"/>
        </w:rPr>
        <w:t xml:space="preserve">, into public interest disclosures as defined in the </w:t>
      </w:r>
      <w:r w:rsidR="00A90BA0">
        <w:rPr>
          <w:i/>
          <w:szCs w:val="20"/>
          <w:lang w:eastAsia="en-US"/>
        </w:rPr>
        <w:t>Public Interest Disclosure Act 2013</w:t>
      </w:r>
      <w:r w:rsidR="00A90BA0">
        <w:rPr>
          <w:szCs w:val="20"/>
          <w:lang w:eastAsia="en-US"/>
        </w:rPr>
        <w:t xml:space="preserve"> (‘</w:t>
      </w:r>
      <w:r w:rsidRPr="00B5345B">
        <w:rPr>
          <w:szCs w:val="20"/>
          <w:lang w:eastAsia="en-US"/>
        </w:rPr>
        <w:t>PID Act</w:t>
      </w:r>
      <w:r w:rsidR="00A90BA0">
        <w:rPr>
          <w:szCs w:val="20"/>
          <w:lang w:eastAsia="en-US"/>
        </w:rPr>
        <w:t>’)</w:t>
      </w:r>
      <w:r>
        <w:t>, to the extent that the disclosures relate to alleged breaches of the Code of Conduct.</w:t>
      </w:r>
      <w:r w:rsidRPr="00A7222F">
        <w:rPr>
          <w:szCs w:val="20"/>
          <w:lang w:eastAsia="en-US"/>
        </w:rPr>
        <w:t xml:space="preserve"> </w:t>
      </w:r>
      <w:r>
        <w:rPr>
          <w:szCs w:val="20"/>
          <w:lang w:eastAsia="en-US"/>
        </w:rPr>
        <w:t xml:space="preserve">The amendments </w:t>
      </w:r>
      <w:r w:rsidR="000C42CF">
        <w:rPr>
          <w:szCs w:val="20"/>
          <w:lang w:eastAsia="en-US"/>
        </w:rPr>
        <w:t>in the Amendment Determination:</w:t>
      </w:r>
      <w:r>
        <w:rPr>
          <w:szCs w:val="20"/>
          <w:lang w:eastAsia="en-US"/>
        </w:rPr>
        <w:t xml:space="preserve"> set out the circumstances in which the Commissioners may decide to inquire into disclosures; make provision for the Commissioners to decline to inquire, or inquire further, into disclosures; and make provision for the process of inquiry.</w:t>
      </w:r>
    </w:p>
    <w:p w:rsidR="00D24539" w:rsidRDefault="00D24539" w:rsidP="00D24539">
      <w:pPr>
        <w:spacing w:before="100" w:after="40"/>
        <w:rPr>
          <w:szCs w:val="20"/>
          <w:lang w:eastAsia="en-US"/>
        </w:rPr>
      </w:pPr>
      <w:r w:rsidRPr="00705BF4">
        <w:rPr>
          <w:szCs w:val="20"/>
          <w:lang w:eastAsia="en-US"/>
        </w:rPr>
        <w:t>The</w:t>
      </w:r>
      <w:r w:rsidR="00A90BA0" w:rsidRPr="00A90BA0">
        <w:rPr>
          <w:szCs w:val="20"/>
          <w:lang w:eastAsia="en-US"/>
        </w:rPr>
        <w:t xml:space="preserve"> </w:t>
      </w:r>
      <w:r w:rsidR="00A90BA0" w:rsidRPr="00B5345B">
        <w:rPr>
          <w:szCs w:val="20"/>
          <w:lang w:eastAsia="en-US"/>
        </w:rPr>
        <w:t>PID Act</w:t>
      </w:r>
      <w:r w:rsidR="00A90BA0">
        <w:rPr>
          <w:szCs w:val="20"/>
          <w:lang w:eastAsia="en-US"/>
        </w:rPr>
        <w:t xml:space="preserve"> </w:t>
      </w:r>
      <w:r>
        <w:rPr>
          <w:szCs w:val="20"/>
          <w:lang w:eastAsia="en-US"/>
        </w:rPr>
        <w:t>and the PID Consequential Act ca</w:t>
      </w:r>
      <w:r w:rsidRPr="00705BF4">
        <w:rPr>
          <w:szCs w:val="20"/>
          <w:lang w:eastAsia="en-US"/>
        </w:rPr>
        <w:t xml:space="preserve">me into effect on 15 January 2014. </w:t>
      </w:r>
    </w:p>
    <w:p w:rsidR="00D24539" w:rsidRPr="00654D49" w:rsidRDefault="00D24539" w:rsidP="00D24539">
      <w:pPr>
        <w:spacing w:before="100" w:after="40"/>
        <w:rPr>
          <w:szCs w:val="20"/>
          <w:lang w:eastAsia="en-US"/>
        </w:rPr>
      </w:pPr>
      <w:r>
        <w:rPr>
          <w:szCs w:val="20"/>
          <w:lang w:eastAsia="en-US"/>
        </w:rPr>
        <w:t xml:space="preserve">The Amendment </w:t>
      </w:r>
      <w:r w:rsidR="00A90BA0">
        <w:rPr>
          <w:szCs w:val="20"/>
          <w:lang w:eastAsia="en-US"/>
        </w:rPr>
        <w:t>Determination</w:t>
      </w:r>
      <w:r>
        <w:rPr>
          <w:szCs w:val="20"/>
          <w:lang w:eastAsia="en-US"/>
        </w:rPr>
        <w:t xml:space="preserve"> also makes a minor technical amendment to clause 147 of the Principal Determination, to come into effect on commencement of the </w:t>
      </w:r>
      <w:r w:rsidRPr="00975744">
        <w:rPr>
          <w:i/>
        </w:rPr>
        <w:t>Privacy Amendment (Enhancing Privacy Protection) Act 2012</w:t>
      </w:r>
      <w:r w:rsidRPr="00975744">
        <w:t xml:space="preserve"> (</w:t>
      </w:r>
      <w:r>
        <w:t>‘</w:t>
      </w:r>
      <w:r w:rsidRPr="00975744">
        <w:t>Privacy Amendment Act</w:t>
      </w:r>
      <w:r>
        <w:t>’)</w:t>
      </w:r>
      <w:r>
        <w:rPr>
          <w:szCs w:val="20"/>
          <w:lang w:eastAsia="en-US"/>
        </w:rPr>
        <w:t xml:space="preserve"> on 12 March 2014. This amendment will make no substantive change to the clause, and will simply ensure that the clause is consistent with the </w:t>
      </w:r>
      <w:r>
        <w:rPr>
          <w:i/>
          <w:szCs w:val="20"/>
          <w:lang w:eastAsia="en-US"/>
        </w:rPr>
        <w:t>Privacy Act 1988</w:t>
      </w:r>
      <w:r>
        <w:rPr>
          <w:szCs w:val="20"/>
          <w:lang w:eastAsia="en-US"/>
        </w:rPr>
        <w:t xml:space="preserve"> as amended by the Privacy Amendment Act in referring to Australian Privacy Principles rather than Information Privacy Principles. </w:t>
      </w:r>
    </w:p>
    <w:p w:rsidR="00E2486F" w:rsidRDefault="00E2486F">
      <w:pPr>
        <w:spacing w:after="200" w:line="276" w:lineRule="auto"/>
        <w:rPr>
          <w:b/>
        </w:rPr>
      </w:pPr>
      <w:r>
        <w:rPr>
          <w:b/>
        </w:rPr>
        <w:br w:type="page"/>
      </w:r>
    </w:p>
    <w:p w:rsidR="00D24539" w:rsidRPr="00096126" w:rsidRDefault="00D24539" w:rsidP="00D24539">
      <w:pPr>
        <w:spacing w:before="160" w:after="40"/>
        <w:rPr>
          <w:b/>
        </w:rPr>
      </w:pPr>
      <w:r w:rsidRPr="00096126">
        <w:rPr>
          <w:b/>
        </w:rPr>
        <w:lastRenderedPageBreak/>
        <w:t>Human rights implications</w:t>
      </w:r>
    </w:p>
    <w:p w:rsidR="00D24539" w:rsidRPr="00F14E02" w:rsidRDefault="00D24539" w:rsidP="00D24539">
      <w:pPr>
        <w:spacing w:before="100" w:after="40"/>
        <w:rPr>
          <w:szCs w:val="20"/>
          <w:lang w:eastAsia="en-US"/>
        </w:rPr>
      </w:pPr>
      <w:r w:rsidRPr="00F14E02">
        <w:rPr>
          <w:szCs w:val="20"/>
          <w:lang w:eastAsia="en-US"/>
        </w:rPr>
        <w:t xml:space="preserve">The </w:t>
      </w:r>
      <w:r>
        <w:rPr>
          <w:szCs w:val="20"/>
          <w:lang w:eastAsia="en-US"/>
        </w:rPr>
        <w:t xml:space="preserve">Amendment Determination </w:t>
      </w:r>
      <w:r w:rsidRPr="00F14E02">
        <w:rPr>
          <w:szCs w:val="20"/>
          <w:lang w:eastAsia="en-US"/>
        </w:rPr>
        <w:t>engage</w:t>
      </w:r>
      <w:r>
        <w:rPr>
          <w:szCs w:val="20"/>
          <w:lang w:eastAsia="en-US"/>
        </w:rPr>
        <w:t>s</w:t>
      </w:r>
      <w:r w:rsidRPr="00F14E02">
        <w:rPr>
          <w:szCs w:val="20"/>
          <w:lang w:eastAsia="en-US"/>
        </w:rPr>
        <w:t xml:space="preserve"> the following human rights.</w:t>
      </w:r>
    </w:p>
    <w:p w:rsidR="00D24539" w:rsidRPr="00C8464C" w:rsidRDefault="00D24539" w:rsidP="00D24539">
      <w:pPr>
        <w:spacing w:before="120"/>
        <w:rPr>
          <w:i/>
          <w:szCs w:val="20"/>
          <w:lang w:eastAsia="en-US"/>
        </w:rPr>
      </w:pPr>
      <w:r w:rsidRPr="00C8464C">
        <w:rPr>
          <w:i/>
          <w:szCs w:val="20"/>
          <w:lang w:eastAsia="en-US"/>
        </w:rPr>
        <w:t xml:space="preserve">Right to freedom of expression </w:t>
      </w:r>
    </w:p>
    <w:p w:rsidR="00D24539" w:rsidRDefault="00D24539" w:rsidP="00D24539">
      <w:pPr>
        <w:spacing w:before="120"/>
        <w:rPr>
          <w:szCs w:val="20"/>
          <w:lang w:eastAsia="en-US"/>
        </w:rPr>
      </w:pPr>
      <w:r w:rsidRPr="00C8464C">
        <w:rPr>
          <w:szCs w:val="20"/>
          <w:lang w:eastAsia="en-US"/>
        </w:rPr>
        <w:t xml:space="preserve">The right to freedom of opinion </w:t>
      </w:r>
      <w:r>
        <w:rPr>
          <w:szCs w:val="20"/>
          <w:lang w:eastAsia="en-US"/>
        </w:rPr>
        <w:t>and expression is contained in A</w:t>
      </w:r>
      <w:r w:rsidRPr="00C8464C">
        <w:rPr>
          <w:szCs w:val="20"/>
          <w:lang w:eastAsia="en-US"/>
        </w:rPr>
        <w:t xml:space="preserve">rticle 19 of the International Covenant on Civil and Political Rights (ICCPR). </w:t>
      </w:r>
      <w:r w:rsidRPr="00BE29DF">
        <w:rPr>
          <w:szCs w:val="20"/>
          <w:lang w:eastAsia="en-US"/>
        </w:rPr>
        <w:t>Article 19(2) protects an individual’s freedom of expression in any medium, including written and oral communications, the media, public protest, broadcasting, artistic works and commercial advertising.</w:t>
      </w:r>
      <w:r>
        <w:rPr>
          <w:szCs w:val="20"/>
          <w:lang w:eastAsia="en-US"/>
        </w:rPr>
        <w:t xml:space="preserve"> </w:t>
      </w:r>
      <w:r w:rsidRPr="00BE29DF">
        <w:rPr>
          <w:szCs w:val="20"/>
          <w:lang w:eastAsia="en-US"/>
        </w:rPr>
        <w:t xml:space="preserve">The right protects not only the ability to impart information or ideas but also the ability to receive them. </w:t>
      </w:r>
      <w:r w:rsidR="00964B23">
        <w:rPr>
          <w:szCs w:val="20"/>
          <w:lang w:eastAsia="en-US"/>
        </w:rPr>
        <w:t>U</w:t>
      </w:r>
      <w:r w:rsidR="00964B23" w:rsidRPr="00BE29DF">
        <w:rPr>
          <w:szCs w:val="20"/>
          <w:lang w:eastAsia="en-US"/>
        </w:rPr>
        <w:t xml:space="preserve">nder Article 19(3) </w:t>
      </w:r>
      <w:r w:rsidR="00964B23">
        <w:rPr>
          <w:szCs w:val="20"/>
          <w:lang w:eastAsia="en-US"/>
        </w:rPr>
        <w:t>f</w:t>
      </w:r>
      <w:r w:rsidRPr="00BE29DF">
        <w:rPr>
          <w:szCs w:val="20"/>
          <w:lang w:eastAsia="en-US"/>
        </w:rPr>
        <w:t>reedom of expression may be limited only where provided for by law and when necessary to protect the rights or reputations of others, national security, public order or public health or morals.</w:t>
      </w:r>
    </w:p>
    <w:p w:rsidR="00D24539" w:rsidRPr="001A5FAC" w:rsidRDefault="00D24539" w:rsidP="00D24539">
      <w:pPr>
        <w:spacing w:before="120"/>
        <w:rPr>
          <w:szCs w:val="20"/>
          <w:lang w:eastAsia="en-US"/>
        </w:rPr>
      </w:pPr>
      <w:r>
        <w:rPr>
          <w:szCs w:val="20"/>
          <w:lang w:eastAsia="en-US"/>
        </w:rPr>
        <w:t xml:space="preserve">The amendments in the Amendment Determination relating to public interest disclosures support and facilitate the </w:t>
      </w:r>
      <w:r w:rsidRPr="001A5FAC">
        <w:rPr>
          <w:szCs w:val="20"/>
          <w:lang w:eastAsia="en-US"/>
        </w:rPr>
        <w:t xml:space="preserve">making of </w:t>
      </w:r>
      <w:r>
        <w:rPr>
          <w:szCs w:val="20"/>
          <w:lang w:eastAsia="en-US"/>
        </w:rPr>
        <w:t xml:space="preserve">such </w:t>
      </w:r>
      <w:r w:rsidRPr="001A5FAC">
        <w:rPr>
          <w:szCs w:val="20"/>
          <w:lang w:eastAsia="en-US"/>
        </w:rPr>
        <w:t>disclosures by public officials</w:t>
      </w:r>
      <w:r>
        <w:rPr>
          <w:szCs w:val="20"/>
          <w:lang w:eastAsia="en-US"/>
        </w:rPr>
        <w:t>,</w:t>
      </w:r>
      <w:r w:rsidRPr="001A5FAC">
        <w:rPr>
          <w:szCs w:val="20"/>
          <w:lang w:eastAsia="en-US"/>
        </w:rPr>
        <w:t xml:space="preserve"> and </w:t>
      </w:r>
      <w:r>
        <w:rPr>
          <w:szCs w:val="20"/>
          <w:lang w:eastAsia="en-US"/>
        </w:rPr>
        <w:t xml:space="preserve">support the aim of the PID Act </w:t>
      </w:r>
      <w:r w:rsidRPr="001A5FAC">
        <w:rPr>
          <w:szCs w:val="20"/>
          <w:lang w:eastAsia="en-US"/>
        </w:rPr>
        <w:t>that public officials who make disclosures are protec</w:t>
      </w:r>
      <w:r>
        <w:rPr>
          <w:szCs w:val="20"/>
          <w:lang w:eastAsia="en-US"/>
        </w:rPr>
        <w:t xml:space="preserve">ted from adverse consequences. </w:t>
      </w:r>
      <w:r w:rsidRPr="001A5FAC">
        <w:rPr>
          <w:szCs w:val="20"/>
          <w:lang w:eastAsia="en-US"/>
        </w:rPr>
        <w:t xml:space="preserve">In providing </w:t>
      </w:r>
      <w:r>
        <w:rPr>
          <w:szCs w:val="20"/>
          <w:lang w:eastAsia="en-US"/>
        </w:rPr>
        <w:t>a further avenue for public officials to make protected disclosures—i.e. to the Commissioner and MPC—</w:t>
      </w:r>
      <w:r w:rsidRPr="001A5FAC">
        <w:rPr>
          <w:szCs w:val="20"/>
          <w:lang w:eastAsia="en-US"/>
        </w:rPr>
        <w:t>t</w:t>
      </w:r>
      <w:r>
        <w:rPr>
          <w:szCs w:val="20"/>
          <w:lang w:eastAsia="en-US"/>
        </w:rPr>
        <w:t xml:space="preserve">he Amendment Determination </w:t>
      </w:r>
      <w:r w:rsidRPr="001A5FAC">
        <w:rPr>
          <w:szCs w:val="20"/>
          <w:lang w:eastAsia="en-US"/>
        </w:rPr>
        <w:t xml:space="preserve">engages </w:t>
      </w:r>
      <w:r>
        <w:rPr>
          <w:szCs w:val="20"/>
          <w:lang w:eastAsia="en-US"/>
        </w:rPr>
        <w:t xml:space="preserve">and promotes </w:t>
      </w:r>
      <w:r w:rsidRPr="001A5FAC">
        <w:rPr>
          <w:szCs w:val="20"/>
          <w:lang w:eastAsia="en-US"/>
        </w:rPr>
        <w:t>the right to freedom of expression.</w:t>
      </w:r>
    </w:p>
    <w:p w:rsidR="00D24539" w:rsidRPr="00F14E02" w:rsidRDefault="00D24539" w:rsidP="00D24539">
      <w:pPr>
        <w:spacing w:before="100" w:after="40"/>
        <w:rPr>
          <w:i/>
          <w:szCs w:val="20"/>
          <w:lang w:eastAsia="en-US"/>
        </w:rPr>
      </w:pPr>
      <w:r w:rsidRPr="00F14E02">
        <w:rPr>
          <w:i/>
          <w:szCs w:val="20"/>
          <w:lang w:eastAsia="en-US"/>
        </w:rPr>
        <w:t>Right to privacy and reputation</w:t>
      </w:r>
    </w:p>
    <w:p w:rsidR="00A13F5B" w:rsidRPr="00BE29DF" w:rsidRDefault="00D24539" w:rsidP="00A13F5B">
      <w:pPr>
        <w:spacing w:before="100" w:after="40"/>
        <w:rPr>
          <w:szCs w:val="20"/>
          <w:lang w:eastAsia="en-US"/>
        </w:rPr>
      </w:pPr>
      <w:r w:rsidRPr="00F14E02">
        <w:rPr>
          <w:szCs w:val="20"/>
          <w:lang w:eastAsia="en-US"/>
        </w:rPr>
        <w:t xml:space="preserve">The right to privacy </w:t>
      </w:r>
      <w:r w:rsidR="00964B23">
        <w:rPr>
          <w:szCs w:val="20"/>
          <w:lang w:eastAsia="en-US"/>
        </w:rPr>
        <w:t xml:space="preserve">is contained </w:t>
      </w:r>
      <w:r w:rsidRPr="00F14E02">
        <w:rPr>
          <w:szCs w:val="20"/>
          <w:lang w:eastAsia="en-US"/>
        </w:rPr>
        <w:t>in Article 17 of the ICCPR</w:t>
      </w:r>
      <w:r w:rsidR="00964B23">
        <w:rPr>
          <w:szCs w:val="20"/>
          <w:lang w:eastAsia="en-US"/>
        </w:rPr>
        <w:t xml:space="preserve">. Article 17 </w:t>
      </w:r>
      <w:r w:rsidRPr="00F14E02">
        <w:rPr>
          <w:szCs w:val="20"/>
          <w:lang w:eastAsia="en-US"/>
        </w:rPr>
        <w:t xml:space="preserve">prohibits unlawful or arbitrary interferences with a person’s privacy, family, home and correspondence. </w:t>
      </w:r>
      <w:r w:rsidR="00A13F5B" w:rsidRPr="00F14E02">
        <w:rPr>
          <w:szCs w:val="20"/>
          <w:lang w:eastAsia="en-US"/>
        </w:rPr>
        <w:t xml:space="preserve">It also prohibits unlawful attacks on a person’s reputation. </w:t>
      </w:r>
      <w:r w:rsidR="00A13F5B" w:rsidRPr="00BE29DF">
        <w:rPr>
          <w:szCs w:val="20"/>
          <w:lang w:eastAsia="en-US"/>
        </w:rPr>
        <w:t>In order for an interference with a right not to be ‘arbitrary’, the interference must be for a reason consistent with the relevant Convention and reasonable in the particular circumstances. Reasonableness, in this context, involves notions of proportionality, appropriateness and necessity.</w:t>
      </w:r>
      <w:r w:rsidR="00A13F5B">
        <w:rPr>
          <w:rStyle w:val="FootnoteReference"/>
          <w:szCs w:val="20"/>
          <w:lang w:eastAsia="en-US"/>
        </w:rPr>
        <w:footnoteReference w:id="1"/>
      </w:r>
    </w:p>
    <w:p w:rsidR="00D24539" w:rsidRDefault="00D24539" w:rsidP="00D24539">
      <w:pPr>
        <w:spacing w:before="100" w:after="40"/>
        <w:rPr>
          <w:szCs w:val="20"/>
          <w:lang w:eastAsia="en-US"/>
        </w:rPr>
      </w:pPr>
      <w:r>
        <w:rPr>
          <w:szCs w:val="20"/>
          <w:lang w:eastAsia="en-US"/>
        </w:rPr>
        <w:t xml:space="preserve">The amendments in the Amendment Determination relating to public interest disclosures support the right to privacy and reputation and the intention of the PID Act to </w:t>
      </w:r>
      <w:r w:rsidRPr="001A5FAC">
        <w:rPr>
          <w:szCs w:val="20"/>
          <w:lang w:eastAsia="en-US"/>
        </w:rPr>
        <w:t>allow a person to make a disclosure in confidence and without fear of reputational damage if they do not wish their identity to be known</w:t>
      </w:r>
      <w:r>
        <w:rPr>
          <w:szCs w:val="20"/>
          <w:lang w:eastAsia="en-US"/>
        </w:rPr>
        <w:t xml:space="preserve">, while permitting </w:t>
      </w:r>
      <w:r w:rsidRPr="001A5FAC">
        <w:rPr>
          <w:szCs w:val="20"/>
          <w:lang w:eastAsia="en-US"/>
        </w:rPr>
        <w:t>limited disclosure of identity in order to conduct an investigation. In such cases the limited disclosure of the person’s identity is reasonable and necessary</w:t>
      </w:r>
      <w:r w:rsidR="0086460E">
        <w:rPr>
          <w:szCs w:val="20"/>
          <w:lang w:eastAsia="en-US"/>
        </w:rPr>
        <w:t xml:space="preserve"> because</w:t>
      </w:r>
      <w:r>
        <w:rPr>
          <w:szCs w:val="20"/>
          <w:lang w:eastAsia="en-US"/>
        </w:rPr>
        <w:t>, without it, an investigation of the alleged wrongdoing could not be conducted effectively (or, in some cases, at all)</w:t>
      </w:r>
      <w:r w:rsidRPr="001A5FAC">
        <w:rPr>
          <w:szCs w:val="20"/>
          <w:lang w:eastAsia="en-US"/>
        </w:rPr>
        <w:t>.</w:t>
      </w:r>
    </w:p>
    <w:p w:rsidR="00D24539" w:rsidRDefault="00D24539" w:rsidP="00D24539">
      <w:pPr>
        <w:spacing w:before="100" w:after="40"/>
        <w:rPr>
          <w:szCs w:val="20"/>
          <w:lang w:eastAsia="en-US"/>
        </w:rPr>
      </w:pPr>
      <w:r>
        <w:rPr>
          <w:szCs w:val="20"/>
          <w:lang w:eastAsia="en-US"/>
        </w:rPr>
        <w:t xml:space="preserve">The Amendment Determination provides that the Commissioner or MPC may decide not to inquire, or inquire further, into a disclosure if he or she concludes that conducting or continuing the inquiry would not be justified in all the circumstances. The Amendment Determination provides examples of circumstances </w:t>
      </w:r>
      <w:r w:rsidRPr="00A049E0">
        <w:rPr>
          <w:szCs w:val="20"/>
          <w:lang w:eastAsia="en-US"/>
        </w:rPr>
        <w:t>that could arise which may be considered relevant to an assessment of whether to decline to inquire</w:t>
      </w:r>
      <w:r>
        <w:rPr>
          <w:szCs w:val="20"/>
          <w:lang w:eastAsia="en-US"/>
        </w:rPr>
        <w:t>,</w:t>
      </w:r>
      <w:r w:rsidRPr="00A049E0">
        <w:rPr>
          <w:szCs w:val="20"/>
          <w:lang w:eastAsia="en-US"/>
        </w:rPr>
        <w:t xml:space="preserve"> or to inquire further</w:t>
      </w:r>
      <w:r>
        <w:rPr>
          <w:szCs w:val="20"/>
          <w:lang w:eastAsia="en-US"/>
        </w:rPr>
        <w:t>,</w:t>
      </w:r>
      <w:r w:rsidRPr="00A049E0">
        <w:rPr>
          <w:szCs w:val="20"/>
          <w:lang w:eastAsia="en-US"/>
        </w:rPr>
        <w:t xml:space="preserve"> into a disclosure</w:t>
      </w:r>
      <w:r>
        <w:rPr>
          <w:szCs w:val="20"/>
          <w:lang w:eastAsia="en-US"/>
        </w:rPr>
        <w:t xml:space="preserve">. These include where it would not be practical to conduct, or continue, an inquiry </w:t>
      </w:r>
      <w:r w:rsidRPr="007E0293">
        <w:rPr>
          <w:szCs w:val="20"/>
          <w:lang w:eastAsia="en-US"/>
        </w:rPr>
        <w:t>because the discloser has not consented to the use or disclosure of identifying information about the discloser.</w:t>
      </w:r>
      <w:r>
        <w:rPr>
          <w:szCs w:val="20"/>
          <w:lang w:eastAsia="en-US"/>
        </w:rPr>
        <w:t xml:space="preserve"> While the Commissioner and MPC would be expected to take care to ensure that a discloser’s identity was protected to the extent that was reasonably possible, this provision recognises that in some circumstances identifying information may need to be disclosed in order to undertake an inquiry. Similarly, the Amendment Determination includes provisions that require the Commissioner and MPC to consider, having regard to all the </w:t>
      </w:r>
      <w:r>
        <w:rPr>
          <w:szCs w:val="20"/>
          <w:lang w:eastAsia="en-US"/>
        </w:rPr>
        <w:lastRenderedPageBreak/>
        <w:t xml:space="preserve">circumstances, whether to give a person about whom a disclosure has been made an opportunity to be heard in relation to the disclosure, and notes that if the Commissioner or MPC does do so, they may </w:t>
      </w:r>
      <w:r w:rsidRPr="0085127F">
        <w:rPr>
          <w:szCs w:val="20"/>
          <w:lang w:eastAsia="en-US"/>
        </w:rPr>
        <w:t>give the person information identifying the discloser to the extent</w:t>
      </w:r>
      <w:r>
        <w:rPr>
          <w:szCs w:val="20"/>
          <w:lang w:eastAsia="en-US"/>
        </w:rPr>
        <w:t xml:space="preserve"> that they consider appropriate in the circumstances. </w:t>
      </w:r>
    </w:p>
    <w:p w:rsidR="00D24539" w:rsidRPr="001A5FAC" w:rsidRDefault="00D24539" w:rsidP="00D24539">
      <w:pPr>
        <w:spacing w:before="100" w:after="40"/>
        <w:rPr>
          <w:szCs w:val="20"/>
          <w:lang w:eastAsia="en-US"/>
        </w:rPr>
      </w:pPr>
      <w:r w:rsidRPr="001A5FAC">
        <w:rPr>
          <w:szCs w:val="20"/>
          <w:lang w:eastAsia="en-US"/>
        </w:rPr>
        <w:t xml:space="preserve">This limited disclosure is reasonable and necessary, </w:t>
      </w:r>
      <w:r>
        <w:rPr>
          <w:szCs w:val="20"/>
          <w:lang w:eastAsia="en-US"/>
        </w:rPr>
        <w:t xml:space="preserve">goes only so far as is needed to achieve its purpose, </w:t>
      </w:r>
      <w:r w:rsidRPr="001A5FAC">
        <w:rPr>
          <w:szCs w:val="20"/>
          <w:lang w:eastAsia="en-US"/>
        </w:rPr>
        <w:t>and serves a legitimate purpose</w:t>
      </w:r>
      <w:r>
        <w:rPr>
          <w:szCs w:val="20"/>
          <w:lang w:eastAsia="en-US"/>
        </w:rPr>
        <w:t xml:space="preserve">—namely, </w:t>
      </w:r>
      <w:r w:rsidRPr="001A5FAC">
        <w:rPr>
          <w:szCs w:val="20"/>
          <w:lang w:eastAsia="en-US"/>
        </w:rPr>
        <w:t>the investigation of misconduct by public officials</w:t>
      </w:r>
      <w:r>
        <w:rPr>
          <w:szCs w:val="20"/>
          <w:lang w:eastAsia="en-US"/>
        </w:rPr>
        <w:t xml:space="preserve"> consistent with the principle of procedural fairness</w:t>
      </w:r>
      <w:r w:rsidRPr="001A5FAC">
        <w:rPr>
          <w:szCs w:val="20"/>
          <w:lang w:eastAsia="en-US"/>
        </w:rPr>
        <w:t>.</w:t>
      </w:r>
      <w:r>
        <w:rPr>
          <w:szCs w:val="20"/>
          <w:lang w:eastAsia="en-US"/>
        </w:rPr>
        <w:t xml:space="preserve"> </w:t>
      </w:r>
    </w:p>
    <w:p w:rsidR="00D24539" w:rsidRPr="00654D49" w:rsidRDefault="00D24539" w:rsidP="00D24539">
      <w:pPr>
        <w:spacing w:before="100" w:after="40"/>
        <w:rPr>
          <w:szCs w:val="20"/>
          <w:lang w:eastAsia="en-US"/>
        </w:rPr>
      </w:pPr>
      <w:r>
        <w:rPr>
          <w:szCs w:val="20"/>
          <w:lang w:eastAsia="en-US"/>
        </w:rPr>
        <w:t>The Amendment Determination also makes a minor technical amendment to clause 147</w:t>
      </w:r>
      <w:r w:rsidR="0086460E">
        <w:rPr>
          <w:szCs w:val="20"/>
          <w:lang w:eastAsia="en-US"/>
        </w:rPr>
        <w:t xml:space="preserve"> of the Principal Determination</w:t>
      </w:r>
      <w:r>
        <w:rPr>
          <w:szCs w:val="20"/>
          <w:lang w:eastAsia="en-US"/>
        </w:rPr>
        <w:t xml:space="preserve">, to come into effect on commencement of the Privacy Amendment Act on 12 March 2014. This amendment will make no substantive change to the </w:t>
      </w:r>
      <w:r w:rsidR="0086460E">
        <w:rPr>
          <w:szCs w:val="20"/>
          <w:lang w:eastAsia="en-US"/>
        </w:rPr>
        <w:t>Principal Determination</w:t>
      </w:r>
      <w:r w:rsidR="000D6D28">
        <w:rPr>
          <w:szCs w:val="20"/>
          <w:lang w:eastAsia="en-US"/>
        </w:rPr>
        <w:t>, but</w:t>
      </w:r>
      <w:r>
        <w:rPr>
          <w:szCs w:val="20"/>
          <w:lang w:eastAsia="en-US"/>
        </w:rPr>
        <w:t xml:space="preserve"> will simply ensure that the </w:t>
      </w:r>
      <w:r w:rsidR="0086460E">
        <w:rPr>
          <w:szCs w:val="20"/>
          <w:lang w:eastAsia="en-US"/>
        </w:rPr>
        <w:t>Principal Determination</w:t>
      </w:r>
      <w:r>
        <w:rPr>
          <w:szCs w:val="20"/>
          <w:lang w:eastAsia="en-US"/>
        </w:rPr>
        <w:t xml:space="preserve"> is consistent with the </w:t>
      </w:r>
      <w:r>
        <w:rPr>
          <w:i/>
          <w:szCs w:val="20"/>
          <w:lang w:eastAsia="en-US"/>
        </w:rPr>
        <w:t>Privacy Act 1988</w:t>
      </w:r>
      <w:r>
        <w:rPr>
          <w:szCs w:val="20"/>
          <w:lang w:eastAsia="en-US"/>
        </w:rPr>
        <w:t xml:space="preserve"> as amended by the Privacy Amendment Act in referring to Australian Privacy Principles rather than Information Privacy Principles. </w:t>
      </w:r>
    </w:p>
    <w:p w:rsidR="00D24539" w:rsidRPr="00975744" w:rsidRDefault="00D24539" w:rsidP="00D24539">
      <w:pPr>
        <w:spacing w:before="100" w:after="40"/>
        <w:rPr>
          <w:i/>
          <w:szCs w:val="20"/>
          <w:lang w:eastAsia="en-US"/>
        </w:rPr>
      </w:pPr>
      <w:r w:rsidRPr="00975744">
        <w:rPr>
          <w:i/>
          <w:szCs w:val="20"/>
          <w:lang w:eastAsia="en-US"/>
        </w:rPr>
        <w:t xml:space="preserve">Right to work and rights in work </w:t>
      </w:r>
    </w:p>
    <w:p w:rsidR="00D24539" w:rsidRPr="00975744" w:rsidRDefault="00D24539" w:rsidP="00D24539">
      <w:pPr>
        <w:spacing w:before="100" w:after="40"/>
        <w:rPr>
          <w:szCs w:val="20"/>
          <w:lang w:eastAsia="en-US"/>
        </w:rPr>
      </w:pPr>
      <w:r w:rsidRPr="00975744">
        <w:rPr>
          <w:szCs w:val="20"/>
          <w:lang w:eastAsia="en-US"/>
        </w:rPr>
        <w:t>The right to work and rights in work is contained in articles 6(1)</w:t>
      </w:r>
      <w:r>
        <w:rPr>
          <w:szCs w:val="20"/>
          <w:lang w:eastAsia="en-US"/>
        </w:rPr>
        <w:t xml:space="preserve"> and </w:t>
      </w:r>
      <w:r w:rsidRPr="00975744">
        <w:rPr>
          <w:szCs w:val="20"/>
          <w:lang w:eastAsia="en-US"/>
        </w:rPr>
        <w:t xml:space="preserve">7 of the International Covenant on Economic, Social and Cultural Rights (ICESCR). </w:t>
      </w:r>
      <w:r w:rsidRPr="00BE29DF">
        <w:rPr>
          <w:szCs w:val="20"/>
          <w:lang w:eastAsia="en-US"/>
        </w:rPr>
        <w:t>Article 6 provides for the right to work, including a right to the opportunity to gain a living by work which is freely chosen or accepted. Article 7 provides for the right of everyone to the enjoyment of just and favourable conditions of work.</w:t>
      </w:r>
    </w:p>
    <w:p w:rsidR="00D24539" w:rsidRDefault="00D24539" w:rsidP="00D24539">
      <w:pPr>
        <w:spacing w:before="100" w:after="40"/>
        <w:rPr>
          <w:szCs w:val="20"/>
          <w:lang w:eastAsia="en-US"/>
        </w:rPr>
      </w:pPr>
      <w:r>
        <w:rPr>
          <w:szCs w:val="20"/>
          <w:lang w:eastAsia="en-US"/>
        </w:rPr>
        <w:t xml:space="preserve">1. </w:t>
      </w:r>
      <w:r>
        <w:rPr>
          <w:szCs w:val="20"/>
          <w:u w:val="single"/>
          <w:lang w:eastAsia="en-US"/>
        </w:rPr>
        <w:t>A</w:t>
      </w:r>
      <w:r w:rsidRPr="00CF52AA">
        <w:rPr>
          <w:szCs w:val="20"/>
          <w:u w:val="single"/>
          <w:lang w:eastAsia="en-US"/>
        </w:rPr>
        <w:t>mendments relating to public interest disclosures</w:t>
      </w:r>
      <w:r>
        <w:rPr>
          <w:szCs w:val="20"/>
          <w:lang w:eastAsia="en-US"/>
        </w:rPr>
        <w:t xml:space="preserve"> </w:t>
      </w:r>
    </w:p>
    <w:p w:rsidR="00D24539" w:rsidRDefault="00D24539" w:rsidP="00D24539">
      <w:pPr>
        <w:spacing w:before="100" w:after="40"/>
        <w:rPr>
          <w:szCs w:val="20"/>
          <w:lang w:eastAsia="en-US"/>
        </w:rPr>
      </w:pPr>
      <w:r>
        <w:rPr>
          <w:szCs w:val="20"/>
          <w:lang w:eastAsia="en-US"/>
        </w:rPr>
        <w:t>The amendments in the Amendment Regulation relating to public interest disclosures support these rights by providing a further avenue of disclosure to public officials seeking to make a disclosure that relates to a suspected breach of the Parliamentary Service Code of Conduct. The amendments allow public officials to make such disclosures to the Commissioner or MPC in circumstances where the Commissioner or MPC is satisfied that it would be inappropriate for the discloser to make their disclosure to a Secretary, or where the discloser has already made the disclosure to a Secretary and is not satisfied with the outcome. These provisions allow for disclosures relating to the Code of Conduct to be considered by an independent, expert authority in these matters, and provide an additional means of disclosure for public officials in circumstances where, for example, they do not wish, or are not able, to make an ‘external disclosure’ under the PID Act.</w:t>
      </w:r>
    </w:p>
    <w:p w:rsidR="00D24539" w:rsidRDefault="00D24539" w:rsidP="00D24539">
      <w:pPr>
        <w:spacing w:before="100" w:after="40"/>
        <w:rPr>
          <w:szCs w:val="20"/>
          <w:lang w:eastAsia="en-US"/>
        </w:rPr>
      </w:pPr>
      <w:r>
        <w:rPr>
          <w:szCs w:val="20"/>
          <w:lang w:eastAsia="en-US"/>
        </w:rPr>
        <w:t xml:space="preserve">The Commissioner and MPC may make recommendations to a department, or may take other action consistent with their powers and functions, as a consequence of an inquiry into a disclosure. </w:t>
      </w:r>
    </w:p>
    <w:p w:rsidR="00D60D55" w:rsidRDefault="00D24539" w:rsidP="00D60D55">
      <w:pPr>
        <w:spacing w:before="100" w:after="40"/>
        <w:rPr>
          <w:szCs w:val="20"/>
          <w:u w:val="single"/>
          <w:lang w:eastAsia="en-US"/>
        </w:rPr>
      </w:pPr>
      <w:r>
        <w:rPr>
          <w:szCs w:val="20"/>
          <w:lang w:eastAsia="en-US"/>
        </w:rPr>
        <w:t xml:space="preserve">2. </w:t>
      </w:r>
      <w:r>
        <w:rPr>
          <w:szCs w:val="20"/>
          <w:u w:val="single"/>
          <w:lang w:eastAsia="en-US"/>
        </w:rPr>
        <w:t xml:space="preserve">Amendments </w:t>
      </w:r>
      <w:r w:rsidR="00D60D55">
        <w:rPr>
          <w:szCs w:val="20"/>
          <w:u w:val="single"/>
          <w:lang w:eastAsia="en-US"/>
        </w:rPr>
        <w:t>relating to Code of Conduct procedures</w:t>
      </w:r>
    </w:p>
    <w:p w:rsidR="00D24539" w:rsidRDefault="00D24539" w:rsidP="00D24539">
      <w:pPr>
        <w:spacing w:before="100" w:after="40"/>
        <w:rPr>
          <w:szCs w:val="20"/>
          <w:lang w:eastAsia="en-US"/>
        </w:rPr>
      </w:pPr>
      <w:r>
        <w:rPr>
          <w:szCs w:val="20"/>
          <w:lang w:eastAsia="en-US"/>
        </w:rPr>
        <w:t xml:space="preserve">The amendment to clause 104 of the Principal Determination promotes Parliamentary Service employees’ rights in work by clarifying the drafting of the provision to ensure that it meets its policy intention. </w:t>
      </w:r>
    </w:p>
    <w:p w:rsidR="00D24539" w:rsidRPr="00D02FFD" w:rsidRDefault="00D24539" w:rsidP="00D24539">
      <w:pPr>
        <w:spacing w:before="100" w:after="40"/>
        <w:rPr>
          <w:szCs w:val="20"/>
          <w:lang w:eastAsia="en-US"/>
        </w:rPr>
      </w:pPr>
      <w:r w:rsidRPr="00D02FFD">
        <w:rPr>
          <w:szCs w:val="20"/>
          <w:lang w:eastAsia="en-US"/>
        </w:rPr>
        <w:t xml:space="preserve">The policy principles underpinning the legislative framework for responding to suspected misconduct </w:t>
      </w:r>
      <w:r>
        <w:rPr>
          <w:szCs w:val="20"/>
          <w:lang w:eastAsia="en-US"/>
        </w:rPr>
        <w:t xml:space="preserve">in the Parliamentary Service </w:t>
      </w:r>
      <w:r w:rsidRPr="00D02FFD">
        <w:rPr>
          <w:szCs w:val="20"/>
          <w:lang w:eastAsia="en-US"/>
        </w:rPr>
        <w:t>operate on the premise that a</w:t>
      </w:r>
      <w:r>
        <w:rPr>
          <w:szCs w:val="20"/>
          <w:lang w:eastAsia="en-US"/>
        </w:rPr>
        <w:t xml:space="preserve"> department</w:t>
      </w:r>
      <w:r w:rsidRPr="00D02FFD">
        <w:rPr>
          <w:szCs w:val="20"/>
          <w:lang w:eastAsia="en-US"/>
        </w:rPr>
        <w:t xml:space="preserve"> must follow publicly available standards that meet minimum procedural requirements, including the requirement to afford procedural fairness. The requirement for published mandatory procedures ensures transparency and provides certainty for employees in the event that they are investigated for something that has the potential to affect their employment rights and interests as significantly as an investigation </w:t>
      </w:r>
      <w:r>
        <w:rPr>
          <w:szCs w:val="20"/>
          <w:lang w:eastAsia="en-US"/>
        </w:rPr>
        <w:t>of</w:t>
      </w:r>
      <w:r w:rsidRPr="00D02FFD">
        <w:rPr>
          <w:szCs w:val="20"/>
          <w:lang w:eastAsia="en-US"/>
        </w:rPr>
        <w:t xml:space="preserve"> suspected misconduct.</w:t>
      </w:r>
    </w:p>
    <w:p w:rsidR="00D24539" w:rsidRPr="00D02FFD" w:rsidRDefault="00D24539" w:rsidP="00D24539">
      <w:pPr>
        <w:spacing w:before="100" w:after="40"/>
        <w:rPr>
          <w:szCs w:val="20"/>
          <w:lang w:eastAsia="en-US"/>
        </w:rPr>
      </w:pPr>
      <w:r>
        <w:rPr>
          <w:szCs w:val="20"/>
          <w:lang w:eastAsia="en-US"/>
        </w:rPr>
        <w:lastRenderedPageBreak/>
        <w:t xml:space="preserve">Clause 104 applies after a Secretary receives a recommendation from the MPC about a review of action by the </w:t>
      </w:r>
      <w:r w:rsidR="00A279DA">
        <w:rPr>
          <w:szCs w:val="20"/>
          <w:lang w:eastAsia="en-US"/>
        </w:rPr>
        <w:t>MPC (including a review of a finding of a breach of the Code of Conduct and</w:t>
      </w:r>
      <w:r w:rsidR="003444E1">
        <w:rPr>
          <w:szCs w:val="20"/>
          <w:lang w:eastAsia="en-US"/>
        </w:rPr>
        <w:t>/or</w:t>
      </w:r>
      <w:r w:rsidR="00A279DA">
        <w:rPr>
          <w:szCs w:val="20"/>
          <w:lang w:eastAsia="en-US"/>
        </w:rPr>
        <w:t xml:space="preserve"> a sanction decision)</w:t>
      </w:r>
      <w:r>
        <w:rPr>
          <w:szCs w:val="20"/>
          <w:lang w:eastAsia="en-US"/>
        </w:rPr>
        <w:t xml:space="preserve">. Subclause 104(1) requires the Secretary to consider the recommendation and to make a decision about it. Subclause 104(2) enables the Secretary to confirm or vary the relevant action or to set the action aside and substitute a new action. In the absence of the amendments, clause 104 </w:t>
      </w:r>
      <w:r w:rsidRPr="00D02FFD">
        <w:rPr>
          <w:szCs w:val="20"/>
          <w:lang w:eastAsia="en-US"/>
        </w:rPr>
        <w:t>appear</w:t>
      </w:r>
      <w:r>
        <w:rPr>
          <w:szCs w:val="20"/>
          <w:lang w:eastAsia="en-US"/>
        </w:rPr>
        <w:t>s</w:t>
      </w:r>
      <w:r w:rsidRPr="00D02FFD">
        <w:rPr>
          <w:szCs w:val="20"/>
          <w:lang w:eastAsia="en-US"/>
        </w:rPr>
        <w:t xml:space="preserve"> to provide an avenue for </w:t>
      </w:r>
      <w:r>
        <w:rPr>
          <w:szCs w:val="20"/>
          <w:lang w:eastAsia="en-US"/>
        </w:rPr>
        <w:t>a Secretary</w:t>
      </w:r>
      <w:r w:rsidR="00A279DA">
        <w:rPr>
          <w:szCs w:val="20"/>
          <w:lang w:eastAsia="en-US"/>
        </w:rPr>
        <w:t xml:space="preserve"> to make a </w:t>
      </w:r>
      <w:r w:rsidR="003444E1">
        <w:rPr>
          <w:szCs w:val="20"/>
          <w:lang w:eastAsia="en-US"/>
        </w:rPr>
        <w:t xml:space="preserve">new </w:t>
      </w:r>
      <w:r w:rsidR="00A279DA">
        <w:rPr>
          <w:szCs w:val="20"/>
          <w:lang w:eastAsia="en-US"/>
        </w:rPr>
        <w:t xml:space="preserve">finding of a breach of the Code of Conduct </w:t>
      </w:r>
      <w:r w:rsidR="003444E1">
        <w:rPr>
          <w:szCs w:val="20"/>
          <w:lang w:eastAsia="en-US"/>
        </w:rPr>
        <w:t xml:space="preserve">or to impose </w:t>
      </w:r>
      <w:r w:rsidR="00A279DA">
        <w:rPr>
          <w:szCs w:val="20"/>
          <w:lang w:eastAsia="en-US"/>
        </w:rPr>
        <w:t xml:space="preserve">a </w:t>
      </w:r>
      <w:r w:rsidR="003444E1">
        <w:rPr>
          <w:szCs w:val="20"/>
          <w:lang w:eastAsia="en-US"/>
        </w:rPr>
        <w:t xml:space="preserve">new </w:t>
      </w:r>
      <w:r w:rsidR="00A279DA">
        <w:rPr>
          <w:szCs w:val="20"/>
          <w:lang w:eastAsia="en-US"/>
        </w:rPr>
        <w:t>sanction</w:t>
      </w:r>
      <w:r w:rsidRPr="00D02FFD">
        <w:rPr>
          <w:szCs w:val="20"/>
          <w:lang w:eastAsia="en-US"/>
        </w:rPr>
        <w:t xml:space="preserve"> </w:t>
      </w:r>
      <w:r w:rsidR="003444E1">
        <w:rPr>
          <w:szCs w:val="20"/>
          <w:lang w:eastAsia="en-US"/>
        </w:rPr>
        <w:t>without necessarily following</w:t>
      </w:r>
      <w:r w:rsidRPr="00D02FFD">
        <w:rPr>
          <w:szCs w:val="20"/>
          <w:lang w:eastAsia="en-US"/>
        </w:rPr>
        <w:t xml:space="preserve"> the </w:t>
      </w:r>
      <w:r>
        <w:rPr>
          <w:szCs w:val="20"/>
          <w:lang w:eastAsia="en-US"/>
        </w:rPr>
        <w:t xml:space="preserve">mandatory </w:t>
      </w:r>
      <w:r w:rsidRPr="00D02FFD">
        <w:rPr>
          <w:szCs w:val="20"/>
          <w:lang w:eastAsia="en-US"/>
        </w:rPr>
        <w:t xml:space="preserve">procedures. </w:t>
      </w:r>
      <w:r w:rsidR="00A279DA">
        <w:rPr>
          <w:szCs w:val="20"/>
          <w:lang w:eastAsia="en-US"/>
        </w:rPr>
        <w:t>As amended, clause 104</w:t>
      </w:r>
      <w:r>
        <w:rPr>
          <w:szCs w:val="20"/>
          <w:lang w:eastAsia="en-US"/>
        </w:rPr>
        <w:t xml:space="preserve"> </w:t>
      </w:r>
      <w:r w:rsidRPr="00D02FFD">
        <w:rPr>
          <w:szCs w:val="20"/>
          <w:lang w:eastAsia="en-US"/>
        </w:rPr>
        <w:t>require</w:t>
      </w:r>
      <w:r>
        <w:rPr>
          <w:szCs w:val="20"/>
          <w:lang w:eastAsia="en-US"/>
        </w:rPr>
        <w:t>s</w:t>
      </w:r>
      <w:r w:rsidRPr="00D02FFD">
        <w:rPr>
          <w:szCs w:val="20"/>
          <w:lang w:eastAsia="en-US"/>
        </w:rPr>
        <w:t xml:space="preserve"> </w:t>
      </w:r>
      <w:r>
        <w:rPr>
          <w:szCs w:val="20"/>
          <w:lang w:eastAsia="en-US"/>
        </w:rPr>
        <w:t xml:space="preserve">a Secretary </w:t>
      </w:r>
      <w:r w:rsidR="00E2486F">
        <w:rPr>
          <w:szCs w:val="20"/>
          <w:lang w:eastAsia="en-US"/>
        </w:rPr>
        <w:t>to follow the</w:t>
      </w:r>
      <w:r w:rsidRPr="00D02FFD">
        <w:rPr>
          <w:szCs w:val="20"/>
          <w:lang w:eastAsia="en-US"/>
        </w:rPr>
        <w:t xml:space="preserve"> published mandatory procedures made under </w:t>
      </w:r>
      <w:r>
        <w:rPr>
          <w:szCs w:val="20"/>
          <w:lang w:eastAsia="en-US"/>
        </w:rPr>
        <w:t>sub</w:t>
      </w:r>
      <w:r w:rsidRPr="00D02FFD">
        <w:rPr>
          <w:szCs w:val="20"/>
          <w:lang w:eastAsia="en-US"/>
        </w:rPr>
        <w:t>section 15(3) of the</w:t>
      </w:r>
      <w:r w:rsidR="00E2486F">
        <w:rPr>
          <w:szCs w:val="20"/>
          <w:lang w:eastAsia="en-US"/>
        </w:rPr>
        <w:t xml:space="preserve"> Act if they a</w:t>
      </w:r>
      <w:r>
        <w:rPr>
          <w:szCs w:val="20"/>
          <w:lang w:eastAsia="en-US"/>
        </w:rPr>
        <w:t xml:space="preserve">re </w:t>
      </w:r>
      <w:r w:rsidRPr="00D02FFD">
        <w:rPr>
          <w:szCs w:val="20"/>
          <w:lang w:eastAsia="en-US"/>
        </w:rPr>
        <w:t xml:space="preserve">minded to make a </w:t>
      </w:r>
      <w:r w:rsidR="00A279DA">
        <w:rPr>
          <w:szCs w:val="20"/>
          <w:lang w:eastAsia="en-US"/>
        </w:rPr>
        <w:t xml:space="preserve">finding of a </w:t>
      </w:r>
      <w:r w:rsidRPr="00D02FFD">
        <w:rPr>
          <w:szCs w:val="20"/>
          <w:lang w:eastAsia="en-US"/>
        </w:rPr>
        <w:t xml:space="preserve">breach or </w:t>
      </w:r>
      <w:r w:rsidR="003444E1">
        <w:rPr>
          <w:szCs w:val="20"/>
          <w:lang w:eastAsia="en-US"/>
        </w:rPr>
        <w:t xml:space="preserve">make a </w:t>
      </w:r>
      <w:r w:rsidRPr="00D02FFD">
        <w:rPr>
          <w:szCs w:val="20"/>
          <w:lang w:eastAsia="en-US"/>
        </w:rPr>
        <w:t xml:space="preserve">sanction decision </w:t>
      </w:r>
      <w:r w:rsidR="00A279DA">
        <w:rPr>
          <w:szCs w:val="20"/>
          <w:lang w:eastAsia="en-US"/>
        </w:rPr>
        <w:t>after</w:t>
      </w:r>
      <w:r w:rsidR="00E2486F">
        <w:rPr>
          <w:szCs w:val="20"/>
          <w:lang w:eastAsia="en-US"/>
        </w:rPr>
        <w:t xml:space="preserve"> MPC review that i</w:t>
      </w:r>
      <w:r>
        <w:rPr>
          <w:szCs w:val="20"/>
          <w:lang w:eastAsia="en-US"/>
        </w:rPr>
        <w:t>s</w:t>
      </w:r>
      <w:r w:rsidRPr="00D02FFD">
        <w:rPr>
          <w:szCs w:val="20"/>
          <w:lang w:eastAsia="en-US"/>
        </w:rPr>
        <w:t xml:space="preserve"> different from their original decision or from the </w:t>
      </w:r>
      <w:r>
        <w:rPr>
          <w:szCs w:val="20"/>
          <w:lang w:eastAsia="en-US"/>
        </w:rPr>
        <w:t xml:space="preserve">MPC </w:t>
      </w:r>
      <w:r w:rsidRPr="00D02FFD">
        <w:rPr>
          <w:szCs w:val="20"/>
          <w:lang w:eastAsia="en-US"/>
        </w:rPr>
        <w:t>recommendation</w:t>
      </w:r>
      <w:r>
        <w:rPr>
          <w:szCs w:val="20"/>
          <w:lang w:eastAsia="en-US"/>
        </w:rPr>
        <w:t>.</w:t>
      </w:r>
    </w:p>
    <w:p w:rsidR="00D24539" w:rsidRDefault="00D24539" w:rsidP="00D24539">
      <w:pPr>
        <w:spacing w:before="100" w:after="40"/>
        <w:rPr>
          <w:szCs w:val="20"/>
          <w:lang w:eastAsia="en-US"/>
        </w:rPr>
      </w:pPr>
      <w:r w:rsidRPr="00D02FFD">
        <w:rPr>
          <w:szCs w:val="20"/>
          <w:lang w:eastAsia="en-US"/>
        </w:rPr>
        <w:t xml:space="preserve">For these reasons, the amendment to </w:t>
      </w:r>
      <w:r w:rsidR="003444E1">
        <w:rPr>
          <w:szCs w:val="20"/>
          <w:lang w:eastAsia="en-US"/>
        </w:rPr>
        <w:t>clause 10</w:t>
      </w:r>
      <w:r>
        <w:rPr>
          <w:szCs w:val="20"/>
          <w:lang w:eastAsia="en-US"/>
        </w:rPr>
        <w:t>4</w:t>
      </w:r>
      <w:r w:rsidRPr="00D02FFD">
        <w:rPr>
          <w:szCs w:val="20"/>
          <w:lang w:eastAsia="en-US"/>
        </w:rPr>
        <w:t xml:space="preserve"> would promote </w:t>
      </w:r>
      <w:r>
        <w:rPr>
          <w:szCs w:val="20"/>
          <w:lang w:eastAsia="en-US"/>
        </w:rPr>
        <w:t>Parliamentary Service</w:t>
      </w:r>
      <w:r w:rsidRPr="00D02FFD">
        <w:rPr>
          <w:szCs w:val="20"/>
          <w:lang w:eastAsia="en-US"/>
        </w:rPr>
        <w:t xml:space="preserve"> employees’ rights in work.</w:t>
      </w:r>
    </w:p>
    <w:p w:rsidR="00D24539" w:rsidRPr="00F14E02" w:rsidRDefault="00D24539" w:rsidP="00D24539">
      <w:pPr>
        <w:spacing w:before="100" w:after="40"/>
        <w:rPr>
          <w:b/>
          <w:i/>
          <w:szCs w:val="20"/>
          <w:lang w:eastAsia="en-US"/>
        </w:rPr>
      </w:pPr>
      <w:r w:rsidRPr="00F14E02">
        <w:rPr>
          <w:b/>
          <w:i/>
          <w:szCs w:val="20"/>
          <w:lang w:eastAsia="en-US"/>
        </w:rPr>
        <w:t>Conclusions</w:t>
      </w:r>
    </w:p>
    <w:p w:rsidR="00D24539" w:rsidRDefault="00D24539" w:rsidP="00D24539">
      <w:pPr>
        <w:rPr>
          <w:szCs w:val="20"/>
          <w:lang w:eastAsia="en-US"/>
        </w:rPr>
      </w:pPr>
      <w:r w:rsidRPr="00F14E02">
        <w:rPr>
          <w:szCs w:val="20"/>
          <w:lang w:eastAsia="en-US"/>
        </w:rPr>
        <w:t xml:space="preserve">The </w:t>
      </w:r>
      <w:r>
        <w:rPr>
          <w:szCs w:val="20"/>
          <w:lang w:eastAsia="en-US"/>
        </w:rPr>
        <w:t>Amendment Determination</w:t>
      </w:r>
      <w:r w:rsidRPr="00F14E02">
        <w:rPr>
          <w:szCs w:val="20"/>
          <w:lang w:eastAsia="en-US"/>
        </w:rPr>
        <w:t xml:space="preserve"> </w:t>
      </w:r>
      <w:r>
        <w:rPr>
          <w:szCs w:val="20"/>
          <w:lang w:eastAsia="en-US"/>
        </w:rPr>
        <w:t>is</w:t>
      </w:r>
      <w:r w:rsidRPr="00F14E02">
        <w:rPr>
          <w:szCs w:val="20"/>
          <w:lang w:eastAsia="en-US"/>
        </w:rPr>
        <w:t xml:space="preserve"> compatible with human rights. </w:t>
      </w:r>
      <w:r>
        <w:rPr>
          <w:szCs w:val="20"/>
          <w:lang w:eastAsia="en-US"/>
        </w:rPr>
        <w:t>It</w:t>
      </w:r>
      <w:r w:rsidRPr="00F14E02">
        <w:rPr>
          <w:szCs w:val="20"/>
          <w:lang w:eastAsia="en-US"/>
        </w:rPr>
        <w:t xml:space="preserve"> promote</w:t>
      </w:r>
      <w:r>
        <w:rPr>
          <w:szCs w:val="20"/>
          <w:lang w:eastAsia="en-US"/>
        </w:rPr>
        <w:t>s</w:t>
      </w:r>
      <w:r w:rsidRPr="00F14E02">
        <w:rPr>
          <w:szCs w:val="20"/>
          <w:lang w:eastAsia="en-US"/>
        </w:rPr>
        <w:t xml:space="preserve"> a number of human rights, and, to the extent that </w:t>
      </w:r>
      <w:r>
        <w:rPr>
          <w:szCs w:val="20"/>
          <w:lang w:eastAsia="en-US"/>
        </w:rPr>
        <w:t>it</w:t>
      </w:r>
      <w:r w:rsidRPr="00F14E02">
        <w:rPr>
          <w:szCs w:val="20"/>
          <w:lang w:eastAsia="en-US"/>
        </w:rPr>
        <w:t xml:space="preserve"> may limit any human rights, those limitations are reasonable, necessary and proportionate.</w:t>
      </w:r>
    </w:p>
    <w:p w:rsidR="00D24539" w:rsidRPr="00CD52AE" w:rsidRDefault="00D24539" w:rsidP="00CD52AE">
      <w:pPr>
        <w:pStyle w:val="subsection"/>
        <w:tabs>
          <w:tab w:val="clear" w:pos="1021"/>
          <w:tab w:val="right" w:pos="0"/>
        </w:tabs>
        <w:ind w:left="0" w:firstLine="0"/>
      </w:pPr>
    </w:p>
    <w:sectPr w:rsidR="00D24539" w:rsidRPr="00CD52A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92" w:rsidRDefault="00EB0492" w:rsidP="00E06799">
      <w:r>
        <w:separator/>
      </w:r>
    </w:p>
  </w:endnote>
  <w:endnote w:type="continuationSeparator" w:id="0">
    <w:p w:rsidR="00EB0492" w:rsidRDefault="00EB0492" w:rsidP="00E0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9386"/>
      <w:docPartObj>
        <w:docPartGallery w:val="Page Numbers (Bottom of Page)"/>
        <w:docPartUnique/>
      </w:docPartObj>
    </w:sdtPr>
    <w:sdtEndPr>
      <w:rPr>
        <w:noProof/>
      </w:rPr>
    </w:sdtEndPr>
    <w:sdtContent>
      <w:p w:rsidR="00BA319F" w:rsidRDefault="00BA319F">
        <w:pPr>
          <w:pStyle w:val="Footer"/>
          <w:jc w:val="right"/>
        </w:pPr>
        <w:r>
          <w:fldChar w:fldCharType="begin"/>
        </w:r>
        <w:r>
          <w:instrText xml:space="preserve"> PAGE   \* MERGEFORMAT </w:instrText>
        </w:r>
        <w:r>
          <w:fldChar w:fldCharType="separate"/>
        </w:r>
        <w:r w:rsidR="00326274">
          <w:rPr>
            <w:noProof/>
          </w:rPr>
          <w:t>5</w:t>
        </w:r>
        <w:r>
          <w:rPr>
            <w:noProof/>
          </w:rPr>
          <w:fldChar w:fldCharType="end"/>
        </w:r>
      </w:p>
    </w:sdtContent>
  </w:sdt>
  <w:p w:rsidR="00BA319F" w:rsidRDefault="00BA3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92" w:rsidRDefault="00EB0492" w:rsidP="00E06799">
      <w:r>
        <w:separator/>
      </w:r>
    </w:p>
  </w:footnote>
  <w:footnote w:type="continuationSeparator" w:id="0">
    <w:p w:rsidR="00EB0492" w:rsidRDefault="00EB0492" w:rsidP="00E06799">
      <w:r>
        <w:continuationSeparator/>
      </w:r>
    </w:p>
  </w:footnote>
  <w:footnote w:id="1">
    <w:p w:rsidR="00A13F5B" w:rsidRDefault="00A13F5B" w:rsidP="00A13F5B">
      <w:pPr>
        <w:pStyle w:val="FootnoteText"/>
      </w:pPr>
      <w:r>
        <w:rPr>
          <w:rStyle w:val="FootnoteReference"/>
        </w:rPr>
        <w:footnoteRef/>
      </w:r>
      <w:r>
        <w:t xml:space="preserve"> </w:t>
      </w:r>
      <w:r w:rsidRPr="00BE29DF">
        <w:t xml:space="preserve">Human Rights Committee, General Comment 16, (Twenty-third session, 1988), </w:t>
      </w:r>
      <w:r w:rsidRPr="00BE29DF">
        <w:rPr>
          <w:i/>
        </w:rPr>
        <w:t>Compilation of General Comments and General Recommendations Adopted by Human Rights Treaty Bodies</w:t>
      </w:r>
      <w:r w:rsidRPr="00BE29DF">
        <w:t>, U.N. Doc. HRI/GEN/1/Rev.1 at 21 (1994)</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64D"/>
    <w:multiLevelType w:val="hybridMultilevel"/>
    <w:tmpl w:val="AF284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DD4E68"/>
    <w:multiLevelType w:val="hybridMultilevel"/>
    <w:tmpl w:val="8C96E01E"/>
    <w:lvl w:ilvl="0" w:tplc="18D2767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218B1502"/>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nsid w:val="28A03D53"/>
    <w:multiLevelType w:val="hybridMultilevel"/>
    <w:tmpl w:val="6456A0B0"/>
    <w:lvl w:ilvl="0" w:tplc="29028B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DA2326"/>
    <w:multiLevelType w:val="hybridMultilevel"/>
    <w:tmpl w:val="24FC4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DFC3B81"/>
    <w:multiLevelType w:val="hybridMultilevel"/>
    <w:tmpl w:val="DB68A404"/>
    <w:lvl w:ilvl="0" w:tplc="300A78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5422E29"/>
    <w:multiLevelType w:val="hybridMultilevel"/>
    <w:tmpl w:val="204A157E"/>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ED46F49"/>
    <w:multiLevelType w:val="hybridMultilevel"/>
    <w:tmpl w:val="1426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0A722D"/>
    <w:multiLevelType w:val="hybridMultilevel"/>
    <w:tmpl w:val="06BE27A0"/>
    <w:lvl w:ilvl="0" w:tplc="AFF4C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1B5368B"/>
    <w:multiLevelType w:val="hybridMultilevel"/>
    <w:tmpl w:val="78225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4E4BA5"/>
    <w:multiLevelType w:val="hybridMultilevel"/>
    <w:tmpl w:val="7DC0B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A6610E"/>
    <w:multiLevelType w:val="hybridMultilevel"/>
    <w:tmpl w:val="28607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10"/>
  </w:num>
  <w:num w:numId="6">
    <w:abstractNumId w:val="7"/>
  </w:num>
  <w:num w:numId="7">
    <w:abstractNumId w:val="5"/>
  </w:num>
  <w:num w:numId="8">
    <w:abstractNumId w:val="1"/>
  </w:num>
  <w:num w:numId="9">
    <w:abstractNumId w:val="11"/>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B9"/>
    <w:rsid w:val="000446F9"/>
    <w:rsid w:val="00054380"/>
    <w:rsid w:val="00072314"/>
    <w:rsid w:val="00074BCC"/>
    <w:rsid w:val="000778A6"/>
    <w:rsid w:val="000B0D11"/>
    <w:rsid w:val="000C011F"/>
    <w:rsid w:val="000C42CF"/>
    <w:rsid w:val="000C6A6B"/>
    <w:rsid w:val="000D6D28"/>
    <w:rsid w:val="000E1F18"/>
    <w:rsid w:val="0011081B"/>
    <w:rsid w:val="00110AAA"/>
    <w:rsid w:val="00115EE2"/>
    <w:rsid w:val="001357E8"/>
    <w:rsid w:val="001572EA"/>
    <w:rsid w:val="00197116"/>
    <w:rsid w:val="001A7A51"/>
    <w:rsid w:val="001B4201"/>
    <w:rsid w:val="001B52E6"/>
    <w:rsid w:val="001C0E0B"/>
    <w:rsid w:val="001E29DA"/>
    <w:rsid w:val="001F4269"/>
    <w:rsid w:val="00213414"/>
    <w:rsid w:val="002512C2"/>
    <w:rsid w:val="002729F7"/>
    <w:rsid w:val="00275D1C"/>
    <w:rsid w:val="0029426E"/>
    <w:rsid w:val="002C3C21"/>
    <w:rsid w:val="002D0684"/>
    <w:rsid w:val="002D3F15"/>
    <w:rsid w:val="002F5E8E"/>
    <w:rsid w:val="003104F7"/>
    <w:rsid w:val="00311C5E"/>
    <w:rsid w:val="00316EE8"/>
    <w:rsid w:val="00326274"/>
    <w:rsid w:val="003444E1"/>
    <w:rsid w:val="00365075"/>
    <w:rsid w:val="0037749D"/>
    <w:rsid w:val="003A0847"/>
    <w:rsid w:val="003A760E"/>
    <w:rsid w:val="003D2AF8"/>
    <w:rsid w:val="004116E7"/>
    <w:rsid w:val="00417315"/>
    <w:rsid w:val="00421184"/>
    <w:rsid w:val="00445D86"/>
    <w:rsid w:val="00451BF8"/>
    <w:rsid w:val="00451E96"/>
    <w:rsid w:val="00452D74"/>
    <w:rsid w:val="00455FAF"/>
    <w:rsid w:val="004566F3"/>
    <w:rsid w:val="0046736A"/>
    <w:rsid w:val="00480B23"/>
    <w:rsid w:val="00507748"/>
    <w:rsid w:val="00520696"/>
    <w:rsid w:val="005321AB"/>
    <w:rsid w:val="00542B09"/>
    <w:rsid w:val="00564261"/>
    <w:rsid w:val="00571631"/>
    <w:rsid w:val="00583C65"/>
    <w:rsid w:val="0059372F"/>
    <w:rsid w:val="005A3C95"/>
    <w:rsid w:val="005B052C"/>
    <w:rsid w:val="005C09FB"/>
    <w:rsid w:val="006163E0"/>
    <w:rsid w:val="006749FE"/>
    <w:rsid w:val="00697C6A"/>
    <w:rsid w:val="006E1680"/>
    <w:rsid w:val="006F6A78"/>
    <w:rsid w:val="0071274B"/>
    <w:rsid w:val="00726FEB"/>
    <w:rsid w:val="0073424E"/>
    <w:rsid w:val="007534E4"/>
    <w:rsid w:val="007B3367"/>
    <w:rsid w:val="007E3BF6"/>
    <w:rsid w:val="007E68B4"/>
    <w:rsid w:val="00801A2C"/>
    <w:rsid w:val="0081041F"/>
    <w:rsid w:val="00812523"/>
    <w:rsid w:val="00813675"/>
    <w:rsid w:val="00815901"/>
    <w:rsid w:val="00817470"/>
    <w:rsid w:val="00817C4C"/>
    <w:rsid w:val="008244FB"/>
    <w:rsid w:val="008301C7"/>
    <w:rsid w:val="00854C92"/>
    <w:rsid w:val="0086460E"/>
    <w:rsid w:val="008C08D3"/>
    <w:rsid w:val="008E251D"/>
    <w:rsid w:val="008E39A8"/>
    <w:rsid w:val="00904A0A"/>
    <w:rsid w:val="009346BC"/>
    <w:rsid w:val="0094488D"/>
    <w:rsid w:val="00944E15"/>
    <w:rsid w:val="00964B23"/>
    <w:rsid w:val="00971A9D"/>
    <w:rsid w:val="00991B4E"/>
    <w:rsid w:val="00995C99"/>
    <w:rsid w:val="009B09F3"/>
    <w:rsid w:val="009C23CD"/>
    <w:rsid w:val="009E3ECA"/>
    <w:rsid w:val="009F5516"/>
    <w:rsid w:val="00A028B9"/>
    <w:rsid w:val="00A13B49"/>
    <w:rsid w:val="00A13F5B"/>
    <w:rsid w:val="00A23A31"/>
    <w:rsid w:val="00A26710"/>
    <w:rsid w:val="00A279DA"/>
    <w:rsid w:val="00A6182F"/>
    <w:rsid w:val="00A774A9"/>
    <w:rsid w:val="00A81828"/>
    <w:rsid w:val="00A90BA0"/>
    <w:rsid w:val="00AA5575"/>
    <w:rsid w:val="00AE3F03"/>
    <w:rsid w:val="00B55AE0"/>
    <w:rsid w:val="00B8015E"/>
    <w:rsid w:val="00B959FC"/>
    <w:rsid w:val="00BA319F"/>
    <w:rsid w:val="00BD79A9"/>
    <w:rsid w:val="00C11480"/>
    <w:rsid w:val="00C344C5"/>
    <w:rsid w:val="00C4621E"/>
    <w:rsid w:val="00C53854"/>
    <w:rsid w:val="00C624C6"/>
    <w:rsid w:val="00C804F6"/>
    <w:rsid w:val="00C96D0A"/>
    <w:rsid w:val="00CA7F43"/>
    <w:rsid w:val="00CB6284"/>
    <w:rsid w:val="00CC72DA"/>
    <w:rsid w:val="00CD1A20"/>
    <w:rsid w:val="00CD52AE"/>
    <w:rsid w:val="00D24539"/>
    <w:rsid w:val="00D5004D"/>
    <w:rsid w:val="00D60D55"/>
    <w:rsid w:val="00D72126"/>
    <w:rsid w:val="00D751AA"/>
    <w:rsid w:val="00D80568"/>
    <w:rsid w:val="00D81613"/>
    <w:rsid w:val="00D86F47"/>
    <w:rsid w:val="00D9736B"/>
    <w:rsid w:val="00DA4FF8"/>
    <w:rsid w:val="00DB4A0E"/>
    <w:rsid w:val="00DB540D"/>
    <w:rsid w:val="00DC555D"/>
    <w:rsid w:val="00DF0181"/>
    <w:rsid w:val="00DF59C5"/>
    <w:rsid w:val="00E06799"/>
    <w:rsid w:val="00E2486F"/>
    <w:rsid w:val="00E30BCC"/>
    <w:rsid w:val="00E430A0"/>
    <w:rsid w:val="00E53A74"/>
    <w:rsid w:val="00E6442F"/>
    <w:rsid w:val="00E715E4"/>
    <w:rsid w:val="00E833E3"/>
    <w:rsid w:val="00EA78E0"/>
    <w:rsid w:val="00EB0492"/>
    <w:rsid w:val="00ED5B6F"/>
    <w:rsid w:val="00EF0632"/>
    <w:rsid w:val="00EF0C52"/>
    <w:rsid w:val="00EF5F78"/>
    <w:rsid w:val="00F030D2"/>
    <w:rsid w:val="00FC2D2E"/>
    <w:rsid w:val="00FC59C7"/>
    <w:rsid w:val="00FD38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B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B9"/>
    <w:pPr>
      <w:ind w:left="720"/>
      <w:contextualSpacing/>
    </w:pPr>
  </w:style>
  <w:style w:type="paragraph" w:styleId="BalloonText">
    <w:name w:val="Balloon Text"/>
    <w:basedOn w:val="Normal"/>
    <w:link w:val="BalloonTextChar"/>
    <w:uiPriority w:val="99"/>
    <w:semiHidden/>
    <w:unhideWhenUsed/>
    <w:rsid w:val="00E06799"/>
    <w:rPr>
      <w:rFonts w:ascii="Tahoma" w:hAnsi="Tahoma" w:cs="Tahoma"/>
      <w:sz w:val="16"/>
      <w:szCs w:val="16"/>
    </w:rPr>
  </w:style>
  <w:style w:type="character" w:customStyle="1" w:styleId="BalloonTextChar">
    <w:name w:val="Balloon Text Char"/>
    <w:basedOn w:val="DefaultParagraphFont"/>
    <w:link w:val="BalloonText"/>
    <w:uiPriority w:val="99"/>
    <w:semiHidden/>
    <w:rsid w:val="00E06799"/>
    <w:rPr>
      <w:rFonts w:ascii="Tahoma" w:eastAsia="Times New Roman" w:hAnsi="Tahoma" w:cs="Tahoma"/>
      <w:sz w:val="16"/>
      <w:szCs w:val="16"/>
      <w:lang w:eastAsia="en-AU"/>
    </w:rPr>
  </w:style>
  <w:style w:type="paragraph" w:styleId="FootnoteText">
    <w:name w:val="footnote text"/>
    <w:basedOn w:val="Normal"/>
    <w:link w:val="FootnoteTextChar"/>
    <w:rsid w:val="00E06799"/>
    <w:rPr>
      <w:sz w:val="20"/>
      <w:szCs w:val="20"/>
    </w:rPr>
  </w:style>
  <w:style w:type="character" w:customStyle="1" w:styleId="FootnoteTextChar">
    <w:name w:val="Footnote Text Char"/>
    <w:basedOn w:val="DefaultParagraphFont"/>
    <w:link w:val="FootnoteText"/>
    <w:rsid w:val="00E0679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E06799"/>
    <w:rPr>
      <w:vertAlign w:val="superscript"/>
    </w:rPr>
  </w:style>
  <w:style w:type="paragraph" w:customStyle="1" w:styleId="subsection">
    <w:name w:val="subsection"/>
    <w:aliases w:val="ss"/>
    <w:basedOn w:val="Normal"/>
    <w:link w:val="subsectionChar"/>
    <w:rsid w:val="00D86F47"/>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D86F47"/>
    <w:pPr>
      <w:tabs>
        <w:tab w:val="right" w:pos="1531"/>
      </w:tabs>
      <w:spacing w:before="40"/>
      <w:ind w:left="1644" w:hanging="1644"/>
    </w:pPr>
    <w:rPr>
      <w:sz w:val="22"/>
      <w:szCs w:val="20"/>
    </w:rPr>
  </w:style>
  <w:style w:type="character" w:customStyle="1" w:styleId="subsectionChar">
    <w:name w:val="subsection Char"/>
    <w:aliases w:val="ss Char"/>
    <w:basedOn w:val="DefaultParagraphFont"/>
    <w:link w:val="subsection"/>
    <w:rsid w:val="00D86F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D86F47"/>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11081B"/>
    <w:rPr>
      <w:sz w:val="16"/>
      <w:szCs w:val="16"/>
    </w:rPr>
  </w:style>
  <w:style w:type="paragraph" w:styleId="CommentText">
    <w:name w:val="annotation text"/>
    <w:basedOn w:val="Normal"/>
    <w:link w:val="CommentTextChar"/>
    <w:uiPriority w:val="99"/>
    <w:semiHidden/>
    <w:unhideWhenUsed/>
    <w:rsid w:val="0011081B"/>
    <w:rPr>
      <w:sz w:val="20"/>
      <w:szCs w:val="20"/>
    </w:rPr>
  </w:style>
  <w:style w:type="character" w:customStyle="1" w:styleId="CommentTextChar">
    <w:name w:val="Comment Text Char"/>
    <w:basedOn w:val="DefaultParagraphFont"/>
    <w:link w:val="CommentText"/>
    <w:uiPriority w:val="99"/>
    <w:semiHidden/>
    <w:rsid w:val="0011081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1081B"/>
    <w:rPr>
      <w:b/>
      <w:bCs/>
    </w:rPr>
  </w:style>
  <w:style w:type="character" w:customStyle="1" w:styleId="CommentSubjectChar">
    <w:name w:val="Comment Subject Char"/>
    <w:basedOn w:val="CommentTextChar"/>
    <w:link w:val="CommentSubject"/>
    <w:uiPriority w:val="99"/>
    <w:semiHidden/>
    <w:rsid w:val="0011081B"/>
    <w:rPr>
      <w:rFonts w:ascii="Times New Roman" w:eastAsia="Times New Roman" w:hAnsi="Times New Roman" w:cs="Times New Roman"/>
      <w:b/>
      <w:bCs/>
      <w:sz w:val="20"/>
      <w:szCs w:val="20"/>
      <w:lang w:eastAsia="en-AU"/>
    </w:rPr>
  </w:style>
  <w:style w:type="paragraph" w:customStyle="1" w:styleId="ActHead2">
    <w:name w:val="ActHead 2"/>
    <w:aliases w:val="p"/>
    <w:basedOn w:val="Normal"/>
    <w:next w:val="Normal"/>
    <w:qFormat/>
    <w:rsid w:val="002D3F15"/>
    <w:pPr>
      <w:keepNext/>
      <w:keepLines/>
      <w:spacing w:before="280"/>
      <w:ind w:left="1134" w:hanging="1134"/>
      <w:outlineLvl w:val="1"/>
    </w:pPr>
    <w:rPr>
      <w:b/>
      <w:kern w:val="28"/>
      <w:sz w:val="32"/>
      <w:szCs w:val="20"/>
    </w:rPr>
  </w:style>
  <w:style w:type="paragraph" w:customStyle="1" w:styleId="ActHead5">
    <w:name w:val="ActHead 5"/>
    <w:aliases w:val="s"/>
    <w:basedOn w:val="Normal"/>
    <w:next w:val="subsection"/>
    <w:qFormat/>
    <w:rsid w:val="002D3F15"/>
    <w:pPr>
      <w:keepNext/>
      <w:keepLines/>
      <w:spacing w:before="280"/>
      <w:ind w:left="1134" w:hanging="1134"/>
      <w:outlineLvl w:val="4"/>
    </w:pPr>
    <w:rPr>
      <w:b/>
      <w:kern w:val="28"/>
      <w:szCs w:val="20"/>
    </w:rPr>
  </w:style>
  <w:style w:type="paragraph" w:customStyle="1" w:styleId="ActHead6">
    <w:name w:val="ActHead 6"/>
    <w:aliases w:val="as"/>
    <w:basedOn w:val="Normal"/>
    <w:next w:val="Normal"/>
    <w:qFormat/>
    <w:rsid w:val="002D3F15"/>
    <w:pPr>
      <w:keepNext/>
      <w:keepLines/>
      <w:ind w:left="1134" w:hanging="1134"/>
      <w:outlineLvl w:val="5"/>
    </w:pPr>
    <w:rPr>
      <w:rFonts w:ascii="Arial" w:hAnsi="Arial"/>
      <w:b/>
      <w:kern w:val="28"/>
      <w:sz w:val="32"/>
      <w:szCs w:val="20"/>
    </w:rPr>
  </w:style>
  <w:style w:type="paragraph" w:customStyle="1" w:styleId="ActHead9">
    <w:name w:val="ActHead 9"/>
    <w:aliases w:val="aat"/>
    <w:basedOn w:val="Normal"/>
    <w:next w:val="ItemHead"/>
    <w:qFormat/>
    <w:rsid w:val="002D3F15"/>
    <w:pPr>
      <w:keepNext/>
      <w:keepLines/>
      <w:spacing w:before="280"/>
      <w:ind w:left="1134" w:hanging="1134"/>
      <w:outlineLvl w:val="8"/>
    </w:pPr>
    <w:rPr>
      <w:b/>
      <w:i/>
      <w:kern w:val="28"/>
      <w:sz w:val="28"/>
      <w:szCs w:val="20"/>
    </w:rPr>
  </w:style>
  <w:style w:type="character" w:customStyle="1" w:styleId="CharAmPartNo">
    <w:name w:val="CharAmPartNo"/>
    <w:basedOn w:val="DefaultParagraphFont"/>
    <w:qFormat/>
    <w:rsid w:val="002D3F15"/>
  </w:style>
  <w:style w:type="character" w:customStyle="1" w:styleId="CharAmPartText">
    <w:name w:val="CharAmPartText"/>
    <w:basedOn w:val="DefaultParagraphFont"/>
    <w:qFormat/>
    <w:rsid w:val="002D3F15"/>
  </w:style>
  <w:style w:type="character" w:customStyle="1" w:styleId="CharAmSchNo">
    <w:name w:val="CharAmSchNo"/>
    <w:basedOn w:val="DefaultParagraphFont"/>
    <w:qFormat/>
    <w:rsid w:val="002D3F15"/>
  </w:style>
  <w:style w:type="character" w:customStyle="1" w:styleId="CharAmSchText">
    <w:name w:val="CharAmSchText"/>
    <w:basedOn w:val="DefaultParagraphFont"/>
    <w:qFormat/>
    <w:rsid w:val="002D3F15"/>
  </w:style>
  <w:style w:type="character" w:customStyle="1" w:styleId="CharDivNo">
    <w:name w:val="CharDivNo"/>
    <w:basedOn w:val="DefaultParagraphFont"/>
    <w:uiPriority w:val="1"/>
    <w:qFormat/>
    <w:rsid w:val="002D3F15"/>
  </w:style>
  <w:style w:type="character" w:customStyle="1" w:styleId="CharDivText">
    <w:name w:val="CharDivText"/>
    <w:basedOn w:val="DefaultParagraphFont"/>
    <w:uiPriority w:val="1"/>
    <w:qFormat/>
    <w:rsid w:val="002D3F15"/>
  </w:style>
  <w:style w:type="character" w:customStyle="1" w:styleId="CharPartNo">
    <w:name w:val="CharPartNo"/>
    <w:basedOn w:val="DefaultParagraphFont"/>
    <w:uiPriority w:val="1"/>
    <w:qFormat/>
    <w:rsid w:val="002D3F15"/>
  </w:style>
  <w:style w:type="character" w:customStyle="1" w:styleId="CharPartText">
    <w:name w:val="CharPartText"/>
    <w:basedOn w:val="DefaultParagraphFont"/>
    <w:uiPriority w:val="1"/>
    <w:qFormat/>
    <w:rsid w:val="002D3F15"/>
  </w:style>
  <w:style w:type="character" w:customStyle="1" w:styleId="CharSectno">
    <w:name w:val="CharSectno"/>
    <w:basedOn w:val="DefaultParagraphFont"/>
    <w:qFormat/>
    <w:rsid w:val="002D3F15"/>
  </w:style>
  <w:style w:type="paragraph" w:customStyle="1" w:styleId="Definition">
    <w:name w:val="Definition"/>
    <w:aliases w:val="dd"/>
    <w:basedOn w:val="Normal"/>
    <w:rsid w:val="002D3F15"/>
    <w:pPr>
      <w:spacing w:before="180"/>
      <w:ind w:left="1134"/>
    </w:pPr>
    <w:rPr>
      <w:sz w:val="22"/>
      <w:szCs w:val="20"/>
    </w:rPr>
  </w:style>
  <w:style w:type="paragraph" w:styleId="Header">
    <w:name w:val="header"/>
    <w:basedOn w:val="Normal"/>
    <w:link w:val="HeaderChar"/>
    <w:unhideWhenUsed/>
    <w:rsid w:val="002D3F15"/>
    <w:pPr>
      <w:keepNext/>
      <w:keepLines/>
      <w:tabs>
        <w:tab w:val="center" w:pos="4150"/>
        <w:tab w:val="right" w:pos="8307"/>
      </w:tabs>
      <w:spacing w:line="160" w:lineRule="exact"/>
    </w:pPr>
    <w:rPr>
      <w:sz w:val="16"/>
      <w:szCs w:val="20"/>
    </w:rPr>
  </w:style>
  <w:style w:type="character" w:customStyle="1" w:styleId="HeaderChar">
    <w:name w:val="Header Char"/>
    <w:basedOn w:val="DefaultParagraphFont"/>
    <w:link w:val="Header"/>
    <w:rsid w:val="002D3F15"/>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2D3F15"/>
    <w:pPr>
      <w:keepLines/>
      <w:spacing w:before="80"/>
      <w:ind w:left="709"/>
    </w:pPr>
    <w:rPr>
      <w:sz w:val="22"/>
      <w:szCs w:val="20"/>
    </w:rPr>
  </w:style>
  <w:style w:type="paragraph" w:customStyle="1" w:styleId="ItemHead">
    <w:name w:val="ItemHead"/>
    <w:aliases w:val="ih"/>
    <w:basedOn w:val="Normal"/>
    <w:next w:val="Item"/>
    <w:rsid w:val="002D3F15"/>
    <w:pPr>
      <w:keepNext/>
      <w:keepLines/>
      <w:spacing w:before="220"/>
      <w:ind w:left="709" w:hanging="709"/>
    </w:pPr>
    <w:rPr>
      <w:rFonts w:ascii="Arial" w:hAnsi="Arial"/>
      <w:b/>
      <w:kern w:val="28"/>
      <w:szCs w:val="20"/>
    </w:rPr>
  </w:style>
  <w:style w:type="paragraph" w:customStyle="1" w:styleId="subsection2">
    <w:name w:val="subsection2"/>
    <w:aliases w:val="ss2"/>
    <w:basedOn w:val="Normal"/>
    <w:next w:val="subsection"/>
    <w:rsid w:val="002D3F15"/>
    <w:pPr>
      <w:spacing w:before="40"/>
      <w:ind w:left="1134"/>
    </w:pPr>
    <w:rPr>
      <w:sz w:val="22"/>
      <w:szCs w:val="20"/>
    </w:rPr>
  </w:style>
  <w:style w:type="paragraph" w:customStyle="1" w:styleId="SubsectionHead">
    <w:name w:val="SubsectionHead"/>
    <w:aliases w:val="ssh"/>
    <w:basedOn w:val="Normal"/>
    <w:next w:val="subsection"/>
    <w:rsid w:val="002D3F15"/>
    <w:pPr>
      <w:keepNext/>
      <w:keepLines/>
      <w:spacing w:before="240"/>
      <w:ind w:left="1134"/>
    </w:pPr>
    <w:rPr>
      <w:i/>
      <w:sz w:val="22"/>
      <w:szCs w:val="20"/>
    </w:rPr>
  </w:style>
  <w:style w:type="paragraph" w:customStyle="1" w:styleId="notepara">
    <w:name w:val="note(para)"/>
    <w:aliases w:val="na"/>
    <w:basedOn w:val="Normal"/>
    <w:rsid w:val="002D3F15"/>
    <w:pPr>
      <w:spacing w:before="40" w:line="198" w:lineRule="exact"/>
      <w:ind w:left="2354" w:hanging="369"/>
    </w:pPr>
    <w:rPr>
      <w:sz w:val="18"/>
      <w:szCs w:val="20"/>
    </w:rPr>
  </w:style>
  <w:style w:type="paragraph" w:customStyle="1" w:styleId="notetext">
    <w:name w:val="note(text)"/>
    <w:aliases w:val="n"/>
    <w:basedOn w:val="Normal"/>
    <w:rsid w:val="002D3F15"/>
    <w:pPr>
      <w:spacing w:before="122"/>
      <w:ind w:left="1985" w:hanging="851"/>
    </w:pPr>
    <w:rPr>
      <w:sz w:val="18"/>
      <w:szCs w:val="20"/>
    </w:rPr>
  </w:style>
  <w:style w:type="paragraph" w:styleId="Footer">
    <w:name w:val="footer"/>
    <w:basedOn w:val="Normal"/>
    <w:link w:val="FooterChar"/>
    <w:uiPriority w:val="99"/>
    <w:unhideWhenUsed/>
    <w:rsid w:val="00BA319F"/>
    <w:pPr>
      <w:tabs>
        <w:tab w:val="center" w:pos="4513"/>
        <w:tab w:val="right" w:pos="9026"/>
      </w:tabs>
    </w:pPr>
  </w:style>
  <w:style w:type="character" w:customStyle="1" w:styleId="FooterChar">
    <w:name w:val="Footer Char"/>
    <w:basedOn w:val="DefaultParagraphFont"/>
    <w:link w:val="Footer"/>
    <w:uiPriority w:val="99"/>
    <w:rsid w:val="00BA319F"/>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8B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B9"/>
    <w:pPr>
      <w:ind w:left="720"/>
      <w:contextualSpacing/>
    </w:pPr>
  </w:style>
  <w:style w:type="paragraph" w:styleId="BalloonText">
    <w:name w:val="Balloon Text"/>
    <w:basedOn w:val="Normal"/>
    <w:link w:val="BalloonTextChar"/>
    <w:uiPriority w:val="99"/>
    <w:semiHidden/>
    <w:unhideWhenUsed/>
    <w:rsid w:val="00E06799"/>
    <w:rPr>
      <w:rFonts w:ascii="Tahoma" w:hAnsi="Tahoma" w:cs="Tahoma"/>
      <w:sz w:val="16"/>
      <w:szCs w:val="16"/>
    </w:rPr>
  </w:style>
  <w:style w:type="character" w:customStyle="1" w:styleId="BalloonTextChar">
    <w:name w:val="Balloon Text Char"/>
    <w:basedOn w:val="DefaultParagraphFont"/>
    <w:link w:val="BalloonText"/>
    <w:uiPriority w:val="99"/>
    <w:semiHidden/>
    <w:rsid w:val="00E06799"/>
    <w:rPr>
      <w:rFonts w:ascii="Tahoma" w:eastAsia="Times New Roman" w:hAnsi="Tahoma" w:cs="Tahoma"/>
      <w:sz w:val="16"/>
      <w:szCs w:val="16"/>
      <w:lang w:eastAsia="en-AU"/>
    </w:rPr>
  </w:style>
  <w:style w:type="paragraph" w:styleId="FootnoteText">
    <w:name w:val="footnote text"/>
    <w:basedOn w:val="Normal"/>
    <w:link w:val="FootnoteTextChar"/>
    <w:rsid w:val="00E06799"/>
    <w:rPr>
      <w:sz w:val="20"/>
      <w:szCs w:val="20"/>
    </w:rPr>
  </w:style>
  <w:style w:type="character" w:customStyle="1" w:styleId="FootnoteTextChar">
    <w:name w:val="Footnote Text Char"/>
    <w:basedOn w:val="DefaultParagraphFont"/>
    <w:link w:val="FootnoteText"/>
    <w:rsid w:val="00E0679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E06799"/>
    <w:rPr>
      <w:vertAlign w:val="superscript"/>
    </w:rPr>
  </w:style>
  <w:style w:type="paragraph" w:customStyle="1" w:styleId="subsection">
    <w:name w:val="subsection"/>
    <w:aliases w:val="ss"/>
    <w:basedOn w:val="Normal"/>
    <w:link w:val="subsectionChar"/>
    <w:rsid w:val="00D86F47"/>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D86F47"/>
    <w:pPr>
      <w:tabs>
        <w:tab w:val="right" w:pos="1531"/>
      </w:tabs>
      <w:spacing w:before="40"/>
      <w:ind w:left="1644" w:hanging="1644"/>
    </w:pPr>
    <w:rPr>
      <w:sz w:val="22"/>
      <w:szCs w:val="20"/>
    </w:rPr>
  </w:style>
  <w:style w:type="character" w:customStyle="1" w:styleId="subsectionChar">
    <w:name w:val="subsection Char"/>
    <w:aliases w:val="ss Char"/>
    <w:basedOn w:val="DefaultParagraphFont"/>
    <w:link w:val="subsection"/>
    <w:rsid w:val="00D86F47"/>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D86F47"/>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11081B"/>
    <w:rPr>
      <w:sz w:val="16"/>
      <w:szCs w:val="16"/>
    </w:rPr>
  </w:style>
  <w:style w:type="paragraph" w:styleId="CommentText">
    <w:name w:val="annotation text"/>
    <w:basedOn w:val="Normal"/>
    <w:link w:val="CommentTextChar"/>
    <w:uiPriority w:val="99"/>
    <w:semiHidden/>
    <w:unhideWhenUsed/>
    <w:rsid w:val="0011081B"/>
    <w:rPr>
      <w:sz w:val="20"/>
      <w:szCs w:val="20"/>
    </w:rPr>
  </w:style>
  <w:style w:type="character" w:customStyle="1" w:styleId="CommentTextChar">
    <w:name w:val="Comment Text Char"/>
    <w:basedOn w:val="DefaultParagraphFont"/>
    <w:link w:val="CommentText"/>
    <w:uiPriority w:val="99"/>
    <w:semiHidden/>
    <w:rsid w:val="0011081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1081B"/>
    <w:rPr>
      <w:b/>
      <w:bCs/>
    </w:rPr>
  </w:style>
  <w:style w:type="character" w:customStyle="1" w:styleId="CommentSubjectChar">
    <w:name w:val="Comment Subject Char"/>
    <w:basedOn w:val="CommentTextChar"/>
    <w:link w:val="CommentSubject"/>
    <w:uiPriority w:val="99"/>
    <w:semiHidden/>
    <w:rsid w:val="0011081B"/>
    <w:rPr>
      <w:rFonts w:ascii="Times New Roman" w:eastAsia="Times New Roman" w:hAnsi="Times New Roman" w:cs="Times New Roman"/>
      <w:b/>
      <w:bCs/>
      <w:sz w:val="20"/>
      <w:szCs w:val="20"/>
      <w:lang w:eastAsia="en-AU"/>
    </w:rPr>
  </w:style>
  <w:style w:type="paragraph" w:customStyle="1" w:styleId="ActHead2">
    <w:name w:val="ActHead 2"/>
    <w:aliases w:val="p"/>
    <w:basedOn w:val="Normal"/>
    <w:next w:val="Normal"/>
    <w:qFormat/>
    <w:rsid w:val="002D3F15"/>
    <w:pPr>
      <w:keepNext/>
      <w:keepLines/>
      <w:spacing w:before="280"/>
      <w:ind w:left="1134" w:hanging="1134"/>
      <w:outlineLvl w:val="1"/>
    </w:pPr>
    <w:rPr>
      <w:b/>
      <w:kern w:val="28"/>
      <w:sz w:val="32"/>
      <w:szCs w:val="20"/>
    </w:rPr>
  </w:style>
  <w:style w:type="paragraph" w:customStyle="1" w:styleId="ActHead5">
    <w:name w:val="ActHead 5"/>
    <w:aliases w:val="s"/>
    <w:basedOn w:val="Normal"/>
    <w:next w:val="subsection"/>
    <w:qFormat/>
    <w:rsid w:val="002D3F15"/>
    <w:pPr>
      <w:keepNext/>
      <w:keepLines/>
      <w:spacing w:before="280"/>
      <w:ind w:left="1134" w:hanging="1134"/>
      <w:outlineLvl w:val="4"/>
    </w:pPr>
    <w:rPr>
      <w:b/>
      <w:kern w:val="28"/>
      <w:szCs w:val="20"/>
    </w:rPr>
  </w:style>
  <w:style w:type="paragraph" w:customStyle="1" w:styleId="ActHead6">
    <w:name w:val="ActHead 6"/>
    <w:aliases w:val="as"/>
    <w:basedOn w:val="Normal"/>
    <w:next w:val="Normal"/>
    <w:qFormat/>
    <w:rsid w:val="002D3F15"/>
    <w:pPr>
      <w:keepNext/>
      <w:keepLines/>
      <w:ind w:left="1134" w:hanging="1134"/>
      <w:outlineLvl w:val="5"/>
    </w:pPr>
    <w:rPr>
      <w:rFonts w:ascii="Arial" w:hAnsi="Arial"/>
      <w:b/>
      <w:kern w:val="28"/>
      <w:sz w:val="32"/>
      <w:szCs w:val="20"/>
    </w:rPr>
  </w:style>
  <w:style w:type="paragraph" w:customStyle="1" w:styleId="ActHead9">
    <w:name w:val="ActHead 9"/>
    <w:aliases w:val="aat"/>
    <w:basedOn w:val="Normal"/>
    <w:next w:val="ItemHead"/>
    <w:qFormat/>
    <w:rsid w:val="002D3F15"/>
    <w:pPr>
      <w:keepNext/>
      <w:keepLines/>
      <w:spacing w:before="280"/>
      <w:ind w:left="1134" w:hanging="1134"/>
      <w:outlineLvl w:val="8"/>
    </w:pPr>
    <w:rPr>
      <w:b/>
      <w:i/>
      <w:kern w:val="28"/>
      <w:sz w:val="28"/>
      <w:szCs w:val="20"/>
    </w:rPr>
  </w:style>
  <w:style w:type="character" w:customStyle="1" w:styleId="CharAmPartNo">
    <w:name w:val="CharAmPartNo"/>
    <w:basedOn w:val="DefaultParagraphFont"/>
    <w:qFormat/>
    <w:rsid w:val="002D3F15"/>
  </w:style>
  <w:style w:type="character" w:customStyle="1" w:styleId="CharAmPartText">
    <w:name w:val="CharAmPartText"/>
    <w:basedOn w:val="DefaultParagraphFont"/>
    <w:qFormat/>
    <w:rsid w:val="002D3F15"/>
  </w:style>
  <w:style w:type="character" w:customStyle="1" w:styleId="CharAmSchNo">
    <w:name w:val="CharAmSchNo"/>
    <w:basedOn w:val="DefaultParagraphFont"/>
    <w:qFormat/>
    <w:rsid w:val="002D3F15"/>
  </w:style>
  <w:style w:type="character" w:customStyle="1" w:styleId="CharAmSchText">
    <w:name w:val="CharAmSchText"/>
    <w:basedOn w:val="DefaultParagraphFont"/>
    <w:qFormat/>
    <w:rsid w:val="002D3F15"/>
  </w:style>
  <w:style w:type="character" w:customStyle="1" w:styleId="CharDivNo">
    <w:name w:val="CharDivNo"/>
    <w:basedOn w:val="DefaultParagraphFont"/>
    <w:uiPriority w:val="1"/>
    <w:qFormat/>
    <w:rsid w:val="002D3F15"/>
  </w:style>
  <w:style w:type="character" w:customStyle="1" w:styleId="CharDivText">
    <w:name w:val="CharDivText"/>
    <w:basedOn w:val="DefaultParagraphFont"/>
    <w:uiPriority w:val="1"/>
    <w:qFormat/>
    <w:rsid w:val="002D3F15"/>
  </w:style>
  <w:style w:type="character" w:customStyle="1" w:styleId="CharPartNo">
    <w:name w:val="CharPartNo"/>
    <w:basedOn w:val="DefaultParagraphFont"/>
    <w:uiPriority w:val="1"/>
    <w:qFormat/>
    <w:rsid w:val="002D3F15"/>
  </w:style>
  <w:style w:type="character" w:customStyle="1" w:styleId="CharPartText">
    <w:name w:val="CharPartText"/>
    <w:basedOn w:val="DefaultParagraphFont"/>
    <w:uiPriority w:val="1"/>
    <w:qFormat/>
    <w:rsid w:val="002D3F15"/>
  </w:style>
  <w:style w:type="character" w:customStyle="1" w:styleId="CharSectno">
    <w:name w:val="CharSectno"/>
    <w:basedOn w:val="DefaultParagraphFont"/>
    <w:qFormat/>
    <w:rsid w:val="002D3F15"/>
  </w:style>
  <w:style w:type="paragraph" w:customStyle="1" w:styleId="Definition">
    <w:name w:val="Definition"/>
    <w:aliases w:val="dd"/>
    <w:basedOn w:val="Normal"/>
    <w:rsid w:val="002D3F15"/>
    <w:pPr>
      <w:spacing w:before="180"/>
      <w:ind w:left="1134"/>
    </w:pPr>
    <w:rPr>
      <w:sz w:val="22"/>
      <w:szCs w:val="20"/>
    </w:rPr>
  </w:style>
  <w:style w:type="paragraph" w:styleId="Header">
    <w:name w:val="header"/>
    <w:basedOn w:val="Normal"/>
    <w:link w:val="HeaderChar"/>
    <w:unhideWhenUsed/>
    <w:rsid w:val="002D3F15"/>
    <w:pPr>
      <w:keepNext/>
      <w:keepLines/>
      <w:tabs>
        <w:tab w:val="center" w:pos="4150"/>
        <w:tab w:val="right" w:pos="8307"/>
      </w:tabs>
      <w:spacing w:line="160" w:lineRule="exact"/>
    </w:pPr>
    <w:rPr>
      <w:sz w:val="16"/>
      <w:szCs w:val="20"/>
    </w:rPr>
  </w:style>
  <w:style w:type="character" w:customStyle="1" w:styleId="HeaderChar">
    <w:name w:val="Header Char"/>
    <w:basedOn w:val="DefaultParagraphFont"/>
    <w:link w:val="Header"/>
    <w:rsid w:val="002D3F15"/>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2D3F15"/>
    <w:pPr>
      <w:keepLines/>
      <w:spacing w:before="80"/>
      <w:ind w:left="709"/>
    </w:pPr>
    <w:rPr>
      <w:sz w:val="22"/>
      <w:szCs w:val="20"/>
    </w:rPr>
  </w:style>
  <w:style w:type="paragraph" w:customStyle="1" w:styleId="ItemHead">
    <w:name w:val="ItemHead"/>
    <w:aliases w:val="ih"/>
    <w:basedOn w:val="Normal"/>
    <w:next w:val="Item"/>
    <w:rsid w:val="002D3F15"/>
    <w:pPr>
      <w:keepNext/>
      <w:keepLines/>
      <w:spacing w:before="220"/>
      <w:ind w:left="709" w:hanging="709"/>
    </w:pPr>
    <w:rPr>
      <w:rFonts w:ascii="Arial" w:hAnsi="Arial"/>
      <w:b/>
      <w:kern w:val="28"/>
      <w:szCs w:val="20"/>
    </w:rPr>
  </w:style>
  <w:style w:type="paragraph" w:customStyle="1" w:styleId="subsection2">
    <w:name w:val="subsection2"/>
    <w:aliases w:val="ss2"/>
    <w:basedOn w:val="Normal"/>
    <w:next w:val="subsection"/>
    <w:rsid w:val="002D3F15"/>
    <w:pPr>
      <w:spacing w:before="40"/>
      <w:ind w:left="1134"/>
    </w:pPr>
    <w:rPr>
      <w:sz w:val="22"/>
      <w:szCs w:val="20"/>
    </w:rPr>
  </w:style>
  <w:style w:type="paragraph" w:customStyle="1" w:styleId="SubsectionHead">
    <w:name w:val="SubsectionHead"/>
    <w:aliases w:val="ssh"/>
    <w:basedOn w:val="Normal"/>
    <w:next w:val="subsection"/>
    <w:rsid w:val="002D3F15"/>
    <w:pPr>
      <w:keepNext/>
      <w:keepLines/>
      <w:spacing w:before="240"/>
      <w:ind w:left="1134"/>
    </w:pPr>
    <w:rPr>
      <w:i/>
      <w:sz w:val="22"/>
      <w:szCs w:val="20"/>
    </w:rPr>
  </w:style>
  <w:style w:type="paragraph" w:customStyle="1" w:styleId="notepara">
    <w:name w:val="note(para)"/>
    <w:aliases w:val="na"/>
    <w:basedOn w:val="Normal"/>
    <w:rsid w:val="002D3F15"/>
    <w:pPr>
      <w:spacing w:before="40" w:line="198" w:lineRule="exact"/>
      <w:ind w:left="2354" w:hanging="369"/>
    </w:pPr>
    <w:rPr>
      <w:sz w:val="18"/>
      <w:szCs w:val="20"/>
    </w:rPr>
  </w:style>
  <w:style w:type="paragraph" w:customStyle="1" w:styleId="notetext">
    <w:name w:val="note(text)"/>
    <w:aliases w:val="n"/>
    <w:basedOn w:val="Normal"/>
    <w:rsid w:val="002D3F15"/>
    <w:pPr>
      <w:spacing w:before="122"/>
      <w:ind w:left="1985" w:hanging="851"/>
    </w:pPr>
    <w:rPr>
      <w:sz w:val="18"/>
      <w:szCs w:val="20"/>
    </w:rPr>
  </w:style>
  <w:style w:type="paragraph" w:styleId="Footer">
    <w:name w:val="footer"/>
    <w:basedOn w:val="Normal"/>
    <w:link w:val="FooterChar"/>
    <w:uiPriority w:val="99"/>
    <w:unhideWhenUsed/>
    <w:rsid w:val="00BA319F"/>
    <w:pPr>
      <w:tabs>
        <w:tab w:val="center" w:pos="4513"/>
        <w:tab w:val="right" w:pos="9026"/>
      </w:tabs>
    </w:pPr>
  </w:style>
  <w:style w:type="character" w:customStyle="1" w:styleId="FooterChar">
    <w:name w:val="Footer Char"/>
    <w:basedOn w:val="DefaultParagraphFont"/>
    <w:link w:val="Footer"/>
    <w:uiPriority w:val="99"/>
    <w:rsid w:val="00BA319F"/>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3780</Words>
  <Characters>21548</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Bolitho</dc:creator>
  <cp:lastModifiedBy>David Bolitho</cp:lastModifiedBy>
  <cp:revision>2</cp:revision>
  <cp:lastPrinted>2014-02-27T02:00:00Z</cp:lastPrinted>
  <dcterms:created xsi:type="dcterms:W3CDTF">2014-03-26T05:25:00Z</dcterms:created>
  <dcterms:modified xsi:type="dcterms:W3CDTF">2014-03-26T05:25:00Z</dcterms:modified>
</cp:coreProperties>
</file>