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2E568B" w:rsidP="00BC061E">
      <w:pPr>
        <w:pStyle w:val="Title"/>
        <w:ind w:right="-46"/>
        <w:rPr>
          <w:szCs w:val="24"/>
        </w:rPr>
      </w:pPr>
      <w:r w:rsidRPr="00BA306B">
        <w:rPr>
          <w:szCs w:val="24"/>
        </w:rPr>
        <w:t xml:space="preserve">EXPLANATORY </w:t>
      </w:r>
      <w:r w:rsidR="00BC061E">
        <w:rPr>
          <w:szCs w:val="24"/>
        </w:rPr>
        <w:t>STATEMENT</w:t>
      </w:r>
    </w:p>
    <w:p w:rsidR="002E568B" w:rsidRPr="00BA306B" w:rsidRDefault="002E568B" w:rsidP="00BC061E">
      <w:pPr>
        <w:ind w:right="-46"/>
        <w:jc w:val="center"/>
        <w:rPr>
          <w:b/>
          <w:szCs w:val="24"/>
        </w:rPr>
      </w:pPr>
    </w:p>
    <w:p w:rsidR="00815065" w:rsidRDefault="00815065" w:rsidP="00BC061E">
      <w:pPr>
        <w:ind w:right="-46"/>
        <w:jc w:val="center"/>
        <w:rPr>
          <w:szCs w:val="24"/>
        </w:rPr>
      </w:pPr>
    </w:p>
    <w:p w:rsidR="00B96254" w:rsidRPr="00CC4CBD" w:rsidRDefault="00BC061E" w:rsidP="00BC061E">
      <w:pPr>
        <w:ind w:right="-46"/>
        <w:jc w:val="center"/>
        <w:rPr>
          <w:b/>
          <w:szCs w:val="24"/>
          <w:u w:val="single"/>
        </w:rPr>
      </w:pPr>
      <w:r w:rsidRPr="00CC4CBD">
        <w:rPr>
          <w:b/>
          <w:szCs w:val="24"/>
          <w:u w:val="single"/>
        </w:rPr>
        <w:t>Sele</w:t>
      </w:r>
      <w:r w:rsidR="002E293B" w:rsidRPr="00CC4CBD">
        <w:rPr>
          <w:b/>
          <w:szCs w:val="24"/>
          <w:u w:val="single"/>
        </w:rPr>
        <w:t xml:space="preserve">ct Legislative Instrument </w:t>
      </w:r>
      <w:r w:rsidR="00CC4CBD" w:rsidRPr="00CC4CBD">
        <w:rPr>
          <w:b/>
          <w:szCs w:val="24"/>
          <w:u w:val="single"/>
        </w:rPr>
        <w:t>No. 44, 2014</w:t>
      </w:r>
    </w:p>
    <w:p w:rsidR="00B96254" w:rsidRDefault="00B96254" w:rsidP="00BC061E">
      <w:pPr>
        <w:ind w:right="-46"/>
        <w:jc w:val="center"/>
        <w:rPr>
          <w:szCs w:val="24"/>
        </w:rPr>
      </w:pPr>
    </w:p>
    <w:p w:rsidR="003E33C4" w:rsidRDefault="007B086B" w:rsidP="00BC061E">
      <w:pPr>
        <w:ind w:right="-46"/>
        <w:jc w:val="center"/>
        <w:rPr>
          <w:i/>
          <w:szCs w:val="24"/>
        </w:rPr>
      </w:pPr>
      <w:r w:rsidRPr="00BA306B">
        <w:rPr>
          <w:i/>
          <w:szCs w:val="24"/>
        </w:rPr>
        <w:t>Therapeutic Goods Act 1989</w:t>
      </w:r>
    </w:p>
    <w:p w:rsidR="00B85A19" w:rsidRDefault="00B85A19" w:rsidP="00BC061E">
      <w:pPr>
        <w:ind w:right="-46" w:firstLine="1134"/>
        <w:jc w:val="center"/>
        <w:rPr>
          <w:i/>
          <w:szCs w:val="24"/>
        </w:rPr>
      </w:pPr>
    </w:p>
    <w:p w:rsidR="002E568B" w:rsidRPr="00BA306B" w:rsidRDefault="002E568B" w:rsidP="00BC061E">
      <w:pPr>
        <w:ind w:right="-46"/>
        <w:jc w:val="center"/>
        <w:rPr>
          <w:i/>
          <w:szCs w:val="24"/>
        </w:rPr>
      </w:pPr>
      <w:r w:rsidRPr="00BA306B">
        <w:rPr>
          <w:i/>
          <w:szCs w:val="24"/>
        </w:rPr>
        <w:t xml:space="preserve">Therapeutic Goods </w:t>
      </w:r>
      <w:r w:rsidR="00E81C4E">
        <w:rPr>
          <w:i/>
          <w:szCs w:val="24"/>
        </w:rPr>
        <w:t xml:space="preserve">(Medical Devices) </w:t>
      </w:r>
      <w:r w:rsidR="009B4412">
        <w:rPr>
          <w:i/>
          <w:szCs w:val="24"/>
        </w:rPr>
        <w:t>Amendment</w:t>
      </w:r>
      <w:r w:rsidRPr="00BA306B">
        <w:rPr>
          <w:i/>
          <w:szCs w:val="24"/>
        </w:rPr>
        <w:t xml:space="preserve"> </w:t>
      </w:r>
      <w:r w:rsidR="00FE20E0">
        <w:rPr>
          <w:i/>
          <w:szCs w:val="24"/>
        </w:rPr>
        <w:t>(</w:t>
      </w:r>
      <w:r w:rsidR="00E8316B">
        <w:rPr>
          <w:i/>
          <w:szCs w:val="24"/>
        </w:rPr>
        <w:t>Joint Replacements</w:t>
      </w:r>
      <w:r w:rsidR="00D9475C">
        <w:rPr>
          <w:i/>
          <w:szCs w:val="24"/>
        </w:rPr>
        <w:t>)</w:t>
      </w:r>
      <w:r w:rsidR="00D416DD">
        <w:rPr>
          <w:i/>
          <w:szCs w:val="24"/>
        </w:rPr>
        <w:t xml:space="preserve"> </w:t>
      </w:r>
      <w:r w:rsidRPr="00BA306B">
        <w:rPr>
          <w:i/>
          <w:szCs w:val="24"/>
        </w:rPr>
        <w:t xml:space="preserve">Regulation </w:t>
      </w:r>
      <w:r>
        <w:rPr>
          <w:i/>
          <w:szCs w:val="24"/>
        </w:rPr>
        <w:t>201</w:t>
      </w:r>
      <w:r w:rsidR="00E81C4E">
        <w:rPr>
          <w:i/>
          <w:szCs w:val="24"/>
        </w:rPr>
        <w:t>4</w:t>
      </w:r>
    </w:p>
    <w:p w:rsidR="002E568B" w:rsidRPr="00704057" w:rsidRDefault="002E568B" w:rsidP="00641B61">
      <w:pPr>
        <w:ind w:right="-46"/>
        <w:rPr>
          <w:szCs w:val="24"/>
          <w:highlight w:val="yellow"/>
        </w:rPr>
      </w:pPr>
    </w:p>
    <w:p w:rsidR="00ED3AE4" w:rsidRDefault="00ED3AE4" w:rsidP="00641B61">
      <w:pPr>
        <w:ind w:right="-46"/>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w:t>
      </w:r>
      <w:r w:rsidR="007C6FD8">
        <w:rPr>
          <w:szCs w:val="24"/>
        </w:rPr>
        <w:t>/performance</w:t>
      </w:r>
      <w:r>
        <w:rPr>
          <w:szCs w:val="24"/>
        </w:rPr>
        <w:t xml:space="preserve"> and timely availability of therapeutic goods that are used in Australia or exported from Australia. The Therapeutic Goods Administration (the TGA), which is part of the Department of Health, is responsible for administering the Act.</w:t>
      </w:r>
    </w:p>
    <w:p w:rsidR="00ED3AE4" w:rsidRDefault="00ED3AE4" w:rsidP="00641B61">
      <w:pPr>
        <w:ind w:right="-46"/>
        <w:rPr>
          <w:szCs w:val="24"/>
        </w:rPr>
      </w:pPr>
    </w:p>
    <w:p w:rsidR="00ED3AE4" w:rsidRDefault="00ED3AE4" w:rsidP="00641B61">
      <w:pPr>
        <w:ind w:right="-46"/>
        <w:rPr>
          <w:szCs w:val="24"/>
        </w:rPr>
      </w:pPr>
      <w:r>
        <w:rPr>
          <w:szCs w:val="24"/>
        </w:rPr>
        <w:t>Subsection 63(1) of the Act provides that the Governor-General may make regulation</w:t>
      </w:r>
      <w:r w:rsidR="00821421">
        <w:rPr>
          <w:szCs w:val="24"/>
        </w:rPr>
        <w:t xml:space="preserve">s, not inconsistent with the </w:t>
      </w:r>
      <w:r>
        <w:rPr>
          <w:szCs w:val="24"/>
        </w:rPr>
        <w:t>Act, prescribing matters required or permitted to be prescribed by the Act or necessary or convenient to be prescribed for carrying out or giving effect to the Act.</w:t>
      </w:r>
    </w:p>
    <w:p w:rsidR="00ED3AE4" w:rsidRDefault="00ED3AE4" w:rsidP="00641B61">
      <w:pPr>
        <w:ind w:right="-46"/>
        <w:rPr>
          <w:szCs w:val="24"/>
        </w:rPr>
      </w:pPr>
    </w:p>
    <w:p w:rsidR="007E767D" w:rsidRDefault="007E767D" w:rsidP="00641B61">
      <w:pPr>
        <w:pStyle w:val="ListParagraph"/>
        <w:ind w:left="0" w:right="-46"/>
        <w:rPr>
          <w:rFonts w:ascii="Times" w:hAnsi="Times"/>
          <w:szCs w:val="24"/>
        </w:rPr>
      </w:pPr>
      <w:bookmarkStart w:id="0" w:name="OLE_LINK1"/>
      <w:r>
        <w:rPr>
          <w:rFonts w:ascii="Times" w:hAnsi="Times"/>
          <w:szCs w:val="24"/>
        </w:rPr>
        <w:t xml:space="preserve">The purpose of the  regulation is to amend the </w:t>
      </w:r>
      <w:r w:rsidRPr="00005F8F">
        <w:rPr>
          <w:i/>
          <w:szCs w:val="24"/>
        </w:rPr>
        <w:t xml:space="preserve">Therapeutic Goods </w:t>
      </w:r>
      <w:r>
        <w:rPr>
          <w:i/>
          <w:szCs w:val="24"/>
        </w:rPr>
        <w:t>(Medical Devices) Regulations 2002</w:t>
      </w:r>
      <w:r>
        <w:rPr>
          <w:szCs w:val="24"/>
        </w:rPr>
        <w:t xml:space="preserve"> (the Principal Regulations) to </w:t>
      </w:r>
      <w:r w:rsidR="000A6A37">
        <w:rPr>
          <w:szCs w:val="24"/>
        </w:rPr>
        <w:t>extend the current transitional period for the “up-classification” process involving implantable shoulder, hip or knee joint replacements, from 1 July 2014 to 1 July 2015.</w:t>
      </w:r>
    </w:p>
    <w:p w:rsidR="007E767D" w:rsidRDefault="007E767D" w:rsidP="00641B61">
      <w:pPr>
        <w:pStyle w:val="ListParagraph"/>
        <w:ind w:left="0" w:right="-46"/>
        <w:rPr>
          <w:rFonts w:ascii="Times" w:hAnsi="Times"/>
          <w:szCs w:val="24"/>
        </w:rPr>
      </w:pPr>
    </w:p>
    <w:p w:rsidR="00ED2907" w:rsidRDefault="00CA02C8" w:rsidP="00641B61">
      <w:pPr>
        <w:pStyle w:val="ListParagraph"/>
        <w:ind w:left="0" w:right="-46"/>
        <w:rPr>
          <w:rFonts w:ascii="Times" w:hAnsi="Times"/>
          <w:szCs w:val="24"/>
        </w:rPr>
      </w:pPr>
      <w:r>
        <w:rPr>
          <w:rFonts w:ascii="Times" w:hAnsi="Times"/>
          <w:szCs w:val="24"/>
        </w:rPr>
        <w:t>O</w:t>
      </w:r>
      <w:r w:rsidR="00064B21">
        <w:rPr>
          <w:rFonts w:ascii="Times" w:hAnsi="Times"/>
          <w:szCs w:val="24"/>
        </w:rPr>
        <w:t xml:space="preserve">n 1 July 2012, implantable medical devices intended by their manufacturer to be total or partial shoulder, hip or knee joint replacements were reclassified under the </w:t>
      </w:r>
      <w:r w:rsidR="00064B21">
        <w:rPr>
          <w:szCs w:val="24"/>
        </w:rPr>
        <w:t xml:space="preserve">Principal Regulations </w:t>
      </w:r>
      <w:r w:rsidR="00ED2907">
        <w:rPr>
          <w:szCs w:val="24"/>
        </w:rPr>
        <w:t xml:space="preserve">from Class IIb medical devices </w:t>
      </w:r>
      <w:r w:rsidR="00064B21">
        <w:rPr>
          <w:rFonts w:ascii="Times" w:hAnsi="Times"/>
          <w:szCs w:val="24"/>
        </w:rPr>
        <w:t>to the higher risk classification of Class III, in order that they be subjected to an increased degree of pre</w:t>
      </w:r>
      <w:r w:rsidR="00064B21">
        <w:rPr>
          <w:rFonts w:ascii="Times" w:hAnsi="Times"/>
          <w:szCs w:val="24"/>
        </w:rPr>
        <w:noBreakHyphen/>
        <w:t xml:space="preserve">market scrutiny.  </w:t>
      </w:r>
      <w:r w:rsidR="00ED2907">
        <w:rPr>
          <w:rFonts w:ascii="Times" w:hAnsi="Times"/>
          <w:szCs w:val="24"/>
        </w:rPr>
        <w:t>This meant that any application fo</w:t>
      </w:r>
      <w:r w:rsidR="00D10A78">
        <w:rPr>
          <w:rFonts w:ascii="Times" w:hAnsi="Times"/>
          <w:szCs w:val="24"/>
        </w:rPr>
        <w:t>r the inclusion of such devices</w:t>
      </w:r>
      <w:r w:rsidR="00ED2907">
        <w:rPr>
          <w:rFonts w:ascii="Times" w:hAnsi="Times"/>
          <w:szCs w:val="24"/>
        </w:rPr>
        <w:t xml:space="preserve"> in the Register after that date </w:t>
      </w:r>
      <w:r w:rsidR="00C50650">
        <w:rPr>
          <w:rFonts w:ascii="Times" w:hAnsi="Times"/>
          <w:szCs w:val="24"/>
        </w:rPr>
        <w:t>will</w:t>
      </w:r>
      <w:r w:rsidR="00ED2907">
        <w:rPr>
          <w:rFonts w:ascii="Times" w:hAnsi="Times"/>
          <w:szCs w:val="24"/>
        </w:rPr>
        <w:t xml:space="preserve"> have to satisfy the regulatory requirements for a Class III medical device rather than a Class IIb medical device.</w:t>
      </w:r>
    </w:p>
    <w:p w:rsidR="00064B21" w:rsidRDefault="00064B21" w:rsidP="00641B61">
      <w:pPr>
        <w:pStyle w:val="ListParagraph"/>
        <w:ind w:left="0" w:right="-46"/>
        <w:rPr>
          <w:rFonts w:ascii="Times" w:hAnsi="Times"/>
          <w:szCs w:val="24"/>
        </w:rPr>
      </w:pPr>
    </w:p>
    <w:p w:rsidR="00ED2907" w:rsidRDefault="00ED2907" w:rsidP="00641B61">
      <w:pPr>
        <w:pStyle w:val="ListParagraph"/>
        <w:ind w:left="0" w:right="-46"/>
        <w:rPr>
          <w:rFonts w:ascii="Times" w:hAnsi="Times"/>
          <w:szCs w:val="24"/>
        </w:rPr>
      </w:pPr>
      <w:r>
        <w:rPr>
          <w:rFonts w:ascii="Times" w:hAnsi="Times"/>
          <w:szCs w:val="24"/>
        </w:rPr>
        <w:t>A two year transitio</w:t>
      </w:r>
      <w:r w:rsidR="00D10A78">
        <w:rPr>
          <w:rFonts w:ascii="Times" w:hAnsi="Times"/>
          <w:szCs w:val="24"/>
        </w:rPr>
        <w:t>n process</w:t>
      </w:r>
      <w:r>
        <w:rPr>
          <w:rFonts w:ascii="Times" w:hAnsi="Times"/>
          <w:szCs w:val="24"/>
        </w:rPr>
        <w:t xml:space="preserve"> was provided for in the </w:t>
      </w:r>
      <w:r w:rsidRPr="004A52EC">
        <w:rPr>
          <w:rFonts w:ascii="Times" w:hAnsi="Times"/>
          <w:i/>
          <w:szCs w:val="24"/>
        </w:rPr>
        <w:t>Therapeutic Goods (Medical Devices) Amendment Regulation 2012 (No.</w:t>
      </w:r>
      <w:r w:rsidR="007815B5">
        <w:rPr>
          <w:rFonts w:ascii="Times" w:hAnsi="Times"/>
          <w:i/>
          <w:szCs w:val="24"/>
        </w:rPr>
        <w:t xml:space="preserve"> </w:t>
      </w:r>
      <w:r w:rsidRPr="004A52EC">
        <w:rPr>
          <w:rFonts w:ascii="Times" w:hAnsi="Times"/>
          <w:i/>
          <w:szCs w:val="24"/>
        </w:rPr>
        <w:t>1)</w:t>
      </w:r>
      <w:r>
        <w:rPr>
          <w:rFonts w:ascii="Times" w:hAnsi="Times"/>
          <w:szCs w:val="24"/>
        </w:rPr>
        <w:t xml:space="preserve"> (the 2012 Regulation Amendments).  As part of this process, sponsors of such devices which, as at 1 July 2012, were either already included in the Register as Class IIb devices or were the subject of </w:t>
      </w:r>
      <w:r w:rsidR="007815B5">
        <w:rPr>
          <w:rFonts w:ascii="Times" w:hAnsi="Times"/>
          <w:szCs w:val="24"/>
        </w:rPr>
        <w:t xml:space="preserve">an </w:t>
      </w:r>
      <w:r>
        <w:rPr>
          <w:rFonts w:ascii="Times" w:hAnsi="Times"/>
          <w:szCs w:val="24"/>
        </w:rPr>
        <w:t>application for inclusion in the Register as Class IIb devices that had not been finally determined</w:t>
      </w:r>
      <w:r w:rsidR="007815B5">
        <w:rPr>
          <w:rFonts w:ascii="Times" w:hAnsi="Times"/>
          <w:szCs w:val="24"/>
        </w:rPr>
        <w:t xml:space="preserve"> by the TGA</w:t>
      </w:r>
      <w:r>
        <w:rPr>
          <w:rFonts w:ascii="Times" w:hAnsi="Times"/>
          <w:szCs w:val="24"/>
        </w:rPr>
        <w:t xml:space="preserve">, were given until </w:t>
      </w:r>
      <w:r w:rsidR="00641B61">
        <w:rPr>
          <w:rFonts w:ascii="Times" w:hAnsi="Times"/>
          <w:szCs w:val="24"/>
        </w:rPr>
        <w:t xml:space="preserve">        </w:t>
      </w:r>
      <w:r>
        <w:rPr>
          <w:rFonts w:ascii="Times" w:hAnsi="Times"/>
          <w:szCs w:val="24"/>
        </w:rPr>
        <w:t xml:space="preserve">30 June 2014 to submit an application to the TGA to include their products in the Register as Class III devices.  </w:t>
      </w:r>
    </w:p>
    <w:p w:rsidR="00ED2907" w:rsidRDefault="00ED2907" w:rsidP="00641B61">
      <w:pPr>
        <w:pStyle w:val="ListParagraph"/>
        <w:ind w:left="0" w:right="-46"/>
        <w:rPr>
          <w:rFonts w:ascii="Times" w:hAnsi="Times"/>
          <w:szCs w:val="24"/>
        </w:rPr>
      </w:pPr>
    </w:p>
    <w:p w:rsidR="00ED2907" w:rsidRDefault="00ED2907" w:rsidP="00641B61">
      <w:pPr>
        <w:pStyle w:val="ListParagraph"/>
        <w:ind w:left="0" w:right="-46"/>
        <w:rPr>
          <w:rFonts w:ascii="Times" w:hAnsi="Times"/>
          <w:szCs w:val="24"/>
        </w:rPr>
      </w:pPr>
      <w:r>
        <w:rPr>
          <w:rFonts w:ascii="Times" w:hAnsi="Times"/>
          <w:szCs w:val="24"/>
        </w:rPr>
        <w:t xml:space="preserve">If sponsors do not submit a Class III application by </w:t>
      </w:r>
      <w:r w:rsidR="004B1338">
        <w:rPr>
          <w:rFonts w:ascii="Times" w:hAnsi="Times"/>
          <w:szCs w:val="24"/>
        </w:rPr>
        <w:t>30 June 2014</w:t>
      </w:r>
      <w:r>
        <w:rPr>
          <w:rFonts w:ascii="Times" w:hAnsi="Times"/>
          <w:szCs w:val="24"/>
        </w:rPr>
        <w:t xml:space="preserve">, their Class </w:t>
      </w:r>
      <w:proofErr w:type="spellStart"/>
      <w:r>
        <w:rPr>
          <w:rFonts w:ascii="Times" w:hAnsi="Times"/>
          <w:szCs w:val="24"/>
        </w:rPr>
        <w:t>IIb</w:t>
      </w:r>
      <w:proofErr w:type="spellEnd"/>
      <w:r>
        <w:rPr>
          <w:rFonts w:ascii="Times" w:hAnsi="Times"/>
          <w:szCs w:val="24"/>
        </w:rPr>
        <w:t xml:space="preserve"> devices </w:t>
      </w:r>
      <w:r w:rsidR="00C50650">
        <w:rPr>
          <w:rFonts w:ascii="Times" w:hAnsi="Times"/>
          <w:szCs w:val="24"/>
        </w:rPr>
        <w:t xml:space="preserve">will </w:t>
      </w:r>
      <w:r>
        <w:rPr>
          <w:rFonts w:ascii="Times" w:hAnsi="Times"/>
          <w:szCs w:val="24"/>
        </w:rPr>
        <w:t xml:space="preserve">be taken to be cancelled from the Register on 1 July 2014.  </w:t>
      </w:r>
      <w:r w:rsidR="00B0795A">
        <w:rPr>
          <w:rFonts w:ascii="Times" w:hAnsi="Times"/>
          <w:szCs w:val="24"/>
        </w:rPr>
        <w:t>If sponsors submit a Class III application by 30 June 2014, t</w:t>
      </w:r>
      <w:r>
        <w:rPr>
          <w:rFonts w:ascii="Times" w:hAnsi="Times"/>
          <w:szCs w:val="24"/>
        </w:rPr>
        <w:t>he</w:t>
      </w:r>
      <w:r w:rsidR="00B0795A">
        <w:rPr>
          <w:rFonts w:ascii="Times" w:hAnsi="Times"/>
          <w:szCs w:val="24"/>
        </w:rPr>
        <w:t>ir</w:t>
      </w:r>
      <w:r w:rsidR="006A61E3">
        <w:rPr>
          <w:rFonts w:ascii="Times" w:hAnsi="Times"/>
          <w:szCs w:val="24"/>
        </w:rPr>
        <w:t xml:space="preserve"> relevant Class </w:t>
      </w:r>
      <w:proofErr w:type="spellStart"/>
      <w:r w:rsidR="006A61E3">
        <w:rPr>
          <w:rFonts w:ascii="Times" w:hAnsi="Times"/>
          <w:szCs w:val="24"/>
        </w:rPr>
        <w:t>IIb</w:t>
      </w:r>
      <w:proofErr w:type="spellEnd"/>
      <w:r w:rsidR="006A61E3">
        <w:rPr>
          <w:rFonts w:ascii="Times" w:hAnsi="Times"/>
          <w:szCs w:val="24"/>
        </w:rPr>
        <w:t xml:space="preserve"> </w:t>
      </w:r>
      <w:r>
        <w:rPr>
          <w:rFonts w:ascii="Times" w:hAnsi="Times"/>
          <w:szCs w:val="24"/>
        </w:rPr>
        <w:t xml:space="preserve">entry </w:t>
      </w:r>
      <w:r w:rsidR="00C50650">
        <w:rPr>
          <w:rFonts w:ascii="Times" w:hAnsi="Times"/>
          <w:szCs w:val="24"/>
        </w:rPr>
        <w:t xml:space="preserve">will </w:t>
      </w:r>
      <w:r>
        <w:rPr>
          <w:rFonts w:ascii="Times" w:hAnsi="Times"/>
          <w:szCs w:val="24"/>
        </w:rPr>
        <w:t>remain in the Register while their Class III application is being considered.</w:t>
      </w:r>
    </w:p>
    <w:p w:rsidR="00087E80" w:rsidRDefault="00087E80" w:rsidP="00641B61">
      <w:pPr>
        <w:pStyle w:val="ListParagraph"/>
        <w:ind w:left="0" w:right="-46"/>
        <w:rPr>
          <w:rFonts w:ascii="Times" w:hAnsi="Times"/>
          <w:szCs w:val="24"/>
        </w:rPr>
      </w:pPr>
    </w:p>
    <w:p w:rsidR="008A5B2B" w:rsidRDefault="008A5B2B" w:rsidP="00641B61">
      <w:pPr>
        <w:pStyle w:val="ListParagraph"/>
        <w:ind w:left="0" w:right="-46"/>
        <w:rPr>
          <w:rFonts w:ascii="Times" w:hAnsi="Times"/>
          <w:szCs w:val="24"/>
        </w:rPr>
      </w:pPr>
      <w:r>
        <w:rPr>
          <w:rFonts w:ascii="Times" w:hAnsi="Times"/>
          <w:szCs w:val="24"/>
        </w:rPr>
        <w:t xml:space="preserve">It has recently </w:t>
      </w:r>
      <w:r w:rsidR="00A471D6">
        <w:rPr>
          <w:rFonts w:ascii="Times" w:hAnsi="Times"/>
          <w:szCs w:val="24"/>
        </w:rPr>
        <w:t xml:space="preserve">become apparent </w:t>
      </w:r>
      <w:r>
        <w:rPr>
          <w:rFonts w:ascii="Times" w:hAnsi="Times"/>
          <w:szCs w:val="24"/>
        </w:rPr>
        <w:t>that more time is needed for affect</w:t>
      </w:r>
      <w:r w:rsidR="00534907">
        <w:rPr>
          <w:rFonts w:ascii="Times" w:hAnsi="Times"/>
          <w:szCs w:val="24"/>
        </w:rPr>
        <w:t>ed</w:t>
      </w:r>
      <w:r>
        <w:rPr>
          <w:rFonts w:ascii="Times" w:hAnsi="Times"/>
          <w:szCs w:val="24"/>
        </w:rPr>
        <w:t xml:space="preserve"> sponsors to comply with this transition process.  This is due to the unanticipated complexity arising from the fact that the majority of these joint replacement medical devices are imported into Australia and rely on European certifications to support their applications for marketing approval as Class III devices in Australia.</w:t>
      </w:r>
    </w:p>
    <w:p w:rsidR="008A5B2B" w:rsidRDefault="008A5B2B" w:rsidP="00641B61">
      <w:pPr>
        <w:pStyle w:val="ListParagraph"/>
        <w:ind w:left="0" w:right="-46"/>
        <w:rPr>
          <w:rFonts w:ascii="Times" w:hAnsi="Times"/>
          <w:szCs w:val="24"/>
        </w:rPr>
      </w:pPr>
    </w:p>
    <w:p w:rsidR="00E862D8" w:rsidRDefault="00DE19DF" w:rsidP="00641B61">
      <w:pPr>
        <w:pStyle w:val="ListParagraph"/>
        <w:ind w:left="0" w:right="-46"/>
        <w:rPr>
          <w:rFonts w:ascii="Times" w:hAnsi="Times"/>
          <w:szCs w:val="24"/>
        </w:rPr>
      </w:pPr>
      <w:r>
        <w:rPr>
          <w:rFonts w:ascii="Times" w:hAnsi="Times"/>
          <w:szCs w:val="24"/>
        </w:rPr>
        <w:lastRenderedPageBreak/>
        <w:t xml:space="preserve">There </w:t>
      </w:r>
      <w:r w:rsidR="00DA505E">
        <w:rPr>
          <w:rFonts w:ascii="Times" w:hAnsi="Times"/>
          <w:szCs w:val="24"/>
        </w:rPr>
        <w:t xml:space="preserve">is </w:t>
      </w:r>
      <w:r w:rsidR="008A5B2B">
        <w:rPr>
          <w:rFonts w:ascii="Times" w:hAnsi="Times"/>
          <w:szCs w:val="24"/>
        </w:rPr>
        <w:t xml:space="preserve">therefore </w:t>
      </w:r>
      <w:r w:rsidR="00DA505E">
        <w:rPr>
          <w:rFonts w:ascii="Times" w:hAnsi="Times"/>
          <w:szCs w:val="24"/>
        </w:rPr>
        <w:t xml:space="preserve">a need to </w:t>
      </w:r>
      <w:r w:rsidR="008A5B2B">
        <w:rPr>
          <w:rFonts w:ascii="Times" w:hAnsi="Times"/>
          <w:szCs w:val="24"/>
        </w:rPr>
        <w:t xml:space="preserve">extend the </w:t>
      </w:r>
      <w:r w:rsidR="00DA505E">
        <w:rPr>
          <w:rFonts w:ascii="Times" w:hAnsi="Times"/>
          <w:szCs w:val="24"/>
        </w:rPr>
        <w:t>transition process</w:t>
      </w:r>
      <w:r w:rsidR="008A5B2B">
        <w:rPr>
          <w:rFonts w:ascii="Times" w:hAnsi="Times"/>
          <w:szCs w:val="24"/>
        </w:rPr>
        <w:t xml:space="preserve"> to ensure that</w:t>
      </w:r>
      <w:r>
        <w:rPr>
          <w:rFonts w:ascii="Times" w:hAnsi="Times"/>
          <w:szCs w:val="24"/>
        </w:rPr>
        <w:t xml:space="preserve"> </w:t>
      </w:r>
      <w:r w:rsidR="00DA505E">
        <w:rPr>
          <w:rFonts w:ascii="Times" w:hAnsi="Times"/>
          <w:szCs w:val="24"/>
        </w:rPr>
        <w:t xml:space="preserve">the public </w:t>
      </w:r>
      <w:r w:rsidR="00E862D8">
        <w:rPr>
          <w:rFonts w:ascii="Times" w:hAnsi="Times"/>
          <w:szCs w:val="24"/>
        </w:rPr>
        <w:t>continue</w:t>
      </w:r>
      <w:r w:rsidR="00C50650">
        <w:rPr>
          <w:rFonts w:ascii="Times" w:hAnsi="Times"/>
          <w:szCs w:val="24"/>
        </w:rPr>
        <w:t>s</w:t>
      </w:r>
      <w:r w:rsidR="00E862D8">
        <w:rPr>
          <w:rFonts w:ascii="Times" w:hAnsi="Times"/>
          <w:szCs w:val="24"/>
        </w:rPr>
        <w:t xml:space="preserve"> to have access to the full range of these kinds of medical devices</w:t>
      </w:r>
      <w:r w:rsidR="00DA505E">
        <w:rPr>
          <w:rFonts w:ascii="Times" w:hAnsi="Times"/>
          <w:szCs w:val="24"/>
        </w:rPr>
        <w:t xml:space="preserve"> that satisfy relevant regulatory requirements.</w:t>
      </w:r>
    </w:p>
    <w:p w:rsidR="00EA4F64" w:rsidRDefault="00EA4F64" w:rsidP="00641B61">
      <w:pPr>
        <w:pStyle w:val="ListParagraph"/>
        <w:ind w:left="0" w:right="-46"/>
        <w:rPr>
          <w:rFonts w:ascii="Times" w:hAnsi="Times"/>
          <w:szCs w:val="24"/>
        </w:rPr>
      </w:pPr>
    </w:p>
    <w:p w:rsidR="00D416DD" w:rsidRDefault="005C0F6C" w:rsidP="00641B61">
      <w:pPr>
        <w:pStyle w:val="ListParagraph"/>
        <w:ind w:left="0" w:right="-46"/>
        <w:rPr>
          <w:rFonts w:ascii="Times" w:hAnsi="Times"/>
          <w:szCs w:val="24"/>
        </w:rPr>
      </w:pPr>
      <w:r>
        <w:rPr>
          <w:rFonts w:ascii="Times" w:hAnsi="Times"/>
          <w:szCs w:val="24"/>
        </w:rPr>
        <w:t>Extending the up-classification p</w:t>
      </w:r>
      <w:r w:rsidR="002C4271">
        <w:rPr>
          <w:rFonts w:ascii="Times" w:hAnsi="Times"/>
          <w:szCs w:val="24"/>
        </w:rPr>
        <w:t>rocess mentioned above</w:t>
      </w:r>
      <w:r>
        <w:rPr>
          <w:rFonts w:ascii="Times" w:hAnsi="Times"/>
          <w:szCs w:val="24"/>
        </w:rPr>
        <w:t xml:space="preserve"> from 1 July 2014 to 1 July 2015 </w:t>
      </w:r>
      <w:r w:rsidR="008A5B2B">
        <w:rPr>
          <w:rFonts w:ascii="Times" w:hAnsi="Times"/>
          <w:szCs w:val="24"/>
        </w:rPr>
        <w:t>give</w:t>
      </w:r>
      <w:r w:rsidR="00C50650">
        <w:rPr>
          <w:rFonts w:ascii="Times" w:hAnsi="Times"/>
          <w:szCs w:val="24"/>
        </w:rPr>
        <w:t>s</w:t>
      </w:r>
      <w:r w:rsidR="008A5B2B">
        <w:rPr>
          <w:rFonts w:ascii="Times" w:hAnsi="Times"/>
          <w:szCs w:val="24"/>
        </w:rPr>
        <w:t xml:space="preserve"> sponsors greater</w:t>
      </w:r>
      <w:r>
        <w:rPr>
          <w:rFonts w:ascii="Times" w:hAnsi="Times"/>
          <w:szCs w:val="24"/>
        </w:rPr>
        <w:t xml:space="preserve"> </w:t>
      </w:r>
      <w:r w:rsidR="0084042A">
        <w:rPr>
          <w:rFonts w:ascii="Times" w:hAnsi="Times"/>
          <w:szCs w:val="24"/>
        </w:rPr>
        <w:t>time</w:t>
      </w:r>
      <w:r w:rsidR="008A5B2B">
        <w:rPr>
          <w:rFonts w:ascii="Times" w:hAnsi="Times"/>
          <w:szCs w:val="24"/>
        </w:rPr>
        <w:t xml:space="preserve"> in this regard, and avoid</w:t>
      </w:r>
      <w:r w:rsidR="002E293B">
        <w:rPr>
          <w:rFonts w:ascii="Times" w:hAnsi="Times"/>
          <w:szCs w:val="24"/>
        </w:rPr>
        <w:t>s</w:t>
      </w:r>
      <w:r w:rsidR="008A5B2B">
        <w:rPr>
          <w:rFonts w:ascii="Times" w:hAnsi="Times"/>
          <w:szCs w:val="24"/>
        </w:rPr>
        <w:t xml:space="preserve"> unintended disruptions in supply of </w:t>
      </w:r>
      <w:r w:rsidR="00B1520D">
        <w:rPr>
          <w:rFonts w:ascii="Times" w:hAnsi="Times"/>
          <w:szCs w:val="24"/>
        </w:rPr>
        <w:t xml:space="preserve">joint replacement </w:t>
      </w:r>
      <w:r w:rsidR="008A5B2B">
        <w:rPr>
          <w:rFonts w:ascii="Times" w:hAnsi="Times"/>
          <w:szCs w:val="24"/>
        </w:rPr>
        <w:t>devices</w:t>
      </w:r>
      <w:r w:rsidR="0084042A">
        <w:rPr>
          <w:rFonts w:ascii="Times" w:hAnsi="Times"/>
          <w:szCs w:val="24"/>
        </w:rPr>
        <w:t>.</w:t>
      </w:r>
    </w:p>
    <w:p w:rsidR="00064B21" w:rsidRDefault="00064B21" w:rsidP="00641B61">
      <w:pPr>
        <w:pStyle w:val="ListParagraph"/>
        <w:ind w:left="0" w:right="-46"/>
        <w:rPr>
          <w:rFonts w:ascii="Times" w:hAnsi="Times"/>
          <w:szCs w:val="24"/>
        </w:rPr>
      </w:pPr>
    </w:p>
    <w:bookmarkEnd w:id="0"/>
    <w:p w:rsidR="002E568B" w:rsidRPr="003856A4" w:rsidRDefault="002E568B" w:rsidP="00641B61">
      <w:pPr>
        <w:ind w:right="-46"/>
        <w:rPr>
          <w:szCs w:val="24"/>
        </w:rPr>
      </w:pPr>
      <w:r w:rsidRPr="003856A4">
        <w:rPr>
          <w:szCs w:val="24"/>
        </w:rPr>
        <w:t xml:space="preserve">Details of the </w:t>
      </w:r>
      <w:r>
        <w:rPr>
          <w:szCs w:val="24"/>
        </w:rPr>
        <w:t>r</w:t>
      </w:r>
      <w:r w:rsidRPr="003856A4">
        <w:rPr>
          <w:szCs w:val="24"/>
        </w:rPr>
        <w:t xml:space="preserve">egulation are set out in the </w:t>
      </w:r>
      <w:r w:rsidRPr="003856A4">
        <w:rPr>
          <w:szCs w:val="24"/>
          <w:u w:val="single"/>
        </w:rPr>
        <w:t>Attachment</w:t>
      </w:r>
      <w:r w:rsidRPr="003856A4">
        <w:rPr>
          <w:szCs w:val="24"/>
        </w:rPr>
        <w:t>.</w:t>
      </w:r>
    </w:p>
    <w:p w:rsidR="002E568B" w:rsidRPr="002747DD" w:rsidRDefault="002E568B" w:rsidP="00641B61">
      <w:pPr>
        <w:ind w:right="-46"/>
        <w:rPr>
          <w:szCs w:val="24"/>
        </w:rPr>
      </w:pPr>
    </w:p>
    <w:p w:rsidR="002E568B" w:rsidRPr="003856A4" w:rsidRDefault="009B4412" w:rsidP="00641B61">
      <w:pPr>
        <w:ind w:right="-46"/>
        <w:rPr>
          <w:szCs w:val="24"/>
        </w:rPr>
      </w:pPr>
      <w:r>
        <w:rPr>
          <w:szCs w:val="24"/>
        </w:rPr>
        <w:t>T</w:t>
      </w:r>
      <w:r w:rsidR="002E568B" w:rsidRPr="003856A4">
        <w:rPr>
          <w:szCs w:val="24"/>
        </w:rPr>
        <w:t xml:space="preserve">he Act </w:t>
      </w:r>
      <w:r>
        <w:rPr>
          <w:szCs w:val="24"/>
        </w:rPr>
        <w:t>does not</w:t>
      </w:r>
      <w:r w:rsidR="00EF1F76">
        <w:rPr>
          <w:szCs w:val="24"/>
        </w:rPr>
        <w:t xml:space="preserve"> specify </w:t>
      </w:r>
      <w:r w:rsidR="002E568B" w:rsidRPr="003856A4">
        <w:rPr>
          <w:szCs w:val="24"/>
        </w:rPr>
        <w:t xml:space="preserve">conditions that need to be met before the power to make </w:t>
      </w:r>
      <w:r w:rsidR="00BA167E">
        <w:rPr>
          <w:szCs w:val="24"/>
        </w:rPr>
        <w:t xml:space="preserve">the </w:t>
      </w:r>
      <w:r w:rsidR="002E568B">
        <w:rPr>
          <w:szCs w:val="24"/>
        </w:rPr>
        <w:t>r</w:t>
      </w:r>
      <w:r w:rsidR="002E568B" w:rsidRPr="003856A4">
        <w:rPr>
          <w:szCs w:val="24"/>
        </w:rPr>
        <w:t>egulation may be exercised.</w:t>
      </w:r>
    </w:p>
    <w:p w:rsidR="002E568B" w:rsidRPr="003856A4" w:rsidRDefault="002E568B" w:rsidP="00641B61">
      <w:pPr>
        <w:ind w:right="-46"/>
        <w:rPr>
          <w:szCs w:val="24"/>
        </w:rPr>
      </w:pPr>
    </w:p>
    <w:p w:rsidR="002E568B" w:rsidRPr="003856A4" w:rsidRDefault="002E568B" w:rsidP="00641B61">
      <w:pPr>
        <w:ind w:right="-46"/>
        <w:rPr>
          <w:szCs w:val="24"/>
        </w:rPr>
      </w:pPr>
      <w:r w:rsidRPr="003856A4">
        <w:rPr>
          <w:szCs w:val="24"/>
        </w:rPr>
        <w:t xml:space="preserve">The </w:t>
      </w:r>
      <w:r>
        <w:rPr>
          <w:szCs w:val="24"/>
        </w:rPr>
        <w:t>r</w:t>
      </w:r>
      <w:r w:rsidRPr="003856A4">
        <w:rPr>
          <w:szCs w:val="24"/>
        </w:rPr>
        <w:t xml:space="preserve">egulation </w:t>
      </w:r>
      <w:r w:rsidR="00C50650">
        <w:rPr>
          <w:szCs w:val="24"/>
        </w:rPr>
        <w:t>is</w:t>
      </w:r>
      <w:r w:rsidRPr="003856A4">
        <w:rPr>
          <w:szCs w:val="24"/>
        </w:rPr>
        <w:t xml:space="preserve"> a legislative instrument for the purposes of the </w:t>
      </w:r>
      <w:r w:rsidRPr="003856A4">
        <w:rPr>
          <w:i/>
          <w:szCs w:val="24"/>
        </w:rPr>
        <w:t>Legislative Instruments Act 2003</w:t>
      </w:r>
      <w:r w:rsidRPr="003856A4">
        <w:rPr>
          <w:szCs w:val="24"/>
        </w:rPr>
        <w:t>.</w:t>
      </w:r>
    </w:p>
    <w:p w:rsidR="002E568B" w:rsidRPr="003856A4" w:rsidRDefault="002E568B" w:rsidP="00641B61">
      <w:pPr>
        <w:ind w:right="-46"/>
        <w:rPr>
          <w:szCs w:val="24"/>
        </w:rPr>
      </w:pPr>
    </w:p>
    <w:p w:rsidR="002E568B" w:rsidRPr="003856A4" w:rsidRDefault="002E568B" w:rsidP="00641B61">
      <w:pPr>
        <w:ind w:right="-46"/>
        <w:rPr>
          <w:szCs w:val="24"/>
        </w:rPr>
      </w:pPr>
      <w:r w:rsidRPr="003856A4">
        <w:rPr>
          <w:szCs w:val="24"/>
        </w:rPr>
        <w:t xml:space="preserve">The </w:t>
      </w:r>
      <w:r>
        <w:rPr>
          <w:szCs w:val="24"/>
        </w:rPr>
        <w:t>r</w:t>
      </w:r>
      <w:r w:rsidRPr="003856A4">
        <w:rPr>
          <w:szCs w:val="24"/>
        </w:rPr>
        <w:t>egulation commence</w:t>
      </w:r>
      <w:r w:rsidR="00C50650">
        <w:rPr>
          <w:szCs w:val="24"/>
        </w:rPr>
        <w:t>s</w:t>
      </w:r>
      <w:r w:rsidRPr="003856A4">
        <w:rPr>
          <w:szCs w:val="24"/>
        </w:rPr>
        <w:t xml:space="preserve"> on </w:t>
      </w:r>
      <w:r w:rsidR="00382ED9">
        <w:rPr>
          <w:szCs w:val="24"/>
        </w:rPr>
        <w:t>the day after it is registered</w:t>
      </w:r>
      <w:r w:rsidRPr="003856A4">
        <w:rPr>
          <w:szCs w:val="24"/>
        </w:rPr>
        <w:t>.</w:t>
      </w:r>
    </w:p>
    <w:p w:rsidR="002E568B" w:rsidRPr="003856A4" w:rsidRDefault="002E568B" w:rsidP="00641B61">
      <w:pPr>
        <w:ind w:right="-46"/>
        <w:rPr>
          <w:szCs w:val="24"/>
        </w:rPr>
      </w:pPr>
    </w:p>
    <w:p w:rsidR="002E568B" w:rsidRPr="003856A4" w:rsidRDefault="00BC061E" w:rsidP="00641B61">
      <w:pPr>
        <w:ind w:right="-46"/>
        <w:rPr>
          <w:szCs w:val="24"/>
        </w:rPr>
      </w:pPr>
      <w:r>
        <w:t>The TGA consulted with the key medical device peak body, the Medical Technology Association of Australia (the MTAA), about extending the transition period for joint replacements until 30 June 2015.  The MTAA supports the proposal.</w:t>
      </w:r>
    </w:p>
    <w:p w:rsidR="00BC061E" w:rsidRDefault="00BC061E" w:rsidP="00641B61">
      <w:pPr>
        <w:ind w:left="5670" w:right="-46" w:hanging="1134"/>
        <w:rPr>
          <w:szCs w:val="24"/>
          <w:u w:val="single"/>
        </w:rPr>
      </w:pPr>
    </w:p>
    <w:p w:rsidR="00BA167E" w:rsidRPr="00BA167E" w:rsidRDefault="002E568B" w:rsidP="00641B61">
      <w:pPr>
        <w:ind w:left="5670" w:right="-46" w:hanging="1134"/>
        <w:rPr>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FE16A4">
        <w:rPr>
          <w:szCs w:val="24"/>
        </w:rPr>
        <w:t xml:space="preserve">             </w:t>
      </w:r>
      <w:r w:rsidR="00BA167E" w:rsidRPr="00BA167E">
        <w:rPr>
          <w:i/>
          <w:szCs w:val="24"/>
        </w:rPr>
        <w:t>Therapeutic Goods Act 1989</w:t>
      </w:r>
    </w:p>
    <w:p w:rsidR="0056578D" w:rsidRDefault="0056578D" w:rsidP="00641B61">
      <w:pPr>
        <w:ind w:left="5670" w:right="-46"/>
        <w:rPr>
          <w:szCs w:val="24"/>
        </w:rPr>
      </w:pPr>
    </w:p>
    <w:p w:rsidR="002E568B" w:rsidRPr="00AC42A1" w:rsidRDefault="002E568B" w:rsidP="00641B61">
      <w:pPr>
        <w:ind w:left="6237" w:right="-46" w:firstLine="3"/>
        <w:jc w:val="right"/>
        <w:rPr>
          <w:b/>
          <w:szCs w:val="24"/>
          <w:u w:val="single"/>
        </w:rPr>
      </w:pPr>
      <w:r w:rsidRPr="003856A4">
        <w:rPr>
          <w:color w:val="FF0000"/>
          <w:szCs w:val="24"/>
          <w:u w:val="single"/>
        </w:rPr>
        <w:br w:type="page"/>
      </w:r>
      <w:r w:rsidRPr="00AC42A1">
        <w:rPr>
          <w:b/>
          <w:szCs w:val="24"/>
          <w:u w:val="single"/>
        </w:rPr>
        <w:lastRenderedPageBreak/>
        <w:t>ATTACHMENT</w:t>
      </w:r>
    </w:p>
    <w:p w:rsidR="002E568B" w:rsidRPr="00684780" w:rsidRDefault="002E568B" w:rsidP="00641B61">
      <w:pPr>
        <w:ind w:right="-46" w:firstLine="3"/>
        <w:rPr>
          <w:b/>
          <w:szCs w:val="24"/>
        </w:rPr>
      </w:pPr>
    </w:p>
    <w:p w:rsidR="002E568B" w:rsidRPr="00613321" w:rsidRDefault="00CC4CBD" w:rsidP="00641B61">
      <w:pPr>
        <w:ind w:right="-46" w:firstLine="3"/>
        <w:rPr>
          <w:b/>
          <w:i/>
          <w:caps/>
          <w:szCs w:val="24"/>
          <w:u w:val="single"/>
        </w:rPr>
      </w:pPr>
      <w:r>
        <w:rPr>
          <w:b/>
          <w:szCs w:val="24"/>
          <w:u w:val="single"/>
        </w:rPr>
        <w:t xml:space="preserve">Details of the </w:t>
      </w:r>
      <w:bookmarkStart w:id="1" w:name="_GoBack"/>
      <w:r w:rsidR="002E568B" w:rsidRPr="00613321">
        <w:rPr>
          <w:b/>
          <w:i/>
          <w:szCs w:val="24"/>
          <w:u w:val="single"/>
        </w:rPr>
        <w:t xml:space="preserve">Therapeutic Goods </w:t>
      </w:r>
      <w:r w:rsidR="00E81C4E">
        <w:rPr>
          <w:b/>
          <w:i/>
          <w:szCs w:val="24"/>
          <w:u w:val="single"/>
        </w:rPr>
        <w:t>(</w:t>
      </w:r>
      <w:r w:rsidR="00550CC8">
        <w:rPr>
          <w:b/>
          <w:i/>
          <w:szCs w:val="24"/>
          <w:u w:val="single"/>
        </w:rPr>
        <w:t xml:space="preserve">Medical Devices) </w:t>
      </w:r>
      <w:r w:rsidR="00FE20E0">
        <w:rPr>
          <w:b/>
          <w:i/>
          <w:szCs w:val="24"/>
          <w:u w:val="single"/>
        </w:rPr>
        <w:t>Amendment (</w:t>
      </w:r>
      <w:r w:rsidR="00E8316B">
        <w:rPr>
          <w:b/>
          <w:i/>
          <w:szCs w:val="24"/>
          <w:u w:val="single"/>
        </w:rPr>
        <w:t>Joint Replacements</w:t>
      </w:r>
      <w:r w:rsidR="004553EE">
        <w:rPr>
          <w:b/>
          <w:i/>
          <w:szCs w:val="24"/>
          <w:u w:val="single"/>
        </w:rPr>
        <w:t>)</w:t>
      </w:r>
      <w:r w:rsidR="00E81C4E">
        <w:rPr>
          <w:b/>
          <w:i/>
          <w:szCs w:val="24"/>
          <w:u w:val="single"/>
        </w:rPr>
        <w:t xml:space="preserve"> Regulation 2014</w:t>
      </w:r>
      <w:bookmarkEnd w:id="1"/>
    </w:p>
    <w:p w:rsidR="002E568B" w:rsidRPr="00684780" w:rsidRDefault="002E568B" w:rsidP="00641B61">
      <w:pPr>
        <w:ind w:right="-46" w:firstLine="3"/>
        <w:rPr>
          <w:b/>
          <w:szCs w:val="24"/>
          <w:highlight w:val="yellow"/>
        </w:rPr>
      </w:pPr>
    </w:p>
    <w:p w:rsidR="002E568B" w:rsidRPr="00684780" w:rsidRDefault="002E568B" w:rsidP="00641B61">
      <w:pPr>
        <w:ind w:right="-46" w:firstLine="3"/>
        <w:rPr>
          <w:szCs w:val="24"/>
        </w:rPr>
      </w:pPr>
      <w:r>
        <w:rPr>
          <w:szCs w:val="24"/>
          <w:u w:val="single"/>
        </w:rPr>
        <w:t>Sec</w:t>
      </w:r>
      <w:r w:rsidRPr="00684780">
        <w:rPr>
          <w:szCs w:val="24"/>
          <w:u w:val="single"/>
        </w:rPr>
        <w:t xml:space="preserve">tion 1 – Name of </w:t>
      </w:r>
      <w:r>
        <w:rPr>
          <w:szCs w:val="24"/>
          <w:u w:val="single"/>
        </w:rPr>
        <w:t>r</w:t>
      </w:r>
      <w:r w:rsidRPr="00684780">
        <w:rPr>
          <w:szCs w:val="24"/>
          <w:u w:val="single"/>
        </w:rPr>
        <w:t>egulation</w:t>
      </w:r>
    </w:p>
    <w:p w:rsidR="002E568B" w:rsidRPr="00684780" w:rsidRDefault="002E568B" w:rsidP="00641B61">
      <w:pPr>
        <w:ind w:right="-46" w:firstLine="3"/>
        <w:rPr>
          <w:szCs w:val="24"/>
        </w:rPr>
      </w:pPr>
      <w:r w:rsidRPr="00684780">
        <w:rPr>
          <w:szCs w:val="24"/>
        </w:rPr>
        <w:t xml:space="preserve">This </w:t>
      </w:r>
      <w:r w:rsidR="00BA167E">
        <w:rPr>
          <w:szCs w:val="24"/>
        </w:rPr>
        <w:t>section</w:t>
      </w:r>
      <w:r w:rsidRPr="00684780">
        <w:rPr>
          <w:szCs w:val="24"/>
        </w:rPr>
        <w:t xml:space="preserve"> provide</w:t>
      </w:r>
      <w:r w:rsidR="00C50650">
        <w:rPr>
          <w:szCs w:val="24"/>
        </w:rPr>
        <w:t>s</w:t>
      </w:r>
      <w:r w:rsidRPr="00684780">
        <w:rPr>
          <w:szCs w:val="24"/>
        </w:rPr>
        <w:t xml:space="preserve"> for the </w:t>
      </w:r>
      <w:r>
        <w:rPr>
          <w:szCs w:val="24"/>
        </w:rPr>
        <w:t>r</w:t>
      </w:r>
      <w:r w:rsidRPr="00684780">
        <w:rPr>
          <w:szCs w:val="24"/>
        </w:rPr>
        <w:t xml:space="preserve">egulation to be referred to as the </w:t>
      </w:r>
      <w:r w:rsidRPr="00684780">
        <w:rPr>
          <w:i/>
          <w:szCs w:val="24"/>
        </w:rPr>
        <w:t>Therapeutic Goods</w:t>
      </w:r>
      <w:r w:rsidR="009B4412">
        <w:rPr>
          <w:i/>
          <w:szCs w:val="24"/>
        </w:rPr>
        <w:t xml:space="preserve"> </w:t>
      </w:r>
      <w:r w:rsidR="00E81C4E">
        <w:rPr>
          <w:i/>
          <w:szCs w:val="24"/>
        </w:rPr>
        <w:t xml:space="preserve">(Medical Devices) </w:t>
      </w:r>
      <w:r w:rsidR="009B4412">
        <w:rPr>
          <w:i/>
          <w:szCs w:val="24"/>
        </w:rPr>
        <w:t>Amendment</w:t>
      </w:r>
      <w:r w:rsidRPr="00684780">
        <w:rPr>
          <w:i/>
          <w:szCs w:val="24"/>
        </w:rPr>
        <w:t xml:space="preserve"> </w:t>
      </w:r>
      <w:r w:rsidR="00FE20E0">
        <w:rPr>
          <w:i/>
          <w:szCs w:val="24"/>
        </w:rPr>
        <w:t>(</w:t>
      </w:r>
      <w:r w:rsidR="00E8316B">
        <w:rPr>
          <w:i/>
          <w:szCs w:val="24"/>
        </w:rPr>
        <w:t>Joint Replacements</w:t>
      </w:r>
      <w:r w:rsidR="004553EE">
        <w:rPr>
          <w:i/>
          <w:szCs w:val="24"/>
        </w:rPr>
        <w:t xml:space="preserve">) </w:t>
      </w:r>
      <w:r w:rsidRPr="00684780">
        <w:rPr>
          <w:i/>
          <w:szCs w:val="24"/>
        </w:rPr>
        <w:t>Regulation 201</w:t>
      </w:r>
      <w:r w:rsidR="00E81C4E">
        <w:rPr>
          <w:i/>
          <w:szCs w:val="24"/>
        </w:rPr>
        <w:t>4</w:t>
      </w:r>
      <w:r w:rsidRPr="00684780">
        <w:rPr>
          <w:i/>
          <w:szCs w:val="24"/>
        </w:rPr>
        <w:t>.</w:t>
      </w:r>
    </w:p>
    <w:p w:rsidR="002E568B" w:rsidRPr="00154185" w:rsidRDefault="002E568B" w:rsidP="00641B61">
      <w:pPr>
        <w:ind w:right="-46" w:firstLine="3"/>
        <w:rPr>
          <w:szCs w:val="24"/>
        </w:rPr>
      </w:pPr>
    </w:p>
    <w:p w:rsidR="002E568B" w:rsidRPr="00684780" w:rsidRDefault="002E568B" w:rsidP="00641B61">
      <w:pPr>
        <w:ind w:right="-46"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641B61">
      <w:pPr>
        <w:ind w:right="-46" w:firstLine="3"/>
        <w:rPr>
          <w:szCs w:val="24"/>
        </w:rPr>
      </w:pPr>
      <w:r w:rsidRPr="00684780">
        <w:rPr>
          <w:szCs w:val="24"/>
        </w:rPr>
        <w:t xml:space="preserve">This </w:t>
      </w:r>
      <w:r>
        <w:rPr>
          <w:szCs w:val="24"/>
        </w:rPr>
        <w:t>sec</w:t>
      </w:r>
      <w:r w:rsidRPr="00684780">
        <w:rPr>
          <w:szCs w:val="24"/>
        </w:rPr>
        <w:t>tion provide</w:t>
      </w:r>
      <w:r w:rsidR="00C50650">
        <w:rPr>
          <w:szCs w:val="24"/>
        </w:rPr>
        <w:t>s</w:t>
      </w:r>
      <w:r w:rsidRPr="00684780">
        <w:rPr>
          <w:szCs w:val="24"/>
        </w:rPr>
        <w:t xml:space="preserve"> for the </w:t>
      </w:r>
      <w:r>
        <w:rPr>
          <w:szCs w:val="24"/>
        </w:rPr>
        <w:t>r</w:t>
      </w:r>
      <w:r w:rsidRPr="00684780">
        <w:rPr>
          <w:szCs w:val="24"/>
        </w:rPr>
        <w:t>egu</w:t>
      </w:r>
      <w:r w:rsidR="009B4412">
        <w:rPr>
          <w:szCs w:val="24"/>
        </w:rPr>
        <w:t>lation to commence the day after it is registered</w:t>
      </w:r>
      <w:r w:rsidRPr="00684780">
        <w:rPr>
          <w:szCs w:val="24"/>
        </w:rPr>
        <w:t>.</w:t>
      </w:r>
    </w:p>
    <w:p w:rsidR="002E568B" w:rsidRPr="00154185" w:rsidRDefault="002E568B" w:rsidP="00641B61">
      <w:pPr>
        <w:ind w:right="-46" w:firstLine="3"/>
        <w:rPr>
          <w:szCs w:val="24"/>
        </w:rPr>
      </w:pPr>
    </w:p>
    <w:p w:rsidR="00922B98" w:rsidRDefault="002E568B" w:rsidP="00641B61">
      <w:pPr>
        <w:ind w:right="-46"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641B61">
      <w:pPr>
        <w:ind w:right="-46" w:firstLine="3"/>
        <w:rPr>
          <w:szCs w:val="24"/>
        </w:rPr>
      </w:pPr>
      <w:r>
        <w:rPr>
          <w:szCs w:val="24"/>
        </w:rPr>
        <w:t>This section provide</w:t>
      </w:r>
      <w:r w:rsidR="00C50650">
        <w:rPr>
          <w:szCs w:val="24"/>
        </w:rPr>
        <w:t>s</w:t>
      </w:r>
      <w:r>
        <w:rPr>
          <w:szCs w:val="24"/>
        </w:rPr>
        <w:t xml:space="preserve"> that the regulation is made</w:t>
      </w:r>
      <w:r w:rsidR="00574D01">
        <w:rPr>
          <w:szCs w:val="24"/>
        </w:rPr>
        <w:t xml:space="preserve"> under the </w:t>
      </w:r>
      <w:r w:rsidRPr="00C326E4">
        <w:rPr>
          <w:i/>
          <w:szCs w:val="24"/>
        </w:rPr>
        <w:t>Therapeutic Goods Act 1989</w:t>
      </w:r>
      <w:r w:rsidR="00A251B0">
        <w:rPr>
          <w:i/>
          <w:szCs w:val="24"/>
        </w:rPr>
        <w:t xml:space="preserve"> </w:t>
      </w:r>
      <w:r w:rsidR="0042269B" w:rsidRPr="0042269B">
        <w:rPr>
          <w:szCs w:val="24"/>
        </w:rPr>
        <w:t>(the Act)</w:t>
      </w:r>
      <w:r>
        <w:rPr>
          <w:szCs w:val="24"/>
        </w:rPr>
        <w:t>.</w:t>
      </w:r>
    </w:p>
    <w:p w:rsidR="00900C44" w:rsidRDefault="00900C44" w:rsidP="00641B61">
      <w:pPr>
        <w:ind w:right="-46" w:firstLine="3"/>
        <w:rPr>
          <w:szCs w:val="24"/>
          <w:u w:val="single"/>
        </w:rPr>
      </w:pPr>
    </w:p>
    <w:p w:rsidR="00922B98" w:rsidRDefault="00922B98" w:rsidP="00641B61">
      <w:pPr>
        <w:pStyle w:val="Heading1"/>
        <w:ind w:right="-46"/>
        <w:rPr>
          <w:b w:val="0"/>
          <w:szCs w:val="24"/>
          <w:u w:val="single"/>
        </w:rPr>
      </w:pPr>
      <w:r>
        <w:rPr>
          <w:b w:val="0"/>
          <w:szCs w:val="24"/>
          <w:u w:val="single"/>
        </w:rPr>
        <w:t>Section 4 – Schedule</w:t>
      </w:r>
    </w:p>
    <w:p w:rsidR="00941170" w:rsidRDefault="0004764F" w:rsidP="00641B61">
      <w:pPr>
        <w:pStyle w:val="Heading1"/>
        <w:ind w:right="-46"/>
        <w:rPr>
          <w:b w:val="0"/>
          <w:szCs w:val="24"/>
        </w:rPr>
      </w:pPr>
      <w:r>
        <w:rPr>
          <w:b w:val="0"/>
          <w:szCs w:val="24"/>
        </w:rPr>
        <w:t>This section provide</w:t>
      </w:r>
      <w:r w:rsidR="00C50650">
        <w:rPr>
          <w:b w:val="0"/>
          <w:szCs w:val="24"/>
        </w:rPr>
        <w:t>s</w:t>
      </w:r>
      <w:r>
        <w:rPr>
          <w:b w:val="0"/>
          <w:szCs w:val="24"/>
        </w:rPr>
        <w:t xml:space="preserve"> that e</w:t>
      </w:r>
      <w:r w:rsidR="00EE6E54">
        <w:rPr>
          <w:b w:val="0"/>
          <w:szCs w:val="24"/>
        </w:rPr>
        <w:t xml:space="preserve">ach instrument that is specified in a Schedule to this instrument is </w:t>
      </w:r>
      <w:r w:rsidR="0056578D">
        <w:rPr>
          <w:b w:val="0"/>
          <w:szCs w:val="24"/>
        </w:rPr>
        <w:t>amended or repeal</w:t>
      </w:r>
      <w:r w:rsidR="007D7FA8">
        <w:rPr>
          <w:b w:val="0"/>
          <w:szCs w:val="24"/>
        </w:rPr>
        <w:t>ed</w:t>
      </w:r>
      <w:r w:rsidR="0056578D">
        <w:rPr>
          <w:b w:val="0"/>
          <w:szCs w:val="24"/>
        </w:rPr>
        <w:t xml:space="preserve"> as set out in the applicable items in the Schedule concerned, and any other item in a Schedule to this instrument has effect according to its terms.</w:t>
      </w:r>
    </w:p>
    <w:p w:rsidR="000B380F" w:rsidRDefault="000B380F" w:rsidP="00641B61">
      <w:pPr>
        <w:ind w:right="-46"/>
      </w:pPr>
    </w:p>
    <w:p w:rsidR="000B380F" w:rsidRPr="00D30DEE" w:rsidRDefault="00D30DEE" w:rsidP="00641B61">
      <w:pPr>
        <w:ind w:right="-46"/>
        <w:rPr>
          <w:u w:val="single"/>
        </w:rPr>
      </w:pPr>
      <w:r w:rsidRPr="00D30DEE">
        <w:rPr>
          <w:u w:val="single"/>
        </w:rPr>
        <w:t>Schedule 1 –</w:t>
      </w:r>
      <w:r>
        <w:rPr>
          <w:u w:val="single"/>
        </w:rPr>
        <w:t xml:space="preserve"> Amendments</w:t>
      </w:r>
    </w:p>
    <w:p w:rsidR="000B380F" w:rsidRDefault="000B380F" w:rsidP="00641B61">
      <w:pPr>
        <w:ind w:right="-46"/>
      </w:pPr>
    </w:p>
    <w:p w:rsidR="0056578D" w:rsidRDefault="009B4412" w:rsidP="00641B61">
      <w:pPr>
        <w:ind w:right="-46"/>
        <w:rPr>
          <w:b/>
          <w:i/>
        </w:rPr>
      </w:pPr>
      <w:r>
        <w:rPr>
          <w:b/>
          <w:i/>
        </w:rPr>
        <w:t xml:space="preserve">Therapeutic Goods </w:t>
      </w:r>
      <w:r w:rsidR="00E81C4E">
        <w:rPr>
          <w:b/>
          <w:i/>
        </w:rPr>
        <w:t xml:space="preserve">(Medical Devices) </w:t>
      </w:r>
      <w:r w:rsidR="0056578D">
        <w:rPr>
          <w:b/>
          <w:i/>
        </w:rPr>
        <w:t>Regulation</w:t>
      </w:r>
      <w:r w:rsidR="00DF45CA">
        <w:rPr>
          <w:b/>
          <w:i/>
        </w:rPr>
        <w:t>s</w:t>
      </w:r>
      <w:r w:rsidR="00E81C4E">
        <w:rPr>
          <w:b/>
          <w:i/>
        </w:rPr>
        <w:t xml:space="preserve"> 2002</w:t>
      </w:r>
    </w:p>
    <w:p w:rsidR="0056578D" w:rsidRDefault="0056578D" w:rsidP="00641B61">
      <w:pPr>
        <w:ind w:right="-46"/>
      </w:pPr>
    </w:p>
    <w:p w:rsidR="005F65C6" w:rsidRPr="005F65C6" w:rsidRDefault="005F65C6" w:rsidP="00641B61">
      <w:pPr>
        <w:ind w:right="-46"/>
        <w:rPr>
          <w:b/>
        </w:rPr>
      </w:pPr>
      <w:r w:rsidRPr="005F65C6">
        <w:rPr>
          <w:b/>
        </w:rPr>
        <w:t>Item 1</w:t>
      </w:r>
      <w:r w:rsidR="00E81C4E">
        <w:rPr>
          <w:b/>
        </w:rPr>
        <w:t xml:space="preserve"> – </w:t>
      </w:r>
      <w:r w:rsidR="00E8316B">
        <w:rPr>
          <w:b/>
        </w:rPr>
        <w:t>Subregulations 11.1(3), (6) and (7)</w:t>
      </w:r>
    </w:p>
    <w:p w:rsidR="00A01223" w:rsidRDefault="00B45CEC" w:rsidP="00641B61">
      <w:pPr>
        <w:ind w:right="-46"/>
      </w:pPr>
      <w:r>
        <w:t xml:space="preserve">This item </w:t>
      </w:r>
      <w:r w:rsidR="00E8316B">
        <w:t>amend</w:t>
      </w:r>
      <w:r w:rsidR="00C50650">
        <w:t>s</w:t>
      </w:r>
      <w:r w:rsidR="00E8316B">
        <w:t xml:space="preserve"> each of subregulations 11.1(3), (6) and (7), to replace references </w:t>
      </w:r>
      <w:r w:rsidR="002552F1">
        <w:t xml:space="preserve">to the year 2014 </w:t>
      </w:r>
      <w:r w:rsidR="00E8316B">
        <w:t xml:space="preserve">in those subregulations with references to </w:t>
      </w:r>
      <w:r w:rsidR="002552F1">
        <w:t xml:space="preserve">the year </w:t>
      </w:r>
      <w:r w:rsidR="00E8316B">
        <w:t>2015.</w:t>
      </w:r>
    </w:p>
    <w:p w:rsidR="00E8316B" w:rsidRDefault="00E8316B" w:rsidP="00641B61">
      <w:pPr>
        <w:ind w:right="-46"/>
      </w:pPr>
    </w:p>
    <w:p w:rsidR="00093D80" w:rsidRDefault="00E8316B" w:rsidP="00641B61">
      <w:pPr>
        <w:pStyle w:val="ListParagraph"/>
        <w:ind w:left="0" w:right="-46"/>
        <w:rPr>
          <w:szCs w:val="24"/>
        </w:rPr>
      </w:pPr>
      <w:r>
        <w:rPr>
          <w:szCs w:val="24"/>
        </w:rPr>
        <w:t>These amendments</w:t>
      </w:r>
      <w:r w:rsidR="00C60B3E">
        <w:rPr>
          <w:szCs w:val="24"/>
        </w:rPr>
        <w:t>, taken together,</w:t>
      </w:r>
      <w:r>
        <w:rPr>
          <w:szCs w:val="24"/>
        </w:rPr>
        <w:t xml:space="preserve"> extend</w:t>
      </w:r>
      <w:r w:rsidR="00243557">
        <w:rPr>
          <w:szCs w:val="24"/>
        </w:rPr>
        <w:t xml:space="preserve"> the current transition</w:t>
      </w:r>
      <w:r w:rsidR="00093D80">
        <w:rPr>
          <w:szCs w:val="24"/>
        </w:rPr>
        <w:t xml:space="preserve"> process for </w:t>
      </w:r>
      <w:r w:rsidR="00243557">
        <w:rPr>
          <w:szCs w:val="24"/>
        </w:rPr>
        <w:t>the up</w:t>
      </w:r>
      <w:r w:rsidR="002552F1">
        <w:rPr>
          <w:szCs w:val="24"/>
        </w:rPr>
        <w:noBreakHyphen/>
      </w:r>
      <w:r w:rsidR="00243557">
        <w:rPr>
          <w:szCs w:val="24"/>
        </w:rPr>
        <w:t xml:space="preserve">classification of implantable </w:t>
      </w:r>
      <w:r w:rsidR="00C60B3E">
        <w:rPr>
          <w:szCs w:val="24"/>
        </w:rPr>
        <w:t xml:space="preserve">medical devices intended by their manufacturer to be total or partial </w:t>
      </w:r>
      <w:r w:rsidR="00243557">
        <w:rPr>
          <w:szCs w:val="24"/>
        </w:rPr>
        <w:t>shoulder, hip or knee j</w:t>
      </w:r>
      <w:r w:rsidR="00C60B3E">
        <w:rPr>
          <w:szCs w:val="24"/>
        </w:rPr>
        <w:t>oint replacements</w:t>
      </w:r>
      <w:r w:rsidR="00AB3E13">
        <w:rPr>
          <w:szCs w:val="24"/>
        </w:rPr>
        <w:t>,</w:t>
      </w:r>
      <w:r w:rsidR="00B3479D">
        <w:rPr>
          <w:rFonts w:ascii="Times" w:hAnsi="Times"/>
          <w:szCs w:val="24"/>
        </w:rPr>
        <w:t xml:space="preserve"> </w:t>
      </w:r>
      <w:r w:rsidR="00243557">
        <w:rPr>
          <w:szCs w:val="24"/>
        </w:rPr>
        <w:t>by 12 months – by providing for that process</w:t>
      </w:r>
      <w:r w:rsidR="00051E60">
        <w:rPr>
          <w:szCs w:val="24"/>
        </w:rPr>
        <w:t xml:space="preserve">, or </w:t>
      </w:r>
      <w:r w:rsidR="00AB3E13">
        <w:rPr>
          <w:szCs w:val="24"/>
        </w:rPr>
        <w:t xml:space="preserve">key </w:t>
      </w:r>
      <w:r w:rsidR="00051E60">
        <w:rPr>
          <w:szCs w:val="24"/>
        </w:rPr>
        <w:t>elements that support that process,</w:t>
      </w:r>
      <w:r w:rsidR="00243557">
        <w:rPr>
          <w:szCs w:val="24"/>
        </w:rPr>
        <w:t xml:space="preserve"> to end on 30 June 2015 rather than the current 30 June 2014. </w:t>
      </w:r>
    </w:p>
    <w:p w:rsidR="00E8316B" w:rsidRDefault="00E8316B" w:rsidP="00641B61">
      <w:pPr>
        <w:pStyle w:val="ListParagraph"/>
        <w:ind w:left="0" w:right="-46"/>
        <w:rPr>
          <w:szCs w:val="24"/>
        </w:rPr>
      </w:pPr>
    </w:p>
    <w:p w:rsidR="00AB3E13" w:rsidRDefault="00AB3E13" w:rsidP="00641B61">
      <w:pPr>
        <w:pStyle w:val="ListParagraph"/>
        <w:ind w:left="0" w:right="-46"/>
        <w:rPr>
          <w:rFonts w:ascii="Times" w:hAnsi="Times"/>
          <w:szCs w:val="24"/>
        </w:rPr>
      </w:pPr>
      <w:r>
        <w:rPr>
          <w:szCs w:val="24"/>
        </w:rPr>
        <w:t>Under this transition process</w:t>
      </w:r>
      <w:r>
        <w:rPr>
          <w:rFonts w:ascii="Times" w:hAnsi="Times"/>
          <w:szCs w:val="24"/>
        </w:rPr>
        <w:t xml:space="preserve">, sponsors of such medical devices that, as at 1 July 2012, were included in the Australian Register of Therapeutic Goods (the Register) as Class IIb devices or were the subject of applications for inclusion in the Register as Class IIb devices that had not been finally determined, were given until 30 June 2014 to submit an application to include their products in the Register as Class III devices.  </w:t>
      </w:r>
    </w:p>
    <w:p w:rsidR="00AB3E13" w:rsidRDefault="00AB3E13" w:rsidP="00641B61">
      <w:pPr>
        <w:pStyle w:val="ListParagraph"/>
        <w:ind w:left="0" w:right="-46"/>
        <w:rPr>
          <w:szCs w:val="24"/>
        </w:rPr>
      </w:pPr>
    </w:p>
    <w:p w:rsidR="00AB3E13" w:rsidRDefault="00AB3E13" w:rsidP="00641B61">
      <w:pPr>
        <w:pStyle w:val="ListParagraph"/>
        <w:ind w:left="0" w:right="-46"/>
        <w:rPr>
          <w:szCs w:val="24"/>
        </w:rPr>
      </w:pPr>
      <w:r>
        <w:rPr>
          <w:szCs w:val="24"/>
        </w:rPr>
        <w:t>In relation to the subregulations mentioned above:</w:t>
      </w:r>
    </w:p>
    <w:p w:rsidR="00AB3E13" w:rsidRDefault="00AB3E13" w:rsidP="00641B61">
      <w:pPr>
        <w:pStyle w:val="ListParagraph"/>
        <w:ind w:left="0" w:right="-46"/>
        <w:rPr>
          <w:szCs w:val="24"/>
        </w:rPr>
      </w:pPr>
    </w:p>
    <w:p w:rsidR="00AB3E13" w:rsidRDefault="00AB3E13" w:rsidP="00641B61">
      <w:pPr>
        <w:pStyle w:val="ListParagraph"/>
        <w:numPr>
          <w:ilvl w:val="0"/>
          <w:numId w:val="14"/>
        </w:numPr>
        <w:ind w:left="567" w:right="-46" w:hanging="283"/>
        <w:rPr>
          <w:szCs w:val="24"/>
        </w:rPr>
      </w:pPr>
      <w:r>
        <w:rPr>
          <w:szCs w:val="24"/>
        </w:rPr>
        <w:t xml:space="preserve">subregulation 11.1(3) currently ensures that a sponsor of a device </w:t>
      </w:r>
      <w:r w:rsidR="00F658B3">
        <w:rPr>
          <w:szCs w:val="24"/>
        </w:rPr>
        <w:t xml:space="preserve">covered by the transition process outlined above </w:t>
      </w:r>
      <w:r>
        <w:rPr>
          <w:szCs w:val="24"/>
        </w:rPr>
        <w:t xml:space="preserve">who applies to include their product in the Register as a Class III device </w:t>
      </w:r>
      <w:r w:rsidR="00C50650">
        <w:rPr>
          <w:szCs w:val="24"/>
        </w:rPr>
        <w:t xml:space="preserve">will </w:t>
      </w:r>
      <w:r>
        <w:rPr>
          <w:szCs w:val="24"/>
        </w:rPr>
        <w:t>not have to pay an annual charge for their Class III entry until after 30 June 2014 –</w:t>
      </w:r>
      <w:r w:rsidR="00C6729B">
        <w:rPr>
          <w:szCs w:val="24"/>
        </w:rPr>
        <w:t xml:space="preserve"> these amendments </w:t>
      </w:r>
      <w:r>
        <w:rPr>
          <w:szCs w:val="24"/>
        </w:rPr>
        <w:t xml:space="preserve"> extend this to 30 June 2015;</w:t>
      </w:r>
    </w:p>
    <w:p w:rsidR="00AB3E13" w:rsidRDefault="00AB3E13" w:rsidP="00641B61">
      <w:pPr>
        <w:pStyle w:val="ListParagraph"/>
        <w:numPr>
          <w:ilvl w:val="0"/>
          <w:numId w:val="14"/>
        </w:numPr>
        <w:ind w:left="567" w:right="-46" w:hanging="283"/>
        <w:rPr>
          <w:szCs w:val="24"/>
        </w:rPr>
      </w:pPr>
      <w:r>
        <w:rPr>
          <w:szCs w:val="24"/>
        </w:rPr>
        <w:t xml:space="preserve">subregulation 11.1(6) currently provides that Class IIb devices </w:t>
      </w:r>
      <w:r w:rsidR="00F658B3">
        <w:rPr>
          <w:szCs w:val="24"/>
        </w:rPr>
        <w:t xml:space="preserve">included in the Register that are </w:t>
      </w:r>
      <w:r>
        <w:rPr>
          <w:szCs w:val="24"/>
        </w:rPr>
        <w:t>covered by th</w:t>
      </w:r>
      <w:r w:rsidR="00F658B3">
        <w:rPr>
          <w:szCs w:val="24"/>
        </w:rPr>
        <w:t>is</w:t>
      </w:r>
      <w:r>
        <w:rPr>
          <w:szCs w:val="24"/>
        </w:rPr>
        <w:t xml:space="preserve"> transition process </w:t>
      </w:r>
      <w:r w:rsidR="00C50650">
        <w:rPr>
          <w:szCs w:val="24"/>
        </w:rPr>
        <w:t>will</w:t>
      </w:r>
      <w:r>
        <w:rPr>
          <w:szCs w:val="24"/>
        </w:rPr>
        <w:t xml:space="preserve"> be cancelled on 1 July 2014 except for those devices that are the subject of an application for inclusion in the Register as a Class III device for which no decision has yet been made</w:t>
      </w:r>
      <w:r w:rsidR="00B427C3">
        <w:rPr>
          <w:szCs w:val="24"/>
        </w:rPr>
        <w:t xml:space="preserve"> – these amendments  extend this to 1 July 2015</w:t>
      </w:r>
      <w:r>
        <w:rPr>
          <w:szCs w:val="24"/>
        </w:rPr>
        <w:t>; and</w:t>
      </w:r>
    </w:p>
    <w:p w:rsidR="00AB3E13" w:rsidRPr="00AB3E13" w:rsidRDefault="00AB3E13" w:rsidP="00641B61">
      <w:pPr>
        <w:pStyle w:val="ListParagraph"/>
        <w:numPr>
          <w:ilvl w:val="0"/>
          <w:numId w:val="14"/>
        </w:numPr>
        <w:ind w:left="567" w:right="-46" w:hanging="283"/>
        <w:rPr>
          <w:szCs w:val="24"/>
        </w:rPr>
      </w:pPr>
      <w:r>
        <w:rPr>
          <w:szCs w:val="24"/>
        </w:rPr>
        <w:t xml:space="preserve">subregulation 11.1(7) </w:t>
      </w:r>
      <w:r w:rsidR="00C6729B">
        <w:rPr>
          <w:szCs w:val="24"/>
        </w:rPr>
        <w:t xml:space="preserve">currently has the effect of cancelling </w:t>
      </w:r>
      <w:r w:rsidR="002552F1">
        <w:rPr>
          <w:szCs w:val="24"/>
        </w:rPr>
        <w:t xml:space="preserve">the inclusion in the Register of </w:t>
      </w:r>
      <w:r w:rsidR="00C6729B">
        <w:rPr>
          <w:szCs w:val="24"/>
        </w:rPr>
        <w:t xml:space="preserve">any Class IIb device that is the subject of an application for inclusion as a Class III device for which no decision has been made as at 1 July 2014 </w:t>
      </w:r>
      <w:r w:rsidR="007369A1">
        <w:rPr>
          <w:szCs w:val="24"/>
        </w:rPr>
        <w:t xml:space="preserve">(and which is later decided to be unsuccessful) </w:t>
      </w:r>
      <w:r w:rsidR="002552F1">
        <w:rPr>
          <w:szCs w:val="24"/>
        </w:rPr>
        <w:t>on the later of 1 July 2014 and the day the sponsor is notified</w:t>
      </w:r>
      <w:r w:rsidR="007369A1">
        <w:rPr>
          <w:szCs w:val="24"/>
        </w:rPr>
        <w:t xml:space="preserve"> that their application was unsuccessful</w:t>
      </w:r>
      <w:r w:rsidR="002552F1">
        <w:rPr>
          <w:szCs w:val="24"/>
        </w:rPr>
        <w:t xml:space="preserve"> </w:t>
      </w:r>
      <w:r w:rsidR="00AB5216">
        <w:rPr>
          <w:szCs w:val="24"/>
        </w:rPr>
        <w:t>– these amendments  extend this to the later of 1 July 2015 and the day the sponsor is notified that their Class III application was unsuccessful.</w:t>
      </w:r>
    </w:p>
    <w:p w:rsidR="00AB3E13" w:rsidRDefault="00AB3E13" w:rsidP="00641B61">
      <w:pPr>
        <w:pStyle w:val="ListParagraph"/>
        <w:ind w:left="0" w:right="-46"/>
        <w:rPr>
          <w:szCs w:val="24"/>
        </w:rPr>
      </w:pPr>
    </w:p>
    <w:p w:rsidR="00DC3CFF" w:rsidRPr="0073644B" w:rsidRDefault="0073644B" w:rsidP="00641B61">
      <w:pPr>
        <w:tabs>
          <w:tab w:val="left" w:pos="0"/>
        </w:tabs>
        <w:ind w:right="-46"/>
        <w:rPr>
          <w:b/>
        </w:rPr>
      </w:pPr>
      <w:r w:rsidRPr="0073644B">
        <w:rPr>
          <w:b/>
        </w:rPr>
        <w:t>Item 2</w:t>
      </w:r>
      <w:r w:rsidR="00E81C4E">
        <w:rPr>
          <w:b/>
        </w:rPr>
        <w:t xml:space="preserve"> – </w:t>
      </w:r>
      <w:r w:rsidR="00AB5216">
        <w:rPr>
          <w:b/>
        </w:rPr>
        <w:t>Subregulation 11.1(9)</w:t>
      </w:r>
    </w:p>
    <w:p w:rsidR="00224FD4" w:rsidRDefault="00607B0F" w:rsidP="00641B61">
      <w:pPr>
        <w:ind w:right="-46"/>
      </w:pPr>
      <w:r>
        <w:t xml:space="preserve">This item </w:t>
      </w:r>
      <w:r w:rsidR="00AB5216">
        <w:t>correct</w:t>
      </w:r>
      <w:r w:rsidR="00C50650">
        <w:t>s</w:t>
      </w:r>
      <w:r w:rsidR="00AB5216">
        <w:t xml:space="preserve"> a minor typographical error </w:t>
      </w:r>
      <w:r w:rsidR="0030598E">
        <w:t>in</w:t>
      </w:r>
      <w:r w:rsidR="00AB5216">
        <w:t xml:space="preserve"> subregulation 11.1(9). </w:t>
      </w:r>
      <w:r>
        <w:t xml:space="preserve"> </w:t>
      </w:r>
    </w:p>
    <w:p w:rsidR="00820F1F" w:rsidRPr="00AB5216" w:rsidRDefault="00224FD4" w:rsidP="00641B61">
      <w:pPr>
        <w:ind w:right="-46"/>
      </w:pPr>
      <w:r>
        <w:t xml:space="preserve"> </w:t>
      </w:r>
    </w:p>
    <w:p w:rsidR="00E46800" w:rsidRDefault="00E46800">
      <w:r>
        <w:br w:type="page"/>
      </w:r>
    </w:p>
    <w:p w:rsidR="00E46800" w:rsidRDefault="00E46800" w:rsidP="00E46800">
      <w:pPr>
        <w:spacing w:before="360" w:after="120"/>
        <w:ind w:right="-46"/>
        <w:jc w:val="center"/>
        <w:rPr>
          <w:b/>
          <w:sz w:val="28"/>
          <w:szCs w:val="28"/>
        </w:rPr>
      </w:pPr>
      <w:r>
        <w:rPr>
          <w:b/>
          <w:sz w:val="28"/>
          <w:szCs w:val="28"/>
        </w:rPr>
        <w:t>Statement of Compatibility with Human Rights</w:t>
      </w:r>
    </w:p>
    <w:p w:rsidR="00E46800" w:rsidRDefault="00E46800" w:rsidP="00E46800">
      <w:pPr>
        <w:spacing w:before="120" w:after="120"/>
        <w:ind w:right="-46"/>
        <w:jc w:val="center"/>
        <w:rPr>
          <w:szCs w:val="24"/>
        </w:rPr>
      </w:pPr>
      <w:r>
        <w:rPr>
          <w:i/>
          <w:szCs w:val="24"/>
        </w:rPr>
        <w:t>Prepared in accordance with Part 3 of the Human Rights (Parliamentary Scrutiny) Act 2011</w:t>
      </w:r>
    </w:p>
    <w:p w:rsidR="00E46800" w:rsidRDefault="00E46800" w:rsidP="00E46800">
      <w:pPr>
        <w:spacing w:before="120" w:after="120"/>
        <w:ind w:right="-46"/>
        <w:jc w:val="center"/>
        <w:rPr>
          <w:szCs w:val="24"/>
        </w:rPr>
      </w:pPr>
    </w:p>
    <w:p w:rsidR="00E46800" w:rsidRPr="00C8665B" w:rsidRDefault="00E46800" w:rsidP="00E46800">
      <w:pPr>
        <w:spacing w:before="120" w:after="120"/>
        <w:ind w:right="-46"/>
        <w:jc w:val="center"/>
        <w:rPr>
          <w:b/>
          <w:i/>
          <w:szCs w:val="24"/>
        </w:rPr>
      </w:pPr>
      <w:r w:rsidRPr="00C8665B">
        <w:rPr>
          <w:b/>
          <w:i/>
          <w:szCs w:val="24"/>
        </w:rPr>
        <w:t>Therapeutic Goods (Medical Devices) Amendment (Joint Replacements) Regulation 2014</w:t>
      </w:r>
    </w:p>
    <w:p w:rsidR="00E46800" w:rsidRDefault="00E46800" w:rsidP="00E46800">
      <w:pPr>
        <w:spacing w:before="120" w:after="120"/>
        <w:ind w:right="-46"/>
        <w:jc w:val="center"/>
        <w:rPr>
          <w:szCs w:val="24"/>
        </w:rPr>
      </w:pPr>
    </w:p>
    <w:p w:rsidR="00E46800" w:rsidRDefault="00E46800" w:rsidP="00E46800">
      <w:pPr>
        <w:spacing w:before="120" w:after="120"/>
        <w:ind w:right="-46"/>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E46800" w:rsidRDefault="00E46800" w:rsidP="00E46800">
      <w:pPr>
        <w:spacing w:before="120" w:after="120"/>
        <w:ind w:right="-46"/>
        <w:jc w:val="center"/>
        <w:rPr>
          <w:szCs w:val="24"/>
        </w:rPr>
      </w:pPr>
    </w:p>
    <w:p w:rsidR="00E46800" w:rsidRDefault="00E46800" w:rsidP="00E46800">
      <w:pPr>
        <w:spacing w:before="120" w:after="120"/>
        <w:ind w:right="-46"/>
        <w:jc w:val="both"/>
        <w:rPr>
          <w:b/>
          <w:szCs w:val="24"/>
        </w:rPr>
      </w:pPr>
      <w:r>
        <w:rPr>
          <w:b/>
          <w:szCs w:val="24"/>
        </w:rPr>
        <w:t>Overview of the Legislative Instrument</w:t>
      </w:r>
    </w:p>
    <w:p w:rsidR="00E46800" w:rsidRDefault="00E46800" w:rsidP="00E46800">
      <w:pPr>
        <w:spacing w:before="120" w:after="120"/>
        <w:ind w:right="-46"/>
        <w:rPr>
          <w:szCs w:val="24"/>
        </w:rPr>
      </w:pPr>
      <w:r>
        <w:rPr>
          <w:szCs w:val="24"/>
        </w:rPr>
        <w:t xml:space="preserve">The </w:t>
      </w:r>
      <w:r>
        <w:rPr>
          <w:i/>
          <w:szCs w:val="24"/>
        </w:rPr>
        <w:t xml:space="preserve">Therapeutic Goods (Medical Devices) Amendment (Joints Replacements) Regulation 2014 </w:t>
      </w:r>
      <w:r>
        <w:rPr>
          <w:szCs w:val="24"/>
        </w:rPr>
        <w:t xml:space="preserve">(the Amendment Regulation) is made under subsection 63(1) of the </w:t>
      </w:r>
      <w:r>
        <w:rPr>
          <w:i/>
          <w:szCs w:val="24"/>
        </w:rPr>
        <w:t>Therapeutic Goods Act 1989</w:t>
      </w:r>
      <w:r>
        <w:rPr>
          <w:szCs w:val="24"/>
        </w:rPr>
        <w:t xml:space="preserve"> (the Act). </w:t>
      </w:r>
    </w:p>
    <w:p w:rsidR="00E46800" w:rsidRDefault="00E46800" w:rsidP="00E46800">
      <w:pPr>
        <w:spacing w:before="120" w:after="120"/>
        <w:ind w:right="-46"/>
        <w:rPr>
          <w:szCs w:val="24"/>
        </w:rPr>
      </w:pPr>
      <w:r>
        <w:rPr>
          <w:szCs w:val="24"/>
        </w:rPr>
        <w:t xml:space="preserve">Implantable medical devices intended by their manufacturer to be total or partial shoulder, hip or knee replacements were reclassified from Class </w:t>
      </w:r>
      <w:proofErr w:type="spellStart"/>
      <w:r>
        <w:rPr>
          <w:szCs w:val="24"/>
        </w:rPr>
        <w:t>IIb</w:t>
      </w:r>
      <w:proofErr w:type="spellEnd"/>
      <w:r>
        <w:rPr>
          <w:szCs w:val="24"/>
        </w:rPr>
        <w:t xml:space="preserve"> to Class III medical devices on </w:t>
      </w:r>
      <w:r w:rsidR="00BC061E">
        <w:rPr>
          <w:szCs w:val="24"/>
        </w:rPr>
        <w:t xml:space="preserve">            </w:t>
      </w:r>
      <w:r>
        <w:rPr>
          <w:szCs w:val="24"/>
        </w:rPr>
        <w:t xml:space="preserve">1 July 2012, subjecting them to an increased degree of pre-market scrutiny proportionate to their risk. </w:t>
      </w:r>
    </w:p>
    <w:p w:rsidR="00E46800" w:rsidRDefault="00E46800" w:rsidP="00E46800">
      <w:pPr>
        <w:spacing w:before="120" w:after="120"/>
        <w:ind w:right="-46"/>
        <w:rPr>
          <w:szCs w:val="24"/>
        </w:rPr>
      </w:pPr>
      <w:r>
        <w:rPr>
          <w:szCs w:val="24"/>
        </w:rPr>
        <w:t>Such products that, as at that date, had marketing approval from the Therapeutic Goods Administration (TGA) or were the subject of an application for marketing approval that had not been finally determined by the TGA, were given until 30 June 2014 to apply for marketing approval for their products as Class III medical devices.  After that date,</w:t>
      </w:r>
      <w:r w:rsidR="002E293B">
        <w:rPr>
          <w:szCs w:val="24"/>
        </w:rPr>
        <w:t xml:space="preserve"> the inclusion of the Class </w:t>
      </w:r>
      <w:proofErr w:type="spellStart"/>
      <w:r w:rsidR="002E293B">
        <w:rPr>
          <w:szCs w:val="24"/>
        </w:rPr>
        <w:t>IIb</w:t>
      </w:r>
      <w:proofErr w:type="spellEnd"/>
      <w:r w:rsidR="002E293B">
        <w:rPr>
          <w:szCs w:val="24"/>
        </w:rPr>
        <w:t xml:space="preserve"> </w:t>
      </w:r>
      <w:r>
        <w:rPr>
          <w:szCs w:val="24"/>
        </w:rPr>
        <w:t xml:space="preserve">device </w:t>
      </w:r>
      <w:r w:rsidR="00C50650">
        <w:rPr>
          <w:szCs w:val="24"/>
        </w:rPr>
        <w:t xml:space="preserve">will </w:t>
      </w:r>
      <w:r>
        <w:rPr>
          <w:szCs w:val="24"/>
        </w:rPr>
        <w:t>be automatically cancelled.</w:t>
      </w:r>
    </w:p>
    <w:p w:rsidR="00E46800" w:rsidRDefault="00E46800" w:rsidP="00E46800">
      <w:pPr>
        <w:spacing w:before="120" w:after="120"/>
        <w:ind w:right="-46"/>
        <w:rPr>
          <w:szCs w:val="24"/>
        </w:rPr>
      </w:pPr>
      <w:r>
        <w:rPr>
          <w:szCs w:val="24"/>
        </w:rPr>
        <w:t>The purpose of the Amendment Regulation is to amend the Therapeutic Goods (Medical Devices) Regulations 2002 (the Principal Regulations) to extend this transition period for such sponsors for a further 12 months, from 30 June 2014 to 30 June 2015, to allow for consultation with industry on a range of matters relating to these products.</w:t>
      </w:r>
    </w:p>
    <w:p w:rsidR="00E46800" w:rsidRDefault="00E46800" w:rsidP="00E46800">
      <w:pPr>
        <w:spacing w:before="120" w:after="120"/>
        <w:ind w:right="-46"/>
        <w:rPr>
          <w:b/>
          <w:szCs w:val="24"/>
        </w:rPr>
      </w:pPr>
      <w:r>
        <w:rPr>
          <w:b/>
          <w:szCs w:val="24"/>
        </w:rPr>
        <w:t>Human rights implications</w:t>
      </w:r>
    </w:p>
    <w:p w:rsidR="00E46800" w:rsidRDefault="00E46800" w:rsidP="00E46800">
      <w:pPr>
        <w:ind w:right="-46"/>
        <w:rPr>
          <w:szCs w:val="24"/>
        </w:rPr>
      </w:pPr>
      <w:r>
        <w:rPr>
          <w:szCs w:val="24"/>
        </w:rPr>
        <w:t>As the Amendment Regulation does not introduce any changes to the Principal Regulations other than to implement the change mentioned above, it does not engage any of the applicable rights or freedoms.</w:t>
      </w:r>
    </w:p>
    <w:p w:rsidR="00E46800" w:rsidRDefault="00E46800" w:rsidP="00E46800">
      <w:pPr>
        <w:spacing w:before="120" w:after="120"/>
        <w:ind w:right="-46"/>
        <w:rPr>
          <w:b/>
          <w:szCs w:val="24"/>
        </w:rPr>
      </w:pPr>
      <w:r>
        <w:rPr>
          <w:b/>
          <w:szCs w:val="24"/>
        </w:rPr>
        <w:t>Conclusion</w:t>
      </w:r>
    </w:p>
    <w:p w:rsidR="00E46800" w:rsidRDefault="00E46800" w:rsidP="00E46800">
      <w:pPr>
        <w:spacing w:before="120" w:after="120"/>
        <w:ind w:right="-46"/>
        <w:rPr>
          <w:szCs w:val="24"/>
        </w:rPr>
      </w:pPr>
      <w:r>
        <w:rPr>
          <w:szCs w:val="24"/>
        </w:rPr>
        <w:t>This legislative instrument is compatible with human rights as it does not raise any human rights issues.</w:t>
      </w:r>
    </w:p>
    <w:p w:rsidR="00E46800" w:rsidRPr="005F7046" w:rsidRDefault="00E46800" w:rsidP="00E46800">
      <w:pPr>
        <w:ind w:right="-46"/>
        <w:rPr>
          <w:szCs w:val="24"/>
        </w:rPr>
      </w:pPr>
    </w:p>
    <w:p w:rsidR="00E46800" w:rsidRDefault="00E46800" w:rsidP="00E46800">
      <w:pPr>
        <w:spacing w:before="120" w:after="120"/>
        <w:ind w:right="-46"/>
        <w:jc w:val="center"/>
        <w:rPr>
          <w:b/>
          <w:szCs w:val="24"/>
        </w:rPr>
      </w:pPr>
      <w:r>
        <w:rPr>
          <w:b/>
          <w:szCs w:val="24"/>
        </w:rPr>
        <w:t>Fiona Nash</w:t>
      </w:r>
    </w:p>
    <w:p w:rsidR="00E46800" w:rsidRPr="00BD0659" w:rsidRDefault="00E46800" w:rsidP="00E46800">
      <w:pPr>
        <w:spacing w:before="120" w:after="120"/>
        <w:ind w:right="-46"/>
        <w:jc w:val="center"/>
      </w:pPr>
      <w:r>
        <w:rPr>
          <w:b/>
          <w:szCs w:val="24"/>
        </w:rPr>
        <w:t>Assistant Minister for Health</w:t>
      </w:r>
    </w:p>
    <w:p w:rsidR="00820F1F" w:rsidRDefault="00820F1F" w:rsidP="00641B61">
      <w:pPr>
        <w:ind w:right="-46"/>
      </w:pPr>
    </w:p>
    <w:sectPr w:rsidR="00820F1F" w:rsidSect="00FA31AE">
      <w:headerReference w:type="default" r:id="rId9"/>
      <w:pgSz w:w="11906" w:h="16838"/>
      <w:pgMar w:top="1304" w:right="1440" w:bottom="130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DC" w:rsidRDefault="00F47FDC" w:rsidP="00A2299B">
      <w:r>
        <w:separator/>
      </w:r>
    </w:p>
  </w:endnote>
  <w:endnote w:type="continuationSeparator" w:id="0">
    <w:p w:rsidR="00F47FDC" w:rsidRDefault="00F47FDC"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DC" w:rsidRDefault="00F47FDC" w:rsidP="00A2299B">
      <w:r>
        <w:separator/>
      </w:r>
    </w:p>
  </w:footnote>
  <w:footnote w:type="continuationSeparator" w:id="0">
    <w:p w:rsidR="00F47FDC" w:rsidRDefault="00F47FDC"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642005"/>
      <w:docPartObj>
        <w:docPartGallery w:val="Page Numbers (Top of Page)"/>
        <w:docPartUnique/>
      </w:docPartObj>
    </w:sdtPr>
    <w:sdtEndPr>
      <w:rPr>
        <w:noProof/>
      </w:rPr>
    </w:sdtEndPr>
    <w:sdtContent>
      <w:p w:rsidR="00FA31AE" w:rsidRDefault="00D62665">
        <w:pPr>
          <w:pStyle w:val="Header"/>
          <w:jc w:val="center"/>
        </w:pPr>
        <w:r>
          <w:fldChar w:fldCharType="begin"/>
        </w:r>
        <w:r w:rsidR="00FA31AE">
          <w:instrText xml:space="preserve"> PAGE   \* MERGEFORMAT </w:instrText>
        </w:r>
        <w:r>
          <w:fldChar w:fldCharType="separate"/>
        </w:r>
        <w:r w:rsidR="00CC4CBD">
          <w:rPr>
            <w:noProof/>
          </w:rPr>
          <w:t>3</w:t>
        </w:r>
        <w:r>
          <w:rPr>
            <w:noProof/>
          </w:rPr>
          <w:fldChar w:fldCharType="end"/>
        </w:r>
      </w:p>
    </w:sdtContent>
  </w:sdt>
  <w:p w:rsidR="00FA31AE" w:rsidRDefault="00FA3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551"/>
    <w:multiLevelType w:val="hybridMultilevel"/>
    <w:tmpl w:val="48CE6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F8146D"/>
    <w:multiLevelType w:val="hybridMultilevel"/>
    <w:tmpl w:val="E29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232AD6"/>
    <w:multiLevelType w:val="hybridMultilevel"/>
    <w:tmpl w:val="1F8C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1D51FB"/>
    <w:multiLevelType w:val="hybridMultilevel"/>
    <w:tmpl w:val="8CDEB254"/>
    <w:lvl w:ilvl="0" w:tplc="AB5A07EC">
      <w:start w:val="1"/>
      <w:numFmt w:val="decimal"/>
      <w:lvlText w:val="%1. "/>
      <w:lvlJc w:val="left"/>
      <w:pPr>
        <w:ind w:left="360" w:hanging="360"/>
      </w:pPr>
      <w:rPr>
        <w:rFonts w:hint="default"/>
        <w:spacing w:val="-20"/>
        <w:w w:val="100"/>
        <w:kern w:val="0"/>
        <w:position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46799A"/>
    <w:multiLevelType w:val="hybridMultilevel"/>
    <w:tmpl w:val="91F8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E163DA"/>
    <w:multiLevelType w:val="hybridMultilevel"/>
    <w:tmpl w:val="D008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3D243AA"/>
    <w:multiLevelType w:val="hybridMultilevel"/>
    <w:tmpl w:val="2628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B2649B"/>
    <w:multiLevelType w:val="hybridMultilevel"/>
    <w:tmpl w:val="9A66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BB428D"/>
    <w:multiLevelType w:val="hybridMultilevel"/>
    <w:tmpl w:val="D04E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1">
    <w:nsid w:val="5B824454"/>
    <w:multiLevelType w:val="hybridMultilevel"/>
    <w:tmpl w:val="4976BD14"/>
    <w:lvl w:ilvl="0" w:tplc="AB5A07EC">
      <w:start w:val="1"/>
      <w:numFmt w:val="decimal"/>
      <w:lvlText w:val="%1. "/>
      <w:lvlJc w:val="left"/>
      <w:pPr>
        <w:ind w:left="360" w:hanging="360"/>
      </w:pPr>
      <w:rPr>
        <w:rFonts w:hint="default"/>
        <w:spacing w:val="-20"/>
        <w:w w:val="100"/>
        <w:kern w:val="0"/>
        <w:position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94D7D65"/>
    <w:multiLevelType w:val="hybridMultilevel"/>
    <w:tmpl w:val="D068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D3F5AB0"/>
    <w:multiLevelType w:val="hybridMultilevel"/>
    <w:tmpl w:val="D8C8E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3"/>
  </w:num>
  <w:num w:numId="4">
    <w:abstractNumId w:val="11"/>
  </w:num>
  <w:num w:numId="5">
    <w:abstractNumId w:val="0"/>
  </w:num>
  <w:num w:numId="6">
    <w:abstractNumId w:val="7"/>
  </w:num>
  <w:num w:numId="7">
    <w:abstractNumId w:val="3"/>
  </w:num>
  <w:num w:numId="8">
    <w:abstractNumId w:val="12"/>
  </w:num>
  <w:num w:numId="9">
    <w:abstractNumId w:val="5"/>
  </w:num>
  <w:num w:numId="10">
    <w:abstractNumId w:val="1"/>
  </w:num>
  <w:num w:numId="11">
    <w:abstractNumId w:val="2"/>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5F8F"/>
    <w:rsid w:val="00006EED"/>
    <w:rsid w:val="000149B5"/>
    <w:rsid w:val="00030D81"/>
    <w:rsid w:val="00036391"/>
    <w:rsid w:val="00037882"/>
    <w:rsid w:val="0004282E"/>
    <w:rsid w:val="0004434A"/>
    <w:rsid w:val="000450DA"/>
    <w:rsid w:val="0004764F"/>
    <w:rsid w:val="00051E60"/>
    <w:rsid w:val="00051EAE"/>
    <w:rsid w:val="00056B7A"/>
    <w:rsid w:val="000605C4"/>
    <w:rsid w:val="00060820"/>
    <w:rsid w:val="000627DF"/>
    <w:rsid w:val="00063280"/>
    <w:rsid w:val="00064B21"/>
    <w:rsid w:val="00066E1B"/>
    <w:rsid w:val="0007195A"/>
    <w:rsid w:val="000734F6"/>
    <w:rsid w:val="000748D7"/>
    <w:rsid w:val="000749D3"/>
    <w:rsid w:val="0007636B"/>
    <w:rsid w:val="00080A30"/>
    <w:rsid w:val="00080DB1"/>
    <w:rsid w:val="00084325"/>
    <w:rsid w:val="00087448"/>
    <w:rsid w:val="00087E80"/>
    <w:rsid w:val="00090014"/>
    <w:rsid w:val="00092711"/>
    <w:rsid w:val="00093D80"/>
    <w:rsid w:val="000957D5"/>
    <w:rsid w:val="0009764C"/>
    <w:rsid w:val="000A6A37"/>
    <w:rsid w:val="000B0FF3"/>
    <w:rsid w:val="000B1535"/>
    <w:rsid w:val="000B380F"/>
    <w:rsid w:val="000B58BA"/>
    <w:rsid w:val="000C029A"/>
    <w:rsid w:val="000C6B8D"/>
    <w:rsid w:val="000C7524"/>
    <w:rsid w:val="000D1AE9"/>
    <w:rsid w:val="000D44B8"/>
    <w:rsid w:val="000D572D"/>
    <w:rsid w:val="000D5BFD"/>
    <w:rsid w:val="000E1A7D"/>
    <w:rsid w:val="000E2076"/>
    <w:rsid w:val="000E4581"/>
    <w:rsid w:val="000F1F48"/>
    <w:rsid w:val="000F2F45"/>
    <w:rsid w:val="000F5D0F"/>
    <w:rsid w:val="001015DF"/>
    <w:rsid w:val="00113533"/>
    <w:rsid w:val="00113B45"/>
    <w:rsid w:val="001163EC"/>
    <w:rsid w:val="00122C61"/>
    <w:rsid w:val="00125550"/>
    <w:rsid w:val="0012593D"/>
    <w:rsid w:val="001270E0"/>
    <w:rsid w:val="001360A1"/>
    <w:rsid w:val="00153688"/>
    <w:rsid w:val="00153C58"/>
    <w:rsid w:val="00154185"/>
    <w:rsid w:val="001542B5"/>
    <w:rsid w:val="00156491"/>
    <w:rsid w:val="00163597"/>
    <w:rsid w:val="00164764"/>
    <w:rsid w:val="001658E2"/>
    <w:rsid w:val="001756EF"/>
    <w:rsid w:val="00175A79"/>
    <w:rsid w:val="001766E6"/>
    <w:rsid w:val="00183016"/>
    <w:rsid w:val="00185569"/>
    <w:rsid w:val="001878FC"/>
    <w:rsid w:val="00187972"/>
    <w:rsid w:val="00187FA7"/>
    <w:rsid w:val="0019006E"/>
    <w:rsid w:val="0019011B"/>
    <w:rsid w:val="00192250"/>
    <w:rsid w:val="00192453"/>
    <w:rsid w:val="0019271E"/>
    <w:rsid w:val="00193D79"/>
    <w:rsid w:val="00196332"/>
    <w:rsid w:val="00196CD4"/>
    <w:rsid w:val="00197CC0"/>
    <w:rsid w:val="001B38E8"/>
    <w:rsid w:val="001B4812"/>
    <w:rsid w:val="001B50D1"/>
    <w:rsid w:val="001B6539"/>
    <w:rsid w:val="001C54E8"/>
    <w:rsid w:val="001C56A8"/>
    <w:rsid w:val="001C6DCC"/>
    <w:rsid w:val="001D0725"/>
    <w:rsid w:val="001D2AEF"/>
    <w:rsid w:val="001D2E82"/>
    <w:rsid w:val="001D711C"/>
    <w:rsid w:val="001E64D3"/>
    <w:rsid w:val="00202085"/>
    <w:rsid w:val="0020352D"/>
    <w:rsid w:val="00203E51"/>
    <w:rsid w:val="00204A29"/>
    <w:rsid w:val="0020743D"/>
    <w:rsid w:val="00213B8C"/>
    <w:rsid w:val="002153D5"/>
    <w:rsid w:val="0021688E"/>
    <w:rsid w:val="00217465"/>
    <w:rsid w:val="00223A41"/>
    <w:rsid w:val="00224FD4"/>
    <w:rsid w:val="00235126"/>
    <w:rsid w:val="00241672"/>
    <w:rsid w:val="00243557"/>
    <w:rsid w:val="00244753"/>
    <w:rsid w:val="0024495C"/>
    <w:rsid w:val="00246AD2"/>
    <w:rsid w:val="00247FA8"/>
    <w:rsid w:val="002552F1"/>
    <w:rsid w:val="00264954"/>
    <w:rsid w:val="00266787"/>
    <w:rsid w:val="00270C51"/>
    <w:rsid w:val="00273AEB"/>
    <w:rsid w:val="002747DD"/>
    <w:rsid w:val="00277E34"/>
    <w:rsid w:val="002810EE"/>
    <w:rsid w:val="00283A2F"/>
    <w:rsid w:val="002945AB"/>
    <w:rsid w:val="00295A1D"/>
    <w:rsid w:val="00296838"/>
    <w:rsid w:val="00296F8C"/>
    <w:rsid w:val="00297F4D"/>
    <w:rsid w:val="002A351A"/>
    <w:rsid w:val="002A5AE1"/>
    <w:rsid w:val="002A6FEA"/>
    <w:rsid w:val="002B48E2"/>
    <w:rsid w:val="002C1A9B"/>
    <w:rsid w:val="002C1AFC"/>
    <w:rsid w:val="002C2885"/>
    <w:rsid w:val="002C4271"/>
    <w:rsid w:val="002C4298"/>
    <w:rsid w:val="002C5267"/>
    <w:rsid w:val="002C5C61"/>
    <w:rsid w:val="002D5938"/>
    <w:rsid w:val="002D70E0"/>
    <w:rsid w:val="002E0B8C"/>
    <w:rsid w:val="002E293B"/>
    <w:rsid w:val="002E568B"/>
    <w:rsid w:val="002F3E9E"/>
    <w:rsid w:val="002F413F"/>
    <w:rsid w:val="00303FDF"/>
    <w:rsid w:val="00304C8B"/>
    <w:rsid w:val="0030598E"/>
    <w:rsid w:val="00311F0C"/>
    <w:rsid w:val="00313B30"/>
    <w:rsid w:val="00315C7A"/>
    <w:rsid w:val="003172AB"/>
    <w:rsid w:val="00320ABB"/>
    <w:rsid w:val="0032168C"/>
    <w:rsid w:val="00322D3A"/>
    <w:rsid w:val="00323171"/>
    <w:rsid w:val="003261E6"/>
    <w:rsid w:val="00327722"/>
    <w:rsid w:val="0033580D"/>
    <w:rsid w:val="00335F54"/>
    <w:rsid w:val="00337CDA"/>
    <w:rsid w:val="00340852"/>
    <w:rsid w:val="003411ED"/>
    <w:rsid w:val="00342F0F"/>
    <w:rsid w:val="003442D9"/>
    <w:rsid w:val="00347FB1"/>
    <w:rsid w:val="003516DD"/>
    <w:rsid w:val="0036468F"/>
    <w:rsid w:val="00364CA3"/>
    <w:rsid w:val="00365402"/>
    <w:rsid w:val="00376B26"/>
    <w:rsid w:val="00380326"/>
    <w:rsid w:val="00382ED9"/>
    <w:rsid w:val="003856A4"/>
    <w:rsid w:val="00387931"/>
    <w:rsid w:val="0039169F"/>
    <w:rsid w:val="00392C09"/>
    <w:rsid w:val="003A26DD"/>
    <w:rsid w:val="003A2845"/>
    <w:rsid w:val="003A4BB8"/>
    <w:rsid w:val="003A5C6B"/>
    <w:rsid w:val="003A73CF"/>
    <w:rsid w:val="003B2F54"/>
    <w:rsid w:val="003C4B49"/>
    <w:rsid w:val="003C4E57"/>
    <w:rsid w:val="003C72AF"/>
    <w:rsid w:val="003D1810"/>
    <w:rsid w:val="003D377F"/>
    <w:rsid w:val="003D3F2F"/>
    <w:rsid w:val="003D5AD5"/>
    <w:rsid w:val="003D6118"/>
    <w:rsid w:val="003E33C4"/>
    <w:rsid w:val="003E37AF"/>
    <w:rsid w:val="003E4FBA"/>
    <w:rsid w:val="003E6BDB"/>
    <w:rsid w:val="003F7635"/>
    <w:rsid w:val="003F7719"/>
    <w:rsid w:val="004078D3"/>
    <w:rsid w:val="00415793"/>
    <w:rsid w:val="00415C2D"/>
    <w:rsid w:val="00417C2F"/>
    <w:rsid w:val="0042269B"/>
    <w:rsid w:val="004241E3"/>
    <w:rsid w:val="00431FBB"/>
    <w:rsid w:val="0043294B"/>
    <w:rsid w:val="004352DD"/>
    <w:rsid w:val="004366B4"/>
    <w:rsid w:val="00436721"/>
    <w:rsid w:val="004408A5"/>
    <w:rsid w:val="004419FE"/>
    <w:rsid w:val="0044252B"/>
    <w:rsid w:val="004463A1"/>
    <w:rsid w:val="004548E3"/>
    <w:rsid w:val="00454FD6"/>
    <w:rsid w:val="004553EE"/>
    <w:rsid w:val="0046065D"/>
    <w:rsid w:val="00462276"/>
    <w:rsid w:val="00462FBF"/>
    <w:rsid w:val="0046430C"/>
    <w:rsid w:val="00470A7B"/>
    <w:rsid w:val="004728EB"/>
    <w:rsid w:val="00473809"/>
    <w:rsid w:val="00473E85"/>
    <w:rsid w:val="00476DEF"/>
    <w:rsid w:val="00482665"/>
    <w:rsid w:val="004906E3"/>
    <w:rsid w:val="004947F7"/>
    <w:rsid w:val="00497028"/>
    <w:rsid w:val="004A1B01"/>
    <w:rsid w:val="004A1FC0"/>
    <w:rsid w:val="004A3CD3"/>
    <w:rsid w:val="004A52EC"/>
    <w:rsid w:val="004A53A0"/>
    <w:rsid w:val="004A5C83"/>
    <w:rsid w:val="004A6582"/>
    <w:rsid w:val="004B1338"/>
    <w:rsid w:val="004B211D"/>
    <w:rsid w:val="004B285A"/>
    <w:rsid w:val="004B6251"/>
    <w:rsid w:val="004C1689"/>
    <w:rsid w:val="004C2476"/>
    <w:rsid w:val="004C4DD5"/>
    <w:rsid w:val="004C78AD"/>
    <w:rsid w:val="004D5F6C"/>
    <w:rsid w:val="004D7B80"/>
    <w:rsid w:val="004E2513"/>
    <w:rsid w:val="004E3A8A"/>
    <w:rsid w:val="004E658C"/>
    <w:rsid w:val="00500F1D"/>
    <w:rsid w:val="0050217E"/>
    <w:rsid w:val="00506562"/>
    <w:rsid w:val="00506C06"/>
    <w:rsid w:val="00507967"/>
    <w:rsid w:val="00510644"/>
    <w:rsid w:val="00512873"/>
    <w:rsid w:val="00514672"/>
    <w:rsid w:val="00517846"/>
    <w:rsid w:val="005178B5"/>
    <w:rsid w:val="00517F2B"/>
    <w:rsid w:val="00522D42"/>
    <w:rsid w:val="0052564C"/>
    <w:rsid w:val="0052612F"/>
    <w:rsid w:val="00530B7D"/>
    <w:rsid w:val="00531A46"/>
    <w:rsid w:val="005329D6"/>
    <w:rsid w:val="00534907"/>
    <w:rsid w:val="00537149"/>
    <w:rsid w:val="00537C85"/>
    <w:rsid w:val="00541077"/>
    <w:rsid w:val="005429E7"/>
    <w:rsid w:val="00542F8E"/>
    <w:rsid w:val="005446FF"/>
    <w:rsid w:val="0054771E"/>
    <w:rsid w:val="00550CC8"/>
    <w:rsid w:val="00560A37"/>
    <w:rsid w:val="0056578D"/>
    <w:rsid w:val="00572DC2"/>
    <w:rsid w:val="00574D01"/>
    <w:rsid w:val="00575D61"/>
    <w:rsid w:val="00575EA8"/>
    <w:rsid w:val="00575F8F"/>
    <w:rsid w:val="0057784E"/>
    <w:rsid w:val="00577CA2"/>
    <w:rsid w:val="005815DD"/>
    <w:rsid w:val="0058378B"/>
    <w:rsid w:val="00585729"/>
    <w:rsid w:val="00586D88"/>
    <w:rsid w:val="0059077B"/>
    <w:rsid w:val="0059172C"/>
    <w:rsid w:val="00594F74"/>
    <w:rsid w:val="005A054C"/>
    <w:rsid w:val="005A07DE"/>
    <w:rsid w:val="005B0F41"/>
    <w:rsid w:val="005B371D"/>
    <w:rsid w:val="005B4ABF"/>
    <w:rsid w:val="005C0F6C"/>
    <w:rsid w:val="005C173B"/>
    <w:rsid w:val="005C1FA3"/>
    <w:rsid w:val="005D271C"/>
    <w:rsid w:val="005D7E8D"/>
    <w:rsid w:val="005E2862"/>
    <w:rsid w:val="005E39E7"/>
    <w:rsid w:val="005E6986"/>
    <w:rsid w:val="005F1FEA"/>
    <w:rsid w:val="005F3B1E"/>
    <w:rsid w:val="005F4FBA"/>
    <w:rsid w:val="005F65C6"/>
    <w:rsid w:val="005F75F0"/>
    <w:rsid w:val="00600CB8"/>
    <w:rsid w:val="00601891"/>
    <w:rsid w:val="006028FD"/>
    <w:rsid w:val="00607B0F"/>
    <w:rsid w:val="00613321"/>
    <w:rsid w:val="00616021"/>
    <w:rsid w:val="00616EBE"/>
    <w:rsid w:val="00621174"/>
    <w:rsid w:val="00622F2F"/>
    <w:rsid w:val="00623B27"/>
    <w:rsid w:val="00624DF4"/>
    <w:rsid w:val="006311D3"/>
    <w:rsid w:val="006322D5"/>
    <w:rsid w:val="00634DF1"/>
    <w:rsid w:val="00641252"/>
    <w:rsid w:val="00641B61"/>
    <w:rsid w:val="0064335B"/>
    <w:rsid w:val="00646CC0"/>
    <w:rsid w:val="0064791B"/>
    <w:rsid w:val="00666057"/>
    <w:rsid w:val="006672A6"/>
    <w:rsid w:val="00670D90"/>
    <w:rsid w:val="00671C55"/>
    <w:rsid w:val="0067242A"/>
    <w:rsid w:val="00673B84"/>
    <w:rsid w:val="00675505"/>
    <w:rsid w:val="00680200"/>
    <w:rsid w:val="00682C3E"/>
    <w:rsid w:val="00684173"/>
    <w:rsid w:val="00684780"/>
    <w:rsid w:val="00694012"/>
    <w:rsid w:val="00695945"/>
    <w:rsid w:val="00696D9F"/>
    <w:rsid w:val="006973A0"/>
    <w:rsid w:val="00697608"/>
    <w:rsid w:val="006A2C5D"/>
    <w:rsid w:val="006A2C75"/>
    <w:rsid w:val="006A57AE"/>
    <w:rsid w:val="006A57B3"/>
    <w:rsid w:val="006A5FE2"/>
    <w:rsid w:val="006A61E3"/>
    <w:rsid w:val="006A68E5"/>
    <w:rsid w:val="006A7534"/>
    <w:rsid w:val="006B07BF"/>
    <w:rsid w:val="006B3112"/>
    <w:rsid w:val="006C1907"/>
    <w:rsid w:val="006C6278"/>
    <w:rsid w:val="006D75A9"/>
    <w:rsid w:val="006E0AA8"/>
    <w:rsid w:val="006E4C3D"/>
    <w:rsid w:val="006E7A6C"/>
    <w:rsid w:val="006F575B"/>
    <w:rsid w:val="00700444"/>
    <w:rsid w:val="00704057"/>
    <w:rsid w:val="007048C4"/>
    <w:rsid w:val="00704A6B"/>
    <w:rsid w:val="00706DE6"/>
    <w:rsid w:val="00710B2A"/>
    <w:rsid w:val="0071137E"/>
    <w:rsid w:val="007140A6"/>
    <w:rsid w:val="0072242C"/>
    <w:rsid w:val="00722960"/>
    <w:rsid w:val="00730734"/>
    <w:rsid w:val="007322C1"/>
    <w:rsid w:val="00735AFD"/>
    <w:rsid w:val="0073644B"/>
    <w:rsid w:val="007369A1"/>
    <w:rsid w:val="007405DF"/>
    <w:rsid w:val="00743922"/>
    <w:rsid w:val="00743A70"/>
    <w:rsid w:val="00747579"/>
    <w:rsid w:val="007514B3"/>
    <w:rsid w:val="00751C9B"/>
    <w:rsid w:val="00753273"/>
    <w:rsid w:val="00756F52"/>
    <w:rsid w:val="00771BDB"/>
    <w:rsid w:val="0077263E"/>
    <w:rsid w:val="00773588"/>
    <w:rsid w:val="00773852"/>
    <w:rsid w:val="007815B5"/>
    <w:rsid w:val="00783E35"/>
    <w:rsid w:val="00792D36"/>
    <w:rsid w:val="00793714"/>
    <w:rsid w:val="00794E77"/>
    <w:rsid w:val="00795062"/>
    <w:rsid w:val="00797701"/>
    <w:rsid w:val="007A2D51"/>
    <w:rsid w:val="007A458D"/>
    <w:rsid w:val="007A706C"/>
    <w:rsid w:val="007B086B"/>
    <w:rsid w:val="007B31FD"/>
    <w:rsid w:val="007B6541"/>
    <w:rsid w:val="007C08F3"/>
    <w:rsid w:val="007C0E54"/>
    <w:rsid w:val="007C210C"/>
    <w:rsid w:val="007C6FD8"/>
    <w:rsid w:val="007D3116"/>
    <w:rsid w:val="007D6CAF"/>
    <w:rsid w:val="007D7FA8"/>
    <w:rsid w:val="007E5DD2"/>
    <w:rsid w:val="007E767D"/>
    <w:rsid w:val="007F4F1E"/>
    <w:rsid w:val="007F51A0"/>
    <w:rsid w:val="007F6167"/>
    <w:rsid w:val="00800C44"/>
    <w:rsid w:val="00806B73"/>
    <w:rsid w:val="00806BDA"/>
    <w:rsid w:val="00810717"/>
    <w:rsid w:val="00812E96"/>
    <w:rsid w:val="00814EC4"/>
    <w:rsid w:val="00815065"/>
    <w:rsid w:val="008179AC"/>
    <w:rsid w:val="00820F1F"/>
    <w:rsid w:val="00821421"/>
    <w:rsid w:val="008244B1"/>
    <w:rsid w:val="00826374"/>
    <w:rsid w:val="00827DA5"/>
    <w:rsid w:val="00831EF9"/>
    <w:rsid w:val="0083516C"/>
    <w:rsid w:val="00836B07"/>
    <w:rsid w:val="0084042A"/>
    <w:rsid w:val="00846E3C"/>
    <w:rsid w:val="00850F73"/>
    <w:rsid w:val="00852AF3"/>
    <w:rsid w:val="008545ED"/>
    <w:rsid w:val="008772B3"/>
    <w:rsid w:val="008839D2"/>
    <w:rsid w:val="008843CC"/>
    <w:rsid w:val="008849BE"/>
    <w:rsid w:val="00891888"/>
    <w:rsid w:val="0089192E"/>
    <w:rsid w:val="008974B8"/>
    <w:rsid w:val="008A0AD6"/>
    <w:rsid w:val="008A0FDA"/>
    <w:rsid w:val="008A2198"/>
    <w:rsid w:val="008A3758"/>
    <w:rsid w:val="008A4684"/>
    <w:rsid w:val="008A4B48"/>
    <w:rsid w:val="008A5B2B"/>
    <w:rsid w:val="008B2CB5"/>
    <w:rsid w:val="008C6489"/>
    <w:rsid w:val="008D11E0"/>
    <w:rsid w:val="008D5C3B"/>
    <w:rsid w:val="008E30B6"/>
    <w:rsid w:val="008E7167"/>
    <w:rsid w:val="008F11E7"/>
    <w:rsid w:val="008F3A73"/>
    <w:rsid w:val="008F464D"/>
    <w:rsid w:val="00900C44"/>
    <w:rsid w:val="00901A68"/>
    <w:rsid w:val="00903DEB"/>
    <w:rsid w:val="00910F1C"/>
    <w:rsid w:val="009161C8"/>
    <w:rsid w:val="00917950"/>
    <w:rsid w:val="00920CF0"/>
    <w:rsid w:val="00920D23"/>
    <w:rsid w:val="00922B98"/>
    <w:rsid w:val="009354F7"/>
    <w:rsid w:val="00935A9A"/>
    <w:rsid w:val="0093638A"/>
    <w:rsid w:val="00941170"/>
    <w:rsid w:val="00942E52"/>
    <w:rsid w:val="009438BE"/>
    <w:rsid w:val="009455DC"/>
    <w:rsid w:val="00945A69"/>
    <w:rsid w:val="0095025A"/>
    <w:rsid w:val="009503F8"/>
    <w:rsid w:val="00951323"/>
    <w:rsid w:val="00951650"/>
    <w:rsid w:val="00951CBB"/>
    <w:rsid w:val="00955891"/>
    <w:rsid w:val="00955B3E"/>
    <w:rsid w:val="009572C1"/>
    <w:rsid w:val="00961F07"/>
    <w:rsid w:val="00967351"/>
    <w:rsid w:val="009679EE"/>
    <w:rsid w:val="00967B90"/>
    <w:rsid w:val="00971254"/>
    <w:rsid w:val="00973269"/>
    <w:rsid w:val="009732BE"/>
    <w:rsid w:val="0097624B"/>
    <w:rsid w:val="0098061A"/>
    <w:rsid w:val="009830FB"/>
    <w:rsid w:val="009958EE"/>
    <w:rsid w:val="00995BEC"/>
    <w:rsid w:val="00996541"/>
    <w:rsid w:val="009A0D09"/>
    <w:rsid w:val="009B4412"/>
    <w:rsid w:val="009C010D"/>
    <w:rsid w:val="009C36C7"/>
    <w:rsid w:val="009C63C9"/>
    <w:rsid w:val="009C737D"/>
    <w:rsid w:val="009D12C6"/>
    <w:rsid w:val="009D29AB"/>
    <w:rsid w:val="009D43ED"/>
    <w:rsid w:val="009D4AC1"/>
    <w:rsid w:val="009D5DB7"/>
    <w:rsid w:val="009D740E"/>
    <w:rsid w:val="009E637B"/>
    <w:rsid w:val="009F0F57"/>
    <w:rsid w:val="00A01223"/>
    <w:rsid w:val="00A01FCA"/>
    <w:rsid w:val="00A033D5"/>
    <w:rsid w:val="00A06BE5"/>
    <w:rsid w:val="00A12278"/>
    <w:rsid w:val="00A13FE4"/>
    <w:rsid w:val="00A148E9"/>
    <w:rsid w:val="00A17D8C"/>
    <w:rsid w:val="00A2299B"/>
    <w:rsid w:val="00A22CDC"/>
    <w:rsid w:val="00A246A5"/>
    <w:rsid w:val="00A251B0"/>
    <w:rsid w:val="00A3114F"/>
    <w:rsid w:val="00A354CA"/>
    <w:rsid w:val="00A46A18"/>
    <w:rsid w:val="00A471D6"/>
    <w:rsid w:val="00A47D7E"/>
    <w:rsid w:val="00A52DE7"/>
    <w:rsid w:val="00A55B3E"/>
    <w:rsid w:val="00A641D4"/>
    <w:rsid w:val="00A67055"/>
    <w:rsid w:val="00A75822"/>
    <w:rsid w:val="00A77D74"/>
    <w:rsid w:val="00A81758"/>
    <w:rsid w:val="00A85600"/>
    <w:rsid w:val="00A85D75"/>
    <w:rsid w:val="00A8653F"/>
    <w:rsid w:val="00A86D8F"/>
    <w:rsid w:val="00A91AE5"/>
    <w:rsid w:val="00A91FB7"/>
    <w:rsid w:val="00A951A5"/>
    <w:rsid w:val="00A95A6C"/>
    <w:rsid w:val="00AA1654"/>
    <w:rsid w:val="00AA3401"/>
    <w:rsid w:val="00AA4CF1"/>
    <w:rsid w:val="00AA4F2C"/>
    <w:rsid w:val="00AA7765"/>
    <w:rsid w:val="00AB3E13"/>
    <w:rsid w:val="00AB5216"/>
    <w:rsid w:val="00AC0627"/>
    <w:rsid w:val="00AC11C8"/>
    <w:rsid w:val="00AC16BE"/>
    <w:rsid w:val="00AC42A1"/>
    <w:rsid w:val="00AD14E2"/>
    <w:rsid w:val="00AD390C"/>
    <w:rsid w:val="00AD482F"/>
    <w:rsid w:val="00AD4F3B"/>
    <w:rsid w:val="00AD7222"/>
    <w:rsid w:val="00AD72DB"/>
    <w:rsid w:val="00AE3DDE"/>
    <w:rsid w:val="00AE5795"/>
    <w:rsid w:val="00AF14FF"/>
    <w:rsid w:val="00B00892"/>
    <w:rsid w:val="00B0417C"/>
    <w:rsid w:val="00B0795A"/>
    <w:rsid w:val="00B11F16"/>
    <w:rsid w:val="00B1520D"/>
    <w:rsid w:val="00B15BAC"/>
    <w:rsid w:val="00B16191"/>
    <w:rsid w:val="00B163A7"/>
    <w:rsid w:val="00B25B8F"/>
    <w:rsid w:val="00B26600"/>
    <w:rsid w:val="00B323DF"/>
    <w:rsid w:val="00B3479D"/>
    <w:rsid w:val="00B377DB"/>
    <w:rsid w:val="00B42634"/>
    <w:rsid w:val="00B427C3"/>
    <w:rsid w:val="00B43D28"/>
    <w:rsid w:val="00B446E4"/>
    <w:rsid w:val="00B45CEC"/>
    <w:rsid w:val="00B46646"/>
    <w:rsid w:val="00B46E4E"/>
    <w:rsid w:val="00B50B81"/>
    <w:rsid w:val="00B62ECF"/>
    <w:rsid w:val="00B70663"/>
    <w:rsid w:val="00B73B7E"/>
    <w:rsid w:val="00B749B8"/>
    <w:rsid w:val="00B77AB9"/>
    <w:rsid w:val="00B80D30"/>
    <w:rsid w:val="00B85A19"/>
    <w:rsid w:val="00B85EC1"/>
    <w:rsid w:val="00B862E2"/>
    <w:rsid w:val="00B93A28"/>
    <w:rsid w:val="00B94493"/>
    <w:rsid w:val="00B94717"/>
    <w:rsid w:val="00B96254"/>
    <w:rsid w:val="00BA167E"/>
    <w:rsid w:val="00BA306B"/>
    <w:rsid w:val="00BA6847"/>
    <w:rsid w:val="00BB095E"/>
    <w:rsid w:val="00BB1A7C"/>
    <w:rsid w:val="00BB2087"/>
    <w:rsid w:val="00BB7B51"/>
    <w:rsid w:val="00BC01FE"/>
    <w:rsid w:val="00BC061E"/>
    <w:rsid w:val="00BC1C1C"/>
    <w:rsid w:val="00BC67DB"/>
    <w:rsid w:val="00BC74B5"/>
    <w:rsid w:val="00BD19B6"/>
    <w:rsid w:val="00BD3B96"/>
    <w:rsid w:val="00BD67F0"/>
    <w:rsid w:val="00BE295C"/>
    <w:rsid w:val="00BE356E"/>
    <w:rsid w:val="00BE4008"/>
    <w:rsid w:val="00BE4FBB"/>
    <w:rsid w:val="00BF41B6"/>
    <w:rsid w:val="00BF6DCC"/>
    <w:rsid w:val="00BF7750"/>
    <w:rsid w:val="00C001FC"/>
    <w:rsid w:val="00C047D9"/>
    <w:rsid w:val="00C103B9"/>
    <w:rsid w:val="00C20D4C"/>
    <w:rsid w:val="00C214DD"/>
    <w:rsid w:val="00C26A0A"/>
    <w:rsid w:val="00C3139C"/>
    <w:rsid w:val="00C326E4"/>
    <w:rsid w:val="00C4022C"/>
    <w:rsid w:val="00C40436"/>
    <w:rsid w:val="00C44B5B"/>
    <w:rsid w:val="00C463D5"/>
    <w:rsid w:val="00C47354"/>
    <w:rsid w:val="00C47AF8"/>
    <w:rsid w:val="00C47D97"/>
    <w:rsid w:val="00C50650"/>
    <w:rsid w:val="00C513B4"/>
    <w:rsid w:val="00C55671"/>
    <w:rsid w:val="00C56741"/>
    <w:rsid w:val="00C571D1"/>
    <w:rsid w:val="00C57FA9"/>
    <w:rsid w:val="00C60B3E"/>
    <w:rsid w:val="00C61DC9"/>
    <w:rsid w:val="00C626A1"/>
    <w:rsid w:val="00C6471F"/>
    <w:rsid w:val="00C6703F"/>
    <w:rsid w:val="00C6729B"/>
    <w:rsid w:val="00C6778C"/>
    <w:rsid w:val="00C73432"/>
    <w:rsid w:val="00C81D32"/>
    <w:rsid w:val="00C82242"/>
    <w:rsid w:val="00C83867"/>
    <w:rsid w:val="00C856C9"/>
    <w:rsid w:val="00C863BC"/>
    <w:rsid w:val="00C90500"/>
    <w:rsid w:val="00C90901"/>
    <w:rsid w:val="00C93586"/>
    <w:rsid w:val="00C96E92"/>
    <w:rsid w:val="00C97005"/>
    <w:rsid w:val="00C97411"/>
    <w:rsid w:val="00C97781"/>
    <w:rsid w:val="00CA02C8"/>
    <w:rsid w:val="00CA130F"/>
    <w:rsid w:val="00CA3760"/>
    <w:rsid w:val="00CA4146"/>
    <w:rsid w:val="00CB22E2"/>
    <w:rsid w:val="00CB7508"/>
    <w:rsid w:val="00CC050B"/>
    <w:rsid w:val="00CC4CBD"/>
    <w:rsid w:val="00CC6E94"/>
    <w:rsid w:val="00CD0A0B"/>
    <w:rsid w:val="00CD0ED3"/>
    <w:rsid w:val="00CD49B1"/>
    <w:rsid w:val="00CD5504"/>
    <w:rsid w:val="00CD75F5"/>
    <w:rsid w:val="00CD7CD9"/>
    <w:rsid w:val="00CE1C24"/>
    <w:rsid w:val="00CE1FA7"/>
    <w:rsid w:val="00CE2DA7"/>
    <w:rsid w:val="00CE4765"/>
    <w:rsid w:val="00CE4CD7"/>
    <w:rsid w:val="00CE619E"/>
    <w:rsid w:val="00CE6216"/>
    <w:rsid w:val="00CE7B21"/>
    <w:rsid w:val="00CF0DC8"/>
    <w:rsid w:val="00CF4AC9"/>
    <w:rsid w:val="00CF6A09"/>
    <w:rsid w:val="00CF71DD"/>
    <w:rsid w:val="00D023FB"/>
    <w:rsid w:val="00D027A9"/>
    <w:rsid w:val="00D0358B"/>
    <w:rsid w:val="00D10A78"/>
    <w:rsid w:val="00D1357E"/>
    <w:rsid w:val="00D13F15"/>
    <w:rsid w:val="00D140DB"/>
    <w:rsid w:val="00D17848"/>
    <w:rsid w:val="00D2672A"/>
    <w:rsid w:val="00D30DEE"/>
    <w:rsid w:val="00D32EA9"/>
    <w:rsid w:val="00D32F37"/>
    <w:rsid w:val="00D360A6"/>
    <w:rsid w:val="00D416DD"/>
    <w:rsid w:val="00D443FC"/>
    <w:rsid w:val="00D447F2"/>
    <w:rsid w:val="00D450A6"/>
    <w:rsid w:val="00D46B3C"/>
    <w:rsid w:val="00D4730B"/>
    <w:rsid w:val="00D559C6"/>
    <w:rsid w:val="00D562AD"/>
    <w:rsid w:val="00D62665"/>
    <w:rsid w:val="00D6356B"/>
    <w:rsid w:val="00D65FFD"/>
    <w:rsid w:val="00D66A30"/>
    <w:rsid w:val="00D71E5A"/>
    <w:rsid w:val="00D73E73"/>
    <w:rsid w:val="00D761A2"/>
    <w:rsid w:val="00D774AA"/>
    <w:rsid w:val="00D83EA8"/>
    <w:rsid w:val="00D8442B"/>
    <w:rsid w:val="00D84927"/>
    <w:rsid w:val="00D84E6E"/>
    <w:rsid w:val="00D86657"/>
    <w:rsid w:val="00D86EC1"/>
    <w:rsid w:val="00D878AE"/>
    <w:rsid w:val="00D9238E"/>
    <w:rsid w:val="00D9475C"/>
    <w:rsid w:val="00D95DAE"/>
    <w:rsid w:val="00D975EE"/>
    <w:rsid w:val="00DA505E"/>
    <w:rsid w:val="00DA53EC"/>
    <w:rsid w:val="00DB064D"/>
    <w:rsid w:val="00DB62C5"/>
    <w:rsid w:val="00DB6F99"/>
    <w:rsid w:val="00DC3CFF"/>
    <w:rsid w:val="00DD5EB3"/>
    <w:rsid w:val="00DE0372"/>
    <w:rsid w:val="00DE19DF"/>
    <w:rsid w:val="00DE1E1A"/>
    <w:rsid w:val="00DE2D23"/>
    <w:rsid w:val="00DE4AED"/>
    <w:rsid w:val="00DE6864"/>
    <w:rsid w:val="00DE68CF"/>
    <w:rsid w:val="00DF22D7"/>
    <w:rsid w:val="00DF45CA"/>
    <w:rsid w:val="00DF76DD"/>
    <w:rsid w:val="00E0323E"/>
    <w:rsid w:val="00E06387"/>
    <w:rsid w:val="00E1049D"/>
    <w:rsid w:val="00E129BF"/>
    <w:rsid w:val="00E1333B"/>
    <w:rsid w:val="00E15798"/>
    <w:rsid w:val="00E170D6"/>
    <w:rsid w:val="00E22292"/>
    <w:rsid w:val="00E2509F"/>
    <w:rsid w:val="00E2744D"/>
    <w:rsid w:val="00E2752A"/>
    <w:rsid w:val="00E2782E"/>
    <w:rsid w:val="00E3083F"/>
    <w:rsid w:val="00E31573"/>
    <w:rsid w:val="00E36456"/>
    <w:rsid w:val="00E3700D"/>
    <w:rsid w:val="00E409DC"/>
    <w:rsid w:val="00E41F02"/>
    <w:rsid w:val="00E46800"/>
    <w:rsid w:val="00E47D17"/>
    <w:rsid w:val="00E5529E"/>
    <w:rsid w:val="00E5544E"/>
    <w:rsid w:val="00E5589A"/>
    <w:rsid w:val="00E56FBC"/>
    <w:rsid w:val="00E60488"/>
    <w:rsid w:val="00E608CA"/>
    <w:rsid w:val="00E6149D"/>
    <w:rsid w:val="00E63361"/>
    <w:rsid w:val="00E6405D"/>
    <w:rsid w:val="00E70921"/>
    <w:rsid w:val="00E72D69"/>
    <w:rsid w:val="00E81C4E"/>
    <w:rsid w:val="00E81E6C"/>
    <w:rsid w:val="00E8316B"/>
    <w:rsid w:val="00E862D8"/>
    <w:rsid w:val="00E86888"/>
    <w:rsid w:val="00E90EC6"/>
    <w:rsid w:val="00E91F84"/>
    <w:rsid w:val="00E93A0F"/>
    <w:rsid w:val="00EA2F76"/>
    <w:rsid w:val="00EA4F64"/>
    <w:rsid w:val="00EB25DE"/>
    <w:rsid w:val="00EB3C6F"/>
    <w:rsid w:val="00EB441B"/>
    <w:rsid w:val="00EB66C8"/>
    <w:rsid w:val="00EB6F85"/>
    <w:rsid w:val="00EB7787"/>
    <w:rsid w:val="00EC0460"/>
    <w:rsid w:val="00EC2556"/>
    <w:rsid w:val="00EC5E3C"/>
    <w:rsid w:val="00ED19AA"/>
    <w:rsid w:val="00ED2907"/>
    <w:rsid w:val="00ED3AE4"/>
    <w:rsid w:val="00ED6246"/>
    <w:rsid w:val="00EE2C6F"/>
    <w:rsid w:val="00EE437F"/>
    <w:rsid w:val="00EE6E54"/>
    <w:rsid w:val="00EE7940"/>
    <w:rsid w:val="00EF0EC4"/>
    <w:rsid w:val="00EF0F4F"/>
    <w:rsid w:val="00EF1F76"/>
    <w:rsid w:val="00EF6410"/>
    <w:rsid w:val="00EF6D89"/>
    <w:rsid w:val="00F00015"/>
    <w:rsid w:val="00F03FD6"/>
    <w:rsid w:val="00F06B34"/>
    <w:rsid w:val="00F06D90"/>
    <w:rsid w:val="00F15DF0"/>
    <w:rsid w:val="00F22B63"/>
    <w:rsid w:val="00F235B3"/>
    <w:rsid w:val="00F25B4C"/>
    <w:rsid w:val="00F27418"/>
    <w:rsid w:val="00F336AD"/>
    <w:rsid w:val="00F35DC6"/>
    <w:rsid w:val="00F478C7"/>
    <w:rsid w:val="00F47FDC"/>
    <w:rsid w:val="00F52483"/>
    <w:rsid w:val="00F52CBD"/>
    <w:rsid w:val="00F53C1D"/>
    <w:rsid w:val="00F53ED2"/>
    <w:rsid w:val="00F56145"/>
    <w:rsid w:val="00F57A4A"/>
    <w:rsid w:val="00F61134"/>
    <w:rsid w:val="00F61524"/>
    <w:rsid w:val="00F658B3"/>
    <w:rsid w:val="00F66E67"/>
    <w:rsid w:val="00F83577"/>
    <w:rsid w:val="00F87284"/>
    <w:rsid w:val="00F9796C"/>
    <w:rsid w:val="00FA2332"/>
    <w:rsid w:val="00FA31AE"/>
    <w:rsid w:val="00FA33AC"/>
    <w:rsid w:val="00FA6381"/>
    <w:rsid w:val="00FA7030"/>
    <w:rsid w:val="00FB1315"/>
    <w:rsid w:val="00FB24E5"/>
    <w:rsid w:val="00FB4EF3"/>
    <w:rsid w:val="00FB7657"/>
    <w:rsid w:val="00FD466C"/>
    <w:rsid w:val="00FD7B79"/>
    <w:rsid w:val="00FE13A9"/>
    <w:rsid w:val="00FE16A4"/>
    <w:rsid w:val="00FE20E0"/>
    <w:rsid w:val="00FE24BE"/>
    <w:rsid w:val="00FE6DEF"/>
    <w:rsid w:val="00FF1672"/>
    <w:rsid w:val="00FF3CD5"/>
    <w:rsid w:val="00FF3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C357-6560-4F87-B96C-1152773F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8020</Characters>
  <Application>Microsoft Office Word</Application>
  <DocSecurity>0</DocSecurity>
  <Lines>1145</Lines>
  <Paragraphs>634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Gibson, Vikki</cp:lastModifiedBy>
  <cp:revision>2</cp:revision>
  <cp:lastPrinted>2014-03-26T04:19:00Z</cp:lastPrinted>
  <dcterms:created xsi:type="dcterms:W3CDTF">2014-04-17T04:16:00Z</dcterms:created>
  <dcterms:modified xsi:type="dcterms:W3CDTF">2014-04-17T04:16:00Z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