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D1" w:rsidRDefault="00F26F1B" w:rsidP="005B0D80">
      <w:pPr>
        <w:pStyle w:val="Heading1"/>
      </w:pPr>
      <w:r w:rsidRPr="005B0D80">
        <w:t>Explanatory Statement</w:t>
      </w:r>
    </w:p>
    <w:p w:rsidR="00635AE5" w:rsidRPr="00635AE5" w:rsidRDefault="00635AE5" w:rsidP="00635AE5">
      <w:pPr>
        <w:pStyle w:val="Heading2"/>
      </w:pPr>
      <w:r w:rsidRPr="00AF0C37">
        <w:t>Privacy (Credit Reporting) Code 2014 (Version 1.2)</w:t>
      </w:r>
    </w:p>
    <w:p w:rsidR="000E2609" w:rsidRDefault="000E2609" w:rsidP="00776B1D">
      <w:r>
        <w:t xml:space="preserve">Issued by the </w:t>
      </w:r>
      <w:r w:rsidR="001D40B4">
        <w:t>a</w:t>
      </w:r>
      <w:r>
        <w:t>uthority of the Information Commissioner</w:t>
      </w:r>
    </w:p>
    <w:p w:rsidR="005B0D80" w:rsidRPr="00796BF8" w:rsidRDefault="005B0D80" w:rsidP="005B0D80">
      <w:r>
        <w:t xml:space="preserve">This explanatory statement fulfils the Information Commissioner’s obligations under s 26(1) of the </w:t>
      </w:r>
      <w:r>
        <w:rPr>
          <w:i/>
        </w:rPr>
        <w:t>Legislative Instruments Act 2003</w:t>
      </w:r>
      <w:r w:rsidR="002E49D5">
        <w:t xml:space="preserve"> (the L</w:t>
      </w:r>
      <w:r w:rsidR="00EE5170">
        <w:t>I</w:t>
      </w:r>
      <w:r w:rsidR="002E49D5">
        <w:t xml:space="preserve"> Act)</w:t>
      </w:r>
      <w:r w:rsidR="00EE5170">
        <w:t xml:space="preserve"> in relation to the lodgement for registration on the Federal Register of Legislative Instruments</w:t>
      </w:r>
      <w:r w:rsidR="006311B6">
        <w:t xml:space="preserve"> (FRLI)</w:t>
      </w:r>
      <w:r w:rsidR="00EE5170">
        <w:t xml:space="preserve"> of </w:t>
      </w:r>
      <w:r>
        <w:t xml:space="preserve">the </w:t>
      </w:r>
      <w:r w:rsidR="00EE5170" w:rsidRPr="00AF0C37">
        <w:rPr>
          <w:i/>
        </w:rPr>
        <w:t>Privacy (Credit Reporting) Code 2014 (Version 1.2)</w:t>
      </w:r>
      <w:r w:rsidR="00635AE5">
        <w:rPr>
          <w:i/>
        </w:rPr>
        <w:t xml:space="preserve"> </w:t>
      </w:r>
      <w:r w:rsidR="00635AE5">
        <w:t>(</w:t>
      </w:r>
      <w:r w:rsidR="00635AE5" w:rsidRPr="00635AE5">
        <w:t>CR code v1.2</w:t>
      </w:r>
      <w:r w:rsidR="00635AE5">
        <w:t>)</w:t>
      </w:r>
      <w:r w:rsidR="00EE5170">
        <w:rPr>
          <w:i/>
        </w:rPr>
        <w:t xml:space="preserve">. </w:t>
      </w:r>
      <w:r w:rsidR="00EE5170">
        <w:t xml:space="preserve"> </w:t>
      </w:r>
    </w:p>
    <w:p w:rsidR="00F26F1B" w:rsidRPr="00796BF8" w:rsidRDefault="005B0D80" w:rsidP="005B0D80">
      <w:pPr>
        <w:pStyle w:val="Heading2"/>
      </w:pPr>
      <w:r w:rsidRPr="00796BF8">
        <w:t xml:space="preserve">Authority for </w:t>
      </w:r>
      <w:r w:rsidR="000E2609" w:rsidRPr="00796BF8">
        <w:t xml:space="preserve">the </w:t>
      </w:r>
      <w:r w:rsidR="00E6675C" w:rsidRPr="00796BF8">
        <w:t xml:space="preserve">registration </w:t>
      </w:r>
      <w:r w:rsidR="006311B6">
        <w:t xml:space="preserve">on the FRLI </w:t>
      </w:r>
      <w:r w:rsidR="00E6675C" w:rsidRPr="00796BF8">
        <w:t>of the CR code</w:t>
      </w:r>
      <w:r w:rsidR="00635AE5">
        <w:t xml:space="preserve"> v1.2</w:t>
      </w:r>
    </w:p>
    <w:p w:rsidR="005E071B" w:rsidRDefault="006311B6" w:rsidP="00721355">
      <w:r>
        <w:t xml:space="preserve">A CR code is a written code of practice about credit reporting under s26N of the </w:t>
      </w:r>
      <w:r w:rsidRPr="006311B6">
        <w:rPr>
          <w:i/>
        </w:rPr>
        <w:t>Privacy Act 1988</w:t>
      </w:r>
      <w:r>
        <w:t xml:space="preserve"> (Privacy Act). </w:t>
      </w:r>
      <w:r w:rsidR="00C95FBD">
        <w:t>T</w:t>
      </w:r>
      <w:r w:rsidR="00635AE5">
        <w:t>he CR code that is included on the Codes Register kept by the Information Commissioner under s26U of the Privacy Act</w:t>
      </w:r>
      <w:r w:rsidR="00C95FBD">
        <w:t xml:space="preserve"> is called the ‘registered CR code’</w:t>
      </w:r>
      <w:r w:rsidR="00635AE5">
        <w:t xml:space="preserve">. The Information Commissioner keeps the Codes Register electronically on the </w:t>
      </w:r>
      <w:hyperlink r:id="rId9" w:anchor="register" w:history="1">
        <w:r w:rsidR="00635AE5" w:rsidRPr="00635AE5">
          <w:rPr>
            <w:rStyle w:val="Hyperlink"/>
          </w:rPr>
          <w:t>OAIC website</w:t>
        </w:r>
      </w:hyperlink>
      <w:r w:rsidR="00635AE5">
        <w:t xml:space="preserve">. </w:t>
      </w:r>
      <w:r>
        <w:t xml:space="preserve">The registered CR code is a legislative instrument (s </w:t>
      </w:r>
      <w:proofErr w:type="gramStart"/>
      <w:r>
        <w:t>26M(</w:t>
      </w:r>
      <w:proofErr w:type="gramEnd"/>
      <w:r>
        <w:t xml:space="preserve">2) of the Privacy Act) and therefore must be registered on the FRLI as well as on the Codes Register. </w:t>
      </w:r>
    </w:p>
    <w:p w:rsidR="007F28C8" w:rsidRDefault="006311B6" w:rsidP="00E6675C">
      <w:r w:rsidRPr="00796BF8">
        <w:t xml:space="preserve">The Information Commissioner is required by s 26S(4) of the </w:t>
      </w:r>
      <w:r>
        <w:t xml:space="preserve">Privacy Act </w:t>
      </w:r>
      <w:r w:rsidRPr="00796BF8">
        <w:t xml:space="preserve">to ensure that there is one, and only one, registered CR code </w:t>
      </w:r>
      <w:r>
        <w:t xml:space="preserve">on the Codes Register </w:t>
      </w:r>
      <w:r w:rsidRPr="00796BF8">
        <w:t>at all times after Part IIIB of the Privacy Act commences</w:t>
      </w:r>
      <w:r>
        <w:t xml:space="preserve"> (</w:t>
      </w:r>
      <w:proofErr w:type="spellStart"/>
      <w:r>
        <w:t>ie</w:t>
      </w:r>
      <w:proofErr w:type="spellEnd"/>
      <w:r>
        <w:t xml:space="preserve"> 12 March 2014)</w:t>
      </w:r>
      <w:r w:rsidRPr="00796BF8">
        <w:t>.</w:t>
      </w:r>
      <w:r w:rsidR="007F28C8" w:rsidRPr="007F28C8">
        <w:t xml:space="preserve"> </w:t>
      </w:r>
    </w:p>
    <w:p w:rsidR="00C95FBD" w:rsidRDefault="00C95FBD" w:rsidP="00E6675C">
      <w:r>
        <w:t xml:space="preserve">On 24 April 2014 the Information Commissioner approved a variation of the CR code included on the Codes Register on his own initiative. CR code v1.2 was included on the Codes Register at noon AEST on 24 April 2014, and the previous CR code was removed at the same time. Upon inclusion on the Codes Register, CR code v1.2 became the ‘registered CR code’. </w:t>
      </w:r>
    </w:p>
    <w:p w:rsidR="00AC7FE8" w:rsidRPr="00047B8C" w:rsidRDefault="00AC7FE8" w:rsidP="00047B8C">
      <w:pPr>
        <w:pStyle w:val="Heading2"/>
      </w:pPr>
      <w:r w:rsidRPr="00047B8C">
        <w:t xml:space="preserve">Purpose </w:t>
      </w:r>
      <w:r w:rsidR="00826FF3">
        <w:t xml:space="preserve">and </w:t>
      </w:r>
      <w:r w:rsidR="00E20967">
        <w:t>o</w:t>
      </w:r>
      <w:r w:rsidR="00826FF3">
        <w:t>peration of the CR code</w:t>
      </w:r>
      <w:r w:rsidR="00C95FBD">
        <w:t xml:space="preserve"> v1.2</w:t>
      </w:r>
    </w:p>
    <w:p w:rsidR="002835AD" w:rsidRDefault="002835AD" w:rsidP="002835AD">
      <w:pPr>
        <w:pStyle w:val="Bulletlist"/>
        <w:numPr>
          <w:ilvl w:val="0"/>
          <w:numId w:val="0"/>
        </w:numPr>
      </w:pPr>
      <w:r w:rsidRPr="00047B8C">
        <w:t xml:space="preserve">The </w:t>
      </w:r>
      <w:r>
        <w:t xml:space="preserve">primary </w:t>
      </w:r>
      <w:r w:rsidRPr="00047B8C">
        <w:t xml:space="preserve">purpose of </w:t>
      </w:r>
      <w:r>
        <w:t>the CR code</w:t>
      </w:r>
      <w:r w:rsidRPr="00047B8C">
        <w:t xml:space="preserve"> </w:t>
      </w:r>
      <w:r>
        <w:t xml:space="preserve">v1.2 </w:t>
      </w:r>
      <w:r w:rsidRPr="00047B8C">
        <w:t>is to</w:t>
      </w:r>
      <w:r>
        <w:t xml:space="preserve"> supplement the provisions of Part IIIA of the Privacy Act and the </w:t>
      </w:r>
      <w:r>
        <w:rPr>
          <w:i/>
        </w:rPr>
        <w:t>Privacy Regulation</w:t>
      </w:r>
      <w:r w:rsidRPr="00DF713B">
        <w:rPr>
          <w:i/>
        </w:rPr>
        <w:t xml:space="preserve"> 201</w:t>
      </w:r>
      <w:r>
        <w:rPr>
          <w:i/>
        </w:rPr>
        <w:t>3</w:t>
      </w:r>
      <w:r>
        <w:t>. In accordance with s 26N of the Privacy Act, the CR code v1.2 performs the following functions:</w:t>
      </w:r>
    </w:p>
    <w:p w:rsidR="002835AD" w:rsidRDefault="002835AD" w:rsidP="002835AD">
      <w:pPr>
        <w:pStyle w:val="Bulletlist"/>
        <w:numPr>
          <w:ilvl w:val="0"/>
          <w:numId w:val="20"/>
        </w:numPr>
      </w:pPr>
      <w:r w:rsidRPr="00DF713B">
        <w:t>set</w:t>
      </w:r>
      <w:r>
        <w:t>s</w:t>
      </w:r>
      <w:r w:rsidRPr="00DF713B">
        <w:t xml:space="preserve"> out how one or more of the credit reporting provisions </w:t>
      </w:r>
      <w:r>
        <w:t xml:space="preserve">in Part IIIA of the Privacy Act </w:t>
      </w:r>
      <w:r w:rsidRPr="00DF713B">
        <w:t>are to be applied or complied with</w:t>
      </w:r>
      <w:r>
        <w:t xml:space="preserve"> (s 26N(2)(a))</w:t>
      </w:r>
    </w:p>
    <w:p w:rsidR="002835AD" w:rsidRDefault="002835AD" w:rsidP="002835AD">
      <w:pPr>
        <w:pStyle w:val="Bulletlist"/>
        <w:numPr>
          <w:ilvl w:val="0"/>
          <w:numId w:val="20"/>
        </w:numPr>
      </w:pPr>
      <w:r w:rsidRPr="00DF713B">
        <w:t>make</w:t>
      </w:r>
      <w:r>
        <w:t>s</w:t>
      </w:r>
      <w:r w:rsidRPr="00DF713B">
        <w:t xml:space="preserve"> provision for, or in relation to, matters required or permitted by Part IIIA to be provided for by the registered CR code</w:t>
      </w:r>
      <w:r>
        <w:t xml:space="preserve"> (s 26N(2)(b))</w:t>
      </w:r>
    </w:p>
    <w:p w:rsidR="002835AD" w:rsidRDefault="002835AD" w:rsidP="002835AD">
      <w:pPr>
        <w:pStyle w:val="Bulletlist"/>
        <w:numPr>
          <w:ilvl w:val="0"/>
          <w:numId w:val="20"/>
        </w:numPr>
      </w:pPr>
      <w:r>
        <w:t>binds all credit reporting bodies (s 26N(2)(c))</w:t>
      </w:r>
    </w:p>
    <w:p w:rsidR="002835AD" w:rsidRDefault="002835AD" w:rsidP="002835AD">
      <w:pPr>
        <w:pStyle w:val="Bulletlist"/>
        <w:numPr>
          <w:ilvl w:val="0"/>
          <w:numId w:val="20"/>
        </w:numPr>
      </w:pPr>
      <w:r>
        <w:t>specifies the credit providers that are bound by the CR code, or a way of determining which credit providers are bound (s 26N(2)(d)), and</w:t>
      </w:r>
    </w:p>
    <w:p w:rsidR="002835AD" w:rsidRDefault="002835AD" w:rsidP="002835AD">
      <w:pPr>
        <w:pStyle w:val="Bulletlist"/>
        <w:numPr>
          <w:ilvl w:val="0"/>
          <w:numId w:val="20"/>
        </w:numPr>
      </w:pPr>
      <w:r>
        <w:lastRenderedPageBreak/>
        <w:t xml:space="preserve">specifies any other entities subject to Part IIIA of the Privacy Act that are bound by the CR code, or a way of determining which of those entities are bound (s 26N(2)(e)). </w:t>
      </w:r>
    </w:p>
    <w:p w:rsidR="002835AD" w:rsidRDefault="002835AD" w:rsidP="002835AD">
      <w:pPr>
        <w:pStyle w:val="Bulletlist"/>
        <w:numPr>
          <w:ilvl w:val="0"/>
          <w:numId w:val="0"/>
        </w:numPr>
        <w:ind w:left="578" w:hanging="578"/>
      </w:pPr>
      <w:r>
        <w:t xml:space="preserve">In addition, the CR code v1.2: </w:t>
      </w:r>
    </w:p>
    <w:p w:rsidR="002835AD" w:rsidRDefault="002835AD" w:rsidP="002835AD">
      <w:pPr>
        <w:pStyle w:val="Bulletlist"/>
        <w:numPr>
          <w:ilvl w:val="0"/>
          <w:numId w:val="24"/>
        </w:numPr>
      </w:pPr>
      <w:r>
        <w:t>imposes additional requirements that are not contrary to, or inconsistent with the requirements of Part IIIA of the Privacy Act (s 26N(3)(a))</w:t>
      </w:r>
    </w:p>
    <w:p w:rsidR="002835AD" w:rsidRDefault="002835AD" w:rsidP="002835AD">
      <w:pPr>
        <w:pStyle w:val="Bulletlist"/>
        <w:numPr>
          <w:ilvl w:val="0"/>
          <w:numId w:val="24"/>
        </w:numPr>
      </w:pPr>
      <w:r>
        <w:t>deals with the internal handling of complaints (s 26N(3)(b))</w:t>
      </w:r>
    </w:p>
    <w:p w:rsidR="002835AD" w:rsidRDefault="002835AD" w:rsidP="002835AD">
      <w:pPr>
        <w:pStyle w:val="Bulletlist"/>
        <w:numPr>
          <w:ilvl w:val="0"/>
          <w:numId w:val="24"/>
        </w:numPr>
      </w:pPr>
      <w:r>
        <w:t>provides for the reporting to the Commissioner about complaints (s 26N(3)(c)), and</w:t>
      </w:r>
    </w:p>
    <w:p w:rsidR="002835AD" w:rsidRDefault="002835AD" w:rsidP="002835AD">
      <w:pPr>
        <w:pStyle w:val="Bulletlist"/>
        <w:numPr>
          <w:ilvl w:val="0"/>
          <w:numId w:val="24"/>
        </w:numPr>
      </w:pPr>
      <w:proofErr w:type="gramStart"/>
      <w:r>
        <w:t>deals</w:t>
      </w:r>
      <w:proofErr w:type="gramEnd"/>
      <w:r>
        <w:t xml:space="preserve"> with any other relevant matters (s 26N(3)(d)).</w:t>
      </w:r>
    </w:p>
    <w:p w:rsidR="002835AD" w:rsidRDefault="00FC1F4B" w:rsidP="00DF713B">
      <w:r>
        <w:t xml:space="preserve">The CR code </w:t>
      </w:r>
      <w:r w:rsidR="0059412E">
        <w:t>v1.2 maintains all of the substantive provisions containing the ob</w:t>
      </w:r>
      <w:r w:rsidR="00B62500">
        <w:t>l</w:t>
      </w:r>
      <w:bookmarkStart w:id="0" w:name="_GoBack"/>
      <w:bookmarkEnd w:id="0"/>
      <w:r w:rsidR="0059412E">
        <w:t xml:space="preserve">igations and rights in relation to organisations and individuals that were included in the original CR code (registered on the Codes Register between 22 January 2014 and 3 April 2014) and the first variation (registered on the Codes Register between 3 April 2014 and 24 April 2014). </w:t>
      </w:r>
    </w:p>
    <w:p w:rsidR="002835AD" w:rsidRDefault="002835AD" w:rsidP="002835AD">
      <w:pPr>
        <w:pStyle w:val="Bulletlist"/>
        <w:numPr>
          <w:ilvl w:val="0"/>
          <w:numId w:val="0"/>
        </w:numPr>
      </w:pPr>
      <w:r>
        <w:t xml:space="preserve">The first varied CR code contained only </w:t>
      </w:r>
      <w:r w:rsidRPr="002835AD">
        <w:t xml:space="preserve">one </w:t>
      </w:r>
      <w:r>
        <w:t>variation to the original CR code, namely the substitution of the numeral ‘5’ by the numeral ‘14’ in clause 8.1(b). T</w:t>
      </w:r>
      <w:r w:rsidRPr="00C3043E">
        <w:t xml:space="preserve">he </w:t>
      </w:r>
      <w:r>
        <w:t>original CR code required</w:t>
      </w:r>
      <w:r w:rsidRPr="00C3043E">
        <w:t xml:space="preserve"> a minimum grace period of 5 days before an overdue payment </w:t>
      </w:r>
      <w:r>
        <w:t>could be</w:t>
      </w:r>
      <w:r w:rsidRPr="00C3043E">
        <w:t xml:space="preserve"> classified as overdue for the purposes of a credit provider </w:t>
      </w:r>
      <w:r>
        <w:t xml:space="preserve">(CP) </w:t>
      </w:r>
      <w:r w:rsidRPr="00C3043E">
        <w:t>disclosing repa</w:t>
      </w:r>
      <w:r>
        <w:t>yment history information (RHI) to a credit reporting body (CRB)</w:t>
      </w:r>
      <w:r w:rsidRPr="00C3043E">
        <w:t xml:space="preserve">. Under the variation, this grace period </w:t>
      </w:r>
      <w:r>
        <w:t xml:space="preserve">was </w:t>
      </w:r>
      <w:r w:rsidRPr="00C3043E">
        <w:t>extended to 14 days.</w:t>
      </w:r>
    </w:p>
    <w:p w:rsidR="0059412E" w:rsidRDefault="002835AD" w:rsidP="00DF713B">
      <w:r>
        <w:t>The CR code v1.2</w:t>
      </w:r>
      <w:r w:rsidR="0059412E">
        <w:t xml:space="preserve"> contains some minor technical </w:t>
      </w:r>
      <w:r>
        <w:t xml:space="preserve">variations </w:t>
      </w:r>
      <w:r w:rsidR="0059412E">
        <w:t>to the CR code that it replaces</w:t>
      </w:r>
      <w:r w:rsidR="00E06482">
        <w:t xml:space="preserve"> including</w:t>
      </w:r>
      <w:r w:rsidR="0059412E">
        <w:t xml:space="preserve"> the insertion of a repeal provision to properly effect repeals of the original CR code (titled the Credit Reporting Privacy Code (CR code)) and the </w:t>
      </w:r>
      <w:r>
        <w:t xml:space="preserve">first variation (titled the </w:t>
      </w:r>
      <w:r w:rsidR="0059412E">
        <w:t>Credit Reporting Privacy Code (CR code) v1.1</w:t>
      </w:r>
      <w:r>
        <w:t>)</w:t>
      </w:r>
      <w:r w:rsidR="0059412E">
        <w:t xml:space="preserve">. </w:t>
      </w:r>
    </w:p>
    <w:p w:rsidR="002835AD" w:rsidRDefault="002835AD" w:rsidP="0059412E">
      <w:r>
        <w:t xml:space="preserve">The CR code v1.2 also </w:t>
      </w:r>
      <w:r w:rsidR="0059412E">
        <w:t>add</w:t>
      </w:r>
      <w:r>
        <w:t>s</w:t>
      </w:r>
      <w:r w:rsidR="0059412E">
        <w:t xml:space="preserve"> a few provisions </w:t>
      </w:r>
      <w:r w:rsidR="00E06482">
        <w:t xml:space="preserve">usually </w:t>
      </w:r>
      <w:r>
        <w:t xml:space="preserve">included in </w:t>
      </w:r>
      <w:r w:rsidR="0059412E">
        <w:t xml:space="preserve">legislative instruments, for example to name the instrument and to have a commencement provision. </w:t>
      </w:r>
    </w:p>
    <w:p w:rsidR="005821EE" w:rsidRDefault="0059412E" w:rsidP="005821EE">
      <w:r>
        <w:t xml:space="preserve">The </w:t>
      </w:r>
      <w:r w:rsidR="002835AD">
        <w:t xml:space="preserve">explanatory </w:t>
      </w:r>
      <w:r>
        <w:t xml:space="preserve">text on the front page of the </w:t>
      </w:r>
      <w:r w:rsidR="002835AD">
        <w:t xml:space="preserve">original and first variation </w:t>
      </w:r>
      <w:r>
        <w:t>CR code</w:t>
      </w:r>
      <w:r w:rsidR="002835AD">
        <w:t>s</w:t>
      </w:r>
      <w:r>
        <w:t xml:space="preserve"> has been slightly amended for clarity and re-inserted under headings titled ‘Overview’ and ‘Reading the table’. A couple of additional definitions have been added under ‘Reading the table’ and the terms ‘current Code’ and ‘existing Code’ </w:t>
      </w:r>
      <w:r w:rsidR="002835AD">
        <w:t xml:space="preserve">throughout the code </w:t>
      </w:r>
      <w:r>
        <w:t xml:space="preserve">have been replaced by the term ‘the pre-reform code’ to clarify which code those terms referred to. As well, </w:t>
      </w:r>
      <w:r w:rsidR="002835AD">
        <w:t>a ’referencing’ provision</w:t>
      </w:r>
      <w:r>
        <w:t xml:space="preserve"> has been inserted and </w:t>
      </w:r>
      <w:r w:rsidR="002835AD">
        <w:t>t</w:t>
      </w:r>
      <w:r>
        <w:t xml:space="preserve">he title </w:t>
      </w:r>
      <w:r w:rsidR="002835AD">
        <w:t xml:space="preserve">of the code has been brought </w:t>
      </w:r>
      <w:r>
        <w:t xml:space="preserve">closer into line with best practice in legislative instrument naming. All these variations are minor in nature and aid referencing and reading the CR code. </w:t>
      </w:r>
    </w:p>
    <w:p w:rsidR="00CB6868" w:rsidRPr="00C97F99" w:rsidRDefault="00CB6868" w:rsidP="005821EE">
      <w:pPr>
        <w:pStyle w:val="Heading2"/>
        <w:keepNext w:val="0"/>
        <w:keepLines w:val="0"/>
      </w:pPr>
      <w:r w:rsidRPr="00C97F99">
        <w:t>Consultation</w:t>
      </w:r>
    </w:p>
    <w:p w:rsidR="005821EE" w:rsidRDefault="00E06482" w:rsidP="005821EE">
      <w:pPr>
        <w:spacing w:before="240" w:after="180"/>
        <w:outlineLvl w:val="1"/>
        <w:rPr>
          <w:rFonts w:asciiTheme="minorHAnsi" w:hAnsiTheme="minorHAnsi" w:cstheme="minorHAnsi"/>
        </w:rPr>
      </w:pPr>
      <w:r>
        <w:rPr>
          <w:rFonts w:asciiTheme="minorHAnsi" w:hAnsiTheme="minorHAnsi" w:cstheme="minorHAnsi"/>
        </w:rPr>
        <w:t>The Information Commissioner consulted with</w:t>
      </w:r>
      <w:r w:rsidRPr="00E06482">
        <w:t xml:space="preserve"> </w:t>
      </w:r>
      <w:r w:rsidRPr="00BC034C">
        <w:t>Australian Retail Credit Association (ARCA)</w:t>
      </w:r>
      <w:r>
        <w:t xml:space="preserve"> </w:t>
      </w:r>
      <w:r w:rsidRPr="00E06482">
        <w:rPr>
          <w:rFonts w:asciiTheme="minorHAnsi" w:hAnsiTheme="minorHAnsi" w:cstheme="minorHAnsi"/>
        </w:rPr>
        <w:t xml:space="preserve">the original </w:t>
      </w:r>
      <w:r>
        <w:rPr>
          <w:rFonts w:asciiTheme="minorHAnsi" w:hAnsiTheme="minorHAnsi" w:cstheme="minorHAnsi"/>
        </w:rPr>
        <w:t xml:space="preserve">CR </w:t>
      </w:r>
      <w:r w:rsidRPr="00E06482">
        <w:rPr>
          <w:rFonts w:asciiTheme="minorHAnsi" w:hAnsiTheme="minorHAnsi" w:cstheme="minorHAnsi"/>
        </w:rPr>
        <w:t>code developer</w:t>
      </w:r>
      <w:r>
        <w:rPr>
          <w:rFonts w:asciiTheme="minorHAnsi" w:hAnsiTheme="minorHAnsi" w:cstheme="minorHAnsi"/>
        </w:rPr>
        <w:t>,</w:t>
      </w:r>
      <w:r w:rsidRPr="00E06482">
        <w:rPr>
          <w:rFonts w:asciiTheme="minorHAnsi" w:hAnsiTheme="minorHAnsi" w:cstheme="minorHAnsi"/>
        </w:rPr>
        <w:t xml:space="preserve"> in relation to these minor variations</w:t>
      </w:r>
      <w:r>
        <w:rPr>
          <w:rFonts w:asciiTheme="minorHAnsi" w:hAnsiTheme="minorHAnsi" w:cstheme="minorHAnsi"/>
        </w:rPr>
        <w:t xml:space="preserve">. </w:t>
      </w:r>
    </w:p>
    <w:p w:rsidR="005821EE" w:rsidRDefault="00E06482" w:rsidP="005821EE">
      <w:pPr>
        <w:spacing w:before="240" w:after="180"/>
        <w:outlineLvl w:val="1"/>
        <w:rPr>
          <w:rFonts w:asciiTheme="minorHAnsi" w:hAnsiTheme="minorHAnsi" w:cstheme="minorHAnsi"/>
        </w:rPr>
      </w:pPr>
      <w:r>
        <w:rPr>
          <w:rFonts w:asciiTheme="minorHAnsi" w:hAnsiTheme="minorHAnsi" w:cstheme="minorHAnsi"/>
        </w:rPr>
        <w:t>Apart from that consultation the Information Commissioner did</w:t>
      </w:r>
      <w:r w:rsidRPr="00E06482">
        <w:rPr>
          <w:rFonts w:asciiTheme="minorHAnsi" w:hAnsiTheme="minorHAnsi" w:cstheme="minorHAnsi"/>
        </w:rPr>
        <w:t xml:space="preserve"> not consider it necessary to undertake </w:t>
      </w:r>
      <w:r>
        <w:rPr>
          <w:rFonts w:asciiTheme="minorHAnsi" w:hAnsiTheme="minorHAnsi" w:cstheme="minorHAnsi"/>
        </w:rPr>
        <w:t xml:space="preserve">other </w:t>
      </w:r>
      <w:r w:rsidRPr="00E06482">
        <w:rPr>
          <w:rFonts w:asciiTheme="minorHAnsi" w:hAnsiTheme="minorHAnsi" w:cstheme="minorHAnsi"/>
        </w:rPr>
        <w:t xml:space="preserve">consultation for the purposes of s </w:t>
      </w:r>
      <w:proofErr w:type="gramStart"/>
      <w:r w:rsidRPr="00E06482">
        <w:rPr>
          <w:rFonts w:asciiTheme="minorHAnsi" w:hAnsiTheme="minorHAnsi" w:cstheme="minorHAnsi"/>
        </w:rPr>
        <w:t>26T(</w:t>
      </w:r>
      <w:proofErr w:type="gramEnd"/>
      <w:r w:rsidRPr="00E06482">
        <w:rPr>
          <w:rFonts w:asciiTheme="minorHAnsi" w:hAnsiTheme="minorHAnsi" w:cstheme="minorHAnsi"/>
        </w:rPr>
        <w:t xml:space="preserve">3) of the Privacy Act and s 17 of the </w:t>
      </w:r>
      <w:r w:rsidRPr="00E06482">
        <w:rPr>
          <w:rFonts w:asciiTheme="minorHAnsi" w:hAnsiTheme="minorHAnsi" w:cstheme="minorHAnsi"/>
          <w:i/>
        </w:rPr>
        <w:t>Legislative Instruments Act 2003</w:t>
      </w:r>
      <w:r w:rsidRPr="00E06482">
        <w:rPr>
          <w:rFonts w:asciiTheme="minorHAnsi" w:hAnsiTheme="minorHAnsi" w:cstheme="minorHAnsi"/>
        </w:rPr>
        <w:t xml:space="preserve"> (LIA Act) because the effect of the proposed variations are minor in nature and do not affect the obligations or rights of individuals or organisations (see s 18 of the LIA Act). </w:t>
      </w:r>
    </w:p>
    <w:p w:rsidR="005821EE" w:rsidRDefault="005821EE" w:rsidP="005821EE">
      <w:pPr>
        <w:spacing w:before="240" w:after="180"/>
        <w:outlineLvl w:val="1"/>
        <w:rPr>
          <w:rFonts w:asciiTheme="minorHAnsi" w:hAnsiTheme="minorHAnsi" w:cstheme="minorHAnsi"/>
        </w:rPr>
      </w:pPr>
      <w:r>
        <w:rPr>
          <w:rFonts w:asciiTheme="minorHAnsi" w:hAnsiTheme="minorHAnsi" w:cstheme="minorHAnsi"/>
        </w:rPr>
        <w:t>T</w:t>
      </w:r>
      <w:r w:rsidRPr="005821EE">
        <w:rPr>
          <w:rFonts w:asciiTheme="minorHAnsi" w:hAnsiTheme="minorHAnsi" w:cstheme="minorHAnsi"/>
        </w:rPr>
        <w:t xml:space="preserve">he proposed variation was added to the OAIC’s Codes Register webpage on 22 April 2014 pursuant to s </w:t>
      </w:r>
      <w:proofErr w:type="gramStart"/>
      <w:r w:rsidRPr="005821EE">
        <w:rPr>
          <w:rFonts w:asciiTheme="minorHAnsi" w:hAnsiTheme="minorHAnsi" w:cstheme="minorHAnsi"/>
        </w:rPr>
        <w:t>26T(</w:t>
      </w:r>
      <w:proofErr w:type="gramEnd"/>
      <w:r w:rsidRPr="005821EE">
        <w:rPr>
          <w:rFonts w:asciiTheme="minorHAnsi" w:hAnsiTheme="minorHAnsi" w:cstheme="minorHAnsi"/>
        </w:rPr>
        <w:t>3)(a)</w:t>
      </w:r>
      <w:r>
        <w:rPr>
          <w:rFonts w:asciiTheme="minorHAnsi" w:hAnsiTheme="minorHAnsi" w:cstheme="minorHAnsi"/>
        </w:rPr>
        <w:t xml:space="preserve"> of the Privacy Act.</w:t>
      </w:r>
      <w:r w:rsidRPr="005821EE">
        <w:rPr>
          <w:rFonts w:asciiTheme="minorHAnsi" w:hAnsiTheme="minorHAnsi" w:cstheme="minorHAnsi"/>
        </w:rPr>
        <w:t xml:space="preserve"> </w:t>
      </w:r>
    </w:p>
    <w:p w:rsidR="001C5BD2" w:rsidRPr="001C5BD2" w:rsidRDefault="00C204DA" w:rsidP="005821EE">
      <w:pPr>
        <w:pStyle w:val="Heading1"/>
      </w:pPr>
      <w:r w:rsidRPr="001C5BD2">
        <w:t xml:space="preserve">Statement of compatibility </w:t>
      </w:r>
      <w:r w:rsidR="00911215" w:rsidRPr="001C5BD2">
        <w:t>with human rights</w:t>
      </w:r>
    </w:p>
    <w:p w:rsidR="00C204DA" w:rsidRPr="001C5BD2" w:rsidRDefault="001C5BD2" w:rsidP="001C5BD2">
      <w:pPr>
        <w:pStyle w:val="Heading4"/>
      </w:pPr>
      <w:r w:rsidRPr="001C5BD2">
        <w:t>P</w:t>
      </w:r>
      <w:r w:rsidR="00911215" w:rsidRPr="001C5BD2">
        <w:t>repared in accordance with Part 3 of the Human Rights (Parliamentary Scrutiny) Act 2011</w:t>
      </w:r>
    </w:p>
    <w:p w:rsidR="001C5BD2" w:rsidRDefault="001C5BD2" w:rsidP="001C5BD2">
      <w:pPr>
        <w:pStyle w:val="Heading2"/>
      </w:pPr>
      <w:r>
        <w:t>CR code</w:t>
      </w:r>
      <w:r w:rsidR="005821EE">
        <w:t xml:space="preserve"> v1.2</w:t>
      </w:r>
    </w:p>
    <w:p w:rsidR="001C5BD2" w:rsidRDefault="00686F17" w:rsidP="001C5BD2">
      <w:r>
        <w:t>The</w:t>
      </w:r>
      <w:r w:rsidR="001C5BD2">
        <w:t xml:space="preserve"> </w:t>
      </w:r>
      <w:r w:rsidR="005821EE" w:rsidRPr="00AF0C37">
        <w:rPr>
          <w:i/>
        </w:rPr>
        <w:t>Privacy (Credit Reporting) Code 2014 (Version 1.2)</w:t>
      </w:r>
      <w:r w:rsidR="005821EE">
        <w:rPr>
          <w:i/>
        </w:rPr>
        <w:t xml:space="preserve"> </w:t>
      </w:r>
      <w:r w:rsidR="005821EE">
        <w:t>(</w:t>
      </w:r>
      <w:r w:rsidR="005821EE" w:rsidRPr="00635AE5">
        <w:t>CR code v1.2</w:t>
      </w:r>
      <w:r w:rsidR="005821EE">
        <w:t>)</w:t>
      </w:r>
      <w:r>
        <w:t xml:space="preserve"> </w:t>
      </w:r>
      <w:r w:rsidR="001C5BD2">
        <w:t>is compatible with the human rights and freedoms recognised or declared in the internation</w:t>
      </w:r>
      <w:r w:rsidR="00820912">
        <w:t>al instruments listed in s </w:t>
      </w:r>
      <w:r w:rsidR="001C5BD2">
        <w:t xml:space="preserve">3 of the </w:t>
      </w:r>
      <w:r w:rsidR="001C5BD2" w:rsidRPr="001C5BD2">
        <w:rPr>
          <w:i/>
        </w:rPr>
        <w:t>Human Righ</w:t>
      </w:r>
      <w:r w:rsidR="00820912">
        <w:rPr>
          <w:i/>
        </w:rPr>
        <w:t>ts (Parliamentary Scrutiny) Act </w:t>
      </w:r>
      <w:r w:rsidR="001C5BD2" w:rsidRPr="001C5BD2">
        <w:rPr>
          <w:i/>
        </w:rPr>
        <w:t>2011</w:t>
      </w:r>
      <w:r w:rsidR="001C5BD2">
        <w:t>.</w:t>
      </w:r>
    </w:p>
    <w:p w:rsidR="001C5BD2" w:rsidRDefault="001C5BD2" w:rsidP="001C5BD2">
      <w:pPr>
        <w:pStyle w:val="Heading2"/>
      </w:pPr>
      <w:r>
        <w:t>Operation</w:t>
      </w:r>
    </w:p>
    <w:p w:rsidR="001C5BD2" w:rsidRDefault="001C5BD2" w:rsidP="001C5BD2">
      <w:r>
        <w:t>The CR code</w:t>
      </w:r>
      <w:r w:rsidR="005821EE">
        <w:t xml:space="preserve"> v1.2</w:t>
      </w:r>
      <w:r>
        <w:t xml:space="preserve"> is a </w:t>
      </w:r>
      <w:r w:rsidR="00820912">
        <w:t xml:space="preserve">binding </w:t>
      </w:r>
      <w:r>
        <w:t xml:space="preserve">written code of practice about credit reporting. The purpose of the </w:t>
      </w:r>
      <w:r w:rsidRPr="00C811E7">
        <w:t>CR code</w:t>
      </w:r>
      <w:r w:rsidR="005821EE">
        <w:t xml:space="preserve"> v1.2</w:t>
      </w:r>
      <w:r w:rsidRPr="00C811E7">
        <w:t xml:space="preserve"> is to supplement the provisions of Part IIIA of the </w:t>
      </w:r>
      <w:r w:rsidRPr="00C811E7">
        <w:rPr>
          <w:i/>
        </w:rPr>
        <w:t>Privacy Act 1988</w:t>
      </w:r>
      <w:r w:rsidR="005821EE">
        <w:rPr>
          <w:i/>
        </w:rPr>
        <w:t xml:space="preserve"> </w:t>
      </w:r>
      <w:r w:rsidR="005821EE" w:rsidRPr="005821EE">
        <w:t>(Privacy Act)</w:t>
      </w:r>
      <w:r w:rsidRPr="00C811E7">
        <w:t xml:space="preserve"> and the </w:t>
      </w:r>
      <w:r w:rsidR="00516541" w:rsidRPr="00C811E7">
        <w:rPr>
          <w:i/>
        </w:rPr>
        <w:t>Privacy Regulation</w:t>
      </w:r>
      <w:r w:rsidRPr="00C811E7">
        <w:rPr>
          <w:i/>
        </w:rPr>
        <w:t xml:space="preserve"> 201</w:t>
      </w:r>
      <w:r w:rsidR="00C217F1" w:rsidRPr="00C811E7">
        <w:rPr>
          <w:i/>
        </w:rPr>
        <w:t>3</w:t>
      </w:r>
      <w:r w:rsidRPr="00C811E7">
        <w:t>.</w:t>
      </w:r>
      <w:r>
        <w:t xml:space="preserve"> </w:t>
      </w:r>
    </w:p>
    <w:p w:rsidR="001C5BD2" w:rsidRDefault="001C5BD2" w:rsidP="001C5BD2">
      <w:pPr>
        <w:pStyle w:val="Heading2"/>
      </w:pPr>
      <w:r>
        <w:t>Human rights implications</w:t>
      </w:r>
    </w:p>
    <w:p w:rsidR="00820912" w:rsidRPr="00C811E7" w:rsidRDefault="00EC53BE" w:rsidP="00820912">
      <w:r w:rsidRPr="00820912">
        <w:t>Th</w:t>
      </w:r>
      <w:r>
        <w:t>e</w:t>
      </w:r>
      <w:r w:rsidRPr="00820912">
        <w:t xml:space="preserve"> </w:t>
      </w:r>
      <w:r w:rsidR="00820912" w:rsidRPr="00820912">
        <w:t xml:space="preserve">CR code </w:t>
      </w:r>
      <w:r w:rsidR="005821EE">
        <w:t xml:space="preserve">v1.2 </w:t>
      </w:r>
      <w:r w:rsidR="00820912" w:rsidRPr="00820912">
        <w:t xml:space="preserve">engages Article 17 of the </w:t>
      </w:r>
      <w:r w:rsidR="00820912" w:rsidRPr="00820912">
        <w:rPr>
          <w:i/>
        </w:rPr>
        <w:t xml:space="preserve">International Covenant on Civil and Political Rights </w:t>
      </w:r>
      <w:r w:rsidR="000E2941">
        <w:t xml:space="preserve">(ICCPR). Article 17 </w:t>
      </w:r>
      <w:r w:rsidR="00820912" w:rsidRPr="00820912">
        <w:t xml:space="preserve">provides that no one shall be subjected to arbitrary or unlawful </w:t>
      </w:r>
      <w:r w:rsidR="00820912" w:rsidRPr="00C811E7">
        <w:t xml:space="preserve">interference with his or her privacy, family, home or correspondence, </w:t>
      </w:r>
      <w:proofErr w:type="gramStart"/>
      <w:r w:rsidR="00820912" w:rsidRPr="00C811E7">
        <w:t>nor</w:t>
      </w:r>
      <w:proofErr w:type="gramEnd"/>
      <w:r w:rsidR="00820912" w:rsidRPr="00C811E7">
        <w:t xml:space="preserve"> to unlawful attacks on his or her honour and reputation, and that everyone has the right to the protection of the law against such interference or attacks.  </w:t>
      </w:r>
    </w:p>
    <w:p w:rsidR="005821EE" w:rsidRDefault="005821EE" w:rsidP="005821EE">
      <w:r>
        <w:t xml:space="preserve">The varied CR code has no implication for the prohibition against arbitrary interference with privacy because the variation from the original CR code </w:t>
      </w:r>
      <w:r w:rsidRPr="00B145D3">
        <w:t xml:space="preserve">does not reduce the privacy protections afforded to individuals by the </w:t>
      </w:r>
      <w:r>
        <w:t xml:space="preserve">original </w:t>
      </w:r>
      <w:r w:rsidRPr="00B145D3">
        <w:t>CR code</w:t>
      </w:r>
      <w:r>
        <w:t>.</w:t>
      </w:r>
    </w:p>
    <w:p w:rsidR="001C5BD2" w:rsidRDefault="001C5BD2" w:rsidP="005821EE">
      <w:pPr>
        <w:pStyle w:val="Heading2"/>
      </w:pPr>
      <w:r>
        <w:t>Conclusion</w:t>
      </w:r>
    </w:p>
    <w:p w:rsidR="005821EE" w:rsidRDefault="005821EE" w:rsidP="005821EE">
      <w:pPr>
        <w:rPr>
          <w:highlight w:val="yellow"/>
        </w:rPr>
      </w:pPr>
      <w:r>
        <w:t>The CR code</w:t>
      </w:r>
      <w:r>
        <w:t xml:space="preserve"> v1.2</w:t>
      </w:r>
      <w:r>
        <w:t xml:space="preserve"> is compatible with human rights </w:t>
      </w:r>
      <w:r w:rsidRPr="00B5454F">
        <w:t>because</w:t>
      </w:r>
      <w:r>
        <w:t xml:space="preserve"> the only amendment that has been made to the original CR code </w:t>
      </w:r>
      <w:r w:rsidRPr="00B145D3">
        <w:t>does not reduce the privacy protections afforded to individuals</w:t>
      </w:r>
      <w:r>
        <w:t xml:space="preserve">. </w:t>
      </w:r>
      <w:r w:rsidRPr="00380BC2">
        <w:t xml:space="preserve"> </w:t>
      </w:r>
    </w:p>
    <w:p w:rsidR="001C5BD2" w:rsidRPr="0007193D" w:rsidRDefault="001C5BD2" w:rsidP="0007193D">
      <w:pPr>
        <w:spacing w:after="200" w:line="24" w:lineRule="auto"/>
        <w:rPr>
          <w:highlight w:val="yellow"/>
        </w:rPr>
      </w:pPr>
    </w:p>
    <w:sectPr w:rsidR="001C5BD2" w:rsidRPr="00071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82" w:rsidRDefault="00E06482" w:rsidP="00CB6868">
      <w:pPr>
        <w:spacing w:after="0"/>
      </w:pPr>
      <w:r>
        <w:separator/>
      </w:r>
    </w:p>
  </w:endnote>
  <w:endnote w:type="continuationSeparator" w:id="0">
    <w:p w:rsidR="00E06482" w:rsidRDefault="00E06482" w:rsidP="00CB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82" w:rsidRDefault="00E06482" w:rsidP="00CB6868">
      <w:pPr>
        <w:spacing w:after="0"/>
      </w:pPr>
      <w:r>
        <w:separator/>
      </w:r>
    </w:p>
  </w:footnote>
  <w:footnote w:type="continuationSeparator" w:id="0">
    <w:p w:rsidR="00E06482" w:rsidRDefault="00E06482" w:rsidP="00CB68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58B"/>
    <w:multiLevelType w:val="hybridMultilevel"/>
    <w:tmpl w:val="3B9C6318"/>
    <w:lvl w:ilvl="0" w:tplc="6EEA8F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DB616E"/>
    <w:multiLevelType w:val="hybridMultilevel"/>
    <w:tmpl w:val="04D6DC80"/>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9B26CF"/>
    <w:multiLevelType w:val="hybridMultilevel"/>
    <w:tmpl w:val="03F41506"/>
    <w:lvl w:ilvl="0" w:tplc="81868184">
      <w:start w:val="1"/>
      <w:numFmt w:val="decimal"/>
      <w:lvlText w:val="%1."/>
      <w:lvlJc w:val="left"/>
      <w:pPr>
        <w:ind w:left="360" w:hanging="360"/>
      </w:pPr>
      <w:rPr>
        <w:rFonts w:ascii="Calibri" w:hAnsi="Calibri" w:cs="Calibri"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1E81C48"/>
    <w:multiLevelType w:val="hybridMultilevel"/>
    <w:tmpl w:val="6010B476"/>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6351A7"/>
    <w:multiLevelType w:val="hybridMultilevel"/>
    <w:tmpl w:val="968CF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1427B6"/>
    <w:multiLevelType w:val="hybridMultilevel"/>
    <w:tmpl w:val="D5A01D2A"/>
    <w:lvl w:ilvl="0" w:tplc="A4B0850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28102093"/>
    <w:multiLevelType w:val="hybridMultilevel"/>
    <w:tmpl w:val="BDCAA456"/>
    <w:lvl w:ilvl="0" w:tplc="96C21E2E">
      <w:start w:val="1"/>
      <w:numFmt w:val="decimal"/>
      <w:lvlText w:val="%1."/>
      <w:lvlJc w:val="right"/>
      <w:pPr>
        <w:ind w:left="63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E15376"/>
    <w:multiLevelType w:val="hybridMultilevel"/>
    <w:tmpl w:val="C3D8D4FA"/>
    <w:lvl w:ilvl="0" w:tplc="1AFE0792">
      <w:start w:val="1"/>
      <w:numFmt w:val="decimal"/>
      <w:lvlText w:val="%1."/>
      <w:lvlJc w:val="left"/>
      <w:pPr>
        <w:ind w:left="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nsid w:val="30F737B4"/>
    <w:multiLevelType w:val="hybridMultilevel"/>
    <w:tmpl w:val="C9E870FC"/>
    <w:lvl w:ilvl="0" w:tplc="0B1A43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2B33B8"/>
    <w:multiLevelType w:val="hybridMultilevel"/>
    <w:tmpl w:val="2370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C0A104A"/>
    <w:multiLevelType w:val="hybridMultilevel"/>
    <w:tmpl w:val="2DC09F3A"/>
    <w:lvl w:ilvl="0" w:tplc="D6D43B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nsid w:val="499A4A1A"/>
    <w:multiLevelType w:val="hybridMultilevel"/>
    <w:tmpl w:val="2AF8E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B2A56DA"/>
    <w:multiLevelType w:val="hybridMultilevel"/>
    <w:tmpl w:val="4E6E2D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DC24299"/>
    <w:multiLevelType w:val="hybridMultilevel"/>
    <w:tmpl w:val="8E3E79C0"/>
    <w:lvl w:ilvl="0" w:tplc="61AEC176">
      <w:start w:val="1"/>
      <w:numFmt w:val="bullet"/>
      <w:pStyle w:val="Tabletext"/>
      <w:lvlText w:val=""/>
      <w:lvlJc w:val="left"/>
      <w:pPr>
        <w:ind w:left="-550" w:hanging="360"/>
      </w:pPr>
      <w:rPr>
        <w:rFonts w:ascii="Symbol" w:hAnsi="Symbol" w:hint="default"/>
      </w:rPr>
    </w:lvl>
    <w:lvl w:ilvl="1" w:tplc="0C090003" w:tentative="1">
      <w:start w:val="1"/>
      <w:numFmt w:val="bullet"/>
      <w:lvlText w:val="o"/>
      <w:lvlJc w:val="left"/>
      <w:pPr>
        <w:ind w:left="170" w:hanging="360"/>
      </w:pPr>
      <w:rPr>
        <w:rFonts w:ascii="Courier New" w:hAnsi="Courier New" w:cs="Courier New" w:hint="default"/>
      </w:rPr>
    </w:lvl>
    <w:lvl w:ilvl="2" w:tplc="0C090005" w:tentative="1">
      <w:start w:val="1"/>
      <w:numFmt w:val="bullet"/>
      <w:lvlText w:val=""/>
      <w:lvlJc w:val="left"/>
      <w:pPr>
        <w:ind w:left="890" w:hanging="360"/>
      </w:pPr>
      <w:rPr>
        <w:rFonts w:ascii="Wingdings" w:hAnsi="Wingdings" w:hint="default"/>
      </w:rPr>
    </w:lvl>
    <w:lvl w:ilvl="3" w:tplc="0C090001" w:tentative="1">
      <w:start w:val="1"/>
      <w:numFmt w:val="bullet"/>
      <w:lvlText w:val=""/>
      <w:lvlJc w:val="left"/>
      <w:pPr>
        <w:ind w:left="1610" w:hanging="360"/>
      </w:pPr>
      <w:rPr>
        <w:rFonts w:ascii="Symbol" w:hAnsi="Symbol" w:hint="default"/>
      </w:rPr>
    </w:lvl>
    <w:lvl w:ilvl="4" w:tplc="0C090003" w:tentative="1">
      <w:start w:val="1"/>
      <w:numFmt w:val="bullet"/>
      <w:lvlText w:val="o"/>
      <w:lvlJc w:val="left"/>
      <w:pPr>
        <w:ind w:left="2330" w:hanging="360"/>
      </w:pPr>
      <w:rPr>
        <w:rFonts w:ascii="Courier New" w:hAnsi="Courier New" w:cs="Courier New" w:hint="default"/>
      </w:rPr>
    </w:lvl>
    <w:lvl w:ilvl="5" w:tplc="0C090005" w:tentative="1">
      <w:start w:val="1"/>
      <w:numFmt w:val="bullet"/>
      <w:lvlText w:val=""/>
      <w:lvlJc w:val="left"/>
      <w:pPr>
        <w:ind w:left="3050" w:hanging="360"/>
      </w:pPr>
      <w:rPr>
        <w:rFonts w:ascii="Wingdings" w:hAnsi="Wingdings" w:hint="default"/>
      </w:rPr>
    </w:lvl>
    <w:lvl w:ilvl="6" w:tplc="0C090001" w:tentative="1">
      <w:start w:val="1"/>
      <w:numFmt w:val="bullet"/>
      <w:lvlText w:val=""/>
      <w:lvlJc w:val="left"/>
      <w:pPr>
        <w:ind w:left="3770" w:hanging="360"/>
      </w:pPr>
      <w:rPr>
        <w:rFonts w:ascii="Symbol" w:hAnsi="Symbol" w:hint="default"/>
      </w:rPr>
    </w:lvl>
    <w:lvl w:ilvl="7" w:tplc="0C090003" w:tentative="1">
      <w:start w:val="1"/>
      <w:numFmt w:val="bullet"/>
      <w:lvlText w:val="o"/>
      <w:lvlJc w:val="left"/>
      <w:pPr>
        <w:ind w:left="4490" w:hanging="360"/>
      </w:pPr>
      <w:rPr>
        <w:rFonts w:ascii="Courier New" w:hAnsi="Courier New" w:cs="Courier New" w:hint="default"/>
      </w:rPr>
    </w:lvl>
    <w:lvl w:ilvl="8" w:tplc="0C090005" w:tentative="1">
      <w:start w:val="1"/>
      <w:numFmt w:val="bullet"/>
      <w:lvlText w:val=""/>
      <w:lvlJc w:val="left"/>
      <w:pPr>
        <w:ind w:left="5210" w:hanging="360"/>
      </w:pPr>
      <w:rPr>
        <w:rFonts w:ascii="Wingdings" w:hAnsi="Wingdings" w:hint="default"/>
      </w:rPr>
    </w:lvl>
  </w:abstractNum>
  <w:abstractNum w:abstractNumId="18">
    <w:nsid w:val="51921DCA"/>
    <w:multiLevelType w:val="hybridMultilevel"/>
    <w:tmpl w:val="0B5AD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6D490D"/>
    <w:multiLevelType w:val="hybridMultilevel"/>
    <w:tmpl w:val="9D924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nsid w:val="65CE4F2C"/>
    <w:multiLevelType w:val="hybridMultilevel"/>
    <w:tmpl w:val="D4FC57CC"/>
    <w:lvl w:ilvl="0" w:tplc="9D80E5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66773D2F"/>
    <w:multiLevelType w:val="hybridMultilevel"/>
    <w:tmpl w:val="DEA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7974BC"/>
    <w:multiLevelType w:val="hybridMultilevel"/>
    <w:tmpl w:val="4FB2BEBE"/>
    <w:lvl w:ilvl="0" w:tplc="F3629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97045B"/>
    <w:multiLevelType w:val="hybridMultilevel"/>
    <w:tmpl w:val="A29CA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9277E1"/>
    <w:multiLevelType w:val="hybridMultilevel"/>
    <w:tmpl w:val="A95242FE"/>
    <w:lvl w:ilvl="0" w:tplc="C452F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3D7822"/>
    <w:multiLevelType w:val="hybridMultilevel"/>
    <w:tmpl w:val="F84C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B03839"/>
    <w:multiLevelType w:val="hybridMultilevel"/>
    <w:tmpl w:val="A8E4DEB8"/>
    <w:lvl w:ilvl="0" w:tplc="46B649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6"/>
  </w:num>
  <w:num w:numId="3">
    <w:abstractNumId w:val="8"/>
  </w:num>
  <w:num w:numId="4">
    <w:abstractNumId w:val="11"/>
  </w:num>
  <w:num w:numId="5">
    <w:abstractNumId w:val="0"/>
  </w:num>
  <w:num w:numId="6">
    <w:abstractNumId w:val="25"/>
  </w:num>
  <w:num w:numId="7">
    <w:abstractNumId w:val="7"/>
  </w:num>
  <w:num w:numId="8">
    <w:abstractNumId w:val="26"/>
  </w:num>
  <w:num w:numId="9">
    <w:abstractNumId w:val="21"/>
  </w:num>
  <w:num w:numId="10">
    <w:abstractNumId w:val="3"/>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
  </w:num>
  <w:num w:numId="16">
    <w:abstractNumId w:val="28"/>
  </w:num>
  <w:num w:numId="17">
    <w:abstractNumId w:val="4"/>
  </w:num>
  <w:num w:numId="18">
    <w:abstractNumId w:val="10"/>
  </w:num>
  <w:num w:numId="19">
    <w:abstractNumId w:val="13"/>
  </w:num>
  <w:num w:numId="20">
    <w:abstractNumId w:val="19"/>
  </w:num>
  <w:num w:numId="21">
    <w:abstractNumId w:val="18"/>
  </w:num>
  <w:num w:numId="22">
    <w:abstractNumId w:val="5"/>
  </w:num>
  <w:num w:numId="23">
    <w:abstractNumId w:val="15"/>
  </w:num>
  <w:num w:numId="24">
    <w:abstractNumId w:val="27"/>
  </w:num>
  <w:num w:numId="25">
    <w:abstractNumId w:val="24"/>
  </w:num>
  <w:num w:numId="26">
    <w:abstractNumId w:val="16"/>
  </w:num>
  <w:num w:numId="27">
    <w:abstractNumId w:val="22"/>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B"/>
    <w:rsid w:val="0000624D"/>
    <w:rsid w:val="00047B8C"/>
    <w:rsid w:val="000561AD"/>
    <w:rsid w:val="00067AAF"/>
    <w:rsid w:val="0007193D"/>
    <w:rsid w:val="00096050"/>
    <w:rsid w:val="0009781C"/>
    <w:rsid w:val="000A1ABA"/>
    <w:rsid w:val="000C5927"/>
    <w:rsid w:val="000C6D4C"/>
    <w:rsid w:val="000E2609"/>
    <w:rsid w:val="000E2941"/>
    <w:rsid w:val="000E7DCD"/>
    <w:rsid w:val="000F083B"/>
    <w:rsid w:val="000F4227"/>
    <w:rsid w:val="00124C7C"/>
    <w:rsid w:val="00127BE9"/>
    <w:rsid w:val="00130850"/>
    <w:rsid w:val="001614E3"/>
    <w:rsid w:val="00167D8D"/>
    <w:rsid w:val="001A5C66"/>
    <w:rsid w:val="001B42D9"/>
    <w:rsid w:val="001C5BD2"/>
    <w:rsid w:val="001C61D2"/>
    <w:rsid w:val="001D27AA"/>
    <w:rsid w:val="001D40B4"/>
    <w:rsid w:val="001E4843"/>
    <w:rsid w:val="00217D43"/>
    <w:rsid w:val="00220AD7"/>
    <w:rsid w:val="00236009"/>
    <w:rsid w:val="002475CD"/>
    <w:rsid w:val="002547A9"/>
    <w:rsid w:val="00263EFE"/>
    <w:rsid w:val="002835AD"/>
    <w:rsid w:val="002C19E2"/>
    <w:rsid w:val="002C7066"/>
    <w:rsid w:val="002D604B"/>
    <w:rsid w:val="002E4556"/>
    <w:rsid w:val="002E49D5"/>
    <w:rsid w:val="002E6D84"/>
    <w:rsid w:val="002F2148"/>
    <w:rsid w:val="00315CD3"/>
    <w:rsid w:val="0032198C"/>
    <w:rsid w:val="003230A6"/>
    <w:rsid w:val="00330B5B"/>
    <w:rsid w:val="0035207E"/>
    <w:rsid w:val="00380BC2"/>
    <w:rsid w:val="003D2C20"/>
    <w:rsid w:val="003D4A38"/>
    <w:rsid w:val="003D7B86"/>
    <w:rsid w:val="00410BAE"/>
    <w:rsid w:val="0047085D"/>
    <w:rsid w:val="004758C8"/>
    <w:rsid w:val="00485AF3"/>
    <w:rsid w:val="00495F61"/>
    <w:rsid w:val="004B4721"/>
    <w:rsid w:val="004D2B2E"/>
    <w:rsid w:val="00502990"/>
    <w:rsid w:val="00516541"/>
    <w:rsid w:val="00537B95"/>
    <w:rsid w:val="00554E0B"/>
    <w:rsid w:val="00560827"/>
    <w:rsid w:val="00576930"/>
    <w:rsid w:val="00576C04"/>
    <w:rsid w:val="005821EE"/>
    <w:rsid w:val="00583A7B"/>
    <w:rsid w:val="0059412E"/>
    <w:rsid w:val="005A10DE"/>
    <w:rsid w:val="005B0D80"/>
    <w:rsid w:val="005D163B"/>
    <w:rsid w:val="005E071B"/>
    <w:rsid w:val="005E5F79"/>
    <w:rsid w:val="005F7414"/>
    <w:rsid w:val="005F7A6E"/>
    <w:rsid w:val="00621841"/>
    <w:rsid w:val="006311B6"/>
    <w:rsid w:val="00635AE5"/>
    <w:rsid w:val="00645F8E"/>
    <w:rsid w:val="00664C9C"/>
    <w:rsid w:val="00685826"/>
    <w:rsid w:val="00686F17"/>
    <w:rsid w:val="00690262"/>
    <w:rsid w:val="006A0BD1"/>
    <w:rsid w:val="006C3651"/>
    <w:rsid w:val="006C369F"/>
    <w:rsid w:val="006E6F34"/>
    <w:rsid w:val="006F41C9"/>
    <w:rsid w:val="00721355"/>
    <w:rsid w:val="0077081A"/>
    <w:rsid w:val="00776725"/>
    <w:rsid w:val="00776B1D"/>
    <w:rsid w:val="00796BF8"/>
    <w:rsid w:val="007B0492"/>
    <w:rsid w:val="007E5AAB"/>
    <w:rsid w:val="007E64D1"/>
    <w:rsid w:val="007F28C8"/>
    <w:rsid w:val="00806AE5"/>
    <w:rsid w:val="00820912"/>
    <w:rsid w:val="00826FF3"/>
    <w:rsid w:val="00827B6B"/>
    <w:rsid w:val="008D6365"/>
    <w:rsid w:val="008F35D8"/>
    <w:rsid w:val="008F385F"/>
    <w:rsid w:val="00911215"/>
    <w:rsid w:val="00933771"/>
    <w:rsid w:val="009409B8"/>
    <w:rsid w:val="00967209"/>
    <w:rsid w:val="009842FB"/>
    <w:rsid w:val="0099671F"/>
    <w:rsid w:val="009A3FE9"/>
    <w:rsid w:val="009A6C47"/>
    <w:rsid w:val="009B5E35"/>
    <w:rsid w:val="009D4344"/>
    <w:rsid w:val="009E0FBF"/>
    <w:rsid w:val="00A32059"/>
    <w:rsid w:val="00A357B5"/>
    <w:rsid w:val="00A466A3"/>
    <w:rsid w:val="00A95051"/>
    <w:rsid w:val="00AC4CCE"/>
    <w:rsid w:val="00AC509A"/>
    <w:rsid w:val="00AC7FE8"/>
    <w:rsid w:val="00B0529E"/>
    <w:rsid w:val="00B065B8"/>
    <w:rsid w:val="00B0705C"/>
    <w:rsid w:val="00B2695D"/>
    <w:rsid w:val="00B5454F"/>
    <w:rsid w:val="00B62500"/>
    <w:rsid w:val="00BA11D7"/>
    <w:rsid w:val="00BB5FF1"/>
    <w:rsid w:val="00BC2947"/>
    <w:rsid w:val="00BC411A"/>
    <w:rsid w:val="00BE74C4"/>
    <w:rsid w:val="00C204DA"/>
    <w:rsid w:val="00C217F1"/>
    <w:rsid w:val="00C31B5F"/>
    <w:rsid w:val="00C324F5"/>
    <w:rsid w:val="00C41D87"/>
    <w:rsid w:val="00C442DB"/>
    <w:rsid w:val="00C47E2E"/>
    <w:rsid w:val="00C577A2"/>
    <w:rsid w:val="00C62F25"/>
    <w:rsid w:val="00C811E7"/>
    <w:rsid w:val="00C904C4"/>
    <w:rsid w:val="00C95FBD"/>
    <w:rsid w:val="00C97F99"/>
    <w:rsid w:val="00CB3246"/>
    <w:rsid w:val="00CB37A3"/>
    <w:rsid w:val="00CB6868"/>
    <w:rsid w:val="00CD0E33"/>
    <w:rsid w:val="00CD3159"/>
    <w:rsid w:val="00CD68D3"/>
    <w:rsid w:val="00CE5C3E"/>
    <w:rsid w:val="00D049F9"/>
    <w:rsid w:val="00D07322"/>
    <w:rsid w:val="00D515D1"/>
    <w:rsid w:val="00D70F2C"/>
    <w:rsid w:val="00D80987"/>
    <w:rsid w:val="00D93C8E"/>
    <w:rsid w:val="00D9545B"/>
    <w:rsid w:val="00DA45B9"/>
    <w:rsid w:val="00DB05F0"/>
    <w:rsid w:val="00DB2324"/>
    <w:rsid w:val="00DD7D51"/>
    <w:rsid w:val="00DE59AE"/>
    <w:rsid w:val="00DE6D89"/>
    <w:rsid w:val="00DF713B"/>
    <w:rsid w:val="00E06482"/>
    <w:rsid w:val="00E20967"/>
    <w:rsid w:val="00E26267"/>
    <w:rsid w:val="00E4280D"/>
    <w:rsid w:val="00E47822"/>
    <w:rsid w:val="00E6675C"/>
    <w:rsid w:val="00E81D4F"/>
    <w:rsid w:val="00EC53BE"/>
    <w:rsid w:val="00EE5170"/>
    <w:rsid w:val="00F26929"/>
    <w:rsid w:val="00F26F1B"/>
    <w:rsid w:val="00F35640"/>
    <w:rsid w:val="00F83F7E"/>
    <w:rsid w:val="00F917A1"/>
    <w:rsid w:val="00FC1F4B"/>
    <w:rsid w:val="00FD6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766">
      <w:bodyDiv w:val="1"/>
      <w:marLeft w:val="0"/>
      <w:marRight w:val="0"/>
      <w:marTop w:val="0"/>
      <w:marBottom w:val="0"/>
      <w:divBdr>
        <w:top w:val="none" w:sz="0" w:space="0" w:color="auto"/>
        <w:left w:val="none" w:sz="0" w:space="0" w:color="auto"/>
        <w:bottom w:val="none" w:sz="0" w:space="0" w:color="auto"/>
        <w:right w:val="none" w:sz="0" w:space="0" w:color="auto"/>
      </w:divBdr>
    </w:div>
    <w:div w:id="261231339">
      <w:bodyDiv w:val="1"/>
      <w:marLeft w:val="0"/>
      <w:marRight w:val="0"/>
      <w:marTop w:val="0"/>
      <w:marBottom w:val="0"/>
      <w:divBdr>
        <w:top w:val="none" w:sz="0" w:space="0" w:color="auto"/>
        <w:left w:val="none" w:sz="0" w:space="0" w:color="auto"/>
        <w:bottom w:val="none" w:sz="0" w:space="0" w:color="auto"/>
        <w:right w:val="none" w:sz="0" w:space="0" w:color="auto"/>
      </w:divBdr>
      <w:divsChild>
        <w:div w:id="1654871230">
          <w:marLeft w:val="0"/>
          <w:marRight w:val="0"/>
          <w:marTop w:val="0"/>
          <w:marBottom w:val="0"/>
          <w:divBdr>
            <w:top w:val="none" w:sz="0" w:space="0" w:color="auto"/>
            <w:left w:val="none" w:sz="0" w:space="0" w:color="auto"/>
            <w:bottom w:val="none" w:sz="0" w:space="0" w:color="auto"/>
            <w:right w:val="none" w:sz="0" w:space="0" w:color="auto"/>
          </w:divBdr>
          <w:divsChild>
            <w:div w:id="1682538020">
              <w:marLeft w:val="0"/>
              <w:marRight w:val="0"/>
              <w:marTop w:val="0"/>
              <w:marBottom w:val="0"/>
              <w:divBdr>
                <w:top w:val="none" w:sz="0" w:space="0" w:color="auto"/>
                <w:left w:val="none" w:sz="0" w:space="0" w:color="auto"/>
                <w:bottom w:val="none" w:sz="0" w:space="0" w:color="auto"/>
                <w:right w:val="none" w:sz="0" w:space="0" w:color="auto"/>
              </w:divBdr>
              <w:divsChild>
                <w:div w:id="1365327238">
                  <w:marLeft w:val="0"/>
                  <w:marRight w:val="0"/>
                  <w:marTop w:val="0"/>
                  <w:marBottom w:val="0"/>
                  <w:divBdr>
                    <w:top w:val="none" w:sz="0" w:space="0" w:color="auto"/>
                    <w:left w:val="none" w:sz="0" w:space="0" w:color="auto"/>
                    <w:bottom w:val="none" w:sz="0" w:space="0" w:color="auto"/>
                    <w:right w:val="none" w:sz="0" w:space="0" w:color="auto"/>
                  </w:divBdr>
                  <w:divsChild>
                    <w:div w:id="523327349">
                      <w:marLeft w:val="0"/>
                      <w:marRight w:val="0"/>
                      <w:marTop w:val="0"/>
                      <w:marBottom w:val="0"/>
                      <w:divBdr>
                        <w:top w:val="none" w:sz="0" w:space="0" w:color="auto"/>
                        <w:left w:val="none" w:sz="0" w:space="0" w:color="auto"/>
                        <w:bottom w:val="none" w:sz="0" w:space="0" w:color="auto"/>
                        <w:right w:val="none" w:sz="0" w:space="0" w:color="auto"/>
                      </w:divBdr>
                      <w:divsChild>
                        <w:div w:id="2039769706">
                          <w:marLeft w:val="0"/>
                          <w:marRight w:val="0"/>
                          <w:marTop w:val="0"/>
                          <w:marBottom w:val="0"/>
                          <w:divBdr>
                            <w:top w:val="single" w:sz="6" w:space="0" w:color="828282"/>
                            <w:left w:val="single" w:sz="6" w:space="0" w:color="828282"/>
                            <w:bottom w:val="single" w:sz="6" w:space="0" w:color="828282"/>
                            <w:right w:val="single" w:sz="6" w:space="0" w:color="828282"/>
                          </w:divBdr>
                          <w:divsChild>
                            <w:div w:id="638146823">
                              <w:marLeft w:val="0"/>
                              <w:marRight w:val="0"/>
                              <w:marTop w:val="0"/>
                              <w:marBottom w:val="0"/>
                              <w:divBdr>
                                <w:top w:val="none" w:sz="0" w:space="0" w:color="auto"/>
                                <w:left w:val="none" w:sz="0" w:space="0" w:color="auto"/>
                                <w:bottom w:val="none" w:sz="0" w:space="0" w:color="auto"/>
                                <w:right w:val="none" w:sz="0" w:space="0" w:color="auto"/>
                              </w:divBdr>
                              <w:divsChild>
                                <w:div w:id="1820535935">
                                  <w:marLeft w:val="0"/>
                                  <w:marRight w:val="0"/>
                                  <w:marTop w:val="0"/>
                                  <w:marBottom w:val="0"/>
                                  <w:divBdr>
                                    <w:top w:val="none" w:sz="0" w:space="0" w:color="auto"/>
                                    <w:left w:val="none" w:sz="0" w:space="0" w:color="auto"/>
                                    <w:bottom w:val="none" w:sz="0" w:space="0" w:color="auto"/>
                                    <w:right w:val="none" w:sz="0" w:space="0" w:color="auto"/>
                                  </w:divBdr>
                                  <w:divsChild>
                                    <w:div w:id="151788454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920520">
      <w:bodyDiv w:val="1"/>
      <w:marLeft w:val="0"/>
      <w:marRight w:val="0"/>
      <w:marTop w:val="0"/>
      <w:marBottom w:val="0"/>
      <w:divBdr>
        <w:top w:val="none" w:sz="0" w:space="0" w:color="auto"/>
        <w:left w:val="none" w:sz="0" w:space="0" w:color="auto"/>
        <w:bottom w:val="none" w:sz="0" w:space="0" w:color="auto"/>
        <w:right w:val="none" w:sz="0" w:space="0" w:color="auto"/>
      </w:divBdr>
    </w:div>
    <w:div w:id="657656063">
      <w:bodyDiv w:val="1"/>
      <w:marLeft w:val="0"/>
      <w:marRight w:val="0"/>
      <w:marTop w:val="0"/>
      <w:marBottom w:val="0"/>
      <w:divBdr>
        <w:top w:val="none" w:sz="0" w:space="0" w:color="auto"/>
        <w:left w:val="none" w:sz="0" w:space="0" w:color="auto"/>
        <w:bottom w:val="none" w:sz="0" w:space="0" w:color="auto"/>
        <w:right w:val="none" w:sz="0" w:space="0" w:color="auto"/>
      </w:divBdr>
    </w:div>
    <w:div w:id="79502879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15">
          <w:marLeft w:val="0"/>
          <w:marRight w:val="0"/>
          <w:marTop w:val="0"/>
          <w:marBottom w:val="0"/>
          <w:divBdr>
            <w:top w:val="none" w:sz="0" w:space="0" w:color="auto"/>
            <w:left w:val="none" w:sz="0" w:space="0" w:color="auto"/>
            <w:bottom w:val="none" w:sz="0" w:space="0" w:color="auto"/>
            <w:right w:val="none" w:sz="0" w:space="0" w:color="auto"/>
          </w:divBdr>
          <w:divsChild>
            <w:div w:id="1964656458">
              <w:marLeft w:val="0"/>
              <w:marRight w:val="0"/>
              <w:marTop w:val="0"/>
              <w:marBottom w:val="0"/>
              <w:divBdr>
                <w:top w:val="none" w:sz="0" w:space="0" w:color="auto"/>
                <w:left w:val="none" w:sz="0" w:space="0" w:color="auto"/>
                <w:bottom w:val="none" w:sz="0" w:space="0" w:color="auto"/>
                <w:right w:val="none" w:sz="0" w:space="0" w:color="auto"/>
              </w:divBdr>
              <w:divsChild>
                <w:div w:id="1234241209">
                  <w:marLeft w:val="0"/>
                  <w:marRight w:val="0"/>
                  <w:marTop w:val="0"/>
                  <w:marBottom w:val="0"/>
                  <w:divBdr>
                    <w:top w:val="none" w:sz="0" w:space="0" w:color="auto"/>
                    <w:left w:val="none" w:sz="0" w:space="0" w:color="auto"/>
                    <w:bottom w:val="none" w:sz="0" w:space="0" w:color="auto"/>
                    <w:right w:val="none" w:sz="0" w:space="0" w:color="auto"/>
                  </w:divBdr>
                  <w:divsChild>
                    <w:div w:id="377323210">
                      <w:marLeft w:val="0"/>
                      <w:marRight w:val="0"/>
                      <w:marTop w:val="0"/>
                      <w:marBottom w:val="0"/>
                      <w:divBdr>
                        <w:top w:val="none" w:sz="0" w:space="0" w:color="auto"/>
                        <w:left w:val="none" w:sz="0" w:space="0" w:color="auto"/>
                        <w:bottom w:val="none" w:sz="0" w:space="0" w:color="auto"/>
                        <w:right w:val="none" w:sz="0" w:space="0" w:color="auto"/>
                      </w:divBdr>
                      <w:divsChild>
                        <w:div w:id="1238204342">
                          <w:marLeft w:val="0"/>
                          <w:marRight w:val="0"/>
                          <w:marTop w:val="0"/>
                          <w:marBottom w:val="0"/>
                          <w:divBdr>
                            <w:top w:val="single" w:sz="6" w:space="0" w:color="828282"/>
                            <w:left w:val="single" w:sz="6" w:space="0" w:color="828282"/>
                            <w:bottom w:val="single" w:sz="6" w:space="0" w:color="828282"/>
                            <w:right w:val="single" w:sz="6" w:space="0" w:color="828282"/>
                          </w:divBdr>
                          <w:divsChild>
                            <w:div w:id="1408381150">
                              <w:marLeft w:val="0"/>
                              <w:marRight w:val="0"/>
                              <w:marTop w:val="0"/>
                              <w:marBottom w:val="0"/>
                              <w:divBdr>
                                <w:top w:val="none" w:sz="0" w:space="0" w:color="auto"/>
                                <w:left w:val="none" w:sz="0" w:space="0" w:color="auto"/>
                                <w:bottom w:val="none" w:sz="0" w:space="0" w:color="auto"/>
                                <w:right w:val="none" w:sz="0" w:space="0" w:color="auto"/>
                              </w:divBdr>
                              <w:divsChild>
                                <w:div w:id="866597544">
                                  <w:marLeft w:val="0"/>
                                  <w:marRight w:val="0"/>
                                  <w:marTop w:val="0"/>
                                  <w:marBottom w:val="0"/>
                                  <w:divBdr>
                                    <w:top w:val="none" w:sz="0" w:space="0" w:color="auto"/>
                                    <w:left w:val="none" w:sz="0" w:space="0" w:color="auto"/>
                                    <w:bottom w:val="none" w:sz="0" w:space="0" w:color="auto"/>
                                    <w:right w:val="none" w:sz="0" w:space="0" w:color="auto"/>
                                  </w:divBdr>
                                  <w:divsChild>
                                    <w:div w:id="913244485">
                                      <w:marLeft w:val="0"/>
                                      <w:marRight w:val="0"/>
                                      <w:marTop w:val="0"/>
                                      <w:marBottom w:val="0"/>
                                      <w:divBdr>
                                        <w:top w:val="none" w:sz="0" w:space="0" w:color="auto"/>
                                        <w:left w:val="none" w:sz="0" w:space="0" w:color="auto"/>
                                        <w:bottom w:val="none" w:sz="0" w:space="0" w:color="auto"/>
                                        <w:right w:val="none" w:sz="0" w:space="0" w:color="auto"/>
                                      </w:divBdr>
                                      <w:divsChild>
                                        <w:div w:id="1483808131">
                                          <w:marLeft w:val="0"/>
                                          <w:marRight w:val="0"/>
                                          <w:marTop w:val="0"/>
                                          <w:marBottom w:val="0"/>
                                          <w:divBdr>
                                            <w:top w:val="none" w:sz="0" w:space="0" w:color="auto"/>
                                            <w:left w:val="none" w:sz="0" w:space="0" w:color="auto"/>
                                            <w:bottom w:val="none" w:sz="0" w:space="0" w:color="auto"/>
                                            <w:right w:val="none" w:sz="0" w:space="0" w:color="auto"/>
                                          </w:divBdr>
                                          <w:divsChild>
                                            <w:div w:id="69550070">
                                              <w:marLeft w:val="0"/>
                                              <w:marRight w:val="0"/>
                                              <w:marTop w:val="0"/>
                                              <w:marBottom w:val="0"/>
                                              <w:divBdr>
                                                <w:top w:val="none" w:sz="0" w:space="0" w:color="auto"/>
                                                <w:left w:val="none" w:sz="0" w:space="0" w:color="auto"/>
                                                <w:bottom w:val="none" w:sz="0" w:space="0" w:color="auto"/>
                                                <w:right w:val="none" w:sz="0" w:space="0" w:color="auto"/>
                                              </w:divBdr>
                                              <w:divsChild>
                                                <w:div w:id="1963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630">
      <w:bodyDiv w:val="1"/>
      <w:marLeft w:val="0"/>
      <w:marRight w:val="0"/>
      <w:marTop w:val="0"/>
      <w:marBottom w:val="0"/>
      <w:divBdr>
        <w:top w:val="none" w:sz="0" w:space="0" w:color="auto"/>
        <w:left w:val="none" w:sz="0" w:space="0" w:color="auto"/>
        <w:bottom w:val="none" w:sz="0" w:space="0" w:color="auto"/>
        <w:right w:val="none" w:sz="0" w:space="0" w:color="auto"/>
      </w:divBdr>
    </w:div>
    <w:div w:id="1793674687">
      <w:bodyDiv w:val="1"/>
      <w:marLeft w:val="0"/>
      <w:marRight w:val="0"/>
      <w:marTop w:val="0"/>
      <w:marBottom w:val="0"/>
      <w:divBdr>
        <w:top w:val="none" w:sz="0" w:space="0" w:color="auto"/>
        <w:left w:val="none" w:sz="0" w:space="0" w:color="auto"/>
        <w:bottom w:val="none" w:sz="0" w:space="0" w:color="auto"/>
        <w:right w:val="none" w:sz="0" w:space="0" w:color="auto"/>
      </w:divBdr>
    </w:div>
    <w:div w:id="1957522669">
      <w:bodyDiv w:val="1"/>
      <w:marLeft w:val="0"/>
      <w:marRight w:val="0"/>
      <w:marTop w:val="0"/>
      <w:marBottom w:val="0"/>
      <w:divBdr>
        <w:top w:val="none" w:sz="0" w:space="0" w:color="auto"/>
        <w:left w:val="none" w:sz="0" w:space="0" w:color="auto"/>
        <w:bottom w:val="none" w:sz="0" w:space="0" w:color="auto"/>
        <w:right w:val="none" w:sz="0" w:space="0" w:color="auto"/>
      </w:divBdr>
      <w:divsChild>
        <w:div w:id="2144887875">
          <w:marLeft w:val="0"/>
          <w:marRight w:val="0"/>
          <w:marTop w:val="0"/>
          <w:marBottom w:val="0"/>
          <w:divBdr>
            <w:top w:val="none" w:sz="0" w:space="0" w:color="auto"/>
            <w:left w:val="none" w:sz="0" w:space="0" w:color="auto"/>
            <w:bottom w:val="none" w:sz="0" w:space="0" w:color="auto"/>
            <w:right w:val="none" w:sz="0" w:space="0" w:color="auto"/>
          </w:divBdr>
          <w:divsChild>
            <w:div w:id="1953201684">
              <w:marLeft w:val="0"/>
              <w:marRight w:val="0"/>
              <w:marTop w:val="0"/>
              <w:marBottom w:val="0"/>
              <w:divBdr>
                <w:top w:val="none" w:sz="0" w:space="0" w:color="auto"/>
                <w:left w:val="none" w:sz="0" w:space="0" w:color="auto"/>
                <w:bottom w:val="none" w:sz="0" w:space="0" w:color="auto"/>
                <w:right w:val="none" w:sz="0" w:space="0" w:color="auto"/>
              </w:divBdr>
              <w:divsChild>
                <w:div w:id="1878852571">
                  <w:marLeft w:val="0"/>
                  <w:marRight w:val="0"/>
                  <w:marTop w:val="0"/>
                  <w:marBottom w:val="0"/>
                  <w:divBdr>
                    <w:top w:val="none" w:sz="0" w:space="0" w:color="auto"/>
                    <w:left w:val="none" w:sz="0" w:space="0" w:color="auto"/>
                    <w:bottom w:val="none" w:sz="0" w:space="0" w:color="auto"/>
                    <w:right w:val="none" w:sz="0" w:space="0" w:color="auto"/>
                  </w:divBdr>
                  <w:divsChild>
                    <w:div w:id="1361973312">
                      <w:marLeft w:val="0"/>
                      <w:marRight w:val="0"/>
                      <w:marTop w:val="0"/>
                      <w:marBottom w:val="0"/>
                      <w:divBdr>
                        <w:top w:val="none" w:sz="0" w:space="0" w:color="auto"/>
                        <w:left w:val="none" w:sz="0" w:space="0" w:color="auto"/>
                        <w:bottom w:val="none" w:sz="0" w:space="0" w:color="auto"/>
                        <w:right w:val="none" w:sz="0" w:space="0" w:color="auto"/>
                      </w:divBdr>
                      <w:divsChild>
                        <w:div w:id="1940285042">
                          <w:marLeft w:val="0"/>
                          <w:marRight w:val="0"/>
                          <w:marTop w:val="0"/>
                          <w:marBottom w:val="0"/>
                          <w:divBdr>
                            <w:top w:val="single" w:sz="6" w:space="0" w:color="828282"/>
                            <w:left w:val="single" w:sz="6" w:space="0" w:color="828282"/>
                            <w:bottom w:val="single" w:sz="6" w:space="0" w:color="828282"/>
                            <w:right w:val="single" w:sz="6" w:space="0" w:color="828282"/>
                          </w:divBdr>
                          <w:divsChild>
                            <w:div w:id="1929386783">
                              <w:marLeft w:val="0"/>
                              <w:marRight w:val="0"/>
                              <w:marTop w:val="0"/>
                              <w:marBottom w:val="0"/>
                              <w:divBdr>
                                <w:top w:val="none" w:sz="0" w:space="0" w:color="auto"/>
                                <w:left w:val="none" w:sz="0" w:space="0" w:color="auto"/>
                                <w:bottom w:val="none" w:sz="0" w:space="0" w:color="auto"/>
                                <w:right w:val="none" w:sz="0" w:space="0" w:color="auto"/>
                              </w:divBdr>
                              <w:divsChild>
                                <w:div w:id="2001426341">
                                  <w:marLeft w:val="0"/>
                                  <w:marRight w:val="0"/>
                                  <w:marTop w:val="0"/>
                                  <w:marBottom w:val="0"/>
                                  <w:divBdr>
                                    <w:top w:val="none" w:sz="0" w:space="0" w:color="auto"/>
                                    <w:left w:val="none" w:sz="0" w:space="0" w:color="auto"/>
                                    <w:bottom w:val="none" w:sz="0" w:space="0" w:color="auto"/>
                                    <w:right w:val="none" w:sz="0" w:space="0" w:color="auto"/>
                                  </w:divBdr>
                                  <w:divsChild>
                                    <w:div w:id="1355034253">
                                      <w:marLeft w:val="0"/>
                                      <w:marRight w:val="0"/>
                                      <w:marTop w:val="0"/>
                                      <w:marBottom w:val="0"/>
                                      <w:divBdr>
                                        <w:top w:val="none" w:sz="0" w:space="0" w:color="auto"/>
                                        <w:left w:val="none" w:sz="0" w:space="0" w:color="auto"/>
                                        <w:bottom w:val="none" w:sz="0" w:space="0" w:color="auto"/>
                                        <w:right w:val="none" w:sz="0" w:space="0" w:color="auto"/>
                                      </w:divBdr>
                                      <w:divsChild>
                                        <w:div w:id="620460846">
                                          <w:marLeft w:val="0"/>
                                          <w:marRight w:val="0"/>
                                          <w:marTop w:val="0"/>
                                          <w:marBottom w:val="0"/>
                                          <w:divBdr>
                                            <w:top w:val="none" w:sz="0" w:space="0" w:color="auto"/>
                                            <w:left w:val="none" w:sz="0" w:space="0" w:color="auto"/>
                                            <w:bottom w:val="none" w:sz="0" w:space="0" w:color="auto"/>
                                            <w:right w:val="none" w:sz="0" w:space="0" w:color="auto"/>
                                          </w:divBdr>
                                          <w:divsChild>
                                            <w:div w:id="2138179142">
                                              <w:marLeft w:val="0"/>
                                              <w:marRight w:val="0"/>
                                              <w:marTop w:val="0"/>
                                              <w:marBottom w:val="0"/>
                                              <w:divBdr>
                                                <w:top w:val="none" w:sz="0" w:space="0" w:color="auto"/>
                                                <w:left w:val="none" w:sz="0" w:space="0" w:color="auto"/>
                                                <w:bottom w:val="none" w:sz="0" w:space="0" w:color="auto"/>
                                                <w:right w:val="none" w:sz="0" w:space="0" w:color="auto"/>
                                              </w:divBdr>
                                              <w:divsChild>
                                                <w:div w:id="18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aic.gov.au/privacy/applying-privacy-law/privacy-registers/privacy-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21C2-78CF-4082-9B69-788FE85C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5944</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Croxall</dc:creator>
  <cp:lastModifiedBy>Andrew Solomon</cp:lastModifiedBy>
  <cp:revision>2</cp:revision>
  <cp:lastPrinted>2013-10-14T04:06:00Z</cp:lastPrinted>
  <dcterms:created xsi:type="dcterms:W3CDTF">2014-04-24T04:54:00Z</dcterms:created>
  <dcterms:modified xsi:type="dcterms:W3CDTF">2014-04-24T04:54:00Z</dcterms:modified>
</cp:coreProperties>
</file>