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 xml:space="preserve">Act Determination </w:t>
      </w:r>
      <w:r w:rsidR="00500C92">
        <w:rPr>
          <w:i/>
          <w:sz w:val="24"/>
        </w:rPr>
        <w:t>2014</w:t>
      </w:r>
      <w:r>
        <w:rPr>
          <w:i/>
          <w:sz w:val="24"/>
        </w:rPr>
        <w:t>/</w:t>
      </w:r>
      <w:r w:rsidR="00EE4B6E">
        <w:rPr>
          <w:i/>
          <w:sz w:val="24"/>
        </w:rPr>
        <w:t>0</w:t>
      </w:r>
      <w:r w:rsidR="00C6109A">
        <w:rPr>
          <w:i/>
          <w:sz w:val="24"/>
        </w:rPr>
        <w:t>8</w:t>
      </w:r>
      <w:r w:rsidR="00500C92">
        <w:rPr>
          <w:i/>
          <w:sz w:val="24"/>
        </w:rPr>
        <w:t xml:space="preserve"> </w:t>
      </w:r>
      <w:r w:rsidR="00A143A9">
        <w:rPr>
          <w:i/>
          <w:sz w:val="24"/>
        </w:rPr>
        <w:t>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967FAB">
        <w:rPr>
          <w:i/>
          <w:sz w:val="24"/>
        </w:rPr>
        <w:t>DRET</w:t>
      </w:r>
      <w:r w:rsidR="00580921">
        <w:rPr>
          <w:i/>
          <w:sz w:val="24"/>
        </w:rPr>
        <w:t xml:space="preserve"> to </w:t>
      </w:r>
      <w:r w:rsidR="00967FAB">
        <w:rPr>
          <w:i/>
          <w:sz w:val="24"/>
        </w:rPr>
        <w:t>Industry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Pr="00D33E29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2013.</w:t>
      </w:r>
    </w:p>
    <w:p w:rsidR="00967FAB" w:rsidRDefault="00967FAB" w:rsidP="00967FAB">
      <w:pPr>
        <w:pStyle w:val="Heading3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</w:t>
      </w:r>
      <w:r>
        <w:rPr>
          <w:b w:val="0"/>
          <w:bCs w:val="0"/>
          <w:sz w:val="22"/>
          <w:szCs w:val="22"/>
        </w:rPr>
        <w:t xml:space="preserve">further </w:t>
      </w:r>
      <w:r w:rsidRPr="00BA3C00">
        <w:rPr>
          <w:b w:val="0"/>
          <w:bCs w:val="0"/>
          <w:sz w:val="22"/>
          <w:szCs w:val="22"/>
        </w:rPr>
        <w:t>adjusts appropriations to</w:t>
      </w:r>
      <w:r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functions </w:t>
      </w:r>
      <w:r w:rsidR="00EE35BD">
        <w:rPr>
          <w:b w:val="0"/>
          <w:bCs w:val="0"/>
          <w:sz w:val="22"/>
          <w:szCs w:val="22"/>
        </w:rPr>
        <w:t xml:space="preserve">transferred </w:t>
      </w:r>
      <w:r w:rsidRPr="00BA3C00">
        <w:rPr>
          <w:b w:val="0"/>
          <w:bCs w:val="0"/>
          <w:sz w:val="22"/>
          <w:szCs w:val="22"/>
        </w:rPr>
        <w:t xml:space="preserve">from </w:t>
      </w:r>
      <w:r>
        <w:rPr>
          <w:b w:val="0"/>
          <w:bCs w:val="0"/>
          <w:sz w:val="22"/>
          <w:szCs w:val="22"/>
        </w:rPr>
        <w:t xml:space="preserve">the Department of Resources, Energy and Tourism </w:t>
      </w:r>
      <w:r w:rsidRPr="00BA3C00">
        <w:rPr>
          <w:b w:val="0"/>
          <w:bCs w:val="0"/>
          <w:sz w:val="22"/>
          <w:szCs w:val="22"/>
        </w:rPr>
        <w:t xml:space="preserve">to </w:t>
      </w:r>
      <w:r>
        <w:rPr>
          <w:b w:val="0"/>
          <w:bCs w:val="0"/>
          <w:sz w:val="22"/>
          <w:szCs w:val="22"/>
        </w:rPr>
        <w:t xml:space="preserve">the </w:t>
      </w:r>
      <w:r w:rsidRPr="00CB13FF">
        <w:rPr>
          <w:b w:val="0"/>
          <w:bCs w:val="0"/>
          <w:sz w:val="22"/>
          <w:szCs w:val="22"/>
        </w:rPr>
        <w:t xml:space="preserve">Department of </w:t>
      </w:r>
      <w:r>
        <w:rPr>
          <w:b w:val="0"/>
          <w:bCs w:val="0"/>
          <w:sz w:val="22"/>
          <w:szCs w:val="22"/>
        </w:rPr>
        <w:t>Industry</w:t>
      </w:r>
      <w:r w:rsidRPr="00CB13FF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 xml:space="preserve">previously known as the </w:t>
      </w:r>
      <w:r w:rsidRPr="00D37794">
        <w:rPr>
          <w:b w:val="0"/>
          <w:bCs w:val="0"/>
          <w:sz w:val="22"/>
          <w:szCs w:val="22"/>
        </w:rPr>
        <w:t>Department of Industry, Innovation, Climate Change, Science, Research and Tertiary Education</w:t>
      </w:r>
      <w:r>
        <w:rPr>
          <w:b w:val="0"/>
          <w:bCs w:val="0"/>
          <w:sz w:val="22"/>
          <w:szCs w:val="22"/>
        </w:rPr>
        <w:t>)</w:t>
      </w:r>
      <w:r w:rsidRPr="00BA3C00">
        <w:rPr>
          <w:b w:val="0"/>
          <w:bCs w:val="0"/>
          <w:sz w:val="22"/>
          <w:szCs w:val="22"/>
        </w:rPr>
        <w:t xml:space="preserve">. </w:t>
      </w:r>
    </w:p>
    <w:p w:rsidR="00FB74DB" w:rsidRDefault="00967FAB" w:rsidP="00FB74DB">
      <w:pPr>
        <w:pStyle w:val="Heading3"/>
        <w:tabs>
          <w:tab w:val="left" w:pos="0"/>
        </w:tabs>
        <w:spacing w:before="0" w:after="0"/>
        <w:ind w:right="237"/>
        <w:rPr>
          <w:b w:val="0"/>
          <w:i/>
          <w:iCs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Determination is the </w:t>
      </w:r>
      <w:r w:rsidR="00FB74DB">
        <w:rPr>
          <w:b w:val="0"/>
          <w:bCs w:val="0"/>
          <w:sz w:val="22"/>
          <w:szCs w:val="22"/>
        </w:rPr>
        <w:t xml:space="preserve">third transfer of appropriations in relation to the abolition of the Department of Resources, Energy and Tourism. </w:t>
      </w:r>
      <w:r w:rsidR="00FB74DB" w:rsidRPr="00FB74DB">
        <w:rPr>
          <w:b w:val="0"/>
          <w:iCs/>
          <w:sz w:val="22"/>
          <w:szCs w:val="22"/>
        </w:rPr>
        <w:t xml:space="preserve">An initial transfer of appropriations relating to the </w:t>
      </w:r>
      <w:r w:rsidR="00FB74DB" w:rsidRPr="00FB74DB">
        <w:rPr>
          <w:b w:val="0"/>
          <w:sz w:val="22"/>
          <w:szCs w:val="22"/>
        </w:rPr>
        <w:t xml:space="preserve">Administrative Arrangements Order </w:t>
      </w:r>
      <w:r w:rsidR="00FB74DB" w:rsidRPr="00FB74DB">
        <w:rPr>
          <w:b w:val="0"/>
          <w:iCs/>
          <w:sz w:val="22"/>
          <w:szCs w:val="22"/>
        </w:rPr>
        <w:t xml:space="preserve">occurred </w:t>
      </w:r>
      <w:r w:rsidR="00FB74DB" w:rsidRPr="00FB74DB">
        <w:rPr>
          <w:b w:val="0"/>
          <w:sz w:val="22"/>
          <w:szCs w:val="22"/>
        </w:rPr>
        <w:t>on 20 September 2013,</w:t>
      </w:r>
      <w:r w:rsidR="00FB74DB" w:rsidRPr="00FB74DB">
        <w:rPr>
          <w:b w:val="0"/>
          <w:i/>
          <w:sz w:val="22"/>
          <w:szCs w:val="22"/>
        </w:rPr>
        <w:t xml:space="preserve"> </w:t>
      </w:r>
      <w:r w:rsidR="00FB74DB" w:rsidRPr="00FB74DB">
        <w:rPr>
          <w:b w:val="0"/>
          <w:iCs/>
          <w:sz w:val="22"/>
          <w:szCs w:val="22"/>
        </w:rPr>
        <w:t xml:space="preserve">under </w:t>
      </w:r>
      <w:r w:rsidR="00FB74DB" w:rsidRPr="00FB74DB">
        <w:rPr>
          <w:b w:val="0"/>
          <w:i/>
          <w:iCs/>
          <w:sz w:val="22"/>
          <w:szCs w:val="22"/>
        </w:rPr>
        <w:t>FMA Act Determination</w:t>
      </w:r>
      <w:r w:rsidR="00FB74DB" w:rsidRPr="00FB74DB">
        <w:rPr>
          <w:b w:val="0"/>
          <w:iCs/>
          <w:sz w:val="22"/>
          <w:szCs w:val="22"/>
        </w:rPr>
        <w:t xml:space="preserve"> </w:t>
      </w:r>
      <w:r w:rsidR="00FB74DB" w:rsidRPr="00FB74DB">
        <w:rPr>
          <w:b w:val="0"/>
          <w:i/>
          <w:iCs/>
          <w:sz w:val="22"/>
          <w:szCs w:val="22"/>
        </w:rPr>
        <w:t>2013/08 — Section 32 (Transfer of Functions from DRET to Industry)</w:t>
      </w:r>
      <w:r w:rsidR="00FB74DB" w:rsidRPr="00FB74DB">
        <w:rPr>
          <w:b w:val="0"/>
          <w:iCs/>
          <w:sz w:val="22"/>
          <w:szCs w:val="22"/>
        </w:rPr>
        <w:t xml:space="preserve">. A second transfer of appropriations occurred on 29 October 2013, under </w:t>
      </w:r>
      <w:r w:rsidR="00FB74DB" w:rsidRPr="00FB74DB">
        <w:rPr>
          <w:b w:val="0"/>
          <w:i/>
          <w:iCs/>
          <w:sz w:val="22"/>
          <w:szCs w:val="22"/>
        </w:rPr>
        <w:t xml:space="preserve">FMA Act Determination </w:t>
      </w:r>
    </w:p>
    <w:p w:rsidR="00EE4B6E" w:rsidRPr="00EE4B6E" w:rsidRDefault="00FB74DB" w:rsidP="00FB74DB">
      <w:pPr>
        <w:pStyle w:val="Heading3"/>
        <w:tabs>
          <w:tab w:val="left" w:pos="0"/>
        </w:tabs>
        <w:spacing w:before="0" w:after="0"/>
        <w:ind w:right="237"/>
        <w:rPr>
          <w:b w:val="0"/>
          <w:bCs w:val="0"/>
          <w:sz w:val="22"/>
          <w:szCs w:val="22"/>
        </w:rPr>
      </w:pPr>
      <w:r w:rsidRPr="00FB74DB">
        <w:rPr>
          <w:b w:val="0"/>
          <w:i/>
          <w:iCs/>
          <w:sz w:val="22"/>
          <w:szCs w:val="22"/>
        </w:rPr>
        <w:t>2013/10 — Section 32 (Transfer of Functions from DRET to Industry)</w:t>
      </w:r>
      <w:r w:rsidRPr="00FB74DB">
        <w:rPr>
          <w:b w:val="0"/>
          <w:iCs/>
          <w:sz w:val="22"/>
          <w:szCs w:val="22"/>
        </w:rPr>
        <w:t>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3148BC" w:rsidP="003148B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62 of the FMA Act, the Finance Minister has delegated the power to make determinations under section 32 to </w:t>
      </w:r>
      <w:r>
        <w:rPr>
          <w:b w:val="0"/>
          <w:sz w:val="22"/>
          <w:szCs w:val="22"/>
        </w:rPr>
        <w:t>the Secretary of the Department of Finance. Under section 53 of the FMA Act, the Secretary has, in turn, sub</w:t>
      </w:r>
      <w:r>
        <w:rPr>
          <w:b w:val="0"/>
          <w:sz w:val="22"/>
          <w:szCs w:val="22"/>
        </w:rPr>
        <w:noBreakHyphen/>
        <w:t>delegated this power to certain Senior Executive Service officials within the Department of Finance,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FB74DB">
        <w:rPr>
          <w:sz w:val="22"/>
          <w:szCs w:val="22"/>
        </w:rPr>
        <w:t>Industry</w:t>
      </w:r>
      <w:r w:rsidR="00846FD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w</w:t>
      </w:r>
      <w:r w:rsidR="00FB74DB">
        <w:rPr>
          <w:sz w:val="22"/>
          <w:szCs w:val="22"/>
        </w:rPr>
        <w:t>as</w:t>
      </w:r>
      <w:r w:rsidR="00895A7A" w:rsidRPr="008C6DCC">
        <w:rPr>
          <w:sz w:val="22"/>
          <w:szCs w:val="22"/>
        </w:rPr>
        <w:t xml:space="preserve">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085" w:type="dxa"/>
        <w:tblInd w:w="95" w:type="dxa"/>
        <w:tblLook w:val="04A0"/>
      </w:tblPr>
      <w:tblGrid>
        <w:gridCol w:w="2707"/>
        <w:gridCol w:w="1478"/>
        <w:gridCol w:w="1727"/>
        <w:gridCol w:w="1472"/>
        <w:gridCol w:w="1701"/>
      </w:tblGrid>
      <w:tr w:rsidR="00F42555" w:rsidRPr="000851AA" w:rsidTr="004C2410">
        <w:trPr>
          <w:trHeight w:val="496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EE4B6E" w:rsidRPr="000851AA" w:rsidTr="003D776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13191F" w:rsidRDefault="00EE4B6E" w:rsidP="00251A23">
            <w:pPr>
              <w:keepNext/>
              <w:keepLines/>
              <w:rPr>
                <w:iCs/>
                <w:sz w:val="22"/>
                <w:szCs w:val="22"/>
              </w:rPr>
            </w:pPr>
            <w:r w:rsidRPr="0013191F">
              <w:rPr>
                <w:sz w:val="22"/>
                <w:szCs w:val="22"/>
              </w:rPr>
              <w:t xml:space="preserve">Department of </w:t>
            </w:r>
            <w:r w:rsidR="00251A23">
              <w:rPr>
                <w:sz w:val="22"/>
                <w:szCs w:val="22"/>
              </w:rPr>
              <w:t>Industry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B5095E" w:rsidRDefault="00251A23" w:rsidP="00251A23">
            <w:pPr>
              <w:keepNext/>
              <w:keepLine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 xml:space="preserve">Administered item, Outcome 5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0851AA" w:rsidRDefault="00EE4B6E" w:rsidP="00C90A47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0851AA" w:rsidRDefault="00EE4B6E" w:rsidP="00251A23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251A23">
              <w:rPr>
                <w:color w:val="000000"/>
                <w:sz w:val="22"/>
                <w:szCs w:val="22"/>
                <w:lang w:eastAsia="en-AU"/>
              </w:rPr>
              <w:t>135,017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Default="00EE4B6E" w:rsidP="00F12D0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EE4B6E" w:rsidRPr="000851AA" w:rsidTr="003D7768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CB13FF" w:rsidRDefault="00EE4B6E" w:rsidP="00C90A47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Department of </w:t>
            </w:r>
            <w:r w:rsidR="00251A23">
              <w:rPr>
                <w:sz w:val="22"/>
                <w:szCs w:val="22"/>
              </w:rPr>
              <w:t>Resources, Energy and Tourism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CB13FF" w:rsidRDefault="00251A23" w:rsidP="00C90A47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0851AA" w:rsidRDefault="00EE4B6E" w:rsidP="00C90A47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Pr="000851AA" w:rsidRDefault="00EE4B6E" w:rsidP="00C90A47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4B6E" w:rsidRDefault="00EE4B6E" w:rsidP="00251A23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251A23">
              <w:rPr>
                <w:color w:val="000000"/>
                <w:sz w:val="22"/>
                <w:szCs w:val="22"/>
                <w:lang w:eastAsia="en-AU"/>
              </w:rPr>
              <w:t>135,017</w:t>
            </w:r>
          </w:p>
        </w:tc>
      </w:tr>
      <w:tr w:rsidR="00651174" w:rsidRPr="000851AA" w:rsidTr="003D7768">
        <w:trPr>
          <w:trHeight w:val="505"/>
        </w:trPr>
        <w:tc>
          <w:tcPr>
            <w:tcW w:w="591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1174" w:rsidRPr="003D7768" w:rsidRDefault="00651174" w:rsidP="003D7768">
            <w:pPr>
              <w:tabs>
                <w:tab w:val="left" w:pos="4733"/>
              </w:tabs>
              <w:ind w:firstLine="4441"/>
              <w:jc w:val="both"/>
              <w:rPr>
                <w:b/>
                <w:sz w:val="22"/>
                <w:szCs w:val="22"/>
                <w:lang w:eastAsia="en-AU"/>
              </w:rPr>
            </w:pPr>
            <w:r w:rsidRPr="003D7768">
              <w:rPr>
                <w:b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651174" w:rsidRPr="006A5EB8" w:rsidRDefault="00651174" w:rsidP="00251A23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251A23">
              <w:rPr>
                <w:b/>
                <w:bCs/>
                <w:color w:val="000000"/>
                <w:sz w:val="22"/>
                <w:szCs w:val="22"/>
                <w:lang w:eastAsia="en-AU"/>
              </w:rPr>
              <w:t>135,017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651174" w:rsidRPr="000851AA" w:rsidRDefault="00651174" w:rsidP="00251A23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251A23">
              <w:rPr>
                <w:b/>
                <w:bCs/>
                <w:color w:val="000000"/>
                <w:sz w:val="22"/>
                <w:szCs w:val="22"/>
                <w:lang w:eastAsia="en-AU"/>
              </w:rPr>
              <w:t>135,017</w:t>
            </w:r>
          </w:p>
        </w:tc>
      </w:tr>
    </w:tbl>
    <w:p w:rsidR="00F42555" w:rsidRPr="00BA0346" w:rsidRDefault="00F42555" w:rsidP="00A56D96">
      <w:pPr>
        <w:keepNext/>
        <w:keepLines/>
        <w:rPr>
          <w:sz w:val="2"/>
          <w:szCs w:val="2"/>
        </w:rPr>
      </w:pPr>
    </w:p>
    <w:sectPr w:rsidR="00F42555" w:rsidRPr="00BA0346" w:rsidSect="008C6DCC">
      <w:footerReference w:type="default" r:id="rId8"/>
      <w:footerReference w:type="first" r:id="rId9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68" w:rsidRDefault="003D7768">
      <w:r>
        <w:separator/>
      </w:r>
    </w:p>
  </w:endnote>
  <w:endnote w:type="continuationSeparator" w:id="0">
    <w:p w:rsidR="003D7768" w:rsidRDefault="003D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3D7768" w:rsidRDefault="003D7768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B359ED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B359ED">
                <w:rPr>
                  <w:noProof/>
                </w:rPr>
                <w:t>2</w:t>
              </w:r>
            </w:fldSimple>
          </w:p>
        </w:sdtContent>
      </w:sdt>
    </w:sdtContent>
  </w:sdt>
  <w:p w:rsidR="003D7768" w:rsidRPr="004D4D7E" w:rsidRDefault="003D7768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68" w:rsidRDefault="003D7768">
    <w:pPr>
      <w:pStyle w:val="Footer"/>
      <w:jc w:val="right"/>
    </w:pPr>
    <w:r w:rsidRPr="00F1031D">
      <w:rPr>
        <w:sz w:val="22"/>
        <w:szCs w:val="22"/>
      </w:rPr>
      <w:t>Page 1</w:t>
    </w:r>
  </w:p>
  <w:p w:rsidR="003D7768" w:rsidRDefault="003D77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68" w:rsidRDefault="003D7768">
      <w:r>
        <w:separator/>
      </w:r>
    </w:p>
  </w:footnote>
  <w:footnote w:type="continuationSeparator" w:id="0">
    <w:p w:rsidR="003D7768" w:rsidRDefault="003D7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7">
    <w:nsid w:val="5B9352DA"/>
    <w:multiLevelType w:val="multilevel"/>
    <w:tmpl w:val="77127C44"/>
    <w:numStyleLink w:val="Style1"/>
  </w:abstractNum>
  <w:abstractNum w:abstractNumId="18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5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1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34"/>
  </w:num>
  <w:num w:numId="9">
    <w:abstractNumId w:val="20"/>
  </w:num>
  <w:num w:numId="10">
    <w:abstractNumId w:val="35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25"/>
  </w:num>
  <w:num w:numId="16">
    <w:abstractNumId w:val="12"/>
  </w:num>
  <w:num w:numId="17">
    <w:abstractNumId w:val="22"/>
  </w:num>
  <w:num w:numId="18">
    <w:abstractNumId w:val="8"/>
  </w:num>
  <w:num w:numId="19">
    <w:abstractNumId w:val="26"/>
  </w:num>
  <w:num w:numId="20">
    <w:abstractNumId w:val="30"/>
  </w:num>
  <w:num w:numId="21">
    <w:abstractNumId w:val="2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5"/>
  </w:num>
  <w:num w:numId="27">
    <w:abstractNumId w:val="33"/>
  </w:num>
  <w:num w:numId="28">
    <w:abstractNumId w:val="6"/>
  </w:num>
  <w:num w:numId="29">
    <w:abstractNumId w:val="18"/>
  </w:num>
  <w:num w:numId="30">
    <w:abstractNumId w:val="7"/>
  </w:num>
  <w:num w:numId="31">
    <w:abstractNumId w:val="2"/>
  </w:num>
  <w:num w:numId="32">
    <w:abstractNumId w:val="17"/>
  </w:num>
  <w:num w:numId="33">
    <w:abstractNumId w:val="24"/>
  </w:num>
  <w:num w:numId="34">
    <w:abstractNumId w:val="31"/>
  </w:num>
  <w:num w:numId="35">
    <w:abstractNumId w:val="11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656D0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61A9"/>
    <w:rsid w:val="000C7006"/>
    <w:rsid w:val="000E003A"/>
    <w:rsid w:val="000E0589"/>
    <w:rsid w:val="000E0988"/>
    <w:rsid w:val="000E0B66"/>
    <w:rsid w:val="000E35CD"/>
    <w:rsid w:val="000F101F"/>
    <w:rsid w:val="000F29FA"/>
    <w:rsid w:val="00100667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191F"/>
    <w:rsid w:val="0013370F"/>
    <w:rsid w:val="0014174F"/>
    <w:rsid w:val="00143540"/>
    <w:rsid w:val="00145585"/>
    <w:rsid w:val="00147D4B"/>
    <w:rsid w:val="0015000E"/>
    <w:rsid w:val="00150399"/>
    <w:rsid w:val="001520EA"/>
    <w:rsid w:val="00153E56"/>
    <w:rsid w:val="0015775E"/>
    <w:rsid w:val="00157E73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D0CF6"/>
    <w:rsid w:val="001D0E3B"/>
    <w:rsid w:val="001D2005"/>
    <w:rsid w:val="001D2DDE"/>
    <w:rsid w:val="001D5936"/>
    <w:rsid w:val="001D6D4A"/>
    <w:rsid w:val="001D7EBB"/>
    <w:rsid w:val="001E1498"/>
    <w:rsid w:val="001E1FEC"/>
    <w:rsid w:val="001E3D16"/>
    <w:rsid w:val="001E6C17"/>
    <w:rsid w:val="001E6DF8"/>
    <w:rsid w:val="001E7E06"/>
    <w:rsid w:val="001F2C32"/>
    <w:rsid w:val="0020297E"/>
    <w:rsid w:val="002044FE"/>
    <w:rsid w:val="00210897"/>
    <w:rsid w:val="00210E42"/>
    <w:rsid w:val="002138B6"/>
    <w:rsid w:val="00217B33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1A23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903B6"/>
    <w:rsid w:val="00294890"/>
    <w:rsid w:val="00297A0E"/>
    <w:rsid w:val="002A2659"/>
    <w:rsid w:val="002A5B61"/>
    <w:rsid w:val="002B0CAC"/>
    <w:rsid w:val="002B14F9"/>
    <w:rsid w:val="002B2473"/>
    <w:rsid w:val="002B30FE"/>
    <w:rsid w:val="002B41A9"/>
    <w:rsid w:val="002B4EC2"/>
    <w:rsid w:val="002B63AA"/>
    <w:rsid w:val="002C00C1"/>
    <w:rsid w:val="002C13D4"/>
    <w:rsid w:val="002C23F4"/>
    <w:rsid w:val="002C2C9C"/>
    <w:rsid w:val="002C6468"/>
    <w:rsid w:val="002D0329"/>
    <w:rsid w:val="002D0C44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06AF6"/>
    <w:rsid w:val="00314427"/>
    <w:rsid w:val="003148BC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47C"/>
    <w:rsid w:val="003559BE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02A6"/>
    <w:rsid w:val="003D196C"/>
    <w:rsid w:val="003D3AE3"/>
    <w:rsid w:val="003D567D"/>
    <w:rsid w:val="003D702D"/>
    <w:rsid w:val="003D7768"/>
    <w:rsid w:val="003E12AC"/>
    <w:rsid w:val="003F30B8"/>
    <w:rsid w:val="003F3D59"/>
    <w:rsid w:val="003F6F38"/>
    <w:rsid w:val="0040008B"/>
    <w:rsid w:val="0040171D"/>
    <w:rsid w:val="00402FD8"/>
    <w:rsid w:val="0040401B"/>
    <w:rsid w:val="00411C32"/>
    <w:rsid w:val="00414F33"/>
    <w:rsid w:val="00417378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B14"/>
    <w:rsid w:val="00435821"/>
    <w:rsid w:val="00441E14"/>
    <w:rsid w:val="00444E5D"/>
    <w:rsid w:val="004459DA"/>
    <w:rsid w:val="0045109E"/>
    <w:rsid w:val="00453D35"/>
    <w:rsid w:val="0046173D"/>
    <w:rsid w:val="00461FF5"/>
    <w:rsid w:val="00463304"/>
    <w:rsid w:val="004641E6"/>
    <w:rsid w:val="0046426E"/>
    <w:rsid w:val="0046695A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6E4A"/>
    <w:rsid w:val="004A7EFD"/>
    <w:rsid w:val="004B1F89"/>
    <w:rsid w:val="004B2570"/>
    <w:rsid w:val="004B379B"/>
    <w:rsid w:val="004B60E9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0C92"/>
    <w:rsid w:val="00504B6C"/>
    <w:rsid w:val="00505CD9"/>
    <w:rsid w:val="00505FC1"/>
    <w:rsid w:val="00506201"/>
    <w:rsid w:val="005107F2"/>
    <w:rsid w:val="0051082A"/>
    <w:rsid w:val="0051596E"/>
    <w:rsid w:val="00516292"/>
    <w:rsid w:val="00516E58"/>
    <w:rsid w:val="00516E6A"/>
    <w:rsid w:val="00524053"/>
    <w:rsid w:val="005311B5"/>
    <w:rsid w:val="00534E8D"/>
    <w:rsid w:val="00536C1D"/>
    <w:rsid w:val="0053758A"/>
    <w:rsid w:val="00541D0F"/>
    <w:rsid w:val="005508AE"/>
    <w:rsid w:val="00552B2C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97E7E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D3A68"/>
    <w:rsid w:val="005D3EC3"/>
    <w:rsid w:val="005D6039"/>
    <w:rsid w:val="005E0DCF"/>
    <w:rsid w:val="005F0563"/>
    <w:rsid w:val="005F0757"/>
    <w:rsid w:val="005F6A89"/>
    <w:rsid w:val="00601B7F"/>
    <w:rsid w:val="00604E38"/>
    <w:rsid w:val="0060592C"/>
    <w:rsid w:val="00607D05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174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5D40"/>
    <w:rsid w:val="006C2384"/>
    <w:rsid w:val="006C6DA9"/>
    <w:rsid w:val="006C7716"/>
    <w:rsid w:val="006C7818"/>
    <w:rsid w:val="006D1B01"/>
    <w:rsid w:val="006D2586"/>
    <w:rsid w:val="006D3A54"/>
    <w:rsid w:val="006D4876"/>
    <w:rsid w:val="006D64A0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850AC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B73"/>
    <w:rsid w:val="007B5C28"/>
    <w:rsid w:val="007B5E05"/>
    <w:rsid w:val="007B6631"/>
    <w:rsid w:val="007D1005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1FA7"/>
    <w:rsid w:val="00842726"/>
    <w:rsid w:val="00842E36"/>
    <w:rsid w:val="008439B1"/>
    <w:rsid w:val="00846C7A"/>
    <w:rsid w:val="00846FDC"/>
    <w:rsid w:val="0085186D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853"/>
    <w:rsid w:val="00887A0A"/>
    <w:rsid w:val="00887F1A"/>
    <w:rsid w:val="0089069B"/>
    <w:rsid w:val="00892D0D"/>
    <w:rsid w:val="00895A7A"/>
    <w:rsid w:val="00896D11"/>
    <w:rsid w:val="008A3ACE"/>
    <w:rsid w:val="008A6347"/>
    <w:rsid w:val="008A7692"/>
    <w:rsid w:val="008B0691"/>
    <w:rsid w:val="008B42FB"/>
    <w:rsid w:val="008C0696"/>
    <w:rsid w:val="008C2115"/>
    <w:rsid w:val="008C29C7"/>
    <w:rsid w:val="008C3294"/>
    <w:rsid w:val="008C5565"/>
    <w:rsid w:val="008C6DCC"/>
    <w:rsid w:val="008D22DC"/>
    <w:rsid w:val="008D48F8"/>
    <w:rsid w:val="008D63F3"/>
    <w:rsid w:val="008D76FA"/>
    <w:rsid w:val="008F06C2"/>
    <w:rsid w:val="008F0A3F"/>
    <w:rsid w:val="008F3048"/>
    <w:rsid w:val="008F59B1"/>
    <w:rsid w:val="008F7BA5"/>
    <w:rsid w:val="00900C5B"/>
    <w:rsid w:val="00902EF9"/>
    <w:rsid w:val="009040D3"/>
    <w:rsid w:val="00915142"/>
    <w:rsid w:val="009164C8"/>
    <w:rsid w:val="0091777C"/>
    <w:rsid w:val="00920EEF"/>
    <w:rsid w:val="00927051"/>
    <w:rsid w:val="00927F60"/>
    <w:rsid w:val="009342B2"/>
    <w:rsid w:val="00940754"/>
    <w:rsid w:val="00940B65"/>
    <w:rsid w:val="00940E87"/>
    <w:rsid w:val="0094150B"/>
    <w:rsid w:val="00944671"/>
    <w:rsid w:val="0094580B"/>
    <w:rsid w:val="00946EF7"/>
    <w:rsid w:val="009522E2"/>
    <w:rsid w:val="00957A4C"/>
    <w:rsid w:val="00957A81"/>
    <w:rsid w:val="00960BD6"/>
    <w:rsid w:val="00960F5E"/>
    <w:rsid w:val="0096276C"/>
    <w:rsid w:val="00967FAB"/>
    <w:rsid w:val="009728FE"/>
    <w:rsid w:val="0097435D"/>
    <w:rsid w:val="00976513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735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9DA"/>
    <w:rsid w:val="00A24ADC"/>
    <w:rsid w:val="00A279B7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6D96"/>
    <w:rsid w:val="00A61B48"/>
    <w:rsid w:val="00A67C95"/>
    <w:rsid w:val="00A70A6F"/>
    <w:rsid w:val="00A7195F"/>
    <w:rsid w:val="00A73E2E"/>
    <w:rsid w:val="00A74AE2"/>
    <w:rsid w:val="00A75951"/>
    <w:rsid w:val="00A768E0"/>
    <w:rsid w:val="00A81778"/>
    <w:rsid w:val="00A819A9"/>
    <w:rsid w:val="00A81A17"/>
    <w:rsid w:val="00A81F6A"/>
    <w:rsid w:val="00A8563A"/>
    <w:rsid w:val="00A9263D"/>
    <w:rsid w:val="00A92F6F"/>
    <w:rsid w:val="00A95B97"/>
    <w:rsid w:val="00AA0A87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F0251"/>
    <w:rsid w:val="00AF0B56"/>
    <w:rsid w:val="00AF1C03"/>
    <w:rsid w:val="00AF654A"/>
    <w:rsid w:val="00AF78BA"/>
    <w:rsid w:val="00B0195F"/>
    <w:rsid w:val="00B045DE"/>
    <w:rsid w:val="00B05000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2634"/>
    <w:rsid w:val="00B359ED"/>
    <w:rsid w:val="00B36EF0"/>
    <w:rsid w:val="00B40943"/>
    <w:rsid w:val="00B4613A"/>
    <w:rsid w:val="00B464C5"/>
    <w:rsid w:val="00B47A0D"/>
    <w:rsid w:val="00B5095E"/>
    <w:rsid w:val="00B53522"/>
    <w:rsid w:val="00B72B26"/>
    <w:rsid w:val="00B74AC5"/>
    <w:rsid w:val="00B82657"/>
    <w:rsid w:val="00B8562B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E4B1D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6A6"/>
    <w:rsid w:val="00C3697B"/>
    <w:rsid w:val="00C42EF8"/>
    <w:rsid w:val="00C430AD"/>
    <w:rsid w:val="00C441D0"/>
    <w:rsid w:val="00C517F3"/>
    <w:rsid w:val="00C51D43"/>
    <w:rsid w:val="00C5382F"/>
    <w:rsid w:val="00C5405C"/>
    <w:rsid w:val="00C544C7"/>
    <w:rsid w:val="00C562EB"/>
    <w:rsid w:val="00C6109A"/>
    <w:rsid w:val="00C655A3"/>
    <w:rsid w:val="00C73650"/>
    <w:rsid w:val="00C7456C"/>
    <w:rsid w:val="00C74A16"/>
    <w:rsid w:val="00C770BC"/>
    <w:rsid w:val="00C775C5"/>
    <w:rsid w:val="00C7760F"/>
    <w:rsid w:val="00C77ACC"/>
    <w:rsid w:val="00C77CEE"/>
    <w:rsid w:val="00C82628"/>
    <w:rsid w:val="00C84220"/>
    <w:rsid w:val="00C86AFE"/>
    <w:rsid w:val="00C90A47"/>
    <w:rsid w:val="00C92341"/>
    <w:rsid w:val="00C93D4D"/>
    <w:rsid w:val="00C97BE9"/>
    <w:rsid w:val="00CA138D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10A1"/>
    <w:rsid w:val="00D451D6"/>
    <w:rsid w:val="00D468C8"/>
    <w:rsid w:val="00D46945"/>
    <w:rsid w:val="00D47B34"/>
    <w:rsid w:val="00D47FE4"/>
    <w:rsid w:val="00D50F0B"/>
    <w:rsid w:val="00D52CAE"/>
    <w:rsid w:val="00D55A14"/>
    <w:rsid w:val="00D60F48"/>
    <w:rsid w:val="00D63E96"/>
    <w:rsid w:val="00D676E6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39"/>
    <w:rsid w:val="00DE1A9C"/>
    <w:rsid w:val="00DE499E"/>
    <w:rsid w:val="00DE507F"/>
    <w:rsid w:val="00DE5602"/>
    <w:rsid w:val="00DF141D"/>
    <w:rsid w:val="00DF14D5"/>
    <w:rsid w:val="00DF2450"/>
    <w:rsid w:val="00DF5C6C"/>
    <w:rsid w:val="00E000D8"/>
    <w:rsid w:val="00E03420"/>
    <w:rsid w:val="00E130F4"/>
    <w:rsid w:val="00E1613C"/>
    <w:rsid w:val="00E171AF"/>
    <w:rsid w:val="00E17FE1"/>
    <w:rsid w:val="00E20829"/>
    <w:rsid w:val="00E211AA"/>
    <w:rsid w:val="00E236AF"/>
    <w:rsid w:val="00E25216"/>
    <w:rsid w:val="00E32FC3"/>
    <w:rsid w:val="00E434DE"/>
    <w:rsid w:val="00E45003"/>
    <w:rsid w:val="00E55913"/>
    <w:rsid w:val="00E571D3"/>
    <w:rsid w:val="00E6082C"/>
    <w:rsid w:val="00E71337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35BD"/>
    <w:rsid w:val="00EE4B6E"/>
    <w:rsid w:val="00EE53E0"/>
    <w:rsid w:val="00EE5E0D"/>
    <w:rsid w:val="00EE7A52"/>
    <w:rsid w:val="00EE7B4C"/>
    <w:rsid w:val="00EF1F1C"/>
    <w:rsid w:val="00EF6C7D"/>
    <w:rsid w:val="00EF73D0"/>
    <w:rsid w:val="00F00DDB"/>
    <w:rsid w:val="00F01D72"/>
    <w:rsid w:val="00F02323"/>
    <w:rsid w:val="00F0250C"/>
    <w:rsid w:val="00F02AB1"/>
    <w:rsid w:val="00F03831"/>
    <w:rsid w:val="00F03F44"/>
    <w:rsid w:val="00F0530A"/>
    <w:rsid w:val="00F05955"/>
    <w:rsid w:val="00F06A76"/>
    <w:rsid w:val="00F076B6"/>
    <w:rsid w:val="00F1031D"/>
    <w:rsid w:val="00F1222A"/>
    <w:rsid w:val="00F12D07"/>
    <w:rsid w:val="00F1483A"/>
    <w:rsid w:val="00F15F3B"/>
    <w:rsid w:val="00F1729C"/>
    <w:rsid w:val="00F177CD"/>
    <w:rsid w:val="00F221A2"/>
    <w:rsid w:val="00F226EB"/>
    <w:rsid w:val="00F3518E"/>
    <w:rsid w:val="00F362B9"/>
    <w:rsid w:val="00F41325"/>
    <w:rsid w:val="00F42555"/>
    <w:rsid w:val="00F433FB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4DB"/>
    <w:rsid w:val="00FB7928"/>
    <w:rsid w:val="00FC195B"/>
    <w:rsid w:val="00FC3137"/>
    <w:rsid w:val="00FC5865"/>
    <w:rsid w:val="00FC7806"/>
    <w:rsid w:val="00FD5165"/>
    <w:rsid w:val="00FD5E7A"/>
    <w:rsid w:val="00FD6453"/>
    <w:rsid w:val="00FD79D7"/>
    <w:rsid w:val="00FE16C2"/>
    <w:rsid w:val="00FE5159"/>
    <w:rsid w:val="00FE53EA"/>
    <w:rsid w:val="00FF2A74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87853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customStyle="1" w:styleId="Tabletext0">
    <w:name w:val="Tabletext"/>
    <w:aliases w:val="tt"/>
    <w:basedOn w:val="Normal"/>
    <w:uiPriority w:val="99"/>
    <w:rsid w:val="00651174"/>
    <w:pPr>
      <w:spacing w:before="60" w:line="240" w:lineRule="atLeast"/>
    </w:pPr>
    <w:rPr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4CB8B-5B33-470B-A780-325D81A3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ES - Establish</vt:lpstr>
      <vt:lpstr>        Purpose of the Determination</vt:lpstr>
      <vt:lpstr>        The Determination is made under section 32 of the Financial Management and Accou</vt:lpstr>
      <vt:lpstr>        The Determination further adjusts appropriations to support functions transferre</vt:lpstr>
      <vt:lpstr>        This Determination is the third transfer of appropriations in relation to the ab</vt:lpstr>
      <vt:lpstr>        2013/10 — Section 32 (Transfer of Functions from DRET to Industry).</vt:lpstr>
      <vt:lpstr>        Transfer of Functions generally</vt:lpstr>
      <vt:lpstr>        Section 32 of the FMA Act enables the Finance Minister to determine that one or </vt:lpstr>
      <vt:lpstr>        Under section 62 of the FMA Act, the Finance Minister has delegated the power to</vt:lpstr>
      <vt:lpstr>        Statement of Compatibility with Human Rights</vt:lpstr>
      <vt:lpstr>        Consultation and Impact</vt:lpstr>
      <vt:lpstr>        Summary of Changes</vt:lpstr>
    </vt:vector>
  </TitlesOfParts>
  <Company>Finance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McArthur</cp:lastModifiedBy>
  <cp:revision>7</cp:revision>
  <cp:lastPrinted>2014-04-30T03:42:00Z</cp:lastPrinted>
  <dcterms:created xsi:type="dcterms:W3CDTF">2014-04-26T05:30:00Z</dcterms:created>
  <dcterms:modified xsi:type="dcterms:W3CDTF">2014-04-30T03:43:00Z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