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045" w:rsidRPr="005B7E6D" w:rsidRDefault="00CC15D0" w:rsidP="005A79C8">
      <w:pPr>
        <w:pStyle w:val="LDAmendHeading"/>
        <w:spacing w:before="0"/>
        <w:ind w:left="0" w:firstLine="0"/>
        <w:rPr>
          <w:rFonts w:cs="Arial"/>
        </w:rPr>
      </w:pPr>
      <w:bookmarkStart w:id="0" w:name="_GoBack"/>
      <w:bookmarkEnd w:id="0"/>
      <w:r w:rsidRPr="005B7E6D">
        <w:rPr>
          <w:rFonts w:cs="Arial"/>
        </w:rPr>
        <w:t>Explanatory Statement</w:t>
      </w:r>
    </w:p>
    <w:p w:rsidR="003C4045" w:rsidRPr="005B7E6D" w:rsidRDefault="00CC15D0" w:rsidP="003D33DB">
      <w:pPr>
        <w:pStyle w:val="LDAmendHeading"/>
        <w:ind w:left="0" w:firstLine="0"/>
        <w:rPr>
          <w:rFonts w:cs="Arial"/>
        </w:rPr>
      </w:pPr>
      <w:r w:rsidRPr="005B7E6D">
        <w:rPr>
          <w:rFonts w:cs="Arial"/>
        </w:rPr>
        <w:t xml:space="preserve">Civil Aviation </w:t>
      </w:r>
      <w:r w:rsidR="00D51CFB" w:rsidRPr="005B7E6D">
        <w:rPr>
          <w:rFonts w:cs="Arial"/>
        </w:rPr>
        <w:t>Regulations</w:t>
      </w:r>
      <w:r w:rsidRPr="005B7E6D">
        <w:rPr>
          <w:rFonts w:cs="Arial"/>
        </w:rPr>
        <w:t xml:space="preserve"> 1988</w:t>
      </w:r>
    </w:p>
    <w:p w:rsidR="00857E14" w:rsidRPr="005B7E6D" w:rsidRDefault="00D51CFB" w:rsidP="003D33DB">
      <w:pPr>
        <w:pStyle w:val="LDAmendHeading"/>
        <w:ind w:left="0" w:firstLine="0"/>
        <w:rPr>
          <w:rFonts w:cs="Arial"/>
        </w:rPr>
      </w:pPr>
      <w:r w:rsidRPr="005B7E6D">
        <w:rPr>
          <w:rFonts w:cs="Arial"/>
        </w:rPr>
        <w:t xml:space="preserve">Direction — use of </w:t>
      </w:r>
      <w:r w:rsidR="00913518" w:rsidRPr="005B7E6D">
        <w:rPr>
          <w:rFonts w:cs="Arial"/>
        </w:rPr>
        <w:t>ADS-B</w:t>
      </w:r>
      <w:r w:rsidRPr="005B7E6D">
        <w:rPr>
          <w:rFonts w:cs="Arial"/>
        </w:rPr>
        <w:t xml:space="preserve"> in</w:t>
      </w:r>
      <w:r w:rsidR="00913518" w:rsidRPr="005B7E6D">
        <w:rPr>
          <w:rFonts w:cs="Arial"/>
        </w:rPr>
        <w:t xml:space="preserve"> </w:t>
      </w:r>
      <w:r w:rsidR="00FB6EDC" w:rsidRPr="005B7E6D">
        <w:rPr>
          <w:rFonts w:cs="Arial"/>
        </w:rPr>
        <w:t>foreign registered</w:t>
      </w:r>
      <w:r w:rsidR="00913518" w:rsidRPr="005B7E6D">
        <w:rPr>
          <w:rFonts w:cs="Arial"/>
        </w:rPr>
        <w:t xml:space="preserve"> aircraft</w:t>
      </w:r>
      <w:r w:rsidR="005B7E6D">
        <w:rPr>
          <w:rFonts w:cs="Arial"/>
        </w:rPr>
        <w:t xml:space="preserve"> engaged in</w:t>
      </w:r>
      <w:r w:rsidR="00913518" w:rsidRPr="005B7E6D">
        <w:rPr>
          <w:rFonts w:cs="Arial"/>
        </w:rPr>
        <w:t xml:space="preserve"> </w:t>
      </w:r>
      <w:r w:rsidRPr="005B7E6D">
        <w:rPr>
          <w:rFonts w:cs="Arial"/>
        </w:rPr>
        <w:t>private operations</w:t>
      </w:r>
    </w:p>
    <w:p w:rsidR="009D7700" w:rsidRPr="005B7E6D" w:rsidRDefault="009D7700" w:rsidP="00661001">
      <w:pPr>
        <w:pStyle w:val="BodyText"/>
      </w:pPr>
      <w:bookmarkStart w:id="1" w:name="OLE_LINK11"/>
      <w:bookmarkStart w:id="2" w:name="OLE_LINK12"/>
      <w:bookmarkStart w:id="3" w:name="OLE_LINK13"/>
    </w:p>
    <w:p w:rsidR="00661001" w:rsidRPr="005B7E6D" w:rsidRDefault="00661001" w:rsidP="00661001">
      <w:pPr>
        <w:pStyle w:val="BodyText"/>
        <w:rPr>
          <w:b/>
        </w:rPr>
      </w:pPr>
      <w:r w:rsidRPr="005B7E6D">
        <w:rPr>
          <w:b/>
        </w:rPr>
        <w:t>Purpose</w:t>
      </w:r>
    </w:p>
    <w:p w:rsidR="002C3B1A" w:rsidRDefault="00661001" w:rsidP="00661001">
      <w:pPr>
        <w:pStyle w:val="BodyText"/>
      </w:pPr>
      <w:r w:rsidRPr="005B7E6D">
        <w:t xml:space="preserve">The purpose of </w:t>
      </w:r>
      <w:r w:rsidR="009D7700" w:rsidRPr="005B7E6D">
        <w:t>this direction</w:t>
      </w:r>
      <w:r w:rsidRPr="005B7E6D">
        <w:t xml:space="preserve"> is to </w:t>
      </w:r>
      <w:r w:rsidR="006A5970" w:rsidRPr="00976E3E">
        <w:t>mandate the carriage of serviceable automatic dependent surveillance – broadcast (</w:t>
      </w:r>
      <w:r w:rsidR="006A5970" w:rsidRPr="00976E3E">
        <w:rPr>
          <w:b/>
          <w:i/>
        </w:rPr>
        <w:t>ADS-B</w:t>
      </w:r>
      <w:r w:rsidR="006A5970" w:rsidRPr="00976E3E">
        <w:t xml:space="preserve">) avionics equipment in foreign registered aircraft when </w:t>
      </w:r>
      <w:r w:rsidR="00A555D2">
        <w:t>conducting</w:t>
      </w:r>
      <w:r w:rsidR="006A5970">
        <w:t xml:space="preserve"> private operations</w:t>
      </w:r>
      <w:r w:rsidR="006F6160">
        <w:t xml:space="preserve"> (</w:t>
      </w:r>
      <w:r w:rsidR="006F6160" w:rsidRPr="0020626D">
        <w:rPr>
          <w:b/>
          <w:i/>
        </w:rPr>
        <w:t>foreign registered private aircraft</w:t>
      </w:r>
      <w:r w:rsidR="006F6160">
        <w:t>)</w:t>
      </w:r>
      <w:r w:rsidR="006A5970" w:rsidRPr="00976E3E">
        <w:t xml:space="preserve"> under the Instrument Flight Rules (</w:t>
      </w:r>
      <w:r w:rsidR="006A5970" w:rsidRPr="00976E3E">
        <w:rPr>
          <w:b/>
          <w:i/>
        </w:rPr>
        <w:t>I</w:t>
      </w:r>
      <w:r w:rsidR="00CC027D">
        <w:rPr>
          <w:b/>
          <w:i/>
        </w:rPr>
        <w:t>.</w:t>
      </w:r>
      <w:r w:rsidR="006A5970" w:rsidRPr="00976E3E">
        <w:rPr>
          <w:b/>
          <w:i/>
        </w:rPr>
        <w:t>F</w:t>
      </w:r>
      <w:r w:rsidR="00CC027D">
        <w:rPr>
          <w:b/>
          <w:i/>
        </w:rPr>
        <w:t>.</w:t>
      </w:r>
      <w:r w:rsidR="006A5970" w:rsidRPr="00976E3E">
        <w:rPr>
          <w:b/>
          <w:i/>
        </w:rPr>
        <w:t>R</w:t>
      </w:r>
      <w:r w:rsidR="00CC027D">
        <w:rPr>
          <w:b/>
          <w:i/>
        </w:rPr>
        <w:t>.</w:t>
      </w:r>
      <w:r w:rsidR="006A5970" w:rsidRPr="00976E3E">
        <w:t xml:space="preserve">) </w:t>
      </w:r>
      <w:r w:rsidR="0020626D">
        <w:t>within Australia’s airspace jurisdiction</w:t>
      </w:r>
      <w:r w:rsidR="006A5970" w:rsidRPr="00976E3E">
        <w:t xml:space="preserve">. The change will be effective from 2 February 2017, and brings the requirements for foreign registered aircraft into line with those applying </w:t>
      </w:r>
      <w:r w:rsidR="002C3B1A">
        <w:t xml:space="preserve">within </w:t>
      </w:r>
      <w:r w:rsidR="006A5970" w:rsidRPr="00976E3E">
        <w:t>Australia</w:t>
      </w:r>
      <w:r w:rsidR="002C3B1A">
        <w:t>’s aviation jurisdiction</w:t>
      </w:r>
      <w:r w:rsidR="006A5970" w:rsidRPr="00976E3E">
        <w:t xml:space="preserve"> to </w:t>
      </w:r>
      <w:r w:rsidR="002C3B1A" w:rsidRPr="00976E3E">
        <w:t>Australian registered</w:t>
      </w:r>
      <w:r w:rsidR="002C3B1A">
        <w:t>, and other foreign registered,</w:t>
      </w:r>
      <w:r w:rsidR="002C3B1A" w:rsidRPr="00976E3E">
        <w:t xml:space="preserve"> aircraft</w:t>
      </w:r>
      <w:r w:rsidR="002C3B1A">
        <w:t>.</w:t>
      </w:r>
      <w:r w:rsidR="002C3B1A" w:rsidRPr="00976E3E" w:rsidDel="002C3B1A">
        <w:t xml:space="preserve"> </w:t>
      </w:r>
    </w:p>
    <w:p w:rsidR="006A5970" w:rsidRPr="005B7E6D" w:rsidRDefault="006A5970" w:rsidP="00661001">
      <w:pPr>
        <w:pStyle w:val="BodyText"/>
      </w:pPr>
    </w:p>
    <w:p w:rsidR="00155F2A" w:rsidRPr="005B7E6D" w:rsidRDefault="00C5637F" w:rsidP="0020626D">
      <w:pPr>
        <w:pStyle w:val="BodyText"/>
        <w:rPr>
          <w:b/>
        </w:rPr>
      </w:pPr>
      <w:r w:rsidRPr="005B7E6D">
        <w:rPr>
          <w:b/>
        </w:rPr>
        <w:t>Legislation for the direction</w:t>
      </w:r>
      <w:r w:rsidR="00155F2A" w:rsidRPr="005B7E6D">
        <w:rPr>
          <w:b/>
        </w:rPr>
        <w:t> — CAR 209 direction</w:t>
      </w:r>
    </w:p>
    <w:p w:rsidR="00C5637F" w:rsidRPr="005B7E6D" w:rsidRDefault="00C5637F" w:rsidP="00C5637F">
      <w:r w:rsidRPr="005B7E6D">
        <w:t xml:space="preserve">Section 98 of the </w:t>
      </w:r>
      <w:r w:rsidRPr="005B7E6D">
        <w:rPr>
          <w:i/>
        </w:rPr>
        <w:t>Civil Aviation Act 1988</w:t>
      </w:r>
      <w:r w:rsidRPr="005B7E6D">
        <w:t xml:space="preserve"> (the </w:t>
      </w:r>
      <w:r w:rsidRPr="005B7E6D">
        <w:rPr>
          <w:b/>
          <w:i/>
        </w:rPr>
        <w:t>Act</w:t>
      </w:r>
      <w:r w:rsidRPr="005B7E6D">
        <w:t xml:space="preserve">) empowers the Governor-General to make regulations for the Act and the safety of air navigation. </w:t>
      </w:r>
    </w:p>
    <w:p w:rsidR="00C5637F" w:rsidRPr="005B7E6D" w:rsidRDefault="00C5637F" w:rsidP="00C5637F"/>
    <w:p w:rsidR="00C5637F" w:rsidRDefault="00C5637F" w:rsidP="00C5637F">
      <w:r w:rsidRPr="005B7E6D">
        <w:t xml:space="preserve">Under subregulation 209 (1) of </w:t>
      </w:r>
      <w:r w:rsidR="006F6160">
        <w:t xml:space="preserve">the </w:t>
      </w:r>
      <w:r w:rsidR="006F6160" w:rsidRPr="0020626D">
        <w:rPr>
          <w:i/>
        </w:rPr>
        <w:t>Civil Aviation Regulations 1988</w:t>
      </w:r>
      <w:r w:rsidR="006F6160">
        <w:t xml:space="preserve"> (</w:t>
      </w:r>
      <w:r w:rsidR="00155F2A" w:rsidRPr="0020626D">
        <w:rPr>
          <w:b/>
          <w:i/>
        </w:rPr>
        <w:t>CAR 1988</w:t>
      </w:r>
      <w:r w:rsidR="006F6160">
        <w:t>)</w:t>
      </w:r>
      <w:r w:rsidRPr="005B7E6D">
        <w:t>, the operator and the pilot in command of an aircraft engaged in a private operation must comply with the provisions of CAR</w:t>
      </w:r>
      <w:r w:rsidR="003110A6">
        <w:t xml:space="preserve"> </w:t>
      </w:r>
      <w:r w:rsidRPr="005B7E6D">
        <w:t xml:space="preserve">1988 and with such additional conditions as CASA from time to time directs in the interests of safety (a </w:t>
      </w:r>
      <w:r w:rsidRPr="005B7E6D">
        <w:rPr>
          <w:b/>
          <w:i/>
        </w:rPr>
        <w:t>direction</w:t>
      </w:r>
      <w:r w:rsidRPr="005B7E6D">
        <w:t>).</w:t>
      </w:r>
    </w:p>
    <w:p w:rsidR="006A5970" w:rsidRDefault="006A5970" w:rsidP="0020626D">
      <w:pPr>
        <w:pStyle w:val="LDBodytext"/>
      </w:pPr>
    </w:p>
    <w:p w:rsidR="006A5970" w:rsidRPr="006A5970" w:rsidRDefault="006A5970" w:rsidP="0020626D">
      <w:pPr>
        <w:pStyle w:val="LDBodytext"/>
      </w:pPr>
      <w:r>
        <w:t xml:space="preserve">CASA issued a </w:t>
      </w:r>
      <w:r w:rsidR="00A64176">
        <w:t>d</w:t>
      </w:r>
      <w:r>
        <w:t>irection, CASA 521/09</w:t>
      </w:r>
      <w:r w:rsidR="0020626D">
        <w:t>, amended in 2012</w:t>
      </w:r>
      <w:r>
        <w:t xml:space="preserve">, directing the operator and each pilot in command of a foreign registered </w:t>
      </w:r>
      <w:r w:rsidR="006F6160">
        <w:t xml:space="preserve">private </w:t>
      </w:r>
      <w:r>
        <w:t xml:space="preserve">aircraft within Australia’s jurisdiction, to comply with requirements set out in Schedule 1 of the </w:t>
      </w:r>
      <w:r w:rsidR="00A64176">
        <w:t>d</w:t>
      </w:r>
      <w:r>
        <w:t>irection instrument for ADS-B carriage</w:t>
      </w:r>
      <w:r w:rsidR="00A555D2">
        <w:t>.</w:t>
      </w:r>
    </w:p>
    <w:p w:rsidR="006A5970" w:rsidRDefault="006A5970" w:rsidP="0020626D">
      <w:pPr>
        <w:pStyle w:val="LDBodytext"/>
      </w:pPr>
    </w:p>
    <w:p w:rsidR="006A5970" w:rsidRPr="00976E3E" w:rsidRDefault="006A5970" w:rsidP="006A5970">
      <w:pPr>
        <w:pStyle w:val="LDBodytext"/>
      </w:pPr>
      <w:r w:rsidRPr="00976E3E">
        <w:t>ADS-B avionics is a modern aircraft surveillance system for A</w:t>
      </w:r>
      <w:r w:rsidR="00CC027D">
        <w:t>ir Traffic Control</w:t>
      </w:r>
      <w:r w:rsidRPr="00976E3E">
        <w:t xml:space="preserve"> using ground stations to receive radio signals transmitted by ADS-B equipped aircraft. Using ADS</w:t>
      </w:r>
      <w:r w:rsidR="003110A6">
        <w:t>-</w:t>
      </w:r>
      <w:r w:rsidRPr="00976E3E">
        <w:t>B avionics, an aircraft is able to broadcast its identity, position, altitude, velocity and many other flight parameters with a degree of accuracy, integrity and reliability that is better th</w:t>
      </w:r>
      <w:r w:rsidR="00A64176">
        <w:t>an secondary surveillance radar</w:t>
      </w:r>
      <w:r w:rsidRPr="00976E3E">
        <w:t>.</w:t>
      </w:r>
    </w:p>
    <w:p w:rsidR="006A5970" w:rsidRPr="00976E3E" w:rsidRDefault="006A5970" w:rsidP="006A5970">
      <w:pPr>
        <w:pStyle w:val="BodyText"/>
      </w:pPr>
    </w:p>
    <w:p w:rsidR="006A5970" w:rsidRPr="00976E3E" w:rsidRDefault="006A5970" w:rsidP="006A5970">
      <w:pPr>
        <w:pStyle w:val="LDBodytext"/>
      </w:pPr>
      <w:r w:rsidRPr="00976E3E">
        <w:t xml:space="preserve">Under </w:t>
      </w:r>
      <w:r w:rsidR="006F6160">
        <w:t>clause 7 in Schedule</w:t>
      </w:r>
      <w:r w:rsidR="0020626D">
        <w:t xml:space="preserve"> 1 of the amended </w:t>
      </w:r>
      <w:r w:rsidR="00A54BAE">
        <w:t>d</w:t>
      </w:r>
      <w:r w:rsidR="0020626D">
        <w:t>irection</w:t>
      </w:r>
      <w:r w:rsidR="006F6160">
        <w:t xml:space="preserve">, </w:t>
      </w:r>
      <w:r w:rsidRPr="00976E3E">
        <w:t xml:space="preserve">since 12 December 2013, if a foreign registered </w:t>
      </w:r>
      <w:r w:rsidR="006F6160">
        <w:t xml:space="preserve">private </w:t>
      </w:r>
      <w:r w:rsidRPr="00976E3E">
        <w:t>aircraft operates at or above FL 290</w:t>
      </w:r>
      <w:r w:rsidR="003110A6">
        <w:t>, it must carry serviceable ADS-</w:t>
      </w:r>
      <w:r w:rsidRPr="00976E3E">
        <w:t>B transmitting equipment that complies with an approved equipment configuration, unless the aircraft owner, operator or pilot has written authorisation otherwise from CASA.</w:t>
      </w:r>
    </w:p>
    <w:p w:rsidR="006A5970" w:rsidRPr="00976E3E" w:rsidRDefault="006A5970" w:rsidP="006A5970">
      <w:pPr>
        <w:pStyle w:val="NFRMbodyText"/>
        <w:jc w:val="left"/>
        <w:rPr>
          <w:szCs w:val="24"/>
        </w:rPr>
      </w:pPr>
    </w:p>
    <w:p w:rsidR="006A5970" w:rsidRPr="00976E3E" w:rsidRDefault="006F6160" w:rsidP="006A5970">
      <w:pPr>
        <w:pStyle w:val="NFRMbodyText"/>
        <w:jc w:val="left"/>
        <w:rPr>
          <w:szCs w:val="24"/>
        </w:rPr>
      </w:pPr>
      <w:r>
        <w:rPr>
          <w:szCs w:val="24"/>
        </w:rPr>
        <w:t xml:space="preserve">Clause 7 </w:t>
      </w:r>
      <w:r w:rsidR="006A5970" w:rsidRPr="00976E3E">
        <w:rPr>
          <w:szCs w:val="24"/>
        </w:rPr>
        <w:t xml:space="preserve">operates in conjunction with provisions of </w:t>
      </w:r>
      <w:r w:rsidR="006A5970" w:rsidRPr="00976E3E">
        <w:rPr>
          <w:i/>
          <w:szCs w:val="24"/>
        </w:rPr>
        <w:t>Civil Aviation Orders 20.18, 82.1</w:t>
      </w:r>
      <w:r>
        <w:rPr>
          <w:i/>
          <w:szCs w:val="24"/>
        </w:rPr>
        <w:t>,</w:t>
      </w:r>
      <w:r w:rsidR="006A5970" w:rsidRPr="00976E3E">
        <w:rPr>
          <w:i/>
          <w:szCs w:val="24"/>
        </w:rPr>
        <w:t xml:space="preserve"> 82.</w:t>
      </w:r>
      <w:r w:rsidR="006A5970">
        <w:rPr>
          <w:i/>
          <w:szCs w:val="24"/>
        </w:rPr>
        <w:t>3</w:t>
      </w:r>
      <w:r>
        <w:rPr>
          <w:i/>
          <w:szCs w:val="24"/>
        </w:rPr>
        <w:t xml:space="preserve"> and 82.5</w:t>
      </w:r>
      <w:r w:rsidR="006A5970" w:rsidRPr="00976E3E">
        <w:rPr>
          <w:i/>
          <w:szCs w:val="24"/>
        </w:rPr>
        <w:t xml:space="preserve"> </w:t>
      </w:r>
      <w:r w:rsidR="006A5970" w:rsidRPr="00976E3E">
        <w:rPr>
          <w:szCs w:val="24"/>
        </w:rPr>
        <w:t>for domestic and foreign aircraft engaged in aerial work, chart</w:t>
      </w:r>
      <w:r w:rsidR="00CC027D">
        <w:rPr>
          <w:szCs w:val="24"/>
        </w:rPr>
        <w:t>er and regular public transport</w:t>
      </w:r>
      <w:r w:rsidR="006A5970" w:rsidRPr="00976E3E">
        <w:rPr>
          <w:szCs w:val="24"/>
        </w:rPr>
        <w:t xml:space="preserve"> operations. In this way, the ADS-B requirements apply (according to their terms) to all Australian and foreign registered aircraft operating in compliance with their A</w:t>
      </w:r>
      <w:r w:rsidR="00B34D3F">
        <w:rPr>
          <w:szCs w:val="24"/>
        </w:rPr>
        <w:t>ir Operators’ Certificates</w:t>
      </w:r>
      <w:r w:rsidR="006A5970" w:rsidRPr="00976E3E">
        <w:rPr>
          <w:szCs w:val="24"/>
        </w:rPr>
        <w:t xml:space="preserve"> or otherwise within the scope of the Act.</w:t>
      </w:r>
    </w:p>
    <w:p w:rsidR="006A5970" w:rsidRPr="00976E3E" w:rsidRDefault="006A5970" w:rsidP="006A5970">
      <w:pPr>
        <w:pStyle w:val="NFRMbodyText"/>
        <w:jc w:val="left"/>
        <w:rPr>
          <w:szCs w:val="24"/>
        </w:rPr>
      </w:pPr>
    </w:p>
    <w:p w:rsidR="006A5970" w:rsidRPr="00976E3E" w:rsidRDefault="006A5970" w:rsidP="006A5970">
      <w:pPr>
        <w:pStyle w:val="NFRMbodyText"/>
        <w:jc w:val="left"/>
        <w:rPr>
          <w:b/>
        </w:rPr>
      </w:pPr>
      <w:r w:rsidRPr="00976E3E">
        <w:rPr>
          <w:b/>
        </w:rPr>
        <w:t>Policy background</w:t>
      </w:r>
    </w:p>
    <w:p w:rsidR="006A5970" w:rsidRPr="00976E3E" w:rsidRDefault="006A5970" w:rsidP="006A5970">
      <w:pPr>
        <w:pStyle w:val="NFRMbodyText"/>
        <w:jc w:val="left"/>
      </w:pPr>
      <w:r w:rsidRPr="00976E3E">
        <w:t xml:space="preserve">CASA has decided to enhance the safety and efficiency of air traffic management provided by the national air traffic service </w:t>
      </w:r>
      <w:r w:rsidR="00A64176">
        <w:t xml:space="preserve">provider, </w:t>
      </w:r>
      <w:proofErr w:type="spellStart"/>
      <w:r w:rsidR="00A64176">
        <w:t>Airservices</w:t>
      </w:r>
      <w:proofErr w:type="spellEnd"/>
      <w:r w:rsidR="00A64176">
        <w:t xml:space="preserve"> Australia</w:t>
      </w:r>
      <w:r w:rsidRPr="00976E3E">
        <w:t xml:space="preserve">, by mandating the carriage in Australian territorial airspace of serviceable ADS-B avionics equipment in foreign registered </w:t>
      </w:r>
      <w:r w:rsidR="006F6160">
        <w:t xml:space="preserve">private </w:t>
      </w:r>
      <w:r w:rsidRPr="00976E3E">
        <w:t>aircraft operating under the I</w:t>
      </w:r>
      <w:r w:rsidR="00A64176">
        <w:t>.</w:t>
      </w:r>
      <w:r w:rsidRPr="00976E3E">
        <w:t>F</w:t>
      </w:r>
      <w:r w:rsidR="00A64176">
        <w:t>.</w:t>
      </w:r>
      <w:r w:rsidRPr="00976E3E">
        <w:t>R</w:t>
      </w:r>
      <w:r w:rsidR="00A64176">
        <w:t>.</w:t>
      </w:r>
      <w:r w:rsidRPr="00976E3E">
        <w:t xml:space="preserve"> in </w:t>
      </w:r>
      <w:r w:rsidRPr="00976E3E">
        <w:lastRenderedPageBreak/>
        <w:t>any classification of airspace and at any altitude. The change will be effective from 2</w:t>
      </w:r>
      <w:r w:rsidR="003110A6">
        <w:t> </w:t>
      </w:r>
      <w:r w:rsidRPr="00976E3E">
        <w:t>February 2017.</w:t>
      </w:r>
    </w:p>
    <w:p w:rsidR="006A5970" w:rsidRPr="00976E3E" w:rsidRDefault="006A5970" w:rsidP="006A5970">
      <w:pPr>
        <w:pStyle w:val="NFRMbodyText"/>
        <w:jc w:val="left"/>
      </w:pPr>
    </w:p>
    <w:p w:rsidR="006A5970" w:rsidRPr="00976E3E" w:rsidRDefault="006A5970" w:rsidP="006A5970">
      <w:pPr>
        <w:pStyle w:val="BodyText"/>
      </w:pPr>
      <w:r w:rsidRPr="00976E3E">
        <w:t>This change is in addition to the existing mandate, in effect from 12 December 2013, for carriage of serviceable ADS-B by both Australian and foreign registered aircraft when operating at or above FL</w:t>
      </w:r>
      <w:r w:rsidR="00A64176">
        <w:t xml:space="preserve"> </w:t>
      </w:r>
      <w:r w:rsidRPr="00976E3E">
        <w:t xml:space="preserve">290. That mandate remains unaffected by this change. The new mandate brings the requirements for foreign registered </w:t>
      </w:r>
      <w:r w:rsidR="006F6160">
        <w:t xml:space="preserve">private </w:t>
      </w:r>
      <w:r w:rsidRPr="00976E3E">
        <w:t>aircraft into line with those applying to Australian registered</w:t>
      </w:r>
      <w:r w:rsidR="006F6160">
        <w:t xml:space="preserve"> and other foreign registered</w:t>
      </w:r>
      <w:r w:rsidRPr="00976E3E">
        <w:t xml:space="preserve"> aircraft.</w:t>
      </w:r>
    </w:p>
    <w:p w:rsidR="006A5970" w:rsidRPr="00976E3E" w:rsidRDefault="006A5970" w:rsidP="006A5970"/>
    <w:p w:rsidR="006A5970" w:rsidRPr="00976E3E" w:rsidRDefault="006A5970" w:rsidP="006A5970">
      <w:r w:rsidRPr="00976E3E">
        <w:t>In practice, the change affects turboprop and piston-engine foreign registered aircraft, which do not normally operate at or above FL</w:t>
      </w:r>
      <w:r w:rsidR="00A64176">
        <w:t xml:space="preserve"> </w:t>
      </w:r>
      <w:r w:rsidRPr="00976E3E">
        <w:t>290 and hence would not otherwise be captured by the existing mandate.</w:t>
      </w:r>
    </w:p>
    <w:p w:rsidR="006A5970" w:rsidRPr="00976E3E" w:rsidRDefault="006A5970" w:rsidP="006A5970">
      <w:pPr>
        <w:pStyle w:val="LDBodytext"/>
      </w:pPr>
    </w:p>
    <w:p w:rsidR="006A5970" w:rsidRPr="00976E3E" w:rsidRDefault="006F6160" w:rsidP="006A5970">
      <w:pPr>
        <w:pStyle w:val="LDBodytext"/>
        <w:rPr>
          <w:b/>
        </w:rPr>
      </w:pPr>
      <w:r>
        <w:rPr>
          <w:b/>
        </w:rPr>
        <w:t>Direction</w:t>
      </w:r>
    </w:p>
    <w:p w:rsidR="00F350DB" w:rsidRDefault="006A5970" w:rsidP="006A5970">
      <w:pPr>
        <w:pStyle w:val="LDBodytext"/>
      </w:pPr>
      <w:r w:rsidRPr="00976E3E">
        <w:t xml:space="preserve">The </w:t>
      </w:r>
      <w:r w:rsidR="00A54BAE">
        <w:t>d</w:t>
      </w:r>
      <w:r w:rsidR="006F6160">
        <w:t>irection</w:t>
      </w:r>
      <w:r w:rsidRPr="00976E3E">
        <w:t>, therefore,</w:t>
      </w:r>
      <w:r w:rsidR="006F6160">
        <w:t xml:space="preserve"> remakes CASA 521/09</w:t>
      </w:r>
      <w:r w:rsidR="000A63DD">
        <w:t>, subject only to 2</w:t>
      </w:r>
      <w:r w:rsidR="006F6160">
        <w:t xml:space="preserve"> required changes. </w:t>
      </w:r>
      <w:r w:rsidR="0020626D">
        <w:t xml:space="preserve">It was decided to remake the </w:t>
      </w:r>
      <w:r w:rsidR="00A54BAE">
        <w:t>d</w:t>
      </w:r>
      <w:r w:rsidR="0020626D">
        <w:t>irection, rather than issue another amendment to it, in the interests of clarity and accessibility for relevant foreign registered private aircraft pilots and operators</w:t>
      </w:r>
      <w:r w:rsidR="00A555D2">
        <w:t>.</w:t>
      </w:r>
    </w:p>
    <w:p w:rsidR="00F350DB" w:rsidRDefault="00F350DB" w:rsidP="006A5970">
      <w:pPr>
        <w:pStyle w:val="LDBodytext"/>
      </w:pPr>
    </w:p>
    <w:p w:rsidR="00F350DB" w:rsidRDefault="0020626D" w:rsidP="0020626D">
      <w:pPr>
        <w:pStyle w:val="LDBodytext"/>
      </w:pPr>
      <w:r>
        <w:t xml:space="preserve">The 2 required changes are as follows. </w:t>
      </w:r>
      <w:r w:rsidR="006F6160">
        <w:t xml:space="preserve">The new </w:t>
      </w:r>
      <w:r w:rsidR="00A64176">
        <w:t>d</w:t>
      </w:r>
      <w:r w:rsidR="006F6160">
        <w:t>irection</w:t>
      </w:r>
      <w:r w:rsidR="006A5970" w:rsidRPr="00976E3E">
        <w:t xml:space="preserve"> inserts a new clause 7A into </w:t>
      </w:r>
      <w:r w:rsidR="006F6160">
        <w:t xml:space="preserve">Schedule 1 </w:t>
      </w:r>
      <w:r w:rsidR="006A5970" w:rsidRPr="00976E3E">
        <w:t xml:space="preserve">to the effect that, on and after 2 February 2017, a foreign registered </w:t>
      </w:r>
      <w:r w:rsidR="006F6160">
        <w:t xml:space="preserve">private </w:t>
      </w:r>
      <w:r w:rsidR="006A5970" w:rsidRPr="00976E3E">
        <w:t>aircraft that is operated under the I.F.R.</w:t>
      </w:r>
      <w:r w:rsidR="006F6160">
        <w:t xml:space="preserve"> </w:t>
      </w:r>
      <w:r>
        <w:t>and is flying into or out of Australian territory, or operating</w:t>
      </w:r>
      <w:r w:rsidRPr="00CA7390">
        <w:t xml:space="preserve"> in Australian territory</w:t>
      </w:r>
      <w:r>
        <w:t xml:space="preserve">, </w:t>
      </w:r>
      <w:r w:rsidR="006A5970" w:rsidRPr="00976E3E">
        <w:t>must carry serviceable ADS-B equipment that complies with an approved equipment configuration.</w:t>
      </w:r>
    </w:p>
    <w:p w:rsidR="00F350DB" w:rsidRDefault="00F350DB" w:rsidP="0020626D">
      <w:pPr>
        <w:pStyle w:val="LDBodytext"/>
      </w:pPr>
    </w:p>
    <w:p w:rsidR="00F350DB" w:rsidRDefault="00F350DB" w:rsidP="0020626D">
      <w:pPr>
        <w:pStyle w:val="LDBodytext"/>
      </w:pPr>
      <w:r w:rsidRPr="0059110B">
        <w:t xml:space="preserve">Under clause 8 of </w:t>
      </w:r>
      <w:r>
        <w:t xml:space="preserve">Schedule 1 of the previous </w:t>
      </w:r>
      <w:r w:rsidR="00A64176">
        <w:t>d</w:t>
      </w:r>
      <w:r>
        <w:t>irection (</w:t>
      </w:r>
      <w:r w:rsidR="00CC027D">
        <w:t xml:space="preserve">CASA </w:t>
      </w:r>
      <w:r>
        <w:t>521/09</w:t>
      </w:r>
      <w:r w:rsidR="00D86448">
        <w:t xml:space="preserve"> as amended</w:t>
      </w:r>
      <w:r>
        <w:t>),</w:t>
      </w:r>
      <w:r w:rsidRPr="0059110B">
        <w:t xml:space="preserve"> </w:t>
      </w:r>
      <w:r w:rsidR="00D86448">
        <w:t>the prior mandate to carry serviceable ADS-B equipment at or above FL 290 does not apply if CASA issues an authorisation, or, subject to certain conditions, the equipment becomes unserviceable. Under amendment No. 2, a consequential change is made to clause 8 to mention new clause 7A so that clause 8 also applies for the new mandate.</w:t>
      </w:r>
    </w:p>
    <w:p w:rsidR="00F350DB" w:rsidRDefault="00F350DB" w:rsidP="0020626D">
      <w:pPr>
        <w:pStyle w:val="LDBodytext"/>
      </w:pPr>
    </w:p>
    <w:p w:rsidR="00FB1E13" w:rsidRDefault="00FB1E13" w:rsidP="006E37A9">
      <w:pPr>
        <w:pStyle w:val="LDBodytext"/>
      </w:pPr>
      <w:r>
        <w:t>A drafting change makes the words of the direction (section 4) more closely follow the wording in section 7 of the Act enabling CASA to act with respect to foreign registered aircraft.</w:t>
      </w:r>
    </w:p>
    <w:p w:rsidR="00FB1E13" w:rsidRDefault="00FB1E13" w:rsidP="006E37A9">
      <w:pPr>
        <w:pStyle w:val="LDBodytext"/>
      </w:pPr>
    </w:p>
    <w:p w:rsidR="006E37A9" w:rsidRDefault="00666762" w:rsidP="006E37A9">
      <w:pPr>
        <w:pStyle w:val="LDBodytext"/>
      </w:pPr>
      <w:r>
        <w:t>Apart from correction of typographical errors, t</w:t>
      </w:r>
      <w:r w:rsidR="006E37A9">
        <w:t xml:space="preserve">he </w:t>
      </w:r>
      <w:r w:rsidR="00A64176">
        <w:t>d</w:t>
      </w:r>
      <w:r w:rsidR="006E37A9">
        <w:t>irection is otherwise identical to CASA 521/09 (as amended) which was fully explained in the Explanatory Statements that accompanied that instrument and its previous amendment (see FRLI references: F2009L04118 and F2012L00034).</w:t>
      </w:r>
    </w:p>
    <w:p w:rsidR="006A5970" w:rsidRPr="006A5970" w:rsidRDefault="006A5970" w:rsidP="0020626D">
      <w:pPr>
        <w:pStyle w:val="LDBodytext"/>
      </w:pPr>
    </w:p>
    <w:p w:rsidR="00661001" w:rsidRPr="005B7E6D" w:rsidRDefault="00661001" w:rsidP="00661001">
      <w:pPr>
        <w:tabs>
          <w:tab w:val="clear" w:pos="567"/>
        </w:tabs>
        <w:overflowPunct/>
        <w:textAlignment w:val="auto"/>
        <w:rPr>
          <w:rFonts w:ascii="Times New Roman" w:hAnsi="Times New Roman"/>
          <w:b/>
          <w:bCs/>
          <w:lang w:eastAsia="en-AU"/>
        </w:rPr>
      </w:pPr>
      <w:r w:rsidRPr="00A64176">
        <w:rPr>
          <w:rFonts w:ascii="Times New Roman" w:hAnsi="Times New Roman"/>
          <w:b/>
          <w:bCs/>
          <w:i/>
          <w:lang w:eastAsia="en-AU"/>
        </w:rPr>
        <w:t xml:space="preserve">Legislative Instruments Act </w:t>
      </w:r>
      <w:r w:rsidR="00BD76BD" w:rsidRPr="00A64176">
        <w:rPr>
          <w:rFonts w:ascii="Times New Roman" w:hAnsi="Times New Roman"/>
          <w:b/>
          <w:bCs/>
          <w:i/>
          <w:lang w:eastAsia="en-AU"/>
        </w:rPr>
        <w:t xml:space="preserve">2003 </w:t>
      </w:r>
      <w:r w:rsidRPr="005B7E6D">
        <w:rPr>
          <w:rFonts w:ascii="Times New Roman" w:hAnsi="Times New Roman"/>
          <w:b/>
          <w:bCs/>
          <w:lang w:eastAsia="en-AU"/>
        </w:rPr>
        <w:t>(</w:t>
      </w:r>
      <w:r w:rsidR="00C029A5" w:rsidRPr="005B7E6D">
        <w:rPr>
          <w:rFonts w:ascii="Times New Roman" w:hAnsi="Times New Roman"/>
          <w:b/>
          <w:bCs/>
          <w:lang w:eastAsia="en-AU"/>
        </w:rPr>
        <w:t xml:space="preserve">the </w:t>
      </w:r>
      <w:r w:rsidRPr="005B7E6D">
        <w:rPr>
          <w:rFonts w:ascii="Times New Roman" w:hAnsi="Times New Roman"/>
          <w:b/>
          <w:bCs/>
          <w:i/>
          <w:lang w:eastAsia="en-AU"/>
        </w:rPr>
        <w:t>LIA</w:t>
      </w:r>
      <w:r w:rsidRPr="005B7E6D">
        <w:rPr>
          <w:rFonts w:ascii="Times New Roman" w:hAnsi="Times New Roman"/>
          <w:b/>
          <w:bCs/>
          <w:lang w:eastAsia="en-AU"/>
        </w:rPr>
        <w:t>)</w:t>
      </w:r>
    </w:p>
    <w:p w:rsidR="00FC03F1" w:rsidRPr="005B7E6D" w:rsidRDefault="00C5637F" w:rsidP="00661001">
      <w:pPr>
        <w:pStyle w:val="LDBodytext"/>
        <w:rPr>
          <w:lang w:eastAsia="en-AU"/>
        </w:rPr>
      </w:pPr>
      <w:r w:rsidRPr="005B7E6D">
        <w:rPr>
          <w:lang w:eastAsia="en-AU"/>
        </w:rPr>
        <w:t xml:space="preserve">The </w:t>
      </w:r>
      <w:r w:rsidR="00A54BAE">
        <w:rPr>
          <w:lang w:eastAsia="en-AU"/>
        </w:rPr>
        <w:t>d</w:t>
      </w:r>
      <w:r w:rsidRPr="005B7E6D">
        <w:rPr>
          <w:lang w:eastAsia="en-AU"/>
        </w:rPr>
        <w:t>irection is considered</w:t>
      </w:r>
      <w:r w:rsidR="00014F3B">
        <w:rPr>
          <w:lang w:eastAsia="en-AU"/>
        </w:rPr>
        <w:t>, from its nature and effects,</w:t>
      </w:r>
      <w:r w:rsidRPr="005B7E6D">
        <w:rPr>
          <w:lang w:eastAsia="en-AU"/>
        </w:rPr>
        <w:t xml:space="preserve"> to be a legislative instrument for section 5 </w:t>
      </w:r>
      <w:r w:rsidR="00A26063" w:rsidRPr="005B7E6D">
        <w:rPr>
          <w:lang w:eastAsia="en-AU"/>
        </w:rPr>
        <w:t>of the LIA</w:t>
      </w:r>
      <w:r w:rsidR="00014F3B">
        <w:rPr>
          <w:lang w:eastAsia="en-AU"/>
        </w:rPr>
        <w:t>.</w:t>
      </w:r>
      <w:r w:rsidR="00FC03F1" w:rsidRPr="005B7E6D">
        <w:rPr>
          <w:lang w:eastAsia="en-AU"/>
        </w:rPr>
        <w:t xml:space="preserve"> </w:t>
      </w:r>
      <w:r w:rsidR="00014F3B">
        <w:rPr>
          <w:lang w:eastAsia="en-AU"/>
        </w:rPr>
        <w:t>T</w:t>
      </w:r>
      <w:r w:rsidR="00155F2A" w:rsidRPr="005B7E6D">
        <w:rPr>
          <w:lang w:eastAsia="en-AU"/>
        </w:rPr>
        <w:t xml:space="preserve">he </w:t>
      </w:r>
      <w:r w:rsidR="00A64176">
        <w:rPr>
          <w:lang w:eastAsia="en-AU"/>
        </w:rPr>
        <w:t>d</w:t>
      </w:r>
      <w:r w:rsidR="00155F2A" w:rsidRPr="005B7E6D">
        <w:rPr>
          <w:lang w:eastAsia="en-AU"/>
        </w:rPr>
        <w:t>irection</w:t>
      </w:r>
      <w:r w:rsidR="00FC03F1" w:rsidRPr="005B7E6D">
        <w:rPr>
          <w:lang w:eastAsia="en-AU"/>
        </w:rPr>
        <w:t xml:space="preserve"> </w:t>
      </w:r>
      <w:r w:rsidR="00014F3B">
        <w:rPr>
          <w:lang w:eastAsia="en-AU"/>
        </w:rPr>
        <w:t xml:space="preserve">also </w:t>
      </w:r>
      <w:r w:rsidR="00FC03F1" w:rsidRPr="005B7E6D">
        <w:rPr>
          <w:lang w:eastAsia="en-AU"/>
        </w:rPr>
        <w:t>appli</w:t>
      </w:r>
      <w:r w:rsidR="00014F3B">
        <w:rPr>
          <w:lang w:eastAsia="en-AU"/>
        </w:rPr>
        <w:t>es</w:t>
      </w:r>
      <w:r w:rsidR="00FC03F1" w:rsidRPr="005B7E6D">
        <w:rPr>
          <w:lang w:eastAsia="en-AU"/>
        </w:rPr>
        <w:t xml:space="preserve"> to a class of operators</w:t>
      </w:r>
      <w:r w:rsidR="00155F2A" w:rsidRPr="005B7E6D">
        <w:rPr>
          <w:lang w:eastAsia="en-AU"/>
        </w:rPr>
        <w:t xml:space="preserve"> (</w:t>
      </w:r>
      <w:r w:rsidR="006F6160">
        <w:rPr>
          <w:lang w:eastAsia="en-AU"/>
        </w:rPr>
        <w:t xml:space="preserve">pilots and operators of </w:t>
      </w:r>
      <w:r w:rsidR="006F6160" w:rsidRPr="00976E3E">
        <w:t xml:space="preserve">foreign registered </w:t>
      </w:r>
      <w:r w:rsidR="006F6160">
        <w:t xml:space="preserve">private </w:t>
      </w:r>
      <w:r w:rsidR="006F6160" w:rsidRPr="00976E3E">
        <w:t>aircraft</w:t>
      </w:r>
      <w:r w:rsidR="006F6160">
        <w:t>)</w:t>
      </w:r>
      <w:r w:rsidR="00014F3B">
        <w:t xml:space="preserve"> and, therefore, complies with the requirements for an instrument to </w:t>
      </w:r>
      <w:r w:rsidR="00753879">
        <w:t xml:space="preserve">be </w:t>
      </w:r>
      <w:r w:rsidR="00014F3B">
        <w:t xml:space="preserve">a legislative instrument to the extent that </w:t>
      </w:r>
      <w:r w:rsidR="00014F3B" w:rsidRPr="005B7E6D">
        <w:rPr>
          <w:lang w:eastAsia="en-AU"/>
        </w:rPr>
        <w:t>subsections 98 (5A) and (5AA) of the Act</w:t>
      </w:r>
      <w:r w:rsidR="00014F3B">
        <w:rPr>
          <w:lang w:eastAsia="en-AU"/>
        </w:rPr>
        <w:t xml:space="preserve"> apply to regulation 209 of CAR 1988</w:t>
      </w:r>
      <w:r w:rsidR="00FC03F1" w:rsidRPr="005B7E6D">
        <w:rPr>
          <w:lang w:eastAsia="en-AU"/>
        </w:rPr>
        <w:t xml:space="preserve">. </w:t>
      </w:r>
      <w:r w:rsidR="00014F3B">
        <w:rPr>
          <w:lang w:eastAsia="en-AU"/>
        </w:rPr>
        <w:t xml:space="preserve">The </w:t>
      </w:r>
      <w:r w:rsidR="00A64176">
        <w:rPr>
          <w:lang w:eastAsia="en-AU"/>
        </w:rPr>
        <w:t>d</w:t>
      </w:r>
      <w:r w:rsidR="00014F3B">
        <w:rPr>
          <w:lang w:eastAsia="en-AU"/>
        </w:rPr>
        <w:t>irection</w:t>
      </w:r>
      <w:r w:rsidR="00FC03F1" w:rsidRPr="005B7E6D">
        <w:rPr>
          <w:lang w:eastAsia="en-AU"/>
        </w:rPr>
        <w:t xml:space="preserve"> is, therefore, </w:t>
      </w:r>
      <w:r w:rsidR="00014F3B">
        <w:rPr>
          <w:lang w:eastAsia="en-AU"/>
        </w:rPr>
        <w:t xml:space="preserve">a legislative instrument, </w:t>
      </w:r>
      <w:r w:rsidR="00FC03F1" w:rsidRPr="005B7E6D">
        <w:rPr>
          <w:lang w:eastAsia="en-AU"/>
        </w:rPr>
        <w:t>subject to</w:t>
      </w:r>
      <w:r w:rsidR="006F6160">
        <w:rPr>
          <w:lang w:eastAsia="en-AU"/>
        </w:rPr>
        <w:t xml:space="preserve"> registration, and</w:t>
      </w:r>
      <w:r w:rsidR="00FC03F1" w:rsidRPr="005B7E6D">
        <w:rPr>
          <w:lang w:eastAsia="en-AU"/>
        </w:rPr>
        <w:t xml:space="preserve"> tabling and disallowance in the Parliament</w:t>
      </w:r>
      <w:r w:rsidR="006F6160">
        <w:rPr>
          <w:lang w:eastAsia="en-AU"/>
        </w:rPr>
        <w:t>,</w:t>
      </w:r>
      <w:r w:rsidR="00FC03F1" w:rsidRPr="005B7E6D">
        <w:rPr>
          <w:lang w:eastAsia="en-AU"/>
        </w:rPr>
        <w:t xml:space="preserve"> under sections</w:t>
      </w:r>
      <w:r w:rsidR="006F6160">
        <w:rPr>
          <w:lang w:eastAsia="en-AU"/>
        </w:rPr>
        <w:t xml:space="preserve"> 24,</w:t>
      </w:r>
      <w:r w:rsidR="00FC03F1" w:rsidRPr="005B7E6D">
        <w:rPr>
          <w:lang w:eastAsia="en-AU"/>
        </w:rPr>
        <w:t xml:space="preserve"> 38 and 42 of the LIA.</w:t>
      </w:r>
    </w:p>
    <w:p w:rsidR="00FC03F1" w:rsidRPr="003110A6" w:rsidRDefault="00FC03F1" w:rsidP="00661001">
      <w:pPr>
        <w:pStyle w:val="LDBodytext"/>
      </w:pPr>
    </w:p>
    <w:p w:rsidR="00344E79" w:rsidRPr="00976E3E" w:rsidRDefault="00344E79" w:rsidP="001130A0">
      <w:pPr>
        <w:pStyle w:val="LDBodytext"/>
        <w:keepNext/>
        <w:pageBreakBefore/>
        <w:rPr>
          <w:b/>
        </w:rPr>
      </w:pPr>
      <w:r w:rsidRPr="00976E3E">
        <w:rPr>
          <w:b/>
        </w:rPr>
        <w:lastRenderedPageBreak/>
        <w:t>Consultation</w:t>
      </w:r>
    </w:p>
    <w:p w:rsidR="00344E79" w:rsidRDefault="00344E79" w:rsidP="00344E79">
      <w:pPr>
        <w:pStyle w:val="LDBodytext"/>
      </w:pPr>
      <w:r w:rsidRPr="00976E3E">
        <w:t>Consultation</w:t>
      </w:r>
      <w:r>
        <w:t xml:space="preserve"> on the </w:t>
      </w:r>
      <w:r w:rsidR="00A54BAE">
        <w:t>d</w:t>
      </w:r>
      <w:r w:rsidR="0020626D">
        <w:t>irection</w:t>
      </w:r>
      <w:r w:rsidRPr="00976E3E">
        <w:t xml:space="preserve"> was undertaken as follows. On 5 November 2013, CASA published for public </w:t>
      </w:r>
      <w:r w:rsidRPr="0020626D">
        <w:t xml:space="preserve">comment a </w:t>
      </w:r>
      <w:r w:rsidRPr="0020626D">
        <w:rPr>
          <w:rStyle w:val="Authorexampletext"/>
          <w:color w:val="auto"/>
        </w:rPr>
        <w:t>Notice of Proposed Rule Making (</w:t>
      </w:r>
      <w:r w:rsidRPr="00A0124D">
        <w:rPr>
          <w:rStyle w:val="Authorexampletext"/>
          <w:b/>
          <w:i/>
          <w:color w:val="auto"/>
        </w:rPr>
        <w:t>NPRM</w:t>
      </w:r>
      <w:r w:rsidRPr="002C3B1A">
        <w:rPr>
          <w:rStyle w:val="Authorexampletext"/>
          <w:color w:val="auto"/>
        </w:rPr>
        <w:t>) for carriage, from 2 February 2017, of ADS-B avionics in foreign registered aircraft operating in Australian territory</w:t>
      </w:r>
      <w:r w:rsidRPr="002C3B1A">
        <w:t>. By the closing</w:t>
      </w:r>
      <w:r w:rsidRPr="00976E3E">
        <w:t xml:space="preserve"> date of 10 January 2014, CASA had re</w:t>
      </w:r>
      <w:r w:rsidR="00666762">
        <w:t>ceived 2 responses to the NPRM.</w:t>
      </w:r>
    </w:p>
    <w:p w:rsidR="00666762" w:rsidRPr="00976E3E" w:rsidRDefault="00666762" w:rsidP="00344E79">
      <w:pPr>
        <w:pStyle w:val="LDBodytext"/>
      </w:pPr>
    </w:p>
    <w:p w:rsidR="00344E79" w:rsidRPr="008B3ECE" w:rsidRDefault="00344E79" w:rsidP="00A3436D">
      <w:pPr>
        <w:pStyle w:val="LDBodytext"/>
        <w:keepNext/>
      </w:pPr>
      <w:r w:rsidRPr="00976E3E">
        <w:t xml:space="preserve">One respondent indicated full agreement with the proposal. The other respondent indicated support for the proposal if </w:t>
      </w:r>
      <w:r>
        <w:t xml:space="preserve">it </w:t>
      </w:r>
      <w:r w:rsidRPr="008B3ECE">
        <w:t>allowed for an acceptable alternative US FAA standard (</w:t>
      </w:r>
      <w:r w:rsidRPr="0059110B">
        <w:t xml:space="preserve">FAA TSO-C106) for relevant altitude source equipment. CASA considers that, by legislatively deeming CAO-required imported equipment to </w:t>
      </w:r>
      <w:r>
        <w:t>have been</w:t>
      </w:r>
      <w:r w:rsidRPr="008B3ECE">
        <w:t xml:space="preserve"> approved by CASA if it complies with certain “recognised country” manufacturing standards, paragraph 21.502</w:t>
      </w:r>
      <w:r w:rsidR="00BD76BD">
        <w:t> </w:t>
      </w:r>
      <w:r w:rsidRPr="008B3ECE">
        <w:t>(1)</w:t>
      </w:r>
      <w:r w:rsidR="00BD76BD">
        <w:t> </w:t>
      </w:r>
      <w:r w:rsidRPr="008B3ECE">
        <w:t xml:space="preserve">(a) of the </w:t>
      </w:r>
      <w:r w:rsidRPr="00976E3E">
        <w:rPr>
          <w:i/>
        </w:rPr>
        <w:t>Civil Aviation Safety Regulations 1998</w:t>
      </w:r>
      <w:r w:rsidRPr="008B3ECE">
        <w:t xml:space="preserve">, already makes relevant </w:t>
      </w:r>
      <w:r w:rsidRPr="0059110B">
        <w:t>altitude source equipment that complies with such an FAA standard (FAA TSO-C106) another equivalent system</w:t>
      </w:r>
      <w:r>
        <w:t xml:space="preserve"> in effect</w:t>
      </w:r>
      <w:r w:rsidRPr="008B3ECE">
        <w:t xml:space="preserve"> authorised in writing by CASA in accordance with paragraph 5</w:t>
      </w:r>
      <w:r w:rsidR="00BD76BD">
        <w:t> </w:t>
      </w:r>
      <w:r w:rsidRPr="008B3ECE">
        <w:t xml:space="preserve">(b) of </w:t>
      </w:r>
      <w:r w:rsidR="00A555D2">
        <w:t>Part B of Schedule 2</w:t>
      </w:r>
      <w:r>
        <w:t xml:space="preserve"> </w:t>
      </w:r>
      <w:r w:rsidRPr="008B3ECE">
        <w:t xml:space="preserve">of </w:t>
      </w:r>
      <w:r w:rsidR="00A555D2">
        <w:t xml:space="preserve">the </w:t>
      </w:r>
      <w:r w:rsidR="00A54BAE">
        <w:t>d</w:t>
      </w:r>
      <w:r w:rsidR="00A555D2">
        <w:t>irection</w:t>
      </w:r>
      <w:r w:rsidRPr="008B3ECE">
        <w:t xml:space="preserve">. The guidance material detailed in Advisory Circular (AC) 21.45 has been amended to </w:t>
      </w:r>
      <w:r>
        <w:t>clarify</w:t>
      </w:r>
      <w:r w:rsidRPr="008B3ECE">
        <w:t xml:space="preserve"> this.</w:t>
      </w:r>
    </w:p>
    <w:p w:rsidR="00344E79" w:rsidRPr="0059110B" w:rsidRDefault="00344E79" w:rsidP="00A3436D">
      <w:pPr>
        <w:pStyle w:val="LDBodytext"/>
        <w:keepNext/>
      </w:pPr>
    </w:p>
    <w:p w:rsidR="00344E79" w:rsidRPr="0059110B" w:rsidRDefault="00344E79" w:rsidP="00A3436D">
      <w:pPr>
        <w:pStyle w:val="LDBodytext"/>
        <w:keepNext/>
      </w:pPr>
      <w:r w:rsidRPr="0059110B">
        <w:t xml:space="preserve">There has also been on-going consultation with the Australian Strategic Air Traffic Management Group (ASTRA), an industry representative body specialising in </w:t>
      </w:r>
      <w:r w:rsidR="00CC027D" w:rsidRPr="0059110B">
        <w:t>air traffic management</w:t>
      </w:r>
      <w:r w:rsidRPr="0059110B">
        <w:t xml:space="preserve"> issues, which agrees with the proposals.</w:t>
      </w:r>
    </w:p>
    <w:p w:rsidR="00344E79" w:rsidRPr="0059110B" w:rsidRDefault="00344E79" w:rsidP="00344E79">
      <w:pPr>
        <w:pStyle w:val="LDBodytext"/>
      </w:pPr>
    </w:p>
    <w:p w:rsidR="00344E79" w:rsidRPr="0059110B" w:rsidRDefault="00344E79" w:rsidP="00344E79">
      <w:pPr>
        <w:pStyle w:val="LDBodytext"/>
        <w:rPr>
          <w:b/>
        </w:rPr>
      </w:pPr>
      <w:r w:rsidRPr="0059110B">
        <w:rPr>
          <w:b/>
        </w:rPr>
        <w:t>Office of Best Practice Regulation (</w:t>
      </w:r>
      <w:r w:rsidRPr="0059110B">
        <w:rPr>
          <w:b/>
          <w:i/>
        </w:rPr>
        <w:t>OBPR</w:t>
      </w:r>
      <w:r w:rsidRPr="0059110B">
        <w:rPr>
          <w:b/>
        </w:rPr>
        <w:t>)</w:t>
      </w:r>
    </w:p>
    <w:p w:rsidR="00344E79" w:rsidRPr="005F4166" w:rsidRDefault="00344E79" w:rsidP="00344E79">
      <w:pPr>
        <w:pStyle w:val="LDBodytext"/>
      </w:pPr>
      <w:r w:rsidRPr="0059110B">
        <w:t>A Regulation Impact Statement (</w:t>
      </w:r>
      <w:r w:rsidRPr="00976E3E">
        <w:rPr>
          <w:b/>
          <w:i/>
        </w:rPr>
        <w:t>RIS</w:t>
      </w:r>
      <w:r w:rsidRPr="0059110B">
        <w:t xml:space="preserve">) is not required for OBPR in this case because </w:t>
      </w:r>
      <w:r w:rsidRPr="005F4166">
        <w:t xml:space="preserve">OBPR assessed the proposed </w:t>
      </w:r>
      <w:r w:rsidR="00A54BAE">
        <w:t>d</w:t>
      </w:r>
      <w:r>
        <w:t>irection</w:t>
      </w:r>
      <w:r w:rsidRPr="005F4166">
        <w:t xml:space="preserve"> and determined that </w:t>
      </w:r>
      <w:r w:rsidR="006369B7">
        <w:t xml:space="preserve">it </w:t>
      </w:r>
      <w:r w:rsidRPr="005F4166">
        <w:t>will have minor impact only. Therefore, no further analysis in the form of a RIS was required (OBPR</w:t>
      </w:r>
      <w:r w:rsidR="00A64176">
        <w:t> </w:t>
      </w:r>
      <w:r w:rsidRPr="005F4166">
        <w:t>ID: 15265).</w:t>
      </w:r>
    </w:p>
    <w:p w:rsidR="00344E79" w:rsidRPr="00477778" w:rsidRDefault="00344E79" w:rsidP="00344E79">
      <w:pPr>
        <w:pStyle w:val="LDBodytext"/>
      </w:pPr>
    </w:p>
    <w:p w:rsidR="00344E79" w:rsidRPr="00C479F2" w:rsidRDefault="00344E79" w:rsidP="00344E79">
      <w:pPr>
        <w:rPr>
          <w:b/>
        </w:rPr>
      </w:pPr>
      <w:r w:rsidRPr="00582457">
        <w:rPr>
          <w:b/>
        </w:rPr>
        <w:t>Statem</w:t>
      </w:r>
      <w:r w:rsidRPr="00C479F2">
        <w:rPr>
          <w:b/>
        </w:rPr>
        <w:t>ent of Compatibility with Human Rights</w:t>
      </w:r>
    </w:p>
    <w:p w:rsidR="00344E79" w:rsidRPr="00976E3E" w:rsidRDefault="00344E79" w:rsidP="00344E79">
      <w:pPr>
        <w:pStyle w:val="LDBodytext"/>
      </w:pPr>
      <w:r w:rsidRPr="00C479F2">
        <w:t xml:space="preserve">The instrument is compatible with the human rights and freedoms recognised or declared in the international instruments listed in section 3 of the </w:t>
      </w:r>
      <w:r w:rsidRPr="00CC027D">
        <w:rPr>
          <w:i/>
        </w:rPr>
        <w:t>Human Rights (Parliamentary Scrutiny) Act 2011</w:t>
      </w:r>
      <w:r w:rsidRPr="0059110B">
        <w:t xml:space="preserve">. </w:t>
      </w:r>
      <w:r w:rsidRPr="00976E3E">
        <w:t xml:space="preserve">A Statement of Compatibility with Human Rights is at Attachment </w:t>
      </w:r>
      <w:r w:rsidR="003D4B96">
        <w:t>1</w:t>
      </w:r>
      <w:r w:rsidRPr="00976E3E">
        <w:t>.</w:t>
      </w:r>
    </w:p>
    <w:p w:rsidR="00344E79" w:rsidRPr="00976E3E" w:rsidRDefault="00344E79" w:rsidP="00344E79">
      <w:pPr>
        <w:pStyle w:val="LDBodytext"/>
        <w:rPr>
          <w:lang w:eastAsia="en-AU"/>
        </w:rPr>
      </w:pPr>
    </w:p>
    <w:p w:rsidR="00344E79" w:rsidRPr="00976E3E" w:rsidRDefault="00344E79" w:rsidP="00344E79">
      <w:pPr>
        <w:pStyle w:val="LDBodytext"/>
        <w:rPr>
          <w:b/>
        </w:rPr>
      </w:pPr>
      <w:r w:rsidRPr="00976E3E">
        <w:rPr>
          <w:b/>
        </w:rPr>
        <w:t>Commencement and making</w:t>
      </w:r>
    </w:p>
    <w:p w:rsidR="00344E79" w:rsidRPr="00976E3E" w:rsidRDefault="00344E79" w:rsidP="00344E79">
      <w:pPr>
        <w:pStyle w:val="LDBodytext"/>
      </w:pPr>
      <w:r w:rsidRPr="00976E3E">
        <w:t xml:space="preserve">The </w:t>
      </w:r>
      <w:r w:rsidR="00A54BAE">
        <w:t>d</w:t>
      </w:r>
      <w:r>
        <w:t>irection</w:t>
      </w:r>
      <w:r w:rsidRPr="00976E3E">
        <w:t xml:space="preserve"> commences on the day after regist</w:t>
      </w:r>
      <w:r w:rsidR="00BD76BD">
        <w:t>ration</w:t>
      </w:r>
      <w:r w:rsidRPr="00976E3E">
        <w:t xml:space="preserve"> but will not take effect until 2</w:t>
      </w:r>
      <w:r w:rsidR="00BD76BD">
        <w:t> </w:t>
      </w:r>
      <w:r w:rsidRPr="00976E3E">
        <w:t xml:space="preserve">February 2017. It is expected that this long lead-in time will enable all relevant operators of foreign registered </w:t>
      </w:r>
      <w:r>
        <w:t xml:space="preserve">private </w:t>
      </w:r>
      <w:r w:rsidRPr="00976E3E">
        <w:t>aircraft to equip their aircraft with compliant ADS-B avionics in time to meet the terms of the safety mandate.</w:t>
      </w:r>
    </w:p>
    <w:p w:rsidR="00344E79" w:rsidRPr="00976E3E" w:rsidRDefault="00344E79" w:rsidP="00344E79">
      <w:pPr>
        <w:pStyle w:val="LDBodytext"/>
      </w:pPr>
    </w:p>
    <w:p w:rsidR="00344E79" w:rsidRPr="00976E3E" w:rsidRDefault="00344E79" w:rsidP="00344E79">
      <w:pPr>
        <w:pStyle w:val="LDBodytext"/>
      </w:pPr>
      <w:r w:rsidRPr="00976E3E">
        <w:t xml:space="preserve">The </w:t>
      </w:r>
      <w:r w:rsidR="00A54BAE">
        <w:t>d</w:t>
      </w:r>
      <w:r>
        <w:t>irection</w:t>
      </w:r>
      <w:r w:rsidRPr="00976E3E">
        <w:t xml:space="preserve"> has been made by the Director of Aviation Safety, on behalf of CASA, in accordance with subsection 73 (2) of the Act.</w:t>
      </w:r>
    </w:p>
    <w:p w:rsidR="00661001" w:rsidRPr="005B7E6D" w:rsidRDefault="00661001" w:rsidP="00661001">
      <w:pPr>
        <w:pStyle w:val="LDBodytext"/>
      </w:pPr>
    </w:p>
    <w:p w:rsidR="00661001" w:rsidRDefault="00661001" w:rsidP="005B0D20">
      <w:pPr>
        <w:pStyle w:val="LDBodytext"/>
        <w:spacing w:before="120"/>
        <w:rPr>
          <w:sz w:val="20"/>
          <w:szCs w:val="20"/>
        </w:rPr>
      </w:pPr>
      <w:r w:rsidRPr="0020626D">
        <w:rPr>
          <w:sz w:val="20"/>
          <w:szCs w:val="20"/>
        </w:rPr>
        <w:t>[</w:t>
      </w:r>
      <w:r w:rsidR="00C029A5" w:rsidRPr="0020626D">
        <w:rPr>
          <w:sz w:val="20"/>
          <w:szCs w:val="20"/>
        </w:rPr>
        <w:t xml:space="preserve">Instrument </w:t>
      </w:r>
      <w:r w:rsidR="0053741D">
        <w:rPr>
          <w:sz w:val="20"/>
          <w:szCs w:val="20"/>
        </w:rPr>
        <w:t>number</w:t>
      </w:r>
      <w:r w:rsidR="00E650AE" w:rsidRPr="0020626D">
        <w:rPr>
          <w:sz w:val="20"/>
          <w:szCs w:val="20"/>
        </w:rPr>
        <w:t xml:space="preserve"> </w:t>
      </w:r>
      <w:r w:rsidR="00C029A5" w:rsidRPr="0020626D">
        <w:rPr>
          <w:sz w:val="20"/>
          <w:szCs w:val="20"/>
        </w:rPr>
        <w:t>CASA</w:t>
      </w:r>
      <w:r w:rsidR="00BD76BD">
        <w:rPr>
          <w:sz w:val="20"/>
          <w:szCs w:val="20"/>
        </w:rPr>
        <w:t> 61</w:t>
      </w:r>
      <w:r w:rsidR="00C029A5" w:rsidRPr="0020626D">
        <w:rPr>
          <w:sz w:val="20"/>
          <w:szCs w:val="20"/>
        </w:rPr>
        <w:t>/</w:t>
      </w:r>
      <w:r w:rsidR="00344E79" w:rsidRPr="0020626D">
        <w:rPr>
          <w:sz w:val="20"/>
          <w:szCs w:val="20"/>
        </w:rPr>
        <w:t>1</w:t>
      </w:r>
      <w:r w:rsidR="00BD76BD">
        <w:rPr>
          <w:sz w:val="20"/>
          <w:szCs w:val="20"/>
        </w:rPr>
        <w:t>4</w:t>
      </w:r>
      <w:r w:rsidRPr="0020626D">
        <w:rPr>
          <w:sz w:val="20"/>
          <w:szCs w:val="20"/>
        </w:rPr>
        <w:t>]</w:t>
      </w:r>
    </w:p>
    <w:p w:rsidR="00B34D3F" w:rsidRDefault="00B34D3F" w:rsidP="005B0D20">
      <w:pPr>
        <w:pStyle w:val="LDBodytext"/>
        <w:spacing w:before="120"/>
        <w:rPr>
          <w:sz w:val="20"/>
          <w:szCs w:val="20"/>
        </w:rPr>
        <w:sectPr w:rsidR="00B34D3F" w:rsidSect="005A79C8">
          <w:headerReference w:type="default" r:id="rId8"/>
          <w:footerReference w:type="default" r:id="rId9"/>
          <w:pgSz w:w="11907" w:h="16840" w:code="9"/>
          <w:pgMar w:top="1207" w:right="1797" w:bottom="719" w:left="1797" w:header="720" w:footer="720" w:gutter="0"/>
          <w:pgNumType w:start="1"/>
          <w:cols w:space="720"/>
          <w:titlePg/>
        </w:sectPr>
      </w:pPr>
    </w:p>
    <w:p w:rsidR="0020626D" w:rsidRPr="00477778" w:rsidRDefault="0020626D" w:rsidP="0020626D">
      <w:pPr>
        <w:pStyle w:val="LDBodytext"/>
        <w:pageBreakBefore/>
        <w:jc w:val="right"/>
        <w:rPr>
          <w:b/>
          <w:sz w:val="26"/>
          <w:szCs w:val="26"/>
        </w:rPr>
      </w:pPr>
      <w:r w:rsidRPr="00477778">
        <w:rPr>
          <w:b/>
          <w:sz w:val="26"/>
          <w:szCs w:val="26"/>
        </w:rPr>
        <w:t xml:space="preserve">Attachment </w:t>
      </w:r>
      <w:r w:rsidR="00A555D2">
        <w:rPr>
          <w:b/>
          <w:sz w:val="26"/>
          <w:szCs w:val="26"/>
        </w:rPr>
        <w:t>1</w:t>
      </w:r>
    </w:p>
    <w:p w:rsidR="0020626D" w:rsidRPr="00C479F2" w:rsidRDefault="0020626D" w:rsidP="00AE66FE">
      <w:pPr>
        <w:spacing w:before="240" w:after="120"/>
        <w:jc w:val="center"/>
        <w:rPr>
          <w:b/>
          <w:sz w:val="28"/>
          <w:szCs w:val="28"/>
        </w:rPr>
      </w:pPr>
      <w:r w:rsidRPr="00582457">
        <w:rPr>
          <w:b/>
          <w:sz w:val="28"/>
          <w:szCs w:val="28"/>
        </w:rPr>
        <w:t>Statemen</w:t>
      </w:r>
      <w:r w:rsidRPr="00C479F2">
        <w:rPr>
          <w:b/>
          <w:sz w:val="28"/>
          <w:szCs w:val="28"/>
        </w:rPr>
        <w:t>t of Compatibility with Human Rights</w:t>
      </w:r>
    </w:p>
    <w:p w:rsidR="0020626D" w:rsidRPr="00976E3E" w:rsidRDefault="0020626D" w:rsidP="0020626D">
      <w:pPr>
        <w:spacing w:after="180"/>
        <w:jc w:val="center"/>
      </w:pPr>
      <w:r w:rsidRPr="00976E3E">
        <w:rPr>
          <w:i/>
        </w:rPr>
        <w:t>Prepared in accordance with Part 3 of the</w:t>
      </w:r>
      <w:r w:rsidRPr="00976E3E">
        <w:rPr>
          <w:i/>
        </w:rPr>
        <w:br/>
        <w:t>Human Rights (Parliamentary Scrutiny) Act 2011</w:t>
      </w:r>
    </w:p>
    <w:p w:rsidR="0020626D" w:rsidRPr="00976E3E" w:rsidRDefault="0020626D" w:rsidP="0020626D">
      <w:pPr>
        <w:pStyle w:val="LDClauseHeading"/>
        <w:spacing w:before="240" w:after="240"/>
        <w:jc w:val="center"/>
        <w:rPr>
          <w:rFonts w:cs="Arial"/>
          <w:bCs/>
        </w:rPr>
      </w:pPr>
      <w:r w:rsidRPr="00976E3E">
        <w:rPr>
          <w:rFonts w:cs="Arial"/>
          <w:bCs/>
          <w:i/>
        </w:rPr>
        <w:t>Civil Aviation Regulations 19</w:t>
      </w:r>
      <w:r w:rsidR="00BD76BD">
        <w:rPr>
          <w:rFonts w:cs="Arial"/>
          <w:bCs/>
          <w:i/>
        </w:rPr>
        <w:t>8</w:t>
      </w:r>
      <w:r w:rsidRPr="00976E3E">
        <w:rPr>
          <w:rFonts w:cs="Arial"/>
          <w:bCs/>
          <w:i/>
        </w:rPr>
        <w:t>8</w:t>
      </w:r>
    </w:p>
    <w:p w:rsidR="0020626D" w:rsidRPr="00477778" w:rsidRDefault="0020626D" w:rsidP="00BD76B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Direction — use of ADS-B in foreign registered aircraft engaged in private operations</w:t>
      </w:r>
    </w:p>
    <w:p w:rsidR="0020626D" w:rsidRPr="00B34D3F" w:rsidRDefault="0020626D" w:rsidP="00B34D3F">
      <w:pPr>
        <w:rPr>
          <w:rFonts w:ascii="Times New Roman" w:hAnsi="Times New Roman"/>
          <w:bCs/>
        </w:rPr>
      </w:pPr>
    </w:p>
    <w:p w:rsidR="0020626D" w:rsidRPr="00976E3E" w:rsidRDefault="0020626D" w:rsidP="00BD76BD">
      <w:pPr>
        <w:jc w:val="center"/>
      </w:pPr>
      <w:r w:rsidRPr="00C479F2">
        <w:t>This legislative instrument is compatible with the human rights and freedoms recognised or declared in the international instruments listed in section 3 of the</w:t>
      </w:r>
      <w:r w:rsidRPr="00C479F2">
        <w:br/>
      </w:r>
      <w:r w:rsidRPr="00976E3E">
        <w:rPr>
          <w:i/>
        </w:rPr>
        <w:t>Human Rights (Parliamentary Scrutiny) Act 2011</w:t>
      </w:r>
      <w:r w:rsidRPr="00976E3E">
        <w:t>.</w:t>
      </w:r>
    </w:p>
    <w:p w:rsidR="0020626D" w:rsidRPr="00976E3E" w:rsidRDefault="0020626D" w:rsidP="0020626D">
      <w:pPr>
        <w:pStyle w:val="LDBodytext"/>
      </w:pPr>
    </w:p>
    <w:p w:rsidR="0020626D" w:rsidRPr="00976E3E" w:rsidRDefault="0020626D" w:rsidP="0020626D">
      <w:pPr>
        <w:pStyle w:val="LDBodytext"/>
        <w:rPr>
          <w:b/>
        </w:rPr>
      </w:pPr>
      <w:r w:rsidRPr="00976E3E">
        <w:rPr>
          <w:b/>
        </w:rPr>
        <w:t>Overview of the legislative instrument</w:t>
      </w:r>
    </w:p>
    <w:p w:rsidR="002C3B1A" w:rsidRDefault="002C3B1A" w:rsidP="002C3B1A">
      <w:pPr>
        <w:pStyle w:val="BodyText"/>
      </w:pPr>
      <w:r w:rsidRPr="005B7E6D">
        <w:t xml:space="preserve">The purpose of this direction is to </w:t>
      </w:r>
      <w:r w:rsidRPr="00976E3E">
        <w:t>mandate</w:t>
      </w:r>
      <w:r>
        <w:t>, in the interests of aviation safety,</w:t>
      </w:r>
      <w:r w:rsidRPr="00976E3E">
        <w:t xml:space="preserve"> the carriage of serviceable automatic dependent surveillance – broadcast (</w:t>
      </w:r>
      <w:r w:rsidRPr="00976E3E">
        <w:rPr>
          <w:b/>
          <w:i/>
        </w:rPr>
        <w:t>ADS-B</w:t>
      </w:r>
      <w:r w:rsidRPr="00976E3E">
        <w:t xml:space="preserve">) avionics equipment in foreign registered aircraft when </w:t>
      </w:r>
      <w:r w:rsidR="00AC2FB2">
        <w:t>conducting</w:t>
      </w:r>
      <w:r>
        <w:t xml:space="preserve"> private operations (</w:t>
      </w:r>
      <w:r w:rsidRPr="0020626D">
        <w:rPr>
          <w:b/>
          <w:i/>
        </w:rPr>
        <w:t>foreign registered private aircraft</w:t>
      </w:r>
      <w:r>
        <w:t>)</w:t>
      </w:r>
      <w:r w:rsidRPr="00976E3E">
        <w:t xml:space="preserve"> under the Instrument Flight Rules </w:t>
      </w:r>
      <w:r>
        <w:t>within Australia’s airspace jurisdiction</w:t>
      </w:r>
      <w:r w:rsidRPr="00976E3E">
        <w:t xml:space="preserve">. The change will be effective from 2 February 2017, and brings the requirements for foreign registered aircraft into line with those applying </w:t>
      </w:r>
      <w:r>
        <w:t xml:space="preserve">within </w:t>
      </w:r>
      <w:r w:rsidRPr="00976E3E">
        <w:t>Australia</w:t>
      </w:r>
      <w:r>
        <w:t>’s aviation jurisdiction</w:t>
      </w:r>
      <w:r w:rsidRPr="00976E3E">
        <w:t xml:space="preserve"> to Australian registered</w:t>
      </w:r>
      <w:r>
        <w:t>, and other foreign registered,</w:t>
      </w:r>
      <w:r w:rsidRPr="00976E3E">
        <w:t xml:space="preserve"> aircraft</w:t>
      </w:r>
      <w:r>
        <w:t>.</w:t>
      </w:r>
    </w:p>
    <w:p w:rsidR="002C3B1A" w:rsidRPr="00B34D3F" w:rsidRDefault="002C3B1A" w:rsidP="002C3B1A">
      <w:pPr>
        <w:pStyle w:val="BodyText"/>
        <w:rPr>
          <w:rFonts w:ascii="Times New Roman" w:hAnsi="Times New Roman"/>
          <w:sz w:val="20"/>
          <w:szCs w:val="20"/>
        </w:rPr>
      </w:pPr>
    </w:p>
    <w:p w:rsidR="002C3B1A" w:rsidRDefault="002C3B1A" w:rsidP="002C3B1A">
      <w:pPr>
        <w:pStyle w:val="BodyText"/>
      </w:pPr>
      <w:r>
        <w:t>Australian</w:t>
      </w:r>
      <w:r w:rsidR="00EA33DC">
        <w:t xml:space="preserve"> registered</w:t>
      </w:r>
      <w:r>
        <w:t xml:space="preserve"> aircraft are already subject to the same mandate. Other foreign registered aircraft, operating under conditional air operators</w:t>
      </w:r>
      <w:r w:rsidR="00B34D3F">
        <w:t>’</w:t>
      </w:r>
      <w:r>
        <w:t xml:space="preserve"> certificates issued by CASA under the </w:t>
      </w:r>
      <w:r w:rsidRPr="00EA33DC">
        <w:rPr>
          <w:i/>
        </w:rPr>
        <w:t>Civil Aviation Act 1988</w:t>
      </w:r>
      <w:r>
        <w:rPr>
          <w:i/>
        </w:rPr>
        <w:t xml:space="preserve"> </w:t>
      </w:r>
      <w:r w:rsidRPr="00EA33DC">
        <w:t>will be subject to the same mandate</w:t>
      </w:r>
      <w:r>
        <w:t xml:space="preserve"> through Civil Aviation Order</w:t>
      </w:r>
      <w:r w:rsidR="006F27E5">
        <w:t xml:space="preserve"> (</w:t>
      </w:r>
      <w:r w:rsidR="006F27E5" w:rsidRPr="00EA33DC">
        <w:rPr>
          <w:b/>
          <w:i/>
        </w:rPr>
        <w:t>CAO</w:t>
      </w:r>
      <w:r w:rsidR="006F27E5">
        <w:t>)</w:t>
      </w:r>
      <w:r>
        <w:t xml:space="preserve"> amendments being made at the same time as this direction. The </w:t>
      </w:r>
      <w:r w:rsidR="00A54BAE">
        <w:t>d</w:t>
      </w:r>
      <w:r>
        <w:t>irection, therefore, achieves uniformity in the application of the ADS</w:t>
      </w:r>
      <w:r w:rsidR="0028756C">
        <w:noBreakHyphen/>
      </w:r>
      <w:r>
        <w:t>B mandate within Australia’s aviation jurisdiction.</w:t>
      </w:r>
    </w:p>
    <w:p w:rsidR="006F27E5" w:rsidRPr="00B34D3F" w:rsidRDefault="006F27E5" w:rsidP="002C3B1A">
      <w:pPr>
        <w:pStyle w:val="BodyText"/>
        <w:rPr>
          <w:rFonts w:ascii="Times New Roman" w:hAnsi="Times New Roman"/>
          <w:sz w:val="20"/>
          <w:szCs w:val="20"/>
        </w:rPr>
      </w:pPr>
    </w:p>
    <w:p w:rsidR="006F27E5" w:rsidRDefault="006F27E5" w:rsidP="006F27E5">
      <w:pPr>
        <w:pStyle w:val="LDBodytext"/>
      </w:pPr>
      <w:r w:rsidRPr="00976E3E">
        <w:t xml:space="preserve">ADS-B avionics is a modern aircraft surveillance system for </w:t>
      </w:r>
      <w:r w:rsidR="00B34D3F">
        <w:t xml:space="preserve">air traffic control </w:t>
      </w:r>
      <w:r w:rsidRPr="00976E3E">
        <w:t>using ground stations to receive radio signals transmitted by ADS-B equipped aircraft. Using ADS-B avionics, an aircraft is able to broadcast its identity, position, altitude, velocity and many other flight parameters with a degree of accuracy, integrity and reliability that is better tha</w:t>
      </w:r>
      <w:r w:rsidR="00B34D3F">
        <w:t>n secondary surveillance radar</w:t>
      </w:r>
      <w:r w:rsidRPr="00976E3E">
        <w:t>.</w:t>
      </w:r>
    </w:p>
    <w:p w:rsidR="006F27E5" w:rsidRPr="00B34D3F" w:rsidRDefault="006F27E5" w:rsidP="00B34D3F">
      <w:pPr>
        <w:pStyle w:val="BodyText"/>
        <w:rPr>
          <w:rFonts w:ascii="Times New Roman" w:hAnsi="Times New Roman"/>
          <w:sz w:val="20"/>
          <w:szCs w:val="20"/>
        </w:rPr>
      </w:pPr>
    </w:p>
    <w:p w:rsidR="006F27E5" w:rsidRPr="00976E3E" w:rsidRDefault="006F27E5" w:rsidP="006F27E5">
      <w:pPr>
        <w:pStyle w:val="LDBodytext"/>
      </w:pPr>
      <w:r>
        <w:t xml:space="preserve">The </w:t>
      </w:r>
      <w:r w:rsidR="00185B00">
        <w:t xml:space="preserve">mandate embodied in the </w:t>
      </w:r>
      <w:r w:rsidR="00A54BAE">
        <w:t>d</w:t>
      </w:r>
      <w:r>
        <w:t xml:space="preserve">irection, and the other related CAO amendments, </w:t>
      </w:r>
      <w:r w:rsidR="00185B00">
        <w:t>is</w:t>
      </w:r>
      <w:r>
        <w:t xml:space="preserve"> a </w:t>
      </w:r>
      <w:r w:rsidR="00185B00">
        <w:t xml:space="preserve">reasonable and </w:t>
      </w:r>
      <w:r>
        <w:t>proportionate response to technological developments</w:t>
      </w:r>
      <w:r w:rsidR="00185B00">
        <w:t xml:space="preserve"> in airspace </w:t>
      </w:r>
      <w:r w:rsidR="00F849E9">
        <w:t>management</w:t>
      </w:r>
      <w:r>
        <w:t xml:space="preserve"> which enhance aviation safety.</w:t>
      </w:r>
    </w:p>
    <w:p w:rsidR="0020626D" w:rsidRPr="00B34D3F" w:rsidRDefault="0020626D" w:rsidP="0020626D">
      <w:pPr>
        <w:pStyle w:val="BodyText"/>
        <w:rPr>
          <w:rFonts w:ascii="Times New Roman" w:hAnsi="Times New Roman"/>
          <w:sz w:val="20"/>
          <w:szCs w:val="20"/>
        </w:rPr>
      </w:pPr>
    </w:p>
    <w:p w:rsidR="0020626D" w:rsidRPr="00976E3E" w:rsidRDefault="0020626D" w:rsidP="0020626D">
      <w:r w:rsidRPr="00C479F2">
        <w:t xml:space="preserve">In practice, the change affects turboprop and piston-engine foreign registered aircraft, which do not normally operate at or above flight level </w:t>
      </w:r>
      <w:r w:rsidRPr="00976E3E">
        <w:t>290 and hence would not otherwise be captured by the already existing ADS-B safety equipment mandate.</w:t>
      </w:r>
    </w:p>
    <w:p w:rsidR="0020626D" w:rsidRPr="00B34D3F" w:rsidRDefault="0020626D" w:rsidP="0020626D">
      <w:pPr>
        <w:pStyle w:val="BodyText"/>
        <w:rPr>
          <w:rFonts w:ascii="Times New Roman" w:hAnsi="Times New Roman"/>
          <w:sz w:val="20"/>
          <w:szCs w:val="20"/>
        </w:rPr>
      </w:pPr>
    </w:p>
    <w:p w:rsidR="0020626D" w:rsidRPr="00976E3E" w:rsidRDefault="0020626D" w:rsidP="0020626D">
      <w:pPr>
        <w:pStyle w:val="LDBodytext"/>
        <w:keepNext/>
        <w:rPr>
          <w:b/>
        </w:rPr>
      </w:pPr>
      <w:r w:rsidRPr="00976E3E">
        <w:rPr>
          <w:b/>
        </w:rPr>
        <w:t>Human rights implications</w:t>
      </w:r>
    </w:p>
    <w:p w:rsidR="0020626D" w:rsidRPr="00976E3E" w:rsidRDefault="0020626D" w:rsidP="0020626D">
      <w:pPr>
        <w:pStyle w:val="LDBodytext"/>
      </w:pPr>
      <w:r w:rsidRPr="00976E3E">
        <w:t xml:space="preserve">The instrument is compatible with the human rights and freedoms recognised or declared in the international instruments listed in section 3 of the </w:t>
      </w:r>
      <w:r w:rsidRPr="00976E3E">
        <w:rPr>
          <w:i/>
        </w:rPr>
        <w:t>Human Rights (Parliamentary Scrutiny) Act 2011</w:t>
      </w:r>
      <w:r w:rsidRPr="00976E3E">
        <w:t>. The instrument does not engage any of the applicable rights or freedoms.</w:t>
      </w:r>
    </w:p>
    <w:p w:rsidR="0020626D" w:rsidRPr="00B34D3F" w:rsidRDefault="0020626D" w:rsidP="00B34D3F">
      <w:pPr>
        <w:pStyle w:val="BodyText"/>
        <w:rPr>
          <w:rFonts w:ascii="Times New Roman" w:hAnsi="Times New Roman"/>
          <w:sz w:val="20"/>
          <w:szCs w:val="20"/>
        </w:rPr>
      </w:pPr>
    </w:p>
    <w:p w:rsidR="0020626D" w:rsidRPr="00976E3E" w:rsidRDefault="0020626D" w:rsidP="0020626D">
      <w:pPr>
        <w:pStyle w:val="LDBodytext"/>
        <w:rPr>
          <w:b/>
        </w:rPr>
      </w:pPr>
      <w:r w:rsidRPr="00976E3E">
        <w:rPr>
          <w:b/>
        </w:rPr>
        <w:t>Conclusion</w:t>
      </w:r>
    </w:p>
    <w:p w:rsidR="0020626D" w:rsidRPr="00976E3E" w:rsidRDefault="0020626D" w:rsidP="0020626D">
      <w:pPr>
        <w:pStyle w:val="LDBodytext"/>
      </w:pPr>
      <w:r w:rsidRPr="00976E3E">
        <w:t>This legislative instrument is compatible with human rights as it does not raise any human rights issues.</w:t>
      </w:r>
    </w:p>
    <w:p w:rsidR="0020626D" w:rsidRPr="00B34D3F" w:rsidRDefault="0020626D" w:rsidP="00B34D3F">
      <w:pPr>
        <w:pStyle w:val="BodyText"/>
        <w:rPr>
          <w:rFonts w:ascii="Times New Roman" w:hAnsi="Times New Roman"/>
          <w:sz w:val="20"/>
          <w:szCs w:val="20"/>
        </w:rPr>
      </w:pPr>
    </w:p>
    <w:p w:rsidR="00C562D8" w:rsidRPr="005B7E6D" w:rsidRDefault="0020626D" w:rsidP="00B34D3F">
      <w:pPr>
        <w:spacing w:before="120"/>
        <w:jc w:val="center"/>
      </w:pPr>
      <w:r w:rsidRPr="00976E3E">
        <w:rPr>
          <w:b/>
          <w:bCs/>
        </w:rPr>
        <w:t>Civil Aviation Safety Authority</w:t>
      </w:r>
      <w:bookmarkStart w:id="4" w:name="ExpiryOnly"/>
      <w:bookmarkEnd w:id="1"/>
      <w:bookmarkEnd w:id="2"/>
      <w:bookmarkEnd w:id="3"/>
      <w:bookmarkEnd w:id="4"/>
    </w:p>
    <w:sectPr w:rsidR="00C562D8" w:rsidRPr="005B7E6D" w:rsidSect="00B34D3F">
      <w:pgSz w:w="11907" w:h="16840" w:code="9"/>
      <w:pgMar w:top="765" w:right="1797" w:bottom="142" w:left="179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36D" w:rsidRDefault="00A3436D">
      <w:r>
        <w:separator/>
      </w:r>
    </w:p>
  </w:endnote>
  <w:endnote w:type="continuationSeparator" w:id="0">
    <w:p w:rsidR="00A3436D" w:rsidRDefault="00A3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36D" w:rsidRDefault="00A3436D" w:rsidP="00B37D4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36D" w:rsidRDefault="00A3436D">
      <w:r>
        <w:separator/>
      </w:r>
    </w:p>
  </w:footnote>
  <w:footnote w:type="continuationSeparator" w:id="0">
    <w:p w:rsidR="00A3436D" w:rsidRDefault="00A34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36D" w:rsidRPr="003110A6" w:rsidRDefault="00A3436D" w:rsidP="00B37D44">
    <w:pPr>
      <w:pStyle w:val="Header"/>
      <w:jc w:val="center"/>
      <w:rPr>
        <w:rFonts w:ascii="Times New Roman" w:hAnsi="Times New Roman"/>
      </w:rPr>
    </w:pPr>
    <w:r w:rsidRPr="003110A6">
      <w:rPr>
        <w:rStyle w:val="PageNumber"/>
        <w:rFonts w:ascii="Times New Roman" w:hAnsi="Times New Roman"/>
      </w:rPr>
      <w:fldChar w:fldCharType="begin"/>
    </w:r>
    <w:r w:rsidRPr="003110A6">
      <w:rPr>
        <w:rStyle w:val="PageNumber"/>
        <w:rFonts w:ascii="Times New Roman" w:hAnsi="Times New Roman"/>
      </w:rPr>
      <w:instrText xml:space="preserve"> PAGE </w:instrText>
    </w:r>
    <w:r w:rsidRPr="003110A6">
      <w:rPr>
        <w:rStyle w:val="PageNumber"/>
        <w:rFonts w:ascii="Times New Roman" w:hAnsi="Times New Roman"/>
      </w:rPr>
      <w:fldChar w:fldCharType="separate"/>
    </w:r>
    <w:r w:rsidR="00424A95">
      <w:rPr>
        <w:rStyle w:val="PageNumber"/>
        <w:rFonts w:ascii="Times New Roman" w:hAnsi="Times New Roman"/>
        <w:noProof/>
      </w:rPr>
      <w:t>3</w:t>
    </w:r>
    <w:r w:rsidRPr="003110A6">
      <w:rPr>
        <w:rStyle w:val="PageNumber"/>
        <w:rFonts w:ascii="Times New Roman" w:hAnsi="Times New Roman"/>
      </w:rPr>
      <w:fldChar w:fldCharType="end"/>
    </w:r>
  </w:p>
  <w:p w:rsidR="00A3436D" w:rsidRPr="003110A6" w:rsidRDefault="00A3436D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A1467"/>
    <w:multiLevelType w:val="hybridMultilevel"/>
    <w:tmpl w:val="59B25E14"/>
    <w:lvl w:ilvl="0" w:tplc="E6BC4180">
      <w:start w:val="2"/>
      <w:numFmt w:val="lowerLetter"/>
      <w:lvlText w:val="(%1)"/>
      <w:lvlJc w:val="left"/>
      <w:pPr>
        <w:tabs>
          <w:tab w:val="num" w:pos="1187"/>
        </w:tabs>
        <w:ind w:left="1187" w:hanging="45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817"/>
        </w:tabs>
        <w:ind w:left="1817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1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00F30E6"/>
    <w:multiLevelType w:val="hybridMultilevel"/>
    <w:tmpl w:val="00FC3C3E"/>
    <w:lvl w:ilvl="0" w:tplc="FC503718">
      <w:start w:val="3"/>
      <w:numFmt w:val="lowerLetter"/>
      <w:lvlText w:val="(%1)"/>
      <w:lvlJc w:val="left"/>
      <w:pPr>
        <w:tabs>
          <w:tab w:val="num" w:pos="1187"/>
        </w:tabs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3">
    <w:nsid w:val="3A896050"/>
    <w:multiLevelType w:val="hybridMultilevel"/>
    <w:tmpl w:val="133ADF5E"/>
    <w:lvl w:ilvl="0" w:tplc="9D94BE30">
      <w:start w:val="1"/>
      <w:numFmt w:val="bullet"/>
      <w:pStyle w:val="NFRMbody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0DA0B38"/>
    <w:multiLevelType w:val="hybridMultilevel"/>
    <w:tmpl w:val="8A7080D2"/>
    <w:lvl w:ilvl="0" w:tplc="055006C8">
      <w:start w:val="1"/>
      <w:numFmt w:val="decimal"/>
      <w:lvlText w:val="%1"/>
      <w:lvlJc w:val="left"/>
      <w:pPr>
        <w:tabs>
          <w:tab w:val="num" w:pos="742"/>
        </w:tabs>
        <w:ind w:left="742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17"/>
        </w:tabs>
        <w:ind w:left="14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37"/>
        </w:tabs>
        <w:ind w:left="21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57"/>
        </w:tabs>
        <w:ind w:left="28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77"/>
        </w:tabs>
        <w:ind w:left="35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97"/>
        </w:tabs>
        <w:ind w:left="42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17"/>
        </w:tabs>
        <w:ind w:left="50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37"/>
        </w:tabs>
        <w:ind w:left="57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57"/>
        </w:tabs>
        <w:ind w:left="6457" w:hanging="180"/>
      </w:pPr>
    </w:lvl>
  </w:abstractNum>
  <w:abstractNum w:abstractNumId="15">
    <w:nsid w:val="568C7F22"/>
    <w:multiLevelType w:val="multilevel"/>
    <w:tmpl w:val="1414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4"/>
  </w:num>
  <w:num w:numId="14">
    <w:abstractNumId w:val="12"/>
  </w:num>
  <w:num w:numId="15">
    <w:abstractNumId w:val="13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E14"/>
    <w:rsid w:val="00005DF2"/>
    <w:rsid w:val="00014F3B"/>
    <w:rsid w:val="000221D6"/>
    <w:rsid w:val="00045099"/>
    <w:rsid w:val="000520BA"/>
    <w:rsid w:val="00054FE0"/>
    <w:rsid w:val="000550CB"/>
    <w:rsid w:val="00056FB3"/>
    <w:rsid w:val="0006107D"/>
    <w:rsid w:val="00062CA2"/>
    <w:rsid w:val="00063852"/>
    <w:rsid w:val="00064A20"/>
    <w:rsid w:val="00080909"/>
    <w:rsid w:val="00081AF3"/>
    <w:rsid w:val="000A0016"/>
    <w:rsid w:val="000A1C43"/>
    <w:rsid w:val="000A63DD"/>
    <w:rsid w:val="000D067F"/>
    <w:rsid w:val="000E568A"/>
    <w:rsid w:val="000E6814"/>
    <w:rsid w:val="000E7B85"/>
    <w:rsid w:val="001130A0"/>
    <w:rsid w:val="001161F2"/>
    <w:rsid w:val="00133978"/>
    <w:rsid w:val="001408A7"/>
    <w:rsid w:val="00144A4B"/>
    <w:rsid w:val="00155F2A"/>
    <w:rsid w:val="00163363"/>
    <w:rsid w:val="00183455"/>
    <w:rsid w:val="00185B00"/>
    <w:rsid w:val="001863EA"/>
    <w:rsid w:val="00190BF6"/>
    <w:rsid w:val="00190C13"/>
    <w:rsid w:val="00195C67"/>
    <w:rsid w:val="001A37BE"/>
    <w:rsid w:val="001C2447"/>
    <w:rsid w:val="001D12F2"/>
    <w:rsid w:val="001E1968"/>
    <w:rsid w:val="001F7F17"/>
    <w:rsid w:val="0020626D"/>
    <w:rsid w:val="00216C90"/>
    <w:rsid w:val="002216C4"/>
    <w:rsid w:val="00226052"/>
    <w:rsid w:val="00232EBA"/>
    <w:rsid w:val="00233CB6"/>
    <w:rsid w:val="00241AA2"/>
    <w:rsid w:val="0024358F"/>
    <w:rsid w:val="00246EE5"/>
    <w:rsid w:val="00254C42"/>
    <w:rsid w:val="00256D7D"/>
    <w:rsid w:val="00257871"/>
    <w:rsid w:val="00260E78"/>
    <w:rsid w:val="00277CFF"/>
    <w:rsid w:val="0028756C"/>
    <w:rsid w:val="002A2DB0"/>
    <w:rsid w:val="002A3FDE"/>
    <w:rsid w:val="002A4365"/>
    <w:rsid w:val="002B691B"/>
    <w:rsid w:val="002C07E7"/>
    <w:rsid w:val="002C098F"/>
    <w:rsid w:val="002C0D86"/>
    <w:rsid w:val="002C1281"/>
    <w:rsid w:val="002C3B1A"/>
    <w:rsid w:val="00307DDD"/>
    <w:rsid w:val="003110A6"/>
    <w:rsid w:val="00312481"/>
    <w:rsid w:val="00313A09"/>
    <w:rsid w:val="0031603F"/>
    <w:rsid w:val="00334C79"/>
    <w:rsid w:val="00344571"/>
    <w:rsid w:val="00344E79"/>
    <w:rsid w:val="00350CAD"/>
    <w:rsid w:val="0035434D"/>
    <w:rsid w:val="00360C81"/>
    <w:rsid w:val="0036637B"/>
    <w:rsid w:val="00382D22"/>
    <w:rsid w:val="00382F81"/>
    <w:rsid w:val="003837C3"/>
    <w:rsid w:val="003A0690"/>
    <w:rsid w:val="003A159C"/>
    <w:rsid w:val="003C0490"/>
    <w:rsid w:val="003C0A44"/>
    <w:rsid w:val="003C4045"/>
    <w:rsid w:val="003D0103"/>
    <w:rsid w:val="003D06B5"/>
    <w:rsid w:val="003D22C7"/>
    <w:rsid w:val="003D33DB"/>
    <w:rsid w:val="003D4B96"/>
    <w:rsid w:val="003D5E7C"/>
    <w:rsid w:val="003E4A11"/>
    <w:rsid w:val="003F1537"/>
    <w:rsid w:val="003F4442"/>
    <w:rsid w:val="004105E8"/>
    <w:rsid w:val="0042424F"/>
    <w:rsid w:val="00424A95"/>
    <w:rsid w:val="00433537"/>
    <w:rsid w:val="00452197"/>
    <w:rsid w:val="00466A1A"/>
    <w:rsid w:val="004705C3"/>
    <w:rsid w:val="004A1356"/>
    <w:rsid w:val="004A421D"/>
    <w:rsid w:val="004E2451"/>
    <w:rsid w:val="004E7D0A"/>
    <w:rsid w:val="005003CC"/>
    <w:rsid w:val="005012EC"/>
    <w:rsid w:val="00506CD9"/>
    <w:rsid w:val="0051293B"/>
    <w:rsid w:val="0052590B"/>
    <w:rsid w:val="00531FA0"/>
    <w:rsid w:val="0053741D"/>
    <w:rsid w:val="00543781"/>
    <w:rsid w:val="00545421"/>
    <w:rsid w:val="00552CD5"/>
    <w:rsid w:val="0056285F"/>
    <w:rsid w:val="00567ABC"/>
    <w:rsid w:val="00573797"/>
    <w:rsid w:val="005823E6"/>
    <w:rsid w:val="005A79C8"/>
    <w:rsid w:val="005B0D20"/>
    <w:rsid w:val="005B7E6D"/>
    <w:rsid w:val="005C2324"/>
    <w:rsid w:val="005C4626"/>
    <w:rsid w:val="005D2001"/>
    <w:rsid w:val="005D4AD8"/>
    <w:rsid w:val="005D66ED"/>
    <w:rsid w:val="005E1BBC"/>
    <w:rsid w:val="00621F35"/>
    <w:rsid w:val="00633CA5"/>
    <w:rsid w:val="006369B7"/>
    <w:rsid w:val="00654CEE"/>
    <w:rsid w:val="00660118"/>
    <w:rsid w:val="00661001"/>
    <w:rsid w:val="00666762"/>
    <w:rsid w:val="00667406"/>
    <w:rsid w:val="00671086"/>
    <w:rsid w:val="00682D58"/>
    <w:rsid w:val="006A5970"/>
    <w:rsid w:val="006B76D0"/>
    <w:rsid w:val="006B7CC7"/>
    <w:rsid w:val="006C55C4"/>
    <w:rsid w:val="006C635C"/>
    <w:rsid w:val="006D0CD2"/>
    <w:rsid w:val="006D3F86"/>
    <w:rsid w:val="006D794B"/>
    <w:rsid w:val="006E1C3A"/>
    <w:rsid w:val="006E37A9"/>
    <w:rsid w:val="006F27E5"/>
    <w:rsid w:val="006F3859"/>
    <w:rsid w:val="006F6160"/>
    <w:rsid w:val="00707CD6"/>
    <w:rsid w:val="007363DF"/>
    <w:rsid w:val="007372C2"/>
    <w:rsid w:val="00753879"/>
    <w:rsid w:val="007715D2"/>
    <w:rsid w:val="0077421F"/>
    <w:rsid w:val="00782A01"/>
    <w:rsid w:val="007867E9"/>
    <w:rsid w:val="00792F76"/>
    <w:rsid w:val="00796927"/>
    <w:rsid w:val="007A5844"/>
    <w:rsid w:val="007F5582"/>
    <w:rsid w:val="00805E5C"/>
    <w:rsid w:val="00807334"/>
    <w:rsid w:val="008155B9"/>
    <w:rsid w:val="00834BD1"/>
    <w:rsid w:val="00837B41"/>
    <w:rsid w:val="00847582"/>
    <w:rsid w:val="00852605"/>
    <w:rsid w:val="00857E14"/>
    <w:rsid w:val="00883D9D"/>
    <w:rsid w:val="008A3BD0"/>
    <w:rsid w:val="008C3C69"/>
    <w:rsid w:val="008D328E"/>
    <w:rsid w:val="008F5957"/>
    <w:rsid w:val="008F5E4D"/>
    <w:rsid w:val="008F62F5"/>
    <w:rsid w:val="00913518"/>
    <w:rsid w:val="009151A6"/>
    <w:rsid w:val="0091613F"/>
    <w:rsid w:val="00927DAD"/>
    <w:rsid w:val="00936644"/>
    <w:rsid w:val="00952847"/>
    <w:rsid w:val="00970AF0"/>
    <w:rsid w:val="00972B1B"/>
    <w:rsid w:val="00976C4D"/>
    <w:rsid w:val="009968E6"/>
    <w:rsid w:val="009A220B"/>
    <w:rsid w:val="009B1617"/>
    <w:rsid w:val="009B2F2C"/>
    <w:rsid w:val="009B74C4"/>
    <w:rsid w:val="009C020D"/>
    <w:rsid w:val="009D0FE6"/>
    <w:rsid w:val="009D6C2E"/>
    <w:rsid w:val="009D7700"/>
    <w:rsid w:val="009F4657"/>
    <w:rsid w:val="009F6277"/>
    <w:rsid w:val="00A004A2"/>
    <w:rsid w:val="00A0124D"/>
    <w:rsid w:val="00A16E06"/>
    <w:rsid w:val="00A22ED4"/>
    <w:rsid w:val="00A26063"/>
    <w:rsid w:val="00A27759"/>
    <w:rsid w:val="00A3436D"/>
    <w:rsid w:val="00A376F8"/>
    <w:rsid w:val="00A54BAE"/>
    <w:rsid w:val="00A555D2"/>
    <w:rsid w:val="00A64176"/>
    <w:rsid w:val="00A64214"/>
    <w:rsid w:val="00A66E06"/>
    <w:rsid w:val="00A848FF"/>
    <w:rsid w:val="00A92418"/>
    <w:rsid w:val="00AA0D68"/>
    <w:rsid w:val="00AC17D1"/>
    <w:rsid w:val="00AC2FB2"/>
    <w:rsid w:val="00AD0DB3"/>
    <w:rsid w:val="00AD0F56"/>
    <w:rsid w:val="00AD1751"/>
    <w:rsid w:val="00AD7D02"/>
    <w:rsid w:val="00AE59A2"/>
    <w:rsid w:val="00AE66FE"/>
    <w:rsid w:val="00B06EB6"/>
    <w:rsid w:val="00B31ED1"/>
    <w:rsid w:val="00B338AC"/>
    <w:rsid w:val="00B34D3F"/>
    <w:rsid w:val="00B37D44"/>
    <w:rsid w:val="00B43C2D"/>
    <w:rsid w:val="00B52BBD"/>
    <w:rsid w:val="00B66951"/>
    <w:rsid w:val="00B84972"/>
    <w:rsid w:val="00B97222"/>
    <w:rsid w:val="00BA5DE9"/>
    <w:rsid w:val="00BB4CCF"/>
    <w:rsid w:val="00BB560F"/>
    <w:rsid w:val="00BD76BD"/>
    <w:rsid w:val="00BE5D67"/>
    <w:rsid w:val="00C029A5"/>
    <w:rsid w:val="00C24095"/>
    <w:rsid w:val="00C276DD"/>
    <w:rsid w:val="00C31D60"/>
    <w:rsid w:val="00C41D57"/>
    <w:rsid w:val="00C562D8"/>
    <w:rsid w:val="00C5637F"/>
    <w:rsid w:val="00C72CD1"/>
    <w:rsid w:val="00C75F8A"/>
    <w:rsid w:val="00C76824"/>
    <w:rsid w:val="00C77008"/>
    <w:rsid w:val="00C853D0"/>
    <w:rsid w:val="00C91692"/>
    <w:rsid w:val="00C93C4A"/>
    <w:rsid w:val="00C93C5F"/>
    <w:rsid w:val="00CA0DFC"/>
    <w:rsid w:val="00CB37A2"/>
    <w:rsid w:val="00CC027D"/>
    <w:rsid w:val="00CC15D0"/>
    <w:rsid w:val="00CC2113"/>
    <w:rsid w:val="00CD0F3F"/>
    <w:rsid w:val="00CD6A8A"/>
    <w:rsid w:val="00CE3FE0"/>
    <w:rsid w:val="00CE4D50"/>
    <w:rsid w:val="00CF1087"/>
    <w:rsid w:val="00D23C8D"/>
    <w:rsid w:val="00D33600"/>
    <w:rsid w:val="00D33AAC"/>
    <w:rsid w:val="00D433DC"/>
    <w:rsid w:val="00D44ACB"/>
    <w:rsid w:val="00D5095F"/>
    <w:rsid w:val="00D51CFB"/>
    <w:rsid w:val="00D54539"/>
    <w:rsid w:val="00D6354F"/>
    <w:rsid w:val="00D86448"/>
    <w:rsid w:val="00D93520"/>
    <w:rsid w:val="00D9457D"/>
    <w:rsid w:val="00D96EA6"/>
    <w:rsid w:val="00DB115C"/>
    <w:rsid w:val="00DB4FD3"/>
    <w:rsid w:val="00DC3C48"/>
    <w:rsid w:val="00DD6D6E"/>
    <w:rsid w:val="00DE15A5"/>
    <w:rsid w:val="00DE1790"/>
    <w:rsid w:val="00DF4BA1"/>
    <w:rsid w:val="00E073FC"/>
    <w:rsid w:val="00E14D0E"/>
    <w:rsid w:val="00E20635"/>
    <w:rsid w:val="00E22F64"/>
    <w:rsid w:val="00E25C16"/>
    <w:rsid w:val="00E31724"/>
    <w:rsid w:val="00E46533"/>
    <w:rsid w:val="00E469AA"/>
    <w:rsid w:val="00E650AE"/>
    <w:rsid w:val="00E67F4F"/>
    <w:rsid w:val="00E75F0E"/>
    <w:rsid w:val="00E76052"/>
    <w:rsid w:val="00E8688C"/>
    <w:rsid w:val="00E91768"/>
    <w:rsid w:val="00EA33DC"/>
    <w:rsid w:val="00EA4074"/>
    <w:rsid w:val="00EA563C"/>
    <w:rsid w:val="00EA763F"/>
    <w:rsid w:val="00EC11A6"/>
    <w:rsid w:val="00EC4015"/>
    <w:rsid w:val="00ED6E9E"/>
    <w:rsid w:val="00EE5721"/>
    <w:rsid w:val="00EF0C89"/>
    <w:rsid w:val="00EF1664"/>
    <w:rsid w:val="00EF2258"/>
    <w:rsid w:val="00F01079"/>
    <w:rsid w:val="00F02216"/>
    <w:rsid w:val="00F048B0"/>
    <w:rsid w:val="00F12DF0"/>
    <w:rsid w:val="00F1676E"/>
    <w:rsid w:val="00F237C0"/>
    <w:rsid w:val="00F260C3"/>
    <w:rsid w:val="00F350DB"/>
    <w:rsid w:val="00F46FA4"/>
    <w:rsid w:val="00F53B57"/>
    <w:rsid w:val="00F7035A"/>
    <w:rsid w:val="00F7379E"/>
    <w:rsid w:val="00F8017B"/>
    <w:rsid w:val="00F849E9"/>
    <w:rsid w:val="00F8644B"/>
    <w:rsid w:val="00F9657A"/>
    <w:rsid w:val="00F97247"/>
    <w:rsid w:val="00FA4DE9"/>
    <w:rsid w:val="00FA5819"/>
    <w:rsid w:val="00FB1E13"/>
    <w:rsid w:val="00FB2DA1"/>
    <w:rsid w:val="00FB3214"/>
    <w:rsid w:val="00FB3D60"/>
    <w:rsid w:val="00FB41DA"/>
    <w:rsid w:val="00FB6EDC"/>
    <w:rsid w:val="00FB7EAB"/>
    <w:rsid w:val="00FC03F1"/>
    <w:rsid w:val="00FD0A77"/>
    <w:rsid w:val="00FE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LDBodytext"/>
    <w:qFormat/>
    <w:rsid w:val="00976C4D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next w:val="Normal"/>
    <w:qFormat/>
    <w:rsid w:val="00976C4D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976C4D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976C4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976C4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76C4D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976C4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76C4D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976C4D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976C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976C4D"/>
    <w:pPr>
      <w:spacing w:after="120" w:line="480" w:lineRule="auto"/>
    </w:pPr>
  </w:style>
  <w:style w:type="paragraph" w:styleId="BodyText">
    <w:name w:val="Body Text"/>
    <w:basedOn w:val="Normal"/>
    <w:rsid w:val="00976C4D"/>
    <w:pPr>
      <w:tabs>
        <w:tab w:val="clear" w:pos="567"/>
      </w:tabs>
      <w:overflowPunct/>
      <w:autoSpaceDE/>
      <w:autoSpaceDN/>
      <w:adjustRightInd/>
      <w:textAlignment w:val="auto"/>
    </w:pPr>
  </w:style>
  <w:style w:type="paragraph" w:styleId="BodyText3">
    <w:name w:val="Body Text 3"/>
    <w:basedOn w:val="Normal"/>
    <w:rsid w:val="00976C4D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976C4D"/>
    <w:pPr>
      <w:spacing w:after="120"/>
      <w:ind w:left="283"/>
    </w:pPr>
  </w:style>
  <w:style w:type="paragraph" w:styleId="NormalWeb">
    <w:name w:val="Normal (Web)"/>
    <w:basedOn w:val="Normal"/>
    <w:rsid w:val="00976C4D"/>
    <w:rPr>
      <w:rFonts w:ascii="Times New Roman" w:hAnsi="Times New Roman"/>
    </w:rPr>
  </w:style>
  <w:style w:type="paragraph" w:styleId="Footer">
    <w:name w:val="footer"/>
    <w:basedOn w:val="Normal"/>
    <w:rsid w:val="00976C4D"/>
    <w:pPr>
      <w:tabs>
        <w:tab w:val="clear" w:pos="567"/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976C4D"/>
  </w:style>
  <w:style w:type="paragraph" w:customStyle="1" w:styleId="indent">
    <w:name w:val="indent"/>
    <w:basedOn w:val="Normal"/>
    <w:rsid w:val="00976C4D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976C4D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Header">
    <w:name w:val="header"/>
    <w:basedOn w:val="Normal"/>
    <w:rsid w:val="00976C4D"/>
    <w:pPr>
      <w:tabs>
        <w:tab w:val="clear" w:pos="567"/>
        <w:tab w:val="center" w:pos="4153"/>
        <w:tab w:val="right" w:pos="8306"/>
      </w:tabs>
    </w:pPr>
  </w:style>
  <w:style w:type="paragraph" w:customStyle="1" w:styleId="Style2">
    <w:name w:val="Style2"/>
    <w:basedOn w:val="Normal"/>
    <w:rsid w:val="00976C4D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customStyle="1" w:styleId="Reference">
    <w:name w:val="Reference"/>
    <w:basedOn w:val="BodyText"/>
    <w:rsid w:val="00976C4D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976C4D"/>
    <w:pPr>
      <w:pBdr>
        <w:bottom w:val="single" w:sz="2" w:space="0" w:color="auto"/>
      </w:pBdr>
    </w:pPr>
    <w:rPr>
      <w:rFonts w:ascii="Times New Roman" w:hAnsi="Times New Roman"/>
    </w:rPr>
  </w:style>
  <w:style w:type="paragraph" w:styleId="Title">
    <w:name w:val="Title"/>
    <w:basedOn w:val="BodyText"/>
    <w:next w:val="BodyText"/>
    <w:qFormat/>
    <w:rsid w:val="00976C4D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customStyle="1" w:styleId="LDTitle">
    <w:name w:val="LDTitle"/>
    <w:rsid w:val="00976C4D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976C4D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976C4D"/>
    <w:rPr>
      <w:sz w:val="24"/>
      <w:szCs w:val="24"/>
      <w:lang w:eastAsia="en-US"/>
    </w:rPr>
  </w:style>
  <w:style w:type="paragraph" w:customStyle="1" w:styleId="LDDate">
    <w:name w:val="LDDate"/>
    <w:basedOn w:val="LDBodytext"/>
    <w:rsid w:val="00976C4D"/>
    <w:pPr>
      <w:spacing w:before="240"/>
    </w:pPr>
  </w:style>
  <w:style w:type="paragraph" w:customStyle="1" w:styleId="LDP1a">
    <w:name w:val="LDP1(a)"/>
    <w:basedOn w:val="LDClause"/>
    <w:link w:val="LDP1aChar"/>
    <w:rsid w:val="00976C4D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LDBodytext"/>
    <w:rsid w:val="00976C4D"/>
    <w:pPr>
      <w:spacing w:before="60"/>
    </w:pPr>
  </w:style>
  <w:style w:type="paragraph" w:customStyle="1" w:styleId="LDScheduleheading">
    <w:name w:val="LDSchedule heading"/>
    <w:basedOn w:val="LDTitle"/>
    <w:next w:val="LDBodytext"/>
    <w:rsid w:val="00976C4D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rsid w:val="00976C4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976C4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LDBodytext"/>
    <w:next w:val="LDBodytext"/>
    <w:rsid w:val="00976C4D"/>
    <w:pPr>
      <w:keepNext/>
      <w:spacing w:before="900"/>
    </w:pPr>
  </w:style>
  <w:style w:type="character" w:customStyle="1" w:styleId="LDCitation">
    <w:name w:val="LDCitation"/>
    <w:rsid w:val="00976C4D"/>
    <w:rPr>
      <w:i/>
      <w:iCs/>
    </w:rPr>
  </w:style>
  <w:style w:type="paragraph" w:customStyle="1" w:styleId="LDFooter">
    <w:name w:val="LDFooter"/>
    <w:basedOn w:val="LDBodytext"/>
    <w:rsid w:val="00976C4D"/>
    <w:pPr>
      <w:tabs>
        <w:tab w:val="right" w:pos="8505"/>
      </w:tabs>
    </w:pPr>
    <w:rPr>
      <w:sz w:val="20"/>
    </w:rPr>
  </w:style>
  <w:style w:type="paragraph" w:customStyle="1" w:styleId="LDP2i">
    <w:name w:val="LDP2 (i)"/>
    <w:basedOn w:val="LDP1a"/>
    <w:link w:val="LDP2iChar"/>
    <w:rsid w:val="00976C4D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Description">
    <w:name w:val="LD Description"/>
    <w:basedOn w:val="LDTitle"/>
    <w:rsid w:val="00976C4D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976C4D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976C4D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"/>
    <w:rsid w:val="00976C4D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link w:val="LDScheduleClauseChar"/>
    <w:rsid w:val="00976C4D"/>
    <w:pPr>
      <w:ind w:left="738" w:hanging="851"/>
    </w:pPr>
  </w:style>
  <w:style w:type="paragraph" w:styleId="BalloonText">
    <w:name w:val="Balloon Text"/>
    <w:basedOn w:val="Normal"/>
    <w:semiHidden/>
    <w:rsid w:val="00976C4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976C4D"/>
    <w:pPr>
      <w:spacing w:after="120"/>
      <w:ind w:left="1440" w:right="1440"/>
    </w:pPr>
  </w:style>
  <w:style w:type="paragraph" w:styleId="BodyTextFirstIndent">
    <w:name w:val="Body Text First Indent"/>
    <w:basedOn w:val="BodyText"/>
    <w:rsid w:val="00976C4D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FirstIndent2">
    <w:name w:val="Body Text First Indent 2"/>
    <w:basedOn w:val="BodyTextIndent"/>
    <w:rsid w:val="00976C4D"/>
    <w:pPr>
      <w:ind w:firstLine="210"/>
    </w:pPr>
  </w:style>
  <w:style w:type="paragraph" w:styleId="BodyTextIndent2">
    <w:name w:val="Body Text Indent 2"/>
    <w:basedOn w:val="Normal"/>
    <w:rsid w:val="00976C4D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76C4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976C4D"/>
    <w:rPr>
      <w:b/>
      <w:bCs/>
      <w:sz w:val="20"/>
    </w:rPr>
  </w:style>
  <w:style w:type="paragraph" w:styleId="Closing">
    <w:name w:val="Closing"/>
    <w:basedOn w:val="Normal"/>
    <w:rsid w:val="00976C4D"/>
    <w:pPr>
      <w:ind w:left="4252"/>
    </w:pPr>
  </w:style>
  <w:style w:type="paragraph" w:styleId="CommentText">
    <w:name w:val="annotation text"/>
    <w:basedOn w:val="Normal"/>
    <w:semiHidden/>
    <w:rsid w:val="00976C4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76C4D"/>
    <w:rPr>
      <w:b/>
      <w:bCs/>
    </w:rPr>
  </w:style>
  <w:style w:type="paragraph" w:styleId="Date">
    <w:name w:val="Date"/>
    <w:basedOn w:val="Normal"/>
    <w:next w:val="Normal"/>
    <w:rsid w:val="00976C4D"/>
  </w:style>
  <w:style w:type="paragraph" w:styleId="DocumentMap">
    <w:name w:val="Document Map"/>
    <w:basedOn w:val="Normal"/>
    <w:semiHidden/>
    <w:rsid w:val="00976C4D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976C4D"/>
  </w:style>
  <w:style w:type="paragraph" w:styleId="EndnoteText">
    <w:name w:val="endnote text"/>
    <w:basedOn w:val="Normal"/>
    <w:semiHidden/>
    <w:rsid w:val="00976C4D"/>
    <w:rPr>
      <w:sz w:val="20"/>
    </w:rPr>
  </w:style>
  <w:style w:type="paragraph" w:styleId="EnvelopeAddress">
    <w:name w:val="envelope address"/>
    <w:basedOn w:val="Normal"/>
    <w:rsid w:val="00976C4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76C4D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976C4D"/>
    <w:rPr>
      <w:sz w:val="20"/>
    </w:rPr>
  </w:style>
  <w:style w:type="paragraph" w:styleId="HTMLAddress">
    <w:name w:val="HTML Address"/>
    <w:basedOn w:val="Normal"/>
    <w:rsid w:val="00976C4D"/>
    <w:rPr>
      <w:i/>
      <w:iCs/>
    </w:rPr>
  </w:style>
  <w:style w:type="paragraph" w:styleId="HTMLPreformatted">
    <w:name w:val="HTML Preformatted"/>
    <w:basedOn w:val="Normal"/>
    <w:rsid w:val="00976C4D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976C4D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976C4D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976C4D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976C4D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976C4D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976C4D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976C4D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976C4D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976C4D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976C4D"/>
    <w:rPr>
      <w:rFonts w:ascii="Arial" w:hAnsi="Arial" w:cs="Arial"/>
      <w:b/>
      <w:bCs/>
    </w:rPr>
  </w:style>
  <w:style w:type="paragraph" w:styleId="List">
    <w:name w:val="List"/>
    <w:basedOn w:val="Normal"/>
    <w:rsid w:val="00976C4D"/>
    <w:pPr>
      <w:ind w:left="283" w:hanging="283"/>
    </w:pPr>
  </w:style>
  <w:style w:type="paragraph" w:styleId="List2">
    <w:name w:val="List 2"/>
    <w:basedOn w:val="Normal"/>
    <w:rsid w:val="00976C4D"/>
    <w:pPr>
      <w:ind w:left="566" w:hanging="283"/>
    </w:pPr>
  </w:style>
  <w:style w:type="paragraph" w:styleId="List3">
    <w:name w:val="List 3"/>
    <w:basedOn w:val="Normal"/>
    <w:rsid w:val="00976C4D"/>
    <w:pPr>
      <w:ind w:left="849" w:hanging="283"/>
    </w:pPr>
  </w:style>
  <w:style w:type="paragraph" w:styleId="List4">
    <w:name w:val="List 4"/>
    <w:basedOn w:val="Normal"/>
    <w:rsid w:val="00976C4D"/>
    <w:pPr>
      <w:ind w:left="1132" w:hanging="283"/>
    </w:pPr>
  </w:style>
  <w:style w:type="paragraph" w:styleId="List5">
    <w:name w:val="List 5"/>
    <w:basedOn w:val="Normal"/>
    <w:rsid w:val="00976C4D"/>
    <w:pPr>
      <w:ind w:left="1415" w:hanging="283"/>
    </w:pPr>
  </w:style>
  <w:style w:type="paragraph" w:styleId="ListBullet">
    <w:name w:val="List Bullet"/>
    <w:basedOn w:val="Normal"/>
    <w:rsid w:val="00976C4D"/>
    <w:pPr>
      <w:numPr>
        <w:numId w:val="2"/>
      </w:numPr>
    </w:pPr>
  </w:style>
  <w:style w:type="paragraph" w:styleId="ListBullet2">
    <w:name w:val="List Bullet 2"/>
    <w:basedOn w:val="Normal"/>
    <w:rsid w:val="00976C4D"/>
    <w:pPr>
      <w:numPr>
        <w:numId w:val="3"/>
      </w:numPr>
    </w:pPr>
  </w:style>
  <w:style w:type="paragraph" w:styleId="ListBullet3">
    <w:name w:val="List Bullet 3"/>
    <w:basedOn w:val="Normal"/>
    <w:rsid w:val="00976C4D"/>
    <w:pPr>
      <w:numPr>
        <w:numId w:val="4"/>
      </w:numPr>
    </w:pPr>
  </w:style>
  <w:style w:type="paragraph" w:styleId="ListBullet4">
    <w:name w:val="List Bullet 4"/>
    <w:basedOn w:val="Normal"/>
    <w:rsid w:val="00976C4D"/>
    <w:pPr>
      <w:numPr>
        <w:numId w:val="5"/>
      </w:numPr>
    </w:pPr>
  </w:style>
  <w:style w:type="paragraph" w:styleId="ListBullet5">
    <w:name w:val="List Bullet 5"/>
    <w:basedOn w:val="Normal"/>
    <w:rsid w:val="00976C4D"/>
    <w:pPr>
      <w:numPr>
        <w:numId w:val="6"/>
      </w:numPr>
    </w:pPr>
  </w:style>
  <w:style w:type="paragraph" w:styleId="ListContinue">
    <w:name w:val="List Continue"/>
    <w:basedOn w:val="Normal"/>
    <w:rsid w:val="00976C4D"/>
    <w:pPr>
      <w:spacing w:after="120"/>
      <w:ind w:left="283"/>
    </w:pPr>
  </w:style>
  <w:style w:type="paragraph" w:styleId="ListContinue2">
    <w:name w:val="List Continue 2"/>
    <w:basedOn w:val="Normal"/>
    <w:rsid w:val="00976C4D"/>
    <w:pPr>
      <w:spacing w:after="120"/>
      <w:ind w:left="566"/>
    </w:pPr>
  </w:style>
  <w:style w:type="paragraph" w:styleId="ListContinue3">
    <w:name w:val="List Continue 3"/>
    <w:basedOn w:val="Normal"/>
    <w:rsid w:val="00976C4D"/>
    <w:pPr>
      <w:spacing w:after="120"/>
      <w:ind w:left="849"/>
    </w:pPr>
  </w:style>
  <w:style w:type="paragraph" w:styleId="ListContinue4">
    <w:name w:val="List Continue 4"/>
    <w:basedOn w:val="Normal"/>
    <w:rsid w:val="00976C4D"/>
    <w:pPr>
      <w:spacing w:after="120"/>
      <w:ind w:left="1132"/>
    </w:pPr>
  </w:style>
  <w:style w:type="paragraph" w:styleId="ListContinue5">
    <w:name w:val="List Continue 5"/>
    <w:basedOn w:val="Normal"/>
    <w:rsid w:val="00976C4D"/>
    <w:pPr>
      <w:spacing w:after="120"/>
      <w:ind w:left="1415"/>
    </w:pPr>
  </w:style>
  <w:style w:type="paragraph" w:styleId="ListNumber">
    <w:name w:val="List Number"/>
    <w:basedOn w:val="Normal"/>
    <w:rsid w:val="00976C4D"/>
    <w:pPr>
      <w:numPr>
        <w:numId w:val="7"/>
      </w:numPr>
    </w:pPr>
  </w:style>
  <w:style w:type="paragraph" w:styleId="ListNumber2">
    <w:name w:val="List Number 2"/>
    <w:basedOn w:val="Normal"/>
    <w:rsid w:val="00976C4D"/>
    <w:pPr>
      <w:numPr>
        <w:numId w:val="8"/>
      </w:numPr>
    </w:pPr>
  </w:style>
  <w:style w:type="paragraph" w:styleId="ListNumber3">
    <w:name w:val="List Number 3"/>
    <w:basedOn w:val="Normal"/>
    <w:rsid w:val="00976C4D"/>
    <w:pPr>
      <w:numPr>
        <w:numId w:val="9"/>
      </w:numPr>
    </w:pPr>
  </w:style>
  <w:style w:type="paragraph" w:styleId="ListNumber4">
    <w:name w:val="List Number 4"/>
    <w:basedOn w:val="Normal"/>
    <w:rsid w:val="00976C4D"/>
    <w:pPr>
      <w:numPr>
        <w:numId w:val="10"/>
      </w:numPr>
    </w:pPr>
  </w:style>
  <w:style w:type="paragraph" w:styleId="ListNumber5">
    <w:name w:val="List Number 5"/>
    <w:basedOn w:val="Normal"/>
    <w:rsid w:val="00976C4D"/>
    <w:pPr>
      <w:numPr>
        <w:numId w:val="11"/>
      </w:numPr>
    </w:pPr>
  </w:style>
  <w:style w:type="paragraph" w:styleId="MacroText">
    <w:name w:val="macro"/>
    <w:semiHidden/>
    <w:rsid w:val="00976C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976C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ent">
    <w:name w:val="Normal Indent"/>
    <w:basedOn w:val="Normal"/>
    <w:rsid w:val="00976C4D"/>
    <w:pPr>
      <w:ind w:left="720"/>
    </w:pPr>
  </w:style>
  <w:style w:type="paragraph" w:styleId="NoteHeading">
    <w:name w:val="Note Heading"/>
    <w:basedOn w:val="Normal"/>
    <w:next w:val="Normal"/>
    <w:rsid w:val="00976C4D"/>
  </w:style>
  <w:style w:type="paragraph" w:styleId="PlainText">
    <w:name w:val="Plain Text"/>
    <w:basedOn w:val="Normal"/>
    <w:rsid w:val="00976C4D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976C4D"/>
  </w:style>
  <w:style w:type="paragraph" w:styleId="Signature">
    <w:name w:val="Signature"/>
    <w:basedOn w:val="Normal"/>
    <w:rsid w:val="00976C4D"/>
    <w:pPr>
      <w:ind w:left="4252"/>
    </w:pPr>
  </w:style>
  <w:style w:type="paragraph" w:styleId="Subtitle">
    <w:name w:val="Subtitle"/>
    <w:basedOn w:val="Normal"/>
    <w:qFormat/>
    <w:rsid w:val="00976C4D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976C4D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976C4D"/>
    <w:pPr>
      <w:tabs>
        <w:tab w:val="clear" w:pos="567"/>
      </w:tabs>
    </w:pPr>
  </w:style>
  <w:style w:type="paragraph" w:styleId="TOAHeading">
    <w:name w:val="toa heading"/>
    <w:basedOn w:val="Normal"/>
    <w:next w:val="Normal"/>
    <w:semiHidden/>
    <w:rsid w:val="00976C4D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976C4D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semiHidden/>
    <w:rsid w:val="00976C4D"/>
    <w:pPr>
      <w:tabs>
        <w:tab w:val="clear" w:pos="567"/>
      </w:tabs>
      <w:ind w:left="260"/>
    </w:pPr>
  </w:style>
  <w:style w:type="paragraph" w:styleId="TOC3">
    <w:name w:val="toc 3"/>
    <w:basedOn w:val="Normal"/>
    <w:next w:val="Normal"/>
    <w:autoRedefine/>
    <w:semiHidden/>
    <w:rsid w:val="00976C4D"/>
    <w:pPr>
      <w:tabs>
        <w:tab w:val="clear" w:pos="567"/>
      </w:tabs>
      <w:ind w:left="520"/>
    </w:pPr>
  </w:style>
  <w:style w:type="paragraph" w:styleId="TOC4">
    <w:name w:val="toc 4"/>
    <w:basedOn w:val="Normal"/>
    <w:next w:val="Normal"/>
    <w:autoRedefine/>
    <w:semiHidden/>
    <w:rsid w:val="00976C4D"/>
    <w:pPr>
      <w:tabs>
        <w:tab w:val="clear" w:pos="567"/>
      </w:tabs>
      <w:ind w:left="780"/>
    </w:pPr>
  </w:style>
  <w:style w:type="paragraph" w:styleId="TOC5">
    <w:name w:val="toc 5"/>
    <w:basedOn w:val="Normal"/>
    <w:next w:val="Normal"/>
    <w:autoRedefine/>
    <w:semiHidden/>
    <w:rsid w:val="00976C4D"/>
    <w:pPr>
      <w:tabs>
        <w:tab w:val="clear" w:pos="567"/>
      </w:tabs>
      <w:ind w:left="1040"/>
    </w:pPr>
  </w:style>
  <w:style w:type="paragraph" w:styleId="TOC6">
    <w:name w:val="toc 6"/>
    <w:basedOn w:val="Normal"/>
    <w:next w:val="Normal"/>
    <w:autoRedefine/>
    <w:semiHidden/>
    <w:rsid w:val="00976C4D"/>
    <w:pPr>
      <w:tabs>
        <w:tab w:val="clear" w:pos="567"/>
      </w:tabs>
      <w:ind w:left="1300"/>
    </w:pPr>
  </w:style>
  <w:style w:type="paragraph" w:styleId="TOC7">
    <w:name w:val="toc 7"/>
    <w:basedOn w:val="Normal"/>
    <w:next w:val="Normal"/>
    <w:autoRedefine/>
    <w:semiHidden/>
    <w:rsid w:val="00976C4D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semiHidden/>
    <w:rsid w:val="00976C4D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semiHidden/>
    <w:rsid w:val="00976C4D"/>
    <w:pPr>
      <w:tabs>
        <w:tab w:val="clear" w:pos="567"/>
      </w:tabs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976C4D"/>
  </w:style>
  <w:style w:type="paragraph" w:customStyle="1" w:styleId="LDdefinition">
    <w:name w:val="LDdefinition"/>
    <w:basedOn w:val="LDClause"/>
    <w:link w:val="LDdefinitionChar"/>
    <w:rsid w:val="00976C4D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976C4D"/>
    <w:rPr>
      <w:b w:val="0"/>
    </w:rPr>
  </w:style>
  <w:style w:type="paragraph" w:customStyle="1" w:styleId="LDSchedSubclHead">
    <w:name w:val="LDSchedSubclHead"/>
    <w:basedOn w:val="LDScheduleClauseHead"/>
    <w:rsid w:val="00976C4D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AmendHeading">
    <w:name w:val="LDAmendHeading"/>
    <w:basedOn w:val="LDTitle"/>
    <w:next w:val="LDAmendInstruction"/>
    <w:rsid w:val="00976C4D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976C4D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976C4D"/>
    <w:pPr>
      <w:spacing w:before="60" w:after="60"/>
      <w:ind w:left="964"/>
    </w:pPr>
  </w:style>
  <w:style w:type="paragraph" w:customStyle="1" w:styleId="LDNote">
    <w:name w:val="LDNote"/>
    <w:basedOn w:val="LDClause"/>
    <w:link w:val="LDNoteChar"/>
    <w:rsid w:val="00976C4D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976C4D"/>
    <w:rPr>
      <w:szCs w:val="20"/>
    </w:rPr>
  </w:style>
  <w:style w:type="paragraph" w:customStyle="1" w:styleId="LDNotePara">
    <w:name w:val="LDNotePara"/>
    <w:basedOn w:val="LDNote"/>
    <w:rsid w:val="00976C4D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LDBodytext"/>
    <w:rsid w:val="00976C4D"/>
    <w:pPr>
      <w:spacing w:before="120"/>
    </w:pPr>
  </w:style>
  <w:style w:type="character" w:customStyle="1" w:styleId="LDClauseChar">
    <w:name w:val="LDClause Char"/>
    <w:link w:val="LDClause"/>
    <w:rsid w:val="00307DDD"/>
    <w:rPr>
      <w:sz w:val="24"/>
      <w:szCs w:val="24"/>
      <w:lang w:val="en-AU" w:eastAsia="en-US" w:bidi="ar-SA"/>
    </w:rPr>
  </w:style>
  <w:style w:type="character" w:customStyle="1" w:styleId="LDClauseHeadingChar">
    <w:name w:val="LDClauseHeading Char"/>
    <w:link w:val="LDClauseHeading"/>
    <w:rsid w:val="00A376F8"/>
    <w:rPr>
      <w:rFonts w:ascii="Arial" w:hAnsi="Arial"/>
      <w:b/>
      <w:sz w:val="24"/>
      <w:szCs w:val="24"/>
      <w:lang w:val="en-AU" w:eastAsia="en-US" w:bidi="ar-SA"/>
    </w:rPr>
  </w:style>
  <w:style w:type="character" w:customStyle="1" w:styleId="LDP1aChar">
    <w:name w:val="LDP1(a) Char"/>
    <w:basedOn w:val="LDClauseChar"/>
    <w:link w:val="LDP1a"/>
    <w:rsid w:val="00A376F8"/>
    <w:rPr>
      <w:sz w:val="24"/>
      <w:szCs w:val="24"/>
      <w:lang w:val="en-AU" w:eastAsia="en-US" w:bidi="ar-SA"/>
    </w:rPr>
  </w:style>
  <w:style w:type="character" w:customStyle="1" w:styleId="LDdefinitionChar">
    <w:name w:val="LDdefinition Char"/>
    <w:basedOn w:val="LDClauseChar"/>
    <w:link w:val="LDdefinition"/>
    <w:rsid w:val="00A376F8"/>
    <w:rPr>
      <w:sz w:val="24"/>
      <w:szCs w:val="24"/>
      <w:lang w:val="en-AU" w:eastAsia="en-US" w:bidi="ar-SA"/>
    </w:rPr>
  </w:style>
  <w:style w:type="character" w:customStyle="1" w:styleId="LDNoteChar">
    <w:name w:val="LDNote Char"/>
    <w:basedOn w:val="LDClauseChar"/>
    <w:link w:val="LDNote"/>
    <w:rsid w:val="00A376F8"/>
    <w:rPr>
      <w:sz w:val="24"/>
      <w:szCs w:val="24"/>
      <w:lang w:val="en-AU" w:eastAsia="en-US" w:bidi="ar-SA"/>
    </w:rPr>
  </w:style>
  <w:style w:type="character" w:styleId="CommentReference">
    <w:name w:val="annotation reference"/>
    <w:semiHidden/>
    <w:rsid w:val="00E75F0E"/>
    <w:rPr>
      <w:sz w:val="16"/>
      <w:szCs w:val="16"/>
    </w:rPr>
  </w:style>
  <w:style w:type="character" w:customStyle="1" w:styleId="LDP2iChar">
    <w:name w:val="LDP2 (i) Char"/>
    <w:basedOn w:val="LDP1aChar"/>
    <w:link w:val="LDP2i"/>
    <w:rsid w:val="00913518"/>
    <w:rPr>
      <w:sz w:val="24"/>
      <w:szCs w:val="24"/>
      <w:lang w:val="en-AU" w:eastAsia="en-US" w:bidi="ar-SA"/>
    </w:rPr>
  </w:style>
  <w:style w:type="character" w:customStyle="1" w:styleId="LDScheduleClauseChar">
    <w:name w:val="LDScheduleClause Char"/>
    <w:basedOn w:val="LDClauseChar"/>
    <w:link w:val="LDScheduleClause"/>
    <w:rsid w:val="00913518"/>
    <w:rPr>
      <w:sz w:val="24"/>
      <w:szCs w:val="24"/>
      <w:lang w:val="en-AU" w:eastAsia="en-US" w:bidi="ar-SA"/>
    </w:rPr>
  </w:style>
  <w:style w:type="paragraph" w:customStyle="1" w:styleId="NFRMbodyText">
    <w:name w:val="NFRMbodyText"/>
    <w:basedOn w:val="Normal"/>
    <w:rsid w:val="00913518"/>
    <w:pPr>
      <w:widowControl w:val="0"/>
      <w:tabs>
        <w:tab w:val="clear" w:pos="567"/>
      </w:tabs>
      <w:jc w:val="both"/>
    </w:pPr>
    <w:rPr>
      <w:rFonts w:ascii="Times New Roman" w:hAnsi="Times New Roman"/>
      <w:szCs w:val="20"/>
    </w:rPr>
  </w:style>
  <w:style w:type="paragraph" w:customStyle="1" w:styleId="NFRMbodybullet2">
    <w:name w:val="NFRMbodybullet2"/>
    <w:basedOn w:val="Normal"/>
    <w:rsid w:val="00671086"/>
    <w:pPr>
      <w:widowControl w:val="0"/>
      <w:numPr>
        <w:numId w:val="15"/>
      </w:numPr>
      <w:tabs>
        <w:tab w:val="clear" w:pos="567"/>
      </w:tabs>
      <w:jc w:val="both"/>
    </w:pPr>
    <w:rPr>
      <w:rFonts w:ascii="Times New Roman" w:hAnsi="Times New Roman"/>
      <w:szCs w:val="20"/>
    </w:rPr>
  </w:style>
  <w:style w:type="character" w:customStyle="1" w:styleId="LDScheduleClauseHeadChar">
    <w:name w:val="LDScheduleClauseHead Char"/>
    <w:basedOn w:val="LDClauseHeadingChar"/>
    <w:link w:val="LDScheduleClauseHead"/>
    <w:rsid w:val="00661001"/>
    <w:rPr>
      <w:rFonts w:ascii="Arial" w:hAnsi="Arial"/>
      <w:b/>
      <w:sz w:val="24"/>
      <w:szCs w:val="24"/>
      <w:lang w:val="en-AU" w:eastAsia="en-US" w:bidi="ar-SA"/>
    </w:rPr>
  </w:style>
  <w:style w:type="paragraph" w:customStyle="1" w:styleId="LDP1a0">
    <w:name w:val="LDP1 (a)"/>
    <w:basedOn w:val="LDClause"/>
    <w:link w:val="LDP1aChar0"/>
    <w:rsid w:val="00661001"/>
    <w:pPr>
      <w:tabs>
        <w:tab w:val="clear" w:pos="737"/>
        <w:tab w:val="left" w:pos="1191"/>
      </w:tabs>
      <w:ind w:left="1190" w:hanging="510"/>
    </w:pPr>
  </w:style>
  <w:style w:type="character" w:customStyle="1" w:styleId="LDP1aChar0">
    <w:name w:val="LDP1 (a) Char"/>
    <w:basedOn w:val="LDClauseChar"/>
    <w:link w:val="LDP1a0"/>
    <w:rsid w:val="00661001"/>
    <w:rPr>
      <w:sz w:val="24"/>
      <w:szCs w:val="24"/>
      <w:lang w:val="en-AU" w:eastAsia="en-US" w:bidi="ar-SA"/>
    </w:rPr>
  </w:style>
  <w:style w:type="character" w:customStyle="1" w:styleId="LDBodytextChar">
    <w:name w:val="LDBody text Char"/>
    <w:link w:val="LDBodytext"/>
    <w:rsid w:val="006A5970"/>
    <w:rPr>
      <w:sz w:val="24"/>
      <w:szCs w:val="24"/>
      <w:lang w:eastAsia="en-US"/>
    </w:rPr>
  </w:style>
  <w:style w:type="character" w:customStyle="1" w:styleId="Authorexampletext">
    <w:name w:val="Author example text"/>
    <w:uiPriority w:val="1"/>
    <w:qFormat/>
    <w:rsid w:val="00344E79"/>
    <w:rPr>
      <w:color w:val="0070C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LDBodytext"/>
    <w:qFormat/>
    <w:rsid w:val="00976C4D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next w:val="Normal"/>
    <w:qFormat/>
    <w:rsid w:val="00976C4D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976C4D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976C4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976C4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76C4D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976C4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76C4D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976C4D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976C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976C4D"/>
    <w:pPr>
      <w:spacing w:after="120" w:line="480" w:lineRule="auto"/>
    </w:pPr>
  </w:style>
  <w:style w:type="paragraph" w:styleId="BodyText">
    <w:name w:val="Body Text"/>
    <w:basedOn w:val="Normal"/>
    <w:rsid w:val="00976C4D"/>
    <w:pPr>
      <w:tabs>
        <w:tab w:val="clear" w:pos="567"/>
      </w:tabs>
      <w:overflowPunct/>
      <w:autoSpaceDE/>
      <w:autoSpaceDN/>
      <w:adjustRightInd/>
      <w:textAlignment w:val="auto"/>
    </w:pPr>
  </w:style>
  <w:style w:type="paragraph" w:styleId="BodyText3">
    <w:name w:val="Body Text 3"/>
    <w:basedOn w:val="Normal"/>
    <w:rsid w:val="00976C4D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976C4D"/>
    <w:pPr>
      <w:spacing w:after="120"/>
      <w:ind w:left="283"/>
    </w:pPr>
  </w:style>
  <w:style w:type="paragraph" w:styleId="NormalWeb">
    <w:name w:val="Normal (Web)"/>
    <w:basedOn w:val="Normal"/>
    <w:rsid w:val="00976C4D"/>
    <w:rPr>
      <w:rFonts w:ascii="Times New Roman" w:hAnsi="Times New Roman"/>
    </w:rPr>
  </w:style>
  <w:style w:type="paragraph" w:styleId="Footer">
    <w:name w:val="footer"/>
    <w:basedOn w:val="Normal"/>
    <w:rsid w:val="00976C4D"/>
    <w:pPr>
      <w:tabs>
        <w:tab w:val="clear" w:pos="567"/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976C4D"/>
  </w:style>
  <w:style w:type="paragraph" w:customStyle="1" w:styleId="indent">
    <w:name w:val="indent"/>
    <w:basedOn w:val="Normal"/>
    <w:rsid w:val="00976C4D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976C4D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Header">
    <w:name w:val="header"/>
    <w:basedOn w:val="Normal"/>
    <w:rsid w:val="00976C4D"/>
    <w:pPr>
      <w:tabs>
        <w:tab w:val="clear" w:pos="567"/>
        <w:tab w:val="center" w:pos="4153"/>
        <w:tab w:val="right" w:pos="8306"/>
      </w:tabs>
    </w:pPr>
  </w:style>
  <w:style w:type="paragraph" w:customStyle="1" w:styleId="Style2">
    <w:name w:val="Style2"/>
    <w:basedOn w:val="Normal"/>
    <w:rsid w:val="00976C4D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customStyle="1" w:styleId="Reference">
    <w:name w:val="Reference"/>
    <w:basedOn w:val="BodyText"/>
    <w:rsid w:val="00976C4D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976C4D"/>
    <w:pPr>
      <w:pBdr>
        <w:bottom w:val="single" w:sz="2" w:space="0" w:color="auto"/>
      </w:pBdr>
    </w:pPr>
    <w:rPr>
      <w:rFonts w:ascii="Times New Roman" w:hAnsi="Times New Roman"/>
    </w:rPr>
  </w:style>
  <w:style w:type="paragraph" w:styleId="Title">
    <w:name w:val="Title"/>
    <w:basedOn w:val="BodyText"/>
    <w:next w:val="BodyText"/>
    <w:qFormat/>
    <w:rsid w:val="00976C4D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customStyle="1" w:styleId="LDTitle">
    <w:name w:val="LDTitle"/>
    <w:rsid w:val="00976C4D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976C4D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976C4D"/>
    <w:rPr>
      <w:sz w:val="24"/>
      <w:szCs w:val="24"/>
      <w:lang w:eastAsia="en-US"/>
    </w:rPr>
  </w:style>
  <w:style w:type="paragraph" w:customStyle="1" w:styleId="LDDate">
    <w:name w:val="LDDate"/>
    <w:basedOn w:val="LDBodytext"/>
    <w:rsid w:val="00976C4D"/>
    <w:pPr>
      <w:spacing w:before="240"/>
    </w:pPr>
  </w:style>
  <w:style w:type="paragraph" w:customStyle="1" w:styleId="LDP1a">
    <w:name w:val="LDP1(a)"/>
    <w:basedOn w:val="LDClause"/>
    <w:link w:val="LDP1aChar"/>
    <w:rsid w:val="00976C4D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LDBodytext"/>
    <w:rsid w:val="00976C4D"/>
    <w:pPr>
      <w:spacing w:before="60"/>
    </w:pPr>
  </w:style>
  <w:style w:type="paragraph" w:customStyle="1" w:styleId="LDScheduleheading">
    <w:name w:val="LDSchedule heading"/>
    <w:basedOn w:val="LDTitle"/>
    <w:next w:val="LDBodytext"/>
    <w:rsid w:val="00976C4D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rsid w:val="00976C4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976C4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LDBodytext"/>
    <w:next w:val="LDBodytext"/>
    <w:rsid w:val="00976C4D"/>
    <w:pPr>
      <w:keepNext/>
      <w:spacing w:before="900"/>
    </w:pPr>
  </w:style>
  <w:style w:type="character" w:customStyle="1" w:styleId="LDCitation">
    <w:name w:val="LDCitation"/>
    <w:rsid w:val="00976C4D"/>
    <w:rPr>
      <w:i/>
      <w:iCs/>
    </w:rPr>
  </w:style>
  <w:style w:type="paragraph" w:customStyle="1" w:styleId="LDFooter">
    <w:name w:val="LDFooter"/>
    <w:basedOn w:val="LDBodytext"/>
    <w:rsid w:val="00976C4D"/>
    <w:pPr>
      <w:tabs>
        <w:tab w:val="right" w:pos="8505"/>
      </w:tabs>
    </w:pPr>
    <w:rPr>
      <w:sz w:val="20"/>
    </w:rPr>
  </w:style>
  <w:style w:type="paragraph" w:customStyle="1" w:styleId="LDP2i">
    <w:name w:val="LDP2 (i)"/>
    <w:basedOn w:val="LDP1a"/>
    <w:link w:val="LDP2iChar"/>
    <w:rsid w:val="00976C4D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Description">
    <w:name w:val="LD Description"/>
    <w:basedOn w:val="LDTitle"/>
    <w:rsid w:val="00976C4D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976C4D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976C4D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"/>
    <w:rsid w:val="00976C4D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link w:val="LDScheduleClauseChar"/>
    <w:rsid w:val="00976C4D"/>
    <w:pPr>
      <w:ind w:left="738" w:hanging="851"/>
    </w:pPr>
  </w:style>
  <w:style w:type="paragraph" w:styleId="BalloonText">
    <w:name w:val="Balloon Text"/>
    <w:basedOn w:val="Normal"/>
    <w:semiHidden/>
    <w:rsid w:val="00976C4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976C4D"/>
    <w:pPr>
      <w:spacing w:after="120"/>
      <w:ind w:left="1440" w:right="1440"/>
    </w:pPr>
  </w:style>
  <w:style w:type="paragraph" w:styleId="BodyTextFirstIndent">
    <w:name w:val="Body Text First Indent"/>
    <w:basedOn w:val="BodyText"/>
    <w:rsid w:val="00976C4D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FirstIndent2">
    <w:name w:val="Body Text First Indent 2"/>
    <w:basedOn w:val="BodyTextIndent"/>
    <w:rsid w:val="00976C4D"/>
    <w:pPr>
      <w:ind w:firstLine="210"/>
    </w:pPr>
  </w:style>
  <w:style w:type="paragraph" w:styleId="BodyTextIndent2">
    <w:name w:val="Body Text Indent 2"/>
    <w:basedOn w:val="Normal"/>
    <w:rsid w:val="00976C4D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76C4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976C4D"/>
    <w:rPr>
      <w:b/>
      <w:bCs/>
      <w:sz w:val="20"/>
    </w:rPr>
  </w:style>
  <w:style w:type="paragraph" w:styleId="Closing">
    <w:name w:val="Closing"/>
    <w:basedOn w:val="Normal"/>
    <w:rsid w:val="00976C4D"/>
    <w:pPr>
      <w:ind w:left="4252"/>
    </w:pPr>
  </w:style>
  <w:style w:type="paragraph" w:styleId="CommentText">
    <w:name w:val="annotation text"/>
    <w:basedOn w:val="Normal"/>
    <w:semiHidden/>
    <w:rsid w:val="00976C4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76C4D"/>
    <w:rPr>
      <w:b/>
      <w:bCs/>
    </w:rPr>
  </w:style>
  <w:style w:type="paragraph" w:styleId="Date">
    <w:name w:val="Date"/>
    <w:basedOn w:val="Normal"/>
    <w:next w:val="Normal"/>
    <w:rsid w:val="00976C4D"/>
  </w:style>
  <w:style w:type="paragraph" w:styleId="DocumentMap">
    <w:name w:val="Document Map"/>
    <w:basedOn w:val="Normal"/>
    <w:semiHidden/>
    <w:rsid w:val="00976C4D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976C4D"/>
  </w:style>
  <w:style w:type="paragraph" w:styleId="EndnoteText">
    <w:name w:val="endnote text"/>
    <w:basedOn w:val="Normal"/>
    <w:semiHidden/>
    <w:rsid w:val="00976C4D"/>
    <w:rPr>
      <w:sz w:val="20"/>
    </w:rPr>
  </w:style>
  <w:style w:type="paragraph" w:styleId="EnvelopeAddress">
    <w:name w:val="envelope address"/>
    <w:basedOn w:val="Normal"/>
    <w:rsid w:val="00976C4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76C4D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976C4D"/>
    <w:rPr>
      <w:sz w:val="20"/>
    </w:rPr>
  </w:style>
  <w:style w:type="paragraph" w:styleId="HTMLAddress">
    <w:name w:val="HTML Address"/>
    <w:basedOn w:val="Normal"/>
    <w:rsid w:val="00976C4D"/>
    <w:rPr>
      <w:i/>
      <w:iCs/>
    </w:rPr>
  </w:style>
  <w:style w:type="paragraph" w:styleId="HTMLPreformatted">
    <w:name w:val="HTML Preformatted"/>
    <w:basedOn w:val="Normal"/>
    <w:rsid w:val="00976C4D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976C4D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976C4D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976C4D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976C4D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976C4D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976C4D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976C4D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976C4D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976C4D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976C4D"/>
    <w:rPr>
      <w:rFonts w:ascii="Arial" w:hAnsi="Arial" w:cs="Arial"/>
      <w:b/>
      <w:bCs/>
    </w:rPr>
  </w:style>
  <w:style w:type="paragraph" w:styleId="List">
    <w:name w:val="List"/>
    <w:basedOn w:val="Normal"/>
    <w:rsid w:val="00976C4D"/>
    <w:pPr>
      <w:ind w:left="283" w:hanging="283"/>
    </w:pPr>
  </w:style>
  <w:style w:type="paragraph" w:styleId="List2">
    <w:name w:val="List 2"/>
    <w:basedOn w:val="Normal"/>
    <w:rsid w:val="00976C4D"/>
    <w:pPr>
      <w:ind w:left="566" w:hanging="283"/>
    </w:pPr>
  </w:style>
  <w:style w:type="paragraph" w:styleId="List3">
    <w:name w:val="List 3"/>
    <w:basedOn w:val="Normal"/>
    <w:rsid w:val="00976C4D"/>
    <w:pPr>
      <w:ind w:left="849" w:hanging="283"/>
    </w:pPr>
  </w:style>
  <w:style w:type="paragraph" w:styleId="List4">
    <w:name w:val="List 4"/>
    <w:basedOn w:val="Normal"/>
    <w:rsid w:val="00976C4D"/>
    <w:pPr>
      <w:ind w:left="1132" w:hanging="283"/>
    </w:pPr>
  </w:style>
  <w:style w:type="paragraph" w:styleId="List5">
    <w:name w:val="List 5"/>
    <w:basedOn w:val="Normal"/>
    <w:rsid w:val="00976C4D"/>
    <w:pPr>
      <w:ind w:left="1415" w:hanging="283"/>
    </w:pPr>
  </w:style>
  <w:style w:type="paragraph" w:styleId="ListBullet">
    <w:name w:val="List Bullet"/>
    <w:basedOn w:val="Normal"/>
    <w:rsid w:val="00976C4D"/>
    <w:pPr>
      <w:numPr>
        <w:numId w:val="2"/>
      </w:numPr>
    </w:pPr>
  </w:style>
  <w:style w:type="paragraph" w:styleId="ListBullet2">
    <w:name w:val="List Bullet 2"/>
    <w:basedOn w:val="Normal"/>
    <w:rsid w:val="00976C4D"/>
    <w:pPr>
      <w:numPr>
        <w:numId w:val="3"/>
      </w:numPr>
    </w:pPr>
  </w:style>
  <w:style w:type="paragraph" w:styleId="ListBullet3">
    <w:name w:val="List Bullet 3"/>
    <w:basedOn w:val="Normal"/>
    <w:rsid w:val="00976C4D"/>
    <w:pPr>
      <w:numPr>
        <w:numId w:val="4"/>
      </w:numPr>
    </w:pPr>
  </w:style>
  <w:style w:type="paragraph" w:styleId="ListBullet4">
    <w:name w:val="List Bullet 4"/>
    <w:basedOn w:val="Normal"/>
    <w:rsid w:val="00976C4D"/>
    <w:pPr>
      <w:numPr>
        <w:numId w:val="5"/>
      </w:numPr>
    </w:pPr>
  </w:style>
  <w:style w:type="paragraph" w:styleId="ListBullet5">
    <w:name w:val="List Bullet 5"/>
    <w:basedOn w:val="Normal"/>
    <w:rsid w:val="00976C4D"/>
    <w:pPr>
      <w:numPr>
        <w:numId w:val="6"/>
      </w:numPr>
    </w:pPr>
  </w:style>
  <w:style w:type="paragraph" w:styleId="ListContinue">
    <w:name w:val="List Continue"/>
    <w:basedOn w:val="Normal"/>
    <w:rsid w:val="00976C4D"/>
    <w:pPr>
      <w:spacing w:after="120"/>
      <w:ind w:left="283"/>
    </w:pPr>
  </w:style>
  <w:style w:type="paragraph" w:styleId="ListContinue2">
    <w:name w:val="List Continue 2"/>
    <w:basedOn w:val="Normal"/>
    <w:rsid w:val="00976C4D"/>
    <w:pPr>
      <w:spacing w:after="120"/>
      <w:ind w:left="566"/>
    </w:pPr>
  </w:style>
  <w:style w:type="paragraph" w:styleId="ListContinue3">
    <w:name w:val="List Continue 3"/>
    <w:basedOn w:val="Normal"/>
    <w:rsid w:val="00976C4D"/>
    <w:pPr>
      <w:spacing w:after="120"/>
      <w:ind w:left="849"/>
    </w:pPr>
  </w:style>
  <w:style w:type="paragraph" w:styleId="ListContinue4">
    <w:name w:val="List Continue 4"/>
    <w:basedOn w:val="Normal"/>
    <w:rsid w:val="00976C4D"/>
    <w:pPr>
      <w:spacing w:after="120"/>
      <w:ind w:left="1132"/>
    </w:pPr>
  </w:style>
  <w:style w:type="paragraph" w:styleId="ListContinue5">
    <w:name w:val="List Continue 5"/>
    <w:basedOn w:val="Normal"/>
    <w:rsid w:val="00976C4D"/>
    <w:pPr>
      <w:spacing w:after="120"/>
      <w:ind w:left="1415"/>
    </w:pPr>
  </w:style>
  <w:style w:type="paragraph" w:styleId="ListNumber">
    <w:name w:val="List Number"/>
    <w:basedOn w:val="Normal"/>
    <w:rsid w:val="00976C4D"/>
    <w:pPr>
      <w:numPr>
        <w:numId w:val="7"/>
      </w:numPr>
    </w:pPr>
  </w:style>
  <w:style w:type="paragraph" w:styleId="ListNumber2">
    <w:name w:val="List Number 2"/>
    <w:basedOn w:val="Normal"/>
    <w:rsid w:val="00976C4D"/>
    <w:pPr>
      <w:numPr>
        <w:numId w:val="8"/>
      </w:numPr>
    </w:pPr>
  </w:style>
  <w:style w:type="paragraph" w:styleId="ListNumber3">
    <w:name w:val="List Number 3"/>
    <w:basedOn w:val="Normal"/>
    <w:rsid w:val="00976C4D"/>
    <w:pPr>
      <w:numPr>
        <w:numId w:val="9"/>
      </w:numPr>
    </w:pPr>
  </w:style>
  <w:style w:type="paragraph" w:styleId="ListNumber4">
    <w:name w:val="List Number 4"/>
    <w:basedOn w:val="Normal"/>
    <w:rsid w:val="00976C4D"/>
    <w:pPr>
      <w:numPr>
        <w:numId w:val="10"/>
      </w:numPr>
    </w:pPr>
  </w:style>
  <w:style w:type="paragraph" w:styleId="ListNumber5">
    <w:name w:val="List Number 5"/>
    <w:basedOn w:val="Normal"/>
    <w:rsid w:val="00976C4D"/>
    <w:pPr>
      <w:numPr>
        <w:numId w:val="11"/>
      </w:numPr>
    </w:pPr>
  </w:style>
  <w:style w:type="paragraph" w:styleId="MacroText">
    <w:name w:val="macro"/>
    <w:semiHidden/>
    <w:rsid w:val="00976C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976C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ent">
    <w:name w:val="Normal Indent"/>
    <w:basedOn w:val="Normal"/>
    <w:rsid w:val="00976C4D"/>
    <w:pPr>
      <w:ind w:left="720"/>
    </w:pPr>
  </w:style>
  <w:style w:type="paragraph" w:styleId="NoteHeading">
    <w:name w:val="Note Heading"/>
    <w:basedOn w:val="Normal"/>
    <w:next w:val="Normal"/>
    <w:rsid w:val="00976C4D"/>
  </w:style>
  <w:style w:type="paragraph" w:styleId="PlainText">
    <w:name w:val="Plain Text"/>
    <w:basedOn w:val="Normal"/>
    <w:rsid w:val="00976C4D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976C4D"/>
  </w:style>
  <w:style w:type="paragraph" w:styleId="Signature">
    <w:name w:val="Signature"/>
    <w:basedOn w:val="Normal"/>
    <w:rsid w:val="00976C4D"/>
    <w:pPr>
      <w:ind w:left="4252"/>
    </w:pPr>
  </w:style>
  <w:style w:type="paragraph" w:styleId="Subtitle">
    <w:name w:val="Subtitle"/>
    <w:basedOn w:val="Normal"/>
    <w:qFormat/>
    <w:rsid w:val="00976C4D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976C4D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976C4D"/>
    <w:pPr>
      <w:tabs>
        <w:tab w:val="clear" w:pos="567"/>
      </w:tabs>
    </w:pPr>
  </w:style>
  <w:style w:type="paragraph" w:styleId="TOAHeading">
    <w:name w:val="toa heading"/>
    <w:basedOn w:val="Normal"/>
    <w:next w:val="Normal"/>
    <w:semiHidden/>
    <w:rsid w:val="00976C4D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976C4D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semiHidden/>
    <w:rsid w:val="00976C4D"/>
    <w:pPr>
      <w:tabs>
        <w:tab w:val="clear" w:pos="567"/>
      </w:tabs>
      <w:ind w:left="260"/>
    </w:pPr>
  </w:style>
  <w:style w:type="paragraph" w:styleId="TOC3">
    <w:name w:val="toc 3"/>
    <w:basedOn w:val="Normal"/>
    <w:next w:val="Normal"/>
    <w:autoRedefine/>
    <w:semiHidden/>
    <w:rsid w:val="00976C4D"/>
    <w:pPr>
      <w:tabs>
        <w:tab w:val="clear" w:pos="567"/>
      </w:tabs>
      <w:ind w:left="520"/>
    </w:pPr>
  </w:style>
  <w:style w:type="paragraph" w:styleId="TOC4">
    <w:name w:val="toc 4"/>
    <w:basedOn w:val="Normal"/>
    <w:next w:val="Normal"/>
    <w:autoRedefine/>
    <w:semiHidden/>
    <w:rsid w:val="00976C4D"/>
    <w:pPr>
      <w:tabs>
        <w:tab w:val="clear" w:pos="567"/>
      </w:tabs>
      <w:ind w:left="780"/>
    </w:pPr>
  </w:style>
  <w:style w:type="paragraph" w:styleId="TOC5">
    <w:name w:val="toc 5"/>
    <w:basedOn w:val="Normal"/>
    <w:next w:val="Normal"/>
    <w:autoRedefine/>
    <w:semiHidden/>
    <w:rsid w:val="00976C4D"/>
    <w:pPr>
      <w:tabs>
        <w:tab w:val="clear" w:pos="567"/>
      </w:tabs>
      <w:ind w:left="1040"/>
    </w:pPr>
  </w:style>
  <w:style w:type="paragraph" w:styleId="TOC6">
    <w:name w:val="toc 6"/>
    <w:basedOn w:val="Normal"/>
    <w:next w:val="Normal"/>
    <w:autoRedefine/>
    <w:semiHidden/>
    <w:rsid w:val="00976C4D"/>
    <w:pPr>
      <w:tabs>
        <w:tab w:val="clear" w:pos="567"/>
      </w:tabs>
      <w:ind w:left="1300"/>
    </w:pPr>
  </w:style>
  <w:style w:type="paragraph" w:styleId="TOC7">
    <w:name w:val="toc 7"/>
    <w:basedOn w:val="Normal"/>
    <w:next w:val="Normal"/>
    <w:autoRedefine/>
    <w:semiHidden/>
    <w:rsid w:val="00976C4D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semiHidden/>
    <w:rsid w:val="00976C4D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semiHidden/>
    <w:rsid w:val="00976C4D"/>
    <w:pPr>
      <w:tabs>
        <w:tab w:val="clear" w:pos="567"/>
      </w:tabs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976C4D"/>
  </w:style>
  <w:style w:type="paragraph" w:customStyle="1" w:styleId="LDdefinition">
    <w:name w:val="LDdefinition"/>
    <w:basedOn w:val="LDClause"/>
    <w:link w:val="LDdefinitionChar"/>
    <w:rsid w:val="00976C4D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976C4D"/>
    <w:rPr>
      <w:b w:val="0"/>
    </w:rPr>
  </w:style>
  <w:style w:type="paragraph" w:customStyle="1" w:styleId="LDSchedSubclHead">
    <w:name w:val="LDSchedSubclHead"/>
    <w:basedOn w:val="LDScheduleClauseHead"/>
    <w:rsid w:val="00976C4D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AmendHeading">
    <w:name w:val="LDAmendHeading"/>
    <w:basedOn w:val="LDTitle"/>
    <w:next w:val="LDAmendInstruction"/>
    <w:rsid w:val="00976C4D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976C4D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976C4D"/>
    <w:pPr>
      <w:spacing w:before="60" w:after="60"/>
      <w:ind w:left="964"/>
    </w:pPr>
  </w:style>
  <w:style w:type="paragraph" w:customStyle="1" w:styleId="LDNote">
    <w:name w:val="LDNote"/>
    <w:basedOn w:val="LDClause"/>
    <w:link w:val="LDNoteChar"/>
    <w:rsid w:val="00976C4D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976C4D"/>
    <w:rPr>
      <w:szCs w:val="20"/>
    </w:rPr>
  </w:style>
  <w:style w:type="paragraph" w:customStyle="1" w:styleId="LDNotePara">
    <w:name w:val="LDNotePara"/>
    <w:basedOn w:val="LDNote"/>
    <w:rsid w:val="00976C4D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LDBodytext"/>
    <w:rsid w:val="00976C4D"/>
    <w:pPr>
      <w:spacing w:before="120"/>
    </w:pPr>
  </w:style>
  <w:style w:type="character" w:customStyle="1" w:styleId="LDClauseChar">
    <w:name w:val="LDClause Char"/>
    <w:link w:val="LDClause"/>
    <w:rsid w:val="00307DDD"/>
    <w:rPr>
      <w:sz w:val="24"/>
      <w:szCs w:val="24"/>
      <w:lang w:val="en-AU" w:eastAsia="en-US" w:bidi="ar-SA"/>
    </w:rPr>
  </w:style>
  <w:style w:type="character" w:customStyle="1" w:styleId="LDClauseHeadingChar">
    <w:name w:val="LDClauseHeading Char"/>
    <w:link w:val="LDClauseHeading"/>
    <w:rsid w:val="00A376F8"/>
    <w:rPr>
      <w:rFonts w:ascii="Arial" w:hAnsi="Arial"/>
      <w:b/>
      <w:sz w:val="24"/>
      <w:szCs w:val="24"/>
      <w:lang w:val="en-AU" w:eastAsia="en-US" w:bidi="ar-SA"/>
    </w:rPr>
  </w:style>
  <w:style w:type="character" w:customStyle="1" w:styleId="LDP1aChar">
    <w:name w:val="LDP1(a) Char"/>
    <w:basedOn w:val="LDClauseChar"/>
    <w:link w:val="LDP1a"/>
    <w:rsid w:val="00A376F8"/>
    <w:rPr>
      <w:sz w:val="24"/>
      <w:szCs w:val="24"/>
      <w:lang w:val="en-AU" w:eastAsia="en-US" w:bidi="ar-SA"/>
    </w:rPr>
  </w:style>
  <w:style w:type="character" w:customStyle="1" w:styleId="LDdefinitionChar">
    <w:name w:val="LDdefinition Char"/>
    <w:basedOn w:val="LDClauseChar"/>
    <w:link w:val="LDdefinition"/>
    <w:rsid w:val="00A376F8"/>
    <w:rPr>
      <w:sz w:val="24"/>
      <w:szCs w:val="24"/>
      <w:lang w:val="en-AU" w:eastAsia="en-US" w:bidi="ar-SA"/>
    </w:rPr>
  </w:style>
  <w:style w:type="character" w:customStyle="1" w:styleId="LDNoteChar">
    <w:name w:val="LDNote Char"/>
    <w:basedOn w:val="LDClauseChar"/>
    <w:link w:val="LDNote"/>
    <w:rsid w:val="00A376F8"/>
    <w:rPr>
      <w:sz w:val="24"/>
      <w:szCs w:val="24"/>
      <w:lang w:val="en-AU" w:eastAsia="en-US" w:bidi="ar-SA"/>
    </w:rPr>
  </w:style>
  <w:style w:type="character" w:styleId="CommentReference">
    <w:name w:val="annotation reference"/>
    <w:semiHidden/>
    <w:rsid w:val="00E75F0E"/>
    <w:rPr>
      <w:sz w:val="16"/>
      <w:szCs w:val="16"/>
    </w:rPr>
  </w:style>
  <w:style w:type="character" w:customStyle="1" w:styleId="LDP2iChar">
    <w:name w:val="LDP2 (i) Char"/>
    <w:basedOn w:val="LDP1aChar"/>
    <w:link w:val="LDP2i"/>
    <w:rsid w:val="00913518"/>
    <w:rPr>
      <w:sz w:val="24"/>
      <w:szCs w:val="24"/>
      <w:lang w:val="en-AU" w:eastAsia="en-US" w:bidi="ar-SA"/>
    </w:rPr>
  </w:style>
  <w:style w:type="character" w:customStyle="1" w:styleId="LDScheduleClauseChar">
    <w:name w:val="LDScheduleClause Char"/>
    <w:basedOn w:val="LDClauseChar"/>
    <w:link w:val="LDScheduleClause"/>
    <w:rsid w:val="00913518"/>
    <w:rPr>
      <w:sz w:val="24"/>
      <w:szCs w:val="24"/>
      <w:lang w:val="en-AU" w:eastAsia="en-US" w:bidi="ar-SA"/>
    </w:rPr>
  </w:style>
  <w:style w:type="paragraph" w:customStyle="1" w:styleId="NFRMbodyText">
    <w:name w:val="NFRMbodyText"/>
    <w:basedOn w:val="Normal"/>
    <w:rsid w:val="00913518"/>
    <w:pPr>
      <w:widowControl w:val="0"/>
      <w:tabs>
        <w:tab w:val="clear" w:pos="567"/>
      </w:tabs>
      <w:jc w:val="both"/>
    </w:pPr>
    <w:rPr>
      <w:rFonts w:ascii="Times New Roman" w:hAnsi="Times New Roman"/>
      <w:szCs w:val="20"/>
    </w:rPr>
  </w:style>
  <w:style w:type="paragraph" w:customStyle="1" w:styleId="NFRMbodybullet2">
    <w:name w:val="NFRMbodybullet2"/>
    <w:basedOn w:val="Normal"/>
    <w:rsid w:val="00671086"/>
    <w:pPr>
      <w:widowControl w:val="0"/>
      <w:numPr>
        <w:numId w:val="15"/>
      </w:numPr>
      <w:tabs>
        <w:tab w:val="clear" w:pos="567"/>
      </w:tabs>
      <w:jc w:val="both"/>
    </w:pPr>
    <w:rPr>
      <w:rFonts w:ascii="Times New Roman" w:hAnsi="Times New Roman"/>
      <w:szCs w:val="20"/>
    </w:rPr>
  </w:style>
  <w:style w:type="character" w:customStyle="1" w:styleId="LDScheduleClauseHeadChar">
    <w:name w:val="LDScheduleClauseHead Char"/>
    <w:basedOn w:val="LDClauseHeadingChar"/>
    <w:link w:val="LDScheduleClauseHead"/>
    <w:rsid w:val="00661001"/>
    <w:rPr>
      <w:rFonts w:ascii="Arial" w:hAnsi="Arial"/>
      <w:b/>
      <w:sz w:val="24"/>
      <w:szCs w:val="24"/>
      <w:lang w:val="en-AU" w:eastAsia="en-US" w:bidi="ar-SA"/>
    </w:rPr>
  </w:style>
  <w:style w:type="paragraph" w:customStyle="1" w:styleId="LDP1a0">
    <w:name w:val="LDP1 (a)"/>
    <w:basedOn w:val="LDClause"/>
    <w:link w:val="LDP1aChar0"/>
    <w:rsid w:val="00661001"/>
    <w:pPr>
      <w:tabs>
        <w:tab w:val="clear" w:pos="737"/>
        <w:tab w:val="left" w:pos="1191"/>
      </w:tabs>
      <w:ind w:left="1190" w:hanging="510"/>
    </w:pPr>
  </w:style>
  <w:style w:type="character" w:customStyle="1" w:styleId="LDP1aChar0">
    <w:name w:val="LDP1 (a) Char"/>
    <w:basedOn w:val="LDClauseChar"/>
    <w:link w:val="LDP1a0"/>
    <w:rsid w:val="00661001"/>
    <w:rPr>
      <w:sz w:val="24"/>
      <w:szCs w:val="24"/>
      <w:lang w:val="en-AU" w:eastAsia="en-US" w:bidi="ar-SA"/>
    </w:rPr>
  </w:style>
  <w:style w:type="character" w:customStyle="1" w:styleId="LDBodytextChar">
    <w:name w:val="LDBody text Char"/>
    <w:link w:val="LDBodytext"/>
    <w:rsid w:val="006A5970"/>
    <w:rPr>
      <w:sz w:val="24"/>
      <w:szCs w:val="24"/>
      <w:lang w:eastAsia="en-US"/>
    </w:rPr>
  </w:style>
  <w:style w:type="character" w:customStyle="1" w:styleId="Authorexampletext">
    <w:name w:val="Author example text"/>
    <w:uiPriority w:val="1"/>
    <w:qFormat/>
    <w:rsid w:val="00344E79"/>
    <w:rPr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Legislative%20drafting\Drafting%20material\LD%20templates\LD%20drafting\LD%20instruments\LDInstr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LDInstrument</Template>
  <TotalTime>106</TotalTime>
  <Pages>4</Pages>
  <Words>1710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61/14 - Direction — Explanatory Statement</vt:lpstr>
    </vt:vector>
  </TitlesOfParts>
  <Company>CASA</Company>
  <LinksUpToDate>false</LinksUpToDate>
  <CharactersWithSpaces>11427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61/14 - Direction — Explanatory Statement</dc:title>
  <dc:subject>Direction — use of ADS-B in foreign registered aircraft engaged in private operations</dc:subject>
  <dc:creator>Civil Aviation Safety Authority</dc:creator>
  <cp:lastModifiedBy>Nadia Spesyvy</cp:lastModifiedBy>
  <cp:revision>29</cp:revision>
  <cp:lastPrinted>2014-03-27T03:21:00Z</cp:lastPrinted>
  <dcterms:created xsi:type="dcterms:W3CDTF">2014-03-13T01:53:00Z</dcterms:created>
  <dcterms:modified xsi:type="dcterms:W3CDTF">2014-05-16T04:22:00Z</dcterms:modified>
  <cp:category>Directions</cp:category>
</cp:coreProperties>
</file>