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B9" w:rsidRPr="00A1445D" w:rsidRDefault="000405B9" w:rsidP="000405B9">
      <w:pPr>
        <w:pStyle w:val="Default"/>
        <w:jc w:val="center"/>
        <w:rPr>
          <w:b/>
          <w:bCs/>
          <w:sz w:val="30"/>
          <w:szCs w:val="30"/>
        </w:rPr>
      </w:pPr>
      <w:bookmarkStart w:id="0" w:name="_GoBack"/>
      <w:bookmarkEnd w:id="0"/>
      <w:r w:rsidRPr="00A1445D">
        <w:rPr>
          <w:b/>
          <w:bCs/>
          <w:sz w:val="30"/>
          <w:szCs w:val="30"/>
        </w:rPr>
        <w:t>ASIC CLASS ORDER [CO</w:t>
      </w:r>
      <w:r w:rsidR="00F14763">
        <w:rPr>
          <w:b/>
          <w:bCs/>
          <w:sz w:val="30"/>
          <w:szCs w:val="30"/>
        </w:rPr>
        <w:t xml:space="preserve"> </w:t>
      </w:r>
      <w:r w:rsidR="00C00841">
        <w:rPr>
          <w:b/>
          <w:bCs/>
          <w:sz w:val="30"/>
          <w:szCs w:val="30"/>
        </w:rPr>
        <w:t>14/443</w:t>
      </w:r>
      <w:r w:rsidRPr="00A1445D">
        <w:rPr>
          <w:b/>
          <w:bCs/>
          <w:sz w:val="30"/>
          <w:szCs w:val="30"/>
        </w:rPr>
        <w:t>]</w:t>
      </w:r>
    </w:p>
    <w:p w:rsidR="000405B9" w:rsidRPr="00A1445D" w:rsidRDefault="000405B9" w:rsidP="000405B9">
      <w:pPr>
        <w:pStyle w:val="Default"/>
        <w:rPr>
          <w:sz w:val="30"/>
          <w:szCs w:val="30"/>
        </w:rPr>
      </w:pPr>
    </w:p>
    <w:p w:rsidR="000405B9" w:rsidRDefault="000405B9" w:rsidP="000405B9">
      <w:pPr>
        <w:pStyle w:val="Default"/>
        <w:jc w:val="center"/>
        <w:rPr>
          <w:b/>
          <w:bCs/>
          <w:sz w:val="30"/>
          <w:szCs w:val="30"/>
        </w:rPr>
      </w:pPr>
      <w:r w:rsidRPr="00A1445D">
        <w:rPr>
          <w:b/>
          <w:bCs/>
          <w:sz w:val="30"/>
          <w:szCs w:val="30"/>
        </w:rPr>
        <w:t>EXPLANATORY STATEMENT</w:t>
      </w:r>
    </w:p>
    <w:p w:rsidR="000405B9" w:rsidRPr="00A1445D" w:rsidRDefault="000405B9" w:rsidP="000405B9">
      <w:pPr>
        <w:pStyle w:val="Default"/>
        <w:jc w:val="center"/>
        <w:rPr>
          <w:b/>
          <w:bCs/>
          <w:sz w:val="30"/>
          <w:szCs w:val="30"/>
        </w:rPr>
      </w:pPr>
    </w:p>
    <w:p w:rsidR="000405B9" w:rsidRPr="00F24504" w:rsidRDefault="000405B9" w:rsidP="000405B9">
      <w:pPr>
        <w:pStyle w:val="Default"/>
        <w:rPr>
          <w:sz w:val="23"/>
          <w:szCs w:val="23"/>
        </w:rPr>
      </w:pPr>
    </w:p>
    <w:p w:rsidR="000405B9" w:rsidRPr="00A1445D" w:rsidRDefault="000405B9" w:rsidP="00DD61CF">
      <w:pPr>
        <w:pStyle w:val="Default"/>
        <w:jc w:val="center"/>
      </w:pPr>
      <w:r w:rsidRPr="00A1445D">
        <w:t>Prepared by the Australian Securities and Investments Commission</w:t>
      </w:r>
    </w:p>
    <w:p w:rsidR="000405B9" w:rsidRPr="00A1445D" w:rsidRDefault="000405B9" w:rsidP="00DD61CF">
      <w:pPr>
        <w:pStyle w:val="Default"/>
        <w:jc w:val="center"/>
      </w:pPr>
    </w:p>
    <w:p w:rsidR="000405B9" w:rsidRPr="00A1445D" w:rsidRDefault="00E22B71" w:rsidP="00DD61CF">
      <w:pPr>
        <w:pStyle w:val="Default"/>
        <w:jc w:val="center"/>
        <w:rPr>
          <w:iCs/>
        </w:rPr>
      </w:pPr>
      <w:r>
        <w:rPr>
          <w:bCs/>
          <w:i/>
          <w:iCs/>
        </w:rPr>
        <w:t>Corporations Act 2001</w:t>
      </w:r>
    </w:p>
    <w:p w:rsidR="000405B9" w:rsidRPr="00A1445D" w:rsidRDefault="00E22B71" w:rsidP="00C134BB">
      <w:pPr>
        <w:pStyle w:val="Default"/>
        <w:jc w:val="both"/>
      </w:pPr>
      <w:r>
        <w:br/>
      </w:r>
      <w:r w:rsidR="000405B9" w:rsidRPr="00A1445D">
        <w:t>The Australian Securities and Investments Commission (</w:t>
      </w:r>
      <w:r w:rsidR="000405B9" w:rsidRPr="00A1445D">
        <w:rPr>
          <w:b/>
          <w:bCs/>
          <w:i/>
          <w:iCs/>
        </w:rPr>
        <w:t>ASIC</w:t>
      </w:r>
      <w:r w:rsidR="000405B9" w:rsidRPr="00A1445D">
        <w:t xml:space="preserve">) makes </w:t>
      </w:r>
      <w:r w:rsidR="00C00841">
        <w:t xml:space="preserve">ASIC </w:t>
      </w:r>
      <w:r w:rsidR="000405B9" w:rsidRPr="00A1445D">
        <w:t>Class Order [</w:t>
      </w:r>
      <w:r w:rsidR="00C00841" w:rsidRPr="00A1445D">
        <w:t>CO</w:t>
      </w:r>
      <w:r w:rsidR="00C00841">
        <w:t xml:space="preserve"> 14/443</w:t>
      </w:r>
      <w:r w:rsidR="000405B9" w:rsidRPr="00A1445D">
        <w:t xml:space="preserve">] under </w:t>
      </w:r>
      <w:r w:rsidR="00292BC1">
        <w:rPr>
          <w:bCs/>
        </w:rPr>
        <w:t>subsection</w:t>
      </w:r>
      <w:r w:rsidR="000405B9" w:rsidRPr="00A1445D">
        <w:rPr>
          <w:bCs/>
        </w:rPr>
        <w:t xml:space="preserve"> </w:t>
      </w:r>
      <w:r w:rsidR="00292BC1">
        <w:rPr>
          <w:bCs/>
        </w:rPr>
        <w:t>1020F(1)</w:t>
      </w:r>
      <w:r w:rsidR="000405B9" w:rsidRPr="00A1445D">
        <w:rPr>
          <w:b/>
          <w:bCs/>
        </w:rPr>
        <w:t xml:space="preserve"> </w:t>
      </w:r>
      <w:r w:rsidR="000405B9" w:rsidRPr="00A1445D">
        <w:t xml:space="preserve">of the </w:t>
      </w:r>
      <w:r w:rsidR="00292BC1">
        <w:rPr>
          <w:bCs/>
          <w:i/>
          <w:iCs/>
        </w:rPr>
        <w:t>Corporations Act 2001</w:t>
      </w:r>
      <w:r w:rsidR="000405B9" w:rsidRPr="00A1445D">
        <w:rPr>
          <w:bCs/>
          <w:i/>
          <w:iCs/>
        </w:rPr>
        <w:t xml:space="preserve"> </w:t>
      </w:r>
      <w:r w:rsidR="000405B9" w:rsidRPr="00A1445D">
        <w:t xml:space="preserve">(the </w:t>
      </w:r>
      <w:r w:rsidR="000405B9" w:rsidRPr="00A1445D">
        <w:rPr>
          <w:b/>
          <w:bCs/>
          <w:i/>
          <w:iCs/>
        </w:rPr>
        <w:t>Act</w:t>
      </w:r>
      <w:r w:rsidR="000405B9" w:rsidRPr="00A1445D">
        <w:t xml:space="preserve">). </w:t>
      </w:r>
    </w:p>
    <w:p w:rsidR="000405B9" w:rsidRPr="00A1445D" w:rsidRDefault="000405B9" w:rsidP="00C134BB">
      <w:pPr>
        <w:pStyle w:val="Default"/>
        <w:jc w:val="both"/>
      </w:pPr>
    </w:p>
    <w:p w:rsidR="00FF5308" w:rsidRDefault="00112F56" w:rsidP="00C134BB">
      <w:pPr>
        <w:pStyle w:val="Default"/>
        <w:jc w:val="both"/>
      </w:pPr>
      <w:r>
        <w:t xml:space="preserve">Paragraph </w:t>
      </w:r>
      <w:r w:rsidR="008020FC">
        <w:t>1020F(1)</w:t>
      </w:r>
      <w:r>
        <w:t>(a)</w:t>
      </w:r>
      <w:r w:rsidR="000405B9" w:rsidRPr="00A1445D">
        <w:rPr>
          <w:b/>
          <w:bCs/>
        </w:rPr>
        <w:t xml:space="preserve"> </w:t>
      </w:r>
      <w:r w:rsidR="004F754F" w:rsidRPr="00812D85">
        <w:rPr>
          <w:bCs/>
        </w:rPr>
        <w:t>of the Act</w:t>
      </w:r>
      <w:r w:rsidR="004F754F">
        <w:rPr>
          <w:b/>
          <w:bCs/>
        </w:rPr>
        <w:t xml:space="preserve"> </w:t>
      </w:r>
      <w:r w:rsidR="00F56BDA">
        <w:t>provides that ASIC may</w:t>
      </w:r>
      <w:r w:rsidR="00FC5A5F">
        <w:t xml:space="preserve"> exempt a </w:t>
      </w:r>
      <w:r w:rsidR="00FC4E1C">
        <w:t>person</w:t>
      </w:r>
      <w:r w:rsidR="00FF5308">
        <w:t xml:space="preserve"> or class of persons</w:t>
      </w:r>
      <w:r w:rsidR="007A1D6E">
        <w:t xml:space="preserve"> </w:t>
      </w:r>
      <w:r w:rsidR="00E063E9">
        <w:t xml:space="preserve">from </w:t>
      </w:r>
      <w:r w:rsidR="00DD61CF">
        <w:t xml:space="preserve">all or specified provisions of </w:t>
      </w:r>
      <w:r w:rsidR="00E063E9">
        <w:t xml:space="preserve">Part 7.9 of the Act. </w:t>
      </w:r>
    </w:p>
    <w:p w:rsidR="00112F56" w:rsidRDefault="00112F56" w:rsidP="00C134BB">
      <w:pPr>
        <w:pStyle w:val="Default"/>
        <w:jc w:val="both"/>
      </w:pPr>
      <w:r>
        <w:br/>
      </w:r>
      <w:r w:rsidR="008A71CA">
        <w:t>Paragraph 1020F(1)(c</w:t>
      </w:r>
      <w:r>
        <w:t xml:space="preserve">) </w:t>
      </w:r>
      <w:r w:rsidR="00007511">
        <w:t xml:space="preserve">of the Act </w:t>
      </w:r>
      <w:r>
        <w:t xml:space="preserve">provides that ASIC may declare that Part 7.9 </w:t>
      </w:r>
      <w:r w:rsidR="00007511">
        <w:t xml:space="preserve">of the Act </w:t>
      </w:r>
      <w:r>
        <w:t>applies as if specific provisions were omitted, modified or varied as specified in the declaration</w:t>
      </w:r>
      <w:r w:rsidR="00912609">
        <w:t>.</w:t>
      </w:r>
    </w:p>
    <w:p w:rsidR="00DC6F3D" w:rsidRPr="00A1445D" w:rsidRDefault="00DC6F3D" w:rsidP="00C134BB">
      <w:pPr>
        <w:pStyle w:val="Default"/>
        <w:jc w:val="both"/>
      </w:pPr>
    </w:p>
    <w:p w:rsidR="000405B9" w:rsidRPr="00A1445D" w:rsidRDefault="000405B9" w:rsidP="00812D85">
      <w:pPr>
        <w:pStyle w:val="Default"/>
        <w:numPr>
          <w:ilvl w:val="0"/>
          <w:numId w:val="1"/>
        </w:numPr>
        <w:ind w:hanging="720"/>
        <w:jc w:val="both"/>
        <w:rPr>
          <w:b/>
          <w:bCs/>
        </w:rPr>
      </w:pPr>
      <w:r w:rsidRPr="00A1445D">
        <w:rPr>
          <w:b/>
          <w:bCs/>
        </w:rPr>
        <w:t xml:space="preserve">Background </w:t>
      </w:r>
    </w:p>
    <w:p w:rsidR="00E12710" w:rsidRDefault="00E12710" w:rsidP="00C134BB">
      <w:pPr>
        <w:pStyle w:val="Default"/>
        <w:jc w:val="both"/>
      </w:pPr>
    </w:p>
    <w:p w:rsidR="0087283C" w:rsidRDefault="00E12710" w:rsidP="00812D85">
      <w:pPr>
        <w:pStyle w:val="Default"/>
      </w:pPr>
      <w:r>
        <w:t xml:space="preserve">The </w:t>
      </w:r>
      <w:r w:rsidR="00600CD4">
        <w:rPr>
          <w:i/>
        </w:rPr>
        <w:t xml:space="preserve">Superannuation Legislation Amendment (Further MySuper and Transparency Measures) Act </w:t>
      </w:r>
      <w:r w:rsidR="00600CD4" w:rsidRPr="00DB4CF0">
        <w:rPr>
          <w:i/>
        </w:rPr>
        <w:t>2012</w:t>
      </w:r>
      <w:r w:rsidR="00600CD4">
        <w:t xml:space="preserve"> </w:t>
      </w:r>
      <w:r w:rsidR="00DD61CF">
        <w:t>amended the Act</w:t>
      </w:r>
      <w:r w:rsidR="004F754F">
        <w:t>, including by requiring trustees of certain superannuation funds to</w:t>
      </w:r>
      <w:r w:rsidR="006C09E1">
        <w:t>:</w:t>
      </w:r>
      <w:r w:rsidR="00610481">
        <w:rPr>
          <w:b/>
          <w:i/>
        </w:rPr>
        <w:br/>
      </w:r>
    </w:p>
    <w:p w:rsidR="007D2232" w:rsidRDefault="004F754F" w:rsidP="00812D85">
      <w:pPr>
        <w:pStyle w:val="Style1"/>
        <w:ind w:hanging="780"/>
      </w:pPr>
      <w:r>
        <w:t>publish on the</w:t>
      </w:r>
      <w:r w:rsidR="008C0494">
        <w:t xml:space="preserve"> fund's website</w:t>
      </w:r>
      <w:r w:rsidR="00B333DE">
        <w:t xml:space="preserve"> </w:t>
      </w:r>
      <w:r w:rsidR="008C0494">
        <w:t>a product dashboard which provides summary information for</w:t>
      </w:r>
      <w:r w:rsidR="008415F7">
        <w:t xml:space="preserve"> consumers about the fund's M</w:t>
      </w:r>
      <w:r w:rsidR="00624A50">
        <w:t xml:space="preserve">ySuper and </w:t>
      </w:r>
      <w:r w:rsidR="00812D85">
        <w:t>choice</w:t>
      </w:r>
      <w:r w:rsidR="00624A50">
        <w:t xml:space="preserve"> products</w:t>
      </w:r>
      <w:r w:rsidR="00812D85">
        <w:t xml:space="preserve">; </w:t>
      </w:r>
      <w:r w:rsidR="00624A50">
        <w:t>and</w:t>
      </w:r>
    </w:p>
    <w:p w:rsidR="0087283C" w:rsidRDefault="0087283C" w:rsidP="00812D85">
      <w:pPr>
        <w:pStyle w:val="Default"/>
        <w:ind w:left="720" w:hanging="780"/>
        <w:jc w:val="both"/>
      </w:pPr>
    </w:p>
    <w:p w:rsidR="00856B8E" w:rsidRDefault="006436F9" w:rsidP="00812D85">
      <w:pPr>
        <w:pStyle w:val="Style1"/>
        <w:ind w:hanging="780"/>
      </w:pPr>
      <w:r>
        <w:t>publish full portfolio holdings for the</w:t>
      </w:r>
      <w:r w:rsidR="00B4088D">
        <w:t xml:space="preserve"> fund on the</w:t>
      </w:r>
      <w:r w:rsidR="00614BC7">
        <w:t xml:space="preserve"> fund's website twice annually.</w:t>
      </w:r>
    </w:p>
    <w:p w:rsidR="00826469" w:rsidRDefault="00826469" w:rsidP="001818A2">
      <w:pPr>
        <w:pStyle w:val="Default"/>
        <w:jc w:val="both"/>
      </w:pPr>
    </w:p>
    <w:p w:rsidR="00826469" w:rsidRPr="00826469" w:rsidRDefault="00AB3477" w:rsidP="001818A2">
      <w:pPr>
        <w:pStyle w:val="Default"/>
        <w:jc w:val="both"/>
      </w:pPr>
      <w:r>
        <w:t>The government made an announcement on 5 May 2014 stating that there will be a deferral of the start date for the choice product dashboard and the introduction of a portfolio holdings disclosure regime to 1 July 2015. In light of this and the absence of regulations or amending legislation to implement this decision, ASIC will facilitate this deferral and provide industry with the necessary legal certainty by making the class order at this time</w:t>
      </w:r>
      <w:r>
        <w:rPr>
          <w:rFonts w:ascii="Helv" w:hAnsi="Helv" w:cs="Helv"/>
          <w:sz w:val="20"/>
          <w:szCs w:val="20"/>
        </w:rPr>
        <w:t>.</w:t>
      </w:r>
    </w:p>
    <w:p w:rsidR="0001699E" w:rsidRDefault="0001699E" w:rsidP="00812D85">
      <w:pPr>
        <w:pStyle w:val="Default"/>
        <w:jc w:val="both"/>
        <w:rPr>
          <w:b/>
          <w:u w:val="single"/>
        </w:rPr>
      </w:pPr>
    </w:p>
    <w:p w:rsidR="008415F7" w:rsidRPr="00C134BB" w:rsidRDefault="00856B8E" w:rsidP="00812D85">
      <w:pPr>
        <w:pStyle w:val="Default"/>
        <w:jc w:val="both"/>
        <w:rPr>
          <w:u w:val="single"/>
        </w:rPr>
      </w:pPr>
      <w:r w:rsidRPr="00C134BB">
        <w:rPr>
          <w:b/>
          <w:u w:val="single"/>
        </w:rPr>
        <w:t xml:space="preserve">Product dashboard requirements for </w:t>
      </w:r>
      <w:r w:rsidR="00812D85">
        <w:rPr>
          <w:b/>
          <w:u w:val="single"/>
        </w:rPr>
        <w:t>choice</w:t>
      </w:r>
      <w:r w:rsidRPr="00C134BB">
        <w:rPr>
          <w:b/>
          <w:u w:val="single"/>
        </w:rPr>
        <w:t xml:space="preserve"> products</w:t>
      </w:r>
      <w:r w:rsidR="00614BC7" w:rsidRPr="00C134BB">
        <w:rPr>
          <w:u w:val="single"/>
        </w:rPr>
        <w:t xml:space="preserve"> </w:t>
      </w:r>
    </w:p>
    <w:p w:rsidR="00393373" w:rsidRPr="009664CF" w:rsidRDefault="00393373" w:rsidP="00C134BB">
      <w:pPr>
        <w:pStyle w:val="Default"/>
        <w:jc w:val="both"/>
      </w:pPr>
    </w:p>
    <w:p w:rsidR="00252651" w:rsidRDefault="00EE4D1E" w:rsidP="00C134BB">
      <w:pPr>
        <w:pStyle w:val="Default"/>
        <w:jc w:val="both"/>
      </w:pPr>
      <w:r w:rsidRPr="009664CF">
        <w:t xml:space="preserve">The </w:t>
      </w:r>
      <w:r w:rsidR="0087283C">
        <w:t xml:space="preserve">product dashboard </w:t>
      </w:r>
      <w:r w:rsidR="00856B8E">
        <w:t>provides key information about a MySup</w:t>
      </w:r>
      <w:r w:rsidR="00252651">
        <w:t xml:space="preserve">er product or a </w:t>
      </w:r>
      <w:r w:rsidR="00812D85">
        <w:t>choice</w:t>
      </w:r>
      <w:r w:rsidR="00252651">
        <w:t xml:space="preserve"> product. The product dashboard requirements are set out in s</w:t>
      </w:r>
      <w:r w:rsidR="002C01A1">
        <w:t xml:space="preserve">ection </w:t>
      </w:r>
      <w:r w:rsidR="00252651">
        <w:t>1017BA of the Act.</w:t>
      </w:r>
    </w:p>
    <w:p w:rsidR="00252651" w:rsidRDefault="00252651" w:rsidP="00C134BB">
      <w:pPr>
        <w:pStyle w:val="Default"/>
        <w:jc w:val="both"/>
      </w:pPr>
    </w:p>
    <w:p w:rsidR="00393373" w:rsidRDefault="00856B8E" w:rsidP="00912609">
      <w:pPr>
        <w:pStyle w:val="Default"/>
        <w:jc w:val="both"/>
      </w:pPr>
      <w:r>
        <w:t xml:space="preserve">The product dashboard was intended to </w:t>
      </w:r>
      <w:r w:rsidR="0087283C">
        <w:t>assist</w:t>
      </w:r>
      <w:r>
        <w:t xml:space="preserve"> members and other users</w:t>
      </w:r>
      <w:r w:rsidR="00FE497B">
        <w:t xml:space="preserve"> to more easily compare products and make informed </w:t>
      </w:r>
      <w:r w:rsidR="00812D85">
        <w:t>choice</w:t>
      </w:r>
      <w:r w:rsidR="00FE497B">
        <w:t>s</w:t>
      </w:r>
      <w:r w:rsidR="00393373" w:rsidRPr="009664CF">
        <w:t>.</w:t>
      </w:r>
      <w:r w:rsidR="0087283C">
        <w:t xml:space="preserve"> The product dashboard requirements took effect for MySuper products on 31 December 2013 and the requirements for </w:t>
      </w:r>
      <w:r w:rsidR="00812D85">
        <w:lastRenderedPageBreak/>
        <w:t>choice</w:t>
      </w:r>
      <w:r w:rsidR="0087283C">
        <w:t xml:space="preserve"> products were scheduled to take effect on 1 July 2014.</w:t>
      </w:r>
      <w:r>
        <w:t xml:space="preserve"> In June 2013, the government made regulations – the </w:t>
      </w:r>
      <w:r w:rsidRPr="00DB4CF0">
        <w:rPr>
          <w:i/>
        </w:rPr>
        <w:t>Superannuation Legislation Amendment (MySuper Measures) Regulation 2013</w:t>
      </w:r>
      <w:r>
        <w:t xml:space="preserve"> - that specify the detailed requirements regarding the presentation and content of the information in a product dashboard for a MySuper product. However, corresponding regulations have yet to be made for the product dashboard requirements in relation to </w:t>
      </w:r>
      <w:r w:rsidR="00812D85">
        <w:t>choice</w:t>
      </w:r>
      <w:r>
        <w:t xml:space="preserve"> products.</w:t>
      </w:r>
    </w:p>
    <w:p w:rsidR="00856B8E" w:rsidRPr="00C134BB" w:rsidRDefault="00B56A9F" w:rsidP="00FE7476">
      <w:pPr>
        <w:jc w:val="both"/>
        <w:rPr>
          <w:rFonts w:ascii="Times New Roman" w:eastAsia="Times New Roman" w:hAnsi="Times New Roman" w:cs="Times New Roman"/>
          <w:color w:val="000000"/>
          <w:sz w:val="24"/>
          <w:szCs w:val="24"/>
          <w:u w:val="single"/>
          <w:lang w:eastAsia="en-AU"/>
        </w:rPr>
      </w:pPr>
      <w:r>
        <w:rPr>
          <w:rFonts w:ascii="Times New Roman" w:hAnsi="Times New Roman" w:cs="Times New Roman"/>
          <w:b/>
          <w:sz w:val="24"/>
          <w:szCs w:val="24"/>
          <w:u w:val="single"/>
        </w:rPr>
        <w:br/>
      </w:r>
      <w:r w:rsidR="00856B8E" w:rsidRPr="00C134BB">
        <w:rPr>
          <w:rFonts w:ascii="Times New Roman" w:hAnsi="Times New Roman" w:cs="Times New Roman"/>
          <w:b/>
          <w:sz w:val="24"/>
          <w:szCs w:val="24"/>
          <w:u w:val="single"/>
        </w:rPr>
        <w:t>Portfolio holdings disclosure requirements</w:t>
      </w:r>
    </w:p>
    <w:p w:rsidR="00252651" w:rsidRDefault="00856B8E" w:rsidP="009126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portfolio holdings </w:t>
      </w:r>
      <w:r w:rsidR="00252651">
        <w:rPr>
          <w:rFonts w:ascii="Times New Roman" w:hAnsi="Times New Roman" w:cs="Times New Roman"/>
          <w:sz w:val="24"/>
          <w:szCs w:val="24"/>
        </w:rPr>
        <w:t xml:space="preserve">disclosure requirements were designed to provide greater transparency in the superannuation industry and to allow members to understand where their superannuation is invested. The benefits of these requirements would include enabling </w:t>
      </w:r>
      <w:r w:rsidR="00393373" w:rsidRPr="009664CF">
        <w:rPr>
          <w:rFonts w:ascii="Times New Roman" w:hAnsi="Times New Roman" w:cs="Times New Roman"/>
          <w:sz w:val="24"/>
          <w:szCs w:val="24"/>
        </w:rPr>
        <w:t>members and analysts to assess the level of diversification and risk in particular superannuation products.</w:t>
      </w:r>
    </w:p>
    <w:p w:rsidR="00A02A5B" w:rsidRDefault="00252651">
      <w:pPr>
        <w:spacing w:line="240" w:lineRule="auto"/>
        <w:jc w:val="both"/>
        <w:rPr>
          <w:rFonts w:ascii="Times New Roman" w:hAnsi="Times New Roman" w:cs="Times New Roman"/>
          <w:sz w:val="24"/>
          <w:szCs w:val="24"/>
        </w:rPr>
      </w:pPr>
      <w:r>
        <w:rPr>
          <w:rFonts w:ascii="Times New Roman" w:hAnsi="Times New Roman" w:cs="Times New Roman"/>
          <w:sz w:val="24"/>
          <w:szCs w:val="24"/>
        </w:rPr>
        <w:t>The obligation of a trustee of a registrable superannuation entity (other than a pooled superannuation trust) to report full details of portfolio holdings</w:t>
      </w:r>
      <w:r w:rsidR="002C01A1" w:rsidRPr="002C01A1">
        <w:rPr>
          <w:rFonts w:ascii="Times New Roman" w:hAnsi="Times New Roman" w:cs="Times New Roman"/>
          <w:sz w:val="24"/>
          <w:szCs w:val="24"/>
        </w:rPr>
        <w:t xml:space="preserve"> </w:t>
      </w:r>
      <w:r w:rsidR="002C01A1">
        <w:rPr>
          <w:rFonts w:ascii="Times New Roman" w:hAnsi="Times New Roman" w:cs="Times New Roman"/>
          <w:sz w:val="24"/>
          <w:szCs w:val="24"/>
        </w:rPr>
        <w:t>as at 30 June and 31 December each year</w:t>
      </w:r>
      <w:r>
        <w:rPr>
          <w:rFonts w:ascii="Times New Roman" w:hAnsi="Times New Roman" w:cs="Times New Roman"/>
          <w:sz w:val="24"/>
          <w:szCs w:val="24"/>
        </w:rPr>
        <w:t xml:space="preserve"> is set out in section 1017BB of the Act. The obligation is supported by the requirements in sections 1017BC, 1017BD and </w:t>
      </w:r>
      <w:r w:rsidR="00393373" w:rsidRPr="009664CF">
        <w:rPr>
          <w:rFonts w:ascii="Times New Roman" w:hAnsi="Times New Roman" w:cs="Times New Roman"/>
          <w:sz w:val="24"/>
          <w:szCs w:val="24"/>
        </w:rPr>
        <w:t xml:space="preserve"> </w:t>
      </w:r>
      <w:r>
        <w:rPr>
          <w:rFonts w:ascii="Times New Roman" w:hAnsi="Times New Roman" w:cs="Times New Roman"/>
          <w:sz w:val="24"/>
          <w:szCs w:val="24"/>
        </w:rPr>
        <w:t>1017BE of the Act that intermediaries must provide the trustee with full details of assets invested that are, or are derived from, an asset of a registrable superannuation entity. These "look through provisions" are designed to require the full reporting of superannuation assets that are invested through one or more intermediaries.</w:t>
      </w:r>
    </w:p>
    <w:p w:rsidR="000405B9" w:rsidRPr="002473A5" w:rsidRDefault="00252651" w:rsidP="002473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portfolio holdings disclosure requirements are scheduled to take effect </w:t>
      </w:r>
      <w:r w:rsidR="002C01A1">
        <w:rPr>
          <w:rFonts w:ascii="Times New Roman" w:hAnsi="Times New Roman" w:cs="Times New Roman"/>
          <w:sz w:val="24"/>
          <w:szCs w:val="24"/>
        </w:rPr>
        <w:t xml:space="preserve">in relation to </w:t>
      </w:r>
      <w:r>
        <w:rPr>
          <w:rFonts w:ascii="Times New Roman" w:hAnsi="Times New Roman" w:cs="Times New Roman"/>
          <w:sz w:val="24"/>
          <w:szCs w:val="24"/>
        </w:rPr>
        <w:t xml:space="preserve">a first reporting date of 30 June 2014. </w:t>
      </w:r>
      <w:r w:rsidR="002C01A1">
        <w:rPr>
          <w:rFonts w:ascii="Times New Roman" w:hAnsi="Times New Roman" w:cs="Times New Roman"/>
          <w:sz w:val="24"/>
          <w:szCs w:val="24"/>
        </w:rPr>
        <w:t xml:space="preserve">Currently, no regulations have been made specifying </w:t>
      </w:r>
      <w:r>
        <w:rPr>
          <w:rFonts w:ascii="Times New Roman" w:hAnsi="Times New Roman" w:cs="Times New Roman"/>
          <w:sz w:val="24"/>
          <w:szCs w:val="24"/>
        </w:rPr>
        <w:t>the detailed presentation and content requirements for portfolio holdings disclosure.</w:t>
      </w:r>
    </w:p>
    <w:p w:rsidR="000405B9" w:rsidRPr="00A1445D" w:rsidRDefault="000405B9" w:rsidP="00812D85">
      <w:pPr>
        <w:pStyle w:val="Default"/>
        <w:numPr>
          <w:ilvl w:val="0"/>
          <w:numId w:val="1"/>
        </w:numPr>
        <w:ind w:hanging="720"/>
        <w:jc w:val="both"/>
        <w:rPr>
          <w:b/>
          <w:bCs/>
        </w:rPr>
      </w:pPr>
      <w:r w:rsidRPr="00A1445D">
        <w:rPr>
          <w:b/>
          <w:bCs/>
        </w:rPr>
        <w:t xml:space="preserve">Purpose of the class order </w:t>
      </w:r>
    </w:p>
    <w:p w:rsidR="000405B9" w:rsidRPr="00A1445D" w:rsidRDefault="000405B9">
      <w:pPr>
        <w:pStyle w:val="Default"/>
        <w:jc w:val="both"/>
      </w:pPr>
    </w:p>
    <w:p w:rsidR="002C01A1" w:rsidRDefault="000405B9" w:rsidP="00FE7476">
      <w:pPr>
        <w:pStyle w:val="Default"/>
        <w:jc w:val="both"/>
      </w:pPr>
      <w:r w:rsidRPr="00A1445D">
        <w:t>The</w:t>
      </w:r>
      <w:r w:rsidR="002C0DDD">
        <w:t xml:space="preserve"> class order defer</w:t>
      </w:r>
      <w:r w:rsidR="002C01A1">
        <w:t>s</w:t>
      </w:r>
      <w:r w:rsidR="002C0DDD">
        <w:t xml:space="preserve"> the commencement of the product dashboard provisions for </w:t>
      </w:r>
      <w:r w:rsidR="00812D85">
        <w:t>choice</w:t>
      </w:r>
      <w:r w:rsidR="002C0DDD">
        <w:t xml:space="preserve"> products to 1 July 2015 and defer</w:t>
      </w:r>
      <w:r w:rsidR="002C01A1">
        <w:t>s</w:t>
      </w:r>
      <w:r w:rsidR="002C0DDD">
        <w:t xml:space="preserve"> the first reporting day for the portfolio holdings disclosure provisions to </w:t>
      </w:r>
      <w:r w:rsidR="006019A9">
        <w:t>31 December 2015</w:t>
      </w:r>
      <w:r w:rsidR="002C0DDD">
        <w:t>.</w:t>
      </w:r>
    </w:p>
    <w:p w:rsidR="002C01A1" w:rsidRDefault="002C01A1" w:rsidP="00FE7476">
      <w:pPr>
        <w:pStyle w:val="Default"/>
        <w:jc w:val="both"/>
      </w:pPr>
    </w:p>
    <w:p w:rsidR="002C0DDD" w:rsidRDefault="002C0DDD" w:rsidP="00FE7476">
      <w:pPr>
        <w:pStyle w:val="Default"/>
        <w:jc w:val="both"/>
      </w:pPr>
      <w:r>
        <w:t xml:space="preserve">In relation to the portfolio holdings disclosure requirements, the obligations of </w:t>
      </w:r>
      <w:r w:rsidR="00097C98">
        <w:t xml:space="preserve">an </w:t>
      </w:r>
      <w:r>
        <w:t>intermediar</w:t>
      </w:r>
      <w:r w:rsidR="00097C98">
        <w:t>y</w:t>
      </w:r>
      <w:r>
        <w:t xml:space="preserve"> to provide </w:t>
      </w:r>
      <w:r w:rsidR="00097C98">
        <w:t xml:space="preserve">a </w:t>
      </w:r>
      <w:r>
        <w:t>notification</w:t>
      </w:r>
      <w:r w:rsidR="00097C98">
        <w:t xml:space="preserve"> that an asset invested is an asset of a superannuation fund, or is indirectly derived from an asset of a superannuation fund, do not have to be complied with until 1 July 2015. Further, an intermediary who receives a notification of this kind does not have to provide the investment information to the trustee of the superannuation fund until on or after the first reporting day of 31 December 2015</w:t>
      </w:r>
      <w:r w:rsidR="00FE497B">
        <w:t>.</w:t>
      </w:r>
    </w:p>
    <w:p w:rsidR="002C0DDD" w:rsidRDefault="002C0DDD" w:rsidP="00FE7476">
      <w:pPr>
        <w:pStyle w:val="Default"/>
        <w:jc w:val="both"/>
      </w:pPr>
    </w:p>
    <w:p w:rsidR="0079260C" w:rsidRDefault="002C0DDD" w:rsidP="00912609">
      <w:pPr>
        <w:pStyle w:val="Default"/>
      </w:pPr>
      <w:r>
        <w:t>The purposes of these deferrals are as follows:</w:t>
      </w:r>
      <w:r w:rsidR="00FB1A3A">
        <w:br/>
      </w:r>
    </w:p>
    <w:p w:rsidR="0079260C" w:rsidRDefault="002C0DDD" w:rsidP="00FE7476">
      <w:pPr>
        <w:pStyle w:val="Default"/>
        <w:numPr>
          <w:ilvl w:val="0"/>
          <w:numId w:val="10"/>
        </w:numPr>
        <w:jc w:val="both"/>
      </w:pPr>
      <w:r>
        <w:t xml:space="preserve">to </w:t>
      </w:r>
      <w:r w:rsidR="00C134BB">
        <w:t>a</w:t>
      </w:r>
      <w:r w:rsidR="0079260C">
        <w:t xml:space="preserve">llow further consultation </w:t>
      </w:r>
      <w:r w:rsidR="00FE497B">
        <w:t>in relation to</w:t>
      </w:r>
      <w:r w:rsidR="0079260C">
        <w:t xml:space="preserve"> the </w:t>
      </w:r>
      <w:r w:rsidR="00810609">
        <w:t xml:space="preserve">product dashboard </w:t>
      </w:r>
      <w:r w:rsidR="0079260C">
        <w:t>requirements;</w:t>
      </w:r>
    </w:p>
    <w:p w:rsidR="00C134BB" w:rsidRDefault="00C134BB" w:rsidP="00912609">
      <w:pPr>
        <w:pStyle w:val="Default"/>
        <w:ind w:left="720"/>
        <w:jc w:val="both"/>
      </w:pPr>
    </w:p>
    <w:p w:rsidR="00FE497B" w:rsidRDefault="002C0DDD" w:rsidP="00FE7476">
      <w:pPr>
        <w:pStyle w:val="Default"/>
        <w:numPr>
          <w:ilvl w:val="0"/>
          <w:numId w:val="10"/>
        </w:numPr>
        <w:jc w:val="both"/>
      </w:pPr>
      <w:r>
        <w:t xml:space="preserve">to </w:t>
      </w:r>
      <w:r w:rsidR="00C134BB">
        <w:t>a</w:t>
      </w:r>
      <w:r w:rsidR="00721C5D">
        <w:t>llow further time for the regulations relating to both requirements to be released</w:t>
      </w:r>
      <w:r w:rsidR="00FE497B">
        <w:t>;</w:t>
      </w:r>
      <w:r w:rsidR="00810609">
        <w:t xml:space="preserve"> </w:t>
      </w:r>
      <w:r w:rsidR="00FE7476">
        <w:br/>
      </w:r>
    </w:p>
    <w:p w:rsidR="00007511" w:rsidRDefault="00FE497B">
      <w:pPr>
        <w:pStyle w:val="Default"/>
        <w:numPr>
          <w:ilvl w:val="0"/>
          <w:numId w:val="10"/>
        </w:numPr>
        <w:jc w:val="both"/>
      </w:pPr>
      <w:r>
        <w:lastRenderedPageBreak/>
        <w:t xml:space="preserve">to provide </w:t>
      </w:r>
      <w:r w:rsidR="00810609">
        <w:t xml:space="preserve"> industry </w:t>
      </w:r>
      <w:r w:rsidR="00610481">
        <w:t xml:space="preserve">with </w:t>
      </w:r>
      <w:r w:rsidR="00810609">
        <w:t>a reasonable period to prepare for the detailed presentation and content requirements</w:t>
      </w:r>
      <w:r>
        <w:t xml:space="preserve"> relating to </w:t>
      </w:r>
      <w:r w:rsidR="00610481">
        <w:t xml:space="preserve">the above </w:t>
      </w:r>
      <w:r>
        <w:t>requirements</w:t>
      </w:r>
      <w:r w:rsidR="00721C5D">
        <w:t>;</w:t>
      </w:r>
      <w:r w:rsidR="00810609">
        <w:t xml:space="preserve"> and</w:t>
      </w:r>
      <w:r w:rsidR="00007511">
        <w:br/>
      </w:r>
    </w:p>
    <w:p w:rsidR="00610481" w:rsidRPr="00A1445D" w:rsidRDefault="002C0DDD" w:rsidP="00CC66AF">
      <w:pPr>
        <w:pStyle w:val="Default"/>
        <w:numPr>
          <w:ilvl w:val="0"/>
          <w:numId w:val="10"/>
        </w:numPr>
        <w:jc w:val="both"/>
      </w:pPr>
      <w:r>
        <w:t xml:space="preserve">to </w:t>
      </w:r>
      <w:r w:rsidR="00C134BB">
        <w:t>r</w:t>
      </w:r>
      <w:r w:rsidR="0079260C">
        <w:t>educe the ad</w:t>
      </w:r>
      <w:r w:rsidR="00F24608">
        <w:t xml:space="preserve">ministrative burden on industry, including other parties who may be supplying information to trustees for the purposes of disclosing portfolio holdings under section 1017BB of the Act. </w:t>
      </w:r>
    </w:p>
    <w:p w:rsidR="000405B9" w:rsidRPr="00A1445D" w:rsidRDefault="000405B9" w:rsidP="00812D85">
      <w:pPr>
        <w:pStyle w:val="Default"/>
        <w:ind w:left="360"/>
        <w:jc w:val="both"/>
      </w:pPr>
    </w:p>
    <w:p w:rsidR="000405B9" w:rsidRDefault="000405B9" w:rsidP="00812D85">
      <w:pPr>
        <w:pStyle w:val="Default"/>
        <w:numPr>
          <w:ilvl w:val="0"/>
          <w:numId w:val="1"/>
        </w:numPr>
        <w:ind w:hanging="720"/>
        <w:jc w:val="both"/>
        <w:rPr>
          <w:b/>
          <w:bCs/>
        </w:rPr>
      </w:pPr>
      <w:r w:rsidRPr="00A1445D">
        <w:rPr>
          <w:b/>
          <w:bCs/>
        </w:rPr>
        <w:t xml:space="preserve">Operation of the class order </w:t>
      </w:r>
    </w:p>
    <w:p w:rsidR="00B6053B" w:rsidRDefault="00B6053B" w:rsidP="00C134BB">
      <w:pPr>
        <w:pStyle w:val="Default"/>
        <w:jc w:val="both"/>
        <w:rPr>
          <w:b/>
          <w:bCs/>
        </w:rPr>
      </w:pPr>
    </w:p>
    <w:p w:rsidR="00B6053B" w:rsidRDefault="00B6053B" w:rsidP="00912609">
      <w:pPr>
        <w:pStyle w:val="Default"/>
        <w:jc w:val="both"/>
        <w:rPr>
          <w:bCs/>
        </w:rPr>
      </w:pPr>
      <w:r>
        <w:rPr>
          <w:bCs/>
        </w:rPr>
        <w:t>The class order</w:t>
      </w:r>
      <w:r w:rsidR="00810609">
        <w:rPr>
          <w:bCs/>
        </w:rPr>
        <w:t>:</w:t>
      </w:r>
    </w:p>
    <w:p w:rsidR="00C134BB" w:rsidRDefault="00C134BB">
      <w:pPr>
        <w:pStyle w:val="Default"/>
        <w:jc w:val="both"/>
        <w:rPr>
          <w:bCs/>
        </w:rPr>
      </w:pPr>
    </w:p>
    <w:p w:rsidR="00B6053B" w:rsidRDefault="00810609" w:rsidP="00812D85">
      <w:pPr>
        <w:pStyle w:val="Style1"/>
        <w:numPr>
          <w:ilvl w:val="0"/>
          <w:numId w:val="15"/>
        </w:numPr>
        <w:spacing w:after="240"/>
        <w:ind w:left="709" w:hanging="709"/>
      </w:pPr>
      <w:r>
        <w:t>defer</w:t>
      </w:r>
      <w:r w:rsidR="00610481">
        <w:t>s</w:t>
      </w:r>
      <w:r>
        <w:t xml:space="preserve"> the </w:t>
      </w:r>
      <w:r w:rsidR="00E57E95">
        <w:t xml:space="preserve">requirement </w:t>
      </w:r>
      <w:r w:rsidR="00F337FA">
        <w:t>to make a product dashboard publicly available for</w:t>
      </w:r>
      <w:r>
        <w:t xml:space="preserve"> a</w:t>
      </w:r>
      <w:r w:rsidR="00F337FA">
        <w:t xml:space="preserve"> </w:t>
      </w:r>
      <w:r w:rsidR="00812D85">
        <w:t>choice</w:t>
      </w:r>
      <w:r w:rsidR="00F337FA">
        <w:t xml:space="preserve"> </w:t>
      </w:r>
      <w:r w:rsidR="00F337FA" w:rsidRPr="00DD61CF">
        <w:t>product</w:t>
      </w:r>
      <w:r>
        <w:t xml:space="preserve"> until 1 July 2015</w:t>
      </w:r>
      <w:r w:rsidR="00F337FA">
        <w:t>;</w:t>
      </w:r>
    </w:p>
    <w:p w:rsidR="001C3C4C" w:rsidRDefault="00810609" w:rsidP="00812D85">
      <w:pPr>
        <w:pStyle w:val="Style1"/>
        <w:spacing w:after="240"/>
        <w:ind w:left="709" w:hanging="709"/>
      </w:pPr>
      <w:r w:rsidRPr="007105B8">
        <w:t>defer</w:t>
      </w:r>
      <w:r w:rsidR="00610481">
        <w:t>s</w:t>
      </w:r>
      <w:r w:rsidRPr="007105B8">
        <w:t xml:space="preserve"> the first reporting date for the portfolio holdings disclosure requirements from 30 June 2014 to 3</w:t>
      </w:r>
      <w:r w:rsidR="00424E5D">
        <w:t>1</w:t>
      </w:r>
      <w:r w:rsidRPr="007105B8">
        <w:t xml:space="preserve"> </w:t>
      </w:r>
      <w:r w:rsidR="00424E5D">
        <w:t>December</w:t>
      </w:r>
      <w:r w:rsidR="00424E5D" w:rsidRPr="007105B8">
        <w:t xml:space="preserve"> </w:t>
      </w:r>
      <w:r w:rsidRPr="007105B8">
        <w:t>2015</w:t>
      </w:r>
      <w:r w:rsidR="009B2156">
        <w:t xml:space="preserve">; </w:t>
      </w:r>
    </w:p>
    <w:p w:rsidR="00BD3D8D" w:rsidRDefault="00007511" w:rsidP="00812D85">
      <w:pPr>
        <w:pStyle w:val="Style1"/>
        <w:spacing w:after="240"/>
        <w:ind w:left="709" w:hanging="709"/>
      </w:pPr>
      <w:r>
        <w:t>modifies subsections 1017BC(2), 1017BD(2) and 1017BE(2) so that</w:t>
      </w:r>
      <w:r w:rsidR="00227B03">
        <w:t>, for new arrangements,</w:t>
      </w:r>
      <w:r w:rsidR="00FD7517">
        <w:t xml:space="preserve"> first parties and their agents are</w:t>
      </w:r>
      <w:r w:rsidR="00716F09">
        <w:t xml:space="preserve"> </w:t>
      </w:r>
      <w:r w:rsidR="00227B03">
        <w:t xml:space="preserve">not </w:t>
      </w:r>
      <w:r w:rsidR="00FD7517">
        <w:t>required to give notifications under</w:t>
      </w:r>
      <w:r w:rsidR="00263214">
        <w:t xml:space="preserve"> </w:t>
      </w:r>
      <w:r>
        <w:t xml:space="preserve">those </w:t>
      </w:r>
      <w:r w:rsidR="00263214">
        <w:t>subsections</w:t>
      </w:r>
      <w:r w:rsidR="00FD7517">
        <w:t xml:space="preserve"> </w:t>
      </w:r>
      <w:r w:rsidR="00227B03">
        <w:t>until</w:t>
      </w:r>
      <w:r w:rsidR="00716C81">
        <w:t xml:space="preserve"> 1 July 2015</w:t>
      </w:r>
      <w:r w:rsidR="00BD3D8D">
        <w:t>; and</w:t>
      </w:r>
    </w:p>
    <w:p w:rsidR="000405B9" w:rsidRPr="00BD3D8D" w:rsidRDefault="001570A7" w:rsidP="00812D85">
      <w:pPr>
        <w:pStyle w:val="Style1"/>
        <w:spacing w:after="240"/>
        <w:ind w:left="709" w:hanging="709"/>
      </w:pPr>
      <w:r w:rsidRPr="00BD3D8D">
        <w:t>defer</w:t>
      </w:r>
      <w:r w:rsidR="00610481">
        <w:t>s</w:t>
      </w:r>
      <w:r w:rsidRPr="00BD3D8D">
        <w:t xml:space="preserve"> second party reporting obligations under subsection 1017BC(3) of the Act</w:t>
      </w:r>
      <w:r w:rsidR="00470986" w:rsidRPr="00BD3D8D">
        <w:t xml:space="preserve"> in line</w:t>
      </w:r>
      <w:r w:rsidR="00227B03">
        <w:t xml:space="preserve"> with</w:t>
      </w:r>
      <w:r w:rsidR="00470986" w:rsidRPr="00BD3D8D">
        <w:t xml:space="preserve"> </w:t>
      </w:r>
      <w:r w:rsidR="001A77DA" w:rsidRPr="00BD3D8D">
        <w:t xml:space="preserve">a first reporting date </w:t>
      </w:r>
      <w:r w:rsidR="00227B03">
        <w:t xml:space="preserve">for portfolio holdings disclosure requirements </w:t>
      </w:r>
      <w:r w:rsidR="001A77DA" w:rsidRPr="00BD3D8D">
        <w:t>of 31 December 2015</w:t>
      </w:r>
      <w:r w:rsidRPr="00BD3D8D">
        <w:t>.</w:t>
      </w:r>
    </w:p>
    <w:p w:rsidR="000405B9" w:rsidRPr="00A1445D" w:rsidRDefault="000405B9" w:rsidP="00812D85">
      <w:pPr>
        <w:pStyle w:val="Default"/>
        <w:numPr>
          <w:ilvl w:val="0"/>
          <w:numId w:val="1"/>
        </w:numPr>
        <w:ind w:hanging="720"/>
        <w:jc w:val="both"/>
        <w:rPr>
          <w:b/>
          <w:bCs/>
        </w:rPr>
      </w:pPr>
      <w:r w:rsidRPr="00A1445D">
        <w:rPr>
          <w:b/>
          <w:bCs/>
        </w:rPr>
        <w:t xml:space="preserve">Consultation </w:t>
      </w:r>
    </w:p>
    <w:p w:rsidR="000405B9" w:rsidRPr="00A1445D" w:rsidRDefault="000405B9">
      <w:pPr>
        <w:pStyle w:val="Default"/>
        <w:jc w:val="both"/>
      </w:pPr>
    </w:p>
    <w:p w:rsidR="001556EF" w:rsidRPr="000237D8" w:rsidRDefault="00FE4305" w:rsidP="00F34594">
      <w:pPr>
        <w:autoSpaceDE w:val="0"/>
        <w:autoSpaceDN w:val="0"/>
        <w:adjustRightInd w:val="0"/>
        <w:spacing w:after="0" w:line="240" w:lineRule="auto"/>
        <w:rPr>
          <w:rFonts w:ascii="Times New Roman" w:hAnsi="Times New Roman" w:cs="Times New Roman"/>
          <w:sz w:val="24"/>
          <w:szCs w:val="24"/>
        </w:rPr>
      </w:pPr>
      <w:r w:rsidRPr="000237D8">
        <w:rPr>
          <w:rFonts w:ascii="Times New Roman" w:hAnsi="Times New Roman" w:cs="Times New Roman"/>
          <w:sz w:val="24"/>
          <w:szCs w:val="24"/>
        </w:rPr>
        <w:t xml:space="preserve">Treasury </w:t>
      </w:r>
      <w:r w:rsidR="00FE497B">
        <w:rPr>
          <w:rFonts w:ascii="Times New Roman" w:hAnsi="Times New Roman" w:cs="Times New Roman"/>
          <w:sz w:val="24"/>
          <w:szCs w:val="24"/>
        </w:rPr>
        <w:t xml:space="preserve">has conducted </w:t>
      </w:r>
      <w:r w:rsidRPr="000237D8">
        <w:rPr>
          <w:rFonts w:ascii="Times New Roman" w:hAnsi="Times New Roman" w:cs="Times New Roman"/>
          <w:sz w:val="24"/>
          <w:szCs w:val="24"/>
        </w:rPr>
        <w:t xml:space="preserve">extensive consultation with stakeholders (including ASIC). The Discussion Paper </w:t>
      </w:r>
      <w:r w:rsidRPr="00880F98">
        <w:rPr>
          <w:rFonts w:ascii="Times New Roman" w:hAnsi="Times New Roman" w:cs="Times New Roman"/>
          <w:i/>
          <w:sz w:val="24"/>
          <w:szCs w:val="24"/>
        </w:rPr>
        <w:t>Better regulation and governance, enhanced transparency and improved competition in sup</w:t>
      </w:r>
      <w:r w:rsidR="00880F98">
        <w:rPr>
          <w:rFonts w:ascii="Times New Roman" w:hAnsi="Times New Roman" w:cs="Times New Roman"/>
          <w:i/>
          <w:sz w:val="24"/>
          <w:szCs w:val="24"/>
        </w:rPr>
        <w:t>erannuation</w:t>
      </w:r>
      <w:r w:rsidRPr="000237D8">
        <w:rPr>
          <w:rFonts w:ascii="Times New Roman" w:hAnsi="Times New Roman" w:cs="Times New Roman"/>
          <w:sz w:val="24"/>
          <w:szCs w:val="24"/>
        </w:rPr>
        <w:t xml:space="preserve"> was released on 28 November 2013, with</w:t>
      </w:r>
      <w:r w:rsidR="00B50EC6">
        <w:rPr>
          <w:rFonts w:ascii="Times New Roman" w:hAnsi="Times New Roman" w:cs="Times New Roman"/>
          <w:sz w:val="24"/>
          <w:szCs w:val="24"/>
        </w:rPr>
        <w:t xml:space="preserve"> </w:t>
      </w:r>
      <w:r w:rsidR="00EF7924">
        <w:rPr>
          <w:rFonts w:ascii="Times New Roman" w:hAnsi="Times New Roman" w:cs="Times New Roman"/>
          <w:sz w:val="24"/>
          <w:szCs w:val="24"/>
        </w:rPr>
        <w:t xml:space="preserve">a </w:t>
      </w:r>
      <w:r w:rsidR="00B50EC6">
        <w:rPr>
          <w:rFonts w:ascii="Times New Roman" w:hAnsi="Times New Roman" w:cs="Times New Roman"/>
          <w:sz w:val="24"/>
          <w:szCs w:val="24"/>
        </w:rPr>
        <w:t>closing date for</w:t>
      </w:r>
      <w:r w:rsidRPr="000237D8">
        <w:rPr>
          <w:rFonts w:ascii="Times New Roman" w:hAnsi="Times New Roman" w:cs="Times New Roman"/>
          <w:sz w:val="24"/>
          <w:szCs w:val="24"/>
        </w:rPr>
        <w:t xml:space="preserve"> submissions of 12 February 2014.  The Discussion Paper notes that there are two outstanding aspects of the current superannuation regulatory regime</w:t>
      </w:r>
      <w:r w:rsidR="0088289A">
        <w:rPr>
          <w:rFonts w:ascii="Times New Roman" w:hAnsi="Times New Roman" w:cs="Times New Roman"/>
          <w:sz w:val="24"/>
          <w:szCs w:val="24"/>
        </w:rPr>
        <w:t xml:space="preserve"> the subject of examination</w:t>
      </w:r>
      <w:r w:rsidR="00B333DE">
        <w:rPr>
          <w:rFonts w:ascii="Times New Roman" w:hAnsi="Times New Roman" w:cs="Times New Roman"/>
          <w:sz w:val="24"/>
          <w:szCs w:val="24"/>
        </w:rPr>
        <w:t xml:space="preserve"> in the paper: the </w:t>
      </w:r>
      <w:r w:rsidR="00812D85">
        <w:rPr>
          <w:rFonts w:ascii="Times New Roman" w:hAnsi="Times New Roman" w:cs="Times New Roman"/>
          <w:sz w:val="24"/>
          <w:szCs w:val="24"/>
        </w:rPr>
        <w:t>choice</w:t>
      </w:r>
      <w:r w:rsidRPr="000237D8">
        <w:rPr>
          <w:rFonts w:ascii="Times New Roman" w:hAnsi="Times New Roman" w:cs="Times New Roman"/>
          <w:sz w:val="24"/>
          <w:szCs w:val="24"/>
        </w:rPr>
        <w:t xml:space="preserve"> product dashboard and the portfolio holdings disclosure</w:t>
      </w:r>
      <w:r w:rsidR="00CC66AF">
        <w:rPr>
          <w:rFonts w:ascii="Times New Roman" w:hAnsi="Times New Roman" w:cs="Times New Roman"/>
          <w:sz w:val="24"/>
          <w:szCs w:val="24"/>
        </w:rPr>
        <w:t xml:space="preserve"> requirements</w:t>
      </w:r>
      <w:r w:rsidRPr="000237D8">
        <w:rPr>
          <w:rFonts w:ascii="Times New Roman" w:hAnsi="Times New Roman" w:cs="Times New Roman"/>
          <w:sz w:val="24"/>
          <w:szCs w:val="24"/>
        </w:rPr>
        <w:t>. The Discussion Paper s</w:t>
      </w:r>
      <w:r w:rsidR="00FE497B">
        <w:rPr>
          <w:rFonts w:ascii="Times New Roman" w:hAnsi="Times New Roman" w:cs="Times New Roman"/>
          <w:sz w:val="24"/>
          <w:szCs w:val="24"/>
        </w:rPr>
        <w:t>ought</w:t>
      </w:r>
      <w:r w:rsidRPr="000237D8">
        <w:rPr>
          <w:rFonts w:ascii="Times New Roman" w:hAnsi="Times New Roman" w:cs="Times New Roman"/>
          <w:sz w:val="24"/>
          <w:szCs w:val="24"/>
        </w:rPr>
        <w:t xml:space="preserve"> submissions regarding the content and format of </w:t>
      </w:r>
      <w:r w:rsidR="00812D85">
        <w:rPr>
          <w:rFonts w:ascii="Times New Roman" w:hAnsi="Times New Roman" w:cs="Times New Roman"/>
          <w:sz w:val="24"/>
          <w:szCs w:val="24"/>
        </w:rPr>
        <w:t>choice</w:t>
      </w:r>
      <w:r w:rsidRPr="000237D8">
        <w:rPr>
          <w:rFonts w:ascii="Times New Roman" w:hAnsi="Times New Roman" w:cs="Times New Roman"/>
          <w:sz w:val="24"/>
          <w:szCs w:val="24"/>
        </w:rPr>
        <w:t xml:space="preserve"> product dashboards, and multiple aspects surrounding portfolio holdings disclosure including what model would be most appropriate and whether the information should be presented on an entity or a product level.</w:t>
      </w:r>
      <w:r w:rsidR="001556EF" w:rsidRPr="000237D8">
        <w:rPr>
          <w:rFonts w:ascii="Times New Roman" w:hAnsi="Times New Roman" w:cs="Times New Roman"/>
          <w:sz w:val="24"/>
          <w:szCs w:val="24"/>
        </w:rPr>
        <w:br/>
      </w:r>
      <w:r w:rsidR="00014A9A" w:rsidRPr="000237D8">
        <w:rPr>
          <w:rFonts w:ascii="Times New Roman" w:hAnsi="Times New Roman" w:cs="Times New Roman"/>
          <w:sz w:val="24"/>
          <w:szCs w:val="24"/>
        </w:rPr>
        <w:br/>
        <w:t>As a part of this consultation</w:t>
      </w:r>
      <w:r w:rsidR="00484ADB" w:rsidRPr="000237D8">
        <w:rPr>
          <w:rFonts w:ascii="Times New Roman" w:hAnsi="Times New Roman" w:cs="Times New Roman"/>
          <w:sz w:val="24"/>
          <w:szCs w:val="24"/>
        </w:rPr>
        <w:t>,</w:t>
      </w:r>
      <w:r w:rsidR="00014A9A" w:rsidRPr="000237D8">
        <w:rPr>
          <w:rFonts w:ascii="Times New Roman" w:hAnsi="Times New Roman" w:cs="Times New Roman"/>
          <w:sz w:val="24"/>
          <w:szCs w:val="24"/>
        </w:rPr>
        <w:t xml:space="preserve"> industry stakeholders have requested an extension of the commencement </w:t>
      </w:r>
      <w:r w:rsidR="00B13110" w:rsidRPr="000237D8">
        <w:rPr>
          <w:rFonts w:ascii="Times New Roman" w:hAnsi="Times New Roman" w:cs="Times New Roman"/>
          <w:sz w:val="24"/>
          <w:szCs w:val="24"/>
        </w:rPr>
        <w:t>date of the provisions to allow for a reasonable time to prepare for the requirements</w:t>
      </w:r>
      <w:r w:rsidR="0052481F" w:rsidRPr="000237D8">
        <w:rPr>
          <w:rFonts w:ascii="Times New Roman" w:hAnsi="Times New Roman" w:cs="Times New Roman"/>
          <w:sz w:val="24"/>
          <w:szCs w:val="24"/>
        </w:rPr>
        <w:t xml:space="preserve"> before the provisions take effect. </w:t>
      </w:r>
      <w:r w:rsidR="00AB7CAF" w:rsidRPr="000237D8">
        <w:rPr>
          <w:rFonts w:ascii="Times New Roman" w:hAnsi="Times New Roman" w:cs="Times New Roman"/>
          <w:sz w:val="24"/>
          <w:szCs w:val="24"/>
        </w:rPr>
        <w:br/>
      </w:r>
    </w:p>
    <w:p w:rsidR="000405B9" w:rsidRPr="00A1445D" w:rsidRDefault="000405B9" w:rsidP="00812D85">
      <w:pPr>
        <w:pStyle w:val="Default"/>
        <w:jc w:val="center"/>
      </w:pPr>
      <w:r w:rsidRPr="00DD2907">
        <w:br w:type="page"/>
      </w:r>
      <w:r w:rsidRPr="00A1445D">
        <w:rPr>
          <w:b/>
          <w:bCs/>
        </w:rPr>
        <w:lastRenderedPageBreak/>
        <w:t>Statement of Compatibility with Human Rights</w:t>
      </w:r>
    </w:p>
    <w:p w:rsidR="00DD61CF" w:rsidRDefault="00DD61CF" w:rsidP="00C134BB">
      <w:pPr>
        <w:pStyle w:val="Default"/>
        <w:jc w:val="both"/>
        <w:rPr>
          <w:i/>
          <w:iCs/>
        </w:rPr>
      </w:pPr>
    </w:p>
    <w:p w:rsidR="000405B9" w:rsidRPr="00A1445D" w:rsidRDefault="000405B9" w:rsidP="00C134BB">
      <w:pPr>
        <w:pStyle w:val="Default"/>
        <w:jc w:val="both"/>
      </w:pPr>
      <w:r w:rsidRPr="00A1445D">
        <w:rPr>
          <w:i/>
          <w:iCs/>
        </w:rPr>
        <w:t>Prepared in accordance with Part 3 of the Human Rights (Parliamentary Scrutiny) Act 2011</w:t>
      </w:r>
    </w:p>
    <w:p w:rsidR="00DD61CF" w:rsidRDefault="00DD61CF" w:rsidP="00C134BB">
      <w:pPr>
        <w:pStyle w:val="Default"/>
        <w:jc w:val="both"/>
        <w:rPr>
          <w:b/>
          <w:bCs/>
        </w:rPr>
      </w:pPr>
    </w:p>
    <w:p w:rsidR="000405B9" w:rsidRPr="00A1445D" w:rsidRDefault="000405B9" w:rsidP="00C134BB">
      <w:pPr>
        <w:pStyle w:val="Default"/>
        <w:jc w:val="both"/>
        <w:rPr>
          <w:b/>
          <w:bCs/>
        </w:rPr>
      </w:pPr>
      <w:r w:rsidRPr="00A1445D">
        <w:rPr>
          <w:b/>
          <w:bCs/>
        </w:rPr>
        <w:t xml:space="preserve">ASIC Class Order </w:t>
      </w:r>
      <w:r w:rsidR="00C00841" w:rsidRPr="00A1445D">
        <w:rPr>
          <w:b/>
          <w:bCs/>
        </w:rPr>
        <w:t>[</w:t>
      </w:r>
      <w:r w:rsidR="00C00841">
        <w:rPr>
          <w:b/>
          <w:bCs/>
        </w:rPr>
        <w:t>CO 14/443</w:t>
      </w:r>
      <w:r w:rsidRPr="00A1445D">
        <w:rPr>
          <w:b/>
          <w:bCs/>
        </w:rPr>
        <w:t xml:space="preserve">] </w:t>
      </w:r>
    </w:p>
    <w:p w:rsidR="000405B9" w:rsidRPr="00A1445D" w:rsidRDefault="000405B9" w:rsidP="00C134BB">
      <w:pPr>
        <w:pStyle w:val="Default"/>
        <w:jc w:val="both"/>
      </w:pPr>
    </w:p>
    <w:p w:rsidR="000405B9" w:rsidRPr="00A1445D" w:rsidRDefault="00610481" w:rsidP="00C134BB">
      <w:pPr>
        <w:pStyle w:val="Default"/>
        <w:jc w:val="both"/>
      </w:pPr>
      <w:r w:rsidRPr="00A1445D">
        <w:t>Th</w:t>
      </w:r>
      <w:r>
        <w:t>e</w:t>
      </w:r>
      <w:r w:rsidRPr="00A1445D">
        <w:t xml:space="preserve"> </w:t>
      </w:r>
      <w:r w:rsidR="000405B9" w:rsidRPr="00A1445D">
        <w:t xml:space="preserve">class order is compatible with the human rights and freedoms recognised or declared in the international instruments listed in section 3 of the </w:t>
      </w:r>
      <w:r w:rsidR="000405B9" w:rsidRPr="00A1445D">
        <w:rPr>
          <w:i/>
          <w:iCs/>
        </w:rPr>
        <w:t>Human Rights (Parliamentary Scrutiny) Act 2011</w:t>
      </w:r>
      <w:r w:rsidR="000405B9" w:rsidRPr="00A1445D">
        <w:t>.</w:t>
      </w:r>
    </w:p>
    <w:p w:rsidR="000405B9" w:rsidRPr="00A1445D" w:rsidRDefault="000405B9" w:rsidP="00C134BB">
      <w:pPr>
        <w:pStyle w:val="Default"/>
        <w:jc w:val="both"/>
      </w:pPr>
    </w:p>
    <w:p w:rsidR="000405B9" w:rsidRPr="00A1445D" w:rsidRDefault="000405B9" w:rsidP="00C134BB">
      <w:pPr>
        <w:pStyle w:val="Default"/>
        <w:jc w:val="both"/>
        <w:rPr>
          <w:b/>
          <w:bCs/>
        </w:rPr>
      </w:pPr>
      <w:r w:rsidRPr="00A1445D">
        <w:rPr>
          <w:b/>
          <w:bCs/>
        </w:rPr>
        <w:t>Overview of the class order</w:t>
      </w:r>
    </w:p>
    <w:p w:rsidR="000405B9" w:rsidRPr="00A1445D" w:rsidRDefault="000405B9" w:rsidP="00C134BB">
      <w:pPr>
        <w:pStyle w:val="Default"/>
        <w:jc w:val="both"/>
      </w:pPr>
    </w:p>
    <w:p w:rsidR="00C655D9" w:rsidRDefault="000405B9" w:rsidP="00C134BB">
      <w:pPr>
        <w:pStyle w:val="Default"/>
        <w:jc w:val="both"/>
        <w:rPr>
          <w:bCs/>
          <w:iCs/>
        </w:rPr>
      </w:pPr>
      <w:r w:rsidRPr="00A1445D">
        <w:t xml:space="preserve">The class order </w:t>
      </w:r>
      <w:r w:rsidR="00D319EC">
        <w:t xml:space="preserve">defers </w:t>
      </w:r>
      <w:r w:rsidR="00CC66AF">
        <w:t>a number of</w:t>
      </w:r>
      <w:r w:rsidR="00D319EC">
        <w:t xml:space="preserve"> obligations under</w:t>
      </w:r>
      <w:r w:rsidR="00990268">
        <w:t xml:space="preserve"> sections 1017BA, 1017BB, 1017BC, 1017BD and 1017BE</w:t>
      </w:r>
      <w:r w:rsidRPr="00A1445D">
        <w:t xml:space="preserve"> of the </w:t>
      </w:r>
      <w:r w:rsidR="00D319EC" w:rsidRPr="00812D85">
        <w:rPr>
          <w:i/>
        </w:rPr>
        <w:t xml:space="preserve">Corporations </w:t>
      </w:r>
      <w:r w:rsidR="00990268" w:rsidRPr="00812D85">
        <w:rPr>
          <w:i/>
        </w:rPr>
        <w:t>Act</w:t>
      </w:r>
      <w:r w:rsidR="00D319EC" w:rsidRPr="00812D85">
        <w:rPr>
          <w:i/>
        </w:rPr>
        <w:t xml:space="preserve"> 2001</w:t>
      </w:r>
      <w:r w:rsidRPr="00A1445D">
        <w:rPr>
          <w:bCs/>
          <w:iCs/>
        </w:rPr>
        <w:t xml:space="preserve">.  These </w:t>
      </w:r>
      <w:r w:rsidR="00CC66AF">
        <w:rPr>
          <w:bCs/>
          <w:iCs/>
        </w:rPr>
        <w:t xml:space="preserve">sections </w:t>
      </w:r>
      <w:r w:rsidR="00D319EC">
        <w:rPr>
          <w:bCs/>
          <w:iCs/>
        </w:rPr>
        <w:t>deal with</w:t>
      </w:r>
      <w:r w:rsidR="00D319EC" w:rsidRPr="00A1445D">
        <w:rPr>
          <w:bCs/>
          <w:iCs/>
        </w:rPr>
        <w:t xml:space="preserve"> </w:t>
      </w:r>
      <w:r w:rsidRPr="00A1445D">
        <w:rPr>
          <w:bCs/>
          <w:iCs/>
        </w:rPr>
        <w:t>require</w:t>
      </w:r>
      <w:r w:rsidR="00D319EC">
        <w:rPr>
          <w:bCs/>
          <w:iCs/>
        </w:rPr>
        <w:t>ments for</w:t>
      </w:r>
      <w:r w:rsidR="00C655D9">
        <w:rPr>
          <w:bCs/>
          <w:iCs/>
        </w:rPr>
        <w:t>:</w:t>
      </w:r>
    </w:p>
    <w:p w:rsidR="00826469" w:rsidRDefault="00826469" w:rsidP="00C134BB">
      <w:pPr>
        <w:pStyle w:val="Default"/>
        <w:jc w:val="both"/>
        <w:rPr>
          <w:bCs/>
          <w:iCs/>
        </w:rPr>
      </w:pPr>
    </w:p>
    <w:p w:rsidR="00C655D9" w:rsidRDefault="00610481" w:rsidP="00812D85">
      <w:pPr>
        <w:pStyle w:val="Style1"/>
        <w:numPr>
          <w:ilvl w:val="0"/>
          <w:numId w:val="16"/>
        </w:numPr>
        <w:ind w:hanging="780"/>
      </w:pPr>
      <w:r>
        <w:t>t</w:t>
      </w:r>
      <w:r w:rsidR="00C655D9">
        <w:t xml:space="preserve">rustees of regulated superannuation funds </w:t>
      </w:r>
      <w:r w:rsidR="00826469">
        <w:t>with 5 or more members</w:t>
      </w:r>
      <w:r w:rsidR="00C655D9">
        <w:t xml:space="preserve"> to make a product dashboard publicly available</w:t>
      </w:r>
      <w:r w:rsidR="00E30235">
        <w:t xml:space="preserve"> on the fund's website</w:t>
      </w:r>
      <w:r w:rsidR="00C655D9">
        <w:t xml:space="preserve"> for each </w:t>
      </w:r>
      <w:r w:rsidR="00E30235">
        <w:t xml:space="preserve">MySuper and </w:t>
      </w:r>
      <w:r w:rsidR="00812D85">
        <w:t>choice</w:t>
      </w:r>
      <w:r w:rsidR="00E30235">
        <w:t xml:space="preserve"> product; and</w:t>
      </w:r>
    </w:p>
    <w:p w:rsidR="00826469" w:rsidRDefault="00826469" w:rsidP="00812D85">
      <w:pPr>
        <w:pStyle w:val="Default"/>
        <w:ind w:left="780" w:hanging="780"/>
        <w:jc w:val="both"/>
        <w:rPr>
          <w:bCs/>
        </w:rPr>
      </w:pPr>
    </w:p>
    <w:p w:rsidR="00C655D9" w:rsidRDefault="00610481" w:rsidP="00812D85">
      <w:pPr>
        <w:pStyle w:val="Style1"/>
        <w:ind w:hanging="780"/>
      </w:pPr>
      <w:r>
        <w:t>t</w:t>
      </w:r>
      <w:r w:rsidR="00C655D9">
        <w:t>rustees of registrable superannuation entities</w:t>
      </w:r>
      <w:r w:rsidR="008F7CFF">
        <w:t xml:space="preserve"> (other than pooled superannuation trusts)</w:t>
      </w:r>
      <w:r w:rsidR="00C655D9">
        <w:t xml:space="preserve"> to publish port</w:t>
      </w:r>
      <w:r w:rsidR="00B333DE">
        <w:t>folio holding information</w:t>
      </w:r>
      <w:r w:rsidR="00CC66AF">
        <w:t xml:space="preserve"> on a look-through basis</w:t>
      </w:r>
      <w:r w:rsidR="00B333DE">
        <w:t xml:space="preserve"> twice </w:t>
      </w:r>
      <w:r w:rsidR="00C655D9">
        <w:t>annually</w:t>
      </w:r>
      <w:r w:rsidR="008F7CFF">
        <w:t xml:space="preserve"> on the entity's website</w:t>
      </w:r>
      <w:r w:rsidR="00826469">
        <w:t>.</w:t>
      </w:r>
    </w:p>
    <w:p w:rsidR="000405B9" w:rsidRPr="00A1445D" w:rsidRDefault="000405B9" w:rsidP="00C134BB">
      <w:pPr>
        <w:pStyle w:val="Default"/>
        <w:jc w:val="both"/>
      </w:pPr>
    </w:p>
    <w:p w:rsidR="000405B9" w:rsidRPr="00A1445D" w:rsidRDefault="00AB3477" w:rsidP="00C134BB">
      <w:pPr>
        <w:pStyle w:val="Default"/>
        <w:jc w:val="both"/>
      </w:pPr>
      <w:r>
        <w:t>The government made an announcement on 5 May 2014 stating that there will be a deferral of the start date for the choice product dashboard and the introduction of a portfolio holdings disclosure regime to 1 July 2015. In light of this and the absence of regulations or amending legislation to implement this decision, ASIC will facilitate this deferral and provide industry with the necessary legal certainty by making the class order at this time</w:t>
      </w:r>
      <w:r>
        <w:rPr>
          <w:rFonts w:ascii="Helv" w:hAnsi="Helv" w:cs="Helv"/>
          <w:sz w:val="20"/>
          <w:szCs w:val="20"/>
        </w:rPr>
        <w:t xml:space="preserve">.  </w:t>
      </w:r>
      <w:r w:rsidR="00E15B76">
        <w:t xml:space="preserve">As a result, </w:t>
      </w:r>
      <w:r w:rsidR="002B2F9A">
        <w:t>the class order defers the commencement of</w:t>
      </w:r>
      <w:r w:rsidR="00317085">
        <w:t xml:space="preserve"> </w:t>
      </w:r>
      <w:r w:rsidR="002C0DDD">
        <w:t xml:space="preserve">both sets of </w:t>
      </w:r>
      <w:r w:rsidR="00317085">
        <w:t>provisions</w:t>
      </w:r>
      <w:r w:rsidR="00AE2D79">
        <w:t xml:space="preserve">. The look through provisions will </w:t>
      </w:r>
      <w:r w:rsidR="00074B6A">
        <w:t>be deferred to</w:t>
      </w:r>
      <w:r w:rsidR="001A77DA">
        <w:t>1 July</w:t>
      </w:r>
      <w:r w:rsidR="002C0DDD">
        <w:t xml:space="preserve"> 2015</w:t>
      </w:r>
      <w:r w:rsidR="00AE2D79">
        <w:t xml:space="preserve"> to facilitate </w:t>
      </w:r>
      <w:r w:rsidR="00F847C7">
        <w:t>a first reporting date of 31 December 2015</w:t>
      </w:r>
      <w:r w:rsidR="00AE2D79">
        <w:t>,</w:t>
      </w:r>
      <w:r w:rsidR="002C0DDD">
        <w:t xml:space="preserve"> and</w:t>
      </w:r>
      <w:r w:rsidR="00A93429">
        <w:t xml:space="preserve"> the product dashboard for </w:t>
      </w:r>
      <w:r w:rsidR="00812D85">
        <w:t>choice</w:t>
      </w:r>
      <w:r w:rsidR="00A93429">
        <w:t xml:space="preserve"> products</w:t>
      </w:r>
      <w:r w:rsidR="00ED6780">
        <w:t xml:space="preserve"> requirement</w:t>
      </w:r>
      <w:r w:rsidR="00A93429">
        <w:t xml:space="preserve"> will </w:t>
      </w:r>
      <w:r w:rsidR="00074B6A">
        <w:t>be deferred to</w:t>
      </w:r>
      <w:r w:rsidR="002C0DDD">
        <w:t xml:space="preserve"> 1 July 2015</w:t>
      </w:r>
      <w:r w:rsidR="00956A1C">
        <w:t>. This will</w:t>
      </w:r>
      <w:r w:rsidR="002B2F9A">
        <w:t xml:space="preserve"> </w:t>
      </w:r>
      <w:r w:rsidR="006E440C">
        <w:t xml:space="preserve">allow further time for the regulations to be made and will </w:t>
      </w:r>
      <w:r w:rsidR="002B2F9A">
        <w:t xml:space="preserve">provide superannuation trustees </w:t>
      </w:r>
      <w:r w:rsidR="00EF7924">
        <w:t xml:space="preserve">with </w:t>
      </w:r>
      <w:r w:rsidR="002B2F9A">
        <w:t xml:space="preserve">additional time to </w:t>
      </w:r>
      <w:r w:rsidR="00CC66AF">
        <w:t>prepare for</w:t>
      </w:r>
      <w:r w:rsidR="002B2F9A">
        <w:t xml:space="preserve"> the requirements</w:t>
      </w:r>
      <w:r w:rsidR="00CC66AF">
        <w:t xml:space="preserve"> once the regulations are made</w:t>
      </w:r>
      <w:r w:rsidR="002B2F9A">
        <w:t xml:space="preserve">. </w:t>
      </w:r>
    </w:p>
    <w:p w:rsidR="000405B9" w:rsidRPr="00A1445D" w:rsidRDefault="000405B9" w:rsidP="00C134BB">
      <w:pPr>
        <w:pStyle w:val="Default"/>
        <w:jc w:val="both"/>
      </w:pPr>
    </w:p>
    <w:p w:rsidR="000405B9" w:rsidRPr="00A1445D" w:rsidRDefault="000405B9" w:rsidP="00C134BB">
      <w:pPr>
        <w:pStyle w:val="Default"/>
        <w:jc w:val="both"/>
        <w:rPr>
          <w:b/>
          <w:bCs/>
        </w:rPr>
      </w:pPr>
      <w:r w:rsidRPr="00A1445D">
        <w:rPr>
          <w:b/>
          <w:bCs/>
        </w:rPr>
        <w:t>Human rights implications</w:t>
      </w:r>
    </w:p>
    <w:p w:rsidR="000405B9" w:rsidRPr="00A1445D" w:rsidRDefault="000405B9" w:rsidP="00C134BB">
      <w:pPr>
        <w:pStyle w:val="Default"/>
        <w:jc w:val="both"/>
      </w:pPr>
    </w:p>
    <w:p w:rsidR="000405B9" w:rsidRPr="00A1445D" w:rsidRDefault="000405B9" w:rsidP="00C134BB">
      <w:pPr>
        <w:pStyle w:val="Default"/>
        <w:jc w:val="both"/>
      </w:pPr>
      <w:r w:rsidRPr="00A1445D">
        <w:t>This class order does not engage any of the applicable rights or freedoms.</w:t>
      </w:r>
    </w:p>
    <w:p w:rsidR="000405B9" w:rsidRPr="00A1445D" w:rsidRDefault="000405B9" w:rsidP="00C134BB">
      <w:pPr>
        <w:pStyle w:val="Default"/>
        <w:jc w:val="both"/>
      </w:pPr>
      <w:r w:rsidRPr="00A1445D">
        <w:t xml:space="preserve"> </w:t>
      </w:r>
    </w:p>
    <w:p w:rsidR="000405B9" w:rsidRPr="00A1445D" w:rsidRDefault="000405B9" w:rsidP="00C134BB">
      <w:pPr>
        <w:pStyle w:val="Default"/>
        <w:jc w:val="both"/>
        <w:rPr>
          <w:b/>
          <w:bCs/>
        </w:rPr>
      </w:pPr>
      <w:r w:rsidRPr="00A1445D">
        <w:rPr>
          <w:b/>
          <w:bCs/>
        </w:rPr>
        <w:t xml:space="preserve">Conclusion </w:t>
      </w:r>
    </w:p>
    <w:p w:rsidR="000405B9" w:rsidRPr="00A1445D" w:rsidRDefault="000405B9" w:rsidP="00C134BB">
      <w:pPr>
        <w:pStyle w:val="Default"/>
        <w:jc w:val="both"/>
      </w:pPr>
    </w:p>
    <w:p w:rsidR="000405B9" w:rsidRPr="00A1445D" w:rsidRDefault="000405B9" w:rsidP="00C134BB">
      <w:pPr>
        <w:pStyle w:val="Default"/>
        <w:jc w:val="both"/>
      </w:pPr>
      <w:r w:rsidRPr="00A1445D">
        <w:t>This class order is compatible with human rights as it does not raise any human rights issues.</w:t>
      </w:r>
    </w:p>
    <w:p w:rsidR="009E54C5" w:rsidRDefault="004D284C"/>
    <w:sectPr w:rsidR="009E54C5" w:rsidSect="00F34594">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94" w:rsidRDefault="00F34594" w:rsidP="00F34594">
      <w:pPr>
        <w:spacing w:after="0" w:line="240" w:lineRule="auto"/>
      </w:pPr>
      <w:r>
        <w:separator/>
      </w:r>
    </w:p>
  </w:endnote>
  <w:endnote w:type="continuationSeparator" w:id="0">
    <w:p w:rsidR="00F34594" w:rsidRDefault="00F34594" w:rsidP="00F3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94" w:rsidRDefault="00F34594" w:rsidP="00F34594">
      <w:pPr>
        <w:spacing w:after="0" w:line="240" w:lineRule="auto"/>
      </w:pPr>
      <w:r>
        <w:separator/>
      </w:r>
    </w:p>
  </w:footnote>
  <w:footnote w:type="continuationSeparator" w:id="0">
    <w:p w:rsidR="00F34594" w:rsidRDefault="00F34594" w:rsidP="00F34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523703"/>
      <w:docPartObj>
        <w:docPartGallery w:val="Page Numbers (Top of Page)"/>
        <w:docPartUnique/>
      </w:docPartObj>
    </w:sdtPr>
    <w:sdtEndPr>
      <w:rPr>
        <w:noProof/>
      </w:rPr>
    </w:sdtEndPr>
    <w:sdtContent>
      <w:p w:rsidR="00F34594" w:rsidRDefault="00F34594">
        <w:pPr>
          <w:pStyle w:val="Header"/>
          <w:jc w:val="center"/>
        </w:pPr>
        <w:r>
          <w:fldChar w:fldCharType="begin"/>
        </w:r>
        <w:r>
          <w:instrText xml:space="preserve"> PAGE   \* MERGEFORMAT </w:instrText>
        </w:r>
        <w:r>
          <w:fldChar w:fldCharType="separate"/>
        </w:r>
        <w:r w:rsidR="004D284C">
          <w:rPr>
            <w:noProof/>
          </w:rPr>
          <w:t>2</w:t>
        </w:r>
        <w:r>
          <w:rPr>
            <w:noProof/>
          </w:rPr>
          <w:fldChar w:fldCharType="end"/>
        </w:r>
      </w:p>
    </w:sdtContent>
  </w:sdt>
  <w:p w:rsidR="00F34594" w:rsidRDefault="00F34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75AF"/>
    <w:multiLevelType w:val="hybridMultilevel"/>
    <w:tmpl w:val="FFBEC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A779F9"/>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EA7BAD"/>
    <w:multiLevelType w:val="hybridMultilevel"/>
    <w:tmpl w:val="0E789050"/>
    <w:lvl w:ilvl="0" w:tplc="6A8E600C">
      <w:start w:val="1"/>
      <w:numFmt w:val="lowerLetter"/>
      <w:pStyle w:val="Style1"/>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32F22CAF"/>
    <w:multiLevelType w:val="hybridMultilevel"/>
    <w:tmpl w:val="D7685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7172EB"/>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324479"/>
    <w:multiLevelType w:val="hybridMultilevel"/>
    <w:tmpl w:val="2E000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D2456A2"/>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6462647"/>
    <w:multiLevelType w:val="hybridMultilevel"/>
    <w:tmpl w:val="3B18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CD65266"/>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FC3773C"/>
    <w:multiLevelType w:val="hybridMultilevel"/>
    <w:tmpl w:val="C570DE5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nsid w:val="6AD0696D"/>
    <w:multiLevelType w:val="hybridMultilevel"/>
    <w:tmpl w:val="8DEACF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D0F78F1"/>
    <w:multiLevelType w:val="hybridMultilevel"/>
    <w:tmpl w:val="548843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D6D1A85"/>
    <w:multiLevelType w:val="multilevel"/>
    <w:tmpl w:val="1A34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
  </w:num>
  <w:num w:numId="4">
    <w:abstractNumId w:val="6"/>
  </w:num>
  <w:num w:numId="5">
    <w:abstractNumId w:val="9"/>
  </w:num>
  <w:num w:numId="6">
    <w:abstractNumId w:val="4"/>
  </w:num>
  <w:num w:numId="7">
    <w:abstractNumId w:val="13"/>
  </w:num>
  <w:num w:numId="8">
    <w:abstractNumId w:val="12"/>
  </w:num>
  <w:num w:numId="9">
    <w:abstractNumId w:val="11"/>
  </w:num>
  <w:num w:numId="10">
    <w:abstractNumId w:val="7"/>
  </w:num>
  <w:num w:numId="11">
    <w:abstractNumId w:val="3"/>
  </w:num>
  <w:num w:numId="12">
    <w:abstractNumId w:val="0"/>
  </w:num>
  <w:num w:numId="13">
    <w:abstractNumId w:val="2"/>
  </w:num>
  <w:num w:numId="14">
    <w:abstractNumId w:val="10"/>
  </w:num>
  <w:num w:numId="15">
    <w:abstractNumId w:val="2"/>
    <w:lvlOverride w:ilvl="0">
      <w:startOverride w:val="1"/>
    </w:lvlOverride>
  </w:num>
  <w:num w:numId="1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5D"/>
    <w:rsid w:val="00007511"/>
    <w:rsid w:val="00014A9A"/>
    <w:rsid w:val="0001699E"/>
    <w:rsid w:val="000237D8"/>
    <w:rsid w:val="000405B9"/>
    <w:rsid w:val="00046CCB"/>
    <w:rsid w:val="00053366"/>
    <w:rsid w:val="000631E4"/>
    <w:rsid w:val="00070D6C"/>
    <w:rsid w:val="00071F38"/>
    <w:rsid w:val="000737CF"/>
    <w:rsid w:val="00073F61"/>
    <w:rsid w:val="00074B6A"/>
    <w:rsid w:val="00097C98"/>
    <w:rsid w:val="000B4318"/>
    <w:rsid w:val="000B4DFD"/>
    <w:rsid w:val="000D2C81"/>
    <w:rsid w:val="000D70DC"/>
    <w:rsid w:val="000E2202"/>
    <w:rsid w:val="00102C88"/>
    <w:rsid w:val="00112F56"/>
    <w:rsid w:val="00127E20"/>
    <w:rsid w:val="00132078"/>
    <w:rsid w:val="001408ED"/>
    <w:rsid w:val="00147B9E"/>
    <w:rsid w:val="00152D28"/>
    <w:rsid w:val="001550FA"/>
    <w:rsid w:val="001556EF"/>
    <w:rsid w:val="00155CB9"/>
    <w:rsid w:val="0015695D"/>
    <w:rsid w:val="001570A7"/>
    <w:rsid w:val="00172CF8"/>
    <w:rsid w:val="00173A45"/>
    <w:rsid w:val="001818A2"/>
    <w:rsid w:val="00194C7A"/>
    <w:rsid w:val="00197193"/>
    <w:rsid w:val="001A77DA"/>
    <w:rsid w:val="001B17AA"/>
    <w:rsid w:val="001B1E71"/>
    <w:rsid w:val="001B69A1"/>
    <w:rsid w:val="001B6AD5"/>
    <w:rsid w:val="001C3C4C"/>
    <w:rsid w:val="001E36E1"/>
    <w:rsid w:val="00201779"/>
    <w:rsid w:val="00206637"/>
    <w:rsid w:val="00210D25"/>
    <w:rsid w:val="00224D49"/>
    <w:rsid w:val="0022677A"/>
    <w:rsid w:val="00227B03"/>
    <w:rsid w:val="002473A5"/>
    <w:rsid w:val="0025087A"/>
    <w:rsid w:val="00252651"/>
    <w:rsid w:val="00263214"/>
    <w:rsid w:val="00292BC1"/>
    <w:rsid w:val="002943AE"/>
    <w:rsid w:val="002B1C9F"/>
    <w:rsid w:val="002B2F9A"/>
    <w:rsid w:val="002B5211"/>
    <w:rsid w:val="002C01A1"/>
    <w:rsid w:val="002C0DDD"/>
    <w:rsid w:val="002D790A"/>
    <w:rsid w:val="002E371C"/>
    <w:rsid w:val="002F151E"/>
    <w:rsid w:val="002F1FBC"/>
    <w:rsid w:val="002F5E1D"/>
    <w:rsid w:val="002F6109"/>
    <w:rsid w:val="00307CB7"/>
    <w:rsid w:val="00317085"/>
    <w:rsid w:val="00321AD6"/>
    <w:rsid w:val="00334225"/>
    <w:rsid w:val="00334463"/>
    <w:rsid w:val="00351FA2"/>
    <w:rsid w:val="00366F05"/>
    <w:rsid w:val="003773EB"/>
    <w:rsid w:val="00380D57"/>
    <w:rsid w:val="00392B02"/>
    <w:rsid w:val="00393373"/>
    <w:rsid w:val="003A4E8E"/>
    <w:rsid w:val="003A5D18"/>
    <w:rsid w:val="003B7FD8"/>
    <w:rsid w:val="003D14B7"/>
    <w:rsid w:val="003E569C"/>
    <w:rsid w:val="003E7F4A"/>
    <w:rsid w:val="003F254D"/>
    <w:rsid w:val="003F72AF"/>
    <w:rsid w:val="00405377"/>
    <w:rsid w:val="00421F13"/>
    <w:rsid w:val="00424E5D"/>
    <w:rsid w:val="00431051"/>
    <w:rsid w:val="00435F7E"/>
    <w:rsid w:val="00436F36"/>
    <w:rsid w:val="00452331"/>
    <w:rsid w:val="0045550B"/>
    <w:rsid w:val="00460552"/>
    <w:rsid w:val="00466722"/>
    <w:rsid w:val="00470986"/>
    <w:rsid w:val="00480B23"/>
    <w:rsid w:val="00481E06"/>
    <w:rsid w:val="00484ADB"/>
    <w:rsid w:val="0049215F"/>
    <w:rsid w:val="004A37EB"/>
    <w:rsid w:val="004A6110"/>
    <w:rsid w:val="004B0931"/>
    <w:rsid w:val="004B5697"/>
    <w:rsid w:val="004C7C31"/>
    <w:rsid w:val="004D284C"/>
    <w:rsid w:val="004D29B9"/>
    <w:rsid w:val="004D503F"/>
    <w:rsid w:val="004E6A67"/>
    <w:rsid w:val="004F4695"/>
    <w:rsid w:val="004F754F"/>
    <w:rsid w:val="0052481F"/>
    <w:rsid w:val="0053298F"/>
    <w:rsid w:val="00557E27"/>
    <w:rsid w:val="00567914"/>
    <w:rsid w:val="0057721F"/>
    <w:rsid w:val="005937E6"/>
    <w:rsid w:val="00597E5C"/>
    <w:rsid w:val="005B3E09"/>
    <w:rsid w:val="005C4B2D"/>
    <w:rsid w:val="005D3CFB"/>
    <w:rsid w:val="00600CD4"/>
    <w:rsid w:val="006019A9"/>
    <w:rsid w:val="00601AC4"/>
    <w:rsid w:val="00610481"/>
    <w:rsid w:val="006131B5"/>
    <w:rsid w:val="006136F3"/>
    <w:rsid w:val="00614BC7"/>
    <w:rsid w:val="006218AE"/>
    <w:rsid w:val="00622932"/>
    <w:rsid w:val="00624A50"/>
    <w:rsid w:val="006314E8"/>
    <w:rsid w:val="006333A8"/>
    <w:rsid w:val="006436F9"/>
    <w:rsid w:val="00644C25"/>
    <w:rsid w:val="00644CA7"/>
    <w:rsid w:val="00666815"/>
    <w:rsid w:val="0067287F"/>
    <w:rsid w:val="00673258"/>
    <w:rsid w:val="00683BDE"/>
    <w:rsid w:val="006A6A26"/>
    <w:rsid w:val="006B4008"/>
    <w:rsid w:val="006C09E1"/>
    <w:rsid w:val="006E440C"/>
    <w:rsid w:val="007105B8"/>
    <w:rsid w:val="00716C81"/>
    <w:rsid w:val="00716F09"/>
    <w:rsid w:val="00721C5D"/>
    <w:rsid w:val="007323C9"/>
    <w:rsid w:val="007347DC"/>
    <w:rsid w:val="00742F2B"/>
    <w:rsid w:val="007443B6"/>
    <w:rsid w:val="007516F3"/>
    <w:rsid w:val="00754FF4"/>
    <w:rsid w:val="00760472"/>
    <w:rsid w:val="00765933"/>
    <w:rsid w:val="00786E59"/>
    <w:rsid w:val="0079260C"/>
    <w:rsid w:val="007A1D6E"/>
    <w:rsid w:val="007B1D99"/>
    <w:rsid w:val="007B258E"/>
    <w:rsid w:val="007C2D5A"/>
    <w:rsid w:val="007D204F"/>
    <w:rsid w:val="007D2232"/>
    <w:rsid w:val="007E7A63"/>
    <w:rsid w:val="007F4B46"/>
    <w:rsid w:val="008020FC"/>
    <w:rsid w:val="00803BFB"/>
    <w:rsid w:val="00810609"/>
    <w:rsid w:val="00812D85"/>
    <w:rsid w:val="00821E2A"/>
    <w:rsid w:val="00826469"/>
    <w:rsid w:val="00831EB6"/>
    <w:rsid w:val="008415F7"/>
    <w:rsid w:val="00856B8E"/>
    <w:rsid w:val="008615D5"/>
    <w:rsid w:val="008658B7"/>
    <w:rsid w:val="0087151D"/>
    <w:rsid w:val="0087283C"/>
    <w:rsid w:val="00880F98"/>
    <w:rsid w:val="0088289A"/>
    <w:rsid w:val="00892B0D"/>
    <w:rsid w:val="008A1C66"/>
    <w:rsid w:val="008A2BC1"/>
    <w:rsid w:val="008A2F27"/>
    <w:rsid w:val="008A5AFC"/>
    <w:rsid w:val="008A71CA"/>
    <w:rsid w:val="008B4CCB"/>
    <w:rsid w:val="008C0494"/>
    <w:rsid w:val="008D1AD2"/>
    <w:rsid w:val="008D2DD4"/>
    <w:rsid w:val="008E7A1E"/>
    <w:rsid w:val="008F7CFF"/>
    <w:rsid w:val="00907EA2"/>
    <w:rsid w:val="00912609"/>
    <w:rsid w:val="00912721"/>
    <w:rsid w:val="009159D2"/>
    <w:rsid w:val="00915FD5"/>
    <w:rsid w:val="00916DCB"/>
    <w:rsid w:val="00921B82"/>
    <w:rsid w:val="0092513C"/>
    <w:rsid w:val="00926DD8"/>
    <w:rsid w:val="009454B4"/>
    <w:rsid w:val="009535DD"/>
    <w:rsid w:val="00956A1C"/>
    <w:rsid w:val="00956B6B"/>
    <w:rsid w:val="0096438B"/>
    <w:rsid w:val="009664CF"/>
    <w:rsid w:val="00970880"/>
    <w:rsid w:val="00977B16"/>
    <w:rsid w:val="00990268"/>
    <w:rsid w:val="00993611"/>
    <w:rsid w:val="00995CC2"/>
    <w:rsid w:val="009A78BB"/>
    <w:rsid w:val="009B2156"/>
    <w:rsid w:val="009C4E61"/>
    <w:rsid w:val="009D510C"/>
    <w:rsid w:val="009E4A45"/>
    <w:rsid w:val="00A02A5B"/>
    <w:rsid w:val="00A03D9F"/>
    <w:rsid w:val="00A161BD"/>
    <w:rsid w:val="00A51DF6"/>
    <w:rsid w:val="00A64C5D"/>
    <w:rsid w:val="00A72FA9"/>
    <w:rsid w:val="00A87FCE"/>
    <w:rsid w:val="00A93429"/>
    <w:rsid w:val="00AA57A9"/>
    <w:rsid w:val="00AB0567"/>
    <w:rsid w:val="00AB3477"/>
    <w:rsid w:val="00AB4E71"/>
    <w:rsid w:val="00AB6C2B"/>
    <w:rsid w:val="00AB7CAF"/>
    <w:rsid w:val="00AC1936"/>
    <w:rsid w:val="00AD5C26"/>
    <w:rsid w:val="00AE2D79"/>
    <w:rsid w:val="00AE6F6F"/>
    <w:rsid w:val="00B01AB4"/>
    <w:rsid w:val="00B029BB"/>
    <w:rsid w:val="00B066C0"/>
    <w:rsid w:val="00B07D46"/>
    <w:rsid w:val="00B13110"/>
    <w:rsid w:val="00B301DC"/>
    <w:rsid w:val="00B333DE"/>
    <w:rsid w:val="00B4088D"/>
    <w:rsid w:val="00B409CB"/>
    <w:rsid w:val="00B50EC6"/>
    <w:rsid w:val="00B54192"/>
    <w:rsid w:val="00B54EA5"/>
    <w:rsid w:val="00B56A9F"/>
    <w:rsid w:val="00B6053B"/>
    <w:rsid w:val="00B65BE9"/>
    <w:rsid w:val="00B67D3E"/>
    <w:rsid w:val="00B730B3"/>
    <w:rsid w:val="00B7758A"/>
    <w:rsid w:val="00B93DB4"/>
    <w:rsid w:val="00BC35D3"/>
    <w:rsid w:val="00BC43CC"/>
    <w:rsid w:val="00BC69E7"/>
    <w:rsid w:val="00BD1690"/>
    <w:rsid w:val="00BD33F6"/>
    <w:rsid w:val="00BD3D8D"/>
    <w:rsid w:val="00BD58B4"/>
    <w:rsid w:val="00BF16C5"/>
    <w:rsid w:val="00C00841"/>
    <w:rsid w:val="00C02C26"/>
    <w:rsid w:val="00C134BB"/>
    <w:rsid w:val="00C33E33"/>
    <w:rsid w:val="00C361A5"/>
    <w:rsid w:val="00C379C3"/>
    <w:rsid w:val="00C5068F"/>
    <w:rsid w:val="00C51EBB"/>
    <w:rsid w:val="00C56E45"/>
    <w:rsid w:val="00C655D9"/>
    <w:rsid w:val="00C912B0"/>
    <w:rsid w:val="00C931B8"/>
    <w:rsid w:val="00C9609F"/>
    <w:rsid w:val="00CA2B0F"/>
    <w:rsid w:val="00CB1056"/>
    <w:rsid w:val="00CC6499"/>
    <w:rsid w:val="00CC66AF"/>
    <w:rsid w:val="00CD5FA6"/>
    <w:rsid w:val="00CD714A"/>
    <w:rsid w:val="00D211C9"/>
    <w:rsid w:val="00D2129D"/>
    <w:rsid w:val="00D319EC"/>
    <w:rsid w:val="00D411F1"/>
    <w:rsid w:val="00D55A51"/>
    <w:rsid w:val="00D67E9D"/>
    <w:rsid w:val="00D85CFE"/>
    <w:rsid w:val="00D8746E"/>
    <w:rsid w:val="00D91B3F"/>
    <w:rsid w:val="00DA527F"/>
    <w:rsid w:val="00DB4CF0"/>
    <w:rsid w:val="00DC632F"/>
    <w:rsid w:val="00DC6F3D"/>
    <w:rsid w:val="00DD2907"/>
    <w:rsid w:val="00DD51E1"/>
    <w:rsid w:val="00DD61CF"/>
    <w:rsid w:val="00E063E9"/>
    <w:rsid w:val="00E12710"/>
    <w:rsid w:val="00E15B76"/>
    <w:rsid w:val="00E22B71"/>
    <w:rsid w:val="00E30235"/>
    <w:rsid w:val="00E30CEA"/>
    <w:rsid w:val="00E448AA"/>
    <w:rsid w:val="00E57E95"/>
    <w:rsid w:val="00E658FD"/>
    <w:rsid w:val="00E67547"/>
    <w:rsid w:val="00E7345E"/>
    <w:rsid w:val="00E8008B"/>
    <w:rsid w:val="00E908EB"/>
    <w:rsid w:val="00E9224C"/>
    <w:rsid w:val="00EB0429"/>
    <w:rsid w:val="00EB32F5"/>
    <w:rsid w:val="00EC38F5"/>
    <w:rsid w:val="00ED34B7"/>
    <w:rsid w:val="00ED564A"/>
    <w:rsid w:val="00ED6780"/>
    <w:rsid w:val="00EE4D1E"/>
    <w:rsid w:val="00EF7924"/>
    <w:rsid w:val="00F019E3"/>
    <w:rsid w:val="00F11046"/>
    <w:rsid w:val="00F14763"/>
    <w:rsid w:val="00F21361"/>
    <w:rsid w:val="00F21EA7"/>
    <w:rsid w:val="00F24608"/>
    <w:rsid w:val="00F2490A"/>
    <w:rsid w:val="00F25FB4"/>
    <w:rsid w:val="00F337FA"/>
    <w:rsid w:val="00F34594"/>
    <w:rsid w:val="00F403F5"/>
    <w:rsid w:val="00F55F89"/>
    <w:rsid w:val="00F56BDA"/>
    <w:rsid w:val="00F847C7"/>
    <w:rsid w:val="00FA367D"/>
    <w:rsid w:val="00FB1A3A"/>
    <w:rsid w:val="00FC15B9"/>
    <w:rsid w:val="00FC4E1C"/>
    <w:rsid w:val="00FC5A5F"/>
    <w:rsid w:val="00FD58A1"/>
    <w:rsid w:val="00FD7517"/>
    <w:rsid w:val="00FE0C32"/>
    <w:rsid w:val="00FE19AE"/>
    <w:rsid w:val="00FE3EFE"/>
    <w:rsid w:val="00FE4305"/>
    <w:rsid w:val="00FE497B"/>
    <w:rsid w:val="00FE7476"/>
    <w:rsid w:val="00FF5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405B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RPG-BodyTextNumbered">
    <w:name w:val="RPG - Body Text (Numbered)"/>
    <w:basedOn w:val="Normal"/>
    <w:qFormat/>
    <w:rsid w:val="000405B9"/>
    <w:pPr>
      <w:numPr>
        <w:numId w:val="2"/>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0405B9"/>
    <w:pPr>
      <w:numPr>
        <w:ilvl w:val="1"/>
      </w:numPr>
      <w:spacing w:before="120"/>
    </w:pPr>
  </w:style>
  <w:style w:type="paragraph" w:customStyle="1" w:styleId="RPG-SublistLevel2">
    <w:name w:val="RPG - Sublist Level 2"/>
    <w:basedOn w:val="RPG-SublistLevel1"/>
    <w:qFormat/>
    <w:rsid w:val="000405B9"/>
    <w:pPr>
      <w:numPr>
        <w:ilvl w:val="2"/>
      </w:numPr>
    </w:pPr>
  </w:style>
  <w:style w:type="paragraph" w:styleId="ListParagraph">
    <w:name w:val="List Paragraph"/>
    <w:basedOn w:val="Normal"/>
    <w:uiPriority w:val="34"/>
    <w:qFormat/>
    <w:rsid w:val="00F21E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A">
    <w:name w:val="ListA"/>
    <w:rsid w:val="00B6053B"/>
    <w:pPr>
      <w:overflowPunct w:val="0"/>
      <w:autoSpaceDE w:val="0"/>
      <w:autoSpaceDN w:val="0"/>
      <w:adjustRightInd w:val="0"/>
      <w:spacing w:before="120" w:after="120" w:line="240" w:lineRule="auto"/>
      <w:ind w:left="425" w:hanging="425"/>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7283C"/>
    <w:rPr>
      <w:sz w:val="16"/>
      <w:szCs w:val="16"/>
    </w:rPr>
  </w:style>
  <w:style w:type="paragraph" w:styleId="CommentText">
    <w:name w:val="annotation text"/>
    <w:basedOn w:val="Normal"/>
    <w:link w:val="CommentTextChar"/>
    <w:uiPriority w:val="99"/>
    <w:semiHidden/>
    <w:unhideWhenUsed/>
    <w:rsid w:val="0087283C"/>
    <w:pPr>
      <w:spacing w:line="240" w:lineRule="auto"/>
    </w:pPr>
    <w:rPr>
      <w:sz w:val="20"/>
      <w:szCs w:val="20"/>
    </w:rPr>
  </w:style>
  <w:style w:type="character" w:customStyle="1" w:styleId="CommentTextChar">
    <w:name w:val="Comment Text Char"/>
    <w:basedOn w:val="DefaultParagraphFont"/>
    <w:link w:val="CommentText"/>
    <w:uiPriority w:val="99"/>
    <w:semiHidden/>
    <w:rsid w:val="0087283C"/>
    <w:rPr>
      <w:sz w:val="20"/>
      <w:szCs w:val="20"/>
    </w:rPr>
  </w:style>
  <w:style w:type="paragraph" w:styleId="CommentSubject">
    <w:name w:val="annotation subject"/>
    <w:basedOn w:val="CommentText"/>
    <w:next w:val="CommentText"/>
    <w:link w:val="CommentSubjectChar"/>
    <w:uiPriority w:val="99"/>
    <w:semiHidden/>
    <w:unhideWhenUsed/>
    <w:rsid w:val="0087283C"/>
    <w:rPr>
      <w:b/>
      <w:bCs/>
    </w:rPr>
  </w:style>
  <w:style w:type="character" w:customStyle="1" w:styleId="CommentSubjectChar">
    <w:name w:val="Comment Subject Char"/>
    <w:basedOn w:val="CommentTextChar"/>
    <w:link w:val="CommentSubject"/>
    <w:uiPriority w:val="99"/>
    <w:semiHidden/>
    <w:rsid w:val="0087283C"/>
    <w:rPr>
      <w:b/>
      <w:bCs/>
      <w:sz w:val="20"/>
      <w:szCs w:val="20"/>
    </w:rPr>
  </w:style>
  <w:style w:type="paragraph" w:styleId="BalloonText">
    <w:name w:val="Balloon Text"/>
    <w:basedOn w:val="Normal"/>
    <w:link w:val="BalloonTextChar"/>
    <w:uiPriority w:val="99"/>
    <w:semiHidden/>
    <w:unhideWhenUsed/>
    <w:rsid w:val="0087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C"/>
    <w:rPr>
      <w:rFonts w:ascii="Tahoma" w:hAnsi="Tahoma" w:cs="Tahoma"/>
      <w:sz w:val="16"/>
      <w:szCs w:val="16"/>
    </w:rPr>
  </w:style>
  <w:style w:type="paragraph" w:customStyle="1" w:styleId="Style1">
    <w:name w:val="Style1"/>
    <w:basedOn w:val="Default"/>
    <w:link w:val="Style1Char"/>
    <w:qFormat/>
    <w:rsid w:val="00DD61CF"/>
    <w:pPr>
      <w:numPr>
        <w:numId w:val="13"/>
      </w:numPr>
      <w:jc w:val="both"/>
    </w:pPr>
    <w:rPr>
      <w:bCs/>
    </w:rPr>
  </w:style>
  <w:style w:type="character" w:customStyle="1" w:styleId="DefaultChar">
    <w:name w:val="Default Char"/>
    <w:basedOn w:val="DefaultParagraphFont"/>
    <w:link w:val="Default"/>
    <w:rsid w:val="00DD61CF"/>
    <w:rPr>
      <w:rFonts w:ascii="Times New Roman" w:eastAsia="Times New Roman" w:hAnsi="Times New Roman" w:cs="Times New Roman"/>
      <w:color w:val="000000"/>
      <w:sz w:val="24"/>
      <w:szCs w:val="24"/>
      <w:lang w:eastAsia="en-AU"/>
    </w:rPr>
  </w:style>
  <w:style w:type="character" w:customStyle="1" w:styleId="Style1Char">
    <w:name w:val="Style1 Char"/>
    <w:basedOn w:val="DefaultChar"/>
    <w:link w:val="Style1"/>
    <w:rsid w:val="00DD61CF"/>
    <w:rPr>
      <w:rFonts w:ascii="Times New Roman" w:eastAsia="Times New Roman" w:hAnsi="Times New Roman" w:cs="Times New Roman"/>
      <w:bCs/>
      <w:color w:val="000000"/>
      <w:sz w:val="24"/>
      <w:szCs w:val="24"/>
      <w:lang w:eastAsia="en-AU"/>
    </w:rPr>
  </w:style>
  <w:style w:type="paragraph" w:styleId="Header">
    <w:name w:val="header"/>
    <w:basedOn w:val="Normal"/>
    <w:link w:val="HeaderChar"/>
    <w:uiPriority w:val="99"/>
    <w:unhideWhenUsed/>
    <w:rsid w:val="00F3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594"/>
  </w:style>
  <w:style w:type="paragraph" w:styleId="Footer">
    <w:name w:val="footer"/>
    <w:basedOn w:val="Normal"/>
    <w:link w:val="FooterChar"/>
    <w:uiPriority w:val="99"/>
    <w:unhideWhenUsed/>
    <w:rsid w:val="00F3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405B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RPG-BodyTextNumbered">
    <w:name w:val="RPG - Body Text (Numbered)"/>
    <w:basedOn w:val="Normal"/>
    <w:qFormat/>
    <w:rsid w:val="000405B9"/>
    <w:pPr>
      <w:numPr>
        <w:numId w:val="2"/>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0405B9"/>
    <w:pPr>
      <w:numPr>
        <w:ilvl w:val="1"/>
      </w:numPr>
      <w:spacing w:before="120"/>
    </w:pPr>
  </w:style>
  <w:style w:type="paragraph" w:customStyle="1" w:styleId="RPG-SublistLevel2">
    <w:name w:val="RPG - Sublist Level 2"/>
    <w:basedOn w:val="RPG-SublistLevel1"/>
    <w:qFormat/>
    <w:rsid w:val="000405B9"/>
    <w:pPr>
      <w:numPr>
        <w:ilvl w:val="2"/>
      </w:numPr>
    </w:pPr>
  </w:style>
  <w:style w:type="paragraph" w:styleId="ListParagraph">
    <w:name w:val="List Paragraph"/>
    <w:basedOn w:val="Normal"/>
    <w:uiPriority w:val="34"/>
    <w:qFormat/>
    <w:rsid w:val="00F21E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A">
    <w:name w:val="ListA"/>
    <w:rsid w:val="00B6053B"/>
    <w:pPr>
      <w:overflowPunct w:val="0"/>
      <w:autoSpaceDE w:val="0"/>
      <w:autoSpaceDN w:val="0"/>
      <w:adjustRightInd w:val="0"/>
      <w:spacing w:before="120" w:after="120" w:line="240" w:lineRule="auto"/>
      <w:ind w:left="425" w:hanging="425"/>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7283C"/>
    <w:rPr>
      <w:sz w:val="16"/>
      <w:szCs w:val="16"/>
    </w:rPr>
  </w:style>
  <w:style w:type="paragraph" w:styleId="CommentText">
    <w:name w:val="annotation text"/>
    <w:basedOn w:val="Normal"/>
    <w:link w:val="CommentTextChar"/>
    <w:uiPriority w:val="99"/>
    <w:semiHidden/>
    <w:unhideWhenUsed/>
    <w:rsid w:val="0087283C"/>
    <w:pPr>
      <w:spacing w:line="240" w:lineRule="auto"/>
    </w:pPr>
    <w:rPr>
      <w:sz w:val="20"/>
      <w:szCs w:val="20"/>
    </w:rPr>
  </w:style>
  <w:style w:type="character" w:customStyle="1" w:styleId="CommentTextChar">
    <w:name w:val="Comment Text Char"/>
    <w:basedOn w:val="DefaultParagraphFont"/>
    <w:link w:val="CommentText"/>
    <w:uiPriority w:val="99"/>
    <w:semiHidden/>
    <w:rsid w:val="0087283C"/>
    <w:rPr>
      <w:sz w:val="20"/>
      <w:szCs w:val="20"/>
    </w:rPr>
  </w:style>
  <w:style w:type="paragraph" w:styleId="CommentSubject">
    <w:name w:val="annotation subject"/>
    <w:basedOn w:val="CommentText"/>
    <w:next w:val="CommentText"/>
    <w:link w:val="CommentSubjectChar"/>
    <w:uiPriority w:val="99"/>
    <w:semiHidden/>
    <w:unhideWhenUsed/>
    <w:rsid w:val="0087283C"/>
    <w:rPr>
      <w:b/>
      <w:bCs/>
    </w:rPr>
  </w:style>
  <w:style w:type="character" w:customStyle="1" w:styleId="CommentSubjectChar">
    <w:name w:val="Comment Subject Char"/>
    <w:basedOn w:val="CommentTextChar"/>
    <w:link w:val="CommentSubject"/>
    <w:uiPriority w:val="99"/>
    <w:semiHidden/>
    <w:rsid w:val="0087283C"/>
    <w:rPr>
      <w:b/>
      <w:bCs/>
      <w:sz w:val="20"/>
      <w:szCs w:val="20"/>
    </w:rPr>
  </w:style>
  <w:style w:type="paragraph" w:styleId="BalloonText">
    <w:name w:val="Balloon Text"/>
    <w:basedOn w:val="Normal"/>
    <w:link w:val="BalloonTextChar"/>
    <w:uiPriority w:val="99"/>
    <w:semiHidden/>
    <w:unhideWhenUsed/>
    <w:rsid w:val="0087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C"/>
    <w:rPr>
      <w:rFonts w:ascii="Tahoma" w:hAnsi="Tahoma" w:cs="Tahoma"/>
      <w:sz w:val="16"/>
      <w:szCs w:val="16"/>
    </w:rPr>
  </w:style>
  <w:style w:type="paragraph" w:customStyle="1" w:styleId="Style1">
    <w:name w:val="Style1"/>
    <w:basedOn w:val="Default"/>
    <w:link w:val="Style1Char"/>
    <w:qFormat/>
    <w:rsid w:val="00DD61CF"/>
    <w:pPr>
      <w:numPr>
        <w:numId w:val="13"/>
      </w:numPr>
      <w:jc w:val="both"/>
    </w:pPr>
    <w:rPr>
      <w:bCs/>
    </w:rPr>
  </w:style>
  <w:style w:type="character" w:customStyle="1" w:styleId="DefaultChar">
    <w:name w:val="Default Char"/>
    <w:basedOn w:val="DefaultParagraphFont"/>
    <w:link w:val="Default"/>
    <w:rsid w:val="00DD61CF"/>
    <w:rPr>
      <w:rFonts w:ascii="Times New Roman" w:eastAsia="Times New Roman" w:hAnsi="Times New Roman" w:cs="Times New Roman"/>
      <w:color w:val="000000"/>
      <w:sz w:val="24"/>
      <w:szCs w:val="24"/>
      <w:lang w:eastAsia="en-AU"/>
    </w:rPr>
  </w:style>
  <w:style w:type="character" w:customStyle="1" w:styleId="Style1Char">
    <w:name w:val="Style1 Char"/>
    <w:basedOn w:val="DefaultChar"/>
    <w:link w:val="Style1"/>
    <w:rsid w:val="00DD61CF"/>
    <w:rPr>
      <w:rFonts w:ascii="Times New Roman" w:eastAsia="Times New Roman" w:hAnsi="Times New Roman" w:cs="Times New Roman"/>
      <w:bCs/>
      <w:color w:val="000000"/>
      <w:sz w:val="24"/>
      <w:szCs w:val="24"/>
      <w:lang w:eastAsia="en-AU"/>
    </w:rPr>
  </w:style>
  <w:style w:type="paragraph" w:styleId="Header">
    <w:name w:val="header"/>
    <w:basedOn w:val="Normal"/>
    <w:link w:val="HeaderChar"/>
    <w:uiPriority w:val="99"/>
    <w:unhideWhenUsed/>
    <w:rsid w:val="00F3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594"/>
  </w:style>
  <w:style w:type="paragraph" w:styleId="Footer">
    <w:name w:val="footer"/>
    <w:basedOn w:val="Normal"/>
    <w:link w:val="FooterChar"/>
    <w:uiPriority w:val="99"/>
    <w:unhideWhenUsed/>
    <w:rsid w:val="00F3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47109">
      <w:bodyDiv w:val="1"/>
      <w:marLeft w:val="0"/>
      <w:marRight w:val="0"/>
      <w:marTop w:val="0"/>
      <w:marBottom w:val="0"/>
      <w:divBdr>
        <w:top w:val="none" w:sz="0" w:space="0" w:color="auto"/>
        <w:left w:val="none" w:sz="0" w:space="0" w:color="auto"/>
        <w:bottom w:val="none" w:sz="0" w:space="0" w:color="auto"/>
        <w:right w:val="none" w:sz="0" w:space="0" w:color="auto"/>
      </w:divBdr>
      <w:divsChild>
        <w:div w:id="1670131679">
          <w:marLeft w:val="0"/>
          <w:marRight w:val="0"/>
          <w:marTop w:val="0"/>
          <w:marBottom w:val="0"/>
          <w:divBdr>
            <w:top w:val="none" w:sz="0" w:space="0" w:color="auto"/>
            <w:left w:val="none" w:sz="0" w:space="0" w:color="auto"/>
            <w:bottom w:val="none" w:sz="0" w:space="0" w:color="auto"/>
            <w:right w:val="none" w:sz="0" w:space="0" w:color="auto"/>
          </w:divBdr>
          <w:divsChild>
            <w:div w:id="928470408">
              <w:marLeft w:val="0"/>
              <w:marRight w:val="0"/>
              <w:marTop w:val="0"/>
              <w:marBottom w:val="0"/>
              <w:divBdr>
                <w:top w:val="none" w:sz="0" w:space="0" w:color="auto"/>
                <w:left w:val="none" w:sz="0" w:space="0" w:color="auto"/>
                <w:bottom w:val="none" w:sz="0" w:space="0" w:color="auto"/>
                <w:right w:val="none" w:sz="0" w:space="0" w:color="auto"/>
              </w:divBdr>
              <w:divsChild>
                <w:div w:id="175733623">
                  <w:marLeft w:val="0"/>
                  <w:marRight w:val="0"/>
                  <w:marTop w:val="0"/>
                  <w:marBottom w:val="0"/>
                  <w:divBdr>
                    <w:top w:val="none" w:sz="0" w:space="0" w:color="auto"/>
                    <w:left w:val="none" w:sz="0" w:space="0" w:color="auto"/>
                    <w:bottom w:val="none" w:sz="0" w:space="0" w:color="auto"/>
                    <w:right w:val="none" w:sz="0" w:space="0" w:color="auto"/>
                  </w:divBdr>
                  <w:divsChild>
                    <w:div w:id="1655641220">
                      <w:marLeft w:val="0"/>
                      <w:marRight w:val="0"/>
                      <w:marTop w:val="0"/>
                      <w:marBottom w:val="0"/>
                      <w:divBdr>
                        <w:top w:val="none" w:sz="0" w:space="0" w:color="auto"/>
                        <w:left w:val="none" w:sz="0" w:space="0" w:color="auto"/>
                        <w:bottom w:val="none" w:sz="0" w:space="0" w:color="auto"/>
                        <w:right w:val="none" w:sz="0" w:space="0" w:color="auto"/>
                      </w:divBdr>
                      <w:divsChild>
                        <w:div w:id="607348315">
                          <w:marLeft w:val="0"/>
                          <w:marRight w:val="0"/>
                          <w:marTop w:val="0"/>
                          <w:marBottom w:val="0"/>
                          <w:divBdr>
                            <w:top w:val="single" w:sz="6" w:space="0" w:color="828282"/>
                            <w:left w:val="single" w:sz="6" w:space="0" w:color="828282"/>
                            <w:bottom w:val="single" w:sz="6" w:space="0" w:color="828282"/>
                            <w:right w:val="single" w:sz="6" w:space="0" w:color="828282"/>
                          </w:divBdr>
                          <w:divsChild>
                            <w:div w:id="578752007">
                              <w:marLeft w:val="0"/>
                              <w:marRight w:val="0"/>
                              <w:marTop w:val="0"/>
                              <w:marBottom w:val="0"/>
                              <w:divBdr>
                                <w:top w:val="none" w:sz="0" w:space="0" w:color="auto"/>
                                <w:left w:val="none" w:sz="0" w:space="0" w:color="auto"/>
                                <w:bottom w:val="none" w:sz="0" w:space="0" w:color="auto"/>
                                <w:right w:val="none" w:sz="0" w:space="0" w:color="auto"/>
                              </w:divBdr>
                              <w:divsChild>
                                <w:div w:id="980843152">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2134132622">
                                          <w:marLeft w:val="0"/>
                                          <w:marRight w:val="0"/>
                                          <w:marTop w:val="0"/>
                                          <w:marBottom w:val="0"/>
                                          <w:divBdr>
                                            <w:top w:val="none" w:sz="0" w:space="0" w:color="auto"/>
                                            <w:left w:val="none" w:sz="0" w:space="0" w:color="auto"/>
                                            <w:bottom w:val="none" w:sz="0" w:space="0" w:color="auto"/>
                                            <w:right w:val="none" w:sz="0" w:space="0" w:color="auto"/>
                                          </w:divBdr>
                                          <w:divsChild>
                                            <w:div w:id="1119377404">
                                              <w:marLeft w:val="0"/>
                                              <w:marRight w:val="0"/>
                                              <w:marTop w:val="0"/>
                                              <w:marBottom w:val="0"/>
                                              <w:divBdr>
                                                <w:top w:val="none" w:sz="0" w:space="0" w:color="auto"/>
                                                <w:left w:val="none" w:sz="0" w:space="0" w:color="auto"/>
                                                <w:bottom w:val="none" w:sz="0" w:space="0" w:color="auto"/>
                                                <w:right w:val="none" w:sz="0" w:space="0" w:color="auto"/>
                                              </w:divBdr>
                                              <w:divsChild>
                                                <w:div w:id="7545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203276">
      <w:bodyDiv w:val="1"/>
      <w:marLeft w:val="0"/>
      <w:marRight w:val="0"/>
      <w:marTop w:val="0"/>
      <w:marBottom w:val="0"/>
      <w:divBdr>
        <w:top w:val="none" w:sz="0" w:space="0" w:color="auto"/>
        <w:left w:val="none" w:sz="0" w:space="0" w:color="auto"/>
        <w:bottom w:val="none" w:sz="0" w:space="0" w:color="auto"/>
        <w:right w:val="none" w:sz="0" w:space="0" w:color="auto"/>
      </w:divBdr>
      <w:divsChild>
        <w:div w:id="275451994">
          <w:marLeft w:val="2550"/>
          <w:marRight w:val="4050"/>
          <w:marTop w:val="0"/>
          <w:marBottom w:val="0"/>
          <w:divBdr>
            <w:top w:val="none" w:sz="0" w:space="0" w:color="auto"/>
            <w:left w:val="none" w:sz="0" w:space="0" w:color="auto"/>
            <w:bottom w:val="none" w:sz="0" w:space="0" w:color="auto"/>
            <w:right w:val="none" w:sz="0" w:space="0" w:color="auto"/>
          </w:divBdr>
        </w:div>
      </w:divsChild>
    </w:div>
    <w:div w:id="2046633458">
      <w:bodyDiv w:val="1"/>
      <w:marLeft w:val="0"/>
      <w:marRight w:val="0"/>
      <w:marTop w:val="0"/>
      <w:marBottom w:val="0"/>
      <w:divBdr>
        <w:top w:val="none" w:sz="0" w:space="0" w:color="auto"/>
        <w:left w:val="none" w:sz="0" w:space="0" w:color="auto"/>
        <w:bottom w:val="none" w:sz="0" w:space="0" w:color="auto"/>
        <w:right w:val="none" w:sz="0" w:space="0" w:color="auto"/>
      </w:divBdr>
      <w:divsChild>
        <w:div w:id="684794292">
          <w:marLeft w:val="0"/>
          <w:marRight w:val="0"/>
          <w:marTop w:val="0"/>
          <w:marBottom w:val="0"/>
          <w:divBdr>
            <w:top w:val="none" w:sz="0" w:space="0" w:color="auto"/>
            <w:left w:val="none" w:sz="0" w:space="0" w:color="auto"/>
            <w:bottom w:val="none" w:sz="0" w:space="0" w:color="auto"/>
            <w:right w:val="none" w:sz="0" w:space="0" w:color="auto"/>
          </w:divBdr>
          <w:divsChild>
            <w:div w:id="925647217">
              <w:marLeft w:val="0"/>
              <w:marRight w:val="0"/>
              <w:marTop w:val="0"/>
              <w:marBottom w:val="0"/>
              <w:divBdr>
                <w:top w:val="none" w:sz="0" w:space="0" w:color="auto"/>
                <w:left w:val="none" w:sz="0" w:space="0" w:color="auto"/>
                <w:bottom w:val="none" w:sz="0" w:space="0" w:color="auto"/>
                <w:right w:val="none" w:sz="0" w:space="0" w:color="auto"/>
              </w:divBdr>
              <w:divsChild>
                <w:div w:id="1868711889">
                  <w:marLeft w:val="0"/>
                  <w:marRight w:val="0"/>
                  <w:marTop w:val="0"/>
                  <w:marBottom w:val="0"/>
                  <w:divBdr>
                    <w:top w:val="none" w:sz="0" w:space="0" w:color="auto"/>
                    <w:left w:val="none" w:sz="0" w:space="0" w:color="auto"/>
                    <w:bottom w:val="none" w:sz="0" w:space="0" w:color="auto"/>
                    <w:right w:val="none" w:sz="0" w:space="0" w:color="auto"/>
                  </w:divBdr>
                  <w:divsChild>
                    <w:div w:id="1397508681">
                      <w:marLeft w:val="0"/>
                      <w:marRight w:val="0"/>
                      <w:marTop w:val="0"/>
                      <w:marBottom w:val="0"/>
                      <w:divBdr>
                        <w:top w:val="none" w:sz="0" w:space="0" w:color="auto"/>
                        <w:left w:val="none" w:sz="0" w:space="0" w:color="auto"/>
                        <w:bottom w:val="none" w:sz="0" w:space="0" w:color="auto"/>
                        <w:right w:val="none" w:sz="0" w:space="0" w:color="auto"/>
                      </w:divBdr>
                      <w:divsChild>
                        <w:div w:id="1183663411">
                          <w:marLeft w:val="0"/>
                          <w:marRight w:val="0"/>
                          <w:marTop w:val="0"/>
                          <w:marBottom w:val="0"/>
                          <w:divBdr>
                            <w:top w:val="single" w:sz="6" w:space="0" w:color="828282"/>
                            <w:left w:val="single" w:sz="6" w:space="0" w:color="828282"/>
                            <w:bottom w:val="single" w:sz="6" w:space="0" w:color="828282"/>
                            <w:right w:val="single" w:sz="6" w:space="0" w:color="828282"/>
                          </w:divBdr>
                          <w:divsChild>
                            <w:div w:id="449788430">
                              <w:marLeft w:val="0"/>
                              <w:marRight w:val="0"/>
                              <w:marTop w:val="0"/>
                              <w:marBottom w:val="0"/>
                              <w:divBdr>
                                <w:top w:val="none" w:sz="0" w:space="0" w:color="auto"/>
                                <w:left w:val="none" w:sz="0" w:space="0" w:color="auto"/>
                                <w:bottom w:val="none" w:sz="0" w:space="0" w:color="auto"/>
                                <w:right w:val="none" w:sz="0" w:space="0" w:color="auto"/>
                              </w:divBdr>
                              <w:divsChild>
                                <w:div w:id="1036155583">
                                  <w:marLeft w:val="0"/>
                                  <w:marRight w:val="0"/>
                                  <w:marTop w:val="0"/>
                                  <w:marBottom w:val="0"/>
                                  <w:divBdr>
                                    <w:top w:val="none" w:sz="0" w:space="0" w:color="auto"/>
                                    <w:left w:val="none" w:sz="0" w:space="0" w:color="auto"/>
                                    <w:bottom w:val="none" w:sz="0" w:space="0" w:color="auto"/>
                                    <w:right w:val="none" w:sz="0" w:space="0" w:color="auto"/>
                                  </w:divBdr>
                                  <w:divsChild>
                                    <w:div w:id="705712353">
                                      <w:marLeft w:val="0"/>
                                      <w:marRight w:val="0"/>
                                      <w:marTop w:val="0"/>
                                      <w:marBottom w:val="0"/>
                                      <w:divBdr>
                                        <w:top w:val="none" w:sz="0" w:space="0" w:color="auto"/>
                                        <w:left w:val="none" w:sz="0" w:space="0" w:color="auto"/>
                                        <w:bottom w:val="none" w:sz="0" w:space="0" w:color="auto"/>
                                        <w:right w:val="none" w:sz="0" w:space="0" w:color="auto"/>
                                      </w:divBdr>
                                      <w:divsChild>
                                        <w:div w:id="1951745183">
                                          <w:marLeft w:val="0"/>
                                          <w:marRight w:val="0"/>
                                          <w:marTop w:val="0"/>
                                          <w:marBottom w:val="0"/>
                                          <w:divBdr>
                                            <w:top w:val="none" w:sz="0" w:space="0" w:color="auto"/>
                                            <w:left w:val="none" w:sz="0" w:space="0" w:color="auto"/>
                                            <w:bottom w:val="none" w:sz="0" w:space="0" w:color="auto"/>
                                            <w:right w:val="none" w:sz="0" w:space="0" w:color="auto"/>
                                          </w:divBdr>
                                          <w:divsChild>
                                            <w:div w:id="1764765889">
                                              <w:marLeft w:val="0"/>
                                              <w:marRight w:val="0"/>
                                              <w:marTop w:val="0"/>
                                              <w:marBottom w:val="0"/>
                                              <w:divBdr>
                                                <w:top w:val="none" w:sz="0" w:space="0" w:color="auto"/>
                                                <w:left w:val="none" w:sz="0" w:space="0" w:color="auto"/>
                                                <w:bottom w:val="none" w:sz="0" w:space="0" w:color="auto"/>
                                                <w:right w:val="none" w:sz="0" w:space="0" w:color="auto"/>
                                              </w:divBdr>
                                              <w:divsChild>
                                                <w:div w:id="127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4CC94-D53E-4C9A-88FC-A1ECB974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sarah.richter</dc:creator>
  <cp:lastModifiedBy>james.grapsas</cp:lastModifiedBy>
  <cp:revision>2</cp:revision>
  <cp:lastPrinted>2014-05-15T06:16:00Z</cp:lastPrinted>
  <dcterms:created xsi:type="dcterms:W3CDTF">2014-05-19T05:16:00Z</dcterms:created>
  <dcterms:modified xsi:type="dcterms:W3CDTF">2014-05-19T05:16:00Z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B778855</vt:lpwstr>
  </property>
  <property fmtid="{D5CDD505-2E9C-101B-9397-08002B2CF9AE}" pid="4" name="Objective-Title">
    <vt:lpwstr>Draft Explanatory Statement - Deferral of choice PD and PHD  20140506 Amended</vt:lpwstr>
  </property>
  <property fmtid="{D5CDD505-2E9C-101B-9397-08002B2CF9AE}" pid="5" name="Objective-Comment">
    <vt:lpwstr>
    </vt:lpwstr>
  </property>
  <property fmtid="{D5CDD505-2E9C-101B-9397-08002B2CF9AE}" pid="6" name="Objective-CreationStamp">
    <vt:filetime>2014-05-06T05:18:01Z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2014-05-06T05:22:30Z</vt:filetime>
  </property>
  <property fmtid="{D5CDD505-2E9C-101B-9397-08002B2CF9AE}" pid="11" name="Objective-Owner">
    <vt:lpwstr>Sarah Richter</vt:lpwstr>
  </property>
  <property fmtid="{D5CDD505-2E9C-101B-9397-08002B2CF9AE}" pid="12" name="Objective-Path">
    <vt:lpwstr>Sarah Richter:Special Folder - Sarah Richter:Handy - Sarah Richter:</vt:lpwstr>
  </property>
  <property fmtid="{D5CDD505-2E9C-101B-9397-08002B2CF9AE}" pid="13" name="Objective-Parent">
    <vt:lpwstr>Handy - Sarah Richter</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