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641B61">
      <w:pPr>
        <w:pStyle w:val="Title"/>
        <w:ind w:right="-46"/>
        <w:rPr>
          <w:szCs w:val="24"/>
        </w:rPr>
      </w:pPr>
      <w:r w:rsidRPr="00BA306B">
        <w:rPr>
          <w:szCs w:val="24"/>
        </w:rPr>
        <w:t xml:space="preserve">EXPLANATORY </w:t>
      </w:r>
      <w:r w:rsidR="007F0FAF">
        <w:rPr>
          <w:szCs w:val="24"/>
        </w:rPr>
        <w:t>STATEMENT</w:t>
      </w:r>
    </w:p>
    <w:p w:rsidR="002E568B" w:rsidRPr="00BA306B" w:rsidRDefault="002E568B" w:rsidP="00641B61">
      <w:pPr>
        <w:ind w:right="-46"/>
        <w:rPr>
          <w:b/>
          <w:szCs w:val="24"/>
        </w:rPr>
      </w:pPr>
    </w:p>
    <w:p w:rsidR="00815065" w:rsidRPr="00D47BDD" w:rsidRDefault="00BE0C52" w:rsidP="00BE0C52">
      <w:pPr>
        <w:ind w:right="-46"/>
        <w:jc w:val="center"/>
        <w:rPr>
          <w:szCs w:val="24"/>
          <w:u w:val="single"/>
        </w:rPr>
      </w:pPr>
      <w:r>
        <w:rPr>
          <w:szCs w:val="24"/>
          <w:u w:val="single"/>
        </w:rPr>
        <w:t>Select Legislative Instrument No. 63, 2014</w:t>
      </w:r>
    </w:p>
    <w:p w:rsidR="00D47BDD" w:rsidRDefault="00D47BDD" w:rsidP="00641B61">
      <w:pPr>
        <w:ind w:right="-46"/>
        <w:rPr>
          <w:szCs w:val="24"/>
        </w:rPr>
      </w:pPr>
    </w:p>
    <w:p w:rsidR="003E33C4" w:rsidRDefault="002E568B" w:rsidP="00641B61">
      <w:pPr>
        <w:ind w:right="-46"/>
        <w:rPr>
          <w:i/>
          <w:szCs w:val="24"/>
        </w:rPr>
      </w:pPr>
      <w:r w:rsidRPr="0004282E">
        <w:rPr>
          <w:szCs w:val="24"/>
        </w:rPr>
        <w:t>Subject:</w:t>
      </w:r>
      <w:r w:rsidR="00CD7CD9">
        <w:rPr>
          <w:i/>
          <w:szCs w:val="24"/>
        </w:rPr>
        <w:t xml:space="preserve">      </w:t>
      </w:r>
      <w:r w:rsidR="007B086B" w:rsidRPr="00BA306B">
        <w:rPr>
          <w:i/>
          <w:szCs w:val="24"/>
        </w:rPr>
        <w:t>Therapeutic Goods Act 1989</w:t>
      </w:r>
    </w:p>
    <w:p w:rsidR="00B85A19" w:rsidRDefault="00B85A19" w:rsidP="00641B61">
      <w:pPr>
        <w:ind w:right="-46" w:firstLine="1134"/>
        <w:rPr>
          <w:i/>
          <w:szCs w:val="24"/>
        </w:rPr>
      </w:pPr>
    </w:p>
    <w:p w:rsidR="002E568B" w:rsidRPr="00BA306B" w:rsidRDefault="002E568B" w:rsidP="00641B61">
      <w:pPr>
        <w:ind w:left="1134" w:right="-46"/>
        <w:rPr>
          <w:i/>
          <w:szCs w:val="24"/>
        </w:rPr>
      </w:pPr>
      <w:r w:rsidRPr="00BA306B">
        <w:rPr>
          <w:i/>
          <w:szCs w:val="24"/>
        </w:rPr>
        <w:t xml:space="preserve">Therapeutic Goods </w:t>
      </w:r>
      <w:r w:rsidR="00F232B9">
        <w:rPr>
          <w:i/>
          <w:szCs w:val="24"/>
        </w:rPr>
        <w:t xml:space="preserve">Legislation Amendment </w:t>
      </w:r>
      <w:r w:rsidR="00E81C4E">
        <w:rPr>
          <w:i/>
          <w:szCs w:val="24"/>
        </w:rPr>
        <w:t>(</w:t>
      </w:r>
      <w:r w:rsidR="00F232B9">
        <w:rPr>
          <w:i/>
          <w:szCs w:val="24"/>
        </w:rPr>
        <w:t xml:space="preserve">In Vitro Diagnostic </w:t>
      </w:r>
      <w:r w:rsidR="00E81C4E">
        <w:rPr>
          <w:i/>
          <w:szCs w:val="24"/>
        </w:rPr>
        <w:t xml:space="preserve">Medical Devices) </w:t>
      </w:r>
      <w:r w:rsidRPr="00BA306B">
        <w:rPr>
          <w:i/>
          <w:szCs w:val="24"/>
        </w:rPr>
        <w:t xml:space="preserve">Regulation </w:t>
      </w:r>
      <w:r>
        <w:rPr>
          <w:i/>
          <w:szCs w:val="24"/>
        </w:rPr>
        <w:t>201</w:t>
      </w:r>
      <w:r w:rsidR="00E81C4E">
        <w:rPr>
          <w:i/>
          <w:szCs w:val="24"/>
        </w:rPr>
        <w:t>4</w:t>
      </w:r>
    </w:p>
    <w:p w:rsidR="002E568B" w:rsidRPr="00704057" w:rsidRDefault="002E568B" w:rsidP="00641B61">
      <w:pPr>
        <w:ind w:right="-46"/>
        <w:rPr>
          <w:szCs w:val="24"/>
          <w:highlight w:val="yellow"/>
        </w:rPr>
      </w:pPr>
    </w:p>
    <w:p w:rsidR="00ED3AE4" w:rsidRDefault="00ED3AE4" w:rsidP="00641B61">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8530BA">
        <w:rPr>
          <w:szCs w:val="24"/>
        </w:rPr>
        <w:t>/</w:t>
      </w:r>
      <w:r w:rsidR="007C6FD8">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rsidR="00ED3AE4" w:rsidRDefault="00ED3AE4" w:rsidP="00641B61">
      <w:pPr>
        <w:ind w:right="-46"/>
        <w:rPr>
          <w:szCs w:val="24"/>
        </w:rPr>
      </w:pPr>
      <w:bookmarkStart w:id="0" w:name="_GoBack"/>
      <w:bookmarkEnd w:id="0"/>
    </w:p>
    <w:p w:rsidR="00ED3AE4" w:rsidRDefault="00ED3AE4" w:rsidP="00641B61">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641B61">
      <w:pPr>
        <w:ind w:right="-46"/>
        <w:rPr>
          <w:szCs w:val="24"/>
        </w:rPr>
      </w:pPr>
    </w:p>
    <w:p w:rsidR="00A92867" w:rsidRPr="00A92867" w:rsidRDefault="00664BB1" w:rsidP="00A92867">
      <w:pPr>
        <w:pStyle w:val="ListParagraph"/>
        <w:ind w:left="0" w:right="-46"/>
        <w:rPr>
          <w:szCs w:val="24"/>
        </w:rPr>
      </w:pPr>
      <w:bookmarkStart w:id="1" w:name="OLE_LINK1"/>
      <w:r>
        <w:rPr>
          <w:szCs w:val="24"/>
        </w:rPr>
        <w:t>In vitro diagnostic medical devices (</w:t>
      </w:r>
      <w:r w:rsidR="00A92867" w:rsidRPr="00A92867">
        <w:rPr>
          <w:szCs w:val="24"/>
        </w:rPr>
        <w:t>IVDs</w:t>
      </w:r>
      <w:r>
        <w:rPr>
          <w:szCs w:val="24"/>
        </w:rPr>
        <w:t>)</w:t>
      </w:r>
      <w:r w:rsidR="00A92867" w:rsidRPr="00A92867">
        <w:rPr>
          <w:szCs w:val="24"/>
        </w:rPr>
        <w:t xml:space="preserve"> are medical devices </w:t>
      </w:r>
      <w:r w:rsidR="00A92867">
        <w:rPr>
          <w:szCs w:val="24"/>
        </w:rPr>
        <w:t xml:space="preserve">intended by the manufacturer to be used in vitro </w:t>
      </w:r>
      <w:r w:rsidR="00A92867" w:rsidRPr="002A1A9E">
        <w:rPr>
          <w:szCs w:val="24"/>
        </w:rPr>
        <w:t>(</w:t>
      </w:r>
      <w:r w:rsidR="008530BA">
        <w:rPr>
          <w:szCs w:val="24"/>
        </w:rPr>
        <w:t>‘</w:t>
      </w:r>
      <w:r w:rsidR="00A92867" w:rsidRPr="002A1A9E">
        <w:rPr>
          <w:szCs w:val="24"/>
        </w:rPr>
        <w:t>in glass</w:t>
      </w:r>
      <w:r w:rsidR="008530BA">
        <w:rPr>
          <w:szCs w:val="24"/>
        </w:rPr>
        <w:t>’</w:t>
      </w:r>
      <w:r w:rsidR="00A92867" w:rsidRPr="002A1A9E">
        <w:rPr>
          <w:szCs w:val="24"/>
        </w:rPr>
        <w:t>)</w:t>
      </w:r>
      <w:r w:rsidR="00A92867">
        <w:rPr>
          <w:szCs w:val="24"/>
        </w:rPr>
        <w:t xml:space="preserve"> for the examination of specimens derived from the human body.  The</w:t>
      </w:r>
      <w:r w:rsidR="00203990">
        <w:rPr>
          <w:szCs w:val="24"/>
        </w:rPr>
        <w:t>y</w:t>
      </w:r>
      <w:r w:rsidR="00A92867">
        <w:rPr>
          <w:szCs w:val="24"/>
        </w:rPr>
        <w:t xml:space="preserve"> are</w:t>
      </w:r>
      <w:r w:rsidR="00A92867" w:rsidRPr="009A2CF5">
        <w:rPr>
          <w:szCs w:val="24"/>
        </w:rPr>
        <w:t>, in general, pathology tests and related instrumentation used to carry out testing on human samples, where the results are intended to assist in clinical diagnosis or in making decisions concerning clinical management. IVDs are typically used in diagnostic laboratories, at the point of care and in the home</w:t>
      </w:r>
      <w:r w:rsidR="00D23A60">
        <w:rPr>
          <w:szCs w:val="24"/>
        </w:rPr>
        <w:t>, and</w:t>
      </w:r>
      <w:r w:rsidR="00DE5958">
        <w:rPr>
          <w:szCs w:val="24"/>
        </w:rPr>
        <w:t xml:space="preserve"> </w:t>
      </w:r>
      <w:r w:rsidR="00AC0DE2">
        <w:rPr>
          <w:szCs w:val="24"/>
        </w:rPr>
        <w:t>can be</w:t>
      </w:r>
      <w:r w:rsidR="00DE5958">
        <w:rPr>
          <w:szCs w:val="24"/>
        </w:rPr>
        <w:t xml:space="preserve"> commercially manufactured products or </w:t>
      </w:r>
      <w:r w:rsidR="00AC0DE2">
        <w:rPr>
          <w:szCs w:val="24"/>
        </w:rPr>
        <w:t>tests</w:t>
      </w:r>
      <w:r w:rsidR="00DE5958">
        <w:rPr>
          <w:szCs w:val="24"/>
        </w:rPr>
        <w:t xml:space="preserve"> developed ‘in-house’ by a laboratory.</w:t>
      </w:r>
    </w:p>
    <w:p w:rsidR="00A92867" w:rsidRDefault="00A92867" w:rsidP="00A92867">
      <w:pPr>
        <w:pStyle w:val="ListParagraph"/>
        <w:ind w:left="0" w:right="-46"/>
        <w:rPr>
          <w:szCs w:val="24"/>
        </w:rPr>
      </w:pPr>
    </w:p>
    <w:p w:rsidR="00403BA4" w:rsidRDefault="00684706" w:rsidP="00641B61">
      <w:pPr>
        <w:pStyle w:val="ListParagraph"/>
        <w:ind w:left="0" w:right="-46"/>
        <w:rPr>
          <w:szCs w:val="24"/>
        </w:rPr>
      </w:pPr>
      <w:r>
        <w:rPr>
          <w:rFonts w:ascii="Times" w:hAnsi="Times"/>
          <w:szCs w:val="24"/>
        </w:rPr>
        <w:t xml:space="preserve">On 1 July 2010, </w:t>
      </w:r>
      <w:r w:rsidR="00403BA4" w:rsidRPr="00A007BE">
        <w:rPr>
          <w:szCs w:val="24"/>
        </w:rPr>
        <w:t>a new, tailored,</w:t>
      </w:r>
      <w:r w:rsidRPr="00A007BE">
        <w:rPr>
          <w:szCs w:val="24"/>
        </w:rPr>
        <w:t xml:space="preserve"> regulatory framework for IVDs</w:t>
      </w:r>
      <w:r w:rsidR="00CA7E4F" w:rsidRPr="00A007BE">
        <w:rPr>
          <w:szCs w:val="24"/>
        </w:rPr>
        <w:t xml:space="preserve"> </w:t>
      </w:r>
      <w:r w:rsidR="00F16481">
        <w:rPr>
          <w:szCs w:val="24"/>
        </w:rPr>
        <w:t>was introduced</w:t>
      </w:r>
      <w:r w:rsidR="00DB6D24" w:rsidRPr="00A007BE">
        <w:rPr>
          <w:szCs w:val="24"/>
        </w:rPr>
        <w:t>.</w:t>
      </w:r>
      <w:r w:rsidR="00CA7E4F">
        <w:rPr>
          <w:szCs w:val="24"/>
        </w:rPr>
        <w:t xml:space="preserve">  </w:t>
      </w:r>
      <w:r>
        <w:rPr>
          <w:szCs w:val="24"/>
        </w:rPr>
        <w:t xml:space="preserve">Under this </w:t>
      </w:r>
      <w:r w:rsidR="00056C5E">
        <w:rPr>
          <w:szCs w:val="24"/>
        </w:rPr>
        <w:t xml:space="preserve">new </w:t>
      </w:r>
      <w:r>
        <w:rPr>
          <w:szCs w:val="24"/>
        </w:rPr>
        <w:t xml:space="preserve">framework IVDs </w:t>
      </w:r>
      <w:r w:rsidR="00403BA4">
        <w:rPr>
          <w:szCs w:val="24"/>
        </w:rPr>
        <w:t xml:space="preserve">are regulated as medical devices under Chapter 4 of the Act. </w:t>
      </w:r>
      <w:r w:rsidR="00203990">
        <w:rPr>
          <w:szCs w:val="24"/>
        </w:rPr>
        <w:t xml:space="preserve">Previously </w:t>
      </w:r>
      <w:r w:rsidR="00403BA4">
        <w:rPr>
          <w:szCs w:val="24"/>
        </w:rPr>
        <w:t xml:space="preserve">IVDs had been </w:t>
      </w:r>
      <w:r w:rsidR="00A46717">
        <w:rPr>
          <w:szCs w:val="24"/>
        </w:rPr>
        <w:t xml:space="preserve">regulated </w:t>
      </w:r>
      <w:r w:rsidR="00403BA4">
        <w:rPr>
          <w:szCs w:val="24"/>
        </w:rPr>
        <w:t>as therapeutic devices</w:t>
      </w:r>
      <w:r w:rsidR="00A46717">
        <w:rPr>
          <w:szCs w:val="24"/>
        </w:rPr>
        <w:t xml:space="preserve"> </w:t>
      </w:r>
      <w:r w:rsidR="00403BA4">
        <w:rPr>
          <w:szCs w:val="24"/>
        </w:rPr>
        <w:t>under Part 3-2 of the Act</w:t>
      </w:r>
      <w:r w:rsidR="00F16481">
        <w:rPr>
          <w:szCs w:val="24"/>
        </w:rPr>
        <w:t>.</w:t>
      </w:r>
      <w:r w:rsidR="00664BB1">
        <w:rPr>
          <w:szCs w:val="24"/>
        </w:rPr>
        <w:t xml:space="preserve"> </w:t>
      </w:r>
      <w:r w:rsidR="00FD2D56">
        <w:rPr>
          <w:szCs w:val="24"/>
        </w:rPr>
        <w:t xml:space="preserve"> </w:t>
      </w:r>
      <w:r w:rsidR="00F16481">
        <w:rPr>
          <w:szCs w:val="24"/>
        </w:rPr>
        <w:t>S</w:t>
      </w:r>
      <w:r w:rsidR="00403BA4">
        <w:rPr>
          <w:szCs w:val="24"/>
        </w:rPr>
        <w:t>ome were registered or listed in the Australian Register of Therapeutic Goods (the Register), some were exempt from regist</w:t>
      </w:r>
      <w:r w:rsidR="00FD2D56">
        <w:rPr>
          <w:szCs w:val="24"/>
        </w:rPr>
        <w:t>ration</w:t>
      </w:r>
      <w:r w:rsidR="00403BA4">
        <w:rPr>
          <w:szCs w:val="24"/>
        </w:rPr>
        <w:t xml:space="preserve"> or list</w:t>
      </w:r>
      <w:r w:rsidR="00FD2D56">
        <w:rPr>
          <w:szCs w:val="24"/>
        </w:rPr>
        <w:t>ing</w:t>
      </w:r>
      <w:r w:rsidR="00A46717">
        <w:rPr>
          <w:szCs w:val="24"/>
        </w:rPr>
        <w:t xml:space="preserve"> and some were approved for limited uses (for instance in clinical trials)</w:t>
      </w:r>
      <w:r w:rsidR="00403BA4">
        <w:rPr>
          <w:szCs w:val="24"/>
        </w:rPr>
        <w:t xml:space="preserve">. </w:t>
      </w:r>
    </w:p>
    <w:p w:rsidR="00403BA4" w:rsidRDefault="00403BA4" w:rsidP="00641B61">
      <w:pPr>
        <w:pStyle w:val="ListParagraph"/>
        <w:ind w:left="0" w:right="-46"/>
        <w:rPr>
          <w:szCs w:val="24"/>
        </w:rPr>
      </w:pPr>
    </w:p>
    <w:p w:rsidR="00403BA4" w:rsidRDefault="00FD2D56" w:rsidP="00641B61">
      <w:pPr>
        <w:pStyle w:val="ListParagraph"/>
        <w:ind w:left="0" w:right="-46"/>
        <w:rPr>
          <w:szCs w:val="24"/>
        </w:rPr>
      </w:pPr>
      <w:r>
        <w:rPr>
          <w:szCs w:val="24"/>
        </w:rPr>
        <w:t>Under t</w:t>
      </w:r>
      <w:r w:rsidR="00CA7E4F">
        <w:rPr>
          <w:szCs w:val="24"/>
        </w:rPr>
        <w:t xml:space="preserve">ransitional provisions included in the </w:t>
      </w:r>
      <w:r w:rsidR="00F16481" w:rsidRPr="00A007BE">
        <w:rPr>
          <w:i/>
          <w:szCs w:val="24"/>
        </w:rPr>
        <w:t>Therapeutic Goods (Medical Devices) Amendment Regulations 2010 (No. 1</w:t>
      </w:r>
      <w:r w:rsidR="00F16481" w:rsidRPr="002A5C3A">
        <w:rPr>
          <w:i/>
          <w:szCs w:val="24"/>
        </w:rPr>
        <w:t>)</w:t>
      </w:r>
      <w:r w:rsidR="000311C1">
        <w:rPr>
          <w:szCs w:val="24"/>
        </w:rPr>
        <w:t xml:space="preserve"> (the 2010 MD Amendments)</w:t>
      </w:r>
      <w:r w:rsidR="008D3D3A" w:rsidRPr="000311C1">
        <w:rPr>
          <w:szCs w:val="24"/>
        </w:rPr>
        <w:t>,</w:t>
      </w:r>
      <w:r w:rsidR="00CA7E4F">
        <w:rPr>
          <w:szCs w:val="24"/>
        </w:rPr>
        <w:t xml:space="preserve"> </w:t>
      </w:r>
      <w:r w:rsidR="00684706">
        <w:rPr>
          <w:szCs w:val="24"/>
        </w:rPr>
        <w:t xml:space="preserve">IVDs in existence </w:t>
      </w:r>
      <w:r w:rsidR="00A46717">
        <w:rPr>
          <w:szCs w:val="24"/>
        </w:rPr>
        <w:t xml:space="preserve">immediately before 1 July 2010 </w:t>
      </w:r>
      <w:r w:rsidR="00114FA4">
        <w:rPr>
          <w:szCs w:val="24"/>
        </w:rPr>
        <w:t>were given until</w:t>
      </w:r>
      <w:r w:rsidR="006F0BF0">
        <w:rPr>
          <w:szCs w:val="24"/>
        </w:rPr>
        <w:t xml:space="preserve"> </w:t>
      </w:r>
      <w:r w:rsidR="00114FA4">
        <w:rPr>
          <w:szCs w:val="24"/>
        </w:rPr>
        <w:t>30 June</w:t>
      </w:r>
      <w:r w:rsidR="00684706">
        <w:rPr>
          <w:szCs w:val="24"/>
        </w:rPr>
        <w:t xml:space="preserve"> 2014</w:t>
      </w:r>
      <w:r w:rsidR="00403BA4">
        <w:rPr>
          <w:szCs w:val="24"/>
        </w:rPr>
        <w:t xml:space="preserve"> to make the transition to the new framework.</w:t>
      </w:r>
      <w:r w:rsidR="00CC05CA">
        <w:rPr>
          <w:szCs w:val="24"/>
        </w:rPr>
        <w:t xml:space="preserve">  </w:t>
      </w:r>
      <w:r w:rsidR="00A46717">
        <w:rPr>
          <w:szCs w:val="24"/>
        </w:rPr>
        <w:t xml:space="preserve">IVDs that were exempt or approved for a particular purpose (such as use in clinical trials) could continue to be supplied until the end of the trial. </w:t>
      </w:r>
      <w:r>
        <w:rPr>
          <w:szCs w:val="24"/>
        </w:rPr>
        <w:t xml:space="preserve"> </w:t>
      </w:r>
      <w:r w:rsidR="00CC05CA">
        <w:rPr>
          <w:szCs w:val="24"/>
        </w:rPr>
        <w:t xml:space="preserve">In-house IVDs </w:t>
      </w:r>
      <w:r w:rsidR="00203990">
        <w:rPr>
          <w:szCs w:val="24"/>
        </w:rPr>
        <w:t xml:space="preserve">(which </w:t>
      </w:r>
      <w:r w:rsidR="00CC05CA">
        <w:rPr>
          <w:szCs w:val="24"/>
        </w:rPr>
        <w:t xml:space="preserve">are </w:t>
      </w:r>
      <w:r w:rsidR="00A46717">
        <w:rPr>
          <w:szCs w:val="24"/>
        </w:rPr>
        <w:t xml:space="preserve">developed and </w:t>
      </w:r>
      <w:r w:rsidR="00CC05CA">
        <w:rPr>
          <w:szCs w:val="24"/>
        </w:rPr>
        <w:t>used in laboratories or laboratory networks</w:t>
      </w:r>
      <w:r w:rsidR="00A46717">
        <w:rPr>
          <w:szCs w:val="24"/>
        </w:rPr>
        <w:t xml:space="preserve"> and not supplied to third parties</w:t>
      </w:r>
      <w:r w:rsidR="00203990">
        <w:rPr>
          <w:szCs w:val="24"/>
        </w:rPr>
        <w:t xml:space="preserve">) </w:t>
      </w:r>
      <w:r w:rsidR="00A46717">
        <w:rPr>
          <w:szCs w:val="24"/>
        </w:rPr>
        <w:t xml:space="preserve">were given until 1 July 2014 to make the transition. </w:t>
      </w:r>
      <w:r w:rsidR="00CA7E4F">
        <w:rPr>
          <w:szCs w:val="24"/>
        </w:rPr>
        <w:t xml:space="preserve"> </w:t>
      </w:r>
    </w:p>
    <w:p w:rsidR="00CC05CA" w:rsidRDefault="00CC05CA" w:rsidP="00641B61">
      <w:pPr>
        <w:pStyle w:val="ListParagraph"/>
        <w:ind w:left="0" w:right="-46"/>
        <w:rPr>
          <w:szCs w:val="24"/>
        </w:rPr>
      </w:pPr>
    </w:p>
    <w:p w:rsidR="00CD6289" w:rsidRDefault="005D7D61" w:rsidP="00641B61">
      <w:pPr>
        <w:pStyle w:val="ListParagraph"/>
        <w:ind w:left="0" w:right="-46"/>
        <w:rPr>
          <w:szCs w:val="24"/>
        </w:rPr>
      </w:pPr>
      <w:r w:rsidRPr="004960B4">
        <w:rPr>
          <w:szCs w:val="24"/>
        </w:rPr>
        <w:t xml:space="preserve">It has become apparent through contact with industry, that there is a need for more time to assist sponsors and manufacturers of IVDs to migrate </w:t>
      </w:r>
      <w:r w:rsidR="00D675F0">
        <w:rPr>
          <w:szCs w:val="24"/>
        </w:rPr>
        <w:t xml:space="preserve">successfully </w:t>
      </w:r>
      <w:r w:rsidRPr="004960B4">
        <w:rPr>
          <w:szCs w:val="24"/>
        </w:rPr>
        <w:t>to the new framework</w:t>
      </w:r>
      <w:r w:rsidR="00E77BA0">
        <w:rPr>
          <w:szCs w:val="24"/>
        </w:rPr>
        <w:t>,</w:t>
      </w:r>
      <w:r w:rsidR="00FD2D56">
        <w:rPr>
          <w:szCs w:val="24"/>
        </w:rPr>
        <w:t xml:space="preserve"> and </w:t>
      </w:r>
      <w:r w:rsidRPr="004960B4">
        <w:rPr>
          <w:szCs w:val="24"/>
        </w:rPr>
        <w:t xml:space="preserve">in particular to compile the full range of documentation needed </w:t>
      </w:r>
      <w:r w:rsidR="00D675F0">
        <w:rPr>
          <w:szCs w:val="24"/>
        </w:rPr>
        <w:t xml:space="preserve">under Chapter 4 of the Act </w:t>
      </w:r>
      <w:r w:rsidRPr="004960B4">
        <w:rPr>
          <w:szCs w:val="24"/>
        </w:rPr>
        <w:t xml:space="preserve">to support the safety and performance of their devices, </w:t>
      </w:r>
      <w:r w:rsidR="008530BA">
        <w:rPr>
          <w:szCs w:val="24"/>
        </w:rPr>
        <w:t>for example</w:t>
      </w:r>
      <w:r w:rsidRPr="004960B4">
        <w:rPr>
          <w:szCs w:val="24"/>
        </w:rPr>
        <w:t xml:space="preserve"> in relation to their manufacturing processes and the design of their products. </w:t>
      </w:r>
      <w:r w:rsidR="00FD2D56">
        <w:rPr>
          <w:szCs w:val="24"/>
        </w:rPr>
        <w:t xml:space="preserve">Without changes </w:t>
      </w:r>
      <w:r w:rsidRPr="004960B4">
        <w:rPr>
          <w:szCs w:val="24"/>
        </w:rPr>
        <w:t>to the current transitional arrangements, the</w:t>
      </w:r>
      <w:r w:rsidR="00FD2D56">
        <w:rPr>
          <w:szCs w:val="24"/>
        </w:rPr>
        <w:t>re may be a risk that</w:t>
      </w:r>
      <w:r w:rsidRPr="004960B4">
        <w:rPr>
          <w:szCs w:val="24"/>
        </w:rPr>
        <w:t xml:space="preserve"> </w:t>
      </w:r>
      <w:r w:rsidR="00FD2D56">
        <w:rPr>
          <w:szCs w:val="24"/>
        </w:rPr>
        <w:t xml:space="preserve">the </w:t>
      </w:r>
      <w:r w:rsidRPr="004960B4">
        <w:rPr>
          <w:szCs w:val="24"/>
        </w:rPr>
        <w:t xml:space="preserve">supply of IVDs in Australia could be interrupted.     </w:t>
      </w:r>
    </w:p>
    <w:p w:rsidR="00CD6289" w:rsidRDefault="00CD6289" w:rsidP="00641B61">
      <w:pPr>
        <w:pStyle w:val="ListParagraph"/>
        <w:ind w:left="0" w:right="-46"/>
        <w:rPr>
          <w:szCs w:val="24"/>
        </w:rPr>
      </w:pPr>
    </w:p>
    <w:p w:rsidR="00CA7E4F" w:rsidRDefault="00CA7E4F" w:rsidP="00CA7E4F">
      <w:pPr>
        <w:pStyle w:val="ListParagraph"/>
        <w:ind w:left="0" w:right="-46"/>
        <w:rPr>
          <w:rFonts w:ascii="Times" w:hAnsi="Times"/>
          <w:szCs w:val="24"/>
        </w:rPr>
      </w:pPr>
      <w:r>
        <w:rPr>
          <w:rFonts w:ascii="Times" w:hAnsi="Times"/>
          <w:szCs w:val="24"/>
        </w:rPr>
        <w:lastRenderedPageBreak/>
        <w:t xml:space="preserve">The purpose of the </w:t>
      </w:r>
      <w:r w:rsidR="00D22029">
        <w:rPr>
          <w:rFonts w:ascii="Times" w:hAnsi="Times"/>
          <w:szCs w:val="24"/>
        </w:rPr>
        <w:t>R</w:t>
      </w:r>
      <w:r>
        <w:rPr>
          <w:rFonts w:ascii="Times" w:hAnsi="Times"/>
          <w:szCs w:val="24"/>
        </w:rPr>
        <w:t xml:space="preserve">egulation is </w:t>
      </w:r>
      <w:r w:rsidR="00250391">
        <w:rPr>
          <w:rFonts w:ascii="Times" w:hAnsi="Times"/>
          <w:szCs w:val="24"/>
        </w:rPr>
        <w:t xml:space="preserve">therefore </w:t>
      </w:r>
      <w:r>
        <w:rPr>
          <w:rFonts w:ascii="Times" w:hAnsi="Times"/>
          <w:szCs w:val="24"/>
        </w:rPr>
        <w:t xml:space="preserve">to </w:t>
      </w:r>
      <w:r w:rsidR="00F34D6E">
        <w:rPr>
          <w:rFonts w:ascii="Times" w:hAnsi="Times"/>
          <w:szCs w:val="24"/>
        </w:rPr>
        <w:t xml:space="preserve">extend the </w:t>
      </w:r>
      <w:r>
        <w:rPr>
          <w:rFonts w:ascii="Times" w:hAnsi="Times"/>
          <w:szCs w:val="24"/>
        </w:rPr>
        <w:t xml:space="preserve">current </w:t>
      </w:r>
      <w:r w:rsidR="00F34D6E">
        <w:rPr>
          <w:rFonts w:ascii="Times" w:hAnsi="Times"/>
          <w:szCs w:val="24"/>
        </w:rPr>
        <w:t xml:space="preserve">deadline for submitting an application </w:t>
      </w:r>
      <w:r w:rsidR="00F1748E">
        <w:rPr>
          <w:rFonts w:ascii="Times" w:hAnsi="Times"/>
          <w:szCs w:val="24"/>
        </w:rPr>
        <w:t xml:space="preserve">to the TGA </w:t>
      </w:r>
      <w:r w:rsidR="00F34D6E">
        <w:rPr>
          <w:rFonts w:ascii="Times" w:hAnsi="Times"/>
          <w:szCs w:val="24"/>
        </w:rPr>
        <w:t xml:space="preserve">for </w:t>
      </w:r>
      <w:r w:rsidR="00056C5E">
        <w:rPr>
          <w:rFonts w:ascii="Times" w:hAnsi="Times"/>
          <w:szCs w:val="24"/>
        </w:rPr>
        <w:t xml:space="preserve">the </w:t>
      </w:r>
      <w:r w:rsidR="00F34D6E">
        <w:rPr>
          <w:rFonts w:ascii="Times" w:hAnsi="Times"/>
          <w:szCs w:val="24"/>
        </w:rPr>
        <w:t>inclusion of an IVD in the Register</w:t>
      </w:r>
      <w:r w:rsidR="00DE31A6">
        <w:rPr>
          <w:rFonts w:ascii="Times" w:hAnsi="Times"/>
          <w:szCs w:val="24"/>
        </w:rPr>
        <w:t>.</w:t>
      </w:r>
      <w:r w:rsidR="00713824">
        <w:rPr>
          <w:rFonts w:ascii="Times" w:hAnsi="Times"/>
          <w:szCs w:val="24"/>
        </w:rPr>
        <w:t xml:space="preserve">  </w:t>
      </w:r>
      <w:r w:rsidR="00664BB1">
        <w:rPr>
          <w:rFonts w:ascii="Times" w:hAnsi="Times"/>
          <w:szCs w:val="24"/>
        </w:rPr>
        <w:t>The</w:t>
      </w:r>
      <w:r w:rsidR="001833D0">
        <w:rPr>
          <w:rFonts w:ascii="Times" w:hAnsi="Times"/>
          <w:szCs w:val="24"/>
        </w:rPr>
        <w:t xml:space="preserve"> </w:t>
      </w:r>
      <w:r w:rsidR="00D675F0">
        <w:rPr>
          <w:rFonts w:ascii="Times" w:hAnsi="Times"/>
          <w:szCs w:val="24"/>
        </w:rPr>
        <w:t>R</w:t>
      </w:r>
      <w:r w:rsidR="001242DF">
        <w:rPr>
          <w:rFonts w:ascii="Times" w:hAnsi="Times"/>
          <w:szCs w:val="24"/>
        </w:rPr>
        <w:t xml:space="preserve">egulation </w:t>
      </w:r>
      <w:r w:rsidR="001833D0">
        <w:rPr>
          <w:rFonts w:ascii="Times" w:hAnsi="Times"/>
          <w:szCs w:val="24"/>
        </w:rPr>
        <w:t>also include</w:t>
      </w:r>
      <w:r w:rsidR="001242DF">
        <w:rPr>
          <w:rFonts w:ascii="Times" w:hAnsi="Times"/>
          <w:szCs w:val="24"/>
        </w:rPr>
        <w:t>s</w:t>
      </w:r>
      <w:r w:rsidR="00664BB1">
        <w:rPr>
          <w:rFonts w:ascii="Times" w:hAnsi="Times"/>
          <w:szCs w:val="24"/>
        </w:rPr>
        <w:t xml:space="preserve"> special provisions for IVDs in relation to which a conformity assessment certificate must be issued by the TGA</w:t>
      </w:r>
      <w:r w:rsidR="001833D0">
        <w:rPr>
          <w:rFonts w:ascii="Times" w:hAnsi="Times"/>
          <w:szCs w:val="24"/>
        </w:rPr>
        <w:t xml:space="preserve"> before an application for marketing approval can be made</w:t>
      </w:r>
      <w:r w:rsidR="00664BB1">
        <w:rPr>
          <w:rFonts w:ascii="Times" w:hAnsi="Times"/>
          <w:szCs w:val="24"/>
        </w:rPr>
        <w:t>.</w:t>
      </w:r>
    </w:p>
    <w:p w:rsidR="00CA7E4F" w:rsidRDefault="00CA7E4F" w:rsidP="00641B61">
      <w:pPr>
        <w:pStyle w:val="ListParagraph"/>
        <w:ind w:left="0" w:right="-46"/>
        <w:rPr>
          <w:szCs w:val="24"/>
        </w:rPr>
      </w:pPr>
    </w:p>
    <w:p w:rsidR="006C63E3" w:rsidRDefault="00A01622" w:rsidP="006C63E3">
      <w:pPr>
        <w:pStyle w:val="ListParagraph"/>
        <w:ind w:left="0" w:right="-46"/>
        <w:rPr>
          <w:rFonts w:ascii="Times" w:hAnsi="Times"/>
          <w:szCs w:val="24"/>
        </w:rPr>
      </w:pPr>
      <w:r>
        <w:rPr>
          <w:szCs w:val="24"/>
        </w:rPr>
        <w:t>T</w:t>
      </w:r>
      <w:r w:rsidR="006C63E3">
        <w:rPr>
          <w:szCs w:val="24"/>
        </w:rPr>
        <w:t xml:space="preserve">he </w:t>
      </w:r>
      <w:r w:rsidR="007B6BA6" w:rsidRPr="00F1748E">
        <w:rPr>
          <w:i/>
          <w:szCs w:val="24"/>
        </w:rPr>
        <w:t>Therapeutic Goods (Medical Devices</w:t>
      </w:r>
      <w:r w:rsidR="008530BA">
        <w:rPr>
          <w:i/>
          <w:szCs w:val="24"/>
        </w:rPr>
        <w:t>)</w:t>
      </w:r>
      <w:r w:rsidR="006C63E3" w:rsidRPr="00F1748E">
        <w:rPr>
          <w:i/>
          <w:szCs w:val="24"/>
        </w:rPr>
        <w:t xml:space="preserve"> Regulations </w:t>
      </w:r>
      <w:r w:rsidR="007B6BA6" w:rsidRPr="00F1748E">
        <w:rPr>
          <w:i/>
          <w:szCs w:val="24"/>
        </w:rPr>
        <w:t>2002</w:t>
      </w:r>
      <w:r w:rsidR="007B6BA6">
        <w:rPr>
          <w:szCs w:val="24"/>
        </w:rPr>
        <w:t xml:space="preserve"> </w:t>
      </w:r>
      <w:r w:rsidR="006C63E3">
        <w:rPr>
          <w:szCs w:val="24"/>
        </w:rPr>
        <w:t xml:space="preserve">set out which IVDs are required to have a conformity </w:t>
      </w:r>
      <w:r w:rsidR="006C63E3" w:rsidRPr="00B84D0C">
        <w:rPr>
          <w:szCs w:val="24"/>
        </w:rPr>
        <w:t>assessment certificate issue</w:t>
      </w:r>
      <w:r w:rsidR="00F34D6E" w:rsidRPr="00B84D0C">
        <w:rPr>
          <w:szCs w:val="24"/>
        </w:rPr>
        <w:t>d</w:t>
      </w:r>
      <w:r w:rsidR="006C63E3" w:rsidRPr="00B84D0C">
        <w:rPr>
          <w:szCs w:val="24"/>
        </w:rPr>
        <w:t xml:space="preserve"> before an application for their inclusion in the Register can be made</w:t>
      </w:r>
      <w:r w:rsidR="005D7D61" w:rsidRPr="00B84D0C">
        <w:rPr>
          <w:szCs w:val="24"/>
        </w:rPr>
        <w:t xml:space="preserve">.  </w:t>
      </w:r>
      <w:r w:rsidR="00FD2D56">
        <w:rPr>
          <w:rFonts w:ascii="Times" w:hAnsi="Times"/>
          <w:szCs w:val="24"/>
        </w:rPr>
        <w:t xml:space="preserve">These </w:t>
      </w:r>
      <w:r w:rsidR="006C63E3">
        <w:rPr>
          <w:rFonts w:ascii="Times" w:hAnsi="Times"/>
          <w:szCs w:val="24"/>
        </w:rPr>
        <w:t>certificates are issued by the TGA</w:t>
      </w:r>
      <w:r w:rsidR="00FD2D56">
        <w:rPr>
          <w:rFonts w:ascii="Times" w:hAnsi="Times"/>
          <w:szCs w:val="24"/>
        </w:rPr>
        <w:t>,</w:t>
      </w:r>
      <w:r w:rsidR="006C63E3">
        <w:rPr>
          <w:rFonts w:ascii="Times" w:hAnsi="Times"/>
          <w:szCs w:val="24"/>
        </w:rPr>
        <w:t xml:space="preserve"> and signify a range of matters </w:t>
      </w:r>
      <w:r w:rsidR="00FD2D56">
        <w:rPr>
          <w:rFonts w:ascii="Times" w:hAnsi="Times"/>
          <w:szCs w:val="24"/>
        </w:rPr>
        <w:t>about</w:t>
      </w:r>
      <w:r w:rsidR="006C63E3">
        <w:rPr>
          <w:rFonts w:ascii="Times" w:hAnsi="Times"/>
          <w:szCs w:val="24"/>
        </w:rPr>
        <w:t xml:space="preserve"> the manufacture of the</w:t>
      </w:r>
      <w:r w:rsidR="00FD2D56">
        <w:rPr>
          <w:rFonts w:ascii="Times" w:hAnsi="Times"/>
          <w:szCs w:val="24"/>
        </w:rPr>
        <w:t xml:space="preserve"> </w:t>
      </w:r>
      <w:r w:rsidR="006C63E3">
        <w:rPr>
          <w:rFonts w:ascii="Times" w:hAnsi="Times"/>
          <w:szCs w:val="24"/>
        </w:rPr>
        <w:t>devices to which they relate, including that they comply with minimum requirements for</w:t>
      </w:r>
      <w:r w:rsidR="00793F2F">
        <w:rPr>
          <w:rFonts w:ascii="Times" w:hAnsi="Times"/>
          <w:szCs w:val="24"/>
        </w:rPr>
        <w:t xml:space="preserve"> </w:t>
      </w:r>
      <w:r w:rsidR="006C63E3">
        <w:rPr>
          <w:rFonts w:ascii="Times" w:hAnsi="Times"/>
          <w:szCs w:val="24"/>
        </w:rPr>
        <w:t>performance and safety</w:t>
      </w:r>
      <w:r w:rsidR="00793F2F">
        <w:rPr>
          <w:rFonts w:ascii="Times" w:hAnsi="Times"/>
          <w:szCs w:val="24"/>
        </w:rPr>
        <w:t>,</w:t>
      </w:r>
      <w:r w:rsidR="006C63E3">
        <w:rPr>
          <w:rFonts w:ascii="Times" w:hAnsi="Times"/>
          <w:szCs w:val="24"/>
        </w:rPr>
        <w:t xml:space="preserve"> and that relevant manufacturing standards </w:t>
      </w:r>
      <w:r w:rsidR="00793F2F">
        <w:rPr>
          <w:rFonts w:ascii="Times" w:hAnsi="Times"/>
          <w:szCs w:val="24"/>
        </w:rPr>
        <w:t>are</w:t>
      </w:r>
      <w:r w:rsidR="006C63E3">
        <w:rPr>
          <w:rFonts w:ascii="Times" w:hAnsi="Times"/>
          <w:szCs w:val="24"/>
        </w:rPr>
        <w:t xml:space="preserve"> </w:t>
      </w:r>
      <w:r w:rsidR="00FD2D56">
        <w:rPr>
          <w:rFonts w:ascii="Times" w:hAnsi="Times"/>
          <w:szCs w:val="24"/>
        </w:rPr>
        <w:t xml:space="preserve">being </w:t>
      </w:r>
      <w:r w:rsidR="006C63E3">
        <w:rPr>
          <w:rFonts w:ascii="Times" w:hAnsi="Times"/>
          <w:szCs w:val="24"/>
        </w:rPr>
        <w:t>observed</w:t>
      </w:r>
      <w:r w:rsidR="00FD2D56">
        <w:rPr>
          <w:rFonts w:ascii="Times" w:hAnsi="Times"/>
          <w:szCs w:val="24"/>
        </w:rPr>
        <w:t>.</w:t>
      </w:r>
      <w:r w:rsidR="006C63E3">
        <w:rPr>
          <w:rFonts w:ascii="Times" w:hAnsi="Times"/>
          <w:szCs w:val="24"/>
        </w:rPr>
        <w:t xml:space="preserve">  </w:t>
      </w:r>
    </w:p>
    <w:p w:rsidR="006C63E3" w:rsidRDefault="006C63E3" w:rsidP="00641B61">
      <w:pPr>
        <w:pStyle w:val="ListParagraph"/>
        <w:ind w:left="0" w:right="-46"/>
        <w:rPr>
          <w:szCs w:val="24"/>
        </w:rPr>
      </w:pPr>
    </w:p>
    <w:p w:rsidR="004B3AD9" w:rsidRDefault="005167BF" w:rsidP="00F1748E">
      <w:r>
        <w:t xml:space="preserve">In </w:t>
      </w:r>
      <w:r w:rsidR="00AD114E">
        <w:t>summary</w:t>
      </w:r>
      <w:r w:rsidR="00604AD6">
        <w:t>, the</w:t>
      </w:r>
      <w:r w:rsidR="00D675F0">
        <w:t xml:space="preserve"> </w:t>
      </w:r>
      <w:r w:rsidR="00D22029">
        <w:t>R</w:t>
      </w:r>
      <w:r w:rsidR="00D675F0">
        <w:t>egulation</w:t>
      </w:r>
      <w:r w:rsidR="00604AD6">
        <w:t xml:space="preserve"> </w:t>
      </w:r>
      <w:r>
        <w:t>require</w:t>
      </w:r>
      <w:r w:rsidR="00604AD6">
        <w:t>s</w:t>
      </w:r>
      <w:r>
        <w:t xml:space="preserve"> sponsors of </w:t>
      </w:r>
      <w:r w:rsidR="00772C25">
        <w:t xml:space="preserve">transitioning </w:t>
      </w:r>
      <w:r>
        <w:t xml:space="preserve">commercial IVDs that have not already done so to apply for a conformity assessment certificate by </w:t>
      </w:r>
      <w:r w:rsidR="00AD114E">
        <w:t>1</w:t>
      </w:r>
      <w:r w:rsidR="00F1748E">
        <w:t> </w:t>
      </w:r>
      <w:r w:rsidR="00AD114E">
        <w:t xml:space="preserve">September </w:t>
      </w:r>
      <w:r>
        <w:t xml:space="preserve">2014 in order to qualify for the extension of the transition period </w:t>
      </w:r>
      <w:r w:rsidR="00114FA4">
        <w:t>to</w:t>
      </w:r>
      <w:r w:rsidR="00F1748E">
        <w:t> </w:t>
      </w:r>
      <w:r w:rsidR="00114FA4">
        <w:t>30</w:t>
      </w:r>
      <w:r w:rsidR="00F1748E">
        <w:t> </w:t>
      </w:r>
      <w:r w:rsidR="00114FA4">
        <w:t>June</w:t>
      </w:r>
      <w:r w:rsidR="00A75488">
        <w:t xml:space="preserve"> 2015.  For </w:t>
      </w:r>
      <w:r w:rsidR="00EF0E08">
        <w:t xml:space="preserve">Class 4 </w:t>
      </w:r>
      <w:r w:rsidR="00A75488">
        <w:t xml:space="preserve">in-house IVDs, </w:t>
      </w:r>
      <w:r w:rsidR="00604AD6">
        <w:t>manufacturers are</w:t>
      </w:r>
      <w:r>
        <w:t xml:space="preserve"> required to apply for a conformity assessment certificate by 30 June 2016 in order to qualify for the extension of the tran</w:t>
      </w:r>
      <w:r w:rsidR="00114FA4">
        <w:t>sition period to 30 June</w:t>
      </w:r>
      <w:r>
        <w:t xml:space="preserve"> 2017.</w:t>
      </w:r>
      <w:r w:rsidR="00FD4052">
        <w:t xml:space="preserve"> </w:t>
      </w:r>
    </w:p>
    <w:p w:rsidR="005167BF" w:rsidRDefault="005167BF" w:rsidP="00641B61">
      <w:pPr>
        <w:pStyle w:val="ListParagraph"/>
        <w:ind w:left="0" w:right="-46"/>
        <w:rPr>
          <w:rFonts w:ascii="Times" w:hAnsi="Times"/>
          <w:szCs w:val="24"/>
        </w:rPr>
      </w:pPr>
    </w:p>
    <w:p w:rsidR="001D3C85" w:rsidRDefault="00A82AC2" w:rsidP="00641B61">
      <w:pPr>
        <w:pStyle w:val="ListParagraph"/>
        <w:ind w:left="0" w:right="-46"/>
        <w:rPr>
          <w:rFonts w:ascii="Times" w:hAnsi="Times"/>
          <w:szCs w:val="24"/>
        </w:rPr>
      </w:pPr>
      <w:r>
        <w:rPr>
          <w:rFonts w:ascii="Times" w:hAnsi="Times"/>
          <w:szCs w:val="24"/>
        </w:rPr>
        <w:t>Allowing</w:t>
      </w:r>
      <w:r w:rsidR="003625E5">
        <w:rPr>
          <w:rFonts w:ascii="Times" w:hAnsi="Times"/>
          <w:szCs w:val="24"/>
        </w:rPr>
        <w:t xml:space="preserve"> </w:t>
      </w:r>
      <w:r w:rsidR="002A1A9E">
        <w:rPr>
          <w:rFonts w:ascii="Times" w:hAnsi="Times"/>
          <w:szCs w:val="24"/>
        </w:rPr>
        <w:t>manufacturers of</w:t>
      </w:r>
      <w:r w:rsidR="003625E5">
        <w:rPr>
          <w:rFonts w:ascii="Times" w:hAnsi="Times"/>
          <w:szCs w:val="24"/>
        </w:rPr>
        <w:t xml:space="preserve"> in-house IVDs </w:t>
      </w:r>
      <w:r w:rsidR="008530BA">
        <w:rPr>
          <w:rFonts w:ascii="Times" w:hAnsi="Times"/>
          <w:szCs w:val="24"/>
        </w:rPr>
        <w:t>a</w:t>
      </w:r>
      <w:r w:rsidR="00C16A41">
        <w:rPr>
          <w:rFonts w:ascii="Times" w:hAnsi="Times"/>
          <w:szCs w:val="24"/>
        </w:rPr>
        <w:t xml:space="preserve"> </w:t>
      </w:r>
      <w:r w:rsidR="003625E5">
        <w:rPr>
          <w:rFonts w:ascii="Times" w:hAnsi="Times"/>
          <w:szCs w:val="24"/>
        </w:rPr>
        <w:t xml:space="preserve">longer </w:t>
      </w:r>
      <w:r w:rsidR="00C16A41">
        <w:rPr>
          <w:rFonts w:ascii="Times" w:hAnsi="Times"/>
          <w:szCs w:val="24"/>
        </w:rPr>
        <w:t xml:space="preserve">period </w:t>
      </w:r>
      <w:r w:rsidR="003625E5">
        <w:rPr>
          <w:rFonts w:ascii="Times" w:hAnsi="Times"/>
          <w:szCs w:val="24"/>
        </w:rPr>
        <w:t>to transition to the new framework</w:t>
      </w:r>
      <w:r>
        <w:rPr>
          <w:rFonts w:ascii="Times" w:hAnsi="Times"/>
          <w:szCs w:val="24"/>
        </w:rPr>
        <w:t xml:space="preserve"> reflect</w:t>
      </w:r>
      <w:r w:rsidR="00C16A41">
        <w:rPr>
          <w:rFonts w:ascii="Times" w:hAnsi="Times"/>
          <w:szCs w:val="24"/>
        </w:rPr>
        <w:t>s</w:t>
      </w:r>
      <w:r>
        <w:rPr>
          <w:rFonts w:ascii="Times" w:hAnsi="Times"/>
          <w:szCs w:val="24"/>
        </w:rPr>
        <w:t xml:space="preserve"> </w:t>
      </w:r>
      <w:r w:rsidR="003625E5">
        <w:rPr>
          <w:rFonts w:ascii="Times" w:hAnsi="Times"/>
          <w:szCs w:val="24"/>
        </w:rPr>
        <w:t>the fact that in-house IVDs are often adaptions of c</w:t>
      </w:r>
      <w:r>
        <w:rPr>
          <w:rFonts w:ascii="Times" w:hAnsi="Times"/>
          <w:szCs w:val="24"/>
        </w:rPr>
        <w:t>ommercial IVDs that are</w:t>
      </w:r>
      <w:r w:rsidR="003625E5">
        <w:rPr>
          <w:rFonts w:ascii="Times" w:hAnsi="Times"/>
          <w:szCs w:val="24"/>
        </w:rPr>
        <w:t xml:space="preserve"> </w:t>
      </w:r>
      <w:r>
        <w:rPr>
          <w:rFonts w:ascii="Times" w:hAnsi="Times"/>
          <w:szCs w:val="24"/>
        </w:rPr>
        <w:t xml:space="preserve">further </w:t>
      </w:r>
      <w:r w:rsidR="003625E5">
        <w:rPr>
          <w:rFonts w:ascii="Times" w:hAnsi="Times"/>
          <w:szCs w:val="24"/>
        </w:rPr>
        <w:t>developed by laborator</w:t>
      </w:r>
      <w:r w:rsidR="00E6611C">
        <w:rPr>
          <w:rFonts w:ascii="Times" w:hAnsi="Times"/>
          <w:szCs w:val="24"/>
        </w:rPr>
        <w:t>ies</w:t>
      </w:r>
      <w:r w:rsidR="003625E5">
        <w:rPr>
          <w:rFonts w:ascii="Times" w:hAnsi="Times"/>
          <w:szCs w:val="24"/>
        </w:rPr>
        <w:t xml:space="preserve"> for </w:t>
      </w:r>
      <w:r w:rsidR="00E6611C">
        <w:rPr>
          <w:rFonts w:ascii="Times" w:hAnsi="Times"/>
          <w:szCs w:val="24"/>
        </w:rPr>
        <w:t>their</w:t>
      </w:r>
      <w:r w:rsidR="003625E5">
        <w:rPr>
          <w:rFonts w:ascii="Times" w:hAnsi="Times"/>
          <w:szCs w:val="24"/>
        </w:rPr>
        <w:t xml:space="preserve"> own internal use</w:t>
      </w:r>
      <w:r w:rsidR="00F34D6E">
        <w:rPr>
          <w:rFonts w:ascii="Times" w:hAnsi="Times"/>
          <w:szCs w:val="24"/>
        </w:rPr>
        <w:t xml:space="preserve">.  </w:t>
      </w:r>
      <w:r w:rsidR="00C16A41">
        <w:rPr>
          <w:rFonts w:ascii="Times" w:hAnsi="Times"/>
          <w:szCs w:val="24"/>
        </w:rPr>
        <w:t xml:space="preserve">Thus the </w:t>
      </w:r>
      <w:r w:rsidR="00F34D6E">
        <w:rPr>
          <w:rFonts w:ascii="Times" w:hAnsi="Times"/>
          <w:szCs w:val="24"/>
        </w:rPr>
        <w:t xml:space="preserve">commercial </w:t>
      </w:r>
      <w:r>
        <w:rPr>
          <w:rFonts w:ascii="Times" w:hAnsi="Times"/>
          <w:szCs w:val="24"/>
        </w:rPr>
        <w:t>IVD</w:t>
      </w:r>
      <w:r w:rsidR="00F34D6E">
        <w:rPr>
          <w:rFonts w:ascii="Times" w:hAnsi="Times"/>
          <w:szCs w:val="24"/>
        </w:rPr>
        <w:t>s</w:t>
      </w:r>
      <w:r>
        <w:rPr>
          <w:rFonts w:ascii="Times" w:hAnsi="Times"/>
          <w:szCs w:val="24"/>
        </w:rPr>
        <w:t xml:space="preserve"> on which they are based must be included in the Register before the adapted in</w:t>
      </w:r>
      <w:r w:rsidR="00066F7F">
        <w:rPr>
          <w:rFonts w:ascii="Times" w:hAnsi="Times"/>
          <w:szCs w:val="24"/>
        </w:rPr>
        <w:noBreakHyphen/>
      </w:r>
      <w:r>
        <w:rPr>
          <w:rFonts w:ascii="Times" w:hAnsi="Times"/>
          <w:szCs w:val="24"/>
        </w:rPr>
        <w:t>house IVD</w:t>
      </w:r>
      <w:r w:rsidR="00E6611C">
        <w:rPr>
          <w:rFonts w:ascii="Times" w:hAnsi="Times"/>
          <w:szCs w:val="24"/>
        </w:rPr>
        <w:t>s</w:t>
      </w:r>
      <w:r>
        <w:rPr>
          <w:rFonts w:ascii="Times" w:hAnsi="Times"/>
          <w:szCs w:val="24"/>
        </w:rPr>
        <w:t xml:space="preserve"> can </w:t>
      </w:r>
      <w:r w:rsidR="00E6611C">
        <w:rPr>
          <w:rFonts w:ascii="Times" w:hAnsi="Times"/>
          <w:szCs w:val="24"/>
        </w:rPr>
        <w:t>themselves</w:t>
      </w:r>
      <w:r>
        <w:rPr>
          <w:rFonts w:ascii="Times" w:hAnsi="Times"/>
          <w:szCs w:val="24"/>
        </w:rPr>
        <w:t xml:space="preserve"> transition to the new framework.  </w:t>
      </w:r>
    </w:p>
    <w:p w:rsidR="005E7A26" w:rsidRDefault="005E7A26" w:rsidP="00641B61">
      <w:pPr>
        <w:pStyle w:val="ListParagraph"/>
        <w:ind w:left="0" w:right="-46"/>
        <w:rPr>
          <w:rFonts w:ascii="Times" w:hAnsi="Times"/>
          <w:szCs w:val="24"/>
        </w:rPr>
      </w:pPr>
    </w:p>
    <w:p w:rsidR="00685A64" w:rsidRDefault="00685A64" w:rsidP="00641B61">
      <w:pPr>
        <w:pStyle w:val="ListParagraph"/>
        <w:ind w:left="0" w:right="-46"/>
        <w:rPr>
          <w:rFonts w:ascii="Times" w:hAnsi="Times"/>
          <w:szCs w:val="24"/>
        </w:rPr>
      </w:pPr>
      <w:r>
        <w:rPr>
          <w:rFonts w:ascii="Times" w:hAnsi="Times"/>
          <w:szCs w:val="24"/>
        </w:rPr>
        <w:t xml:space="preserve">The only IVDs </w:t>
      </w:r>
      <w:r w:rsidRPr="00484612">
        <w:rPr>
          <w:rFonts w:ascii="Times" w:hAnsi="Times"/>
          <w:szCs w:val="24"/>
        </w:rPr>
        <w:t xml:space="preserve">which </w:t>
      </w:r>
      <w:r w:rsidR="00604AD6">
        <w:rPr>
          <w:rFonts w:ascii="Times" w:hAnsi="Times"/>
          <w:szCs w:val="24"/>
        </w:rPr>
        <w:t>are</w:t>
      </w:r>
      <w:r w:rsidRPr="00484612">
        <w:rPr>
          <w:rFonts w:ascii="Times" w:hAnsi="Times"/>
          <w:szCs w:val="24"/>
        </w:rPr>
        <w:t xml:space="preserve"> not covered by the new transitional provisions </w:t>
      </w:r>
      <w:r w:rsidR="00604AD6">
        <w:rPr>
          <w:rFonts w:ascii="Times" w:hAnsi="Times"/>
          <w:szCs w:val="24"/>
        </w:rPr>
        <w:t>are</w:t>
      </w:r>
      <w:r w:rsidRPr="00484612">
        <w:rPr>
          <w:rFonts w:ascii="Times" w:hAnsi="Times"/>
          <w:szCs w:val="24"/>
        </w:rPr>
        <w:t xml:space="preserve"> those which </w:t>
      </w:r>
      <w:r w:rsidR="00E6611C">
        <w:rPr>
          <w:rFonts w:ascii="Times" w:hAnsi="Times"/>
          <w:szCs w:val="24"/>
        </w:rPr>
        <w:t>have already been</w:t>
      </w:r>
      <w:r w:rsidRPr="00484612">
        <w:rPr>
          <w:rFonts w:ascii="Times" w:hAnsi="Times"/>
          <w:szCs w:val="24"/>
        </w:rPr>
        <w:t xml:space="preserve"> included in the Register as medical devices</w:t>
      </w:r>
      <w:r w:rsidR="00066F7F">
        <w:rPr>
          <w:rFonts w:ascii="Times" w:hAnsi="Times"/>
          <w:szCs w:val="24"/>
        </w:rPr>
        <w:t xml:space="preserve"> under Chapter 4 of the Act</w:t>
      </w:r>
      <w:r w:rsidR="00737B85" w:rsidRPr="00484612">
        <w:rPr>
          <w:rFonts w:ascii="Times" w:hAnsi="Times"/>
          <w:szCs w:val="24"/>
        </w:rPr>
        <w:t>,</w:t>
      </w:r>
      <w:r w:rsidRPr="00484612">
        <w:rPr>
          <w:rFonts w:ascii="Times" w:hAnsi="Times"/>
          <w:szCs w:val="24"/>
        </w:rPr>
        <w:t xml:space="preserve"> or in relation to which a decision to reject an application to include them in the Register as medical devices </w:t>
      </w:r>
      <w:r w:rsidR="00E6611C">
        <w:rPr>
          <w:rFonts w:ascii="Times" w:hAnsi="Times"/>
          <w:szCs w:val="24"/>
        </w:rPr>
        <w:t>has already</w:t>
      </w:r>
      <w:r w:rsidRPr="00484612">
        <w:rPr>
          <w:rFonts w:ascii="Times" w:hAnsi="Times"/>
          <w:szCs w:val="24"/>
        </w:rPr>
        <w:t xml:space="preserve"> finally determined.</w:t>
      </w:r>
    </w:p>
    <w:p w:rsidR="00685A64" w:rsidRDefault="00685A64" w:rsidP="00641B61">
      <w:pPr>
        <w:pStyle w:val="ListParagraph"/>
        <w:ind w:left="0" w:right="-46"/>
        <w:rPr>
          <w:rFonts w:ascii="Times" w:hAnsi="Times"/>
          <w:szCs w:val="24"/>
        </w:rPr>
      </w:pPr>
    </w:p>
    <w:p w:rsidR="004E75C3" w:rsidRDefault="00D22029" w:rsidP="00FD2D56">
      <w:pPr>
        <w:pStyle w:val="ListParagraph"/>
        <w:ind w:left="0" w:right="-46"/>
        <w:rPr>
          <w:rFonts w:ascii="Times" w:hAnsi="Times"/>
          <w:szCs w:val="24"/>
        </w:rPr>
      </w:pPr>
      <w:r>
        <w:rPr>
          <w:rFonts w:ascii="Times" w:hAnsi="Times"/>
          <w:szCs w:val="24"/>
        </w:rPr>
        <w:t>The R</w:t>
      </w:r>
      <w:r w:rsidR="00E6611C">
        <w:rPr>
          <w:rFonts w:ascii="Times" w:hAnsi="Times"/>
          <w:szCs w:val="24"/>
        </w:rPr>
        <w:t>e</w:t>
      </w:r>
      <w:r w:rsidR="0060450B">
        <w:rPr>
          <w:rFonts w:ascii="Times" w:hAnsi="Times"/>
          <w:szCs w:val="24"/>
        </w:rPr>
        <w:t xml:space="preserve">gulation </w:t>
      </w:r>
      <w:r w:rsidR="00E6611C">
        <w:rPr>
          <w:rFonts w:ascii="Times" w:hAnsi="Times"/>
          <w:szCs w:val="24"/>
        </w:rPr>
        <w:t>repeal</w:t>
      </w:r>
      <w:r w:rsidR="0060450B">
        <w:rPr>
          <w:rFonts w:ascii="Times" w:hAnsi="Times"/>
          <w:szCs w:val="24"/>
        </w:rPr>
        <w:t>s</w:t>
      </w:r>
      <w:r w:rsidR="00E6611C">
        <w:rPr>
          <w:rFonts w:ascii="Times" w:hAnsi="Times"/>
          <w:szCs w:val="24"/>
        </w:rPr>
        <w:t xml:space="preserve"> the 2010 MD Amendments and the </w:t>
      </w:r>
      <w:r w:rsidR="000311C1" w:rsidRPr="007B6BA6">
        <w:rPr>
          <w:rFonts w:ascii="Times" w:hAnsi="Times"/>
          <w:i/>
          <w:szCs w:val="24"/>
        </w:rPr>
        <w:t xml:space="preserve">Therapeutic Goods Amendment Regulations </w:t>
      </w:r>
      <w:r w:rsidR="00E6611C" w:rsidRPr="007B6BA6">
        <w:rPr>
          <w:rFonts w:ascii="Times" w:hAnsi="Times"/>
          <w:i/>
          <w:szCs w:val="24"/>
        </w:rPr>
        <w:t>2010</w:t>
      </w:r>
      <w:r w:rsidR="000311C1" w:rsidRPr="007B6BA6">
        <w:rPr>
          <w:rFonts w:ascii="Times" w:hAnsi="Times"/>
          <w:i/>
          <w:szCs w:val="24"/>
        </w:rPr>
        <w:t xml:space="preserve"> (No.1)</w:t>
      </w:r>
      <w:r w:rsidR="00E6611C">
        <w:rPr>
          <w:rFonts w:ascii="Times" w:hAnsi="Times"/>
          <w:szCs w:val="24"/>
        </w:rPr>
        <w:t>.</w:t>
      </w:r>
      <w:r w:rsidR="005E6CB5">
        <w:rPr>
          <w:rFonts w:ascii="Times" w:hAnsi="Times"/>
          <w:szCs w:val="24"/>
        </w:rPr>
        <w:t xml:space="preserve"> </w:t>
      </w:r>
    </w:p>
    <w:p w:rsidR="003625E5" w:rsidRDefault="003625E5" w:rsidP="00641B61">
      <w:pPr>
        <w:pStyle w:val="ListParagraph"/>
        <w:ind w:left="0" w:right="-46"/>
        <w:rPr>
          <w:rFonts w:ascii="Times" w:hAnsi="Times"/>
          <w:szCs w:val="24"/>
        </w:rPr>
      </w:pPr>
    </w:p>
    <w:bookmarkEnd w:id="1"/>
    <w:p w:rsidR="002E568B" w:rsidRDefault="002E568B" w:rsidP="00641B61">
      <w:pPr>
        <w:ind w:right="-46"/>
        <w:rPr>
          <w:szCs w:val="24"/>
        </w:rPr>
      </w:pPr>
      <w:r w:rsidRPr="003856A4">
        <w:rPr>
          <w:szCs w:val="24"/>
        </w:rPr>
        <w:t xml:space="preserve">Details of the </w:t>
      </w:r>
      <w:r w:rsidR="00D22029">
        <w:rPr>
          <w:szCs w:val="24"/>
        </w:rPr>
        <w:t>R</w:t>
      </w:r>
      <w:r w:rsidR="00D675F0">
        <w:rPr>
          <w:szCs w:val="24"/>
        </w:rPr>
        <w:t>egulation</w:t>
      </w:r>
      <w:r w:rsidRPr="003856A4">
        <w:rPr>
          <w:szCs w:val="24"/>
        </w:rPr>
        <w:t xml:space="preserve"> are set out in the </w:t>
      </w:r>
      <w:r w:rsidRPr="003856A4">
        <w:rPr>
          <w:szCs w:val="24"/>
          <w:u w:val="single"/>
        </w:rPr>
        <w:t>Attachment</w:t>
      </w:r>
      <w:r w:rsidRPr="003856A4">
        <w:rPr>
          <w:szCs w:val="24"/>
        </w:rPr>
        <w:t>.</w:t>
      </w:r>
      <w:r w:rsidR="005E6CB5">
        <w:rPr>
          <w:szCs w:val="24"/>
        </w:rPr>
        <w:t xml:space="preserve">  </w:t>
      </w:r>
    </w:p>
    <w:p w:rsidR="00B92E7C" w:rsidRPr="002747DD" w:rsidRDefault="00B92E7C" w:rsidP="00641B61">
      <w:pPr>
        <w:ind w:right="-46"/>
        <w:rPr>
          <w:szCs w:val="24"/>
        </w:rPr>
      </w:pPr>
    </w:p>
    <w:p w:rsidR="002E568B" w:rsidRPr="003856A4" w:rsidRDefault="009B4412" w:rsidP="00641B61">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need to be met before the power to make </w:t>
      </w:r>
      <w:r w:rsidR="0060450B">
        <w:rPr>
          <w:szCs w:val="24"/>
        </w:rPr>
        <w:t xml:space="preserve">the </w:t>
      </w:r>
      <w:r w:rsidR="00D22029">
        <w:rPr>
          <w:szCs w:val="24"/>
        </w:rPr>
        <w:t>R</w:t>
      </w:r>
      <w:r w:rsidR="002E568B" w:rsidRPr="003856A4">
        <w:rPr>
          <w:szCs w:val="24"/>
        </w:rPr>
        <w:t>egulation may be exercised.</w:t>
      </w:r>
    </w:p>
    <w:p w:rsidR="002E568B" w:rsidRPr="003856A4" w:rsidRDefault="002E568B" w:rsidP="00641B61">
      <w:pPr>
        <w:ind w:right="-46"/>
        <w:rPr>
          <w:szCs w:val="24"/>
        </w:rPr>
      </w:pPr>
    </w:p>
    <w:p w:rsidR="002E568B" w:rsidRPr="003856A4" w:rsidRDefault="00D22029" w:rsidP="00641B61">
      <w:pPr>
        <w:ind w:right="-46"/>
        <w:rPr>
          <w:szCs w:val="24"/>
        </w:rPr>
      </w:pPr>
      <w:r>
        <w:rPr>
          <w:szCs w:val="24"/>
        </w:rPr>
        <w:t>The R</w:t>
      </w:r>
      <w:r w:rsidR="00D675F0">
        <w:rPr>
          <w:szCs w:val="24"/>
        </w:rPr>
        <w:t>egulation</w:t>
      </w:r>
      <w:r w:rsidR="002E568B" w:rsidRPr="003856A4">
        <w:rPr>
          <w:szCs w:val="24"/>
        </w:rPr>
        <w:t xml:space="preserve"> </w:t>
      </w:r>
      <w:r w:rsidR="0014095A">
        <w:rPr>
          <w:szCs w:val="24"/>
        </w:rPr>
        <w:t>is</w:t>
      </w:r>
      <w:r w:rsidR="002E568B" w:rsidRPr="003856A4">
        <w:rPr>
          <w:szCs w:val="24"/>
        </w:rPr>
        <w:t xml:space="preserve"> a legislative instrument for the purposes of the </w:t>
      </w:r>
      <w:r w:rsidR="002E568B" w:rsidRPr="003856A4">
        <w:rPr>
          <w:i/>
          <w:szCs w:val="24"/>
        </w:rPr>
        <w:t>Legislative Instruments Act 2003</w:t>
      </w:r>
      <w:r w:rsidR="002E568B" w:rsidRPr="003856A4">
        <w:rPr>
          <w:szCs w:val="24"/>
        </w:rPr>
        <w:t>.</w:t>
      </w:r>
    </w:p>
    <w:p w:rsidR="002E568B" w:rsidRPr="003856A4" w:rsidRDefault="002E568B" w:rsidP="00641B61">
      <w:pPr>
        <w:ind w:right="-46"/>
        <w:rPr>
          <w:szCs w:val="24"/>
        </w:rPr>
      </w:pPr>
    </w:p>
    <w:p w:rsidR="002E568B" w:rsidRPr="003856A4" w:rsidRDefault="00C723DC" w:rsidP="00641B61">
      <w:pPr>
        <w:ind w:right="-46"/>
        <w:rPr>
          <w:szCs w:val="24"/>
        </w:rPr>
      </w:pPr>
      <w:r>
        <w:rPr>
          <w:szCs w:val="24"/>
        </w:rPr>
        <w:t>Sections 1</w:t>
      </w:r>
      <w:r w:rsidR="008530BA">
        <w:rPr>
          <w:szCs w:val="24"/>
        </w:rPr>
        <w:t xml:space="preserve"> to </w:t>
      </w:r>
      <w:r>
        <w:rPr>
          <w:szCs w:val="24"/>
        </w:rPr>
        <w:t>4 of t</w:t>
      </w:r>
      <w:r w:rsidR="002E568B" w:rsidRPr="003856A4">
        <w:rPr>
          <w:szCs w:val="24"/>
        </w:rPr>
        <w:t xml:space="preserve">he </w:t>
      </w:r>
      <w:r w:rsidR="00D22029">
        <w:rPr>
          <w:szCs w:val="24"/>
        </w:rPr>
        <w:t>R</w:t>
      </w:r>
      <w:r w:rsidR="00D675F0">
        <w:rPr>
          <w:szCs w:val="24"/>
        </w:rPr>
        <w:t>egulation</w:t>
      </w:r>
      <w:r w:rsidR="002E568B" w:rsidRPr="003856A4">
        <w:rPr>
          <w:szCs w:val="24"/>
        </w:rPr>
        <w:t xml:space="preserve"> commence </w:t>
      </w:r>
      <w:r>
        <w:rPr>
          <w:szCs w:val="24"/>
        </w:rPr>
        <w:t xml:space="preserve">the day after the regulation is registered, Schedules 1 and 2 </w:t>
      </w:r>
      <w:r w:rsidR="00B65E32">
        <w:rPr>
          <w:szCs w:val="24"/>
        </w:rPr>
        <w:t xml:space="preserve">commence </w:t>
      </w:r>
      <w:r w:rsidR="008530BA">
        <w:rPr>
          <w:szCs w:val="24"/>
        </w:rPr>
        <w:t xml:space="preserve">on </w:t>
      </w:r>
      <w:r w:rsidR="00B65E32">
        <w:rPr>
          <w:szCs w:val="24"/>
        </w:rPr>
        <w:t>1 July</w:t>
      </w:r>
      <w:r w:rsidR="008530BA">
        <w:rPr>
          <w:szCs w:val="24"/>
        </w:rPr>
        <w:t xml:space="preserve"> 2014</w:t>
      </w:r>
      <w:r w:rsidR="00C07192">
        <w:rPr>
          <w:szCs w:val="24"/>
        </w:rPr>
        <w:t>, and Schedule 3</w:t>
      </w:r>
      <w:r w:rsidR="00B65E32">
        <w:rPr>
          <w:szCs w:val="24"/>
        </w:rPr>
        <w:t xml:space="preserve"> </w:t>
      </w:r>
      <w:r w:rsidR="00C07192">
        <w:rPr>
          <w:szCs w:val="24"/>
        </w:rPr>
        <w:t>(</w:t>
      </w:r>
      <w:r w:rsidR="00B65E32">
        <w:rPr>
          <w:szCs w:val="24"/>
        </w:rPr>
        <w:t>which repeal</w:t>
      </w:r>
      <w:r w:rsidR="00AE0B25">
        <w:rPr>
          <w:szCs w:val="24"/>
        </w:rPr>
        <w:t>s</w:t>
      </w:r>
      <w:r w:rsidR="00B65E32">
        <w:rPr>
          <w:szCs w:val="24"/>
        </w:rPr>
        <w:t xml:space="preserve"> the two 2010 regulations</w:t>
      </w:r>
      <w:r w:rsidR="00C07192">
        <w:rPr>
          <w:szCs w:val="24"/>
        </w:rPr>
        <w:t xml:space="preserve"> mentioned above)</w:t>
      </w:r>
      <w:r w:rsidR="00AE0B25">
        <w:rPr>
          <w:szCs w:val="24"/>
        </w:rPr>
        <w:t xml:space="preserve">, </w:t>
      </w:r>
      <w:r w:rsidR="00B65E32">
        <w:rPr>
          <w:szCs w:val="24"/>
        </w:rPr>
        <w:t>commence</w:t>
      </w:r>
      <w:r w:rsidR="00AE0B25">
        <w:rPr>
          <w:szCs w:val="24"/>
        </w:rPr>
        <w:t>s</w:t>
      </w:r>
      <w:r w:rsidR="00B65E32">
        <w:rPr>
          <w:szCs w:val="24"/>
        </w:rPr>
        <w:t xml:space="preserve"> at the end of 30</w:t>
      </w:r>
      <w:r w:rsidR="008530BA">
        <w:rPr>
          <w:szCs w:val="24"/>
        </w:rPr>
        <w:t> </w:t>
      </w:r>
      <w:r w:rsidR="00B65E32">
        <w:rPr>
          <w:szCs w:val="24"/>
        </w:rPr>
        <w:t>June</w:t>
      </w:r>
      <w:r w:rsidR="008530BA">
        <w:rPr>
          <w:szCs w:val="24"/>
        </w:rPr>
        <w:t> </w:t>
      </w:r>
      <w:r w:rsidR="00B65E32">
        <w:rPr>
          <w:szCs w:val="24"/>
        </w:rPr>
        <w:t>2014</w:t>
      </w:r>
      <w:r w:rsidR="002E568B" w:rsidRPr="003856A4">
        <w:rPr>
          <w:szCs w:val="24"/>
        </w:rPr>
        <w:t>.</w:t>
      </w:r>
    </w:p>
    <w:p w:rsidR="002E568B" w:rsidRDefault="002E568B" w:rsidP="00641B61">
      <w:pPr>
        <w:ind w:right="-46"/>
        <w:rPr>
          <w:szCs w:val="24"/>
        </w:rPr>
      </w:pPr>
    </w:p>
    <w:p w:rsidR="007D3278" w:rsidRPr="007D3278" w:rsidRDefault="007D3278" w:rsidP="00641B61">
      <w:pPr>
        <w:ind w:right="-46"/>
        <w:rPr>
          <w:b/>
          <w:szCs w:val="24"/>
        </w:rPr>
      </w:pPr>
      <w:r w:rsidRPr="007D3278">
        <w:rPr>
          <w:b/>
          <w:szCs w:val="24"/>
        </w:rPr>
        <w:t>Consultation</w:t>
      </w:r>
    </w:p>
    <w:p w:rsidR="007D3278" w:rsidRDefault="007D3278" w:rsidP="00641B61">
      <w:pPr>
        <w:ind w:right="-46"/>
        <w:rPr>
          <w:szCs w:val="24"/>
        </w:rPr>
      </w:pPr>
    </w:p>
    <w:p w:rsidR="007D3278" w:rsidRPr="00250D61" w:rsidRDefault="007D3278" w:rsidP="007D3278">
      <w:pPr>
        <w:rPr>
          <w:szCs w:val="24"/>
        </w:rPr>
      </w:pPr>
      <w:r w:rsidRPr="00250D61">
        <w:rPr>
          <w:szCs w:val="24"/>
        </w:rPr>
        <w:t>Over the last twelve months,</w:t>
      </w:r>
      <w:r>
        <w:rPr>
          <w:szCs w:val="24"/>
        </w:rPr>
        <w:t xml:space="preserve"> the TGA has consulted</w:t>
      </w:r>
      <w:r w:rsidRPr="00250D61">
        <w:rPr>
          <w:szCs w:val="24"/>
        </w:rPr>
        <w:t xml:space="preserve"> extensive</w:t>
      </w:r>
      <w:r>
        <w:rPr>
          <w:szCs w:val="24"/>
        </w:rPr>
        <w:t>ly about the extension of the transition period</w:t>
      </w:r>
      <w:r w:rsidRPr="00250D61">
        <w:rPr>
          <w:szCs w:val="24"/>
        </w:rPr>
        <w:t xml:space="preserve"> </w:t>
      </w:r>
      <w:r>
        <w:rPr>
          <w:szCs w:val="24"/>
        </w:rPr>
        <w:t>for IVDs</w:t>
      </w:r>
      <w:r w:rsidRPr="00250D61">
        <w:rPr>
          <w:szCs w:val="24"/>
        </w:rPr>
        <w:t xml:space="preserve">.  </w:t>
      </w:r>
      <w:r>
        <w:rPr>
          <w:szCs w:val="24"/>
        </w:rPr>
        <w:t>In May 2013 the TGA</w:t>
      </w:r>
      <w:r w:rsidRPr="00250D61">
        <w:rPr>
          <w:szCs w:val="24"/>
        </w:rPr>
        <w:t xml:space="preserve"> </w:t>
      </w:r>
      <w:r>
        <w:rPr>
          <w:szCs w:val="24"/>
        </w:rPr>
        <w:t>released a public consultation paper that included the possible extension of the transition timeframe, inviting feedback</w:t>
      </w:r>
      <w:r w:rsidRPr="00250D61">
        <w:rPr>
          <w:szCs w:val="24"/>
        </w:rPr>
        <w:t xml:space="preserve"> from industry, healthcare providers </w:t>
      </w:r>
      <w:r>
        <w:rPr>
          <w:szCs w:val="24"/>
        </w:rPr>
        <w:t>and the community on that proposal. Over the same period, f</w:t>
      </w:r>
      <w:r w:rsidRPr="00250D61">
        <w:rPr>
          <w:szCs w:val="24"/>
        </w:rPr>
        <w:t xml:space="preserve">urther discussions </w:t>
      </w:r>
      <w:r>
        <w:rPr>
          <w:szCs w:val="24"/>
        </w:rPr>
        <w:t xml:space="preserve">were held </w:t>
      </w:r>
      <w:r w:rsidRPr="00250D61">
        <w:rPr>
          <w:szCs w:val="24"/>
        </w:rPr>
        <w:t>with key stakeholder groups, peak industry bodies</w:t>
      </w:r>
      <w:r>
        <w:rPr>
          <w:szCs w:val="24"/>
        </w:rPr>
        <w:t xml:space="preserve">, </w:t>
      </w:r>
      <w:r w:rsidRPr="00250D61">
        <w:rPr>
          <w:szCs w:val="24"/>
        </w:rPr>
        <w:t xml:space="preserve">sponsors and </w:t>
      </w:r>
      <w:r w:rsidRPr="00250D61">
        <w:rPr>
          <w:szCs w:val="24"/>
        </w:rPr>
        <w:lastRenderedPageBreak/>
        <w:t xml:space="preserve">manufacturers. </w:t>
      </w:r>
      <w:r>
        <w:rPr>
          <w:szCs w:val="24"/>
        </w:rPr>
        <w:t>These included, for example, the National Association of Testing Authorities (NATA), IVD Australia, the Biotherapeutics Association of Australasia (Inc) and the Australian Red Cross Blood Service. Also during that period, the TGA surveyed the commercial and in-house</w:t>
      </w:r>
      <w:r w:rsidRPr="00250D61">
        <w:rPr>
          <w:szCs w:val="24"/>
        </w:rPr>
        <w:t xml:space="preserve"> IVD sectors to </w:t>
      </w:r>
      <w:r>
        <w:rPr>
          <w:szCs w:val="24"/>
        </w:rPr>
        <w:t>identify</w:t>
      </w:r>
      <w:r w:rsidRPr="00250D61">
        <w:rPr>
          <w:szCs w:val="24"/>
        </w:rPr>
        <w:t xml:space="preserve"> further information </w:t>
      </w:r>
      <w:r>
        <w:rPr>
          <w:szCs w:val="24"/>
        </w:rPr>
        <w:t xml:space="preserve">in particular about </w:t>
      </w:r>
      <w:r w:rsidRPr="00250D61">
        <w:rPr>
          <w:szCs w:val="24"/>
        </w:rPr>
        <w:t>IVDs</w:t>
      </w:r>
      <w:r>
        <w:rPr>
          <w:szCs w:val="24"/>
        </w:rPr>
        <w:t xml:space="preserve"> that might be at</w:t>
      </w:r>
      <w:r w:rsidRPr="00250D61">
        <w:rPr>
          <w:szCs w:val="24"/>
        </w:rPr>
        <w:t xml:space="preserve"> risk of not transitioning to the new framework. </w:t>
      </w:r>
      <w:r>
        <w:rPr>
          <w:szCs w:val="24"/>
        </w:rPr>
        <w:t>More recently, the TGA has undertaken f</w:t>
      </w:r>
      <w:r w:rsidRPr="007D418D">
        <w:rPr>
          <w:szCs w:val="24"/>
        </w:rPr>
        <w:t>urther discussion on the extension</w:t>
      </w:r>
      <w:r>
        <w:rPr>
          <w:szCs w:val="24"/>
        </w:rPr>
        <w:t xml:space="preserve"> (and new deadlines)</w:t>
      </w:r>
      <w:r w:rsidRPr="007D418D">
        <w:rPr>
          <w:szCs w:val="24"/>
        </w:rPr>
        <w:t xml:space="preserve"> </w:t>
      </w:r>
      <w:r>
        <w:rPr>
          <w:szCs w:val="24"/>
        </w:rPr>
        <w:t xml:space="preserve">with </w:t>
      </w:r>
      <w:r w:rsidRPr="007D418D">
        <w:rPr>
          <w:szCs w:val="24"/>
        </w:rPr>
        <w:t xml:space="preserve">industry representatives at </w:t>
      </w:r>
      <w:r>
        <w:rPr>
          <w:szCs w:val="24"/>
        </w:rPr>
        <w:t>an</w:t>
      </w:r>
      <w:r w:rsidRPr="007D418D">
        <w:rPr>
          <w:szCs w:val="24"/>
        </w:rPr>
        <w:t xml:space="preserve"> IVD working group meeting </w:t>
      </w:r>
      <w:r>
        <w:rPr>
          <w:szCs w:val="24"/>
        </w:rPr>
        <w:t xml:space="preserve">that was </w:t>
      </w:r>
      <w:r w:rsidRPr="007D418D">
        <w:rPr>
          <w:szCs w:val="24"/>
        </w:rPr>
        <w:t xml:space="preserve">held </w:t>
      </w:r>
      <w:r>
        <w:rPr>
          <w:szCs w:val="24"/>
        </w:rPr>
        <w:t xml:space="preserve">in Canberra </w:t>
      </w:r>
      <w:r w:rsidRPr="007D418D">
        <w:rPr>
          <w:szCs w:val="24"/>
        </w:rPr>
        <w:t xml:space="preserve">on 8 May 2014. </w:t>
      </w:r>
    </w:p>
    <w:p w:rsidR="007D3278" w:rsidRPr="003856A4" w:rsidRDefault="007D3278" w:rsidP="007D3278">
      <w:pPr>
        <w:ind w:right="-46"/>
        <w:rPr>
          <w:szCs w:val="24"/>
        </w:rPr>
      </w:pPr>
      <w:r>
        <w:rPr>
          <w:szCs w:val="24"/>
        </w:rPr>
        <w:t xml:space="preserve">Responses to these </w:t>
      </w:r>
      <w:r w:rsidRPr="00250D61">
        <w:rPr>
          <w:szCs w:val="24"/>
        </w:rPr>
        <w:t>consultation</w:t>
      </w:r>
      <w:r>
        <w:rPr>
          <w:szCs w:val="24"/>
        </w:rPr>
        <w:t>s</w:t>
      </w:r>
      <w:r w:rsidRPr="00250D61">
        <w:rPr>
          <w:szCs w:val="24"/>
        </w:rPr>
        <w:t xml:space="preserve"> indicated broad support for delaying the implementation</w:t>
      </w:r>
      <w:r>
        <w:rPr>
          <w:szCs w:val="24"/>
        </w:rPr>
        <w:t xml:space="preserve"> of the IVD</w:t>
      </w:r>
      <w:r w:rsidRPr="00250D61">
        <w:rPr>
          <w:szCs w:val="24"/>
        </w:rPr>
        <w:t xml:space="preserve"> framework</w:t>
      </w:r>
      <w:r>
        <w:rPr>
          <w:szCs w:val="24"/>
        </w:rPr>
        <w:t xml:space="preserve">, and support for </w:t>
      </w:r>
      <w:r w:rsidR="00346F25">
        <w:rPr>
          <w:szCs w:val="24"/>
        </w:rPr>
        <w:t xml:space="preserve">an </w:t>
      </w:r>
      <w:r>
        <w:rPr>
          <w:szCs w:val="24"/>
        </w:rPr>
        <w:t>additional period of time to be provided for the in-house sector to transition</w:t>
      </w:r>
    </w:p>
    <w:p w:rsidR="002E568B" w:rsidRPr="003856A4" w:rsidRDefault="002E568B" w:rsidP="00641B61">
      <w:pPr>
        <w:ind w:right="-46"/>
        <w:rPr>
          <w:szCs w:val="24"/>
        </w:rPr>
      </w:pPr>
    </w:p>
    <w:p w:rsidR="002E568B" w:rsidRPr="003856A4" w:rsidRDefault="002E568B" w:rsidP="00641B61">
      <w:pPr>
        <w:ind w:right="-46"/>
        <w:rPr>
          <w:szCs w:val="24"/>
        </w:rPr>
      </w:pPr>
    </w:p>
    <w:p w:rsidR="0056578D" w:rsidRDefault="002E568B" w:rsidP="00631BFC">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6B6F13" w:rsidRDefault="006B6F13" w:rsidP="00641B61">
      <w:pPr>
        <w:ind w:left="6237" w:right="-46" w:firstLine="3"/>
        <w:jc w:val="right"/>
        <w:rPr>
          <w:color w:val="FF0000"/>
          <w:szCs w:val="24"/>
          <w:u w:val="single"/>
        </w:rPr>
        <w:sectPr w:rsidR="006B6F13" w:rsidSect="00FA31AE">
          <w:headerReference w:type="default" r:id="rId9"/>
          <w:pgSz w:w="11906" w:h="16838"/>
          <w:pgMar w:top="1304" w:right="1440" w:bottom="1304" w:left="1440" w:header="709" w:footer="709" w:gutter="0"/>
          <w:pgNumType w:start="1"/>
          <w:cols w:space="708"/>
          <w:titlePg/>
          <w:docGrid w:linePitch="360"/>
        </w:sectPr>
      </w:pPr>
    </w:p>
    <w:p w:rsidR="002E568B" w:rsidRPr="00AC42A1" w:rsidRDefault="002E568B" w:rsidP="00641B61">
      <w:pPr>
        <w:ind w:left="6237" w:right="-46" w:firstLine="3"/>
        <w:jc w:val="right"/>
        <w:rPr>
          <w:b/>
          <w:szCs w:val="24"/>
          <w:u w:val="single"/>
        </w:rPr>
      </w:pPr>
      <w:r w:rsidRPr="00AC42A1">
        <w:rPr>
          <w:b/>
          <w:szCs w:val="24"/>
          <w:u w:val="single"/>
        </w:rPr>
        <w:t>ATTACHMENT</w:t>
      </w:r>
    </w:p>
    <w:p w:rsidR="002E568B" w:rsidRPr="00684780" w:rsidRDefault="002E568B" w:rsidP="00641B61">
      <w:pPr>
        <w:ind w:right="-46" w:firstLine="3"/>
        <w:rPr>
          <w:b/>
          <w:szCs w:val="24"/>
        </w:rPr>
      </w:pPr>
    </w:p>
    <w:p w:rsidR="002E568B" w:rsidRPr="00613321" w:rsidRDefault="00C01807" w:rsidP="00641B61">
      <w:pPr>
        <w:ind w:right="-46" w:firstLine="3"/>
        <w:rPr>
          <w:b/>
          <w:i/>
          <w:caps/>
          <w:szCs w:val="24"/>
          <w:u w:val="single"/>
        </w:rPr>
      </w:pPr>
      <w:r>
        <w:rPr>
          <w:b/>
          <w:szCs w:val="24"/>
          <w:u w:val="single"/>
        </w:rPr>
        <w:t>Details of the</w:t>
      </w:r>
      <w:r w:rsidR="002E568B" w:rsidRPr="00613321">
        <w:rPr>
          <w:b/>
          <w:szCs w:val="24"/>
          <w:u w:val="single"/>
        </w:rPr>
        <w:t xml:space="preserve"> </w:t>
      </w:r>
      <w:r w:rsidR="002E568B" w:rsidRPr="00613321">
        <w:rPr>
          <w:b/>
          <w:i/>
          <w:szCs w:val="24"/>
          <w:u w:val="single"/>
        </w:rPr>
        <w:t xml:space="preserve">Therapeutic Goods </w:t>
      </w:r>
      <w:r w:rsidR="000311C1">
        <w:rPr>
          <w:b/>
          <w:i/>
          <w:szCs w:val="24"/>
          <w:u w:val="single"/>
        </w:rPr>
        <w:t xml:space="preserve">Legislation Amendment </w:t>
      </w:r>
      <w:r w:rsidR="00E81C4E">
        <w:rPr>
          <w:b/>
          <w:i/>
          <w:szCs w:val="24"/>
          <w:u w:val="single"/>
        </w:rPr>
        <w:t>(</w:t>
      </w:r>
      <w:r w:rsidR="000311C1">
        <w:rPr>
          <w:b/>
          <w:i/>
          <w:szCs w:val="24"/>
          <w:u w:val="single"/>
        </w:rPr>
        <w:t xml:space="preserve">In Vitro Diagnostic </w:t>
      </w:r>
      <w:r w:rsidR="00550CC8">
        <w:rPr>
          <w:b/>
          <w:i/>
          <w:szCs w:val="24"/>
          <w:u w:val="single"/>
        </w:rPr>
        <w:t xml:space="preserve">Medical Devices) </w:t>
      </w:r>
      <w:r w:rsidR="00E81C4E">
        <w:rPr>
          <w:b/>
          <w:i/>
          <w:szCs w:val="24"/>
          <w:u w:val="single"/>
        </w:rPr>
        <w:t>Regulation 2014</w:t>
      </w:r>
    </w:p>
    <w:p w:rsidR="002E568B" w:rsidRPr="00684780" w:rsidRDefault="002E568B" w:rsidP="00641B61">
      <w:pPr>
        <w:ind w:right="-46" w:firstLine="3"/>
        <w:rPr>
          <w:b/>
          <w:szCs w:val="24"/>
          <w:highlight w:val="yellow"/>
        </w:rPr>
      </w:pPr>
    </w:p>
    <w:p w:rsidR="002E568B" w:rsidRPr="00684780" w:rsidRDefault="002E568B" w:rsidP="00641B61">
      <w:pPr>
        <w:ind w:right="-46"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641B61">
      <w:pPr>
        <w:ind w:right="-46" w:firstLine="3"/>
        <w:rPr>
          <w:szCs w:val="24"/>
        </w:rPr>
      </w:pPr>
      <w:r w:rsidRPr="00684780">
        <w:rPr>
          <w:szCs w:val="24"/>
        </w:rPr>
        <w:t xml:space="preserve">This </w:t>
      </w:r>
      <w:r w:rsidR="00BA167E">
        <w:rPr>
          <w:szCs w:val="24"/>
        </w:rPr>
        <w:t>section</w:t>
      </w:r>
      <w:r w:rsidR="00C01807">
        <w:rPr>
          <w:szCs w:val="24"/>
        </w:rPr>
        <w:t xml:space="preserve"> </w:t>
      </w:r>
      <w:r w:rsidRPr="00684780">
        <w:rPr>
          <w:szCs w:val="24"/>
        </w:rPr>
        <w:t>provide</w:t>
      </w:r>
      <w:r w:rsidR="00C01807">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F232B9">
        <w:rPr>
          <w:i/>
          <w:szCs w:val="24"/>
        </w:rPr>
        <w:t xml:space="preserve"> Legislation Amendment</w:t>
      </w:r>
      <w:r w:rsidR="009B4412">
        <w:rPr>
          <w:i/>
          <w:szCs w:val="24"/>
        </w:rPr>
        <w:t xml:space="preserve"> </w:t>
      </w:r>
      <w:r w:rsidR="00E81C4E">
        <w:rPr>
          <w:i/>
          <w:szCs w:val="24"/>
        </w:rPr>
        <w:t>(</w:t>
      </w:r>
      <w:r w:rsidR="00F232B9">
        <w:rPr>
          <w:i/>
          <w:szCs w:val="24"/>
        </w:rPr>
        <w:t xml:space="preserve">In Vitro Diagnostic </w:t>
      </w:r>
      <w:r w:rsidR="00E81C4E">
        <w:rPr>
          <w:i/>
          <w:szCs w:val="24"/>
        </w:rPr>
        <w:t xml:space="preserve">Medical Devices) </w:t>
      </w:r>
      <w:r w:rsidRPr="00684780">
        <w:rPr>
          <w:i/>
          <w:szCs w:val="24"/>
        </w:rPr>
        <w:t>Regulation 201</w:t>
      </w:r>
      <w:r w:rsidR="00E81C4E">
        <w:rPr>
          <w:i/>
          <w:szCs w:val="24"/>
        </w:rPr>
        <w:t>4</w:t>
      </w:r>
      <w:r w:rsidRPr="00684780">
        <w:rPr>
          <w:i/>
          <w:szCs w:val="24"/>
        </w:rPr>
        <w:t>.</w:t>
      </w:r>
    </w:p>
    <w:p w:rsidR="002E568B" w:rsidRPr="00154185" w:rsidRDefault="002E568B" w:rsidP="00641B61">
      <w:pPr>
        <w:ind w:right="-46" w:firstLine="3"/>
        <w:rPr>
          <w:szCs w:val="24"/>
        </w:rPr>
      </w:pPr>
    </w:p>
    <w:p w:rsidR="002E568B" w:rsidRPr="00684780" w:rsidRDefault="002E568B" w:rsidP="00641B61">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5E6CB5" w:rsidRDefault="002E568B" w:rsidP="00641B61">
      <w:pPr>
        <w:ind w:right="-46" w:firstLine="3"/>
        <w:rPr>
          <w:szCs w:val="24"/>
        </w:rPr>
      </w:pPr>
      <w:r w:rsidRPr="00684780">
        <w:rPr>
          <w:szCs w:val="24"/>
        </w:rPr>
        <w:t xml:space="preserve">This </w:t>
      </w:r>
      <w:r>
        <w:rPr>
          <w:szCs w:val="24"/>
        </w:rPr>
        <w:t>sec</w:t>
      </w:r>
      <w:r w:rsidRPr="00684780">
        <w:rPr>
          <w:szCs w:val="24"/>
        </w:rPr>
        <w:t>tion provide</w:t>
      </w:r>
      <w:r w:rsidR="00C01807">
        <w:rPr>
          <w:szCs w:val="24"/>
        </w:rPr>
        <w:t>s</w:t>
      </w:r>
      <w:r w:rsidRPr="00684780">
        <w:rPr>
          <w:szCs w:val="24"/>
        </w:rPr>
        <w:t xml:space="preserve"> for</w:t>
      </w:r>
      <w:r w:rsidR="005E6CB5">
        <w:rPr>
          <w:szCs w:val="24"/>
        </w:rPr>
        <w:t>:</w:t>
      </w:r>
    </w:p>
    <w:p w:rsidR="00664BB1" w:rsidRDefault="005E6CB5">
      <w:pPr>
        <w:pStyle w:val="ListParagraph"/>
        <w:numPr>
          <w:ilvl w:val="0"/>
          <w:numId w:val="36"/>
        </w:numPr>
        <w:ind w:right="-46"/>
        <w:rPr>
          <w:szCs w:val="24"/>
        </w:rPr>
      </w:pPr>
      <w:r w:rsidRPr="005E6CB5">
        <w:rPr>
          <w:szCs w:val="24"/>
        </w:rPr>
        <w:t xml:space="preserve">sections 1 to 4 and any provisions not elsewhere provided for, </w:t>
      </w:r>
      <w:r w:rsidR="009B4412" w:rsidRPr="005E6CB5">
        <w:rPr>
          <w:szCs w:val="24"/>
        </w:rPr>
        <w:t>to commenc</w:t>
      </w:r>
      <w:r w:rsidR="00F232B9" w:rsidRPr="005E6CB5">
        <w:rPr>
          <w:szCs w:val="24"/>
        </w:rPr>
        <w:t xml:space="preserve">e </w:t>
      </w:r>
      <w:r w:rsidRPr="005E6CB5">
        <w:rPr>
          <w:szCs w:val="24"/>
        </w:rPr>
        <w:t>the day after the regulation is registered,</w:t>
      </w:r>
    </w:p>
    <w:p w:rsidR="00664BB1" w:rsidRDefault="005E6CB5">
      <w:pPr>
        <w:pStyle w:val="ListParagraph"/>
        <w:numPr>
          <w:ilvl w:val="0"/>
          <w:numId w:val="36"/>
        </w:numPr>
        <w:ind w:right="-46"/>
        <w:rPr>
          <w:szCs w:val="24"/>
        </w:rPr>
      </w:pPr>
      <w:r w:rsidRPr="005E6CB5">
        <w:rPr>
          <w:szCs w:val="24"/>
        </w:rPr>
        <w:t>Schedules 1 and 2 to commence on 1 July 2014, and</w:t>
      </w:r>
    </w:p>
    <w:p w:rsidR="00664BB1" w:rsidRDefault="005E6CB5">
      <w:pPr>
        <w:pStyle w:val="ListParagraph"/>
        <w:numPr>
          <w:ilvl w:val="0"/>
          <w:numId w:val="36"/>
        </w:numPr>
        <w:ind w:right="-46"/>
        <w:rPr>
          <w:szCs w:val="24"/>
        </w:rPr>
      </w:pPr>
      <w:r w:rsidRPr="005E6CB5">
        <w:rPr>
          <w:szCs w:val="24"/>
        </w:rPr>
        <w:t>Schedule 3 to commence at the end of 30 June 2014.</w:t>
      </w:r>
    </w:p>
    <w:p w:rsidR="005E6CB5" w:rsidRDefault="005E6CB5" w:rsidP="00641B61">
      <w:pPr>
        <w:ind w:right="-46" w:firstLine="3"/>
        <w:rPr>
          <w:szCs w:val="24"/>
        </w:rPr>
      </w:pPr>
    </w:p>
    <w:p w:rsidR="005E6CB5" w:rsidRPr="00684780" w:rsidRDefault="005E6CB5" w:rsidP="00641B61">
      <w:pPr>
        <w:ind w:right="-46" w:firstLine="3"/>
        <w:rPr>
          <w:szCs w:val="24"/>
        </w:rPr>
      </w:pPr>
      <w:r>
        <w:rPr>
          <w:szCs w:val="24"/>
        </w:rPr>
        <w:t xml:space="preserve">This will ensure that </w:t>
      </w:r>
      <w:r>
        <w:t xml:space="preserve">there is no overlap of the repeal of the </w:t>
      </w:r>
      <w:r w:rsidR="001E6A44" w:rsidRPr="007B6BA6">
        <w:rPr>
          <w:i/>
        </w:rPr>
        <w:t>Therapeutic Goods (Medical Devices) Amendment Regulations 2010 (No.1)</w:t>
      </w:r>
      <w:r w:rsidR="001E6A44">
        <w:t xml:space="preserve"> (the 2010 MD Amendments) </w:t>
      </w:r>
      <w:r>
        <w:t xml:space="preserve">and of the </w:t>
      </w:r>
      <w:r w:rsidR="001E6A44" w:rsidRPr="007B6BA6">
        <w:rPr>
          <w:i/>
        </w:rPr>
        <w:t>Therapeutic Goods Amendment Regulations 2010 (No.1)</w:t>
      </w:r>
      <w:r w:rsidR="001E6A44">
        <w:t xml:space="preserve"> (the 2010 TG Amendments) </w:t>
      </w:r>
      <w:r>
        <w:t xml:space="preserve">with the amendments of the </w:t>
      </w:r>
      <w:r w:rsidR="007B6BA6" w:rsidRPr="00CE0D81">
        <w:rPr>
          <w:i/>
          <w:szCs w:val="24"/>
        </w:rPr>
        <w:t>Therapeutic Goods (Medical Devices Regulations 2002</w:t>
      </w:r>
      <w:r w:rsidR="007B6BA6">
        <w:rPr>
          <w:i/>
          <w:szCs w:val="24"/>
        </w:rPr>
        <w:t xml:space="preserve"> </w:t>
      </w:r>
      <w:r w:rsidR="007B6BA6">
        <w:rPr>
          <w:szCs w:val="24"/>
        </w:rPr>
        <w:t xml:space="preserve">(the </w:t>
      </w:r>
      <w:r>
        <w:t>Principal Regulations</w:t>
      </w:r>
      <w:r w:rsidR="007B6BA6">
        <w:t>)</w:t>
      </w:r>
      <w:r>
        <w:t xml:space="preserve"> in Schedule 1 and of the </w:t>
      </w:r>
      <w:r w:rsidRPr="007B6BA6">
        <w:rPr>
          <w:i/>
        </w:rPr>
        <w:t xml:space="preserve">Therapeutic Goods Regulations </w:t>
      </w:r>
      <w:r w:rsidR="007B6BA6" w:rsidRPr="007B6BA6">
        <w:rPr>
          <w:i/>
        </w:rPr>
        <w:t>1990</w:t>
      </w:r>
      <w:r w:rsidR="007B6BA6">
        <w:t xml:space="preserve"> </w:t>
      </w:r>
      <w:r>
        <w:t xml:space="preserve">in Schedule 2.  </w:t>
      </w:r>
      <w:r w:rsidR="00685A64">
        <w:t xml:space="preserve">The effect </w:t>
      </w:r>
      <w:r w:rsidR="00CD238B">
        <w:t>is</w:t>
      </w:r>
      <w:r w:rsidR="00685A64">
        <w:t xml:space="preserve"> that </w:t>
      </w:r>
      <w:r>
        <w:t xml:space="preserve">the transitional devices that were not included in the </w:t>
      </w:r>
      <w:r w:rsidR="00685A64">
        <w:t xml:space="preserve">Register </w:t>
      </w:r>
      <w:r>
        <w:t xml:space="preserve">between 1 July 2010 and 30 June 2014 or in relation to which an application </w:t>
      </w:r>
      <w:r w:rsidR="00165A6D">
        <w:t xml:space="preserve">for inclusion in the Register </w:t>
      </w:r>
      <w:r>
        <w:t xml:space="preserve">was finally determined during that period, </w:t>
      </w:r>
      <w:r w:rsidR="001B0143">
        <w:t>are</w:t>
      </w:r>
      <w:r>
        <w:t xml:space="preserve"> covered by the</w:t>
      </w:r>
      <w:r w:rsidR="007B6BA6">
        <w:t>se new</w:t>
      </w:r>
      <w:r>
        <w:t xml:space="preserve"> amendments.</w:t>
      </w:r>
    </w:p>
    <w:p w:rsidR="002E568B" w:rsidRPr="00154185" w:rsidRDefault="002E568B" w:rsidP="00641B61">
      <w:pPr>
        <w:ind w:right="-46" w:firstLine="3"/>
        <w:rPr>
          <w:szCs w:val="24"/>
        </w:rPr>
      </w:pPr>
    </w:p>
    <w:p w:rsidR="00922B98" w:rsidRDefault="002E568B" w:rsidP="00641B61">
      <w:pPr>
        <w:ind w:right="-46"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1B0143" w:rsidP="00641B61">
      <w:pPr>
        <w:ind w:right="-46" w:firstLine="3"/>
        <w:rPr>
          <w:szCs w:val="24"/>
        </w:rPr>
      </w:pPr>
      <w:r>
        <w:rPr>
          <w:szCs w:val="24"/>
        </w:rPr>
        <w:t xml:space="preserve">This section </w:t>
      </w:r>
      <w:r w:rsidR="00C326E4">
        <w:rPr>
          <w:szCs w:val="24"/>
        </w:rPr>
        <w:t>provide</w:t>
      </w:r>
      <w:r>
        <w:rPr>
          <w:szCs w:val="24"/>
        </w:rPr>
        <w:t>s</w:t>
      </w:r>
      <w:r w:rsidR="00C326E4">
        <w:rPr>
          <w:szCs w:val="24"/>
        </w:rPr>
        <w:t xml:space="preserve"> that the regulation is made</w:t>
      </w:r>
      <w:r w:rsidR="00574D01">
        <w:rPr>
          <w:szCs w:val="24"/>
        </w:rPr>
        <w:t xml:space="preserve"> under the </w:t>
      </w:r>
      <w:r w:rsidR="00C326E4" w:rsidRPr="00C326E4">
        <w:rPr>
          <w:i/>
          <w:szCs w:val="24"/>
        </w:rPr>
        <w:t>Therapeutic Goods Act 1989</w:t>
      </w:r>
      <w:r w:rsidR="00A251B0">
        <w:rPr>
          <w:i/>
          <w:szCs w:val="24"/>
        </w:rPr>
        <w:t xml:space="preserve"> </w:t>
      </w:r>
      <w:r w:rsidR="0042269B" w:rsidRPr="0042269B">
        <w:rPr>
          <w:szCs w:val="24"/>
        </w:rPr>
        <w:t>(the Act)</w:t>
      </w:r>
      <w:r w:rsidR="00C326E4">
        <w:rPr>
          <w:szCs w:val="24"/>
        </w:rPr>
        <w:t>.</w:t>
      </w:r>
    </w:p>
    <w:p w:rsidR="00900C44" w:rsidRDefault="00900C44" w:rsidP="00641B61">
      <w:pPr>
        <w:ind w:right="-46" w:firstLine="3"/>
        <w:rPr>
          <w:szCs w:val="24"/>
          <w:u w:val="single"/>
        </w:rPr>
      </w:pPr>
    </w:p>
    <w:p w:rsidR="00922B98" w:rsidRDefault="00922B98" w:rsidP="00641B61">
      <w:pPr>
        <w:pStyle w:val="Heading1"/>
        <w:ind w:right="-46"/>
        <w:rPr>
          <w:b w:val="0"/>
          <w:szCs w:val="24"/>
          <w:u w:val="single"/>
        </w:rPr>
      </w:pPr>
      <w:r>
        <w:rPr>
          <w:b w:val="0"/>
          <w:szCs w:val="24"/>
          <w:u w:val="single"/>
        </w:rPr>
        <w:t>Section 4 – Schedule</w:t>
      </w:r>
      <w:r w:rsidR="00A07C2F">
        <w:rPr>
          <w:b w:val="0"/>
          <w:szCs w:val="24"/>
          <w:u w:val="single"/>
        </w:rPr>
        <w:t>(s)</w:t>
      </w:r>
    </w:p>
    <w:p w:rsidR="00941170" w:rsidRDefault="001B0143" w:rsidP="00641B61">
      <w:pPr>
        <w:pStyle w:val="Heading1"/>
        <w:ind w:right="-46"/>
        <w:rPr>
          <w:b w:val="0"/>
          <w:szCs w:val="24"/>
        </w:rPr>
      </w:pPr>
      <w:r>
        <w:rPr>
          <w:b w:val="0"/>
          <w:szCs w:val="24"/>
        </w:rPr>
        <w:t>This section</w:t>
      </w:r>
      <w:r w:rsidR="0004764F">
        <w:rPr>
          <w:b w:val="0"/>
          <w:szCs w:val="24"/>
        </w:rPr>
        <w:t xml:space="preserve"> provide</w:t>
      </w:r>
      <w:r>
        <w:rPr>
          <w:b w:val="0"/>
          <w:szCs w:val="24"/>
        </w:rPr>
        <w:t>s</w:t>
      </w:r>
      <w:r w:rsidR="0004764F">
        <w:rPr>
          <w:b w:val="0"/>
          <w:szCs w:val="24"/>
        </w:rPr>
        <w:t xml:space="preserve"> that e</w:t>
      </w:r>
      <w:r w:rsidR="00EE6E54">
        <w:rPr>
          <w:b w:val="0"/>
          <w:szCs w:val="24"/>
        </w:rPr>
        <w:t xml:space="preserve">ach instrument that is specified in a Schedule to this instrument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in a Schedule to this instrument has effect according to its terms.</w:t>
      </w:r>
    </w:p>
    <w:p w:rsidR="000B380F" w:rsidRDefault="000B380F" w:rsidP="00641B61">
      <w:pPr>
        <w:ind w:right="-46"/>
      </w:pPr>
    </w:p>
    <w:p w:rsidR="000B380F" w:rsidRPr="00D30DEE" w:rsidRDefault="00D30DEE" w:rsidP="00641B61">
      <w:pPr>
        <w:ind w:right="-46"/>
        <w:rPr>
          <w:u w:val="single"/>
        </w:rPr>
      </w:pPr>
      <w:r w:rsidRPr="00D30DEE">
        <w:rPr>
          <w:u w:val="single"/>
        </w:rPr>
        <w:t>Schedule 1 –</w:t>
      </w:r>
      <w:r>
        <w:rPr>
          <w:u w:val="single"/>
        </w:rPr>
        <w:t xml:space="preserve"> Amendments</w:t>
      </w:r>
      <w:r w:rsidR="005E6CB5">
        <w:rPr>
          <w:u w:val="single"/>
        </w:rPr>
        <w:t xml:space="preserve"> </w:t>
      </w:r>
      <w:r w:rsidR="008530BA">
        <w:rPr>
          <w:u w:val="single"/>
        </w:rPr>
        <w:t>of</w:t>
      </w:r>
      <w:r w:rsidR="005E6CB5">
        <w:rPr>
          <w:u w:val="single"/>
        </w:rPr>
        <w:t xml:space="preserve"> the </w:t>
      </w:r>
      <w:r w:rsidR="005E6CB5" w:rsidRPr="007B6BA6">
        <w:rPr>
          <w:i/>
          <w:u w:val="single"/>
        </w:rPr>
        <w:t>Therapeutic Goods (Medical Devices) Regulations 2002</w:t>
      </w:r>
    </w:p>
    <w:p w:rsidR="000B380F" w:rsidRDefault="000B380F" w:rsidP="00641B61">
      <w:pPr>
        <w:ind w:right="-46"/>
      </w:pPr>
    </w:p>
    <w:p w:rsidR="0056578D" w:rsidRDefault="005713B2" w:rsidP="00641B61">
      <w:pPr>
        <w:ind w:right="-46"/>
        <w:rPr>
          <w:b/>
          <w:i/>
        </w:rPr>
      </w:pPr>
      <w:r w:rsidRPr="00685A64">
        <w:rPr>
          <w:b/>
          <w:i/>
        </w:rPr>
        <w:t>Therapeutic Goods (Medical Devices) Regulations 2002</w:t>
      </w:r>
    </w:p>
    <w:p w:rsidR="0056578D" w:rsidRDefault="0056578D" w:rsidP="00641B61">
      <w:pPr>
        <w:ind w:right="-46"/>
      </w:pPr>
    </w:p>
    <w:p w:rsidR="00170193" w:rsidRPr="00170193" w:rsidRDefault="00530CFF" w:rsidP="00641B61">
      <w:pPr>
        <w:ind w:right="-46"/>
        <w:rPr>
          <w:b/>
        </w:rPr>
      </w:pPr>
      <w:r w:rsidRPr="00530CFF">
        <w:rPr>
          <w:b/>
        </w:rPr>
        <w:t>Part 1 – Main amendments</w:t>
      </w:r>
    </w:p>
    <w:p w:rsidR="00170193" w:rsidRDefault="00170193" w:rsidP="00641B61">
      <w:pPr>
        <w:ind w:right="-46"/>
      </w:pPr>
    </w:p>
    <w:p w:rsidR="005F65C6" w:rsidRPr="005F65C6" w:rsidRDefault="005F65C6" w:rsidP="00641B61">
      <w:pPr>
        <w:ind w:right="-46"/>
        <w:rPr>
          <w:b/>
        </w:rPr>
      </w:pPr>
      <w:r w:rsidRPr="005F65C6">
        <w:rPr>
          <w:b/>
        </w:rPr>
        <w:t>Item 1</w:t>
      </w:r>
      <w:r w:rsidR="00E81C4E">
        <w:rPr>
          <w:b/>
        </w:rPr>
        <w:t xml:space="preserve"> – </w:t>
      </w:r>
      <w:r w:rsidR="00A5048E">
        <w:rPr>
          <w:b/>
        </w:rPr>
        <w:t>Part 11 (heading)</w:t>
      </w:r>
    </w:p>
    <w:p w:rsidR="00AB3E13" w:rsidRPr="00AB3E13" w:rsidRDefault="005854EE" w:rsidP="00F232B9">
      <w:pPr>
        <w:ind w:right="-46"/>
        <w:rPr>
          <w:szCs w:val="24"/>
        </w:rPr>
      </w:pPr>
      <w:r>
        <w:t>This item</w:t>
      </w:r>
      <w:r w:rsidR="00FE16A4">
        <w:t xml:space="preserve"> </w:t>
      </w:r>
      <w:r w:rsidR="00A5048E">
        <w:t>make</w:t>
      </w:r>
      <w:r>
        <w:t>s</w:t>
      </w:r>
      <w:r w:rsidR="00A5048E">
        <w:t xml:space="preserve"> a minor change to the current heading of Part 11 of the </w:t>
      </w:r>
      <w:r w:rsidR="00A5048E" w:rsidRPr="007B6BA6">
        <w:rPr>
          <w:i/>
        </w:rPr>
        <w:t>Therapeutic Goods (Medical Devices) Regulations 2002</w:t>
      </w:r>
      <w:r w:rsidR="00A5048E">
        <w:t xml:space="preserve"> (the Principal Regulations)</w:t>
      </w:r>
      <w:r w:rsidR="00165A6D">
        <w:t xml:space="preserve"> to </w:t>
      </w:r>
      <w:r w:rsidR="00A5048E">
        <w:t>accommodate item 2 below.</w:t>
      </w:r>
    </w:p>
    <w:p w:rsidR="00AB3E13" w:rsidRDefault="00AB3E13" w:rsidP="00641B61">
      <w:pPr>
        <w:pStyle w:val="ListParagraph"/>
        <w:ind w:left="0" w:right="-46"/>
        <w:rPr>
          <w:szCs w:val="24"/>
        </w:rPr>
      </w:pPr>
    </w:p>
    <w:p w:rsidR="00DC3CFF" w:rsidRPr="0073644B" w:rsidRDefault="0073644B" w:rsidP="002B4E61">
      <w:pPr>
        <w:keepNext/>
        <w:tabs>
          <w:tab w:val="left" w:pos="0"/>
        </w:tabs>
        <w:ind w:right="-45"/>
        <w:rPr>
          <w:b/>
        </w:rPr>
      </w:pPr>
      <w:r w:rsidRPr="0073644B">
        <w:rPr>
          <w:b/>
        </w:rPr>
        <w:t>Item 2</w:t>
      </w:r>
      <w:r w:rsidR="00E81C4E">
        <w:rPr>
          <w:b/>
        </w:rPr>
        <w:t xml:space="preserve"> – </w:t>
      </w:r>
      <w:r w:rsidR="00A5048E">
        <w:rPr>
          <w:b/>
        </w:rPr>
        <w:t>Before regulation 11.1 (new Division 11.1 – Transitional provisions relating to the Therapeutic Goods (Medical Devices) Amendment Regulations 2010 (No.1))</w:t>
      </w:r>
    </w:p>
    <w:p w:rsidR="0076440F" w:rsidRDefault="0076440F" w:rsidP="002B4E61">
      <w:pPr>
        <w:keepNext/>
        <w:ind w:right="-45"/>
      </w:pPr>
    </w:p>
    <w:p w:rsidR="00664BB1" w:rsidRDefault="0076440F">
      <w:pPr>
        <w:keepNext/>
        <w:ind w:right="-45"/>
        <w:rPr>
          <w:b/>
        </w:rPr>
      </w:pPr>
      <w:r w:rsidRPr="0076440F">
        <w:rPr>
          <w:b/>
        </w:rPr>
        <w:t>Summary of changes in item</w:t>
      </w:r>
    </w:p>
    <w:p w:rsidR="00017619" w:rsidRDefault="00017619" w:rsidP="00017619">
      <w:pPr>
        <w:ind w:right="-46"/>
      </w:pPr>
      <w:r>
        <w:t>This item introduce</w:t>
      </w:r>
      <w:r w:rsidR="005854EE">
        <w:t>s</w:t>
      </w:r>
      <w:r>
        <w:t xml:space="preserve"> a new Division 11.1 to replace</w:t>
      </w:r>
      <w:r w:rsidR="004278E1">
        <w:t>,</w:t>
      </w:r>
      <w:r>
        <w:t xml:space="preserve"> </w:t>
      </w:r>
      <w:r w:rsidR="006120B9">
        <w:t>from 1 July 2014</w:t>
      </w:r>
      <w:r w:rsidR="004278E1">
        <w:t>,</w:t>
      </w:r>
      <w:r w:rsidR="006120B9">
        <w:t xml:space="preserve"> </w:t>
      </w:r>
      <w:r>
        <w:t>the current transitional arrangements for in vitro diagnostic medical devices (IVDs)</w:t>
      </w:r>
      <w:r w:rsidR="00675578">
        <w:t xml:space="preserve"> - </w:t>
      </w:r>
      <w:r w:rsidR="00AB7F0B">
        <w:t xml:space="preserve">set out </w:t>
      </w:r>
      <w:r w:rsidR="00A007BE">
        <w:t>(</w:t>
      </w:r>
      <w:r w:rsidR="00530CFF" w:rsidRPr="00A007BE">
        <w:t>principally</w:t>
      </w:r>
      <w:r w:rsidR="00A007BE">
        <w:t>)</w:t>
      </w:r>
      <w:r w:rsidR="00675578">
        <w:t xml:space="preserve"> </w:t>
      </w:r>
      <w:r w:rsidR="00AB7F0B">
        <w:t xml:space="preserve">in the </w:t>
      </w:r>
      <w:r w:rsidR="00675578">
        <w:t>2010 MD Amendments</w:t>
      </w:r>
      <w:r>
        <w:t xml:space="preserve"> </w:t>
      </w:r>
      <w:r w:rsidR="009977B8">
        <w:t>–</w:t>
      </w:r>
      <w:r w:rsidR="00675578">
        <w:t xml:space="preserve"> </w:t>
      </w:r>
      <w:r w:rsidR="007F566C">
        <w:t>with</w:t>
      </w:r>
      <w:r w:rsidR="005854EE">
        <w:t xml:space="preserve"> </w:t>
      </w:r>
      <w:r w:rsidR="009977B8">
        <w:t>new</w:t>
      </w:r>
      <w:r>
        <w:t xml:space="preserve"> transitional </w:t>
      </w:r>
      <w:r w:rsidR="00D22029">
        <w:t xml:space="preserve">arrangements </w:t>
      </w:r>
      <w:r w:rsidR="001E6CE5">
        <w:t>(</w:t>
      </w:r>
      <w:r>
        <w:t xml:space="preserve">Schedule </w:t>
      </w:r>
      <w:r w:rsidR="006120B9">
        <w:t>3</w:t>
      </w:r>
      <w:r w:rsidR="00675578">
        <w:t xml:space="preserve"> </w:t>
      </w:r>
      <w:r w:rsidR="001E6CE5">
        <w:t>of this</w:t>
      </w:r>
      <w:r w:rsidR="00D675F0">
        <w:t xml:space="preserve"> Regulation</w:t>
      </w:r>
      <w:r>
        <w:t xml:space="preserve"> repeal</w:t>
      </w:r>
      <w:r w:rsidR="005854EE">
        <w:t>s</w:t>
      </w:r>
      <w:r>
        <w:t xml:space="preserve"> the 2010 MD Amendments</w:t>
      </w:r>
      <w:r w:rsidR="00AB7F0B">
        <w:t xml:space="preserve"> </w:t>
      </w:r>
      <w:r>
        <w:t>from the last moment in time on 30 June 2014</w:t>
      </w:r>
      <w:r w:rsidR="00162D8C">
        <w:t>,</w:t>
      </w:r>
      <w:r>
        <w:t xml:space="preserve"> to ensure a seamless changeover from the current</w:t>
      </w:r>
      <w:r w:rsidR="006A2A0B">
        <w:t>,</w:t>
      </w:r>
      <w:r>
        <w:t xml:space="preserve"> to the </w:t>
      </w:r>
      <w:r w:rsidR="007B6BA6">
        <w:t>new</w:t>
      </w:r>
      <w:r w:rsidR="006A2A0B">
        <w:t>,</w:t>
      </w:r>
      <w:r>
        <w:t xml:space="preserve"> </w:t>
      </w:r>
      <w:r w:rsidR="004278E1">
        <w:t xml:space="preserve">transitional </w:t>
      </w:r>
      <w:r>
        <w:t>arrangements</w:t>
      </w:r>
      <w:r w:rsidR="00964D82">
        <w:t>)</w:t>
      </w:r>
      <w:r w:rsidR="001E6CE5">
        <w:t>.</w:t>
      </w:r>
    </w:p>
    <w:p w:rsidR="00241990" w:rsidRDefault="00241990" w:rsidP="00017619">
      <w:pPr>
        <w:ind w:right="-46"/>
      </w:pPr>
    </w:p>
    <w:p w:rsidR="00931FCC" w:rsidRDefault="00241990" w:rsidP="00017619">
      <w:pPr>
        <w:ind w:right="-46"/>
      </w:pPr>
      <w:r>
        <w:t xml:space="preserve">The </w:t>
      </w:r>
      <w:r w:rsidR="00931FCC">
        <w:t>2010 MD Amendments introduced a new regulatory framework for IVDs under which these products are regulated as medical devices under Chapter 4 of the Act</w:t>
      </w:r>
      <w:r w:rsidR="00964D82">
        <w:t xml:space="preserve"> </w:t>
      </w:r>
      <w:r w:rsidR="00F34D6E">
        <w:t xml:space="preserve">rather than </w:t>
      </w:r>
      <w:r w:rsidR="00964D82">
        <w:t xml:space="preserve">as </w:t>
      </w:r>
      <w:r w:rsidR="00931FCC">
        <w:t>therapeutic devices</w:t>
      </w:r>
      <w:r w:rsidR="00964D82">
        <w:t xml:space="preserve"> </w:t>
      </w:r>
      <w:r w:rsidR="00931FCC">
        <w:t>under Part 3-2 of the Act</w:t>
      </w:r>
      <w:r w:rsidR="00964D82">
        <w:t xml:space="preserve">.  The </w:t>
      </w:r>
      <w:r w:rsidR="00BA71F2">
        <w:t xml:space="preserve">2010 TG Amendments made a number of consequential changes to the Therapeutic Goods Regulations 1990 </w:t>
      </w:r>
      <w:r w:rsidR="006C1571">
        <w:t>at the same time</w:t>
      </w:r>
      <w:r w:rsidR="00964D82">
        <w:t>.</w:t>
      </w:r>
      <w:r w:rsidR="00931FCC">
        <w:t xml:space="preserve"> </w:t>
      </w:r>
    </w:p>
    <w:p w:rsidR="00931FCC" w:rsidRDefault="00931FCC" w:rsidP="00017619">
      <w:pPr>
        <w:ind w:right="-46"/>
      </w:pPr>
    </w:p>
    <w:p w:rsidR="00790809" w:rsidRDefault="00931FCC" w:rsidP="00017619">
      <w:pPr>
        <w:ind w:right="-46"/>
      </w:pPr>
      <w:r>
        <w:t xml:space="preserve">The </w:t>
      </w:r>
      <w:r w:rsidR="005D7E4D">
        <w:t xml:space="preserve">transitional arrangements in the </w:t>
      </w:r>
      <w:r>
        <w:t>2010 MD Amendments</w:t>
      </w:r>
      <w:r w:rsidR="005D7E4D">
        <w:t xml:space="preserve"> </w:t>
      </w:r>
      <w:r w:rsidR="00B65455">
        <w:t>delayed the application of the new framework</w:t>
      </w:r>
      <w:r w:rsidR="002036F9">
        <w:t xml:space="preserve"> </w:t>
      </w:r>
      <w:r w:rsidR="00D55BAB">
        <w:t>(</w:t>
      </w:r>
      <w:r w:rsidR="002036F9">
        <w:t>set out in Schedule 1 to the 2010 MD Amendments</w:t>
      </w:r>
      <w:r w:rsidR="00D55BAB">
        <w:t>)</w:t>
      </w:r>
      <w:r w:rsidR="00790809">
        <w:t>:</w:t>
      </w:r>
    </w:p>
    <w:p w:rsidR="00790809" w:rsidRDefault="00B65455" w:rsidP="00BA190B">
      <w:pPr>
        <w:pStyle w:val="ListParagraph"/>
        <w:numPr>
          <w:ilvl w:val="0"/>
          <w:numId w:val="17"/>
        </w:numPr>
        <w:ind w:left="567" w:right="-46" w:hanging="283"/>
      </w:pPr>
      <w:r>
        <w:t xml:space="preserve">for </w:t>
      </w:r>
      <w:r w:rsidR="00114FA4">
        <w:t xml:space="preserve">IVDs </w:t>
      </w:r>
      <w:r w:rsidR="00964D82">
        <w:t xml:space="preserve">(commercial IVDs) </w:t>
      </w:r>
      <w:r w:rsidR="00114FA4">
        <w:t>that were in existence immediately before 1 July 2010</w:t>
      </w:r>
      <w:r w:rsidR="00246AE2">
        <w:t xml:space="preserve">, until </w:t>
      </w:r>
      <w:r w:rsidR="00033A3A">
        <w:t xml:space="preserve">(i.e. up to and including) </w:t>
      </w:r>
      <w:r w:rsidR="006F0BF0">
        <w:t>30 June 2014</w:t>
      </w:r>
      <w:r w:rsidR="00790809">
        <w:t>;</w:t>
      </w:r>
      <w:r w:rsidR="00033A3A">
        <w:t xml:space="preserve"> and</w:t>
      </w:r>
    </w:p>
    <w:p w:rsidR="00931FCC" w:rsidRDefault="00033A3A" w:rsidP="00BA190B">
      <w:pPr>
        <w:pStyle w:val="ListParagraph"/>
        <w:numPr>
          <w:ilvl w:val="0"/>
          <w:numId w:val="17"/>
        </w:numPr>
        <w:ind w:left="567" w:right="-46" w:hanging="283"/>
      </w:pPr>
      <w:r>
        <w:t xml:space="preserve">for </w:t>
      </w:r>
      <w:r w:rsidRPr="00790809">
        <w:rPr>
          <w:szCs w:val="24"/>
        </w:rPr>
        <w:t xml:space="preserve">in-house IVDs that were in existence immediately before 1 July 2010 and for in-house IVDs that came into existence during the period 1 July 2010 to 30 June 2014, </w:t>
      </w:r>
      <w:r w:rsidR="00790809">
        <w:rPr>
          <w:szCs w:val="24"/>
        </w:rPr>
        <w:t xml:space="preserve">until (i.e. up to and including) </w:t>
      </w:r>
      <w:r w:rsidR="00964D82">
        <w:rPr>
          <w:szCs w:val="24"/>
        </w:rPr>
        <w:t>30 June 2014</w:t>
      </w:r>
      <w:r w:rsidRPr="00790809">
        <w:rPr>
          <w:szCs w:val="24"/>
        </w:rPr>
        <w:t>.</w:t>
      </w:r>
    </w:p>
    <w:p w:rsidR="00964D82" w:rsidRDefault="00964D82" w:rsidP="00017619">
      <w:pPr>
        <w:ind w:right="-46"/>
      </w:pPr>
    </w:p>
    <w:p w:rsidR="00790809" w:rsidRDefault="00790809" w:rsidP="00017619">
      <w:pPr>
        <w:ind w:right="-46"/>
      </w:pPr>
      <w:r>
        <w:t xml:space="preserve">The principal effect of the amendments in item </w:t>
      </w:r>
      <w:r w:rsidR="005854EE">
        <w:t xml:space="preserve">2 </w:t>
      </w:r>
      <w:r w:rsidR="00AE590D">
        <w:t xml:space="preserve">is </w:t>
      </w:r>
      <w:r>
        <w:t xml:space="preserve">to extend this delayed application of the new framework </w:t>
      </w:r>
      <w:r w:rsidR="00D55BAB">
        <w:t xml:space="preserve">until 30 June 2015 </w:t>
      </w:r>
      <w:r>
        <w:t xml:space="preserve">for commercial IVDs, and </w:t>
      </w:r>
      <w:r w:rsidR="00D55BAB">
        <w:t xml:space="preserve">until 30 June 2017 </w:t>
      </w:r>
      <w:r>
        <w:t xml:space="preserve">for in-house IVDs </w:t>
      </w:r>
      <w:r w:rsidR="00D55BAB">
        <w:t xml:space="preserve">- </w:t>
      </w:r>
      <w:r w:rsidR="00964D82">
        <w:t>thus allow</w:t>
      </w:r>
      <w:r w:rsidR="00D55BAB">
        <w:t>ing</w:t>
      </w:r>
      <w:r w:rsidR="00964D82">
        <w:t xml:space="preserve"> them to continue to be supplied until the time they are included in the Register as medical devices under Chapter 4 of the Act</w:t>
      </w:r>
      <w:r>
        <w:t>.</w:t>
      </w:r>
      <w:r w:rsidR="00070936">
        <w:t xml:space="preserve">  </w:t>
      </w:r>
    </w:p>
    <w:p w:rsidR="00790809" w:rsidRDefault="00790809" w:rsidP="00017619">
      <w:pPr>
        <w:ind w:right="-46"/>
      </w:pPr>
    </w:p>
    <w:p w:rsidR="00B24834" w:rsidRDefault="00790809" w:rsidP="00017619">
      <w:pPr>
        <w:ind w:right="-46"/>
      </w:pPr>
      <w:r>
        <w:t xml:space="preserve">However, in order </w:t>
      </w:r>
      <w:r w:rsidR="00B24834">
        <w:t>to qualify for the</w:t>
      </w:r>
      <w:r w:rsidR="00685A64">
        <w:t xml:space="preserve"> full </w:t>
      </w:r>
      <w:r w:rsidR="00B24834">
        <w:t>extension:</w:t>
      </w:r>
    </w:p>
    <w:p w:rsidR="00B24834" w:rsidRDefault="00790809" w:rsidP="00BA190B">
      <w:pPr>
        <w:pStyle w:val="ListParagraph"/>
        <w:numPr>
          <w:ilvl w:val="0"/>
          <w:numId w:val="18"/>
        </w:numPr>
        <w:ind w:left="567" w:right="-46" w:hanging="283"/>
      </w:pPr>
      <w:r>
        <w:t>sponsor</w:t>
      </w:r>
      <w:r w:rsidR="00094C30">
        <w:t>s of</w:t>
      </w:r>
      <w:r>
        <w:t xml:space="preserve"> IVDs that are required under </w:t>
      </w:r>
      <w:r w:rsidR="00964D82">
        <w:t xml:space="preserve">regulation 4.1 of </w:t>
      </w:r>
      <w:r>
        <w:t xml:space="preserve">the Principal Regulations to obtain a conformity assessment certificate </w:t>
      </w:r>
      <w:r w:rsidR="002036F9">
        <w:t xml:space="preserve">from the TGA </w:t>
      </w:r>
      <w:r>
        <w:t>before an application can be m</w:t>
      </w:r>
      <w:r w:rsidR="00B24834">
        <w:t xml:space="preserve">ade for </w:t>
      </w:r>
      <w:r w:rsidR="00964D82">
        <w:t>inclusion of the IVD in the Register (and thus marketing approval)</w:t>
      </w:r>
      <w:r w:rsidR="00B24834">
        <w:t xml:space="preserve">, </w:t>
      </w:r>
      <w:r w:rsidR="00AE590D">
        <w:t>are</w:t>
      </w:r>
      <w:r w:rsidR="00B24834">
        <w:t xml:space="preserve"> required to</w:t>
      </w:r>
      <w:r>
        <w:t xml:space="preserve"> apply for</w:t>
      </w:r>
      <w:r w:rsidR="00B24834">
        <w:t xml:space="preserve"> such a certificate by a specified</w:t>
      </w:r>
      <w:r>
        <w:t xml:space="preserve"> deadline (for commercial IVDs,</w:t>
      </w:r>
      <w:r w:rsidR="00AE590D">
        <w:t xml:space="preserve"> this is</w:t>
      </w:r>
      <w:r w:rsidR="00B24834">
        <w:t xml:space="preserve"> 1 September 2014,</w:t>
      </w:r>
      <w:r>
        <w:t xml:space="preserve"> and for </w:t>
      </w:r>
      <w:r w:rsidR="00685A64">
        <w:t xml:space="preserve">Class 4 </w:t>
      </w:r>
      <w:r w:rsidR="00AE590D">
        <w:t>in-house IVDs this is</w:t>
      </w:r>
      <w:r>
        <w:t xml:space="preserve"> 1 July 2</w:t>
      </w:r>
      <w:r w:rsidR="00B24834">
        <w:t>016); and</w:t>
      </w:r>
    </w:p>
    <w:p w:rsidR="00790809" w:rsidRDefault="00B24834" w:rsidP="00BA190B">
      <w:pPr>
        <w:pStyle w:val="ListParagraph"/>
        <w:numPr>
          <w:ilvl w:val="0"/>
          <w:numId w:val="18"/>
        </w:numPr>
        <w:ind w:left="567" w:right="-46" w:hanging="283"/>
      </w:pPr>
      <w:r>
        <w:t xml:space="preserve">that </w:t>
      </w:r>
      <w:r w:rsidR="00685A64">
        <w:t xml:space="preserve">certificate </w:t>
      </w:r>
      <w:r w:rsidR="00D846D1">
        <w:t xml:space="preserve">is </w:t>
      </w:r>
      <w:r w:rsidR="00685A64">
        <w:t xml:space="preserve">issued </w:t>
      </w:r>
      <w:r w:rsidR="00964D82">
        <w:t>by the TGA</w:t>
      </w:r>
      <w:r w:rsidR="00790809">
        <w:t>.</w:t>
      </w:r>
    </w:p>
    <w:p w:rsidR="00790809" w:rsidRDefault="00790809" w:rsidP="00017619">
      <w:pPr>
        <w:ind w:right="-46"/>
      </w:pPr>
    </w:p>
    <w:p w:rsidR="00070936" w:rsidRDefault="00070936" w:rsidP="00070936">
      <w:pPr>
        <w:pStyle w:val="ListParagraph"/>
        <w:ind w:left="0" w:right="-46"/>
        <w:rPr>
          <w:szCs w:val="24"/>
        </w:rPr>
      </w:pPr>
      <w:r>
        <w:rPr>
          <w:szCs w:val="24"/>
        </w:rPr>
        <w:t xml:space="preserve">Regulation 4.1 of the Principal Regulations sets out which IVDs </w:t>
      </w:r>
      <w:r w:rsidR="001E6CE5">
        <w:rPr>
          <w:szCs w:val="24"/>
        </w:rPr>
        <w:t>must</w:t>
      </w:r>
      <w:r>
        <w:rPr>
          <w:szCs w:val="24"/>
        </w:rPr>
        <w:t xml:space="preserve"> have a conformity assessment certificate issue</w:t>
      </w:r>
      <w:r w:rsidR="00904CEF">
        <w:rPr>
          <w:szCs w:val="24"/>
        </w:rPr>
        <w:t>d</w:t>
      </w:r>
      <w:r>
        <w:rPr>
          <w:szCs w:val="24"/>
        </w:rPr>
        <w:t xml:space="preserve"> </w:t>
      </w:r>
      <w:r w:rsidR="002036F9">
        <w:rPr>
          <w:szCs w:val="24"/>
        </w:rPr>
        <w:t xml:space="preserve">by the TGA </w:t>
      </w:r>
      <w:r>
        <w:rPr>
          <w:szCs w:val="24"/>
        </w:rPr>
        <w:t>before an application for their inclusion in the Register can be made. The</w:t>
      </w:r>
      <w:r w:rsidR="001E6CE5">
        <w:rPr>
          <w:szCs w:val="24"/>
        </w:rPr>
        <w:t>se</w:t>
      </w:r>
      <w:r>
        <w:rPr>
          <w:szCs w:val="24"/>
        </w:rPr>
        <w:t xml:space="preserve"> </w:t>
      </w:r>
      <w:r w:rsidR="00685A64">
        <w:rPr>
          <w:szCs w:val="24"/>
        </w:rPr>
        <w:t xml:space="preserve">are </w:t>
      </w:r>
      <w:r>
        <w:rPr>
          <w:szCs w:val="24"/>
        </w:rPr>
        <w:t xml:space="preserve">IVDs manufactured in Australia </w:t>
      </w:r>
      <w:r w:rsidR="00567B57">
        <w:rPr>
          <w:szCs w:val="24"/>
        </w:rPr>
        <w:t>(</w:t>
      </w:r>
      <w:r>
        <w:rPr>
          <w:szCs w:val="24"/>
        </w:rPr>
        <w:t xml:space="preserve">other than Class 1 </w:t>
      </w:r>
      <w:r w:rsidR="00685A64">
        <w:rPr>
          <w:szCs w:val="24"/>
        </w:rPr>
        <w:t xml:space="preserve">commercial </w:t>
      </w:r>
      <w:r>
        <w:rPr>
          <w:szCs w:val="24"/>
        </w:rPr>
        <w:t xml:space="preserve">IVDs and </w:t>
      </w:r>
      <w:r w:rsidR="00A534DE">
        <w:rPr>
          <w:szCs w:val="24"/>
        </w:rPr>
        <w:t xml:space="preserve">Class 1-3 </w:t>
      </w:r>
      <w:r>
        <w:rPr>
          <w:szCs w:val="24"/>
        </w:rPr>
        <w:t>in-house IVDs)</w:t>
      </w:r>
      <w:r w:rsidR="001E6CE5">
        <w:rPr>
          <w:szCs w:val="24"/>
        </w:rPr>
        <w:t>,</w:t>
      </w:r>
      <w:r>
        <w:rPr>
          <w:szCs w:val="24"/>
        </w:rPr>
        <w:t xml:space="preserve"> and </w:t>
      </w:r>
      <w:r w:rsidR="002036F9">
        <w:rPr>
          <w:szCs w:val="24"/>
        </w:rPr>
        <w:t xml:space="preserve">all </w:t>
      </w:r>
      <w:r>
        <w:rPr>
          <w:szCs w:val="24"/>
        </w:rPr>
        <w:t xml:space="preserve">Class 4 IVDs.  </w:t>
      </w:r>
    </w:p>
    <w:p w:rsidR="00070936" w:rsidRDefault="00070936" w:rsidP="00017619">
      <w:pPr>
        <w:ind w:right="-46"/>
      </w:pPr>
    </w:p>
    <w:p w:rsidR="003F194C" w:rsidRDefault="00070936" w:rsidP="00017619">
      <w:pPr>
        <w:ind w:right="-46"/>
      </w:pPr>
      <w:r>
        <w:t xml:space="preserve">If the </w:t>
      </w:r>
      <w:r w:rsidR="00685A64">
        <w:t xml:space="preserve">conformity assessment </w:t>
      </w:r>
      <w:r>
        <w:t xml:space="preserve">certificate in relation to a commercial IVD was </w:t>
      </w:r>
      <w:r w:rsidR="00685A64">
        <w:t xml:space="preserve">issued </w:t>
      </w:r>
      <w:r>
        <w:t xml:space="preserve">by the TGA on or after 1 June 2015, an application for the inclusion of the relevant IVD </w:t>
      </w:r>
      <w:r w:rsidR="00685A64">
        <w:t xml:space="preserve">in the Register </w:t>
      </w:r>
      <w:r>
        <w:t>ha</w:t>
      </w:r>
      <w:r w:rsidR="00D846D1">
        <w:t>s</w:t>
      </w:r>
      <w:r>
        <w:t xml:space="preserve"> to be made within 30 days of the </w:t>
      </w:r>
      <w:r w:rsidR="00685A64">
        <w:t>issuing of the certificate</w:t>
      </w:r>
      <w:r>
        <w:t xml:space="preserve">.  If the </w:t>
      </w:r>
      <w:r w:rsidR="00685A64">
        <w:t xml:space="preserve">certificate </w:t>
      </w:r>
      <w:r>
        <w:t xml:space="preserve">in relation to a Class 4 in-house IVD </w:t>
      </w:r>
      <w:r w:rsidR="002036F9">
        <w:t xml:space="preserve">was issued </w:t>
      </w:r>
      <w:r>
        <w:t xml:space="preserve">on or after 1 June 2017, an application for the inclusion of the relevant IVD </w:t>
      </w:r>
      <w:r w:rsidR="00685A64">
        <w:t xml:space="preserve">in the Register </w:t>
      </w:r>
      <w:r>
        <w:t>ha</w:t>
      </w:r>
      <w:r w:rsidR="00D846D1">
        <w:t>s</w:t>
      </w:r>
      <w:r>
        <w:t xml:space="preserve"> to be made within 30 days of the </w:t>
      </w:r>
      <w:r w:rsidR="00685A64">
        <w:t>issuing of the certificate</w:t>
      </w:r>
      <w:r>
        <w:t xml:space="preserve">. </w:t>
      </w:r>
    </w:p>
    <w:p w:rsidR="003F194C" w:rsidRDefault="003F194C" w:rsidP="00017619">
      <w:pPr>
        <w:ind w:right="-46"/>
      </w:pPr>
    </w:p>
    <w:p w:rsidR="00964D82" w:rsidRDefault="00964D82" w:rsidP="00017619">
      <w:pPr>
        <w:ind w:right="-46"/>
      </w:pPr>
      <w:r>
        <w:t>For IVDs in relation to which a conformity assessment certificate is not required, an application for inclusion in the Register  ha</w:t>
      </w:r>
      <w:r w:rsidR="00C273B0">
        <w:t>s</w:t>
      </w:r>
      <w:r>
        <w:t xml:space="preserve"> to be made:</w:t>
      </w:r>
    </w:p>
    <w:p w:rsidR="00964D82" w:rsidRDefault="00964D82" w:rsidP="00203990">
      <w:pPr>
        <w:pStyle w:val="ListParagraph"/>
        <w:numPr>
          <w:ilvl w:val="0"/>
          <w:numId w:val="33"/>
        </w:numPr>
        <w:ind w:right="-46"/>
      </w:pPr>
      <w:r>
        <w:t>for commercial IVDs – by 1 July 2015; and</w:t>
      </w:r>
    </w:p>
    <w:p w:rsidR="00964D82" w:rsidRDefault="00964D82" w:rsidP="00203990">
      <w:pPr>
        <w:pStyle w:val="ListParagraph"/>
        <w:numPr>
          <w:ilvl w:val="0"/>
          <w:numId w:val="33"/>
        </w:numPr>
        <w:ind w:right="-46"/>
      </w:pPr>
      <w:r>
        <w:t xml:space="preserve">for in-house IVDs – by </w:t>
      </w:r>
      <w:r w:rsidR="00070936">
        <w:t>1 July 2017.</w:t>
      </w:r>
      <w:r>
        <w:t xml:space="preserve"> </w:t>
      </w:r>
    </w:p>
    <w:p w:rsidR="00964D82" w:rsidRDefault="00964D82" w:rsidP="00017619">
      <w:pPr>
        <w:ind w:right="-46"/>
      </w:pPr>
    </w:p>
    <w:p w:rsidR="00AB5698" w:rsidRPr="00C07192" w:rsidRDefault="00AB5698" w:rsidP="00641B61">
      <w:pPr>
        <w:ind w:right="-46"/>
      </w:pPr>
      <w:r w:rsidRPr="00C07192">
        <w:t>The basic rule underlying the provisions included in the Principal Regulations by i</w:t>
      </w:r>
      <w:r w:rsidR="00790809" w:rsidRPr="00C07192">
        <w:t xml:space="preserve">tem 2 </w:t>
      </w:r>
      <w:r w:rsidR="00021505">
        <w:t>is</w:t>
      </w:r>
      <w:r w:rsidRPr="00C07192">
        <w:t xml:space="preserve"> that commercial IVDs that are subject to the transitional arrangements </w:t>
      </w:r>
      <w:r w:rsidR="00567B57" w:rsidRPr="00C07192">
        <w:t>could</w:t>
      </w:r>
      <w:r w:rsidRPr="00C07192">
        <w:t xml:space="preserve"> continue to be supplied on and after 1 July 2014:</w:t>
      </w:r>
    </w:p>
    <w:p w:rsidR="00AB5698" w:rsidRPr="00C07192" w:rsidRDefault="00AB5698" w:rsidP="00203990">
      <w:pPr>
        <w:pStyle w:val="ListParagraph"/>
        <w:numPr>
          <w:ilvl w:val="0"/>
          <w:numId w:val="34"/>
        </w:numPr>
        <w:ind w:right="-46"/>
      </w:pPr>
      <w:r w:rsidRPr="00C07192">
        <w:t xml:space="preserve">if those IVDs were supplied for </w:t>
      </w:r>
      <w:r w:rsidR="00CC3CDD" w:rsidRPr="00C07192">
        <w:t xml:space="preserve">the purposes of an </w:t>
      </w:r>
      <w:r w:rsidRPr="00C07192">
        <w:t>approved or exempt clinical trial – until the clinical trial end</w:t>
      </w:r>
      <w:r w:rsidR="00CC3CDD" w:rsidRPr="00C07192">
        <w:t>s</w:t>
      </w:r>
      <w:r w:rsidR="00567B57" w:rsidRPr="00C07192">
        <w:t>;</w:t>
      </w:r>
    </w:p>
    <w:p w:rsidR="00B84D0C" w:rsidRPr="00C07192" w:rsidRDefault="005D7D61" w:rsidP="00B84D0C">
      <w:pPr>
        <w:pStyle w:val="ListParagraph"/>
        <w:numPr>
          <w:ilvl w:val="0"/>
          <w:numId w:val="34"/>
        </w:numPr>
        <w:ind w:left="709" w:right="-46"/>
      </w:pPr>
      <w:r w:rsidRPr="00C07192">
        <w:t>for all other commercial IVDs and Class 4 in-house IVDs – until</w:t>
      </w:r>
      <w:r w:rsidR="00B84D0C" w:rsidRPr="00C07192">
        <w:t>:</w:t>
      </w:r>
    </w:p>
    <w:p w:rsidR="00B84D0C" w:rsidRPr="00C07192" w:rsidRDefault="005D7D61" w:rsidP="007B6BA6">
      <w:pPr>
        <w:pStyle w:val="ListParagraph"/>
        <w:numPr>
          <w:ilvl w:val="0"/>
          <w:numId w:val="39"/>
        </w:numPr>
        <w:ind w:left="1134" w:right="-46" w:hanging="425"/>
      </w:pPr>
      <w:r w:rsidRPr="00C07192">
        <w:t>the IVD is included in the Register under Chapter 4 of the Act as a medical device</w:t>
      </w:r>
      <w:r w:rsidR="00631BFC" w:rsidRPr="00C07192">
        <w:t>;</w:t>
      </w:r>
    </w:p>
    <w:p w:rsidR="00B84D0C" w:rsidRPr="00C07192" w:rsidRDefault="005D7D61" w:rsidP="007B6BA6">
      <w:pPr>
        <w:pStyle w:val="ListParagraph"/>
        <w:numPr>
          <w:ilvl w:val="0"/>
          <w:numId w:val="39"/>
        </w:numPr>
        <w:ind w:left="1134" w:right="-46" w:hanging="425"/>
      </w:pPr>
      <w:r w:rsidRPr="00C07192">
        <w:t>it has been finally determined that a conformity assessment certificate will not be issued</w:t>
      </w:r>
      <w:r w:rsidR="00631BFC" w:rsidRPr="00C07192">
        <w:t>;</w:t>
      </w:r>
    </w:p>
    <w:p w:rsidR="00B84D0C" w:rsidRPr="00C07192" w:rsidRDefault="005D7D61" w:rsidP="007B6BA6">
      <w:pPr>
        <w:pStyle w:val="ListParagraph"/>
        <w:numPr>
          <w:ilvl w:val="0"/>
          <w:numId w:val="39"/>
        </w:numPr>
        <w:ind w:right="-46" w:hanging="11"/>
      </w:pPr>
      <w:r w:rsidRPr="00C07192">
        <w:t xml:space="preserve">an application for inclusion </w:t>
      </w:r>
      <w:r w:rsidR="002036F9" w:rsidRPr="00C07192">
        <w:t xml:space="preserve">of the device </w:t>
      </w:r>
      <w:r w:rsidRPr="00C07192">
        <w:t>in the Register is not made in time</w:t>
      </w:r>
      <w:r w:rsidR="00631BFC" w:rsidRPr="00C07192">
        <w:t>;</w:t>
      </w:r>
      <w:r w:rsidRPr="00C07192">
        <w:t xml:space="preserve"> or </w:t>
      </w:r>
    </w:p>
    <w:p w:rsidR="00AB5698" w:rsidRPr="00C07192" w:rsidRDefault="00B84D0C" w:rsidP="007B6BA6">
      <w:pPr>
        <w:pStyle w:val="ListParagraph"/>
        <w:numPr>
          <w:ilvl w:val="0"/>
          <w:numId w:val="39"/>
        </w:numPr>
        <w:ind w:right="-46" w:hanging="11"/>
      </w:pPr>
      <w:r w:rsidRPr="00C07192">
        <w:t xml:space="preserve">such an application </w:t>
      </w:r>
      <w:r w:rsidR="005D7D61" w:rsidRPr="00C07192">
        <w:t>is finally determined to be rejected.</w:t>
      </w:r>
    </w:p>
    <w:p w:rsidR="00AB5698" w:rsidRPr="00C07192" w:rsidRDefault="00AB5698" w:rsidP="00641B61">
      <w:pPr>
        <w:ind w:right="-46"/>
      </w:pPr>
    </w:p>
    <w:p w:rsidR="00CC3CDD" w:rsidRDefault="00AB5698" w:rsidP="00641B61">
      <w:pPr>
        <w:ind w:right="-46"/>
      </w:pPr>
      <w:r w:rsidRPr="00C07192">
        <w:t>The basi</w:t>
      </w:r>
      <w:r w:rsidR="00CC3CDD" w:rsidRPr="00C07192">
        <w:t>c</w:t>
      </w:r>
      <w:r w:rsidRPr="00C07192">
        <w:t xml:space="preserve"> rule in relation to </w:t>
      </w:r>
      <w:r w:rsidR="00CC3CDD" w:rsidRPr="00C07192">
        <w:t xml:space="preserve">Class 1, 2 and 3 </w:t>
      </w:r>
      <w:r w:rsidRPr="00C07192">
        <w:t>in-house IVDs</w:t>
      </w:r>
      <w:r w:rsidR="00CC3CDD" w:rsidRPr="00C07192">
        <w:t xml:space="preserve"> </w:t>
      </w:r>
      <w:r w:rsidR="00D55BAB" w:rsidRPr="00C07192">
        <w:t xml:space="preserve">- </w:t>
      </w:r>
      <w:r w:rsidR="00CC3CDD" w:rsidRPr="00C07192">
        <w:t>that do not require a conformity assessment certificate</w:t>
      </w:r>
      <w:r w:rsidR="00D55BAB" w:rsidRPr="00C07192">
        <w:t xml:space="preserve"> -</w:t>
      </w:r>
      <w:r w:rsidR="00CC3CDD" w:rsidRPr="00C07192">
        <w:t xml:space="preserve"> </w:t>
      </w:r>
      <w:r w:rsidR="0001133E">
        <w:t>is</w:t>
      </w:r>
      <w:r w:rsidRPr="00C07192">
        <w:t xml:space="preserve"> that </w:t>
      </w:r>
      <w:r w:rsidR="00CC3CDD" w:rsidRPr="00C07192">
        <w:t xml:space="preserve">they </w:t>
      </w:r>
      <w:r w:rsidR="00631BFC" w:rsidRPr="00C07192">
        <w:t>could not</w:t>
      </w:r>
      <w:r w:rsidR="00CC3CDD" w:rsidRPr="00C07192">
        <w:t xml:space="preserve"> be supplied after 1 July 2017 unless</w:t>
      </w:r>
      <w:r w:rsidR="002332E5" w:rsidRPr="00C07192">
        <w:t xml:space="preserve"> they</w:t>
      </w:r>
      <w:r w:rsidR="00CC3CDD" w:rsidRPr="00C07192">
        <w:t xml:space="preserve"> comply with the new IVD </w:t>
      </w:r>
      <w:r w:rsidR="00B8200A" w:rsidRPr="00C07192">
        <w:t>framework</w:t>
      </w:r>
      <w:r w:rsidR="00CC3CDD" w:rsidRPr="00C07192">
        <w:t xml:space="preserve"> </w:t>
      </w:r>
      <w:r w:rsidR="00685A64" w:rsidRPr="00C07192">
        <w:t xml:space="preserve">applying </w:t>
      </w:r>
      <w:r w:rsidR="00CC3CDD" w:rsidRPr="00C07192">
        <w:t>to them from that date.</w:t>
      </w:r>
    </w:p>
    <w:p w:rsidR="00AB5698" w:rsidRDefault="00AB5698" w:rsidP="00641B61">
      <w:pPr>
        <w:ind w:right="-46"/>
      </w:pPr>
    </w:p>
    <w:p w:rsidR="00790809" w:rsidRDefault="00FE3B28" w:rsidP="00641B61">
      <w:pPr>
        <w:ind w:right="-46"/>
      </w:pPr>
      <w:r>
        <w:t>The</w:t>
      </w:r>
      <w:r w:rsidR="0001133E">
        <w:t xml:space="preserve"> new Division 11.1</w:t>
      </w:r>
      <w:r>
        <w:t xml:space="preserve"> introduced by item 2 contains </w:t>
      </w:r>
      <w:r w:rsidR="00E84788">
        <w:t xml:space="preserve">new </w:t>
      </w:r>
      <w:r>
        <w:t>Subdivisions A –</w:t>
      </w:r>
      <w:r w:rsidR="00224802">
        <w:t xml:space="preserve"> F.  </w:t>
      </w:r>
    </w:p>
    <w:p w:rsidR="00790809" w:rsidRDefault="00790809" w:rsidP="00641B61">
      <w:pPr>
        <w:ind w:right="-46"/>
      </w:pPr>
    </w:p>
    <w:p w:rsidR="00152885" w:rsidRPr="00152885" w:rsidRDefault="00EE5D02" w:rsidP="00641B61">
      <w:pPr>
        <w:ind w:right="-46"/>
        <w:rPr>
          <w:b/>
        </w:rPr>
      </w:pPr>
      <w:r>
        <w:rPr>
          <w:b/>
        </w:rPr>
        <w:t xml:space="preserve">Subdivision A </w:t>
      </w:r>
      <w:r w:rsidR="000778B6">
        <w:rPr>
          <w:b/>
        </w:rPr>
        <w:t>–</w:t>
      </w:r>
      <w:r>
        <w:rPr>
          <w:b/>
        </w:rPr>
        <w:t xml:space="preserve"> Preliminary</w:t>
      </w:r>
      <w:r w:rsidR="000778B6">
        <w:rPr>
          <w:b/>
        </w:rPr>
        <w:t xml:space="preserve"> </w:t>
      </w:r>
    </w:p>
    <w:p w:rsidR="00CC1006" w:rsidRDefault="00EE5D02" w:rsidP="00C07192">
      <w:pPr>
        <w:pStyle w:val="ListParagraph"/>
        <w:ind w:left="0" w:right="-46"/>
      </w:pPr>
      <w:r w:rsidRPr="00AB6EB6">
        <w:t xml:space="preserve">This </w:t>
      </w:r>
      <w:r w:rsidR="0001133E">
        <w:t>Subdivision</w:t>
      </w:r>
      <w:r w:rsidR="00C3089C" w:rsidRPr="00AB6EB6">
        <w:t xml:space="preserve"> define</w:t>
      </w:r>
      <w:r w:rsidR="0001133E">
        <w:t>s</w:t>
      </w:r>
      <w:r w:rsidR="00C3089C" w:rsidRPr="00AB6EB6">
        <w:t xml:space="preserve"> a number of </w:t>
      </w:r>
      <w:r w:rsidR="00D05F3B" w:rsidRPr="00AB6EB6">
        <w:t xml:space="preserve">the </w:t>
      </w:r>
      <w:r w:rsidR="00C3089C" w:rsidRPr="00AB6EB6">
        <w:t>key terms used</w:t>
      </w:r>
      <w:r w:rsidR="00CF0BA5" w:rsidRPr="00AB6EB6">
        <w:t xml:space="preserve"> in new Division 11.</w:t>
      </w:r>
      <w:r w:rsidR="00713824" w:rsidRPr="003F194C" w:rsidDel="00713824">
        <w:t xml:space="preserve"> </w:t>
      </w:r>
      <w:r w:rsidR="00CC1006">
        <w:t xml:space="preserve"> </w:t>
      </w:r>
    </w:p>
    <w:p w:rsidR="00CC1006" w:rsidRDefault="00CC1006" w:rsidP="00C07192">
      <w:pPr>
        <w:pStyle w:val="ListParagraph"/>
        <w:ind w:left="0" w:right="-46"/>
      </w:pPr>
    </w:p>
    <w:p w:rsidR="00EE5D02" w:rsidRDefault="0001133E" w:rsidP="00641B61">
      <w:pPr>
        <w:ind w:right="-46"/>
      </w:pPr>
      <w:r>
        <w:t xml:space="preserve">This </w:t>
      </w:r>
      <w:r w:rsidR="00CC1006">
        <w:t>include</w:t>
      </w:r>
      <w:r>
        <w:t>s</w:t>
      </w:r>
      <w:r w:rsidR="00CC1006">
        <w:t xml:space="preserve"> a definition of </w:t>
      </w:r>
      <w:r w:rsidR="00B6261D" w:rsidRPr="00685A64">
        <w:t xml:space="preserve">‘transitional </w:t>
      </w:r>
      <w:r w:rsidR="00CC1006" w:rsidRPr="00685A64">
        <w:t>period’</w:t>
      </w:r>
      <w:r w:rsidR="00CC1006">
        <w:t xml:space="preserve"> and ‘transition day’, in relation to commercial and in-house IVDs.  </w:t>
      </w:r>
      <w:r w:rsidR="003C1EDF">
        <w:t>The</w:t>
      </w:r>
      <w:r w:rsidR="00653505">
        <w:t>se definitions reflect</w:t>
      </w:r>
      <w:r w:rsidR="000164AB">
        <w:t xml:space="preserve"> </w:t>
      </w:r>
      <w:r w:rsidR="003B3A6C">
        <w:t>that under t</w:t>
      </w:r>
      <w:r>
        <w:t>his</w:t>
      </w:r>
      <w:r w:rsidR="00D675F0">
        <w:t xml:space="preserve"> Regulation</w:t>
      </w:r>
      <w:r w:rsidR="00653505">
        <w:t xml:space="preserve"> the point at which</w:t>
      </w:r>
      <w:r w:rsidR="003B3A6C">
        <w:t xml:space="preserve"> a transitional </w:t>
      </w:r>
      <w:r w:rsidR="000E3EF9">
        <w:t xml:space="preserve">device </w:t>
      </w:r>
      <w:r w:rsidR="003B3A6C">
        <w:t>become</w:t>
      </w:r>
      <w:r w:rsidR="006127FC">
        <w:t>s</w:t>
      </w:r>
      <w:r w:rsidR="003B3A6C">
        <w:t xml:space="preserve"> subject to the new</w:t>
      </w:r>
      <w:r w:rsidR="00CF0BA5">
        <w:t xml:space="preserve"> IVD</w:t>
      </w:r>
      <w:r w:rsidR="003B3A6C">
        <w:t xml:space="preserve"> </w:t>
      </w:r>
      <w:r w:rsidR="00CF0BA5">
        <w:t xml:space="preserve">framework </w:t>
      </w:r>
      <w:r w:rsidR="003B3A6C">
        <w:t>differ</w:t>
      </w:r>
      <w:r w:rsidR="006127FC">
        <w:t>s</w:t>
      </w:r>
      <w:r w:rsidR="003B3A6C">
        <w:t xml:space="preserve"> depending on</w:t>
      </w:r>
      <w:r w:rsidR="00CF0BA5">
        <w:t xml:space="preserve"> a number of factors.</w:t>
      </w:r>
      <w:r w:rsidR="001B107C">
        <w:t xml:space="preserve">  </w:t>
      </w:r>
      <w:r w:rsidR="00CF0BA5">
        <w:t xml:space="preserve">These include, for example, </w:t>
      </w:r>
      <w:r w:rsidR="003B47E0">
        <w:t>whether</w:t>
      </w:r>
      <w:r w:rsidR="001B107C">
        <w:t xml:space="preserve"> </w:t>
      </w:r>
      <w:r w:rsidR="003B3A6C">
        <w:t xml:space="preserve">a conformity assessment certificate is required before an application can be made to include </w:t>
      </w:r>
      <w:r w:rsidR="00685A64">
        <w:t xml:space="preserve">the device </w:t>
      </w:r>
      <w:r w:rsidR="003B3A6C">
        <w:t>in the Register</w:t>
      </w:r>
      <w:r w:rsidR="00963320">
        <w:t xml:space="preserve"> under Chapter 4 of the Act</w:t>
      </w:r>
      <w:r w:rsidR="003B3A6C">
        <w:t>, whether</w:t>
      </w:r>
      <w:r w:rsidR="00CF0BA5">
        <w:t xml:space="preserve"> </w:t>
      </w:r>
      <w:r w:rsidR="001B107C">
        <w:t xml:space="preserve">an application is made for a certificate </w:t>
      </w:r>
      <w:r w:rsidR="00CF0BA5">
        <w:t xml:space="preserve">by the </w:t>
      </w:r>
      <w:r w:rsidR="00B95637">
        <w:t>date as set out in the r</w:t>
      </w:r>
      <w:r w:rsidR="001B107C">
        <w:t xml:space="preserve">egulation, and whether an application for inclusion of the </w:t>
      </w:r>
      <w:r w:rsidR="00685A64">
        <w:t xml:space="preserve">device </w:t>
      </w:r>
      <w:r w:rsidR="001B107C">
        <w:t xml:space="preserve">in the Register is made by the date </w:t>
      </w:r>
      <w:r w:rsidR="0008546D">
        <w:t>required under</w:t>
      </w:r>
      <w:r w:rsidR="001B107C">
        <w:t xml:space="preserve"> the </w:t>
      </w:r>
      <w:r w:rsidR="00B95637">
        <w:t>r</w:t>
      </w:r>
      <w:r w:rsidR="00D675F0">
        <w:t>egulation</w:t>
      </w:r>
      <w:r w:rsidR="003B3A6C" w:rsidRPr="0008546D">
        <w:t>.</w:t>
      </w:r>
      <w:r w:rsidR="00CF0BA5" w:rsidRPr="0008546D">
        <w:t xml:space="preserve">  </w:t>
      </w:r>
      <w:r w:rsidR="006D45EC" w:rsidRPr="0008546D">
        <w:t>R</w:t>
      </w:r>
      <w:r w:rsidR="00CF0BA5" w:rsidRPr="0008546D">
        <w:t>egulations 11.</w:t>
      </w:r>
      <w:r w:rsidR="002B4E61">
        <w:t>8</w:t>
      </w:r>
      <w:r w:rsidR="00CF0BA5" w:rsidRPr="0008546D">
        <w:t>-11.</w:t>
      </w:r>
      <w:r w:rsidR="002B4E61">
        <w:t>10</w:t>
      </w:r>
      <w:r w:rsidR="00CF0BA5" w:rsidRPr="0008546D">
        <w:t>, 11.1</w:t>
      </w:r>
      <w:r w:rsidR="002B4E61">
        <w:t>4</w:t>
      </w:r>
      <w:r w:rsidR="00CF0BA5" w:rsidRPr="0008546D">
        <w:t>, 11.1</w:t>
      </w:r>
      <w:r w:rsidR="002B4E61">
        <w:t>7</w:t>
      </w:r>
      <w:r w:rsidR="00CF0BA5" w:rsidRPr="0008546D">
        <w:t>-11.1</w:t>
      </w:r>
      <w:r w:rsidR="002B4E61">
        <w:t>9</w:t>
      </w:r>
      <w:r w:rsidR="00CF0BA5" w:rsidRPr="0008546D">
        <w:t xml:space="preserve"> and 11.2</w:t>
      </w:r>
      <w:r w:rsidR="002B4E61">
        <w:t>1</w:t>
      </w:r>
      <w:r w:rsidR="00CF0BA5">
        <w:t xml:space="preserve"> set out a range of different </w:t>
      </w:r>
      <w:r w:rsidR="001B107C">
        <w:t>dates for these purposes</w:t>
      </w:r>
      <w:r w:rsidR="00CF0BA5">
        <w:t>.</w:t>
      </w:r>
      <w:r w:rsidR="003B3A6C">
        <w:t xml:space="preserve"> </w:t>
      </w:r>
    </w:p>
    <w:p w:rsidR="00EE5D02" w:rsidRDefault="00EE5D02" w:rsidP="00641B61">
      <w:pPr>
        <w:ind w:right="-46"/>
      </w:pPr>
    </w:p>
    <w:p w:rsidR="00E14C2F" w:rsidRPr="00C07192" w:rsidRDefault="00B95637" w:rsidP="00641B61">
      <w:pPr>
        <w:ind w:right="-46"/>
      </w:pPr>
      <w:r>
        <w:t>R</w:t>
      </w:r>
      <w:r w:rsidR="00530CFF" w:rsidRPr="0008546D">
        <w:t>egulation 11.1 s</w:t>
      </w:r>
      <w:r w:rsidR="00530CFF" w:rsidRPr="00530CFF">
        <w:t xml:space="preserve">ets out when an application is taken to be ‘finally determined’ – it is the first time that both the following conditions are met - when a decision has been made </w:t>
      </w:r>
      <w:r w:rsidR="00530CFF" w:rsidRPr="0058666F">
        <w:t>not</w:t>
      </w:r>
      <w:r w:rsidR="00530CFF" w:rsidRPr="00530CFF">
        <w:t xml:space="preserve"> to grant the application and there is no longer any possibility of a change in the outcome </w:t>
      </w:r>
      <w:r w:rsidR="00530CFF" w:rsidRPr="00C07192">
        <w:t>of the decision.  For instance:</w:t>
      </w:r>
    </w:p>
    <w:p w:rsidR="00E14C2F" w:rsidRPr="00C07192" w:rsidRDefault="00530CFF" w:rsidP="00D55BAB">
      <w:pPr>
        <w:pStyle w:val="ListParagraph"/>
        <w:numPr>
          <w:ilvl w:val="0"/>
          <w:numId w:val="35"/>
        </w:numPr>
        <w:ind w:right="-46"/>
      </w:pPr>
      <w:r w:rsidRPr="00C07192">
        <w:t xml:space="preserve">if there is an initial decision by the TGA to reject an application for a conformity assessment certificate under the </w:t>
      </w:r>
      <w:r w:rsidR="00B95637">
        <w:t>r</w:t>
      </w:r>
      <w:r w:rsidR="00D675F0" w:rsidRPr="00C07192">
        <w:t>egulation</w:t>
      </w:r>
      <w:r w:rsidRPr="00C07192">
        <w:t xml:space="preserve">s, that decision </w:t>
      </w:r>
      <w:r w:rsidR="006127FC">
        <w:t>is</w:t>
      </w:r>
      <w:r w:rsidRPr="00C07192">
        <w:t xml:space="preserve"> ‘finally determined’ </w:t>
      </w:r>
      <w:r w:rsidR="00685A64" w:rsidRPr="00C07192">
        <w:t xml:space="preserve">(see for instance </w:t>
      </w:r>
      <w:r w:rsidR="00C047EF" w:rsidRPr="00C07192">
        <w:t>sub</w:t>
      </w:r>
      <w:r w:rsidR="00D675F0" w:rsidRPr="00C07192">
        <w:t>regulation</w:t>
      </w:r>
      <w:r w:rsidR="00685A64" w:rsidRPr="00C07192">
        <w:t xml:space="preserve"> 11.7(8)) </w:t>
      </w:r>
      <w:r w:rsidRPr="00C07192">
        <w:t xml:space="preserve">if the unsuccessful applicant had not sought an internal review of that decision under section 60 of the Act within the 90 days allowed </w:t>
      </w:r>
      <w:r w:rsidR="00643FCA" w:rsidRPr="00C07192">
        <w:t xml:space="preserve">for </w:t>
      </w:r>
      <w:r w:rsidRPr="00C07192">
        <w:t>under that section</w:t>
      </w:r>
      <w:r w:rsidR="00247B0A" w:rsidRPr="00C07192">
        <w:t>;</w:t>
      </w:r>
      <w:r w:rsidRPr="00C07192">
        <w:t xml:space="preserve"> </w:t>
      </w:r>
      <w:r w:rsidR="000C3EAE" w:rsidRPr="00C07192">
        <w:t>and</w:t>
      </w:r>
    </w:p>
    <w:p w:rsidR="00FA2DDD" w:rsidRPr="00C07192" w:rsidRDefault="00530CFF" w:rsidP="003F194C">
      <w:pPr>
        <w:pStyle w:val="ListParagraph"/>
        <w:numPr>
          <w:ilvl w:val="0"/>
          <w:numId w:val="35"/>
        </w:numPr>
        <w:ind w:right="-46"/>
      </w:pPr>
      <w:r w:rsidRPr="00C07192">
        <w:t xml:space="preserve">if there is a decision by the TGA to reject an application to include an IVD in the Register and the unsuccessful applicant seeks </w:t>
      </w:r>
      <w:r w:rsidR="00247B0A" w:rsidRPr="00C07192">
        <w:t xml:space="preserve">an </w:t>
      </w:r>
      <w:r w:rsidRPr="00C07192">
        <w:t xml:space="preserve">internal review under section 60 of the Act and is again unsuccessful, the decision </w:t>
      </w:r>
      <w:r w:rsidR="006127FC">
        <w:t xml:space="preserve">is </w:t>
      </w:r>
      <w:r w:rsidR="00963320" w:rsidRPr="00C07192">
        <w:t xml:space="preserve">only </w:t>
      </w:r>
      <w:r w:rsidRPr="00C07192">
        <w:t xml:space="preserve">‘finally determined’ </w:t>
      </w:r>
      <w:r w:rsidR="00963320" w:rsidRPr="00C07192">
        <w:t xml:space="preserve">if </w:t>
      </w:r>
      <w:r w:rsidRPr="00C07192">
        <w:t xml:space="preserve">either the applicant had not sought to have that decision reviewed by the Administrative Appeals Tribunal (AAT) within the 28 days </w:t>
      </w:r>
      <w:r w:rsidR="00643FCA" w:rsidRPr="00C07192">
        <w:t>provided for</w:t>
      </w:r>
      <w:r w:rsidRPr="00C07192">
        <w:t xml:space="preserve"> under the </w:t>
      </w:r>
      <w:r w:rsidRPr="00C07192">
        <w:rPr>
          <w:i/>
        </w:rPr>
        <w:t>Administrative Appeals Tribunal Act 1975</w:t>
      </w:r>
      <w:r w:rsidR="00C047EF" w:rsidRPr="00C07192">
        <w:t>,</w:t>
      </w:r>
      <w:r w:rsidRPr="00C07192">
        <w:t xml:space="preserve"> or </w:t>
      </w:r>
      <w:r w:rsidR="00C047EF" w:rsidRPr="00C07192">
        <w:t>had done so and</w:t>
      </w:r>
      <w:r w:rsidR="00D47BDD" w:rsidRPr="00C07192">
        <w:t xml:space="preserve"> </w:t>
      </w:r>
      <w:r w:rsidRPr="00C07192">
        <w:t>the AAT had decided to uphold the internal review decision</w:t>
      </w:r>
      <w:r w:rsidR="000C3EAE" w:rsidRPr="00C07192">
        <w:t>.</w:t>
      </w:r>
      <w:r w:rsidR="00685A64" w:rsidRPr="00C07192">
        <w:t xml:space="preserve"> </w:t>
      </w:r>
    </w:p>
    <w:p w:rsidR="007D6F8C" w:rsidRPr="00C07192" w:rsidRDefault="007D6F8C" w:rsidP="00641B61">
      <w:pPr>
        <w:ind w:right="-46"/>
      </w:pPr>
    </w:p>
    <w:p w:rsidR="007D6F8C" w:rsidRPr="00C07192" w:rsidRDefault="007D6F8C" w:rsidP="00641B61">
      <w:pPr>
        <w:ind w:right="-46"/>
      </w:pPr>
      <w:r w:rsidRPr="00C07192">
        <w:t xml:space="preserve">The concept of an application being ‘finally determined’ </w:t>
      </w:r>
      <w:r w:rsidR="006127FC">
        <w:t xml:space="preserve">is </w:t>
      </w:r>
      <w:r w:rsidRPr="00C07192">
        <w:t xml:space="preserve">not relevant if at any time the application is successful </w:t>
      </w:r>
      <w:r w:rsidR="002A1A9E" w:rsidRPr="00C07192">
        <w:t>i.e.</w:t>
      </w:r>
      <w:r w:rsidRPr="00C07192">
        <w:t xml:space="preserve"> the conformity assessment certificate is granted or the relevant IVD is included in the Register.  </w:t>
      </w:r>
    </w:p>
    <w:p w:rsidR="00FC6E1F" w:rsidRPr="00C07192" w:rsidRDefault="00FC6E1F" w:rsidP="00641B61">
      <w:pPr>
        <w:ind w:right="-46"/>
      </w:pPr>
    </w:p>
    <w:p w:rsidR="00FC6E1F" w:rsidRPr="00C07192" w:rsidRDefault="005713B2" w:rsidP="00641B61">
      <w:pPr>
        <w:ind w:right="-46"/>
      </w:pPr>
      <w:r w:rsidRPr="00C07192">
        <w:t>Regulation 11.2</w:t>
      </w:r>
      <w:r w:rsidR="00FC6E1F" w:rsidRPr="00C07192">
        <w:t xml:space="preserve"> make</w:t>
      </w:r>
      <w:r w:rsidR="009B72C6">
        <w:t>s</w:t>
      </w:r>
      <w:r w:rsidR="00FC6E1F" w:rsidRPr="00C07192">
        <w:t xml:space="preserve"> it clear that the amendments made by Schedule 1 of the 2010 MD Amendments apply for all purposes on and after 1 July 2014 to:</w:t>
      </w:r>
    </w:p>
    <w:p w:rsidR="00664BB1" w:rsidRPr="00C07192" w:rsidRDefault="00FC6E1F">
      <w:pPr>
        <w:pStyle w:val="ListParagraph"/>
        <w:numPr>
          <w:ilvl w:val="0"/>
          <w:numId w:val="37"/>
        </w:numPr>
        <w:ind w:right="-46"/>
      </w:pPr>
      <w:r w:rsidRPr="00C07192">
        <w:t xml:space="preserve">transitional devices that, between 1 July 2010 and 30 June 2014, were included in the Register as medical devices (in other words, that had already made the transition to the new IVD framework) </w:t>
      </w:r>
      <w:r w:rsidR="00685A64" w:rsidRPr="00C07192">
        <w:rPr>
          <w:rFonts w:ascii="Times" w:hAnsi="Times"/>
          <w:szCs w:val="24"/>
        </w:rPr>
        <w:t xml:space="preserve">or in relation to which a decision made to reject an application to include them in the Register as medical devices </w:t>
      </w:r>
      <w:r w:rsidR="00A849D2" w:rsidRPr="00C07192">
        <w:rPr>
          <w:rFonts w:ascii="Times" w:hAnsi="Times"/>
          <w:szCs w:val="24"/>
        </w:rPr>
        <w:t xml:space="preserve">had been </w:t>
      </w:r>
      <w:r w:rsidR="00685A64" w:rsidRPr="00C07192">
        <w:rPr>
          <w:rFonts w:ascii="Times" w:hAnsi="Times"/>
          <w:szCs w:val="24"/>
        </w:rPr>
        <w:t>finally determined</w:t>
      </w:r>
      <w:r w:rsidR="00685A64" w:rsidRPr="00C07192">
        <w:t xml:space="preserve"> </w:t>
      </w:r>
      <w:r w:rsidRPr="00C07192">
        <w:t>during that period, and</w:t>
      </w:r>
    </w:p>
    <w:p w:rsidR="00664BB1" w:rsidRPr="00C07192" w:rsidRDefault="00FC6E1F">
      <w:pPr>
        <w:pStyle w:val="ListParagraph"/>
        <w:numPr>
          <w:ilvl w:val="0"/>
          <w:numId w:val="37"/>
        </w:numPr>
        <w:ind w:right="-46"/>
      </w:pPr>
      <w:r w:rsidRPr="00C07192">
        <w:t xml:space="preserve">any IVD that is not a transitional device </w:t>
      </w:r>
      <w:r w:rsidR="00A849D2" w:rsidRPr="00C07192">
        <w:t>(</w:t>
      </w:r>
      <w:r w:rsidR="002A1A9E" w:rsidRPr="00C07192">
        <w:t>i.e.</w:t>
      </w:r>
      <w:r w:rsidRPr="00C07192">
        <w:t xml:space="preserve"> a commercial device</w:t>
      </w:r>
      <w:r w:rsidR="00A849D2" w:rsidRPr="00C07192">
        <w:t>)</w:t>
      </w:r>
      <w:r w:rsidRPr="00C07192">
        <w:t xml:space="preserve"> that came into existence on or after 1 July 2010. </w:t>
      </w:r>
    </w:p>
    <w:p w:rsidR="007D6F8C" w:rsidRPr="00C07192" w:rsidRDefault="00FC6E1F" w:rsidP="00641B61">
      <w:pPr>
        <w:ind w:right="-46"/>
      </w:pPr>
      <w:r w:rsidRPr="00C07192">
        <w:t xml:space="preserve">(All in-house IVDs are taken to be ‘transitional devices’, irrespective of when they come into </w:t>
      </w:r>
      <w:r w:rsidR="00685A64" w:rsidRPr="00C07192">
        <w:t xml:space="preserve">existence </w:t>
      </w:r>
      <w:r w:rsidRPr="00C07192">
        <w:t>and are covered by Subdivisions E and F</w:t>
      </w:r>
      <w:r w:rsidR="00685A64" w:rsidRPr="00C07192">
        <w:t xml:space="preserve"> – see paragraphs (a) to (d) of the definition of ‘transitional device’ in </w:t>
      </w:r>
      <w:r w:rsidR="003C353C" w:rsidRPr="00C07192">
        <w:t>sub</w:t>
      </w:r>
      <w:r w:rsidR="00D675F0" w:rsidRPr="00C07192">
        <w:t>regulation</w:t>
      </w:r>
      <w:r w:rsidR="00685A64" w:rsidRPr="00C07192">
        <w:t xml:space="preserve"> 11.1(1)</w:t>
      </w:r>
      <w:r w:rsidRPr="00C07192">
        <w:t xml:space="preserve">.)  </w:t>
      </w:r>
    </w:p>
    <w:p w:rsidR="00FC6E1F" w:rsidRPr="00C07192" w:rsidRDefault="00FC6E1F" w:rsidP="00641B61">
      <w:pPr>
        <w:ind w:right="-46"/>
      </w:pPr>
    </w:p>
    <w:p w:rsidR="00EE5D02" w:rsidRPr="00C07192" w:rsidRDefault="004E2FFF" w:rsidP="00641B61">
      <w:pPr>
        <w:ind w:right="-46"/>
        <w:rPr>
          <w:b/>
        </w:rPr>
      </w:pPr>
      <w:r w:rsidRPr="00C07192">
        <w:rPr>
          <w:b/>
        </w:rPr>
        <w:t>Subdivision B – General provisions relating to transitional devices</w:t>
      </w:r>
      <w:r w:rsidR="000778B6" w:rsidRPr="00C07192">
        <w:rPr>
          <w:b/>
        </w:rPr>
        <w:t xml:space="preserve"> </w:t>
      </w:r>
    </w:p>
    <w:p w:rsidR="00EE5D02" w:rsidRPr="00C07192" w:rsidRDefault="00CC7CCD" w:rsidP="00641B61">
      <w:pPr>
        <w:ind w:right="-46"/>
      </w:pPr>
      <w:r w:rsidRPr="00C07192">
        <w:t>This S</w:t>
      </w:r>
      <w:r w:rsidR="00D111A9" w:rsidRPr="00C07192">
        <w:t xml:space="preserve">ubdivision </w:t>
      </w:r>
      <w:r w:rsidR="009B72C6">
        <w:t>s</w:t>
      </w:r>
      <w:r w:rsidR="00685A64" w:rsidRPr="00C07192">
        <w:t>et</w:t>
      </w:r>
      <w:r w:rsidR="009B72C6">
        <w:t>s</w:t>
      </w:r>
      <w:r w:rsidR="00685A64" w:rsidRPr="00C07192">
        <w:t xml:space="preserve"> out a number of matters </w:t>
      </w:r>
      <w:r w:rsidR="00D56530" w:rsidRPr="00C07192">
        <w:t xml:space="preserve">relating to transitional </w:t>
      </w:r>
      <w:r w:rsidR="000E3EF9" w:rsidRPr="00C07192">
        <w:t xml:space="preserve">devices </w:t>
      </w:r>
      <w:r w:rsidR="00762190" w:rsidRPr="00C07192">
        <w:t>during the transitional period.</w:t>
      </w:r>
    </w:p>
    <w:p w:rsidR="00FC6E1F" w:rsidRPr="00C07192" w:rsidRDefault="00FC6E1F" w:rsidP="00FC6E1F">
      <w:pPr>
        <w:ind w:right="-46"/>
      </w:pPr>
    </w:p>
    <w:p w:rsidR="00C24B74" w:rsidRPr="00C07192" w:rsidRDefault="00207993" w:rsidP="00C24B74">
      <w:pPr>
        <w:keepNext/>
        <w:ind w:right="-45"/>
        <w:rPr>
          <w:b/>
        </w:rPr>
      </w:pPr>
      <w:r w:rsidRPr="00C07192">
        <w:rPr>
          <w:b/>
        </w:rPr>
        <w:t>Exemption from inclusion in the Register</w:t>
      </w:r>
      <w:r w:rsidR="003A45A9" w:rsidRPr="00C07192">
        <w:rPr>
          <w:b/>
        </w:rPr>
        <w:t>, and application of conformity assessment procedures,</w:t>
      </w:r>
      <w:r w:rsidRPr="00C07192">
        <w:rPr>
          <w:b/>
        </w:rPr>
        <w:t xml:space="preserve"> during transitional period</w:t>
      </w:r>
    </w:p>
    <w:p w:rsidR="00EE5D02" w:rsidRPr="00C07192" w:rsidRDefault="00CC7CCD" w:rsidP="00641B61">
      <w:pPr>
        <w:ind w:right="-46"/>
      </w:pPr>
      <w:r w:rsidRPr="00C07192">
        <w:t>S</w:t>
      </w:r>
      <w:r w:rsidR="009A5E37" w:rsidRPr="00C07192">
        <w:t>ubdivision B</w:t>
      </w:r>
      <w:r w:rsidR="00650C21">
        <w:t xml:space="preserve"> </w:t>
      </w:r>
      <w:r w:rsidR="00762190" w:rsidRPr="00C07192">
        <w:t>make</w:t>
      </w:r>
      <w:r w:rsidR="00650C21">
        <w:t>s</w:t>
      </w:r>
      <w:r w:rsidR="00762190" w:rsidRPr="00C07192">
        <w:t xml:space="preserve"> it clear that transitional </w:t>
      </w:r>
      <w:r w:rsidR="000E3EF9" w:rsidRPr="00C07192">
        <w:t xml:space="preserve">devices </w:t>
      </w:r>
      <w:r w:rsidR="00762190" w:rsidRPr="00C07192">
        <w:t>are exempt</w:t>
      </w:r>
      <w:r w:rsidR="009A5E37" w:rsidRPr="00C07192">
        <w:t>, under section 41HA of the Act</w:t>
      </w:r>
      <w:r w:rsidR="006D45EC" w:rsidRPr="00C07192">
        <w:t xml:space="preserve"> and </w:t>
      </w:r>
      <w:r w:rsidR="009A5E37" w:rsidRPr="00C07192">
        <w:t xml:space="preserve">subregulation </w:t>
      </w:r>
      <w:r w:rsidR="005713B2" w:rsidRPr="00C07192">
        <w:t>11.</w:t>
      </w:r>
      <w:r w:rsidR="004F09F1" w:rsidRPr="00C07192">
        <w:t>4</w:t>
      </w:r>
      <w:r w:rsidR="005713B2" w:rsidRPr="00C07192">
        <w:t>(1),</w:t>
      </w:r>
      <w:r w:rsidR="00762190" w:rsidRPr="00C07192">
        <w:t xml:space="preserve"> from the requirement to be included in the Register </w:t>
      </w:r>
      <w:r w:rsidR="00871B1F" w:rsidRPr="00C07192">
        <w:t>as a medical device under Chapter 4 of the Act during the transition period for the device.</w:t>
      </w:r>
      <w:r w:rsidR="00A849D2" w:rsidRPr="00C07192">
        <w:t xml:space="preserve">  This is to ensure that provisions in Chapter 4 of the Act that otherwise apply to the device do not apply </w:t>
      </w:r>
      <w:r w:rsidR="007170EC" w:rsidRPr="00C07192">
        <w:t xml:space="preserve">for so long as it is </w:t>
      </w:r>
      <w:r w:rsidR="00D47BDD" w:rsidRPr="00C07192">
        <w:t>with</w:t>
      </w:r>
      <w:r w:rsidR="007170EC" w:rsidRPr="00C07192">
        <w:t>in the transitional period for the device as described above.</w:t>
      </w:r>
    </w:p>
    <w:p w:rsidR="0023324E" w:rsidRPr="00C07192" w:rsidRDefault="0023324E" w:rsidP="00641B61">
      <w:pPr>
        <w:ind w:right="-46"/>
      </w:pPr>
    </w:p>
    <w:p w:rsidR="0023324E" w:rsidRPr="00C07192" w:rsidRDefault="0023324E" w:rsidP="00641B61">
      <w:pPr>
        <w:ind w:right="-46"/>
      </w:pPr>
      <w:r w:rsidRPr="00C07192">
        <w:t>It is important to note</w:t>
      </w:r>
      <w:r w:rsidR="00D47BDD" w:rsidRPr="00C07192">
        <w:t>, however,</w:t>
      </w:r>
      <w:r w:rsidRPr="00C07192">
        <w:t xml:space="preserve"> that this </w:t>
      </w:r>
      <w:r w:rsidR="00971D47">
        <w:t xml:space="preserve">does </w:t>
      </w:r>
      <w:r w:rsidRPr="00C07192">
        <w:t xml:space="preserve">not preclude </w:t>
      </w:r>
      <w:r w:rsidR="00A75488" w:rsidRPr="00C07192">
        <w:t xml:space="preserve">sponsors of </w:t>
      </w:r>
      <w:r w:rsidRPr="00C07192">
        <w:t xml:space="preserve">transitional </w:t>
      </w:r>
      <w:r w:rsidR="000E3EF9" w:rsidRPr="00C07192">
        <w:t xml:space="preserve">devices </w:t>
      </w:r>
      <w:r w:rsidRPr="00C07192">
        <w:t xml:space="preserve">from </w:t>
      </w:r>
      <w:r w:rsidR="00A75488" w:rsidRPr="00C07192">
        <w:t>applying for the inclusion of their products</w:t>
      </w:r>
      <w:r w:rsidRPr="00C07192">
        <w:t xml:space="preserve"> in the Register as medical devices during this period</w:t>
      </w:r>
      <w:r w:rsidR="0036513C" w:rsidRPr="00C07192">
        <w:t xml:space="preserve">.  </w:t>
      </w:r>
      <w:r w:rsidR="007317A7" w:rsidRPr="00C07192">
        <w:t xml:space="preserve">This is because </w:t>
      </w:r>
      <w:r w:rsidR="0036513C" w:rsidRPr="00C07192">
        <w:t xml:space="preserve">subregulations </w:t>
      </w:r>
      <w:r w:rsidR="005713B2" w:rsidRPr="00C07192">
        <w:t>11.</w:t>
      </w:r>
      <w:r w:rsidR="003C0AB4" w:rsidRPr="00C07192">
        <w:t>7</w:t>
      </w:r>
      <w:r w:rsidR="005713B2" w:rsidRPr="00C07192">
        <w:t>, 11.1</w:t>
      </w:r>
      <w:r w:rsidR="003C0AB4" w:rsidRPr="00C07192">
        <w:t>3</w:t>
      </w:r>
      <w:r w:rsidR="005713B2" w:rsidRPr="00C07192">
        <w:t xml:space="preserve"> and 11.1</w:t>
      </w:r>
      <w:r w:rsidR="003C0AB4" w:rsidRPr="00C07192">
        <w:t>6</w:t>
      </w:r>
      <w:r w:rsidR="0036513C" w:rsidRPr="00C07192">
        <w:t xml:space="preserve"> each have the effect (for different kinds of transitional </w:t>
      </w:r>
      <w:r w:rsidR="000E3EF9" w:rsidRPr="00C07192">
        <w:t>devices</w:t>
      </w:r>
      <w:r w:rsidR="0036513C" w:rsidRPr="00C07192">
        <w:t xml:space="preserve">) of applying the new framework for IVDs during the transitional period for </w:t>
      </w:r>
      <w:r w:rsidR="0036513C" w:rsidRPr="00C07192">
        <w:rPr>
          <w:i/>
        </w:rPr>
        <w:t>certain</w:t>
      </w:r>
      <w:r w:rsidR="0036513C" w:rsidRPr="00C07192">
        <w:t xml:space="preserve"> purposes, including for the purposes of applying for inclusion in the Register as a medical device. </w:t>
      </w:r>
      <w:r w:rsidR="00C02EA4" w:rsidRPr="00C07192">
        <w:t xml:space="preserve"> For instance, </w:t>
      </w:r>
      <w:r w:rsidR="00D55BAB" w:rsidRPr="00C07192">
        <w:t xml:space="preserve">a sponsor applying to include their IVD in the Register during the transition period </w:t>
      </w:r>
      <w:r w:rsidR="00971D47">
        <w:t>is</w:t>
      </w:r>
      <w:r w:rsidR="00D55BAB" w:rsidRPr="00C07192">
        <w:t xml:space="preserve"> required to </w:t>
      </w:r>
      <w:r w:rsidR="00C02EA4" w:rsidRPr="00C07192">
        <w:t xml:space="preserve">certify under section 41 FD of the Act that </w:t>
      </w:r>
      <w:r w:rsidR="00D55BAB" w:rsidRPr="00C07192">
        <w:t>an</w:t>
      </w:r>
      <w:r w:rsidR="00C02EA4" w:rsidRPr="00C07192">
        <w:t xml:space="preserve"> appropriate conformity assessment procedure ha</w:t>
      </w:r>
      <w:r w:rsidR="00D55BAB" w:rsidRPr="00C07192">
        <w:t>d</w:t>
      </w:r>
      <w:r w:rsidR="00C02EA4" w:rsidRPr="00C07192">
        <w:t xml:space="preserve"> been applied to the</w:t>
      </w:r>
      <w:r w:rsidR="00D55BAB" w:rsidRPr="00C07192">
        <w:t>ir</w:t>
      </w:r>
      <w:r w:rsidR="00C02EA4" w:rsidRPr="00C07192">
        <w:t xml:space="preserve"> device.  </w:t>
      </w:r>
      <w:r w:rsidR="00E862AF" w:rsidRPr="00C07192">
        <w:t>The</w:t>
      </w:r>
      <w:r w:rsidR="00C02EA4" w:rsidRPr="00C07192">
        <w:t xml:space="preserve"> ‘appropriate’ procedure</w:t>
      </w:r>
      <w:r w:rsidR="00E862AF" w:rsidRPr="00C07192">
        <w:t xml:space="preserve"> </w:t>
      </w:r>
      <w:r w:rsidR="00971D47">
        <w:t>is</w:t>
      </w:r>
      <w:r w:rsidR="00E862AF" w:rsidRPr="00C07192">
        <w:t xml:space="preserve"> </w:t>
      </w:r>
      <w:r w:rsidR="00C02EA4" w:rsidRPr="00C07192">
        <w:t xml:space="preserve">determined by </w:t>
      </w:r>
      <w:r w:rsidR="00E862AF" w:rsidRPr="00C07192">
        <w:t xml:space="preserve">reference to </w:t>
      </w:r>
      <w:r w:rsidR="00C02EA4" w:rsidRPr="00C07192">
        <w:t>the Principal Regulat</w:t>
      </w:r>
      <w:r w:rsidR="00010DF5">
        <w:t>ions as amended by Schedule 1 to</w:t>
      </w:r>
      <w:r w:rsidR="00C02EA4" w:rsidRPr="00C07192">
        <w:t xml:space="preserve"> the </w:t>
      </w:r>
      <w:r w:rsidR="00010DF5">
        <w:t xml:space="preserve">2010 </w:t>
      </w:r>
      <w:r w:rsidR="00C02EA4" w:rsidRPr="00C07192">
        <w:t xml:space="preserve">MD Regulations.  </w:t>
      </w:r>
      <w:r w:rsidR="00E862AF" w:rsidRPr="00C07192">
        <w:t xml:space="preserve">As such, </w:t>
      </w:r>
      <w:r w:rsidR="00C02EA4" w:rsidRPr="00C07192">
        <w:t xml:space="preserve">those provisions </w:t>
      </w:r>
      <w:r w:rsidR="00E862AF" w:rsidRPr="00C07192">
        <w:t xml:space="preserve">in that schedule </w:t>
      </w:r>
      <w:r w:rsidR="00C02EA4" w:rsidRPr="00C07192">
        <w:t xml:space="preserve">have to apply in order for the </w:t>
      </w:r>
      <w:r w:rsidR="00E862AF" w:rsidRPr="00C07192">
        <w:t>sponsor</w:t>
      </w:r>
      <w:r w:rsidR="00C02EA4" w:rsidRPr="00C07192">
        <w:t xml:space="preserve"> to </w:t>
      </w:r>
      <w:r w:rsidR="00E862AF" w:rsidRPr="00C07192">
        <w:t xml:space="preserve">make that </w:t>
      </w:r>
      <w:r w:rsidR="00C02EA4" w:rsidRPr="00C07192">
        <w:t>certif</w:t>
      </w:r>
      <w:r w:rsidR="00E862AF" w:rsidRPr="00C07192">
        <w:t>ication</w:t>
      </w:r>
      <w:r w:rsidR="00C02EA4" w:rsidRPr="00C07192">
        <w:t xml:space="preserve">. </w:t>
      </w:r>
    </w:p>
    <w:p w:rsidR="00EE5D02" w:rsidRPr="00C07192" w:rsidRDefault="00EE5D02" w:rsidP="00641B61">
      <w:pPr>
        <w:ind w:right="-46"/>
      </w:pPr>
    </w:p>
    <w:p w:rsidR="00F5595C" w:rsidRPr="00C07192" w:rsidRDefault="00F5595C" w:rsidP="00641B61">
      <w:pPr>
        <w:ind w:right="-46"/>
        <w:rPr>
          <w:b/>
        </w:rPr>
      </w:pPr>
      <w:r w:rsidRPr="00C07192">
        <w:rPr>
          <w:b/>
        </w:rPr>
        <w:t>Essential principles during transition period</w:t>
      </w:r>
    </w:p>
    <w:p w:rsidR="00963752" w:rsidRPr="00C07192" w:rsidRDefault="005713B2" w:rsidP="00641B61">
      <w:pPr>
        <w:ind w:right="-46"/>
      </w:pPr>
      <w:r w:rsidRPr="00C07192">
        <w:t>Subregulation 11.</w:t>
      </w:r>
      <w:r w:rsidR="000778B6" w:rsidRPr="00C07192">
        <w:t>5</w:t>
      </w:r>
      <w:r w:rsidRPr="00C07192">
        <w:t>(1)</w:t>
      </w:r>
      <w:r w:rsidR="001A7E8B">
        <w:t xml:space="preserve"> specifies</w:t>
      </w:r>
      <w:r w:rsidR="00963752" w:rsidRPr="00C07192">
        <w:t xml:space="preserve"> essential principles that apply to </w:t>
      </w:r>
      <w:r w:rsidR="00C02EA4" w:rsidRPr="00C07192">
        <w:t xml:space="preserve">a </w:t>
      </w:r>
      <w:r w:rsidR="00963752" w:rsidRPr="00C07192">
        <w:t xml:space="preserve">transitional </w:t>
      </w:r>
      <w:r w:rsidR="000E3EF9" w:rsidRPr="00C07192">
        <w:t xml:space="preserve">device </w:t>
      </w:r>
      <w:r w:rsidR="00963752" w:rsidRPr="00C07192">
        <w:t>during the t</w:t>
      </w:r>
      <w:r w:rsidR="00D06016" w:rsidRPr="00C07192">
        <w:t>ransition period for the device –</w:t>
      </w:r>
      <w:r w:rsidR="006D45EC" w:rsidRPr="00C07192">
        <w:t xml:space="preserve"> </w:t>
      </w:r>
      <w:r w:rsidR="001A7E8B">
        <w:t>these are</w:t>
      </w:r>
      <w:r w:rsidR="008E3B7C" w:rsidRPr="00C07192">
        <w:t xml:space="preserve"> essential principles </w:t>
      </w:r>
      <w:r w:rsidR="00D06016" w:rsidRPr="00C07192">
        <w:t>3 and 6</w:t>
      </w:r>
      <w:r w:rsidR="00A0614C" w:rsidRPr="00C07192">
        <w:t>,</w:t>
      </w:r>
      <w:r w:rsidR="00D06016" w:rsidRPr="00C07192">
        <w:t xml:space="preserve"> </w:t>
      </w:r>
      <w:r w:rsidR="006D45EC" w:rsidRPr="00C07192">
        <w:t xml:space="preserve">which are </w:t>
      </w:r>
      <w:r w:rsidR="00D06016" w:rsidRPr="00C07192">
        <w:t>set out in Part 1 of Schedule 3 to the Principal Regulations</w:t>
      </w:r>
      <w:r w:rsidR="003A765C" w:rsidRPr="00C07192">
        <w:t xml:space="preserve"> as they were in force immediately before 1 July 2010 (</w:t>
      </w:r>
      <w:r w:rsidR="002A1A9E" w:rsidRPr="00C07192">
        <w:t>i.e.</w:t>
      </w:r>
      <w:r w:rsidR="003A765C" w:rsidRPr="00C07192">
        <w:t xml:space="preserve"> before the IVD </w:t>
      </w:r>
      <w:r w:rsidR="00C02EA4" w:rsidRPr="00C07192">
        <w:t xml:space="preserve">framework </w:t>
      </w:r>
      <w:r w:rsidR="003A765C" w:rsidRPr="00C07192">
        <w:t>came into operation)</w:t>
      </w:r>
      <w:r w:rsidR="00D06016" w:rsidRPr="00C07192">
        <w:t>.</w:t>
      </w:r>
      <w:r w:rsidR="000A52E3" w:rsidRPr="00C07192">
        <w:t xml:space="preserve">  </w:t>
      </w:r>
      <w:r w:rsidR="00963752" w:rsidRPr="00C07192">
        <w:t>Essential principles are mandato</w:t>
      </w:r>
      <w:r w:rsidR="006E312E" w:rsidRPr="00C07192">
        <w:t>ry requirements or standard</w:t>
      </w:r>
      <w:r w:rsidR="00E36270" w:rsidRPr="00C07192">
        <w:t>s</w:t>
      </w:r>
      <w:r w:rsidR="006E312E" w:rsidRPr="00C07192">
        <w:t xml:space="preserve"> </w:t>
      </w:r>
      <w:r w:rsidR="00E36270" w:rsidRPr="00C07192">
        <w:t>that</w:t>
      </w:r>
      <w:r w:rsidR="00963752" w:rsidRPr="00C07192">
        <w:t xml:space="preserve"> apply to medical devices, and provide minimum benchmarks relating to the safety and performance of devices.</w:t>
      </w:r>
      <w:r w:rsidR="00C02EA4" w:rsidRPr="00C07192">
        <w:t xml:space="preserve">  This is necessary to </w:t>
      </w:r>
      <w:r w:rsidR="00801C7F" w:rsidRPr="00C07192">
        <w:t>ensure that the device can continue to be supplied lawfully during the transition period for the device.</w:t>
      </w:r>
    </w:p>
    <w:p w:rsidR="00963752" w:rsidRPr="00C07192" w:rsidRDefault="001D7E08" w:rsidP="00641B61">
      <w:pPr>
        <w:ind w:right="-46"/>
      </w:pPr>
      <w:r w:rsidRPr="00C07192">
        <w:t xml:space="preserve"> </w:t>
      </w:r>
    </w:p>
    <w:p w:rsidR="00957D5F" w:rsidRPr="00C07192" w:rsidRDefault="005713B2" w:rsidP="00641B61">
      <w:pPr>
        <w:ind w:right="-46"/>
      </w:pPr>
      <w:r w:rsidRPr="00C07192">
        <w:t>Subregulation 11.</w:t>
      </w:r>
      <w:r w:rsidR="001D7E08" w:rsidRPr="00C07192">
        <w:t>5</w:t>
      </w:r>
      <w:r w:rsidRPr="00C07192">
        <w:t>(2)</w:t>
      </w:r>
      <w:r w:rsidR="001A7E8B">
        <w:t xml:space="preserve"> </w:t>
      </w:r>
      <w:r w:rsidR="00087745" w:rsidRPr="00C07192">
        <w:t>ensure</w:t>
      </w:r>
      <w:r w:rsidR="001A7E8B">
        <w:t>s</w:t>
      </w:r>
      <w:r w:rsidR="00087745" w:rsidRPr="00C07192">
        <w:t xml:space="preserve"> that when, during the transition period, </w:t>
      </w:r>
      <w:r w:rsidR="00801C7F" w:rsidRPr="00C07192">
        <w:t xml:space="preserve">the </w:t>
      </w:r>
      <w:r w:rsidR="00087745" w:rsidRPr="00C07192">
        <w:t xml:space="preserve">sponsor of </w:t>
      </w:r>
      <w:r w:rsidR="00801C7F" w:rsidRPr="00C07192">
        <w:t xml:space="preserve">a </w:t>
      </w:r>
      <w:r w:rsidR="00087745" w:rsidRPr="00C07192">
        <w:t xml:space="preserve">transitional </w:t>
      </w:r>
      <w:r w:rsidR="000E3EF9" w:rsidRPr="00C07192">
        <w:t xml:space="preserve">device </w:t>
      </w:r>
      <w:r w:rsidR="00087745" w:rsidRPr="00C07192">
        <w:t>appl</w:t>
      </w:r>
      <w:r w:rsidR="00801C7F" w:rsidRPr="00C07192">
        <w:t xml:space="preserve">ies </w:t>
      </w:r>
      <w:r w:rsidR="00087745" w:rsidRPr="00C07192">
        <w:t xml:space="preserve">for a conformity assessment certificate or </w:t>
      </w:r>
      <w:r w:rsidR="006D45EC" w:rsidRPr="00C07192">
        <w:t>to</w:t>
      </w:r>
      <w:r w:rsidR="00087745" w:rsidRPr="00C07192">
        <w:t xml:space="preserve"> inclu</w:t>
      </w:r>
      <w:r w:rsidR="006D45EC" w:rsidRPr="00C07192">
        <w:t>de</w:t>
      </w:r>
      <w:r w:rsidR="00087745" w:rsidRPr="00C07192">
        <w:t xml:space="preserve"> </w:t>
      </w:r>
      <w:r w:rsidR="00801C7F" w:rsidRPr="00C07192">
        <w:t xml:space="preserve">its </w:t>
      </w:r>
      <w:r w:rsidR="00A468E7" w:rsidRPr="00C07192">
        <w:t xml:space="preserve">device </w:t>
      </w:r>
      <w:r w:rsidR="00087745" w:rsidRPr="00C07192">
        <w:t xml:space="preserve">in the Register as </w:t>
      </w:r>
      <w:r w:rsidR="00801C7F" w:rsidRPr="00C07192">
        <w:t xml:space="preserve">a </w:t>
      </w:r>
      <w:r w:rsidR="00087745" w:rsidRPr="00C07192">
        <w:t xml:space="preserve">medical device, </w:t>
      </w:r>
      <w:r w:rsidR="00801C7F" w:rsidRPr="00C07192">
        <w:t>i</w:t>
      </w:r>
      <w:r w:rsidR="007E4B24">
        <w:t>s</w:t>
      </w:r>
      <w:r w:rsidR="00801C7F" w:rsidRPr="00C07192">
        <w:t xml:space="preserve"> </w:t>
      </w:r>
      <w:r w:rsidR="00087745" w:rsidRPr="00C07192">
        <w:t xml:space="preserve">required to </w:t>
      </w:r>
      <w:r w:rsidR="0098608E" w:rsidRPr="00C07192">
        <w:t>demonstrate (or certify as to)</w:t>
      </w:r>
      <w:r w:rsidR="00087745" w:rsidRPr="00C07192">
        <w:t xml:space="preserve"> </w:t>
      </w:r>
      <w:r w:rsidR="008D6073" w:rsidRPr="00C07192">
        <w:t xml:space="preserve">the </w:t>
      </w:r>
      <w:r w:rsidR="006D45EC" w:rsidRPr="00C07192">
        <w:t xml:space="preserve">compliance of </w:t>
      </w:r>
      <w:r w:rsidR="00801C7F" w:rsidRPr="00C07192">
        <w:t xml:space="preserve">its </w:t>
      </w:r>
      <w:r w:rsidR="006D45EC" w:rsidRPr="00C07192">
        <w:t xml:space="preserve">product with the essential principles, </w:t>
      </w:r>
      <w:r w:rsidR="008D6073" w:rsidRPr="00C07192">
        <w:t xml:space="preserve">by reference to </w:t>
      </w:r>
      <w:r w:rsidR="00087745" w:rsidRPr="00C07192">
        <w:t xml:space="preserve">the requirements of the new, IVD-specific regulatory framework introduced by </w:t>
      </w:r>
      <w:r w:rsidR="00801C7F" w:rsidRPr="00C07192">
        <w:t xml:space="preserve">Schedule 1 to </w:t>
      </w:r>
      <w:r w:rsidR="00087745" w:rsidRPr="00C07192">
        <w:t>the 2010 MD Amendments.</w:t>
      </w:r>
    </w:p>
    <w:p w:rsidR="00087745" w:rsidRPr="00C07192" w:rsidRDefault="00087745" w:rsidP="00641B61">
      <w:pPr>
        <w:ind w:right="-46"/>
      </w:pPr>
    </w:p>
    <w:p w:rsidR="00BD148C" w:rsidRPr="00C07192" w:rsidRDefault="00087745" w:rsidP="00641B61">
      <w:pPr>
        <w:ind w:right="-46"/>
        <w:rPr>
          <w:b/>
        </w:rPr>
      </w:pPr>
      <w:r w:rsidRPr="00C07192">
        <w:rPr>
          <w:b/>
        </w:rPr>
        <w:t>Subdivision C – Listed or registered transitional devices and exempt transitional devices</w:t>
      </w:r>
    </w:p>
    <w:p w:rsidR="00BD148C" w:rsidRPr="00C07192" w:rsidRDefault="00087745" w:rsidP="00641B61">
      <w:pPr>
        <w:ind w:right="-46"/>
        <w:rPr>
          <w:b/>
        </w:rPr>
      </w:pPr>
      <w:r w:rsidRPr="00C07192">
        <w:t>This Subdivision</w:t>
      </w:r>
      <w:r w:rsidR="00AB0897">
        <w:t xml:space="preserve"> applies</w:t>
      </w:r>
      <w:r w:rsidR="009C3371" w:rsidRPr="00C07192">
        <w:t xml:space="preserve"> to </w:t>
      </w:r>
      <w:r w:rsidR="0010512D" w:rsidRPr="00C07192">
        <w:t xml:space="preserve">transitional </w:t>
      </w:r>
      <w:r w:rsidR="000E3EF9" w:rsidRPr="00C07192">
        <w:t xml:space="preserve">devices </w:t>
      </w:r>
      <w:r w:rsidR="0010512D" w:rsidRPr="00C07192">
        <w:t>that, immediately before 1</w:t>
      </w:r>
      <w:r w:rsidR="00801C7F" w:rsidRPr="00C07192">
        <w:t> </w:t>
      </w:r>
      <w:r w:rsidR="0010512D" w:rsidRPr="00C07192">
        <w:t>July</w:t>
      </w:r>
      <w:r w:rsidR="00801C7F" w:rsidRPr="00C07192">
        <w:t> </w:t>
      </w:r>
      <w:r w:rsidR="0010512D" w:rsidRPr="00C07192">
        <w:t xml:space="preserve">2010, were </w:t>
      </w:r>
      <w:r w:rsidR="009C3371" w:rsidRPr="00C07192">
        <w:t>in the Register</w:t>
      </w:r>
      <w:r w:rsidR="0010512D" w:rsidRPr="00C07192">
        <w:t xml:space="preserve"> </w:t>
      </w:r>
      <w:r w:rsidR="00244CF2" w:rsidRPr="00C07192">
        <w:t xml:space="preserve">as listed or registered therapeutic devices </w:t>
      </w:r>
      <w:r w:rsidR="0010512D" w:rsidRPr="00C07192">
        <w:t xml:space="preserve">or </w:t>
      </w:r>
      <w:r w:rsidR="00FB0979" w:rsidRPr="00C07192">
        <w:t xml:space="preserve">were </w:t>
      </w:r>
      <w:r w:rsidR="0010512D" w:rsidRPr="00C07192">
        <w:t>exempt from regist</w:t>
      </w:r>
      <w:r w:rsidR="009C3371" w:rsidRPr="00C07192">
        <w:t>ration or listing (</w:t>
      </w:r>
      <w:r w:rsidR="0010512D" w:rsidRPr="00C07192">
        <w:t xml:space="preserve">other than </w:t>
      </w:r>
      <w:r w:rsidR="009C3371" w:rsidRPr="00C07192">
        <w:t xml:space="preserve">for </w:t>
      </w:r>
      <w:r w:rsidR="0010512D" w:rsidRPr="00C07192">
        <w:t>use in a clinical trial)</w:t>
      </w:r>
      <w:r w:rsidR="00BD148C" w:rsidRPr="00C07192">
        <w:t xml:space="preserve"> </w:t>
      </w:r>
      <w:r w:rsidR="00C24B74" w:rsidRPr="00C07192">
        <w:t>- except any such IVDs excluded from these new transitional arrangements by regulation 11.</w:t>
      </w:r>
      <w:r w:rsidR="001174C9" w:rsidRPr="00C07192">
        <w:t>3</w:t>
      </w:r>
      <w:r w:rsidR="00BD148C" w:rsidRPr="00C07192">
        <w:t>.</w:t>
      </w:r>
    </w:p>
    <w:p w:rsidR="00BD148C" w:rsidRPr="00C07192" w:rsidRDefault="00BD148C" w:rsidP="00641B61">
      <w:pPr>
        <w:ind w:right="-46"/>
      </w:pPr>
    </w:p>
    <w:p w:rsidR="009C3371" w:rsidRPr="00C07192" w:rsidRDefault="005713B2" w:rsidP="009C3371">
      <w:pPr>
        <w:ind w:right="-46"/>
      </w:pPr>
      <w:r w:rsidRPr="00C07192">
        <w:t>Regulation 11.</w:t>
      </w:r>
      <w:r w:rsidR="002166C2" w:rsidRPr="00C07192">
        <w:t>7</w:t>
      </w:r>
      <w:r w:rsidR="00AB0897">
        <w:t xml:space="preserve"> </w:t>
      </w:r>
      <w:r w:rsidR="006D45EC" w:rsidRPr="00C07192">
        <w:t>appl</w:t>
      </w:r>
      <w:r w:rsidR="00AB0897">
        <w:t>ies</w:t>
      </w:r>
      <w:r w:rsidR="009C3371" w:rsidRPr="00C07192">
        <w:t xml:space="preserve"> the new IVD framework for such IVDs for the purposes of applying for, or being issued, a conformity assessment certificate or applying for</w:t>
      </w:r>
      <w:r w:rsidR="00801C7F" w:rsidRPr="00C07192">
        <w:t xml:space="preserve"> inclusion, </w:t>
      </w:r>
      <w:r w:rsidR="009C3371" w:rsidRPr="00C07192">
        <w:t xml:space="preserve">or being </w:t>
      </w:r>
      <w:r w:rsidR="00801C7F" w:rsidRPr="00C07192">
        <w:t>included</w:t>
      </w:r>
      <w:r w:rsidR="009C3371" w:rsidRPr="00C07192">
        <w:t>, in the Register.</w:t>
      </w:r>
    </w:p>
    <w:p w:rsidR="00EE5D02" w:rsidRPr="00C07192" w:rsidRDefault="00EE5D02" w:rsidP="00641B61">
      <w:pPr>
        <w:ind w:right="-46"/>
      </w:pPr>
    </w:p>
    <w:p w:rsidR="009C3371" w:rsidRPr="00C07192" w:rsidRDefault="00AB0897" w:rsidP="00641B61">
      <w:pPr>
        <w:ind w:right="-46"/>
      </w:pPr>
      <w:r>
        <w:t xml:space="preserve">This </w:t>
      </w:r>
      <w:r w:rsidR="00A20728" w:rsidRPr="00C07192">
        <w:t>make</w:t>
      </w:r>
      <w:r>
        <w:t>s</w:t>
      </w:r>
      <w:r w:rsidR="00A20728" w:rsidRPr="00C07192">
        <w:t xml:space="preserve"> it clear </w:t>
      </w:r>
      <w:r w:rsidR="009864E2" w:rsidRPr="00C07192">
        <w:t>that</w:t>
      </w:r>
      <w:r w:rsidR="00A20728" w:rsidRPr="00C07192">
        <w:t xml:space="preserve">, while transitional </w:t>
      </w:r>
      <w:r w:rsidR="000E3EF9" w:rsidRPr="00C07192">
        <w:t xml:space="preserve">devices </w:t>
      </w:r>
      <w:r w:rsidR="00A20728" w:rsidRPr="00C07192">
        <w:t xml:space="preserve">are exempt from inclusion in the Register </w:t>
      </w:r>
      <w:r w:rsidR="00801C7F" w:rsidRPr="00C07192">
        <w:t xml:space="preserve">under Chapter 4 </w:t>
      </w:r>
      <w:r w:rsidR="00A20728" w:rsidRPr="00C07192">
        <w:t>during the transition period, sponsors of these products are able to</w:t>
      </w:r>
      <w:r w:rsidR="00AE4D47" w:rsidRPr="00C07192">
        <w:t xml:space="preserve"> apply for a conformity assessment certificate, and </w:t>
      </w:r>
      <w:r w:rsidR="00904CEF" w:rsidRPr="00C07192">
        <w:t xml:space="preserve">apply to have IVDs </w:t>
      </w:r>
      <w:r w:rsidR="00AE4D47" w:rsidRPr="00C07192">
        <w:t>include</w:t>
      </w:r>
      <w:r w:rsidR="00904CEF" w:rsidRPr="00C07192">
        <w:t>d</w:t>
      </w:r>
      <w:r w:rsidR="00AE4D47" w:rsidRPr="00C07192">
        <w:t xml:space="preserve"> in the Register as medical devices</w:t>
      </w:r>
      <w:r w:rsidR="00801C7F" w:rsidRPr="00C07192">
        <w:t xml:space="preserve"> under Chapter 4</w:t>
      </w:r>
      <w:r w:rsidR="00E40161" w:rsidRPr="00C07192">
        <w:t>,</w:t>
      </w:r>
      <w:r w:rsidR="00AE4D47" w:rsidRPr="00C07192">
        <w:t xml:space="preserve"> du</w:t>
      </w:r>
      <w:r w:rsidR="00E40161" w:rsidRPr="00C07192">
        <w:t>ring the transitional</w:t>
      </w:r>
      <w:r w:rsidR="00AE4D47" w:rsidRPr="00C07192">
        <w:t xml:space="preserve"> period.  </w:t>
      </w:r>
      <w:r w:rsidR="00E40161" w:rsidRPr="00C07192">
        <w:t>This amendment also ensure</w:t>
      </w:r>
      <w:r>
        <w:t>s</w:t>
      </w:r>
      <w:r w:rsidR="00E40161" w:rsidRPr="00C07192">
        <w:t xml:space="preserve"> that when sponsors do so, their applications </w:t>
      </w:r>
      <w:r>
        <w:t>are</w:t>
      </w:r>
      <w:r w:rsidR="00E40161" w:rsidRPr="00C07192">
        <w:t xml:space="preserve"> assessed by reference to the </w:t>
      </w:r>
      <w:r w:rsidR="00A20728" w:rsidRPr="00C07192">
        <w:t xml:space="preserve">IVD-specific </w:t>
      </w:r>
      <w:r w:rsidR="00E40161" w:rsidRPr="00C07192">
        <w:t xml:space="preserve">requirements </w:t>
      </w:r>
      <w:r w:rsidR="00A20728" w:rsidRPr="00C07192">
        <w:t xml:space="preserve">of the new </w:t>
      </w:r>
      <w:r w:rsidR="00E40161" w:rsidRPr="00C07192">
        <w:t>framework.</w:t>
      </w:r>
    </w:p>
    <w:p w:rsidR="00EE5D02" w:rsidRPr="00C07192" w:rsidRDefault="00EE5D02" w:rsidP="00641B61">
      <w:pPr>
        <w:ind w:right="-46"/>
      </w:pPr>
    </w:p>
    <w:p w:rsidR="00E40161" w:rsidRPr="00C07192" w:rsidRDefault="005713B2" w:rsidP="00641B61">
      <w:pPr>
        <w:ind w:right="-46"/>
      </w:pPr>
      <w:r w:rsidRPr="00C07192">
        <w:t>Regulations 11.</w:t>
      </w:r>
      <w:r w:rsidR="00757DE5" w:rsidRPr="00C07192">
        <w:t>8</w:t>
      </w:r>
      <w:r w:rsidRPr="00C07192">
        <w:t>-11.</w:t>
      </w:r>
      <w:r w:rsidR="00757DE5" w:rsidRPr="00C07192">
        <w:t>10</w:t>
      </w:r>
      <w:r w:rsidR="00E40161" w:rsidRPr="00C07192">
        <w:t xml:space="preserve"> set out when listed or registered transitional </w:t>
      </w:r>
      <w:r w:rsidR="000E3EF9" w:rsidRPr="00C07192">
        <w:t>devices</w:t>
      </w:r>
      <w:r w:rsidR="00A20728" w:rsidRPr="00C07192">
        <w:t>,</w:t>
      </w:r>
      <w:r w:rsidR="00E40161" w:rsidRPr="00C07192">
        <w:t xml:space="preserve"> and exempt </w:t>
      </w:r>
      <w:r w:rsidR="00A468E7" w:rsidRPr="00C07192">
        <w:t>transitional devices</w:t>
      </w:r>
      <w:r w:rsidR="00A20728" w:rsidRPr="00C07192">
        <w:t>,</w:t>
      </w:r>
      <w:r w:rsidR="00AB0897">
        <w:t xml:space="preserve"> are</w:t>
      </w:r>
      <w:r w:rsidR="00E40161" w:rsidRPr="00C07192">
        <w:t xml:space="preserve"> subject to the new framework</w:t>
      </w:r>
      <w:r w:rsidR="00D83B23" w:rsidRPr="00C07192">
        <w:t xml:space="preserve"> for all purposes</w:t>
      </w:r>
      <w:r w:rsidR="00E40161" w:rsidRPr="00C07192">
        <w:t xml:space="preserve">, depending on the </w:t>
      </w:r>
      <w:r w:rsidR="00A468E7" w:rsidRPr="00C07192">
        <w:t>particular circumstances applying in relation to the device</w:t>
      </w:r>
      <w:r w:rsidR="00E40161" w:rsidRPr="00C07192">
        <w:t>.</w:t>
      </w:r>
    </w:p>
    <w:p w:rsidR="00E40161" w:rsidRPr="00C07192" w:rsidRDefault="00E40161" w:rsidP="00641B61">
      <w:pPr>
        <w:ind w:right="-46"/>
      </w:pPr>
    </w:p>
    <w:p w:rsidR="00E40161" w:rsidRPr="00C07192" w:rsidRDefault="00904CEF" w:rsidP="00641B61">
      <w:pPr>
        <w:ind w:right="-46"/>
      </w:pPr>
      <w:r w:rsidRPr="00C07192">
        <w:rPr>
          <w:b/>
        </w:rPr>
        <w:t>Table 1</w:t>
      </w:r>
      <w:r w:rsidRPr="00C07192">
        <w:t xml:space="preserve"> </w:t>
      </w:r>
      <w:r w:rsidR="00D44CE3" w:rsidRPr="00C07192">
        <w:t>summarises</w:t>
      </w:r>
      <w:r w:rsidR="00E40161" w:rsidRPr="00C07192">
        <w:t xml:space="preserve"> each of th</w:t>
      </w:r>
      <w:r w:rsidR="00D44CE3" w:rsidRPr="00C07192">
        <w:t xml:space="preserve">ese </w:t>
      </w:r>
      <w:r w:rsidR="00C03EEA" w:rsidRPr="00C07192">
        <w:t>circumstances</w:t>
      </w:r>
      <w:r w:rsidR="00D44CE3" w:rsidRPr="00C07192">
        <w:t>, identifying when each</w:t>
      </w:r>
      <w:r w:rsidR="00E40161" w:rsidRPr="00C07192">
        <w:t xml:space="preserve"> </w:t>
      </w:r>
      <w:r w:rsidRPr="00C07192">
        <w:t xml:space="preserve">type of IVD </w:t>
      </w:r>
      <w:r w:rsidR="00E40161" w:rsidRPr="00C07192">
        <w:t xml:space="preserve"> subject to the new framework</w:t>
      </w:r>
      <w:r w:rsidR="000164AB" w:rsidRPr="00C07192">
        <w:t>.</w:t>
      </w:r>
    </w:p>
    <w:p w:rsidR="002C4D89" w:rsidRDefault="002C4D89"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C07192" w:rsidRDefault="00C07192" w:rsidP="00855E4D">
      <w:pPr>
        <w:ind w:right="-46"/>
        <w:rPr>
          <w:b/>
        </w:rPr>
      </w:pPr>
    </w:p>
    <w:p w:rsidR="00AB0897" w:rsidRDefault="00AB0897" w:rsidP="00855E4D">
      <w:pPr>
        <w:ind w:right="-46"/>
        <w:rPr>
          <w:b/>
        </w:rPr>
      </w:pPr>
    </w:p>
    <w:p w:rsidR="00AB0897" w:rsidRDefault="00AB0897" w:rsidP="00855E4D">
      <w:pPr>
        <w:ind w:right="-46"/>
        <w:rPr>
          <w:b/>
        </w:rPr>
      </w:pPr>
    </w:p>
    <w:p w:rsidR="00AB0897" w:rsidRDefault="00AB0897" w:rsidP="00855E4D">
      <w:pPr>
        <w:ind w:right="-46"/>
        <w:rPr>
          <w:b/>
        </w:rPr>
      </w:pPr>
    </w:p>
    <w:p w:rsidR="00AB0897" w:rsidRDefault="00AB0897" w:rsidP="00855E4D">
      <w:pPr>
        <w:ind w:right="-46"/>
        <w:rPr>
          <w:b/>
        </w:rPr>
      </w:pPr>
    </w:p>
    <w:p w:rsidR="00AB0897" w:rsidRDefault="00AB0897" w:rsidP="00855E4D">
      <w:pPr>
        <w:ind w:right="-46"/>
        <w:rPr>
          <w:b/>
        </w:rPr>
      </w:pPr>
    </w:p>
    <w:p w:rsidR="00AB0897" w:rsidRDefault="00AB0897" w:rsidP="00855E4D">
      <w:pPr>
        <w:ind w:right="-46"/>
        <w:rPr>
          <w:b/>
        </w:rPr>
      </w:pPr>
    </w:p>
    <w:p w:rsidR="00AB0897" w:rsidRDefault="00AB0897" w:rsidP="00855E4D">
      <w:pPr>
        <w:ind w:right="-46"/>
        <w:rPr>
          <w:b/>
        </w:rPr>
      </w:pPr>
    </w:p>
    <w:p w:rsidR="00C07192" w:rsidRDefault="00C07192" w:rsidP="00855E4D">
      <w:pPr>
        <w:ind w:right="-46"/>
        <w:rPr>
          <w:b/>
        </w:rPr>
      </w:pPr>
    </w:p>
    <w:p w:rsidR="00C07192" w:rsidRDefault="00C07192" w:rsidP="00855E4D">
      <w:pPr>
        <w:ind w:right="-46"/>
        <w:rPr>
          <w:b/>
        </w:rPr>
      </w:pPr>
    </w:p>
    <w:p w:rsidR="00C07192" w:rsidRPr="00C07192" w:rsidRDefault="00C07192" w:rsidP="00855E4D">
      <w:pPr>
        <w:ind w:right="-46"/>
        <w:rPr>
          <w:b/>
        </w:rPr>
      </w:pPr>
    </w:p>
    <w:p w:rsidR="00904CEF" w:rsidRPr="00C07192" w:rsidRDefault="00904CEF" w:rsidP="00CC1006">
      <w:pPr>
        <w:ind w:right="-46"/>
        <w:rPr>
          <w:b/>
        </w:rPr>
      </w:pPr>
      <w:r w:rsidRPr="00C07192">
        <w:rPr>
          <w:b/>
        </w:rPr>
        <w:t xml:space="preserve">Table 1 </w:t>
      </w:r>
    </w:p>
    <w:tbl>
      <w:tblPr>
        <w:tblStyle w:val="TableGrid"/>
        <w:tblW w:w="9498" w:type="dxa"/>
        <w:tblInd w:w="-176" w:type="dxa"/>
        <w:tblLook w:val="04A0" w:firstRow="1" w:lastRow="0" w:firstColumn="1" w:lastColumn="0" w:noHBand="0" w:noVBand="1"/>
      </w:tblPr>
      <w:tblGrid>
        <w:gridCol w:w="1277"/>
        <w:gridCol w:w="5528"/>
        <w:gridCol w:w="2693"/>
      </w:tblGrid>
      <w:tr w:rsidR="00B42A00" w:rsidRPr="00C07192" w:rsidTr="002B4E61">
        <w:trPr>
          <w:tblHeader/>
        </w:trPr>
        <w:tc>
          <w:tcPr>
            <w:tcW w:w="1277" w:type="dxa"/>
          </w:tcPr>
          <w:p w:rsidR="00B42A00" w:rsidRPr="00C07192" w:rsidRDefault="00DC532B" w:rsidP="00DC532B">
            <w:pPr>
              <w:rPr>
                <w:b/>
              </w:rPr>
            </w:pPr>
            <w:r>
              <w:rPr>
                <w:b/>
              </w:rPr>
              <w:t>N</w:t>
            </w:r>
            <w:r w:rsidR="00B42A00" w:rsidRPr="00C07192">
              <w:rPr>
                <w:b/>
              </w:rPr>
              <w:t>ew provision</w:t>
            </w:r>
          </w:p>
        </w:tc>
        <w:tc>
          <w:tcPr>
            <w:tcW w:w="5528" w:type="dxa"/>
          </w:tcPr>
          <w:p w:rsidR="00B42A00" w:rsidRPr="00C07192" w:rsidRDefault="00B42A00" w:rsidP="00A92867">
            <w:pPr>
              <w:rPr>
                <w:b/>
              </w:rPr>
            </w:pPr>
            <w:r w:rsidRPr="00C07192">
              <w:rPr>
                <w:b/>
              </w:rPr>
              <w:t>Scenario</w:t>
            </w:r>
          </w:p>
        </w:tc>
        <w:tc>
          <w:tcPr>
            <w:tcW w:w="2693" w:type="dxa"/>
          </w:tcPr>
          <w:p w:rsidR="00B42A00" w:rsidRPr="00C07192" w:rsidRDefault="0069103A" w:rsidP="00A92867">
            <w:pPr>
              <w:rPr>
                <w:b/>
              </w:rPr>
            </w:pPr>
            <w:r w:rsidRPr="00C07192">
              <w:rPr>
                <w:b/>
              </w:rPr>
              <w:t>Transition day - when new framework applies</w:t>
            </w:r>
          </w:p>
        </w:tc>
      </w:tr>
      <w:tr w:rsidR="00A27AAC" w:rsidRPr="00C07192" w:rsidTr="004B1807">
        <w:tc>
          <w:tcPr>
            <w:tcW w:w="6805" w:type="dxa"/>
            <w:gridSpan w:val="2"/>
          </w:tcPr>
          <w:p w:rsidR="00A27AAC" w:rsidRPr="00C07192" w:rsidRDefault="0082567F" w:rsidP="00801C7F">
            <w:r w:rsidRPr="00C07192">
              <w:t>W</w:t>
            </w:r>
            <w:r w:rsidR="00D56D85" w:rsidRPr="00C07192">
              <w:t xml:space="preserve">here </w:t>
            </w:r>
            <w:r w:rsidR="000164AB" w:rsidRPr="00C07192">
              <w:t xml:space="preserve">a </w:t>
            </w:r>
            <w:r w:rsidR="00955F4C" w:rsidRPr="00C07192">
              <w:t>c</w:t>
            </w:r>
            <w:r w:rsidR="00A27AAC" w:rsidRPr="00C07192">
              <w:t xml:space="preserve">onformity assessment certificate (CAC) </w:t>
            </w:r>
            <w:r w:rsidR="00904CEF" w:rsidRPr="00C07192">
              <w:t xml:space="preserve">is </w:t>
            </w:r>
            <w:r w:rsidR="00A27AAC" w:rsidRPr="00C07192">
              <w:t xml:space="preserve">required </w:t>
            </w:r>
            <w:r w:rsidR="00904CEF" w:rsidRPr="00C07192">
              <w:t xml:space="preserve">to be </w:t>
            </w:r>
            <w:r w:rsidR="00A468E7" w:rsidRPr="00C07192">
              <w:t xml:space="preserve">issued </w:t>
            </w:r>
            <w:r w:rsidR="00A27AAC" w:rsidRPr="00C07192">
              <w:t>before an application can be made</w:t>
            </w:r>
            <w:r w:rsidR="00B75FA6" w:rsidRPr="00C07192">
              <w:t xml:space="preserve"> for</w:t>
            </w:r>
            <w:r w:rsidR="00E84BDD" w:rsidRPr="00C07192">
              <w:t xml:space="preserve"> </w:t>
            </w:r>
            <w:r w:rsidR="00A27AAC" w:rsidRPr="00C07192">
              <w:t xml:space="preserve">inclusion </w:t>
            </w:r>
            <w:r w:rsidR="00904CEF" w:rsidRPr="00C07192">
              <w:t xml:space="preserve">of the </w:t>
            </w:r>
            <w:r w:rsidR="00801C7F" w:rsidRPr="00C07192">
              <w:t xml:space="preserve">device </w:t>
            </w:r>
            <w:r w:rsidR="00A27AAC" w:rsidRPr="00C07192">
              <w:t>in the Register:</w:t>
            </w:r>
            <w:r w:rsidR="00904CEF" w:rsidRPr="00C07192">
              <w:rPr>
                <w:rStyle w:val="FootnoteReference"/>
              </w:rPr>
              <w:footnoteReference w:id="1"/>
            </w:r>
          </w:p>
        </w:tc>
        <w:tc>
          <w:tcPr>
            <w:tcW w:w="2693" w:type="dxa"/>
          </w:tcPr>
          <w:p w:rsidR="00A27AAC" w:rsidRPr="00C07192" w:rsidRDefault="00A27AAC" w:rsidP="005141F7"/>
        </w:tc>
      </w:tr>
      <w:tr w:rsidR="00B42A00" w:rsidRPr="00C07192" w:rsidTr="002B4E61">
        <w:tc>
          <w:tcPr>
            <w:tcW w:w="1277" w:type="dxa"/>
          </w:tcPr>
          <w:p w:rsidR="00B42A00" w:rsidRPr="00C07192" w:rsidRDefault="005713B2" w:rsidP="00A92867">
            <w:r w:rsidRPr="00C07192">
              <w:t>11.</w:t>
            </w:r>
            <w:r w:rsidR="00042C23" w:rsidRPr="00C07192">
              <w:t>8</w:t>
            </w:r>
            <w:r w:rsidRPr="00C07192">
              <w:t>(2)</w:t>
            </w:r>
          </w:p>
        </w:tc>
        <w:tc>
          <w:tcPr>
            <w:tcW w:w="5528" w:type="dxa"/>
          </w:tcPr>
          <w:p w:rsidR="004B1807" w:rsidRPr="00C07192" w:rsidRDefault="00A00D65" w:rsidP="00955F4C">
            <w:pPr>
              <w:pStyle w:val="ListParagraph"/>
              <w:numPr>
                <w:ilvl w:val="0"/>
                <w:numId w:val="22"/>
              </w:numPr>
              <w:ind w:left="317" w:hanging="284"/>
            </w:pPr>
            <w:r w:rsidRPr="00C07192">
              <w:t xml:space="preserve">an </w:t>
            </w:r>
            <w:r w:rsidR="004B1807" w:rsidRPr="00C07192">
              <w:t>effective application for CAC</w:t>
            </w:r>
            <w:r w:rsidR="00D66C5A" w:rsidRPr="00C07192">
              <w:rPr>
                <w:rStyle w:val="FootnoteReference"/>
              </w:rPr>
              <w:footnoteReference w:id="2"/>
            </w:r>
            <w:r w:rsidR="004B1807" w:rsidRPr="00C07192">
              <w:t xml:space="preserve"> </w:t>
            </w:r>
            <w:r w:rsidR="008842BC" w:rsidRPr="00C07192">
              <w:t xml:space="preserve">is </w:t>
            </w:r>
            <w:r w:rsidR="00904CEF" w:rsidRPr="00C07192">
              <w:t xml:space="preserve">made </w:t>
            </w:r>
            <w:r w:rsidR="004B1807" w:rsidRPr="00C07192">
              <w:t>before 1 Sept</w:t>
            </w:r>
            <w:r w:rsidR="000164AB" w:rsidRPr="00C07192">
              <w:t>ember</w:t>
            </w:r>
            <w:r w:rsidR="004B1807" w:rsidRPr="00C07192">
              <w:t xml:space="preserve"> 2014</w:t>
            </w:r>
          </w:p>
          <w:p w:rsidR="00A27AAC" w:rsidRPr="00C07192" w:rsidRDefault="00955F4C" w:rsidP="00955F4C">
            <w:pPr>
              <w:pStyle w:val="ListParagraph"/>
              <w:numPr>
                <w:ilvl w:val="0"/>
                <w:numId w:val="22"/>
              </w:numPr>
              <w:ind w:left="317" w:hanging="284"/>
            </w:pPr>
            <w:r w:rsidRPr="00C07192">
              <w:t xml:space="preserve">CAC </w:t>
            </w:r>
            <w:r w:rsidR="008842BC" w:rsidRPr="00C07192">
              <w:t xml:space="preserve">is </w:t>
            </w:r>
            <w:r w:rsidRPr="00C07192">
              <w:t xml:space="preserve">issued </w:t>
            </w:r>
            <w:r w:rsidR="00141E8D" w:rsidRPr="00C07192">
              <w:t xml:space="preserve">by TGA </w:t>
            </w:r>
            <w:r w:rsidRPr="00C07192">
              <w:t>before 1 June 2015</w:t>
            </w:r>
          </w:p>
          <w:p w:rsidR="00955F4C" w:rsidRPr="00C07192" w:rsidRDefault="00A00D65" w:rsidP="00955F4C">
            <w:pPr>
              <w:pStyle w:val="ListParagraph"/>
              <w:numPr>
                <w:ilvl w:val="0"/>
                <w:numId w:val="22"/>
              </w:numPr>
              <w:ind w:left="317" w:hanging="284"/>
            </w:pPr>
            <w:r w:rsidRPr="00C07192">
              <w:t xml:space="preserve">an </w:t>
            </w:r>
            <w:r w:rsidR="00A7360B" w:rsidRPr="00C07192">
              <w:t xml:space="preserve">effective </w:t>
            </w:r>
            <w:r w:rsidR="00955F4C" w:rsidRPr="00C07192">
              <w:t>application for inclusion in the Register</w:t>
            </w:r>
            <w:r w:rsidR="00D66C5A" w:rsidRPr="00C07192">
              <w:rPr>
                <w:rStyle w:val="FootnoteReference"/>
              </w:rPr>
              <w:footnoteReference w:id="3"/>
            </w:r>
            <w:r w:rsidR="00955F4C" w:rsidRPr="00C07192">
              <w:t xml:space="preserve"> </w:t>
            </w:r>
            <w:r w:rsidR="008842BC" w:rsidRPr="00C07192">
              <w:t xml:space="preserve">is </w:t>
            </w:r>
            <w:r w:rsidR="00904CEF" w:rsidRPr="00C07192">
              <w:t xml:space="preserve">made </w:t>
            </w:r>
            <w:r w:rsidR="00955F4C" w:rsidRPr="00C07192">
              <w:t>before 1 July 2015</w:t>
            </w:r>
          </w:p>
          <w:p w:rsidR="00D56D85" w:rsidRPr="00C07192" w:rsidRDefault="00955F4C" w:rsidP="004B1807">
            <w:pPr>
              <w:pStyle w:val="ListParagraph"/>
              <w:numPr>
                <w:ilvl w:val="0"/>
                <w:numId w:val="22"/>
              </w:numPr>
              <w:ind w:left="317" w:hanging="284"/>
            </w:pPr>
            <w:r w:rsidRPr="00C07192">
              <w:t xml:space="preserve">device </w:t>
            </w:r>
            <w:r w:rsidR="008842BC" w:rsidRPr="00C07192">
              <w:t xml:space="preserve">is </w:t>
            </w:r>
            <w:r w:rsidRPr="00C07192">
              <w:t xml:space="preserve">included in the Register. </w:t>
            </w:r>
          </w:p>
        </w:tc>
        <w:tc>
          <w:tcPr>
            <w:tcW w:w="2693" w:type="dxa"/>
          </w:tcPr>
          <w:p w:rsidR="00B42A00" w:rsidRPr="00C07192" w:rsidRDefault="00A468E7" w:rsidP="00A468E7">
            <w:r w:rsidRPr="00C07192">
              <w:t>The d</w:t>
            </w:r>
            <w:r w:rsidR="00955F4C" w:rsidRPr="00C07192">
              <w:t>ay the device is included in the Register</w:t>
            </w:r>
            <w:r w:rsidR="00627D4A" w:rsidRPr="00C07192">
              <w:t>.</w:t>
            </w:r>
          </w:p>
        </w:tc>
      </w:tr>
      <w:tr w:rsidR="00B42A00" w:rsidRPr="00C07192" w:rsidTr="002B4E61">
        <w:tc>
          <w:tcPr>
            <w:tcW w:w="1277" w:type="dxa"/>
          </w:tcPr>
          <w:p w:rsidR="00B42A00" w:rsidRPr="00C07192" w:rsidRDefault="005713B2" w:rsidP="00A92867">
            <w:r w:rsidRPr="00C07192">
              <w:t>11.</w:t>
            </w:r>
            <w:r w:rsidR="00042C23" w:rsidRPr="00C07192">
              <w:t>8</w:t>
            </w:r>
            <w:r w:rsidRPr="00C07192">
              <w:t>(3)</w:t>
            </w:r>
          </w:p>
        </w:tc>
        <w:tc>
          <w:tcPr>
            <w:tcW w:w="5528" w:type="dxa"/>
          </w:tcPr>
          <w:p w:rsidR="004B1807" w:rsidRPr="00C07192" w:rsidRDefault="00A00D65" w:rsidP="00955F4C">
            <w:pPr>
              <w:pStyle w:val="ListParagraph"/>
              <w:numPr>
                <w:ilvl w:val="0"/>
                <w:numId w:val="23"/>
              </w:numPr>
              <w:ind w:left="317" w:hanging="284"/>
            </w:pPr>
            <w:r w:rsidRPr="00C07192">
              <w:t xml:space="preserve">an </w:t>
            </w:r>
            <w:r w:rsidR="004B1807" w:rsidRPr="00C07192">
              <w:t xml:space="preserve">effective application for CAC </w:t>
            </w:r>
            <w:r w:rsidR="008842BC" w:rsidRPr="00C07192">
              <w:t xml:space="preserve">is </w:t>
            </w:r>
            <w:r w:rsidR="00904CEF" w:rsidRPr="00C07192">
              <w:t xml:space="preserve">made </w:t>
            </w:r>
            <w:r w:rsidR="004B1807" w:rsidRPr="00C07192">
              <w:t>before 1 Sept</w:t>
            </w:r>
            <w:r w:rsidR="000164AB" w:rsidRPr="00C07192">
              <w:t>ember</w:t>
            </w:r>
            <w:r w:rsidR="004B1807" w:rsidRPr="00C07192">
              <w:t xml:space="preserve"> 2014</w:t>
            </w:r>
          </w:p>
          <w:p w:rsidR="00B42A00" w:rsidRPr="00C07192" w:rsidRDefault="00141E8D" w:rsidP="00955F4C">
            <w:pPr>
              <w:pStyle w:val="ListParagraph"/>
              <w:numPr>
                <w:ilvl w:val="0"/>
                <w:numId w:val="23"/>
              </w:numPr>
              <w:ind w:left="317" w:hanging="284"/>
            </w:pPr>
            <w:r w:rsidRPr="00C07192">
              <w:t xml:space="preserve">CAC </w:t>
            </w:r>
            <w:r w:rsidR="008842BC" w:rsidRPr="00C07192">
              <w:t xml:space="preserve">is </w:t>
            </w:r>
            <w:r w:rsidRPr="00C07192">
              <w:t>issued by TGA before 1 June 2015</w:t>
            </w:r>
          </w:p>
          <w:p w:rsidR="00141E8D" w:rsidRPr="00C07192" w:rsidRDefault="00A00D65" w:rsidP="00955F4C">
            <w:pPr>
              <w:pStyle w:val="ListParagraph"/>
              <w:numPr>
                <w:ilvl w:val="0"/>
                <w:numId w:val="23"/>
              </w:numPr>
              <w:ind w:left="317" w:hanging="284"/>
            </w:pPr>
            <w:r w:rsidRPr="00C07192">
              <w:t xml:space="preserve">an </w:t>
            </w:r>
            <w:r w:rsidR="00A7360B" w:rsidRPr="00C07192">
              <w:t xml:space="preserve">effective </w:t>
            </w:r>
            <w:r w:rsidR="00141E8D" w:rsidRPr="00C07192">
              <w:t xml:space="preserve">application for inclusion in the Register </w:t>
            </w:r>
            <w:r w:rsidR="008842BC" w:rsidRPr="00C07192">
              <w:t xml:space="preserve">is </w:t>
            </w:r>
            <w:r w:rsidR="00904CEF" w:rsidRPr="00C07192">
              <w:t xml:space="preserve">made </w:t>
            </w:r>
            <w:r w:rsidR="00141E8D" w:rsidRPr="00C07192">
              <w:t>before 1 July 2015</w:t>
            </w:r>
          </w:p>
          <w:p w:rsidR="00664BB1" w:rsidRPr="00C07192" w:rsidRDefault="00627D4A">
            <w:pPr>
              <w:pStyle w:val="ListParagraph"/>
              <w:numPr>
                <w:ilvl w:val="0"/>
                <w:numId w:val="23"/>
              </w:numPr>
              <w:ind w:left="317" w:hanging="284"/>
              <w:rPr>
                <w:rFonts w:cs="Times New Roman"/>
              </w:rPr>
            </w:pPr>
            <w:r w:rsidRPr="00C07192">
              <w:t>th</w:t>
            </w:r>
            <w:r w:rsidR="00A00D65" w:rsidRPr="00C07192">
              <w:t>e</w:t>
            </w:r>
            <w:r w:rsidRPr="00C07192">
              <w:t xml:space="preserve"> application is finally determined</w:t>
            </w:r>
            <w:r w:rsidR="00984DF8" w:rsidRPr="00C07192">
              <w:t xml:space="preserve"> (i.e. is </w:t>
            </w:r>
            <w:r w:rsidR="00B12DBA" w:rsidRPr="00C07192">
              <w:t>not granted, and there is no longer any possibility of a change in that outcome)</w:t>
            </w:r>
            <w:r w:rsidRPr="00C07192">
              <w:t>.</w:t>
            </w:r>
          </w:p>
        </w:tc>
        <w:tc>
          <w:tcPr>
            <w:tcW w:w="2693" w:type="dxa"/>
          </w:tcPr>
          <w:p w:rsidR="00B42A00" w:rsidRPr="00C07192" w:rsidRDefault="00A468E7" w:rsidP="00A468E7">
            <w:r w:rsidRPr="00C07192">
              <w:t>The d</w:t>
            </w:r>
            <w:r w:rsidR="00627D4A" w:rsidRPr="00C07192">
              <w:t>ay the application for inclusion is finally determined.</w:t>
            </w:r>
          </w:p>
        </w:tc>
      </w:tr>
      <w:tr w:rsidR="00B42A00" w:rsidRPr="00C07192" w:rsidTr="002B4E61">
        <w:tc>
          <w:tcPr>
            <w:tcW w:w="1277" w:type="dxa"/>
          </w:tcPr>
          <w:p w:rsidR="00B42A00" w:rsidRPr="00C07192" w:rsidRDefault="005713B2" w:rsidP="00A92867">
            <w:r w:rsidRPr="00C07192">
              <w:t>11.</w:t>
            </w:r>
            <w:r w:rsidR="00042C23" w:rsidRPr="00C07192">
              <w:t>8</w:t>
            </w:r>
            <w:r w:rsidRPr="00C07192">
              <w:t>(4)</w:t>
            </w:r>
          </w:p>
        </w:tc>
        <w:tc>
          <w:tcPr>
            <w:tcW w:w="5528" w:type="dxa"/>
          </w:tcPr>
          <w:p w:rsidR="004B1807" w:rsidRPr="00C07192" w:rsidRDefault="00A00D65" w:rsidP="00627D4A">
            <w:pPr>
              <w:pStyle w:val="ListParagraph"/>
              <w:numPr>
                <w:ilvl w:val="0"/>
                <w:numId w:val="24"/>
              </w:numPr>
              <w:ind w:left="317" w:hanging="284"/>
            </w:pPr>
            <w:r w:rsidRPr="00C07192">
              <w:t xml:space="preserve">an </w:t>
            </w:r>
            <w:r w:rsidR="004B1807" w:rsidRPr="00C07192">
              <w:t xml:space="preserve">effective application for CAC </w:t>
            </w:r>
            <w:r w:rsidR="008842BC" w:rsidRPr="00C07192">
              <w:t xml:space="preserve">is made </w:t>
            </w:r>
            <w:r w:rsidR="004B1807" w:rsidRPr="00C07192">
              <w:t>before 1 Sept</w:t>
            </w:r>
            <w:r w:rsidR="002D1CBC" w:rsidRPr="00C07192">
              <w:t>ember</w:t>
            </w:r>
            <w:r w:rsidR="004B1807" w:rsidRPr="00C07192">
              <w:t xml:space="preserve"> 2014</w:t>
            </w:r>
          </w:p>
          <w:p w:rsidR="00B42A00" w:rsidRPr="00C07192" w:rsidRDefault="00A7360B" w:rsidP="00627D4A">
            <w:pPr>
              <w:pStyle w:val="ListParagraph"/>
              <w:numPr>
                <w:ilvl w:val="0"/>
                <w:numId w:val="24"/>
              </w:numPr>
              <w:ind w:left="317" w:hanging="284"/>
            </w:pPr>
            <w:r w:rsidRPr="00C07192">
              <w:t xml:space="preserve">CAC </w:t>
            </w:r>
            <w:r w:rsidR="008842BC" w:rsidRPr="00C07192">
              <w:t xml:space="preserve">is </w:t>
            </w:r>
            <w:r w:rsidRPr="00C07192">
              <w:t>issued by TGA before 1 June 2015</w:t>
            </w:r>
          </w:p>
          <w:p w:rsidR="00A7360B" w:rsidRPr="00C07192" w:rsidRDefault="00A7360B" w:rsidP="00A7360B">
            <w:pPr>
              <w:pStyle w:val="ListParagraph"/>
              <w:numPr>
                <w:ilvl w:val="0"/>
                <w:numId w:val="24"/>
              </w:numPr>
              <w:ind w:left="317" w:hanging="284"/>
            </w:pPr>
            <w:r w:rsidRPr="00C07192">
              <w:t xml:space="preserve">no effective application for inclusion in the Register </w:t>
            </w:r>
            <w:r w:rsidR="00A00D65" w:rsidRPr="00C07192">
              <w:t>is made</w:t>
            </w:r>
            <w:r w:rsidR="008842BC" w:rsidRPr="00C07192">
              <w:t xml:space="preserve"> </w:t>
            </w:r>
            <w:r w:rsidRPr="00C07192">
              <w:t xml:space="preserve">before 1 July 2015. </w:t>
            </w:r>
          </w:p>
        </w:tc>
        <w:tc>
          <w:tcPr>
            <w:tcW w:w="2693" w:type="dxa"/>
          </w:tcPr>
          <w:p w:rsidR="00B42A00" w:rsidRPr="00C07192" w:rsidRDefault="00A7360B" w:rsidP="00A92867">
            <w:r w:rsidRPr="00C07192">
              <w:t>1 July 2015.</w:t>
            </w:r>
          </w:p>
        </w:tc>
      </w:tr>
      <w:tr w:rsidR="00B42A00" w:rsidRPr="00C07192" w:rsidTr="002B4E61">
        <w:tc>
          <w:tcPr>
            <w:tcW w:w="1277" w:type="dxa"/>
          </w:tcPr>
          <w:p w:rsidR="00B42A00" w:rsidRPr="00C07192" w:rsidRDefault="005713B2" w:rsidP="00A92867">
            <w:r w:rsidRPr="00C07192">
              <w:t>11.</w:t>
            </w:r>
            <w:r w:rsidR="00042C23" w:rsidRPr="00C07192">
              <w:t>8</w:t>
            </w:r>
            <w:r w:rsidRPr="00C07192">
              <w:t>(5)</w:t>
            </w:r>
          </w:p>
        </w:tc>
        <w:tc>
          <w:tcPr>
            <w:tcW w:w="5528" w:type="dxa"/>
          </w:tcPr>
          <w:p w:rsidR="004B1807" w:rsidRPr="00C07192" w:rsidRDefault="00A00D65" w:rsidP="00A7360B">
            <w:pPr>
              <w:pStyle w:val="ListParagraph"/>
              <w:numPr>
                <w:ilvl w:val="0"/>
                <w:numId w:val="25"/>
              </w:numPr>
              <w:ind w:left="317" w:hanging="284"/>
            </w:pPr>
            <w:r w:rsidRPr="00C07192">
              <w:t xml:space="preserve">an </w:t>
            </w:r>
            <w:r w:rsidR="004B1807" w:rsidRPr="00C07192">
              <w:t xml:space="preserve">effective application for CAC </w:t>
            </w:r>
            <w:r w:rsidR="008842BC" w:rsidRPr="00C07192">
              <w:t xml:space="preserve">is made </w:t>
            </w:r>
            <w:r w:rsidR="004B1807" w:rsidRPr="00C07192">
              <w:t>before 1 Sept</w:t>
            </w:r>
            <w:r w:rsidR="00A468E7" w:rsidRPr="00C07192">
              <w:t xml:space="preserve">ember </w:t>
            </w:r>
            <w:r w:rsidR="004B1807" w:rsidRPr="00C07192">
              <w:t>2014</w:t>
            </w:r>
          </w:p>
          <w:p w:rsidR="00B42A00" w:rsidRPr="00C07192" w:rsidRDefault="00A7360B" w:rsidP="00A7360B">
            <w:pPr>
              <w:pStyle w:val="ListParagraph"/>
              <w:numPr>
                <w:ilvl w:val="0"/>
                <w:numId w:val="25"/>
              </w:numPr>
              <w:ind w:left="317" w:hanging="284"/>
            </w:pPr>
            <w:r w:rsidRPr="00C07192">
              <w:t xml:space="preserve">CAC </w:t>
            </w:r>
            <w:r w:rsidR="008842BC" w:rsidRPr="00C07192">
              <w:t xml:space="preserve">is </w:t>
            </w:r>
            <w:r w:rsidRPr="00C07192">
              <w:t>issued by TGA on or after 1 June 2015</w:t>
            </w:r>
          </w:p>
          <w:p w:rsidR="00F04E0F" w:rsidRPr="00C07192" w:rsidRDefault="00A00D65" w:rsidP="00A7360B">
            <w:pPr>
              <w:pStyle w:val="ListParagraph"/>
              <w:numPr>
                <w:ilvl w:val="0"/>
                <w:numId w:val="25"/>
              </w:numPr>
              <w:ind w:left="317" w:hanging="284"/>
            </w:pPr>
            <w:r w:rsidRPr="00C07192">
              <w:t>an e</w:t>
            </w:r>
            <w:r w:rsidR="00F04E0F" w:rsidRPr="00C07192">
              <w:t xml:space="preserve">ffective application for inclusion in the Register </w:t>
            </w:r>
            <w:r w:rsidRPr="00C07192">
              <w:t xml:space="preserve">is made </w:t>
            </w:r>
            <w:r w:rsidR="00F04E0F" w:rsidRPr="00C07192">
              <w:t>within 30 days after CAC issued</w:t>
            </w:r>
          </w:p>
          <w:p w:rsidR="00A7360B" w:rsidRPr="00C07192" w:rsidRDefault="002D1CBC" w:rsidP="00A7360B">
            <w:pPr>
              <w:pStyle w:val="ListParagraph"/>
              <w:numPr>
                <w:ilvl w:val="0"/>
                <w:numId w:val="25"/>
              </w:numPr>
              <w:ind w:left="317" w:hanging="284"/>
            </w:pPr>
            <w:r w:rsidRPr="00C07192">
              <w:t xml:space="preserve">the </w:t>
            </w:r>
            <w:r w:rsidR="00F04E0F" w:rsidRPr="00C07192">
              <w:t xml:space="preserve">device </w:t>
            </w:r>
            <w:r w:rsidR="008842BC" w:rsidRPr="00C07192">
              <w:t xml:space="preserve">is </w:t>
            </w:r>
            <w:r w:rsidR="00F04E0F" w:rsidRPr="00C07192">
              <w:t xml:space="preserve">included in the Register. </w:t>
            </w:r>
          </w:p>
        </w:tc>
        <w:tc>
          <w:tcPr>
            <w:tcW w:w="2693" w:type="dxa"/>
          </w:tcPr>
          <w:p w:rsidR="00B42A00" w:rsidRPr="00C07192" w:rsidRDefault="00A468E7" w:rsidP="00A468E7">
            <w:r w:rsidRPr="00C07192">
              <w:t>The d</w:t>
            </w:r>
            <w:r w:rsidR="00F04E0F" w:rsidRPr="00C07192">
              <w:t>ay the device is included in the Register.</w:t>
            </w:r>
          </w:p>
        </w:tc>
      </w:tr>
      <w:tr w:rsidR="00B42A00" w:rsidRPr="00C07192" w:rsidTr="002B4E61">
        <w:tc>
          <w:tcPr>
            <w:tcW w:w="1277" w:type="dxa"/>
          </w:tcPr>
          <w:p w:rsidR="00B42A00" w:rsidRPr="00C07192" w:rsidRDefault="005713B2" w:rsidP="00A92867">
            <w:r w:rsidRPr="00C07192">
              <w:t>11.</w:t>
            </w:r>
            <w:r w:rsidR="00042C23" w:rsidRPr="00C07192">
              <w:t>8</w:t>
            </w:r>
            <w:r w:rsidRPr="00C07192">
              <w:t>(6)</w:t>
            </w:r>
          </w:p>
        </w:tc>
        <w:tc>
          <w:tcPr>
            <w:tcW w:w="5528" w:type="dxa"/>
          </w:tcPr>
          <w:p w:rsidR="004B1807" w:rsidRPr="00C07192" w:rsidRDefault="00A00D65" w:rsidP="007C7554">
            <w:pPr>
              <w:pStyle w:val="ListParagraph"/>
              <w:numPr>
                <w:ilvl w:val="0"/>
                <w:numId w:val="26"/>
              </w:numPr>
              <w:ind w:left="317" w:hanging="284"/>
            </w:pPr>
            <w:r w:rsidRPr="00C07192">
              <w:t xml:space="preserve">an </w:t>
            </w:r>
            <w:r w:rsidR="004B1807" w:rsidRPr="00C07192">
              <w:t xml:space="preserve">effective application for CAC </w:t>
            </w:r>
            <w:r w:rsidR="008842BC" w:rsidRPr="00C07192">
              <w:t xml:space="preserve">is made </w:t>
            </w:r>
            <w:r w:rsidR="004B1807" w:rsidRPr="00C07192">
              <w:t>before 1 Sept</w:t>
            </w:r>
            <w:r w:rsidR="002D1CBC" w:rsidRPr="00C07192">
              <w:t>ember</w:t>
            </w:r>
            <w:r w:rsidR="004B1807" w:rsidRPr="00C07192">
              <w:t xml:space="preserve"> 2014</w:t>
            </w:r>
          </w:p>
          <w:p w:rsidR="00B42A00" w:rsidRPr="00C07192" w:rsidRDefault="00E31BB5" w:rsidP="007C7554">
            <w:pPr>
              <w:pStyle w:val="ListParagraph"/>
              <w:numPr>
                <w:ilvl w:val="0"/>
                <w:numId w:val="26"/>
              </w:numPr>
              <w:ind w:left="317" w:hanging="284"/>
            </w:pPr>
            <w:r w:rsidRPr="00C07192">
              <w:t xml:space="preserve">CAC </w:t>
            </w:r>
            <w:r w:rsidR="008842BC" w:rsidRPr="00C07192">
              <w:t xml:space="preserve">is </w:t>
            </w:r>
            <w:r w:rsidRPr="00C07192">
              <w:t>issued by TGA on or after 1 June 2015</w:t>
            </w:r>
          </w:p>
          <w:p w:rsidR="00833DEC" w:rsidRPr="00C07192" w:rsidRDefault="00A00D65" w:rsidP="007C7554">
            <w:pPr>
              <w:pStyle w:val="ListParagraph"/>
              <w:numPr>
                <w:ilvl w:val="0"/>
                <w:numId w:val="26"/>
              </w:numPr>
              <w:ind w:left="317" w:hanging="284"/>
            </w:pPr>
            <w:r w:rsidRPr="00C07192">
              <w:t xml:space="preserve">an </w:t>
            </w:r>
            <w:r w:rsidR="00833DEC" w:rsidRPr="00C07192">
              <w:t xml:space="preserve">effective application for inclusion in the Register </w:t>
            </w:r>
            <w:r w:rsidRPr="00C07192">
              <w:t xml:space="preserve">is made </w:t>
            </w:r>
            <w:r w:rsidR="00833DEC" w:rsidRPr="00C07192">
              <w:t>within 30 days after CAC issued</w:t>
            </w:r>
          </w:p>
          <w:p w:rsidR="00E31BB5" w:rsidRPr="00C07192" w:rsidRDefault="00833DEC" w:rsidP="00203990">
            <w:pPr>
              <w:pStyle w:val="ListParagraph"/>
              <w:numPr>
                <w:ilvl w:val="0"/>
                <w:numId w:val="26"/>
              </w:numPr>
              <w:ind w:left="317" w:hanging="284"/>
              <w:rPr>
                <w:rFonts w:cs="Times New Roman"/>
              </w:rPr>
            </w:pPr>
            <w:r w:rsidRPr="00C07192">
              <w:t>th</w:t>
            </w:r>
            <w:r w:rsidR="00A00D65" w:rsidRPr="00C07192">
              <w:t>e</w:t>
            </w:r>
            <w:r w:rsidRPr="00C07192">
              <w:t xml:space="preserve"> application is finally determined</w:t>
            </w:r>
            <w:r w:rsidR="00B12DBA" w:rsidRPr="00C07192">
              <w:t xml:space="preserve"> (i.e. is not granted, and there is no longer any possibility of a change in that outcome)</w:t>
            </w:r>
            <w:r w:rsidRPr="00C07192">
              <w:t xml:space="preserve">. </w:t>
            </w:r>
          </w:p>
        </w:tc>
        <w:tc>
          <w:tcPr>
            <w:tcW w:w="2693" w:type="dxa"/>
          </w:tcPr>
          <w:p w:rsidR="00B42A00" w:rsidRPr="00C07192" w:rsidRDefault="00A468E7" w:rsidP="00A468E7">
            <w:r w:rsidRPr="00C07192">
              <w:t>The d</w:t>
            </w:r>
            <w:r w:rsidR="00833DEC" w:rsidRPr="00C07192">
              <w:t>ay the application for inclusion is finally determined.</w:t>
            </w:r>
          </w:p>
        </w:tc>
      </w:tr>
      <w:tr w:rsidR="00B42A00" w:rsidRPr="00C07192" w:rsidTr="002B4E61">
        <w:tc>
          <w:tcPr>
            <w:tcW w:w="1277" w:type="dxa"/>
          </w:tcPr>
          <w:p w:rsidR="00B42A00" w:rsidRPr="00C07192" w:rsidRDefault="005713B2" w:rsidP="00A92867">
            <w:r w:rsidRPr="00C07192">
              <w:t>11.</w:t>
            </w:r>
            <w:r w:rsidR="00042C23" w:rsidRPr="00C07192">
              <w:t>8</w:t>
            </w:r>
            <w:r w:rsidRPr="00C07192">
              <w:t>(7)</w:t>
            </w:r>
          </w:p>
        </w:tc>
        <w:tc>
          <w:tcPr>
            <w:tcW w:w="5528" w:type="dxa"/>
          </w:tcPr>
          <w:p w:rsidR="004B1807" w:rsidRPr="00C07192" w:rsidRDefault="00A00D65" w:rsidP="00833DEC">
            <w:pPr>
              <w:pStyle w:val="ListParagraph"/>
              <w:numPr>
                <w:ilvl w:val="0"/>
                <w:numId w:val="27"/>
              </w:numPr>
              <w:ind w:left="317" w:hanging="283"/>
            </w:pPr>
            <w:r w:rsidRPr="00C07192">
              <w:t xml:space="preserve">an </w:t>
            </w:r>
            <w:r w:rsidR="004B1807" w:rsidRPr="00C07192">
              <w:t xml:space="preserve">effective application for CAC </w:t>
            </w:r>
            <w:r w:rsidR="008842BC" w:rsidRPr="00C07192">
              <w:t xml:space="preserve">is made </w:t>
            </w:r>
            <w:r w:rsidR="004B1807" w:rsidRPr="00C07192">
              <w:t>before 1 Sept</w:t>
            </w:r>
            <w:r w:rsidR="002D1CBC" w:rsidRPr="00C07192">
              <w:t>ember</w:t>
            </w:r>
            <w:r w:rsidR="004B1807" w:rsidRPr="00C07192">
              <w:t xml:space="preserve"> 2014</w:t>
            </w:r>
          </w:p>
          <w:p w:rsidR="00B42A00" w:rsidRPr="00C07192" w:rsidRDefault="00833DEC" w:rsidP="00833DEC">
            <w:pPr>
              <w:pStyle w:val="ListParagraph"/>
              <w:numPr>
                <w:ilvl w:val="0"/>
                <w:numId w:val="27"/>
              </w:numPr>
              <w:ind w:left="317" w:hanging="283"/>
            </w:pPr>
            <w:r w:rsidRPr="00C07192">
              <w:t xml:space="preserve">CAC </w:t>
            </w:r>
            <w:r w:rsidR="008842BC" w:rsidRPr="00C07192">
              <w:t xml:space="preserve">is </w:t>
            </w:r>
            <w:r w:rsidRPr="00C07192">
              <w:t>issued on or after 1 June 2015</w:t>
            </w:r>
          </w:p>
          <w:p w:rsidR="00833DEC" w:rsidRPr="00C07192" w:rsidRDefault="00833DEC" w:rsidP="00833DEC">
            <w:pPr>
              <w:pStyle w:val="ListParagraph"/>
              <w:numPr>
                <w:ilvl w:val="0"/>
                <w:numId w:val="27"/>
              </w:numPr>
              <w:ind w:left="317" w:hanging="283"/>
            </w:pPr>
            <w:r w:rsidRPr="00C07192">
              <w:t xml:space="preserve">no effective application for inclusion in the Register </w:t>
            </w:r>
            <w:r w:rsidR="00A00D65" w:rsidRPr="00C07192">
              <w:t xml:space="preserve">is made </w:t>
            </w:r>
            <w:r w:rsidRPr="00C07192">
              <w:t>within 30 days after CAC issued.</w:t>
            </w:r>
          </w:p>
        </w:tc>
        <w:tc>
          <w:tcPr>
            <w:tcW w:w="2693" w:type="dxa"/>
          </w:tcPr>
          <w:p w:rsidR="00B42A00" w:rsidRPr="00C07192" w:rsidRDefault="00833DEC" w:rsidP="00A92867">
            <w:r w:rsidRPr="00C07192">
              <w:t>30 days after the day CAC issued.</w:t>
            </w:r>
          </w:p>
        </w:tc>
      </w:tr>
      <w:tr w:rsidR="00B42A00" w:rsidRPr="00C07192" w:rsidTr="002B4E61">
        <w:tc>
          <w:tcPr>
            <w:tcW w:w="1277" w:type="dxa"/>
          </w:tcPr>
          <w:p w:rsidR="00B42A00" w:rsidRPr="00C07192" w:rsidRDefault="005713B2" w:rsidP="00A92867">
            <w:r w:rsidRPr="00C07192">
              <w:t>11.</w:t>
            </w:r>
            <w:r w:rsidR="00042C23" w:rsidRPr="00C07192">
              <w:t>8</w:t>
            </w:r>
            <w:r w:rsidRPr="00C07192">
              <w:t>(8)</w:t>
            </w:r>
          </w:p>
        </w:tc>
        <w:tc>
          <w:tcPr>
            <w:tcW w:w="5528" w:type="dxa"/>
          </w:tcPr>
          <w:p w:rsidR="00A468E7" w:rsidRPr="00C07192" w:rsidRDefault="00A468E7" w:rsidP="00833DEC">
            <w:pPr>
              <w:pStyle w:val="ListParagraph"/>
              <w:numPr>
                <w:ilvl w:val="0"/>
                <w:numId w:val="28"/>
              </w:numPr>
              <w:ind w:left="317" w:hanging="283"/>
            </w:pPr>
            <w:r w:rsidRPr="00C07192">
              <w:t>an effective application for CAC is made before 1 September 2014</w:t>
            </w:r>
          </w:p>
          <w:p w:rsidR="00B42A00" w:rsidRPr="00C07192" w:rsidRDefault="00A468E7" w:rsidP="00A468E7">
            <w:pPr>
              <w:pStyle w:val="ListParagraph"/>
              <w:numPr>
                <w:ilvl w:val="0"/>
                <w:numId w:val="28"/>
              </w:numPr>
              <w:ind w:left="317" w:hanging="283"/>
            </w:pPr>
            <w:r w:rsidRPr="00C07192">
              <w:t xml:space="preserve">the </w:t>
            </w:r>
            <w:r w:rsidR="00833DEC" w:rsidRPr="00C07192">
              <w:t xml:space="preserve">application </w:t>
            </w:r>
            <w:r w:rsidR="00A00D65" w:rsidRPr="00C07192">
              <w:t xml:space="preserve">is </w:t>
            </w:r>
            <w:r w:rsidR="00833DEC" w:rsidRPr="00C07192">
              <w:t>finally determined</w:t>
            </w:r>
            <w:r w:rsidR="00B12DBA" w:rsidRPr="00C07192">
              <w:t xml:space="preserve"> (i.e. is not issued, and there is no longer any possibility of a change in that outcome)</w:t>
            </w:r>
            <w:r w:rsidR="00833DEC" w:rsidRPr="00C07192">
              <w:t>.</w:t>
            </w:r>
          </w:p>
        </w:tc>
        <w:tc>
          <w:tcPr>
            <w:tcW w:w="2693" w:type="dxa"/>
          </w:tcPr>
          <w:p w:rsidR="00B42A00" w:rsidRPr="00C07192" w:rsidRDefault="00A468E7" w:rsidP="00A468E7">
            <w:r w:rsidRPr="00C07192">
              <w:t>The d</w:t>
            </w:r>
            <w:r w:rsidR="00833DEC" w:rsidRPr="00C07192">
              <w:t>ay the application for the CAC is finally determined.</w:t>
            </w:r>
          </w:p>
        </w:tc>
      </w:tr>
      <w:tr w:rsidR="00B42A00" w:rsidRPr="00C07192" w:rsidTr="002B4E61">
        <w:tc>
          <w:tcPr>
            <w:tcW w:w="1277" w:type="dxa"/>
          </w:tcPr>
          <w:p w:rsidR="00B42A00" w:rsidRPr="00C07192" w:rsidRDefault="005713B2" w:rsidP="00A92867">
            <w:r w:rsidRPr="00C07192">
              <w:t>11.</w:t>
            </w:r>
            <w:r w:rsidR="00042C23" w:rsidRPr="00C07192">
              <w:t>9</w:t>
            </w:r>
          </w:p>
        </w:tc>
        <w:tc>
          <w:tcPr>
            <w:tcW w:w="5528" w:type="dxa"/>
          </w:tcPr>
          <w:p w:rsidR="00B42A00" w:rsidRPr="00C07192" w:rsidRDefault="0093707B" w:rsidP="002D1CBC">
            <w:pPr>
              <w:pStyle w:val="ListParagraph"/>
              <w:numPr>
                <w:ilvl w:val="0"/>
                <w:numId w:val="28"/>
              </w:numPr>
              <w:ind w:left="317" w:hanging="317"/>
            </w:pPr>
            <w:r w:rsidRPr="00C07192">
              <w:t xml:space="preserve">no effective </w:t>
            </w:r>
            <w:r w:rsidR="001F1CD8" w:rsidRPr="00C07192">
              <w:t xml:space="preserve">CAC application </w:t>
            </w:r>
            <w:r w:rsidR="00A00D65" w:rsidRPr="00C07192">
              <w:t xml:space="preserve">is made </w:t>
            </w:r>
            <w:r w:rsidR="004B1807" w:rsidRPr="00C07192">
              <w:t xml:space="preserve">before 1 </w:t>
            </w:r>
            <w:r w:rsidR="002D1CBC" w:rsidRPr="00C07192">
              <w:t xml:space="preserve">September </w:t>
            </w:r>
            <w:r w:rsidRPr="00C07192">
              <w:t>2014.</w:t>
            </w:r>
          </w:p>
        </w:tc>
        <w:tc>
          <w:tcPr>
            <w:tcW w:w="2693" w:type="dxa"/>
          </w:tcPr>
          <w:p w:rsidR="00B42A00" w:rsidRPr="00C07192" w:rsidRDefault="0093707B" w:rsidP="00A92867">
            <w:r w:rsidRPr="00C07192">
              <w:t>1 September 2014.</w:t>
            </w:r>
          </w:p>
        </w:tc>
      </w:tr>
      <w:tr w:rsidR="00B75FA6" w:rsidRPr="00C07192" w:rsidTr="004B1807">
        <w:tc>
          <w:tcPr>
            <w:tcW w:w="6805" w:type="dxa"/>
            <w:gridSpan w:val="2"/>
          </w:tcPr>
          <w:p w:rsidR="00B75FA6" w:rsidRPr="00C07192" w:rsidRDefault="0082567F" w:rsidP="001B2B72">
            <w:r w:rsidRPr="00C07192">
              <w:t>W</w:t>
            </w:r>
            <w:r w:rsidR="00D56D85" w:rsidRPr="00C07192">
              <w:t xml:space="preserve">here CAC </w:t>
            </w:r>
            <w:r w:rsidR="00B75FA6" w:rsidRPr="00C07192">
              <w:t xml:space="preserve">not required before an application can be made for inclusion </w:t>
            </w:r>
            <w:r w:rsidR="00A00D65" w:rsidRPr="00C07192">
              <w:t xml:space="preserve">of the </w:t>
            </w:r>
            <w:r w:rsidR="001B2B72" w:rsidRPr="00C07192">
              <w:t xml:space="preserve">device </w:t>
            </w:r>
            <w:r w:rsidR="00B75FA6" w:rsidRPr="00C07192">
              <w:t>in the Register as a medical device:</w:t>
            </w:r>
          </w:p>
        </w:tc>
        <w:tc>
          <w:tcPr>
            <w:tcW w:w="2693" w:type="dxa"/>
          </w:tcPr>
          <w:p w:rsidR="00B75FA6" w:rsidRPr="00C07192" w:rsidRDefault="00B75FA6" w:rsidP="00A92867"/>
        </w:tc>
      </w:tr>
      <w:tr w:rsidR="00B42A00" w:rsidRPr="00C07192" w:rsidTr="002B4E61">
        <w:tc>
          <w:tcPr>
            <w:tcW w:w="1277" w:type="dxa"/>
          </w:tcPr>
          <w:p w:rsidR="00B42A00" w:rsidRPr="00C07192" w:rsidRDefault="005713B2" w:rsidP="00A92867">
            <w:r w:rsidRPr="00C07192">
              <w:t>11.</w:t>
            </w:r>
            <w:r w:rsidR="00042C23" w:rsidRPr="00C07192">
              <w:t>10</w:t>
            </w:r>
            <w:r w:rsidRPr="00C07192">
              <w:t>(2)</w:t>
            </w:r>
          </w:p>
        </w:tc>
        <w:tc>
          <w:tcPr>
            <w:tcW w:w="5528" w:type="dxa"/>
          </w:tcPr>
          <w:p w:rsidR="00B42A00" w:rsidRPr="00C07192" w:rsidRDefault="00A00D65" w:rsidP="00B75FA6">
            <w:pPr>
              <w:pStyle w:val="ListParagraph"/>
              <w:numPr>
                <w:ilvl w:val="0"/>
                <w:numId w:val="28"/>
              </w:numPr>
              <w:ind w:left="317" w:hanging="317"/>
            </w:pPr>
            <w:r w:rsidRPr="00C07192">
              <w:t xml:space="preserve">an </w:t>
            </w:r>
            <w:r w:rsidR="00BC221E" w:rsidRPr="00C07192">
              <w:t xml:space="preserve">effective application for inclusion in the Register </w:t>
            </w:r>
            <w:r w:rsidRPr="00C07192">
              <w:t xml:space="preserve">is made </w:t>
            </w:r>
            <w:r w:rsidR="00BC221E" w:rsidRPr="00C07192">
              <w:t>before 1 July 2015</w:t>
            </w:r>
          </w:p>
          <w:p w:rsidR="00BC221E" w:rsidRPr="00C07192" w:rsidRDefault="00BC221E" w:rsidP="00B75FA6">
            <w:pPr>
              <w:pStyle w:val="ListParagraph"/>
              <w:numPr>
                <w:ilvl w:val="0"/>
                <w:numId w:val="28"/>
              </w:numPr>
              <w:ind w:left="317" w:hanging="317"/>
            </w:pPr>
            <w:r w:rsidRPr="00C07192">
              <w:t xml:space="preserve">device </w:t>
            </w:r>
            <w:r w:rsidR="00A00D65" w:rsidRPr="00C07192">
              <w:t xml:space="preserve">is </w:t>
            </w:r>
            <w:r w:rsidRPr="00C07192">
              <w:t>included in the Register.</w:t>
            </w:r>
          </w:p>
        </w:tc>
        <w:tc>
          <w:tcPr>
            <w:tcW w:w="2693" w:type="dxa"/>
          </w:tcPr>
          <w:p w:rsidR="00B42A00" w:rsidRPr="00C07192" w:rsidRDefault="00A468E7" w:rsidP="00A468E7">
            <w:r w:rsidRPr="00C07192">
              <w:t>The d</w:t>
            </w:r>
            <w:r w:rsidR="00BC221E" w:rsidRPr="00C07192">
              <w:t>ay the device is included in the Register.</w:t>
            </w:r>
          </w:p>
        </w:tc>
      </w:tr>
      <w:tr w:rsidR="00BC221E" w:rsidRPr="00C07192" w:rsidTr="002B4E61">
        <w:tc>
          <w:tcPr>
            <w:tcW w:w="1277" w:type="dxa"/>
          </w:tcPr>
          <w:p w:rsidR="00BC221E" w:rsidRPr="00C07192" w:rsidRDefault="005713B2" w:rsidP="00A92867">
            <w:r w:rsidRPr="00C07192">
              <w:t>11.</w:t>
            </w:r>
            <w:r w:rsidR="00042C23" w:rsidRPr="00C07192">
              <w:t>10</w:t>
            </w:r>
            <w:r w:rsidRPr="00C07192">
              <w:t>(3)</w:t>
            </w:r>
          </w:p>
        </w:tc>
        <w:tc>
          <w:tcPr>
            <w:tcW w:w="5528" w:type="dxa"/>
          </w:tcPr>
          <w:p w:rsidR="00BC221E" w:rsidRPr="00C07192" w:rsidRDefault="00A00D65" w:rsidP="00A92867">
            <w:pPr>
              <w:pStyle w:val="ListParagraph"/>
              <w:numPr>
                <w:ilvl w:val="0"/>
                <w:numId w:val="28"/>
              </w:numPr>
              <w:ind w:left="317" w:hanging="317"/>
            </w:pPr>
            <w:r w:rsidRPr="00C07192">
              <w:t xml:space="preserve">an </w:t>
            </w:r>
            <w:r w:rsidR="00BC221E" w:rsidRPr="00C07192">
              <w:t xml:space="preserve">effective application for inclusion in the Register </w:t>
            </w:r>
            <w:r w:rsidRPr="00C07192">
              <w:t xml:space="preserve">is made </w:t>
            </w:r>
            <w:r w:rsidR="00BC221E" w:rsidRPr="00C07192">
              <w:t>before 1 July 2015</w:t>
            </w:r>
          </w:p>
          <w:p w:rsidR="00BC221E" w:rsidRPr="00C07192" w:rsidRDefault="00BC221E" w:rsidP="00203990">
            <w:pPr>
              <w:pStyle w:val="ListParagraph"/>
              <w:numPr>
                <w:ilvl w:val="0"/>
                <w:numId w:val="28"/>
              </w:numPr>
              <w:ind w:left="317" w:hanging="317"/>
              <w:rPr>
                <w:rFonts w:cs="Times New Roman"/>
              </w:rPr>
            </w:pPr>
            <w:r w:rsidRPr="00C07192">
              <w:t>th</w:t>
            </w:r>
            <w:r w:rsidR="00A00D65" w:rsidRPr="00C07192">
              <w:t>e</w:t>
            </w:r>
            <w:r w:rsidRPr="00C07192">
              <w:t xml:space="preserve"> application is finally determined</w:t>
            </w:r>
            <w:r w:rsidR="001B41BB" w:rsidRPr="00C07192">
              <w:t xml:space="preserve"> (i.e. is not granted, and there is no longer any possibility of a change in that outcome)</w:t>
            </w:r>
            <w:r w:rsidRPr="00C07192">
              <w:t>.</w:t>
            </w:r>
          </w:p>
        </w:tc>
        <w:tc>
          <w:tcPr>
            <w:tcW w:w="2693" w:type="dxa"/>
          </w:tcPr>
          <w:p w:rsidR="00BC221E" w:rsidRPr="00C07192" w:rsidRDefault="00A468E7" w:rsidP="00A468E7">
            <w:r w:rsidRPr="00C07192">
              <w:t>The d</w:t>
            </w:r>
            <w:r w:rsidR="00BC221E" w:rsidRPr="00C07192">
              <w:t>ay the application for inclusion is finally determined.</w:t>
            </w:r>
          </w:p>
        </w:tc>
      </w:tr>
      <w:tr w:rsidR="00BC221E" w:rsidRPr="00C07192" w:rsidTr="002B4E61">
        <w:tc>
          <w:tcPr>
            <w:tcW w:w="1277" w:type="dxa"/>
          </w:tcPr>
          <w:p w:rsidR="00BC221E" w:rsidRPr="00C07192" w:rsidRDefault="005713B2" w:rsidP="00A92867">
            <w:r w:rsidRPr="00C07192">
              <w:t>11.</w:t>
            </w:r>
            <w:r w:rsidR="00042C23" w:rsidRPr="00C07192">
              <w:t>10</w:t>
            </w:r>
            <w:r w:rsidRPr="00C07192">
              <w:t>(4)</w:t>
            </w:r>
          </w:p>
        </w:tc>
        <w:tc>
          <w:tcPr>
            <w:tcW w:w="5528" w:type="dxa"/>
          </w:tcPr>
          <w:p w:rsidR="00BC221E" w:rsidRPr="00C07192" w:rsidRDefault="00BC221E" w:rsidP="00BC221E">
            <w:pPr>
              <w:pStyle w:val="ListParagraph"/>
              <w:numPr>
                <w:ilvl w:val="0"/>
                <w:numId w:val="28"/>
              </w:numPr>
              <w:ind w:left="317" w:hanging="317"/>
            </w:pPr>
            <w:r w:rsidRPr="00C07192">
              <w:t xml:space="preserve">no effective application for inclusion in the Register </w:t>
            </w:r>
            <w:r w:rsidR="00A00D65" w:rsidRPr="00C07192">
              <w:t xml:space="preserve">is made </w:t>
            </w:r>
            <w:r w:rsidRPr="00C07192">
              <w:t>before 1 July 2015.</w:t>
            </w:r>
          </w:p>
        </w:tc>
        <w:tc>
          <w:tcPr>
            <w:tcW w:w="2693" w:type="dxa"/>
          </w:tcPr>
          <w:p w:rsidR="00BC221E" w:rsidRPr="00C07192" w:rsidRDefault="00BC221E" w:rsidP="00A92867">
            <w:r w:rsidRPr="00C07192">
              <w:t>1 July 2015</w:t>
            </w:r>
            <w:r w:rsidR="00FB3E70" w:rsidRPr="00C07192">
              <w:t>.</w:t>
            </w:r>
          </w:p>
        </w:tc>
      </w:tr>
    </w:tbl>
    <w:p w:rsidR="005141F7" w:rsidRPr="00C07192" w:rsidRDefault="005141F7" w:rsidP="00641B61">
      <w:pPr>
        <w:ind w:right="-46"/>
      </w:pPr>
    </w:p>
    <w:p w:rsidR="00043D22" w:rsidRPr="00C07192" w:rsidRDefault="00043D22" w:rsidP="00A362EA">
      <w:pPr>
        <w:ind w:right="-46"/>
      </w:pPr>
      <w:r w:rsidRPr="00C07192">
        <w:t>The various transition days</w:t>
      </w:r>
      <w:r w:rsidR="00DC532B">
        <w:t xml:space="preserve"> set out in the table above </w:t>
      </w:r>
      <w:r w:rsidRPr="00C07192">
        <w:t xml:space="preserve">represent an extension of the current transition period for these devices, </w:t>
      </w:r>
      <w:r w:rsidR="00A468E7" w:rsidRPr="00C07192">
        <w:t>but t</w:t>
      </w:r>
      <w:r w:rsidR="00DC532B">
        <w:t xml:space="preserve">he length of the extension </w:t>
      </w:r>
      <w:r w:rsidR="00A468E7" w:rsidRPr="00C07192">
        <w:t>depend</w:t>
      </w:r>
      <w:r w:rsidR="00DC532B">
        <w:t>s</w:t>
      </w:r>
      <w:r w:rsidR="00A468E7" w:rsidRPr="00C07192">
        <w:t xml:space="preserve"> on the particular circumstances</w:t>
      </w:r>
      <w:r w:rsidRPr="00C07192">
        <w:t xml:space="preserve">. </w:t>
      </w:r>
    </w:p>
    <w:p w:rsidR="007069C2" w:rsidRPr="00C07192" w:rsidRDefault="007069C2" w:rsidP="00A362EA">
      <w:pPr>
        <w:ind w:right="-46"/>
      </w:pPr>
    </w:p>
    <w:p w:rsidR="007069C2" w:rsidRPr="00C07192" w:rsidRDefault="00473C6E" w:rsidP="00A362EA">
      <w:pPr>
        <w:ind w:right="-46"/>
      </w:pPr>
      <w:r w:rsidRPr="00C07192">
        <w:t>IVDs for which a</w:t>
      </w:r>
      <w:r w:rsidR="00A62FAC" w:rsidRPr="00C07192">
        <w:t xml:space="preserve"> conformity assessment certificate</w:t>
      </w:r>
      <w:r w:rsidRPr="00C07192">
        <w:t xml:space="preserve"> is required</w:t>
      </w:r>
      <w:r w:rsidR="00A62FAC" w:rsidRPr="00C07192">
        <w:t xml:space="preserve"> to be in place before an application can be made to include </w:t>
      </w:r>
      <w:r w:rsidR="001B2B72" w:rsidRPr="00C07192">
        <w:t xml:space="preserve">them </w:t>
      </w:r>
      <w:r w:rsidRPr="00C07192">
        <w:t xml:space="preserve">in the Register </w:t>
      </w:r>
      <w:r w:rsidR="00A62FAC" w:rsidRPr="00C07192">
        <w:t>are:</w:t>
      </w:r>
    </w:p>
    <w:p w:rsidR="00A62FAC" w:rsidRPr="00C07192" w:rsidRDefault="00473C6E" w:rsidP="00D45348">
      <w:pPr>
        <w:pStyle w:val="ListParagraph"/>
        <w:numPr>
          <w:ilvl w:val="0"/>
          <w:numId w:val="28"/>
        </w:numPr>
        <w:ind w:left="567" w:right="-46" w:hanging="283"/>
      </w:pPr>
      <w:r w:rsidRPr="00C07192">
        <w:t>classes 2 and 3 commercial IVDs manufactured in Australia; and</w:t>
      </w:r>
    </w:p>
    <w:p w:rsidR="00473C6E" w:rsidRPr="00C07192" w:rsidRDefault="00473C6E" w:rsidP="00D45348">
      <w:pPr>
        <w:pStyle w:val="ListParagraph"/>
        <w:numPr>
          <w:ilvl w:val="0"/>
          <w:numId w:val="28"/>
        </w:numPr>
        <w:ind w:left="567" w:right="-46" w:hanging="283"/>
      </w:pPr>
      <w:r w:rsidRPr="00C07192">
        <w:t>class 4 commercial IVDs (whether manufactured in Australia or overseas) and class 4 in-house IVDs (these are, by their nature, only manufactured in Australia).</w:t>
      </w:r>
    </w:p>
    <w:p w:rsidR="00043D22" w:rsidRPr="00C07192" w:rsidRDefault="00043D22" w:rsidP="00A362EA">
      <w:pPr>
        <w:ind w:right="-46"/>
      </w:pPr>
    </w:p>
    <w:p w:rsidR="00E35282" w:rsidRPr="00C07192" w:rsidRDefault="005713B2" w:rsidP="00A362EA">
      <w:pPr>
        <w:ind w:right="-46"/>
      </w:pPr>
      <w:r w:rsidRPr="00C07192">
        <w:t>Under regulation 11.1</w:t>
      </w:r>
      <w:r w:rsidR="00201065" w:rsidRPr="00C07192">
        <w:t>1</w:t>
      </w:r>
      <w:r w:rsidR="00E35282" w:rsidRPr="00C07192">
        <w:t xml:space="preserve">, once a transitional </w:t>
      </w:r>
      <w:r w:rsidR="000E3EF9" w:rsidRPr="00C07192">
        <w:t>device</w:t>
      </w:r>
      <w:r w:rsidR="00E35282" w:rsidRPr="00C07192">
        <w:t xml:space="preserve"> </w:t>
      </w:r>
      <w:r w:rsidR="00A00D65" w:rsidRPr="00C07192">
        <w:t xml:space="preserve">that is a listed or registered therapeutic device </w:t>
      </w:r>
      <w:r w:rsidR="00E35282" w:rsidRPr="00C07192">
        <w:t xml:space="preserve">has reached its transition day, its registration or listing </w:t>
      </w:r>
      <w:r w:rsidR="007E4B24">
        <w:t>is</w:t>
      </w:r>
      <w:r w:rsidR="00E35282" w:rsidRPr="00C07192">
        <w:t xml:space="preserve"> ta</w:t>
      </w:r>
      <w:r w:rsidR="00DC532B">
        <w:t>ken to be cancelled – this</w:t>
      </w:r>
      <w:r w:rsidR="00E35282" w:rsidRPr="00C07192">
        <w:t xml:space="preserve"> represent</w:t>
      </w:r>
      <w:r w:rsidR="00DC532B">
        <w:t>s</w:t>
      </w:r>
      <w:r w:rsidR="00E35282" w:rsidRPr="00C07192">
        <w:t xml:space="preserve"> a continuation of the current approach in subregulation 5(3) of the 2010 MD Amendments.</w:t>
      </w:r>
    </w:p>
    <w:p w:rsidR="00E35282" w:rsidRPr="00C07192" w:rsidRDefault="00E35282" w:rsidP="00A362EA">
      <w:pPr>
        <w:ind w:right="-46"/>
      </w:pPr>
    </w:p>
    <w:p w:rsidR="006A7F3D" w:rsidRPr="00C07192" w:rsidRDefault="006A7F3D" w:rsidP="00203990">
      <w:pPr>
        <w:keepNext/>
        <w:ind w:right="-45"/>
        <w:rPr>
          <w:b/>
        </w:rPr>
      </w:pPr>
      <w:r w:rsidRPr="00C07192">
        <w:rPr>
          <w:b/>
        </w:rPr>
        <w:t>Subdivision D – Approved transitional devices</w:t>
      </w:r>
    </w:p>
    <w:p w:rsidR="004F3B1A" w:rsidRPr="00C07192" w:rsidRDefault="00DC532B" w:rsidP="00641B61">
      <w:pPr>
        <w:ind w:right="-46"/>
      </w:pPr>
      <w:r>
        <w:t xml:space="preserve">This Subdivision </w:t>
      </w:r>
      <w:r w:rsidR="004F3B1A" w:rsidRPr="00C07192">
        <w:t>appl</w:t>
      </w:r>
      <w:r>
        <w:t>ies</w:t>
      </w:r>
      <w:r w:rsidR="004F3B1A" w:rsidRPr="00C07192">
        <w:t xml:space="preserve"> to transitional </w:t>
      </w:r>
      <w:r w:rsidR="000E3EF9" w:rsidRPr="00C07192">
        <w:t>device</w:t>
      </w:r>
      <w:r w:rsidR="001E4B61" w:rsidRPr="00C07192">
        <w:t>s</w:t>
      </w:r>
      <w:r w:rsidR="000E3EF9" w:rsidRPr="00C07192">
        <w:t xml:space="preserve"> </w:t>
      </w:r>
      <w:r w:rsidR="004F3B1A" w:rsidRPr="00C07192">
        <w:t xml:space="preserve">that, immediately before 1 July 2010, were </w:t>
      </w:r>
      <w:r w:rsidR="00546208" w:rsidRPr="00C07192">
        <w:t xml:space="preserve">either </w:t>
      </w:r>
      <w:r w:rsidR="004F3B1A" w:rsidRPr="00C07192">
        <w:t xml:space="preserve">approved </w:t>
      </w:r>
      <w:r w:rsidR="001B2B72" w:rsidRPr="00C07192">
        <w:t xml:space="preserve">under paragraph 19(1)(b) of the Act </w:t>
      </w:r>
      <w:r w:rsidR="004F3B1A" w:rsidRPr="00C07192">
        <w:t xml:space="preserve">or exempt from the requirement to be registered or listed </w:t>
      </w:r>
      <w:r w:rsidR="00C03EEA" w:rsidRPr="00C07192">
        <w:t xml:space="preserve">as therapeutic devices </w:t>
      </w:r>
      <w:r w:rsidR="004F3B1A" w:rsidRPr="00C07192">
        <w:t>due to use in a clinical trial</w:t>
      </w:r>
      <w:r w:rsidR="00D83B23" w:rsidRPr="00C07192">
        <w:t>,</w:t>
      </w:r>
      <w:r w:rsidR="004F3B1A" w:rsidRPr="00C07192">
        <w:t xml:space="preserve"> or </w:t>
      </w:r>
      <w:r w:rsidR="00546208" w:rsidRPr="00C07192">
        <w:t xml:space="preserve">were </w:t>
      </w:r>
      <w:r w:rsidR="004F3B1A" w:rsidRPr="00C07192">
        <w:t>the subject of an application for such an approval which had not been finally determined</w:t>
      </w:r>
      <w:r w:rsidR="00FA2DDD" w:rsidRPr="00C07192">
        <w:t xml:space="preserve"> at that date</w:t>
      </w:r>
      <w:r w:rsidR="004F3B1A" w:rsidRPr="00C07192">
        <w:t>.</w:t>
      </w:r>
    </w:p>
    <w:p w:rsidR="004F3B1A" w:rsidRPr="00C07192" w:rsidRDefault="004F3B1A" w:rsidP="00641B61">
      <w:pPr>
        <w:ind w:right="-46"/>
      </w:pPr>
    </w:p>
    <w:p w:rsidR="00D3487D" w:rsidRPr="00C07192" w:rsidRDefault="005713B2" w:rsidP="00D83B23">
      <w:pPr>
        <w:ind w:right="-46"/>
      </w:pPr>
      <w:r w:rsidRPr="00C07192">
        <w:t>Regulation 11.1</w:t>
      </w:r>
      <w:r w:rsidR="00431600" w:rsidRPr="00C07192">
        <w:t>3</w:t>
      </w:r>
      <w:r w:rsidR="008D50B3">
        <w:t xml:space="preserve"> </w:t>
      </w:r>
      <w:r w:rsidR="00AA3CEB" w:rsidRPr="00C07192">
        <w:t>introduce</w:t>
      </w:r>
      <w:r w:rsidR="008D50B3">
        <w:t>s</w:t>
      </w:r>
      <w:r w:rsidR="00D83B23" w:rsidRPr="00C07192">
        <w:t xml:space="preserve"> an equivalent amendment to regulation 11.</w:t>
      </w:r>
      <w:r w:rsidR="00431600" w:rsidRPr="00C07192">
        <w:t>7</w:t>
      </w:r>
      <w:r w:rsidR="00D83B23" w:rsidRPr="00C07192">
        <w:t xml:space="preserve"> above, by applying the new IVD framework for such IVDs for the purposes of applying for, or being issued, a conformity assessment certificate or applying for</w:t>
      </w:r>
      <w:r w:rsidR="001B2B72" w:rsidRPr="00C07192">
        <w:t xml:space="preserve"> inclusion</w:t>
      </w:r>
      <w:r w:rsidR="00D83B23" w:rsidRPr="00C07192">
        <w:t>, or being inclu</w:t>
      </w:r>
      <w:r w:rsidR="001B2B72" w:rsidRPr="00C07192">
        <w:t xml:space="preserve">ded, </w:t>
      </w:r>
      <w:r w:rsidR="00D83B23" w:rsidRPr="00C07192">
        <w:t>in the Register.</w:t>
      </w:r>
      <w:r w:rsidR="002C4D89" w:rsidRPr="00C07192">
        <w:t xml:space="preserve">  </w:t>
      </w:r>
      <w:r w:rsidRPr="00C07192">
        <w:t>Regulation 11.1</w:t>
      </w:r>
      <w:r w:rsidR="00C25E39" w:rsidRPr="00C07192">
        <w:t>4</w:t>
      </w:r>
      <w:r w:rsidR="008D50B3">
        <w:t xml:space="preserve"> </w:t>
      </w:r>
      <w:r w:rsidR="00D83B23" w:rsidRPr="00C07192">
        <w:t>set</w:t>
      </w:r>
      <w:r w:rsidR="008D50B3">
        <w:t>s</w:t>
      </w:r>
      <w:r w:rsidR="00D83B23" w:rsidRPr="00C07192">
        <w:t xml:space="preserve"> out </w:t>
      </w:r>
      <w:r w:rsidR="00D3487D" w:rsidRPr="00C07192">
        <w:t xml:space="preserve">that the transition day for </w:t>
      </w:r>
      <w:r w:rsidR="00D83B23" w:rsidRPr="00C07192">
        <w:t xml:space="preserve">approved transitional </w:t>
      </w:r>
      <w:r w:rsidR="000E3EF9" w:rsidRPr="00C07192">
        <w:t>devices</w:t>
      </w:r>
      <w:r w:rsidR="00D83B23" w:rsidRPr="00C07192">
        <w:t xml:space="preserve"> </w:t>
      </w:r>
      <w:r w:rsidR="008D50B3">
        <w:t>is</w:t>
      </w:r>
      <w:r w:rsidR="00D83B23" w:rsidRPr="00C07192">
        <w:t xml:space="preserve"> </w:t>
      </w:r>
      <w:r w:rsidR="00D3487D" w:rsidRPr="00C07192">
        <w:t>when</w:t>
      </w:r>
      <w:r w:rsidR="00FA2DDD" w:rsidRPr="00C07192">
        <w:t>, for instance,</w:t>
      </w:r>
      <w:r w:rsidR="00D3487D" w:rsidRPr="00C07192">
        <w:t xml:space="preserve"> the clinical trial </w:t>
      </w:r>
      <w:r w:rsidR="001B2B72" w:rsidRPr="00C07192">
        <w:t xml:space="preserve">in relation to which they were approved or exempt, </w:t>
      </w:r>
      <w:r w:rsidR="00D3487D" w:rsidRPr="00C07192">
        <w:t>ceases.</w:t>
      </w:r>
    </w:p>
    <w:p w:rsidR="00DA6C80" w:rsidRPr="00C07192" w:rsidRDefault="00DA6C80" w:rsidP="00D83B23">
      <w:pPr>
        <w:ind w:right="-46"/>
      </w:pPr>
    </w:p>
    <w:p w:rsidR="00D83B23" w:rsidRPr="00C07192" w:rsidRDefault="0061279E" w:rsidP="00D83B23">
      <w:pPr>
        <w:ind w:right="-46"/>
      </w:pPr>
      <w:r w:rsidRPr="00C07192">
        <w:t xml:space="preserve">The exception to this </w:t>
      </w:r>
      <w:r w:rsidR="008D50B3">
        <w:t>is</w:t>
      </w:r>
      <w:r w:rsidR="00D3487D" w:rsidRPr="00C07192">
        <w:t xml:space="preserve"> </w:t>
      </w:r>
      <w:r w:rsidRPr="00C07192">
        <w:t>an approved transitional device that,</w:t>
      </w:r>
      <w:r w:rsidR="00D3487D" w:rsidRPr="00C07192">
        <w:t xml:space="preserve"> immediately before 1</w:t>
      </w:r>
      <w:r w:rsidR="00FA2DDD" w:rsidRPr="00C07192">
        <w:t> </w:t>
      </w:r>
      <w:r w:rsidR="00D3487D" w:rsidRPr="00C07192">
        <w:t>July 2010, was the sub</w:t>
      </w:r>
      <w:r w:rsidRPr="00C07192">
        <w:t xml:space="preserve">ject of an application for </w:t>
      </w:r>
      <w:r w:rsidR="00D3487D" w:rsidRPr="00C07192">
        <w:t xml:space="preserve">an approval </w:t>
      </w:r>
      <w:r w:rsidR="001B2B72" w:rsidRPr="00C07192">
        <w:t xml:space="preserve">under paragraph 19(1)(b) of the Act </w:t>
      </w:r>
      <w:r w:rsidR="0091499B" w:rsidRPr="00C07192">
        <w:t xml:space="preserve">for use in a clinical trial </w:t>
      </w:r>
      <w:r w:rsidR="00D3487D" w:rsidRPr="00C07192">
        <w:t>that had not been finally determined</w:t>
      </w:r>
      <w:r w:rsidRPr="00C07192">
        <w:t>.</w:t>
      </w:r>
      <w:r w:rsidR="00D47E14" w:rsidRPr="00C07192">
        <w:t xml:space="preserve">  </w:t>
      </w:r>
      <w:r w:rsidR="00546208" w:rsidRPr="00C07192">
        <w:t xml:space="preserve">Under </w:t>
      </w:r>
      <w:r w:rsidR="005713B2" w:rsidRPr="00C07192">
        <w:t>paragraph 11.1</w:t>
      </w:r>
      <w:r w:rsidR="00BF6C35" w:rsidRPr="00C07192">
        <w:t>4</w:t>
      </w:r>
      <w:r w:rsidR="005713B2" w:rsidRPr="00C07192">
        <w:t>(c)(ii),</w:t>
      </w:r>
      <w:r w:rsidR="00546208" w:rsidRPr="00C07192">
        <w:t xml:space="preserve"> the transition day for </w:t>
      </w:r>
      <w:r w:rsidR="00DA6C80" w:rsidRPr="00C07192">
        <w:t>such IVDs</w:t>
      </w:r>
      <w:r w:rsidR="00546208" w:rsidRPr="00C07192">
        <w:t xml:space="preserve"> </w:t>
      </w:r>
      <w:r w:rsidR="008D50B3">
        <w:t>is</w:t>
      </w:r>
      <w:r w:rsidR="00DA6C80" w:rsidRPr="00C07192">
        <w:t xml:space="preserve"> the day that application is finally determined</w:t>
      </w:r>
      <w:r w:rsidR="001B2B72" w:rsidRPr="00C07192">
        <w:t>, that is the day on which, the approval having been rejected, there is no longer any possibility of a change in that outcome</w:t>
      </w:r>
      <w:r w:rsidR="00DA6C80" w:rsidRPr="00C07192">
        <w:t>.</w:t>
      </w:r>
    </w:p>
    <w:p w:rsidR="00DA6C80" w:rsidRPr="00C07192" w:rsidRDefault="00DA6C80" w:rsidP="00D83B23">
      <w:pPr>
        <w:ind w:right="-46"/>
      </w:pPr>
    </w:p>
    <w:p w:rsidR="00DA6C80" w:rsidRPr="00C07192" w:rsidRDefault="00244673" w:rsidP="00D83B23">
      <w:pPr>
        <w:ind w:right="-46"/>
      </w:pPr>
      <w:r w:rsidRPr="00C07192">
        <w:t>Subdivision D represent</w:t>
      </w:r>
      <w:r w:rsidR="00487AA5">
        <w:t>s</w:t>
      </w:r>
      <w:r w:rsidRPr="00C07192">
        <w:t xml:space="preserve"> an extension of </w:t>
      </w:r>
      <w:r w:rsidR="00DA6C80" w:rsidRPr="00C07192">
        <w:t xml:space="preserve">the current </w:t>
      </w:r>
      <w:r w:rsidR="00546208" w:rsidRPr="00C07192">
        <w:t xml:space="preserve">transitional arrangements in </w:t>
      </w:r>
      <w:r w:rsidRPr="00C07192">
        <w:t xml:space="preserve">regulation 5(5) of </w:t>
      </w:r>
      <w:r w:rsidR="00546208" w:rsidRPr="00C07192">
        <w:t>the 2010 MD Amendments for IVDs defined in Subdivision 11.1 as approved transitional devices.</w:t>
      </w:r>
    </w:p>
    <w:p w:rsidR="00546208" w:rsidRPr="00C07192" w:rsidRDefault="00546208" w:rsidP="00D83B23">
      <w:pPr>
        <w:ind w:right="-46"/>
      </w:pPr>
    </w:p>
    <w:p w:rsidR="00546208" w:rsidRPr="00C07192" w:rsidRDefault="00546208" w:rsidP="00D83B23">
      <w:pPr>
        <w:ind w:right="-46"/>
        <w:rPr>
          <w:b/>
        </w:rPr>
      </w:pPr>
      <w:r w:rsidRPr="00C07192">
        <w:rPr>
          <w:b/>
        </w:rPr>
        <w:t>Subdivision E – Class 4 in-house IVD medical devices</w:t>
      </w:r>
    </w:p>
    <w:p w:rsidR="00FB0131" w:rsidRPr="00C07192" w:rsidRDefault="00487AA5" w:rsidP="00D83B23">
      <w:pPr>
        <w:ind w:right="-46"/>
      </w:pPr>
      <w:r>
        <w:t xml:space="preserve">This Subdivision </w:t>
      </w:r>
      <w:r w:rsidR="00D47E14" w:rsidRPr="00C07192">
        <w:t>appl</w:t>
      </w:r>
      <w:r>
        <w:t>ies</w:t>
      </w:r>
      <w:r w:rsidR="00D47E14" w:rsidRPr="00C07192">
        <w:t xml:space="preserve"> to Class 4 in-house IVDs</w:t>
      </w:r>
      <w:r w:rsidR="00E35282" w:rsidRPr="00C07192">
        <w:t xml:space="preserve">, </w:t>
      </w:r>
      <w:r w:rsidR="00C03EEA" w:rsidRPr="00C07192">
        <w:t xml:space="preserve">irrespective of when they come into </w:t>
      </w:r>
      <w:r w:rsidR="00E35282" w:rsidRPr="00C07192">
        <w:t>existence.</w:t>
      </w:r>
    </w:p>
    <w:p w:rsidR="00E35282" w:rsidRPr="00C07192" w:rsidRDefault="00E35282" w:rsidP="00D83B23">
      <w:pPr>
        <w:ind w:right="-46"/>
      </w:pPr>
    </w:p>
    <w:p w:rsidR="00AA3CEB" w:rsidRPr="00C07192" w:rsidRDefault="005713B2" w:rsidP="00AA3CEB">
      <w:pPr>
        <w:ind w:right="-46"/>
      </w:pPr>
      <w:r w:rsidRPr="00C07192">
        <w:t>Regulation 11.1</w:t>
      </w:r>
      <w:r w:rsidR="00905F07" w:rsidRPr="00C07192">
        <w:t>6</w:t>
      </w:r>
      <w:r w:rsidR="00AA3CEB" w:rsidRPr="00C07192">
        <w:t xml:space="preserve"> introduce</w:t>
      </w:r>
      <w:r w:rsidR="00487AA5">
        <w:t>s</w:t>
      </w:r>
      <w:r w:rsidR="00AA3CEB" w:rsidRPr="00C07192">
        <w:t xml:space="preserve"> an equivalent amendment to regulations 11.</w:t>
      </w:r>
      <w:r w:rsidR="00905F07" w:rsidRPr="00C07192">
        <w:t>7</w:t>
      </w:r>
      <w:r w:rsidR="00AA3CEB" w:rsidRPr="00C07192">
        <w:t xml:space="preserve"> and 11.1</w:t>
      </w:r>
      <w:r w:rsidR="00905F07" w:rsidRPr="00C07192">
        <w:t>3</w:t>
      </w:r>
      <w:r w:rsidR="00AA3CEB" w:rsidRPr="00C07192">
        <w:t xml:space="preserve"> above, by applying the new IVD framework for such IVDs for the purposes of applying for, or being issued, a conformity assessment certificate or applying for</w:t>
      </w:r>
      <w:r w:rsidR="00244673" w:rsidRPr="00C07192">
        <w:t xml:space="preserve"> </w:t>
      </w:r>
      <w:r w:rsidR="00AA3CEB" w:rsidRPr="00C07192">
        <w:t>inclusion</w:t>
      </w:r>
      <w:r w:rsidR="00244673" w:rsidRPr="00C07192">
        <w:t>, or being included,</w:t>
      </w:r>
      <w:r w:rsidR="00AA3CEB" w:rsidRPr="00C07192">
        <w:t xml:space="preserve"> in the Register.</w:t>
      </w:r>
    </w:p>
    <w:p w:rsidR="00E35282" w:rsidRPr="00C07192" w:rsidRDefault="00E35282" w:rsidP="00D83B23">
      <w:pPr>
        <w:ind w:right="-46"/>
      </w:pPr>
    </w:p>
    <w:p w:rsidR="00AA3CEB" w:rsidRPr="00C07192" w:rsidRDefault="005713B2" w:rsidP="00AA3CEB">
      <w:pPr>
        <w:ind w:right="-46"/>
      </w:pPr>
      <w:r w:rsidRPr="00C07192">
        <w:t>Regulations 11.1</w:t>
      </w:r>
      <w:r w:rsidR="00443ABA" w:rsidRPr="00C07192">
        <w:t>7</w:t>
      </w:r>
      <w:r w:rsidRPr="00C07192">
        <w:t>-11.1</w:t>
      </w:r>
      <w:r w:rsidR="00443ABA" w:rsidRPr="00C07192">
        <w:t>9</w:t>
      </w:r>
      <w:r w:rsidR="00A66CE5">
        <w:t xml:space="preserve"> </w:t>
      </w:r>
      <w:r w:rsidR="00AA3CEB" w:rsidRPr="00C07192">
        <w:t>set out when Class 4 in-house IVDs</w:t>
      </w:r>
      <w:r w:rsidR="00A66CE5">
        <w:t xml:space="preserve"> are</w:t>
      </w:r>
      <w:r w:rsidR="00AA3CEB" w:rsidRPr="00C07192">
        <w:t xml:space="preserve"> subject to the new framework for all purposes, </w:t>
      </w:r>
      <w:r w:rsidR="00C03EEA" w:rsidRPr="00C07192">
        <w:t>depending on the particular circumstances applying in relation to the device.</w:t>
      </w:r>
    </w:p>
    <w:p w:rsidR="002D1CBC" w:rsidRPr="00C07192" w:rsidRDefault="002D1CBC" w:rsidP="00AA3CEB">
      <w:pPr>
        <w:ind w:right="-46"/>
      </w:pPr>
    </w:p>
    <w:p w:rsidR="00AA3CEB" w:rsidRPr="00C07192" w:rsidRDefault="005713B2" w:rsidP="00AA3CEB">
      <w:pPr>
        <w:ind w:right="-46"/>
      </w:pPr>
      <w:r w:rsidRPr="00C07192">
        <w:rPr>
          <w:b/>
        </w:rPr>
        <w:t>Table 2</w:t>
      </w:r>
      <w:r w:rsidR="008842BC" w:rsidRPr="00C07192">
        <w:t xml:space="preserve"> </w:t>
      </w:r>
      <w:r w:rsidR="00D44CE3" w:rsidRPr="00C07192">
        <w:t xml:space="preserve">lists each of these </w:t>
      </w:r>
      <w:r w:rsidR="00C03EEA" w:rsidRPr="00C07192">
        <w:t>circumstances</w:t>
      </w:r>
      <w:r w:rsidR="00D44CE3" w:rsidRPr="00C07192">
        <w:t>, identifying</w:t>
      </w:r>
      <w:r w:rsidR="00AA3CEB" w:rsidRPr="00C07192">
        <w:t xml:space="preserve"> </w:t>
      </w:r>
      <w:r w:rsidR="00D44CE3" w:rsidRPr="00C07192">
        <w:t xml:space="preserve">when each </w:t>
      </w:r>
      <w:r w:rsidR="00AA3CEB" w:rsidRPr="00C07192">
        <w:t xml:space="preserve">device </w:t>
      </w:r>
      <w:r w:rsidR="00A66CE5">
        <w:t>are</w:t>
      </w:r>
      <w:r w:rsidR="00AA3CEB" w:rsidRPr="00C07192">
        <w:t xml:space="preserve"> subject to the new framework</w:t>
      </w:r>
      <w:r w:rsidR="002D1CBC" w:rsidRPr="00C07192">
        <w:t>.</w:t>
      </w:r>
    </w:p>
    <w:p w:rsidR="002C4D89" w:rsidRPr="00C07192" w:rsidRDefault="002C4D89" w:rsidP="00855E4D">
      <w:pPr>
        <w:ind w:right="-46"/>
        <w:rPr>
          <w:b/>
        </w:rPr>
      </w:pPr>
    </w:p>
    <w:p w:rsidR="008842BC" w:rsidRPr="00C07192" w:rsidRDefault="008842BC" w:rsidP="00855E4D">
      <w:pPr>
        <w:ind w:right="-46"/>
        <w:rPr>
          <w:b/>
        </w:rPr>
      </w:pPr>
      <w:r w:rsidRPr="00C07192">
        <w:rPr>
          <w:b/>
        </w:rPr>
        <w:t>Table 2</w:t>
      </w:r>
    </w:p>
    <w:tbl>
      <w:tblPr>
        <w:tblStyle w:val="TableGrid"/>
        <w:tblW w:w="9498" w:type="dxa"/>
        <w:tblInd w:w="-176" w:type="dxa"/>
        <w:tblLook w:val="04A0" w:firstRow="1" w:lastRow="0" w:firstColumn="1" w:lastColumn="0" w:noHBand="0" w:noVBand="1"/>
      </w:tblPr>
      <w:tblGrid>
        <w:gridCol w:w="1277"/>
        <w:gridCol w:w="5528"/>
        <w:gridCol w:w="2693"/>
      </w:tblGrid>
      <w:tr w:rsidR="00BF117B" w:rsidRPr="00C07192" w:rsidTr="002B4E61">
        <w:trPr>
          <w:tblHeader/>
        </w:trPr>
        <w:tc>
          <w:tcPr>
            <w:tcW w:w="1277" w:type="dxa"/>
          </w:tcPr>
          <w:p w:rsidR="00BF117B" w:rsidRPr="00C07192" w:rsidRDefault="008B5EF5" w:rsidP="00A92867">
            <w:pPr>
              <w:rPr>
                <w:b/>
              </w:rPr>
            </w:pPr>
            <w:r>
              <w:rPr>
                <w:b/>
              </w:rPr>
              <w:t>N</w:t>
            </w:r>
            <w:r w:rsidR="00BF117B" w:rsidRPr="00C07192">
              <w:rPr>
                <w:b/>
              </w:rPr>
              <w:t>ew provision</w:t>
            </w:r>
          </w:p>
        </w:tc>
        <w:tc>
          <w:tcPr>
            <w:tcW w:w="5528" w:type="dxa"/>
          </w:tcPr>
          <w:p w:rsidR="00BF117B" w:rsidRPr="00C07192" w:rsidRDefault="00BF117B" w:rsidP="00A92867">
            <w:pPr>
              <w:rPr>
                <w:b/>
              </w:rPr>
            </w:pPr>
            <w:r w:rsidRPr="00C07192">
              <w:rPr>
                <w:b/>
              </w:rPr>
              <w:t>Scenario</w:t>
            </w:r>
          </w:p>
        </w:tc>
        <w:tc>
          <w:tcPr>
            <w:tcW w:w="2693" w:type="dxa"/>
          </w:tcPr>
          <w:p w:rsidR="00BF117B" w:rsidRPr="00C07192" w:rsidRDefault="00BF117B" w:rsidP="00A92867">
            <w:pPr>
              <w:rPr>
                <w:b/>
              </w:rPr>
            </w:pPr>
            <w:r w:rsidRPr="00C07192">
              <w:rPr>
                <w:b/>
              </w:rPr>
              <w:t>Transition day - when new framework applies</w:t>
            </w:r>
          </w:p>
        </w:tc>
      </w:tr>
      <w:tr w:rsidR="00BF117B" w:rsidRPr="00C07192" w:rsidTr="004B1807">
        <w:tc>
          <w:tcPr>
            <w:tcW w:w="6805" w:type="dxa"/>
            <w:gridSpan w:val="2"/>
          </w:tcPr>
          <w:p w:rsidR="00BF117B" w:rsidRPr="00C07192" w:rsidRDefault="00BF117B" w:rsidP="00101995">
            <w:r w:rsidRPr="00C07192">
              <w:t>W</w:t>
            </w:r>
            <w:r w:rsidR="004B1807" w:rsidRPr="00C07192">
              <w:t xml:space="preserve">here </w:t>
            </w:r>
            <w:r w:rsidR="00A00D65" w:rsidRPr="00C07192">
              <w:t xml:space="preserve">a </w:t>
            </w:r>
            <w:r w:rsidR="00D912B3" w:rsidRPr="00C07192">
              <w:t>Class 4 in-house IVD exists</w:t>
            </w:r>
            <w:r w:rsidRPr="00C07192">
              <w:t xml:space="preserve"> before 1 July 2016</w:t>
            </w:r>
            <w:r w:rsidR="00A86C95" w:rsidRPr="00C07192">
              <w:t>:</w:t>
            </w:r>
          </w:p>
        </w:tc>
        <w:tc>
          <w:tcPr>
            <w:tcW w:w="2693" w:type="dxa"/>
          </w:tcPr>
          <w:p w:rsidR="00BF117B" w:rsidRPr="00C07192" w:rsidRDefault="00BF117B" w:rsidP="00A92867"/>
        </w:tc>
      </w:tr>
      <w:tr w:rsidR="00BF117B" w:rsidRPr="00C07192" w:rsidTr="002B4E61">
        <w:tc>
          <w:tcPr>
            <w:tcW w:w="1277" w:type="dxa"/>
          </w:tcPr>
          <w:p w:rsidR="00BF117B" w:rsidRPr="00C07192" w:rsidRDefault="005713B2" w:rsidP="00A92867">
            <w:r w:rsidRPr="00C07192">
              <w:t>11.1</w:t>
            </w:r>
            <w:r w:rsidR="004B3993" w:rsidRPr="00C07192">
              <w:t>7</w:t>
            </w:r>
            <w:r w:rsidRPr="00C07192">
              <w:t>(2)</w:t>
            </w:r>
          </w:p>
        </w:tc>
        <w:tc>
          <w:tcPr>
            <w:tcW w:w="5528" w:type="dxa"/>
          </w:tcPr>
          <w:p w:rsidR="004B1807" w:rsidRPr="00C07192" w:rsidRDefault="008842BC" w:rsidP="00A92867">
            <w:pPr>
              <w:pStyle w:val="ListParagraph"/>
              <w:numPr>
                <w:ilvl w:val="0"/>
                <w:numId w:val="22"/>
              </w:numPr>
              <w:ind w:left="317" w:hanging="284"/>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CF744B" w:rsidP="00A92867">
            <w:pPr>
              <w:pStyle w:val="ListParagraph"/>
              <w:numPr>
                <w:ilvl w:val="0"/>
                <w:numId w:val="22"/>
              </w:numPr>
              <w:ind w:left="317" w:hanging="284"/>
            </w:pPr>
            <w:r w:rsidRPr="00C07192">
              <w:t xml:space="preserve">CAC </w:t>
            </w:r>
            <w:r w:rsidR="008842BC" w:rsidRPr="00C07192">
              <w:t xml:space="preserve">is </w:t>
            </w:r>
            <w:r w:rsidRPr="00C07192">
              <w:t>issued by TGA before 1 June 2017</w:t>
            </w:r>
          </w:p>
          <w:p w:rsidR="00BF117B" w:rsidRPr="00C07192" w:rsidRDefault="008842BC" w:rsidP="00A92867">
            <w:pPr>
              <w:pStyle w:val="ListParagraph"/>
              <w:numPr>
                <w:ilvl w:val="0"/>
                <w:numId w:val="22"/>
              </w:numPr>
              <w:ind w:left="317" w:hanging="284"/>
            </w:pPr>
            <w:r w:rsidRPr="00C07192">
              <w:t xml:space="preserve">an </w:t>
            </w:r>
            <w:r w:rsidR="00CF744B" w:rsidRPr="00C07192">
              <w:t xml:space="preserve">effective application for inclusion in the Register </w:t>
            </w:r>
            <w:r w:rsidRPr="00C07192">
              <w:t xml:space="preserve">is </w:t>
            </w:r>
            <w:r w:rsidR="00C03EEA" w:rsidRPr="00C07192">
              <w:t xml:space="preserve">made </w:t>
            </w:r>
            <w:r w:rsidR="00CF744B" w:rsidRPr="00C07192">
              <w:t xml:space="preserve">before </w:t>
            </w:r>
            <w:r w:rsidR="00FB3E70" w:rsidRPr="00C07192">
              <w:t>1 July 2017</w:t>
            </w:r>
          </w:p>
          <w:p w:rsidR="00BF117B" w:rsidRPr="00C07192" w:rsidRDefault="002D1CBC" w:rsidP="00A92867">
            <w:pPr>
              <w:pStyle w:val="ListParagraph"/>
              <w:numPr>
                <w:ilvl w:val="0"/>
                <w:numId w:val="22"/>
              </w:numPr>
              <w:ind w:left="317" w:hanging="284"/>
            </w:pPr>
            <w:r w:rsidRPr="00C07192">
              <w:t xml:space="preserve">the </w:t>
            </w:r>
            <w:r w:rsidR="00FB3E70" w:rsidRPr="00C07192">
              <w:t xml:space="preserve">device </w:t>
            </w:r>
            <w:r w:rsidR="008842BC" w:rsidRPr="00C07192">
              <w:t xml:space="preserve">is </w:t>
            </w:r>
            <w:r w:rsidR="00FB3E70" w:rsidRPr="00C07192">
              <w:t>included in the Register.</w:t>
            </w:r>
          </w:p>
        </w:tc>
        <w:tc>
          <w:tcPr>
            <w:tcW w:w="2693" w:type="dxa"/>
          </w:tcPr>
          <w:p w:rsidR="00BF117B" w:rsidRPr="00C07192" w:rsidRDefault="00C03EEA" w:rsidP="00C03EEA">
            <w:r w:rsidRPr="00C07192">
              <w:t>The d</w:t>
            </w:r>
            <w:r w:rsidR="00FB3E70" w:rsidRPr="00C07192">
              <w:t>ay the device is included in the Register.</w:t>
            </w:r>
          </w:p>
        </w:tc>
      </w:tr>
      <w:tr w:rsidR="00BF117B" w:rsidRPr="00C07192" w:rsidTr="002B4E61">
        <w:tc>
          <w:tcPr>
            <w:tcW w:w="1277" w:type="dxa"/>
          </w:tcPr>
          <w:p w:rsidR="00BF117B" w:rsidRPr="00C07192" w:rsidRDefault="005713B2" w:rsidP="00A92867">
            <w:r w:rsidRPr="00C07192">
              <w:t>11.1</w:t>
            </w:r>
            <w:r w:rsidR="004B3993" w:rsidRPr="00C07192">
              <w:t>7</w:t>
            </w:r>
            <w:r w:rsidRPr="00C07192">
              <w:t>(3)</w:t>
            </w:r>
          </w:p>
        </w:tc>
        <w:tc>
          <w:tcPr>
            <w:tcW w:w="5528" w:type="dxa"/>
          </w:tcPr>
          <w:p w:rsidR="004B1807" w:rsidRPr="00C07192" w:rsidRDefault="008842BC" w:rsidP="00A92867">
            <w:pPr>
              <w:pStyle w:val="ListParagraph"/>
              <w:numPr>
                <w:ilvl w:val="0"/>
                <w:numId w:val="23"/>
              </w:numPr>
              <w:ind w:left="317" w:hanging="284"/>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FB3E70" w:rsidP="00A92867">
            <w:pPr>
              <w:pStyle w:val="ListParagraph"/>
              <w:numPr>
                <w:ilvl w:val="0"/>
                <w:numId w:val="23"/>
              </w:numPr>
              <w:ind w:left="317" w:hanging="284"/>
            </w:pPr>
            <w:r w:rsidRPr="00C07192">
              <w:t xml:space="preserve">CAC </w:t>
            </w:r>
            <w:r w:rsidR="008842BC" w:rsidRPr="00C07192">
              <w:t xml:space="preserve">is </w:t>
            </w:r>
            <w:r w:rsidRPr="00C07192">
              <w:t>issued by TGA before 1 June 2017</w:t>
            </w:r>
          </w:p>
          <w:p w:rsidR="00BF117B" w:rsidRPr="00C07192" w:rsidRDefault="008842BC" w:rsidP="00A92867">
            <w:pPr>
              <w:pStyle w:val="ListParagraph"/>
              <w:numPr>
                <w:ilvl w:val="0"/>
                <w:numId w:val="23"/>
              </w:numPr>
              <w:ind w:left="317" w:hanging="284"/>
            </w:pPr>
            <w:r w:rsidRPr="00C07192">
              <w:t xml:space="preserve">an </w:t>
            </w:r>
            <w:r w:rsidR="00FB3E70" w:rsidRPr="00C07192">
              <w:t xml:space="preserve">effective application for inclusion in the Register </w:t>
            </w:r>
            <w:r w:rsidRPr="00C07192">
              <w:t xml:space="preserve">is made </w:t>
            </w:r>
            <w:r w:rsidR="00FB3E70" w:rsidRPr="00C07192">
              <w:t>before 1 July 2017</w:t>
            </w:r>
          </w:p>
          <w:p w:rsidR="00BF117B" w:rsidRPr="00C07192" w:rsidRDefault="00FB3E70" w:rsidP="00203990">
            <w:pPr>
              <w:pStyle w:val="ListParagraph"/>
              <w:numPr>
                <w:ilvl w:val="0"/>
                <w:numId w:val="23"/>
              </w:numPr>
              <w:ind w:left="317" w:hanging="284"/>
            </w:pPr>
            <w:r w:rsidRPr="00C07192">
              <w:t>th</w:t>
            </w:r>
            <w:r w:rsidR="008842BC" w:rsidRPr="00C07192">
              <w:t>e</w:t>
            </w:r>
            <w:r w:rsidRPr="00C07192">
              <w:t xml:space="preserve"> application is finally determined</w:t>
            </w:r>
            <w:r w:rsidR="004D5566" w:rsidRPr="00C07192">
              <w:t xml:space="preserve"> (i.e. is not granted, and there is no longer any possibility of a change in that outcome)</w:t>
            </w:r>
            <w:r w:rsidR="00BF117B" w:rsidRPr="00C07192">
              <w:t>.</w:t>
            </w:r>
          </w:p>
        </w:tc>
        <w:tc>
          <w:tcPr>
            <w:tcW w:w="2693" w:type="dxa"/>
          </w:tcPr>
          <w:p w:rsidR="00BF117B" w:rsidRPr="00C07192" w:rsidRDefault="00C03EEA" w:rsidP="00C03EEA">
            <w:r w:rsidRPr="00C07192">
              <w:t>The d</w:t>
            </w:r>
            <w:r w:rsidR="00FB3E70" w:rsidRPr="00C07192">
              <w:t>ay the application for inclusion is finally determined.</w:t>
            </w:r>
          </w:p>
        </w:tc>
      </w:tr>
      <w:tr w:rsidR="00BF117B" w:rsidRPr="00C07192" w:rsidTr="002B4E61">
        <w:tc>
          <w:tcPr>
            <w:tcW w:w="1277" w:type="dxa"/>
          </w:tcPr>
          <w:p w:rsidR="00BF117B" w:rsidRPr="00C07192" w:rsidRDefault="005713B2" w:rsidP="00A92867">
            <w:r w:rsidRPr="00C07192">
              <w:t>11.1</w:t>
            </w:r>
            <w:r w:rsidR="004B3993" w:rsidRPr="00C07192">
              <w:t>7</w:t>
            </w:r>
            <w:r w:rsidRPr="00C07192">
              <w:t>(4)</w:t>
            </w:r>
          </w:p>
        </w:tc>
        <w:tc>
          <w:tcPr>
            <w:tcW w:w="5528" w:type="dxa"/>
          </w:tcPr>
          <w:p w:rsidR="004B1807" w:rsidRPr="00C07192" w:rsidRDefault="008842BC" w:rsidP="00A92867">
            <w:pPr>
              <w:pStyle w:val="ListParagraph"/>
              <w:numPr>
                <w:ilvl w:val="0"/>
                <w:numId w:val="24"/>
              </w:numPr>
              <w:ind w:left="317" w:hanging="284"/>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BF117B" w:rsidP="00A92867">
            <w:pPr>
              <w:pStyle w:val="ListParagraph"/>
              <w:numPr>
                <w:ilvl w:val="0"/>
                <w:numId w:val="24"/>
              </w:numPr>
              <w:ind w:left="317" w:hanging="284"/>
            </w:pPr>
            <w:r w:rsidRPr="00C07192">
              <w:t>CAC</w:t>
            </w:r>
            <w:r w:rsidR="00BA36C5" w:rsidRPr="00C07192">
              <w:t xml:space="preserve"> </w:t>
            </w:r>
            <w:r w:rsidR="008842BC" w:rsidRPr="00C07192">
              <w:t xml:space="preserve">is </w:t>
            </w:r>
            <w:r w:rsidR="00BA36C5" w:rsidRPr="00C07192">
              <w:t>issued by TGA before 1 June 2017</w:t>
            </w:r>
          </w:p>
          <w:p w:rsidR="00BF117B" w:rsidRPr="00C07192" w:rsidRDefault="00BA36C5" w:rsidP="00BF117B">
            <w:pPr>
              <w:pStyle w:val="ListParagraph"/>
              <w:numPr>
                <w:ilvl w:val="0"/>
                <w:numId w:val="24"/>
              </w:numPr>
              <w:ind w:left="317" w:hanging="284"/>
            </w:pPr>
            <w:r w:rsidRPr="00C07192">
              <w:t xml:space="preserve">no effective application for inclusion in the Register </w:t>
            </w:r>
            <w:r w:rsidR="008842BC" w:rsidRPr="00C07192">
              <w:t xml:space="preserve">is made </w:t>
            </w:r>
            <w:r w:rsidRPr="00C07192">
              <w:t>before 1 July 2017</w:t>
            </w:r>
            <w:r w:rsidR="00BF117B" w:rsidRPr="00C07192">
              <w:t xml:space="preserve">. </w:t>
            </w:r>
          </w:p>
        </w:tc>
        <w:tc>
          <w:tcPr>
            <w:tcW w:w="2693" w:type="dxa"/>
          </w:tcPr>
          <w:p w:rsidR="00BF117B" w:rsidRPr="00C07192" w:rsidRDefault="00BA36C5" w:rsidP="00A92867">
            <w:r w:rsidRPr="00C07192">
              <w:t>1 July 2017.</w:t>
            </w:r>
          </w:p>
        </w:tc>
      </w:tr>
      <w:tr w:rsidR="00BF117B" w:rsidRPr="00C07192" w:rsidTr="002B4E61">
        <w:tc>
          <w:tcPr>
            <w:tcW w:w="1277" w:type="dxa"/>
          </w:tcPr>
          <w:p w:rsidR="00BF117B" w:rsidRPr="00C07192" w:rsidRDefault="005713B2" w:rsidP="00A92867">
            <w:r w:rsidRPr="00C07192">
              <w:t>11.1</w:t>
            </w:r>
            <w:r w:rsidR="004B3993" w:rsidRPr="00C07192">
              <w:t>7</w:t>
            </w:r>
            <w:r w:rsidRPr="00C07192">
              <w:t>(5)</w:t>
            </w:r>
          </w:p>
        </w:tc>
        <w:tc>
          <w:tcPr>
            <w:tcW w:w="5528" w:type="dxa"/>
          </w:tcPr>
          <w:p w:rsidR="004B1807" w:rsidRPr="00C07192" w:rsidRDefault="008842BC" w:rsidP="00BF117B">
            <w:pPr>
              <w:pStyle w:val="ListParagraph"/>
              <w:numPr>
                <w:ilvl w:val="0"/>
                <w:numId w:val="25"/>
              </w:numPr>
              <w:ind w:left="317" w:hanging="284"/>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BF117B" w:rsidP="00BF117B">
            <w:pPr>
              <w:pStyle w:val="ListParagraph"/>
              <w:numPr>
                <w:ilvl w:val="0"/>
                <w:numId w:val="25"/>
              </w:numPr>
              <w:ind w:left="317" w:hanging="284"/>
            </w:pPr>
            <w:r w:rsidRPr="00C07192">
              <w:t>CAC</w:t>
            </w:r>
            <w:r w:rsidR="00BA36C5" w:rsidRPr="00C07192">
              <w:t xml:space="preserve"> </w:t>
            </w:r>
            <w:r w:rsidR="008842BC" w:rsidRPr="00C07192">
              <w:t xml:space="preserve">is </w:t>
            </w:r>
            <w:r w:rsidR="008D3B27" w:rsidRPr="00C07192">
              <w:t>issued by TGA on or after 1 July 2017</w:t>
            </w:r>
          </w:p>
          <w:p w:rsidR="00BF117B" w:rsidRPr="00C07192" w:rsidRDefault="008842BC" w:rsidP="00A92867">
            <w:pPr>
              <w:pStyle w:val="ListParagraph"/>
              <w:numPr>
                <w:ilvl w:val="0"/>
                <w:numId w:val="25"/>
              </w:numPr>
              <w:ind w:left="317" w:hanging="284"/>
            </w:pPr>
            <w:r w:rsidRPr="00C07192">
              <w:t xml:space="preserve">an </w:t>
            </w:r>
            <w:r w:rsidR="008D3B27" w:rsidRPr="00C07192">
              <w:t xml:space="preserve">effective application for inclusion in the Register </w:t>
            </w:r>
            <w:r w:rsidRPr="00C07192">
              <w:t xml:space="preserve">is made </w:t>
            </w:r>
            <w:r w:rsidR="008D3B27" w:rsidRPr="00C07192">
              <w:t>within 30 days after CAC issued</w:t>
            </w:r>
          </w:p>
          <w:p w:rsidR="00BF117B" w:rsidRPr="00C07192" w:rsidRDefault="002D1CBC" w:rsidP="00A92867">
            <w:pPr>
              <w:pStyle w:val="ListParagraph"/>
              <w:numPr>
                <w:ilvl w:val="0"/>
                <w:numId w:val="25"/>
              </w:numPr>
              <w:ind w:left="317" w:hanging="284"/>
            </w:pPr>
            <w:r w:rsidRPr="00C07192">
              <w:t xml:space="preserve">the </w:t>
            </w:r>
            <w:r w:rsidR="008D3B27" w:rsidRPr="00C07192">
              <w:t xml:space="preserve">device </w:t>
            </w:r>
            <w:r w:rsidR="008842BC" w:rsidRPr="00C07192">
              <w:t xml:space="preserve">is </w:t>
            </w:r>
            <w:r w:rsidR="008D3B27" w:rsidRPr="00C07192">
              <w:t>included in the Register</w:t>
            </w:r>
            <w:r w:rsidR="00BF117B" w:rsidRPr="00C07192">
              <w:t xml:space="preserve">. </w:t>
            </w:r>
          </w:p>
        </w:tc>
        <w:tc>
          <w:tcPr>
            <w:tcW w:w="2693" w:type="dxa"/>
          </w:tcPr>
          <w:p w:rsidR="00BF117B" w:rsidRPr="00C07192" w:rsidRDefault="00C03EEA" w:rsidP="00C03EEA">
            <w:r w:rsidRPr="00C07192">
              <w:t>The d</w:t>
            </w:r>
            <w:r w:rsidR="008D3B27" w:rsidRPr="00C07192">
              <w:t>ay the device is included in the Register.</w:t>
            </w:r>
          </w:p>
        </w:tc>
      </w:tr>
      <w:tr w:rsidR="00BF117B" w:rsidRPr="00C07192" w:rsidTr="002B4E61">
        <w:tc>
          <w:tcPr>
            <w:tcW w:w="1277" w:type="dxa"/>
          </w:tcPr>
          <w:p w:rsidR="00BF117B" w:rsidRPr="00C07192" w:rsidRDefault="005713B2" w:rsidP="00A92867">
            <w:r w:rsidRPr="00C07192">
              <w:t>11.1</w:t>
            </w:r>
            <w:r w:rsidR="004B3993" w:rsidRPr="00C07192">
              <w:t>7</w:t>
            </w:r>
            <w:r w:rsidRPr="00C07192">
              <w:t>(6)</w:t>
            </w:r>
          </w:p>
        </w:tc>
        <w:tc>
          <w:tcPr>
            <w:tcW w:w="5528" w:type="dxa"/>
          </w:tcPr>
          <w:p w:rsidR="004B1807" w:rsidRPr="00C07192" w:rsidRDefault="008842BC" w:rsidP="00A92867">
            <w:pPr>
              <w:pStyle w:val="ListParagraph"/>
              <w:numPr>
                <w:ilvl w:val="0"/>
                <w:numId w:val="26"/>
              </w:numPr>
              <w:ind w:left="317" w:hanging="284"/>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BF117B" w:rsidP="00A92867">
            <w:pPr>
              <w:pStyle w:val="ListParagraph"/>
              <w:numPr>
                <w:ilvl w:val="0"/>
                <w:numId w:val="26"/>
              </w:numPr>
              <w:ind w:left="317" w:hanging="284"/>
            </w:pPr>
            <w:r w:rsidRPr="00C07192">
              <w:t>CAC</w:t>
            </w:r>
            <w:r w:rsidR="008D3B27" w:rsidRPr="00C07192">
              <w:t xml:space="preserve"> </w:t>
            </w:r>
            <w:r w:rsidR="008842BC" w:rsidRPr="00C07192">
              <w:t xml:space="preserve">is </w:t>
            </w:r>
            <w:r w:rsidR="008D3B27" w:rsidRPr="00C07192">
              <w:t>issued by TGA on or after 1 July 2017</w:t>
            </w:r>
          </w:p>
          <w:p w:rsidR="00BF117B" w:rsidRPr="00C07192" w:rsidRDefault="008842BC" w:rsidP="00A92867">
            <w:pPr>
              <w:pStyle w:val="ListParagraph"/>
              <w:numPr>
                <w:ilvl w:val="0"/>
                <w:numId w:val="26"/>
              </w:numPr>
              <w:ind w:left="317" w:hanging="284"/>
            </w:pPr>
            <w:r w:rsidRPr="00C07192">
              <w:t xml:space="preserve">an </w:t>
            </w:r>
            <w:r w:rsidR="008D3B27" w:rsidRPr="00C07192">
              <w:t>e</w:t>
            </w:r>
            <w:r w:rsidR="00BF117B" w:rsidRPr="00C07192">
              <w:t>ffective</w:t>
            </w:r>
            <w:r w:rsidR="008D3B27" w:rsidRPr="00C07192">
              <w:t xml:space="preserve"> application for inclusion in the Register </w:t>
            </w:r>
            <w:r w:rsidR="00244673" w:rsidRPr="00C07192">
              <w:t xml:space="preserve">is made </w:t>
            </w:r>
            <w:r w:rsidR="008D3B27" w:rsidRPr="00C07192">
              <w:t>within 30 days after CAC issued</w:t>
            </w:r>
          </w:p>
          <w:p w:rsidR="00BF117B" w:rsidRPr="00C07192" w:rsidRDefault="00BF117B" w:rsidP="00203990">
            <w:pPr>
              <w:pStyle w:val="ListParagraph"/>
              <w:numPr>
                <w:ilvl w:val="0"/>
                <w:numId w:val="26"/>
              </w:numPr>
              <w:ind w:left="317" w:hanging="284"/>
            </w:pPr>
            <w:r w:rsidRPr="00C07192">
              <w:t>th</w:t>
            </w:r>
            <w:r w:rsidR="008842BC" w:rsidRPr="00C07192">
              <w:t>e</w:t>
            </w:r>
            <w:r w:rsidR="008D3B27" w:rsidRPr="00C07192">
              <w:t xml:space="preserve"> application is finally determined</w:t>
            </w:r>
            <w:r w:rsidR="001A6C6D" w:rsidRPr="00C07192">
              <w:t xml:space="preserve"> (i.e. is not granted, and there is no longer any possibility of a change in that outcome)</w:t>
            </w:r>
            <w:r w:rsidRPr="00C07192">
              <w:t xml:space="preserve">. </w:t>
            </w:r>
          </w:p>
        </w:tc>
        <w:tc>
          <w:tcPr>
            <w:tcW w:w="2693" w:type="dxa"/>
          </w:tcPr>
          <w:p w:rsidR="00BF117B" w:rsidRPr="00C07192" w:rsidRDefault="00C03EEA" w:rsidP="00C03EEA">
            <w:r w:rsidRPr="00C07192">
              <w:t>The d</w:t>
            </w:r>
            <w:r w:rsidR="008D3B27" w:rsidRPr="00C07192">
              <w:t>ay the application for inclusion is finally determined.</w:t>
            </w:r>
          </w:p>
        </w:tc>
      </w:tr>
      <w:tr w:rsidR="00BF117B" w:rsidRPr="00C07192" w:rsidTr="002B4E61">
        <w:tc>
          <w:tcPr>
            <w:tcW w:w="1277" w:type="dxa"/>
          </w:tcPr>
          <w:p w:rsidR="00BF117B" w:rsidRPr="00C07192" w:rsidRDefault="005713B2" w:rsidP="00A92867">
            <w:r w:rsidRPr="00C07192">
              <w:t>11.1</w:t>
            </w:r>
            <w:r w:rsidR="004B3993" w:rsidRPr="00C07192">
              <w:t>7</w:t>
            </w:r>
            <w:r w:rsidRPr="00C07192">
              <w:t>(7)</w:t>
            </w:r>
          </w:p>
        </w:tc>
        <w:tc>
          <w:tcPr>
            <w:tcW w:w="5528" w:type="dxa"/>
          </w:tcPr>
          <w:p w:rsidR="004B1807" w:rsidRPr="00C07192" w:rsidRDefault="008842BC" w:rsidP="00A92867">
            <w:pPr>
              <w:pStyle w:val="ListParagraph"/>
              <w:numPr>
                <w:ilvl w:val="0"/>
                <w:numId w:val="27"/>
              </w:numPr>
              <w:ind w:left="317" w:hanging="283"/>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BF117B" w:rsidP="00A92867">
            <w:pPr>
              <w:pStyle w:val="ListParagraph"/>
              <w:numPr>
                <w:ilvl w:val="0"/>
                <w:numId w:val="27"/>
              </w:numPr>
              <w:ind w:left="317" w:hanging="283"/>
            </w:pPr>
            <w:r w:rsidRPr="00C07192">
              <w:t>CAC</w:t>
            </w:r>
            <w:r w:rsidR="00902310" w:rsidRPr="00C07192">
              <w:t xml:space="preserve"> </w:t>
            </w:r>
            <w:r w:rsidR="008842BC" w:rsidRPr="00C07192">
              <w:t xml:space="preserve">is </w:t>
            </w:r>
            <w:r w:rsidR="00902310" w:rsidRPr="00C07192">
              <w:t>issued by TGA on or after 1 July 2017</w:t>
            </w:r>
          </w:p>
          <w:p w:rsidR="00BF117B" w:rsidRPr="00C07192" w:rsidRDefault="00902310" w:rsidP="00BF117B">
            <w:pPr>
              <w:pStyle w:val="ListParagraph"/>
              <w:numPr>
                <w:ilvl w:val="0"/>
                <w:numId w:val="27"/>
              </w:numPr>
              <w:ind w:left="317" w:hanging="283"/>
            </w:pPr>
            <w:r w:rsidRPr="00C07192">
              <w:t>n</w:t>
            </w:r>
            <w:r w:rsidR="00BF117B" w:rsidRPr="00C07192">
              <w:t>o</w:t>
            </w:r>
            <w:r w:rsidRPr="00C07192">
              <w:t xml:space="preserve"> effective application for inclusion in the Register </w:t>
            </w:r>
            <w:r w:rsidR="008842BC" w:rsidRPr="00C07192">
              <w:t xml:space="preserve">is made </w:t>
            </w:r>
            <w:r w:rsidRPr="00C07192">
              <w:t>within 30 days after CAC issued</w:t>
            </w:r>
            <w:r w:rsidR="00BF117B" w:rsidRPr="00C07192">
              <w:t>.</w:t>
            </w:r>
          </w:p>
        </w:tc>
        <w:tc>
          <w:tcPr>
            <w:tcW w:w="2693" w:type="dxa"/>
          </w:tcPr>
          <w:p w:rsidR="00BF117B" w:rsidRPr="00C07192" w:rsidRDefault="00902310" w:rsidP="00A92867">
            <w:r w:rsidRPr="00C07192">
              <w:t>30 days after the day CAC issued.</w:t>
            </w:r>
          </w:p>
        </w:tc>
      </w:tr>
      <w:tr w:rsidR="00BF117B" w:rsidRPr="00C07192" w:rsidTr="002B4E61">
        <w:tc>
          <w:tcPr>
            <w:tcW w:w="1277" w:type="dxa"/>
          </w:tcPr>
          <w:p w:rsidR="00BF117B" w:rsidRPr="00C07192" w:rsidRDefault="005713B2" w:rsidP="00A92867">
            <w:r w:rsidRPr="00C07192">
              <w:t>11.1</w:t>
            </w:r>
            <w:r w:rsidR="004B3993" w:rsidRPr="00C07192">
              <w:t>7</w:t>
            </w:r>
            <w:r w:rsidRPr="00C07192">
              <w:t>(8)</w:t>
            </w:r>
          </w:p>
        </w:tc>
        <w:tc>
          <w:tcPr>
            <w:tcW w:w="5528" w:type="dxa"/>
          </w:tcPr>
          <w:p w:rsidR="004B1807" w:rsidRPr="00C07192" w:rsidRDefault="008842BC" w:rsidP="00BF117B">
            <w:pPr>
              <w:pStyle w:val="ListParagraph"/>
              <w:numPr>
                <w:ilvl w:val="0"/>
                <w:numId w:val="28"/>
              </w:numPr>
              <w:ind w:left="317" w:hanging="283"/>
            </w:pPr>
            <w:r w:rsidRPr="00C07192">
              <w:t xml:space="preserve">an </w:t>
            </w:r>
            <w:r w:rsidR="004B1807" w:rsidRPr="00C07192">
              <w:t xml:space="preserve">effective application for CAC </w:t>
            </w:r>
            <w:r w:rsidRPr="00C07192">
              <w:t xml:space="preserve">is made </w:t>
            </w:r>
            <w:r w:rsidR="004B1807" w:rsidRPr="00C07192">
              <w:t>before 1 July 2016</w:t>
            </w:r>
          </w:p>
          <w:p w:rsidR="00BF117B" w:rsidRPr="00C07192" w:rsidRDefault="008842BC" w:rsidP="00244673">
            <w:pPr>
              <w:pStyle w:val="ListParagraph"/>
              <w:numPr>
                <w:ilvl w:val="0"/>
                <w:numId w:val="28"/>
              </w:numPr>
              <w:ind w:left="317" w:hanging="283"/>
            </w:pPr>
            <w:r w:rsidRPr="00C07192">
              <w:t xml:space="preserve">an </w:t>
            </w:r>
            <w:r w:rsidR="00BF117B" w:rsidRPr="00C07192">
              <w:t>application</w:t>
            </w:r>
            <w:r w:rsidR="00272E43" w:rsidRPr="00C07192">
              <w:t xml:space="preserve"> for CAC </w:t>
            </w:r>
            <w:r w:rsidRPr="00C07192">
              <w:t xml:space="preserve">is </w:t>
            </w:r>
            <w:r w:rsidR="00272E43" w:rsidRPr="00C07192">
              <w:t>finally determined</w:t>
            </w:r>
            <w:r w:rsidR="004527C2" w:rsidRPr="00C07192">
              <w:t xml:space="preserve"> (i.e. is not issued, and there is no longer any possibility of a change in that outcome)</w:t>
            </w:r>
            <w:r w:rsidR="00BF117B" w:rsidRPr="00C07192">
              <w:t>.</w:t>
            </w:r>
          </w:p>
        </w:tc>
        <w:tc>
          <w:tcPr>
            <w:tcW w:w="2693" w:type="dxa"/>
          </w:tcPr>
          <w:p w:rsidR="00BF117B" w:rsidRPr="00C07192" w:rsidRDefault="00C03EEA" w:rsidP="00C03EEA">
            <w:r w:rsidRPr="00C07192">
              <w:t>The d</w:t>
            </w:r>
            <w:r w:rsidR="00272E43" w:rsidRPr="00C07192">
              <w:t>ay the application for the CAC is finally determined.</w:t>
            </w:r>
          </w:p>
        </w:tc>
      </w:tr>
      <w:tr w:rsidR="00BF117B" w:rsidRPr="00C07192" w:rsidTr="002B4E61">
        <w:tc>
          <w:tcPr>
            <w:tcW w:w="1277" w:type="dxa"/>
          </w:tcPr>
          <w:p w:rsidR="00BF117B" w:rsidRPr="00C07192" w:rsidRDefault="005713B2" w:rsidP="00A92867">
            <w:r w:rsidRPr="00C07192">
              <w:t>11.1</w:t>
            </w:r>
            <w:r w:rsidR="004B3993" w:rsidRPr="00C07192">
              <w:t>8</w:t>
            </w:r>
          </w:p>
        </w:tc>
        <w:tc>
          <w:tcPr>
            <w:tcW w:w="5528" w:type="dxa"/>
          </w:tcPr>
          <w:p w:rsidR="00BF117B" w:rsidRPr="00C07192" w:rsidRDefault="00BF117B" w:rsidP="00BF117B">
            <w:pPr>
              <w:pStyle w:val="ListParagraph"/>
              <w:numPr>
                <w:ilvl w:val="0"/>
                <w:numId w:val="28"/>
              </w:numPr>
              <w:ind w:left="317" w:hanging="317"/>
            </w:pPr>
            <w:r w:rsidRPr="00C07192">
              <w:t>no</w:t>
            </w:r>
            <w:r w:rsidR="00272E43" w:rsidRPr="00C07192">
              <w:t xml:space="preserve"> effective application for a CAC is made before 1 July 2016</w:t>
            </w:r>
            <w:r w:rsidRPr="00C07192">
              <w:t>.</w:t>
            </w:r>
          </w:p>
        </w:tc>
        <w:tc>
          <w:tcPr>
            <w:tcW w:w="2693" w:type="dxa"/>
          </w:tcPr>
          <w:p w:rsidR="00BF117B" w:rsidRPr="00C07192" w:rsidRDefault="00272E43" w:rsidP="00A92867">
            <w:r w:rsidRPr="00C07192">
              <w:t>1 July 2016</w:t>
            </w:r>
          </w:p>
        </w:tc>
      </w:tr>
      <w:tr w:rsidR="00BF117B" w:rsidRPr="00C07192" w:rsidTr="004B1807">
        <w:tc>
          <w:tcPr>
            <w:tcW w:w="6805" w:type="dxa"/>
            <w:gridSpan w:val="2"/>
          </w:tcPr>
          <w:p w:rsidR="00BF117B" w:rsidRPr="00C07192" w:rsidRDefault="00BF117B" w:rsidP="00A86C95">
            <w:r w:rsidRPr="00C07192">
              <w:t>W</w:t>
            </w:r>
            <w:r w:rsidR="00101995" w:rsidRPr="00C07192">
              <w:t xml:space="preserve">here </w:t>
            </w:r>
            <w:r w:rsidR="00A86C95" w:rsidRPr="00C07192">
              <w:t>Class 4 in-house IVD comes into existence on or after 1 July 2016:</w:t>
            </w:r>
          </w:p>
        </w:tc>
        <w:tc>
          <w:tcPr>
            <w:tcW w:w="2693" w:type="dxa"/>
          </w:tcPr>
          <w:p w:rsidR="00BF117B" w:rsidRPr="00C07192" w:rsidRDefault="00BF117B" w:rsidP="00A92867"/>
        </w:tc>
      </w:tr>
      <w:tr w:rsidR="00BF117B" w:rsidRPr="00C07192" w:rsidTr="002B4E61">
        <w:tc>
          <w:tcPr>
            <w:tcW w:w="1277" w:type="dxa"/>
          </w:tcPr>
          <w:p w:rsidR="00BF117B" w:rsidRPr="00C07192" w:rsidRDefault="005713B2" w:rsidP="00A92867">
            <w:r w:rsidRPr="00C07192">
              <w:t>11.1</w:t>
            </w:r>
            <w:r w:rsidR="004B3993" w:rsidRPr="00C07192">
              <w:t>9</w:t>
            </w:r>
          </w:p>
        </w:tc>
        <w:tc>
          <w:tcPr>
            <w:tcW w:w="5528" w:type="dxa"/>
          </w:tcPr>
          <w:p w:rsidR="00BF117B" w:rsidRPr="00C07192" w:rsidRDefault="00101995" w:rsidP="00A92867">
            <w:pPr>
              <w:pStyle w:val="ListParagraph"/>
              <w:numPr>
                <w:ilvl w:val="0"/>
                <w:numId w:val="28"/>
              </w:numPr>
              <w:ind w:left="317" w:hanging="317"/>
            </w:pPr>
            <w:r w:rsidRPr="00C07192">
              <w:t>comes into existence on or after 1 July 2016.</w:t>
            </w:r>
          </w:p>
          <w:p w:rsidR="00BF117B" w:rsidRPr="00C07192" w:rsidRDefault="00BF117B" w:rsidP="00D44CE3">
            <w:pPr>
              <w:pStyle w:val="ListParagraph"/>
              <w:ind w:left="317"/>
            </w:pPr>
          </w:p>
        </w:tc>
        <w:tc>
          <w:tcPr>
            <w:tcW w:w="2693" w:type="dxa"/>
          </w:tcPr>
          <w:p w:rsidR="00BF117B" w:rsidRPr="00C07192" w:rsidRDefault="00C03EEA" w:rsidP="00C03EEA">
            <w:r w:rsidRPr="00C07192">
              <w:t>On and after the d</w:t>
            </w:r>
            <w:r w:rsidR="00101995" w:rsidRPr="00C07192">
              <w:t>ay the device comes into existence.</w:t>
            </w:r>
          </w:p>
        </w:tc>
      </w:tr>
    </w:tbl>
    <w:p w:rsidR="00BF117B" w:rsidRPr="00C07192" w:rsidRDefault="00BF117B" w:rsidP="00D83B23">
      <w:pPr>
        <w:ind w:right="-46"/>
      </w:pPr>
    </w:p>
    <w:p w:rsidR="00D44CE3" w:rsidRPr="00C07192" w:rsidRDefault="00D44CE3" w:rsidP="00D44CE3">
      <w:pPr>
        <w:ind w:right="-46"/>
      </w:pPr>
      <w:r w:rsidRPr="00C07192">
        <w:t xml:space="preserve">The various transition days set out in the table above represent an extension of the current transition period for Class 4 in-house IVDs, </w:t>
      </w:r>
      <w:r w:rsidR="00C03EEA" w:rsidRPr="00C07192">
        <w:t>but the length of the extension depend</w:t>
      </w:r>
      <w:r w:rsidR="008B5EF5">
        <w:t>s</w:t>
      </w:r>
      <w:r w:rsidR="00C03EEA" w:rsidRPr="00C07192">
        <w:t xml:space="preserve"> on the particular circumstances. </w:t>
      </w:r>
    </w:p>
    <w:p w:rsidR="00D44CE3" w:rsidRPr="00C07192" w:rsidRDefault="00D44CE3" w:rsidP="00D44CE3">
      <w:pPr>
        <w:ind w:right="-46"/>
      </w:pPr>
    </w:p>
    <w:p w:rsidR="00AA3CEB" w:rsidRPr="00C07192" w:rsidRDefault="00D44CE3" w:rsidP="00D83B23">
      <w:pPr>
        <w:ind w:right="-46"/>
      </w:pPr>
      <w:r w:rsidRPr="00C07192">
        <w:t>A conformity assessment certificate is required for all Class 4 IVDs (whether commercial or in-house) before they can be the subject of an application for inclusion in the Register.</w:t>
      </w:r>
    </w:p>
    <w:p w:rsidR="00D44CE3" w:rsidRDefault="00D44CE3" w:rsidP="00D83B23">
      <w:pPr>
        <w:ind w:right="-46"/>
      </w:pPr>
    </w:p>
    <w:p w:rsidR="00C07192" w:rsidRDefault="00C07192" w:rsidP="00D83B23">
      <w:pPr>
        <w:ind w:right="-46"/>
      </w:pPr>
    </w:p>
    <w:p w:rsidR="00C07192" w:rsidRDefault="00C07192" w:rsidP="00D83B23">
      <w:pPr>
        <w:ind w:right="-46"/>
      </w:pPr>
    </w:p>
    <w:p w:rsidR="008B5EF5" w:rsidRDefault="008B5EF5" w:rsidP="00D83B23">
      <w:pPr>
        <w:ind w:right="-46"/>
      </w:pPr>
    </w:p>
    <w:p w:rsidR="008B5EF5" w:rsidRDefault="008B5EF5" w:rsidP="00D83B23">
      <w:pPr>
        <w:ind w:right="-46"/>
      </w:pPr>
    </w:p>
    <w:p w:rsidR="008B5EF5" w:rsidRDefault="008B5EF5" w:rsidP="00D83B23">
      <w:pPr>
        <w:ind w:right="-46"/>
      </w:pPr>
    </w:p>
    <w:p w:rsidR="008B5EF5" w:rsidRPr="00C07192" w:rsidRDefault="008B5EF5" w:rsidP="00D83B23">
      <w:pPr>
        <w:ind w:right="-46"/>
      </w:pPr>
    </w:p>
    <w:p w:rsidR="00D44CE3" w:rsidRPr="00C07192" w:rsidRDefault="00D44CE3" w:rsidP="00D83B23">
      <w:pPr>
        <w:ind w:right="-46"/>
        <w:rPr>
          <w:b/>
        </w:rPr>
      </w:pPr>
      <w:r w:rsidRPr="00C07192">
        <w:rPr>
          <w:b/>
        </w:rPr>
        <w:t>Subdivision F – Class 1, 2 and 3 in-house IVD medical devices</w:t>
      </w:r>
    </w:p>
    <w:p w:rsidR="005141F7" w:rsidRPr="00C07192" w:rsidRDefault="00D44CE3" w:rsidP="00641B61">
      <w:pPr>
        <w:ind w:right="-46"/>
      </w:pPr>
      <w:r w:rsidRPr="00C07192">
        <w:t xml:space="preserve">This Subdivision </w:t>
      </w:r>
      <w:r w:rsidR="008B5EF5">
        <w:t>applies</w:t>
      </w:r>
      <w:r w:rsidRPr="00C07192">
        <w:t xml:space="preserve"> to </w:t>
      </w:r>
      <w:r w:rsidR="004B59FD" w:rsidRPr="00C07192">
        <w:t>Class 1-3 in-house IVDs</w:t>
      </w:r>
      <w:r w:rsidR="00C03EEA" w:rsidRPr="00C07192">
        <w:t xml:space="preserve"> irrespective of when they come into </w:t>
      </w:r>
      <w:r w:rsidR="004B59FD" w:rsidRPr="00C07192">
        <w:t>existence.</w:t>
      </w:r>
    </w:p>
    <w:p w:rsidR="00E05009" w:rsidRPr="00C07192" w:rsidRDefault="00E05009" w:rsidP="00641B61">
      <w:pPr>
        <w:ind w:right="-46"/>
      </w:pPr>
    </w:p>
    <w:p w:rsidR="00C4574E" w:rsidRPr="00C07192" w:rsidRDefault="00152A90" w:rsidP="00C4574E">
      <w:pPr>
        <w:ind w:right="-46"/>
      </w:pPr>
      <w:r w:rsidRPr="00C07192">
        <w:t xml:space="preserve">These </w:t>
      </w:r>
      <w:r w:rsidR="008842BC" w:rsidRPr="00C07192">
        <w:t xml:space="preserve">IVDs are not required under regulation 4.1 of the Principal Regulations to have </w:t>
      </w:r>
      <w:r w:rsidRPr="00C07192">
        <w:t xml:space="preserve">a conformity assessment certificate </w:t>
      </w:r>
      <w:r w:rsidR="00C03EEA" w:rsidRPr="00C07192">
        <w:t>issued</w:t>
      </w:r>
      <w:r w:rsidR="0009563A" w:rsidRPr="00C07192">
        <w:t>.</w:t>
      </w:r>
      <w:r w:rsidR="002C4D89" w:rsidRPr="00C07192">
        <w:t xml:space="preserve">  </w:t>
      </w:r>
      <w:r w:rsidR="005713B2" w:rsidRPr="00C07192">
        <w:t>Regulation 11.2</w:t>
      </w:r>
      <w:r w:rsidR="00D10DA2" w:rsidRPr="00C07192">
        <w:t>1</w:t>
      </w:r>
      <w:r w:rsidR="00C4574E" w:rsidRPr="00C07192">
        <w:t xml:space="preserve"> </w:t>
      </w:r>
      <w:r w:rsidR="002E1332" w:rsidRPr="00C07192">
        <w:t>ha</w:t>
      </w:r>
      <w:r w:rsidR="007E4B24">
        <w:t>s</w:t>
      </w:r>
      <w:r w:rsidR="002E1332" w:rsidRPr="00C07192">
        <w:t xml:space="preserve"> the effect that the new IVD framework appl</w:t>
      </w:r>
      <w:r w:rsidR="00344224">
        <w:t>ies</w:t>
      </w:r>
      <w:r w:rsidR="002E1332" w:rsidRPr="00C07192">
        <w:t xml:space="preserve"> to</w:t>
      </w:r>
      <w:r w:rsidR="009369A3" w:rsidRPr="00C07192">
        <w:t xml:space="preserve"> Class 1</w:t>
      </w:r>
      <w:r w:rsidR="002D1CBC" w:rsidRPr="00C07192">
        <w:noBreakHyphen/>
      </w:r>
      <w:r w:rsidR="009369A3" w:rsidRPr="00C07192">
        <w:t>3 in-house IVDs from the later of 1 July 2017 and when the device comes into existence.</w:t>
      </w:r>
      <w:r w:rsidR="002C4D89" w:rsidRPr="00C07192">
        <w:t xml:space="preserve">  </w:t>
      </w:r>
      <w:r w:rsidR="0009563A" w:rsidRPr="00C07192">
        <w:t xml:space="preserve">Manufacturers </w:t>
      </w:r>
      <w:r w:rsidR="009369A3" w:rsidRPr="00C07192">
        <w:t xml:space="preserve">of such devices </w:t>
      </w:r>
      <w:r w:rsidR="00C03EEA" w:rsidRPr="00C07192">
        <w:t xml:space="preserve">in existence before 1 July 2017 </w:t>
      </w:r>
      <w:r w:rsidR="009369A3" w:rsidRPr="00C07192">
        <w:t>therefore ha</w:t>
      </w:r>
      <w:r w:rsidR="00344224">
        <w:t>s</w:t>
      </w:r>
      <w:r w:rsidR="009369A3" w:rsidRPr="00C07192">
        <w:t xml:space="preserve"> until (i.e. up to and including) 30 June 2017 to </w:t>
      </w:r>
      <w:r w:rsidR="0009563A" w:rsidRPr="00C07192">
        <w:t>comply with the requirements</w:t>
      </w:r>
      <w:r w:rsidR="00244673" w:rsidRPr="00C07192">
        <w:t xml:space="preserve"> of the new framework</w:t>
      </w:r>
      <w:r w:rsidR="009369A3" w:rsidRPr="00C07192">
        <w:t xml:space="preserve">. </w:t>
      </w:r>
      <w:r w:rsidR="002E1332" w:rsidRPr="00C07192">
        <w:t xml:space="preserve">   </w:t>
      </w:r>
    </w:p>
    <w:p w:rsidR="00C4574E" w:rsidRPr="00C07192" w:rsidRDefault="00C4574E" w:rsidP="00641B61">
      <w:pPr>
        <w:ind w:right="-46"/>
      </w:pPr>
    </w:p>
    <w:p w:rsidR="00B51583" w:rsidRPr="00C07192" w:rsidRDefault="00B51583" w:rsidP="00B51583">
      <w:pPr>
        <w:ind w:right="-46"/>
        <w:rPr>
          <w:b/>
        </w:rPr>
      </w:pPr>
      <w:r w:rsidRPr="00C07192">
        <w:rPr>
          <w:b/>
        </w:rPr>
        <w:t>Division 11.2 – Transitional provisions relating to the Therapeutic Goods (Medical Devices) Amendment Regulation 2012 (No. 1)</w:t>
      </w:r>
    </w:p>
    <w:p w:rsidR="00B51583" w:rsidRPr="00C07192" w:rsidRDefault="00B51583" w:rsidP="00B51583">
      <w:pPr>
        <w:ind w:right="-46"/>
        <w:rPr>
          <w:szCs w:val="24"/>
        </w:rPr>
      </w:pPr>
      <w:r w:rsidRPr="00C07192">
        <w:rPr>
          <w:szCs w:val="24"/>
        </w:rPr>
        <w:t xml:space="preserve">This is a new heading to be inserted </w:t>
      </w:r>
      <w:r w:rsidR="00C03EEA" w:rsidRPr="00C07192">
        <w:rPr>
          <w:szCs w:val="24"/>
        </w:rPr>
        <w:t xml:space="preserve">at the end of Division 11.1 </w:t>
      </w:r>
      <w:r w:rsidRPr="00C07192">
        <w:rPr>
          <w:szCs w:val="24"/>
        </w:rPr>
        <w:t xml:space="preserve">in the </w:t>
      </w:r>
      <w:r w:rsidR="00C03EEA" w:rsidRPr="00C07192">
        <w:rPr>
          <w:szCs w:val="24"/>
        </w:rPr>
        <w:t>Principal Regulations</w:t>
      </w:r>
      <w:r w:rsidRPr="00C07192">
        <w:rPr>
          <w:szCs w:val="24"/>
        </w:rPr>
        <w:t>.</w:t>
      </w:r>
    </w:p>
    <w:p w:rsidR="00B51583" w:rsidRPr="00C07192" w:rsidRDefault="00B51583" w:rsidP="00641B61">
      <w:pPr>
        <w:ind w:right="-46"/>
      </w:pPr>
    </w:p>
    <w:p w:rsidR="00E40161" w:rsidRPr="00C07192" w:rsidRDefault="00A46CD4" w:rsidP="00641B61">
      <w:pPr>
        <w:ind w:right="-46"/>
      </w:pPr>
      <w:r w:rsidRPr="00C07192">
        <w:rPr>
          <w:b/>
        </w:rPr>
        <w:t xml:space="preserve">Item 3 – </w:t>
      </w:r>
      <w:r w:rsidR="006068E6" w:rsidRPr="00C07192">
        <w:rPr>
          <w:b/>
        </w:rPr>
        <w:t>Regulation 11.1</w:t>
      </w:r>
    </w:p>
    <w:p w:rsidR="006068E6" w:rsidRPr="00C07192" w:rsidRDefault="006068E6" w:rsidP="00641B61">
      <w:pPr>
        <w:ind w:right="-46"/>
      </w:pPr>
      <w:r w:rsidRPr="00C07192">
        <w:t>This item</w:t>
      </w:r>
      <w:r w:rsidR="00E40161" w:rsidRPr="00C07192">
        <w:t xml:space="preserve"> </w:t>
      </w:r>
      <w:r w:rsidRPr="00C07192">
        <w:t>make</w:t>
      </w:r>
      <w:r w:rsidR="00530A55">
        <w:t>s</w:t>
      </w:r>
      <w:r w:rsidRPr="00C07192">
        <w:t xml:space="preserve"> a </w:t>
      </w:r>
      <w:r w:rsidR="00170193" w:rsidRPr="00C07192">
        <w:t xml:space="preserve">change to the numbering of an existing regulation </w:t>
      </w:r>
      <w:r w:rsidRPr="00C07192">
        <w:t>to reflect the introduction of new Division 11.1 by item 2.</w:t>
      </w:r>
    </w:p>
    <w:p w:rsidR="00170193" w:rsidRPr="00C07192" w:rsidRDefault="00170193" w:rsidP="00641B61">
      <w:pPr>
        <w:ind w:right="-46"/>
      </w:pPr>
    </w:p>
    <w:p w:rsidR="00170193" w:rsidRPr="00C07192" w:rsidRDefault="00530CFF" w:rsidP="00641B61">
      <w:pPr>
        <w:ind w:right="-46"/>
        <w:rPr>
          <w:b/>
        </w:rPr>
      </w:pPr>
      <w:r w:rsidRPr="00C07192">
        <w:rPr>
          <w:b/>
        </w:rPr>
        <w:t>Part 2 – Other amendments</w:t>
      </w:r>
    </w:p>
    <w:p w:rsidR="00170193" w:rsidRPr="00C07192" w:rsidRDefault="00170193" w:rsidP="00641B61">
      <w:pPr>
        <w:ind w:right="-46"/>
      </w:pPr>
    </w:p>
    <w:p w:rsidR="00170193" w:rsidRPr="00C07192" w:rsidRDefault="00170193" w:rsidP="00641B61">
      <w:pPr>
        <w:ind w:right="-46"/>
        <w:rPr>
          <w:b/>
        </w:rPr>
      </w:pPr>
      <w:r w:rsidRPr="00C07192">
        <w:rPr>
          <w:b/>
        </w:rPr>
        <w:t>Item 4 – Subclause 1.2(1) of Part 6A of Schedule 3</w:t>
      </w:r>
    </w:p>
    <w:p w:rsidR="00170193" w:rsidRPr="00C07192" w:rsidRDefault="00170193" w:rsidP="00641B61">
      <w:pPr>
        <w:ind w:right="-46"/>
        <w:rPr>
          <w:sz w:val="22"/>
        </w:rPr>
      </w:pPr>
      <w:r w:rsidRPr="00C07192">
        <w:t xml:space="preserve">This item </w:t>
      </w:r>
      <w:r w:rsidR="00E8191C" w:rsidRPr="00C07192">
        <w:t>make</w:t>
      </w:r>
      <w:r w:rsidR="00530A55">
        <w:t>s</w:t>
      </w:r>
      <w:r w:rsidR="00E8191C" w:rsidRPr="00C07192">
        <w:t xml:space="preserve"> a </w:t>
      </w:r>
      <w:r w:rsidR="0058175A" w:rsidRPr="00C07192">
        <w:t xml:space="preserve">minor, </w:t>
      </w:r>
      <w:r w:rsidR="00E8191C" w:rsidRPr="00C07192">
        <w:t>consequential amendment to</w:t>
      </w:r>
      <w:r w:rsidRPr="00C07192">
        <w:t xml:space="preserve"> subclause 1.2(1) of the Principal Regulations</w:t>
      </w:r>
      <w:r w:rsidR="0058175A" w:rsidRPr="00C07192">
        <w:t xml:space="preserve"> (which requires manufacturers of Class 1-3 in-house IVDs to notify the Secretary of </w:t>
      </w:r>
      <w:r w:rsidR="00244673" w:rsidRPr="00C07192">
        <w:t xml:space="preserve">the Department of Health of </w:t>
      </w:r>
      <w:r w:rsidR="0058175A" w:rsidRPr="00C07192">
        <w:t>their contact details</w:t>
      </w:r>
      <w:r w:rsidR="00B84D0C" w:rsidRPr="00C07192">
        <w:t xml:space="preserve"> and the IVDs they manufacture</w:t>
      </w:r>
      <w:r w:rsidR="0058175A" w:rsidRPr="00C07192">
        <w:t>) by replacing the reference to 1 July 2014 in that subclause to 1</w:t>
      </w:r>
      <w:r w:rsidR="00244673" w:rsidRPr="00C07192">
        <w:t> </w:t>
      </w:r>
      <w:r w:rsidR="0058175A" w:rsidRPr="00C07192">
        <w:t>July</w:t>
      </w:r>
      <w:r w:rsidR="00B84D0C" w:rsidRPr="00C07192">
        <w:rPr>
          <w:sz w:val="22"/>
        </w:rPr>
        <w:t> </w:t>
      </w:r>
      <w:r w:rsidR="0058175A" w:rsidRPr="00C07192">
        <w:t>2017.  This reflect</w:t>
      </w:r>
      <w:r w:rsidR="00344224">
        <w:t>s</w:t>
      </w:r>
      <w:r w:rsidR="0058175A" w:rsidRPr="00C07192">
        <w:t xml:space="preserve"> that the amendments in regulation 11.2</w:t>
      </w:r>
      <w:r w:rsidR="0094792C" w:rsidRPr="00C07192">
        <w:t>1</w:t>
      </w:r>
      <w:r w:rsidR="0058175A" w:rsidRPr="00C07192">
        <w:t xml:space="preserve"> above </w:t>
      </w:r>
      <w:r w:rsidR="00B84D0C" w:rsidRPr="00C07192">
        <w:t xml:space="preserve">(which include </w:t>
      </w:r>
      <w:r w:rsidR="00631BFC" w:rsidRPr="00C07192">
        <w:t xml:space="preserve">the </w:t>
      </w:r>
      <w:r w:rsidR="00B84D0C" w:rsidRPr="00C07192">
        <w:t>application of Part 6A of Schedule 3 to the Principal Regulations</w:t>
      </w:r>
      <w:r w:rsidR="000F486F" w:rsidRPr="00C07192">
        <w:t xml:space="preserve"> to the in</w:t>
      </w:r>
      <w:r w:rsidR="000F486F" w:rsidRPr="00C07192">
        <w:noBreakHyphen/>
        <w:t>house IVD</w:t>
      </w:r>
      <w:r w:rsidR="00B84D0C" w:rsidRPr="00C07192">
        <w:t xml:space="preserve">) </w:t>
      </w:r>
      <w:r w:rsidR="0058175A" w:rsidRPr="00C07192">
        <w:t>only appl</w:t>
      </w:r>
      <w:r w:rsidR="00344224">
        <w:t>ies</w:t>
      </w:r>
      <w:r w:rsidR="0058175A" w:rsidRPr="00C07192">
        <w:t xml:space="preserve"> the new IVD framework to Class 1-3 in-house IVDs from 1 July 2017.</w:t>
      </w:r>
    </w:p>
    <w:p w:rsidR="00170193" w:rsidRPr="00C07192" w:rsidRDefault="000F486F" w:rsidP="00641B61">
      <w:pPr>
        <w:ind w:right="-46"/>
      </w:pPr>
      <w:r w:rsidRPr="00C07192">
        <w:br w:type="column"/>
      </w:r>
    </w:p>
    <w:p w:rsidR="0003252A" w:rsidRPr="00C07192" w:rsidRDefault="0003252A" w:rsidP="0094792C">
      <w:pPr>
        <w:rPr>
          <w:u w:val="single"/>
        </w:rPr>
      </w:pPr>
      <w:r w:rsidRPr="00C07192">
        <w:rPr>
          <w:u w:val="single"/>
        </w:rPr>
        <w:t>Schedule 2 – Amendments</w:t>
      </w:r>
      <w:r w:rsidR="00935D8F" w:rsidRPr="00C07192">
        <w:rPr>
          <w:u w:val="single"/>
        </w:rPr>
        <w:t xml:space="preserve"> of the Therapeutic Goods Regulations 1990</w:t>
      </w:r>
    </w:p>
    <w:p w:rsidR="0003252A" w:rsidRPr="00C07192" w:rsidRDefault="0003252A" w:rsidP="0003252A">
      <w:pPr>
        <w:ind w:right="-46"/>
      </w:pPr>
    </w:p>
    <w:p w:rsidR="0003252A" w:rsidRPr="00C07192" w:rsidRDefault="00530CFF" w:rsidP="00AA5F38">
      <w:pPr>
        <w:ind w:right="-46"/>
        <w:rPr>
          <w:b/>
          <w:i/>
        </w:rPr>
      </w:pPr>
      <w:r w:rsidRPr="00C07192">
        <w:rPr>
          <w:b/>
          <w:i/>
        </w:rPr>
        <w:t xml:space="preserve">Therapeutic </w:t>
      </w:r>
      <w:r w:rsidR="006120B9" w:rsidRPr="00C07192">
        <w:rPr>
          <w:b/>
          <w:i/>
        </w:rPr>
        <w:t xml:space="preserve">Goods Regulations 1990 </w:t>
      </w:r>
    </w:p>
    <w:p w:rsidR="0003252A" w:rsidRPr="00C07192" w:rsidRDefault="0003252A" w:rsidP="00AA5F38">
      <w:pPr>
        <w:ind w:right="-46"/>
        <w:rPr>
          <w:u w:val="single"/>
        </w:rPr>
      </w:pPr>
    </w:p>
    <w:p w:rsidR="006120B9" w:rsidRPr="00C07192" w:rsidRDefault="006120B9" w:rsidP="006120B9">
      <w:pPr>
        <w:tabs>
          <w:tab w:val="left" w:pos="0"/>
        </w:tabs>
        <w:ind w:right="-46"/>
        <w:rPr>
          <w:b/>
        </w:rPr>
      </w:pPr>
      <w:r w:rsidRPr="00C07192">
        <w:rPr>
          <w:b/>
        </w:rPr>
        <w:t>Item 1 –</w:t>
      </w:r>
      <w:r w:rsidR="005E6CB5" w:rsidRPr="00C07192">
        <w:rPr>
          <w:b/>
        </w:rPr>
        <w:t xml:space="preserve"> </w:t>
      </w:r>
      <w:r w:rsidRPr="00C07192">
        <w:rPr>
          <w:b/>
        </w:rPr>
        <w:t>Before regulation 49 (new Division 1 – Transitional provisions relating to the Therapeutic Goods Amendment Regulations 2010 (No.1))</w:t>
      </w:r>
    </w:p>
    <w:p w:rsidR="006120B9" w:rsidRPr="00C07192" w:rsidRDefault="006120B9" w:rsidP="00AA5F38">
      <w:pPr>
        <w:ind w:right="-46"/>
        <w:rPr>
          <w:u w:val="single"/>
        </w:rPr>
      </w:pPr>
    </w:p>
    <w:p w:rsidR="002A14C4" w:rsidRPr="00C07192" w:rsidRDefault="00530CFF" w:rsidP="006120B9">
      <w:pPr>
        <w:ind w:right="-46"/>
        <w:rPr>
          <w:b/>
          <w:i/>
        </w:rPr>
      </w:pPr>
      <w:r w:rsidRPr="00C07192">
        <w:rPr>
          <w:b/>
          <w:i/>
        </w:rPr>
        <w:t>Summary of changes in item</w:t>
      </w:r>
    </w:p>
    <w:p w:rsidR="006120B9" w:rsidRPr="00C07192" w:rsidRDefault="006120B9" w:rsidP="006120B9">
      <w:pPr>
        <w:ind w:right="-46"/>
      </w:pPr>
      <w:r w:rsidRPr="00C07192">
        <w:t>This item introduce</w:t>
      </w:r>
      <w:r w:rsidR="007565F3">
        <w:t>s</w:t>
      </w:r>
      <w:r w:rsidRPr="00C07192">
        <w:t xml:space="preserve"> a new Division 1 to replace, from 1 July 2014, the current transitional arrangements for IVDs that are set out in</w:t>
      </w:r>
      <w:r w:rsidR="008477D7">
        <w:t xml:space="preserve"> the</w:t>
      </w:r>
      <w:r w:rsidRPr="00C07192">
        <w:t xml:space="preserve"> </w:t>
      </w:r>
      <w:r w:rsidR="008477D7" w:rsidRPr="00C07192">
        <w:rPr>
          <w:i/>
          <w:szCs w:val="24"/>
        </w:rPr>
        <w:t>Therapeutic Goods Amendment Regulations 2010 (No. 1)</w:t>
      </w:r>
      <w:r w:rsidR="008477D7" w:rsidRPr="00C07192">
        <w:rPr>
          <w:szCs w:val="24"/>
        </w:rPr>
        <w:t xml:space="preserve"> (</w:t>
      </w:r>
      <w:r w:rsidR="008477D7">
        <w:rPr>
          <w:szCs w:val="24"/>
        </w:rPr>
        <w:t xml:space="preserve">the </w:t>
      </w:r>
      <w:r w:rsidRPr="00C07192">
        <w:t>2010 TG Amendments</w:t>
      </w:r>
      <w:r w:rsidR="008477D7">
        <w:t>)</w:t>
      </w:r>
      <w:r w:rsidR="002C4D89" w:rsidRPr="00C07192">
        <w:t>,</w:t>
      </w:r>
      <w:r w:rsidRPr="00C07192">
        <w:t xml:space="preserve"> with new transitional arrangements</w:t>
      </w:r>
      <w:r w:rsidR="002C4D89" w:rsidRPr="00C07192">
        <w:t xml:space="preserve"> (</w:t>
      </w:r>
      <w:r w:rsidRPr="00C07192">
        <w:t xml:space="preserve">Schedule 3 to this </w:t>
      </w:r>
      <w:r w:rsidR="007565F3">
        <w:t>r</w:t>
      </w:r>
      <w:r w:rsidR="00D675F0" w:rsidRPr="00C07192">
        <w:t>egulation</w:t>
      </w:r>
      <w:r w:rsidRPr="00C07192">
        <w:t xml:space="preserve"> repeal</w:t>
      </w:r>
      <w:r w:rsidR="007565F3">
        <w:t>s</w:t>
      </w:r>
      <w:r w:rsidRPr="00C07192">
        <w:t xml:space="preserve"> the 2010 TG Amendments from the last moment in time on 30 June 2014 to ensure a seamless changeover from the current to the revised arrangements)</w:t>
      </w:r>
      <w:r w:rsidR="002C4D89" w:rsidRPr="00C07192">
        <w:t>.</w:t>
      </w:r>
    </w:p>
    <w:p w:rsidR="006120B9" w:rsidRPr="00C07192" w:rsidRDefault="006120B9" w:rsidP="00AA5F38">
      <w:pPr>
        <w:ind w:right="-46"/>
        <w:rPr>
          <w:u w:val="single"/>
        </w:rPr>
      </w:pPr>
    </w:p>
    <w:p w:rsidR="002A14C4" w:rsidRPr="00C07192" w:rsidRDefault="002C4D89" w:rsidP="002A14C4">
      <w:pPr>
        <w:pStyle w:val="ListParagraph"/>
        <w:ind w:left="0" w:right="-46"/>
        <w:rPr>
          <w:szCs w:val="24"/>
        </w:rPr>
      </w:pPr>
      <w:r w:rsidRPr="00C07192">
        <w:rPr>
          <w:rFonts w:ascii="Times" w:hAnsi="Times"/>
          <w:szCs w:val="24"/>
        </w:rPr>
        <w:t>When, o</w:t>
      </w:r>
      <w:r w:rsidR="002A14C4" w:rsidRPr="00C07192">
        <w:rPr>
          <w:rFonts w:ascii="Times" w:hAnsi="Times"/>
          <w:szCs w:val="24"/>
        </w:rPr>
        <w:t xml:space="preserve">n 1 July 2010, amendments to the </w:t>
      </w:r>
      <w:r w:rsidR="002A14C4" w:rsidRPr="00C07192">
        <w:rPr>
          <w:i/>
          <w:szCs w:val="24"/>
        </w:rPr>
        <w:t>Therapeutic Goods (Medical Devices) Regulations 2002</w:t>
      </w:r>
      <w:r w:rsidR="002A14C4" w:rsidRPr="00C07192">
        <w:rPr>
          <w:szCs w:val="24"/>
        </w:rPr>
        <w:t xml:space="preserve"> introduced a new</w:t>
      </w:r>
      <w:r w:rsidRPr="00C07192">
        <w:rPr>
          <w:szCs w:val="24"/>
        </w:rPr>
        <w:t xml:space="preserve"> </w:t>
      </w:r>
      <w:r w:rsidR="002A14C4" w:rsidRPr="00C07192">
        <w:rPr>
          <w:szCs w:val="24"/>
        </w:rPr>
        <w:t>reg</w:t>
      </w:r>
      <w:r w:rsidRPr="00C07192">
        <w:rPr>
          <w:szCs w:val="24"/>
        </w:rPr>
        <w:t xml:space="preserve">ulatory </w:t>
      </w:r>
      <w:r w:rsidR="002A14C4" w:rsidRPr="00C07192">
        <w:rPr>
          <w:szCs w:val="24"/>
        </w:rPr>
        <w:t xml:space="preserve">framework for </w:t>
      </w:r>
      <w:r w:rsidR="00445677" w:rsidRPr="00C07192">
        <w:rPr>
          <w:szCs w:val="24"/>
        </w:rPr>
        <w:t>IVDs</w:t>
      </w:r>
      <w:r w:rsidRPr="00C07192">
        <w:rPr>
          <w:szCs w:val="24"/>
        </w:rPr>
        <w:t>,</w:t>
      </w:r>
      <w:r w:rsidR="00445677" w:rsidRPr="00C07192">
        <w:rPr>
          <w:szCs w:val="24"/>
        </w:rPr>
        <w:t xml:space="preserve"> </w:t>
      </w:r>
      <w:r w:rsidRPr="00C07192">
        <w:rPr>
          <w:szCs w:val="24"/>
        </w:rPr>
        <w:t xml:space="preserve">consequential </w:t>
      </w:r>
      <w:r w:rsidR="002A14C4" w:rsidRPr="00C07192">
        <w:rPr>
          <w:szCs w:val="24"/>
        </w:rPr>
        <w:t xml:space="preserve">amendments </w:t>
      </w:r>
      <w:r w:rsidRPr="00C07192">
        <w:rPr>
          <w:szCs w:val="24"/>
        </w:rPr>
        <w:t xml:space="preserve">were also made </w:t>
      </w:r>
      <w:r w:rsidR="002A14C4" w:rsidRPr="00C07192">
        <w:rPr>
          <w:szCs w:val="24"/>
        </w:rPr>
        <w:t xml:space="preserve">to the </w:t>
      </w:r>
      <w:r w:rsidR="002A14C4" w:rsidRPr="008477D7">
        <w:rPr>
          <w:i/>
          <w:szCs w:val="24"/>
        </w:rPr>
        <w:t>Therapeutic Goods Regulations 1990</w:t>
      </w:r>
      <w:r w:rsidR="002A14C4" w:rsidRPr="00C07192">
        <w:rPr>
          <w:szCs w:val="24"/>
        </w:rPr>
        <w:t xml:space="preserve"> to support the introduction of the new framework (see </w:t>
      </w:r>
      <w:r w:rsidR="00C10EE6" w:rsidRPr="00C07192">
        <w:rPr>
          <w:szCs w:val="24"/>
        </w:rPr>
        <w:t xml:space="preserve">Schedule 1 to </w:t>
      </w:r>
      <w:r w:rsidR="002A14C4" w:rsidRPr="00C07192">
        <w:rPr>
          <w:szCs w:val="24"/>
        </w:rPr>
        <w:t xml:space="preserve">the </w:t>
      </w:r>
      <w:r w:rsidR="00530CFF" w:rsidRPr="00C07192">
        <w:rPr>
          <w:szCs w:val="24"/>
        </w:rPr>
        <w:t>2010 TG Amendments</w:t>
      </w:r>
      <w:r w:rsidR="002A14C4" w:rsidRPr="00C07192">
        <w:rPr>
          <w:szCs w:val="24"/>
        </w:rPr>
        <w:t xml:space="preserve">).  </w:t>
      </w:r>
    </w:p>
    <w:p w:rsidR="00445677" w:rsidRPr="00C07192" w:rsidRDefault="00445677" w:rsidP="002A14C4">
      <w:pPr>
        <w:pStyle w:val="ListParagraph"/>
        <w:ind w:left="0" w:right="-46"/>
        <w:rPr>
          <w:szCs w:val="24"/>
        </w:rPr>
      </w:pPr>
    </w:p>
    <w:p w:rsidR="00935D8F" w:rsidRPr="00C07192" w:rsidRDefault="005D7D61" w:rsidP="00AA5F38">
      <w:pPr>
        <w:ind w:right="-46"/>
        <w:rPr>
          <w:szCs w:val="24"/>
        </w:rPr>
      </w:pPr>
      <w:r w:rsidRPr="00C07192">
        <w:rPr>
          <w:szCs w:val="24"/>
        </w:rPr>
        <w:t xml:space="preserve">The effect of the amendments in Schedule 1 </w:t>
      </w:r>
      <w:r w:rsidR="000F486F" w:rsidRPr="00C07192">
        <w:rPr>
          <w:szCs w:val="24"/>
        </w:rPr>
        <w:t xml:space="preserve">to </w:t>
      </w:r>
      <w:r w:rsidRPr="00C07192">
        <w:rPr>
          <w:szCs w:val="24"/>
        </w:rPr>
        <w:t xml:space="preserve">the 2010 TG Amendments was to remove the references to IVDs in the </w:t>
      </w:r>
      <w:r w:rsidRPr="008477D7">
        <w:rPr>
          <w:i/>
          <w:szCs w:val="24"/>
        </w:rPr>
        <w:t>Therapeutic Goods Regulations 1990</w:t>
      </w:r>
      <w:r w:rsidRPr="00C07192">
        <w:rPr>
          <w:szCs w:val="24"/>
        </w:rPr>
        <w:t xml:space="preserve"> as they were immediately before 1 July 2010.   However, under the transitional arrangements in the 2010 TG Amendments (regulations 4, 5</w:t>
      </w:r>
      <w:r w:rsidR="00B84D0C" w:rsidRPr="00C07192">
        <w:rPr>
          <w:szCs w:val="24"/>
        </w:rPr>
        <w:t xml:space="preserve">, </w:t>
      </w:r>
      <w:r w:rsidRPr="00C07192">
        <w:rPr>
          <w:szCs w:val="24"/>
        </w:rPr>
        <w:t>6</w:t>
      </w:r>
      <w:r w:rsidR="00B84D0C" w:rsidRPr="00C07192">
        <w:rPr>
          <w:szCs w:val="24"/>
        </w:rPr>
        <w:t xml:space="preserve"> and 7</w:t>
      </w:r>
      <w:r w:rsidRPr="00C07192">
        <w:rPr>
          <w:szCs w:val="24"/>
        </w:rPr>
        <w:t xml:space="preserve">), those amendments </w:t>
      </w:r>
      <w:r w:rsidR="00344224">
        <w:rPr>
          <w:szCs w:val="24"/>
        </w:rPr>
        <w:t xml:space="preserve">do </w:t>
      </w:r>
      <w:r w:rsidRPr="00C07192">
        <w:rPr>
          <w:szCs w:val="24"/>
        </w:rPr>
        <w:t xml:space="preserve">not come into operation for an IVD until the new IVD framework (as set out in Schedule 1 to the </w:t>
      </w:r>
      <w:r w:rsidR="008477D7" w:rsidRPr="00C07192">
        <w:rPr>
          <w:i/>
          <w:szCs w:val="24"/>
        </w:rPr>
        <w:t>Therapeutic Goods (Medical Devices) Amendment Regulations 2010 (No. 1)</w:t>
      </w:r>
      <w:r w:rsidR="008477D7">
        <w:rPr>
          <w:szCs w:val="24"/>
        </w:rPr>
        <w:t xml:space="preserve"> (the</w:t>
      </w:r>
      <w:r w:rsidR="000333BF">
        <w:rPr>
          <w:szCs w:val="24"/>
        </w:rPr>
        <w:t xml:space="preserve"> </w:t>
      </w:r>
      <w:r w:rsidRPr="00C07192">
        <w:rPr>
          <w:szCs w:val="24"/>
        </w:rPr>
        <w:t>2010 MD amendments</w:t>
      </w:r>
      <w:r w:rsidR="008477D7">
        <w:rPr>
          <w:szCs w:val="24"/>
        </w:rPr>
        <w:t>)</w:t>
      </w:r>
      <w:r w:rsidRPr="00C07192">
        <w:rPr>
          <w:szCs w:val="24"/>
        </w:rPr>
        <w:t>) applied to them.  In so doing, the transitional arrangements in the 2010 TG Amendments were designed to mirror the effect of the transitionals provisions (regulations 4, 5</w:t>
      </w:r>
      <w:r w:rsidR="00B84D0C" w:rsidRPr="00C07192">
        <w:rPr>
          <w:szCs w:val="24"/>
        </w:rPr>
        <w:t xml:space="preserve">, </w:t>
      </w:r>
      <w:r w:rsidRPr="00C07192">
        <w:rPr>
          <w:szCs w:val="24"/>
        </w:rPr>
        <w:t>6</w:t>
      </w:r>
      <w:r w:rsidR="00B84D0C" w:rsidRPr="00C07192">
        <w:rPr>
          <w:szCs w:val="24"/>
        </w:rPr>
        <w:t xml:space="preserve"> and 7</w:t>
      </w:r>
      <w:r w:rsidRPr="00C07192">
        <w:rPr>
          <w:szCs w:val="24"/>
        </w:rPr>
        <w:t>) in the 2010 MD amendments.</w:t>
      </w:r>
      <w:r w:rsidR="00445677" w:rsidRPr="00C07192">
        <w:rPr>
          <w:szCs w:val="24"/>
        </w:rPr>
        <w:t xml:space="preserve">  </w:t>
      </w:r>
    </w:p>
    <w:p w:rsidR="00935D8F" w:rsidRPr="00C07192" w:rsidRDefault="00935D8F" w:rsidP="00AA5F38">
      <w:pPr>
        <w:ind w:right="-46"/>
        <w:rPr>
          <w:szCs w:val="24"/>
        </w:rPr>
      </w:pPr>
    </w:p>
    <w:p w:rsidR="00445677" w:rsidRPr="00C07192" w:rsidRDefault="00530CFF" w:rsidP="00AA5F38">
      <w:pPr>
        <w:ind w:right="-46"/>
        <w:rPr>
          <w:szCs w:val="24"/>
        </w:rPr>
      </w:pPr>
      <w:r w:rsidRPr="00C07192">
        <w:rPr>
          <w:szCs w:val="24"/>
        </w:rPr>
        <w:t xml:space="preserve">As soon as the </w:t>
      </w:r>
      <w:r w:rsidR="00445677" w:rsidRPr="00C07192">
        <w:rPr>
          <w:szCs w:val="24"/>
        </w:rPr>
        <w:t xml:space="preserve">transitional provisions in the </w:t>
      </w:r>
      <w:r w:rsidRPr="00C07192">
        <w:rPr>
          <w:szCs w:val="24"/>
        </w:rPr>
        <w:t xml:space="preserve">2010 </w:t>
      </w:r>
      <w:r w:rsidR="000F486F" w:rsidRPr="00C07192">
        <w:rPr>
          <w:szCs w:val="24"/>
        </w:rPr>
        <w:t xml:space="preserve">MD </w:t>
      </w:r>
      <w:r w:rsidR="00B84D0C" w:rsidRPr="00C07192">
        <w:rPr>
          <w:szCs w:val="24"/>
        </w:rPr>
        <w:t>A</w:t>
      </w:r>
      <w:r w:rsidR="00445677" w:rsidRPr="00C07192">
        <w:rPr>
          <w:szCs w:val="24"/>
        </w:rPr>
        <w:t xml:space="preserve">mendments </w:t>
      </w:r>
      <w:r w:rsidRPr="00C07192">
        <w:rPr>
          <w:szCs w:val="24"/>
        </w:rPr>
        <w:t xml:space="preserve">had the effect of applying Schedule 1 </w:t>
      </w:r>
      <w:r w:rsidR="00DC1E18" w:rsidRPr="00C07192">
        <w:rPr>
          <w:szCs w:val="24"/>
        </w:rPr>
        <w:t xml:space="preserve">to </w:t>
      </w:r>
      <w:r w:rsidRPr="00C07192">
        <w:rPr>
          <w:szCs w:val="24"/>
        </w:rPr>
        <w:t xml:space="preserve">the </w:t>
      </w:r>
      <w:r w:rsidR="00B84D0C" w:rsidRPr="00C07192">
        <w:rPr>
          <w:szCs w:val="24"/>
        </w:rPr>
        <w:t xml:space="preserve">2010 </w:t>
      </w:r>
      <w:r w:rsidRPr="00C07192">
        <w:rPr>
          <w:szCs w:val="24"/>
        </w:rPr>
        <w:t xml:space="preserve">MD </w:t>
      </w:r>
      <w:r w:rsidR="00B84D0C" w:rsidRPr="00C07192">
        <w:rPr>
          <w:szCs w:val="24"/>
        </w:rPr>
        <w:t xml:space="preserve">Amendments </w:t>
      </w:r>
      <w:r w:rsidRPr="00C07192">
        <w:rPr>
          <w:szCs w:val="24"/>
        </w:rPr>
        <w:t>to the IVD in question for all purposes</w:t>
      </w:r>
      <w:r w:rsidR="008477D7">
        <w:rPr>
          <w:szCs w:val="24"/>
        </w:rPr>
        <w:t>,</w:t>
      </w:r>
      <w:r w:rsidRPr="00C07192">
        <w:rPr>
          <w:szCs w:val="24"/>
        </w:rPr>
        <w:t xml:space="preserve"> then the amendments in Schedule 1 </w:t>
      </w:r>
      <w:r w:rsidR="00DC1E18" w:rsidRPr="00C07192">
        <w:rPr>
          <w:szCs w:val="24"/>
        </w:rPr>
        <w:t xml:space="preserve">to </w:t>
      </w:r>
      <w:r w:rsidRPr="00C07192">
        <w:rPr>
          <w:szCs w:val="24"/>
        </w:rPr>
        <w:t xml:space="preserve">the </w:t>
      </w:r>
      <w:r w:rsidR="00935D8F" w:rsidRPr="00C07192">
        <w:rPr>
          <w:szCs w:val="24"/>
        </w:rPr>
        <w:t xml:space="preserve">2010 </w:t>
      </w:r>
      <w:r w:rsidRPr="00C07192">
        <w:rPr>
          <w:szCs w:val="24"/>
        </w:rPr>
        <w:t xml:space="preserve">TG </w:t>
      </w:r>
      <w:r w:rsidR="00B84D0C" w:rsidRPr="00C07192">
        <w:rPr>
          <w:szCs w:val="24"/>
        </w:rPr>
        <w:t xml:space="preserve">Amendments </w:t>
      </w:r>
      <w:r w:rsidR="00445677" w:rsidRPr="00C07192">
        <w:rPr>
          <w:szCs w:val="24"/>
        </w:rPr>
        <w:t xml:space="preserve">also apply </w:t>
      </w:r>
      <w:r w:rsidRPr="00C07192">
        <w:rPr>
          <w:szCs w:val="24"/>
        </w:rPr>
        <w:t>to the IVD in question</w:t>
      </w:r>
      <w:r w:rsidR="00445677" w:rsidRPr="00C07192">
        <w:rPr>
          <w:szCs w:val="24"/>
        </w:rPr>
        <w:t>.</w:t>
      </w:r>
    </w:p>
    <w:p w:rsidR="00445677" w:rsidRPr="00C07192" w:rsidRDefault="00445677" w:rsidP="00AA5F38">
      <w:pPr>
        <w:ind w:right="-46"/>
        <w:rPr>
          <w:szCs w:val="24"/>
        </w:rPr>
      </w:pPr>
    </w:p>
    <w:p w:rsidR="00664BB1" w:rsidRPr="00C07192" w:rsidRDefault="00445677">
      <w:pPr>
        <w:keepNext/>
        <w:ind w:right="-45"/>
        <w:rPr>
          <w:b/>
        </w:rPr>
      </w:pPr>
      <w:r w:rsidRPr="00C07192">
        <w:rPr>
          <w:b/>
        </w:rPr>
        <w:t>Division 1 – Transitional provisions relating to the Therapeutic Goods Amendment Regulations 2010 (No. 1)</w:t>
      </w:r>
    </w:p>
    <w:p w:rsidR="0094792C" w:rsidRPr="00C07192" w:rsidRDefault="00445677" w:rsidP="00855E4D">
      <w:pPr>
        <w:ind w:right="-46"/>
      </w:pPr>
      <w:r w:rsidRPr="00C07192">
        <w:t xml:space="preserve">This </w:t>
      </w:r>
      <w:r w:rsidR="00C10EE6" w:rsidRPr="00C07192">
        <w:t>D</w:t>
      </w:r>
      <w:r w:rsidRPr="00C07192">
        <w:t>ivision define</w:t>
      </w:r>
      <w:r w:rsidR="003455DC">
        <w:t>s</w:t>
      </w:r>
      <w:r w:rsidRPr="00C07192">
        <w:t xml:space="preserve"> </w:t>
      </w:r>
      <w:r w:rsidR="00FA65E7" w:rsidRPr="00C07192">
        <w:t xml:space="preserve">a number of key terms, for example, ‘transitional device’, ‘transition day’ and ‘finally determined’. </w:t>
      </w:r>
      <w:r w:rsidR="00855E4D" w:rsidRPr="00C07192">
        <w:t xml:space="preserve"> </w:t>
      </w:r>
      <w:r w:rsidR="00FA65E7" w:rsidRPr="00C07192">
        <w:t>New regulation 48A give</w:t>
      </w:r>
      <w:r w:rsidR="003455DC">
        <w:t>s</w:t>
      </w:r>
      <w:r w:rsidR="00FA65E7" w:rsidRPr="00C07192">
        <w:t xml:space="preserve"> each of these terms the </w:t>
      </w:r>
      <w:r w:rsidR="003455DC">
        <w:t xml:space="preserve">same meaning as in the </w:t>
      </w:r>
      <w:r w:rsidR="00FA65E7" w:rsidRPr="00C07192">
        <w:t xml:space="preserve">amendments to the </w:t>
      </w:r>
      <w:r w:rsidR="00FA65E7" w:rsidRPr="008477D7">
        <w:rPr>
          <w:i/>
        </w:rPr>
        <w:t>Therapeutic Goods (Medical Devices) Regulations 2002</w:t>
      </w:r>
      <w:r w:rsidR="00FA65E7" w:rsidRPr="00C07192">
        <w:t xml:space="preserve"> in Schedule 1 above</w:t>
      </w:r>
      <w:r w:rsidR="0094792C" w:rsidRPr="00C07192">
        <w:t>.</w:t>
      </w:r>
    </w:p>
    <w:p w:rsidR="00445677" w:rsidRPr="00C07192" w:rsidRDefault="00445677" w:rsidP="00445677">
      <w:pPr>
        <w:ind w:right="-46"/>
      </w:pPr>
    </w:p>
    <w:p w:rsidR="00445677" w:rsidRPr="00C07192" w:rsidRDefault="003455DC" w:rsidP="00AA5F38">
      <w:pPr>
        <w:ind w:right="-46"/>
        <w:rPr>
          <w:szCs w:val="24"/>
        </w:rPr>
      </w:pPr>
      <w:r>
        <w:rPr>
          <w:szCs w:val="24"/>
        </w:rPr>
        <w:t xml:space="preserve">The Division </w:t>
      </w:r>
      <w:r w:rsidR="00C10EE6" w:rsidRPr="00C07192">
        <w:rPr>
          <w:szCs w:val="24"/>
        </w:rPr>
        <w:t>also include</w:t>
      </w:r>
      <w:r>
        <w:rPr>
          <w:szCs w:val="24"/>
        </w:rPr>
        <w:t>s</w:t>
      </w:r>
      <w:r w:rsidR="00C10EE6" w:rsidRPr="00C07192">
        <w:rPr>
          <w:szCs w:val="24"/>
        </w:rPr>
        <w:t xml:space="preserve"> a new </w:t>
      </w:r>
      <w:r w:rsidR="005D7D61" w:rsidRPr="00C07192">
        <w:rPr>
          <w:szCs w:val="24"/>
        </w:rPr>
        <w:t xml:space="preserve">regulation 48B in the </w:t>
      </w:r>
      <w:r w:rsidR="005D7D61" w:rsidRPr="008477D7">
        <w:rPr>
          <w:i/>
          <w:szCs w:val="24"/>
        </w:rPr>
        <w:t>Therapeutic Goods Regulations 1990</w:t>
      </w:r>
      <w:r>
        <w:rPr>
          <w:szCs w:val="24"/>
        </w:rPr>
        <w:t xml:space="preserve"> which applies</w:t>
      </w:r>
      <w:r w:rsidR="005D7D61" w:rsidRPr="00C07192">
        <w:rPr>
          <w:szCs w:val="24"/>
        </w:rPr>
        <w:t xml:space="preserve"> the amendments made by Schedule 1 to the 2010 TG </w:t>
      </w:r>
      <w:r w:rsidR="00B84D0C" w:rsidRPr="00C07192">
        <w:rPr>
          <w:szCs w:val="24"/>
        </w:rPr>
        <w:t xml:space="preserve">Amendments </w:t>
      </w:r>
      <w:r w:rsidR="005D7D61" w:rsidRPr="00C07192">
        <w:rPr>
          <w:szCs w:val="24"/>
        </w:rPr>
        <w:t xml:space="preserve">to a transitional device on and after the transition day for the device.  In other words, this </w:t>
      </w:r>
      <w:r w:rsidR="0067233C">
        <w:rPr>
          <w:szCs w:val="24"/>
        </w:rPr>
        <w:t>is</w:t>
      </w:r>
      <w:r w:rsidR="005D7D61" w:rsidRPr="00C07192">
        <w:rPr>
          <w:szCs w:val="24"/>
        </w:rPr>
        <w:t xml:space="preserve"> the same day as the day that, under the provisions in Schedule 1 above, the new IVD framework (set out in Schedule 1 to the 2010 MD </w:t>
      </w:r>
      <w:r w:rsidR="00B84D0C" w:rsidRPr="00C07192">
        <w:rPr>
          <w:szCs w:val="24"/>
        </w:rPr>
        <w:t>Amendments</w:t>
      </w:r>
      <w:r w:rsidR="005D7D61" w:rsidRPr="00C07192">
        <w:rPr>
          <w:szCs w:val="24"/>
        </w:rPr>
        <w:t>) appl</w:t>
      </w:r>
      <w:r w:rsidR="0067233C">
        <w:rPr>
          <w:szCs w:val="24"/>
        </w:rPr>
        <w:t>ies</w:t>
      </w:r>
      <w:r w:rsidR="005D7D61" w:rsidRPr="00C07192">
        <w:rPr>
          <w:szCs w:val="24"/>
        </w:rPr>
        <w:t xml:space="preserve"> to the device.</w:t>
      </w:r>
    </w:p>
    <w:p w:rsidR="00C10EE6" w:rsidRPr="00C07192" w:rsidRDefault="00C10EE6" w:rsidP="00AA5F38">
      <w:pPr>
        <w:ind w:right="-46"/>
        <w:rPr>
          <w:szCs w:val="24"/>
        </w:rPr>
      </w:pPr>
    </w:p>
    <w:p w:rsidR="006848AB" w:rsidRPr="00C07192" w:rsidRDefault="00E25FCB" w:rsidP="00AA5F38">
      <w:pPr>
        <w:ind w:right="-46"/>
      </w:pPr>
      <w:r>
        <w:rPr>
          <w:szCs w:val="24"/>
        </w:rPr>
        <w:t xml:space="preserve">New regulation 48B </w:t>
      </w:r>
      <w:r w:rsidR="00C10EE6" w:rsidRPr="00C07192">
        <w:rPr>
          <w:szCs w:val="24"/>
        </w:rPr>
        <w:t>also make</w:t>
      </w:r>
      <w:r>
        <w:rPr>
          <w:szCs w:val="24"/>
        </w:rPr>
        <w:t>s</w:t>
      </w:r>
      <w:r w:rsidR="00C10EE6" w:rsidRPr="00C07192">
        <w:rPr>
          <w:szCs w:val="24"/>
        </w:rPr>
        <w:t xml:space="preserve"> clear that </w:t>
      </w:r>
      <w:r w:rsidR="006848AB" w:rsidRPr="00C07192">
        <w:rPr>
          <w:szCs w:val="24"/>
        </w:rPr>
        <w:t xml:space="preserve">the amendments made by the 2010 TG Amendments apply in relation to </w:t>
      </w:r>
      <w:r w:rsidR="00C10EE6" w:rsidRPr="00C07192">
        <w:rPr>
          <w:szCs w:val="24"/>
        </w:rPr>
        <w:t xml:space="preserve">transitional devices that are excluded from the operation of </w:t>
      </w:r>
      <w:r w:rsidR="00EB57EB" w:rsidRPr="00C07192">
        <w:rPr>
          <w:szCs w:val="24"/>
        </w:rPr>
        <w:t xml:space="preserve">new </w:t>
      </w:r>
      <w:r w:rsidR="00C10EE6" w:rsidRPr="00C07192">
        <w:rPr>
          <w:szCs w:val="24"/>
        </w:rPr>
        <w:t xml:space="preserve">Division 11.1 of the </w:t>
      </w:r>
      <w:r w:rsidR="00C10EE6" w:rsidRPr="008258D9">
        <w:rPr>
          <w:i/>
          <w:szCs w:val="24"/>
        </w:rPr>
        <w:t>Therapeutic Goods (Medical Devices) Regulations 2002</w:t>
      </w:r>
      <w:r w:rsidR="00C10EE6" w:rsidRPr="00C07192">
        <w:rPr>
          <w:szCs w:val="24"/>
        </w:rPr>
        <w:t xml:space="preserve"> </w:t>
      </w:r>
      <w:r w:rsidR="006848AB" w:rsidRPr="00C07192">
        <w:rPr>
          <w:szCs w:val="24"/>
        </w:rPr>
        <w:t>inserted by Schedule 1 above (</w:t>
      </w:r>
      <w:r w:rsidR="002A1A9E" w:rsidRPr="00C07192">
        <w:rPr>
          <w:szCs w:val="24"/>
        </w:rPr>
        <w:t>i.e.</w:t>
      </w:r>
      <w:r w:rsidR="006848AB" w:rsidRPr="00C07192">
        <w:rPr>
          <w:szCs w:val="24"/>
        </w:rPr>
        <w:t xml:space="preserve"> those </w:t>
      </w:r>
      <w:r w:rsidR="008D5053" w:rsidRPr="00C07192">
        <w:rPr>
          <w:szCs w:val="24"/>
        </w:rPr>
        <w:t>already</w:t>
      </w:r>
      <w:r w:rsidR="006848AB" w:rsidRPr="00C07192">
        <w:rPr>
          <w:szCs w:val="24"/>
        </w:rPr>
        <w:t xml:space="preserve"> included in the Register </w:t>
      </w:r>
      <w:r w:rsidR="000F486F" w:rsidRPr="00C07192">
        <w:rPr>
          <w:szCs w:val="24"/>
        </w:rPr>
        <w:t xml:space="preserve">under Chapter 4 of the Act </w:t>
      </w:r>
      <w:r w:rsidR="006848AB" w:rsidRPr="00C07192">
        <w:t xml:space="preserve">or </w:t>
      </w:r>
      <w:r w:rsidR="00935D8F" w:rsidRPr="00C07192">
        <w:rPr>
          <w:rFonts w:ascii="Times" w:hAnsi="Times"/>
          <w:szCs w:val="24"/>
        </w:rPr>
        <w:t xml:space="preserve">in relation to which a decision to reject </w:t>
      </w:r>
      <w:r w:rsidR="008D5053" w:rsidRPr="00C07192">
        <w:rPr>
          <w:rFonts w:ascii="Times" w:hAnsi="Times"/>
          <w:szCs w:val="24"/>
        </w:rPr>
        <w:t>their</w:t>
      </w:r>
      <w:r w:rsidR="00935D8F" w:rsidRPr="00C07192">
        <w:rPr>
          <w:rFonts w:ascii="Times" w:hAnsi="Times"/>
          <w:szCs w:val="24"/>
        </w:rPr>
        <w:t xml:space="preserve"> inclu</w:t>
      </w:r>
      <w:r w:rsidR="008D5053" w:rsidRPr="00C07192">
        <w:rPr>
          <w:rFonts w:ascii="Times" w:hAnsi="Times"/>
          <w:szCs w:val="24"/>
        </w:rPr>
        <w:t>sion</w:t>
      </w:r>
      <w:r w:rsidR="00935D8F" w:rsidRPr="00C07192">
        <w:rPr>
          <w:rFonts w:ascii="Times" w:hAnsi="Times"/>
          <w:szCs w:val="24"/>
        </w:rPr>
        <w:t xml:space="preserve"> in the Register </w:t>
      </w:r>
      <w:r w:rsidR="000F486F" w:rsidRPr="00C07192">
        <w:rPr>
          <w:rFonts w:ascii="Times" w:hAnsi="Times"/>
          <w:szCs w:val="24"/>
        </w:rPr>
        <w:t>ha</w:t>
      </w:r>
      <w:r w:rsidR="008D5053" w:rsidRPr="00C07192">
        <w:rPr>
          <w:rFonts w:ascii="Times" w:hAnsi="Times"/>
          <w:szCs w:val="24"/>
        </w:rPr>
        <w:t>s</w:t>
      </w:r>
      <w:r w:rsidR="000F486F" w:rsidRPr="00C07192">
        <w:rPr>
          <w:rFonts w:ascii="Times" w:hAnsi="Times"/>
          <w:szCs w:val="24"/>
        </w:rPr>
        <w:t xml:space="preserve"> been </w:t>
      </w:r>
      <w:r w:rsidR="00935D8F" w:rsidRPr="00C07192">
        <w:rPr>
          <w:rFonts w:ascii="Times" w:hAnsi="Times"/>
          <w:szCs w:val="24"/>
        </w:rPr>
        <w:t>finally determined</w:t>
      </w:r>
      <w:r w:rsidR="006848AB" w:rsidRPr="00C07192">
        <w:t>).</w:t>
      </w:r>
    </w:p>
    <w:p w:rsidR="00445677" w:rsidRPr="00C07192" w:rsidRDefault="00445677" w:rsidP="00AA5F38">
      <w:pPr>
        <w:ind w:right="-46"/>
        <w:rPr>
          <w:szCs w:val="24"/>
        </w:rPr>
      </w:pPr>
    </w:p>
    <w:p w:rsidR="006848AB" w:rsidRPr="00C07192" w:rsidRDefault="006848AB" w:rsidP="006848AB">
      <w:pPr>
        <w:ind w:right="-46"/>
        <w:rPr>
          <w:b/>
        </w:rPr>
      </w:pPr>
      <w:r w:rsidRPr="00C07192">
        <w:rPr>
          <w:b/>
        </w:rPr>
        <w:t>Division 2 – Transitional provisions relating to the Therapeutic Goods Amendment Regulation 2012 (No. 3)</w:t>
      </w:r>
    </w:p>
    <w:p w:rsidR="006848AB" w:rsidRPr="00C07192" w:rsidRDefault="006848AB" w:rsidP="00AA5F38">
      <w:pPr>
        <w:ind w:right="-46"/>
        <w:rPr>
          <w:szCs w:val="24"/>
        </w:rPr>
      </w:pPr>
      <w:r w:rsidRPr="00C07192">
        <w:rPr>
          <w:szCs w:val="24"/>
        </w:rPr>
        <w:t xml:space="preserve">This is a new heading to be inserted before regulation 49 in the </w:t>
      </w:r>
      <w:r w:rsidRPr="008477D7">
        <w:rPr>
          <w:i/>
          <w:szCs w:val="24"/>
        </w:rPr>
        <w:t>Therapeutic Goods Regulations</w:t>
      </w:r>
      <w:r w:rsidR="008477D7" w:rsidRPr="008477D7">
        <w:rPr>
          <w:i/>
          <w:szCs w:val="24"/>
        </w:rPr>
        <w:t xml:space="preserve"> 1990</w:t>
      </w:r>
      <w:r w:rsidRPr="00C07192">
        <w:rPr>
          <w:szCs w:val="24"/>
        </w:rPr>
        <w:t>.</w:t>
      </w:r>
    </w:p>
    <w:p w:rsidR="006848AB" w:rsidRPr="00C07192" w:rsidRDefault="006848AB" w:rsidP="00AA5F38">
      <w:pPr>
        <w:ind w:right="-46"/>
        <w:rPr>
          <w:szCs w:val="24"/>
        </w:rPr>
      </w:pPr>
    </w:p>
    <w:p w:rsidR="006848AB" w:rsidRPr="00C07192" w:rsidRDefault="005E6CB5" w:rsidP="00AA5F38">
      <w:pPr>
        <w:ind w:right="-46"/>
        <w:rPr>
          <w:szCs w:val="24"/>
        </w:rPr>
      </w:pPr>
      <w:r w:rsidRPr="00C07192">
        <w:rPr>
          <w:b/>
        </w:rPr>
        <w:t xml:space="preserve">Item 2 – Regulation 49 </w:t>
      </w:r>
    </w:p>
    <w:p w:rsidR="006848AB" w:rsidRPr="00C07192" w:rsidRDefault="006848AB" w:rsidP="00AA5F38">
      <w:pPr>
        <w:ind w:right="-46"/>
        <w:rPr>
          <w:szCs w:val="24"/>
        </w:rPr>
      </w:pPr>
    </w:p>
    <w:p w:rsidR="005E6CB5" w:rsidRPr="00C07192" w:rsidRDefault="00E25FCB" w:rsidP="00AA5F38">
      <w:pPr>
        <w:ind w:right="-46"/>
        <w:rPr>
          <w:szCs w:val="24"/>
        </w:rPr>
      </w:pPr>
      <w:r>
        <w:rPr>
          <w:szCs w:val="24"/>
        </w:rPr>
        <w:t>This item</w:t>
      </w:r>
      <w:r w:rsidR="005E6CB5" w:rsidRPr="00C07192">
        <w:rPr>
          <w:szCs w:val="24"/>
        </w:rPr>
        <w:t xml:space="preserve"> make</w:t>
      </w:r>
      <w:r>
        <w:rPr>
          <w:szCs w:val="24"/>
        </w:rPr>
        <w:t>s</w:t>
      </w:r>
      <w:r w:rsidR="005E6CB5" w:rsidRPr="00C07192">
        <w:rPr>
          <w:szCs w:val="24"/>
        </w:rPr>
        <w:t xml:space="preserve"> a minor correction to include the missing number in the title of the amending instrument, the </w:t>
      </w:r>
      <w:r w:rsidR="005713B2" w:rsidRPr="00C07192">
        <w:rPr>
          <w:i/>
          <w:szCs w:val="24"/>
        </w:rPr>
        <w:t>Therapeutic Goods Amendment Regulation 2012 (No. 3)</w:t>
      </w:r>
      <w:r w:rsidR="005E6CB5" w:rsidRPr="00C07192">
        <w:rPr>
          <w:szCs w:val="24"/>
        </w:rPr>
        <w:t xml:space="preserve">. </w:t>
      </w:r>
    </w:p>
    <w:p w:rsidR="00AA5F38" w:rsidRPr="00C07192" w:rsidRDefault="0003252A" w:rsidP="00AA5F38">
      <w:pPr>
        <w:ind w:right="-46"/>
        <w:rPr>
          <w:u w:val="single"/>
        </w:rPr>
      </w:pPr>
      <w:r w:rsidRPr="00C07192">
        <w:rPr>
          <w:u w:val="single"/>
        </w:rPr>
        <w:br w:type="column"/>
      </w:r>
      <w:r w:rsidR="00AA5F38" w:rsidRPr="00C07192">
        <w:rPr>
          <w:u w:val="single"/>
        </w:rPr>
        <w:t xml:space="preserve">Schedule </w:t>
      </w:r>
      <w:r w:rsidRPr="00C07192">
        <w:rPr>
          <w:u w:val="single"/>
        </w:rPr>
        <w:t>3</w:t>
      </w:r>
      <w:r w:rsidR="00AA5F38" w:rsidRPr="00C07192">
        <w:rPr>
          <w:u w:val="single"/>
        </w:rPr>
        <w:t xml:space="preserve"> – </w:t>
      </w:r>
      <w:r w:rsidR="006120B9" w:rsidRPr="00C07192">
        <w:rPr>
          <w:u w:val="single"/>
        </w:rPr>
        <w:t xml:space="preserve">Repeals </w:t>
      </w:r>
    </w:p>
    <w:p w:rsidR="006068E6" w:rsidRPr="00C07192" w:rsidRDefault="006068E6" w:rsidP="00641B61">
      <w:pPr>
        <w:ind w:right="-46"/>
      </w:pPr>
    </w:p>
    <w:p w:rsidR="00EE5D02" w:rsidRPr="00C07192" w:rsidRDefault="00AA5F38" w:rsidP="00641B61">
      <w:pPr>
        <w:ind w:right="-46"/>
        <w:rPr>
          <w:b/>
        </w:rPr>
      </w:pPr>
      <w:r w:rsidRPr="00C07192">
        <w:rPr>
          <w:b/>
        </w:rPr>
        <w:t>Items 1 and 2 – Repeal of 2010 regulations</w:t>
      </w:r>
    </w:p>
    <w:p w:rsidR="00935D8F" w:rsidRPr="00C07192" w:rsidRDefault="00AA5F38" w:rsidP="00935D8F">
      <w:pPr>
        <w:pStyle w:val="ListParagraph"/>
        <w:ind w:left="0" w:right="-46"/>
        <w:rPr>
          <w:szCs w:val="24"/>
        </w:rPr>
      </w:pPr>
      <w:r w:rsidRPr="00C07192">
        <w:t>Items 1 and 2 repeal</w:t>
      </w:r>
      <w:r w:rsidR="00E25FCB">
        <w:t>s</w:t>
      </w:r>
      <w:r w:rsidRPr="00C07192">
        <w:t xml:space="preserve">, from the </w:t>
      </w:r>
      <w:r w:rsidR="0003252A" w:rsidRPr="00C07192">
        <w:t xml:space="preserve">end of the day on </w:t>
      </w:r>
      <w:r w:rsidRPr="00C07192">
        <w:t xml:space="preserve">30 June 2014, </w:t>
      </w:r>
      <w:r w:rsidR="00935D8F" w:rsidRPr="00C07192">
        <w:rPr>
          <w:szCs w:val="24"/>
        </w:rPr>
        <w:t xml:space="preserve">the </w:t>
      </w:r>
      <w:r w:rsidR="00935D8F" w:rsidRPr="00C07192">
        <w:rPr>
          <w:i/>
          <w:szCs w:val="24"/>
        </w:rPr>
        <w:t xml:space="preserve">Therapeutic Goods (Medical Devices) Amendment Regulations 2010 (No. 1) </w:t>
      </w:r>
      <w:r w:rsidR="00DC1E18" w:rsidRPr="00C07192">
        <w:rPr>
          <w:szCs w:val="24"/>
        </w:rPr>
        <w:t>(the 2010 MD A</w:t>
      </w:r>
      <w:r w:rsidR="00935D8F" w:rsidRPr="00C07192">
        <w:rPr>
          <w:szCs w:val="24"/>
        </w:rPr>
        <w:t>mendments)</w:t>
      </w:r>
      <w:r w:rsidR="00935D8F" w:rsidRPr="00C07192">
        <w:rPr>
          <w:i/>
          <w:szCs w:val="24"/>
        </w:rPr>
        <w:t xml:space="preserve"> </w:t>
      </w:r>
      <w:r w:rsidR="00935D8F" w:rsidRPr="00C07192">
        <w:rPr>
          <w:szCs w:val="24"/>
        </w:rPr>
        <w:t>and</w:t>
      </w:r>
      <w:r w:rsidR="00935D8F" w:rsidRPr="00C07192">
        <w:rPr>
          <w:i/>
          <w:szCs w:val="24"/>
        </w:rPr>
        <w:t xml:space="preserve"> </w:t>
      </w:r>
      <w:r w:rsidR="00935D8F" w:rsidRPr="00C07192">
        <w:rPr>
          <w:szCs w:val="24"/>
        </w:rPr>
        <w:t xml:space="preserve">the </w:t>
      </w:r>
      <w:r w:rsidR="00935D8F" w:rsidRPr="00C07192">
        <w:rPr>
          <w:i/>
          <w:szCs w:val="24"/>
        </w:rPr>
        <w:t>Therapeutic Goods Amendment Regulations 2010 (No. 1)</w:t>
      </w:r>
      <w:r w:rsidR="00935D8F" w:rsidRPr="00C07192">
        <w:rPr>
          <w:szCs w:val="24"/>
        </w:rPr>
        <w:t xml:space="preserve"> (the 2010 TG Amendments).  </w:t>
      </w:r>
    </w:p>
    <w:p w:rsidR="00AA5F38" w:rsidRPr="00C07192" w:rsidRDefault="00AA5F38" w:rsidP="00641B61">
      <w:pPr>
        <w:ind w:right="-46"/>
      </w:pPr>
    </w:p>
    <w:p w:rsidR="006120B9" w:rsidRPr="00C07192" w:rsidRDefault="00B63488" w:rsidP="00641B61">
      <w:pPr>
        <w:ind w:right="-46"/>
      </w:pPr>
      <w:r w:rsidRPr="00C07192">
        <w:t xml:space="preserve">As </w:t>
      </w:r>
      <w:r w:rsidR="00D11D00" w:rsidRPr="00C07192">
        <w:t xml:space="preserve">the amendments in Schedules 1 and 2 of the </w:t>
      </w:r>
      <w:r w:rsidR="00952F32">
        <w:t>r</w:t>
      </w:r>
      <w:r w:rsidR="00D11D00" w:rsidRPr="00C07192">
        <w:t>egulations above</w:t>
      </w:r>
      <w:r w:rsidRPr="00C07192">
        <w:t xml:space="preserve"> extend the previous transitional arrangements </w:t>
      </w:r>
      <w:r w:rsidR="00C30D5F" w:rsidRPr="00C07192">
        <w:t xml:space="preserve">set out in </w:t>
      </w:r>
      <w:r w:rsidR="00D11D00" w:rsidRPr="00C07192">
        <w:t xml:space="preserve">the 2010 MD Amendments and in the 2010 TG Amendments </w:t>
      </w:r>
      <w:r w:rsidR="00935D8F" w:rsidRPr="00C07192">
        <w:t>from 1 July 2014</w:t>
      </w:r>
      <w:r w:rsidR="00C30D5F" w:rsidRPr="00C07192">
        <w:t>, it is no longer necessary for them to continue.</w:t>
      </w:r>
      <w:r w:rsidR="0003252A" w:rsidRPr="00C07192">
        <w:t xml:space="preserve">  </w:t>
      </w:r>
    </w:p>
    <w:p w:rsidR="006120B9" w:rsidRPr="00C07192" w:rsidRDefault="006120B9" w:rsidP="00641B61">
      <w:pPr>
        <w:ind w:right="-46"/>
      </w:pPr>
    </w:p>
    <w:p w:rsidR="00EE5D02" w:rsidRDefault="0003252A" w:rsidP="00641B61">
      <w:pPr>
        <w:ind w:right="-46"/>
      </w:pPr>
      <w:r w:rsidRPr="00C07192">
        <w:t xml:space="preserve">The repeal operates from the end of the day on 30 June 2014 to ensure </w:t>
      </w:r>
      <w:r w:rsidR="008477D7">
        <w:t xml:space="preserve">that </w:t>
      </w:r>
      <w:r w:rsidRPr="00C07192">
        <w:t xml:space="preserve">there is no overlap </w:t>
      </w:r>
      <w:r w:rsidR="008477D7">
        <w:t xml:space="preserve">of those 2010 amendments </w:t>
      </w:r>
      <w:r w:rsidRPr="00C07192">
        <w:t>with the</w:t>
      </w:r>
      <w:r w:rsidR="008477D7">
        <w:t>se new</w:t>
      </w:r>
      <w:r w:rsidRPr="00C07192">
        <w:t xml:space="preserve"> amendments </w:t>
      </w:r>
      <w:r w:rsidR="00935D8F" w:rsidRPr="00C07192">
        <w:t xml:space="preserve">to </w:t>
      </w:r>
      <w:r w:rsidR="005E6CB5" w:rsidRPr="00C07192">
        <w:t xml:space="preserve">the </w:t>
      </w:r>
      <w:r w:rsidR="008477D7" w:rsidRPr="008258D9">
        <w:rPr>
          <w:i/>
          <w:szCs w:val="24"/>
        </w:rPr>
        <w:t xml:space="preserve">Therapeutic Goods (Medical Devices) Regulations </w:t>
      </w:r>
      <w:r w:rsidR="008477D7" w:rsidRPr="008477D7">
        <w:rPr>
          <w:szCs w:val="24"/>
        </w:rPr>
        <w:t>2002</w:t>
      </w:r>
      <w:r w:rsidR="008477D7">
        <w:rPr>
          <w:szCs w:val="24"/>
        </w:rPr>
        <w:t xml:space="preserve"> (</w:t>
      </w:r>
      <w:r w:rsidR="00935D8F" w:rsidRPr="008477D7">
        <w:t>in</w:t>
      </w:r>
      <w:r w:rsidR="00935D8F" w:rsidRPr="00C07192">
        <w:t xml:space="preserve"> Schedule 1 </w:t>
      </w:r>
      <w:r w:rsidR="008477D7">
        <w:t xml:space="preserve">above) </w:t>
      </w:r>
      <w:r w:rsidR="00935D8F" w:rsidRPr="00C07192">
        <w:t xml:space="preserve">and </w:t>
      </w:r>
      <w:r w:rsidR="005E6CB5" w:rsidRPr="00C07192">
        <w:t xml:space="preserve">the </w:t>
      </w:r>
      <w:r w:rsidR="005E6CB5" w:rsidRPr="008477D7">
        <w:rPr>
          <w:i/>
        </w:rPr>
        <w:t>Therapeutic Goods Regulations 1990</w:t>
      </w:r>
      <w:r w:rsidR="005E6CB5" w:rsidRPr="00C07192">
        <w:t xml:space="preserve"> </w:t>
      </w:r>
      <w:r w:rsidR="008477D7">
        <w:t>(</w:t>
      </w:r>
      <w:r w:rsidR="00935D8F" w:rsidRPr="00C07192">
        <w:t>in Schedule 2</w:t>
      </w:r>
      <w:r w:rsidR="00D11D00" w:rsidRPr="00C07192">
        <w:t xml:space="preserve"> </w:t>
      </w:r>
      <w:r w:rsidR="008477D7">
        <w:t>above)</w:t>
      </w:r>
      <w:r w:rsidR="00952F32">
        <w:t>.  The effect is</w:t>
      </w:r>
      <w:r w:rsidR="00935D8F" w:rsidRPr="00C07192">
        <w:t xml:space="preserve"> that the transitional devices that were not included in the Register </w:t>
      </w:r>
      <w:r w:rsidR="00D11D00" w:rsidRPr="00C07192">
        <w:t xml:space="preserve">under Chapter 4 of the Act </w:t>
      </w:r>
      <w:r w:rsidR="00935D8F" w:rsidRPr="00C07192">
        <w:t>between 1 July 2010 and 30 June 2014 or in relation to which</w:t>
      </w:r>
      <w:r w:rsidR="00DC1E18" w:rsidRPr="00C07192">
        <w:t xml:space="preserve"> a decision to reject</w:t>
      </w:r>
      <w:r w:rsidR="00935D8F" w:rsidRPr="00C07192">
        <w:t xml:space="preserve"> an application </w:t>
      </w:r>
      <w:r w:rsidR="00D11D00" w:rsidRPr="00C07192">
        <w:t xml:space="preserve">for inclusion in the Register </w:t>
      </w:r>
      <w:r w:rsidR="00935D8F" w:rsidRPr="00C07192">
        <w:t xml:space="preserve">was finally determined during that period, are covered by the amendments made by Division 11.1 of Part 11 of the </w:t>
      </w:r>
      <w:r w:rsidR="008258D9" w:rsidRPr="008258D9">
        <w:rPr>
          <w:i/>
          <w:szCs w:val="24"/>
        </w:rPr>
        <w:t>Therapeutic Goods (Medical Devices) Regulations 2002</w:t>
      </w:r>
      <w:r w:rsidR="00935D8F" w:rsidRPr="00C07192">
        <w:t xml:space="preserve"> and Division 1 of Part 9 of the Therapeutic Goods Regulations 1990.</w:t>
      </w:r>
    </w:p>
    <w:p w:rsidR="00C26CBE" w:rsidRDefault="00C26CBE">
      <w:r>
        <w:br w:type="page"/>
      </w:r>
    </w:p>
    <w:p w:rsidR="00C26CBE" w:rsidRDefault="00C26CBE" w:rsidP="00C26CBE">
      <w:pPr>
        <w:spacing w:before="360" w:after="120"/>
        <w:ind w:right="-46"/>
        <w:jc w:val="center"/>
        <w:rPr>
          <w:b/>
          <w:sz w:val="28"/>
          <w:szCs w:val="28"/>
        </w:rPr>
      </w:pPr>
      <w:r>
        <w:rPr>
          <w:b/>
          <w:sz w:val="28"/>
          <w:szCs w:val="28"/>
        </w:rPr>
        <w:t>Statement of Compatibility with Human Rights</w:t>
      </w:r>
    </w:p>
    <w:p w:rsidR="00C26CBE" w:rsidRDefault="00C26CBE" w:rsidP="00C26CBE">
      <w:pPr>
        <w:spacing w:before="120" w:after="120"/>
        <w:ind w:right="-46"/>
        <w:jc w:val="center"/>
        <w:rPr>
          <w:szCs w:val="24"/>
        </w:rPr>
      </w:pPr>
      <w:r>
        <w:rPr>
          <w:i/>
          <w:szCs w:val="24"/>
        </w:rPr>
        <w:t>Prepared in accordance with Part 3 of the Human Rights (Parliamentary Scrutiny) Act 2011</w:t>
      </w:r>
    </w:p>
    <w:p w:rsidR="00C26CBE" w:rsidRDefault="00C26CBE" w:rsidP="00C26CBE">
      <w:pPr>
        <w:spacing w:before="120" w:after="120"/>
        <w:ind w:right="-46"/>
        <w:jc w:val="center"/>
        <w:rPr>
          <w:szCs w:val="24"/>
        </w:rPr>
      </w:pPr>
    </w:p>
    <w:p w:rsidR="00C26CBE" w:rsidRDefault="00C26CBE" w:rsidP="00C26CBE">
      <w:pPr>
        <w:spacing w:before="120" w:after="120"/>
        <w:ind w:right="-46"/>
        <w:jc w:val="center"/>
        <w:rPr>
          <w:b/>
          <w:szCs w:val="24"/>
        </w:rPr>
      </w:pPr>
      <w:r>
        <w:rPr>
          <w:b/>
          <w:szCs w:val="24"/>
        </w:rPr>
        <w:t>Therapeutic Goods Legislation Amendment (In Vitro Diagnostic Medical Devices) Regulation 2014</w:t>
      </w:r>
    </w:p>
    <w:p w:rsidR="00C26CBE" w:rsidRDefault="00C26CBE" w:rsidP="00C26CBE">
      <w:pPr>
        <w:spacing w:before="120" w:after="120"/>
        <w:ind w:right="-46"/>
        <w:jc w:val="center"/>
        <w:rPr>
          <w:szCs w:val="24"/>
        </w:rPr>
      </w:pPr>
    </w:p>
    <w:p w:rsidR="00C26CBE" w:rsidRDefault="00C26CBE" w:rsidP="00C26CBE">
      <w:pPr>
        <w:spacing w:before="120" w:after="120"/>
        <w:ind w:right="-46"/>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C26CBE" w:rsidRDefault="00C26CBE" w:rsidP="00C26CBE">
      <w:pPr>
        <w:spacing w:before="120" w:after="120"/>
        <w:ind w:right="-46"/>
        <w:jc w:val="both"/>
        <w:rPr>
          <w:b/>
          <w:szCs w:val="24"/>
        </w:rPr>
      </w:pPr>
      <w:r>
        <w:rPr>
          <w:b/>
          <w:szCs w:val="24"/>
        </w:rPr>
        <w:t>Overview of the Legislative Instrument</w:t>
      </w:r>
    </w:p>
    <w:p w:rsidR="00C26CBE" w:rsidRDefault="00C26CBE" w:rsidP="00C26CBE">
      <w:pPr>
        <w:spacing w:before="120" w:after="120"/>
        <w:ind w:right="-46"/>
        <w:rPr>
          <w:szCs w:val="24"/>
        </w:rPr>
      </w:pPr>
      <w:r>
        <w:rPr>
          <w:szCs w:val="24"/>
        </w:rPr>
        <w:t xml:space="preserve">The </w:t>
      </w:r>
      <w:r>
        <w:rPr>
          <w:i/>
          <w:szCs w:val="24"/>
        </w:rPr>
        <w:t xml:space="preserve">Therapeutic Goods Legislation Amendment (In Vitro Diagnostic Medical Devices) Regulation 2014 </w:t>
      </w:r>
      <w:r>
        <w:rPr>
          <w:szCs w:val="24"/>
        </w:rPr>
        <w:t xml:space="preserve">(the Amendment Regulation) is made under subsection 63(1) of the </w:t>
      </w:r>
      <w:r>
        <w:rPr>
          <w:i/>
          <w:szCs w:val="24"/>
        </w:rPr>
        <w:t>Therapeutic Goods Act 1989</w:t>
      </w:r>
      <w:r>
        <w:rPr>
          <w:szCs w:val="24"/>
        </w:rPr>
        <w:t xml:space="preserve"> (the Act). In vitro diagnostic medical devices (IVDs) are medical devices intended by their manufacturer to be used in vitro (i.e. “in glass”) for the examination of specimens from the human body. Typically, they are commercial products or tests that have been developed ‘in-house’ by a laboratory.</w:t>
      </w:r>
    </w:p>
    <w:p w:rsidR="00C26CBE" w:rsidRDefault="00C26CBE" w:rsidP="00C26CBE">
      <w:pPr>
        <w:spacing w:before="120" w:after="120"/>
        <w:ind w:right="-46"/>
        <w:rPr>
          <w:szCs w:val="24"/>
        </w:rPr>
      </w:pPr>
      <w:r>
        <w:rPr>
          <w:szCs w:val="24"/>
        </w:rPr>
        <w:t xml:space="preserve">On 1 July 2010 a new, tailored framework for IVDs was introduced through amendments to the </w:t>
      </w:r>
      <w:r w:rsidRPr="00EE206D">
        <w:rPr>
          <w:i/>
          <w:szCs w:val="24"/>
        </w:rPr>
        <w:t>Therapeutic Goods (Medical Devices) Regulations 2002</w:t>
      </w:r>
      <w:r>
        <w:rPr>
          <w:szCs w:val="24"/>
        </w:rPr>
        <w:t xml:space="preserve"> (the Principal Regulations), under which these products </w:t>
      </w:r>
      <w:r w:rsidR="0067233C">
        <w:rPr>
          <w:szCs w:val="24"/>
        </w:rPr>
        <w:t>are</w:t>
      </w:r>
      <w:r>
        <w:rPr>
          <w:szCs w:val="24"/>
        </w:rPr>
        <w:t xml:space="preserve"> regulated as medical devices under Chapter 4 of the Act (previously they had been regulated as therapeutic devices under Part 3-2 of the Act).  At the same time, amendments were also made to the </w:t>
      </w:r>
      <w:r w:rsidRPr="00EE206D">
        <w:rPr>
          <w:i/>
          <w:szCs w:val="24"/>
        </w:rPr>
        <w:t>Therapeutic Goods Regulations 1990</w:t>
      </w:r>
      <w:r>
        <w:rPr>
          <w:szCs w:val="24"/>
        </w:rPr>
        <w:t xml:space="preserve"> (the TG Regulations), consequential on the introduction of the new framework. IVDs in existence immediately before 1 July 2010, and in-house IVDs coming into existence between 1 July 2010 and 30 June 2014, were given up to 30 June 2014 to transition to the new framework.  </w:t>
      </w:r>
    </w:p>
    <w:p w:rsidR="00C26CBE" w:rsidRDefault="00C26CBE" w:rsidP="00C26CBE">
      <w:pPr>
        <w:spacing w:before="120" w:after="120"/>
        <w:ind w:right="-46"/>
        <w:rPr>
          <w:szCs w:val="24"/>
        </w:rPr>
      </w:pPr>
      <w:r>
        <w:rPr>
          <w:szCs w:val="24"/>
        </w:rPr>
        <w:t>It has become apparent that there is a need for additional time to assist sponsors and manufacturers of IVDs to successfully migrate to the new framework, including for manufacturers to compile the full range of documentation needed to support the safety and performance of their devices.</w:t>
      </w:r>
    </w:p>
    <w:p w:rsidR="00C26CBE" w:rsidRDefault="00C26CBE" w:rsidP="00C26CBE">
      <w:pPr>
        <w:spacing w:before="120" w:after="120"/>
        <w:ind w:right="-46"/>
        <w:rPr>
          <w:szCs w:val="24"/>
        </w:rPr>
      </w:pPr>
      <w:r>
        <w:rPr>
          <w:szCs w:val="24"/>
        </w:rPr>
        <w:t>The purpose of the Amendment Regulation is to amend the Principal Regulations to extend the current transitional arrangements for IVDs (with some minor changes), with special provisions for IVDs for which, under the Act, a conformity assessment certificate is required to be issued by the Therapeutic Goods Administration (TGA) before an application for marketing approval for the IVD can be made to the TGA. The Amendment Regulation also make</w:t>
      </w:r>
      <w:r w:rsidR="0067233C">
        <w:rPr>
          <w:szCs w:val="24"/>
        </w:rPr>
        <w:t>s</w:t>
      </w:r>
      <w:r>
        <w:rPr>
          <w:szCs w:val="24"/>
        </w:rPr>
        <w:t xml:space="preserve"> a small number of amendments to the TG Regulations consequential on that extension.</w:t>
      </w:r>
    </w:p>
    <w:p w:rsidR="00C26CBE" w:rsidRDefault="00C26CBE" w:rsidP="00C26CBE">
      <w:pPr>
        <w:spacing w:before="120" w:after="120"/>
        <w:ind w:right="-46"/>
        <w:rPr>
          <w:b/>
          <w:szCs w:val="24"/>
        </w:rPr>
      </w:pPr>
      <w:r>
        <w:rPr>
          <w:b/>
          <w:szCs w:val="24"/>
        </w:rPr>
        <w:t>Human rights implications</w:t>
      </w:r>
    </w:p>
    <w:p w:rsidR="00C26CBE" w:rsidRDefault="00C26CBE" w:rsidP="00C26CBE">
      <w:pPr>
        <w:ind w:right="-46"/>
        <w:rPr>
          <w:szCs w:val="24"/>
        </w:rPr>
      </w:pPr>
      <w:r>
        <w:rPr>
          <w:szCs w:val="24"/>
        </w:rPr>
        <w:t>As the Amendment Regulation does not introduce any changes to the Principal Regulations other than to implement the change mentioned above, it does not engage any of the applicable rights or freedoms.</w:t>
      </w:r>
    </w:p>
    <w:p w:rsidR="00C26CBE" w:rsidRDefault="00C26CBE" w:rsidP="00C26CBE">
      <w:pPr>
        <w:spacing w:before="120" w:after="120"/>
        <w:ind w:right="-46"/>
        <w:rPr>
          <w:b/>
          <w:szCs w:val="24"/>
        </w:rPr>
      </w:pPr>
      <w:r>
        <w:rPr>
          <w:b/>
          <w:szCs w:val="24"/>
        </w:rPr>
        <w:t>Conclusion</w:t>
      </w:r>
    </w:p>
    <w:p w:rsidR="00C26CBE" w:rsidRDefault="00C26CBE" w:rsidP="00C26CBE">
      <w:pPr>
        <w:spacing w:before="120" w:after="120"/>
        <w:ind w:right="-46"/>
        <w:rPr>
          <w:szCs w:val="24"/>
        </w:rPr>
      </w:pPr>
      <w:r>
        <w:rPr>
          <w:szCs w:val="24"/>
        </w:rPr>
        <w:t>This legislative instrument is compatible with human rights as it does not raise any human rights issues.</w:t>
      </w:r>
    </w:p>
    <w:p w:rsidR="00C26CBE" w:rsidRDefault="00C26CBE" w:rsidP="00C26CBE">
      <w:pPr>
        <w:spacing w:before="120" w:after="120"/>
        <w:ind w:right="-46"/>
        <w:jc w:val="center"/>
        <w:rPr>
          <w:b/>
          <w:szCs w:val="24"/>
        </w:rPr>
      </w:pPr>
      <w:r>
        <w:rPr>
          <w:b/>
          <w:szCs w:val="24"/>
        </w:rPr>
        <w:t>Fiona Nash</w:t>
      </w:r>
    </w:p>
    <w:p w:rsidR="00820F1F" w:rsidRDefault="00C26CBE" w:rsidP="00C26CBE">
      <w:pPr>
        <w:spacing w:before="120" w:after="120"/>
        <w:ind w:right="-46"/>
        <w:jc w:val="center"/>
      </w:pPr>
      <w:r>
        <w:rPr>
          <w:b/>
          <w:szCs w:val="24"/>
        </w:rPr>
        <w:t>Assistant Minister for Health</w:t>
      </w:r>
    </w:p>
    <w:sectPr w:rsidR="00820F1F" w:rsidSect="00FA31AE">
      <w:pgSz w:w="11906" w:h="16838"/>
      <w:pgMar w:top="1304" w:right="1440" w:bottom="130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08" w:rsidRDefault="009A2C08" w:rsidP="00A2299B">
      <w:r>
        <w:separator/>
      </w:r>
    </w:p>
  </w:endnote>
  <w:endnote w:type="continuationSeparator" w:id="0">
    <w:p w:rsidR="009A2C08" w:rsidRDefault="009A2C08"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08" w:rsidRDefault="009A2C08" w:rsidP="00A2299B">
      <w:r>
        <w:separator/>
      </w:r>
    </w:p>
  </w:footnote>
  <w:footnote w:type="continuationSeparator" w:id="0">
    <w:p w:rsidR="009A2C08" w:rsidRDefault="009A2C08" w:rsidP="00A2299B">
      <w:r>
        <w:continuationSeparator/>
      </w:r>
    </w:p>
  </w:footnote>
  <w:footnote w:id="1">
    <w:p w:rsidR="00E25FCB" w:rsidRDefault="00E25FCB" w:rsidP="00A468E7">
      <w:pPr>
        <w:pStyle w:val="FootnoteText"/>
      </w:pPr>
      <w:r>
        <w:rPr>
          <w:rStyle w:val="FootnoteReference"/>
        </w:rPr>
        <w:footnoteRef/>
      </w:r>
      <w:r>
        <w:t xml:space="preserve"> </w:t>
      </w:r>
      <w:r>
        <w:rPr>
          <w:szCs w:val="24"/>
        </w:rPr>
        <w:t xml:space="preserve">Regulation 4.1 of the Principal Regulations sets out which IVDs are required to have a conformity assessment certificate issued before an application for their inclusion in the Register can be made.  They include any IVDs manufactured in Australia (other than Class 1 IVDs and Class 1-3 in-house IVDs (see regulation 4.1(1) and (3)) and Class 4 IVDs and Class 4 in house IVDs (see regulation 4.1(2)(e)). </w:t>
      </w:r>
    </w:p>
  </w:footnote>
  <w:footnote w:id="2">
    <w:p w:rsidR="00E25FCB" w:rsidRDefault="00E25FCB" w:rsidP="00D66C5A">
      <w:pPr>
        <w:ind w:right="-46"/>
      </w:pPr>
      <w:r>
        <w:rPr>
          <w:rStyle w:val="FootnoteReference"/>
        </w:rPr>
        <w:footnoteRef/>
      </w:r>
      <w:r>
        <w:t xml:space="preserve"> </w:t>
      </w:r>
      <w:r w:rsidRPr="00D66C5A">
        <w:rPr>
          <w:sz w:val="20"/>
        </w:rPr>
        <w:t xml:space="preserve">Under </w:t>
      </w:r>
      <w:r>
        <w:rPr>
          <w:sz w:val="20"/>
        </w:rPr>
        <w:t>s</w:t>
      </w:r>
      <w:r w:rsidRPr="00D66C5A">
        <w:rPr>
          <w:sz w:val="20"/>
        </w:rPr>
        <w:t>ubsec</w:t>
      </w:r>
      <w:r>
        <w:rPr>
          <w:sz w:val="20"/>
        </w:rPr>
        <w:t xml:space="preserve">tion 41EB(2) of the Act, </w:t>
      </w:r>
      <w:r w:rsidRPr="00D66C5A">
        <w:rPr>
          <w:sz w:val="20"/>
        </w:rPr>
        <w:t xml:space="preserve">an effective application for a conformity assessment certificate </w:t>
      </w:r>
      <w:r>
        <w:rPr>
          <w:sz w:val="20"/>
        </w:rPr>
        <w:t>is one that</w:t>
      </w:r>
      <w:r w:rsidRPr="00D66C5A">
        <w:rPr>
          <w:sz w:val="20"/>
        </w:rPr>
        <w:t xml:space="preserve"> does not contain information that is false or misleading</w:t>
      </w:r>
      <w:r>
        <w:rPr>
          <w:sz w:val="20"/>
        </w:rPr>
        <w:t xml:space="preserve">, and where the </w:t>
      </w:r>
      <w:r w:rsidRPr="00D66C5A">
        <w:rPr>
          <w:sz w:val="20"/>
        </w:rPr>
        <w:t>application fee has been paid.</w:t>
      </w:r>
    </w:p>
  </w:footnote>
  <w:footnote w:id="3">
    <w:p w:rsidR="00E25FCB" w:rsidRDefault="00E25FCB" w:rsidP="00203990">
      <w:pPr>
        <w:ind w:right="-46"/>
      </w:pPr>
      <w:r>
        <w:rPr>
          <w:rStyle w:val="FootnoteReference"/>
        </w:rPr>
        <w:footnoteRef/>
      </w:r>
      <w:r>
        <w:t xml:space="preserve"> </w:t>
      </w:r>
      <w:r>
        <w:rPr>
          <w:sz w:val="20"/>
        </w:rPr>
        <w:t>Under s</w:t>
      </w:r>
      <w:r w:rsidRPr="00D66C5A">
        <w:rPr>
          <w:sz w:val="20"/>
        </w:rPr>
        <w:t xml:space="preserve">ubsection </w:t>
      </w:r>
      <w:r>
        <w:rPr>
          <w:sz w:val="20"/>
        </w:rPr>
        <w:t>41FC(2) of the Act, an effective application for the inclusion of a kind of medical device in the Register is, principally, one that does not contain any information that is false or misleading, that utilises the approved form and where the prescribed application fee is paid.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E25FCB" w:rsidRDefault="00E25FCB">
        <w:pPr>
          <w:pStyle w:val="Header"/>
          <w:jc w:val="center"/>
        </w:pPr>
        <w:r>
          <w:fldChar w:fldCharType="begin"/>
        </w:r>
        <w:r>
          <w:instrText xml:space="preserve"> PAGE   \* MERGEFORMAT </w:instrText>
        </w:r>
        <w:r>
          <w:fldChar w:fldCharType="separate"/>
        </w:r>
        <w:r w:rsidR="00BE0C52">
          <w:rPr>
            <w:noProof/>
          </w:rPr>
          <w:t>14</w:t>
        </w:r>
        <w:r>
          <w:rPr>
            <w:noProof/>
          </w:rPr>
          <w:fldChar w:fldCharType="end"/>
        </w:r>
      </w:p>
    </w:sdtContent>
  </w:sdt>
  <w:p w:rsidR="00E25FCB" w:rsidRDefault="00E25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9375E"/>
    <w:multiLevelType w:val="hybridMultilevel"/>
    <w:tmpl w:val="826C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D064BE"/>
    <w:multiLevelType w:val="hybridMultilevel"/>
    <w:tmpl w:val="4270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5C2B4F"/>
    <w:multiLevelType w:val="hybridMultilevel"/>
    <w:tmpl w:val="4F22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37312C"/>
    <w:multiLevelType w:val="hybridMultilevel"/>
    <w:tmpl w:val="5A1C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CE059C"/>
    <w:multiLevelType w:val="hybridMultilevel"/>
    <w:tmpl w:val="A15A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4A17E4"/>
    <w:multiLevelType w:val="hybridMultilevel"/>
    <w:tmpl w:val="818A102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A9C2800"/>
    <w:multiLevelType w:val="hybridMultilevel"/>
    <w:tmpl w:val="2BAC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AF3853"/>
    <w:multiLevelType w:val="hybridMultilevel"/>
    <w:tmpl w:val="F84A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93179F"/>
    <w:multiLevelType w:val="hybridMultilevel"/>
    <w:tmpl w:val="AB42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5B32BD"/>
    <w:multiLevelType w:val="hybridMultilevel"/>
    <w:tmpl w:val="9120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034500"/>
    <w:multiLevelType w:val="hybridMultilevel"/>
    <w:tmpl w:val="BEEC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BB428D"/>
    <w:multiLevelType w:val="hybridMultilevel"/>
    <w:tmpl w:val="D04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1F7319"/>
    <w:multiLevelType w:val="hybridMultilevel"/>
    <w:tmpl w:val="BED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D9157D"/>
    <w:multiLevelType w:val="hybridMultilevel"/>
    <w:tmpl w:val="1F9871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4">
    <w:nsid w:val="5B033BA3"/>
    <w:multiLevelType w:val="hybridMultilevel"/>
    <w:tmpl w:val="4CC6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C0C7945"/>
    <w:multiLevelType w:val="hybridMultilevel"/>
    <w:tmpl w:val="46A0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4A4ABD"/>
    <w:multiLevelType w:val="hybridMultilevel"/>
    <w:tmpl w:val="00E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8C649B"/>
    <w:multiLevelType w:val="hybridMultilevel"/>
    <w:tmpl w:val="D542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E90763"/>
    <w:multiLevelType w:val="hybridMultilevel"/>
    <w:tmpl w:val="2A70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095129"/>
    <w:multiLevelType w:val="hybridMultilevel"/>
    <w:tmpl w:val="BFAE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7F20CA"/>
    <w:multiLevelType w:val="hybridMultilevel"/>
    <w:tmpl w:val="1C5416E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nsid w:val="658615C7"/>
    <w:multiLevelType w:val="hybridMultilevel"/>
    <w:tmpl w:val="5CC0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2D23271"/>
    <w:multiLevelType w:val="hybridMultilevel"/>
    <w:tmpl w:val="9D46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7851C4"/>
    <w:multiLevelType w:val="hybridMultilevel"/>
    <w:tmpl w:val="1DDE3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721CD1"/>
    <w:multiLevelType w:val="hybridMultilevel"/>
    <w:tmpl w:val="5D4E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AF09A8"/>
    <w:multiLevelType w:val="hybridMultilevel"/>
    <w:tmpl w:val="56DA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4"/>
  </w:num>
  <w:num w:numId="4">
    <w:abstractNumId w:val="25"/>
  </w:num>
  <w:num w:numId="5">
    <w:abstractNumId w:val="0"/>
  </w:num>
  <w:num w:numId="6">
    <w:abstractNumId w:val="11"/>
  </w:num>
  <w:num w:numId="7">
    <w:abstractNumId w:val="4"/>
  </w:num>
  <w:num w:numId="8">
    <w:abstractNumId w:val="33"/>
  </w:num>
  <w:num w:numId="9">
    <w:abstractNumId w:val="9"/>
  </w:num>
  <w:num w:numId="10">
    <w:abstractNumId w:val="2"/>
  </w:num>
  <w:num w:numId="11">
    <w:abstractNumId w:val="3"/>
  </w:num>
  <w:num w:numId="12">
    <w:abstractNumId w:val="6"/>
  </w:num>
  <w:num w:numId="13">
    <w:abstractNumId w:val="15"/>
  </w:num>
  <w:num w:numId="14">
    <w:abstractNumId w:val="20"/>
  </w:num>
  <w:num w:numId="15">
    <w:abstractNumId w:val="24"/>
  </w:num>
  <w:num w:numId="16">
    <w:abstractNumId w:val="35"/>
  </w:num>
  <w:num w:numId="17">
    <w:abstractNumId w:val="31"/>
  </w:num>
  <w:num w:numId="18">
    <w:abstractNumId w:val="1"/>
  </w:num>
  <w:num w:numId="19">
    <w:abstractNumId w:val="38"/>
  </w:num>
  <w:num w:numId="20">
    <w:abstractNumId w:val="17"/>
  </w:num>
  <w:num w:numId="21">
    <w:abstractNumId w:val="27"/>
  </w:num>
  <w:num w:numId="22">
    <w:abstractNumId w:val="8"/>
  </w:num>
  <w:num w:numId="23">
    <w:abstractNumId w:val="5"/>
  </w:num>
  <w:num w:numId="24">
    <w:abstractNumId w:val="18"/>
  </w:num>
  <w:num w:numId="25">
    <w:abstractNumId w:val="26"/>
  </w:num>
  <w:num w:numId="26">
    <w:abstractNumId w:val="21"/>
  </w:num>
  <w:num w:numId="27">
    <w:abstractNumId w:val="36"/>
  </w:num>
  <w:num w:numId="28">
    <w:abstractNumId w:val="14"/>
  </w:num>
  <w:num w:numId="29">
    <w:abstractNumId w:val="32"/>
  </w:num>
  <w:num w:numId="30">
    <w:abstractNumId w:val="7"/>
  </w:num>
  <w:num w:numId="31">
    <w:abstractNumId w:val="30"/>
  </w:num>
  <w:num w:numId="32">
    <w:abstractNumId w:val="29"/>
  </w:num>
  <w:num w:numId="33">
    <w:abstractNumId w:val="19"/>
  </w:num>
  <w:num w:numId="34">
    <w:abstractNumId w:val="16"/>
  </w:num>
  <w:num w:numId="35">
    <w:abstractNumId w:val="12"/>
  </w:num>
  <w:num w:numId="36">
    <w:abstractNumId w:val="13"/>
  </w:num>
  <w:num w:numId="37">
    <w:abstractNumId w:val="37"/>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27F9"/>
    <w:rsid w:val="00005F8F"/>
    <w:rsid w:val="00006EED"/>
    <w:rsid w:val="00010C71"/>
    <w:rsid w:val="00010DF5"/>
    <w:rsid w:val="0001133E"/>
    <w:rsid w:val="000149B5"/>
    <w:rsid w:val="000152C8"/>
    <w:rsid w:val="000164AB"/>
    <w:rsid w:val="00017619"/>
    <w:rsid w:val="00021505"/>
    <w:rsid w:val="00030D81"/>
    <w:rsid w:val="000311C1"/>
    <w:rsid w:val="0003252A"/>
    <w:rsid w:val="000333BF"/>
    <w:rsid w:val="00033A3A"/>
    <w:rsid w:val="00036391"/>
    <w:rsid w:val="00037882"/>
    <w:rsid w:val="0004282E"/>
    <w:rsid w:val="00042C23"/>
    <w:rsid w:val="00043D22"/>
    <w:rsid w:val="0004434A"/>
    <w:rsid w:val="000450DA"/>
    <w:rsid w:val="0004764F"/>
    <w:rsid w:val="00051E60"/>
    <w:rsid w:val="00051EAE"/>
    <w:rsid w:val="00056B7A"/>
    <w:rsid w:val="00056C5E"/>
    <w:rsid w:val="000605C4"/>
    <w:rsid w:val="00060820"/>
    <w:rsid w:val="000627DF"/>
    <w:rsid w:val="00063280"/>
    <w:rsid w:val="00064B21"/>
    <w:rsid w:val="00065C31"/>
    <w:rsid w:val="00066E1B"/>
    <w:rsid w:val="00066F7F"/>
    <w:rsid w:val="00070936"/>
    <w:rsid w:val="0007195A"/>
    <w:rsid w:val="000734F6"/>
    <w:rsid w:val="000748D7"/>
    <w:rsid w:val="000749D3"/>
    <w:rsid w:val="00075BB9"/>
    <w:rsid w:val="0007636B"/>
    <w:rsid w:val="000778B6"/>
    <w:rsid w:val="00080A30"/>
    <w:rsid w:val="00080DB1"/>
    <w:rsid w:val="00084325"/>
    <w:rsid w:val="0008546D"/>
    <w:rsid w:val="00087448"/>
    <w:rsid w:val="00087745"/>
    <w:rsid w:val="00087E80"/>
    <w:rsid w:val="00090014"/>
    <w:rsid w:val="00092711"/>
    <w:rsid w:val="000929E5"/>
    <w:rsid w:val="0009327C"/>
    <w:rsid w:val="00093D80"/>
    <w:rsid w:val="00094C30"/>
    <w:rsid w:val="0009563A"/>
    <w:rsid w:val="000957D5"/>
    <w:rsid w:val="0009764C"/>
    <w:rsid w:val="000A17B6"/>
    <w:rsid w:val="000A52E3"/>
    <w:rsid w:val="000A6A37"/>
    <w:rsid w:val="000A7306"/>
    <w:rsid w:val="000B0FF3"/>
    <w:rsid w:val="000B1535"/>
    <w:rsid w:val="000B380F"/>
    <w:rsid w:val="000B58BA"/>
    <w:rsid w:val="000C029A"/>
    <w:rsid w:val="000C3EAE"/>
    <w:rsid w:val="000C6B8D"/>
    <w:rsid w:val="000C7524"/>
    <w:rsid w:val="000D1AE9"/>
    <w:rsid w:val="000D44B8"/>
    <w:rsid w:val="000D572D"/>
    <w:rsid w:val="000D5BFD"/>
    <w:rsid w:val="000E1A7D"/>
    <w:rsid w:val="000E2076"/>
    <w:rsid w:val="000E3EF9"/>
    <w:rsid w:val="000E4581"/>
    <w:rsid w:val="000E5370"/>
    <w:rsid w:val="000E5994"/>
    <w:rsid w:val="000F1F48"/>
    <w:rsid w:val="000F2F45"/>
    <w:rsid w:val="000F486F"/>
    <w:rsid w:val="000F5D0F"/>
    <w:rsid w:val="001015DF"/>
    <w:rsid w:val="00101995"/>
    <w:rsid w:val="001044D1"/>
    <w:rsid w:val="0010512D"/>
    <w:rsid w:val="0010578D"/>
    <w:rsid w:val="001077EC"/>
    <w:rsid w:val="00113533"/>
    <w:rsid w:val="00113B45"/>
    <w:rsid w:val="00114FA4"/>
    <w:rsid w:val="001163EC"/>
    <w:rsid w:val="001174C9"/>
    <w:rsid w:val="00122539"/>
    <w:rsid w:val="00122C61"/>
    <w:rsid w:val="001242DF"/>
    <w:rsid w:val="00125550"/>
    <w:rsid w:val="0012593D"/>
    <w:rsid w:val="001270E0"/>
    <w:rsid w:val="001360A1"/>
    <w:rsid w:val="00137D24"/>
    <w:rsid w:val="0014095A"/>
    <w:rsid w:val="00141E8D"/>
    <w:rsid w:val="0015111A"/>
    <w:rsid w:val="00152885"/>
    <w:rsid w:val="00152A90"/>
    <w:rsid w:val="00153688"/>
    <w:rsid w:val="00153C58"/>
    <w:rsid w:val="00154185"/>
    <w:rsid w:val="001542B5"/>
    <w:rsid w:val="00156491"/>
    <w:rsid w:val="00162D8C"/>
    <w:rsid w:val="00163597"/>
    <w:rsid w:val="0016443B"/>
    <w:rsid w:val="00164764"/>
    <w:rsid w:val="001658E2"/>
    <w:rsid w:val="00165A6D"/>
    <w:rsid w:val="00170193"/>
    <w:rsid w:val="001756EF"/>
    <w:rsid w:val="00175A79"/>
    <w:rsid w:val="001766E6"/>
    <w:rsid w:val="00183016"/>
    <w:rsid w:val="001833D0"/>
    <w:rsid w:val="00185569"/>
    <w:rsid w:val="001878FC"/>
    <w:rsid w:val="00187972"/>
    <w:rsid w:val="00187FA7"/>
    <w:rsid w:val="0019006E"/>
    <w:rsid w:val="0019011B"/>
    <w:rsid w:val="00192250"/>
    <w:rsid w:val="00192453"/>
    <w:rsid w:val="0019271E"/>
    <w:rsid w:val="00193D79"/>
    <w:rsid w:val="001941C3"/>
    <w:rsid w:val="00196332"/>
    <w:rsid w:val="00196CD4"/>
    <w:rsid w:val="00197CC0"/>
    <w:rsid w:val="001A6C6D"/>
    <w:rsid w:val="001A7E8B"/>
    <w:rsid w:val="001B0143"/>
    <w:rsid w:val="001B107C"/>
    <w:rsid w:val="001B2B72"/>
    <w:rsid w:val="001B35DE"/>
    <w:rsid w:val="001B38E8"/>
    <w:rsid w:val="001B41BB"/>
    <w:rsid w:val="001B4812"/>
    <w:rsid w:val="001B48CD"/>
    <w:rsid w:val="001B50D1"/>
    <w:rsid w:val="001B6539"/>
    <w:rsid w:val="001C54E8"/>
    <w:rsid w:val="001C56A8"/>
    <w:rsid w:val="001C6DCC"/>
    <w:rsid w:val="001D0725"/>
    <w:rsid w:val="001D1FEB"/>
    <w:rsid w:val="001D2AEF"/>
    <w:rsid w:val="001D2E82"/>
    <w:rsid w:val="001D3C85"/>
    <w:rsid w:val="001D4588"/>
    <w:rsid w:val="001D711C"/>
    <w:rsid w:val="001D7E08"/>
    <w:rsid w:val="001E4B61"/>
    <w:rsid w:val="001E64D3"/>
    <w:rsid w:val="001E6A44"/>
    <w:rsid w:val="001E6CE5"/>
    <w:rsid w:val="001F1CD8"/>
    <w:rsid w:val="00201065"/>
    <w:rsid w:val="00202085"/>
    <w:rsid w:val="0020352D"/>
    <w:rsid w:val="002036F9"/>
    <w:rsid w:val="00203990"/>
    <w:rsid w:val="00203E51"/>
    <w:rsid w:val="00204A29"/>
    <w:rsid w:val="0020743D"/>
    <w:rsid w:val="00207993"/>
    <w:rsid w:val="002131AD"/>
    <w:rsid w:val="00213B8C"/>
    <w:rsid w:val="002153D5"/>
    <w:rsid w:val="002166C2"/>
    <w:rsid w:val="0021688E"/>
    <w:rsid w:val="00217465"/>
    <w:rsid w:val="00223A41"/>
    <w:rsid w:val="00224802"/>
    <w:rsid w:val="00224FD4"/>
    <w:rsid w:val="00231AE9"/>
    <w:rsid w:val="00232FF1"/>
    <w:rsid w:val="0023324E"/>
    <w:rsid w:val="002332E5"/>
    <w:rsid w:val="00235126"/>
    <w:rsid w:val="00240317"/>
    <w:rsid w:val="00241672"/>
    <w:rsid w:val="00241990"/>
    <w:rsid w:val="0024236D"/>
    <w:rsid w:val="00243557"/>
    <w:rsid w:val="00244673"/>
    <w:rsid w:val="00244753"/>
    <w:rsid w:val="0024495C"/>
    <w:rsid w:val="00244CF2"/>
    <w:rsid w:val="00245009"/>
    <w:rsid w:val="0024502F"/>
    <w:rsid w:val="00246AD2"/>
    <w:rsid w:val="00246AE2"/>
    <w:rsid w:val="00247B0A"/>
    <w:rsid w:val="00247FA8"/>
    <w:rsid w:val="00250391"/>
    <w:rsid w:val="002552F1"/>
    <w:rsid w:val="00264954"/>
    <w:rsid w:val="00266787"/>
    <w:rsid w:val="00270C51"/>
    <w:rsid w:val="00272E43"/>
    <w:rsid w:val="00273AEB"/>
    <w:rsid w:val="002747DD"/>
    <w:rsid w:val="00277CF1"/>
    <w:rsid w:val="00277E34"/>
    <w:rsid w:val="002810EE"/>
    <w:rsid w:val="00283A2F"/>
    <w:rsid w:val="00285D5D"/>
    <w:rsid w:val="002945AB"/>
    <w:rsid w:val="00295A1D"/>
    <w:rsid w:val="00296838"/>
    <w:rsid w:val="00296F8C"/>
    <w:rsid w:val="00297236"/>
    <w:rsid w:val="00297F4D"/>
    <w:rsid w:val="002A14C4"/>
    <w:rsid w:val="002A1A9E"/>
    <w:rsid w:val="002A351A"/>
    <w:rsid w:val="002A5AE1"/>
    <w:rsid w:val="002A5C3A"/>
    <w:rsid w:val="002A6FEA"/>
    <w:rsid w:val="002B3039"/>
    <w:rsid w:val="002B48E2"/>
    <w:rsid w:val="002B4E61"/>
    <w:rsid w:val="002C1A9B"/>
    <w:rsid w:val="002C1AFC"/>
    <w:rsid w:val="002C2885"/>
    <w:rsid w:val="002C3B9B"/>
    <w:rsid w:val="002C4271"/>
    <w:rsid w:val="002C4298"/>
    <w:rsid w:val="002C4D89"/>
    <w:rsid w:val="002C5267"/>
    <w:rsid w:val="002C5C61"/>
    <w:rsid w:val="002C60B6"/>
    <w:rsid w:val="002D1CBC"/>
    <w:rsid w:val="002D2863"/>
    <w:rsid w:val="002D58EC"/>
    <w:rsid w:val="002D5938"/>
    <w:rsid w:val="002D70E0"/>
    <w:rsid w:val="002E0B8C"/>
    <w:rsid w:val="002E1332"/>
    <w:rsid w:val="002E305D"/>
    <w:rsid w:val="002E568B"/>
    <w:rsid w:val="002E7414"/>
    <w:rsid w:val="002F3E9E"/>
    <w:rsid w:val="002F413F"/>
    <w:rsid w:val="00303FDF"/>
    <w:rsid w:val="00304C8B"/>
    <w:rsid w:val="0030598E"/>
    <w:rsid w:val="00311F0C"/>
    <w:rsid w:val="00313B30"/>
    <w:rsid w:val="00315C7A"/>
    <w:rsid w:val="003172AB"/>
    <w:rsid w:val="00320ABB"/>
    <w:rsid w:val="0032168C"/>
    <w:rsid w:val="00322D3A"/>
    <w:rsid w:val="00323171"/>
    <w:rsid w:val="0032581B"/>
    <w:rsid w:val="003261E6"/>
    <w:rsid w:val="00327722"/>
    <w:rsid w:val="0033580D"/>
    <w:rsid w:val="00335F54"/>
    <w:rsid w:val="00337CDA"/>
    <w:rsid w:val="003411ED"/>
    <w:rsid w:val="00342F0F"/>
    <w:rsid w:val="00344224"/>
    <w:rsid w:val="003442D9"/>
    <w:rsid w:val="003455DC"/>
    <w:rsid w:val="00346F25"/>
    <w:rsid w:val="00347FB1"/>
    <w:rsid w:val="003516DD"/>
    <w:rsid w:val="003625E5"/>
    <w:rsid w:val="0036468F"/>
    <w:rsid w:val="00364CA3"/>
    <w:rsid w:val="0036513C"/>
    <w:rsid w:val="00365402"/>
    <w:rsid w:val="003667E8"/>
    <w:rsid w:val="00376B26"/>
    <w:rsid w:val="00380326"/>
    <w:rsid w:val="00382ED9"/>
    <w:rsid w:val="003856A4"/>
    <w:rsid w:val="00387931"/>
    <w:rsid w:val="00391042"/>
    <w:rsid w:val="0039169F"/>
    <w:rsid w:val="00392C09"/>
    <w:rsid w:val="003A26DD"/>
    <w:rsid w:val="003A2845"/>
    <w:rsid w:val="003A45A9"/>
    <w:rsid w:val="003A4BB8"/>
    <w:rsid w:val="003A5272"/>
    <w:rsid w:val="003A5C6B"/>
    <w:rsid w:val="003A73CF"/>
    <w:rsid w:val="003A765C"/>
    <w:rsid w:val="003B2F54"/>
    <w:rsid w:val="003B3A6C"/>
    <w:rsid w:val="003B47E0"/>
    <w:rsid w:val="003C0AB4"/>
    <w:rsid w:val="003C1EDF"/>
    <w:rsid w:val="003C353C"/>
    <w:rsid w:val="003C4B49"/>
    <w:rsid w:val="003C4E57"/>
    <w:rsid w:val="003C72AF"/>
    <w:rsid w:val="003D1810"/>
    <w:rsid w:val="003D377F"/>
    <w:rsid w:val="003D39E7"/>
    <w:rsid w:val="003D3A61"/>
    <w:rsid w:val="003D3AD3"/>
    <w:rsid w:val="003D3F2F"/>
    <w:rsid w:val="003D5312"/>
    <w:rsid w:val="003D5AD5"/>
    <w:rsid w:val="003D6118"/>
    <w:rsid w:val="003E33C4"/>
    <w:rsid w:val="003E37AF"/>
    <w:rsid w:val="003E4FBA"/>
    <w:rsid w:val="003E6BDB"/>
    <w:rsid w:val="003F194C"/>
    <w:rsid w:val="003F7635"/>
    <w:rsid w:val="003F7719"/>
    <w:rsid w:val="004010C3"/>
    <w:rsid w:val="00402F4F"/>
    <w:rsid w:val="00403BA4"/>
    <w:rsid w:val="004078D3"/>
    <w:rsid w:val="0041039A"/>
    <w:rsid w:val="00415793"/>
    <w:rsid w:val="00415C2D"/>
    <w:rsid w:val="00417C2F"/>
    <w:rsid w:val="0042269B"/>
    <w:rsid w:val="004241E3"/>
    <w:rsid w:val="004278E1"/>
    <w:rsid w:val="00431600"/>
    <w:rsid w:val="00431FBB"/>
    <w:rsid w:val="00435078"/>
    <w:rsid w:val="004352DD"/>
    <w:rsid w:val="004366B4"/>
    <w:rsid w:val="00436721"/>
    <w:rsid w:val="004408A5"/>
    <w:rsid w:val="004419FE"/>
    <w:rsid w:val="0044252B"/>
    <w:rsid w:val="00443ABA"/>
    <w:rsid w:val="00445677"/>
    <w:rsid w:val="004463A1"/>
    <w:rsid w:val="004527C2"/>
    <w:rsid w:val="004548E3"/>
    <w:rsid w:val="00454FD6"/>
    <w:rsid w:val="004553EE"/>
    <w:rsid w:val="0046065D"/>
    <w:rsid w:val="00462276"/>
    <w:rsid w:val="00462FBF"/>
    <w:rsid w:val="0046430C"/>
    <w:rsid w:val="00470A7B"/>
    <w:rsid w:val="004728EB"/>
    <w:rsid w:val="00473809"/>
    <w:rsid w:val="00473C6E"/>
    <w:rsid w:val="00473E85"/>
    <w:rsid w:val="00476DEF"/>
    <w:rsid w:val="00482665"/>
    <w:rsid w:val="00484612"/>
    <w:rsid w:val="00487AA5"/>
    <w:rsid w:val="004906E3"/>
    <w:rsid w:val="00490A73"/>
    <w:rsid w:val="004947F7"/>
    <w:rsid w:val="004960B4"/>
    <w:rsid w:val="00497028"/>
    <w:rsid w:val="004A076C"/>
    <w:rsid w:val="004A1B01"/>
    <w:rsid w:val="004A1FC0"/>
    <w:rsid w:val="004A3CD3"/>
    <w:rsid w:val="004A52EC"/>
    <w:rsid w:val="004A53A0"/>
    <w:rsid w:val="004A5C83"/>
    <w:rsid w:val="004A6582"/>
    <w:rsid w:val="004B1338"/>
    <w:rsid w:val="004B1807"/>
    <w:rsid w:val="004B211D"/>
    <w:rsid w:val="004B285A"/>
    <w:rsid w:val="004B3993"/>
    <w:rsid w:val="004B3AD9"/>
    <w:rsid w:val="004B59FD"/>
    <w:rsid w:val="004B6251"/>
    <w:rsid w:val="004C1689"/>
    <w:rsid w:val="004C2476"/>
    <w:rsid w:val="004C4DD5"/>
    <w:rsid w:val="004C5C61"/>
    <w:rsid w:val="004C78AD"/>
    <w:rsid w:val="004D49E9"/>
    <w:rsid w:val="004D4F94"/>
    <w:rsid w:val="004D5566"/>
    <w:rsid w:val="004D7B80"/>
    <w:rsid w:val="004E2513"/>
    <w:rsid w:val="004E2B6C"/>
    <w:rsid w:val="004E2FFF"/>
    <w:rsid w:val="004E3A8A"/>
    <w:rsid w:val="004E658C"/>
    <w:rsid w:val="004E75C3"/>
    <w:rsid w:val="004F09F1"/>
    <w:rsid w:val="004F3B1A"/>
    <w:rsid w:val="00500F1D"/>
    <w:rsid w:val="0050217E"/>
    <w:rsid w:val="00506562"/>
    <w:rsid w:val="00506C06"/>
    <w:rsid w:val="00507967"/>
    <w:rsid w:val="00510644"/>
    <w:rsid w:val="00511863"/>
    <w:rsid w:val="00512873"/>
    <w:rsid w:val="005141F7"/>
    <w:rsid w:val="00514672"/>
    <w:rsid w:val="005167BF"/>
    <w:rsid w:val="00517846"/>
    <w:rsid w:val="005178B5"/>
    <w:rsid w:val="00517F2B"/>
    <w:rsid w:val="00522D42"/>
    <w:rsid w:val="00525607"/>
    <w:rsid w:val="0052564C"/>
    <w:rsid w:val="0052612F"/>
    <w:rsid w:val="00530A55"/>
    <w:rsid w:val="00530B7D"/>
    <w:rsid w:val="00530CFF"/>
    <w:rsid w:val="00531A46"/>
    <w:rsid w:val="005329D6"/>
    <w:rsid w:val="00534907"/>
    <w:rsid w:val="00537149"/>
    <w:rsid w:val="00537C85"/>
    <w:rsid w:val="00541077"/>
    <w:rsid w:val="005429E7"/>
    <w:rsid w:val="00542F8E"/>
    <w:rsid w:val="005446FF"/>
    <w:rsid w:val="00546208"/>
    <w:rsid w:val="0054771E"/>
    <w:rsid w:val="00550CC8"/>
    <w:rsid w:val="00560A37"/>
    <w:rsid w:val="00562B95"/>
    <w:rsid w:val="0056578D"/>
    <w:rsid w:val="00567B57"/>
    <w:rsid w:val="005713B2"/>
    <w:rsid w:val="00572DC2"/>
    <w:rsid w:val="00574D01"/>
    <w:rsid w:val="00575D61"/>
    <w:rsid w:val="00575EA8"/>
    <w:rsid w:val="00575F8F"/>
    <w:rsid w:val="0057784E"/>
    <w:rsid w:val="00577CA2"/>
    <w:rsid w:val="005815DD"/>
    <w:rsid w:val="0058175A"/>
    <w:rsid w:val="0058378B"/>
    <w:rsid w:val="005854EE"/>
    <w:rsid w:val="00585729"/>
    <w:rsid w:val="0058666F"/>
    <w:rsid w:val="00586D88"/>
    <w:rsid w:val="0059077B"/>
    <w:rsid w:val="0059172C"/>
    <w:rsid w:val="0059191E"/>
    <w:rsid w:val="00594F74"/>
    <w:rsid w:val="005951E7"/>
    <w:rsid w:val="005A054C"/>
    <w:rsid w:val="005A07DE"/>
    <w:rsid w:val="005B0F41"/>
    <w:rsid w:val="005B371D"/>
    <w:rsid w:val="005B4917"/>
    <w:rsid w:val="005B4ABF"/>
    <w:rsid w:val="005B4B18"/>
    <w:rsid w:val="005C0F6C"/>
    <w:rsid w:val="005C173B"/>
    <w:rsid w:val="005C1FA3"/>
    <w:rsid w:val="005C64EF"/>
    <w:rsid w:val="005D271C"/>
    <w:rsid w:val="005D78DE"/>
    <w:rsid w:val="005D7D61"/>
    <w:rsid w:val="005D7E4D"/>
    <w:rsid w:val="005D7E8D"/>
    <w:rsid w:val="005E39E7"/>
    <w:rsid w:val="005E6986"/>
    <w:rsid w:val="005E6CB5"/>
    <w:rsid w:val="005E7A26"/>
    <w:rsid w:val="005F00A2"/>
    <w:rsid w:val="005F1FEA"/>
    <w:rsid w:val="005F3B1E"/>
    <w:rsid w:val="005F4FBA"/>
    <w:rsid w:val="005F65C6"/>
    <w:rsid w:val="005F75F0"/>
    <w:rsid w:val="005F7E83"/>
    <w:rsid w:val="00600CB8"/>
    <w:rsid w:val="00601891"/>
    <w:rsid w:val="006028FD"/>
    <w:rsid w:val="0060450B"/>
    <w:rsid w:val="00604AD6"/>
    <w:rsid w:val="006068E6"/>
    <w:rsid w:val="00607B0F"/>
    <w:rsid w:val="006120B9"/>
    <w:rsid w:val="0061279E"/>
    <w:rsid w:val="006127FC"/>
    <w:rsid w:val="00613321"/>
    <w:rsid w:val="00616021"/>
    <w:rsid w:val="00616EBE"/>
    <w:rsid w:val="00621174"/>
    <w:rsid w:val="00622F2F"/>
    <w:rsid w:val="00623B27"/>
    <w:rsid w:val="00624DF4"/>
    <w:rsid w:val="00627BB0"/>
    <w:rsid w:val="00627D4A"/>
    <w:rsid w:val="006311D3"/>
    <w:rsid w:val="00631BFC"/>
    <w:rsid w:val="006322D5"/>
    <w:rsid w:val="00634DF1"/>
    <w:rsid w:val="00641252"/>
    <w:rsid w:val="00641B61"/>
    <w:rsid w:val="0064335B"/>
    <w:rsid w:val="00643BEA"/>
    <w:rsid w:val="00643FCA"/>
    <w:rsid w:val="0064489F"/>
    <w:rsid w:val="00646CC0"/>
    <w:rsid w:val="0064791B"/>
    <w:rsid w:val="00650C21"/>
    <w:rsid w:val="00651DCE"/>
    <w:rsid w:val="00653505"/>
    <w:rsid w:val="00664BB1"/>
    <w:rsid w:val="00666057"/>
    <w:rsid w:val="006672A6"/>
    <w:rsid w:val="00670D90"/>
    <w:rsid w:val="00671C55"/>
    <w:rsid w:val="0067233C"/>
    <w:rsid w:val="0067242A"/>
    <w:rsid w:val="00673B84"/>
    <w:rsid w:val="00675505"/>
    <w:rsid w:val="00675578"/>
    <w:rsid w:val="00680200"/>
    <w:rsid w:val="00682C3E"/>
    <w:rsid w:val="00684173"/>
    <w:rsid w:val="00684706"/>
    <w:rsid w:val="00684780"/>
    <w:rsid w:val="006848AB"/>
    <w:rsid w:val="00685A64"/>
    <w:rsid w:val="0069103A"/>
    <w:rsid w:val="00691407"/>
    <w:rsid w:val="00691B31"/>
    <w:rsid w:val="00694004"/>
    <w:rsid w:val="00694012"/>
    <w:rsid w:val="00695945"/>
    <w:rsid w:val="00695AA8"/>
    <w:rsid w:val="00696D9F"/>
    <w:rsid w:val="006973A0"/>
    <w:rsid w:val="00697608"/>
    <w:rsid w:val="006A1AAF"/>
    <w:rsid w:val="006A1AF9"/>
    <w:rsid w:val="006A2A0B"/>
    <w:rsid w:val="006A2C5D"/>
    <w:rsid w:val="006A2C75"/>
    <w:rsid w:val="006A316C"/>
    <w:rsid w:val="006A4697"/>
    <w:rsid w:val="006A57AE"/>
    <w:rsid w:val="006A57B3"/>
    <w:rsid w:val="006A5FE2"/>
    <w:rsid w:val="006A68E5"/>
    <w:rsid w:val="006A7534"/>
    <w:rsid w:val="006A7F3D"/>
    <w:rsid w:val="006B07BF"/>
    <w:rsid w:val="006B22A4"/>
    <w:rsid w:val="006B3112"/>
    <w:rsid w:val="006B6F13"/>
    <w:rsid w:val="006C1571"/>
    <w:rsid w:val="006C1907"/>
    <w:rsid w:val="006C6278"/>
    <w:rsid w:val="006C63E3"/>
    <w:rsid w:val="006D2BAF"/>
    <w:rsid w:val="006D45EC"/>
    <w:rsid w:val="006D75A9"/>
    <w:rsid w:val="006E092B"/>
    <w:rsid w:val="006E0AA8"/>
    <w:rsid w:val="006E312E"/>
    <w:rsid w:val="006E3D25"/>
    <w:rsid w:val="006E4C3D"/>
    <w:rsid w:val="006E7A6C"/>
    <w:rsid w:val="006F0BF0"/>
    <w:rsid w:val="006F55B0"/>
    <w:rsid w:val="006F575B"/>
    <w:rsid w:val="00700444"/>
    <w:rsid w:val="00704057"/>
    <w:rsid w:val="007048C4"/>
    <w:rsid w:val="00704A6B"/>
    <w:rsid w:val="007069C2"/>
    <w:rsid w:val="00706DE6"/>
    <w:rsid w:val="00710B2A"/>
    <w:rsid w:val="0071137E"/>
    <w:rsid w:val="00713824"/>
    <w:rsid w:val="007140A6"/>
    <w:rsid w:val="0071437A"/>
    <w:rsid w:val="007170EC"/>
    <w:rsid w:val="007205AA"/>
    <w:rsid w:val="0072242C"/>
    <w:rsid w:val="00722960"/>
    <w:rsid w:val="00730734"/>
    <w:rsid w:val="007317A7"/>
    <w:rsid w:val="007322C1"/>
    <w:rsid w:val="00732866"/>
    <w:rsid w:val="00735AFD"/>
    <w:rsid w:val="0073644B"/>
    <w:rsid w:val="007369A1"/>
    <w:rsid w:val="00737B85"/>
    <w:rsid w:val="007405DF"/>
    <w:rsid w:val="00741620"/>
    <w:rsid w:val="00743922"/>
    <w:rsid w:val="00743A70"/>
    <w:rsid w:val="00747579"/>
    <w:rsid w:val="007514B3"/>
    <w:rsid w:val="00751C9B"/>
    <w:rsid w:val="00751E61"/>
    <w:rsid w:val="00753273"/>
    <w:rsid w:val="007565F3"/>
    <w:rsid w:val="00756F52"/>
    <w:rsid w:val="00757DE5"/>
    <w:rsid w:val="00760591"/>
    <w:rsid w:val="00762190"/>
    <w:rsid w:val="0076440F"/>
    <w:rsid w:val="00771BDB"/>
    <w:rsid w:val="0077263E"/>
    <w:rsid w:val="00772C25"/>
    <w:rsid w:val="00773588"/>
    <w:rsid w:val="00773852"/>
    <w:rsid w:val="007815B5"/>
    <w:rsid w:val="00783E35"/>
    <w:rsid w:val="00784E6A"/>
    <w:rsid w:val="00790809"/>
    <w:rsid w:val="00792D36"/>
    <w:rsid w:val="00793714"/>
    <w:rsid w:val="00793F2F"/>
    <w:rsid w:val="00794E77"/>
    <w:rsid w:val="00795062"/>
    <w:rsid w:val="00797701"/>
    <w:rsid w:val="007A2D51"/>
    <w:rsid w:val="007A458D"/>
    <w:rsid w:val="007A706C"/>
    <w:rsid w:val="007B086B"/>
    <w:rsid w:val="007B31FD"/>
    <w:rsid w:val="007B625E"/>
    <w:rsid w:val="007B6541"/>
    <w:rsid w:val="007B6BA6"/>
    <w:rsid w:val="007C08F3"/>
    <w:rsid w:val="007C0E54"/>
    <w:rsid w:val="007C210C"/>
    <w:rsid w:val="007C6FD8"/>
    <w:rsid w:val="007C7554"/>
    <w:rsid w:val="007D3116"/>
    <w:rsid w:val="007D3278"/>
    <w:rsid w:val="007D5FB1"/>
    <w:rsid w:val="007D6CAF"/>
    <w:rsid w:val="007D6F8C"/>
    <w:rsid w:val="007D7FA8"/>
    <w:rsid w:val="007E4B24"/>
    <w:rsid w:val="007E4E92"/>
    <w:rsid w:val="007E5DD2"/>
    <w:rsid w:val="007E767D"/>
    <w:rsid w:val="007F0FAF"/>
    <w:rsid w:val="007F4F1E"/>
    <w:rsid w:val="007F51A0"/>
    <w:rsid w:val="007F566C"/>
    <w:rsid w:val="007F6167"/>
    <w:rsid w:val="007F7C01"/>
    <w:rsid w:val="00800C44"/>
    <w:rsid w:val="00801C7F"/>
    <w:rsid w:val="00806B73"/>
    <w:rsid w:val="00806BDA"/>
    <w:rsid w:val="00810717"/>
    <w:rsid w:val="00812E96"/>
    <w:rsid w:val="0081434C"/>
    <w:rsid w:val="00814EC4"/>
    <w:rsid w:val="00815065"/>
    <w:rsid w:val="008179AC"/>
    <w:rsid w:val="00820F1F"/>
    <w:rsid w:val="00821421"/>
    <w:rsid w:val="008244B1"/>
    <w:rsid w:val="0082567F"/>
    <w:rsid w:val="008258D9"/>
    <w:rsid w:val="00826374"/>
    <w:rsid w:val="00827DA5"/>
    <w:rsid w:val="00831EF9"/>
    <w:rsid w:val="00833DEC"/>
    <w:rsid w:val="0083516C"/>
    <w:rsid w:val="00836AC7"/>
    <w:rsid w:val="00836B07"/>
    <w:rsid w:val="0084042A"/>
    <w:rsid w:val="00846E3C"/>
    <w:rsid w:val="008477D7"/>
    <w:rsid w:val="008500AF"/>
    <w:rsid w:val="00850F73"/>
    <w:rsid w:val="00852AF3"/>
    <w:rsid w:val="008530BA"/>
    <w:rsid w:val="00853AEF"/>
    <w:rsid w:val="008545ED"/>
    <w:rsid w:val="00855E4D"/>
    <w:rsid w:val="00864D59"/>
    <w:rsid w:val="008713E0"/>
    <w:rsid w:val="00871B1F"/>
    <w:rsid w:val="008772B3"/>
    <w:rsid w:val="008839D2"/>
    <w:rsid w:val="00883AB9"/>
    <w:rsid w:val="008842BC"/>
    <w:rsid w:val="008843CC"/>
    <w:rsid w:val="008849BE"/>
    <w:rsid w:val="00891888"/>
    <w:rsid w:val="0089192E"/>
    <w:rsid w:val="008974B8"/>
    <w:rsid w:val="008A028C"/>
    <w:rsid w:val="008A0AD6"/>
    <w:rsid w:val="008A0FDA"/>
    <w:rsid w:val="008A2198"/>
    <w:rsid w:val="008A3758"/>
    <w:rsid w:val="008A4684"/>
    <w:rsid w:val="008A4B48"/>
    <w:rsid w:val="008A5B2B"/>
    <w:rsid w:val="008B2CB5"/>
    <w:rsid w:val="008B5EF5"/>
    <w:rsid w:val="008C6489"/>
    <w:rsid w:val="008D11E0"/>
    <w:rsid w:val="008D3B27"/>
    <w:rsid w:val="008D3D3A"/>
    <w:rsid w:val="008D5053"/>
    <w:rsid w:val="008D50B3"/>
    <w:rsid w:val="008D5C3B"/>
    <w:rsid w:val="008D6073"/>
    <w:rsid w:val="008E30B6"/>
    <w:rsid w:val="008E3B7C"/>
    <w:rsid w:val="008E7167"/>
    <w:rsid w:val="008E74DF"/>
    <w:rsid w:val="008E7ECE"/>
    <w:rsid w:val="008F11E7"/>
    <w:rsid w:val="008F3A73"/>
    <w:rsid w:val="008F464D"/>
    <w:rsid w:val="00900C44"/>
    <w:rsid w:val="00901A68"/>
    <w:rsid w:val="00902310"/>
    <w:rsid w:val="00903DEB"/>
    <w:rsid w:val="00904CEF"/>
    <w:rsid w:val="00905F07"/>
    <w:rsid w:val="00910F1C"/>
    <w:rsid w:val="0091499B"/>
    <w:rsid w:val="009161C8"/>
    <w:rsid w:val="00917950"/>
    <w:rsid w:val="0092079B"/>
    <w:rsid w:val="00920CF0"/>
    <w:rsid w:val="00920D23"/>
    <w:rsid w:val="00922B98"/>
    <w:rsid w:val="00924F93"/>
    <w:rsid w:val="0093099D"/>
    <w:rsid w:val="00931FCC"/>
    <w:rsid w:val="009354F7"/>
    <w:rsid w:val="00935A9A"/>
    <w:rsid w:val="00935D8F"/>
    <w:rsid w:val="0093638A"/>
    <w:rsid w:val="009369A3"/>
    <w:rsid w:val="0093707B"/>
    <w:rsid w:val="00941170"/>
    <w:rsid w:val="00942E52"/>
    <w:rsid w:val="009438BE"/>
    <w:rsid w:val="00944791"/>
    <w:rsid w:val="009455DC"/>
    <w:rsid w:val="00945A69"/>
    <w:rsid w:val="0094792C"/>
    <w:rsid w:val="00947CD6"/>
    <w:rsid w:val="0095025A"/>
    <w:rsid w:val="009503F8"/>
    <w:rsid w:val="00951323"/>
    <w:rsid w:val="00951650"/>
    <w:rsid w:val="00951CBB"/>
    <w:rsid w:val="00952F32"/>
    <w:rsid w:val="00955891"/>
    <w:rsid w:val="00955B3E"/>
    <w:rsid w:val="00955F4C"/>
    <w:rsid w:val="009569CE"/>
    <w:rsid w:val="009572C1"/>
    <w:rsid w:val="00957D5F"/>
    <w:rsid w:val="00961F07"/>
    <w:rsid w:val="00963320"/>
    <w:rsid w:val="00963752"/>
    <w:rsid w:val="0096431F"/>
    <w:rsid w:val="00964D82"/>
    <w:rsid w:val="00967351"/>
    <w:rsid w:val="009679EE"/>
    <w:rsid w:val="00967B90"/>
    <w:rsid w:val="00971254"/>
    <w:rsid w:val="00971D47"/>
    <w:rsid w:val="00973269"/>
    <w:rsid w:val="00973293"/>
    <w:rsid w:val="009732BE"/>
    <w:rsid w:val="0097624B"/>
    <w:rsid w:val="0098061A"/>
    <w:rsid w:val="009830FB"/>
    <w:rsid w:val="00984DF8"/>
    <w:rsid w:val="0098608E"/>
    <w:rsid w:val="009864E2"/>
    <w:rsid w:val="00992C89"/>
    <w:rsid w:val="0099424B"/>
    <w:rsid w:val="009958EE"/>
    <w:rsid w:val="00995BEC"/>
    <w:rsid w:val="00996541"/>
    <w:rsid w:val="009977B8"/>
    <w:rsid w:val="009A0D09"/>
    <w:rsid w:val="009A2C08"/>
    <w:rsid w:val="009A5E37"/>
    <w:rsid w:val="009B4412"/>
    <w:rsid w:val="009B72C6"/>
    <w:rsid w:val="009C010D"/>
    <w:rsid w:val="009C3371"/>
    <w:rsid w:val="009C36C7"/>
    <w:rsid w:val="009C63C9"/>
    <w:rsid w:val="009C737D"/>
    <w:rsid w:val="009C7F98"/>
    <w:rsid w:val="009D12C6"/>
    <w:rsid w:val="009D29AB"/>
    <w:rsid w:val="009D43ED"/>
    <w:rsid w:val="009D4AC1"/>
    <w:rsid w:val="009D5DB7"/>
    <w:rsid w:val="009D740E"/>
    <w:rsid w:val="009E637B"/>
    <w:rsid w:val="009F0536"/>
    <w:rsid w:val="009F0F57"/>
    <w:rsid w:val="009F3F18"/>
    <w:rsid w:val="009F55D3"/>
    <w:rsid w:val="009F658E"/>
    <w:rsid w:val="009F6A31"/>
    <w:rsid w:val="009F706E"/>
    <w:rsid w:val="00A007BE"/>
    <w:rsid w:val="00A00D65"/>
    <w:rsid w:val="00A01223"/>
    <w:rsid w:val="00A01622"/>
    <w:rsid w:val="00A01C54"/>
    <w:rsid w:val="00A01FCA"/>
    <w:rsid w:val="00A033D5"/>
    <w:rsid w:val="00A0534C"/>
    <w:rsid w:val="00A0614C"/>
    <w:rsid w:val="00A06BE5"/>
    <w:rsid w:val="00A07C2F"/>
    <w:rsid w:val="00A12278"/>
    <w:rsid w:val="00A13FE4"/>
    <w:rsid w:val="00A148E9"/>
    <w:rsid w:val="00A17D8C"/>
    <w:rsid w:val="00A20728"/>
    <w:rsid w:val="00A2299B"/>
    <w:rsid w:val="00A22CDC"/>
    <w:rsid w:val="00A246A5"/>
    <w:rsid w:val="00A251B0"/>
    <w:rsid w:val="00A27AAC"/>
    <w:rsid w:val="00A3114F"/>
    <w:rsid w:val="00A354CA"/>
    <w:rsid w:val="00A362EA"/>
    <w:rsid w:val="00A370D5"/>
    <w:rsid w:val="00A401F4"/>
    <w:rsid w:val="00A40A7E"/>
    <w:rsid w:val="00A4143E"/>
    <w:rsid w:val="00A43425"/>
    <w:rsid w:val="00A46717"/>
    <w:rsid w:val="00A468E7"/>
    <w:rsid w:val="00A46A18"/>
    <w:rsid w:val="00A46CD4"/>
    <w:rsid w:val="00A471D6"/>
    <w:rsid w:val="00A47D7E"/>
    <w:rsid w:val="00A5048E"/>
    <w:rsid w:val="00A52DE7"/>
    <w:rsid w:val="00A534DE"/>
    <w:rsid w:val="00A55B3E"/>
    <w:rsid w:val="00A574AC"/>
    <w:rsid w:val="00A62FAC"/>
    <w:rsid w:val="00A641D4"/>
    <w:rsid w:val="00A66CE5"/>
    <w:rsid w:val="00A67055"/>
    <w:rsid w:val="00A7360B"/>
    <w:rsid w:val="00A73FA0"/>
    <w:rsid w:val="00A75488"/>
    <w:rsid w:val="00A75822"/>
    <w:rsid w:val="00A77D74"/>
    <w:rsid w:val="00A81758"/>
    <w:rsid w:val="00A82AC2"/>
    <w:rsid w:val="00A849D2"/>
    <w:rsid w:val="00A85600"/>
    <w:rsid w:val="00A85D75"/>
    <w:rsid w:val="00A8653F"/>
    <w:rsid w:val="00A86C95"/>
    <w:rsid w:val="00A86D8F"/>
    <w:rsid w:val="00A87C1C"/>
    <w:rsid w:val="00A91AE5"/>
    <w:rsid w:val="00A91FB7"/>
    <w:rsid w:val="00A92867"/>
    <w:rsid w:val="00A951A5"/>
    <w:rsid w:val="00A9586B"/>
    <w:rsid w:val="00A95A6C"/>
    <w:rsid w:val="00A96D5F"/>
    <w:rsid w:val="00AA1654"/>
    <w:rsid w:val="00AA3401"/>
    <w:rsid w:val="00AA3CEB"/>
    <w:rsid w:val="00AA4CF1"/>
    <w:rsid w:val="00AA4F2C"/>
    <w:rsid w:val="00AA5F38"/>
    <w:rsid w:val="00AA601F"/>
    <w:rsid w:val="00AA7765"/>
    <w:rsid w:val="00AB0897"/>
    <w:rsid w:val="00AB3E13"/>
    <w:rsid w:val="00AB5216"/>
    <w:rsid w:val="00AB5698"/>
    <w:rsid w:val="00AB6EB6"/>
    <w:rsid w:val="00AB7F0B"/>
    <w:rsid w:val="00AC04D0"/>
    <w:rsid w:val="00AC0627"/>
    <w:rsid w:val="00AC0DE2"/>
    <w:rsid w:val="00AC11C8"/>
    <w:rsid w:val="00AC16BE"/>
    <w:rsid w:val="00AC42A1"/>
    <w:rsid w:val="00AC73C4"/>
    <w:rsid w:val="00AD114E"/>
    <w:rsid w:val="00AD14E2"/>
    <w:rsid w:val="00AD1E1E"/>
    <w:rsid w:val="00AD390C"/>
    <w:rsid w:val="00AD3CF5"/>
    <w:rsid w:val="00AD482F"/>
    <w:rsid w:val="00AD4F3B"/>
    <w:rsid w:val="00AD6F83"/>
    <w:rsid w:val="00AD7222"/>
    <w:rsid w:val="00AD72DB"/>
    <w:rsid w:val="00AE0B25"/>
    <w:rsid w:val="00AE170E"/>
    <w:rsid w:val="00AE23EE"/>
    <w:rsid w:val="00AE3DDE"/>
    <w:rsid w:val="00AE4D47"/>
    <w:rsid w:val="00AE5795"/>
    <w:rsid w:val="00AE590D"/>
    <w:rsid w:val="00AF14FF"/>
    <w:rsid w:val="00AF33CC"/>
    <w:rsid w:val="00B00892"/>
    <w:rsid w:val="00B0417C"/>
    <w:rsid w:val="00B04A3E"/>
    <w:rsid w:val="00B0795A"/>
    <w:rsid w:val="00B10879"/>
    <w:rsid w:val="00B11F16"/>
    <w:rsid w:val="00B12DBA"/>
    <w:rsid w:val="00B137F1"/>
    <w:rsid w:val="00B15BAC"/>
    <w:rsid w:val="00B16191"/>
    <w:rsid w:val="00B163A7"/>
    <w:rsid w:val="00B24834"/>
    <w:rsid w:val="00B25B8F"/>
    <w:rsid w:val="00B26600"/>
    <w:rsid w:val="00B26823"/>
    <w:rsid w:val="00B323DF"/>
    <w:rsid w:val="00B3479D"/>
    <w:rsid w:val="00B377DB"/>
    <w:rsid w:val="00B37E6A"/>
    <w:rsid w:val="00B40296"/>
    <w:rsid w:val="00B425F8"/>
    <w:rsid w:val="00B42634"/>
    <w:rsid w:val="00B427C3"/>
    <w:rsid w:val="00B42A00"/>
    <w:rsid w:val="00B43D28"/>
    <w:rsid w:val="00B446E4"/>
    <w:rsid w:val="00B45CEC"/>
    <w:rsid w:val="00B46646"/>
    <w:rsid w:val="00B46E4E"/>
    <w:rsid w:val="00B50B81"/>
    <w:rsid w:val="00B51583"/>
    <w:rsid w:val="00B6261D"/>
    <w:rsid w:val="00B62ECF"/>
    <w:rsid w:val="00B63488"/>
    <w:rsid w:val="00B65455"/>
    <w:rsid w:val="00B65E32"/>
    <w:rsid w:val="00B67AAF"/>
    <w:rsid w:val="00B70663"/>
    <w:rsid w:val="00B73B7E"/>
    <w:rsid w:val="00B749B8"/>
    <w:rsid w:val="00B74BF8"/>
    <w:rsid w:val="00B75FA6"/>
    <w:rsid w:val="00B77AB9"/>
    <w:rsid w:val="00B80D30"/>
    <w:rsid w:val="00B8200A"/>
    <w:rsid w:val="00B84D0C"/>
    <w:rsid w:val="00B85A19"/>
    <w:rsid w:val="00B85EC1"/>
    <w:rsid w:val="00B862E2"/>
    <w:rsid w:val="00B90FD3"/>
    <w:rsid w:val="00B92E7C"/>
    <w:rsid w:val="00B93A28"/>
    <w:rsid w:val="00B94493"/>
    <w:rsid w:val="00B94717"/>
    <w:rsid w:val="00B94C51"/>
    <w:rsid w:val="00B95637"/>
    <w:rsid w:val="00B96254"/>
    <w:rsid w:val="00BA167E"/>
    <w:rsid w:val="00BA190B"/>
    <w:rsid w:val="00BA306B"/>
    <w:rsid w:val="00BA36C5"/>
    <w:rsid w:val="00BA6847"/>
    <w:rsid w:val="00BA71F2"/>
    <w:rsid w:val="00BB095E"/>
    <w:rsid w:val="00BB0ADA"/>
    <w:rsid w:val="00BB1A7C"/>
    <w:rsid w:val="00BB2087"/>
    <w:rsid w:val="00BB59E9"/>
    <w:rsid w:val="00BB7B51"/>
    <w:rsid w:val="00BC01FE"/>
    <w:rsid w:val="00BC1C1C"/>
    <w:rsid w:val="00BC221E"/>
    <w:rsid w:val="00BC67DB"/>
    <w:rsid w:val="00BC74B5"/>
    <w:rsid w:val="00BD0304"/>
    <w:rsid w:val="00BD148C"/>
    <w:rsid w:val="00BD19B6"/>
    <w:rsid w:val="00BD3B96"/>
    <w:rsid w:val="00BD67F0"/>
    <w:rsid w:val="00BE0C52"/>
    <w:rsid w:val="00BE0E5E"/>
    <w:rsid w:val="00BE295C"/>
    <w:rsid w:val="00BE356E"/>
    <w:rsid w:val="00BE4008"/>
    <w:rsid w:val="00BE4FBB"/>
    <w:rsid w:val="00BE605B"/>
    <w:rsid w:val="00BF117B"/>
    <w:rsid w:val="00BF41B6"/>
    <w:rsid w:val="00BF6C35"/>
    <w:rsid w:val="00BF6DCC"/>
    <w:rsid w:val="00BF7750"/>
    <w:rsid w:val="00C001FC"/>
    <w:rsid w:val="00C01807"/>
    <w:rsid w:val="00C02EA4"/>
    <w:rsid w:val="00C03EEA"/>
    <w:rsid w:val="00C047D9"/>
    <w:rsid w:val="00C047EF"/>
    <w:rsid w:val="00C07192"/>
    <w:rsid w:val="00C079D3"/>
    <w:rsid w:val="00C103B9"/>
    <w:rsid w:val="00C10EE6"/>
    <w:rsid w:val="00C130A4"/>
    <w:rsid w:val="00C16A41"/>
    <w:rsid w:val="00C20767"/>
    <w:rsid w:val="00C20D4C"/>
    <w:rsid w:val="00C214DD"/>
    <w:rsid w:val="00C24B74"/>
    <w:rsid w:val="00C25E39"/>
    <w:rsid w:val="00C26A0A"/>
    <w:rsid w:val="00C26CBE"/>
    <w:rsid w:val="00C273B0"/>
    <w:rsid w:val="00C3089C"/>
    <w:rsid w:val="00C30D5F"/>
    <w:rsid w:val="00C3139C"/>
    <w:rsid w:val="00C326E4"/>
    <w:rsid w:val="00C33A5B"/>
    <w:rsid w:val="00C4022C"/>
    <w:rsid w:val="00C40436"/>
    <w:rsid w:val="00C44B5B"/>
    <w:rsid w:val="00C4574E"/>
    <w:rsid w:val="00C463D5"/>
    <w:rsid w:val="00C47354"/>
    <w:rsid w:val="00C47AF8"/>
    <w:rsid w:val="00C47D97"/>
    <w:rsid w:val="00C513B4"/>
    <w:rsid w:val="00C55671"/>
    <w:rsid w:val="00C56741"/>
    <w:rsid w:val="00C571D1"/>
    <w:rsid w:val="00C57FA9"/>
    <w:rsid w:val="00C6012F"/>
    <w:rsid w:val="00C60B3E"/>
    <w:rsid w:val="00C61DC9"/>
    <w:rsid w:val="00C626A1"/>
    <w:rsid w:val="00C6471F"/>
    <w:rsid w:val="00C66A40"/>
    <w:rsid w:val="00C6703F"/>
    <w:rsid w:val="00C6729B"/>
    <w:rsid w:val="00C6778C"/>
    <w:rsid w:val="00C723DC"/>
    <w:rsid w:val="00C72D80"/>
    <w:rsid w:val="00C73432"/>
    <w:rsid w:val="00C7348A"/>
    <w:rsid w:val="00C75EAE"/>
    <w:rsid w:val="00C81D32"/>
    <w:rsid w:val="00C82242"/>
    <w:rsid w:val="00C83867"/>
    <w:rsid w:val="00C856C9"/>
    <w:rsid w:val="00C863BC"/>
    <w:rsid w:val="00C90500"/>
    <w:rsid w:val="00C90901"/>
    <w:rsid w:val="00C92C00"/>
    <w:rsid w:val="00C93586"/>
    <w:rsid w:val="00C96E92"/>
    <w:rsid w:val="00C97005"/>
    <w:rsid w:val="00C97411"/>
    <w:rsid w:val="00C97781"/>
    <w:rsid w:val="00CA02C8"/>
    <w:rsid w:val="00CA130F"/>
    <w:rsid w:val="00CA1629"/>
    <w:rsid w:val="00CA3760"/>
    <w:rsid w:val="00CA4146"/>
    <w:rsid w:val="00CA7E4F"/>
    <w:rsid w:val="00CB11C3"/>
    <w:rsid w:val="00CB22E2"/>
    <w:rsid w:val="00CB7508"/>
    <w:rsid w:val="00CC050B"/>
    <w:rsid w:val="00CC05CA"/>
    <w:rsid w:val="00CC1006"/>
    <w:rsid w:val="00CC3CDD"/>
    <w:rsid w:val="00CC64AE"/>
    <w:rsid w:val="00CC6E94"/>
    <w:rsid w:val="00CC7CCD"/>
    <w:rsid w:val="00CD0A0B"/>
    <w:rsid w:val="00CD0ED3"/>
    <w:rsid w:val="00CD238B"/>
    <w:rsid w:val="00CD49B1"/>
    <w:rsid w:val="00CD5504"/>
    <w:rsid w:val="00CD6289"/>
    <w:rsid w:val="00CD75F5"/>
    <w:rsid w:val="00CD7CD9"/>
    <w:rsid w:val="00CE0D83"/>
    <w:rsid w:val="00CE1C24"/>
    <w:rsid w:val="00CE1FA7"/>
    <w:rsid w:val="00CE2DA7"/>
    <w:rsid w:val="00CE4404"/>
    <w:rsid w:val="00CE4765"/>
    <w:rsid w:val="00CE4CD7"/>
    <w:rsid w:val="00CE619E"/>
    <w:rsid w:val="00CE6216"/>
    <w:rsid w:val="00CE7B21"/>
    <w:rsid w:val="00CF0BA5"/>
    <w:rsid w:val="00CF0DC8"/>
    <w:rsid w:val="00CF4AC9"/>
    <w:rsid w:val="00CF6A09"/>
    <w:rsid w:val="00CF71DD"/>
    <w:rsid w:val="00CF744B"/>
    <w:rsid w:val="00D023FB"/>
    <w:rsid w:val="00D027A9"/>
    <w:rsid w:val="00D0358B"/>
    <w:rsid w:val="00D05F3B"/>
    <w:rsid w:val="00D06016"/>
    <w:rsid w:val="00D06CFC"/>
    <w:rsid w:val="00D10A78"/>
    <w:rsid w:val="00D10DA2"/>
    <w:rsid w:val="00D111A9"/>
    <w:rsid w:val="00D11D00"/>
    <w:rsid w:val="00D1357E"/>
    <w:rsid w:val="00D13F15"/>
    <w:rsid w:val="00D140DB"/>
    <w:rsid w:val="00D17848"/>
    <w:rsid w:val="00D22029"/>
    <w:rsid w:val="00D2243B"/>
    <w:rsid w:val="00D23A60"/>
    <w:rsid w:val="00D25FD0"/>
    <w:rsid w:val="00D2672A"/>
    <w:rsid w:val="00D30DEE"/>
    <w:rsid w:val="00D32EA9"/>
    <w:rsid w:val="00D32F37"/>
    <w:rsid w:val="00D3487D"/>
    <w:rsid w:val="00D360A6"/>
    <w:rsid w:val="00D416DD"/>
    <w:rsid w:val="00D443FC"/>
    <w:rsid w:val="00D447F2"/>
    <w:rsid w:val="00D44CE3"/>
    <w:rsid w:val="00D450A6"/>
    <w:rsid w:val="00D45348"/>
    <w:rsid w:val="00D46B3C"/>
    <w:rsid w:val="00D4730B"/>
    <w:rsid w:val="00D47BDD"/>
    <w:rsid w:val="00D47E14"/>
    <w:rsid w:val="00D559C6"/>
    <w:rsid w:val="00D55BAB"/>
    <w:rsid w:val="00D562AD"/>
    <w:rsid w:val="00D56530"/>
    <w:rsid w:val="00D56D85"/>
    <w:rsid w:val="00D62665"/>
    <w:rsid w:val="00D6356B"/>
    <w:rsid w:val="00D65FFD"/>
    <w:rsid w:val="00D66A30"/>
    <w:rsid w:val="00D66C5A"/>
    <w:rsid w:val="00D675F0"/>
    <w:rsid w:val="00D71E5A"/>
    <w:rsid w:val="00D73E73"/>
    <w:rsid w:val="00D761A2"/>
    <w:rsid w:val="00D774AA"/>
    <w:rsid w:val="00D808B8"/>
    <w:rsid w:val="00D83B23"/>
    <w:rsid w:val="00D83EA8"/>
    <w:rsid w:val="00D8442B"/>
    <w:rsid w:val="00D846D1"/>
    <w:rsid w:val="00D84927"/>
    <w:rsid w:val="00D84E6E"/>
    <w:rsid w:val="00D86657"/>
    <w:rsid w:val="00D86EC1"/>
    <w:rsid w:val="00D878AE"/>
    <w:rsid w:val="00D912B3"/>
    <w:rsid w:val="00D9238E"/>
    <w:rsid w:val="00D9475C"/>
    <w:rsid w:val="00D95DAE"/>
    <w:rsid w:val="00D975EE"/>
    <w:rsid w:val="00DA505E"/>
    <w:rsid w:val="00DA53EC"/>
    <w:rsid w:val="00DA6C80"/>
    <w:rsid w:val="00DB064D"/>
    <w:rsid w:val="00DB3B06"/>
    <w:rsid w:val="00DB62C5"/>
    <w:rsid w:val="00DB6D24"/>
    <w:rsid w:val="00DB6F99"/>
    <w:rsid w:val="00DC1E18"/>
    <w:rsid w:val="00DC3CFF"/>
    <w:rsid w:val="00DC532B"/>
    <w:rsid w:val="00DD1D7D"/>
    <w:rsid w:val="00DD5EB3"/>
    <w:rsid w:val="00DE0372"/>
    <w:rsid w:val="00DE1613"/>
    <w:rsid w:val="00DE19DF"/>
    <w:rsid w:val="00DE1E1A"/>
    <w:rsid w:val="00DE2D23"/>
    <w:rsid w:val="00DE31A6"/>
    <w:rsid w:val="00DE4AED"/>
    <w:rsid w:val="00DE5958"/>
    <w:rsid w:val="00DE6864"/>
    <w:rsid w:val="00DE68CF"/>
    <w:rsid w:val="00DF22D7"/>
    <w:rsid w:val="00DF45CA"/>
    <w:rsid w:val="00DF4839"/>
    <w:rsid w:val="00DF5947"/>
    <w:rsid w:val="00DF7078"/>
    <w:rsid w:val="00DF76DD"/>
    <w:rsid w:val="00E01D72"/>
    <w:rsid w:val="00E0323E"/>
    <w:rsid w:val="00E05009"/>
    <w:rsid w:val="00E06387"/>
    <w:rsid w:val="00E1049D"/>
    <w:rsid w:val="00E129BF"/>
    <w:rsid w:val="00E1333B"/>
    <w:rsid w:val="00E14C2F"/>
    <w:rsid w:val="00E15798"/>
    <w:rsid w:val="00E170D6"/>
    <w:rsid w:val="00E22292"/>
    <w:rsid w:val="00E2509F"/>
    <w:rsid w:val="00E25FCB"/>
    <w:rsid w:val="00E2744D"/>
    <w:rsid w:val="00E2752A"/>
    <w:rsid w:val="00E277CF"/>
    <w:rsid w:val="00E2782E"/>
    <w:rsid w:val="00E3083F"/>
    <w:rsid w:val="00E31573"/>
    <w:rsid w:val="00E31BB5"/>
    <w:rsid w:val="00E3248A"/>
    <w:rsid w:val="00E35282"/>
    <w:rsid w:val="00E36270"/>
    <w:rsid w:val="00E36456"/>
    <w:rsid w:val="00E3700D"/>
    <w:rsid w:val="00E40161"/>
    <w:rsid w:val="00E409DC"/>
    <w:rsid w:val="00E41F02"/>
    <w:rsid w:val="00E43450"/>
    <w:rsid w:val="00E47D17"/>
    <w:rsid w:val="00E5529E"/>
    <w:rsid w:val="00E5544E"/>
    <w:rsid w:val="00E5589A"/>
    <w:rsid w:val="00E56FBC"/>
    <w:rsid w:val="00E57E6C"/>
    <w:rsid w:val="00E60488"/>
    <w:rsid w:val="00E608CA"/>
    <w:rsid w:val="00E6149D"/>
    <w:rsid w:val="00E63361"/>
    <w:rsid w:val="00E6405D"/>
    <w:rsid w:val="00E6611C"/>
    <w:rsid w:val="00E70921"/>
    <w:rsid w:val="00E721C3"/>
    <w:rsid w:val="00E72D69"/>
    <w:rsid w:val="00E77BA0"/>
    <w:rsid w:val="00E77E18"/>
    <w:rsid w:val="00E8191C"/>
    <w:rsid w:val="00E81C4E"/>
    <w:rsid w:val="00E81E6C"/>
    <w:rsid w:val="00E8316B"/>
    <w:rsid w:val="00E84788"/>
    <w:rsid w:val="00E84BDD"/>
    <w:rsid w:val="00E862AF"/>
    <w:rsid w:val="00E862D8"/>
    <w:rsid w:val="00E86888"/>
    <w:rsid w:val="00E90EC6"/>
    <w:rsid w:val="00E91F84"/>
    <w:rsid w:val="00E93A0F"/>
    <w:rsid w:val="00EA2F76"/>
    <w:rsid w:val="00EA4F64"/>
    <w:rsid w:val="00EB25DE"/>
    <w:rsid w:val="00EB3C6F"/>
    <w:rsid w:val="00EB441B"/>
    <w:rsid w:val="00EB57EB"/>
    <w:rsid w:val="00EB5ECB"/>
    <w:rsid w:val="00EB66C8"/>
    <w:rsid w:val="00EB6F85"/>
    <w:rsid w:val="00EB736A"/>
    <w:rsid w:val="00EB7787"/>
    <w:rsid w:val="00EB7D4B"/>
    <w:rsid w:val="00EC0460"/>
    <w:rsid w:val="00EC1B1C"/>
    <w:rsid w:val="00EC2556"/>
    <w:rsid w:val="00EC44E0"/>
    <w:rsid w:val="00EC5E3C"/>
    <w:rsid w:val="00EC663A"/>
    <w:rsid w:val="00EC771D"/>
    <w:rsid w:val="00ED19AA"/>
    <w:rsid w:val="00ED2907"/>
    <w:rsid w:val="00ED3AE4"/>
    <w:rsid w:val="00ED4578"/>
    <w:rsid w:val="00ED6246"/>
    <w:rsid w:val="00EE2C6F"/>
    <w:rsid w:val="00EE437F"/>
    <w:rsid w:val="00EE4440"/>
    <w:rsid w:val="00EE5D02"/>
    <w:rsid w:val="00EE6E54"/>
    <w:rsid w:val="00EE7940"/>
    <w:rsid w:val="00EF0E08"/>
    <w:rsid w:val="00EF0EC4"/>
    <w:rsid w:val="00EF0F4F"/>
    <w:rsid w:val="00EF1F76"/>
    <w:rsid w:val="00EF6410"/>
    <w:rsid w:val="00EF6D89"/>
    <w:rsid w:val="00F00015"/>
    <w:rsid w:val="00F03FD6"/>
    <w:rsid w:val="00F04E0F"/>
    <w:rsid w:val="00F06B34"/>
    <w:rsid w:val="00F06D90"/>
    <w:rsid w:val="00F15DF0"/>
    <w:rsid w:val="00F16481"/>
    <w:rsid w:val="00F16740"/>
    <w:rsid w:val="00F1748E"/>
    <w:rsid w:val="00F17F85"/>
    <w:rsid w:val="00F22B63"/>
    <w:rsid w:val="00F232B9"/>
    <w:rsid w:val="00F235B3"/>
    <w:rsid w:val="00F25B4C"/>
    <w:rsid w:val="00F27418"/>
    <w:rsid w:val="00F336AD"/>
    <w:rsid w:val="00F3381F"/>
    <w:rsid w:val="00F34D6E"/>
    <w:rsid w:val="00F35DC6"/>
    <w:rsid w:val="00F478C7"/>
    <w:rsid w:val="00F47FDC"/>
    <w:rsid w:val="00F52483"/>
    <w:rsid w:val="00F52CBD"/>
    <w:rsid w:val="00F53C1D"/>
    <w:rsid w:val="00F53ED2"/>
    <w:rsid w:val="00F5445B"/>
    <w:rsid w:val="00F5595C"/>
    <w:rsid w:val="00F56145"/>
    <w:rsid w:val="00F57A4A"/>
    <w:rsid w:val="00F61134"/>
    <w:rsid w:val="00F61524"/>
    <w:rsid w:val="00F643AB"/>
    <w:rsid w:val="00F658B3"/>
    <w:rsid w:val="00F66E67"/>
    <w:rsid w:val="00F727F4"/>
    <w:rsid w:val="00F83577"/>
    <w:rsid w:val="00F87284"/>
    <w:rsid w:val="00F9796C"/>
    <w:rsid w:val="00FA2332"/>
    <w:rsid w:val="00FA2DDD"/>
    <w:rsid w:val="00FA300D"/>
    <w:rsid w:val="00FA31AE"/>
    <w:rsid w:val="00FA33AC"/>
    <w:rsid w:val="00FA6381"/>
    <w:rsid w:val="00FA65E7"/>
    <w:rsid w:val="00FA7030"/>
    <w:rsid w:val="00FA743C"/>
    <w:rsid w:val="00FB0131"/>
    <w:rsid w:val="00FB0979"/>
    <w:rsid w:val="00FB1315"/>
    <w:rsid w:val="00FB24E5"/>
    <w:rsid w:val="00FB3E70"/>
    <w:rsid w:val="00FB4EF3"/>
    <w:rsid w:val="00FB610B"/>
    <w:rsid w:val="00FB7657"/>
    <w:rsid w:val="00FC0E1C"/>
    <w:rsid w:val="00FC6E1F"/>
    <w:rsid w:val="00FD18AC"/>
    <w:rsid w:val="00FD19C7"/>
    <w:rsid w:val="00FD2D56"/>
    <w:rsid w:val="00FD4052"/>
    <w:rsid w:val="00FD466C"/>
    <w:rsid w:val="00FD7B79"/>
    <w:rsid w:val="00FE13A9"/>
    <w:rsid w:val="00FE16A4"/>
    <w:rsid w:val="00FE20E0"/>
    <w:rsid w:val="00FE24BE"/>
    <w:rsid w:val="00FE3B28"/>
    <w:rsid w:val="00FE6DEF"/>
    <w:rsid w:val="00FE7239"/>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EE35-B2B6-4A3B-B934-5DDF004D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6502</Words>
  <Characters>33516</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39939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3</cp:revision>
  <cp:lastPrinted>2014-05-07T05:12:00Z</cp:lastPrinted>
  <dcterms:created xsi:type="dcterms:W3CDTF">2014-05-28T00:52:00Z</dcterms:created>
  <dcterms:modified xsi:type="dcterms:W3CDTF">2014-05-28T00:52:00Z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