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A66" w:rsidRDefault="00D62A66" w:rsidP="00D62A66">
      <w:pPr>
        <w:pStyle w:val="Title"/>
        <w:pBdr>
          <w:bottom w:val="single" w:sz="4" w:space="3" w:color="auto"/>
        </w:pBdr>
        <w:spacing w:before="0"/>
        <w:rPr>
          <w:sz w:val="36"/>
          <w:szCs w:val="36"/>
        </w:rPr>
      </w:pPr>
      <w:bookmarkStart w:id="0" w:name="Citation"/>
      <w:r w:rsidRPr="009E7092">
        <w:rPr>
          <w:sz w:val="36"/>
          <w:szCs w:val="36"/>
        </w:rPr>
        <w:t xml:space="preserve">Superannuation </w:t>
      </w:r>
      <w:r>
        <w:rPr>
          <w:sz w:val="36"/>
          <w:szCs w:val="36"/>
        </w:rPr>
        <w:t>(PSS)</w:t>
      </w:r>
      <w:r w:rsidRPr="009E7092">
        <w:rPr>
          <w:sz w:val="36"/>
          <w:szCs w:val="36"/>
        </w:rPr>
        <w:t xml:space="preserve"> </w:t>
      </w:r>
      <w:r>
        <w:rPr>
          <w:sz w:val="36"/>
          <w:szCs w:val="36"/>
        </w:rPr>
        <w:t xml:space="preserve">Maximum Benefits </w:t>
      </w:r>
    </w:p>
    <w:p w:rsidR="00D62A66" w:rsidRDefault="00D62A66" w:rsidP="00D62A66">
      <w:pPr>
        <w:pStyle w:val="Title"/>
        <w:pBdr>
          <w:bottom w:val="single" w:sz="4" w:space="3" w:color="auto"/>
        </w:pBdr>
        <w:tabs>
          <w:tab w:val="left" w:pos="900"/>
        </w:tabs>
        <w:spacing w:before="0"/>
        <w:rPr>
          <w:sz w:val="36"/>
          <w:szCs w:val="36"/>
        </w:rPr>
      </w:pPr>
      <w:r>
        <w:rPr>
          <w:sz w:val="36"/>
          <w:szCs w:val="36"/>
        </w:rPr>
        <w:t>(201</w:t>
      </w:r>
      <w:r w:rsidR="00EC5D83">
        <w:rPr>
          <w:sz w:val="36"/>
          <w:szCs w:val="36"/>
        </w:rPr>
        <w:t>4</w:t>
      </w:r>
      <w:r>
        <w:rPr>
          <w:sz w:val="36"/>
          <w:szCs w:val="36"/>
        </w:rPr>
        <w:t>-201</w:t>
      </w:r>
      <w:r w:rsidR="00EC5D83">
        <w:rPr>
          <w:sz w:val="36"/>
          <w:szCs w:val="36"/>
        </w:rPr>
        <w:t>5</w:t>
      </w:r>
      <w:r>
        <w:rPr>
          <w:sz w:val="36"/>
          <w:szCs w:val="36"/>
        </w:rPr>
        <w:t>)</w:t>
      </w:r>
      <w:r w:rsidRPr="009E7092">
        <w:rPr>
          <w:sz w:val="36"/>
          <w:szCs w:val="36"/>
        </w:rPr>
        <w:t xml:space="preserve"> Determination </w:t>
      </w:r>
      <w:bookmarkEnd w:id="0"/>
      <w:r>
        <w:rPr>
          <w:sz w:val="36"/>
          <w:szCs w:val="36"/>
        </w:rPr>
        <w:t>201</w:t>
      </w:r>
      <w:r w:rsidR="00EC5D83">
        <w:rPr>
          <w:sz w:val="36"/>
          <w:szCs w:val="36"/>
        </w:rPr>
        <w:t>4</w:t>
      </w:r>
      <w:r>
        <w:rPr>
          <w:sz w:val="36"/>
          <w:szCs w:val="36"/>
        </w:rPr>
        <w:t xml:space="preserve"> – </w:t>
      </w:r>
    </w:p>
    <w:p w:rsidR="00D62A66" w:rsidRPr="00135F7D" w:rsidRDefault="00D62A66" w:rsidP="00D62A66">
      <w:pPr>
        <w:pStyle w:val="Title"/>
        <w:pBdr>
          <w:bottom w:val="single" w:sz="4" w:space="3" w:color="auto"/>
        </w:pBdr>
        <w:tabs>
          <w:tab w:val="left" w:pos="900"/>
        </w:tabs>
        <w:spacing w:before="0"/>
        <w:rPr>
          <w:sz w:val="36"/>
          <w:szCs w:val="36"/>
        </w:rPr>
      </w:pPr>
      <w:r>
        <w:rPr>
          <w:sz w:val="36"/>
          <w:szCs w:val="36"/>
        </w:rPr>
        <w:t>Explanatory Statement</w:t>
      </w:r>
    </w:p>
    <w:p w:rsidR="00D62A66" w:rsidRDefault="00D62A66" w:rsidP="00D62A66">
      <w:pPr>
        <w:pStyle w:val="A1"/>
        <w:spacing w:before="240"/>
        <w:ind w:left="900" w:hanging="900"/>
      </w:pPr>
    </w:p>
    <w:p w:rsidR="00D62A66" w:rsidRDefault="00D62A66" w:rsidP="00D62A66">
      <w:pPr>
        <w:pStyle w:val="A1"/>
        <w:spacing w:before="240"/>
        <w:ind w:left="900" w:hanging="900"/>
      </w:pPr>
      <w:r w:rsidRPr="00EE76F1">
        <w:t>1</w:t>
      </w:r>
      <w:r w:rsidRPr="00BD6B01">
        <w:tab/>
        <w:t>Name of Determination</w:t>
      </w:r>
    </w:p>
    <w:p w:rsidR="00D62A66" w:rsidRDefault="00D62A66" w:rsidP="004A6C42">
      <w:pPr>
        <w:pStyle w:val="A1"/>
        <w:tabs>
          <w:tab w:val="left" w:pos="900"/>
        </w:tabs>
        <w:spacing w:before="240"/>
        <w:ind w:left="900" w:hanging="900"/>
        <w:rPr>
          <w:rFonts w:ascii="Times New Roman" w:hAnsi="Times New Roman"/>
          <w:b w:val="0"/>
          <w:i/>
        </w:rPr>
      </w:pPr>
      <w:r>
        <w:tab/>
      </w:r>
      <w:r w:rsidRPr="009164AF">
        <w:rPr>
          <w:rFonts w:ascii="Times New Roman" w:hAnsi="Times New Roman"/>
          <w:b w:val="0"/>
        </w:rPr>
        <w:t xml:space="preserve">This determination is the </w:t>
      </w:r>
      <w:r w:rsidRPr="009164AF">
        <w:rPr>
          <w:rFonts w:ascii="Times New Roman" w:hAnsi="Times New Roman"/>
          <w:b w:val="0"/>
          <w:i/>
        </w:rPr>
        <w:t xml:space="preserve">Superannuation (PSS) Maximum Benefits </w:t>
      </w:r>
      <w:r>
        <w:rPr>
          <w:rFonts w:ascii="Times New Roman" w:hAnsi="Times New Roman"/>
          <w:b w:val="0"/>
          <w:i/>
        </w:rPr>
        <w:br/>
      </w:r>
      <w:r w:rsidRPr="009164AF">
        <w:rPr>
          <w:rFonts w:ascii="Times New Roman" w:hAnsi="Times New Roman"/>
          <w:b w:val="0"/>
          <w:i/>
        </w:rPr>
        <w:t>(20</w:t>
      </w:r>
      <w:r w:rsidR="005A7AEC">
        <w:rPr>
          <w:rFonts w:ascii="Times New Roman" w:hAnsi="Times New Roman"/>
          <w:b w:val="0"/>
          <w:i/>
        </w:rPr>
        <w:t>1</w:t>
      </w:r>
      <w:r w:rsidR="00EC5D83">
        <w:rPr>
          <w:rFonts w:ascii="Times New Roman" w:hAnsi="Times New Roman"/>
          <w:b w:val="0"/>
          <w:i/>
        </w:rPr>
        <w:t>4</w:t>
      </w:r>
      <w:r w:rsidR="005A7AEC">
        <w:rPr>
          <w:rFonts w:ascii="Times New Roman" w:hAnsi="Times New Roman"/>
          <w:b w:val="0"/>
          <w:i/>
        </w:rPr>
        <w:t>-201</w:t>
      </w:r>
      <w:r w:rsidR="00EC5D83">
        <w:rPr>
          <w:rFonts w:ascii="Times New Roman" w:hAnsi="Times New Roman"/>
          <w:b w:val="0"/>
          <w:i/>
        </w:rPr>
        <w:t>5</w:t>
      </w:r>
      <w:r w:rsidRPr="009164AF">
        <w:rPr>
          <w:rFonts w:ascii="Times New Roman" w:hAnsi="Times New Roman"/>
          <w:b w:val="0"/>
          <w:i/>
        </w:rPr>
        <w:t>) Determination 20</w:t>
      </w:r>
      <w:r>
        <w:rPr>
          <w:rFonts w:ascii="Times New Roman" w:hAnsi="Times New Roman"/>
          <w:b w:val="0"/>
          <w:i/>
        </w:rPr>
        <w:t>1</w:t>
      </w:r>
      <w:r w:rsidR="00EC5D83">
        <w:rPr>
          <w:rFonts w:ascii="Times New Roman" w:hAnsi="Times New Roman"/>
          <w:b w:val="0"/>
          <w:i/>
        </w:rPr>
        <w:t>4</w:t>
      </w:r>
      <w:r w:rsidRPr="009164AF">
        <w:rPr>
          <w:rFonts w:ascii="Times New Roman" w:hAnsi="Times New Roman"/>
          <w:b w:val="0"/>
          <w:i/>
        </w:rPr>
        <w:t>.</w:t>
      </w:r>
    </w:p>
    <w:p w:rsidR="004A6C42" w:rsidRPr="004A6C42" w:rsidRDefault="004A6C42" w:rsidP="004A6C42"/>
    <w:p w:rsidR="00D62A66" w:rsidRPr="00766879" w:rsidRDefault="00D62A66" w:rsidP="00D62A66">
      <w:pPr>
        <w:pStyle w:val="A2"/>
        <w:tabs>
          <w:tab w:val="clear" w:pos="794"/>
          <w:tab w:val="right" w:pos="0"/>
          <w:tab w:val="left" w:pos="900"/>
        </w:tabs>
        <w:ind w:left="900" w:right="-328" w:hanging="900"/>
        <w:jc w:val="left"/>
        <w:rPr>
          <w:rFonts w:ascii="Arial" w:hAnsi="Arial" w:cs="Arial"/>
          <w:b/>
        </w:rPr>
      </w:pPr>
      <w:r w:rsidRPr="00766879">
        <w:rPr>
          <w:rFonts w:ascii="Arial" w:hAnsi="Arial" w:cs="Arial"/>
          <w:b/>
        </w:rPr>
        <w:t>2</w:t>
      </w:r>
      <w:r>
        <w:rPr>
          <w:rFonts w:ascii="Arial" w:hAnsi="Arial" w:cs="Arial"/>
        </w:rPr>
        <w:tab/>
      </w:r>
      <w:r w:rsidRPr="00766879">
        <w:rPr>
          <w:rFonts w:ascii="Arial" w:hAnsi="Arial" w:cs="Arial"/>
          <w:b/>
        </w:rPr>
        <w:t>Commencement</w:t>
      </w:r>
    </w:p>
    <w:p w:rsidR="00D62A66" w:rsidRDefault="00D62A66" w:rsidP="00D62A66">
      <w:pPr>
        <w:ind w:right="212"/>
      </w:pPr>
    </w:p>
    <w:p w:rsidR="00D62A66" w:rsidRDefault="00D62A66" w:rsidP="00D62A66">
      <w:pPr>
        <w:tabs>
          <w:tab w:val="left" w:pos="900"/>
        </w:tabs>
        <w:ind w:left="900" w:hanging="900"/>
      </w:pPr>
      <w:r>
        <w:tab/>
        <w:t>This determination takes effect on 1 July 201</w:t>
      </w:r>
      <w:r w:rsidR="00EC5D83">
        <w:t>4</w:t>
      </w:r>
      <w:r>
        <w:t>.</w:t>
      </w:r>
    </w:p>
    <w:p w:rsidR="00D62A66" w:rsidRDefault="00D62A66" w:rsidP="00D62A66"/>
    <w:p w:rsidR="00D62A66" w:rsidRPr="00766879" w:rsidRDefault="00D62A66" w:rsidP="00D62A66">
      <w:pPr>
        <w:numPr>
          <w:ilvl w:val="0"/>
          <w:numId w:val="37"/>
        </w:numPr>
        <w:tabs>
          <w:tab w:val="clear" w:pos="1260"/>
          <w:tab w:val="left" w:pos="0"/>
          <w:tab w:val="num" w:pos="900"/>
        </w:tabs>
        <w:ind w:left="900"/>
        <w:rPr>
          <w:rFonts w:ascii="Arial" w:hAnsi="Arial" w:cs="Arial"/>
        </w:rPr>
      </w:pPr>
      <w:r w:rsidRPr="00766879">
        <w:rPr>
          <w:rFonts w:ascii="Arial" w:hAnsi="Arial" w:cs="Arial"/>
          <w:b/>
        </w:rPr>
        <w:t>Purpose</w:t>
      </w:r>
    </w:p>
    <w:p w:rsidR="00D62A66" w:rsidRDefault="00D62A66" w:rsidP="00D62A66">
      <w:pPr>
        <w:tabs>
          <w:tab w:val="left" w:pos="900"/>
        </w:tabs>
      </w:pPr>
    </w:p>
    <w:p w:rsidR="00D62A66" w:rsidRPr="00766879" w:rsidRDefault="00D62A66" w:rsidP="00D62A66">
      <w:pPr>
        <w:tabs>
          <w:tab w:val="left" w:pos="900"/>
        </w:tabs>
      </w:pPr>
      <w:r>
        <w:tab/>
        <w:t xml:space="preserve">The purpose of the determination is to set new maximum benefits for the </w:t>
      </w:r>
      <w:r>
        <w:tab/>
        <w:t xml:space="preserve">Public Sector Superannuation (PSS) scheme to apply for the financial year </w:t>
      </w:r>
      <w:r>
        <w:tab/>
        <w:t>beginning on 1 July 201</w:t>
      </w:r>
      <w:r w:rsidR="00EC5D83">
        <w:t>4</w:t>
      </w:r>
      <w:r>
        <w:t xml:space="preserve">. </w:t>
      </w:r>
    </w:p>
    <w:p w:rsidR="00D62A66" w:rsidRPr="002444FA" w:rsidRDefault="00D62A66" w:rsidP="00D62A66"/>
    <w:p w:rsidR="00D62A66" w:rsidRPr="002444FA" w:rsidRDefault="00D62A66" w:rsidP="00D62A66">
      <w:pPr>
        <w:pStyle w:val="SchedSectionBreak"/>
        <w:tabs>
          <w:tab w:val="left" w:pos="900"/>
        </w:tabs>
        <w:rPr>
          <w:rFonts w:ascii="Arial" w:hAnsi="Arial" w:cs="Arial"/>
          <w:b/>
        </w:rPr>
      </w:pPr>
      <w:r>
        <w:rPr>
          <w:rFonts w:ascii="Arial" w:hAnsi="Arial" w:cs="Arial"/>
          <w:b/>
        </w:rPr>
        <w:t>4</w:t>
      </w:r>
      <w:r>
        <w:rPr>
          <w:rFonts w:ascii="Arial" w:hAnsi="Arial" w:cs="Arial"/>
          <w:b/>
        </w:rPr>
        <w:tab/>
        <w:t>Background</w:t>
      </w:r>
    </w:p>
    <w:p w:rsidR="00D62A66" w:rsidRDefault="00D62A66" w:rsidP="00D62A66">
      <w:pPr>
        <w:ind w:left="900"/>
      </w:pPr>
    </w:p>
    <w:p w:rsidR="00D62A66" w:rsidRPr="008104F4" w:rsidRDefault="00D62A66" w:rsidP="00D62A66">
      <w:pPr>
        <w:ind w:left="900"/>
        <w:rPr>
          <w:i/>
        </w:rPr>
      </w:pPr>
      <w:r>
        <w:rPr>
          <w:i/>
        </w:rPr>
        <w:t>Establishment of the PSS Scheme</w:t>
      </w:r>
    </w:p>
    <w:p w:rsidR="00D62A66" w:rsidRDefault="00D62A66" w:rsidP="00D62A66">
      <w:pPr>
        <w:ind w:left="900"/>
      </w:pPr>
    </w:p>
    <w:p w:rsidR="00D62A66" w:rsidRDefault="00D62A66" w:rsidP="00D62A66">
      <w:pPr>
        <w:ind w:left="900"/>
      </w:pPr>
      <w:r>
        <w:t xml:space="preserve">The PSS scheme is established by the </w:t>
      </w:r>
      <w:r w:rsidRPr="00087F8B">
        <w:rPr>
          <w:i/>
        </w:rPr>
        <w:t>Superannuation Act 1990</w:t>
      </w:r>
      <w:r>
        <w:t xml:space="preserve">, a Trust Deed and Rules. </w:t>
      </w:r>
    </w:p>
    <w:p w:rsidR="00D62A66" w:rsidRDefault="00D62A66" w:rsidP="00D62A66"/>
    <w:p w:rsidR="00D62A66" w:rsidRDefault="00D62A66" w:rsidP="00D62A66">
      <w:pPr>
        <w:tabs>
          <w:tab w:val="left" w:pos="900"/>
        </w:tabs>
        <w:ind w:left="900" w:hanging="900"/>
      </w:pPr>
      <w:r>
        <w:tab/>
        <w:t>The PSS Rules were renumbered with effect from 1 July 1995, as a result of amendments made by the Ninth Amending Trust Deed.</w:t>
      </w:r>
    </w:p>
    <w:p w:rsidR="00D62A66" w:rsidRDefault="00D62A66" w:rsidP="00D62A66">
      <w:pPr>
        <w:ind w:left="900" w:hanging="900"/>
      </w:pPr>
    </w:p>
    <w:p w:rsidR="00D62A66" w:rsidRDefault="00D62A66" w:rsidP="00D62A66">
      <w:pPr>
        <w:ind w:left="900" w:hanging="720"/>
      </w:pPr>
      <w:r>
        <w:tab/>
        <w:t xml:space="preserve">The PSS Rules were amended by the Twenty-Eighth Amending Trust Deed executed in 2007 by the deletion of a “B” before each rule with effect from 29 June 2007. </w:t>
      </w:r>
    </w:p>
    <w:p w:rsidR="00D62A66" w:rsidRDefault="00D62A66" w:rsidP="00D62A66">
      <w:pPr>
        <w:ind w:left="900" w:hanging="900"/>
      </w:pPr>
    </w:p>
    <w:p w:rsidR="00D62A66" w:rsidRPr="00F55401" w:rsidRDefault="00D62A66" w:rsidP="00D62A66">
      <w:pPr>
        <w:ind w:left="900" w:hanging="900"/>
        <w:rPr>
          <w:i/>
        </w:rPr>
      </w:pPr>
      <w:r>
        <w:tab/>
      </w:r>
      <w:r>
        <w:rPr>
          <w:i/>
        </w:rPr>
        <w:t>Maximum Benefits</w:t>
      </w:r>
    </w:p>
    <w:p w:rsidR="00D62A66" w:rsidRDefault="00D62A66" w:rsidP="00D62A66">
      <w:pPr>
        <w:ind w:left="900" w:hanging="900"/>
      </w:pPr>
      <w:r>
        <w:tab/>
      </w:r>
    </w:p>
    <w:p w:rsidR="00D62A66" w:rsidRDefault="00D62A66" w:rsidP="00D62A66">
      <w:pPr>
        <w:ind w:left="900"/>
      </w:pPr>
      <w:r>
        <w:t xml:space="preserve">The PSS Rules contain specific rules specifying maximum benefits for scheme members and employees of the Australian Federal Police (AFP).  </w:t>
      </w:r>
    </w:p>
    <w:p w:rsidR="00D62A66" w:rsidRDefault="00D62A66" w:rsidP="00D62A66">
      <w:pPr>
        <w:ind w:left="900"/>
      </w:pPr>
    </w:p>
    <w:p w:rsidR="00D62A66" w:rsidRDefault="00D62A66" w:rsidP="00D62A66">
      <w:pPr>
        <w:ind w:left="900"/>
      </w:pPr>
      <w:r w:rsidRPr="003D1B70">
        <w:t>The</w:t>
      </w:r>
      <w:r>
        <w:t xml:space="preserve"> l</w:t>
      </w:r>
      <w:r w:rsidRPr="003D1B70">
        <w:t xml:space="preserve">ump sum and pension </w:t>
      </w:r>
      <w:r>
        <w:t>maximum benefits</w:t>
      </w:r>
      <w:r w:rsidRPr="003D1B70">
        <w:t xml:space="preserve"> for AFP </w:t>
      </w:r>
      <w:r>
        <w:t xml:space="preserve">employees who are PSS members </w:t>
      </w:r>
      <w:r w:rsidRPr="003D1B70">
        <w:t xml:space="preserve">are designed to take into account a special superannuation entitlement </w:t>
      </w:r>
      <w:r>
        <w:t xml:space="preserve">paid by the AFP.  </w:t>
      </w:r>
      <w:r w:rsidRPr="003D1B70">
        <w:t>The</w:t>
      </w:r>
      <w:r w:rsidRPr="00C42C05">
        <w:t xml:space="preserve"> </w:t>
      </w:r>
      <w:r>
        <w:t>maximum benefits</w:t>
      </w:r>
      <w:r w:rsidRPr="003D1B70">
        <w:t xml:space="preserve"> </w:t>
      </w:r>
      <w:r>
        <w:t>f</w:t>
      </w:r>
      <w:r w:rsidRPr="003D1B70">
        <w:t xml:space="preserve">or these members place a limit on the combined AFP special benefit and the PSS benefit.  </w:t>
      </w:r>
    </w:p>
    <w:p w:rsidR="00D62A66" w:rsidRDefault="00D62A66" w:rsidP="00D62A66">
      <w:pPr>
        <w:ind w:left="900"/>
      </w:pPr>
    </w:p>
    <w:p w:rsidR="00D62A66" w:rsidRDefault="00D62A66" w:rsidP="00D62A66">
      <w:pPr>
        <w:ind w:left="900"/>
      </w:pPr>
      <w:r w:rsidRPr="003D1B70">
        <w:t xml:space="preserve">The </w:t>
      </w:r>
      <w:r>
        <w:t>maximum benefits</w:t>
      </w:r>
      <w:r w:rsidRPr="003D1B70">
        <w:t xml:space="preserve"> also place a cap on the employer cost of the PSS.  </w:t>
      </w:r>
    </w:p>
    <w:p w:rsidR="00D62A66" w:rsidRDefault="00D62A66" w:rsidP="00D62A66">
      <w:pPr>
        <w:ind w:left="900"/>
      </w:pPr>
    </w:p>
    <w:p w:rsidR="00D62A66" w:rsidRDefault="00D62A66" w:rsidP="00D62A66">
      <w:pPr>
        <w:ind w:left="900"/>
        <w:rPr>
          <w:i/>
        </w:rPr>
      </w:pPr>
    </w:p>
    <w:p w:rsidR="00D62A66" w:rsidRDefault="00D62A66" w:rsidP="00D62A66">
      <w:pPr>
        <w:ind w:left="900"/>
        <w:rPr>
          <w:i/>
        </w:rPr>
      </w:pPr>
    </w:p>
    <w:p w:rsidR="00D62A66" w:rsidRDefault="00D62A66" w:rsidP="00D62A66">
      <w:pPr>
        <w:ind w:left="900"/>
        <w:rPr>
          <w:i/>
        </w:rPr>
      </w:pPr>
    </w:p>
    <w:p w:rsidR="00D62A66" w:rsidRDefault="00D62A66" w:rsidP="00D62A66">
      <w:pPr>
        <w:tabs>
          <w:tab w:val="left" w:pos="1335"/>
        </w:tabs>
        <w:ind w:left="900"/>
        <w:rPr>
          <w:i/>
        </w:rPr>
      </w:pPr>
      <w:r>
        <w:rPr>
          <w:i/>
        </w:rPr>
        <w:tab/>
      </w:r>
    </w:p>
    <w:p w:rsidR="00D62A66" w:rsidRDefault="00D62A66" w:rsidP="00D62A66">
      <w:pPr>
        <w:ind w:left="900"/>
        <w:rPr>
          <w:i/>
        </w:rPr>
      </w:pPr>
    </w:p>
    <w:p w:rsidR="00D62A66" w:rsidRPr="00F55401" w:rsidRDefault="00D62A66" w:rsidP="00D62A66">
      <w:pPr>
        <w:ind w:left="900"/>
        <w:rPr>
          <w:i/>
        </w:rPr>
      </w:pPr>
      <w:r w:rsidRPr="00F55401">
        <w:rPr>
          <w:i/>
        </w:rPr>
        <w:lastRenderedPageBreak/>
        <w:t>Relevant Rules</w:t>
      </w:r>
    </w:p>
    <w:p w:rsidR="00D62A66" w:rsidRDefault="00D62A66" w:rsidP="00D62A66">
      <w:pPr>
        <w:ind w:left="900"/>
      </w:pPr>
    </w:p>
    <w:p w:rsidR="00D62A66" w:rsidRPr="00087F8B" w:rsidRDefault="00D62A66" w:rsidP="00D62A66">
      <w:pPr>
        <w:ind w:left="900" w:hanging="900"/>
      </w:pPr>
      <w:r>
        <w:tab/>
        <w:t xml:space="preserve">Under the renumbered PSS Rules that came into effect on 1 July 1995, rules 5.6.1, 5.7.1 and 5.7.2 set out the </w:t>
      </w:r>
      <w:r w:rsidRPr="00E32E72">
        <w:rPr>
          <w:i/>
          <w:iCs/>
        </w:rPr>
        <w:t xml:space="preserve">Table of </w:t>
      </w:r>
      <w:r>
        <w:rPr>
          <w:i/>
          <w:iCs/>
        </w:rPr>
        <w:t>Maximum Benefits</w:t>
      </w:r>
      <w:r w:rsidRPr="00E32E72">
        <w:rPr>
          <w:i/>
          <w:iCs/>
        </w:rPr>
        <w:t xml:space="preserve"> Rates</w:t>
      </w:r>
      <w:r>
        <w:rPr>
          <w:iCs/>
        </w:rPr>
        <w:t xml:space="preserve">.  </w:t>
      </w:r>
    </w:p>
    <w:p w:rsidR="00D62A66" w:rsidRDefault="00D62A66" w:rsidP="00D62A66">
      <w:pPr>
        <w:ind w:left="900"/>
      </w:pPr>
    </w:p>
    <w:p w:rsidR="00D62A66" w:rsidRDefault="00D62A66" w:rsidP="00D62A66">
      <w:pPr>
        <w:ind w:left="900"/>
      </w:pPr>
      <w:r>
        <w:t xml:space="preserve">In particular, the rules dealt with the following: </w:t>
      </w:r>
    </w:p>
    <w:p w:rsidR="00D62A66" w:rsidRDefault="00D62A66" w:rsidP="00D62A66">
      <w:pPr>
        <w:ind w:left="900"/>
      </w:pPr>
    </w:p>
    <w:p w:rsidR="00D62A66" w:rsidRDefault="00D62A66" w:rsidP="00D62A66">
      <w:pPr>
        <w:numPr>
          <w:ilvl w:val="0"/>
          <w:numId w:val="35"/>
        </w:numPr>
      </w:pPr>
      <w:r>
        <w:t>rule 5.6.1 – maximum lump sum benefits for members;</w:t>
      </w:r>
    </w:p>
    <w:p w:rsidR="00D62A66" w:rsidRDefault="00D62A66" w:rsidP="00D62A66">
      <w:pPr>
        <w:numPr>
          <w:ilvl w:val="0"/>
          <w:numId w:val="35"/>
        </w:numPr>
      </w:pPr>
      <w:r>
        <w:t>rule 5.7.1 – maximum lump sum benefits for AFP employees; and</w:t>
      </w:r>
    </w:p>
    <w:p w:rsidR="00D62A66" w:rsidRDefault="00D62A66" w:rsidP="00D62A66">
      <w:pPr>
        <w:numPr>
          <w:ilvl w:val="0"/>
          <w:numId w:val="35"/>
        </w:numPr>
      </w:pPr>
      <w:proofErr w:type="gramStart"/>
      <w:r>
        <w:t>rule</w:t>
      </w:r>
      <w:proofErr w:type="gramEnd"/>
      <w:r>
        <w:t xml:space="preserve"> 5.7.2 – maximum pension benefits for AFP employees. </w:t>
      </w:r>
    </w:p>
    <w:p w:rsidR="00D62A66" w:rsidRDefault="00D62A66" w:rsidP="00D62A66">
      <w:pPr>
        <w:ind w:left="900"/>
      </w:pPr>
    </w:p>
    <w:p w:rsidR="00D62A66" w:rsidRDefault="00D62A66" w:rsidP="00D62A66">
      <w:pPr>
        <w:ind w:left="900"/>
      </w:pPr>
      <w:r>
        <w:t xml:space="preserve">The amounts in the tables in rules 5.6.1 and 5.7.1 are the same.  </w:t>
      </w:r>
    </w:p>
    <w:p w:rsidR="00D62A66" w:rsidRDefault="00D62A66" w:rsidP="00D62A66">
      <w:pPr>
        <w:ind w:left="900"/>
      </w:pPr>
    </w:p>
    <w:p w:rsidR="00D62A66" w:rsidRDefault="00D62A66" w:rsidP="00D62A66">
      <w:pPr>
        <w:ind w:left="900"/>
      </w:pPr>
      <w:r>
        <w:t xml:space="preserve">Each rule sets out a table containing the maximum benefits to apply from     1 July 1995 until amended.  </w:t>
      </w:r>
    </w:p>
    <w:p w:rsidR="00D62A66" w:rsidRDefault="00D62A66" w:rsidP="00D62A66">
      <w:pPr>
        <w:ind w:left="900"/>
      </w:pPr>
    </w:p>
    <w:p w:rsidR="00D62A66" w:rsidRPr="00F55401" w:rsidRDefault="00D62A66" w:rsidP="00D62A66">
      <w:pPr>
        <w:ind w:left="900"/>
        <w:rPr>
          <w:i/>
        </w:rPr>
      </w:pPr>
      <w:r>
        <w:rPr>
          <w:i/>
        </w:rPr>
        <w:t>Power to Amend Maximum Benefits</w:t>
      </w:r>
    </w:p>
    <w:p w:rsidR="00D62A66" w:rsidRDefault="00D62A66" w:rsidP="00D62A66">
      <w:pPr>
        <w:ind w:left="900"/>
      </w:pPr>
    </w:p>
    <w:p w:rsidR="00D62A66" w:rsidRDefault="00D62A66" w:rsidP="00D62A66">
      <w:pPr>
        <w:ind w:left="900"/>
      </w:pPr>
      <w:r>
        <w:t>Pursuant to rules 5.6.5 and 5.7.7 the Commonwealth Superannuation Corporation (CSC) is empowered to determine maximum benefits for the purposes of the PSS scheme, with effect from 1 July 1995 each year:</w:t>
      </w:r>
    </w:p>
    <w:p w:rsidR="00D62A66" w:rsidRPr="00665888" w:rsidRDefault="00D62A66" w:rsidP="00D62A66">
      <w:pPr>
        <w:ind w:left="1800"/>
      </w:pPr>
    </w:p>
    <w:p w:rsidR="00D62A66" w:rsidRDefault="00D62A66" w:rsidP="00D62A66">
      <w:pPr>
        <w:numPr>
          <w:ilvl w:val="1"/>
          <w:numId w:val="36"/>
        </w:numPr>
        <w:tabs>
          <w:tab w:val="clear" w:pos="1440"/>
          <w:tab w:val="num" w:pos="1620"/>
        </w:tabs>
        <w:ind w:left="1620"/>
      </w:pPr>
      <w:proofErr w:type="gramStart"/>
      <w:r>
        <w:t>under</w:t>
      </w:r>
      <w:proofErr w:type="gramEnd"/>
      <w:r>
        <w:t xml:space="preserve"> r</w:t>
      </w:r>
      <w:r w:rsidRPr="003D1B70">
        <w:t xml:space="preserve">ule 5.6.5 </w:t>
      </w:r>
      <w:r>
        <w:t xml:space="preserve">CSC has the power to </w:t>
      </w:r>
      <w:r w:rsidRPr="003D1B70">
        <w:t>determin</w:t>
      </w:r>
      <w:r>
        <w:t xml:space="preserve">e the </w:t>
      </w:r>
      <w:r w:rsidRPr="003D1B70">
        <w:t xml:space="preserve">amounts </w:t>
      </w:r>
      <w:r>
        <w:t xml:space="preserve">to be substituted into the </w:t>
      </w:r>
      <w:r w:rsidRPr="00393057">
        <w:rPr>
          <w:i/>
        </w:rPr>
        <w:t>Table -</w:t>
      </w:r>
      <w:r>
        <w:rPr>
          <w:i/>
        </w:rPr>
        <w:t xml:space="preserve"> </w:t>
      </w:r>
      <w:r w:rsidRPr="003D1B70">
        <w:rPr>
          <w:i/>
          <w:iCs/>
        </w:rPr>
        <w:t>Maximum Benefits</w:t>
      </w:r>
      <w:r w:rsidRPr="003D1B70">
        <w:t xml:space="preserve"> in </w:t>
      </w:r>
      <w:r>
        <w:t>r</w:t>
      </w:r>
      <w:r w:rsidRPr="003D1B70">
        <w:t xml:space="preserve">ule 5.6.1.  </w:t>
      </w:r>
    </w:p>
    <w:p w:rsidR="00D62A66" w:rsidRDefault="00D62A66" w:rsidP="00D62A66">
      <w:pPr>
        <w:ind w:left="964"/>
      </w:pPr>
    </w:p>
    <w:p w:rsidR="00D62A66" w:rsidRDefault="00D62A66" w:rsidP="00D62A66">
      <w:pPr>
        <w:numPr>
          <w:ilvl w:val="1"/>
          <w:numId w:val="36"/>
        </w:numPr>
        <w:tabs>
          <w:tab w:val="clear" w:pos="1440"/>
          <w:tab w:val="num" w:pos="1260"/>
          <w:tab w:val="left" w:pos="1620"/>
        </w:tabs>
        <w:ind w:left="1620"/>
      </w:pPr>
      <w:proofErr w:type="gramStart"/>
      <w:r>
        <w:t>u</w:t>
      </w:r>
      <w:r w:rsidRPr="003D1B70">
        <w:t>nder</w:t>
      </w:r>
      <w:proofErr w:type="gramEnd"/>
      <w:r w:rsidRPr="003D1B70">
        <w:t xml:space="preserve"> </w:t>
      </w:r>
      <w:r>
        <w:t xml:space="preserve">rule 5.7.7 CSC has the power to determine </w:t>
      </w:r>
      <w:r w:rsidRPr="003D1B70">
        <w:t xml:space="preserve">the amounts </w:t>
      </w:r>
      <w:r>
        <w:t xml:space="preserve">to be substituted into the </w:t>
      </w:r>
      <w:r w:rsidRPr="003D1B70">
        <w:rPr>
          <w:i/>
          <w:iCs/>
        </w:rPr>
        <w:t>Table - AFP Preliminary</w:t>
      </w:r>
      <w:r>
        <w:rPr>
          <w:i/>
          <w:iCs/>
        </w:rPr>
        <w:t xml:space="preserve"> </w:t>
      </w:r>
      <w:r w:rsidRPr="003D1B70">
        <w:rPr>
          <w:i/>
          <w:iCs/>
        </w:rPr>
        <w:t>Maximum Benefits -</w:t>
      </w:r>
      <w:r>
        <w:rPr>
          <w:i/>
          <w:iCs/>
        </w:rPr>
        <w:t xml:space="preserve"> </w:t>
      </w:r>
      <w:r w:rsidRPr="003D1B70">
        <w:rPr>
          <w:i/>
          <w:iCs/>
        </w:rPr>
        <w:t>Lump Sums</w:t>
      </w:r>
      <w:r w:rsidRPr="003D1B70">
        <w:t xml:space="preserve"> in </w:t>
      </w:r>
      <w:r>
        <w:t>r</w:t>
      </w:r>
      <w:r w:rsidRPr="003D1B70">
        <w:t xml:space="preserve">ule 5.7.1 and the </w:t>
      </w:r>
      <w:r w:rsidRPr="003D1B70">
        <w:rPr>
          <w:i/>
          <w:iCs/>
        </w:rPr>
        <w:t>Table - AFP Preliminary Maximum</w:t>
      </w:r>
      <w:r>
        <w:rPr>
          <w:i/>
          <w:iCs/>
        </w:rPr>
        <w:t xml:space="preserve"> </w:t>
      </w:r>
      <w:r w:rsidRPr="003D1B70">
        <w:rPr>
          <w:i/>
          <w:iCs/>
        </w:rPr>
        <w:t>Benefits - Pensions</w:t>
      </w:r>
      <w:r w:rsidRPr="003D1B70">
        <w:t xml:space="preserve"> in </w:t>
      </w:r>
      <w:r>
        <w:t>r</w:t>
      </w:r>
      <w:r w:rsidRPr="003D1B70">
        <w:t>ule 5.7.2</w:t>
      </w:r>
      <w:r>
        <w:t xml:space="preserve">.  </w:t>
      </w:r>
    </w:p>
    <w:p w:rsidR="00D62A66" w:rsidRDefault="00D62A66" w:rsidP="00D62A66">
      <w:pPr>
        <w:ind w:left="964"/>
      </w:pPr>
    </w:p>
    <w:p w:rsidR="00D62A66" w:rsidRPr="00766879" w:rsidRDefault="00D62A66" w:rsidP="00D62A66">
      <w:pPr>
        <w:ind w:left="964"/>
        <w:rPr>
          <w:i/>
        </w:rPr>
      </w:pPr>
      <w:r>
        <w:rPr>
          <w:i/>
        </w:rPr>
        <w:t xml:space="preserve">Delegation </w:t>
      </w:r>
    </w:p>
    <w:p w:rsidR="00D62A66" w:rsidRDefault="00D62A66" w:rsidP="00D62A66">
      <w:pPr>
        <w:ind w:left="964"/>
      </w:pPr>
    </w:p>
    <w:p w:rsidR="00D62A66" w:rsidRDefault="00D62A66" w:rsidP="00D62A66">
      <w:pPr>
        <w:ind w:left="964"/>
      </w:pPr>
      <w:r>
        <w:t>CSC</w:t>
      </w:r>
      <w:r w:rsidRPr="001B560E">
        <w:t xml:space="preserve"> has delegated its power under rules 5.6.5 and 5.7.7 to relevant officers of the scheme administrator, Commonwealth Superannuation Administration (ComSuper).</w:t>
      </w:r>
    </w:p>
    <w:p w:rsidR="00D62A66" w:rsidRDefault="00D62A66" w:rsidP="00D62A66">
      <w:pPr>
        <w:ind w:left="964"/>
      </w:pPr>
    </w:p>
    <w:p w:rsidR="00D62A66" w:rsidRPr="00D45FB4" w:rsidRDefault="00D62A66" w:rsidP="00D62A66">
      <w:pPr>
        <w:ind w:left="964"/>
        <w:rPr>
          <w:i/>
        </w:rPr>
      </w:pPr>
      <w:r w:rsidRPr="00D45FB4">
        <w:rPr>
          <w:i/>
        </w:rPr>
        <w:t>Maximum Benefits in the Period 1 July 1996</w:t>
      </w:r>
      <w:r>
        <w:rPr>
          <w:i/>
        </w:rPr>
        <w:t xml:space="preserve"> </w:t>
      </w:r>
      <w:r w:rsidRPr="00D45FB4">
        <w:rPr>
          <w:i/>
        </w:rPr>
        <w:t>-</w:t>
      </w:r>
      <w:r>
        <w:rPr>
          <w:i/>
        </w:rPr>
        <w:t xml:space="preserve"> </w:t>
      </w:r>
      <w:r w:rsidRPr="00D45FB4">
        <w:rPr>
          <w:i/>
        </w:rPr>
        <w:t>30 June 200</w:t>
      </w:r>
      <w:r>
        <w:rPr>
          <w:i/>
        </w:rPr>
        <w:t>5</w:t>
      </w:r>
    </w:p>
    <w:p w:rsidR="00D62A66" w:rsidRPr="00D45FB4" w:rsidRDefault="00D62A66" w:rsidP="00D62A66">
      <w:pPr>
        <w:ind w:left="964"/>
        <w:rPr>
          <w:i/>
        </w:rPr>
      </w:pPr>
    </w:p>
    <w:p w:rsidR="00D62A66" w:rsidRPr="00D45FB4" w:rsidRDefault="00D62A66" w:rsidP="00D62A66">
      <w:pPr>
        <w:ind w:left="964"/>
      </w:pPr>
      <w:r>
        <w:t>In the period from 1</w:t>
      </w:r>
      <w:r w:rsidRPr="00D45FB4">
        <w:t xml:space="preserve"> July 1996 </w:t>
      </w:r>
      <w:r>
        <w:t>to 30 July 2005</w:t>
      </w:r>
      <w:r w:rsidRPr="00D45FB4">
        <w:t xml:space="preserve">, the amounts set out in the tables in rules 5.6.1, 5.7.1 and 5.7.2 were replaced on 1 July each year, pursuant to the </w:t>
      </w:r>
      <w:r w:rsidRPr="0054369E">
        <w:rPr>
          <w:i/>
        </w:rPr>
        <w:t>PSS (Maximum Benefits) Determination No. 1</w:t>
      </w:r>
      <w:r w:rsidRPr="00D45FB4">
        <w:t xml:space="preserve">, which was amended each year. </w:t>
      </w:r>
      <w:r>
        <w:t xml:space="preserve"> That Determination was revoked on 1 July 2005 by the </w:t>
      </w:r>
      <w:r w:rsidRPr="0054369E">
        <w:rPr>
          <w:i/>
        </w:rPr>
        <w:t>Superannuation (PSS) Maximum Benefits (2005-2006) Determination 2005</w:t>
      </w:r>
      <w:r>
        <w:t xml:space="preserve"> which set out the maximum benefits for the financial year commencing on 1 July 2005. </w:t>
      </w:r>
    </w:p>
    <w:p w:rsidR="00D62A66" w:rsidRDefault="00D62A66" w:rsidP="00D62A66"/>
    <w:p w:rsidR="00D62A66" w:rsidRPr="00D45FB4" w:rsidRDefault="00D62A66" w:rsidP="00D62A66">
      <w:pPr>
        <w:ind w:left="964"/>
        <w:rPr>
          <w:i/>
        </w:rPr>
      </w:pPr>
      <w:r w:rsidRPr="00D45FB4">
        <w:rPr>
          <w:i/>
        </w:rPr>
        <w:t xml:space="preserve">Maximum Benefits in the Period </w:t>
      </w:r>
      <w:r>
        <w:rPr>
          <w:i/>
        </w:rPr>
        <w:t xml:space="preserve">from </w:t>
      </w:r>
      <w:r w:rsidRPr="00D45FB4">
        <w:rPr>
          <w:i/>
        </w:rPr>
        <w:t>1 July 200</w:t>
      </w:r>
      <w:r>
        <w:rPr>
          <w:i/>
        </w:rPr>
        <w:t>5 – 31 December 2007</w:t>
      </w:r>
    </w:p>
    <w:p w:rsidR="00D62A66" w:rsidRDefault="00D62A66" w:rsidP="00D62A66">
      <w:pPr>
        <w:ind w:left="964"/>
      </w:pPr>
    </w:p>
    <w:p w:rsidR="00D62A66" w:rsidRDefault="00D62A66" w:rsidP="00D62A66">
      <w:pPr>
        <w:ind w:left="964"/>
      </w:pPr>
      <w:r w:rsidRPr="001B560E">
        <w:t>Maximum benefits in the period from 1 July 2005 to 31 December 2007 are set out in annual determinations that apply for the financial year commencing on 1 July each year.</w:t>
      </w:r>
      <w:r>
        <w:t xml:space="preserve"> </w:t>
      </w:r>
      <w:r>
        <w:br/>
      </w:r>
    </w:p>
    <w:p w:rsidR="00D62A66" w:rsidRDefault="00D62A66" w:rsidP="00D62A66">
      <w:pPr>
        <w:ind w:left="964"/>
      </w:pPr>
      <w:r>
        <w:br w:type="page"/>
      </w:r>
    </w:p>
    <w:p w:rsidR="00D62A66" w:rsidRPr="001B560E" w:rsidRDefault="00D62A66" w:rsidP="000C4F16">
      <w:pPr>
        <w:ind w:left="900"/>
      </w:pPr>
      <w:r w:rsidRPr="00022E3C">
        <w:rPr>
          <w:i/>
        </w:rPr>
        <w:lastRenderedPageBreak/>
        <w:t xml:space="preserve">Maximum Benefits </w:t>
      </w:r>
      <w:r>
        <w:rPr>
          <w:i/>
        </w:rPr>
        <w:t>in the Period from 1 January 2008 – 30 June 2008</w:t>
      </w:r>
      <w:r>
        <w:br/>
      </w:r>
      <w:r>
        <w:br/>
      </w:r>
      <w:r w:rsidRPr="001B560E">
        <w:t xml:space="preserve">The Twenty-Ninth Amending Trust Deed inserts new maximum benefit tables into rules 5.6.1, 5.7.1 and 5.7.2 of the PSS Rules, to apply with effect from 1 January 2008 until 30 June 2008. </w:t>
      </w:r>
    </w:p>
    <w:p w:rsidR="00D62A66" w:rsidRPr="001B560E" w:rsidRDefault="00D62A66" w:rsidP="000C4F16">
      <w:pPr>
        <w:ind w:left="964"/>
      </w:pPr>
    </w:p>
    <w:p w:rsidR="00D62A66" w:rsidRDefault="00D62A66" w:rsidP="000C4F16">
      <w:pPr>
        <w:ind w:left="964"/>
      </w:pPr>
      <w:r w:rsidRPr="001B560E">
        <w:t>The Twenty-Ninth Amending Trust Deed also amends rules 5.6.5 and 5.7.7 of the PSS Rules.</w:t>
      </w:r>
    </w:p>
    <w:p w:rsidR="00D62A66" w:rsidRDefault="00D62A66" w:rsidP="000C4F16">
      <w:pPr>
        <w:ind w:left="964"/>
      </w:pPr>
    </w:p>
    <w:p w:rsidR="00D62A66" w:rsidRPr="00EE56E2" w:rsidRDefault="00D62A66" w:rsidP="000C4F16">
      <w:pPr>
        <w:ind w:left="964"/>
        <w:rPr>
          <w:i/>
        </w:rPr>
      </w:pPr>
      <w:r w:rsidRPr="00EE56E2">
        <w:rPr>
          <w:i/>
        </w:rPr>
        <w:t>Maximum Benefits in the Period from 1 July 2008</w:t>
      </w:r>
      <w:r w:rsidR="00EC5D83">
        <w:rPr>
          <w:i/>
        </w:rPr>
        <w:t xml:space="preserve"> – 30 June 2014</w:t>
      </w:r>
      <w:r w:rsidRPr="00EE56E2">
        <w:rPr>
          <w:i/>
        </w:rPr>
        <w:br/>
      </w:r>
    </w:p>
    <w:p w:rsidR="00D62A66" w:rsidRPr="00ED67E8" w:rsidRDefault="00D62A66" w:rsidP="000C4F16">
      <w:pPr>
        <w:ind w:left="964"/>
      </w:pPr>
      <w:r w:rsidRPr="001B560E">
        <w:t xml:space="preserve">Under new rules 5.6.5 and 5.7.7, the maximum benefits set out in rules 5.6.1, 5.7.1 and 5.7.2 are amended by </w:t>
      </w:r>
      <w:r w:rsidR="004A6C42">
        <w:t xml:space="preserve">an annual </w:t>
      </w:r>
      <w:r w:rsidRPr="001B560E">
        <w:t>determination</w:t>
      </w:r>
      <w:r>
        <w:t xml:space="preserve"> </w:t>
      </w:r>
      <w:r w:rsidR="004A6C42">
        <w:t>that applies for the financial year commencing on 1 July each year.</w:t>
      </w:r>
      <w:r w:rsidRPr="001B560E">
        <w:t xml:space="preserve"> </w:t>
      </w:r>
    </w:p>
    <w:p w:rsidR="00D62A66" w:rsidRDefault="00D62A66" w:rsidP="00D62A66">
      <w:pPr>
        <w:rPr>
          <w:i/>
        </w:rPr>
      </w:pPr>
    </w:p>
    <w:p w:rsidR="000C4F16" w:rsidRPr="004C70B4" w:rsidRDefault="00EC5D83" w:rsidP="00FA25FE">
      <w:pPr>
        <w:ind w:left="964"/>
      </w:pPr>
      <w:r w:rsidRPr="004C70B4">
        <w:rPr>
          <w:i/>
        </w:rPr>
        <w:t>Maximum Benefits in the Period from 1 July 2014</w:t>
      </w:r>
      <w:r w:rsidRPr="004C70B4">
        <w:rPr>
          <w:i/>
        </w:rPr>
        <w:br/>
      </w:r>
    </w:p>
    <w:p w:rsidR="00995F4A" w:rsidRDefault="00995F4A" w:rsidP="00995F4A">
      <w:pPr>
        <w:autoSpaceDE w:val="0"/>
        <w:autoSpaceDN w:val="0"/>
        <w:adjustRightInd w:val="0"/>
        <w:ind w:left="993"/>
        <w:rPr>
          <w:highlight w:val="yellow"/>
        </w:rPr>
      </w:pPr>
      <w:r>
        <w:rPr>
          <w:rFonts w:eastAsiaTheme="minorHAnsi"/>
        </w:rPr>
        <w:t xml:space="preserve">The Thirty-Eighth Amending </w:t>
      </w:r>
      <w:r w:rsidR="00926172">
        <w:rPr>
          <w:rFonts w:eastAsiaTheme="minorHAnsi"/>
        </w:rPr>
        <w:t xml:space="preserve">Trust </w:t>
      </w:r>
      <w:r>
        <w:rPr>
          <w:rFonts w:eastAsiaTheme="minorHAnsi"/>
        </w:rPr>
        <w:t xml:space="preserve">Deed amends the </w:t>
      </w:r>
      <w:r w:rsidR="00926172">
        <w:rPr>
          <w:rFonts w:eastAsiaTheme="minorHAnsi"/>
        </w:rPr>
        <w:t xml:space="preserve">PSS Rules </w:t>
      </w:r>
      <w:r>
        <w:rPr>
          <w:rFonts w:eastAsiaTheme="minorHAnsi"/>
        </w:rPr>
        <w:t>to update the method of indexing increases to the maximum benefits tables in response to the change in frequency of the Average Weekly Earnings survey by the Australian Bureau of Statistics, from a quarterly survey to a biannual survey.</w:t>
      </w:r>
    </w:p>
    <w:p w:rsidR="00995F4A" w:rsidRDefault="00995F4A" w:rsidP="00FA25FE">
      <w:pPr>
        <w:ind w:left="964"/>
        <w:rPr>
          <w:highlight w:val="yellow"/>
        </w:rPr>
      </w:pPr>
    </w:p>
    <w:p w:rsidR="000C4F16" w:rsidRPr="004C70B4" w:rsidRDefault="00995F4A" w:rsidP="00FA25FE">
      <w:pPr>
        <w:ind w:left="964"/>
      </w:pPr>
      <w:r w:rsidRPr="004C70B4">
        <w:t xml:space="preserve">The </w:t>
      </w:r>
      <w:r w:rsidR="005A55BB" w:rsidRPr="004C70B4">
        <w:t>Thirty-Eighth Amending Trust Deed inserts a</w:t>
      </w:r>
      <w:r w:rsidR="000C4F16" w:rsidRPr="004C70B4">
        <w:t xml:space="preserve"> new paragraph (a) into rules 5.6.5 and 5.7.7, w</w:t>
      </w:r>
      <w:r w:rsidRPr="004C70B4">
        <w:t xml:space="preserve">ith each rule now </w:t>
      </w:r>
      <w:r w:rsidR="000C4F16" w:rsidRPr="004C70B4">
        <w:t>refer</w:t>
      </w:r>
      <w:r w:rsidRPr="004C70B4">
        <w:t>ring</w:t>
      </w:r>
      <w:r w:rsidR="000C4F16" w:rsidRPr="004C70B4">
        <w:t xml:space="preserve"> to an indexation factor calculated under new </w:t>
      </w:r>
      <w:r w:rsidR="00926172">
        <w:t>r</w:t>
      </w:r>
      <w:r w:rsidR="000C4F16" w:rsidRPr="004C70B4">
        <w:t>ule 5.6.5A or 5.6.5B, whichever is applicable</w:t>
      </w:r>
      <w:r w:rsidR="00FA25FE" w:rsidRPr="004C70B4">
        <w:t>:</w:t>
      </w:r>
    </w:p>
    <w:p w:rsidR="000C4F16" w:rsidRPr="004C70B4" w:rsidRDefault="000C4F16" w:rsidP="00FA25FE">
      <w:pPr>
        <w:ind w:left="964"/>
      </w:pPr>
    </w:p>
    <w:p w:rsidR="000C4F16" w:rsidRPr="004C70B4" w:rsidRDefault="000C4F16" w:rsidP="00FA25FE">
      <w:pPr>
        <w:pStyle w:val="ListParagraph"/>
        <w:numPr>
          <w:ilvl w:val="0"/>
          <w:numId w:val="38"/>
        </w:numPr>
      </w:pPr>
      <w:proofErr w:type="gramStart"/>
      <w:r w:rsidRPr="004C70B4">
        <w:t>r</w:t>
      </w:r>
      <w:r w:rsidR="00E41574" w:rsidRPr="004C70B4">
        <w:t>ule</w:t>
      </w:r>
      <w:proofErr w:type="gramEnd"/>
      <w:r w:rsidR="00E41574" w:rsidRPr="004C70B4">
        <w:t xml:space="preserve"> 5.6.5A sets out the manner in which the maximum benefit</w:t>
      </w:r>
      <w:r w:rsidRPr="004C70B4">
        <w:t>s indexation factor</w:t>
      </w:r>
      <w:r w:rsidR="00E41574" w:rsidRPr="004C70B4">
        <w:t xml:space="preserve"> is to be calculated in the period from </w:t>
      </w:r>
      <w:r w:rsidRPr="004C70B4">
        <w:t xml:space="preserve">1 July 2008 to 30 June 2014. </w:t>
      </w:r>
    </w:p>
    <w:p w:rsidR="000C4F16" w:rsidRPr="004C70B4" w:rsidRDefault="000C4F16" w:rsidP="00FA25FE">
      <w:pPr>
        <w:ind w:left="964"/>
      </w:pPr>
    </w:p>
    <w:p w:rsidR="00EC5D83" w:rsidRPr="004C70B4" w:rsidRDefault="000C4F16" w:rsidP="00FA25FE">
      <w:pPr>
        <w:pStyle w:val="ListParagraph"/>
        <w:numPr>
          <w:ilvl w:val="0"/>
          <w:numId w:val="38"/>
        </w:numPr>
      </w:pPr>
      <w:proofErr w:type="gramStart"/>
      <w:r w:rsidRPr="004C70B4">
        <w:t>r</w:t>
      </w:r>
      <w:r w:rsidR="00E41574" w:rsidRPr="004C70B4">
        <w:t>ule</w:t>
      </w:r>
      <w:proofErr w:type="gramEnd"/>
      <w:r w:rsidR="00E41574" w:rsidRPr="004C70B4">
        <w:t xml:space="preserve"> 5.6.5B sets out the manner in which the maximum benefits </w:t>
      </w:r>
      <w:r w:rsidRPr="004C70B4">
        <w:t xml:space="preserve">indexation factor is to be </w:t>
      </w:r>
      <w:r w:rsidR="00E41574" w:rsidRPr="004C70B4">
        <w:t xml:space="preserve">calculated with effect from 1 July 2014 and each </w:t>
      </w:r>
      <w:r w:rsidR="00FA25FE" w:rsidRPr="004C70B4">
        <w:t xml:space="preserve">later </w:t>
      </w:r>
      <w:r w:rsidR="00E41574" w:rsidRPr="004C70B4">
        <w:t xml:space="preserve">financial year. </w:t>
      </w:r>
    </w:p>
    <w:p w:rsidR="00E41574" w:rsidRPr="00FA25FE" w:rsidRDefault="00E41574" w:rsidP="00FA25FE">
      <w:pPr>
        <w:ind w:left="964"/>
        <w:rPr>
          <w:i/>
          <w:highlight w:val="yellow"/>
        </w:rPr>
      </w:pPr>
    </w:p>
    <w:p w:rsidR="00FA25FE" w:rsidRPr="004C70B4" w:rsidRDefault="00FA25FE" w:rsidP="00FA25FE">
      <w:pPr>
        <w:ind w:left="993"/>
      </w:pPr>
      <w:r w:rsidRPr="004C70B4">
        <w:t>Under new rule 5.6.5B, the indexation factor is the greater of 1, or the number calculated by “New AWOTE” divided by “Old AWOTE”</w:t>
      </w:r>
      <w:proofErr w:type="gramStart"/>
      <w:r w:rsidRPr="004C70B4">
        <w:t xml:space="preserve">, </w:t>
      </w:r>
      <w:r w:rsidR="00995F4A" w:rsidRPr="004C70B4">
        <w:t xml:space="preserve"> </w:t>
      </w:r>
      <w:r w:rsidRPr="004C70B4">
        <w:t>where</w:t>
      </w:r>
      <w:proofErr w:type="gramEnd"/>
      <w:r w:rsidRPr="004C70B4">
        <w:t xml:space="preserve"> </w:t>
      </w:r>
      <w:r w:rsidR="00A5238F" w:rsidRPr="004C70B4">
        <w:t>“</w:t>
      </w:r>
      <w:r w:rsidRPr="004C70B4">
        <w:t>AWOTE</w:t>
      </w:r>
      <w:r w:rsidR="00A5238F" w:rsidRPr="004C70B4">
        <w:t>”</w:t>
      </w:r>
      <w:r w:rsidRPr="004C70B4">
        <w:t xml:space="preserve"> is </w:t>
      </w:r>
      <w:r w:rsidR="00A5238F" w:rsidRPr="004C70B4">
        <w:t xml:space="preserve">the index number of the </w:t>
      </w:r>
      <w:r w:rsidR="00A5238F" w:rsidRPr="004C70B4">
        <w:rPr>
          <w:rFonts w:ascii="Helvetica Neue" w:hAnsi="Helvetica Neue"/>
        </w:rPr>
        <w:t xml:space="preserve">full-time adult average weekly ordinary time earnings last published by the Australian Statistician. </w:t>
      </w:r>
      <w:r w:rsidRPr="004C70B4">
        <w:t>This ensures that the maximum benefits amounts are not reduced if AWOTE was to decrease over a relevant period.</w:t>
      </w:r>
    </w:p>
    <w:p w:rsidR="00FA25FE" w:rsidRPr="004C70B4" w:rsidRDefault="00FA25FE" w:rsidP="00FA25FE">
      <w:pPr>
        <w:ind w:left="993"/>
        <w:rPr>
          <w:sz w:val="14"/>
          <w:szCs w:val="14"/>
        </w:rPr>
      </w:pPr>
    </w:p>
    <w:p w:rsidR="00FA25FE" w:rsidRPr="004C70B4" w:rsidRDefault="00FA25FE" w:rsidP="00FA25FE">
      <w:pPr>
        <w:ind w:left="993"/>
      </w:pPr>
      <w:r w:rsidRPr="004C70B4">
        <w:rPr>
          <w:sz w:val="14"/>
          <w:szCs w:val="14"/>
        </w:rPr>
        <w:t xml:space="preserve"> </w:t>
      </w:r>
      <w:r w:rsidRPr="004C70B4">
        <w:t xml:space="preserve">New AWOTE is the last AWOTE figure published by the ABS before </w:t>
      </w:r>
      <w:r w:rsidR="00995F4A" w:rsidRPr="004C70B4">
        <w:t xml:space="preserve">   </w:t>
      </w:r>
      <w:r w:rsidRPr="004C70B4">
        <w:t xml:space="preserve">1 May of the financial year immediately </w:t>
      </w:r>
      <w:proofErr w:type="gramStart"/>
      <w:r w:rsidRPr="004C70B4">
        <w:t>preceding</w:t>
      </w:r>
      <w:proofErr w:type="gramEnd"/>
      <w:r w:rsidRPr="004C70B4">
        <w:t xml:space="preserve"> the financial year that the determination applies to. For example, for the determination made to apply for the 2014-15 financial year, the figure last published before </w:t>
      </w:r>
      <w:r w:rsidR="00995F4A" w:rsidRPr="004C70B4">
        <w:t xml:space="preserve">       </w:t>
      </w:r>
      <w:r w:rsidRPr="004C70B4">
        <w:t>1 May of 2014 has been used.</w:t>
      </w:r>
    </w:p>
    <w:p w:rsidR="00FA25FE" w:rsidRPr="00FA25FE" w:rsidRDefault="00FA25FE" w:rsidP="00FA25FE">
      <w:pPr>
        <w:ind w:left="993"/>
        <w:rPr>
          <w:highlight w:val="yellow"/>
        </w:rPr>
      </w:pPr>
    </w:p>
    <w:p w:rsidR="00FA25FE" w:rsidRPr="004C70B4" w:rsidRDefault="00FA25FE" w:rsidP="00FA25FE">
      <w:pPr>
        <w:ind w:left="993"/>
      </w:pPr>
      <w:r w:rsidRPr="004C70B4">
        <w:t xml:space="preserve">Old AWOTE is the corresponding AWOTE figure published one year prior to New AWOTE. </w:t>
      </w:r>
    </w:p>
    <w:p w:rsidR="00FA25FE" w:rsidRPr="00FA25FE" w:rsidRDefault="00FA25FE" w:rsidP="00FA25FE">
      <w:pPr>
        <w:ind w:left="964"/>
        <w:rPr>
          <w:highlight w:val="yellow"/>
        </w:rPr>
      </w:pPr>
    </w:p>
    <w:p w:rsidR="00E41574" w:rsidRPr="00ED67E8" w:rsidRDefault="00E41574" w:rsidP="00FA25FE">
      <w:pPr>
        <w:ind w:left="964"/>
      </w:pPr>
      <w:r w:rsidRPr="004C70B4">
        <w:t>The arrangements whereby under rules 5.6.5 and 5.7.7 the maximum benefits set out in rules 5.6.1, 5.7.1 and 5.7.2 are amended by an annual determination that applies for the financial year commencing on 1 July each year continue to apply.</w:t>
      </w:r>
      <w:r w:rsidRPr="001B560E">
        <w:t xml:space="preserve"> </w:t>
      </w:r>
    </w:p>
    <w:p w:rsidR="00E41574" w:rsidRDefault="00E41574" w:rsidP="00FA25FE">
      <w:pPr>
        <w:rPr>
          <w:i/>
        </w:rPr>
      </w:pPr>
    </w:p>
    <w:p w:rsidR="00D62A66" w:rsidRPr="002444FA" w:rsidRDefault="00D62A66" w:rsidP="00D62A66">
      <w:pPr>
        <w:pStyle w:val="SchedSectionBreak"/>
        <w:tabs>
          <w:tab w:val="left" w:pos="900"/>
        </w:tabs>
        <w:rPr>
          <w:rFonts w:ascii="Arial" w:hAnsi="Arial" w:cs="Arial"/>
          <w:b/>
        </w:rPr>
      </w:pPr>
      <w:r>
        <w:rPr>
          <w:rFonts w:ascii="Arial" w:hAnsi="Arial" w:cs="Arial"/>
          <w:b/>
        </w:rPr>
        <w:t>5</w:t>
      </w:r>
      <w:r>
        <w:rPr>
          <w:rFonts w:ascii="Arial" w:hAnsi="Arial" w:cs="Arial"/>
          <w:b/>
        </w:rPr>
        <w:tab/>
        <w:t xml:space="preserve"> New Maximum Benefits</w:t>
      </w:r>
    </w:p>
    <w:p w:rsidR="00D62A66" w:rsidRDefault="00D62A66" w:rsidP="00D62A66">
      <w:pPr>
        <w:ind w:left="900"/>
      </w:pPr>
    </w:p>
    <w:p w:rsidR="00D62A66" w:rsidRDefault="00D62A66" w:rsidP="00D62A66">
      <w:pPr>
        <w:ind w:left="900"/>
      </w:pPr>
      <w:r>
        <w:t xml:space="preserve"> The new maximum benefits that apply with effect from 1 July 201</w:t>
      </w:r>
      <w:r w:rsidR="00EC5D83">
        <w:t>4</w:t>
      </w:r>
      <w:r>
        <w:t xml:space="preserve"> are   </w:t>
      </w:r>
    </w:p>
    <w:p w:rsidR="00D62A66" w:rsidRDefault="00D62A66" w:rsidP="00D62A66">
      <w:pPr>
        <w:ind w:left="900"/>
      </w:pPr>
      <w:r>
        <w:t xml:space="preserve"> </w:t>
      </w:r>
      <w:proofErr w:type="gramStart"/>
      <w:r>
        <w:t>set</w:t>
      </w:r>
      <w:proofErr w:type="gramEnd"/>
      <w:r>
        <w:t xml:space="preserve"> out in the determination.</w:t>
      </w:r>
    </w:p>
    <w:p w:rsidR="00D62A66" w:rsidRDefault="00D62A66" w:rsidP="00D62A66">
      <w:pPr>
        <w:ind w:left="900"/>
      </w:pPr>
    </w:p>
    <w:p w:rsidR="00D62A66" w:rsidRDefault="00D62A66" w:rsidP="00D62A66">
      <w:pPr>
        <w:tabs>
          <w:tab w:val="left" w:pos="900"/>
        </w:tabs>
        <w:ind w:left="900" w:hanging="900"/>
        <w:rPr>
          <w:rFonts w:ascii="Arial" w:hAnsi="Arial" w:cs="Arial"/>
          <w:b/>
          <w:lang w:eastAsia="en-AU"/>
        </w:rPr>
      </w:pPr>
      <w:r>
        <w:rPr>
          <w:rFonts w:ascii="Arial" w:hAnsi="Arial" w:cs="Arial"/>
          <w:b/>
        </w:rPr>
        <w:t>6</w:t>
      </w:r>
      <w:r w:rsidRPr="000532CE">
        <w:rPr>
          <w:rFonts w:ascii="Arial" w:hAnsi="Arial" w:cs="Arial"/>
          <w:b/>
          <w:i/>
        </w:rPr>
        <w:tab/>
      </w:r>
      <w:r>
        <w:rPr>
          <w:rFonts w:ascii="Arial" w:hAnsi="Arial" w:cs="Arial"/>
          <w:b/>
          <w:lang w:eastAsia="en-AU"/>
        </w:rPr>
        <w:t>References to CSC</w:t>
      </w:r>
    </w:p>
    <w:p w:rsidR="00D62A66" w:rsidRDefault="00D62A66" w:rsidP="00D62A66">
      <w:pPr>
        <w:autoSpaceDE w:val="0"/>
        <w:autoSpaceDN w:val="0"/>
        <w:adjustRightInd w:val="0"/>
        <w:ind w:left="851"/>
        <w:rPr>
          <w:rFonts w:ascii="Arial" w:hAnsi="Arial" w:cs="Arial"/>
          <w:b/>
          <w:lang w:eastAsia="en-AU"/>
        </w:rPr>
      </w:pPr>
    </w:p>
    <w:p w:rsidR="00D62A66" w:rsidRDefault="00D62A66" w:rsidP="00D62A66">
      <w:pPr>
        <w:tabs>
          <w:tab w:val="left" w:pos="8080"/>
        </w:tabs>
        <w:autoSpaceDE w:val="0"/>
        <w:autoSpaceDN w:val="0"/>
        <w:adjustRightInd w:val="0"/>
        <w:ind w:left="902"/>
        <w:rPr>
          <w:color w:val="000000"/>
        </w:rPr>
      </w:pPr>
      <w:r>
        <w:rPr>
          <w:color w:val="000000"/>
        </w:rPr>
        <w:t xml:space="preserve">Section 5 of the </w:t>
      </w:r>
      <w:r w:rsidRPr="00F50BB5">
        <w:rPr>
          <w:i/>
          <w:color w:val="000000"/>
        </w:rPr>
        <w:t>Governance of Australian Government Superannuation Schemes Act 2011</w:t>
      </w:r>
      <w:r>
        <w:rPr>
          <w:color w:val="000000"/>
        </w:rPr>
        <w:t xml:space="preserve"> provides that “the board established by section 20 of the </w:t>
      </w:r>
      <w:r w:rsidRPr="00F50BB5">
        <w:rPr>
          <w:i/>
          <w:color w:val="000000"/>
        </w:rPr>
        <w:t>Superannuation Act 1990</w:t>
      </w:r>
      <w:r>
        <w:rPr>
          <w:color w:val="000000"/>
        </w:rPr>
        <w:t xml:space="preserve"> as the Australian Reward Investment Alliance continues in existence by force of that section as a body corporate, under and subject to the provisions of this Act, under the name Commonwealth Superannuation Corporation (</w:t>
      </w:r>
      <w:r>
        <w:rPr>
          <w:b/>
          <w:color w:val="000000"/>
        </w:rPr>
        <w:t>CSC</w:t>
      </w:r>
      <w:r>
        <w:rPr>
          <w:color w:val="000000"/>
        </w:rPr>
        <w:t xml:space="preserve">)”. </w:t>
      </w:r>
    </w:p>
    <w:p w:rsidR="00D62A66" w:rsidRDefault="00D62A66" w:rsidP="00D62A66">
      <w:pPr>
        <w:tabs>
          <w:tab w:val="left" w:pos="8080"/>
        </w:tabs>
        <w:autoSpaceDE w:val="0"/>
        <w:autoSpaceDN w:val="0"/>
        <w:adjustRightInd w:val="0"/>
        <w:ind w:left="902"/>
        <w:rPr>
          <w:color w:val="000000"/>
        </w:rPr>
      </w:pPr>
    </w:p>
    <w:p w:rsidR="00D62A66" w:rsidRDefault="00D62A66" w:rsidP="00D62A66">
      <w:pPr>
        <w:ind w:left="902"/>
      </w:pPr>
      <w:r>
        <w:rPr>
          <w:color w:val="000000"/>
        </w:rPr>
        <w:t xml:space="preserve">In accordance with section 25B of the </w:t>
      </w:r>
      <w:r>
        <w:rPr>
          <w:i/>
          <w:color w:val="000000"/>
        </w:rPr>
        <w:t>Acts Interpretation Act 1901</w:t>
      </w:r>
      <w:r>
        <w:rPr>
          <w:color w:val="000000"/>
        </w:rPr>
        <w:t>, any reference to Australian Reward Investment Alliance (ARIA) in an instrument made prior to 1 July 2011 shall be construed as a reference to the CSC.</w:t>
      </w:r>
    </w:p>
    <w:p w:rsidR="00D62A66" w:rsidRDefault="00D62A66" w:rsidP="00D62A66">
      <w:pPr>
        <w:tabs>
          <w:tab w:val="left" w:pos="8080"/>
        </w:tabs>
        <w:autoSpaceDE w:val="0"/>
        <w:autoSpaceDN w:val="0"/>
        <w:adjustRightInd w:val="0"/>
        <w:ind w:left="902"/>
        <w:rPr>
          <w:color w:val="000000"/>
        </w:rPr>
      </w:pPr>
    </w:p>
    <w:p w:rsidR="00D62A66" w:rsidRPr="002444FA" w:rsidRDefault="00D62A66" w:rsidP="00D62A66">
      <w:pPr>
        <w:pStyle w:val="SchedSectionBreak"/>
        <w:rPr>
          <w:rFonts w:ascii="Arial" w:hAnsi="Arial" w:cs="Arial"/>
          <w:b/>
        </w:rPr>
      </w:pPr>
      <w:r>
        <w:rPr>
          <w:rFonts w:ascii="Arial" w:hAnsi="Arial" w:cs="Arial"/>
          <w:b/>
        </w:rPr>
        <w:t>7</w:t>
      </w:r>
      <w:r>
        <w:rPr>
          <w:rFonts w:ascii="Arial" w:hAnsi="Arial" w:cs="Arial"/>
          <w:b/>
        </w:rPr>
        <w:tab/>
        <w:t xml:space="preserve">   Consultation</w:t>
      </w:r>
    </w:p>
    <w:p w:rsidR="00D62A66" w:rsidRDefault="00D62A66" w:rsidP="00D62A66">
      <w:pPr>
        <w:ind w:left="900" w:hanging="540"/>
      </w:pPr>
    </w:p>
    <w:p w:rsidR="00D62A66" w:rsidRPr="00512E31" w:rsidRDefault="00D62A66" w:rsidP="00D62A66">
      <w:pPr>
        <w:autoSpaceDE w:val="0"/>
        <w:autoSpaceDN w:val="0"/>
        <w:adjustRightInd w:val="0"/>
        <w:ind w:left="900"/>
      </w:pPr>
      <w:r>
        <w:t xml:space="preserve">As the instrument is for internal machinery of Government purposes only, no consultation was considered necessary with other persons </w:t>
      </w:r>
      <w:r w:rsidRPr="00512E31">
        <w:t xml:space="preserve">(see sections 17 and 18 of the </w:t>
      </w:r>
      <w:r w:rsidRPr="00512E31">
        <w:rPr>
          <w:i/>
        </w:rPr>
        <w:t>Legislative Instruments Act 2003</w:t>
      </w:r>
      <w:r w:rsidRPr="00512E31">
        <w:t>).</w:t>
      </w:r>
    </w:p>
    <w:p w:rsidR="00CD5195" w:rsidRDefault="00CD5195" w:rsidP="00D62A66">
      <w:pPr>
        <w:ind w:left="851"/>
        <w:rPr>
          <w:strike/>
        </w:rPr>
      </w:pPr>
    </w:p>
    <w:p w:rsidR="000C4F16" w:rsidRPr="009B08B3" w:rsidRDefault="000C4F16" w:rsidP="00D62A66">
      <w:pPr>
        <w:ind w:left="851"/>
        <w:rPr>
          <w:strike/>
        </w:rPr>
      </w:pPr>
    </w:p>
    <w:p w:rsidR="00C80093"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ascii="Arial" w:eastAsia="Calibri" w:hAnsi="Arial" w:cs="Arial"/>
          <w:b/>
        </w:rPr>
      </w:pPr>
    </w:p>
    <w:p w:rsidR="00C80093" w:rsidRPr="00B62D15"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jc w:val="center"/>
        <w:rPr>
          <w:rFonts w:ascii="Arial" w:eastAsia="Calibri" w:hAnsi="Arial" w:cs="Arial"/>
          <w:b/>
        </w:rPr>
      </w:pPr>
      <w:r w:rsidRPr="00B62D15">
        <w:rPr>
          <w:rFonts w:ascii="Arial" w:eastAsia="Calibri" w:hAnsi="Arial" w:cs="Arial"/>
          <w:b/>
        </w:rPr>
        <w:t>Statement of Compatibility with Human Rights</w:t>
      </w:r>
    </w:p>
    <w:p w:rsidR="00C80093" w:rsidRPr="00B62D15"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B62D15">
        <w:rPr>
          <w:rFonts w:eastAsia="Calibri"/>
          <w:i/>
        </w:rPr>
        <w:t>Prepared in accordance with Part 3 of the Human Rights (Parliamentary Scrutiny) Act 2011</w:t>
      </w:r>
    </w:p>
    <w:p w:rsidR="00C80093" w:rsidRPr="00B62D15"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Pr>
          <w:rFonts w:eastAsia="Calibri"/>
        </w:rPr>
        <w:t xml:space="preserve">This </w:t>
      </w:r>
      <w:r w:rsidRPr="00B62D15">
        <w:rPr>
          <w:rFonts w:eastAsia="Calibri"/>
        </w:rPr>
        <w:t xml:space="preserve">Legislative Instrument is compatible with the human rights and freedoms recognised or declared in the international instruments listed in section 3 of the </w:t>
      </w:r>
      <w:r w:rsidRPr="00B62D15">
        <w:rPr>
          <w:rFonts w:eastAsia="Calibri"/>
          <w:i/>
        </w:rPr>
        <w:t>Human Rights (Parliamentary Scrutiny) Act 2011</w:t>
      </w:r>
      <w:r w:rsidRPr="00B62D15">
        <w:rPr>
          <w:rFonts w:eastAsia="Calibri"/>
        </w:rPr>
        <w:t>.</w:t>
      </w:r>
    </w:p>
    <w:p w:rsidR="00C80093" w:rsidRPr="00B62D15"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ascii="Arial" w:eastAsia="Calibri" w:hAnsi="Arial" w:cs="Arial"/>
          <w:b/>
        </w:rPr>
      </w:pPr>
      <w:r w:rsidRPr="00B62D15">
        <w:rPr>
          <w:rFonts w:ascii="Arial" w:eastAsia="Calibri" w:hAnsi="Arial" w:cs="Arial"/>
          <w:b/>
        </w:rPr>
        <w:t>Human rights implications</w:t>
      </w:r>
    </w:p>
    <w:p w:rsidR="00C80093"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B62D15">
        <w:rPr>
          <w:rFonts w:eastAsia="Calibri"/>
        </w:rPr>
        <w:t>This Legislative Instrument does not engage any of the applicable rights or freedoms.</w:t>
      </w:r>
    </w:p>
    <w:p w:rsidR="00C80093" w:rsidRPr="00B62D15"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ascii="Arial" w:eastAsia="Calibri" w:hAnsi="Arial" w:cs="Arial"/>
          <w:b/>
        </w:rPr>
      </w:pPr>
      <w:r w:rsidRPr="00B62D15">
        <w:rPr>
          <w:rFonts w:ascii="Arial" w:eastAsia="Calibri" w:hAnsi="Arial" w:cs="Arial"/>
          <w:b/>
        </w:rPr>
        <w:t>Conclusion</w:t>
      </w:r>
    </w:p>
    <w:p w:rsidR="00C80093"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B62D15">
        <w:rPr>
          <w:rFonts w:eastAsia="Calibri"/>
        </w:rPr>
        <w:t>This Legislative Instrument is compatible with human rights as it does not raise any human rights issues.</w:t>
      </w:r>
    </w:p>
    <w:p w:rsidR="00C80093"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p>
    <w:p w:rsidR="00BC0FF9" w:rsidRDefault="00BC0FF9" w:rsidP="00BC0FF9"/>
    <w:p w:rsidR="00E41574" w:rsidRDefault="00E41574" w:rsidP="00BC0FF9"/>
    <w:sectPr w:rsidR="00E41574" w:rsidSect="00EC5D83">
      <w:footerReference w:type="even" r:id="rId9"/>
      <w:footerReference w:type="default" r:id="rId10"/>
      <w:pgSz w:w="11906" w:h="16838" w:code="9"/>
      <w:pgMar w:top="567" w:right="2007" w:bottom="1134" w:left="1797" w:header="720" w:footer="720"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F16" w:rsidRDefault="000C4F16" w:rsidP="007238EE">
      <w:r>
        <w:separator/>
      </w:r>
    </w:p>
  </w:endnote>
  <w:endnote w:type="continuationSeparator" w:id="0">
    <w:p w:rsidR="000C4F16" w:rsidRDefault="000C4F16" w:rsidP="007238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F16" w:rsidRDefault="000C4F16">
    <w:pPr>
      <w:spacing w:line="200" w:lineRule="exact"/>
      <w:ind w:right="360"/>
    </w:pPr>
  </w:p>
  <w:p w:rsidR="000C4F16" w:rsidRDefault="000C4F16">
    <w:pPr>
      <w:pStyle w:val="FooterDraft"/>
      <w:ind w:right="360" w:firstLine="360"/>
    </w:pPr>
    <w:r>
      <w:t>DRAFT ONLY</w:t>
    </w:r>
  </w:p>
  <w:p w:rsidR="000C4F16" w:rsidRDefault="000C4F16" w:rsidP="00EC5D83">
    <w:pPr>
      <w:pStyle w:val="FooterInf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F16" w:rsidRPr="00C07B86" w:rsidRDefault="000C4F16">
    <w:pPr>
      <w:spacing w:line="200" w:lineRule="exact"/>
      <w:rPr>
        <w:i/>
      </w:rPr>
    </w:pPr>
    <w:r w:rsidRPr="00C07B86">
      <w:rPr>
        <w:rStyle w:val="PageNumber"/>
        <w:i/>
      </w:rPr>
      <w:tab/>
      <w:t xml:space="preserve">        </w:t>
    </w:r>
  </w:p>
  <w:p w:rsidR="000C4F16" w:rsidRDefault="000C4F16" w:rsidP="00EC5D83">
    <w:pPr>
      <w:pStyle w:val="FooterInf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F16" w:rsidRDefault="000C4F16" w:rsidP="007238EE">
      <w:r>
        <w:separator/>
      </w:r>
    </w:p>
  </w:footnote>
  <w:footnote w:type="continuationSeparator" w:id="0">
    <w:p w:rsidR="000C4F16" w:rsidRDefault="000C4F16" w:rsidP="007238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42D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6E6BF2"/>
    <w:multiLevelType w:val="hybridMultilevel"/>
    <w:tmpl w:val="C9C076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38192C"/>
    <w:multiLevelType w:val="multilevel"/>
    <w:tmpl w:val="6A5A7C9A"/>
    <w:lvl w:ilvl="0">
      <w:start w:val="1"/>
      <w:numFmt w:val="lowerLetter"/>
      <w:lvlText w:val="%1."/>
      <w:lvlJc w:val="left"/>
      <w:pPr>
        <w:ind w:left="1664" w:hanging="360"/>
      </w:pPr>
      <w:rPr>
        <w:rFonts w:hint="default"/>
      </w:rPr>
    </w:lvl>
    <w:lvl w:ilvl="1">
      <w:start w:val="1"/>
      <w:numFmt w:val="none"/>
      <w:lvlText w:val="i."/>
      <w:lvlJc w:val="left"/>
      <w:pPr>
        <w:ind w:left="2135" w:hanging="340"/>
      </w:pPr>
      <w:rPr>
        <w:rFonts w:hint="default"/>
      </w:rPr>
    </w:lvl>
    <w:lvl w:ilvl="2">
      <w:start w:val="1"/>
      <w:numFmt w:val="bullet"/>
      <w:lvlText w:val=""/>
      <w:lvlJc w:val="left"/>
      <w:pPr>
        <w:ind w:left="2248" w:hanging="170"/>
      </w:pPr>
      <w:rPr>
        <w:rFonts w:ascii="Symbol" w:hAnsi="Symbol" w:hint="default"/>
        <w:color w:val="auto"/>
      </w:rPr>
    </w:lvl>
    <w:lvl w:ilvl="3">
      <w:start w:val="1"/>
      <w:numFmt w:val="bullet"/>
      <w:lvlText w:val=""/>
      <w:lvlJc w:val="left"/>
      <w:pPr>
        <w:ind w:left="3824" w:hanging="360"/>
      </w:pPr>
      <w:rPr>
        <w:rFonts w:ascii="Symbol" w:hAnsi="Symbol" w:hint="default"/>
        <w:color w:val="auto"/>
      </w:rPr>
    </w:lvl>
    <w:lvl w:ilvl="4">
      <w:start w:val="1"/>
      <w:numFmt w:val="lowerLetter"/>
      <w:lvlText w:val="%5."/>
      <w:lvlJc w:val="left"/>
      <w:pPr>
        <w:ind w:left="4544" w:hanging="360"/>
      </w:pPr>
      <w:rPr>
        <w:rFonts w:hint="default"/>
      </w:rPr>
    </w:lvl>
    <w:lvl w:ilvl="5">
      <w:start w:val="1"/>
      <w:numFmt w:val="lowerRoman"/>
      <w:lvlText w:val="%6."/>
      <w:lvlJc w:val="right"/>
      <w:pPr>
        <w:ind w:left="5264" w:hanging="180"/>
      </w:pPr>
      <w:rPr>
        <w:rFonts w:hint="default"/>
      </w:rPr>
    </w:lvl>
    <w:lvl w:ilvl="6">
      <w:start w:val="1"/>
      <w:numFmt w:val="decimal"/>
      <w:lvlText w:val="%7."/>
      <w:lvlJc w:val="left"/>
      <w:pPr>
        <w:ind w:left="5984" w:hanging="360"/>
      </w:pPr>
      <w:rPr>
        <w:rFonts w:hint="default"/>
      </w:rPr>
    </w:lvl>
    <w:lvl w:ilvl="7">
      <w:start w:val="1"/>
      <w:numFmt w:val="lowerLetter"/>
      <w:lvlText w:val="%8."/>
      <w:lvlJc w:val="left"/>
      <w:pPr>
        <w:ind w:left="6704" w:hanging="360"/>
      </w:pPr>
      <w:rPr>
        <w:rFonts w:hint="default"/>
      </w:rPr>
    </w:lvl>
    <w:lvl w:ilvl="8">
      <w:start w:val="1"/>
      <w:numFmt w:val="lowerRoman"/>
      <w:lvlText w:val="%9."/>
      <w:lvlJc w:val="right"/>
      <w:pPr>
        <w:ind w:left="7424" w:hanging="180"/>
      </w:pPr>
      <w:rPr>
        <w:rFonts w:hint="default"/>
      </w:rPr>
    </w:lvl>
  </w:abstractNum>
  <w:abstractNum w:abstractNumId="3">
    <w:nsid w:val="0ED40EE6"/>
    <w:multiLevelType w:val="hybridMultilevel"/>
    <w:tmpl w:val="79E606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9245EE"/>
    <w:multiLevelType w:val="multilevel"/>
    <w:tmpl w:val="A2BCADFE"/>
    <w:lvl w:ilvl="0">
      <w:start w:val="1"/>
      <w:numFmt w:val="lowerLetter"/>
      <w:lvlText w:val="%1."/>
      <w:lvlJc w:val="left"/>
      <w:pPr>
        <w:ind w:left="720" w:hanging="360"/>
      </w:pPr>
      <w:rPr>
        <w:rFonts w:hint="default"/>
      </w:rPr>
    </w:lvl>
    <w:lvl w:ilvl="1">
      <w:start w:val="1"/>
      <w:numFmt w:val="none"/>
      <w:lvlText w:val="i."/>
      <w:lvlJc w:val="left"/>
      <w:pPr>
        <w:ind w:left="1191" w:hanging="340"/>
      </w:pPr>
      <w:rPr>
        <w:rFonts w:hint="default"/>
      </w:rPr>
    </w:lvl>
    <w:lvl w:ilvl="2">
      <w:start w:val="1"/>
      <w:numFmt w:val="bullet"/>
      <w:lvlText w:val=""/>
      <w:lvlJc w:val="left"/>
      <w:pPr>
        <w:ind w:left="1474" w:hanging="340"/>
      </w:pPr>
      <w:rPr>
        <w:rFonts w:ascii="Symbol" w:hAnsi="Symbol" w:hint="default"/>
        <w:color w:val="auto"/>
      </w:rPr>
    </w:lvl>
    <w:lvl w:ilvl="3">
      <w:start w:val="1"/>
      <w:numFmt w:val="bullet"/>
      <w:lvlText w:val=""/>
      <w:lvlJc w:val="left"/>
      <w:pPr>
        <w:ind w:left="1758" w:hanging="34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51906A8"/>
    <w:multiLevelType w:val="hybridMultilevel"/>
    <w:tmpl w:val="07E8C2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173487"/>
    <w:multiLevelType w:val="multilevel"/>
    <w:tmpl w:val="24762DF0"/>
    <w:lvl w:ilvl="0">
      <w:start w:val="1"/>
      <w:numFmt w:val="decimal"/>
      <w:lvlText w:val="%1."/>
      <w:lvlJc w:val="left"/>
      <w:pPr>
        <w:ind w:left="624"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D626CF6"/>
    <w:multiLevelType w:val="hybridMultilevel"/>
    <w:tmpl w:val="C970577C"/>
    <w:lvl w:ilvl="0" w:tplc="97CE5C88">
      <w:start w:val="1"/>
      <w:numFmt w:val="bullet"/>
      <w:lvlText w:val=""/>
      <w:lvlJc w:val="left"/>
      <w:pPr>
        <w:ind w:left="147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BDB2D30"/>
    <w:multiLevelType w:val="hybridMultilevel"/>
    <w:tmpl w:val="7758F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DD32E85"/>
    <w:multiLevelType w:val="hybridMultilevel"/>
    <w:tmpl w:val="E40421E4"/>
    <w:lvl w:ilvl="0" w:tplc="E3BC3ED8">
      <w:start w:val="1"/>
      <w:numFmt w:val="bullet"/>
      <w:lvlText w:val=""/>
      <w:lvlJc w:val="left"/>
      <w:pPr>
        <w:ind w:left="147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6173EE3"/>
    <w:multiLevelType w:val="hybridMultilevel"/>
    <w:tmpl w:val="DD6C1206"/>
    <w:lvl w:ilvl="0" w:tplc="F26A84AA">
      <w:start w:val="3"/>
      <w:numFmt w:val="decimal"/>
      <w:lvlText w:val="%1"/>
      <w:lvlJc w:val="left"/>
      <w:pPr>
        <w:tabs>
          <w:tab w:val="num" w:pos="1260"/>
        </w:tabs>
        <w:ind w:left="1260" w:hanging="90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37561B95"/>
    <w:multiLevelType w:val="hybridMultilevel"/>
    <w:tmpl w:val="A95A5FD0"/>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2">
    <w:nsid w:val="39553437"/>
    <w:multiLevelType w:val="hybridMultilevel"/>
    <w:tmpl w:val="D48ED7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B7F3E88"/>
    <w:multiLevelType w:val="hybridMultilevel"/>
    <w:tmpl w:val="5A98E3FC"/>
    <w:lvl w:ilvl="0" w:tplc="E870C98C">
      <w:start w:val="1"/>
      <w:numFmt w:val="bullet"/>
      <w:lvlText w:val=""/>
      <w:lvlJc w:val="left"/>
      <w:pPr>
        <w:ind w:left="624" w:hanging="340"/>
      </w:pPr>
      <w:rPr>
        <w:rFonts w:ascii="Symbol" w:hAnsi="Symbol" w:hint="default"/>
      </w:rPr>
    </w:lvl>
    <w:lvl w:ilvl="1" w:tplc="8974CD4C">
      <w:start w:val="1"/>
      <w:numFmt w:val="bullet"/>
      <w:lvlText w:val="o"/>
      <w:lvlJc w:val="left"/>
      <w:pPr>
        <w:ind w:left="907" w:hanging="34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CAB3B3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DB221E9"/>
    <w:multiLevelType w:val="hybridMultilevel"/>
    <w:tmpl w:val="262004C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2003DB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3926841"/>
    <w:multiLevelType w:val="hybridMultilevel"/>
    <w:tmpl w:val="B2CCAB2E"/>
    <w:lvl w:ilvl="0" w:tplc="E870C98C">
      <w:start w:val="1"/>
      <w:numFmt w:val="bullet"/>
      <w:lvlText w:val=""/>
      <w:lvlJc w:val="left"/>
      <w:pPr>
        <w:ind w:left="62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E88257D8">
      <w:start w:val="1"/>
      <w:numFmt w:val="bullet"/>
      <w:lvlText w:val=""/>
      <w:lvlJc w:val="left"/>
      <w:pPr>
        <w:ind w:left="1191" w:hanging="34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C16351B"/>
    <w:multiLevelType w:val="hybridMultilevel"/>
    <w:tmpl w:val="383251D0"/>
    <w:lvl w:ilvl="0" w:tplc="381E342A">
      <w:start w:val="1"/>
      <w:numFmt w:val="bullet"/>
      <w:lvlText w:val=""/>
      <w:lvlJc w:val="left"/>
      <w:pPr>
        <w:ind w:left="62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CC720C3"/>
    <w:multiLevelType w:val="hybridMultilevel"/>
    <w:tmpl w:val="392CC19A"/>
    <w:lvl w:ilvl="0" w:tplc="0C090001">
      <w:start w:val="1"/>
      <w:numFmt w:val="bullet"/>
      <w:lvlText w:val=""/>
      <w:lvlJc w:val="left"/>
      <w:pPr>
        <w:ind w:left="720" w:hanging="360"/>
      </w:pPr>
      <w:rPr>
        <w:rFonts w:ascii="Symbol" w:hAnsi="Symbol" w:hint="default"/>
      </w:rPr>
    </w:lvl>
    <w:lvl w:ilvl="1" w:tplc="2490195E">
      <w:start w:val="1"/>
      <w:numFmt w:val="bullet"/>
      <w:lvlText w:val="o"/>
      <w:lvlJc w:val="left"/>
      <w:pPr>
        <w:ind w:left="1191" w:hanging="34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3465B2D"/>
    <w:multiLevelType w:val="hybridMultilevel"/>
    <w:tmpl w:val="47921C62"/>
    <w:lvl w:ilvl="0" w:tplc="E870C98C">
      <w:start w:val="1"/>
      <w:numFmt w:val="bullet"/>
      <w:lvlText w:val=""/>
      <w:lvlJc w:val="left"/>
      <w:pPr>
        <w:ind w:left="62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3692215"/>
    <w:multiLevelType w:val="hybridMultilevel"/>
    <w:tmpl w:val="4C32A6F6"/>
    <w:lvl w:ilvl="0" w:tplc="0C090001">
      <w:start w:val="1"/>
      <w:numFmt w:val="bullet"/>
      <w:lvlText w:val=""/>
      <w:lvlJc w:val="left"/>
      <w:pPr>
        <w:tabs>
          <w:tab w:val="num" w:pos="1620"/>
        </w:tabs>
        <w:ind w:left="1620" w:hanging="360"/>
      </w:pPr>
      <w:rPr>
        <w:rFonts w:ascii="Symbol" w:hAnsi="Symbol" w:hint="default"/>
      </w:rPr>
    </w:lvl>
    <w:lvl w:ilvl="1" w:tplc="0C090003" w:tentative="1">
      <w:start w:val="1"/>
      <w:numFmt w:val="bullet"/>
      <w:lvlText w:val="o"/>
      <w:lvlJc w:val="left"/>
      <w:pPr>
        <w:tabs>
          <w:tab w:val="num" w:pos="2340"/>
        </w:tabs>
        <w:ind w:left="2340" w:hanging="360"/>
      </w:pPr>
      <w:rPr>
        <w:rFonts w:ascii="Courier New" w:hAnsi="Courier New" w:cs="Courier New" w:hint="default"/>
      </w:rPr>
    </w:lvl>
    <w:lvl w:ilvl="2" w:tplc="0C090005" w:tentative="1">
      <w:start w:val="1"/>
      <w:numFmt w:val="bullet"/>
      <w:lvlText w:val=""/>
      <w:lvlJc w:val="left"/>
      <w:pPr>
        <w:tabs>
          <w:tab w:val="num" w:pos="3060"/>
        </w:tabs>
        <w:ind w:left="3060" w:hanging="360"/>
      </w:pPr>
      <w:rPr>
        <w:rFonts w:ascii="Wingdings" w:hAnsi="Wingdings" w:hint="default"/>
      </w:rPr>
    </w:lvl>
    <w:lvl w:ilvl="3" w:tplc="0C090001" w:tentative="1">
      <w:start w:val="1"/>
      <w:numFmt w:val="bullet"/>
      <w:lvlText w:val=""/>
      <w:lvlJc w:val="left"/>
      <w:pPr>
        <w:tabs>
          <w:tab w:val="num" w:pos="3780"/>
        </w:tabs>
        <w:ind w:left="3780" w:hanging="360"/>
      </w:pPr>
      <w:rPr>
        <w:rFonts w:ascii="Symbol" w:hAnsi="Symbol" w:hint="default"/>
      </w:rPr>
    </w:lvl>
    <w:lvl w:ilvl="4" w:tplc="0C090003" w:tentative="1">
      <w:start w:val="1"/>
      <w:numFmt w:val="bullet"/>
      <w:lvlText w:val="o"/>
      <w:lvlJc w:val="left"/>
      <w:pPr>
        <w:tabs>
          <w:tab w:val="num" w:pos="4500"/>
        </w:tabs>
        <w:ind w:left="4500" w:hanging="360"/>
      </w:pPr>
      <w:rPr>
        <w:rFonts w:ascii="Courier New" w:hAnsi="Courier New" w:cs="Courier New" w:hint="default"/>
      </w:rPr>
    </w:lvl>
    <w:lvl w:ilvl="5" w:tplc="0C090005" w:tentative="1">
      <w:start w:val="1"/>
      <w:numFmt w:val="bullet"/>
      <w:lvlText w:val=""/>
      <w:lvlJc w:val="left"/>
      <w:pPr>
        <w:tabs>
          <w:tab w:val="num" w:pos="5220"/>
        </w:tabs>
        <w:ind w:left="5220" w:hanging="360"/>
      </w:pPr>
      <w:rPr>
        <w:rFonts w:ascii="Wingdings" w:hAnsi="Wingdings" w:hint="default"/>
      </w:rPr>
    </w:lvl>
    <w:lvl w:ilvl="6" w:tplc="0C090001" w:tentative="1">
      <w:start w:val="1"/>
      <w:numFmt w:val="bullet"/>
      <w:lvlText w:val=""/>
      <w:lvlJc w:val="left"/>
      <w:pPr>
        <w:tabs>
          <w:tab w:val="num" w:pos="5940"/>
        </w:tabs>
        <w:ind w:left="5940" w:hanging="360"/>
      </w:pPr>
      <w:rPr>
        <w:rFonts w:ascii="Symbol" w:hAnsi="Symbol" w:hint="default"/>
      </w:rPr>
    </w:lvl>
    <w:lvl w:ilvl="7" w:tplc="0C090003" w:tentative="1">
      <w:start w:val="1"/>
      <w:numFmt w:val="bullet"/>
      <w:lvlText w:val="o"/>
      <w:lvlJc w:val="left"/>
      <w:pPr>
        <w:tabs>
          <w:tab w:val="num" w:pos="6660"/>
        </w:tabs>
        <w:ind w:left="6660" w:hanging="360"/>
      </w:pPr>
      <w:rPr>
        <w:rFonts w:ascii="Courier New" w:hAnsi="Courier New" w:cs="Courier New" w:hint="default"/>
      </w:rPr>
    </w:lvl>
    <w:lvl w:ilvl="8" w:tplc="0C090005" w:tentative="1">
      <w:start w:val="1"/>
      <w:numFmt w:val="bullet"/>
      <w:lvlText w:val=""/>
      <w:lvlJc w:val="left"/>
      <w:pPr>
        <w:tabs>
          <w:tab w:val="num" w:pos="7380"/>
        </w:tabs>
        <w:ind w:left="7380" w:hanging="360"/>
      </w:pPr>
      <w:rPr>
        <w:rFonts w:ascii="Wingdings" w:hAnsi="Wingdings" w:hint="default"/>
      </w:rPr>
    </w:lvl>
  </w:abstractNum>
  <w:abstractNum w:abstractNumId="22">
    <w:nsid w:val="5467343E"/>
    <w:multiLevelType w:val="hybridMultilevel"/>
    <w:tmpl w:val="C73E4D5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47308B8"/>
    <w:multiLevelType w:val="hybridMultilevel"/>
    <w:tmpl w:val="37FAB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4A731A2"/>
    <w:multiLevelType w:val="hybridMultilevel"/>
    <w:tmpl w:val="C36CB9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9CC21BE">
      <w:start w:val="1"/>
      <w:numFmt w:val="bullet"/>
      <w:lvlText w:val=""/>
      <w:lvlJc w:val="left"/>
      <w:pPr>
        <w:ind w:left="1758" w:hanging="34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4E31CF3"/>
    <w:multiLevelType w:val="hybridMultilevel"/>
    <w:tmpl w:val="AF32BB00"/>
    <w:lvl w:ilvl="0" w:tplc="E870C98C">
      <w:start w:val="1"/>
      <w:numFmt w:val="bullet"/>
      <w:lvlText w:val=""/>
      <w:lvlJc w:val="left"/>
      <w:pPr>
        <w:ind w:left="624" w:hanging="340"/>
      </w:pPr>
      <w:rPr>
        <w:rFonts w:ascii="Symbol" w:hAnsi="Symbol" w:hint="default"/>
      </w:rPr>
    </w:lvl>
    <w:lvl w:ilvl="1" w:tplc="169E2924">
      <w:start w:val="1"/>
      <w:numFmt w:val="bullet"/>
      <w:lvlText w:val="o"/>
      <w:lvlJc w:val="left"/>
      <w:pPr>
        <w:ind w:left="1191" w:firstLine="22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78D6B5B"/>
    <w:multiLevelType w:val="multilevel"/>
    <w:tmpl w:val="A2BCADFE"/>
    <w:lvl w:ilvl="0">
      <w:start w:val="1"/>
      <w:numFmt w:val="lowerLetter"/>
      <w:lvlText w:val="%1."/>
      <w:lvlJc w:val="left"/>
      <w:pPr>
        <w:ind w:left="720" w:hanging="360"/>
      </w:pPr>
      <w:rPr>
        <w:rFonts w:hint="default"/>
      </w:rPr>
    </w:lvl>
    <w:lvl w:ilvl="1">
      <w:start w:val="1"/>
      <w:numFmt w:val="none"/>
      <w:lvlText w:val="i."/>
      <w:lvlJc w:val="left"/>
      <w:pPr>
        <w:ind w:left="1191" w:hanging="340"/>
      </w:pPr>
      <w:rPr>
        <w:rFonts w:hint="default"/>
      </w:rPr>
    </w:lvl>
    <w:lvl w:ilvl="2">
      <w:start w:val="1"/>
      <w:numFmt w:val="bullet"/>
      <w:lvlText w:val=""/>
      <w:lvlJc w:val="left"/>
      <w:pPr>
        <w:ind w:left="1474" w:hanging="340"/>
      </w:pPr>
      <w:rPr>
        <w:rFonts w:ascii="Symbol" w:hAnsi="Symbol" w:hint="default"/>
        <w:color w:val="auto"/>
      </w:rPr>
    </w:lvl>
    <w:lvl w:ilvl="3">
      <w:start w:val="1"/>
      <w:numFmt w:val="bullet"/>
      <w:lvlText w:val=""/>
      <w:lvlJc w:val="left"/>
      <w:pPr>
        <w:ind w:left="1758" w:hanging="34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6D76618"/>
    <w:multiLevelType w:val="hybridMultilevel"/>
    <w:tmpl w:val="E1BA5D34"/>
    <w:lvl w:ilvl="0" w:tplc="C1FEDE54">
      <w:start w:val="1"/>
      <w:numFmt w:val="bullet"/>
      <w:lvlText w:val=""/>
      <w:lvlJc w:val="left"/>
      <w:pPr>
        <w:ind w:left="851" w:hanging="56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5"/>
  </w:num>
  <w:num w:numId="4">
    <w:abstractNumId w:val="3"/>
  </w:num>
  <w:num w:numId="5">
    <w:abstractNumId w:val="14"/>
  </w:num>
  <w:num w:numId="6">
    <w:abstractNumId w:val="0"/>
  </w:num>
  <w:num w:numId="7">
    <w:abstractNumId w:val="16"/>
  </w:num>
  <w:num w:numId="8">
    <w:abstractNumId w:val="4"/>
  </w:num>
  <w:num w:numId="9">
    <w:abstractNumId w:val="2"/>
  </w:num>
  <w:num w:numId="10">
    <w:abstractNumId w:val="1"/>
  </w:num>
  <w:num w:numId="11">
    <w:abstractNumId w:val="5"/>
  </w:num>
  <w:num w:numId="12">
    <w:abstractNumId w:val="27"/>
  </w:num>
  <w:num w:numId="13">
    <w:abstractNumId w:val="20"/>
  </w:num>
  <w:num w:numId="14">
    <w:abstractNumId w:val="19"/>
  </w:num>
  <w:num w:numId="15">
    <w:abstractNumId w:val="24"/>
  </w:num>
  <w:num w:numId="16">
    <w:abstractNumId w:val="18"/>
  </w:num>
  <w:num w:numId="17">
    <w:abstractNumId w:val="25"/>
  </w:num>
  <w:num w:numId="18">
    <w:abstractNumId w:val="13"/>
  </w:num>
  <w:num w:numId="19">
    <w:abstractNumId w:val="17"/>
  </w:num>
  <w:num w:numId="20">
    <w:abstractNumId w:val="7"/>
  </w:num>
  <w:num w:numId="21">
    <w:abstractNumId w:val="9"/>
  </w:num>
  <w:num w:numId="22">
    <w:abstractNumId w:val="6"/>
  </w:num>
  <w:num w:numId="23">
    <w:abstractNumId w:val="26"/>
  </w:num>
  <w:num w:numId="24">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907" w:hanging="34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191" w:hanging="34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1077" w:hanging="51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1021" w:hanging="45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304" w:hanging="45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18" w:hanging="5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2268" w:hanging="141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18" w:hanging="5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588" w:hanging="73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74" w:hanging="62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12"/>
  </w:num>
  <w:num w:numId="35">
    <w:abstractNumId w:val="21"/>
  </w:num>
  <w:num w:numId="36">
    <w:abstractNumId w:val="22"/>
  </w:num>
  <w:num w:numId="37">
    <w:abstractNumId w:val="10"/>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1"/>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rsids>
    <w:rsidRoot w:val="00FD39D0"/>
    <w:rsid w:val="00017C95"/>
    <w:rsid w:val="00094B3E"/>
    <w:rsid w:val="000B1909"/>
    <w:rsid w:val="000C4F16"/>
    <w:rsid w:val="0012327C"/>
    <w:rsid w:val="0017755C"/>
    <w:rsid w:val="00183C86"/>
    <w:rsid w:val="00185CD0"/>
    <w:rsid w:val="00195B88"/>
    <w:rsid w:val="001E5A87"/>
    <w:rsid w:val="001F1278"/>
    <w:rsid w:val="001F4487"/>
    <w:rsid w:val="00210F0A"/>
    <w:rsid w:val="002265DE"/>
    <w:rsid w:val="00290B2A"/>
    <w:rsid w:val="002D5F02"/>
    <w:rsid w:val="00385CFC"/>
    <w:rsid w:val="00433550"/>
    <w:rsid w:val="004610A8"/>
    <w:rsid w:val="004A6C42"/>
    <w:rsid w:val="004C70B4"/>
    <w:rsid w:val="0051529E"/>
    <w:rsid w:val="005157EA"/>
    <w:rsid w:val="005212CA"/>
    <w:rsid w:val="00522D8F"/>
    <w:rsid w:val="00524E64"/>
    <w:rsid w:val="00576505"/>
    <w:rsid w:val="005A55BB"/>
    <w:rsid w:val="005A7AEC"/>
    <w:rsid w:val="005E488D"/>
    <w:rsid w:val="005F14D0"/>
    <w:rsid w:val="006A35D7"/>
    <w:rsid w:val="006B38EB"/>
    <w:rsid w:val="007238EE"/>
    <w:rsid w:val="007901BA"/>
    <w:rsid w:val="00796DDD"/>
    <w:rsid w:val="007D17D5"/>
    <w:rsid w:val="007D4C57"/>
    <w:rsid w:val="007F57DD"/>
    <w:rsid w:val="007F6BF2"/>
    <w:rsid w:val="00841632"/>
    <w:rsid w:val="00844743"/>
    <w:rsid w:val="00862AED"/>
    <w:rsid w:val="00896EBC"/>
    <w:rsid w:val="008A3F44"/>
    <w:rsid w:val="008B0F8C"/>
    <w:rsid w:val="008C52F1"/>
    <w:rsid w:val="008E4416"/>
    <w:rsid w:val="008E707C"/>
    <w:rsid w:val="008F546D"/>
    <w:rsid w:val="008F7237"/>
    <w:rsid w:val="00926172"/>
    <w:rsid w:val="00960284"/>
    <w:rsid w:val="009619C3"/>
    <w:rsid w:val="00995F4A"/>
    <w:rsid w:val="009F6ADA"/>
    <w:rsid w:val="00A004D0"/>
    <w:rsid w:val="00A01A30"/>
    <w:rsid w:val="00A23748"/>
    <w:rsid w:val="00A5238F"/>
    <w:rsid w:val="00AA24D6"/>
    <w:rsid w:val="00B37A5A"/>
    <w:rsid w:val="00B53B85"/>
    <w:rsid w:val="00B90994"/>
    <w:rsid w:val="00BA1C7F"/>
    <w:rsid w:val="00BB771C"/>
    <w:rsid w:val="00BC0FF9"/>
    <w:rsid w:val="00C2115F"/>
    <w:rsid w:val="00C35EEC"/>
    <w:rsid w:val="00C40570"/>
    <w:rsid w:val="00C80093"/>
    <w:rsid w:val="00CA7988"/>
    <w:rsid w:val="00CA7A92"/>
    <w:rsid w:val="00CB72CE"/>
    <w:rsid w:val="00CD3990"/>
    <w:rsid w:val="00CD5195"/>
    <w:rsid w:val="00CE0687"/>
    <w:rsid w:val="00CE5006"/>
    <w:rsid w:val="00D4339A"/>
    <w:rsid w:val="00D62A66"/>
    <w:rsid w:val="00D93A78"/>
    <w:rsid w:val="00DE10ED"/>
    <w:rsid w:val="00E41574"/>
    <w:rsid w:val="00E87A23"/>
    <w:rsid w:val="00E93998"/>
    <w:rsid w:val="00EB566D"/>
    <w:rsid w:val="00EC5D83"/>
    <w:rsid w:val="00F168B3"/>
    <w:rsid w:val="00F94F7E"/>
    <w:rsid w:val="00FA25FE"/>
    <w:rsid w:val="00FC578D"/>
    <w:rsid w:val="00FD39D0"/>
    <w:rsid w:val="00FE7E8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62A66"/>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uiPriority w:val="9"/>
    <w:qFormat/>
    <w:rsid w:val="00F168B3"/>
    <w:pPr>
      <w:keepNext/>
      <w:keepLines/>
      <w:spacing w:before="240" w:after="24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F168B3"/>
    <w:pPr>
      <w:keepNext/>
      <w:keepLines/>
      <w:spacing w:before="240" w:after="120"/>
      <w:outlineLvl w:val="1"/>
    </w:pPr>
    <w:rPr>
      <w:rFonts w:eastAsiaTheme="majorEastAsia" w:cstheme="majorBidi"/>
      <w:b/>
      <w:bCs/>
      <w:sz w:val="28"/>
      <w:szCs w:val="26"/>
    </w:rPr>
  </w:style>
  <w:style w:type="paragraph" w:styleId="Heading3">
    <w:name w:val="heading 3"/>
    <w:basedOn w:val="Normal"/>
    <w:next w:val="Normal"/>
    <w:link w:val="Heading3Char"/>
    <w:autoRedefine/>
    <w:uiPriority w:val="9"/>
    <w:unhideWhenUsed/>
    <w:qFormat/>
    <w:rsid w:val="00F168B3"/>
    <w:pPr>
      <w:keepNext/>
      <w:keepLines/>
      <w:spacing w:before="120" w:after="120"/>
      <w:outlineLvl w:val="2"/>
    </w:pPr>
    <w:rPr>
      <w:rFonts w:eastAsiaTheme="majorEastAsia" w:cstheme="majorBidi"/>
      <w:b/>
      <w:bCs/>
    </w:rPr>
  </w:style>
  <w:style w:type="paragraph" w:styleId="Heading4">
    <w:name w:val="heading 4"/>
    <w:basedOn w:val="Normal"/>
    <w:next w:val="Normal"/>
    <w:link w:val="Heading4Char"/>
    <w:uiPriority w:val="9"/>
    <w:unhideWhenUsed/>
    <w:rsid w:val="00F168B3"/>
    <w:pPr>
      <w:keepNext/>
      <w:keepLines/>
      <w:spacing w:before="120" w:after="120"/>
      <w:outlineLvl w:val="3"/>
    </w:pPr>
    <w:rPr>
      <w:rFonts w:eastAsiaTheme="majorEastAsia" w:cstheme="majorBidi"/>
      <w:b/>
      <w:bCs/>
      <w:i/>
      <w:iCs/>
    </w:rPr>
  </w:style>
  <w:style w:type="paragraph" w:styleId="Heading5">
    <w:name w:val="heading 5"/>
    <w:basedOn w:val="Normal"/>
    <w:next w:val="Normal"/>
    <w:link w:val="Heading5Char"/>
    <w:uiPriority w:val="9"/>
    <w:semiHidden/>
    <w:rsid w:val="00017C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8B3"/>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F168B3"/>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168B3"/>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168B3"/>
    <w:rPr>
      <w:rFonts w:ascii="Arial" w:eastAsiaTheme="majorEastAsia" w:hAnsi="Arial" w:cstheme="majorBidi"/>
      <w:b/>
      <w:bCs/>
      <w:i/>
      <w:iCs/>
    </w:rPr>
  </w:style>
  <w:style w:type="paragraph" w:styleId="Header">
    <w:name w:val="header"/>
    <w:basedOn w:val="Normal"/>
    <w:link w:val="HeaderChar"/>
    <w:uiPriority w:val="99"/>
    <w:unhideWhenUsed/>
    <w:rsid w:val="00BC0FF9"/>
    <w:pPr>
      <w:jc w:val="center"/>
    </w:pPr>
    <w:rPr>
      <w:sz w:val="18"/>
    </w:rPr>
  </w:style>
  <w:style w:type="character" w:customStyle="1" w:styleId="HeaderChar">
    <w:name w:val="Header Char"/>
    <w:basedOn w:val="DefaultParagraphFont"/>
    <w:link w:val="Header"/>
    <w:uiPriority w:val="99"/>
    <w:rsid w:val="00BC0FF9"/>
    <w:rPr>
      <w:rFonts w:ascii="Arial" w:hAnsi="Arial"/>
      <w:sz w:val="18"/>
    </w:rPr>
  </w:style>
  <w:style w:type="character" w:customStyle="1" w:styleId="Heading5Char">
    <w:name w:val="Heading 5 Char"/>
    <w:basedOn w:val="DefaultParagraphFont"/>
    <w:link w:val="Heading5"/>
    <w:uiPriority w:val="9"/>
    <w:semiHidden/>
    <w:rsid w:val="00C2115F"/>
    <w:rPr>
      <w:rFonts w:asciiTheme="majorHAnsi" w:eastAsiaTheme="majorEastAsia" w:hAnsiTheme="majorHAnsi" w:cstheme="majorBidi"/>
      <w:color w:val="243F60" w:themeColor="accent1" w:themeShade="7F"/>
    </w:rPr>
  </w:style>
  <w:style w:type="paragraph" w:styleId="BodyText">
    <w:name w:val="Body Text"/>
    <w:basedOn w:val="Normal"/>
    <w:link w:val="BodyTextChar"/>
    <w:autoRedefine/>
    <w:uiPriority w:val="99"/>
    <w:qFormat/>
    <w:rsid w:val="00017C95"/>
  </w:style>
  <w:style w:type="character" w:customStyle="1" w:styleId="BodyTextChar">
    <w:name w:val="Body Text Char"/>
    <w:basedOn w:val="DefaultParagraphFont"/>
    <w:link w:val="BodyText"/>
    <w:uiPriority w:val="99"/>
    <w:rsid w:val="00017C95"/>
    <w:rPr>
      <w:rFonts w:ascii="Arial" w:hAnsi="Arial"/>
    </w:rPr>
  </w:style>
  <w:style w:type="paragraph" w:styleId="Footer">
    <w:name w:val="footer"/>
    <w:basedOn w:val="Normal"/>
    <w:link w:val="FooterChar"/>
    <w:uiPriority w:val="99"/>
    <w:unhideWhenUsed/>
    <w:rsid w:val="00BC0FF9"/>
    <w:pPr>
      <w:tabs>
        <w:tab w:val="left" w:pos="0"/>
        <w:tab w:val="right" w:pos="9015"/>
      </w:tabs>
    </w:pPr>
    <w:rPr>
      <w:sz w:val="18"/>
    </w:rPr>
  </w:style>
  <w:style w:type="character" w:customStyle="1" w:styleId="FooterChar">
    <w:name w:val="Footer Char"/>
    <w:basedOn w:val="DefaultParagraphFont"/>
    <w:link w:val="Footer"/>
    <w:uiPriority w:val="99"/>
    <w:rsid w:val="00BC0FF9"/>
    <w:rPr>
      <w:rFonts w:ascii="Arial" w:hAnsi="Arial"/>
      <w:sz w:val="18"/>
    </w:rPr>
  </w:style>
  <w:style w:type="paragraph" w:styleId="BalloonText">
    <w:name w:val="Balloon Text"/>
    <w:basedOn w:val="Normal"/>
    <w:link w:val="BalloonTextChar"/>
    <w:uiPriority w:val="99"/>
    <w:semiHidden/>
    <w:unhideWhenUsed/>
    <w:rsid w:val="007238EE"/>
    <w:rPr>
      <w:rFonts w:ascii="Tahoma" w:hAnsi="Tahoma" w:cs="Tahoma"/>
      <w:sz w:val="16"/>
      <w:szCs w:val="16"/>
    </w:rPr>
  </w:style>
  <w:style w:type="character" w:customStyle="1" w:styleId="BalloonTextChar">
    <w:name w:val="Balloon Text Char"/>
    <w:basedOn w:val="DefaultParagraphFont"/>
    <w:link w:val="BalloonText"/>
    <w:uiPriority w:val="99"/>
    <w:semiHidden/>
    <w:rsid w:val="007238EE"/>
    <w:rPr>
      <w:rFonts w:ascii="Tahoma" w:hAnsi="Tahoma" w:cs="Tahoma"/>
      <w:sz w:val="16"/>
      <w:szCs w:val="16"/>
    </w:rPr>
  </w:style>
  <w:style w:type="table" w:styleId="TableGrid">
    <w:name w:val="Table Grid"/>
    <w:basedOn w:val="TableNormal"/>
    <w:uiPriority w:val="59"/>
    <w:rsid w:val="007238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oterDraft">
    <w:name w:val="FooterDraft"/>
    <w:basedOn w:val="Normal"/>
    <w:semiHidden/>
    <w:rsid w:val="00D62A66"/>
    <w:pPr>
      <w:jc w:val="center"/>
    </w:pPr>
    <w:rPr>
      <w:rFonts w:ascii="Arial" w:hAnsi="Arial"/>
      <w:b/>
      <w:sz w:val="40"/>
    </w:rPr>
  </w:style>
  <w:style w:type="paragraph" w:customStyle="1" w:styleId="FooterInfo">
    <w:name w:val="FooterInfo"/>
    <w:basedOn w:val="Normal"/>
    <w:semiHidden/>
    <w:rsid w:val="00D62A66"/>
    <w:rPr>
      <w:rFonts w:ascii="Arial" w:hAnsi="Arial"/>
      <w:sz w:val="12"/>
    </w:rPr>
  </w:style>
  <w:style w:type="paragraph" w:styleId="Title">
    <w:name w:val="Title"/>
    <w:basedOn w:val="Normal"/>
    <w:next w:val="Normal"/>
    <w:link w:val="TitleChar"/>
    <w:qFormat/>
    <w:rsid w:val="00D62A66"/>
    <w:pPr>
      <w:spacing w:before="480"/>
    </w:pPr>
    <w:rPr>
      <w:rFonts w:ascii="Arial" w:hAnsi="Arial" w:cs="Arial"/>
      <w:b/>
      <w:bCs/>
      <w:sz w:val="40"/>
      <w:szCs w:val="40"/>
    </w:rPr>
  </w:style>
  <w:style w:type="character" w:customStyle="1" w:styleId="TitleChar">
    <w:name w:val="Title Char"/>
    <w:basedOn w:val="DefaultParagraphFont"/>
    <w:link w:val="Title"/>
    <w:rsid w:val="00D62A66"/>
    <w:rPr>
      <w:rFonts w:ascii="Arial" w:eastAsia="Times New Roman" w:hAnsi="Arial" w:cs="Arial"/>
      <w:b/>
      <w:bCs/>
      <w:sz w:val="40"/>
      <w:szCs w:val="40"/>
      <w:lang w:val="en-AU"/>
    </w:rPr>
  </w:style>
  <w:style w:type="paragraph" w:customStyle="1" w:styleId="A1">
    <w:name w:val="A1"/>
    <w:aliases w:val="Heading Amendment,1. Amendment"/>
    <w:basedOn w:val="Normal"/>
    <w:next w:val="Normal"/>
    <w:rsid w:val="00D62A66"/>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D62A66"/>
    <w:pPr>
      <w:tabs>
        <w:tab w:val="right" w:pos="794"/>
      </w:tabs>
      <w:spacing w:before="120" w:line="260" w:lineRule="exact"/>
      <w:ind w:left="964" w:hanging="964"/>
      <w:jc w:val="both"/>
    </w:pPr>
  </w:style>
  <w:style w:type="paragraph" w:customStyle="1" w:styleId="SchedSectionBreak">
    <w:name w:val="SchedSectionBreak"/>
    <w:basedOn w:val="Normal"/>
    <w:next w:val="Normal"/>
    <w:link w:val="SchedSectionBreakChar"/>
    <w:rsid w:val="00D62A66"/>
  </w:style>
  <w:style w:type="character" w:styleId="PageNumber">
    <w:name w:val="page number"/>
    <w:basedOn w:val="DefaultParagraphFont"/>
    <w:rsid w:val="00D62A66"/>
  </w:style>
  <w:style w:type="character" w:customStyle="1" w:styleId="SchedSectionBreakChar">
    <w:name w:val="SchedSectionBreak Char"/>
    <w:basedOn w:val="DefaultParagraphFont"/>
    <w:link w:val="SchedSectionBreak"/>
    <w:rsid w:val="00D62A66"/>
    <w:rPr>
      <w:rFonts w:ascii="Times New Roman" w:eastAsia="Times New Roman" w:hAnsi="Times New Roman" w:cs="Times New Roman"/>
      <w:sz w:val="24"/>
      <w:szCs w:val="24"/>
      <w:lang w:val="en-AU"/>
    </w:rPr>
  </w:style>
  <w:style w:type="paragraph" w:styleId="ListParagraph">
    <w:name w:val="List Paragraph"/>
    <w:basedOn w:val="Normal"/>
    <w:uiPriority w:val="34"/>
    <w:rsid w:val="000C4F16"/>
    <w:pPr>
      <w:ind w:left="720"/>
      <w:contextualSpacing/>
    </w:pPr>
  </w:style>
</w:styles>
</file>

<file path=word/webSettings.xml><?xml version="1.0" encoding="utf-8"?>
<w:webSettings xmlns:r="http://schemas.openxmlformats.org/officeDocument/2006/relationships" xmlns:w="http://schemas.openxmlformats.org/wordprocessingml/2006/main">
  <w:divs>
    <w:div w:id="1241793911">
      <w:bodyDiv w:val="1"/>
      <w:marLeft w:val="0"/>
      <w:marRight w:val="0"/>
      <w:marTop w:val="0"/>
      <w:marBottom w:val="0"/>
      <w:divBdr>
        <w:top w:val="none" w:sz="0" w:space="0" w:color="auto"/>
        <w:left w:val="none" w:sz="0" w:space="0" w:color="auto"/>
        <w:bottom w:val="none" w:sz="0" w:space="0" w:color="auto"/>
        <w:right w:val="none" w:sz="0" w:space="0" w:color="auto"/>
      </w:divBdr>
      <w:divsChild>
        <w:div w:id="888763258">
          <w:marLeft w:val="0"/>
          <w:marRight w:val="0"/>
          <w:marTop w:val="0"/>
          <w:marBottom w:val="0"/>
          <w:divBdr>
            <w:top w:val="none" w:sz="0" w:space="0" w:color="auto"/>
            <w:left w:val="none" w:sz="0" w:space="0" w:color="auto"/>
            <w:bottom w:val="none" w:sz="0" w:space="0" w:color="auto"/>
            <w:right w:val="none" w:sz="0" w:space="0" w:color="auto"/>
          </w:divBdr>
          <w:divsChild>
            <w:div w:id="726149621">
              <w:marLeft w:val="0"/>
              <w:marRight w:val="0"/>
              <w:marTop w:val="0"/>
              <w:marBottom w:val="0"/>
              <w:divBdr>
                <w:top w:val="none" w:sz="0" w:space="0" w:color="auto"/>
                <w:left w:val="none" w:sz="0" w:space="0" w:color="auto"/>
                <w:bottom w:val="none" w:sz="0" w:space="0" w:color="auto"/>
                <w:right w:val="none" w:sz="0" w:space="0" w:color="auto"/>
              </w:divBdr>
              <w:divsChild>
                <w:div w:id="227883697">
                  <w:marLeft w:val="0"/>
                  <w:marRight w:val="0"/>
                  <w:marTop w:val="0"/>
                  <w:marBottom w:val="0"/>
                  <w:divBdr>
                    <w:top w:val="none" w:sz="0" w:space="0" w:color="auto"/>
                    <w:left w:val="none" w:sz="0" w:space="0" w:color="auto"/>
                    <w:bottom w:val="none" w:sz="0" w:space="0" w:color="auto"/>
                    <w:right w:val="none" w:sz="0" w:space="0" w:color="auto"/>
                  </w:divBdr>
                  <w:divsChild>
                    <w:div w:id="152649382">
                      <w:marLeft w:val="0"/>
                      <w:marRight w:val="0"/>
                      <w:marTop w:val="0"/>
                      <w:marBottom w:val="0"/>
                      <w:divBdr>
                        <w:top w:val="none" w:sz="0" w:space="0" w:color="auto"/>
                        <w:left w:val="none" w:sz="0" w:space="0" w:color="auto"/>
                        <w:bottom w:val="none" w:sz="0" w:space="0" w:color="auto"/>
                        <w:right w:val="none" w:sz="0" w:space="0" w:color="auto"/>
                      </w:divBdr>
                      <w:divsChild>
                        <w:div w:id="1714185116">
                          <w:marLeft w:val="0"/>
                          <w:marRight w:val="0"/>
                          <w:marTop w:val="0"/>
                          <w:marBottom w:val="0"/>
                          <w:divBdr>
                            <w:top w:val="single" w:sz="6" w:space="0" w:color="828282"/>
                            <w:left w:val="single" w:sz="6" w:space="0" w:color="828282"/>
                            <w:bottom w:val="single" w:sz="6" w:space="0" w:color="828282"/>
                            <w:right w:val="single" w:sz="6" w:space="0" w:color="828282"/>
                          </w:divBdr>
                          <w:divsChild>
                            <w:div w:id="460345486">
                              <w:marLeft w:val="0"/>
                              <w:marRight w:val="0"/>
                              <w:marTop w:val="0"/>
                              <w:marBottom w:val="0"/>
                              <w:divBdr>
                                <w:top w:val="none" w:sz="0" w:space="0" w:color="auto"/>
                                <w:left w:val="none" w:sz="0" w:space="0" w:color="auto"/>
                                <w:bottom w:val="none" w:sz="0" w:space="0" w:color="auto"/>
                                <w:right w:val="none" w:sz="0" w:space="0" w:color="auto"/>
                              </w:divBdr>
                              <w:divsChild>
                                <w:div w:id="1754207271">
                                  <w:marLeft w:val="0"/>
                                  <w:marRight w:val="0"/>
                                  <w:marTop w:val="0"/>
                                  <w:marBottom w:val="0"/>
                                  <w:divBdr>
                                    <w:top w:val="none" w:sz="0" w:space="0" w:color="auto"/>
                                    <w:left w:val="none" w:sz="0" w:space="0" w:color="auto"/>
                                    <w:bottom w:val="none" w:sz="0" w:space="0" w:color="auto"/>
                                    <w:right w:val="none" w:sz="0" w:space="0" w:color="auto"/>
                                  </w:divBdr>
                                  <w:divsChild>
                                    <w:div w:id="1650018278">
                                      <w:marLeft w:val="0"/>
                                      <w:marRight w:val="0"/>
                                      <w:marTop w:val="0"/>
                                      <w:marBottom w:val="0"/>
                                      <w:divBdr>
                                        <w:top w:val="none" w:sz="0" w:space="0" w:color="auto"/>
                                        <w:left w:val="none" w:sz="0" w:space="0" w:color="auto"/>
                                        <w:bottom w:val="none" w:sz="0" w:space="0" w:color="auto"/>
                                        <w:right w:val="none" w:sz="0" w:space="0" w:color="auto"/>
                                      </w:divBdr>
                                      <w:divsChild>
                                        <w:div w:id="738600778">
                                          <w:marLeft w:val="0"/>
                                          <w:marRight w:val="0"/>
                                          <w:marTop w:val="0"/>
                                          <w:marBottom w:val="0"/>
                                          <w:divBdr>
                                            <w:top w:val="none" w:sz="0" w:space="0" w:color="auto"/>
                                            <w:left w:val="none" w:sz="0" w:space="0" w:color="auto"/>
                                            <w:bottom w:val="none" w:sz="0" w:space="0" w:color="auto"/>
                                            <w:right w:val="none" w:sz="0" w:space="0" w:color="auto"/>
                                          </w:divBdr>
                                          <w:divsChild>
                                            <w:div w:id="1741516485">
                                              <w:marLeft w:val="0"/>
                                              <w:marRight w:val="0"/>
                                              <w:marTop w:val="0"/>
                                              <w:marBottom w:val="0"/>
                                              <w:divBdr>
                                                <w:top w:val="none" w:sz="0" w:space="0" w:color="auto"/>
                                                <w:left w:val="none" w:sz="0" w:space="0" w:color="auto"/>
                                                <w:bottom w:val="none" w:sz="0" w:space="0" w:color="auto"/>
                                                <w:right w:val="none" w:sz="0" w:space="0" w:color="auto"/>
                                              </w:divBdr>
                                              <w:divsChild>
                                                <w:div w:id="2175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0B31EE-120A-425E-8D21-0DACF58A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ComSuper</Company>
  <LinksUpToDate>false</LinksUpToDate>
  <CharactersWithSpaces>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Mirabito</dc:creator>
  <cp:lastModifiedBy>streetp</cp:lastModifiedBy>
  <cp:revision>2</cp:revision>
  <dcterms:created xsi:type="dcterms:W3CDTF">2014-06-02T01:44:00Z</dcterms:created>
  <dcterms:modified xsi:type="dcterms:W3CDTF">2014-06-02T01:44:00Z</dcterms:modified>
</cp:coreProperties>
</file>