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83" w:rsidRPr="00B82597" w:rsidRDefault="00EA6A83"/>
    <w:p w:rsidR="00BC0BD4" w:rsidRPr="002A58E1" w:rsidRDefault="00BC0BD4" w:rsidP="00D94AF7">
      <w:pPr>
        <w:pStyle w:val="Heading1"/>
        <w:jc w:val="center"/>
        <w:rPr>
          <w:b w:val="0"/>
        </w:rPr>
      </w:pPr>
      <w:r w:rsidRPr="005B2BCB">
        <w:t>EXPLANATORY STATEMENT</w:t>
      </w:r>
    </w:p>
    <w:p w:rsidR="00BC0BD4" w:rsidRPr="002A58E1" w:rsidRDefault="00BC0BD4" w:rsidP="00BC0BD4">
      <w:pPr>
        <w:pStyle w:val="Heading1"/>
        <w:rPr>
          <w:b w:val="0"/>
        </w:rPr>
      </w:pPr>
    </w:p>
    <w:p w:rsidR="00BC0BD4" w:rsidRDefault="00BC0BD4" w:rsidP="00BC0BD4">
      <w:pPr>
        <w:jc w:val="center"/>
        <w:rPr>
          <w:i/>
          <w:szCs w:val="24"/>
        </w:rPr>
      </w:pPr>
      <w:r>
        <w:rPr>
          <w:i/>
          <w:szCs w:val="24"/>
        </w:rPr>
        <w:t>Therapeutic Goods Act 1989</w:t>
      </w:r>
    </w:p>
    <w:p w:rsidR="00BC0BD4" w:rsidRPr="008453F7" w:rsidRDefault="00BC0BD4" w:rsidP="00BC0BD4">
      <w:pPr>
        <w:jc w:val="center"/>
        <w:rPr>
          <w:u w:val="single"/>
        </w:rPr>
      </w:pPr>
      <w:r>
        <w:rPr>
          <w:i/>
          <w:szCs w:val="24"/>
        </w:rPr>
        <w:t>Section 10</w:t>
      </w:r>
    </w:p>
    <w:p w:rsidR="00BC0BD4" w:rsidRPr="008453F7" w:rsidRDefault="00BC0BD4" w:rsidP="00BC0BD4">
      <w:pPr>
        <w:rPr>
          <w:u w:val="single"/>
        </w:rPr>
      </w:pPr>
    </w:p>
    <w:p w:rsidR="00BC0BD4" w:rsidRPr="005468B5" w:rsidRDefault="00BC0BD4" w:rsidP="00D94AF7">
      <w:pPr>
        <w:pStyle w:val="Heading2"/>
        <w:jc w:val="center"/>
        <w:rPr>
          <w:i/>
        </w:rPr>
      </w:pPr>
      <w:r>
        <w:t xml:space="preserve">Therapeutic Goods Order No. 69D </w:t>
      </w:r>
      <w:r w:rsidRPr="005468B5">
        <w:rPr>
          <w:i/>
        </w:rPr>
        <w:t>Amendment to Therapeutic Goods Order No. 69 general requirements for labels for medicines</w:t>
      </w:r>
    </w:p>
    <w:p w:rsidR="009E785C" w:rsidRPr="005468B5" w:rsidRDefault="009E785C" w:rsidP="009E785C">
      <w:pPr>
        <w:jc w:val="center"/>
        <w:rPr>
          <w:b/>
        </w:rPr>
      </w:pPr>
    </w:p>
    <w:p w:rsidR="009E785C" w:rsidRPr="00B82597" w:rsidRDefault="009E785C" w:rsidP="009E785C">
      <w:pPr>
        <w:ind w:left="1134" w:hanging="1134"/>
        <w:rPr>
          <w:b/>
        </w:rPr>
      </w:pPr>
    </w:p>
    <w:p w:rsidR="003C027E" w:rsidRPr="00B82597" w:rsidRDefault="00DF3E49" w:rsidP="003C027E">
      <w:pPr>
        <w:autoSpaceDE w:val="0"/>
        <w:autoSpaceDN w:val="0"/>
        <w:adjustRightInd w:val="0"/>
        <w:spacing w:before="120" w:after="120"/>
        <w:rPr>
          <w:szCs w:val="24"/>
        </w:rPr>
      </w:pPr>
      <w:r>
        <w:rPr>
          <w:szCs w:val="24"/>
        </w:rPr>
        <w:t xml:space="preserve">The </w:t>
      </w:r>
      <w:r>
        <w:rPr>
          <w:i/>
          <w:szCs w:val="24"/>
        </w:rPr>
        <w:t>Therapeutic Goods Act 1989</w:t>
      </w:r>
      <w:r>
        <w:rPr>
          <w:szCs w:val="24"/>
        </w:rPr>
        <w:t xml:space="preserve"> (the Act) provides for the establishment and maintenance of a national system of controls for the quality, safety, efficacy and timely availability of therapeutic goods that are used in or exported from Australia.  The Therapeutic Goods Administration (the TGA)</w:t>
      </w:r>
      <w:r w:rsidR="00D06274">
        <w:rPr>
          <w:szCs w:val="24"/>
        </w:rPr>
        <w:t>, a part of the Department of Health,</w:t>
      </w:r>
      <w:r>
        <w:rPr>
          <w:szCs w:val="24"/>
        </w:rPr>
        <w:t xml:space="preserve"> is responsible for administering the Act.</w:t>
      </w:r>
    </w:p>
    <w:p w:rsidR="00D035F4" w:rsidRDefault="00DF3E49" w:rsidP="00D94AF7">
      <w:pPr>
        <w:spacing w:after="120"/>
        <w:rPr>
          <w:i/>
        </w:rPr>
      </w:pPr>
      <w:r>
        <w:t xml:space="preserve">Therapeutic Goods Order No. 69D </w:t>
      </w:r>
      <w:r>
        <w:rPr>
          <w:i/>
        </w:rPr>
        <w:t xml:space="preserve">Amendment to Therapeutic Goods Order No. 69 General requirements for labels for medicines </w:t>
      </w:r>
      <w:r>
        <w:t>(TGO 69D) is an Order made by the delegate of the Minister for Health under section 10 of the Act</w:t>
      </w:r>
      <w:r>
        <w:rPr>
          <w:i/>
        </w:rPr>
        <w:t xml:space="preserve">.  </w:t>
      </w:r>
    </w:p>
    <w:p w:rsidR="009607C9" w:rsidRDefault="00F611D0" w:rsidP="00D94AF7">
      <w:pPr>
        <w:spacing w:before="100" w:beforeAutospacing="1" w:after="120"/>
        <w:rPr>
          <w:szCs w:val="24"/>
        </w:rPr>
      </w:pPr>
      <w:r>
        <w:rPr>
          <w:szCs w:val="24"/>
        </w:rPr>
        <w:t>TGO 69D</w:t>
      </w:r>
      <w:r w:rsidR="00DF3E49">
        <w:rPr>
          <w:szCs w:val="24"/>
        </w:rPr>
        <w:t xml:space="preserve"> amends </w:t>
      </w:r>
      <w:r w:rsidR="00DF3E49">
        <w:t xml:space="preserve">Therapeutic Goods Order No.69 </w:t>
      </w:r>
      <w:r w:rsidR="00DF3E49">
        <w:rPr>
          <w:i/>
        </w:rPr>
        <w:t>General requirements for labels for medicines</w:t>
      </w:r>
      <w:r w:rsidR="009607C9">
        <w:rPr>
          <w:szCs w:val="24"/>
        </w:rPr>
        <w:t xml:space="preserve"> (TGO 69), principally to </w:t>
      </w:r>
      <w:r w:rsidR="00CC69EC">
        <w:rPr>
          <w:szCs w:val="24"/>
        </w:rPr>
        <w:t xml:space="preserve">omit </w:t>
      </w:r>
      <w:r w:rsidR="009607C9">
        <w:rPr>
          <w:szCs w:val="24"/>
        </w:rPr>
        <w:t xml:space="preserve">references in TGO 69 </w:t>
      </w:r>
      <w:r w:rsidR="00777CC4">
        <w:rPr>
          <w:szCs w:val="24"/>
        </w:rPr>
        <w:t>about</w:t>
      </w:r>
      <w:r w:rsidR="009607C9">
        <w:rPr>
          <w:szCs w:val="24"/>
        </w:rPr>
        <w:t xml:space="preserve"> </w:t>
      </w:r>
      <w:r w:rsidR="00777CC4">
        <w:rPr>
          <w:szCs w:val="24"/>
        </w:rPr>
        <w:t xml:space="preserve">labelling requirements under </w:t>
      </w:r>
      <w:r w:rsidR="009607C9">
        <w:rPr>
          <w:szCs w:val="24"/>
        </w:rPr>
        <w:t xml:space="preserve">the TGA document </w:t>
      </w:r>
      <w:r w:rsidR="00CC69EC">
        <w:rPr>
          <w:szCs w:val="24"/>
        </w:rPr>
        <w:t xml:space="preserve">titled </w:t>
      </w:r>
      <w:r w:rsidR="009607C9">
        <w:rPr>
          <w:szCs w:val="24"/>
        </w:rPr>
        <w:t>‘</w:t>
      </w:r>
      <w:r w:rsidR="009607C9" w:rsidRPr="00DA1A50">
        <w:rPr>
          <w:i/>
          <w:szCs w:val="24"/>
        </w:rPr>
        <w:t>Required Advisory Statements for Medicine Labels</w:t>
      </w:r>
      <w:r w:rsidR="009607C9">
        <w:rPr>
          <w:szCs w:val="24"/>
        </w:rPr>
        <w:t>’ (the RASML)</w:t>
      </w:r>
      <w:r w:rsidR="00DF3E49">
        <w:rPr>
          <w:szCs w:val="24"/>
        </w:rPr>
        <w:t xml:space="preserve"> </w:t>
      </w:r>
      <w:r w:rsidR="00CC69EC">
        <w:rPr>
          <w:szCs w:val="24"/>
        </w:rPr>
        <w:t xml:space="preserve">and replaced by </w:t>
      </w:r>
      <w:r w:rsidR="009607C9">
        <w:rPr>
          <w:szCs w:val="24"/>
        </w:rPr>
        <w:t xml:space="preserve">references to the </w:t>
      </w:r>
      <w:r w:rsidR="00CC69EC">
        <w:rPr>
          <w:szCs w:val="24"/>
        </w:rPr>
        <w:t xml:space="preserve">advisory statements required to be included on the medicine’s label set out in a legislative </w:t>
      </w:r>
      <w:r w:rsidR="009607C9">
        <w:rPr>
          <w:szCs w:val="24"/>
        </w:rPr>
        <w:t>instrument made by the Minister under subsection 3(5A) of the Act (as in force from time to time).</w:t>
      </w:r>
      <w:r w:rsidR="006E5F25">
        <w:rPr>
          <w:szCs w:val="24"/>
        </w:rPr>
        <w:t xml:space="preserve"> </w:t>
      </w:r>
      <w:r w:rsidR="001D0392">
        <w:rPr>
          <w:szCs w:val="24"/>
        </w:rPr>
        <w:t xml:space="preserve">The amendment is carried out by amending the definition of “warning </w:t>
      </w:r>
      <w:r w:rsidR="006D7C3B">
        <w:rPr>
          <w:szCs w:val="24"/>
        </w:rPr>
        <w:t>statements</w:t>
      </w:r>
      <w:r w:rsidR="001D0392">
        <w:rPr>
          <w:szCs w:val="24"/>
        </w:rPr>
        <w:t xml:space="preserve">”. </w:t>
      </w:r>
      <w:r w:rsidR="006E5F25">
        <w:rPr>
          <w:szCs w:val="24"/>
        </w:rPr>
        <w:t xml:space="preserve"> Th</w:t>
      </w:r>
      <w:r w:rsidR="001D0392">
        <w:rPr>
          <w:szCs w:val="24"/>
        </w:rPr>
        <w:t>e</w:t>
      </w:r>
      <w:r w:rsidR="006E5F25">
        <w:rPr>
          <w:szCs w:val="24"/>
        </w:rPr>
        <w:t xml:space="preserve"> legislative instrument is the </w:t>
      </w:r>
      <w:r w:rsidR="006E5F25" w:rsidRPr="005B6E87">
        <w:rPr>
          <w:i/>
          <w:szCs w:val="24"/>
        </w:rPr>
        <w:t>Medicines Advisory Statements Specification</w:t>
      </w:r>
      <w:r w:rsidR="00777CC4">
        <w:rPr>
          <w:i/>
          <w:szCs w:val="24"/>
        </w:rPr>
        <w:t xml:space="preserve"> 2014</w:t>
      </w:r>
      <w:r w:rsidR="006E5F25">
        <w:rPr>
          <w:szCs w:val="24"/>
        </w:rPr>
        <w:t>.</w:t>
      </w:r>
    </w:p>
    <w:p w:rsidR="000346BB" w:rsidRDefault="00DF3E49" w:rsidP="00DA1A50">
      <w:pPr>
        <w:spacing w:before="100" w:beforeAutospacing="1" w:after="120"/>
      </w:pPr>
      <w:r>
        <w:t>TGO 69D commence</w:t>
      </w:r>
      <w:r w:rsidR="009607C9">
        <w:t>d</w:t>
      </w:r>
      <w:r>
        <w:t xml:space="preserve"> on the day after it </w:t>
      </w:r>
      <w:r w:rsidR="009607C9">
        <w:t>wa</w:t>
      </w:r>
      <w:r>
        <w:t>s registered on the Federal Register of Legislative Instruments.</w:t>
      </w:r>
    </w:p>
    <w:p w:rsidR="00D035F4" w:rsidRPr="00DA1A50" w:rsidRDefault="00DF3E49" w:rsidP="00DA1A50">
      <w:pPr>
        <w:spacing w:before="100" w:beforeAutospacing="1" w:after="120"/>
        <w:rPr>
          <w:b/>
        </w:rPr>
      </w:pPr>
      <w:r w:rsidRPr="00DA1A50">
        <w:rPr>
          <w:b/>
        </w:rPr>
        <w:t>BACKGROUND</w:t>
      </w:r>
    </w:p>
    <w:p w:rsidR="00D035F4" w:rsidRDefault="00DF3E49" w:rsidP="00D94AF7">
      <w:pPr>
        <w:spacing w:after="120"/>
      </w:pPr>
      <w:r>
        <w:t>Section 10 of the Act provides the Minister, or the Minister's delegate, with the power to determine standards for therapeutic goods, or to amend or revoke existing standards, after consult</w:t>
      </w:r>
      <w:r w:rsidR="009607C9">
        <w:t>ing</w:t>
      </w:r>
      <w:r>
        <w:t xml:space="preserve"> with a committee established </w:t>
      </w:r>
      <w:r w:rsidR="00CC69EC">
        <w:t>under</w:t>
      </w:r>
      <w:r>
        <w:t xml:space="preserve"> the </w:t>
      </w:r>
      <w:r>
        <w:rPr>
          <w:i/>
        </w:rPr>
        <w:t>Therapeutic Goods Regulations 1990</w:t>
      </w:r>
      <w:r>
        <w:t xml:space="preserve"> (the Regulations) to advise the Minister on standards.  The Therapeutic Goods Committee (TGC) is the committee established for this purpose under regulation 34 of the Regulations.</w:t>
      </w:r>
    </w:p>
    <w:p w:rsidR="00D035F4" w:rsidRDefault="00DF3E49" w:rsidP="00D94AF7">
      <w:pPr>
        <w:tabs>
          <w:tab w:val="left" w:pos="360"/>
          <w:tab w:val="left" w:pos="567"/>
          <w:tab w:val="left" w:pos="1134"/>
          <w:tab w:val="left" w:pos="1701"/>
          <w:tab w:val="left" w:pos="2268"/>
          <w:tab w:val="left" w:pos="2835"/>
          <w:tab w:val="left" w:pos="3402"/>
        </w:tabs>
        <w:spacing w:after="120"/>
        <w:rPr>
          <w:color w:val="000000"/>
        </w:rPr>
      </w:pPr>
      <w:r>
        <w:rPr>
          <w:color w:val="000000"/>
        </w:rPr>
        <w:t xml:space="preserve">TGO 69 is a standard for medicines made under section 10 of the Act.  Specifically, it requires certain information to be included on </w:t>
      </w:r>
      <w:r w:rsidR="00040DFE">
        <w:rPr>
          <w:color w:val="000000"/>
        </w:rPr>
        <w:t xml:space="preserve">medicines </w:t>
      </w:r>
      <w:r>
        <w:rPr>
          <w:color w:val="000000"/>
        </w:rPr>
        <w:t>labels</w:t>
      </w:r>
      <w:r w:rsidR="00040DFE">
        <w:rPr>
          <w:color w:val="000000"/>
        </w:rPr>
        <w:t>,</w:t>
      </w:r>
      <w:r>
        <w:rPr>
          <w:color w:val="000000"/>
        </w:rPr>
        <w:t xml:space="preserve"> and s</w:t>
      </w:r>
      <w:r w:rsidR="00040DFE">
        <w:rPr>
          <w:color w:val="000000"/>
        </w:rPr>
        <w:t>ets out requirements in relation to</w:t>
      </w:r>
      <w:r>
        <w:rPr>
          <w:color w:val="000000"/>
        </w:rPr>
        <w:t xml:space="preserve"> where and how such information is to be presented.  </w:t>
      </w:r>
    </w:p>
    <w:p w:rsidR="00D035F4" w:rsidRDefault="00040DFE" w:rsidP="00D94AF7">
      <w:pPr>
        <w:tabs>
          <w:tab w:val="left" w:pos="360"/>
          <w:tab w:val="left" w:pos="567"/>
          <w:tab w:val="left" w:pos="1134"/>
          <w:tab w:val="left" w:pos="1701"/>
          <w:tab w:val="left" w:pos="2268"/>
          <w:tab w:val="left" w:pos="2835"/>
          <w:tab w:val="left" w:pos="3402"/>
        </w:tabs>
        <w:spacing w:after="120"/>
        <w:rPr>
          <w:color w:val="000000"/>
        </w:rPr>
      </w:pPr>
      <w:r>
        <w:rPr>
          <w:color w:val="000000"/>
        </w:rPr>
        <w:t>Paragraph</w:t>
      </w:r>
      <w:r w:rsidR="00DF3E49">
        <w:rPr>
          <w:color w:val="000000"/>
        </w:rPr>
        <w:t xml:space="preserve"> 3(2)(g) of TGO 69 requires that </w:t>
      </w:r>
      <w:r>
        <w:rPr>
          <w:color w:val="000000"/>
        </w:rPr>
        <w:t>medicine</w:t>
      </w:r>
      <w:r w:rsidR="00DF3E49">
        <w:rPr>
          <w:color w:val="000000"/>
        </w:rPr>
        <w:t xml:space="preserve"> labels must include warning statements, where these apply to the medicines.  The definition of ‘warning statements’ in TGO 69 </w:t>
      </w:r>
      <w:r w:rsidR="004E2405">
        <w:rPr>
          <w:color w:val="000000"/>
        </w:rPr>
        <w:t xml:space="preserve">currently </w:t>
      </w:r>
      <w:r w:rsidR="00DF3E49">
        <w:rPr>
          <w:color w:val="000000"/>
        </w:rPr>
        <w:t xml:space="preserve">includes any labelling requirements specified in the </w:t>
      </w:r>
      <w:r w:rsidR="00153C59">
        <w:rPr>
          <w:color w:val="000000"/>
        </w:rPr>
        <w:t xml:space="preserve">September 2008 edition of the </w:t>
      </w:r>
      <w:r w:rsidR="001B36AF" w:rsidRPr="00DA1A50">
        <w:rPr>
          <w:color w:val="000000"/>
        </w:rPr>
        <w:t>RASML</w:t>
      </w:r>
      <w:r w:rsidR="00153C59">
        <w:rPr>
          <w:color w:val="000000"/>
        </w:rPr>
        <w:t xml:space="preserve"> (also known as ‘Update 4’)</w:t>
      </w:r>
      <w:r w:rsidR="001B36AF" w:rsidRPr="00DA1A50">
        <w:rPr>
          <w:color w:val="000000"/>
        </w:rPr>
        <w:t>.</w:t>
      </w:r>
    </w:p>
    <w:p w:rsidR="00E97983" w:rsidRDefault="00E97983"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rPr>
        <w:t>TGO</w:t>
      </w:r>
      <w:r w:rsidR="00530D67">
        <w:rPr>
          <w:color w:val="000000"/>
        </w:rPr>
        <w:t xml:space="preserve"> </w:t>
      </w:r>
      <w:r>
        <w:rPr>
          <w:color w:val="000000"/>
        </w:rPr>
        <w:t xml:space="preserve">69D replaces this reference to the </w:t>
      </w:r>
      <w:r w:rsidR="00153C59">
        <w:rPr>
          <w:color w:val="000000"/>
        </w:rPr>
        <w:t xml:space="preserve">September 2008 edition of the </w:t>
      </w:r>
      <w:r>
        <w:rPr>
          <w:color w:val="000000"/>
        </w:rPr>
        <w:t xml:space="preserve">RASML in </w:t>
      </w:r>
      <w:r w:rsidR="00F57F5B">
        <w:rPr>
          <w:color w:val="000000"/>
        </w:rPr>
        <w:t xml:space="preserve">the definition of ‘warning statements’ in TGO 69 with a reference to the </w:t>
      </w:r>
      <w:r w:rsidR="00F57F5B" w:rsidRPr="00C007AE">
        <w:rPr>
          <w:i/>
          <w:color w:val="000000"/>
          <w:szCs w:val="24"/>
        </w:rPr>
        <w:t>Medicines Advisory Statements Specification</w:t>
      </w:r>
      <w:r w:rsidR="00F57F5B" w:rsidRPr="00C007AE">
        <w:rPr>
          <w:color w:val="000000"/>
          <w:szCs w:val="24"/>
        </w:rPr>
        <w:t xml:space="preserve"> </w:t>
      </w:r>
      <w:r w:rsidR="006E36F0" w:rsidRPr="006D7C3B">
        <w:rPr>
          <w:i/>
          <w:color w:val="000000"/>
          <w:szCs w:val="24"/>
        </w:rPr>
        <w:t>2014</w:t>
      </w:r>
      <w:r w:rsidR="006E36F0">
        <w:rPr>
          <w:color w:val="000000"/>
          <w:szCs w:val="24"/>
        </w:rPr>
        <w:t xml:space="preserve"> </w:t>
      </w:r>
      <w:r w:rsidR="00F57F5B" w:rsidRPr="00C007AE">
        <w:rPr>
          <w:color w:val="000000"/>
          <w:szCs w:val="24"/>
        </w:rPr>
        <w:t>made by the Minister under</w:t>
      </w:r>
      <w:r w:rsidR="00F57F5B" w:rsidRPr="00F45B86">
        <w:rPr>
          <w:color w:val="000000"/>
          <w:szCs w:val="24"/>
        </w:rPr>
        <w:t xml:space="preserve"> </w:t>
      </w:r>
      <w:r w:rsidR="00F57F5B" w:rsidRPr="00C007AE">
        <w:rPr>
          <w:color w:val="000000"/>
          <w:szCs w:val="24"/>
        </w:rPr>
        <w:t xml:space="preserve">subsection </w:t>
      </w:r>
      <w:r w:rsidR="00F57F5B" w:rsidRPr="00D94AF7">
        <w:rPr>
          <w:color w:val="000000"/>
          <w:szCs w:val="24"/>
        </w:rPr>
        <w:t>3(5A) of the Act</w:t>
      </w:r>
      <w:r w:rsidR="00F57F5B">
        <w:rPr>
          <w:color w:val="000000"/>
          <w:szCs w:val="24"/>
        </w:rPr>
        <w:t xml:space="preserve"> </w:t>
      </w:r>
      <w:r w:rsidR="00F57F5B" w:rsidRPr="00C007AE">
        <w:rPr>
          <w:color w:val="000000"/>
          <w:szCs w:val="24"/>
        </w:rPr>
        <w:t>(the Specification)</w:t>
      </w:r>
      <w:r w:rsidR="00D30F61">
        <w:rPr>
          <w:color w:val="000000"/>
          <w:szCs w:val="24"/>
        </w:rPr>
        <w:t>, as in force from time to time</w:t>
      </w:r>
      <w:r w:rsidR="00F57F5B">
        <w:rPr>
          <w:color w:val="000000"/>
          <w:szCs w:val="24"/>
        </w:rPr>
        <w:t>.</w:t>
      </w: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Replacing the reference to the RASML in TGO 69 with a reference to the Specification will support the streamlining of requirements relating to the inclusion of advisory statements on medicines labels.</w:t>
      </w: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In particular, this will permit TGO 69 to refer to the Specification as in force from time to time (because the Specification is a legislative instrument) rather than, as has been the case previously, having to update TGO 69 each time a new edition of the RASML is proposed to be adopted.</w:t>
      </w: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In addition, it is also important to note that medicines mentioned in Part 1 of Schedule 10 to the Regulations – which are comprised of prescription medicines and medicines such as medical gasses, radiopharmaceuticals and dialysis solutions – will not be required to comply with the Specification.</w:t>
      </w:r>
    </w:p>
    <w:p w:rsidR="00153C59" w:rsidRDefault="00153C59"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 xml:space="preserve">These are </w:t>
      </w:r>
      <w:r w:rsidR="008D7B24">
        <w:rPr>
          <w:color w:val="000000"/>
          <w:szCs w:val="24"/>
        </w:rPr>
        <w:t xml:space="preserve">currently </w:t>
      </w:r>
      <w:r>
        <w:rPr>
          <w:color w:val="000000"/>
          <w:szCs w:val="24"/>
        </w:rPr>
        <w:t xml:space="preserve">captured by the scope of TGO </w:t>
      </w:r>
      <w:bookmarkStart w:id="0" w:name="_GoBack"/>
      <w:bookmarkEnd w:id="0"/>
      <w:r>
        <w:rPr>
          <w:color w:val="000000"/>
          <w:szCs w:val="24"/>
        </w:rPr>
        <w:t>69</w:t>
      </w:r>
      <w:r w:rsidR="008D7B24">
        <w:rPr>
          <w:color w:val="000000"/>
          <w:szCs w:val="24"/>
        </w:rPr>
        <w:t>, however there are important reasons why this is not necessary.</w:t>
      </w:r>
      <w:r>
        <w:rPr>
          <w:color w:val="000000"/>
          <w:szCs w:val="24"/>
        </w:rPr>
        <w:t xml:space="preserve"> </w:t>
      </w:r>
    </w:p>
    <w:p w:rsidR="00153C59" w:rsidRDefault="008D7B24"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 xml:space="preserve">In the case of prescription medicines, the exclusion of these medicines from the need to comply with the </w:t>
      </w:r>
      <w:r w:rsidR="00777CC4">
        <w:rPr>
          <w:color w:val="000000"/>
          <w:szCs w:val="24"/>
        </w:rPr>
        <w:t xml:space="preserve">requirement to include advisory statements on the medicine’s label (as set out in the </w:t>
      </w:r>
      <w:r>
        <w:rPr>
          <w:color w:val="000000"/>
          <w:szCs w:val="24"/>
        </w:rPr>
        <w:t>Specification</w:t>
      </w:r>
      <w:r w:rsidR="00777CC4">
        <w:rPr>
          <w:color w:val="000000"/>
          <w:szCs w:val="24"/>
        </w:rPr>
        <w:t>)</w:t>
      </w:r>
      <w:r>
        <w:rPr>
          <w:color w:val="000000"/>
          <w:szCs w:val="24"/>
        </w:rPr>
        <w:t xml:space="preserve"> under TGO 69 (as amended by TGO 69D) reflects </w:t>
      </w:r>
      <w:r w:rsidR="00777CC4">
        <w:rPr>
          <w:color w:val="000000"/>
          <w:szCs w:val="24"/>
        </w:rPr>
        <w:t xml:space="preserve">the current regulatory arrangement </w:t>
      </w:r>
      <w:r>
        <w:rPr>
          <w:color w:val="000000"/>
          <w:szCs w:val="24"/>
        </w:rPr>
        <w:t>that access to prescription medicines is controlled by registered medical practitioners, and that the transmission of information about the potential benefits and risks of a prescription medicine is intrinsic to the consultation between patient and prescriber.  Further, the risk-benefit profile of such medicines may vary considerably from patient to patient.</w:t>
      </w:r>
    </w:p>
    <w:p w:rsidR="008D7B24" w:rsidRDefault="008D7B24" w:rsidP="00D94AF7">
      <w:pPr>
        <w:tabs>
          <w:tab w:val="left" w:pos="360"/>
          <w:tab w:val="left" w:pos="567"/>
          <w:tab w:val="left" w:pos="1134"/>
          <w:tab w:val="left" w:pos="1701"/>
          <w:tab w:val="left" w:pos="2268"/>
          <w:tab w:val="left" w:pos="2835"/>
          <w:tab w:val="left" w:pos="3402"/>
        </w:tabs>
        <w:spacing w:after="120"/>
        <w:rPr>
          <w:color w:val="000000"/>
          <w:szCs w:val="24"/>
        </w:rPr>
      </w:pPr>
      <w:r>
        <w:rPr>
          <w:color w:val="000000"/>
          <w:szCs w:val="24"/>
        </w:rPr>
        <w:t>In relation to radiopharmaceuticals and the like, these are not, in most cases, supplied directly to consumers, but rather are principally utilised in a treatment setting such as a hospital.</w:t>
      </w:r>
    </w:p>
    <w:p w:rsidR="009E7E9E" w:rsidRDefault="00F57F5B" w:rsidP="00D94AF7">
      <w:pPr>
        <w:pStyle w:val="ListParagraph"/>
        <w:autoSpaceDE w:val="0"/>
        <w:autoSpaceDN w:val="0"/>
        <w:adjustRightInd w:val="0"/>
        <w:spacing w:before="120" w:after="120" w:line="240" w:lineRule="auto"/>
        <w:ind w:left="0"/>
        <w:contextualSpacing w:val="0"/>
        <w:rPr>
          <w:rFonts w:ascii="Times New Roman" w:hAnsi="Times New Roman"/>
          <w:color w:val="000000"/>
          <w:sz w:val="24"/>
          <w:szCs w:val="24"/>
        </w:rPr>
      </w:pPr>
      <w:r>
        <w:rPr>
          <w:rFonts w:ascii="Times New Roman" w:hAnsi="Times New Roman"/>
          <w:color w:val="000000"/>
          <w:sz w:val="24"/>
          <w:szCs w:val="24"/>
        </w:rPr>
        <w:t>T</w:t>
      </w:r>
      <w:r w:rsidR="008438AF" w:rsidRPr="00DA1A50">
        <w:rPr>
          <w:rFonts w:ascii="Times New Roman" w:hAnsi="Times New Roman"/>
          <w:color w:val="000000"/>
          <w:sz w:val="24"/>
          <w:szCs w:val="24"/>
        </w:rPr>
        <w:t>he Specification</w:t>
      </w:r>
      <w:r w:rsidR="00CA0299">
        <w:rPr>
          <w:rFonts w:ascii="Times New Roman" w:hAnsi="Times New Roman"/>
          <w:color w:val="000000"/>
          <w:sz w:val="24"/>
          <w:szCs w:val="24"/>
        </w:rPr>
        <w:t xml:space="preserve"> consists of </w:t>
      </w:r>
      <w:r w:rsidR="009E7E9E">
        <w:rPr>
          <w:rFonts w:ascii="Times New Roman" w:hAnsi="Times New Roman"/>
          <w:color w:val="000000"/>
          <w:sz w:val="24"/>
          <w:szCs w:val="24"/>
        </w:rPr>
        <w:t>two separate versions of the RASML</w:t>
      </w:r>
      <w:r w:rsidR="001A6A7E">
        <w:rPr>
          <w:rFonts w:ascii="Times New Roman" w:hAnsi="Times New Roman"/>
          <w:color w:val="000000"/>
          <w:sz w:val="24"/>
          <w:szCs w:val="24"/>
        </w:rPr>
        <w:t xml:space="preserve">.  Version 1 </w:t>
      </w:r>
      <w:r w:rsidR="0092584B">
        <w:rPr>
          <w:rFonts w:ascii="Times New Roman" w:hAnsi="Times New Roman"/>
          <w:color w:val="000000"/>
          <w:sz w:val="24"/>
          <w:szCs w:val="24"/>
        </w:rPr>
        <w:t xml:space="preserve">as set out in Schedule 1 to that Specification </w:t>
      </w:r>
      <w:r w:rsidR="009E7E9E">
        <w:rPr>
          <w:rFonts w:ascii="Times New Roman" w:hAnsi="Times New Roman"/>
          <w:color w:val="000000"/>
          <w:sz w:val="24"/>
          <w:szCs w:val="24"/>
        </w:rPr>
        <w:t>reflects the current edition of the RASML that was published by the TGA in 2008 (</w:t>
      </w:r>
      <w:r w:rsidR="006D7C3B">
        <w:rPr>
          <w:rFonts w:ascii="Times New Roman" w:hAnsi="Times New Roman"/>
          <w:color w:val="000000"/>
          <w:sz w:val="24"/>
          <w:szCs w:val="24"/>
        </w:rPr>
        <w:t xml:space="preserve">incorporating amendments up to </w:t>
      </w:r>
      <w:r w:rsidR="009E7E9E">
        <w:rPr>
          <w:rFonts w:ascii="Times New Roman" w:hAnsi="Times New Roman"/>
          <w:color w:val="000000"/>
          <w:sz w:val="24"/>
          <w:szCs w:val="24"/>
        </w:rPr>
        <w:t>“</w:t>
      </w:r>
      <w:r w:rsidR="008D7B24">
        <w:rPr>
          <w:rFonts w:ascii="Times New Roman" w:hAnsi="Times New Roman"/>
          <w:color w:val="000000"/>
          <w:sz w:val="24"/>
          <w:szCs w:val="24"/>
        </w:rPr>
        <w:t>Update</w:t>
      </w:r>
      <w:r w:rsidR="009E7E9E">
        <w:rPr>
          <w:rFonts w:ascii="Times New Roman" w:hAnsi="Times New Roman"/>
          <w:color w:val="000000"/>
          <w:sz w:val="24"/>
          <w:szCs w:val="24"/>
        </w:rPr>
        <w:t xml:space="preserve"> 4” of the RASML)</w:t>
      </w:r>
      <w:r w:rsidR="001A6A7E">
        <w:rPr>
          <w:rFonts w:ascii="Times New Roman" w:hAnsi="Times New Roman"/>
          <w:color w:val="000000"/>
          <w:sz w:val="24"/>
          <w:szCs w:val="24"/>
        </w:rPr>
        <w:t>.  V</w:t>
      </w:r>
      <w:r w:rsidR="009E7E9E">
        <w:rPr>
          <w:rFonts w:ascii="Times New Roman" w:hAnsi="Times New Roman"/>
          <w:color w:val="000000"/>
          <w:sz w:val="24"/>
          <w:szCs w:val="24"/>
        </w:rPr>
        <w:t>ersion</w:t>
      </w:r>
      <w:r w:rsidR="008D7B24">
        <w:rPr>
          <w:rFonts w:ascii="Times New Roman" w:hAnsi="Times New Roman"/>
          <w:color w:val="000000"/>
          <w:sz w:val="24"/>
          <w:szCs w:val="24"/>
        </w:rPr>
        <w:t xml:space="preserve"> 2 </w:t>
      </w:r>
      <w:r w:rsidR="0092584B">
        <w:rPr>
          <w:rFonts w:ascii="Times New Roman" w:hAnsi="Times New Roman"/>
          <w:color w:val="000000"/>
          <w:sz w:val="24"/>
          <w:szCs w:val="24"/>
        </w:rPr>
        <w:t xml:space="preserve">as set out in Schedule 2 to that Specification </w:t>
      </w:r>
      <w:r w:rsidR="008D7B24">
        <w:rPr>
          <w:rFonts w:ascii="Times New Roman" w:hAnsi="Times New Roman"/>
          <w:color w:val="000000"/>
          <w:sz w:val="24"/>
          <w:szCs w:val="24"/>
        </w:rPr>
        <w:t>incorporates</w:t>
      </w:r>
      <w:r w:rsidR="009E7E9E">
        <w:rPr>
          <w:rFonts w:ascii="Times New Roman" w:hAnsi="Times New Roman"/>
          <w:color w:val="000000"/>
          <w:sz w:val="24"/>
          <w:szCs w:val="24"/>
        </w:rPr>
        <w:t xml:space="preserve"> two </w:t>
      </w:r>
      <w:r w:rsidR="008D7B24">
        <w:rPr>
          <w:rFonts w:ascii="Times New Roman" w:hAnsi="Times New Roman"/>
          <w:color w:val="000000"/>
          <w:sz w:val="24"/>
          <w:szCs w:val="24"/>
        </w:rPr>
        <w:t>subsequent updates to the RASML between 2009-201</w:t>
      </w:r>
      <w:r w:rsidR="00EF2119">
        <w:rPr>
          <w:rFonts w:ascii="Times New Roman" w:hAnsi="Times New Roman"/>
          <w:color w:val="000000"/>
          <w:sz w:val="24"/>
          <w:szCs w:val="24"/>
        </w:rPr>
        <w:t>1</w:t>
      </w:r>
      <w:r w:rsidR="008D7B24">
        <w:rPr>
          <w:rFonts w:ascii="Times New Roman" w:hAnsi="Times New Roman"/>
          <w:color w:val="000000"/>
          <w:sz w:val="24"/>
          <w:szCs w:val="24"/>
        </w:rPr>
        <w:t xml:space="preserve"> (“Update 5” and “Update 6”) and a number of other advisory statements such as specific </w:t>
      </w:r>
      <w:r w:rsidR="001A6A7E">
        <w:rPr>
          <w:rFonts w:ascii="Times New Roman" w:hAnsi="Times New Roman"/>
          <w:color w:val="000000"/>
          <w:sz w:val="24"/>
          <w:szCs w:val="24"/>
        </w:rPr>
        <w:t>warnings about the use of cough and cold medicines by children</w:t>
      </w:r>
      <w:r w:rsidR="0005524A">
        <w:rPr>
          <w:rFonts w:ascii="Times New Roman" w:hAnsi="Times New Roman"/>
          <w:color w:val="000000"/>
          <w:sz w:val="24"/>
          <w:szCs w:val="24"/>
        </w:rPr>
        <w:t>, which have been required as a condition of marketing approval to be included on the labels of such medicines since early 2012</w:t>
      </w:r>
      <w:r w:rsidR="001A6A7E">
        <w:rPr>
          <w:rFonts w:ascii="Times New Roman" w:hAnsi="Times New Roman"/>
          <w:color w:val="000000"/>
          <w:sz w:val="24"/>
          <w:szCs w:val="24"/>
        </w:rPr>
        <w:t>.</w:t>
      </w:r>
    </w:p>
    <w:p w:rsidR="008D7B24" w:rsidRDefault="00D524A2" w:rsidP="00D94AF7">
      <w:pPr>
        <w:pStyle w:val="ListParagraph"/>
        <w:autoSpaceDE w:val="0"/>
        <w:autoSpaceDN w:val="0"/>
        <w:adjustRightInd w:val="0"/>
        <w:spacing w:before="120" w:after="120" w:line="240" w:lineRule="auto"/>
        <w:ind w:left="0"/>
        <w:contextualSpacing w:val="0"/>
        <w:rPr>
          <w:rFonts w:ascii="Times New Roman" w:hAnsi="Times New Roman"/>
          <w:sz w:val="24"/>
          <w:szCs w:val="24"/>
        </w:rPr>
      </w:pPr>
      <w:r>
        <w:rPr>
          <w:rFonts w:ascii="Times New Roman" w:hAnsi="Times New Roman"/>
          <w:sz w:val="24"/>
          <w:szCs w:val="24"/>
        </w:rPr>
        <w:t xml:space="preserve">Schedule 1 of the Specification </w:t>
      </w:r>
      <w:r w:rsidR="008D7B24">
        <w:rPr>
          <w:rFonts w:ascii="Times New Roman" w:hAnsi="Times New Roman"/>
          <w:sz w:val="24"/>
          <w:szCs w:val="24"/>
        </w:rPr>
        <w:t xml:space="preserve">will apply under the Specification for the first 18 months after the commencement of that instrument, and </w:t>
      </w:r>
      <w:r>
        <w:rPr>
          <w:rFonts w:ascii="Times New Roman" w:hAnsi="Times New Roman"/>
          <w:sz w:val="24"/>
          <w:szCs w:val="24"/>
        </w:rPr>
        <w:t>Schedule 2</w:t>
      </w:r>
      <w:r w:rsidR="008D7B24">
        <w:rPr>
          <w:rFonts w:ascii="Times New Roman" w:hAnsi="Times New Roman"/>
          <w:sz w:val="24"/>
          <w:szCs w:val="24"/>
        </w:rPr>
        <w:t xml:space="preserve">2 will apply after that time.  </w:t>
      </w:r>
      <w:r w:rsidR="00C457E3">
        <w:rPr>
          <w:rFonts w:ascii="Times New Roman" w:hAnsi="Times New Roman"/>
          <w:sz w:val="24"/>
          <w:szCs w:val="24"/>
        </w:rPr>
        <w:t xml:space="preserve">This will give sponsors a period of time to adjust to any new advisory statements they need to include on their products’ labels under Version 2.  </w:t>
      </w:r>
      <w:r w:rsidR="008D7B24">
        <w:rPr>
          <w:rFonts w:ascii="Times New Roman" w:hAnsi="Times New Roman"/>
          <w:sz w:val="24"/>
          <w:szCs w:val="24"/>
        </w:rPr>
        <w:t xml:space="preserve">Sponsors, will, however, have the option of complying with Version 2 from the Specification’s commencement if they wish to do so.  </w:t>
      </w:r>
    </w:p>
    <w:p w:rsidR="009E785C" w:rsidRPr="00DA1A50" w:rsidRDefault="00051F52" w:rsidP="00DA1A50">
      <w:pPr>
        <w:pStyle w:val="ListParagraph"/>
        <w:autoSpaceDE w:val="0"/>
        <w:autoSpaceDN w:val="0"/>
        <w:adjustRightInd w:val="0"/>
        <w:spacing w:before="120" w:after="120" w:line="240" w:lineRule="auto"/>
        <w:ind w:left="0"/>
        <w:contextualSpacing w:val="0"/>
        <w:rPr>
          <w:rFonts w:ascii="Times New Roman" w:hAnsi="Times New Roman"/>
          <w:b/>
          <w:sz w:val="24"/>
          <w:szCs w:val="24"/>
        </w:rPr>
      </w:pPr>
      <w:r w:rsidRPr="00DA1A50">
        <w:rPr>
          <w:rFonts w:ascii="Times New Roman" w:hAnsi="Times New Roman"/>
          <w:b/>
          <w:sz w:val="24"/>
          <w:szCs w:val="24"/>
        </w:rPr>
        <w:t xml:space="preserve">CONSULTATION </w:t>
      </w:r>
    </w:p>
    <w:p w:rsidR="009344F8" w:rsidRDefault="009344F8" w:rsidP="009344F8">
      <w:pPr>
        <w:pStyle w:val="NormalWeb"/>
        <w:spacing w:before="0" w:beforeAutospacing="0" w:after="0" w:afterAutospacing="0"/>
      </w:pPr>
      <w:r>
        <w:t xml:space="preserve">Updates 5 and 6 of the RASML (which are incorporated into </w:t>
      </w:r>
      <w:r w:rsidR="006E36F0">
        <w:t xml:space="preserve">Schedule 2 </w:t>
      </w:r>
      <w:r w:rsidR="001D0392">
        <w:t xml:space="preserve">of </w:t>
      </w:r>
      <w:r>
        <w:t>the Specification) were published in draft form on the TGA’s website (</w:t>
      </w:r>
      <w:hyperlink r:id="rId9" w:history="1">
        <w:r w:rsidRPr="00AB5269">
          <w:rPr>
            <w:rStyle w:val="Hyperlink"/>
          </w:rPr>
          <w:t>www.tga.gov.au</w:t>
        </w:r>
      </w:hyperlink>
      <w:r>
        <w:t xml:space="preserve">), and comments from industry were invited (via direct contact with relevant peak industry </w:t>
      </w:r>
      <w:r w:rsidRPr="00670DE6">
        <w:t>bodies), in July-August 2009 (in relation to Update 5) and in February- May 2011 (in relation to Update 6).  A total</w:t>
      </w:r>
      <w:r>
        <w:t xml:space="preserve"> of 22 submissions were received.  </w:t>
      </w:r>
    </w:p>
    <w:p w:rsidR="009344F8" w:rsidRDefault="009344F8" w:rsidP="009344F8">
      <w:pPr>
        <w:pStyle w:val="NormalWeb"/>
        <w:spacing w:before="0" w:beforeAutospacing="0" w:after="0" w:afterAutospacing="0"/>
      </w:pPr>
    </w:p>
    <w:p w:rsidR="009344F8" w:rsidRDefault="009344F8" w:rsidP="009344F8">
      <w:pPr>
        <w:pStyle w:val="NormalWeb"/>
        <w:spacing w:before="0" w:beforeAutospacing="0" w:after="0" w:afterAutospacing="0"/>
      </w:pPr>
      <w:r>
        <w:t xml:space="preserve">Following that consultation, Update 6 was revised to incorporate some of the feedback received from industry in that regard.  A response from the TGA to industry’s comments was published on the TGA website in October 2011.  </w:t>
      </w:r>
    </w:p>
    <w:p w:rsidR="009344F8" w:rsidRDefault="009344F8" w:rsidP="009344F8">
      <w:pPr>
        <w:pStyle w:val="NormalWeb"/>
        <w:spacing w:before="0" w:beforeAutospacing="0" w:after="0" w:afterAutospacing="0"/>
      </w:pPr>
    </w:p>
    <w:p w:rsidR="009344F8" w:rsidRDefault="009344F8" w:rsidP="009344F8">
      <w:pPr>
        <w:pStyle w:val="NormalWeb"/>
        <w:spacing w:before="0" w:beforeAutospacing="0" w:after="0" w:afterAutospacing="0"/>
      </w:pPr>
      <w:r>
        <w:t>In February 2012, t</w:t>
      </w:r>
      <w:r w:rsidRPr="001243D9">
        <w:t>he TGA </w:t>
      </w:r>
      <w:hyperlink r:id="rId10" w:history="1">
        <w:r>
          <w:rPr>
            <w:rStyle w:val="Hyperlink"/>
          </w:rPr>
          <w:t>sought comments</w:t>
        </w:r>
      </w:hyperlink>
      <w:r>
        <w:t xml:space="preserve"> </w:t>
      </w:r>
      <w:r w:rsidRPr="001243D9">
        <w:t>from interested parties on proposed advisory statements</w:t>
      </w:r>
      <w:r>
        <w:t xml:space="preserve"> </w:t>
      </w:r>
      <w:r w:rsidRPr="001243D9">
        <w:t>for cough and cold medicines for use in children</w:t>
      </w:r>
      <w:r>
        <w:t xml:space="preserve"> (which are included in </w:t>
      </w:r>
      <w:r w:rsidR="006E36F0">
        <w:t xml:space="preserve">Schedule </w:t>
      </w:r>
      <w:proofErr w:type="gramStart"/>
      <w:r w:rsidR="006E36F0">
        <w:t xml:space="preserve">2 </w:t>
      </w:r>
      <w:r>
        <w:t xml:space="preserve"> of</w:t>
      </w:r>
      <w:proofErr w:type="gramEnd"/>
      <w:r>
        <w:t xml:space="preserve"> the Specification).</w:t>
      </w:r>
    </w:p>
    <w:p w:rsidR="009344F8" w:rsidRDefault="009344F8" w:rsidP="009344F8">
      <w:pPr>
        <w:pStyle w:val="NormalWeb"/>
        <w:spacing w:before="0" w:beforeAutospacing="0" w:after="0" w:afterAutospacing="0"/>
      </w:pPr>
    </w:p>
    <w:p w:rsidR="009344F8" w:rsidRDefault="009344F8" w:rsidP="009344F8">
      <w:pPr>
        <w:pStyle w:val="NormalWeb"/>
        <w:spacing w:before="0" w:beforeAutospacing="0" w:after="0" w:afterAutospacing="0"/>
      </w:pPr>
      <w:r>
        <w:t>This followed reviews between 2007-2009 by regulatory authorities in the USA, Canada, the United Kingdom, New Zealand and Australia of the safety and efficacy of over-the-counter cough and cold medicines for children under two years of age.  A large number of submissions were received in relation to that request for comment, and the TGA subsequently published a response summarising its consideration of each of the submissions</w:t>
      </w:r>
      <w:r w:rsidRPr="00757ABF">
        <w:t xml:space="preserve">. </w:t>
      </w:r>
    </w:p>
    <w:p w:rsidR="009344F8" w:rsidRDefault="009344F8" w:rsidP="009344F8">
      <w:pPr>
        <w:pStyle w:val="NormalWeb"/>
        <w:spacing w:before="0" w:beforeAutospacing="0" w:after="0" w:afterAutospacing="0"/>
      </w:pPr>
    </w:p>
    <w:p w:rsidR="009344F8" w:rsidRDefault="009344F8" w:rsidP="009344F8">
      <w:r w:rsidRPr="00757ABF">
        <w:t>In 2012 and 2013</w:t>
      </w:r>
      <w:r>
        <w:t xml:space="preserve">, </w:t>
      </w:r>
      <w:r w:rsidRPr="00757ABF">
        <w:t xml:space="preserve">the TGA published </w:t>
      </w:r>
      <w:r w:rsidRPr="006630A5">
        <w:t>requests for submissions in relation to proposed advisory statements</w:t>
      </w:r>
      <w:r w:rsidRPr="00757ABF">
        <w:t xml:space="preserve"> for loperamide, fexofenadine, famciclovir, loratadine, desloratadine, azelastine and </w:t>
      </w:r>
      <w:r w:rsidRPr="002C5518">
        <w:rPr>
          <w:i/>
        </w:rPr>
        <w:t>Kunzea ambigua</w:t>
      </w:r>
      <w:r>
        <w:t xml:space="preserve"> (these also form part of </w:t>
      </w:r>
      <w:r w:rsidR="006E36F0">
        <w:t xml:space="preserve">Schedule </w:t>
      </w:r>
      <w:proofErr w:type="gramStart"/>
      <w:r w:rsidR="006E36F0">
        <w:t xml:space="preserve">2 </w:t>
      </w:r>
      <w:r>
        <w:t xml:space="preserve"> of</w:t>
      </w:r>
      <w:proofErr w:type="gramEnd"/>
      <w:r>
        <w:t xml:space="preserve"> the Specification).</w:t>
      </w:r>
      <w:r w:rsidRPr="00757ABF">
        <w:t xml:space="preserve"> </w:t>
      </w:r>
      <w:r>
        <w:t xml:space="preserve">The </w:t>
      </w:r>
      <w:r w:rsidRPr="002F5879">
        <w:t>T</w:t>
      </w:r>
      <w:r>
        <w:t xml:space="preserve">GA considered the submissions and published its conclusions on the </w:t>
      </w:r>
      <w:hyperlink r:id="rId11" w:history="1">
        <w:r w:rsidRPr="006630A5">
          <w:rPr>
            <w:rStyle w:val="Hyperlink"/>
          </w:rPr>
          <w:t xml:space="preserve">respective </w:t>
        </w:r>
        <w:r>
          <w:rPr>
            <w:rStyle w:val="Hyperlink"/>
          </w:rPr>
          <w:t xml:space="preserve">consultation </w:t>
        </w:r>
        <w:r w:rsidRPr="006630A5">
          <w:rPr>
            <w:rStyle w:val="Hyperlink"/>
          </w:rPr>
          <w:t>web-pages</w:t>
        </w:r>
      </w:hyperlink>
      <w:r>
        <w:t>.</w:t>
      </w:r>
    </w:p>
    <w:p w:rsidR="009344F8" w:rsidRDefault="009344F8" w:rsidP="009344F8">
      <w:pPr>
        <w:rPr>
          <w:szCs w:val="24"/>
        </w:rPr>
      </w:pPr>
    </w:p>
    <w:p w:rsidR="009344F8" w:rsidRDefault="009344F8" w:rsidP="009344F8">
      <w:pPr>
        <w:rPr>
          <w:szCs w:val="24"/>
        </w:rPr>
      </w:pPr>
      <w:r>
        <w:rPr>
          <w:szCs w:val="24"/>
        </w:rPr>
        <w:t>These consultations were consistent with the level of consultation agreed between the TGA and industry for the updating of the RASML.</w:t>
      </w:r>
    </w:p>
    <w:p w:rsidR="009344F8" w:rsidRDefault="009344F8" w:rsidP="009344F8">
      <w:pPr>
        <w:rPr>
          <w:szCs w:val="24"/>
        </w:rPr>
      </w:pPr>
    </w:p>
    <w:p w:rsidR="009344F8" w:rsidRDefault="009344F8" w:rsidP="009344F8">
      <w:pPr>
        <w:rPr>
          <w:szCs w:val="24"/>
        </w:rPr>
      </w:pPr>
      <w:r w:rsidRPr="00670DE6">
        <w:rPr>
          <w:szCs w:val="24"/>
        </w:rPr>
        <w:t xml:space="preserve">In addition, the Therapeutic Goods Committee (TGC) was consulted in relation to Update 5 at its October 2009 and </w:t>
      </w:r>
      <w:r>
        <w:rPr>
          <w:szCs w:val="24"/>
        </w:rPr>
        <w:t>in relation to Update 6 at its 6</w:t>
      </w:r>
      <w:r w:rsidRPr="00670DE6">
        <w:rPr>
          <w:szCs w:val="24"/>
        </w:rPr>
        <w:t>April 2011 meeting.</w:t>
      </w:r>
      <w:r>
        <w:rPr>
          <w:szCs w:val="24"/>
        </w:rPr>
        <w:t xml:space="preserve"> The TGC was consulted in relation to the Specification (and the proposal to refer to it rather than to particular editions of the RASML in TGO 69) at its meeting in August 2013.  At the latter meeting, the TGC was supportive of the new arrangements relating to the Specification and TGO 69.</w:t>
      </w:r>
    </w:p>
    <w:p w:rsidR="000E0D13" w:rsidRDefault="000E0D13" w:rsidP="000E0D13">
      <w:pPr>
        <w:autoSpaceDE w:val="0"/>
        <w:autoSpaceDN w:val="0"/>
        <w:adjustRightInd w:val="0"/>
        <w:spacing w:before="120" w:after="120"/>
        <w:rPr>
          <w:szCs w:val="24"/>
        </w:rPr>
      </w:pPr>
      <w:r w:rsidRPr="002A58E1">
        <w:rPr>
          <w:szCs w:val="24"/>
        </w:rPr>
        <w:t xml:space="preserve">In relation to compatibility with human rights, it is considered that the </w:t>
      </w:r>
      <w:r w:rsidR="00F45B86">
        <w:rPr>
          <w:szCs w:val="24"/>
        </w:rPr>
        <w:t>TGO 69D</w:t>
      </w:r>
      <w:r w:rsidRPr="002A58E1">
        <w:rPr>
          <w:szCs w:val="24"/>
        </w:rPr>
        <w:t xml:space="preserve"> is compatible with the human rights and freedoms recognised or declared in the international instruments listed in section 3 of the </w:t>
      </w:r>
      <w:r w:rsidRPr="002A58E1">
        <w:rPr>
          <w:i/>
          <w:szCs w:val="24"/>
        </w:rPr>
        <w:t>Human Rights (Parliamentary Scrutiny) Act 2011</w:t>
      </w:r>
      <w:r w:rsidRPr="002A58E1">
        <w:rPr>
          <w:szCs w:val="24"/>
        </w:rPr>
        <w:t>, and a Statement of Compatibility setting that out in further detail is attached.</w:t>
      </w:r>
    </w:p>
    <w:p w:rsidR="009344F8" w:rsidRPr="00E4135E" w:rsidRDefault="009344F8" w:rsidP="009344F8">
      <w:pPr>
        <w:spacing w:before="360" w:after="120"/>
        <w:rPr>
          <w:b/>
          <w:sz w:val="28"/>
          <w:szCs w:val="28"/>
        </w:rPr>
      </w:pPr>
      <w:r w:rsidRPr="00E4135E">
        <w:rPr>
          <w:b/>
          <w:sz w:val="28"/>
          <w:szCs w:val="28"/>
        </w:rPr>
        <w:t>S</w:t>
      </w:r>
      <w:r>
        <w:rPr>
          <w:b/>
          <w:sz w:val="28"/>
          <w:szCs w:val="28"/>
        </w:rPr>
        <w:t>UPPLEMENTARY MATERIAL - S</w:t>
      </w:r>
      <w:r w:rsidRPr="00E4135E">
        <w:rPr>
          <w:b/>
          <w:sz w:val="28"/>
          <w:szCs w:val="28"/>
        </w:rPr>
        <w:t>TATEMENT OF COMPATIBILITY WITH HUMAN RIGHTS</w:t>
      </w:r>
      <w:r>
        <w:rPr>
          <w:b/>
          <w:sz w:val="28"/>
          <w:szCs w:val="28"/>
        </w:rPr>
        <w:t xml:space="preserve"> FOR A LEGISLATIVE INSTRUMENT THAT </w:t>
      </w:r>
      <w:r w:rsidRPr="00C14B25">
        <w:rPr>
          <w:b/>
          <w:sz w:val="28"/>
          <w:szCs w:val="28"/>
          <w:u w:val="single"/>
        </w:rPr>
        <w:t>DOES NOT</w:t>
      </w:r>
      <w:r>
        <w:rPr>
          <w:b/>
          <w:sz w:val="28"/>
          <w:szCs w:val="28"/>
        </w:rPr>
        <w:t xml:space="preserve"> RAISE ANY HUMAN RIGHTS ISSUES</w:t>
      </w:r>
    </w:p>
    <w:p w:rsidR="009344F8" w:rsidRPr="00E4135E" w:rsidRDefault="009344F8" w:rsidP="009344F8">
      <w:pPr>
        <w:spacing w:before="120" w:after="120"/>
        <w:rPr>
          <w:szCs w:val="24"/>
        </w:rPr>
      </w:pPr>
      <w:r w:rsidRPr="00E4135E">
        <w:rPr>
          <w:i/>
          <w:szCs w:val="24"/>
        </w:rPr>
        <w:t>Prepared in accordance with Part 3 of the Human Rights (Parliamentary Scrutiny) Act 2011</w:t>
      </w:r>
    </w:p>
    <w:p w:rsidR="009344F8" w:rsidRPr="00CB4EC4" w:rsidRDefault="009344F8" w:rsidP="009344F8">
      <w:pPr>
        <w:spacing w:before="120" w:after="120"/>
        <w:rPr>
          <w:b/>
          <w:szCs w:val="24"/>
        </w:rPr>
      </w:pPr>
      <w:r>
        <w:rPr>
          <w:b/>
          <w:szCs w:val="24"/>
        </w:rPr>
        <w:t xml:space="preserve">Therapeutic Goods Order No.69D </w:t>
      </w:r>
      <w:r w:rsidRPr="00DA1A50">
        <w:rPr>
          <w:b/>
          <w:i/>
          <w:szCs w:val="24"/>
        </w:rPr>
        <w:t>Amendment to Therapeutic Goods Order No.69 General requirements for labels for medicines</w:t>
      </w:r>
    </w:p>
    <w:p w:rsidR="009344F8" w:rsidRPr="00CB4EC4" w:rsidRDefault="009344F8" w:rsidP="009344F8">
      <w:pPr>
        <w:spacing w:before="120" w:after="120"/>
        <w:rPr>
          <w:szCs w:val="24"/>
        </w:rPr>
      </w:pPr>
      <w:r w:rsidRPr="00CB4EC4">
        <w:rPr>
          <w:szCs w:val="24"/>
        </w:rPr>
        <w:t xml:space="preserve">This legislative instrument is compatible with the human rights and freedoms recognised or declared in the international instruments listed in section 3 of the </w:t>
      </w:r>
      <w:r w:rsidRPr="00CB4EC4">
        <w:rPr>
          <w:i/>
          <w:szCs w:val="24"/>
        </w:rPr>
        <w:t>Human Rights (Parliamentary Scrutiny) Act 2011</w:t>
      </w:r>
      <w:r w:rsidRPr="00CB4EC4">
        <w:rPr>
          <w:szCs w:val="24"/>
        </w:rPr>
        <w:t>.</w:t>
      </w:r>
    </w:p>
    <w:p w:rsidR="006E36F0" w:rsidRDefault="006E36F0" w:rsidP="009344F8">
      <w:pPr>
        <w:spacing w:before="120" w:after="120"/>
        <w:rPr>
          <w:b/>
          <w:szCs w:val="24"/>
        </w:rPr>
      </w:pPr>
    </w:p>
    <w:p w:rsidR="009344F8" w:rsidRPr="00CB4EC4" w:rsidRDefault="009344F8" w:rsidP="009344F8">
      <w:pPr>
        <w:spacing w:before="120" w:after="120"/>
        <w:rPr>
          <w:b/>
          <w:szCs w:val="24"/>
        </w:rPr>
      </w:pPr>
      <w:r w:rsidRPr="00CB4EC4">
        <w:rPr>
          <w:b/>
          <w:szCs w:val="24"/>
        </w:rPr>
        <w:lastRenderedPageBreak/>
        <w:t>Overview of the Bill/Legislative Instrument</w:t>
      </w:r>
    </w:p>
    <w:p w:rsidR="00031720" w:rsidRDefault="009344F8" w:rsidP="00031720">
      <w:pPr>
        <w:tabs>
          <w:tab w:val="left" w:pos="360"/>
          <w:tab w:val="left" w:pos="567"/>
          <w:tab w:val="left" w:pos="1134"/>
          <w:tab w:val="left" w:pos="1701"/>
          <w:tab w:val="left" w:pos="2268"/>
          <w:tab w:val="left" w:pos="2835"/>
          <w:tab w:val="left" w:pos="3402"/>
        </w:tabs>
        <w:spacing w:after="120"/>
        <w:rPr>
          <w:color w:val="000000"/>
          <w:szCs w:val="24"/>
        </w:rPr>
      </w:pPr>
      <w:r>
        <w:rPr>
          <w:szCs w:val="24"/>
        </w:rPr>
        <w:t xml:space="preserve">Therapeutic Goods Order No.69D </w:t>
      </w:r>
      <w:r w:rsidRPr="00DA1A50">
        <w:rPr>
          <w:i/>
          <w:szCs w:val="24"/>
        </w:rPr>
        <w:t>Amendment to Therapeutic Goods Order No.69 General requirements for labels for medicines</w:t>
      </w:r>
      <w:r>
        <w:rPr>
          <w:szCs w:val="24"/>
        </w:rPr>
        <w:t xml:space="preserve"> is made by the Minister under section 10 of the </w:t>
      </w:r>
      <w:r w:rsidRPr="004F4AC9">
        <w:rPr>
          <w:i/>
          <w:szCs w:val="24"/>
        </w:rPr>
        <w:t>Therapeutic Goods Act 1989</w:t>
      </w:r>
      <w:r>
        <w:rPr>
          <w:szCs w:val="24"/>
        </w:rPr>
        <w:t xml:space="preserve"> (the Act), and amends Therapeutic Goods Order No.69</w:t>
      </w:r>
      <w:r w:rsidR="00031720">
        <w:rPr>
          <w:szCs w:val="24"/>
        </w:rPr>
        <w:t xml:space="preserve"> </w:t>
      </w:r>
      <w:r w:rsidR="00031720" w:rsidRPr="00DA1A50">
        <w:rPr>
          <w:i/>
          <w:szCs w:val="24"/>
        </w:rPr>
        <w:t>General requirements for labels for medicines</w:t>
      </w:r>
      <w:r w:rsidR="00031720">
        <w:rPr>
          <w:szCs w:val="24"/>
        </w:rPr>
        <w:t xml:space="preserve"> (TGO 69) </w:t>
      </w:r>
      <w:r w:rsidR="00031720">
        <w:rPr>
          <w:color w:val="000000"/>
        </w:rPr>
        <w:t xml:space="preserve">to replace the current reference in TGO 69 to the September 2008 edition of the RASML in the definition of ‘warning statements’ in TGO 69 with a reference to the </w:t>
      </w:r>
      <w:r w:rsidR="00031720" w:rsidRPr="00C007AE">
        <w:rPr>
          <w:i/>
          <w:color w:val="000000"/>
          <w:szCs w:val="24"/>
        </w:rPr>
        <w:t>Medicines Advisory Statements Specification</w:t>
      </w:r>
      <w:r w:rsidR="00031720" w:rsidRPr="006D7C3B">
        <w:rPr>
          <w:i/>
          <w:color w:val="000000"/>
          <w:szCs w:val="24"/>
        </w:rPr>
        <w:t xml:space="preserve"> </w:t>
      </w:r>
      <w:r w:rsidR="006E36F0" w:rsidRPr="006D7C3B">
        <w:rPr>
          <w:i/>
          <w:color w:val="000000"/>
          <w:szCs w:val="24"/>
        </w:rPr>
        <w:t>2014</w:t>
      </w:r>
      <w:r w:rsidR="006E36F0">
        <w:rPr>
          <w:color w:val="000000"/>
          <w:szCs w:val="24"/>
        </w:rPr>
        <w:t xml:space="preserve"> </w:t>
      </w:r>
      <w:r w:rsidR="00031720" w:rsidRPr="00C007AE">
        <w:rPr>
          <w:color w:val="000000"/>
          <w:szCs w:val="24"/>
        </w:rPr>
        <w:t>made by the Minister under</w:t>
      </w:r>
      <w:r w:rsidR="00031720" w:rsidRPr="00F45B86">
        <w:rPr>
          <w:color w:val="000000"/>
          <w:szCs w:val="24"/>
        </w:rPr>
        <w:t xml:space="preserve"> </w:t>
      </w:r>
      <w:r w:rsidR="00031720" w:rsidRPr="00C007AE">
        <w:rPr>
          <w:color w:val="000000"/>
          <w:szCs w:val="24"/>
        </w:rPr>
        <w:t xml:space="preserve">subsection </w:t>
      </w:r>
      <w:r w:rsidR="00031720" w:rsidRPr="00D94AF7">
        <w:rPr>
          <w:color w:val="000000"/>
          <w:szCs w:val="24"/>
        </w:rPr>
        <w:t>3(5A) of the Act</w:t>
      </w:r>
      <w:r w:rsidR="00031720">
        <w:rPr>
          <w:color w:val="000000"/>
          <w:szCs w:val="24"/>
        </w:rPr>
        <w:t xml:space="preserve"> </w:t>
      </w:r>
      <w:r w:rsidR="00031720" w:rsidRPr="00C007AE">
        <w:rPr>
          <w:color w:val="000000"/>
          <w:szCs w:val="24"/>
        </w:rPr>
        <w:t>(the Specification</w:t>
      </w:r>
      <w:r w:rsidR="00031720">
        <w:rPr>
          <w:color w:val="000000"/>
          <w:szCs w:val="24"/>
        </w:rPr>
        <w:t>).</w:t>
      </w:r>
      <w:r w:rsidR="00031720" w:rsidRPr="00031720">
        <w:rPr>
          <w:color w:val="000000"/>
          <w:szCs w:val="24"/>
        </w:rPr>
        <w:t xml:space="preserve"> </w:t>
      </w:r>
      <w:r w:rsidR="00031720">
        <w:rPr>
          <w:color w:val="000000"/>
          <w:szCs w:val="24"/>
        </w:rPr>
        <w:t>In particular, this will permit TGO 69 to refer to the Specification as in force from time to time (because the Specification is a legislative instrument) rather than, as has been the case previously, having to update TGO 69 each time a new edition of the RASML is proposed to be adopted.</w:t>
      </w:r>
    </w:p>
    <w:p w:rsidR="009344F8" w:rsidRPr="00E4135E" w:rsidRDefault="009344F8" w:rsidP="009344F8">
      <w:pPr>
        <w:spacing w:before="120" w:after="120"/>
        <w:rPr>
          <w:b/>
          <w:szCs w:val="24"/>
        </w:rPr>
      </w:pPr>
      <w:r w:rsidRPr="00E4135E">
        <w:rPr>
          <w:b/>
          <w:szCs w:val="24"/>
        </w:rPr>
        <w:t>Human rights implications</w:t>
      </w:r>
    </w:p>
    <w:p w:rsidR="009344F8" w:rsidRPr="00F928E0" w:rsidRDefault="009344F8" w:rsidP="009344F8">
      <w:pPr>
        <w:spacing w:before="120" w:after="120"/>
        <w:rPr>
          <w:szCs w:val="24"/>
        </w:rPr>
      </w:pPr>
      <w:r>
        <w:rPr>
          <w:szCs w:val="24"/>
        </w:rPr>
        <w:t>This legislative i</w:t>
      </w:r>
      <w:r w:rsidRPr="00E4135E">
        <w:rPr>
          <w:szCs w:val="24"/>
        </w:rPr>
        <w:t>nstrument does not engage any of the</w:t>
      </w:r>
      <w:r>
        <w:rPr>
          <w:szCs w:val="24"/>
        </w:rPr>
        <w:t xml:space="preserve"> applicable rights or freedoms.</w:t>
      </w:r>
    </w:p>
    <w:p w:rsidR="009344F8" w:rsidRPr="00E4135E" w:rsidRDefault="009344F8" w:rsidP="009344F8">
      <w:pPr>
        <w:spacing w:before="120" w:after="120"/>
        <w:rPr>
          <w:b/>
          <w:szCs w:val="24"/>
        </w:rPr>
      </w:pPr>
      <w:r w:rsidRPr="00E4135E">
        <w:rPr>
          <w:b/>
          <w:szCs w:val="24"/>
        </w:rPr>
        <w:t>Conclusion</w:t>
      </w:r>
    </w:p>
    <w:p w:rsidR="009344F8" w:rsidRDefault="009344F8" w:rsidP="009344F8">
      <w:pPr>
        <w:spacing w:before="120" w:after="120"/>
        <w:rPr>
          <w:szCs w:val="24"/>
        </w:rPr>
      </w:pPr>
      <w:r>
        <w:rPr>
          <w:szCs w:val="24"/>
        </w:rPr>
        <w:t>This legislative i</w:t>
      </w:r>
      <w:r w:rsidRPr="00E4135E">
        <w:rPr>
          <w:szCs w:val="24"/>
        </w:rPr>
        <w:t>nstrument is compatible with human rights as it does not raise any human rights issues.</w:t>
      </w:r>
    </w:p>
    <w:p w:rsidR="009344F8" w:rsidRDefault="009344F8" w:rsidP="009344F8">
      <w:pPr>
        <w:spacing w:before="120" w:after="120"/>
        <w:rPr>
          <w:szCs w:val="24"/>
        </w:rPr>
      </w:pPr>
    </w:p>
    <w:p w:rsidR="009344F8" w:rsidRPr="00364218" w:rsidRDefault="006E36F0" w:rsidP="009344F8">
      <w:pPr>
        <w:spacing w:before="120" w:after="120"/>
        <w:rPr>
          <w:b/>
          <w:szCs w:val="24"/>
        </w:rPr>
      </w:pPr>
      <w:r>
        <w:rPr>
          <w:b/>
          <w:szCs w:val="24"/>
        </w:rPr>
        <w:t xml:space="preserve">Professor </w:t>
      </w:r>
      <w:r w:rsidR="009344F8">
        <w:rPr>
          <w:b/>
          <w:szCs w:val="24"/>
        </w:rPr>
        <w:t>John Skerritt</w:t>
      </w:r>
      <w:r w:rsidR="009344F8" w:rsidRPr="00364218">
        <w:rPr>
          <w:b/>
          <w:szCs w:val="24"/>
        </w:rPr>
        <w:t xml:space="preserve">, delegate of the </w:t>
      </w:r>
      <w:r w:rsidR="009344F8">
        <w:rPr>
          <w:b/>
          <w:szCs w:val="24"/>
        </w:rPr>
        <w:t>Minister</w:t>
      </w:r>
      <w:r w:rsidR="009344F8" w:rsidRPr="00364218">
        <w:rPr>
          <w:b/>
          <w:szCs w:val="24"/>
        </w:rPr>
        <w:t xml:space="preserve"> for Health</w:t>
      </w:r>
    </w:p>
    <w:p w:rsidR="0033341C" w:rsidRPr="00B82597" w:rsidRDefault="0033341C" w:rsidP="008C4398">
      <w:pPr>
        <w:autoSpaceDE w:val="0"/>
        <w:autoSpaceDN w:val="0"/>
        <w:adjustRightInd w:val="0"/>
      </w:pPr>
    </w:p>
    <w:p w:rsidR="00926BF0" w:rsidRDefault="00926BF0" w:rsidP="008C4398">
      <w:pPr>
        <w:autoSpaceDE w:val="0"/>
        <w:autoSpaceDN w:val="0"/>
        <w:adjustRightInd w:val="0"/>
      </w:pPr>
    </w:p>
    <w:p w:rsidR="00926BF0" w:rsidRDefault="00926BF0" w:rsidP="008C4398">
      <w:pPr>
        <w:autoSpaceDE w:val="0"/>
        <w:autoSpaceDN w:val="0"/>
        <w:adjustRightInd w:val="0"/>
      </w:pPr>
    </w:p>
    <w:p w:rsidR="00926BF0" w:rsidRDefault="00926BF0" w:rsidP="008C4398">
      <w:pPr>
        <w:autoSpaceDE w:val="0"/>
        <w:autoSpaceDN w:val="0"/>
        <w:adjustRightInd w:val="0"/>
      </w:pPr>
    </w:p>
    <w:p w:rsidR="00A72F22" w:rsidRPr="00B82597" w:rsidRDefault="00A72F22" w:rsidP="008C4398">
      <w:pPr>
        <w:autoSpaceDE w:val="0"/>
        <w:autoSpaceDN w:val="0"/>
        <w:adjustRightInd w:val="0"/>
      </w:pPr>
    </w:p>
    <w:p w:rsidR="002F4CA3" w:rsidRDefault="002F4CA3" w:rsidP="00481933">
      <w:pPr>
        <w:autoSpaceDE w:val="0"/>
        <w:autoSpaceDN w:val="0"/>
        <w:adjustRightInd w:val="0"/>
        <w:ind w:left="567" w:hanging="567"/>
      </w:pPr>
    </w:p>
    <w:p w:rsidR="002F4CA3" w:rsidRDefault="002F4CA3" w:rsidP="00481933">
      <w:pPr>
        <w:autoSpaceDE w:val="0"/>
        <w:autoSpaceDN w:val="0"/>
        <w:adjustRightInd w:val="0"/>
        <w:ind w:left="567" w:hanging="567"/>
      </w:pPr>
    </w:p>
    <w:p w:rsidR="002F4CA3" w:rsidRPr="00B82597" w:rsidRDefault="002F4CA3" w:rsidP="00481933">
      <w:pPr>
        <w:autoSpaceDE w:val="0"/>
        <w:autoSpaceDN w:val="0"/>
        <w:adjustRightInd w:val="0"/>
        <w:ind w:left="567" w:hanging="567"/>
      </w:pPr>
    </w:p>
    <w:sectPr w:rsidR="002F4CA3" w:rsidRPr="00B82597" w:rsidSect="001C63A5">
      <w:footerReference w:type="default" r:id="rId12"/>
      <w:type w:val="nextColumn"/>
      <w:pgSz w:w="11907" w:h="16840" w:code="9"/>
      <w:pgMar w:top="1440" w:right="1440" w:bottom="1440" w:left="1440"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DB" w:rsidRDefault="004514DB">
      <w:r>
        <w:separator/>
      </w:r>
    </w:p>
  </w:endnote>
  <w:endnote w:type="continuationSeparator" w:id="0">
    <w:p w:rsidR="004514DB" w:rsidRDefault="0045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center"/>
      <w:rPr>
        <w:sz w:val="14"/>
      </w:rPr>
    </w:pPr>
    <w:r>
      <w:rPr>
        <w:rStyle w:val="PageNumber"/>
      </w:rPr>
      <w:fldChar w:fldCharType="begin"/>
    </w:r>
    <w:r>
      <w:rPr>
        <w:rStyle w:val="PageNumber"/>
      </w:rPr>
      <w:instrText xml:space="preserve"> PAGE </w:instrText>
    </w:r>
    <w:r>
      <w:rPr>
        <w:rStyle w:val="PageNumber"/>
      </w:rPr>
      <w:fldChar w:fldCharType="separate"/>
    </w:r>
    <w:r w:rsidR="00CC3CB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DB" w:rsidRDefault="004514DB">
      <w:r>
        <w:separator/>
      </w:r>
    </w:p>
  </w:footnote>
  <w:footnote w:type="continuationSeparator" w:id="0">
    <w:p w:rsidR="004514DB" w:rsidRDefault="00451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EF2"/>
    <w:multiLevelType w:val="hybridMultilevel"/>
    <w:tmpl w:val="9BB8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FC4AA1"/>
    <w:multiLevelType w:val="hybridMultilevel"/>
    <w:tmpl w:val="67F0DF1C"/>
    <w:lvl w:ilvl="0" w:tplc="BEF2D55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168F13E9"/>
    <w:multiLevelType w:val="multilevel"/>
    <w:tmpl w:val="E3B4FB9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27E668BA"/>
    <w:multiLevelType w:val="hybridMultilevel"/>
    <w:tmpl w:val="D02E1758"/>
    <w:lvl w:ilvl="0" w:tplc="1E74C91E">
      <w:start w:val="1"/>
      <w:numFmt w:val="bullet"/>
      <w:lvlText w:val=""/>
      <w:lvlJc w:val="left"/>
      <w:pPr>
        <w:tabs>
          <w:tab w:val="num" w:pos="849"/>
        </w:tabs>
        <w:ind w:left="849" w:hanging="283"/>
      </w:pPr>
      <w:rPr>
        <w:rFonts w:ascii="Symbol" w:hAnsi="Symbol" w:hint="default"/>
        <w:sz w:val="16"/>
      </w:rPr>
    </w:lvl>
    <w:lvl w:ilvl="1" w:tplc="0C090003" w:tentative="1">
      <w:start w:val="1"/>
      <w:numFmt w:val="bullet"/>
      <w:lvlText w:val="o"/>
      <w:lvlJc w:val="left"/>
      <w:pPr>
        <w:tabs>
          <w:tab w:val="num" w:pos="1722"/>
        </w:tabs>
        <w:ind w:left="1722" w:hanging="360"/>
      </w:pPr>
      <w:rPr>
        <w:rFonts w:ascii="Courier New" w:hAnsi="Courier New" w:cs="Courier New" w:hint="default"/>
      </w:rPr>
    </w:lvl>
    <w:lvl w:ilvl="2" w:tplc="0C090005" w:tentative="1">
      <w:start w:val="1"/>
      <w:numFmt w:val="bullet"/>
      <w:lvlText w:val=""/>
      <w:lvlJc w:val="left"/>
      <w:pPr>
        <w:tabs>
          <w:tab w:val="num" w:pos="2442"/>
        </w:tabs>
        <w:ind w:left="2442" w:hanging="360"/>
      </w:pPr>
      <w:rPr>
        <w:rFonts w:ascii="Wingdings" w:hAnsi="Wingdings" w:hint="default"/>
      </w:rPr>
    </w:lvl>
    <w:lvl w:ilvl="3" w:tplc="0C090001" w:tentative="1">
      <w:start w:val="1"/>
      <w:numFmt w:val="bullet"/>
      <w:lvlText w:val=""/>
      <w:lvlJc w:val="left"/>
      <w:pPr>
        <w:tabs>
          <w:tab w:val="num" w:pos="3162"/>
        </w:tabs>
        <w:ind w:left="3162" w:hanging="360"/>
      </w:pPr>
      <w:rPr>
        <w:rFonts w:ascii="Symbol" w:hAnsi="Symbol" w:hint="default"/>
      </w:rPr>
    </w:lvl>
    <w:lvl w:ilvl="4" w:tplc="0C090003" w:tentative="1">
      <w:start w:val="1"/>
      <w:numFmt w:val="bullet"/>
      <w:lvlText w:val="o"/>
      <w:lvlJc w:val="left"/>
      <w:pPr>
        <w:tabs>
          <w:tab w:val="num" w:pos="3882"/>
        </w:tabs>
        <w:ind w:left="3882" w:hanging="360"/>
      </w:pPr>
      <w:rPr>
        <w:rFonts w:ascii="Courier New" w:hAnsi="Courier New" w:cs="Courier New" w:hint="default"/>
      </w:rPr>
    </w:lvl>
    <w:lvl w:ilvl="5" w:tplc="0C090005" w:tentative="1">
      <w:start w:val="1"/>
      <w:numFmt w:val="bullet"/>
      <w:lvlText w:val=""/>
      <w:lvlJc w:val="left"/>
      <w:pPr>
        <w:tabs>
          <w:tab w:val="num" w:pos="4602"/>
        </w:tabs>
        <w:ind w:left="4602" w:hanging="360"/>
      </w:pPr>
      <w:rPr>
        <w:rFonts w:ascii="Wingdings" w:hAnsi="Wingdings" w:hint="default"/>
      </w:rPr>
    </w:lvl>
    <w:lvl w:ilvl="6" w:tplc="0C090001" w:tentative="1">
      <w:start w:val="1"/>
      <w:numFmt w:val="bullet"/>
      <w:lvlText w:val=""/>
      <w:lvlJc w:val="left"/>
      <w:pPr>
        <w:tabs>
          <w:tab w:val="num" w:pos="5322"/>
        </w:tabs>
        <w:ind w:left="5322" w:hanging="360"/>
      </w:pPr>
      <w:rPr>
        <w:rFonts w:ascii="Symbol" w:hAnsi="Symbol" w:hint="default"/>
      </w:rPr>
    </w:lvl>
    <w:lvl w:ilvl="7" w:tplc="0C090003" w:tentative="1">
      <w:start w:val="1"/>
      <w:numFmt w:val="bullet"/>
      <w:lvlText w:val="o"/>
      <w:lvlJc w:val="left"/>
      <w:pPr>
        <w:tabs>
          <w:tab w:val="num" w:pos="6042"/>
        </w:tabs>
        <w:ind w:left="6042" w:hanging="360"/>
      </w:pPr>
      <w:rPr>
        <w:rFonts w:ascii="Courier New" w:hAnsi="Courier New" w:cs="Courier New" w:hint="default"/>
      </w:rPr>
    </w:lvl>
    <w:lvl w:ilvl="8" w:tplc="0C090005" w:tentative="1">
      <w:start w:val="1"/>
      <w:numFmt w:val="bullet"/>
      <w:lvlText w:val=""/>
      <w:lvlJc w:val="left"/>
      <w:pPr>
        <w:tabs>
          <w:tab w:val="num" w:pos="6762"/>
        </w:tabs>
        <w:ind w:left="6762" w:hanging="360"/>
      </w:pPr>
      <w:rPr>
        <w:rFonts w:ascii="Wingdings" w:hAnsi="Wingdings" w:hint="default"/>
      </w:rPr>
    </w:lvl>
  </w:abstractNum>
  <w:abstractNum w:abstractNumId="4">
    <w:nsid w:val="434F6FA4"/>
    <w:multiLevelType w:val="hybridMultilevel"/>
    <w:tmpl w:val="873EE2A4"/>
    <w:lvl w:ilvl="0" w:tplc="BEC2CFAC">
      <w:start w:val="1"/>
      <w:numFmt w:val="bullet"/>
      <w:lvlText w:val=""/>
      <w:lvlJc w:val="left"/>
      <w:pPr>
        <w:tabs>
          <w:tab w:val="num" w:pos="567"/>
        </w:tabs>
        <w:ind w:left="567" w:hanging="567"/>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BBE077B"/>
    <w:multiLevelType w:val="hybridMultilevel"/>
    <w:tmpl w:val="67AEFE48"/>
    <w:lvl w:ilvl="0" w:tplc="0A9452A2">
      <w:start w:val="1"/>
      <w:numFmt w:val="bullet"/>
      <w:lvlText w:val=""/>
      <w:lvlJc w:val="left"/>
      <w:pPr>
        <w:tabs>
          <w:tab w:val="num" w:pos="567"/>
        </w:tabs>
        <w:ind w:left="567" w:hanging="567"/>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552B18B6"/>
    <w:multiLevelType w:val="multilevel"/>
    <w:tmpl w:val="63206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9">
    <w:nsid w:val="5DE032F6"/>
    <w:multiLevelType w:val="hybridMultilevel"/>
    <w:tmpl w:val="9F3418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EAF210F"/>
    <w:multiLevelType w:val="hybridMultilevel"/>
    <w:tmpl w:val="B04A817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nsid w:val="617F0E7F"/>
    <w:multiLevelType w:val="hybridMultilevel"/>
    <w:tmpl w:val="9DA2C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59146F7"/>
    <w:multiLevelType w:val="hybridMultilevel"/>
    <w:tmpl w:val="A0CA02B2"/>
    <w:lvl w:ilvl="0" w:tplc="D1D0B56A">
      <w:start w:val="1"/>
      <w:numFmt w:val="bullet"/>
      <w:lvlText w:val=""/>
      <w:lvlJc w:val="left"/>
      <w:pPr>
        <w:tabs>
          <w:tab w:val="num" w:pos="1133"/>
        </w:tabs>
        <w:ind w:left="1133" w:hanging="567"/>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98905B8"/>
    <w:multiLevelType w:val="hybridMultilevel"/>
    <w:tmpl w:val="34866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0524A12"/>
    <w:multiLevelType w:val="singleLevel"/>
    <w:tmpl w:val="0A9452A2"/>
    <w:lvl w:ilvl="0">
      <w:start w:val="1"/>
      <w:numFmt w:val="bullet"/>
      <w:lvlText w:val=""/>
      <w:lvlJc w:val="left"/>
      <w:pPr>
        <w:tabs>
          <w:tab w:val="num" w:pos="567"/>
        </w:tabs>
        <w:ind w:left="567" w:hanging="567"/>
      </w:pPr>
      <w:rPr>
        <w:rFonts w:ascii="Symbol" w:hAnsi="Symbol" w:hint="default"/>
        <w:sz w:val="20"/>
      </w:rPr>
    </w:lvl>
  </w:abstractNum>
  <w:num w:numId="1">
    <w:abstractNumId w:val="14"/>
  </w:num>
  <w:num w:numId="2">
    <w:abstractNumId w:val="13"/>
  </w:num>
  <w:num w:numId="3">
    <w:abstractNumId w:val="5"/>
  </w:num>
  <w:num w:numId="4">
    <w:abstractNumId w:val="6"/>
  </w:num>
  <w:num w:numId="5">
    <w:abstractNumId w:val="3"/>
  </w:num>
  <w:num w:numId="6">
    <w:abstractNumId w:val="12"/>
  </w:num>
  <w:num w:numId="7">
    <w:abstractNumId w:val="8"/>
  </w:num>
  <w:num w:numId="8">
    <w:abstractNumId w:val="4"/>
  </w:num>
  <w:num w:numId="9">
    <w:abstractNumId w:val="10"/>
  </w:num>
  <w:num w:numId="10">
    <w:abstractNumId w:val="1"/>
  </w:num>
  <w:num w:numId="11">
    <w:abstractNumId w:val="2"/>
  </w:num>
  <w:num w:numId="12">
    <w:abstractNumId w:val="0"/>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dObjects" w:val=" "/>
    <w:docVar w:name="dgnword-docGUID" w:val="{9941E25E-FD16-4B12-A835-683EC134561B}"/>
    <w:docVar w:name="dgnword-eventsink" w:val="22047568"/>
    <w:docVar w:name="SelEnd" w:val=" "/>
    <w:docVar w:name="SelStart" w:val=" "/>
  </w:docVars>
  <w:rsids>
    <w:rsidRoot w:val="00B724A9"/>
    <w:rsid w:val="00000FBE"/>
    <w:rsid w:val="000158FA"/>
    <w:rsid w:val="00017295"/>
    <w:rsid w:val="0002082B"/>
    <w:rsid w:val="00024919"/>
    <w:rsid w:val="00025BA1"/>
    <w:rsid w:val="00031720"/>
    <w:rsid w:val="000346BB"/>
    <w:rsid w:val="00040DFE"/>
    <w:rsid w:val="000430B1"/>
    <w:rsid w:val="00047142"/>
    <w:rsid w:val="00051F52"/>
    <w:rsid w:val="0005524A"/>
    <w:rsid w:val="00056938"/>
    <w:rsid w:val="00061460"/>
    <w:rsid w:val="0006459A"/>
    <w:rsid w:val="0006731F"/>
    <w:rsid w:val="00072522"/>
    <w:rsid w:val="000A16D2"/>
    <w:rsid w:val="000A2761"/>
    <w:rsid w:val="000A5291"/>
    <w:rsid w:val="000B0E4A"/>
    <w:rsid w:val="000B4DA1"/>
    <w:rsid w:val="000C02F6"/>
    <w:rsid w:val="000C341A"/>
    <w:rsid w:val="000C38DF"/>
    <w:rsid w:val="000C616C"/>
    <w:rsid w:val="000D1758"/>
    <w:rsid w:val="000D699D"/>
    <w:rsid w:val="000E0D13"/>
    <w:rsid w:val="000E1118"/>
    <w:rsid w:val="000E19ED"/>
    <w:rsid w:val="000E6703"/>
    <w:rsid w:val="000F4392"/>
    <w:rsid w:val="000F56A2"/>
    <w:rsid w:val="001029D8"/>
    <w:rsid w:val="00122AC9"/>
    <w:rsid w:val="00140189"/>
    <w:rsid w:val="00143CF0"/>
    <w:rsid w:val="00153C59"/>
    <w:rsid w:val="001559C5"/>
    <w:rsid w:val="00162D5D"/>
    <w:rsid w:val="0017289D"/>
    <w:rsid w:val="00175560"/>
    <w:rsid w:val="0017573B"/>
    <w:rsid w:val="0017658E"/>
    <w:rsid w:val="00177BD2"/>
    <w:rsid w:val="00177E56"/>
    <w:rsid w:val="00181D8D"/>
    <w:rsid w:val="00190FD1"/>
    <w:rsid w:val="00196C5E"/>
    <w:rsid w:val="001A6A7E"/>
    <w:rsid w:val="001B0334"/>
    <w:rsid w:val="001B36AF"/>
    <w:rsid w:val="001B4E76"/>
    <w:rsid w:val="001C63A5"/>
    <w:rsid w:val="001D0392"/>
    <w:rsid w:val="001D5865"/>
    <w:rsid w:val="001E1740"/>
    <w:rsid w:val="001E5550"/>
    <w:rsid w:val="001F18DD"/>
    <w:rsid w:val="001F3104"/>
    <w:rsid w:val="00204147"/>
    <w:rsid w:val="00205A45"/>
    <w:rsid w:val="00206DD1"/>
    <w:rsid w:val="00213704"/>
    <w:rsid w:val="00216621"/>
    <w:rsid w:val="00224B1C"/>
    <w:rsid w:val="00252887"/>
    <w:rsid w:val="0026474C"/>
    <w:rsid w:val="00272A28"/>
    <w:rsid w:val="00276995"/>
    <w:rsid w:val="002A0BD7"/>
    <w:rsid w:val="002A65AF"/>
    <w:rsid w:val="002C3A60"/>
    <w:rsid w:val="002D5366"/>
    <w:rsid w:val="002D6AAD"/>
    <w:rsid w:val="002E4E61"/>
    <w:rsid w:val="002F35A9"/>
    <w:rsid w:val="002F4CA3"/>
    <w:rsid w:val="002F72C5"/>
    <w:rsid w:val="002F745F"/>
    <w:rsid w:val="00302944"/>
    <w:rsid w:val="003155C7"/>
    <w:rsid w:val="003171A5"/>
    <w:rsid w:val="0033341C"/>
    <w:rsid w:val="00333F85"/>
    <w:rsid w:val="00342D1E"/>
    <w:rsid w:val="003600A8"/>
    <w:rsid w:val="003641FC"/>
    <w:rsid w:val="00366B50"/>
    <w:rsid w:val="0036745A"/>
    <w:rsid w:val="00393562"/>
    <w:rsid w:val="003A2BF0"/>
    <w:rsid w:val="003B2F2D"/>
    <w:rsid w:val="003C027E"/>
    <w:rsid w:val="003C4C43"/>
    <w:rsid w:val="003C6D03"/>
    <w:rsid w:val="003C6D31"/>
    <w:rsid w:val="003C7AC2"/>
    <w:rsid w:val="003D1824"/>
    <w:rsid w:val="003D3F71"/>
    <w:rsid w:val="003E423E"/>
    <w:rsid w:val="003F2E6D"/>
    <w:rsid w:val="00411757"/>
    <w:rsid w:val="00411DB8"/>
    <w:rsid w:val="00413D1A"/>
    <w:rsid w:val="00422488"/>
    <w:rsid w:val="0043293D"/>
    <w:rsid w:val="004336C5"/>
    <w:rsid w:val="00445296"/>
    <w:rsid w:val="004514DB"/>
    <w:rsid w:val="004551D1"/>
    <w:rsid w:val="0047297F"/>
    <w:rsid w:val="00481933"/>
    <w:rsid w:val="0048735B"/>
    <w:rsid w:val="004A3249"/>
    <w:rsid w:val="004B0646"/>
    <w:rsid w:val="004C04EF"/>
    <w:rsid w:val="004E2405"/>
    <w:rsid w:val="004E67D8"/>
    <w:rsid w:val="004F0996"/>
    <w:rsid w:val="004F2559"/>
    <w:rsid w:val="00510285"/>
    <w:rsid w:val="00513480"/>
    <w:rsid w:val="00530D67"/>
    <w:rsid w:val="00535774"/>
    <w:rsid w:val="005423FB"/>
    <w:rsid w:val="005468B5"/>
    <w:rsid w:val="00547F89"/>
    <w:rsid w:val="00577DF2"/>
    <w:rsid w:val="00581539"/>
    <w:rsid w:val="00596C51"/>
    <w:rsid w:val="005B02CC"/>
    <w:rsid w:val="005B52A5"/>
    <w:rsid w:val="005B6E87"/>
    <w:rsid w:val="005D659F"/>
    <w:rsid w:val="005E783D"/>
    <w:rsid w:val="00603632"/>
    <w:rsid w:val="0060584E"/>
    <w:rsid w:val="00617398"/>
    <w:rsid w:val="00620C95"/>
    <w:rsid w:val="00622C42"/>
    <w:rsid w:val="00626CAB"/>
    <w:rsid w:val="0062788B"/>
    <w:rsid w:val="00631368"/>
    <w:rsid w:val="00631842"/>
    <w:rsid w:val="00632F8E"/>
    <w:rsid w:val="00655012"/>
    <w:rsid w:val="0066389C"/>
    <w:rsid w:val="0068208B"/>
    <w:rsid w:val="00685468"/>
    <w:rsid w:val="00686275"/>
    <w:rsid w:val="00687007"/>
    <w:rsid w:val="00690F3B"/>
    <w:rsid w:val="006C1C0A"/>
    <w:rsid w:val="006C5C3E"/>
    <w:rsid w:val="006C76CF"/>
    <w:rsid w:val="006C7D07"/>
    <w:rsid w:val="006D3BE2"/>
    <w:rsid w:val="006D7C3B"/>
    <w:rsid w:val="006E21E5"/>
    <w:rsid w:val="006E36F0"/>
    <w:rsid w:val="006E5F25"/>
    <w:rsid w:val="006F0AA8"/>
    <w:rsid w:val="006F39D6"/>
    <w:rsid w:val="00701C74"/>
    <w:rsid w:val="00703DF3"/>
    <w:rsid w:val="00705FA2"/>
    <w:rsid w:val="007120DC"/>
    <w:rsid w:val="00717E40"/>
    <w:rsid w:val="007235C6"/>
    <w:rsid w:val="007759EE"/>
    <w:rsid w:val="00775FAD"/>
    <w:rsid w:val="00777CC4"/>
    <w:rsid w:val="007929B2"/>
    <w:rsid w:val="007B0272"/>
    <w:rsid w:val="007B0C4C"/>
    <w:rsid w:val="007C060D"/>
    <w:rsid w:val="007E63A2"/>
    <w:rsid w:val="007F21F5"/>
    <w:rsid w:val="00802B71"/>
    <w:rsid w:val="00806F59"/>
    <w:rsid w:val="008152F8"/>
    <w:rsid w:val="0082215B"/>
    <w:rsid w:val="00823FB9"/>
    <w:rsid w:val="008316EE"/>
    <w:rsid w:val="0083223A"/>
    <w:rsid w:val="00835BE6"/>
    <w:rsid w:val="008438AF"/>
    <w:rsid w:val="008502BD"/>
    <w:rsid w:val="00857BC8"/>
    <w:rsid w:val="00861590"/>
    <w:rsid w:val="0086170B"/>
    <w:rsid w:val="00862F1E"/>
    <w:rsid w:val="00864EE2"/>
    <w:rsid w:val="00865A35"/>
    <w:rsid w:val="00875813"/>
    <w:rsid w:val="0089038B"/>
    <w:rsid w:val="008B72CC"/>
    <w:rsid w:val="008C03C0"/>
    <w:rsid w:val="008C4398"/>
    <w:rsid w:val="008C52A6"/>
    <w:rsid w:val="008C5DF8"/>
    <w:rsid w:val="008D59AA"/>
    <w:rsid w:val="008D7B24"/>
    <w:rsid w:val="008F16CD"/>
    <w:rsid w:val="008F1ADE"/>
    <w:rsid w:val="00903B7E"/>
    <w:rsid w:val="00903B8F"/>
    <w:rsid w:val="00906443"/>
    <w:rsid w:val="0090660E"/>
    <w:rsid w:val="0092584B"/>
    <w:rsid w:val="00926BF0"/>
    <w:rsid w:val="0093138C"/>
    <w:rsid w:val="009344F8"/>
    <w:rsid w:val="00940C4B"/>
    <w:rsid w:val="00940CAC"/>
    <w:rsid w:val="009607C9"/>
    <w:rsid w:val="00964C60"/>
    <w:rsid w:val="00971B44"/>
    <w:rsid w:val="00975F94"/>
    <w:rsid w:val="00977587"/>
    <w:rsid w:val="0098359A"/>
    <w:rsid w:val="00984133"/>
    <w:rsid w:val="00997227"/>
    <w:rsid w:val="009A2AA5"/>
    <w:rsid w:val="009B00A0"/>
    <w:rsid w:val="009C0A1E"/>
    <w:rsid w:val="009C3CC4"/>
    <w:rsid w:val="009C60C3"/>
    <w:rsid w:val="009E785C"/>
    <w:rsid w:val="009E7E9E"/>
    <w:rsid w:val="009F64F2"/>
    <w:rsid w:val="009F6C22"/>
    <w:rsid w:val="00A05A56"/>
    <w:rsid w:val="00A22EED"/>
    <w:rsid w:val="00A27AA0"/>
    <w:rsid w:val="00A327C4"/>
    <w:rsid w:val="00A33355"/>
    <w:rsid w:val="00A350EE"/>
    <w:rsid w:val="00A377EC"/>
    <w:rsid w:val="00A434A9"/>
    <w:rsid w:val="00A51889"/>
    <w:rsid w:val="00A65623"/>
    <w:rsid w:val="00A66C5C"/>
    <w:rsid w:val="00A72F22"/>
    <w:rsid w:val="00A735A0"/>
    <w:rsid w:val="00A77170"/>
    <w:rsid w:val="00A81252"/>
    <w:rsid w:val="00A9248F"/>
    <w:rsid w:val="00AD2C02"/>
    <w:rsid w:val="00AF2FBD"/>
    <w:rsid w:val="00AF6057"/>
    <w:rsid w:val="00B25FBB"/>
    <w:rsid w:val="00B277DA"/>
    <w:rsid w:val="00B30A8F"/>
    <w:rsid w:val="00B35ACE"/>
    <w:rsid w:val="00B4161A"/>
    <w:rsid w:val="00B523A7"/>
    <w:rsid w:val="00B549FD"/>
    <w:rsid w:val="00B551C3"/>
    <w:rsid w:val="00B60389"/>
    <w:rsid w:val="00B62665"/>
    <w:rsid w:val="00B64A85"/>
    <w:rsid w:val="00B724A9"/>
    <w:rsid w:val="00B82597"/>
    <w:rsid w:val="00B83C33"/>
    <w:rsid w:val="00B84A6F"/>
    <w:rsid w:val="00B861BB"/>
    <w:rsid w:val="00B86403"/>
    <w:rsid w:val="00B9090E"/>
    <w:rsid w:val="00BA0C14"/>
    <w:rsid w:val="00BA6022"/>
    <w:rsid w:val="00BB09D2"/>
    <w:rsid w:val="00BB3B8B"/>
    <w:rsid w:val="00BC0BD4"/>
    <w:rsid w:val="00BC4D4B"/>
    <w:rsid w:val="00BD17D8"/>
    <w:rsid w:val="00C03392"/>
    <w:rsid w:val="00C1499C"/>
    <w:rsid w:val="00C34BC7"/>
    <w:rsid w:val="00C40AA5"/>
    <w:rsid w:val="00C41D24"/>
    <w:rsid w:val="00C457E3"/>
    <w:rsid w:val="00C469A9"/>
    <w:rsid w:val="00C47E7F"/>
    <w:rsid w:val="00C55399"/>
    <w:rsid w:val="00C56C6F"/>
    <w:rsid w:val="00C77799"/>
    <w:rsid w:val="00C95DD2"/>
    <w:rsid w:val="00CA0299"/>
    <w:rsid w:val="00CA331E"/>
    <w:rsid w:val="00CB5993"/>
    <w:rsid w:val="00CB726B"/>
    <w:rsid w:val="00CC0B37"/>
    <w:rsid w:val="00CC21F0"/>
    <w:rsid w:val="00CC3CBD"/>
    <w:rsid w:val="00CC69EC"/>
    <w:rsid w:val="00CC7685"/>
    <w:rsid w:val="00CD572D"/>
    <w:rsid w:val="00CD638E"/>
    <w:rsid w:val="00CE6494"/>
    <w:rsid w:val="00CE680A"/>
    <w:rsid w:val="00D035F4"/>
    <w:rsid w:val="00D06274"/>
    <w:rsid w:val="00D1778A"/>
    <w:rsid w:val="00D23127"/>
    <w:rsid w:val="00D30F61"/>
    <w:rsid w:val="00D357E9"/>
    <w:rsid w:val="00D524A2"/>
    <w:rsid w:val="00D67E9F"/>
    <w:rsid w:val="00D70A75"/>
    <w:rsid w:val="00D71F34"/>
    <w:rsid w:val="00D72A64"/>
    <w:rsid w:val="00D8118D"/>
    <w:rsid w:val="00D81AFB"/>
    <w:rsid w:val="00D832FF"/>
    <w:rsid w:val="00D8418E"/>
    <w:rsid w:val="00D94AF7"/>
    <w:rsid w:val="00D9762C"/>
    <w:rsid w:val="00D97ECE"/>
    <w:rsid w:val="00DA1A50"/>
    <w:rsid w:val="00DA208F"/>
    <w:rsid w:val="00DA2F04"/>
    <w:rsid w:val="00DA48AD"/>
    <w:rsid w:val="00DB5CEF"/>
    <w:rsid w:val="00DB7764"/>
    <w:rsid w:val="00DC77B2"/>
    <w:rsid w:val="00DF1E8C"/>
    <w:rsid w:val="00DF3E49"/>
    <w:rsid w:val="00DF5A05"/>
    <w:rsid w:val="00E0203F"/>
    <w:rsid w:val="00E11EA2"/>
    <w:rsid w:val="00E15E62"/>
    <w:rsid w:val="00E16E71"/>
    <w:rsid w:val="00E342CB"/>
    <w:rsid w:val="00E409EB"/>
    <w:rsid w:val="00E454E7"/>
    <w:rsid w:val="00E51CF5"/>
    <w:rsid w:val="00E553AA"/>
    <w:rsid w:val="00E634A1"/>
    <w:rsid w:val="00E63F1B"/>
    <w:rsid w:val="00E705C4"/>
    <w:rsid w:val="00E805DB"/>
    <w:rsid w:val="00E80BC9"/>
    <w:rsid w:val="00E80FA4"/>
    <w:rsid w:val="00E96A21"/>
    <w:rsid w:val="00E97983"/>
    <w:rsid w:val="00EA1961"/>
    <w:rsid w:val="00EA5838"/>
    <w:rsid w:val="00EA6A83"/>
    <w:rsid w:val="00EB365C"/>
    <w:rsid w:val="00EB49BB"/>
    <w:rsid w:val="00ED719E"/>
    <w:rsid w:val="00EE2296"/>
    <w:rsid w:val="00EF2119"/>
    <w:rsid w:val="00EF3956"/>
    <w:rsid w:val="00EF60AD"/>
    <w:rsid w:val="00EF71C3"/>
    <w:rsid w:val="00F15E8F"/>
    <w:rsid w:val="00F17200"/>
    <w:rsid w:val="00F24656"/>
    <w:rsid w:val="00F4394D"/>
    <w:rsid w:val="00F45B86"/>
    <w:rsid w:val="00F5166F"/>
    <w:rsid w:val="00F57F5B"/>
    <w:rsid w:val="00F611D0"/>
    <w:rsid w:val="00F66EAC"/>
    <w:rsid w:val="00F71FFC"/>
    <w:rsid w:val="00F7355A"/>
    <w:rsid w:val="00FA2BFC"/>
    <w:rsid w:val="00FA7477"/>
    <w:rsid w:val="00FA76DC"/>
    <w:rsid w:val="00FB2675"/>
    <w:rsid w:val="00FE2BB4"/>
    <w:rsid w:val="00FF53A7"/>
    <w:rsid w:val="00FF75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A5"/>
    <w:rPr>
      <w:sz w:val="24"/>
    </w:rPr>
  </w:style>
  <w:style w:type="paragraph" w:styleId="Heading1">
    <w:name w:val="heading 1"/>
    <w:basedOn w:val="Normal"/>
    <w:next w:val="Normal"/>
    <w:qFormat/>
    <w:rsid w:val="001C63A5"/>
    <w:pPr>
      <w:keepNext/>
      <w:outlineLvl w:val="0"/>
    </w:pPr>
    <w:rPr>
      <w:b/>
      <w:sz w:val="28"/>
    </w:rPr>
  </w:style>
  <w:style w:type="paragraph" w:styleId="Heading2">
    <w:name w:val="heading 2"/>
    <w:basedOn w:val="Normal"/>
    <w:next w:val="Normal"/>
    <w:qFormat/>
    <w:rsid w:val="001C63A5"/>
    <w:pPr>
      <w:keepNext/>
      <w:widowControl w:val="0"/>
      <w:outlineLvl w:val="1"/>
    </w:pPr>
    <w:rPr>
      <w:b/>
      <w:snapToGrid w:val="0"/>
      <w:lang w:eastAsia="en-US"/>
    </w:rPr>
  </w:style>
  <w:style w:type="paragraph" w:styleId="Heading3">
    <w:name w:val="heading 3"/>
    <w:basedOn w:val="Normal"/>
    <w:next w:val="Normal"/>
    <w:qFormat/>
    <w:rsid w:val="001C63A5"/>
    <w:pPr>
      <w:keepNext/>
      <w:outlineLvl w:val="2"/>
    </w:pPr>
    <w:rPr>
      <w:b/>
    </w:rPr>
  </w:style>
  <w:style w:type="paragraph" w:styleId="Heading4">
    <w:name w:val="heading 4"/>
    <w:basedOn w:val="Normal"/>
    <w:next w:val="Normal"/>
    <w:qFormat/>
    <w:rsid w:val="001C63A5"/>
    <w:pPr>
      <w:keepNext/>
      <w:outlineLvl w:val="3"/>
    </w:pPr>
    <w:rPr>
      <w:b/>
      <w:i/>
    </w:rPr>
  </w:style>
  <w:style w:type="paragraph" w:styleId="Heading5">
    <w:name w:val="heading 5"/>
    <w:basedOn w:val="Normal"/>
    <w:next w:val="Normal"/>
    <w:qFormat/>
    <w:rsid w:val="009E785C"/>
    <w:pPr>
      <w:spacing w:before="240" w:after="60"/>
      <w:outlineLvl w:val="4"/>
    </w:pPr>
    <w:rPr>
      <w:b/>
      <w:bCs/>
      <w:i/>
      <w:iCs/>
      <w:sz w:val="26"/>
      <w:szCs w:val="26"/>
    </w:rPr>
  </w:style>
  <w:style w:type="paragraph" w:styleId="Heading6">
    <w:name w:val="heading 6"/>
    <w:basedOn w:val="Normal"/>
    <w:next w:val="Normal"/>
    <w:qFormat/>
    <w:rsid w:val="0002082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63A5"/>
    <w:pPr>
      <w:tabs>
        <w:tab w:val="center" w:pos="4153"/>
        <w:tab w:val="right" w:pos="8306"/>
      </w:tabs>
    </w:pPr>
  </w:style>
  <w:style w:type="paragraph" w:styleId="BlockText">
    <w:name w:val="Block Text"/>
    <w:basedOn w:val="Normal"/>
    <w:rsid w:val="001C63A5"/>
    <w:pPr>
      <w:widowControl w:val="0"/>
      <w:pBdr>
        <w:top w:val="single" w:sz="4" w:space="12" w:color="auto"/>
        <w:bottom w:val="single" w:sz="4" w:space="12" w:color="auto"/>
      </w:pBdr>
      <w:spacing w:before="120" w:after="120"/>
      <w:ind w:left="1440" w:right="-227" w:hanging="1440"/>
    </w:pPr>
    <w:rPr>
      <w:b/>
      <w:snapToGrid w:val="0"/>
      <w:lang w:val="en-US" w:eastAsia="en-US"/>
    </w:rPr>
  </w:style>
  <w:style w:type="paragraph" w:styleId="BodyTextIndent">
    <w:name w:val="Body Text Indent"/>
    <w:basedOn w:val="Normal"/>
    <w:rsid w:val="001C63A5"/>
    <w:pPr>
      <w:widowControl w:val="0"/>
      <w:tabs>
        <w:tab w:val="left" w:pos="-1440"/>
        <w:tab w:val="left" w:pos="-720"/>
        <w:tab w:val="left" w:pos="391"/>
      </w:tabs>
      <w:ind w:left="391" w:hanging="391"/>
    </w:pPr>
    <w:rPr>
      <w:b/>
      <w:snapToGrid w:val="0"/>
      <w:lang w:eastAsia="en-US"/>
    </w:rPr>
  </w:style>
  <w:style w:type="character" w:styleId="FootnoteReference">
    <w:name w:val="footnote reference"/>
    <w:uiPriority w:val="99"/>
    <w:rsid w:val="001C63A5"/>
    <w:rPr>
      <w:vertAlign w:val="superscript"/>
    </w:rPr>
  </w:style>
  <w:style w:type="paragraph" w:styleId="TOC1">
    <w:name w:val="toc 1"/>
    <w:basedOn w:val="Normal"/>
    <w:next w:val="Normal"/>
    <w:autoRedefine/>
    <w:semiHidden/>
    <w:rsid w:val="001C63A5"/>
    <w:pPr>
      <w:spacing w:after="120"/>
    </w:pPr>
    <w:rPr>
      <w:noProof/>
    </w:rPr>
  </w:style>
  <w:style w:type="paragraph" w:customStyle="1" w:styleId="indenta">
    <w:name w:val="indent(a)"/>
    <w:aliases w:val="a"/>
    <w:basedOn w:val="Normal"/>
    <w:rsid w:val="001C63A5"/>
    <w:pPr>
      <w:tabs>
        <w:tab w:val="right" w:pos="1531"/>
      </w:tabs>
      <w:spacing w:before="40" w:line="240" w:lineRule="atLeast"/>
      <w:ind w:left="1644" w:hanging="1644"/>
    </w:pPr>
    <w:rPr>
      <w:rFonts w:ascii="Times" w:hAnsi="Times"/>
      <w:snapToGrid w:val="0"/>
      <w:sz w:val="22"/>
      <w:lang w:eastAsia="en-US"/>
    </w:rPr>
  </w:style>
  <w:style w:type="paragraph" w:customStyle="1" w:styleId="subsection2">
    <w:name w:val="subsection2"/>
    <w:aliases w:val="ss2"/>
    <w:basedOn w:val="Normal"/>
    <w:next w:val="Normal"/>
    <w:rsid w:val="001C63A5"/>
    <w:pPr>
      <w:spacing w:before="40" w:line="260" w:lineRule="atLeast"/>
      <w:ind w:left="1134"/>
    </w:pPr>
    <w:rPr>
      <w:rFonts w:ascii="Times" w:hAnsi="Times"/>
      <w:sz w:val="22"/>
      <w:lang w:eastAsia="en-US"/>
    </w:rPr>
  </w:style>
  <w:style w:type="paragraph" w:styleId="BodyTextIndent3">
    <w:name w:val="Body Text Indent 3"/>
    <w:basedOn w:val="Normal"/>
    <w:rsid w:val="001C63A5"/>
    <w:pPr>
      <w:ind w:left="1644" w:hanging="567"/>
    </w:pPr>
  </w:style>
  <w:style w:type="paragraph" w:styleId="BodyTextIndent2">
    <w:name w:val="Body Text Indent 2"/>
    <w:basedOn w:val="Normal"/>
    <w:rsid w:val="001C63A5"/>
    <w:pPr>
      <w:ind w:left="1644" w:firstLine="567"/>
    </w:pPr>
  </w:style>
  <w:style w:type="paragraph" w:styleId="CommentText">
    <w:name w:val="annotation text"/>
    <w:basedOn w:val="Normal"/>
    <w:link w:val="CommentTextChar"/>
    <w:semiHidden/>
    <w:rsid w:val="001C63A5"/>
    <w:rPr>
      <w:sz w:val="20"/>
    </w:rPr>
  </w:style>
  <w:style w:type="paragraph" w:styleId="FootnoteText">
    <w:name w:val="footnote text"/>
    <w:basedOn w:val="Normal"/>
    <w:link w:val="FootnoteTextChar"/>
    <w:uiPriority w:val="99"/>
    <w:rsid w:val="001C63A5"/>
    <w:rPr>
      <w:sz w:val="20"/>
    </w:rPr>
  </w:style>
  <w:style w:type="character" w:styleId="PageNumber">
    <w:name w:val="page number"/>
    <w:basedOn w:val="DefaultParagraphFont"/>
    <w:rsid w:val="001C63A5"/>
  </w:style>
  <w:style w:type="paragraph" w:styleId="Footer">
    <w:name w:val="footer"/>
    <w:basedOn w:val="Normal"/>
    <w:link w:val="FooterChar"/>
    <w:uiPriority w:val="99"/>
    <w:qFormat/>
    <w:rsid w:val="001C63A5"/>
    <w:pPr>
      <w:tabs>
        <w:tab w:val="center" w:pos="4153"/>
        <w:tab w:val="right" w:pos="8306"/>
      </w:tabs>
    </w:pPr>
  </w:style>
  <w:style w:type="paragraph" w:styleId="BodyText">
    <w:name w:val="Body Text"/>
    <w:basedOn w:val="Normal"/>
    <w:rsid w:val="001C63A5"/>
    <w:pPr>
      <w:jc w:val="both"/>
    </w:pPr>
    <w:rPr>
      <w:b/>
    </w:rPr>
  </w:style>
  <w:style w:type="paragraph" w:styleId="PlainText">
    <w:name w:val="Plain Text"/>
    <w:basedOn w:val="Normal"/>
    <w:rsid w:val="0002082B"/>
    <w:rPr>
      <w:rFonts w:ascii="Courier New" w:hAnsi="Courier New"/>
      <w:sz w:val="20"/>
      <w:lang w:eastAsia="en-US"/>
    </w:rPr>
  </w:style>
  <w:style w:type="character" w:styleId="Hyperlink">
    <w:name w:val="Hyperlink"/>
    <w:rsid w:val="004F2559"/>
    <w:rPr>
      <w:color w:val="0000FF"/>
      <w:u w:val="single"/>
    </w:rPr>
  </w:style>
  <w:style w:type="paragraph" w:customStyle="1" w:styleId="a">
    <w:basedOn w:val="Normal"/>
    <w:rsid w:val="004F2559"/>
    <w:rPr>
      <w:rFonts w:ascii="Arial" w:hAnsi="Arial" w:cs="Arial"/>
      <w:sz w:val="22"/>
      <w:szCs w:val="22"/>
      <w:lang w:eastAsia="en-US"/>
    </w:rPr>
  </w:style>
  <w:style w:type="character" w:styleId="CommentReference">
    <w:name w:val="annotation reference"/>
    <w:semiHidden/>
    <w:rsid w:val="004F2559"/>
    <w:rPr>
      <w:sz w:val="16"/>
      <w:szCs w:val="16"/>
    </w:rPr>
  </w:style>
  <w:style w:type="paragraph" w:styleId="BalloonText">
    <w:name w:val="Balloon Text"/>
    <w:basedOn w:val="Normal"/>
    <w:semiHidden/>
    <w:rsid w:val="004F2559"/>
    <w:rPr>
      <w:rFonts w:ascii="Tahoma" w:hAnsi="Tahoma" w:cs="Tahoma"/>
      <w:sz w:val="16"/>
      <w:szCs w:val="16"/>
    </w:rPr>
  </w:style>
  <w:style w:type="paragraph" w:styleId="NormalWeb">
    <w:name w:val="Normal (Web)"/>
    <w:basedOn w:val="Normal"/>
    <w:uiPriority w:val="99"/>
    <w:rsid w:val="004F2559"/>
    <w:pPr>
      <w:spacing w:before="100" w:beforeAutospacing="1" w:after="100" w:afterAutospacing="1"/>
    </w:pPr>
    <w:rPr>
      <w:szCs w:val="24"/>
    </w:rPr>
  </w:style>
  <w:style w:type="paragraph" w:customStyle="1" w:styleId="a0">
    <w:name w:val="_"/>
    <w:basedOn w:val="Normal"/>
    <w:rsid w:val="00B861BB"/>
    <w:pPr>
      <w:widowControl w:val="0"/>
      <w:ind w:left="260" w:hanging="260"/>
    </w:pPr>
    <w:rPr>
      <w:snapToGrid w:val="0"/>
      <w:lang w:val="en-US" w:eastAsia="en-US"/>
    </w:rPr>
  </w:style>
  <w:style w:type="paragraph" w:styleId="CommentSubject">
    <w:name w:val="annotation subject"/>
    <w:basedOn w:val="CommentText"/>
    <w:next w:val="CommentText"/>
    <w:semiHidden/>
    <w:rsid w:val="001B4E76"/>
    <w:rPr>
      <w:b/>
      <w:bCs/>
    </w:rPr>
  </w:style>
  <w:style w:type="paragraph" w:styleId="ListParagraph">
    <w:name w:val="List Paragraph"/>
    <w:basedOn w:val="Normal"/>
    <w:uiPriority w:val="34"/>
    <w:qFormat/>
    <w:rsid w:val="00393562"/>
    <w:pPr>
      <w:spacing w:after="200" w:line="276" w:lineRule="auto"/>
      <w:ind w:left="720"/>
      <w:contextualSpacing/>
    </w:pPr>
    <w:rPr>
      <w:rFonts w:ascii="Cambria" w:eastAsia="Calibri" w:hAnsi="Cambria"/>
      <w:sz w:val="20"/>
      <w:szCs w:val="22"/>
      <w:lang w:eastAsia="en-US"/>
    </w:rPr>
  </w:style>
  <w:style w:type="paragraph" w:customStyle="1" w:styleId="smallpara">
    <w:name w:val="smallpara"/>
    <w:basedOn w:val="Normal"/>
    <w:rsid w:val="008F1ADE"/>
    <w:pPr>
      <w:spacing w:before="100" w:beforeAutospacing="1" w:after="100" w:afterAutospacing="1"/>
    </w:pPr>
    <w:rPr>
      <w:szCs w:val="24"/>
    </w:rPr>
  </w:style>
  <w:style w:type="character" w:customStyle="1" w:styleId="CommentTextChar">
    <w:name w:val="Comment Text Char"/>
    <w:basedOn w:val="DefaultParagraphFont"/>
    <w:link w:val="CommentText"/>
    <w:semiHidden/>
    <w:rsid w:val="000E0D13"/>
  </w:style>
  <w:style w:type="paragraph" w:styleId="ListBullet">
    <w:name w:val="List Bullet"/>
    <w:basedOn w:val="Normal"/>
    <w:uiPriority w:val="99"/>
    <w:qFormat/>
    <w:rsid w:val="00D9762C"/>
    <w:pPr>
      <w:numPr>
        <w:numId w:val="11"/>
      </w:numPr>
      <w:adjustRightInd w:val="0"/>
      <w:snapToGrid w:val="0"/>
      <w:spacing w:before="180" w:after="160" w:line="240" w:lineRule="atLeast"/>
    </w:pPr>
    <w:rPr>
      <w:rFonts w:ascii="Cambria" w:eastAsia="MS Mincho" w:hAnsi="Cambria"/>
      <w:sz w:val="22"/>
      <w:lang w:eastAsia="ja-JP"/>
    </w:rPr>
  </w:style>
  <w:style w:type="character" w:customStyle="1" w:styleId="HeaderChar">
    <w:name w:val="Header Char"/>
    <w:link w:val="Header"/>
    <w:uiPriority w:val="99"/>
    <w:rsid w:val="00D9762C"/>
    <w:rPr>
      <w:sz w:val="24"/>
    </w:rPr>
  </w:style>
  <w:style w:type="character" w:customStyle="1" w:styleId="FooterChar">
    <w:name w:val="Footer Char"/>
    <w:link w:val="Footer"/>
    <w:uiPriority w:val="99"/>
    <w:rsid w:val="00D9762C"/>
    <w:rPr>
      <w:sz w:val="24"/>
    </w:rPr>
  </w:style>
  <w:style w:type="paragraph" w:styleId="ListBullet2">
    <w:name w:val="List Bullet 2"/>
    <w:basedOn w:val="Normal"/>
    <w:uiPriority w:val="99"/>
    <w:qFormat/>
    <w:rsid w:val="00D9762C"/>
    <w:pPr>
      <w:numPr>
        <w:ilvl w:val="1"/>
        <w:numId w:val="11"/>
      </w:numPr>
      <w:adjustRightInd w:val="0"/>
      <w:snapToGrid w:val="0"/>
      <w:spacing w:before="180" w:after="180" w:line="240" w:lineRule="atLeast"/>
      <w:contextualSpacing/>
    </w:pPr>
    <w:rPr>
      <w:rFonts w:ascii="Cambria" w:eastAsia="MS Mincho" w:hAnsi="Cambria"/>
      <w:sz w:val="22"/>
      <w:lang w:eastAsia="ja-JP"/>
    </w:rPr>
  </w:style>
  <w:style w:type="paragraph" w:styleId="ListBullet3">
    <w:name w:val="List Bullet 3"/>
    <w:basedOn w:val="Normal"/>
    <w:uiPriority w:val="99"/>
    <w:qFormat/>
    <w:rsid w:val="00D9762C"/>
    <w:pPr>
      <w:numPr>
        <w:ilvl w:val="2"/>
        <w:numId w:val="11"/>
      </w:numPr>
      <w:adjustRightInd w:val="0"/>
      <w:snapToGrid w:val="0"/>
      <w:spacing w:before="180" w:after="180" w:line="240" w:lineRule="atLeast"/>
      <w:contextualSpacing/>
    </w:pPr>
    <w:rPr>
      <w:rFonts w:ascii="Cambria" w:eastAsia="MS Mincho" w:hAnsi="Cambria"/>
      <w:sz w:val="22"/>
      <w:lang w:eastAsia="ja-JP"/>
    </w:rPr>
  </w:style>
  <w:style w:type="character" w:customStyle="1" w:styleId="FootnoteTextChar">
    <w:name w:val="Footnote Text Char"/>
    <w:basedOn w:val="DefaultParagraphFont"/>
    <w:link w:val="FootnoteText"/>
    <w:uiPriority w:val="99"/>
    <w:rsid w:val="00D9762C"/>
  </w:style>
  <w:style w:type="character" w:styleId="FollowedHyperlink">
    <w:name w:val="FollowedHyperlink"/>
    <w:uiPriority w:val="99"/>
    <w:semiHidden/>
    <w:unhideWhenUsed/>
    <w:rsid w:val="009344F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37287">
      <w:bodyDiv w:val="1"/>
      <w:marLeft w:val="0"/>
      <w:marRight w:val="0"/>
      <w:marTop w:val="0"/>
      <w:marBottom w:val="0"/>
      <w:divBdr>
        <w:top w:val="none" w:sz="0" w:space="0" w:color="auto"/>
        <w:left w:val="none" w:sz="0" w:space="0" w:color="auto"/>
        <w:bottom w:val="none" w:sz="0" w:space="0" w:color="auto"/>
        <w:right w:val="none" w:sz="0" w:space="0" w:color="auto"/>
      </w:divBdr>
      <w:divsChild>
        <w:div w:id="292061062">
          <w:marLeft w:val="0"/>
          <w:marRight w:val="0"/>
          <w:marTop w:val="0"/>
          <w:marBottom w:val="0"/>
          <w:divBdr>
            <w:top w:val="none" w:sz="0" w:space="0" w:color="auto"/>
            <w:left w:val="none" w:sz="0" w:space="0" w:color="auto"/>
            <w:bottom w:val="none" w:sz="0" w:space="0" w:color="auto"/>
            <w:right w:val="none" w:sz="0" w:space="0" w:color="auto"/>
          </w:divBdr>
          <w:divsChild>
            <w:div w:id="383989617">
              <w:marLeft w:val="0"/>
              <w:marRight w:val="0"/>
              <w:marTop w:val="0"/>
              <w:marBottom w:val="0"/>
              <w:divBdr>
                <w:top w:val="none" w:sz="0" w:space="0" w:color="auto"/>
                <w:left w:val="none" w:sz="0" w:space="0" w:color="auto"/>
                <w:bottom w:val="none" w:sz="0" w:space="0" w:color="auto"/>
                <w:right w:val="none" w:sz="0" w:space="0" w:color="auto"/>
              </w:divBdr>
              <w:divsChild>
                <w:div w:id="604658198">
                  <w:marLeft w:val="0"/>
                  <w:marRight w:val="0"/>
                  <w:marTop w:val="0"/>
                  <w:marBottom w:val="0"/>
                  <w:divBdr>
                    <w:top w:val="none" w:sz="0" w:space="0" w:color="auto"/>
                    <w:left w:val="none" w:sz="0" w:space="0" w:color="auto"/>
                    <w:bottom w:val="none" w:sz="0" w:space="0" w:color="auto"/>
                    <w:right w:val="none" w:sz="0" w:space="0" w:color="auto"/>
                  </w:divBdr>
                  <w:divsChild>
                    <w:div w:id="1098479602">
                      <w:marLeft w:val="0"/>
                      <w:marRight w:val="0"/>
                      <w:marTop w:val="0"/>
                      <w:marBottom w:val="0"/>
                      <w:divBdr>
                        <w:top w:val="none" w:sz="0" w:space="0" w:color="auto"/>
                        <w:left w:val="none" w:sz="0" w:space="0" w:color="auto"/>
                        <w:bottom w:val="none" w:sz="0" w:space="0" w:color="auto"/>
                        <w:right w:val="none" w:sz="0" w:space="0" w:color="auto"/>
                      </w:divBdr>
                      <w:divsChild>
                        <w:div w:id="1329284840">
                          <w:marLeft w:val="0"/>
                          <w:marRight w:val="0"/>
                          <w:marTop w:val="0"/>
                          <w:marBottom w:val="0"/>
                          <w:divBdr>
                            <w:top w:val="single" w:sz="6" w:space="0" w:color="828282"/>
                            <w:left w:val="single" w:sz="6" w:space="0" w:color="828282"/>
                            <w:bottom w:val="single" w:sz="6" w:space="0" w:color="828282"/>
                            <w:right w:val="single" w:sz="6" w:space="0" w:color="828282"/>
                          </w:divBdr>
                          <w:divsChild>
                            <w:div w:id="2114546644">
                              <w:marLeft w:val="0"/>
                              <w:marRight w:val="0"/>
                              <w:marTop w:val="0"/>
                              <w:marBottom w:val="0"/>
                              <w:divBdr>
                                <w:top w:val="none" w:sz="0" w:space="0" w:color="auto"/>
                                <w:left w:val="none" w:sz="0" w:space="0" w:color="auto"/>
                                <w:bottom w:val="none" w:sz="0" w:space="0" w:color="auto"/>
                                <w:right w:val="none" w:sz="0" w:space="0" w:color="auto"/>
                              </w:divBdr>
                              <w:divsChild>
                                <w:div w:id="803884471">
                                  <w:marLeft w:val="0"/>
                                  <w:marRight w:val="0"/>
                                  <w:marTop w:val="0"/>
                                  <w:marBottom w:val="0"/>
                                  <w:divBdr>
                                    <w:top w:val="none" w:sz="0" w:space="0" w:color="auto"/>
                                    <w:left w:val="none" w:sz="0" w:space="0" w:color="auto"/>
                                    <w:bottom w:val="none" w:sz="0" w:space="0" w:color="auto"/>
                                    <w:right w:val="none" w:sz="0" w:space="0" w:color="auto"/>
                                  </w:divBdr>
                                  <w:divsChild>
                                    <w:div w:id="1771926591">
                                      <w:marLeft w:val="0"/>
                                      <w:marRight w:val="0"/>
                                      <w:marTop w:val="0"/>
                                      <w:marBottom w:val="0"/>
                                      <w:divBdr>
                                        <w:top w:val="none" w:sz="0" w:space="0" w:color="auto"/>
                                        <w:left w:val="none" w:sz="0" w:space="0" w:color="auto"/>
                                        <w:bottom w:val="none" w:sz="0" w:space="0" w:color="auto"/>
                                        <w:right w:val="none" w:sz="0" w:space="0" w:color="auto"/>
                                      </w:divBdr>
                                      <w:divsChild>
                                        <w:div w:id="285308792">
                                          <w:marLeft w:val="0"/>
                                          <w:marRight w:val="0"/>
                                          <w:marTop w:val="0"/>
                                          <w:marBottom w:val="0"/>
                                          <w:divBdr>
                                            <w:top w:val="none" w:sz="0" w:space="0" w:color="auto"/>
                                            <w:left w:val="none" w:sz="0" w:space="0" w:color="auto"/>
                                            <w:bottom w:val="none" w:sz="0" w:space="0" w:color="auto"/>
                                            <w:right w:val="none" w:sz="0" w:space="0" w:color="auto"/>
                                          </w:divBdr>
                                          <w:divsChild>
                                            <w:div w:id="1656715810">
                                              <w:marLeft w:val="0"/>
                                              <w:marRight w:val="0"/>
                                              <w:marTop w:val="0"/>
                                              <w:marBottom w:val="0"/>
                                              <w:divBdr>
                                                <w:top w:val="none" w:sz="0" w:space="0" w:color="auto"/>
                                                <w:left w:val="none" w:sz="0" w:space="0" w:color="auto"/>
                                                <w:bottom w:val="none" w:sz="0" w:space="0" w:color="auto"/>
                                                <w:right w:val="none" w:sz="0" w:space="0" w:color="auto"/>
                                              </w:divBdr>
                                              <w:divsChild>
                                                <w:div w:id="431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152567">
      <w:bodyDiv w:val="1"/>
      <w:marLeft w:val="0"/>
      <w:marRight w:val="0"/>
      <w:marTop w:val="0"/>
      <w:marBottom w:val="0"/>
      <w:divBdr>
        <w:top w:val="none" w:sz="0" w:space="0" w:color="auto"/>
        <w:left w:val="none" w:sz="0" w:space="0" w:color="auto"/>
        <w:bottom w:val="none" w:sz="0" w:space="0" w:color="auto"/>
        <w:right w:val="none" w:sz="0" w:space="0" w:color="auto"/>
      </w:divBdr>
      <w:divsChild>
        <w:div w:id="1502308552">
          <w:marLeft w:val="0"/>
          <w:marRight w:val="0"/>
          <w:marTop w:val="0"/>
          <w:marBottom w:val="0"/>
          <w:divBdr>
            <w:top w:val="none" w:sz="0" w:space="0" w:color="auto"/>
            <w:left w:val="none" w:sz="0" w:space="0" w:color="auto"/>
            <w:bottom w:val="none" w:sz="0" w:space="0" w:color="auto"/>
            <w:right w:val="none" w:sz="0" w:space="0" w:color="auto"/>
          </w:divBdr>
          <w:divsChild>
            <w:div w:id="1801993763">
              <w:marLeft w:val="0"/>
              <w:marRight w:val="0"/>
              <w:marTop w:val="0"/>
              <w:marBottom w:val="0"/>
              <w:divBdr>
                <w:top w:val="none" w:sz="0" w:space="0" w:color="auto"/>
                <w:left w:val="none" w:sz="0" w:space="0" w:color="auto"/>
                <w:bottom w:val="none" w:sz="0" w:space="0" w:color="auto"/>
                <w:right w:val="none" w:sz="0" w:space="0" w:color="auto"/>
              </w:divBdr>
              <w:divsChild>
                <w:div w:id="1649900092">
                  <w:marLeft w:val="0"/>
                  <w:marRight w:val="0"/>
                  <w:marTop w:val="0"/>
                  <w:marBottom w:val="0"/>
                  <w:divBdr>
                    <w:top w:val="none" w:sz="0" w:space="0" w:color="auto"/>
                    <w:left w:val="none" w:sz="0" w:space="0" w:color="auto"/>
                    <w:bottom w:val="none" w:sz="0" w:space="0" w:color="auto"/>
                    <w:right w:val="none" w:sz="0" w:space="0" w:color="auto"/>
                  </w:divBdr>
                  <w:divsChild>
                    <w:div w:id="1359773497">
                      <w:marLeft w:val="0"/>
                      <w:marRight w:val="0"/>
                      <w:marTop w:val="0"/>
                      <w:marBottom w:val="0"/>
                      <w:divBdr>
                        <w:top w:val="none" w:sz="0" w:space="0" w:color="auto"/>
                        <w:left w:val="none" w:sz="0" w:space="0" w:color="auto"/>
                        <w:bottom w:val="none" w:sz="0" w:space="0" w:color="auto"/>
                        <w:right w:val="none" w:sz="0" w:space="0" w:color="auto"/>
                      </w:divBdr>
                      <w:divsChild>
                        <w:div w:id="1748336247">
                          <w:marLeft w:val="0"/>
                          <w:marRight w:val="0"/>
                          <w:marTop w:val="0"/>
                          <w:marBottom w:val="0"/>
                          <w:divBdr>
                            <w:top w:val="single" w:sz="6" w:space="0" w:color="828282"/>
                            <w:left w:val="single" w:sz="6" w:space="0" w:color="828282"/>
                            <w:bottom w:val="single" w:sz="6" w:space="0" w:color="828282"/>
                            <w:right w:val="single" w:sz="6" w:space="0" w:color="828282"/>
                          </w:divBdr>
                          <w:divsChild>
                            <w:div w:id="1699812039">
                              <w:marLeft w:val="0"/>
                              <w:marRight w:val="0"/>
                              <w:marTop w:val="0"/>
                              <w:marBottom w:val="0"/>
                              <w:divBdr>
                                <w:top w:val="none" w:sz="0" w:space="0" w:color="auto"/>
                                <w:left w:val="none" w:sz="0" w:space="0" w:color="auto"/>
                                <w:bottom w:val="none" w:sz="0" w:space="0" w:color="auto"/>
                                <w:right w:val="none" w:sz="0" w:space="0" w:color="auto"/>
                              </w:divBdr>
                              <w:divsChild>
                                <w:div w:id="1535727424">
                                  <w:marLeft w:val="0"/>
                                  <w:marRight w:val="0"/>
                                  <w:marTop w:val="0"/>
                                  <w:marBottom w:val="0"/>
                                  <w:divBdr>
                                    <w:top w:val="none" w:sz="0" w:space="0" w:color="auto"/>
                                    <w:left w:val="none" w:sz="0" w:space="0" w:color="auto"/>
                                    <w:bottom w:val="none" w:sz="0" w:space="0" w:color="auto"/>
                                    <w:right w:val="none" w:sz="0" w:space="0" w:color="auto"/>
                                  </w:divBdr>
                                  <w:divsChild>
                                    <w:div w:id="63844388">
                                      <w:marLeft w:val="0"/>
                                      <w:marRight w:val="0"/>
                                      <w:marTop w:val="0"/>
                                      <w:marBottom w:val="0"/>
                                      <w:divBdr>
                                        <w:top w:val="none" w:sz="0" w:space="0" w:color="auto"/>
                                        <w:left w:val="none" w:sz="0" w:space="0" w:color="auto"/>
                                        <w:bottom w:val="none" w:sz="0" w:space="0" w:color="auto"/>
                                        <w:right w:val="none" w:sz="0" w:space="0" w:color="auto"/>
                                      </w:divBdr>
                                      <w:divsChild>
                                        <w:div w:id="1798374580">
                                          <w:marLeft w:val="0"/>
                                          <w:marRight w:val="0"/>
                                          <w:marTop w:val="0"/>
                                          <w:marBottom w:val="0"/>
                                          <w:divBdr>
                                            <w:top w:val="none" w:sz="0" w:space="0" w:color="auto"/>
                                            <w:left w:val="none" w:sz="0" w:space="0" w:color="auto"/>
                                            <w:bottom w:val="none" w:sz="0" w:space="0" w:color="auto"/>
                                            <w:right w:val="none" w:sz="0" w:space="0" w:color="auto"/>
                                          </w:divBdr>
                                          <w:divsChild>
                                            <w:div w:id="1660648876">
                                              <w:marLeft w:val="0"/>
                                              <w:marRight w:val="0"/>
                                              <w:marTop w:val="0"/>
                                              <w:marBottom w:val="0"/>
                                              <w:divBdr>
                                                <w:top w:val="none" w:sz="0" w:space="0" w:color="auto"/>
                                                <w:left w:val="none" w:sz="0" w:space="0" w:color="auto"/>
                                                <w:bottom w:val="none" w:sz="0" w:space="0" w:color="auto"/>
                                                <w:right w:val="none" w:sz="0" w:space="0" w:color="auto"/>
                                              </w:divBdr>
                                              <w:divsChild>
                                                <w:div w:id="9673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718137">
      <w:bodyDiv w:val="1"/>
      <w:marLeft w:val="0"/>
      <w:marRight w:val="0"/>
      <w:marTop w:val="0"/>
      <w:marBottom w:val="0"/>
      <w:divBdr>
        <w:top w:val="none" w:sz="0" w:space="0" w:color="auto"/>
        <w:left w:val="none" w:sz="0" w:space="0" w:color="auto"/>
        <w:bottom w:val="none" w:sz="0" w:space="0" w:color="auto"/>
        <w:right w:val="none" w:sz="0" w:space="0" w:color="auto"/>
      </w:divBdr>
      <w:divsChild>
        <w:div w:id="1535188847">
          <w:marLeft w:val="0"/>
          <w:marRight w:val="0"/>
          <w:marTop w:val="0"/>
          <w:marBottom w:val="0"/>
          <w:divBdr>
            <w:top w:val="none" w:sz="0" w:space="0" w:color="auto"/>
            <w:left w:val="none" w:sz="0" w:space="0" w:color="auto"/>
            <w:bottom w:val="none" w:sz="0" w:space="0" w:color="auto"/>
            <w:right w:val="none" w:sz="0" w:space="0" w:color="auto"/>
          </w:divBdr>
          <w:divsChild>
            <w:div w:id="1218396670">
              <w:marLeft w:val="0"/>
              <w:marRight w:val="0"/>
              <w:marTop w:val="0"/>
              <w:marBottom w:val="0"/>
              <w:divBdr>
                <w:top w:val="none" w:sz="0" w:space="0" w:color="auto"/>
                <w:left w:val="none" w:sz="0" w:space="0" w:color="auto"/>
                <w:bottom w:val="none" w:sz="0" w:space="0" w:color="auto"/>
                <w:right w:val="none" w:sz="0" w:space="0" w:color="auto"/>
              </w:divBdr>
              <w:divsChild>
                <w:div w:id="1463766377">
                  <w:marLeft w:val="0"/>
                  <w:marRight w:val="0"/>
                  <w:marTop w:val="0"/>
                  <w:marBottom w:val="0"/>
                  <w:divBdr>
                    <w:top w:val="none" w:sz="0" w:space="0" w:color="auto"/>
                    <w:left w:val="none" w:sz="0" w:space="0" w:color="auto"/>
                    <w:bottom w:val="none" w:sz="0" w:space="0" w:color="auto"/>
                    <w:right w:val="none" w:sz="0" w:space="0" w:color="auto"/>
                  </w:divBdr>
                  <w:divsChild>
                    <w:div w:id="1094210765">
                      <w:marLeft w:val="0"/>
                      <w:marRight w:val="0"/>
                      <w:marTop w:val="0"/>
                      <w:marBottom w:val="0"/>
                      <w:divBdr>
                        <w:top w:val="none" w:sz="0" w:space="0" w:color="auto"/>
                        <w:left w:val="none" w:sz="0" w:space="0" w:color="auto"/>
                        <w:bottom w:val="none" w:sz="0" w:space="0" w:color="auto"/>
                        <w:right w:val="none" w:sz="0" w:space="0" w:color="auto"/>
                      </w:divBdr>
                      <w:divsChild>
                        <w:div w:id="445084949">
                          <w:marLeft w:val="0"/>
                          <w:marRight w:val="0"/>
                          <w:marTop w:val="0"/>
                          <w:marBottom w:val="0"/>
                          <w:divBdr>
                            <w:top w:val="single" w:sz="6" w:space="0" w:color="828282"/>
                            <w:left w:val="single" w:sz="6" w:space="0" w:color="828282"/>
                            <w:bottom w:val="single" w:sz="6" w:space="0" w:color="828282"/>
                            <w:right w:val="single" w:sz="6" w:space="0" w:color="828282"/>
                          </w:divBdr>
                          <w:divsChild>
                            <w:div w:id="1914704231">
                              <w:marLeft w:val="0"/>
                              <w:marRight w:val="0"/>
                              <w:marTop w:val="0"/>
                              <w:marBottom w:val="0"/>
                              <w:divBdr>
                                <w:top w:val="none" w:sz="0" w:space="0" w:color="auto"/>
                                <w:left w:val="none" w:sz="0" w:space="0" w:color="auto"/>
                                <w:bottom w:val="none" w:sz="0" w:space="0" w:color="auto"/>
                                <w:right w:val="none" w:sz="0" w:space="0" w:color="auto"/>
                              </w:divBdr>
                              <w:divsChild>
                                <w:div w:id="1587377243">
                                  <w:marLeft w:val="0"/>
                                  <w:marRight w:val="0"/>
                                  <w:marTop w:val="0"/>
                                  <w:marBottom w:val="0"/>
                                  <w:divBdr>
                                    <w:top w:val="none" w:sz="0" w:space="0" w:color="auto"/>
                                    <w:left w:val="none" w:sz="0" w:space="0" w:color="auto"/>
                                    <w:bottom w:val="none" w:sz="0" w:space="0" w:color="auto"/>
                                    <w:right w:val="none" w:sz="0" w:space="0" w:color="auto"/>
                                  </w:divBdr>
                                  <w:divsChild>
                                    <w:div w:id="149560775">
                                      <w:marLeft w:val="0"/>
                                      <w:marRight w:val="0"/>
                                      <w:marTop w:val="0"/>
                                      <w:marBottom w:val="0"/>
                                      <w:divBdr>
                                        <w:top w:val="none" w:sz="0" w:space="0" w:color="auto"/>
                                        <w:left w:val="none" w:sz="0" w:space="0" w:color="auto"/>
                                        <w:bottom w:val="none" w:sz="0" w:space="0" w:color="auto"/>
                                        <w:right w:val="none" w:sz="0" w:space="0" w:color="auto"/>
                                      </w:divBdr>
                                      <w:divsChild>
                                        <w:div w:id="483163111">
                                          <w:marLeft w:val="0"/>
                                          <w:marRight w:val="0"/>
                                          <w:marTop w:val="0"/>
                                          <w:marBottom w:val="0"/>
                                          <w:divBdr>
                                            <w:top w:val="none" w:sz="0" w:space="0" w:color="auto"/>
                                            <w:left w:val="none" w:sz="0" w:space="0" w:color="auto"/>
                                            <w:bottom w:val="none" w:sz="0" w:space="0" w:color="auto"/>
                                            <w:right w:val="none" w:sz="0" w:space="0" w:color="auto"/>
                                          </w:divBdr>
                                          <w:divsChild>
                                            <w:div w:id="1854104614">
                                              <w:marLeft w:val="0"/>
                                              <w:marRight w:val="0"/>
                                              <w:marTop w:val="0"/>
                                              <w:marBottom w:val="0"/>
                                              <w:divBdr>
                                                <w:top w:val="none" w:sz="0" w:space="0" w:color="auto"/>
                                                <w:left w:val="none" w:sz="0" w:space="0" w:color="auto"/>
                                                <w:bottom w:val="none" w:sz="0" w:space="0" w:color="auto"/>
                                                <w:right w:val="none" w:sz="0" w:space="0" w:color="auto"/>
                                              </w:divBdr>
                                              <w:divsChild>
                                                <w:div w:id="10269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newsroom/consult-otc-closed.htm" TargetMode="External"/><Relationship Id="rId5" Type="http://schemas.openxmlformats.org/officeDocument/2006/relationships/settings" Target="settings.xml"/><Relationship Id="rId10" Type="http://schemas.openxmlformats.org/officeDocument/2006/relationships/hyperlink" Target="http://www.tga.gov.au/newsroom/consult-otc-cough-and-cold-120208.htm"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3E89-9144-4C7C-846F-75995224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10268</CharactersWithSpaces>
  <SharedDoc>false</SharedDoc>
  <HLinks>
    <vt:vector size="18" baseType="variant">
      <vt:variant>
        <vt:i4>4587537</vt:i4>
      </vt:variant>
      <vt:variant>
        <vt:i4>6</vt:i4>
      </vt:variant>
      <vt:variant>
        <vt:i4>0</vt:i4>
      </vt:variant>
      <vt:variant>
        <vt:i4>5</vt:i4>
      </vt:variant>
      <vt:variant>
        <vt:lpwstr>http://www.tga.gov.au/newsroom/consult-otc-closed.htm</vt:lpwstr>
      </vt:variant>
      <vt:variant>
        <vt:lpwstr/>
      </vt:variant>
      <vt:variant>
        <vt:i4>1114116</vt:i4>
      </vt:variant>
      <vt:variant>
        <vt:i4>3</vt:i4>
      </vt:variant>
      <vt:variant>
        <vt:i4>0</vt:i4>
      </vt:variant>
      <vt:variant>
        <vt:i4>5</vt:i4>
      </vt:variant>
      <vt:variant>
        <vt:lpwstr>http://www.tga.gov.au/newsroom/consult-otc-cough-and-cold-120208.htm</vt:lpwstr>
      </vt:variant>
      <vt:variant>
        <vt:lpwstr/>
      </vt: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2009-02-16T05:17:00Z</cp:lastPrinted>
  <dcterms:created xsi:type="dcterms:W3CDTF">2014-06-05T07:43:00Z</dcterms:created>
  <dcterms:modified xsi:type="dcterms:W3CDTF">2014-06-06T05:11:00Z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MarkAsFinal">
    <vt:bool>true</vt:bool>
  </property>
</Properties>
</file>