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150" w:rsidRDefault="004C2150">
      <w:pPr>
        <w:pStyle w:val="Title"/>
        <w:rPr>
          <w:rFonts w:ascii="Times New Roman" w:eastAsiaTheme="minorHAnsi" w:hAnsi="Times New Roman" w:cstheme="minorBidi"/>
          <w:b w:val="0"/>
          <w:sz w:val="22"/>
          <w:szCs w:val="22"/>
          <w:u w:val="single"/>
        </w:rPr>
      </w:pPr>
    </w:p>
    <w:sdt>
      <w:sdtPr>
        <w:rPr>
          <w:rFonts w:ascii="Times New Roman" w:eastAsiaTheme="minorHAnsi" w:hAnsi="Times New Roman" w:cstheme="minorBidi"/>
          <w:b w:val="0"/>
          <w:sz w:val="22"/>
          <w:szCs w:val="22"/>
          <w:u w:val="single"/>
        </w:rPr>
        <w:id w:val="962787086"/>
        <w:lock w:val="contentLocked"/>
        <w:placeholder>
          <w:docPart w:val="1D65BE04DD9C4B2BB1D0C645FFFDFC3A"/>
        </w:placeholder>
        <w:group/>
      </w:sdtPr>
      <w:sdtEndPr>
        <w:rPr>
          <w:rFonts w:eastAsiaTheme="minorEastAsia"/>
          <w:szCs w:val="24"/>
          <w:u w:val="none"/>
        </w:rPr>
      </w:sdtEndPr>
      <w:sdtContent>
        <w:p w:rsidR="00536534" w:rsidRDefault="002311F0">
          <w:pPr>
            <w:pStyle w:val="Title"/>
            <w:rPr>
              <w:rFonts w:ascii="Times New Roman" w:hAnsi="Times New Roman"/>
              <w:u w:val="single"/>
            </w:rPr>
          </w:pPr>
          <w:r>
            <w:rPr>
              <w:rFonts w:ascii="Times New Roman" w:hAnsi="Times New Roman"/>
              <w:u w:val="single"/>
            </w:rPr>
            <w:t>EXPLANATORY STATEMENT</w:t>
          </w:r>
        </w:p>
        <w:p w:rsidR="00536534" w:rsidRDefault="004C2150">
          <w:pPr>
            <w:jc w:val="center"/>
            <w:rPr>
              <w:rFonts w:ascii="Times New Roman" w:hAnsi="Times New Roman" w:cs="Times New Roman"/>
              <w:sz w:val="24"/>
            </w:rPr>
          </w:pPr>
        </w:p>
      </w:sdtContent>
    </w:sdt>
    <w:p w:rsidR="00536534" w:rsidRDefault="004C2150">
      <w:pPr>
        <w:pStyle w:val="Title"/>
        <w:rPr>
          <w:rFonts w:ascii="Times New Roman" w:hAnsi="Times New Roman"/>
          <w:b w:val="0"/>
          <w:sz w:val="16"/>
          <w:szCs w:val="16"/>
        </w:rPr>
      </w:pPr>
      <w:r>
        <w:rPr>
          <w:rFonts w:ascii="Times New Roman" w:hAnsi="Times New Roman"/>
          <w:u w:val="single"/>
        </w:rPr>
        <w:t>Se</w:t>
      </w:r>
      <w:bookmarkStart w:id="0" w:name="_GoBack"/>
      <w:bookmarkEnd w:id="0"/>
      <w:r>
        <w:rPr>
          <w:rFonts w:ascii="Times New Roman" w:hAnsi="Times New Roman"/>
          <w:u w:val="single"/>
        </w:rPr>
        <w:t>lect Legislative Instrument No. 70, 2014</w:t>
      </w:r>
    </w:p>
    <w:p w:rsidR="00536534" w:rsidRDefault="00536534">
      <w:pPr>
        <w:pStyle w:val="Title"/>
        <w:rPr>
          <w:rFonts w:ascii="Times New Roman" w:eastAsiaTheme="minorEastAsia" w:hAnsi="Times New Roman"/>
          <w:b w:val="0"/>
          <w:szCs w:val="24"/>
          <w:u w:val="single"/>
        </w:rPr>
      </w:pPr>
    </w:p>
    <w:p w:rsidR="00536534" w:rsidRDefault="002311F0">
      <w:pPr>
        <w:jc w:val="center"/>
        <w:rPr>
          <w:rFonts w:ascii="Times New Roman" w:hAnsi="Times New Roman" w:cs="Times New Roman"/>
          <w:sz w:val="24"/>
          <w:u w:val="single"/>
        </w:rPr>
      </w:pPr>
      <w:r>
        <w:rPr>
          <w:rFonts w:ascii="Times New Roman" w:hAnsi="Times New Roman" w:cs="Times New Roman"/>
          <w:sz w:val="24"/>
          <w:u w:val="single"/>
        </w:rPr>
        <w:t>Issued by Authority of the Minister for Agriculture</w:t>
      </w:r>
    </w:p>
    <w:p w:rsidR="00536534" w:rsidRDefault="00536534">
      <w:pPr>
        <w:jc w:val="center"/>
        <w:rPr>
          <w:rFonts w:ascii="Times New Roman" w:hAnsi="Times New Roman" w:cs="Times New Roman"/>
          <w:sz w:val="24"/>
        </w:rPr>
      </w:pPr>
    </w:p>
    <w:p w:rsidR="00536534" w:rsidRDefault="002311F0">
      <w:pPr>
        <w:jc w:val="center"/>
        <w:rPr>
          <w:rFonts w:ascii="Times New Roman" w:hAnsi="Times New Roman" w:cs="Times New Roman"/>
          <w:i/>
          <w:noProof/>
          <w:sz w:val="24"/>
        </w:rPr>
      </w:pPr>
      <w:r>
        <w:rPr>
          <w:rFonts w:ascii="Times New Roman" w:hAnsi="Times New Roman" w:cs="Times New Roman"/>
          <w:i/>
          <w:noProof/>
          <w:sz w:val="24"/>
        </w:rPr>
        <w:t>Wine Australia Corporation Act 1980</w:t>
      </w:r>
    </w:p>
    <w:p w:rsidR="00536534" w:rsidRDefault="002311F0">
      <w:pPr>
        <w:jc w:val="center"/>
        <w:rPr>
          <w:rFonts w:ascii="Times New Roman" w:hAnsi="Times New Roman" w:cs="Times New Roman"/>
          <w:i/>
          <w:noProof/>
          <w:sz w:val="24"/>
        </w:rPr>
      </w:pPr>
      <w:r>
        <w:rPr>
          <w:rFonts w:ascii="Times New Roman" w:hAnsi="Times New Roman" w:cs="Times New Roman"/>
          <w:i/>
          <w:noProof/>
          <w:sz w:val="24"/>
        </w:rPr>
        <w:t>Customs Administration Act 1985</w:t>
      </w:r>
    </w:p>
    <w:p w:rsidR="00536534" w:rsidRDefault="002311F0">
      <w:pPr>
        <w:jc w:val="center"/>
        <w:rPr>
          <w:rFonts w:ascii="Times New Roman" w:hAnsi="Times New Roman" w:cs="Times New Roman"/>
          <w:i/>
          <w:noProof/>
          <w:sz w:val="24"/>
        </w:rPr>
      </w:pPr>
      <w:r>
        <w:rPr>
          <w:rFonts w:ascii="Times New Roman" w:hAnsi="Times New Roman" w:cs="Times New Roman"/>
          <w:i/>
          <w:noProof/>
          <w:sz w:val="24"/>
        </w:rPr>
        <w:t>Privacy Act 1988</w:t>
      </w:r>
    </w:p>
    <w:p w:rsidR="00536534" w:rsidRDefault="00536534">
      <w:pPr>
        <w:jc w:val="center"/>
        <w:rPr>
          <w:rFonts w:ascii="Times New Roman" w:hAnsi="Times New Roman" w:cs="Times New Roman"/>
          <w:sz w:val="24"/>
        </w:rPr>
      </w:pPr>
    </w:p>
    <w:p w:rsidR="00536534" w:rsidRDefault="002311F0">
      <w:pPr>
        <w:jc w:val="center"/>
        <w:rPr>
          <w:rFonts w:ascii="Times New Roman" w:hAnsi="Times New Roman" w:cs="Times New Roman"/>
          <w:sz w:val="24"/>
        </w:rPr>
      </w:pPr>
      <w:r>
        <w:rPr>
          <w:rFonts w:ascii="Times New Roman" w:hAnsi="Times New Roman" w:cs="Times New Roman"/>
          <w:i/>
          <w:noProof/>
          <w:sz w:val="24"/>
        </w:rPr>
        <w:t xml:space="preserve">Wine Australia Corporation </w:t>
      </w:r>
      <w:r>
        <w:rPr>
          <w:i/>
        </w:rPr>
        <w:t xml:space="preserve">Legislation </w:t>
      </w:r>
      <w:r>
        <w:rPr>
          <w:rFonts w:ascii="Times New Roman" w:hAnsi="Times New Roman" w:cs="Times New Roman"/>
          <w:i/>
          <w:noProof/>
          <w:sz w:val="24"/>
        </w:rPr>
        <w:t>Amendment (Wine Labelling) Regulation 2014</w:t>
      </w:r>
    </w:p>
    <w:p w:rsidR="00536534" w:rsidRDefault="00536534">
      <w:pPr>
        <w:rPr>
          <w:rFonts w:ascii="Times New Roman" w:hAnsi="Times New Roman" w:cs="Times New Roman"/>
          <w:sz w:val="24"/>
        </w:rPr>
      </w:pPr>
    </w:p>
    <w:p w:rsidR="00536534" w:rsidRDefault="002311F0">
      <w:pPr>
        <w:tabs>
          <w:tab w:val="left" w:pos="1701"/>
          <w:tab w:val="right" w:pos="9072"/>
        </w:tabs>
        <w:rPr>
          <w:rFonts w:ascii="Times New Roman" w:hAnsi="Times New Roman" w:cs="Times New Roman"/>
          <w:sz w:val="24"/>
        </w:rPr>
      </w:pPr>
      <w:r>
        <w:rPr>
          <w:rFonts w:ascii="Times New Roman" w:hAnsi="Times New Roman" w:cs="Times New Roman"/>
          <w:b/>
          <w:sz w:val="24"/>
        </w:rPr>
        <w:t>Legislative Authority</w:t>
      </w:r>
    </w:p>
    <w:p w:rsidR="00536534" w:rsidRDefault="00536534">
      <w:pPr>
        <w:tabs>
          <w:tab w:val="right" w:pos="9072"/>
        </w:tabs>
        <w:rPr>
          <w:rFonts w:ascii="Times New Roman" w:hAnsi="Times New Roman" w:cs="Times New Roman"/>
          <w:sz w:val="24"/>
        </w:rPr>
      </w:pPr>
    </w:p>
    <w:p w:rsidR="00536534" w:rsidRDefault="002311F0">
      <w:pPr>
        <w:tabs>
          <w:tab w:val="left" w:pos="1701"/>
          <w:tab w:val="right" w:pos="9072"/>
        </w:tabs>
        <w:rPr>
          <w:rFonts w:ascii="Times New Roman" w:hAnsi="Times New Roman" w:cs="Times New Roman"/>
          <w:sz w:val="24"/>
        </w:rPr>
      </w:pPr>
      <w:r>
        <w:rPr>
          <w:rFonts w:ascii="Times New Roman" w:hAnsi="Times New Roman" w:cs="Times New Roman"/>
          <w:sz w:val="24"/>
        </w:rPr>
        <w:t xml:space="preserve">Section 46 of the </w:t>
      </w:r>
      <w:r>
        <w:rPr>
          <w:rFonts w:ascii="Times New Roman" w:hAnsi="Times New Roman" w:cs="Times New Roman"/>
          <w:i/>
          <w:sz w:val="24"/>
        </w:rPr>
        <w:t>Wine Australia Corporation Act 1980</w:t>
      </w:r>
      <w:r>
        <w:rPr>
          <w:rFonts w:ascii="Times New Roman" w:hAnsi="Times New Roman" w:cs="Times New Roman"/>
          <w:sz w:val="24"/>
        </w:rPr>
        <w:t xml:space="preserve"> provides, in part, that the Governor</w:t>
      </w:r>
      <w:r>
        <w:rPr>
          <w:rFonts w:ascii="Times New Roman" w:hAnsi="Times New Roman" w:cs="Times New Roman"/>
          <w:sz w:val="24"/>
        </w:rPr>
        <w:noBreakHyphen/>
        <w:t>General may make regulations consistent with the Act to prescribe all matters permitted and required to give effect to the Act. Section 18 of the</w:t>
      </w:r>
      <w:r>
        <w:rPr>
          <w:rFonts w:ascii="Times New Roman" w:hAnsi="Times New Roman" w:cs="Times New Roman"/>
          <w:i/>
          <w:sz w:val="24"/>
        </w:rPr>
        <w:t xml:space="preserve"> Customs Administration Act 1985 </w:t>
      </w:r>
      <w:r>
        <w:rPr>
          <w:rFonts w:ascii="Times New Roman" w:hAnsi="Times New Roman" w:cs="Times New Roman"/>
          <w:sz w:val="24"/>
        </w:rPr>
        <w:t>and Section 100 of the</w:t>
      </w:r>
      <w:r>
        <w:rPr>
          <w:rFonts w:ascii="Times New Roman" w:hAnsi="Times New Roman" w:cs="Times New Roman"/>
          <w:i/>
          <w:sz w:val="24"/>
        </w:rPr>
        <w:t xml:space="preserve"> Privacy Act 1988</w:t>
      </w:r>
      <w:r>
        <w:rPr>
          <w:rFonts w:ascii="Times New Roman" w:hAnsi="Times New Roman" w:cs="Times New Roman"/>
          <w:sz w:val="24"/>
        </w:rPr>
        <w:t xml:space="preserve"> provide that the Governor</w:t>
      </w:r>
      <w:r>
        <w:rPr>
          <w:rFonts w:ascii="Times New Roman" w:hAnsi="Times New Roman" w:cs="Times New Roman"/>
          <w:sz w:val="24"/>
        </w:rPr>
        <w:noBreakHyphen/>
        <w:t>General may make regulations consistent with the Acts to prescribe matters required or permitted by the Acts to be prescribed, or necessary or convenient to be prescribed for carrying out or giving effect to the Acts.</w:t>
      </w:r>
    </w:p>
    <w:p w:rsidR="00536534" w:rsidRDefault="00536534">
      <w:pPr>
        <w:tabs>
          <w:tab w:val="left" w:pos="1701"/>
          <w:tab w:val="right" w:pos="9072"/>
        </w:tabs>
        <w:rPr>
          <w:rFonts w:ascii="Times New Roman" w:hAnsi="Times New Roman" w:cs="Times New Roman"/>
          <w:sz w:val="24"/>
        </w:rPr>
      </w:pPr>
    </w:p>
    <w:p w:rsidR="00536534" w:rsidRDefault="002311F0">
      <w:pPr>
        <w:tabs>
          <w:tab w:val="left" w:pos="1701"/>
          <w:tab w:val="right" w:pos="9072"/>
        </w:tabs>
        <w:rPr>
          <w:rFonts w:ascii="Times New Roman" w:hAnsi="Times New Roman" w:cs="Times New Roman"/>
          <w:b/>
          <w:sz w:val="24"/>
        </w:rPr>
      </w:pPr>
      <w:r>
        <w:rPr>
          <w:rFonts w:ascii="Times New Roman" w:hAnsi="Times New Roman" w:cs="Times New Roman"/>
          <w:b/>
          <w:sz w:val="24"/>
        </w:rPr>
        <w:t>Purpose</w:t>
      </w:r>
    </w:p>
    <w:p w:rsidR="00536534" w:rsidRDefault="00536534">
      <w:pPr>
        <w:tabs>
          <w:tab w:val="left" w:pos="1701"/>
          <w:tab w:val="right" w:pos="9072"/>
        </w:tabs>
        <w:rPr>
          <w:rFonts w:ascii="Times New Roman" w:hAnsi="Times New Roman" w:cs="Times New Roman"/>
          <w:sz w:val="24"/>
        </w:rPr>
      </w:pPr>
    </w:p>
    <w:p w:rsidR="00536534" w:rsidRDefault="002311F0">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purpose of Schedule 1 to the Regulation is to make the </w:t>
      </w:r>
      <w:r>
        <w:rPr>
          <w:rFonts w:ascii="Times New Roman" w:hAnsi="Times New Roman" w:cs="Times New Roman"/>
          <w:i/>
          <w:sz w:val="24"/>
        </w:rPr>
        <w:t>Wine Australia Corporation Regulations 1981</w:t>
      </w:r>
      <w:r>
        <w:rPr>
          <w:rFonts w:ascii="Times New Roman" w:hAnsi="Times New Roman" w:cs="Times New Roman"/>
          <w:sz w:val="24"/>
        </w:rPr>
        <w:t xml:space="preserve"> consistent with the </w:t>
      </w:r>
      <w:r>
        <w:rPr>
          <w:rFonts w:ascii="Times New Roman" w:hAnsi="Times New Roman" w:cs="Times New Roman"/>
          <w:i/>
          <w:sz w:val="24"/>
        </w:rPr>
        <w:t>Protocol to the 2007 World Wine Trade Group Agreement on Requirements for Wine Labelling Concerning Alcohol Tolerance, Vintage, Variety, and Wine Regions</w:t>
      </w:r>
      <w:r>
        <w:rPr>
          <w:rFonts w:ascii="Times New Roman" w:hAnsi="Times New Roman" w:cs="Times New Roman"/>
          <w:sz w:val="24"/>
        </w:rPr>
        <w:t>, which Australia signed on 30 April 2013. The Protocol provides “Where wine is labelled with a single wine region recognised by the exporting Party to be a single delimited grape growing area, the importing Party may require that at least 85 per cent of the wine is obtained from grapes grown in the named wine region.” The Regulation will implement the provision.</w:t>
      </w:r>
    </w:p>
    <w:p w:rsidR="00536534" w:rsidRDefault="00536534">
      <w:pPr>
        <w:tabs>
          <w:tab w:val="left" w:pos="1701"/>
          <w:tab w:val="right" w:pos="9072"/>
        </w:tabs>
        <w:rPr>
          <w:rFonts w:ascii="Times New Roman" w:hAnsi="Times New Roman" w:cs="Times New Roman"/>
          <w:sz w:val="24"/>
        </w:rPr>
      </w:pPr>
    </w:p>
    <w:p w:rsidR="00536534" w:rsidRDefault="002311F0">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purpose of Schedule 2 to the Regulation is to update the </w:t>
      </w:r>
      <w:r>
        <w:rPr>
          <w:rFonts w:ascii="Times New Roman" w:hAnsi="Times New Roman" w:cs="Times New Roman"/>
          <w:i/>
          <w:sz w:val="24"/>
        </w:rPr>
        <w:t xml:space="preserve">Customs Administration Regulations 2000 </w:t>
      </w:r>
      <w:r>
        <w:rPr>
          <w:rFonts w:ascii="Times New Roman" w:hAnsi="Times New Roman" w:cs="Times New Roman"/>
          <w:sz w:val="24"/>
        </w:rPr>
        <w:t>and</w:t>
      </w:r>
      <w:r>
        <w:rPr>
          <w:rFonts w:ascii="Times New Roman" w:hAnsi="Times New Roman" w:cs="Times New Roman"/>
          <w:i/>
          <w:sz w:val="24"/>
        </w:rPr>
        <w:t xml:space="preserve"> Privacy Regulation 2013</w:t>
      </w:r>
      <w:r>
        <w:rPr>
          <w:rFonts w:ascii="Times New Roman" w:hAnsi="Times New Roman" w:cs="Times New Roman"/>
          <w:sz w:val="24"/>
        </w:rPr>
        <w:t xml:space="preserve">, and update and rename the </w:t>
      </w:r>
      <w:r>
        <w:rPr>
          <w:rFonts w:ascii="Times New Roman" w:hAnsi="Times New Roman" w:cs="Times New Roman"/>
          <w:i/>
          <w:sz w:val="24"/>
        </w:rPr>
        <w:t>Wine Australia Corporation Regulations 1981</w:t>
      </w:r>
      <w:r>
        <w:rPr>
          <w:rFonts w:ascii="Times New Roman" w:hAnsi="Times New Roman" w:cs="Times New Roman"/>
          <w:sz w:val="24"/>
        </w:rPr>
        <w:t xml:space="preserve"> to ensure they are consistent with the </w:t>
      </w:r>
      <w:r>
        <w:rPr>
          <w:rFonts w:ascii="Times New Roman" w:hAnsi="Times New Roman" w:cs="Times New Roman"/>
          <w:i/>
          <w:sz w:val="24"/>
        </w:rPr>
        <w:t xml:space="preserve">Australian Grape and Wine Authority Act 2013 </w:t>
      </w:r>
      <w:r>
        <w:rPr>
          <w:rFonts w:ascii="Times New Roman" w:hAnsi="Times New Roman" w:cs="Times New Roman"/>
          <w:sz w:val="24"/>
        </w:rPr>
        <w:t>(which will commence on 1 July 2014) and other relevant legislation.</w:t>
      </w:r>
    </w:p>
    <w:p w:rsidR="00536534" w:rsidRDefault="00536534">
      <w:pPr>
        <w:tabs>
          <w:tab w:val="right" w:pos="9072"/>
        </w:tabs>
        <w:rPr>
          <w:rFonts w:ascii="Times New Roman" w:hAnsi="Times New Roman" w:cs="Times New Roman"/>
          <w:sz w:val="24"/>
        </w:rPr>
      </w:pPr>
    </w:p>
    <w:p w:rsidR="00536534" w:rsidRDefault="002311F0">
      <w:pPr>
        <w:tabs>
          <w:tab w:val="left" w:pos="1701"/>
          <w:tab w:val="right" w:pos="9072"/>
        </w:tabs>
        <w:rPr>
          <w:rFonts w:ascii="Times New Roman" w:hAnsi="Times New Roman" w:cs="Times New Roman"/>
          <w:b/>
          <w:sz w:val="24"/>
        </w:rPr>
      </w:pPr>
      <w:r>
        <w:rPr>
          <w:rFonts w:ascii="Times New Roman" w:hAnsi="Times New Roman" w:cs="Times New Roman"/>
          <w:b/>
          <w:sz w:val="24"/>
        </w:rPr>
        <w:t>Background</w:t>
      </w:r>
    </w:p>
    <w:p w:rsidR="00536534" w:rsidRDefault="00536534">
      <w:pPr>
        <w:tabs>
          <w:tab w:val="right" w:pos="9072"/>
        </w:tabs>
        <w:rPr>
          <w:rFonts w:ascii="Times New Roman" w:hAnsi="Times New Roman" w:cs="Times New Roman"/>
          <w:sz w:val="24"/>
        </w:rPr>
      </w:pPr>
    </w:p>
    <w:p w:rsidR="00536534" w:rsidRDefault="002311F0">
      <w:pPr>
        <w:tabs>
          <w:tab w:val="left" w:pos="1701"/>
          <w:tab w:val="right" w:pos="9072"/>
        </w:tabs>
        <w:rPr>
          <w:rFonts w:ascii="Times New Roman" w:hAnsi="Times New Roman" w:cs="Times New Roman"/>
          <w:sz w:val="24"/>
        </w:rPr>
      </w:pPr>
      <w:r>
        <w:rPr>
          <w:rFonts w:ascii="Times New Roman" w:hAnsi="Times New Roman" w:cs="Times New Roman"/>
          <w:sz w:val="24"/>
        </w:rPr>
        <w:t xml:space="preserve">Section 40C of the </w:t>
      </w:r>
      <w:r>
        <w:rPr>
          <w:rFonts w:ascii="Times New Roman" w:hAnsi="Times New Roman" w:cs="Times New Roman"/>
          <w:i/>
          <w:sz w:val="24"/>
        </w:rPr>
        <w:t>Wine Australia Corporation Act 1980</w:t>
      </w:r>
      <w:r>
        <w:rPr>
          <w:rFonts w:ascii="Times New Roman" w:hAnsi="Times New Roman" w:cs="Times New Roman"/>
          <w:sz w:val="24"/>
        </w:rPr>
        <w:t xml:space="preserve">, makes it an offence for a person to sell, export or import a wine with a false description and presentation, meaning that if a wine is labelled with a geographical indication (GI) (for example the Hunter Valley, Barossa or Rutherglen), it must be made from grapes grown in that GI. Regulation 21 of the </w:t>
      </w:r>
      <w:r>
        <w:rPr>
          <w:rFonts w:ascii="Times New Roman" w:hAnsi="Times New Roman" w:cs="Times New Roman"/>
          <w:i/>
          <w:sz w:val="24"/>
        </w:rPr>
        <w:t>Wine Australia Corporation Regulations 1981</w:t>
      </w:r>
      <w:r>
        <w:rPr>
          <w:rFonts w:ascii="Times New Roman" w:hAnsi="Times New Roman" w:cs="Times New Roman"/>
          <w:sz w:val="24"/>
        </w:rPr>
        <w:t xml:space="preserve"> gives an exemption to this offence for Australian wines using a GI if at least 85 per cent of the wine was obtained from grapes grown in that GI. Currently, Regulation 21 applies only to Australian wines.</w:t>
      </w:r>
    </w:p>
    <w:p w:rsidR="00536534" w:rsidRDefault="00536534">
      <w:pPr>
        <w:tabs>
          <w:tab w:val="left" w:pos="1701"/>
          <w:tab w:val="right" w:pos="9072"/>
        </w:tabs>
        <w:rPr>
          <w:rFonts w:ascii="Times New Roman" w:hAnsi="Times New Roman" w:cs="Times New Roman"/>
          <w:sz w:val="24"/>
        </w:rPr>
      </w:pPr>
    </w:p>
    <w:p w:rsidR="00536534" w:rsidRDefault="002311F0">
      <w:pPr>
        <w:tabs>
          <w:tab w:val="left" w:pos="1701"/>
          <w:tab w:val="right" w:pos="9072"/>
        </w:tabs>
        <w:rPr>
          <w:rFonts w:ascii="Times New Roman" w:hAnsi="Times New Roman" w:cs="Times New Roman"/>
          <w:sz w:val="24"/>
        </w:rPr>
      </w:pPr>
      <w:r>
        <w:rPr>
          <w:rFonts w:ascii="Times New Roman" w:hAnsi="Times New Roman" w:cs="Times New Roman"/>
          <w:sz w:val="24"/>
        </w:rPr>
        <w:lastRenderedPageBreak/>
        <w:t xml:space="preserve">By signing the </w:t>
      </w:r>
      <w:r>
        <w:rPr>
          <w:rFonts w:ascii="Times New Roman" w:hAnsi="Times New Roman" w:cs="Times New Roman"/>
          <w:i/>
          <w:sz w:val="24"/>
        </w:rPr>
        <w:t>Protocol to the 2007 World Wine Trade Group Agreement on Requirements for Wine Labelling Concerning Alcohol Tolerance, Vintage, Variety, and Wine Regions</w:t>
      </w:r>
      <w:r>
        <w:rPr>
          <w:rFonts w:ascii="Times New Roman" w:hAnsi="Times New Roman" w:cs="Times New Roman"/>
          <w:sz w:val="24"/>
        </w:rPr>
        <w:t>, Australia agreed to extend the exemption in Regulation 21 to foreign made wines using a GI that is registered in Australia.</w:t>
      </w:r>
    </w:p>
    <w:p w:rsidR="00536534" w:rsidRDefault="00536534">
      <w:pPr>
        <w:tabs>
          <w:tab w:val="right" w:pos="9072"/>
        </w:tabs>
        <w:rPr>
          <w:rFonts w:ascii="Times New Roman" w:hAnsi="Times New Roman" w:cs="Times New Roman"/>
          <w:sz w:val="24"/>
        </w:rPr>
      </w:pPr>
    </w:p>
    <w:p w:rsidR="00536534" w:rsidRDefault="002311F0">
      <w:pPr>
        <w:tabs>
          <w:tab w:val="right" w:pos="9072"/>
        </w:tabs>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sz w:val="24"/>
        </w:rPr>
        <w:t xml:space="preserve">Australian Grape and Wine Authority Act 2013 </w:t>
      </w:r>
      <w:r>
        <w:rPr>
          <w:rFonts w:ascii="Times New Roman" w:hAnsi="Times New Roman" w:cs="Times New Roman"/>
          <w:sz w:val="24"/>
        </w:rPr>
        <w:t xml:space="preserve">provides for a new authority to take the place of the Wine Australia Corporation and the Grape and Wine Research and Development Corporation as of 1 July 2014. Relevant legislation will be updated to remove outdated references and instead refer to the new authority and the </w:t>
      </w:r>
      <w:r>
        <w:rPr>
          <w:rFonts w:ascii="Times New Roman" w:hAnsi="Times New Roman" w:cs="Times New Roman"/>
          <w:i/>
          <w:sz w:val="24"/>
        </w:rPr>
        <w:t>Australian Grape and Wine Authority Act 2013.</w:t>
      </w:r>
    </w:p>
    <w:p w:rsidR="00536534" w:rsidRDefault="00536534">
      <w:pPr>
        <w:tabs>
          <w:tab w:val="right" w:pos="9072"/>
        </w:tabs>
        <w:rPr>
          <w:rFonts w:ascii="Times New Roman" w:hAnsi="Times New Roman" w:cs="Times New Roman"/>
          <w:sz w:val="24"/>
        </w:rPr>
      </w:pPr>
    </w:p>
    <w:p w:rsidR="00536534" w:rsidRDefault="002311F0">
      <w:pPr>
        <w:tabs>
          <w:tab w:val="left" w:pos="1701"/>
          <w:tab w:val="right" w:pos="9072"/>
        </w:tabs>
        <w:rPr>
          <w:rFonts w:ascii="Times New Roman" w:hAnsi="Times New Roman" w:cs="Times New Roman"/>
          <w:b/>
          <w:sz w:val="24"/>
        </w:rPr>
      </w:pPr>
      <w:r>
        <w:rPr>
          <w:rFonts w:ascii="Times New Roman" w:hAnsi="Times New Roman" w:cs="Times New Roman"/>
          <w:b/>
          <w:sz w:val="24"/>
        </w:rPr>
        <w:t>Impact and Effect</w:t>
      </w:r>
    </w:p>
    <w:p w:rsidR="00536534" w:rsidRDefault="00536534">
      <w:pPr>
        <w:tabs>
          <w:tab w:val="right" w:pos="9072"/>
        </w:tabs>
        <w:rPr>
          <w:rFonts w:ascii="Times New Roman" w:hAnsi="Times New Roman" w:cs="Times New Roman"/>
          <w:sz w:val="24"/>
        </w:rPr>
      </w:pPr>
    </w:p>
    <w:p w:rsidR="00536534" w:rsidRDefault="002311F0">
      <w:pPr>
        <w:tabs>
          <w:tab w:val="right" w:pos="9072"/>
        </w:tabs>
        <w:rPr>
          <w:rFonts w:ascii="Times New Roman" w:hAnsi="Times New Roman" w:cs="Times New Roman"/>
          <w:sz w:val="24"/>
        </w:rPr>
      </w:pPr>
      <w:r>
        <w:rPr>
          <w:rFonts w:ascii="Times New Roman" w:hAnsi="Times New Roman" w:cs="Times New Roman"/>
          <w:sz w:val="24"/>
        </w:rPr>
        <w:t>Amending the regulations will no longer make it an offence to import and sell foreign wines meeting the 85 per cent criterion for a GI.</w:t>
      </w:r>
      <w:r>
        <w:rPr>
          <w:rFonts w:ascii="Calibri" w:eastAsia="Calibri" w:hAnsi="Calibri" w:cs="Times New Roman"/>
          <w:sz w:val="24"/>
          <w:szCs w:val="22"/>
        </w:rPr>
        <w:t xml:space="preserve"> </w:t>
      </w:r>
      <w:r>
        <w:rPr>
          <w:rFonts w:ascii="Times New Roman" w:hAnsi="Times New Roman" w:cs="Times New Roman"/>
          <w:sz w:val="24"/>
        </w:rPr>
        <w:t>Australia can also ratify the Protocol, which will provide benefits to industry, such as allowing the use of one label in both Australia and key export markets to reduce trade barriers and lower costs for Australian wine exporters.</w:t>
      </w:r>
    </w:p>
    <w:p w:rsidR="00536534" w:rsidRDefault="00536534">
      <w:pPr>
        <w:tabs>
          <w:tab w:val="right" w:pos="9072"/>
        </w:tabs>
        <w:rPr>
          <w:rFonts w:ascii="Times New Roman" w:hAnsi="Times New Roman" w:cs="Times New Roman"/>
          <w:sz w:val="24"/>
        </w:rPr>
      </w:pPr>
    </w:p>
    <w:p w:rsidR="00536534" w:rsidRDefault="002311F0">
      <w:pPr>
        <w:tabs>
          <w:tab w:val="left" w:pos="1701"/>
          <w:tab w:val="right" w:pos="9072"/>
        </w:tabs>
        <w:rPr>
          <w:rFonts w:ascii="Times New Roman" w:hAnsi="Times New Roman" w:cs="Times New Roman"/>
          <w:sz w:val="24"/>
        </w:rPr>
      </w:pPr>
      <w:r>
        <w:rPr>
          <w:rFonts w:ascii="Times New Roman" w:hAnsi="Times New Roman" w:cs="Times New Roman"/>
          <w:b/>
          <w:sz w:val="24"/>
        </w:rPr>
        <w:t>Consultation</w:t>
      </w:r>
    </w:p>
    <w:p w:rsidR="00536534" w:rsidRDefault="00536534">
      <w:pPr>
        <w:tabs>
          <w:tab w:val="left" w:pos="1701"/>
          <w:tab w:val="right" w:pos="9072"/>
        </w:tabs>
        <w:rPr>
          <w:rFonts w:ascii="Times New Roman" w:hAnsi="Times New Roman" w:cs="Times New Roman"/>
          <w:sz w:val="24"/>
        </w:rPr>
      </w:pPr>
    </w:p>
    <w:p w:rsidR="00536534" w:rsidRDefault="002311F0">
      <w:pPr>
        <w:tabs>
          <w:tab w:val="left" w:pos="1701"/>
          <w:tab w:val="right" w:pos="9072"/>
        </w:tabs>
        <w:rPr>
          <w:rFonts w:ascii="Times New Roman" w:hAnsi="Times New Roman" w:cs="Times New Roman"/>
          <w:sz w:val="24"/>
          <w:lang w:val="en-GB"/>
        </w:rPr>
      </w:pPr>
      <w:r>
        <w:rPr>
          <w:rFonts w:ascii="Times New Roman" w:hAnsi="Times New Roman" w:cs="Times New Roman"/>
          <w:sz w:val="24"/>
          <w:lang w:val="en-GB"/>
        </w:rPr>
        <w:t xml:space="preserve">An industry peak body, the </w:t>
      </w:r>
      <w:r>
        <w:rPr>
          <w:rFonts w:ascii="Times New Roman" w:hAnsi="Times New Roman" w:cs="Times New Roman"/>
          <w:sz w:val="24"/>
        </w:rPr>
        <w:t>Winemakers’ Federation of Australia,</w:t>
      </w:r>
      <w:r>
        <w:rPr>
          <w:rFonts w:ascii="Times New Roman" w:hAnsi="Times New Roman" w:cs="Times New Roman"/>
          <w:sz w:val="24"/>
          <w:lang w:val="en-GB"/>
        </w:rPr>
        <w:t xml:space="preserve"> </w:t>
      </w:r>
      <w:r>
        <w:rPr>
          <w:rFonts w:ascii="Times New Roman" w:hAnsi="Times New Roman" w:cs="Times New Roman"/>
          <w:sz w:val="24"/>
        </w:rPr>
        <w:t xml:space="preserve">was involved in the negotiations of the Protocol and supports the amendments to the Regulations. The wine industry statutory marketing authority, the Wine Australia Corporation, was also involved in the negotiations and supports the change. </w:t>
      </w:r>
      <w:r>
        <w:rPr>
          <w:rFonts w:ascii="Times New Roman" w:hAnsi="Times New Roman" w:cs="Times New Roman"/>
          <w:sz w:val="24"/>
          <w:lang w:val="en-GB"/>
        </w:rPr>
        <w:t>The Office of Best Practice Regulation was consulted in the preparation of the Regulation (ID 16732).</w:t>
      </w:r>
    </w:p>
    <w:p w:rsidR="00536534" w:rsidRDefault="00536534">
      <w:pPr>
        <w:tabs>
          <w:tab w:val="left" w:pos="1701"/>
          <w:tab w:val="right" w:pos="9072"/>
        </w:tabs>
        <w:rPr>
          <w:rFonts w:ascii="Times New Roman" w:hAnsi="Times New Roman" w:cs="Times New Roman"/>
          <w:sz w:val="24"/>
          <w:lang w:val="en-GB"/>
        </w:rPr>
      </w:pPr>
    </w:p>
    <w:p w:rsidR="00536534" w:rsidRDefault="002311F0">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Regulation would be a legislative instrument for the purposes of the </w:t>
      </w:r>
      <w:r>
        <w:rPr>
          <w:rFonts w:ascii="Times New Roman" w:hAnsi="Times New Roman" w:cs="Times New Roman"/>
          <w:i/>
          <w:sz w:val="24"/>
        </w:rPr>
        <w:t>Legislative Instruments Act 2003</w:t>
      </w:r>
      <w:r>
        <w:rPr>
          <w:rFonts w:ascii="Times New Roman" w:hAnsi="Times New Roman" w:cs="Times New Roman"/>
          <w:sz w:val="24"/>
        </w:rPr>
        <w:t>.</w:t>
      </w:r>
    </w:p>
    <w:p w:rsidR="00536534" w:rsidRDefault="002311F0">
      <w:pPr>
        <w:tabs>
          <w:tab w:val="left" w:pos="1701"/>
          <w:tab w:val="right" w:pos="9072"/>
        </w:tabs>
        <w:rPr>
          <w:rFonts w:ascii="Times New Roman" w:hAnsi="Times New Roman" w:cs="Times New Roman"/>
          <w:sz w:val="24"/>
        </w:rPr>
      </w:pPr>
      <w:r>
        <w:rPr>
          <w:rFonts w:ascii="Times New Roman" w:hAnsi="Times New Roman" w:cs="Times New Roman"/>
          <w:sz w:val="24"/>
        </w:rPr>
        <w:br w:type="page"/>
      </w:r>
    </w:p>
    <w:p w:rsidR="00536534" w:rsidRDefault="00536534">
      <w:pPr>
        <w:rPr>
          <w:rFonts w:ascii="Times New Roman" w:hAnsi="Times New Roman" w:cs="Times New Roman"/>
          <w:sz w:val="24"/>
        </w:rPr>
      </w:pPr>
    </w:p>
    <w:p w:rsidR="00536534" w:rsidRDefault="002311F0">
      <w:pPr>
        <w:pStyle w:val="Normal-em"/>
        <w:jc w:val="right"/>
        <w:rPr>
          <w:rFonts w:ascii="Times" w:hAnsi="Times"/>
          <w:b/>
          <w:caps/>
          <w:u w:val="single"/>
        </w:rPr>
      </w:pPr>
      <w:r>
        <w:rPr>
          <w:rFonts w:ascii="Times" w:hAnsi="Times"/>
          <w:b/>
          <w:caps/>
          <w:u w:val="single"/>
        </w:rPr>
        <w:t>Attachment</w:t>
      </w:r>
    </w:p>
    <w:p w:rsidR="00536534" w:rsidRDefault="00536534">
      <w:pPr>
        <w:pStyle w:val="Normal-em"/>
        <w:rPr>
          <w:color w:val="auto"/>
          <w:szCs w:val="24"/>
        </w:rPr>
      </w:pPr>
    </w:p>
    <w:p w:rsidR="00536534" w:rsidRDefault="002311F0">
      <w:pPr>
        <w:rPr>
          <w:rFonts w:ascii="Times New Roman" w:hAnsi="Times New Roman" w:cs="Times New Roman"/>
          <w:sz w:val="24"/>
        </w:rPr>
      </w:pPr>
      <w:r>
        <w:rPr>
          <w:rFonts w:ascii="Times New Roman" w:hAnsi="Times New Roman" w:cs="Times New Roman"/>
          <w:b/>
          <w:iCs/>
          <w:sz w:val="24"/>
          <w:u w:val="single"/>
        </w:rPr>
        <w:t xml:space="preserve">Details of the </w:t>
      </w:r>
      <w:r>
        <w:rPr>
          <w:rFonts w:ascii="Times New Roman" w:eastAsia="Times New Roman" w:hAnsi="Times New Roman" w:cs="Times New Roman"/>
          <w:b/>
          <w:i/>
          <w:iCs/>
          <w:color w:val="000000"/>
          <w:sz w:val="24"/>
          <w:u w:val="single"/>
        </w:rPr>
        <w:t xml:space="preserve">Wine Australia Corporation </w:t>
      </w:r>
      <w:r>
        <w:rPr>
          <w:b/>
          <w:i/>
          <w:iCs/>
          <w:u w:val="single"/>
        </w:rPr>
        <w:t xml:space="preserve">Legislation </w:t>
      </w:r>
      <w:r>
        <w:rPr>
          <w:rFonts w:ascii="Times New Roman" w:eastAsia="Times New Roman" w:hAnsi="Times New Roman" w:cs="Times New Roman"/>
          <w:b/>
          <w:i/>
          <w:iCs/>
          <w:color w:val="000000"/>
          <w:sz w:val="24"/>
          <w:u w:val="single"/>
        </w:rPr>
        <w:t>Amendment (Wine Labelling) Regulation 2014</w:t>
      </w:r>
    </w:p>
    <w:p w:rsidR="00536534" w:rsidRDefault="00536534">
      <w:pPr>
        <w:pStyle w:val="Normal-em"/>
        <w:rPr>
          <w:color w:val="auto"/>
          <w:szCs w:val="24"/>
        </w:rPr>
      </w:pPr>
    </w:p>
    <w:p w:rsidR="00536534" w:rsidRDefault="002311F0">
      <w:pPr>
        <w:pStyle w:val="Normal-em"/>
        <w:ind w:left="1440" w:hanging="1440"/>
        <w:rPr>
          <w:color w:val="auto"/>
          <w:szCs w:val="24"/>
          <w:u w:val="single"/>
        </w:rPr>
      </w:pPr>
      <w:r>
        <w:rPr>
          <w:color w:val="auto"/>
          <w:szCs w:val="24"/>
          <w:u w:val="single"/>
        </w:rPr>
        <w:t>Section 1 – Name of Regulation</w:t>
      </w:r>
    </w:p>
    <w:p w:rsidR="00536534" w:rsidRDefault="00536534">
      <w:pPr>
        <w:pStyle w:val="Normal-em"/>
        <w:ind w:left="1440" w:hanging="1440"/>
        <w:rPr>
          <w:b/>
          <w:color w:val="auto"/>
          <w:szCs w:val="24"/>
        </w:rPr>
      </w:pPr>
    </w:p>
    <w:p w:rsidR="00536534" w:rsidRDefault="002311F0">
      <w:pPr>
        <w:pStyle w:val="Normal-em"/>
        <w:rPr>
          <w:i/>
          <w:iCs/>
          <w:color w:val="auto"/>
          <w:szCs w:val="24"/>
        </w:rPr>
      </w:pPr>
      <w:r>
        <w:rPr>
          <w:color w:val="auto"/>
          <w:szCs w:val="24"/>
        </w:rPr>
        <w:t xml:space="preserve">This Section provides for the title of </w:t>
      </w:r>
      <w:r>
        <w:rPr>
          <w:i/>
          <w:noProof/>
        </w:rPr>
        <w:t>Wine Australia Corporation Legislation Amendment (Wine Labelling) Regulation 2014</w:t>
      </w:r>
      <w:r>
        <w:rPr>
          <w:color w:val="auto"/>
          <w:szCs w:val="24"/>
        </w:rPr>
        <w:t>.</w:t>
      </w:r>
    </w:p>
    <w:p w:rsidR="00536534" w:rsidRDefault="00536534">
      <w:pPr>
        <w:pStyle w:val="Normal-em"/>
        <w:rPr>
          <w:color w:val="auto"/>
          <w:szCs w:val="24"/>
        </w:rPr>
      </w:pPr>
    </w:p>
    <w:p w:rsidR="00536534" w:rsidRDefault="002311F0">
      <w:pPr>
        <w:pStyle w:val="Normal-em"/>
        <w:rPr>
          <w:color w:val="auto"/>
          <w:szCs w:val="24"/>
          <w:u w:val="single"/>
        </w:rPr>
      </w:pPr>
      <w:r>
        <w:rPr>
          <w:color w:val="auto"/>
          <w:szCs w:val="24"/>
          <w:u w:val="single"/>
        </w:rPr>
        <w:t>Section 2 – Commencement</w:t>
      </w:r>
    </w:p>
    <w:p w:rsidR="00536534" w:rsidRDefault="00536534">
      <w:pPr>
        <w:pStyle w:val="Normal-em"/>
        <w:rPr>
          <w:color w:val="auto"/>
          <w:szCs w:val="24"/>
        </w:rPr>
      </w:pPr>
    </w:p>
    <w:p w:rsidR="00536534" w:rsidRDefault="002311F0">
      <w:pPr>
        <w:pStyle w:val="Normal-em"/>
        <w:rPr>
          <w:color w:val="auto"/>
          <w:szCs w:val="24"/>
          <w:highlight w:val="yellow"/>
        </w:rPr>
      </w:pPr>
      <w:r>
        <w:rPr>
          <w:color w:val="auto"/>
          <w:szCs w:val="24"/>
        </w:rPr>
        <w:t xml:space="preserve">This Section provides for the commencement of Schedule 1 </w:t>
      </w:r>
      <w:r>
        <w:t>the day after this Regulation is registered and for</w:t>
      </w:r>
      <w:r>
        <w:rPr>
          <w:color w:val="auto"/>
          <w:szCs w:val="24"/>
        </w:rPr>
        <w:t xml:space="preserve"> Schedule 2 immediately after the commencement of Part 2 of Schedule 1 to the </w:t>
      </w:r>
      <w:r>
        <w:rPr>
          <w:i/>
          <w:color w:val="auto"/>
          <w:szCs w:val="24"/>
        </w:rPr>
        <w:t>Grape and Wine Legislation Amendment (Australian Grape and Wine Authority) Act 2013,</w:t>
      </w:r>
      <w:r>
        <w:rPr>
          <w:color w:val="auto"/>
          <w:szCs w:val="24"/>
        </w:rPr>
        <w:t xml:space="preserve"> on 1 July 2014.</w:t>
      </w:r>
    </w:p>
    <w:p w:rsidR="00536534" w:rsidRDefault="00536534">
      <w:pPr>
        <w:pStyle w:val="Normal-em"/>
        <w:rPr>
          <w:color w:val="auto"/>
          <w:szCs w:val="24"/>
        </w:rPr>
      </w:pPr>
    </w:p>
    <w:p w:rsidR="00536534" w:rsidRDefault="002311F0">
      <w:pPr>
        <w:pStyle w:val="Normal-em"/>
        <w:rPr>
          <w:color w:val="auto"/>
          <w:szCs w:val="24"/>
          <w:u w:val="single"/>
        </w:rPr>
      </w:pPr>
      <w:r>
        <w:rPr>
          <w:color w:val="auto"/>
          <w:szCs w:val="24"/>
          <w:u w:val="single"/>
        </w:rPr>
        <w:t>Section 3 – Authority</w:t>
      </w:r>
    </w:p>
    <w:p w:rsidR="00536534" w:rsidRDefault="00536534">
      <w:pPr>
        <w:pStyle w:val="Normal-em"/>
        <w:rPr>
          <w:color w:val="auto"/>
          <w:szCs w:val="24"/>
        </w:rPr>
      </w:pPr>
    </w:p>
    <w:p w:rsidR="00536534" w:rsidRDefault="002311F0">
      <w:pPr>
        <w:pStyle w:val="Normal-em"/>
        <w:rPr>
          <w:color w:val="auto"/>
          <w:szCs w:val="24"/>
        </w:rPr>
      </w:pPr>
      <w:r>
        <w:rPr>
          <w:color w:val="auto"/>
          <w:szCs w:val="24"/>
        </w:rPr>
        <w:t>This Section provides for this Regulation to be made under the following Acts:</w:t>
      </w:r>
    </w:p>
    <w:p w:rsidR="00536534" w:rsidRDefault="002311F0">
      <w:pPr>
        <w:pStyle w:val="Normal-em"/>
        <w:numPr>
          <w:ilvl w:val="0"/>
          <w:numId w:val="16"/>
        </w:numPr>
        <w:rPr>
          <w:color w:val="auto"/>
          <w:szCs w:val="24"/>
        </w:rPr>
      </w:pPr>
      <w:r>
        <w:rPr>
          <w:color w:val="auto"/>
          <w:szCs w:val="24"/>
        </w:rPr>
        <w:t xml:space="preserve">the </w:t>
      </w:r>
      <w:r>
        <w:rPr>
          <w:i/>
          <w:noProof/>
        </w:rPr>
        <w:t>Wine Australia Corporation Act 1980;</w:t>
      </w:r>
    </w:p>
    <w:p w:rsidR="00536534" w:rsidRDefault="002311F0">
      <w:pPr>
        <w:pStyle w:val="Normal-em"/>
        <w:numPr>
          <w:ilvl w:val="0"/>
          <w:numId w:val="16"/>
        </w:numPr>
        <w:rPr>
          <w:color w:val="auto"/>
          <w:szCs w:val="24"/>
        </w:rPr>
      </w:pPr>
      <w:r>
        <w:rPr>
          <w:noProof/>
        </w:rPr>
        <w:t>the</w:t>
      </w:r>
      <w:r>
        <w:rPr>
          <w:i/>
          <w:noProof/>
        </w:rPr>
        <w:t xml:space="preserve"> Customs Administration Act 1985;</w:t>
      </w:r>
    </w:p>
    <w:p w:rsidR="00536534" w:rsidRDefault="002311F0">
      <w:pPr>
        <w:pStyle w:val="Normal-em"/>
        <w:numPr>
          <w:ilvl w:val="0"/>
          <w:numId w:val="16"/>
        </w:numPr>
        <w:rPr>
          <w:color w:val="auto"/>
          <w:szCs w:val="24"/>
        </w:rPr>
      </w:pPr>
      <w:r>
        <w:rPr>
          <w:noProof/>
        </w:rPr>
        <w:t>the</w:t>
      </w:r>
      <w:r>
        <w:rPr>
          <w:i/>
          <w:noProof/>
        </w:rPr>
        <w:t xml:space="preserve"> Privacy Act 1988.</w:t>
      </w:r>
    </w:p>
    <w:p w:rsidR="00536534" w:rsidRDefault="00536534">
      <w:pPr>
        <w:pStyle w:val="Normal-em"/>
        <w:rPr>
          <w:iCs/>
          <w:color w:val="auto"/>
          <w:szCs w:val="24"/>
        </w:rPr>
      </w:pPr>
    </w:p>
    <w:p w:rsidR="00536534" w:rsidRDefault="002311F0">
      <w:pPr>
        <w:pStyle w:val="Normal-em"/>
        <w:rPr>
          <w:iCs/>
          <w:u w:val="single"/>
        </w:rPr>
      </w:pPr>
      <w:r>
        <w:rPr>
          <w:iCs/>
          <w:u w:val="single"/>
        </w:rPr>
        <w:t>Section 4 – Schedule(s)</w:t>
      </w:r>
    </w:p>
    <w:p w:rsidR="00536534" w:rsidRDefault="00536534">
      <w:pPr>
        <w:pStyle w:val="Normal-em"/>
        <w:rPr>
          <w:iCs/>
          <w:u w:val="single"/>
        </w:rPr>
      </w:pPr>
    </w:p>
    <w:p w:rsidR="00536534" w:rsidRDefault="002311F0">
      <w:pPr>
        <w:pStyle w:val="ActHead6"/>
        <w:pageBreakBefore/>
        <w:rPr>
          <w:rStyle w:val="CharAmSchNo"/>
          <w:rFonts w:ascii="Times New Roman" w:hAnsi="Times New Roman"/>
          <w:b w:val="0"/>
          <w:sz w:val="24"/>
          <w:szCs w:val="24"/>
          <w:u w:val="single"/>
        </w:rPr>
      </w:pPr>
      <w:r>
        <w:rPr>
          <w:rStyle w:val="CharAmSchNo"/>
          <w:rFonts w:ascii="Times New Roman" w:hAnsi="Times New Roman"/>
          <w:b w:val="0"/>
          <w:sz w:val="24"/>
          <w:szCs w:val="24"/>
          <w:u w:val="single"/>
        </w:rPr>
        <w:t>Schedule 1 – Amendments commencing the day after this regulation is registered</w:t>
      </w:r>
    </w:p>
    <w:p w:rsidR="00536534" w:rsidRDefault="00536534">
      <w:pPr>
        <w:rPr>
          <w:rFonts w:ascii="Times New Roman" w:hAnsi="Times New Roman"/>
          <w:sz w:val="24"/>
        </w:rPr>
      </w:pPr>
    </w:p>
    <w:p w:rsidR="00536534" w:rsidRDefault="002311F0">
      <w:pPr>
        <w:rPr>
          <w:rFonts w:ascii="Times New Roman" w:hAnsi="Times New Roman"/>
          <w:i/>
          <w:sz w:val="24"/>
        </w:rPr>
      </w:pPr>
      <w:r>
        <w:rPr>
          <w:rFonts w:ascii="Times New Roman" w:hAnsi="Times New Roman" w:cs="Times New Roman"/>
          <w:i/>
          <w:sz w:val="24"/>
          <w:lang w:eastAsia="en-AU"/>
        </w:rPr>
        <w:t>Wine Australia Corporation Regulations 1981</w:t>
      </w:r>
    </w:p>
    <w:p w:rsidR="00536534" w:rsidRDefault="00536534">
      <w:pPr>
        <w:pStyle w:val="Normal-em"/>
        <w:rPr>
          <w:b/>
          <w:szCs w:val="24"/>
        </w:rPr>
      </w:pPr>
    </w:p>
    <w:p w:rsidR="00536534" w:rsidRDefault="002311F0">
      <w:pPr>
        <w:pStyle w:val="Normal-em"/>
        <w:rPr>
          <w:rFonts w:eastAsiaTheme="minorEastAsia"/>
          <w:szCs w:val="24"/>
        </w:rPr>
      </w:pPr>
      <w:r>
        <w:rPr>
          <w:b/>
          <w:szCs w:val="24"/>
        </w:rPr>
        <w:t>Items 1-3</w:t>
      </w:r>
      <w:r>
        <w:rPr>
          <w:rFonts w:eastAsiaTheme="minorEastAsia"/>
          <w:szCs w:val="24"/>
        </w:rPr>
        <w:t xml:space="preserve"> add or clarify headings.</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 4</w:t>
      </w:r>
      <w:r>
        <w:t xml:space="preserve"> </w:t>
      </w:r>
      <w:r>
        <w:rPr>
          <w:rFonts w:eastAsiaTheme="minorEastAsia"/>
          <w:szCs w:val="24"/>
        </w:rPr>
        <w:t>inserts a heading and paragraph to provide for the description and presentation of wine to use a geographical indication that is registered in relation to a country other than Australia.</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Items 5-6</w:t>
      </w:r>
      <w:r>
        <w:t xml:space="preserve"> </w:t>
      </w:r>
      <w:r>
        <w:rPr>
          <w:rFonts w:eastAsiaTheme="minorEastAsia"/>
          <w:szCs w:val="24"/>
        </w:rPr>
        <w:t>clarify headings.</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Items 7-8</w:t>
      </w:r>
      <w:r>
        <w:rPr>
          <w:rFonts w:eastAsiaTheme="minorEastAsia"/>
          <w:szCs w:val="24"/>
        </w:rPr>
        <w:t xml:space="preserve"> add reference to “countries” to make the text consistent with the definition of a “foreign place name”.</w:t>
      </w:r>
    </w:p>
    <w:p w:rsidR="00536534" w:rsidRDefault="00536534">
      <w:pPr>
        <w:pStyle w:val="Normal-em"/>
        <w:rPr>
          <w:iCs/>
          <w:color w:val="auto"/>
          <w:szCs w:val="24"/>
        </w:rPr>
      </w:pPr>
    </w:p>
    <w:p w:rsidR="00536534" w:rsidRDefault="002311F0">
      <w:pPr>
        <w:pStyle w:val="ActHead6"/>
        <w:pageBreakBefore/>
        <w:rPr>
          <w:rStyle w:val="CharAmSchNo"/>
          <w:rFonts w:ascii="Times New Roman" w:hAnsi="Times New Roman"/>
          <w:b w:val="0"/>
          <w:sz w:val="24"/>
          <w:szCs w:val="24"/>
          <w:u w:val="single"/>
        </w:rPr>
      </w:pPr>
      <w:r>
        <w:rPr>
          <w:rStyle w:val="CharAmSchNo"/>
          <w:rFonts w:ascii="Times New Roman" w:hAnsi="Times New Roman"/>
          <w:b w:val="0"/>
          <w:sz w:val="24"/>
          <w:szCs w:val="24"/>
          <w:u w:val="single"/>
        </w:rPr>
        <w:t xml:space="preserve">Schedule 2 – Amendments relating to the </w:t>
      </w:r>
      <w:r>
        <w:rPr>
          <w:rStyle w:val="CharAmSchNo"/>
          <w:rFonts w:ascii="Times New Roman" w:hAnsi="Times New Roman"/>
          <w:b w:val="0"/>
          <w:i/>
          <w:sz w:val="24"/>
          <w:szCs w:val="24"/>
          <w:u w:val="single"/>
        </w:rPr>
        <w:t>Grape and Wine Legislation Amendment (Australian Grape and Wine Authority) Act 2013</w:t>
      </w:r>
    </w:p>
    <w:p w:rsidR="00536534" w:rsidRDefault="00536534">
      <w:pPr>
        <w:rPr>
          <w:rFonts w:ascii="Times New Roman" w:hAnsi="Times New Roman" w:cs="Times New Roman"/>
          <w:sz w:val="24"/>
        </w:rPr>
      </w:pPr>
    </w:p>
    <w:p w:rsidR="00536534" w:rsidRDefault="002311F0">
      <w:pPr>
        <w:rPr>
          <w:lang w:eastAsia="en-AU"/>
        </w:rPr>
      </w:pPr>
      <w:r>
        <w:rPr>
          <w:rFonts w:ascii="Times New Roman" w:hAnsi="Times New Roman" w:cs="Times New Roman"/>
          <w:sz w:val="24"/>
        </w:rPr>
        <w:t xml:space="preserve">This schedule provides the amendments to the </w:t>
      </w:r>
      <w:r>
        <w:rPr>
          <w:rFonts w:ascii="Times New Roman" w:hAnsi="Times New Roman" w:cs="Times New Roman"/>
          <w:i/>
          <w:sz w:val="24"/>
        </w:rPr>
        <w:t>Customs Administration Regulations 2000, Privacy Regulation 2013</w:t>
      </w:r>
      <w:r>
        <w:rPr>
          <w:rFonts w:ascii="Times New Roman" w:hAnsi="Times New Roman" w:cs="Times New Roman"/>
          <w:sz w:val="24"/>
        </w:rPr>
        <w:t xml:space="preserve"> and the </w:t>
      </w:r>
      <w:r>
        <w:rPr>
          <w:rFonts w:ascii="Times New Roman" w:hAnsi="Times New Roman" w:cs="Times New Roman"/>
          <w:i/>
          <w:sz w:val="24"/>
        </w:rPr>
        <w:t>Wine Australia Corporation Regulations 1981</w:t>
      </w:r>
      <w:r>
        <w:rPr>
          <w:rFonts w:ascii="Times New Roman" w:hAnsi="Times New Roman" w:cs="Times New Roman"/>
          <w:sz w:val="24"/>
        </w:rPr>
        <w:t xml:space="preserve">. The amendments will begin on 1 July 2014. The intent of this schedule is to update the Regulations to ensure they are consistent with the </w:t>
      </w:r>
      <w:r>
        <w:rPr>
          <w:rFonts w:ascii="Times New Roman" w:hAnsi="Times New Roman" w:cs="Times New Roman"/>
          <w:i/>
          <w:sz w:val="24"/>
        </w:rPr>
        <w:t xml:space="preserve">Australian Grape and Wine Authority Act 2013 </w:t>
      </w:r>
      <w:r>
        <w:rPr>
          <w:rFonts w:ascii="Times New Roman" w:hAnsi="Times New Roman" w:cs="Times New Roman"/>
          <w:sz w:val="24"/>
        </w:rPr>
        <w:t>(which will commence on 1 July 2014) and other relevant legislation.</w:t>
      </w:r>
    </w:p>
    <w:p w:rsidR="00536534" w:rsidRDefault="002311F0">
      <w:pPr>
        <w:pStyle w:val="ActHead9"/>
        <w:rPr>
          <w:b w:val="0"/>
          <w:sz w:val="24"/>
          <w:szCs w:val="24"/>
        </w:rPr>
      </w:pPr>
      <w:bookmarkStart w:id="1" w:name="_Toc386794892"/>
      <w:r>
        <w:rPr>
          <w:b w:val="0"/>
          <w:sz w:val="24"/>
          <w:szCs w:val="24"/>
        </w:rPr>
        <w:t>Customs Administration Regulations 2000</w:t>
      </w:r>
      <w:bookmarkEnd w:id="1"/>
    </w:p>
    <w:p w:rsidR="00536534" w:rsidRDefault="00536534">
      <w:pPr>
        <w:pStyle w:val="Normal-em"/>
        <w:rPr>
          <w:b/>
          <w:szCs w:val="24"/>
        </w:rPr>
      </w:pPr>
    </w:p>
    <w:p w:rsidR="00536534" w:rsidRDefault="002311F0">
      <w:pPr>
        <w:pStyle w:val="Normal-em"/>
        <w:rPr>
          <w:rFonts w:eastAsiaTheme="minorEastAsia"/>
          <w:szCs w:val="24"/>
        </w:rPr>
      </w:pPr>
      <w:r>
        <w:rPr>
          <w:b/>
          <w:szCs w:val="24"/>
        </w:rPr>
        <w:t>Item 1</w:t>
      </w:r>
      <w:r>
        <w:rPr>
          <w:rFonts w:eastAsiaTheme="minorEastAsia"/>
          <w:szCs w:val="24"/>
        </w:rPr>
        <w:t xml:space="preserve"> will remove an outdated reference to the Wine Australia Corporation and replace it with a reference to the Australian Grape and Wine Authority.</w:t>
      </w:r>
    </w:p>
    <w:p w:rsidR="00536534" w:rsidRDefault="00536534">
      <w:pPr>
        <w:pStyle w:val="Normal-em"/>
        <w:rPr>
          <w:rFonts w:eastAsiaTheme="minorEastAsia"/>
          <w:szCs w:val="24"/>
        </w:rPr>
      </w:pPr>
    </w:p>
    <w:p w:rsidR="00536534" w:rsidRDefault="002311F0">
      <w:pPr>
        <w:pStyle w:val="Normal-em"/>
        <w:rPr>
          <w:rFonts w:eastAsiaTheme="minorEastAsia"/>
          <w:i/>
          <w:szCs w:val="24"/>
        </w:rPr>
      </w:pPr>
      <w:r>
        <w:rPr>
          <w:i/>
          <w:szCs w:val="24"/>
        </w:rPr>
        <w:t>Privacy Regulation 2013</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 2</w:t>
      </w:r>
      <w:r>
        <w:rPr>
          <w:rFonts w:eastAsiaTheme="minorEastAsia"/>
          <w:szCs w:val="24"/>
        </w:rPr>
        <w:t xml:space="preserve"> will remove an outdated reference to the Wine Australia Corporation and replace it with a reference to the Australian Grape and Wine Authority.</w:t>
      </w:r>
    </w:p>
    <w:p w:rsidR="00536534" w:rsidRDefault="00536534">
      <w:pPr>
        <w:pStyle w:val="Normal-em"/>
        <w:rPr>
          <w:rFonts w:eastAsiaTheme="minorEastAsia"/>
          <w:szCs w:val="24"/>
        </w:rPr>
      </w:pPr>
    </w:p>
    <w:p w:rsidR="00536534" w:rsidRDefault="002311F0">
      <w:pPr>
        <w:pStyle w:val="Normal-em"/>
        <w:rPr>
          <w:rFonts w:eastAsiaTheme="minorEastAsia"/>
          <w:i/>
          <w:szCs w:val="24"/>
        </w:rPr>
      </w:pPr>
      <w:r>
        <w:rPr>
          <w:i/>
          <w:szCs w:val="24"/>
        </w:rPr>
        <w:t>Wine Australia Corporation Regulations 1981</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 3</w:t>
      </w:r>
      <w:r>
        <w:rPr>
          <w:rFonts w:asciiTheme="minorHAnsi" w:eastAsiaTheme="minorEastAsia" w:hAnsiTheme="minorHAnsi" w:cstheme="minorBidi"/>
          <w:szCs w:val="24"/>
        </w:rPr>
        <w:t xml:space="preserve"> </w:t>
      </w:r>
      <w:r>
        <w:rPr>
          <w:rFonts w:eastAsiaTheme="minorEastAsia"/>
          <w:szCs w:val="24"/>
        </w:rPr>
        <w:t>will remove an outdated reference to the Wine Australia Corporation and replace it with a reference to the Australian Grape and Wine Authority.</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 4</w:t>
      </w:r>
      <w:r>
        <w:rPr>
          <w:rFonts w:asciiTheme="minorHAnsi" w:eastAsiaTheme="minorEastAsia" w:hAnsiTheme="minorHAnsi" w:cstheme="minorBidi"/>
          <w:szCs w:val="24"/>
        </w:rPr>
        <w:t xml:space="preserve"> </w:t>
      </w:r>
      <w:r>
        <w:rPr>
          <w:rFonts w:eastAsiaTheme="minorEastAsia"/>
          <w:szCs w:val="24"/>
        </w:rPr>
        <w:t>will redefine an outdated definition in the Regulation.</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Items 5-7</w:t>
      </w:r>
      <w:r>
        <w:rPr>
          <w:rFonts w:asciiTheme="minorHAnsi" w:eastAsiaTheme="minorEastAsia" w:hAnsiTheme="minorHAnsi" w:cstheme="minorBidi"/>
          <w:szCs w:val="24"/>
        </w:rPr>
        <w:t xml:space="preserve"> </w:t>
      </w:r>
      <w:r>
        <w:rPr>
          <w:rFonts w:eastAsiaTheme="minorEastAsia"/>
          <w:szCs w:val="24"/>
        </w:rPr>
        <w:t>remove references to Corporation and replace them with references to Authority.</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 8</w:t>
      </w:r>
      <w:r>
        <w:t xml:space="preserve"> </w:t>
      </w:r>
      <w:r>
        <w:rPr>
          <w:rFonts w:eastAsiaTheme="minorEastAsia"/>
          <w:szCs w:val="24"/>
        </w:rPr>
        <w:t>clarifies a heading.</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Items 9-10</w:t>
      </w:r>
      <w:r>
        <w:rPr>
          <w:rFonts w:eastAsiaTheme="minorEastAsia"/>
          <w:szCs w:val="24"/>
        </w:rPr>
        <w:t xml:space="preserve"> remove references to Corporation and replace them with references to Authority.</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 11</w:t>
      </w:r>
      <w:r>
        <w:rPr>
          <w:rFonts w:asciiTheme="minorHAnsi" w:eastAsiaTheme="minorEastAsia" w:hAnsiTheme="minorHAnsi" w:cstheme="minorBidi"/>
          <w:szCs w:val="24"/>
        </w:rPr>
        <w:t xml:space="preserve"> </w:t>
      </w:r>
      <w:r>
        <w:rPr>
          <w:rFonts w:eastAsiaTheme="minorEastAsia"/>
          <w:szCs w:val="24"/>
        </w:rPr>
        <w:t>clarifies a heading.</w:t>
      </w:r>
    </w:p>
    <w:p w:rsidR="00536534" w:rsidRDefault="00536534">
      <w:pPr>
        <w:pStyle w:val="Normal-em"/>
        <w:rPr>
          <w:rFonts w:eastAsiaTheme="minorEastAsia"/>
          <w:szCs w:val="24"/>
        </w:rPr>
      </w:pPr>
    </w:p>
    <w:p w:rsidR="00536534" w:rsidRDefault="002311F0">
      <w:pPr>
        <w:pStyle w:val="Normal-em"/>
        <w:rPr>
          <w:rFonts w:eastAsiaTheme="minorEastAsia"/>
          <w:szCs w:val="24"/>
        </w:rPr>
      </w:pPr>
      <w:bookmarkStart w:id="2" w:name="_Toc386794896"/>
      <w:r>
        <w:rPr>
          <w:rFonts w:eastAsiaTheme="minorEastAsia"/>
          <w:b/>
          <w:szCs w:val="24"/>
        </w:rPr>
        <w:t>Items 12</w:t>
      </w:r>
      <w:bookmarkEnd w:id="2"/>
      <w:r>
        <w:rPr>
          <w:rFonts w:eastAsiaTheme="minorEastAsia"/>
          <w:b/>
          <w:szCs w:val="24"/>
        </w:rPr>
        <w:t>-13</w:t>
      </w:r>
      <w:r>
        <w:rPr>
          <w:rFonts w:eastAsiaTheme="minorEastAsia"/>
          <w:szCs w:val="24"/>
        </w:rPr>
        <w:t xml:space="preserve"> remove references to Corporation and replace them with references to Authority.</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 14</w:t>
      </w:r>
      <w:r>
        <w:rPr>
          <w:rFonts w:asciiTheme="minorHAnsi" w:eastAsiaTheme="minorEastAsia" w:hAnsiTheme="minorHAnsi" w:cstheme="minorBidi"/>
          <w:szCs w:val="24"/>
        </w:rPr>
        <w:t xml:space="preserve"> </w:t>
      </w:r>
      <w:r>
        <w:rPr>
          <w:rFonts w:eastAsiaTheme="minorEastAsia"/>
          <w:szCs w:val="24"/>
        </w:rPr>
        <w:t>replaces an incorrect use of “subsection” with “sub-regulation.”</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Items 15-16</w:t>
      </w:r>
      <w:r>
        <w:rPr>
          <w:rFonts w:eastAsiaTheme="minorEastAsia"/>
          <w:szCs w:val="24"/>
        </w:rPr>
        <w:t xml:space="preserve"> remove references to Corporation and replace them with references to Authority.</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 17</w:t>
      </w:r>
      <w:r>
        <w:t xml:space="preserve"> </w:t>
      </w:r>
      <w:r>
        <w:rPr>
          <w:rFonts w:eastAsiaTheme="minorEastAsia"/>
          <w:szCs w:val="24"/>
        </w:rPr>
        <w:t>removes a reference to Chairperson of the Corporation and replaces it with a reference to Chair of the Authority.</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 18</w:t>
      </w:r>
      <w:r>
        <w:rPr>
          <w:rFonts w:asciiTheme="minorHAnsi" w:eastAsiaTheme="minorEastAsia" w:hAnsiTheme="minorHAnsi" w:cstheme="minorBidi"/>
          <w:szCs w:val="24"/>
        </w:rPr>
        <w:t xml:space="preserve"> </w:t>
      </w:r>
      <w:r>
        <w:rPr>
          <w:rFonts w:eastAsiaTheme="minorEastAsia"/>
          <w:szCs w:val="24"/>
        </w:rPr>
        <w:t>removes references to Corporation and replaces them with references to Authority.</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 19</w:t>
      </w:r>
      <w:r>
        <w:rPr>
          <w:rFonts w:asciiTheme="minorHAnsi" w:eastAsiaTheme="minorEastAsia" w:hAnsiTheme="minorHAnsi" w:cstheme="minorBidi"/>
          <w:szCs w:val="24"/>
        </w:rPr>
        <w:t xml:space="preserve"> </w:t>
      </w:r>
      <w:r>
        <w:rPr>
          <w:rFonts w:eastAsiaTheme="minorEastAsia"/>
          <w:szCs w:val="24"/>
        </w:rPr>
        <w:t>removes a reference to Chairperson of the Corporation and replaces it with a reference to Chair of the Authority.</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 20</w:t>
      </w:r>
      <w:r>
        <w:rPr>
          <w:rFonts w:eastAsiaTheme="minorEastAsia"/>
          <w:szCs w:val="24"/>
        </w:rPr>
        <w:t xml:space="preserve"> removes references to Corporation and replaces them with references to Authority.</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 21</w:t>
      </w:r>
      <w:r>
        <w:rPr>
          <w:rFonts w:asciiTheme="minorHAnsi" w:eastAsiaTheme="minorEastAsia" w:hAnsiTheme="minorHAnsi" w:cstheme="minorBidi"/>
          <w:szCs w:val="24"/>
        </w:rPr>
        <w:t xml:space="preserve"> </w:t>
      </w:r>
      <w:r>
        <w:rPr>
          <w:rFonts w:eastAsiaTheme="minorEastAsia"/>
          <w:szCs w:val="24"/>
        </w:rPr>
        <w:t>removes a reference to Chairperson of the Corporation and replaces it with a reference to Chair of the Authority.</w:t>
      </w:r>
    </w:p>
    <w:p w:rsidR="00536534" w:rsidRDefault="00536534">
      <w:pPr>
        <w:pStyle w:val="Normal-em"/>
        <w:rPr>
          <w:rFonts w:eastAsiaTheme="minorEastAsia"/>
          <w:szCs w:val="24"/>
        </w:rPr>
      </w:pPr>
    </w:p>
    <w:p w:rsidR="00536534" w:rsidRDefault="002311F0">
      <w:pPr>
        <w:pStyle w:val="Normal-em"/>
        <w:rPr>
          <w:rFonts w:eastAsiaTheme="minorEastAsia"/>
          <w:szCs w:val="24"/>
        </w:rPr>
      </w:pPr>
      <w:r>
        <w:rPr>
          <w:rFonts w:eastAsiaTheme="minorEastAsia"/>
          <w:b/>
          <w:szCs w:val="24"/>
        </w:rPr>
        <w:t>Item 22</w:t>
      </w:r>
      <w:r>
        <w:rPr>
          <w:rFonts w:asciiTheme="minorHAnsi" w:eastAsiaTheme="minorEastAsia" w:hAnsiTheme="minorHAnsi" w:cstheme="minorBidi"/>
          <w:szCs w:val="24"/>
        </w:rPr>
        <w:t xml:space="preserve"> </w:t>
      </w:r>
      <w:r>
        <w:rPr>
          <w:rFonts w:eastAsiaTheme="minorEastAsia"/>
          <w:szCs w:val="24"/>
        </w:rPr>
        <w:t>removes references to Corporation and replaces them with references to Authority.</w:t>
      </w:r>
    </w:p>
    <w:p w:rsidR="00536534" w:rsidRDefault="002311F0">
      <w:pPr>
        <w:rPr>
          <w:rFonts w:ascii="Times New Roman" w:hAnsi="Times New Roman" w:cs="Times New Roman"/>
          <w:sz w:val="24"/>
        </w:rPr>
      </w:pPr>
      <w:r>
        <w:rPr>
          <w:rFonts w:ascii="Times New Roman" w:hAnsi="Times New Roman" w:cs="Times New Roman"/>
          <w:sz w:val="24"/>
        </w:rPr>
        <w:br w:type="page"/>
      </w:r>
    </w:p>
    <w:p w:rsidR="00536534" w:rsidRDefault="002311F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536534" w:rsidRDefault="002311F0">
      <w:pPr>
        <w:spacing w:before="120" w:after="120"/>
        <w:jc w:val="center"/>
        <w:rPr>
          <w:rFonts w:ascii="Times New Roman" w:hAnsi="Times New Roman"/>
          <w:sz w:val="24"/>
        </w:rPr>
      </w:pPr>
      <w:r>
        <w:rPr>
          <w:rFonts w:ascii="Times New Roman" w:hAnsi="Times New Roman"/>
          <w:i/>
          <w:sz w:val="24"/>
        </w:rPr>
        <w:t>Prepared in accordance with Part 3 of the Human Rights (Parliamentary Scrutiny) Act 2011</w:t>
      </w:r>
    </w:p>
    <w:p w:rsidR="00536534" w:rsidRDefault="00536534">
      <w:pPr>
        <w:spacing w:before="120" w:after="120"/>
        <w:jc w:val="center"/>
        <w:rPr>
          <w:rFonts w:ascii="Times New Roman" w:hAnsi="Times New Roman"/>
          <w:sz w:val="24"/>
        </w:rPr>
      </w:pPr>
    </w:p>
    <w:p w:rsidR="00536534" w:rsidRDefault="002311F0">
      <w:pPr>
        <w:jc w:val="center"/>
        <w:rPr>
          <w:rFonts w:ascii="Times New Roman" w:hAnsi="Times New Roman" w:cs="Times New Roman"/>
          <w:sz w:val="24"/>
        </w:rPr>
      </w:pPr>
      <w:r>
        <w:rPr>
          <w:rFonts w:ascii="Times New Roman" w:hAnsi="Times New Roman" w:cs="Times New Roman"/>
          <w:i/>
          <w:noProof/>
          <w:sz w:val="24"/>
        </w:rPr>
        <w:t>Wine Australia Corporation Amendment (Wine Labelling) Regulation 2014</w:t>
      </w:r>
    </w:p>
    <w:sdt>
      <w:sdtPr>
        <w:rPr>
          <w:rFonts w:ascii="Times New Roman" w:hAnsi="Times New Roman"/>
          <w:sz w:val="24"/>
        </w:rPr>
        <w:id w:val="962787082"/>
        <w:lock w:val="contentLocked"/>
        <w:placeholder>
          <w:docPart w:val="1D65BE04DD9C4B2BB1D0C645FFFDFC3A"/>
        </w:placeholder>
        <w:group/>
      </w:sdtPr>
      <w:sdtEndPr>
        <w:rPr>
          <w:b/>
        </w:rPr>
      </w:sdtEndPr>
      <w:sdtContent>
        <w:p w:rsidR="00536534" w:rsidRDefault="00536534">
          <w:pPr>
            <w:jc w:val="center"/>
            <w:rPr>
              <w:rFonts w:ascii="Times New Roman" w:hAnsi="Times New Roman"/>
              <w:sz w:val="24"/>
            </w:rPr>
          </w:pPr>
        </w:p>
        <w:p w:rsidR="00536534" w:rsidRDefault="002311F0">
          <w:pPr>
            <w:spacing w:before="120" w:after="120"/>
            <w:jc w:val="center"/>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rsidR="00536534" w:rsidRDefault="00536534">
          <w:pPr>
            <w:rPr>
              <w:rFonts w:ascii="Times New Roman" w:hAnsi="Times New Roman"/>
              <w:sz w:val="24"/>
            </w:rPr>
          </w:pPr>
        </w:p>
        <w:p w:rsidR="00536534" w:rsidRDefault="002311F0">
          <w:pPr>
            <w:spacing w:after="120"/>
            <w:jc w:val="both"/>
            <w:rPr>
              <w:rFonts w:ascii="Times New Roman" w:hAnsi="Times New Roman"/>
              <w:b/>
              <w:sz w:val="24"/>
            </w:rPr>
          </w:pPr>
          <w:r>
            <w:rPr>
              <w:rFonts w:ascii="Times New Roman" w:hAnsi="Times New Roman"/>
              <w:b/>
              <w:sz w:val="24"/>
            </w:rPr>
            <w:t>Overview of the Legislative Instrument</w:t>
          </w:r>
        </w:p>
      </w:sdtContent>
    </w:sdt>
    <w:p w:rsidR="00536534" w:rsidRDefault="002311F0">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purpose of Schedule 1 to the Regulation is to make the </w:t>
      </w:r>
      <w:r>
        <w:rPr>
          <w:rFonts w:ascii="Times New Roman" w:hAnsi="Times New Roman" w:cs="Times New Roman"/>
          <w:i/>
          <w:sz w:val="24"/>
        </w:rPr>
        <w:t>Wine Australia Corporation Regulations 1981</w:t>
      </w:r>
      <w:r>
        <w:rPr>
          <w:rFonts w:ascii="Times New Roman" w:hAnsi="Times New Roman" w:cs="Times New Roman"/>
          <w:sz w:val="24"/>
        </w:rPr>
        <w:t xml:space="preserve"> consistent with the </w:t>
      </w:r>
      <w:r>
        <w:rPr>
          <w:rFonts w:ascii="Times New Roman" w:hAnsi="Times New Roman" w:cs="Times New Roman"/>
          <w:i/>
          <w:sz w:val="24"/>
        </w:rPr>
        <w:t>Protocol to the 2007 World Wine Trade Group Agreement on Requirements for Wine Labelling Concerning Alcohol Tolerance, Vintage, Variety, and Wine Regions</w:t>
      </w:r>
      <w:r>
        <w:rPr>
          <w:rFonts w:ascii="Times New Roman" w:hAnsi="Times New Roman" w:cs="Times New Roman"/>
          <w:sz w:val="24"/>
        </w:rPr>
        <w:t>, which Australia signed on 30 April 2013. The Protocol provides “Where wine is labelled with a single wine region recognised by the exporting Party to be a single delimited grape growing area, the importing Party may require that at least 85 per cent of the wine is obtained from grapes grown in the named wine region.” The Regulation will implement the provision.</w:t>
      </w:r>
    </w:p>
    <w:p w:rsidR="00536534" w:rsidRDefault="00536534">
      <w:pPr>
        <w:tabs>
          <w:tab w:val="right" w:pos="9072"/>
        </w:tabs>
        <w:rPr>
          <w:rFonts w:ascii="Times New Roman" w:hAnsi="Times New Roman" w:cs="Times New Roman"/>
          <w:sz w:val="24"/>
        </w:rPr>
      </w:pPr>
    </w:p>
    <w:p w:rsidR="00536534" w:rsidRDefault="002311F0">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purpose of Schedule 2 to the Regulation is to update the </w:t>
      </w:r>
      <w:r>
        <w:rPr>
          <w:rFonts w:ascii="Times New Roman" w:hAnsi="Times New Roman" w:cs="Times New Roman"/>
          <w:i/>
          <w:sz w:val="24"/>
        </w:rPr>
        <w:t xml:space="preserve">Customs Administration Regulations 2000 </w:t>
      </w:r>
      <w:r>
        <w:rPr>
          <w:rFonts w:ascii="Times New Roman" w:hAnsi="Times New Roman" w:cs="Times New Roman"/>
          <w:sz w:val="24"/>
        </w:rPr>
        <w:t>and</w:t>
      </w:r>
      <w:r>
        <w:rPr>
          <w:rFonts w:ascii="Times New Roman" w:hAnsi="Times New Roman" w:cs="Times New Roman"/>
          <w:i/>
          <w:sz w:val="24"/>
        </w:rPr>
        <w:t xml:space="preserve"> Privacy Regulation 2013</w:t>
      </w:r>
      <w:r>
        <w:rPr>
          <w:rFonts w:ascii="Times New Roman" w:hAnsi="Times New Roman" w:cs="Times New Roman"/>
          <w:sz w:val="24"/>
        </w:rPr>
        <w:t xml:space="preserve">, and update and rename the </w:t>
      </w:r>
      <w:r>
        <w:rPr>
          <w:rFonts w:ascii="Times New Roman" w:hAnsi="Times New Roman" w:cs="Times New Roman"/>
          <w:i/>
          <w:sz w:val="24"/>
        </w:rPr>
        <w:t>Wine Australia Corporation Regulations 1981</w:t>
      </w:r>
      <w:r>
        <w:rPr>
          <w:rFonts w:ascii="Times New Roman" w:hAnsi="Times New Roman" w:cs="Times New Roman"/>
          <w:sz w:val="24"/>
        </w:rPr>
        <w:t xml:space="preserve"> to ensure they are consistent with the </w:t>
      </w:r>
      <w:r>
        <w:rPr>
          <w:rFonts w:ascii="Times New Roman" w:hAnsi="Times New Roman" w:cs="Times New Roman"/>
          <w:i/>
          <w:sz w:val="24"/>
        </w:rPr>
        <w:t xml:space="preserve">Australian Grape and Wine Authority Act 2013 </w:t>
      </w:r>
      <w:r>
        <w:rPr>
          <w:rFonts w:ascii="Times New Roman" w:hAnsi="Times New Roman" w:cs="Times New Roman"/>
          <w:sz w:val="24"/>
        </w:rPr>
        <w:t>(which will commence on 1 July 2014) and other relevant legislation.</w:t>
      </w:r>
    </w:p>
    <w:sdt>
      <w:sdtPr>
        <w:rPr>
          <w:rFonts w:ascii="Times New Roman" w:hAnsi="Times New Roman"/>
          <w:sz w:val="24"/>
        </w:rPr>
        <w:id w:val="962787081"/>
        <w:lock w:val="contentLocked"/>
        <w:placeholder>
          <w:docPart w:val="1D65BE04DD9C4B2BB1D0C645FFFDFC3A"/>
        </w:placeholder>
        <w:group/>
      </w:sdtPr>
      <w:sdtEndPr/>
      <w:sdtContent>
        <w:p w:rsidR="00536534" w:rsidRDefault="00536534">
          <w:pPr>
            <w:rPr>
              <w:rFonts w:ascii="Times New Roman" w:hAnsi="Times New Roman"/>
              <w:sz w:val="24"/>
            </w:rPr>
          </w:pPr>
        </w:p>
        <w:p w:rsidR="00536534" w:rsidRDefault="002311F0">
          <w:pPr>
            <w:spacing w:after="120"/>
            <w:jc w:val="both"/>
            <w:rPr>
              <w:rFonts w:ascii="Times New Roman" w:hAnsi="Times New Roman"/>
              <w:b/>
              <w:sz w:val="24"/>
            </w:rPr>
          </w:pPr>
          <w:r>
            <w:rPr>
              <w:rFonts w:ascii="Times New Roman" w:hAnsi="Times New Roman"/>
              <w:b/>
              <w:sz w:val="24"/>
            </w:rPr>
            <w:t>Human rights implications</w:t>
          </w:r>
        </w:p>
        <w:p w:rsidR="00536534" w:rsidRDefault="002311F0">
          <w:pPr>
            <w:rPr>
              <w:rFonts w:ascii="Times New Roman" w:hAnsi="Times New Roman"/>
              <w:sz w:val="24"/>
            </w:rPr>
          </w:pPr>
          <w:r>
            <w:rPr>
              <w:rFonts w:ascii="Times New Roman" w:hAnsi="Times New Roman"/>
              <w:sz w:val="24"/>
            </w:rPr>
            <w:t>This Legislative Instrument does not engage any of the applicable rights or freedoms.</w:t>
          </w:r>
        </w:p>
        <w:p w:rsidR="00536534" w:rsidRDefault="00536534">
          <w:pPr>
            <w:rPr>
              <w:rFonts w:ascii="Times New Roman" w:hAnsi="Times New Roman"/>
              <w:sz w:val="24"/>
            </w:rPr>
          </w:pPr>
        </w:p>
        <w:p w:rsidR="00536534" w:rsidRDefault="002311F0">
          <w:pPr>
            <w:spacing w:after="120"/>
            <w:jc w:val="both"/>
            <w:rPr>
              <w:rFonts w:ascii="Times New Roman" w:hAnsi="Times New Roman"/>
              <w:b/>
              <w:sz w:val="24"/>
            </w:rPr>
          </w:pPr>
          <w:r>
            <w:rPr>
              <w:rFonts w:ascii="Times New Roman" w:hAnsi="Times New Roman"/>
              <w:b/>
              <w:sz w:val="24"/>
            </w:rPr>
            <w:t>Conclusion</w:t>
          </w:r>
        </w:p>
        <w:p w:rsidR="00536534" w:rsidRDefault="002311F0">
          <w:pPr>
            <w:rPr>
              <w:rFonts w:ascii="Times New Roman" w:hAnsi="Times New Roman"/>
              <w:sz w:val="24"/>
            </w:rPr>
          </w:pPr>
          <w:r>
            <w:rPr>
              <w:rFonts w:ascii="Times New Roman" w:hAnsi="Times New Roman"/>
              <w:sz w:val="24"/>
            </w:rPr>
            <w:t>This Legislative Instrument is compatible with human rights as it does not raise any human rights issues.</w:t>
          </w:r>
        </w:p>
        <w:p w:rsidR="00536534" w:rsidRDefault="00536534">
          <w:pPr>
            <w:rPr>
              <w:rFonts w:ascii="Times New Roman" w:hAnsi="Times New Roman"/>
              <w:sz w:val="24"/>
            </w:rPr>
          </w:pPr>
        </w:p>
        <w:p w:rsidR="00536534" w:rsidRDefault="004C2150">
          <w:pPr>
            <w:rPr>
              <w:rFonts w:ascii="Times New Roman" w:hAnsi="Times New Roman"/>
              <w:sz w:val="24"/>
            </w:rPr>
          </w:pPr>
        </w:p>
      </w:sdtContent>
    </w:sdt>
    <w:p w:rsidR="00536534" w:rsidRDefault="002311F0">
      <w:pPr>
        <w:jc w:val="center"/>
        <w:rPr>
          <w:rFonts w:ascii="Times New Roman" w:hAnsi="Times New Roman"/>
          <w:b/>
          <w:bCs/>
          <w:sz w:val="24"/>
        </w:rPr>
      </w:pPr>
      <w:r>
        <w:rPr>
          <w:rFonts w:ascii="Times New Roman" w:hAnsi="Times New Roman"/>
          <w:b/>
          <w:bCs/>
          <w:sz w:val="24"/>
        </w:rPr>
        <w:t>The Hon. Barnaby Joyce MP</w:t>
      </w:r>
    </w:p>
    <w:p w:rsidR="00536534" w:rsidRDefault="002311F0">
      <w:pPr>
        <w:jc w:val="center"/>
        <w:rPr>
          <w:rFonts w:ascii="Times New Roman" w:hAnsi="Times New Roman"/>
          <w:b/>
          <w:bCs/>
          <w:sz w:val="24"/>
        </w:rPr>
      </w:pPr>
      <w:r>
        <w:rPr>
          <w:rFonts w:ascii="Times New Roman" w:hAnsi="Times New Roman"/>
          <w:b/>
          <w:bCs/>
          <w:sz w:val="24"/>
        </w:rPr>
        <w:t>Minister for Agriculture</w:t>
      </w:r>
    </w:p>
    <w:sectPr w:rsidR="00536534" w:rsidSect="00536534">
      <w:footerReference w:type="default" r:id="rId9"/>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F0" w:rsidRDefault="002311F0">
      <w:r>
        <w:separator/>
      </w:r>
    </w:p>
  </w:endnote>
  <w:endnote w:type="continuationSeparator" w:id="0">
    <w:p w:rsidR="002311F0" w:rsidRDefault="0023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68214"/>
      <w:docPartObj>
        <w:docPartGallery w:val="Page Numbers (Bottom of Page)"/>
        <w:docPartUnique/>
      </w:docPartObj>
    </w:sdtPr>
    <w:sdtEndPr>
      <w:rPr>
        <w:rFonts w:ascii="Times New Roman" w:hAnsi="Times New Roman" w:cs="Times New Roman"/>
        <w:sz w:val="22"/>
        <w:szCs w:val="22"/>
      </w:rPr>
    </w:sdtEndPr>
    <w:sdtContent>
      <w:p w:rsidR="00536534" w:rsidRDefault="00DA46F1">
        <w:pPr>
          <w:pStyle w:val="Footer"/>
          <w:jc w:val="center"/>
          <w:rPr>
            <w:rFonts w:ascii="Times New Roman" w:hAnsi="Times New Roman" w:cs="Times New Roman"/>
            <w:sz w:val="22"/>
            <w:szCs w:val="22"/>
          </w:rPr>
        </w:pPr>
        <w:r>
          <w:rPr>
            <w:rFonts w:ascii="Times New Roman" w:hAnsi="Times New Roman" w:cs="Times New Roman"/>
            <w:sz w:val="22"/>
            <w:szCs w:val="22"/>
          </w:rPr>
          <w:fldChar w:fldCharType="begin"/>
        </w:r>
        <w:r w:rsidR="002311F0">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4C2150">
          <w:rPr>
            <w:rFonts w:ascii="Times New Roman" w:hAnsi="Times New Roman" w:cs="Times New Roman"/>
            <w:noProof/>
            <w:sz w:val="22"/>
            <w:szCs w:val="22"/>
          </w:rPr>
          <w:t>7</w:t>
        </w:r>
        <w:r>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F0" w:rsidRDefault="002311F0">
      <w:r>
        <w:separator/>
      </w:r>
    </w:p>
  </w:footnote>
  <w:footnote w:type="continuationSeparator" w:id="0">
    <w:p w:rsidR="002311F0" w:rsidRDefault="00231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C466E5"/>
    <w:multiLevelType w:val="hybridMultilevel"/>
    <w:tmpl w:val="5BC868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9">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1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10"/>
  </w:num>
  <w:num w:numId="4">
    <w:abstractNumId w:val="3"/>
  </w:num>
  <w:num w:numId="5">
    <w:abstractNumId w:val="1"/>
  </w:num>
  <w:num w:numId="6">
    <w:abstractNumId w:val="7"/>
  </w:num>
  <w:num w:numId="7">
    <w:abstractNumId w:val="2"/>
  </w:num>
  <w:num w:numId="8">
    <w:abstractNumId w:val="4"/>
  </w:num>
  <w:num w:numId="9">
    <w:abstractNumId w:val="6"/>
  </w:num>
  <w:num w:numId="10">
    <w:abstractNumId w:val="12"/>
  </w:num>
  <w:num w:numId="11">
    <w:abstractNumId w:val="13"/>
  </w:num>
  <w:num w:numId="12">
    <w:abstractNumId w:val="9"/>
  </w:num>
  <w:num w:numId="13">
    <w:abstractNumId w:val="9"/>
    <w:lvlOverride w:ilvl="0">
      <w:startOverride w:val="1"/>
    </w:lvlOverride>
  </w:num>
  <w:num w:numId="14">
    <w:abstractNumId w:val="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AU" w:vendorID="64" w:dllVersion="131078" w:nlCheck="1" w:checkStyle="1"/>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34"/>
    <w:rsid w:val="002311F0"/>
    <w:rsid w:val="00335ADC"/>
    <w:rsid w:val="004C2150"/>
    <w:rsid w:val="00536534"/>
    <w:rsid w:val="00BD1076"/>
    <w:rsid w:val="00DA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3653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6534"/>
    <w:pPr>
      <w:tabs>
        <w:tab w:val="center" w:pos="4320"/>
        <w:tab w:val="right" w:pos="8640"/>
      </w:tabs>
    </w:pPr>
    <w:rPr>
      <w:sz w:val="19"/>
    </w:rPr>
  </w:style>
  <w:style w:type="character" w:customStyle="1" w:styleId="HeaderChar">
    <w:name w:val="Header Char"/>
    <w:basedOn w:val="DefaultParagraphFont"/>
    <w:link w:val="Header"/>
    <w:rsid w:val="00536534"/>
    <w:rPr>
      <w:sz w:val="19"/>
    </w:rPr>
  </w:style>
  <w:style w:type="paragraph" w:styleId="Footer">
    <w:name w:val="footer"/>
    <w:basedOn w:val="Normal"/>
    <w:link w:val="FooterChar"/>
    <w:uiPriority w:val="99"/>
    <w:rsid w:val="00536534"/>
    <w:pPr>
      <w:tabs>
        <w:tab w:val="center" w:pos="4320"/>
        <w:tab w:val="right" w:pos="8640"/>
      </w:tabs>
    </w:pPr>
    <w:rPr>
      <w:sz w:val="19"/>
    </w:rPr>
  </w:style>
  <w:style w:type="character" w:customStyle="1" w:styleId="FooterChar">
    <w:name w:val="Footer Char"/>
    <w:basedOn w:val="DefaultParagraphFont"/>
    <w:link w:val="Footer"/>
    <w:uiPriority w:val="99"/>
    <w:rsid w:val="00536534"/>
    <w:rPr>
      <w:sz w:val="19"/>
    </w:rPr>
  </w:style>
  <w:style w:type="paragraph" w:styleId="BalloonText">
    <w:name w:val="Balloon Text"/>
    <w:basedOn w:val="Normal"/>
    <w:link w:val="BalloonTextChar"/>
    <w:uiPriority w:val="99"/>
    <w:semiHidden/>
    <w:unhideWhenUsed/>
    <w:rsid w:val="00536534"/>
    <w:rPr>
      <w:rFonts w:ascii="Lucida Grande" w:hAnsi="Lucida Grande"/>
      <w:sz w:val="18"/>
      <w:szCs w:val="18"/>
    </w:rPr>
  </w:style>
  <w:style w:type="character" w:customStyle="1" w:styleId="BalloonTextChar">
    <w:name w:val="Balloon Text Char"/>
    <w:basedOn w:val="DefaultParagraphFont"/>
    <w:link w:val="BalloonText"/>
    <w:uiPriority w:val="99"/>
    <w:semiHidden/>
    <w:rsid w:val="00536534"/>
    <w:rPr>
      <w:rFonts w:ascii="Lucida Grande" w:hAnsi="Lucida Grande"/>
      <w:sz w:val="18"/>
      <w:szCs w:val="18"/>
    </w:rPr>
  </w:style>
  <w:style w:type="character" w:styleId="CommentReference">
    <w:name w:val="annotation reference"/>
    <w:basedOn w:val="DefaultParagraphFont"/>
    <w:uiPriority w:val="99"/>
    <w:semiHidden/>
    <w:unhideWhenUsed/>
    <w:rsid w:val="00536534"/>
    <w:rPr>
      <w:sz w:val="16"/>
      <w:szCs w:val="16"/>
    </w:rPr>
  </w:style>
  <w:style w:type="paragraph" w:styleId="CommentText">
    <w:name w:val="annotation text"/>
    <w:basedOn w:val="Normal"/>
    <w:link w:val="CommentTextChar"/>
    <w:uiPriority w:val="99"/>
    <w:semiHidden/>
    <w:unhideWhenUsed/>
    <w:rsid w:val="00536534"/>
    <w:rPr>
      <w:sz w:val="20"/>
      <w:szCs w:val="20"/>
    </w:rPr>
  </w:style>
  <w:style w:type="character" w:customStyle="1" w:styleId="CommentTextChar">
    <w:name w:val="Comment Text Char"/>
    <w:basedOn w:val="DefaultParagraphFont"/>
    <w:link w:val="CommentText"/>
    <w:uiPriority w:val="99"/>
    <w:semiHidden/>
    <w:rsid w:val="00536534"/>
    <w:rPr>
      <w:sz w:val="20"/>
      <w:szCs w:val="20"/>
    </w:rPr>
  </w:style>
  <w:style w:type="paragraph" w:styleId="CommentSubject">
    <w:name w:val="annotation subject"/>
    <w:basedOn w:val="CommentText"/>
    <w:next w:val="CommentText"/>
    <w:link w:val="CommentSubjectChar"/>
    <w:uiPriority w:val="99"/>
    <w:semiHidden/>
    <w:unhideWhenUsed/>
    <w:rsid w:val="00536534"/>
    <w:rPr>
      <w:b/>
      <w:bCs/>
    </w:rPr>
  </w:style>
  <w:style w:type="character" w:customStyle="1" w:styleId="CommentSubjectChar">
    <w:name w:val="Comment Subject Char"/>
    <w:basedOn w:val="CommentTextChar"/>
    <w:link w:val="CommentSubject"/>
    <w:uiPriority w:val="99"/>
    <w:semiHidden/>
    <w:rsid w:val="00536534"/>
    <w:rPr>
      <w:b/>
      <w:bCs/>
      <w:sz w:val="20"/>
      <w:szCs w:val="20"/>
    </w:rPr>
  </w:style>
  <w:style w:type="paragraph" w:styleId="Revision">
    <w:name w:val="Revision"/>
    <w:hidden/>
    <w:uiPriority w:val="99"/>
    <w:semiHidden/>
    <w:rsid w:val="00536534"/>
  </w:style>
  <w:style w:type="table" w:styleId="TableGrid">
    <w:name w:val="Table Grid"/>
    <w:basedOn w:val="TableNormal"/>
    <w:uiPriority w:val="59"/>
    <w:rsid w:val="00536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536534"/>
    <w:rPr>
      <w:rFonts w:asciiTheme="majorHAnsi" w:hAnsiTheme="majorHAnsi"/>
      <w:sz w:val="16"/>
    </w:rPr>
  </w:style>
  <w:style w:type="paragraph" w:customStyle="1" w:styleId="Normal-em">
    <w:name w:val="Normal-em"/>
    <w:basedOn w:val="Normal"/>
    <w:rsid w:val="00536534"/>
    <w:rPr>
      <w:rFonts w:ascii="Times New Roman" w:eastAsia="Times New Roman" w:hAnsi="Times New Roman" w:cs="Times New Roman"/>
      <w:color w:val="000000"/>
      <w:sz w:val="24"/>
      <w:szCs w:val="20"/>
    </w:rPr>
  </w:style>
  <w:style w:type="paragraph" w:customStyle="1" w:styleId="HB-Table-dotpoint">
    <w:name w:val="HB - Table - dot point"/>
    <w:basedOn w:val="Normal"/>
    <w:rsid w:val="00536534"/>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536534"/>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536534"/>
    <w:pPr>
      <w:ind w:left="720"/>
      <w:contextualSpacing/>
    </w:pPr>
  </w:style>
  <w:style w:type="character" w:styleId="Hyperlink">
    <w:name w:val="Hyperlink"/>
    <w:basedOn w:val="DefaultParagraphFont"/>
    <w:uiPriority w:val="99"/>
    <w:unhideWhenUsed/>
    <w:rsid w:val="00536534"/>
    <w:rPr>
      <w:color w:val="0000FF" w:themeColor="hyperlink"/>
      <w:u w:val="single"/>
    </w:rPr>
  </w:style>
  <w:style w:type="paragraph" w:customStyle="1" w:styleId="HB-Paragraph-alphpoint">
    <w:name w:val="HB - Paragraph - alph point"/>
    <w:basedOn w:val="Normal"/>
    <w:rsid w:val="00536534"/>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536534"/>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536534"/>
    <w:rPr>
      <w:rFonts w:ascii="Arial Rounded MT Bold" w:eastAsia="Times New Roman" w:hAnsi="Arial Rounded MT Bold" w:cs="Times New Roman"/>
      <w:b/>
      <w:szCs w:val="20"/>
    </w:rPr>
  </w:style>
  <w:style w:type="character" w:customStyle="1" w:styleId="st1">
    <w:name w:val="st1"/>
    <w:basedOn w:val="DefaultParagraphFont"/>
    <w:rsid w:val="00536534"/>
  </w:style>
  <w:style w:type="paragraph" w:customStyle="1" w:styleId="ActHead5">
    <w:name w:val="ActHead 5"/>
    <w:aliases w:val="s"/>
    <w:basedOn w:val="Normal"/>
    <w:next w:val="subsection"/>
    <w:qFormat/>
    <w:rsid w:val="00536534"/>
    <w:pPr>
      <w:keepNext/>
      <w:keepLines/>
      <w:spacing w:before="280"/>
      <w:ind w:left="1134" w:hanging="1134"/>
      <w:outlineLvl w:val="4"/>
    </w:pPr>
    <w:rPr>
      <w:rFonts w:ascii="Times New Roman" w:eastAsia="Times New Roman" w:hAnsi="Times New Roman" w:cs="Times New Roman"/>
      <w:b/>
      <w:kern w:val="28"/>
      <w:sz w:val="24"/>
      <w:szCs w:val="20"/>
      <w:lang w:eastAsia="en-AU"/>
    </w:rPr>
  </w:style>
  <w:style w:type="paragraph" w:customStyle="1" w:styleId="ActHead9">
    <w:name w:val="ActHead 9"/>
    <w:aliases w:val="aat"/>
    <w:basedOn w:val="Normal"/>
    <w:next w:val="ItemHead"/>
    <w:qFormat/>
    <w:rsid w:val="00536534"/>
    <w:pPr>
      <w:keepNext/>
      <w:keepLines/>
      <w:spacing w:before="280"/>
      <w:ind w:left="1134" w:hanging="1134"/>
      <w:outlineLvl w:val="8"/>
    </w:pPr>
    <w:rPr>
      <w:rFonts w:ascii="Times New Roman" w:eastAsia="Times New Roman" w:hAnsi="Times New Roman" w:cs="Times New Roman"/>
      <w:b/>
      <w:i/>
      <w:kern w:val="28"/>
      <w:sz w:val="28"/>
      <w:szCs w:val="20"/>
      <w:lang w:eastAsia="en-AU"/>
    </w:rPr>
  </w:style>
  <w:style w:type="paragraph" w:customStyle="1" w:styleId="BoxText">
    <w:name w:val="BoxText"/>
    <w:aliases w:val="bt"/>
    <w:basedOn w:val="Normal"/>
    <w:qFormat/>
    <w:rsid w:val="00536534"/>
    <w:pPr>
      <w:pBdr>
        <w:top w:val="single" w:sz="6" w:space="5" w:color="auto"/>
        <w:left w:val="single" w:sz="6" w:space="5" w:color="auto"/>
        <w:bottom w:val="single" w:sz="6" w:space="5" w:color="auto"/>
        <w:right w:val="single" w:sz="6" w:space="5" w:color="auto"/>
      </w:pBdr>
      <w:spacing w:before="240"/>
      <w:ind w:left="1134"/>
    </w:pPr>
    <w:rPr>
      <w:rFonts w:ascii="Times New Roman" w:eastAsia="Times New Roman" w:hAnsi="Times New Roman" w:cs="Times New Roman"/>
      <w:szCs w:val="20"/>
      <w:lang w:eastAsia="en-AU"/>
    </w:rPr>
  </w:style>
  <w:style w:type="character" w:customStyle="1" w:styleId="CharSectno">
    <w:name w:val="CharSectno"/>
    <w:basedOn w:val="DefaultParagraphFont"/>
    <w:qFormat/>
    <w:rsid w:val="00536534"/>
  </w:style>
  <w:style w:type="paragraph" w:customStyle="1" w:styleId="subsection">
    <w:name w:val="subsection"/>
    <w:aliases w:val="ss"/>
    <w:basedOn w:val="Normal"/>
    <w:link w:val="subsectionChar"/>
    <w:rsid w:val="00536534"/>
    <w:pPr>
      <w:tabs>
        <w:tab w:val="right" w:pos="1021"/>
      </w:tabs>
      <w:spacing w:before="180"/>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536534"/>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536534"/>
    <w:pPr>
      <w:keepNext/>
      <w:keepLines/>
      <w:spacing w:before="220"/>
      <w:ind w:left="709" w:hanging="709"/>
    </w:pPr>
    <w:rPr>
      <w:rFonts w:ascii="Arial" w:eastAsia="Times New Roman" w:hAnsi="Arial" w:cs="Times New Roman"/>
      <w:b/>
      <w:kern w:val="28"/>
      <w:sz w:val="24"/>
      <w:szCs w:val="20"/>
      <w:lang w:eastAsia="en-AU"/>
    </w:rPr>
  </w:style>
  <w:style w:type="paragraph" w:customStyle="1" w:styleId="SubsectionHead">
    <w:name w:val="SubsectionHead"/>
    <w:aliases w:val="ssh"/>
    <w:basedOn w:val="Normal"/>
    <w:next w:val="subsection"/>
    <w:rsid w:val="00536534"/>
    <w:pPr>
      <w:keepNext/>
      <w:keepLines/>
      <w:spacing w:before="240"/>
      <w:ind w:left="1134"/>
    </w:pPr>
    <w:rPr>
      <w:rFonts w:ascii="Times New Roman" w:eastAsia="Times New Roman" w:hAnsi="Times New Roman" w:cs="Times New Roman"/>
      <w:i/>
      <w:szCs w:val="20"/>
      <w:lang w:eastAsia="en-AU"/>
    </w:rPr>
  </w:style>
  <w:style w:type="paragraph" w:customStyle="1" w:styleId="notetext">
    <w:name w:val="note(text)"/>
    <w:aliases w:val="n"/>
    <w:basedOn w:val="Normal"/>
    <w:rsid w:val="00536534"/>
    <w:pPr>
      <w:spacing w:before="122"/>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link w:val="subsection"/>
    <w:locked/>
    <w:rsid w:val="00536534"/>
    <w:rPr>
      <w:rFonts w:ascii="Times New Roman" w:eastAsia="Times New Roman" w:hAnsi="Times New Roman" w:cs="Times New Roman"/>
      <w:sz w:val="22"/>
      <w:szCs w:val="20"/>
      <w:lang w:eastAsia="en-AU"/>
    </w:rPr>
  </w:style>
  <w:style w:type="character" w:customStyle="1" w:styleId="CharAmSchNo">
    <w:name w:val="CharAmSchNo"/>
    <w:basedOn w:val="DefaultParagraphFont"/>
    <w:qFormat/>
    <w:rsid w:val="00536534"/>
  </w:style>
  <w:style w:type="paragraph" w:customStyle="1" w:styleId="ActHead6">
    <w:name w:val="ActHead 6"/>
    <w:aliases w:val="as"/>
    <w:basedOn w:val="Normal"/>
    <w:next w:val="Normal"/>
    <w:qFormat/>
    <w:rsid w:val="00536534"/>
    <w:pPr>
      <w:keepNext/>
      <w:keepLines/>
      <w:ind w:left="1134" w:hanging="1134"/>
      <w:outlineLvl w:val="5"/>
    </w:pPr>
    <w:rPr>
      <w:rFonts w:ascii="Arial" w:eastAsia="Times New Roman" w:hAnsi="Arial" w:cs="Times New Roman"/>
      <w:b/>
      <w:kern w:val="28"/>
      <w:sz w:val="32"/>
      <w:szCs w:val="20"/>
      <w:lang w:eastAsia="en-AU"/>
    </w:rPr>
  </w:style>
  <w:style w:type="character" w:customStyle="1" w:styleId="CharAmSchText">
    <w:name w:val="CharAmSchText"/>
    <w:basedOn w:val="DefaultParagraphFont"/>
    <w:qFormat/>
    <w:rsid w:val="00536534"/>
  </w:style>
  <w:style w:type="character" w:customStyle="1" w:styleId="CharAmPartNo">
    <w:name w:val="CharAmPartNo"/>
    <w:basedOn w:val="DefaultParagraphFont"/>
    <w:qFormat/>
    <w:rsid w:val="00536534"/>
  </w:style>
  <w:style w:type="character" w:customStyle="1" w:styleId="CharAmPartText">
    <w:name w:val="CharAmPartText"/>
    <w:basedOn w:val="DefaultParagraphFont"/>
    <w:qFormat/>
    <w:rsid w:val="00536534"/>
  </w:style>
  <w:style w:type="paragraph" w:customStyle="1" w:styleId="Definition">
    <w:name w:val="Definition"/>
    <w:aliases w:val="dd"/>
    <w:basedOn w:val="Normal"/>
    <w:rsid w:val="00536534"/>
    <w:pPr>
      <w:spacing w:before="180"/>
      <w:ind w:left="1134"/>
    </w:pPr>
    <w:rPr>
      <w:rFonts w:ascii="Times New Roman" w:eastAsia="Times New Roman" w:hAnsi="Times New Roman" w:cs="Times New Roman"/>
      <w:szCs w:val="20"/>
      <w:lang w:eastAsia="en-AU"/>
    </w:rPr>
  </w:style>
  <w:style w:type="paragraph" w:customStyle="1" w:styleId="Tabletext">
    <w:name w:val="Tabletext"/>
    <w:aliases w:val="tt"/>
    <w:basedOn w:val="Normal"/>
    <w:rsid w:val="00536534"/>
    <w:pPr>
      <w:spacing w:before="60" w:line="240" w:lineRule="atLeast"/>
    </w:pPr>
    <w:rPr>
      <w:rFonts w:ascii="Times New Roman" w:eastAsia="Times New Roman" w:hAnsi="Times New Roman"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3653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6534"/>
    <w:pPr>
      <w:tabs>
        <w:tab w:val="center" w:pos="4320"/>
        <w:tab w:val="right" w:pos="8640"/>
      </w:tabs>
    </w:pPr>
    <w:rPr>
      <w:sz w:val="19"/>
    </w:rPr>
  </w:style>
  <w:style w:type="character" w:customStyle="1" w:styleId="HeaderChar">
    <w:name w:val="Header Char"/>
    <w:basedOn w:val="DefaultParagraphFont"/>
    <w:link w:val="Header"/>
    <w:rsid w:val="00536534"/>
    <w:rPr>
      <w:sz w:val="19"/>
    </w:rPr>
  </w:style>
  <w:style w:type="paragraph" w:styleId="Footer">
    <w:name w:val="footer"/>
    <w:basedOn w:val="Normal"/>
    <w:link w:val="FooterChar"/>
    <w:uiPriority w:val="99"/>
    <w:rsid w:val="00536534"/>
    <w:pPr>
      <w:tabs>
        <w:tab w:val="center" w:pos="4320"/>
        <w:tab w:val="right" w:pos="8640"/>
      </w:tabs>
    </w:pPr>
    <w:rPr>
      <w:sz w:val="19"/>
    </w:rPr>
  </w:style>
  <w:style w:type="character" w:customStyle="1" w:styleId="FooterChar">
    <w:name w:val="Footer Char"/>
    <w:basedOn w:val="DefaultParagraphFont"/>
    <w:link w:val="Footer"/>
    <w:uiPriority w:val="99"/>
    <w:rsid w:val="00536534"/>
    <w:rPr>
      <w:sz w:val="19"/>
    </w:rPr>
  </w:style>
  <w:style w:type="paragraph" w:styleId="BalloonText">
    <w:name w:val="Balloon Text"/>
    <w:basedOn w:val="Normal"/>
    <w:link w:val="BalloonTextChar"/>
    <w:uiPriority w:val="99"/>
    <w:semiHidden/>
    <w:unhideWhenUsed/>
    <w:rsid w:val="00536534"/>
    <w:rPr>
      <w:rFonts w:ascii="Lucida Grande" w:hAnsi="Lucida Grande"/>
      <w:sz w:val="18"/>
      <w:szCs w:val="18"/>
    </w:rPr>
  </w:style>
  <w:style w:type="character" w:customStyle="1" w:styleId="BalloonTextChar">
    <w:name w:val="Balloon Text Char"/>
    <w:basedOn w:val="DefaultParagraphFont"/>
    <w:link w:val="BalloonText"/>
    <w:uiPriority w:val="99"/>
    <w:semiHidden/>
    <w:rsid w:val="00536534"/>
    <w:rPr>
      <w:rFonts w:ascii="Lucida Grande" w:hAnsi="Lucida Grande"/>
      <w:sz w:val="18"/>
      <w:szCs w:val="18"/>
    </w:rPr>
  </w:style>
  <w:style w:type="character" w:styleId="CommentReference">
    <w:name w:val="annotation reference"/>
    <w:basedOn w:val="DefaultParagraphFont"/>
    <w:uiPriority w:val="99"/>
    <w:semiHidden/>
    <w:unhideWhenUsed/>
    <w:rsid w:val="00536534"/>
    <w:rPr>
      <w:sz w:val="16"/>
      <w:szCs w:val="16"/>
    </w:rPr>
  </w:style>
  <w:style w:type="paragraph" w:styleId="CommentText">
    <w:name w:val="annotation text"/>
    <w:basedOn w:val="Normal"/>
    <w:link w:val="CommentTextChar"/>
    <w:uiPriority w:val="99"/>
    <w:semiHidden/>
    <w:unhideWhenUsed/>
    <w:rsid w:val="00536534"/>
    <w:rPr>
      <w:sz w:val="20"/>
      <w:szCs w:val="20"/>
    </w:rPr>
  </w:style>
  <w:style w:type="character" w:customStyle="1" w:styleId="CommentTextChar">
    <w:name w:val="Comment Text Char"/>
    <w:basedOn w:val="DefaultParagraphFont"/>
    <w:link w:val="CommentText"/>
    <w:uiPriority w:val="99"/>
    <w:semiHidden/>
    <w:rsid w:val="00536534"/>
    <w:rPr>
      <w:sz w:val="20"/>
      <w:szCs w:val="20"/>
    </w:rPr>
  </w:style>
  <w:style w:type="paragraph" w:styleId="CommentSubject">
    <w:name w:val="annotation subject"/>
    <w:basedOn w:val="CommentText"/>
    <w:next w:val="CommentText"/>
    <w:link w:val="CommentSubjectChar"/>
    <w:uiPriority w:val="99"/>
    <w:semiHidden/>
    <w:unhideWhenUsed/>
    <w:rsid w:val="00536534"/>
    <w:rPr>
      <w:b/>
      <w:bCs/>
    </w:rPr>
  </w:style>
  <w:style w:type="character" w:customStyle="1" w:styleId="CommentSubjectChar">
    <w:name w:val="Comment Subject Char"/>
    <w:basedOn w:val="CommentTextChar"/>
    <w:link w:val="CommentSubject"/>
    <w:uiPriority w:val="99"/>
    <w:semiHidden/>
    <w:rsid w:val="00536534"/>
    <w:rPr>
      <w:b/>
      <w:bCs/>
      <w:sz w:val="20"/>
      <w:szCs w:val="20"/>
    </w:rPr>
  </w:style>
  <w:style w:type="paragraph" w:styleId="Revision">
    <w:name w:val="Revision"/>
    <w:hidden/>
    <w:uiPriority w:val="99"/>
    <w:semiHidden/>
    <w:rsid w:val="00536534"/>
  </w:style>
  <w:style w:type="table" w:styleId="TableGrid">
    <w:name w:val="Table Grid"/>
    <w:basedOn w:val="TableNormal"/>
    <w:uiPriority w:val="59"/>
    <w:rsid w:val="00536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536534"/>
    <w:rPr>
      <w:rFonts w:asciiTheme="majorHAnsi" w:hAnsiTheme="majorHAnsi"/>
      <w:sz w:val="16"/>
    </w:rPr>
  </w:style>
  <w:style w:type="paragraph" w:customStyle="1" w:styleId="Normal-em">
    <w:name w:val="Normal-em"/>
    <w:basedOn w:val="Normal"/>
    <w:rsid w:val="00536534"/>
    <w:rPr>
      <w:rFonts w:ascii="Times New Roman" w:eastAsia="Times New Roman" w:hAnsi="Times New Roman" w:cs="Times New Roman"/>
      <w:color w:val="000000"/>
      <w:sz w:val="24"/>
      <w:szCs w:val="20"/>
    </w:rPr>
  </w:style>
  <w:style w:type="paragraph" w:customStyle="1" w:styleId="HB-Table-dotpoint">
    <w:name w:val="HB - Table - dot point"/>
    <w:basedOn w:val="Normal"/>
    <w:rsid w:val="00536534"/>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536534"/>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536534"/>
    <w:pPr>
      <w:ind w:left="720"/>
      <w:contextualSpacing/>
    </w:pPr>
  </w:style>
  <w:style w:type="character" w:styleId="Hyperlink">
    <w:name w:val="Hyperlink"/>
    <w:basedOn w:val="DefaultParagraphFont"/>
    <w:uiPriority w:val="99"/>
    <w:unhideWhenUsed/>
    <w:rsid w:val="00536534"/>
    <w:rPr>
      <w:color w:val="0000FF" w:themeColor="hyperlink"/>
      <w:u w:val="single"/>
    </w:rPr>
  </w:style>
  <w:style w:type="paragraph" w:customStyle="1" w:styleId="HB-Paragraph-alphpoint">
    <w:name w:val="HB - Paragraph - alph point"/>
    <w:basedOn w:val="Normal"/>
    <w:rsid w:val="00536534"/>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536534"/>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536534"/>
    <w:rPr>
      <w:rFonts w:ascii="Arial Rounded MT Bold" w:eastAsia="Times New Roman" w:hAnsi="Arial Rounded MT Bold" w:cs="Times New Roman"/>
      <w:b/>
      <w:szCs w:val="20"/>
    </w:rPr>
  </w:style>
  <w:style w:type="character" w:customStyle="1" w:styleId="st1">
    <w:name w:val="st1"/>
    <w:basedOn w:val="DefaultParagraphFont"/>
    <w:rsid w:val="00536534"/>
  </w:style>
  <w:style w:type="paragraph" w:customStyle="1" w:styleId="ActHead5">
    <w:name w:val="ActHead 5"/>
    <w:aliases w:val="s"/>
    <w:basedOn w:val="Normal"/>
    <w:next w:val="subsection"/>
    <w:qFormat/>
    <w:rsid w:val="00536534"/>
    <w:pPr>
      <w:keepNext/>
      <w:keepLines/>
      <w:spacing w:before="280"/>
      <w:ind w:left="1134" w:hanging="1134"/>
      <w:outlineLvl w:val="4"/>
    </w:pPr>
    <w:rPr>
      <w:rFonts w:ascii="Times New Roman" w:eastAsia="Times New Roman" w:hAnsi="Times New Roman" w:cs="Times New Roman"/>
      <w:b/>
      <w:kern w:val="28"/>
      <w:sz w:val="24"/>
      <w:szCs w:val="20"/>
      <w:lang w:eastAsia="en-AU"/>
    </w:rPr>
  </w:style>
  <w:style w:type="paragraph" w:customStyle="1" w:styleId="ActHead9">
    <w:name w:val="ActHead 9"/>
    <w:aliases w:val="aat"/>
    <w:basedOn w:val="Normal"/>
    <w:next w:val="ItemHead"/>
    <w:qFormat/>
    <w:rsid w:val="00536534"/>
    <w:pPr>
      <w:keepNext/>
      <w:keepLines/>
      <w:spacing w:before="280"/>
      <w:ind w:left="1134" w:hanging="1134"/>
      <w:outlineLvl w:val="8"/>
    </w:pPr>
    <w:rPr>
      <w:rFonts w:ascii="Times New Roman" w:eastAsia="Times New Roman" w:hAnsi="Times New Roman" w:cs="Times New Roman"/>
      <w:b/>
      <w:i/>
      <w:kern w:val="28"/>
      <w:sz w:val="28"/>
      <w:szCs w:val="20"/>
      <w:lang w:eastAsia="en-AU"/>
    </w:rPr>
  </w:style>
  <w:style w:type="paragraph" w:customStyle="1" w:styleId="BoxText">
    <w:name w:val="BoxText"/>
    <w:aliases w:val="bt"/>
    <w:basedOn w:val="Normal"/>
    <w:qFormat/>
    <w:rsid w:val="00536534"/>
    <w:pPr>
      <w:pBdr>
        <w:top w:val="single" w:sz="6" w:space="5" w:color="auto"/>
        <w:left w:val="single" w:sz="6" w:space="5" w:color="auto"/>
        <w:bottom w:val="single" w:sz="6" w:space="5" w:color="auto"/>
        <w:right w:val="single" w:sz="6" w:space="5" w:color="auto"/>
      </w:pBdr>
      <w:spacing w:before="240"/>
      <w:ind w:left="1134"/>
    </w:pPr>
    <w:rPr>
      <w:rFonts w:ascii="Times New Roman" w:eastAsia="Times New Roman" w:hAnsi="Times New Roman" w:cs="Times New Roman"/>
      <w:szCs w:val="20"/>
      <w:lang w:eastAsia="en-AU"/>
    </w:rPr>
  </w:style>
  <w:style w:type="character" w:customStyle="1" w:styleId="CharSectno">
    <w:name w:val="CharSectno"/>
    <w:basedOn w:val="DefaultParagraphFont"/>
    <w:qFormat/>
    <w:rsid w:val="00536534"/>
  </w:style>
  <w:style w:type="paragraph" w:customStyle="1" w:styleId="subsection">
    <w:name w:val="subsection"/>
    <w:aliases w:val="ss"/>
    <w:basedOn w:val="Normal"/>
    <w:link w:val="subsectionChar"/>
    <w:rsid w:val="00536534"/>
    <w:pPr>
      <w:tabs>
        <w:tab w:val="right" w:pos="1021"/>
      </w:tabs>
      <w:spacing w:before="180"/>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ItemHead"/>
    <w:rsid w:val="00536534"/>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536534"/>
    <w:pPr>
      <w:keepNext/>
      <w:keepLines/>
      <w:spacing w:before="220"/>
      <w:ind w:left="709" w:hanging="709"/>
    </w:pPr>
    <w:rPr>
      <w:rFonts w:ascii="Arial" w:eastAsia="Times New Roman" w:hAnsi="Arial" w:cs="Times New Roman"/>
      <w:b/>
      <w:kern w:val="28"/>
      <w:sz w:val="24"/>
      <w:szCs w:val="20"/>
      <w:lang w:eastAsia="en-AU"/>
    </w:rPr>
  </w:style>
  <w:style w:type="paragraph" w:customStyle="1" w:styleId="SubsectionHead">
    <w:name w:val="SubsectionHead"/>
    <w:aliases w:val="ssh"/>
    <w:basedOn w:val="Normal"/>
    <w:next w:val="subsection"/>
    <w:rsid w:val="00536534"/>
    <w:pPr>
      <w:keepNext/>
      <w:keepLines/>
      <w:spacing w:before="240"/>
      <w:ind w:left="1134"/>
    </w:pPr>
    <w:rPr>
      <w:rFonts w:ascii="Times New Roman" w:eastAsia="Times New Roman" w:hAnsi="Times New Roman" w:cs="Times New Roman"/>
      <w:i/>
      <w:szCs w:val="20"/>
      <w:lang w:eastAsia="en-AU"/>
    </w:rPr>
  </w:style>
  <w:style w:type="paragraph" w:customStyle="1" w:styleId="notetext">
    <w:name w:val="note(text)"/>
    <w:aliases w:val="n"/>
    <w:basedOn w:val="Normal"/>
    <w:rsid w:val="00536534"/>
    <w:pPr>
      <w:spacing w:before="122"/>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link w:val="subsection"/>
    <w:locked/>
    <w:rsid w:val="00536534"/>
    <w:rPr>
      <w:rFonts w:ascii="Times New Roman" w:eastAsia="Times New Roman" w:hAnsi="Times New Roman" w:cs="Times New Roman"/>
      <w:sz w:val="22"/>
      <w:szCs w:val="20"/>
      <w:lang w:eastAsia="en-AU"/>
    </w:rPr>
  </w:style>
  <w:style w:type="character" w:customStyle="1" w:styleId="CharAmSchNo">
    <w:name w:val="CharAmSchNo"/>
    <w:basedOn w:val="DefaultParagraphFont"/>
    <w:qFormat/>
    <w:rsid w:val="00536534"/>
  </w:style>
  <w:style w:type="paragraph" w:customStyle="1" w:styleId="ActHead6">
    <w:name w:val="ActHead 6"/>
    <w:aliases w:val="as"/>
    <w:basedOn w:val="Normal"/>
    <w:next w:val="Normal"/>
    <w:qFormat/>
    <w:rsid w:val="00536534"/>
    <w:pPr>
      <w:keepNext/>
      <w:keepLines/>
      <w:ind w:left="1134" w:hanging="1134"/>
      <w:outlineLvl w:val="5"/>
    </w:pPr>
    <w:rPr>
      <w:rFonts w:ascii="Arial" w:eastAsia="Times New Roman" w:hAnsi="Arial" w:cs="Times New Roman"/>
      <w:b/>
      <w:kern w:val="28"/>
      <w:sz w:val="32"/>
      <w:szCs w:val="20"/>
      <w:lang w:eastAsia="en-AU"/>
    </w:rPr>
  </w:style>
  <w:style w:type="character" w:customStyle="1" w:styleId="CharAmSchText">
    <w:name w:val="CharAmSchText"/>
    <w:basedOn w:val="DefaultParagraphFont"/>
    <w:qFormat/>
    <w:rsid w:val="00536534"/>
  </w:style>
  <w:style w:type="character" w:customStyle="1" w:styleId="CharAmPartNo">
    <w:name w:val="CharAmPartNo"/>
    <w:basedOn w:val="DefaultParagraphFont"/>
    <w:qFormat/>
    <w:rsid w:val="00536534"/>
  </w:style>
  <w:style w:type="character" w:customStyle="1" w:styleId="CharAmPartText">
    <w:name w:val="CharAmPartText"/>
    <w:basedOn w:val="DefaultParagraphFont"/>
    <w:qFormat/>
    <w:rsid w:val="00536534"/>
  </w:style>
  <w:style w:type="paragraph" w:customStyle="1" w:styleId="Definition">
    <w:name w:val="Definition"/>
    <w:aliases w:val="dd"/>
    <w:basedOn w:val="Normal"/>
    <w:rsid w:val="00536534"/>
    <w:pPr>
      <w:spacing w:before="180"/>
      <w:ind w:left="1134"/>
    </w:pPr>
    <w:rPr>
      <w:rFonts w:ascii="Times New Roman" w:eastAsia="Times New Roman" w:hAnsi="Times New Roman" w:cs="Times New Roman"/>
      <w:szCs w:val="20"/>
      <w:lang w:eastAsia="en-AU"/>
    </w:rPr>
  </w:style>
  <w:style w:type="paragraph" w:customStyle="1" w:styleId="Tabletext">
    <w:name w:val="Tabletext"/>
    <w:aliases w:val="tt"/>
    <w:basedOn w:val="Normal"/>
    <w:rsid w:val="00536534"/>
    <w:pPr>
      <w:spacing w:before="60" w:line="240" w:lineRule="atLeast"/>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7950">
      <w:bodyDiv w:val="1"/>
      <w:marLeft w:val="0"/>
      <w:marRight w:val="0"/>
      <w:marTop w:val="0"/>
      <w:marBottom w:val="0"/>
      <w:divBdr>
        <w:top w:val="none" w:sz="0" w:space="0" w:color="auto"/>
        <w:left w:val="none" w:sz="0" w:space="0" w:color="auto"/>
        <w:bottom w:val="none" w:sz="0" w:space="0" w:color="auto"/>
        <w:right w:val="none" w:sz="0" w:space="0" w:color="auto"/>
      </w:divBdr>
    </w:div>
    <w:div w:id="926423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20Gary\AppData\Local\Microsoft\Windows\Temporary%20Internet%20Files\Content.Outlook\B3VFVZI5\Template%20-%20explanatory%20stat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65BE04DD9C4B2BB1D0C645FFFDFC3A"/>
        <w:category>
          <w:name w:val="General"/>
          <w:gallery w:val="placeholder"/>
        </w:category>
        <w:types>
          <w:type w:val="bbPlcHdr"/>
        </w:types>
        <w:behaviors>
          <w:behavior w:val="content"/>
        </w:behaviors>
        <w:guid w:val="{5A1B190D-E95F-461E-9681-6A61574712DB}"/>
      </w:docPartPr>
      <w:docPartBody>
        <w:p w:rsidR="00737247" w:rsidRDefault="00DD425A">
          <w:pPr>
            <w:pStyle w:val="1D65BE04DD9C4B2BB1D0C645FFFDFC3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altName w:val="Tahom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37247"/>
    <w:rsid w:val="00737247"/>
    <w:rsid w:val="00BF4CCA"/>
    <w:rsid w:val="00DD4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247"/>
    <w:rPr>
      <w:color w:val="808080"/>
    </w:rPr>
  </w:style>
  <w:style w:type="paragraph" w:customStyle="1" w:styleId="1D65BE04DD9C4B2BB1D0C645FFFDFC3A">
    <w:name w:val="1D65BE04DD9C4B2BB1D0C645FFFDFC3A"/>
    <w:rsid w:val="00737247"/>
  </w:style>
  <w:style w:type="paragraph" w:customStyle="1" w:styleId="8DB70EC3E2884B2BAD4B534B34A5DB47">
    <w:name w:val="8DB70EC3E2884B2BAD4B534B34A5DB47"/>
    <w:rsid w:val="007372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7C94-4B29-4EF9-AEFD-FF809779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explanatory statement.dotx</Template>
  <TotalTime>1</TotalTime>
  <Pages>7</Pages>
  <Words>1491</Words>
  <Characters>7951</Characters>
  <Application>Microsoft Office Word</Application>
  <DocSecurity>0</DocSecurity>
  <Lines>662</Lines>
  <Paragraphs>472</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Fan</dc:creator>
  <cp:lastModifiedBy>Gibson, Vikki</cp:lastModifiedBy>
  <cp:revision>2</cp:revision>
  <cp:lastPrinted>2014-05-06T00:20:00Z</cp:lastPrinted>
  <dcterms:created xsi:type="dcterms:W3CDTF">2014-06-11T06:02:00Z</dcterms:created>
  <dcterms:modified xsi:type="dcterms:W3CDTF">2014-06-11T06:02:00Z</dcterms:modified>
</cp:coreProperties>
</file>