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251" w:rsidRPr="00414613" w:rsidRDefault="00C56251" w:rsidP="00C56251">
      <w:pPr>
        <w:pStyle w:val="Heading1"/>
        <w:ind w:left="284"/>
        <w:rPr>
          <w:szCs w:val="24"/>
        </w:rPr>
      </w:pPr>
      <w:r w:rsidRPr="00414613">
        <w:rPr>
          <w:szCs w:val="24"/>
        </w:rPr>
        <w:t xml:space="preserve">EXPLANATORY </w:t>
      </w:r>
      <w:r w:rsidR="0080144C">
        <w:rPr>
          <w:szCs w:val="24"/>
        </w:rPr>
        <w:t>STATEMENT</w:t>
      </w:r>
    </w:p>
    <w:p w:rsidR="00C56251" w:rsidRPr="00414613" w:rsidRDefault="00C56251" w:rsidP="00D05CAA">
      <w:pPr>
        <w:ind w:left="284"/>
        <w:jc w:val="center"/>
        <w:rPr>
          <w:szCs w:val="24"/>
        </w:rPr>
      </w:pPr>
    </w:p>
    <w:p w:rsidR="00C56251" w:rsidRDefault="0080144C" w:rsidP="00D05CAA">
      <w:pPr>
        <w:jc w:val="center"/>
        <w:rPr>
          <w:szCs w:val="24"/>
          <w:u w:val="single"/>
        </w:rPr>
      </w:pPr>
      <w:r>
        <w:rPr>
          <w:szCs w:val="24"/>
          <w:u w:val="single"/>
        </w:rPr>
        <w:t xml:space="preserve">Select Legislative Instrument </w:t>
      </w:r>
      <w:r w:rsidR="00C72011">
        <w:rPr>
          <w:szCs w:val="24"/>
          <w:u w:val="single"/>
        </w:rPr>
        <w:t xml:space="preserve">No. </w:t>
      </w:r>
      <w:bookmarkStart w:id="0" w:name="_GoBack"/>
      <w:bookmarkEnd w:id="0"/>
      <w:r w:rsidR="00C72011">
        <w:rPr>
          <w:szCs w:val="24"/>
          <w:u w:val="single"/>
        </w:rPr>
        <w:t>80, 2014</w:t>
      </w:r>
    </w:p>
    <w:p w:rsidR="0080144C" w:rsidRPr="00D05CAA" w:rsidRDefault="0080144C" w:rsidP="00D05CAA">
      <w:pPr>
        <w:jc w:val="center"/>
        <w:rPr>
          <w:szCs w:val="24"/>
          <w:u w:val="single"/>
        </w:rPr>
      </w:pPr>
    </w:p>
    <w:p w:rsidR="00C56251" w:rsidRPr="00414613" w:rsidRDefault="00C56251" w:rsidP="00D05CAA">
      <w:pPr>
        <w:widowControl w:val="0"/>
        <w:tabs>
          <w:tab w:val="left" w:pos="1418"/>
        </w:tabs>
        <w:jc w:val="center"/>
        <w:rPr>
          <w:i/>
          <w:szCs w:val="24"/>
        </w:rPr>
      </w:pPr>
      <w:r w:rsidRPr="00414613">
        <w:rPr>
          <w:i/>
          <w:szCs w:val="24"/>
        </w:rPr>
        <w:t>Health Insurance Act 1973</w:t>
      </w:r>
    </w:p>
    <w:p w:rsidR="00C56251" w:rsidRPr="00414613" w:rsidRDefault="00C56251" w:rsidP="00D05CAA">
      <w:pPr>
        <w:tabs>
          <w:tab w:val="left" w:pos="1418"/>
        </w:tabs>
        <w:ind w:left="851"/>
        <w:jc w:val="center"/>
        <w:rPr>
          <w:i/>
          <w:szCs w:val="24"/>
        </w:rPr>
      </w:pPr>
    </w:p>
    <w:p w:rsidR="00C56251" w:rsidRPr="00414613" w:rsidRDefault="00C56251" w:rsidP="00D05CAA">
      <w:pPr>
        <w:tabs>
          <w:tab w:val="left" w:pos="1418"/>
        </w:tabs>
        <w:ind w:left="851"/>
        <w:jc w:val="center"/>
        <w:rPr>
          <w:i/>
          <w:szCs w:val="24"/>
        </w:rPr>
      </w:pPr>
      <w:r w:rsidRPr="00414613">
        <w:rPr>
          <w:i/>
          <w:szCs w:val="24"/>
        </w:rPr>
        <w:t>Health Insurance (General Medical Services Table) Regulation 201</w:t>
      </w:r>
      <w:r w:rsidR="0085475F">
        <w:rPr>
          <w:i/>
          <w:szCs w:val="24"/>
        </w:rPr>
        <w:t>4</w:t>
      </w:r>
    </w:p>
    <w:p w:rsidR="005F04DC" w:rsidRPr="00A96CFE" w:rsidRDefault="005F04DC" w:rsidP="005F04DC">
      <w:pPr>
        <w:rPr>
          <w:szCs w:val="24"/>
          <w:u w:val="single"/>
        </w:rPr>
      </w:pPr>
    </w:p>
    <w:p w:rsidR="005F04DC" w:rsidRPr="00A96CFE" w:rsidRDefault="005F04DC" w:rsidP="005F04DC">
      <w:pPr>
        <w:rPr>
          <w:szCs w:val="24"/>
        </w:rPr>
      </w:pPr>
      <w:r w:rsidRPr="00A96CFE">
        <w:rPr>
          <w:szCs w:val="24"/>
        </w:rPr>
        <w:t xml:space="preserve">Subsection 133(1) of the </w:t>
      </w:r>
      <w:r w:rsidRPr="00A96CFE">
        <w:rPr>
          <w:i/>
          <w:szCs w:val="24"/>
        </w:rPr>
        <w:t xml:space="preserve">Health Insurance Act 1973 </w:t>
      </w:r>
      <w:r w:rsidRPr="00A96CFE">
        <w:rPr>
          <w:szCs w:val="24"/>
        </w:rPr>
        <w:t xml:space="preserve">(the Act) provides that the </w:t>
      </w:r>
    </w:p>
    <w:p w:rsidR="005F04DC" w:rsidRPr="00A96CFE" w:rsidRDefault="005F04DC" w:rsidP="005F04DC">
      <w:pPr>
        <w:rPr>
          <w:szCs w:val="24"/>
        </w:rPr>
      </w:pPr>
      <w:r w:rsidRPr="00A96CFE">
        <w:rPr>
          <w:szCs w:val="24"/>
        </w:rPr>
        <w:t xml:space="preserve">Governor-General may make regulations, not inconsistent with the Act, prescribing all matters required or permitted by the Act to be prescribed, or necessary or convenient to be prescribed for carrying out or giving effect to the Act.  </w:t>
      </w:r>
    </w:p>
    <w:p w:rsidR="005F04DC" w:rsidRPr="00A96CFE" w:rsidRDefault="005F04DC" w:rsidP="005F04DC">
      <w:pPr>
        <w:rPr>
          <w:sz w:val="16"/>
          <w:szCs w:val="16"/>
        </w:rPr>
      </w:pPr>
    </w:p>
    <w:p w:rsidR="005F04DC" w:rsidRPr="00A96CFE" w:rsidRDefault="005F04DC" w:rsidP="005F04DC">
      <w:pPr>
        <w:rPr>
          <w:szCs w:val="24"/>
        </w:rPr>
      </w:pPr>
      <w:r w:rsidRPr="00A96CFE">
        <w:rPr>
          <w:szCs w:val="24"/>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rsidR="005F04DC" w:rsidRPr="00A96CFE" w:rsidRDefault="005F04DC" w:rsidP="005F04DC">
      <w:pPr>
        <w:rPr>
          <w:sz w:val="16"/>
          <w:szCs w:val="16"/>
        </w:rPr>
      </w:pPr>
    </w:p>
    <w:p w:rsidR="005F04DC" w:rsidRPr="00A96CFE" w:rsidRDefault="005F04DC" w:rsidP="005F04DC">
      <w:pPr>
        <w:rPr>
          <w:szCs w:val="24"/>
        </w:rPr>
      </w:pPr>
      <w:r w:rsidRPr="00A96CFE">
        <w:rPr>
          <w:szCs w:val="24"/>
        </w:rPr>
        <w:t xml:space="preserve">Subsection 4(1) of the Act provides that the regulations may prescribe a table of medical services (other than diagnostic imaging services and pathology services) which sets out items of medical services, the fees applicable for each item, and rules for interpreting the table.  The </w:t>
      </w:r>
      <w:r w:rsidRPr="00A96CFE">
        <w:rPr>
          <w:i/>
          <w:szCs w:val="24"/>
        </w:rPr>
        <w:t>Health Insurance (General Medical Services Table) Regulations 201</w:t>
      </w:r>
      <w:r w:rsidR="00FB1780">
        <w:rPr>
          <w:i/>
          <w:szCs w:val="24"/>
        </w:rPr>
        <w:t>3</w:t>
      </w:r>
      <w:r w:rsidRPr="00A96CFE">
        <w:rPr>
          <w:szCs w:val="24"/>
        </w:rPr>
        <w:t xml:space="preserve"> (the 201</w:t>
      </w:r>
      <w:r w:rsidR="00FB1780">
        <w:rPr>
          <w:szCs w:val="24"/>
        </w:rPr>
        <w:t>3</w:t>
      </w:r>
      <w:r w:rsidRPr="00A96CFE">
        <w:rPr>
          <w:szCs w:val="24"/>
        </w:rPr>
        <w:t xml:space="preserve"> Regulations) currently prescribe such a table.</w:t>
      </w:r>
    </w:p>
    <w:p w:rsidR="005F04DC" w:rsidRPr="00A96CFE" w:rsidRDefault="005F04DC" w:rsidP="005F04DC">
      <w:pPr>
        <w:rPr>
          <w:sz w:val="16"/>
          <w:szCs w:val="16"/>
        </w:rPr>
      </w:pPr>
    </w:p>
    <w:p w:rsidR="00FB1780" w:rsidRDefault="005F04DC" w:rsidP="005F04DC">
      <w:pPr>
        <w:rPr>
          <w:szCs w:val="24"/>
        </w:rPr>
      </w:pPr>
      <w:r w:rsidRPr="00A96CFE">
        <w:rPr>
          <w:szCs w:val="24"/>
        </w:rPr>
        <w:t>Subsection 4(2) of the Act provides t</w:t>
      </w:r>
      <w:r>
        <w:rPr>
          <w:szCs w:val="24"/>
        </w:rPr>
        <w:t>hat unless repealed earlier, thi</w:t>
      </w:r>
      <w:r w:rsidRPr="00A96CFE">
        <w:rPr>
          <w:szCs w:val="24"/>
        </w:rPr>
        <w:t xml:space="preserve">s </w:t>
      </w:r>
      <w:r>
        <w:rPr>
          <w:szCs w:val="24"/>
        </w:rPr>
        <w:t>regulation</w:t>
      </w:r>
      <w:r w:rsidRPr="00A96CFE">
        <w:rPr>
          <w:szCs w:val="24"/>
        </w:rPr>
        <w:t xml:space="preserve"> will cease to be in force and will be taken to have been repealed on the day following the 15</w:t>
      </w:r>
      <w:r w:rsidRPr="00A96CFE">
        <w:rPr>
          <w:szCs w:val="24"/>
          <w:vertAlign w:val="superscript"/>
        </w:rPr>
        <w:t>th</w:t>
      </w:r>
      <w:r w:rsidRPr="00A96CFE">
        <w:rPr>
          <w:szCs w:val="24"/>
        </w:rPr>
        <w:t xml:space="preserve"> sitting day of the House of Representatives after the end of a 12 month period which begins on the day </w:t>
      </w:r>
      <w:r w:rsidRPr="00A03E9E">
        <w:rPr>
          <w:szCs w:val="24"/>
        </w:rPr>
        <w:t>when the regulation</w:t>
      </w:r>
      <w:r>
        <w:rPr>
          <w:szCs w:val="24"/>
        </w:rPr>
        <w:t xml:space="preserve"> is</w:t>
      </w:r>
      <w:r w:rsidRPr="00A03E9E">
        <w:rPr>
          <w:szCs w:val="24"/>
        </w:rPr>
        <w:t xml:space="preserve"> registered on the Federal Register of Legislative Instruments.  </w:t>
      </w:r>
      <w:r w:rsidR="00FB1780">
        <w:rPr>
          <w:szCs w:val="24"/>
        </w:rPr>
        <w:t xml:space="preserve">The 2013 Regulations </w:t>
      </w:r>
      <w:r w:rsidR="00FB1780" w:rsidRPr="00A03E9E">
        <w:rPr>
          <w:szCs w:val="24"/>
        </w:rPr>
        <w:t>were registered on the Federal Register of Legislative Instruments on</w:t>
      </w:r>
      <w:r w:rsidR="00FB1780">
        <w:rPr>
          <w:szCs w:val="24"/>
        </w:rPr>
        <w:t xml:space="preserve"> </w:t>
      </w:r>
      <w:r w:rsidR="004D7821">
        <w:rPr>
          <w:szCs w:val="24"/>
        </w:rPr>
        <w:t>26 </w:t>
      </w:r>
      <w:r w:rsidR="00FB1780" w:rsidRPr="00A00F2B">
        <w:rPr>
          <w:szCs w:val="24"/>
        </w:rPr>
        <w:t>November 2013</w:t>
      </w:r>
      <w:r w:rsidR="00FB1780">
        <w:rPr>
          <w:szCs w:val="24"/>
        </w:rPr>
        <w:t xml:space="preserve"> and commenced on</w:t>
      </w:r>
      <w:r w:rsidR="00A04DC3">
        <w:rPr>
          <w:szCs w:val="24"/>
        </w:rPr>
        <w:t xml:space="preserve"> 2 December 2013. </w:t>
      </w:r>
      <w:r w:rsidR="00FB1780">
        <w:rPr>
          <w:szCs w:val="24"/>
        </w:rPr>
        <w:t xml:space="preserve"> </w:t>
      </w:r>
    </w:p>
    <w:p w:rsidR="005F04DC" w:rsidRPr="00A96CFE" w:rsidRDefault="005F04DC" w:rsidP="005F04DC">
      <w:pPr>
        <w:rPr>
          <w:sz w:val="16"/>
          <w:szCs w:val="16"/>
        </w:rPr>
      </w:pPr>
    </w:p>
    <w:p w:rsidR="005F04DC" w:rsidRDefault="00D40645" w:rsidP="005F04DC">
      <w:pPr>
        <w:autoSpaceDE w:val="0"/>
        <w:autoSpaceDN w:val="0"/>
        <w:adjustRightInd w:val="0"/>
        <w:rPr>
          <w:szCs w:val="24"/>
        </w:rPr>
      </w:pPr>
      <w:r>
        <w:rPr>
          <w:szCs w:val="24"/>
        </w:rPr>
        <w:t xml:space="preserve">This </w:t>
      </w:r>
      <w:r w:rsidR="005F04DC">
        <w:rPr>
          <w:szCs w:val="24"/>
        </w:rPr>
        <w:t>regulation</w:t>
      </w:r>
      <w:r w:rsidR="005F04DC" w:rsidRPr="00A96CFE">
        <w:rPr>
          <w:szCs w:val="24"/>
        </w:rPr>
        <w:t xml:space="preserve"> </w:t>
      </w:r>
      <w:r w:rsidR="005F04DC" w:rsidRPr="00A96CFE">
        <w:rPr>
          <w:snapToGrid w:val="0"/>
          <w:szCs w:val="24"/>
          <w:lang w:eastAsia="en-US"/>
        </w:rPr>
        <w:t>repeal</w:t>
      </w:r>
      <w:r>
        <w:rPr>
          <w:snapToGrid w:val="0"/>
          <w:szCs w:val="24"/>
          <w:lang w:eastAsia="en-US"/>
        </w:rPr>
        <w:t>s</w:t>
      </w:r>
      <w:r w:rsidR="005F04DC" w:rsidRPr="00A96CFE">
        <w:rPr>
          <w:snapToGrid w:val="0"/>
          <w:szCs w:val="24"/>
          <w:lang w:eastAsia="en-US"/>
        </w:rPr>
        <w:t xml:space="preserve"> the 201</w:t>
      </w:r>
      <w:r w:rsidR="00FB1780">
        <w:rPr>
          <w:snapToGrid w:val="0"/>
          <w:szCs w:val="24"/>
          <w:lang w:eastAsia="en-US"/>
        </w:rPr>
        <w:t>3</w:t>
      </w:r>
      <w:r w:rsidR="005F04DC" w:rsidRPr="00A96CFE">
        <w:rPr>
          <w:snapToGrid w:val="0"/>
          <w:szCs w:val="24"/>
          <w:lang w:eastAsia="en-US"/>
        </w:rPr>
        <w:t xml:space="preserve"> R</w:t>
      </w:r>
      <w:r w:rsidR="005F04DC">
        <w:rPr>
          <w:snapToGrid w:val="0"/>
          <w:szCs w:val="24"/>
          <w:lang w:eastAsia="en-US"/>
        </w:rPr>
        <w:t>egulations</w:t>
      </w:r>
      <w:r w:rsidR="005F04DC" w:rsidRPr="00A96CFE">
        <w:rPr>
          <w:snapToGrid w:val="0"/>
          <w:szCs w:val="24"/>
          <w:lang w:eastAsia="en-US"/>
        </w:rPr>
        <w:t xml:space="preserve"> and </w:t>
      </w:r>
      <w:r w:rsidR="005F04DC" w:rsidRPr="00A96CFE">
        <w:rPr>
          <w:szCs w:val="24"/>
        </w:rPr>
        <w:t>prescribe</w:t>
      </w:r>
      <w:r>
        <w:rPr>
          <w:szCs w:val="24"/>
        </w:rPr>
        <w:t>s</w:t>
      </w:r>
      <w:r w:rsidR="005F04DC" w:rsidRPr="00A96CFE">
        <w:rPr>
          <w:szCs w:val="24"/>
        </w:rPr>
        <w:t xml:space="preserve"> a new table of general medical services for the 12 month period </w:t>
      </w:r>
      <w:r w:rsidR="00FB1780">
        <w:rPr>
          <w:szCs w:val="24"/>
        </w:rPr>
        <w:t>beginning on 1 July 2014</w:t>
      </w:r>
      <w:r w:rsidR="005F04DC">
        <w:rPr>
          <w:szCs w:val="24"/>
        </w:rPr>
        <w:t>.</w:t>
      </w:r>
      <w:r w:rsidR="005F04DC" w:rsidRPr="00A96CFE">
        <w:rPr>
          <w:szCs w:val="24"/>
        </w:rPr>
        <w:t xml:space="preserve">    </w:t>
      </w:r>
    </w:p>
    <w:p w:rsidR="00484C48" w:rsidRDefault="00484C48" w:rsidP="005F04DC">
      <w:pPr>
        <w:autoSpaceDE w:val="0"/>
        <w:autoSpaceDN w:val="0"/>
        <w:adjustRightInd w:val="0"/>
        <w:rPr>
          <w:szCs w:val="24"/>
        </w:rPr>
      </w:pPr>
    </w:p>
    <w:p w:rsidR="00484C48" w:rsidRDefault="00484C48" w:rsidP="00484C48">
      <w:pPr>
        <w:tabs>
          <w:tab w:val="left" w:pos="567"/>
        </w:tabs>
        <w:rPr>
          <w:szCs w:val="24"/>
        </w:rPr>
      </w:pPr>
      <w:r>
        <w:rPr>
          <w:szCs w:val="24"/>
        </w:rPr>
        <w:t xml:space="preserve">Under the Act, Medicare benefits are paid as a prescribed percentage of the fees for services listed in the proposed regulation. As part of the 2014-15 Budget, the Australian Government decided to provide </w:t>
      </w:r>
      <w:r w:rsidRPr="00A96CFE">
        <w:rPr>
          <w:szCs w:val="24"/>
        </w:rPr>
        <w:t xml:space="preserve">a fee increase of </w:t>
      </w:r>
      <w:r>
        <w:rPr>
          <w:szCs w:val="24"/>
        </w:rPr>
        <w:t>two per cent for general practitioner attendance services. The regulation implements the two per cent fee increase for all general practitioner attendance services covered by Medicare.</w:t>
      </w:r>
    </w:p>
    <w:p w:rsidR="009B3AEB" w:rsidRDefault="009B3AEB" w:rsidP="009B3AEB">
      <w:pPr>
        <w:tabs>
          <w:tab w:val="left" w:pos="567"/>
        </w:tabs>
        <w:rPr>
          <w:szCs w:val="24"/>
        </w:rPr>
      </w:pPr>
    </w:p>
    <w:p w:rsidR="007F1C81" w:rsidRDefault="00FB1780" w:rsidP="009B3AEB">
      <w:pPr>
        <w:tabs>
          <w:tab w:val="left" w:pos="567"/>
        </w:tabs>
        <w:rPr>
          <w:szCs w:val="24"/>
        </w:rPr>
      </w:pPr>
      <w:r>
        <w:rPr>
          <w:szCs w:val="24"/>
        </w:rPr>
        <w:t>The new table of general medical services also make</w:t>
      </w:r>
      <w:r w:rsidR="00BE2ECA">
        <w:rPr>
          <w:szCs w:val="24"/>
        </w:rPr>
        <w:t>s</w:t>
      </w:r>
      <w:r>
        <w:rPr>
          <w:szCs w:val="24"/>
        </w:rPr>
        <w:t xml:space="preserve"> a number of minor cha</w:t>
      </w:r>
      <w:r w:rsidR="009B3AEB">
        <w:rPr>
          <w:szCs w:val="24"/>
        </w:rPr>
        <w:t>nges to Medicare serv</w:t>
      </w:r>
      <w:r w:rsidR="00B94CD8">
        <w:rPr>
          <w:szCs w:val="24"/>
        </w:rPr>
        <w:t xml:space="preserve">ices, which include: </w:t>
      </w:r>
    </w:p>
    <w:p w:rsidR="00484C48" w:rsidRDefault="00484C48" w:rsidP="00484C48">
      <w:pPr>
        <w:tabs>
          <w:tab w:val="left" w:pos="567"/>
        </w:tabs>
        <w:rPr>
          <w:szCs w:val="24"/>
        </w:rPr>
      </w:pPr>
    </w:p>
    <w:p w:rsidR="00484C48" w:rsidRDefault="00484C48" w:rsidP="00484C48">
      <w:pPr>
        <w:pStyle w:val="ListParagraph"/>
        <w:numPr>
          <w:ilvl w:val="0"/>
          <w:numId w:val="18"/>
        </w:numPr>
        <w:tabs>
          <w:tab w:val="left" w:pos="567"/>
        </w:tabs>
        <w:rPr>
          <w:szCs w:val="24"/>
        </w:rPr>
      </w:pPr>
      <w:r>
        <w:rPr>
          <w:bCs/>
          <w:szCs w:val="24"/>
        </w:rPr>
        <w:t xml:space="preserve">  </w:t>
      </w:r>
      <w:r w:rsidR="003613B8">
        <w:rPr>
          <w:bCs/>
          <w:szCs w:val="24"/>
        </w:rPr>
        <w:t>t</w:t>
      </w:r>
      <w:r>
        <w:rPr>
          <w:bCs/>
          <w:szCs w:val="24"/>
        </w:rPr>
        <w:t>he listing of two new Medicare Benefit Schedule (MBS) services for transcatheter closure of patent ductus arteriosus and ventricular septal defect as alternative techniques</w:t>
      </w:r>
      <w:r w:rsidRPr="007F1C81">
        <w:rPr>
          <w:bCs/>
          <w:szCs w:val="24"/>
        </w:rPr>
        <w:t xml:space="preserve"> to</w:t>
      </w:r>
      <w:r>
        <w:rPr>
          <w:bCs/>
          <w:szCs w:val="24"/>
        </w:rPr>
        <w:t xml:space="preserve"> open</w:t>
      </w:r>
      <w:r w:rsidRPr="007F1C81">
        <w:rPr>
          <w:bCs/>
          <w:szCs w:val="24"/>
        </w:rPr>
        <w:t xml:space="preserve"> heart surgery, and an amendment to </w:t>
      </w:r>
      <w:r>
        <w:rPr>
          <w:bCs/>
          <w:szCs w:val="24"/>
        </w:rPr>
        <w:t>an additional transcatheter item</w:t>
      </w:r>
      <w:r w:rsidRPr="007F1C81">
        <w:rPr>
          <w:bCs/>
          <w:szCs w:val="24"/>
        </w:rPr>
        <w:t xml:space="preserve"> to </w:t>
      </w:r>
      <w:r w:rsidRPr="007F1C81">
        <w:rPr>
          <w:rFonts w:eastAsia="Calibri"/>
          <w:szCs w:val="24"/>
          <w:lang w:eastAsia="en-US"/>
        </w:rPr>
        <w:t xml:space="preserve">remove the words </w:t>
      </w:r>
      <w:r w:rsidRPr="007F1C81">
        <w:rPr>
          <w:rFonts w:eastAsia="Calibri"/>
          <w:i/>
          <w:szCs w:val="24"/>
          <w:lang w:eastAsia="en-US"/>
        </w:rPr>
        <w:t xml:space="preserve">‘for congenital heart disease’ </w:t>
      </w:r>
      <w:r w:rsidRPr="007F1C81">
        <w:rPr>
          <w:rFonts w:eastAsia="Calibri"/>
          <w:szCs w:val="24"/>
          <w:lang w:eastAsia="en-US"/>
        </w:rPr>
        <w:t xml:space="preserve">to allow for surgical closure of both congenital and acquired defects </w:t>
      </w:r>
      <w:r w:rsidRPr="007F1C81">
        <w:rPr>
          <w:szCs w:val="24"/>
        </w:rPr>
        <w:t>as a result of advice from the Medical Service</w:t>
      </w:r>
      <w:r>
        <w:rPr>
          <w:szCs w:val="24"/>
        </w:rPr>
        <w:t>s Advisory Committee (the MSAC);</w:t>
      </w:r>
    </w:p>
    <w:p w:rsidR="00484C48" w:rsidRDefault="00484C48" w:rsidP="00484C48">
      <w:pPr>
        <w:pStyle w:val="ListParagraph"/>
        <w:tabs>
          <w:tab w:val="left" w:pos="567"/>
        </w:tabs>
        <w:rPr>
          <w:szCs w:val="24"/>
        </w:rPr>
      </w:pPr>
    </w:p>
    <w:p w:rsidR="00484C48" w:rsidRPr="00D40645" w:rsidRDefault="00484C48" w:rsidP="00D40645">
      <w:pPr>
        <w:pStyle w:val="ListParagraph"/>
        <w:numPr>
          <w:ilvl w:val="0"/>
          <w:numId w:val="18"/>
        </w:numPr>
        <w:tabs>
          <w:tab w:val="left" w:pos="567"/>
        </w:tabs>
        <w:rPr>
          <w:rFonts w:eastAsia="Calibri"/>
          <w:szCs w:val="24"/>
          <w:lang w:eastAsia="en-US"/>
        </w:rPr>
      </w:pPr>
      <w:r>
        <w:rPr>
          <w:szCs w:val="24"/>
        </w:rPr>
        <w:t xml:space="preserve">  </w:t>
      </w:r>
      <w:r w:rsidR="003613B8">
        <w:rPr>
          <w:szCs w:val="24"/>
        </w:rPr>
        <w:t>a</w:t>
      </w:r>
      <w:r>
        <w:t xml:space="preserve">mendments to </w:t>
      </w:r>
      <w:r w:rsidRPr="007F1C81">
        <w:t>MBS o</w:t>
      </w:r>
      <w:r>
        <w:t>phthalmology services</w:t>
      </w:r>
      <w:r w:rsidRPr="007F1C81">
        <w:t xml:space="preserve"> which were recommended as a result of the</w:t>
      </w:r>
      <w:r w:rsidRPr="007F1C81">
        <w:rPr>
          <w:szCs w:val="24"/>
        </w:rPr>
        <w:t xml:space="preserve"> </w:t>
      </w:r>
      <w:r w:rsidRPr="007F1C81">
        <w:rPr>
          <w:i/>
          <w:szCs w:val="24"/>
        </w:rPr>
        <w:t xml:space="preserve">MSAC </w:t>
      </w:r>
      <w:r w:rsidRPr="007F1C81">
        <w:rPr>
          <w:rFonts w:eastAsia="Calibri"/>
          <w:i/>
          <w:szCs w:val="24"/>
          <w:lang w:eastAsia="en-US"/>
        </w:rPr>
        <w:t>Ophthalmology Review Stage II</w:t>
      </w:r>
      <w:r w:rsidR="00D40645">
        <w:rPr>
          <w:rFonts w:eastAsia="Calibri"/>
          <w:szCs w:val="24"/>
          <w:lang w:eastAsia="en-US"/>
        </w:rPr>
        <w:t xml:space="preserve">, which </w:t>
      </w:r>
      <w:r>
        <w:rPr>
          <w:rFonts w:eastAsia="Calibri"/>
          <w:szCs w:val="24"/>
          <w:lang w:eastAsia="en-US"/>
        </w:rPr>
        <w:t xml:space="preserve">combine two MBS ophthalmology </w:t>
      </w:r>
      <w:r>
        <w:rPr>
          <w:rFonts w:eastAsia="Calibri"/>
          <w:szCs w:val="24"/>
          <w:lang w:eastAsia="en-US"/>
        </w:rPr>
        <w:lastRenderedPageBreak/>
        <w:t xml:space="preserve">services for corneal transplantation into one service with a revised fee. </w:t>
      </w:r>
      <w:r w:rsidRPr="00D40645">
        <w:rPr>
          <w:rFonts w:eastAsia="Calibri"/>
          <w:szCs w:val="24"/>
          <w:lang w:eastAsia="en-US"/>
        </w:rPr>
        <w:t xml:space="preserve">The amendments also make </w:t>
      </w:r>
      <w:r w:rsidRPr="00D40645">
        <w:rPr>
          <w:szCs w:val="24"/>
        </w:rPr>
        <w:t xml:space="preserve">minor wording changes to three </w:t>
      </w:r>
      <w:r w:rsidRPr="007F1C81">
        <w:t>MBS o</w:t>
      </w:r>
      <w:r>
        <w:t xml:space="preserve">phthalmology </w:t>
      </w:r>
      <w:r w:rsidRPr="00D40645">
        <w:rPr>
          <w:rFonts w:eastAsia="Calibri"/>
          <w:szCs w:val="24"/>
          <w:lang w:eastAsia="en-US"/>
        </w:rPr>
        <w:t>services to more accurately describe the type of ophthalmology service performed;</w:t>
      </w:r>
    </w:p>
    <w:p w:rsidR="00E40C1E" w:rsidRPr="00E40C1E" w:rsidRDefault="00E40C1E" w:rsidP="00E40C1E">
      <w:pPr>
        <w:pStyle w:val="ListParagraph"/>
        <w:tabs>
          <w:tab w:val="left" w:pos="567"/>
        </w:tabs>
        <w:rPr>
          <w:rFonts w:eastAsia="Calibri"/>
          <w:szCs w:val="24"/>
          <w:lang w:eastAsia="en-US"/>
        </w:rPr>
      </w:pPr>
    </w:p>
    <w:p w:rsidR="00484C48" w:rsidRPr="000220A6" w:rsidRDefault="003613B8" w:rsidP="00E40C1E">
      <w:pPr>
        <w:pStyle w:val="ListParagraph"/>
        <w:numPr>
          <w:ilvl w:val="0"/>
          <w:numId w:val="18"/>
        </w:numPr>
        <w:tabs>
          <w:tab w:val="left" w:pos="567"/>
        </w:tabs>
        <w:rPr>
          <w:szCs w:val="24"/>
        </w:rPr>
      </w:pPr>
      <w:r>
        <w:rPr>
          <w:rFonts w:eastAsia="Calibri"/>
          <w:szCs w:val="24"/>
          <w:lang w:eastAsia="en-US"/>
        </w:rPr>
        <w:t xml:space="preserve">  a</w:t>
      </w:r>
      <w:r w:rsidR="00484C48" w:rsidRPr="00E40C1E">
        <w:rPr>
          <w:rFonts w:eastAsia="Calibri"/>
          <w:szCs w:val="24"/>
          <w:lang w:eastAsia="en-US"/>
        </w:rPr>
        <w:t>mendments to four cardiac resychronisation services. The amendments expand the description of three cardiac resychronisation services so that Medicare benefits could</w:t>
      </w:r>
      <w:r w:rsidR="00484C48" w:rsidRPr="00BD2F88">
        <w:rPr>
          <w:rFonts w:eastAsia="Calibri"/>
          <w:iCs/>
          <w:color w:val="000000"/>
          <w:szCs w:val="24"/>
          <w:lang w:eastAsia="en-US"/>
        </w:rPr>
        <w:t xml:space="preserve"> be provided to patients who suffer from mild chronic heart failure. Currently, for these three services only those patients who suffer moderate to severe chronic heart failure receive Medicare benefits. A minor drafting amendment </w:t>
      </w:r>
      <w:r w:rsidR="00D40645">
        <w:rPr>
          <w:rFonts w:eastAsia="Calibri"/>
          <w:iCs/>
          <w:color w:val="000000"/>
          <w:szCs w:val="24"/>
          <w:lang w:eastAsia="en-US"/>
        </w:rPr>
        <w:t xml:space="preserve">has been </w:t>
      </w:r>
      <w:r w:rsidR="00484C48" w:rsidRPr="00BD2F88">
        <w:rPr>
          <w:rFonts w:eastAsia="Calibri"/>
          <w:iCs/>
          <w:color w:val="000000"/>
          <w:szCs w:val="24"/>
          <w:lang w:eastAsia="en-US"/>
        </w:rPr>
        <w:t>made to these three cardiac resychronisation services and an additional cardiac resychronisation service so that the current description of moderate to severe chronic heart failure patient indicator contained in clause 2.44.16, and applicable to all four services, is moved into each individual descriptor for the service. This amendment make</w:t>
      </w:r>
      <w:r w:rsidR="00D9441A">
        <w:rPr>
          <w:rFonts w:eastAsia="Calibri"/>
          <w:iCs/>
          <w:color w:val="000000"/>
          <w:szCs w:val="24"/>
          <w:lang w:eastAsia="en-US"/>
        </w:rPr>
        <w:t>s</w:t>
      </w:r>
      <w:r w:rsidR="00484C48" w:rsidRPr="00BD2F88">
        <w:rPr>
          <w:rFonts w:eastAsia="Calibri"/>
          <w:iCs/>
          <w:color w:val="000000"/>
          <w:szCs w:val="24"/>
          <w:lang w:eastAsia="en-US"/>
        </w:rPr>
        <w:t xml:space="preserve"> clause 2.44.16 superfluous, and the regulation would delete clause 2.44.16;</w:t>
      </w:r>
    </w:p>
    <w:p w:rsidR="00484C48" w:rsidRDefault="00484C48" w:rsidP="00484C48">
      <w:pPr>
        <w:pStyle w:val="ListParagraph"/>
        <w:tabs>
          <w:tab w:val="left" w:pos="567"/>
        </w:tabs>
        <w:rPr>
          <w:szCs w:val="24"/>
        </w:rPr>
      </w:pPr>
    </w:p>
    <w:p w:rsidR="00484C48" w:rsidRDefault="003613B8" w:rsidP="00484C48">
      <w:pPr>
        <w:pStyle w:val="ListParagraph"/>
        <w:numPr>
          <w:ilvl w:val="0"/>
          <w:numId w:val="18"/>
        </w:numPr>
        <w:tabs>
          <w:tab w:val="left" w:pos="567"/>
        </w:tabs>
        <w:rPr>
          <w:szCs w:val="24"/>
        </w:rPr>
      </w:pPr>
      <w:r>
        <w:rPr>
          <w:szCs w:val="24"/>
        </w:rPr>
        <w:t xml:space="preserve">  t</w:t>
      </w:r>
      <w:r w:rsidR="00484C48">
        <w:rPr>
          <w:szCs w:val="24"/>
        </w:rPr>
        <w:t xml:space="preserve">he listing of a </w:t>
      </w:r>
      <w:r w:rsidR="00484C48" w:rsidRPr="00A00F2B">
        <w:t>new eligible group</w:t>
      </w:r>
      <w:r w:rsidR="00484C48" w:rsidRPr="007F1C81">
        <w:rPr>
          <w:rFonts w:eastAsia="Calibri"/>
          <w:color w:val="000000"/>
          <w:lang w:eastAsia="en-US"/>
        </w:rPr>
        <w:t xml:space="preserve">, </w:t>
      </w:r>
      <w:r w:rsidR="00D40645">
        <w:rPr>
          <w:rFonts w:eastAsia="Calibri"/>
          <w:color w:val="000000"/>
          <w:lang w:eastAsia="en-US"/>
        </w:rPr>
        <w:t xml:space="preserve">which </w:t>
      </w:r>
      <w:r w:rsidR="00484C48">
        <w:rPr>
          <w:rFonts w:eastAsia="Calibri"/>
          <w:color w:val="000000"/>
          <w:lang w:eastAsia="en-US"/>
        </w:rPr>
        <w:t>grant</w:t>
      </w:r>
      <w:r w:rsidR="00D40645">
        <w:rPr>
          <w:rFonts w:eastAsia="Calibri"/>
          <w:color w:val="000000"/>
          <w:lang w:eastAsia="en-US"/>
        </w:rPr>
        <w:t>s</w:t>
      </w:r>
      <w:r w:rsidR="00484C48">
        <w:rPr>
          <w:rFonts w:eastAsia="Calibri"/>
          <w:color w:val="000000"/>
          <w:lang w:eastAsia="en-US"/>
        </w:rPr>
        <w:t xml:space="preserve"> access to Medicare eligible health assessment services for former servicing members of the Australian Defence Force, including former Reservists</w:t>
      </w:r>
      <w:r w:rsidR="00D40645">
        <w:rPr>
          <w:szCs w:val="24"/>
        </w:rPr>
        <w:t xml:space="preserve">. The health assessment </w:t>
      </w:r>
      <w:r w:rsidR="00484C48" w:rsidRPr="00AB68BB">
        <w:rPr>
          <w:szCs w:val="24"/>
        </w:rPr>
        <w:t>support</w:t>
      </w:r>
      <w:r w:rsidR="00D40645">
        <w:rPr>
          <w:szCs w:val="24"/>
        </w:rPr>
        <w:t>s</w:t>
      </w:r>
      <w:r w:rsidR="00484C48" w:rsidRPr="00AB68BB">
        <w:rPr>
          <w:szCs w:val="24"/>
        </w:rPr>
        <w:t xml:space="preserve"> general practitioners in identifying and diagnosing the early onset of mental and/or phys</w:t>
      </w:r>
      <w:r w:rsidR="00D40645">
        <w:rPr>
          <w:szCs w:val="24"/>
        </w:rPr>
        <w:t xml:space="preserve">ical health problems that </w:t>
      </w:r>
      <w:r w:rsidR="00484C48" w:rsidRPr="00AB68BB">
        <w:rPr>
          <w:szCs w:val="24"/>
        </w:rPr>
        <w:t>benefit from further assessment or treatment</w:t>
      </w:r>
      <w:r w:rsidR="00484C48">
        <w:rPr>
          <w:szCs w:val="24"/>
        </w:rPr>
        <w:t>; and</w:t>
      </w:r>
    </w:p>
    <w:p w:rsidR="00484C48" w:rsidRPr="00AF1CAF" w:rsidRDefault="00484C48" w:rsidP="00484C48">
      <w:pPr>
        <w:tabs>
          <w:tab w:val="left" w:pos="567"/>
        </w:tabs>
        <w:rPr>
          <w:szCs w:val="24"/>
        </w:rPr>
      </w:pPr>
    </w:p>
    <w:p w:rsidR="00484C48" w:rsidRPr="00D40645" w:rsidRDefault="003613B8" w:rsidP="00D40645">
      <w:pPr>
        <w:pStyle w:val="ListParagraph"/>
        <w:numPr>
          <w:ilvl w:val="0"/>
          <w:numId w:val="18"/>
        </w:numPr>
        <w:tabs>
          <w:tab w:val="left" w:pos="567"/>
        </w:tabs>
        <w:rPr>
          <w:szCs w:val="24"/>
        </w:rPr>
      </w:pPr>
      <w:r>
        <w:rPr>
          <w:szCs w:val="24"/>
        </w:rPr>
        <w:t xml:space="preserve">  t</w:t>
      </w:r>
      <w:r w:rsidR="00484C48">
        <w:rPr>
          <w:szCs w:val="24"/>
        </w:rPr>
        <w:t>he merging</w:t>
      </w:r>
      <w:r w:rsidR="00484C48" w:rsidRPr="00A00F2B">
        <w:rPr>
          <w:szCs w:val="24"/>
        </w:rPr>
        <w:t xml:space="preserve"> </w:t>
      </w:r>
      <w:r w:rsidR="00484C48">
        <w:rPr>
          <w:szCs w:val="24"/>
        </w:rPr>
        <w:t xml:space="preserve">of </w:t>
      </w:r>
      <w:r w:rsidR="00484C48" w:rsidRPr="00A00F2B">
        <w:rPr>
          <w:szCs w:val="24"/>
        </w:rPr>
        <w:t xml:space="preserve">four MBS mastectomy items </w:t>
      </w:r>
      <w:r w:rsidR="00484C48">
        <w:rPr>
          <w:szCs w:val="24"/>
        </w:rPr>
        <w:t xml:space="preserve">into three items, by removing the gender specific </w:t>
      </w:r>
      <w:r w:rsidR="00484C48" w:rsidRPr="007A7607">
        <w:t>terminology in the item descriptors</w:t>
      </w:r>
      <w:r w:rsidR="00484C48">
        <w:t xml:space="preserve"> (‘male’ or ‘female’) and replacing</w:t>
      </w:r>
      <w:r w:rsidR="00484C48" w:rsidRPr="007A7607">
        <w:t xml:space="preserve"> </w:t>
      </w:r>
      <w:r w:rsidR="00484C48">
        <w:t xml:space="preserve">them </w:t>
      </w:r>
      <w:r w:rsidR="00484C48" w:rsidRPr="007A7607">
        <w:t>with gender neutral terminology</w:t>
      </w:r>
      <w:r w:rsidR="00484C48">
        <w:t>.</w:t>
      </w:r>
      <w:r w:rsidR="00484C48" w:rsidRPr="00B94CD8">
        <w:rPr>
          <w:szCs w:val="24"/>
        </w:rPr>
        <w:t xml:space="preserve"> </w:t>
      </w:r>
      <w:r w:rsidR="00484C48">
        <w:rPr>
          <w:szCs w:val="24"/>
        </w:rPr>
        <w:t xml:space="preserve">These changes reflect the </w:t>
      </w:r>
      <w:r w:rsidR="00484C48">
        <w:t xml:space="preserve">Australian Government Guidelines on the Recognition of Sex and Gender, developed by the </w:t>
      </w:r>
      <w:r w:rsidR="00D40645">
        <w:t xml:space="preserve">             </w:t>
      </w:r>
      <w:r w:rsidR="00484C48">
        <w:t>Attorney-General’s Department.</w:t>
      </w:r>
    </w:p>
    <w:p w:rsidR="005F04DC" w:rsidRPr="00A96CFE" w:rsidRDefault="005F04DC" w:rsidP="005F04DC">
      <w:pPr>
        <w:rPr>
          <w:sz w:val="16"/>
          <w:szCs w:val="16"/>
        </w:rPr>
      </w:pPr>
    </w:p>
    <w:p w:rsidR="0099448D" w:rsidRDefault="0099448D" w:rsidP="0099448D">
      <w:pPr>
        <w:rPr>
          <w:szCs w:val="24"/>
          <w:u w:val="single"/>
        </w:rPr>
      </w:pPr>
      <w:r>
        <w:rPr>
          <w:szCs w:val="24"/>
          <w:u w:val="single"/>
        </w:rPr>
        <w:t>Consultation</w:t>
      </w:r>
    </w:p>
    <w:p w:rsidR="0099448D" w:rsidRDefault="0099448D" w:rsidP="0099448D">
      <w:pPr>
        <w:rPr>
          <w:szCs w:val="24"/>
          <w:u w:val="single"/>
        </w:rPr>
      </w:pPr>
    </w:p>
    <w:p w:rsidR="0099448D" w:rsidRDefault="0099448D" w:rsidP="0099448D">
      <w:pPr>
        <w:rPr>
          <w:szCs w:val="24"/>
        </w:rPr>
      </w:pPr>
      <w:r>
        <w:rPr>
          <w:szCs w:val="24"/>
        </w:rPr>
        <w:t>The Department of Health has consulted with the medical profession, including the Australian Medical Association, Royal Australian College of Surgeons, the Cardiac Society of Australia and New Zealand and other relevant professional medical groups as well as the Medical Services Advisory Committee.</w:t>
      </w:r>
    </w:p>
    <w:p w:rsidR="0099448D" w:rsidRDefault="0099448D" w:rsidP="0099448D">
      <w:pPr>
        <w:rPr>
          <w:szCs w:val="24"/>
        </w:rPr>
      </w:pPr>
    </w:p>
    <w:p w:rsidR="0099448D" w:rsidRDefault="0099448D" w:rsidP="0099448D">
      <w:pPr>
        <w:rPr>
          <w:szCs w:val="24"/>
        </w:rPr>
      </w:pPr>
      <w:r>
        <w:rPr>
          <w:szCs w:val="24"/>
        </w:rPr>
        <w:t>The National Lesbian, Gay, Bisexual, Transgender and Intersex Health Alliance and the Organisation Intersex International have also been consulted throughout the process to ensure the item descriptors incorporate appropriate language.</w:t>
      </w:r>
    </w:p>
    <w:p w:rsidR="0099448D" w:rsidRDefault="0099448D" w:rsidP="0099448D">
      <w:pPr>
        <w:rPr>
          <w:szCs w:val="24"/>
        </w:rPr>
      </w:pPr>
    </w:p>
    <w:p w:rsidR="0099448D" w:rsidRDefault="0099448D" w:rsidP="0099448D">
      <w:pPr>
        <w:rPr>
          <w:szCs w:val="24"/>
        </w:rPr>
      </w:pPr>
      <w:r>
        <w:rPr>
          <w:szCs w:val="24"/>
        </w:rPr>
        <w:t>All stakeholder groups have expressed their approval for the changes to proceed.</w:t>
      </w:r>
    </w:p>
    <w:p w:rsidR="006979F5" w:rsidRDefault="006979F5" w:rsidP="0099448D">
      <w:pPr>
        <w:rPr>
          <w:szCs w:val="24"/>
        </w:rPr>
      </w:pPr>
    </w:p>
    <w:p w:rsidR="006979F5" w:rsidRPr="00A96CFE" w:rsidRDefault="006979F5" w:rsidP="006979F5">
      <w:pPr>
        <w:rPr>
          <w:szCs w:val="24"/>
        </w:rPr>
      </w:pPr>
      <w:r w:rsidRPr="00A96CFE">
        <w:rPr>
          <w:szCs w:val="24"/>
        </w:rPr>
        <w:t xml:space="preserve">Details of the </w:t>
      </w:r>
      <w:r>
        <w:rPr>
          <w:szCs w:val="24"/>
        </w:rPr>
        <w:t>regulation</w:t>
      </w:r>
      <w:r w:rsidRPr="00A96CFE">
        <w:rPr>
          <w:i/>
          <w:szCs w:val="24"/>
        </w:rPr>
        <w:t xml:space="preserve"> </w:t>
      </w:r>
      <w:r w:rsidRPr="00A96CFE">
        <w:rPr>
          <w:szCs w:val="24"/>
        </w:rPr>
        <w:t xml:space="preserve">are set out in </w:t>
      </w:r>
      <w:r>
        <w:rPr>
          <w:szCs w:val="24"/>
        </w:rPr>
        <w:t xml:space="preserve">the </w:t>
      </w:r>
      <w:r w:rsidRPr="00A96CFE">
        <w:rPr>
          <w:szCs w:val="24"/>
          <w:u w:val="single"/>
        </w:rPr>
        <w:t>Attachment</w:t>
      </w:r>
      <w:r w:rsidRPr="00A96CFE">
        <w:rPr>
          <w:szCs w:val="24"/>
        </w:rPr>
        <w:t>.</w:t>
      </w:r>
    </w:p>
    <w:p w:rsidR="006979F5" w:rsidRPr="00A96CFE" w:rsidRDefault="006979F5" w:rsidP="006979F5">
      <w:pPr>
        <w:rPr>
          <w:sz w:val="16"/>
          <w:szCs w:val="16"/>
        </w:rPr>
      </w:pPr>
    </w:p>
    <w:p w:rsidR="006979F5" w:rsidRPr="00A96CFE" w:rsidRDefault="006979F5" w:rsidP="006979F5">
      <w:pPr>
        <w:rPr>
          <w:szCs w:val="24"/>
        </w:rPr>
      </w:pPr>
      <w:r w:rsidRPr="00A96CFE">
        <w:rPr>
          <w:szCs w:val="24"/>
        </w:rPr>
        <w:t xml:space="preserve">The Act specifies no conditions which need to be met before the power to make the </w:t>
      </w:r>
      <w:r>
        <w:rPr>
          <w:szCs w:val="24"/>
        </w:rPr>
        <w:t>regulation</w:t>
      </w:r>
      <w:r w:rsidRPr="00A96CFE">
        <w:rPr>
          <w:szCs w:val="24"/>
        </w:rPr>
        <w:t xml:space="preserve"> may be exercised.  </w:t>
      </w:r>
    </w:p>
    <w:p w:rsidR="006979F5" w:rsidRPr="00A03E9E" w:rsidRDefault="006979F5" w:rsidP="006979F5">
      <w:pPr>
        <w:rPr>
          <w:sz w:val="16"/>
          <w:szCs w:val="16"/>
        </w:rPr>
      </w:pPr>
    </w:p>
    <w:p w:rsidR="006979F5" w:rsidRPr="00A96CFE" w:rsidRDefault="006979F5" w:rsidP="006979F5">
      <w:pPr>
        <w:rPr>
          <w:szCs w:val="24"/>
        </w:rPr>
      </w:pPr>
      <w:r w:rsidRPr="00A96CFE">
        <w:rPr>
          <w:szCs w:val="24"/>
        </w:rPr>
        <w:t xml:space="preserve">The </w:t>
      </w:r>
      <w:r>
        <w:rPr>
          <w:szCs w:val="24"/>
        </w:rPr>
        <w:t>regulation</w:t>
      </w:r>
      <w:r w:rsidRPr="00A96CFE">
        <w:rPr>
          <w:szCs w:val="24"/>
        </w:rPr>
        <w:t xml:space="preserve"> </w:t>
      </w:r>
      <w:r>
        <w:rPr>
          <w:szCs w:val="24"/>
        </w:rPr>
        <w:t>is</w:t>
      </w:r>
      <w:r w:rsidRPr="00A96CFE">
        <w:rPr>
          <w:szCs w:val="24"/>
        </w:rPr>
        <w:t xml:space="preserve"> </w:t>
      </w:r>
      <w:r>
        <w:rPr>
          <w:szCs w:val="24"/>
        </w:rPr>
        <w:t xml:space="preserve">a </w:t>
      </w:r>
      <w:r w:rsidRPr="00A96CFE">
        <w:rPr>
          <w:szCs w:val="24"/>
        </w:rPr>
        <w:t xml:space="preserve">legislative instrument for the purposes of the </w:t>
      </w:r>
      <w:r w:rsidRPr="00A96CFE">
        <w:rPr>
          <w:i/>
          <w:szCs w:val="24"/>
        </w:rPr>
        <w:t>Legislative Instruments Act 2003</w:t>
      </w:r>
      <w:r w:rsidRPr="00A96CFE">
        <w:rPr>
          <w:szCs w:val="24"/>
        </w:rPr>
        <w:t xml:space="preserve">.  </w:t>
      </w:r>
    </w:p>
    <w:p w:rsidR="006979F5" w:rsidRPr="00A96CFE" w:rsidRDefault="006979F5" w:rsidP="006979F5">
      <w:pPr>
        <w:tabs>
          <w:tab w:val="left" w:pos="567"/>
        </w:tabs>
        <w:spacing w:before="240"/>
        <w:rPr>
          <w:szCs w:val="24"/>
        </w:rPr>
      </w:pPr>
      <w:r w:rsidRPr="00A96CFE">
        <w:rPr>
          <w:szCs w:val="24"/>
        </w:rPr>
        <w:t xml:space="preserve">The </w:t>
      </w:r>
      <w:r>
        <w:rPr>
          <w:szCs w:val="24"/>
        </w:rPr>
        <w:t>regulation</w:t>
      </w:r>
      <w:r w:rsidRPr="00A96CFE">
        <w:rPr>
          <w:szCs w:val="24"/>
        </w:rPr>
        <w:t xml:space="preserve"> </w:t>
      </w:r>
      <w:r>
        <w:rPr>
          <w:szCs w:val="24"/>
        </w:rPr>
        <w:t>commences on 1 July</w:t>
      </w:r>
      <w:r w:rsidRPr="00A96CFE">
        <w:rPr>
          <w:szCs w:val="24"/>
        </w:rPr>
        <w:t xml:space="preserve"> 201</w:t>
      </w:r>
      <w:r>
        <w:rPr>
          <w:szCs w:val="24"/>
        </w:rPr>
        <w:t>4</w:t>
      </w:r>
      <w:r w:rsidRPr="00A96CFE">
        <w:rPr>
          <w:szCs w:val="24"/>
        </w:rPr>
        <w:t>.</w:t>
      </w:r>
    </w:p>
    <w:p w:rsidR="005F04DC" w:rsidRPr="00A96CFE" w:rsidRDefault="005F04DC" w:rsidP="005F04DC">
      <w:pPr>
        <w:pStyle w:val="Subtitle"/>
        <w:rPr>
          <w:sz w:val="16"/>
          <w:szCs w:val="16"/>
          <w:u w:val="none"/>
        </w:rPr>
      </w:pPr>
    </w:p>
    <w:p w:rsidR="005F04DC" w:rsidRPr="00A96CFE" w:rsidRDefault="005F04DC" w:rsidP="005F04DC">
      <w:pPr>
        <w:tabs>
          <w:tab w:val="left" w:pos="4536"/>
          <w:tab w:val="left" w:pos="5670"/>
        </w:tabs>
        <w:ind w:left="284"/>
        <w:jc w:val="center"/>
        <w:rPr>
          <w:szCs w:val="24"/>
        </w:rPr>
      </w:pPr>
      <w:r w:rsidRPr="00A96CFE">
        <w:rPr>
          <w:szCs w:val="24"/>
        </w:rPr>
        <w:tab/>
      </w:r>
      <w:r w:rsidRPr="00A96CFE">
        <w:rPr>
          <w:szCs w:val="24"/>
          <w:u w:val="single"/>
        </w:rPr>
        <w:t>Authority</w:t>
      </w:r>
      <w:r w:rsidRPr="00A96CFE">
        <w:rPr>
          <w:szCs w:val="24"/>
        </w:rPr>
        <w:t xml:space="preserve">:     Subsection 133(1) of the </w:t>
      </w:r>
    </w:p>
    <w:p w:rsidR="005F04DC" w:rsidRPr="00A96CFE" w:rsidRDefault="005F04DC" w:rsidP="005F04DC">
      <w:pPr>
        <w:tabs>
          <w:tab w:val="left" w:pos="4536"/>
        </w:tabs>
        <w:ind w:left="284"/>
        <w:jc w:val="center"/>
        <w:rPr>
          <w:szCs w:val="24"/>
        </w:rPr>
      </w:pPr>
      <w:r w:rsidRPr="00A96CFE">
        <w:rPr>
          <w:i/>
          <w:szCs w:val="24"/>
        </w:rPr>
        <w:t xml:space="preserve">                                                                                                Health Insurance Act 1973</w:t>
      </w:r>
      <w:r w:rsidRPr="00A96CFE">
        <w:rPr>
          <w:szCs w:val="24"/>
        </w:rPr>
        <w:t xml:space="preserve">  </w:t>
      </w:r>
    </w:p>
    <w:p w:rsidR="005F04DC" w:rsidRPr="00A96CFE" w:rsidRDefault="005F04DC" w:rsidP="00EB7CA0">
      <w:pPr>
        <w:pStyle w:val="Subtitle"/>
        <w:ind w:left="284"/>
        <w:rPr>
          <w:b/>
          <w:szCs w:val="24"/>
        </w:rPr>
      </w:pPr>
      <w:r w:rsidRPr="00A96CFE">
        <w:rPr>
          <w:b/>
          <w:szCs w:val="24"/>
        </w:rPr>
        <w:lastRenderedPageBreak/>
        <w:t xml:space="preserve">ATTACHMENT </w:t>
      </w:r>
    </w:p>
    <w:p w:rsidR="005F04DC" w:rsidRPr="00A96CFE" w:rsidRDefault="005F04DC" w:rsidP="005F04DC">
      <w:pPr>
        <w:ind w:left="284"/>
        <w:jc w:val="right"/>
        <w:rPr>
          <w:b/>
          <w:szCs w:val="24"/>
        </w:rPr>
      </w:pPr>
    </w:p>
    <w:p w:rsidR="007F1C81" w:rsidRPr="007F1C81" w:rsidRDefault="007F1C81" w:rsidP="007F1C81">
      <w:pPr>
        <w:pStyle w:val="BodyText"/>
        <w:rPr>
          <w:szCs w:val="24"/>
        </w:rPr>
      </w:pPr>
      <w:r>
        <w:rPr>
          <w:szCs w:val="24"/>
        </w:rPr>
        <w:t xml:space="preserve">DETAILS OF THE HEALTH INSURANCE (GENERAL MEDICAL SERVICES TABLE) REGULATION 2014 </w:t>
      </w:r>
    </w:p>
    <w:p w:rsidR="007F1C81" w:rsidRDefault="007F1C81" w:rsidP="005F04DC">
      <w:pPr>
        <w:pStyle w:val="Heading1"/>
        <w:tabs>
          <w:tab w:val="left" w:pos="284"/>
        </w:tabs>
        <w:jc w:val="left"/>
        <w:rPr>
          <w:b w:val="0"/>
          <w:szCs w:val="24"/>
        </w:rPr>
      </w:pPr>
    </w:p>
    <w:p w:rsidR="005F04DC" w:rsidRPr="00A96CFE" w:rsidRDefault="005F04DC" w:rsidP="005F04DC">
      <w:pPr>
        <w:pStyle w:val="Heading1"/>
        <w:tabs>
          <w:tab w:val="left" w:pos="284"/>
        </w:tabs>
        <w:jc w:val="left"/>
        <w:rPr>
          <w:b w:val="0"/>
          <w:szCs w:val="24"/>
        </w:rPr>
      </w:pPr>
      <w:r>
        <w:rPr>
          <w:b w:val="0"/>
          <w:szCs w:val="24"/>
        </w:rPr>
        <w:t>Section</w:t>
      </w:r>
      <w:r w:rsidRPr="00A96CFE">
        <w:rPr>
          <w:b w:val="0"/>
          <w:szCs w:val="24"/>
        </w:rPr>
        <w:t xml:space="preserve"> 1 – Name of </w:t>
      </w:r>
      <w:r>
        <w:rPr>
          <w:b w:val="0"/>
          <w:szCs w:val="24"/>
        </w:rPr>
        <w:t>regulation</w:t>
      </w:r>
    </w:p>
    <w:p w:rsidR="005F04DC" w:rsidRPr="00A96CFE" w:rsidRDefault="005F04DC" w:rsidP="005F04DC">
      <w:pPr>
        <w:pStyle w:val="Heading1"/>
        <w:jc w:val="left"/>
        <w:rPr>
          <w:b w:val="0"/>
          <w:sz w:val="16"/>
          <w:szCs w:val="16"/>
          <w:u w:val="none"/>
        </w:rPr>
      </w:pPr>
    </w:p>
    <w:p w:rsidR="005F04DC" w:rsidRPr="00A96CFE" w:rsidRDefault="005F04DC" w:rsidP="005F04DC">
      <w:pPr>
        <w:pStyle w:val="Heading1"/>
        <w:jc w:val="left"/>
        <w:rPr>
          <w:b w:val="0"/>
          <w:szCs w:val="24"/>
          <w:u w:val="none"/>
        </w:rPr>
      </w:pPr>
      <w:r w:rsidRPr="00A96CFE">
        <w:rPr>
          <w:b w:val="0"/>
          <w:szCs w:val="24"/>
          <w:u w:val="none"/>
        </w:rPr>
        <w:t xml:space="preserve">This </w:t>
      </w:r>
      <w:r>
        <w:rPr>
          <w:b w:val="0"/>
          <w:szCs w:val="24"/>
          <w:u w:val="none"/>
        </w:rPr>
        <w:t>sec</w:t>
      </w:r>
      <w:r w:rsidRPr="00A96CFE">
        <w:rPr>
          <w:b w:val="0"/>
          <w:szCs w:val="24"/>
          <w:u w:val="none"/>
        </w:rPr>
        <w:t>tion provide</w:t>
      </w:r>
      <w:r w:rsidR="00ED7140">
        <w:rPr>
          <w:b w:val="0"/>
          <w:szCs w:val="24"/>
          <w:u w:val="none"/>
        </w:rPr>
        <w:t>s</w:t>
      </w:r>
      <w:r w:rsidRPr="00A96CFE">
        <w:rPr>
          <w:b w:val="0"/>
          <w:szCs w:val="24"/>
          <w:u w:val="none"/>
        </w:rPr>
        <w:t xml:space="preserve"> for the </w:t>
      </w:r>
      <w:r>
        <w:rPr>
          <w:b w:val="0"/>
          <w:szCs w:val="24"/>
          <w:u w:val="none"/>
        </w:rPr>
        <w:t>regulation</w:t>
      </w:r>
      <w:r w:rsidRPr="00A96CFE">
        <w:rPr>
          <w:b w:val="0"/>
          <w:szCs w:val="24"/>
          <w:u w:val="none"/>
        </w:rPr>
        <w:t xml:space="preserve"> to be referred to as the</w:t>
      </w:r>
      <w:r w:rsidRPr="00A96CFE">
        <w:rPr>
          <w:b w:val="0"/>
          <w:i/>
          <w:szCs w:val="24"/>
          <w:u w:val="none"/>
        </w:rPr>
        <w:t xml:space="preserve"> Health Insurance (General Medical Services Table) Regul</w:t>
      </w:r>
      <w:r>
        <w:rPr>
          <w:b w:val="0"/>
          <w:i/>
          <w:szCs w:val="24"/>
          <w:u w:val="none"/>
        </w:rPr>
        <w:t>ation</w:t>
      </w:r>
      <w:r w:rsidRPr="00A96CFE">
        <w:rPr>
          <w:b w:val="0"/>
          <w:i/>
          <w:szCs w:val="24"/>
          <w:u w:val="none"/>
        </w:rPr>
        <w:t xml:space="preserve"> 201</w:t>
      </w:r>
      <w:r w:rsidR="0002704E">
        <w:rPr>
          <w:b w:val="0"/>
          <w:i/>
          <w:szCs w:val="24"/>
          <w:u w:val="none"/>
        </w:rPr>
        <w:t>4</w:t>
      </w:r>
      <w:r>
        <w:rPr>
          <w:b w:val="0"/>
          <w:i/>
          <w:szCs w:val="24"/>
          <w:u w:val="none"/>
        </w:rPr>
        <w:t xml:space="preserve"> </w:t>
      </w:r>
      <w:r>
        <w:rPr>
          <w:b w:val="0"/>
          <w:szCs w:val="24"/>
          <w:u w:val="none"/>
        </w:rPr>
        <w:t>(the Regulation)</w:t>
      </w:r>
      <w:r w:rsidRPr="00A96CFE">
        <w:rPr>
          <w:b w:val="0"/>
          <w:szCs w:val="24"/>
          <w:u w:val="none"/>
        </w:rPr>
        <w:t>.</w:t>
      </w:r>
    </w:p>
    <w:p w:rsidR="005F04DC" w:rsidRPr="00A96CFE" w:rsidRDefault="005F04DC" w:rsidP="005F04DC">
      <w:pPr>
        <w:pStyle w:val="BodyText"/>
        <w:rPr>
          <w:b w:val="0"/>
          <w:szCs w:val="24"/>
        </w:rPr>
      </w:pPr>
    </w:p>
    <w:p w:rsidR="005F04DC" w:rsidRPr="00A96CFE" w:rsidRDefault="005F04DC" w:rsidP="005F04DC">
      <w:pPr>
        <w:pStyle w:val="BodyText"/>
        <w:rPr>
          <w:b w:val="0"/>
          <w:szCs w:val="24"/>
          <w:u w:val="single"/>
        </w:rPr>
      </w:pPr>
      <w:r>
        <w:rPr>
          <w:b w:val="0"/>
          <w:szCs w:val="24"/>
          <w:u w:val="single"/>
        </w:rPr>
        <w:t>Sec</w:t>
      </w:r>
      <w:r w:rsidRPr="00A96CFE">
        <w:rPr>
          <w:b w:val="0"/>
          <w:szCs w:val="24"/>
          <w:u w:val="single"/>
        </w:rPr>
        <w:t xml:space="preserve">tion 2 – Commencement </w:t>
      </w:r>
    </w:p>
    <w:p w:rsidR="005F04DC" w:rsidRPr="00A96CFE" w:rsidRDefault="005F04DC" w:rsidP="005F04DC">
      <w:pPr>
        <w:pStyle w:val="BodyText"/>
        <w:rPr>
          <w:b w:val="0"/>
          <w:sz w:val="16"/>
          <w:szCs w:val="16"/>
        </w:rPr>
      </w:pPr>
    </w:p>
    <w:p w:rsidR="005F04DC" w:rsidRPr="00A96CFE" w:rsidRDefault="005F04DC" w:rsidP="005F04DC">
      <w:pPr>
        <w:pStyle w:val="BodyText"/>
        <w:rPr>
          <w:b w:val="0"/>
          <w:szCs w:val="24"/>
        </w:rPr>
      </w:pPr>
      <w:r w:rsidRPr="00A96CFE">
        <w:rPr>
          <w:b w:val="0"/>
          <w:szCs w:val="24"/>
        </w:rPr>
        <w:t xml:space="preserve">This </w:t>
      </w:r>
      <w:r>
        <w:rPr>
          <w:b w:val="0"/>
          <w:szCs w:val="24"/>
        </w:rPr>
        <w:t>sec</w:t>
      </w:r>
      <w:r w:rsidRPr="00A96CFE">
        <w:rPr>
          <w:b w:val="0"/>
          <w:szCs w:val="24"/>
        </w:rPr>
        <w:t>tion provide</w:t>
      </w:r>
      <w:r w:rsidR="00ED7140">
        <w:rPr>
          <w:b w:val="0"/>
          <w:szCs w:val="24"/>
        </w:rPr>
        <w:t>s</w:t>
      </w:r>
      <w:r w:rsidRPr="00A96CFE">
        <w:rPr>
          <w:b w:val="0"/>
          <w:szCs w:val="24"/>
        </w:rPr>
        <w:t xml:space="preserve"> for the </w:t>
      </w:r>
      <w:r>
        <w:rPr>
          <w:b w:val="0"/>
          <w:szCs w:val="24"/>
        </w:rPr>
        <w:t>regulation</w:t>
      </w:r>
      <w:r w:rsidRPr="00A96CFE">
        <w:rPr>
          <w:b w:val="0"/>
          <w:szCs w:val="24"/>
        </w:rPr>
        <w:t xml:space="preserve"> to commenc</w:t>
      </w:r>
      <w:r w:rsidR="0002704E">
        <w:rPr>
          <w:b w:val="0"/>
          <w:szCs w:val="24"/>
        </w:rPr>
        <w:t>e on 1 July</w:t>
      </w:r>
      <w:r w:rsidRPr="00A96CFE">
        <w:rPr>
          <w:b w:val="0"/>
          <w:szCs w:val="24"/>
        </w:rPr>
        <w:t xml:space="preserve"> 201</w:t>
      </w:r>
      <w:r w:rsidR="0002704E">
        <w:rPr>
          <w:b w:val="0"/>
          <w:szCs w:val="24"/>
        </w:rPr>
        <w:t>4</w:t>
      </w:r>
      <w:r w:rsidRPr="00A96CFE">
        <w:rPr>
          <w:b w:val="0"/>
          <w:szCs w:val="24"/>
        </w:rPr>
        <w:t>.</w:t>
      </w:r>
    </w:p>
    <w:p w:rsidR="005F04DC" w:rsidRPr="00A96CFE" w:rsidRDefault="005F04DC" w:rsidP="005F04DC">
      <w:pPr>
        <w:pStyle w:val="BodyText"/>
        <w:rPr>
          <w:b w:val="0"/>
          <w:szCs w:val="24"/>
        </w:rPr>
      </w:pPr>
    </w:p>
    <w:p w:rsidR="005F04DC" w:rsidRPr="00A96CFE" w:rsidRDefault="005F04DC" w:rsidP="005F04DC">
      <w:pPr>
        <w:pStyle w:val="BodyText"/>
        <w:rPr>
          <w:b w:val="0"/>
          <w:szCs w:val="24"/>
          <w:u w:val="single"/>
        </w:rPr>
      </w:pPr>
      <w:r>
        <w:rPr>
          <w:b w:val="0"/>
          <w:szCs w:val="24"/>
          <w:u w:val="single"/>
        </w:rPr>
        <w:t>Sec</w:t>
      </w:r>
      <w:r w:rsidR="0002704E">
        <w:rPr>
          <w:b w:val="0"/>
          <w:szCs w:val="24"/>
          <w:u w:val="single"/>
        </w:rPr>
        <w:t xml:space="preserve">tion 3 – Authority </w:t>
      </w:r>
      <w:r w:rsidRPr="00A96CFE">
        <w:rPr>
          <w:b w:val="0"/>
          <w:szCs w:val="24"/>
          <w:u w:val="single"/>
        </w:rPr>
        <w:t xml:space="preserve"> </w:t>
      </w:r>
    </w:p>
    <w:p w:rsidR="005F04DC" w:rsidRPr="00A96CFE" w:rsidRDefault="005F04DC" w:rsidP="005F04DC">
      <w:pPr>
        <w:pStyle w:val="BodyText"/>
        <w:rPr>
          <w:b w:val="0"/>
          <w:sz w:val="16"/>
          <w:szCs w:val="16"/>
        </w:rPr>
      </w:pPr>
    </w:p>
    <w:p w:rsidR="0002704E" w:rsidRDefault="0002704E" w:rsidP="005F04DC">
      <w:pPr>
        <w:pStyle w:val="BodyText"/>
        <w:rPr>
          <w:b w:val="0"/>
          <w:szCs w:val="24"/>
        </w:rPr>
      </w:pPr>
      <w:r>
        <w:rPr>
          <w:b w:val="0"/>
          <w:szCs w:val="24"/>
        </w:rPr>
        <w:t xml:space="preserve">This regulation </w:t>
      </w:r>
      <w:r w:rsidR="00ED7140">
        <w:rPr>
          <w:b w:val="0"/>
          <w:szCs w:val="24"/>
        </w:rPr>
        <w:t>is</w:t>
      </w:r>
      <w:r>
        <w:rPr>
          <w:b w:val="0"/>
          <w:szCs w:val="24"/>
        </w:rPr>
        <w:t xml:space="preserve"> made under the </w:t>
      </w:r>
      <w:r w:rsidRPr="0002704E">
        <w:rPr>
          <w:b w:val="0"/>
          <w:i/>
          <w:szCs w:val="24"/>
        </w:rPr>
        <w:t>Health Insurance Act 1973</w:t>
      </w:r>
      <w:r>
        <w:rPr>
          <w:b w:val="0"/>
          <w:szCs w:val="24"/>
        </w:rPr>
        <w:t xml:space="preserve">.  </w:t>
      </w:r>
    </w:p>
    <w:p w:rsidR="005F04DC" w:rsidRPr="00A96CFE" w:rsidRDefault="005F04DC" w:rsidP="005F04DC">
      <w:pPr>
        <w:pStyle w:val="Header"/>
        <w:tabs>
          <w:tab w:val="clear" w:pos="4153"/>
          <w:tab w:val="clear" w:pos="8306"/>
          <w:tab w:val="num" w:pos="1080"/>
        </w:tabs>
        <w:rPr>
          <w:szCs w:val="24"/>
        </w:rPr>
      </w:pPr>
    </w:p>
    <w:p w:rsidR="005F04DC" w:rsidRDefault="005F04DC" w:rsidP="005F04DC">
      <w:pPr>
        <w:pStyle w:val="Header"/>
        <w:tabs>
          <w:tab w:val="clear" w:pos="4153"/>
          <w:tab w:val="clear" w:pos="8306"/>
          <w:tab w:val="num" w:pos="1080"/>
        </w:tabs>
        <w:rPr>
          <w:szCs w:val="24"/>
          <w:u w:val="single"/>
        </w:rPr>
      </w:pPr>
      <w:r>
        <w:rPr>
          <w:szCs w:val="24"/>
          <w:u w:val="single"/>
        </w:rPr>
        <w:t>Sec</w:t>
      </w:r>
      <w:r w:rsidRPr="00A96CFE">
        <w:rPr>
          <w:szCs w:val="24"/>
          <w:u w:val="single"/>
        </w:rPr>
        <w:t>tion 4</w:t>
      </w:r>
      <w:r w:rsidR="004E7F97">
        <w:rPr>
          <w:szCs w:val="24"/>
          <w:u w:val="single"/>
        </w:rPr>
        <w:t xml:space="preserve"> – Schedule(s)</w:t>
      </w:r>
    </w:p>
    <w:p w:rsidR="0002704E" w:rsidRDefault="0002704E" w:rsidP="005F04DC">
      <w:pPr>
        <w:pStyle w:val="Header"/>
        <w:tabs>
          <w:tab w:val="clear" w:pos="4153"/>
          <w:tab w:val="clear" w:pos="8306"/>
          <w:tab w:val="num" w:pos="1080"/>
        </w:tabs>
        <w:rPr>
          <w:szCs w:val="24"/>
          <w:u w:val="single"/>
        </w:rPr>
      </w:pPr>
    </w:p>
    <w:p w:rsidR="0002704E" w:rsidRDefault="00704A1A" w:rsidP="005F04DC">
      <w:pPr>
        <w:pStyle w:val="Header"/>
        <w:tabs>
          <w:tab w:val="clear" w:pos="4153"/>
          <w:tab w:val="clear" w:pos="8306"/>
          <w:tab w:val="num" w:pos="1080"/>
        </w:tabs>
        <w:rPr>
          <w:szCs w:val="24"/>
        </w:rPr>
      </w:pPr>
      <w:r w:rsidRPr="00A96CFE">
        <w:rPr>
          <w:szCs w:val="24"/>
        </w:rPr>
        <w:t xml:space="preserve">This </w:t>
      </w:r>
      <w:r>
        <w:rPr>
          <w:szCs w:val="24"/>
        </w:rPr>
        <w:t xml:space="preserve">section provides that each instrument specified in a Schedule to the instrument is amended or repealed as set out in the applicable items in the Schedule concerned. </w:t>
      </w:r>
    </w:p>
    <w:p w:rsidR="00704A1A" w:rsidRDefault="00704A1A" w:rsidP="005F04DC">
      <w:pPr>
        <w:pStyle w:val="Header"/>
        <w:tabs>
          <w:tab w:val="clear" w:pos="4153"/>
          <w:tab w:val="clear" w:pos="8306"/>
          <w:tab w:val="num" w:pos="1080"/>
        </w:tabs>
        <w:rPr>
          <w:szCs w:val="24"/>
        </w:rPr>
      </w:pPr>
    </w:p>
    <w:p w:rsidR="0002704E" w:rsidRPr="00A96CFE" w:rsidRDefault="0002704E" w:rsidP="0002704E">
      <w:pPr>
        <w:pStyle w:val="Header"/>
        <w:tabs>
          <w:tab w:val="clear" w:pos="4153"/>
          <w:tab w:val="clear" w:pos="8306"/>
          <w:tab w:val="num" w:pos="1080"/>
        </w:tabs>
        <w:rPr>
          <w:szCs w:val="24"/>
          <w:u w:val="single"/>
        </w:rPr>
      </w:pPr>
      <w:r>
        <w:rPr>
          <w:szCs w:val="24"/>
          <w:u w:val="single"/>
        </w:rPr>
        <w:t>Sec</w:t>
      </w:r>
      <w:r w:rsidRPr="00A96CFE">
        <w:rPr>
          <w:szCs w:val="24"/>
          <w:u w:val="single"/>
        </w:rPr>
        <w:t>tion 5 – General medical services table</w:t>
      </w:r>
    </w:p>
    <w:p w:rsidR="0002704E" w:rsidRPr="00A96CFE" w:rsidRDefault="0002704E" w:rsidP="0002704E">
      <w:pPr>
        <w:pStyle w:val="Header"/>
        <w:tabs>
          <w:tab w:val="clear" w:pos="4153"/>
          <w:tab w:val="clear" w:pos="8306"/>
          <w:tab w:val="num" w:pos="1080"/>
        </w:tabs>
        <w:rPr>
          <w:sz w:val="16"/>
          <w:szCs w:val="16"/>
        </w:rPr>
      </w:pPr>
    </w:p>
    <w:p w:rsidR="0002704E" w:rsidRPr="00A96CFE" w:rsidRDefault="0002704E" w:rsidP="0002704E">
      <w:pPr>
        <w:pStyle w:val="Header"/>
        <w:tabs>
          <w:tab w:val="clear" w:pos="4153"/>
          <w:tab w:val="clear" w:pos="8306"/>
          <w:tab w:val="num" w:pos="1080"/>
        </w:tabs>
        <w:rPr>
          <w:szCs w:val="24"/>
        </w:rPr>
      </w:pPr>
      <w:r w:rsidRPr="00A96CFE">
        <w:rPr>
          <w:szCs w:val="24"/>
        </w:rPr>
        <w:t xml:space="preserve">This </w:t>
      </w:r>
      <w:r>
        <w:rPr>
          <w:szCs w:val="24"/>
        </w:rPr>
        <w:t>sec</w:t>
      </w:r>
      <w:r w:rsidRPr="00A96CFE">
        <w:rPr>
          <w:szCs w:val="24"/>
        </w:rPr>
        <w:t>tion provide</w:t>
      </w:r>
      <w:r w:rsidR="00805C3A">
        <w:rPr>
          <w:szCs w:val="24"/>
        </w:rPr>
        <w:t>s</w:t>
      </w:r>
      <w:r w:rsidRPr="00A96CFE">
        <w:rPr>
          <w:szCs w:val="24"/>
        </w:rPr>
        <w:t xml:space="preserve"> that the new table of general medical services (other than diagnostic imaging services and pathology services) set out in Schedule 1 be prescribed for subsection 4(1) of the Act.</w:t>
      </w:r>
    </w:p>
    <w:p w:rsidR="0002704E" w:rsidRDefault="0002704E" w:rsidP="005F04DC">
      <w:pPr>
        <w:pStyle w:val="Header"/>
        <w:tabs>
          <w:tab w:val="clear" w:pos="4153"/>
          <w:tab w:val="clear" w:pos="8306"/>
          <w:tab w:val="num" w:pos="1080"/>
        </w:tabs>
        <w:rPr>
          <w:szCs w:val="24"/>
        </w:rPr>
      </w:pPr>
    </w:p>
    <w:p w:rsidR="0002704E" w:rsidRPr="0002704E" w:rsidRDefault="0002704E" w:rsidP="005F04DC">
      <w:pPr>
        <w:pStyle w:val="Header"/>
        <w:tabs>
          <w:tab w:val="clear" w:pos="4153"/>
          <w:tab w:val="clear" w:pos="8306"/>
          <w:tab w:val="num" w:pos="1080"/>
        </w:tabs>
        <w:rPr>
          <w:szCs w:val="24"/>
          <w:u w:val="single"/>
        </w:rPr>
      </w:pPr>
      <w:r w:rsidRPr="0002704E">
        <w:rPr>
          <w:szCs w:val="24"/>
          <w:u w:val="single"/>
        </w:rPr>
        <w:t xml:space="preserve">Section 6 – Dictionary </w:t>
      </w:r>
    </w:p>
    <w:p w:rsidR="005F04DC" w:rsidRPr="00A96CFE" w:rsidRDefault="005F04DC" w:rsidP="005F04DC">
      <w:pPr>
        <w:pStyle w:val="Header"/>
        <w:tabs>
          <w:tab w:val="clear" w:pos="4153"/>
          <w:tab w:val="clear" w:pos="8306"/>
          <w:tab w:val="num" w:pos="1080"/>
        </w:tabs>
        <w:rPr>
          <w:szCs w:val="24"/>
          <w:u w:val="single"/>
        </w:rPr>
      </w:pPr>
    </w:p>
    <w:p w:rsidR="005F04DC" w:rsidRPr="00A96CFE" w:rsidRDefault="005F04DC" w:rsidP="005F04DC">
      <w:pPr>
        <w:pStyle w:val="Header"/>
        <w:tabs>
          <w:tab w:val="num" w:pos="1080"/>
        </w:tabs>
        <w:rPr>
          <w:szCs w:val="24"/>
        </w:rPr>
      </w:pPr>
      <w:r w:rsidRPr="00A96CFE">
        <w:rPr>
          <w:szCs w:val="24"/>
        </w:rPr>
        <w:t xml:space="preserve">This </w:t>
      </w:r>
      <w:r>
        <w:rPr>
          <w:szCs w:val="24"/>
        </w:rPr>
        <w:t>sec</w:t>
      </w:r>
      <w:r w:rsidRPr="00A96CFE">
        <w:rPr>
          <w:szCs w:val="24"/>
        </w:rPr>
        <w:t>tion provide</w:t>
      </w:r>
      <w:r w:rsidR="00ED7140">
        <w:rPr>
          <w:szCs w:val="24"/>
        </w:rPr>
        <w:t>s</w:t>
      </w:r>
      <w:r w:rsidRPr="00A96CFE">
        <w:rPr>
          <w:szCs w:val="24"/>
        </w:rPr>
        <w:t xml:space="preserve"> for a Dictionary at the end o</w:t>
      </w:r>
      <w:r>
        <w:rPr>
          <w:szCs w:val="24"/>
        </w:rPr>
        <w:t>f the regulation</w:t>
      </w:r>
      <w:r w:rsidRPr="00A96CFE">
        <w:rPr>
          <w:szCs w:val="24"/>
        </w:rPr>
        <w:t>, which define</w:t>
      </w:r>
      <w:r w:rsidR="00ED7140">
        <w:rPr>
          <w:szCs w:val="24"/>
        </w:rPr>
        <w:t>s</w:t>
      </w:r>
      <w:r w:rsidRPr="00A96CFE">
        <w:rPr>
          <w:szCs w:val="24"/>
        </w:rPr>
        <w:t xml:space="preserve"> certain wor</w:t>
      </w:r>
      <w:r>
        <w:rPr>
          <w:szCs w:val="24"/>
        </w:rPr>
        <w:t>ds and expressions used in the regulation</w:t>
      </w:r>
      <w:r w:rsidRPr="00A96CFE">
        <w:rPr>
          <w:szCs w:val="24"/>
        </w:rPr>
        <w:t>, and include</w:t>
      </w:r>
      <w:r w:rsidR="00ED7140">
        <w:rPr>
          <w:szCs w:val="24"/>
        </w:rPr>
        <w:t>s</w:t>
      </w:r>
      <w:r w:rsidRPr="00A96CFE">
        <w:rPr>
          <w:szCs w:val="24"/>
        </w:rPr>
        <w:t xml:space="preserve"> references to certain words and expressions whic</w:t>
      </w:r>
      <w:r>
        <w:rPr>
          <w:szCs w:val="24"/>
        </w:rPr>
        <w:t>h are defined elsewhere in the regulation</w:t>
      </w:r>
      <w:r w:rsidRPr="00A96CFE">
        <w:rPr>
          <w:szCs w:val="24"/>
        </w:rPr>
        <w:t>.</w:t>
      </w:r>
    </w:p>
    <w:p w:rsidR="005F04DC" w:rsidRPr="00A96CFE" w:rsidRDefault="005F04DC" w:rsidP="005F04DC">
      <w:pPr>
        <w:tabs>
          <w:tab w:val="num" w:pos="2289"/>
        </w:tabs>
        <w:rPr>
          <w:szCs w:val="24"/>
        </w:rPr>
      </w:pPr>
    </w:p>
    <w:p w:rsidR="005F04DC" w:rsidRDefault="005F04DC" w:rsidP="005F04DC">
      <w:pPr>
        <w:tabs>
          <w:tab w:val="num" w:pos="2289"/>
        </w:tabs>
        <w:rPr>
          <w:szCs w:val="24"/>
          <w:u w:val="single"/>
          <w:lang w:val="en-US" w:eastAsia="en-US"/>
        </w:rPr>
      </w:pPr>
      <w:r>
        <w:rPr>
          <w:szCs w:val="24"/>
          <w:u w:val="single"/>
          <w:lang w:val="en-US" w:eastAsia="en-US"/>
        </w:rPr>
        <w:t>Schedule 1 – General medical services table</w:t>
      </w:r>
    </w:p>
    <w:p w:rsidR="005F04DC" w:rsidRPr="00A96CFE" w:rsidRDefault="005F04DC" w:rsidP="005F04DC">
      <w:pPr>
        <w:tabs>
          <w:tab w:val="num" w:pos="2289"/>
        </w:tabs>
        <w:rPr>
          <w:szCs w:val="24"/>
        </w:rPr>
      </w:pPr>
    </w:p>
    <w:p w:rsidR="005F04DC" w:rsidRDefault="005F04DC" w:rsidP="003239D0">
      <w:pPr>
        <w:pStyle w:val="Heading1"/>
        <w:jc w:val="left"/>
        <w:rPr>
          <w:b w:val="0"/>
          <w:szCs w:val="24"/>
          <w:u w:val="none"/>
        </w:rPr>
      </w:pPr>
      <w:r w:rsidRPr="00A96CFE">
        <w:rPr>
          <w:b w:val="0"/>
          <w:szCs w:val="24"/>
          <w:u w:val="none"/>
        </w:rPr>
        <w:t xml:space="preserve">This </w:t>
      </w:r>
      <w:r>
        <w:rPr>
          <w:b w:val="0"/>
          <w:szCs w:val="24"/>
          <w:u w:val="none"/>
        </w:rPr>
        <w:t xml:space="preserve">part </w:t>
      </w:r>
      <w:r w:rsidRPr="00A96CFE">
        <w:rPr>
          <w:b w:val="0"/>
          <w:szCs w:val="24"/>
          <w:u w:val="none"/>
        </w:rPr>
        <w:t>of the</w:t>
      </w:r>
      <w:r w:rsidRPr="00A96CFE">
        <w:rPr>
          <w:szCs w:val="24"/>
          <w:u w:val="none"/>
        </w:rPr>
        <w:t xml:space="preserve"> </w:t>
      </w:r>
      <w:r>
        <w:rPr>
          <w:b w:val="0"/>
          <w:szCs w:val="24"/>
          <w:u w:val="none"/>
        </w:rPr>
        <w:t>regulation</w:t>
      </w:r>
      <w:r w:rsidRPr="00A96CFE">
        <w:rPr>
          <w:b w:val="0"/>
          <w:szCs w:val="24"/>
          <w:u w:val="none"/>
        </w:rPr>
        <w:t xml:space="preserve"> contain</w:t>
      </w:r>
      <w:r w:rsidR="00ED7140">
        <w:rPr>
          <w:b w:val="0"/>
          <w:szCs w:val="24"/>
          <w:u w:val="none"/>
        </w:rPr>
        <w:t>s</w:t>
      </w:r>
      <w:r w:rsidRPr="00A96CFE">
        <w:rPr>
          <w:b w:val="0"/>
          <w:szCs w:val="24"/>
          <w:u w:val="none"/>
        </w:rPr>
        <w:t xml:space="preserve"> the</w:t>
      </w:r>
      <w:r>
        <w:rPr>
          <w:b w:val="0"/>
          <w:szCs w:val="24"/>
          <w:u w:val="none"/>
        </w:rPr>
        <w:t xml:space="preserve"> fee increase</w:t>
      </w:r>
      <w:r w:rsidR="006979F5">
        <w:rPr>
          <w:b w:val="0"/>
          <w:szCs w:val="24"/>
          <w:u w:val="none"/>
        </w:rPr>
        <w:t xml:space="preserve"> of two</w:t>
      </w:r>
      <w:r>
        <w:rPr>
          <w:b w:val="0"/>
          <w:szCs w:val="24"/>
          <w:u w:val="none"/>
        </w:rPr>
        <w:t xml:space="preserve"> per cent for </w:t>
      </w:r>
      <w:r w:rsidR="0002704E">
        <w:rPr>
          <w:b w:val="0"/>
          <w:szCs w:val="24"/>
          <w:u w:val="none"/>
        </w:rPr>
        <w:t xml:space="preserve">the following </w:t>
      </w:r>
      <w:r>
        <w:rPr>
          <w:b w:val="0"/>
          <w:szCs w:val="24"/>
          <w:u w:val="none"/>
        </w:rPr>
        <w:t>items in the</w:t>
      </w:r>
      <w:r w:rsidR="0002704E">
        <w:rPr>
          <w:b w:val="0"/>
          <w:szCs w:val="24"/>
          <w:u w:val="none"/>
        </w:rPr>
        <w:t xml:space="preserve"> </w:t>
      </w:r>
      <w:r>
        <w:rPr>
          <w:b w:val="0"/>
          <w:szCs w:val="24"/>
          <w:u w:val="none"/>
        </w:rPr>
        <w:t xml:space="preserve">general medical services table: </w:t>
      </w:r>
    </w:p>
    <w:p w:rsidR="003239D0" w:rsidRPr="000F1714" w:rsidRDefault="003239D0" w:rsidP="003239D0"/>
    <w:p w:rsidR="00F42A9B" w:rsidRPr="000F1714" w:rsidRDefault="00F42A9B" w:rsidP="000F1714">
      <w:pPr>
        <w:pStyle w:val="ListParagraph"/>
        <w:numPr>
          <w:ilvl w:val="0"/>
          <w:numId w:val="18"/>
        </w:numPr>
      </w:pPr>
      <w:r w:rsidRPr="000F1714">
        <w:t xml:space="preserve">All </w:t>
      </w:r>
      <w:r w:rsidR="000F1714" w:rsidRPr="000F1714">
        <w:t xml:space="preserve">items in </w:t>
      </w:r>
      <w:r w:rsidRPr="000F1714">
        <w:t xml:space="preserve">Group A1 </w:t>
      </w:r>
    </w:p>
    <w:p w:rsidR="007368DC" w:rsidRPr="000F1714" w:rsidRDefault="00F42A9B" w:rsidP="000F1714">
      <w:pPr>
        <w:pStyle w:val="ListParagraph"/>
        <w:numPr>
          <w:ilvl w:val="0"/>
          <w:numId w:val="18"/>
        </w:numPr>
      </w:pPr>
      <w:r w:rsidRPr="000F1714">
        <w:t xml:space="preserve">All </w:t>
      </w:r>
      <w:r w:rsidR="000F1714" w:rsidRPr="000F1714">
        <w:t xml:space="preserve">items in </w:t>
      </w:r>
      <w:r w:rsidRPr="000F1714">
        <w:t xml:space="preserve">Group A5 </w:t>
      </w:r>
    </w:p>
    <w:p w:rsidR="00F27444" w:rsidRPr="000F1714" w:rsidRDefault="00F42A9B" w:rsidP="000F1714">
      <w:pPr>
        <w:pStyle w:val="ListParagraph"/>
        <w:numPr>
          <w:ilvl w:val="0"/>
          <w:numId w:val="18"/>
        </w:numPr>
      </w:pPr>
      <w:r w:rsidRPr="000F1714">
        <w:t xml:space="preserve">All </w:t>
      </w:r>
      <w:r w:rsidR="000F1714" w:rsidRPr="000F1714">
        <w:t xml:space="preserve">items in </w:t>
      </w:r>
      <w:r w:rsidRPr="000F1714">
        <w:t xml:space="preserve">Group A6 </w:t>
      </w:r>
    </w:p>
    <w:p w:rsidR="00F27444" w:rsidRPr="000F1714" w:rsidRDefault="000F1714" w:rsidP="000F1714">
      <w:pPr>
        <w:pStyle w:val="ListParagraph"/>
        <w:numPr>
          <w:ilvl w:val="0"/>
          <w:numId w:val="18"/>
        </w:numPr>
      </w:pPr>
      <w:r w:rsidRPr="000F1714">
        <w:t xml:space="preserve">Items 193, 195, 197, and 199 in </w:t>
      </w:r>
      <w:r w:rsidR="00F27444" w:rsidRPr="000F1714">
        <w:t xml:space="preserve">Group A7 </w:t>
      </w:r>
    </w:p>
    <w:p w:rsidR="00F27444" w:rsidRPr="000F1714" w:rsidRDefault="000F1714" w:rsidP="000F1714">
      <w:pPr>
        <w:pStyle w:val="ListParagraph"/>
        <w:numPr>
          <w:ilvl w:val="0"/>
          <w:numId w:val="18"/>
        </w:numPr>
      </w:pPr>
      <w:r w:rsidRPr="000F1714">
        <w:t xml:space="preserve">Items 597 and 599 in </w:t>
      </w:r>
      <w:r w:rsidR="00F27444" w:rsidRPr="000F1714">
        <w:t xml:space="preserve">Group A11 </w:t>
      </w:r>
    </w:p>
    <w:p w:rsidR="00F27444" w:rsidRPr="000F1714" w:rsidRDefault="000F1714" w:rsidP="000F1714">
      <w:pPr>
        <w:pStyle w:val="ListParagraph"/>
        <w:numPr>
          <w:ilvl w:val="0"/>
          <w:numId w:val="18"/>
        </w:numPr>
      </w:pPr>
      <w:r w:rsidRPr="000F1714">
        <w:t xml:space="preserve">Items 701 to 715 in </w:t>
      </w:r>
      <w:r w:rsidR="00F27444" w:rsidRPr="000F1714">
        <w:t xml:space="preserve">Group A14 </w:t>
      </w:r>
    </w:p>
    <w:p w:rsidR="00F27444" w:rsidRPr="000F1714" w:rsidRDefault="000F1714" w:rsidP="000F1714">
      <w:pPr>
        <w:pStyle w:val="ListParagraph"/>
        <w:numPr>
          <w:ilvl w:val="0"/>
          <w:numId w:val="18"/>
        </w:numPr>
      </w:pPr>
      <w:r w:rsidRPr="000F1714">
        <w:t xml:space="preserve">Items 721 to 758 in </w:t>
      </w:r>
      <w:r w:rsidR="00F27444" w:rsidRPr="000F1714">
        <w:t xml:space="preserve">Group A15 </w:t>
      </w:r>
    </w:p>
    <w:p w:rsidR="00044A2A" w:rsidRPr="000F1714" w:rsidRDefault="00044A2A" w:rsidP="000F1714">
      <w:pPr>
        <w:pStyle w:val="ListParagraph"/>
        <w:numPr>
          <w:ilvl w:val="0"/>
          <w:numId w:val="18"/>
        </w:numPr>
      </w:pPr>
      <w:r w:rsidRPr="000F1714">
        <w:t xml:space="preserve">All </w:t>
      </w:r>
      <w:r w:rsidR="000F1714" w:rsidRPr="000F1714">
        <w:t xml:space="preserve">items in </w:t>
      </w:r>
      <w:r w:rsidRPr="000F1714">
        <w:t xml:space="preserve">Group A17 </w:t>
      </w:r>
    </w:p>
    <w:p w:rsidR="00044A2A" w:rsidRPr="000F1714" w:rsidRDefault="00044A2A" w:rsidP="000F1714">
      <w:pPr>
        <w:pStyle w:val="ListParagraph"/>
        <w:numPr>
          <w:ilvl w:val="0"/>
          <w:numId w:val="18"/>
        </w:numPr>
      </w:pPr>
      <w:r w:rsidRPr="000F1714">
        <w:t xml:space="preserve">All </w:t>
      </w:r>
      <w:r w:rsidR="000F1714" w:rsidRPr="000F1714">
        <w:t xml:space="preserve">items in </w:t>
      </w:r>
      <w:r w:rsidRPr="000F1714">
        <w:t>Group A18</w:t>
      </w:r>
    </w:p>
    <w:p w:rsidR="00044A2A" w:rsidRPr="000F1714" w:rsidRDefault="00044A2A" w:rsidP="000F1714">
      <w:pPr>
        <w:pStyle w:val="ListParagraph"/>
        <w:numPr>
          <w:ilvl w:val="0"/>
          <w:numId w:val="18"/>
        </w:numPr>
      </w:pPr>
      <w:r w:rsidRPr="000F1714">
        <w:t xml:space="preserve">All </w:t>
      </w:r>
      <w:r w:rsidR="000F1714" w:rsidRPr="000F1714">
        <w:t xml:space="preserve">items in </w:t>
      </w:r>
      <w:r w:rsidRPr="000F1714">
        <w:t xml:space="preserve">Group A20 </w:t>
      </w:r>
    </w:p>
    <w:p w:rsidR="00044A2A" w:rsidRPr="000F1714" w:rsidRDefault="00044A2A" w:rsidP="000F1714">
      <w:pPr>
        <w:pStyle w:val="ListParagraph"/>
        <w:numPr>
          <w:ilvl w:val="0"/>
          <w:numId w:val="18"/>
        </w:numPr>
      </w:pPr>
      <w:r w:rsidRPr="000F1714">
        <w:t xml:space="preserve">All </w:t>
      </w:r>
      <w:r w:rsidR="000F1714" w:rsidRPr="000F1714">
        <w:t xml:space="preserve">items in </w:t>
      </w:r>
      <w:r w:rsidRPr="000F1714">
        <w:t>Group A22</w:t>
      </w:r>
    </w:p>
    <w:p w:rsidR="0041237F" w:rsidRPr="000F1714" w:rsidRDefault="00044A2A" w:rsidP="000F1714">
      <w:pPr>
        <w:pStyle w:val="ListParagraph"/>
        <w:numPr>
          <w:ilvl w:val="0"/>
          <w:numId w:val="18"/>
        </w:numPr>
      </w:pPr>
      <w:r w:rsidRPr="000F1714">
        <w:lastRenderedPageBreak/>
        <w:t xml:space="preserve">All </w:t>
      </w:r>
      <w:r w:rsidR="000F1714" w:rsidRPr="000F1714">
        <w:t xml:space="preserve">items in </w:t>
      </w:r>
      <w:r w:rsidRPr="000F1714">
        <w:t>Group A27</w:t>
      </w:r>
    </w:p>
    <w:p w:rsidR="007F6ABA" w:rsidRDefault="000F1714" w:rsidP="000F1714">
      <w:pPr>
        <w:pStyle w:val="ListParagraph"/>
        <w:numPr>
          <w:ilvl w:val="0"/>
          <w:numId w:val="18"/>
        </w:numPr>
      </w:pPr>
      <w:r w:rsidRPr="000F1714">
        <w:t xml:space="preserve">Item 139 in </w:t>
      </w:r>
      <w:r w:rsidR="007F6ABA" w:rsidRPr="000F1714">
        <w:t xml:space="preserve">Group A29 </w:t>
      </w:r>
    </w:p>
    <w:p w:rsidR="004A56D3" w:rsidRPr="000F1714" w:rsidRDefault="004A56D3" w:rsidP="000F1714">
      <w:pPr>
        <w:pStyle w:val="ListParagraph"/>
        <w:numPr>
          <w:ilvl w:val="0"/>
          <w:numId w:val="18"/>
        </w:numPr>
      </w:pPr>
      <w:r>
        <w:t>All items in Group A30</w:t>
      </w:r>
    </w:p>
    <w:p w:rsidR="007368DC" w:rsidRDefault="000F1714" w:rsidP="000F1714">
      <w:pPr>
        <w:pStyle w:val="ListParagraph"/>
        <w:numPr>
          <w:ilvl w:val="0"/>
          <w:numId w:val="18"/>
        </w:numPr>
      </w:pPr>
      <w:r w:rsidRPr="000F1714">
        <w:t xml:space="preserve">All </w:t>
      </w:r>
      <w:r w:rsidR="00915B08">
        <w:t xml:space="preserve">items in </w:t>
      </w:r>
      <w:r w:rsidRPr="000F1714">
        <w:t>Group</w:t>
      </w:r>
      <w:r w:rsidR="007F6ABA" w:rsidRPr="000F1714">
        <w:t xml:space="preserve"> M1</w:t>
      </w:r>
    </w:p>
    <w:p w:rsidR="00704A1A" w:rsidRDefault="00704A1A" w:rsidP="00704A1A"/>
    <w:p w:rsidR="00704A1A" w:rsidRDefault="00704A1A" w:rsidP="00704A1A">
      <w:r>
        <w:t>This part of the regulation also contain</w:t>
      </w:r>
      <w:r w:rsidR="00B316E7">
        <w:t>s</w:t>
      </w:r>
      <w:r w:rsidR="003239D0">
        <w:t xml:space="preserve"> the following </w:t>
      </w:r>
      <w:r w:rsidR="003239D0">
        <w:rPr>
          <w:szCs w:val="24"/>
        </w:rPr>
        <w:t>minor changes to Medicare services</w:t>
      </w:r>
      <w:r>
        <w:t>:</w:t>
      </w:r>
    </w:p>
    <w:p w:rsidR="00704A1A" w:rsidRDefault="00704A1A" w:rsidP="00704A1A"/>
    <w:p w:rsidR="00704A1A" w:rsidRPr="00704A1A" w:rsidRDefault="00D40645" w:rsidP="00704A1A">
      <w:pPr>
        <w:pStyle w:val="ListParagraph"/>
        <w:numPr>
          <w:ilvl w:val="0"/>
          <w:numId w:val="14"/>
        </w:numPr>
      </w:pPr>
      <w:r>
        <w:t>T</w:t>
      </w:r>
      <w:r w:rsidR="00502156">
        <w:t>he listing of t</w:t>
      </w:r>
      <w:r w:rsidR="00704A1A">
        <w:t xml:space="preserve">wo new transcatheter items (38273 and 38274) and the inclusion of the words </w:t>
      </w:r>
      <w:r w:rsidR="00704A1A" w:rsidRPr="00332251">
        <w:rPr>
          <w:rFonts w:eastAsia="Calibri"/>
          <w:i/>
          <w:szCs w:val="24"/>
          <w:lang w:eastAsia="en-US"/>
        </w:rPr>
        <w:t>‘for congenital heart disease’</w:t>
      </w:r>
      <w:r w:rsidR="00704A1A">
        <w:rPr>
          <w:rFonts w:eastAsia="Calibri"/>
          <w:i/>
          <w:szCs w:val="24"/>
          <w:lang w:eastAsia="en-US"/>
        </w:rPr>
        <w:t xml:space="preserve"> </w:t>
      </w:r>
      <w:r w:rsidR="00704A1A">
        <w:rPr>
          <w:rFonts w:eastAsia="Calibri"/>
          <w:szCs w:val="24"/>
          <w:lang w:eastAsia="en-US"/>
        </w:rPr>
        <w:t xml:space="preserve">in </w:t>
      </w:r>
      <w:r w:rsidR="00704A1A" w:rsidRPr="00332251">
        <w:rPr>
          <w:bCs/>
          <w:szCs w:val="24"/>
        </w:rPr>
        <w:t>item 38751</w:t>
      </w:r>
      <w:r>
        <w:rPr>
          <w:bCs/>
          <w:szCs w:val="24"/>
        </w:rPr>
        <w:t>;</w:t>
      </w:r>
    </w:p>
    <w:p w:rsidR="00704A1A" w:rsidRPr="00704A1A" w:rsidRDefault="00502156" w:rsidP="00704A1A">
      <w:pPr>
        <w:pStyle w:val="ListParagraph"/>
        <w:numPr>
          <w:ilvl w:val="0"/>
          <w:numId w:val="14"/>
        </w:numPr>
      </w:pPr>
      <w:r>
        <w:t>Amendments to four ophthalmology items</w:t>
      </w:r>
      <w:r w:rsidR="00704A1A" w:rsidRPr="00A00F2B">
        <w:t xml:space="preserve"> (42653, 42808, 42794, and 42744)</w:t>
      </w:r>
      <w:r w:rsidR="00704A1A">
        <w:t xml:space="preserve">, and the removal of four redundant </w:t>
      </w:r>
      <w:r w:rsidR="00704A1A" w:rsidRPr="00704A1A">
        <w:rPr>
          <w:szCs w:val="24"/>
        </w:rPr>
        <w:t>ophthalmology items (42621, 42659, 42737, and 42797)</w:t>
      </w:r>
      <w:r w:rsidR="00D40645">
        <w:rPr>
          <w:szCs w:val="24"/>
        </w:rPr>
        <w:t>;</w:t>
      </w:r>
    </w:p>
    <w:p w:rsidR="007505FB" w:rsidRPr="004849DE" w:rsidRDefault="00704A1A" w:rsidP="007505FB">
      <w:pPr>
        <w:pStyle w:val="ListParagraph"/>
        <w:numPr>
          <w:ilvl w:val="0"/>
          <w:numId w:val="14"/>
        </w:numPr>
      </w:pPr>
      <w:r>
        <w:rPr>
          <w:rFonts w:eastAsia="Calibri"/>
          <w:szCs w:val="24"/>
          <w:lang w:eastAsia="en-US"/>
        </w:rPr>
        <w:t>Amendments to</w:t>
      </w:r>
      <w:r w:rsidRPr="00332251">
        <w:rPr>
          <w:rFonts w:eastAsia="Calibri"/>
          <w:szCs w:val="24"/>
          <w:lang w:eastAsia="en-US"/>
        </w:rPr>
        <w:t xml:space="preserve"> </w:t>
      </w:r>
      <w:r w:rsidRPr="00332251">
        <w:rPr>
          <w:rFonts w:eastAsia="Calibri"/>
          <w:lang w:eastAsia="en-US"/>
        </w:rPr>
        <w:t xml:space="preserve">cardiac resychronisation items </w:t>
      </w:r>
      <w:r w:rsidR="00CC26A8">
        <w:rPr>
          <w:rFonts w:eastAsia="Calibri"/>
          <w:lang w:eastAsia="en-US"/>
        </w:rPr>
        <w:t>to clarify the types of heart conditions that mus</w:t>
      </w:r>
      <w:r w:rsidR="004E22A7">
        <w:rPr>
          <w:rFonts w:eastAsia="Calibri"/>
          <w:lang w:eastAsia="en-US"/>
        </w:rPr>
        <w:t xml:space="preserve">t be present before eligibility </w:t>
      </w:r>
      <w:r w:rsidR="00CC26A8">
        <w:rPr>
          <w:rFonts w:eastAsia="Calibri"/>
          <w:lang w:eastAsia="en-US"/>
        </w:rPr>
        <w:t xml:space="preserve">for items 38365, 38368, 38371 and 38654. Clause 2.44.16 is now redundant and has been deleted because the restrictions in clause 2.44.16 have been inserted in the descriptors for items </w:t>
      </w:r>
      <w:r w:rsidR="00AE1821">
        <w:rPr>
          <w:rFonts w:eastAsia="Calibri"/>
          <w:lang w:eastAsia="en-US"/>
        </w:rPr>
        <w:t>38365, 38368</w:t>
      </w:r>
      <w:r w:rsidR="00D40645">
        <w:rPr>
          <w:rFonts w:eastAsia="Calibri"/>
          <w:lang w:eastAsia="en-US"/>
        </w:rPr>
        <w:t>, 38371, and 38654;</w:t>
      </w:r>
    </w:p>
    <w:p w:rsidR="007505FB" w:rsidRPr="007505FB" w:rsidRDefault="007505FB" w:rsidP="007505FB">
      <w:pPr>
        <w:pStyle w:val="ListParagraph"/>
        <w:numPr>
          <w:ilvl w:val="0"/>
          <w:numId w:val="14"/>
        </w:numPr>
      </w:pPr>
      <w:r w:rsidRPr="007505FB">
        <w:rPr>
          <w:rFonts w:eastAsia="Calibri"/>
          <w:lang w:eastAsia="en-US"/>
        </w:rPr>
        <w:t xml:space="preserve">A new </w:t>
      </w:r>
      <w:r w:rsidRPr="007505FB">
        <w:t>eligible group</w:t>
      </w:r>
      <w:r w:rsidR="003239D0">
        <w:rPr>
          <w:rFonts w:eastAsia="Calibri"/>
          <w:color w:val="000000"/>
          <w:lang w:eastAsia="en-US"/>
        </w:rPr>
        <w:t xml:space="preserve">, </w:t>
      </w:r>
      <w:r w:rsidRPr="007505FB">
        <w:rPr>
          <w:rFonts w:eastAsia="Calibri"/>
          <w:color w:val="000000"/>
          <w:lang w:eastAsia="en-US"/>
        </w:rPr>
        <w:t>former serving members o</w:t>
      </w:r>
      <w:r w:rsidR="00915B08">
        <w:rPr>
          <w:rFonts w:eastAsia="Calibri"/>
          <w:color w:val="000000"/>
          <w:lang w:eastAsia="en-US"/>
        </w:rPr>
        <w:t>f the ADF</w:t>
      </w:r>
      <w:r w:rsidRPr="007505FB">
        <w:rPr>
          <w:rFonts w:eastAsia="Calibri"/>
          <w:color w:val="000000"/>
          <w:lang w:eastAsia="en-US"/>
        </w:rPr>
        <w:t xml:space="preserve"> </w:t>
      </w:r>
      <w:r w:rsidRPr="007505FB">
        <w:t>at risk of developing mental or physical health problems</w:t>
      </w:r>
      <w:r w:rsidR="003239D0">
        <w:rPr>
          <w:rFonts w:eastAsia="Calibri"/>
          <w:color w:val="000000"/>
          <w:lang w:eastAsia="en-US"/>
        </w:rPr>
        <w:t>,</w:t>
      </w:r>
      <w:r w:rsidRPr="007505FB">
        <w:rPr>
          <w:rFonts w:eastAsia="Calibri"/>
          <w:color w:val="000000"/>
          <w:lang w:eastAsia="en-US"/>
        </w:rPr>
        <w:t xml:space="preserve"> to be able to claim the four time-tiered MBS Health Assessment Items (701, 703, 705 and 707) contain</w:t>
      </w:r>
      <w:r w:rsidR="00D40645">
        <w:rPr>
          <w:rFonts w:eastAsia="Calibri"/>
          <w:color w:val="000000"/>
          <w:lang w:eastAsia="en-US"/>
        </w:rPr>
        <w:t xml:space="preserve">ed in Division 2.16 - Group A14; and </w:t>
      </w:r>
    </w:p>
    <w:p w:rsidR="007505FB" w:rsidRPr="00235ED5" w:rsidRDefault="00AE1821" w:rsidP="00704A1A">
      <w:pPr>
        <w:pStyle w:val="ListParagraph"/>
        <w:numPr>
          <w:ilvl w:val="0"/>
          <w:numId w:val="14"/>
        </w:numPr>
      </w:pPr>
      <w:r>
        <w:t>Two</w:t>
      </w:r>
      <w:r w:rsidR="007505FB">
        <w:t xml:space="preserve"> new</w:t>
      </w:r>
      <w:r>
        <w:t xml:space="preserve"> mastectomy items (31519</w:t>
      </w:r>
      <w:r w:rsidR="007505FB">
        <w:t xml:space="preserve"> </w:t>
      </w:r>
      <w:r w:rsidR="003239D0">
        <w:t xml:space="preserve">and </w:t>
      </w:r>
      <w:r w:rsidR="007505FB">
        <w:t>31525</w:t>
      </w:r>
      <w:r w:rsidR="003239D0">
        <w:t>)</w:t>
      </w:r>
      <w:r>
        <w:t>, one amended mastectomy item (31524)</w:t>
      </w:r>
      <w:r w:rsidR="000D4D45">
        <w:t>,</w:t>
      </w:r>
      <w:r w:rsidR="007505FB">
        <w:t xml:space="preserve"> and the deletion of </w:t>
      </w:r>
      <w:r>
        <w:t xml:space="preserve">three </w:t>
      </w:r>
      <w:r w:rsidR="003239D0">
        <w:t xml:space="preserve">now defunct </w:t>
      </w:r>
      <w:r w:rsidR="007505FB">
        <w:t xml:space="preserve">mastectomy items </w:t>
      </w:r>
      <w:r w:rsidR="00915B08">
        <w:t>(</w:t>
      </w:r>
      <w:r>
        <w:t xml:space="preserve">31518, 31521 </w:t>
      </w:r>
      <w:r w:rsidR="007505FB">
        <w:t>and 31527</w:t>
      </w:r>
      <w:r w:rsidR="00915B08">
        <w:t>)</w:t>
      </w:r>
      <w:r w:rsidR="003239D0">
        <w:t>.</w:t>
      </w:r>
    </w:p>
    <w:p w:rsidR="005F04DC" w:rsidRDefault="005F04DC" w:rsidP="003239D0">
      <w:pPr>
        <w:rPr>
          <w:szCs w:val="24"/>
          <w:u w:val="single"/>
        </w:rPr>
      </w:pPr>
    </w:p>
    <w:p w:rsidR="00704A1A" w:rsidRDefault="004E7F97" w:rsidP="00704A1A">
      <w:pPr>
        <w:pStyle w:val="BodyText"/>
        <w:rPr>
          <w:b w:val="0"/>
          <w:u w:val="single"/>
        </w:rPr>
      </w:pPr>
      <w:r>
        <w:rPr>
          <w:b w:val="0"/>
          <w:u w:val="single"/>
        </w:rPr>
        <w:t>Schedule 2 – Repeal</w:t>
      </w:r>
    </w:p>
    <w:p w:rsidR="00704A1A" w:rsidRPr="00650AFA" w:rsidRDefault="00704A1A" w:rsidP="00704A1A">
      <w:pPr>
        <w:pStyle w:val="BodyText"/>
        <w:rPr>
          <w:b w:val="0"/>
          <w:sz w:val="16"/>
          <w:szCs w:val="16"/>
          <w:u w:val="single"/>
        </w:rPr>
      </w:pPr>
    </w:p>
    <w:p w:rsidR="0018451D" w:rsidRDefault="00704A1A" w:rsidP="003239D0">
      <w:pPr>
        <w:pStyle w:val="BodyText"/>
        <w:rPr>
          <w:b w:val="0"/>
        </w:rPr>
      </w:pPr>
      <w:r>
        <w:rPr>
          <w:b w:val="0"/>
        </w:rPr>
        <w:t>This section repeal</w:t>
      </w:r>
      <w:r w:rsidR="00B316E7">
        <w:rPr>
          <w:b w:val="0"/>
        </w:rPr>
        <w:t>s</w:t>
      </w:r>
      <w:r>
        <w:rPr>
          <w:b w:val="0"/>
        </w:rPr>
        <w:t xml:space="preserve"> the </w:t>
      </w:r>
      <w:r>
        <w:rPr>
          <w:b w:val="0"/>
          <w:i/>
        </w:rPr>
        <w:t>Health Insurance (General Medical</w:t>
      </w:r>
      <w:r w:rsidR="003239D0">
        <w:rPr>
          <w:b w:val="0"/>
          <w:i/>
        </w:rPr>
        <w:t xml:space="preserve"> Services Table) Regulation 2013</w:t>
      </w:r>
      <w:r>
        <w:rPr>
          <w:b w:val="0"/>
        </w:rPr>
        <w:t xml:space="preserve">. </w:t>
      </w:r>
    </w:p>
    <w:p w:rsidR="00445A6D" w:rsidRPr="00672050" w:rsidRDefault="00445A6D" w:rsidP="00672050">
      <w:pPr>
        <w:spacing w:after="200" w:line="276" w:lineRule="auto"/>
      </w:pPr>
      <w:r>
        <w:rPr>
          <w:b/>
        </w:rPr>
        <w:br w:type="page"/>
      </w:r>
    </w:p>
    <w:p w:rsidR="00445A6D" w:rsidRPr="00D664E6" w:rsidRDefault="00445A6D" w:rsidP="00445A6D">
      <w:pPr>
        <w:spacing w:before="360" w:after="120"/>
        <w:jc w:val="center"/>
        <w:rPr>
          <w:b/>
          <w:sz w:val="28"/>
          <w:szCs w:val="28"/>
        </w:rPr>
      </w:pPr>
      <w:r w:rsidRPr="00D664E6">
        <w:rPr>
          <w:b/>
          <w:sz w:val="28"/>
          <w:szCs w:val="28"/>
        </w:rPr>
        <w:lastRenderedPageBreak/>
        <w:t>Statement of Compatibility with Human Rights</w:t>
      </w:r>
    </w:p>
    <w:p w:rsidR="00445A6D" w:rsidRPr="00D664E6" w:rsidRDefault="00445A6D" w:rsidP="00445A6D">
      <w:pPr>
        <w:spacing w:before="120" w:after="120"/>
        <w:jc w:val="center"/>
        <w:rPr>
          <w:szCs w:val="24"/>
        </w:rPr>
      </w:pPr>
      <w:r w:rsidRPr="00D664E6">
        <w:rPr>
          <w:i/>
          <w:szCs w:val="24"/>
        </w:rPr>
        <w:t>Prepared in accordance with Part 3 of the Human Rights (Parliamentary Scrutiny) Act 2011</w:t>
      </w:r>
    </w:p>
    <w:p w:rsidR="00445A6D" w:rsidRPr="00D664E6" w:rsidRDefault="00445A6D" w:rsidP="00445A6D">
      <w:pPr>
        <w:spacing w:before="120" w:after="120"/>
        <w:jc w:val="center"/>
        <w:rPr>
          <w:szCs w:val="24"/>
        </w:rPr>
      </w:pPr>
    </w:p>
    <w:p w:rsidR="00445A6D" w:rsidRDefault="00445A6D" w:rsidP="00445A6D">
      <w:pPr>
        <w:spacing w:before="120" w:after="120"/>
        <w:jc w:val="center"/>
        <w:rPr>
          <w:b/>
          <w:i/>
          <w:szCs w:val="24"/>
        </w:rPr>
      </w:pPr>
      <w:r w:rsidRPr="00893F87">
        <w:rPr>
          <w:b/>
          <w:i/>
          <w:szCs w:val="24"/>
        </w:rPr>
        <w:t>Health Insurance (General Medical S</w:t>
      </w:r>
      <w:r>
        <w:rPr>
          <w:b/>
          <w:i/>
          <w:szCs w:val="24"/>
        </w:rPr>
        <w:t>ervices Table) Regulation 2014</w:t>
      </w:r>
    </w:p>
    <w:p w:rsidR="00445A6D" w:rsidRPr="00D664E6" w:rsidRDefault="00445A6D" w:rsidP="00445A6D">
      <w:pPr>
        <w:spacing w:before="120" w:after="120"/>
        <w:jc w:val="center"/>
        <w:rPr>
          <w:szCs w:val="24"/>
        </w:rPr>
      </w:pPr>
    </w:p>
    <w:p w:rsidR="00445A6D" w:rsidRPr="00D664E6" w:rsidRDefault="00445A6D" w:rsidP="00445A6D">
      <w:pPr>
        <w:spacing w:before="120" w:after="120"/>
        <w:jc w:val="center"/>
        <w:rPr>
          <w:szCs w:val="24"/>
        </w:rPr>
      </w:pPr>
      <w:r>
        <w:rPr>
          <w:szCs w:val="24"/>
        </w:rPr>
        <w:t xml:space="preserve">This </w:t>
      </w:r>
      <w:r w:rsidRPr="00D664E6">
        <w:rPr>
          <w:szCs w:val="24"/>
        </w:rPr>
        <w:t xml:space="preserve">Legislative Instrument is compatible with the human rights and freedoms recognised or declared in the international instruments listed in section 3 of the </w:t>
      </w:r>
      <w:r w:rsidRPr="00D664E6">
        <w:rPr>
          <w:i/>
          <w:szCs w:val="24"/>
        </w:rPr>
        <w:t>Human Rights (Parliamentary Scrutiny) Act 2011</w:t>
      </w:r>
      <w:r w:rsidRPr="00D664E6">
        <w:rPr>
          <w:szCs w:val="24"/>
        </w:rPr>
        <w:t>.</w:t>
      </w:r>
    </w:p>
    <w:p w:rsidR="00445A6D" w:rsidRPr="00D664E6" w:rsidRDefault="00445A6D" w:rsidP="00445A6D">
      <w:pPr>
        <w:spacing w:before="120" w:after="120"/>
        <w:jc w:val="center"/>
        <w:rPr>
          <w:szCs w:val="24"/>
        </w:rPr>
      </w:pPr>
    </w:p>
    <w:p w:rsidR="00445A6D" w:rsidRPr="00673453" w:rsidRDefault="00445A6D" w:rsidP="00445A6D">
      <w:pPr>
        <w:spacing w:before="120" w:after="120"/>
        <w:jc w:val="both"/>
        <w:rPr>
          <w:b/>
          <w:szCs w:val="24"/>
        </w:rPr>
      </w:pPr>
      <w:r>
        <w:rPr>
          <w:b/>
          <w:szCs w:val="24"/>
        </w:rPr>
        <w:t xml:space="preserve">Overview of the </w:t>
      </w:r>
      <w:r w:rsidRPr="00D664E6">
        <w:rPr>
          <w:b/>
          <w:szCs w:val="24"/>
        </w:rPr>
        <w:t>Legislative In</w:t>
      </w:r>
      <w:r>
        <w:rPr>
          <w:b/>
          <w:szCs w:val="24"/>
        </w:rPr>
        <w:t>strument</w:t>
      </w:r>
    </w:p>
    <w:p w:rsidR="00445A6D" w:rsidRPr="00893F87" w:rsidRDefault="00445A6D" w:rsidP="00445A6D">
      <w:pPr>
        <w:spacing w:before="120" w:after="120"/>
      </w:pPr>
      <w:r w:rsidRPr="00893F87">
        <w:rPr>
          <w:szCs w:val="24"/>
        </w:rPr>
        <w:t xml:space="preserve">The </w:t>
      </w:r>
      <w:r w:rsidRPr="00893F87">
        <w:rPr>
          <w:i/>
          <w:szCs w:val="24"/>
        </w:rPr>
        <w:t>Health Insurance (General Medical Services Table) Regulation 2014</w:t>
      </w:r>
      <w:r w:rsidRPr="00893F87">
        <w:rPr>
          <w:b/>
          <w:i/>
          <w:szCs w:val="24"/>
        </w:rPr>
        <w:t xml:space="preserve"> </w:t>
      </w:r>
      <w:r w:rsidRPr="00893F87">
        <w:rPr>
          <w:szCs w:val="24"/>
        </w:rPr>
        <w:t>repeals</w:t>
      </w:r>
      <w:r w:rsidRPr="00893F87">
        <w:rPr>
          <w:b/>
          <w:szCs w:val="24"/>
        </w:rPr>
        <w:t xml:space="preserve"> </w:t>
      </w:r>
      <w:r w:rsidRPr="00893F87">
        <w:rPr>
          <w:szCs w:val="24"/>
        </w:rPr>
        <w:t xml:space="preserve">the </w:t>
      </w:r>
      <w:r w:rsidRPr="00893F87">
        <w:rPr>
          <w:i/>
          <w:szCs w:val="24"/>
        </w:rPr>
        <w:t>Health Insurance (General Medical Services Table) Regulation 2013</w:t>
      </w:r>
      <w:r w:rsidRPr="00893F87">
        <w:rPr>
          <w:szCs w:val="24"/>
        </w:rPr>
        <w:t xml:space="preserve"> to </w:t>
      </w:r>
      <w:r w:rsidRPr="00893F87">
        <w:t xml:space="preserve">ensure that the medical services funded through the Medicare Benefits Schedule (MBS) continue to be up-to-date, representative of best medical practice, and reflective of government commitments. </w:t>
      </w:r>
    </w:p>
    <w:p w:rsidR="00445A6D" w:rsidRDefault="00445A6D" w:rsidP="00445A6D">
      <w:r w:rsidRPr="00893F87">
        <w:t>In accordance with s</w:t>
      </w:r>
      <w:r>
        <w:t>ection</w:t>
      </w:r>
      <w:r w:rsidRPr="00893F87">
        <w:t xml:space="preserve"> 4</w:t>
      </w:r>
      <w:r>
        <w:t>(1)</w:t>
      </w:r>
      <w:r w:rsidRPr="00893F87">
        <w:t xml:space="preserve"> of the </w:t>
      </w:r>
      <w:r w:rsidRPr="00893F87">
        <w:rPr>
          <w:i/>
        </w:rPr>
        <w:t>Health Insurance Act 1973</w:t>
      </w:r>
      <w:r>
        <w:t>, the regulation</w:t>
      </w:r>
      <w:r w:rsidRPr="00893F87">
        <w:t xml:space="preserve"> prescribe</w:t>
      </w:r>
      <w:r>
        <w:t>s a table of medical</w:t>
      </w:r>
      <w:r w:rsidRPr="00893F87">
        <w:t xml:space="preserve"> services containing: items of services, the amounts of fees applicable for each item, and rules for interpretation. </w:t>
      </w:r>
      <w:r>
        <w:t>A</w:t>
      </w:r>
      <w:r w:rsidRPr="00893F87">
        <w:t>mendm</w:t>
      </w:r>
      <w:r>
        <w:t>ents to the regulation</w:t>
      </w:r>
      <w:r w:rsidRPr="00893F87">
        <w:t xml:space="preserve"> include:</w:t>
      </w:r>
    </w:p>
    <w:p w:rsidR="00445A6D" w:rsidRPr="00893F87" w:rsidRDefault="00445A6D" w:rsidP="00445A6D"/>
    <w:p w:rsidR="00C74739" w:rsidRDefault="006979F5" w:rsidP="00445A6D">
      <w:pPr>
        <w:numPr>
          <w:ilvl w:val="0"/>
          <w:numId w:val="6"/>
        </w:numPr>
        <w:rPr>
          <w:szCs w:val="24"/>
        </w:rPr>
      </w:pPr>
      <w:r>
        <w:rPr>
          <w:szCs w:val="24"/>
        </w:rPr>
        <w:t>A fee increase of two</w:t>
      </w:r>
      <w:r w:rsidR="001F367E">
        <w:rPr>
          <w:szCs w:val="24"/>
        </w:rPr>
        <w:t xml:space="preserve"> per cent for </w:t>
      </w:r>
      <w:r w:rsidR="00C74739">
        <w:rPr>
          <w:szCs w:val="24"/>
        </w:rPr>
        <w:t>general practitioner attendance items and bulk billing incentives;</w:t>
      </w:r>
    </w:p>
    <w:p w:rsidR="00445A6D" w:rsidRDefault="00445A6D" w:rsidP="00445A6D">
      <w:pPr>
        <w:numPr>
          <w:ilvl w:val="0"/>
          <w:numId w:val="6"/>
        </w:numPr>
        <w:rPr>
          <w:szCs w:val="24"/>
        </w:rPr>
      </w:pPr>
      <w:r w:rsidRPr="004D45DE">
        <w:rPr>
          <w:bCs/>
          <w:szCs w:val="24"/>
        </w:rPr>
        <w:t>The listing of two</w:t>
      </w:r>
      <w:r>
        <w:rPr>
          <w:bCs/>
          <w:szCs w:val="24"/>
        </w:rPr>
        <w:t xml:space="preserve"> new MBS</w:t>
      </w:r>
      <w:r w:rsidRPr="004D45DE">
        <w:rPr>
          <w:bCs/>
          <w:szCs w:val="24"/>
        </w:rPr>
        <w:t xml:space="preserve"> services for transcatheter closure of patent ductus arteriosus and ventricular septal defect as alternative techniques to open heart surgery, and an amendment to an additional transcatheter item to </w:t>
      </w:r>
      <w:r w:rsidRPr="004D45DE">
        <w:rPr>
          <w:szCs w:val="24"/>
        </w:rPr>
        <w:t xml:space="preserve">remove the words </w:t>
      </w:r>
      <w:r w:rsidRPr="004D45DE">
        <w:rPr>
          <w:i/>
          <w:szCs w:val="24"/>
        </w:rPr>
        <w:t xml:space="preserve">‘for congenital heart disease’ </w:t>
      </w:r>
      <w:r w:rsidRPr="004D45DE">
        <w:rPr>
          <w:szCs w:val="24"/>
        </w:rPr>
        <w:t>to allow for surgical closure of both congenital and acquired defects as a result of advice from the Medical Service</w:t>
      </w:r>
      <w:r>
        <w:rPr>
          <w:szCs w:val="24"/>
        </w:rPr>
        <w:t xml:space="preserve">s Advisory Committee </w:t>
      </w:r>
    </w:p>
    <w:p w:rsidR="00445A6D" w:rsidRPr="004D45DE" w:rsidRDefault="00445A6D" w:rsidP="00445A6D">
      <w:pPr>
        <w:ind w:left="720"/>
        <w:rPr>
          <w:szCs w:val="24"/>
        </w:rPr>
      </w:pPr>
      <w:r>
        <w:rPr>
          <w:szCs w:val="24"/>
        </w:rPr>
        <w:t>(MSAC);</w:t>
      </w:r>
    </w:p>
    <w:p w:rsidR="00445A6D" w:rsidRDefault="00445A6D" w:rsidP="00445A6D">
      <w:pPr>
        <w:numPr>
          <w:ilvl w:val="0"/>
          <w:numId w:val="6"/>
        </w:numPr>
        <w:rPr>
          <w:szCs w:val="24"/>
        </w:rPr>
      </w:pPr>
      <w:r w:rsidRPr="004D45DE">
        <w:rPr>
          <w:szCs w:val="24"/>
        </w:rPr>
        <w:t xml:space="preserve">Amendments to MBS ophthalmology services which were recommended as a result of the </w:t>
      </w:r>
      <w:r w:rsidRPr="004D45DE">
        <w:rPr>
          <w:i/>
          <w:szCs w:val="24"/>
        </w:rPr>
        <w:t>MSAC Ophthalmology Review Stage II</w:t>
      </w:r>
      <w:r w:rsidRPr="004D45DE">
        <w:rPr>
          <w:szCs w:val="24"/>
        </w:rPr>
        <w:t>, which will combine two MBS ophthalmology services for corneal transplantation into one service with a revised fee. The amendments also make minor wording changes to three MBS ophthalmology services to more accurately describe the type of ophthalmology service performed;</w:t>
      </w:r>
    </w:p>
    <w:p w:rsidR="00445A6D" w:rsidRPr="00E872E4" w:rsidRDefault="00445A6D" w:rsidP="00445A6D">
      <w:pPr>
        <w:numPr>
          <w:ilvl w:val="0"/>
          <w:numId w:val="6"/>
        </w:numPr>
        <w:rPr>
          <w:szCs w:val="24"/>
        </w:rPr>
      </w:pPr>
      <w:r w:rsidRPr="004D45DE">
        <w:rPr>
          <w:iCs/>
          <w:color w:val="000000"/>
          <w:szCs w:val="24"/>
        </w:rPr>
        <w:t xml:space="preserve">Amendments to four cardiac resychronisation services. The amendments expand the description of three cardiac resychronisation services so that Medicare benefits could be provided to patients who suffer from mild chronic heart failure. Currently, for these three services only those patients who suffer moderate to severe chronic heart failure receive Medicare benefits. A minor drafting amendment </w:t>
      </w:r>
      <w:r w:rsidR="00B316E7">
        <w:rPr>
          <w:iCs/>
          <w:color w:val="000000"/>
          <w:szCs w:val="24"/>
        </w:rPr>
        <w:t xml:space="preserve">is </w:t>
      </w:r>
      <w:r w:rsidRPr="004D45DE">
        <w:rPr>
          <w:iCs/>
          <w:color w:val="000000"/>
          <w:szCs w:val="24"/>
        </w:rPr>
        <w:t>also made to these three cardiac resychronisation services and an additional cardiac resychronisation service so that the current description of moderate to severe chronic heart failure patient indicator contained in clause 2.44.16, and applicable to all four services, is moved into each individual descriptor for th</w:t>
      </w:r>
      <w:r w:rsidR="00805C3A">
        <w:rPr>
          <w:iCs/>
          <w:color w:val="000000"/>
          <w:szCs w:val="24"/>
        </w:rPr>
        <w:t xml:space="preserve">e service. This amendment </w:t>
      </w:r>
      <w:r w:rsidRPr="004D45DE">
        <w:rPr>
          <w:iCs/>
          <w:color w:val="000000"/>
          <w:szCs w:val="24"/>
        </w:rPr>
        <w:t>make</w:t>
      </w:r>
      <w:r w:rsidR="00805C3A">
        <w:rPr>
          <w:iCs/>
          <w:color w:val="000000"/>
          <w:szCs w:val="24"/>
        </w:rPr>
        <w:t>s</w:t>
      </w:r>
      <w:r w:rsidRPr="004D45DE">
        <w:rPr>
          <w:iCs/>
          <w:color w:val="000000"/>
          <w:szCs w:val="24"/>
        </w:rPr>
        <w:t xml:space="preserve"> clause 2.44.16 s</w:t>
      </w:r>
      <w:r w:rsidR="00B316E7">
        <w:rPr>
          <w:iCs/>
          <w:color w:val="000000"/>
          <w:szCs w:val="24"/>
        </w:rPr>
        <w:t xml:space="preserve">uperfluous, and the regulation </w:t>
      </w:r>
      <w:r w:rsidRPr="004D45DE">
        <w:rPr>
          <w:iCs/>
          <w:color w:val="000000"/>
          <w:szCs w:val="24"/>
        </w:rPr>
        <w:t>d</w:t>
      </w:r>
      <w:r>
        <w:rPr>
          <w:iCs/>
          <w:color w:val="000000"/>
          <w:szCs w:val="24"/>
        </w:rPr>
        <w:t>elete</w:t>
      </w:r>
      <w:r w:rsidR="00B316E7">
        <w:rPr>
          <w:iCs/>
          <w:color w:val="000000"/>
          <w:szCs w:val="24"/>
        </w:rPr>
        <w:t>s</w:t>
      </w:r>
      <w:r>
        <w:rPr>
          <w:iCs/>
          <w:color w:val="000000"/>
          <w:szCs w:val="24"/>
        </w:rPr>
        <w:t xml:space="preserve"> clause 2.44.16;</w:t>
      </w:r>
    </w:p>
    <w:p w:rsidR="00E311F5" w:rsidRPr="004D45DE" w:rsidRDefault="00E311F5" w:rsidP="00E311F5">
      <w:pPr>
        <w:numPr>
          <w:ilvl w:val="0"/>
          <w:numId w:val="6"/>
        </w:numPr>
        <w:rPr>
          <w:szCs w:val="24"/>
        </w:rPr>
      </w:pPr>
      <w:r w:rsidRPr="004D45DE">
        <w:rPr>
          <w:szCs w:val="24"/>
        </w:rPr>
        <w:t>The listing of a new eligible group</w:t>
      </w:r>
      <w:r w:rsidRPr="004D45DE">
        <w:rPr>
          <w:color w:val="000000"/>
          <w:szCs w:val="24"/>
        </w:rPr>
        <w:t>, which will grant access to Medicare eligible health assessment services for former servicing members of the Australian Defence Force, including former Reservists</w:t>
      </w:r>
      <w:r w:rsidRPr="004D45DE">
        <w:rPr>
          <w:szCs w:val="24"/>
        </w:rPr>
        <w:t>. The health assessment will support general practitioners in identifying and diagnosing the early onset of mental and/or physical health problems that benefit</w:t>
      </w:r>
      <w:r w:rsidR="00B316E7">
        <w:rPr>
          <w:szCs w:val="24"/>
        </w:rPr>
        <w:t>s</w:t>
      </w:r>
      <w:r w:rsidRPr="004D45DE">
        <w:rPr>
          <w:szCs w:val="24"/>
        </w:rPr>
        <w:t xml:space="preserve"> from </w:t>
      </w:r>
      <w:r>
        <w:rPr>
          <w:szCs w:val="24"/>
        </w:rPr>
        <w:t xml:space="preserve">further assessment or treatment; and </w:t>
      </w:r>
    </w:p>
    <w:p w:rsidR="00E311F5" w:rsidRPr="004D45DE" w:rsidRDefault="00E311F5" w:rsidP="00E311F5">
      <w:pPr>
        <w:numPr>
          <w:ilvl w:val="0"/>
          <w:numId w:val="6"/>
        </w:numPr>
        <w:rPr>
          <w:szCs w:val="24"/>
        </w:rPr>
      </w:pPr>
      <w:r w:rsidRPr="004D45DE">
        <w:rPr>
          <w:szCs w:val="24"/>
        </w:rPr>
        <w:lastRenderedPageBreak/>
        <w:t xml:space="preserve">The merging of four MBS mastectomy items into three items, by removing the gender specific terminology in the item descriptors (‘male’ or ‘female’) and replacing them with gender neutral terminology. </w:t>
      </w:r>
      <w:r>
        <w:rPr>
          <w:szCs w:val="24"/>
        </w:rPr>
        <w:t xml:space="preserve">These changes </w:t>
      </w:r>
      <w:r w:rsidRPr="004D45DE">
        <w:rPr>
          <w:szCs w:val="24"/>
        </w:rPr>
        <w:t>reflect the Australian Government Guidelines on the Recognition of Sex and Gender, developed by the Attorney-General’s Department.</w:t>
      </w:r>
    </w:p>
    <w:p w:rsidR="00E311F5" w:rsidRPr="004D45DE" w:rsidRDefault="00E311F5" w:rsidP="00E311F5">
      <w:pPr>
        <w:ind w:left="720"/>
        <w:rPr>
          <w:szCs w:val="24"/>
        </w:rPr>
      </w:pPr>
    </w:p>
    <w:p w:rsidR="00E311F5" w:rsidRDefault="00E311F5" w:rsidP="00E311F5">
      <w:pPr>
        <w:spacing w:before="120" w:after="120"/>
        <w:rPr>
          <w:b/>
          <w:szCs w:val="24"/>
        </w:rPr>
      </w:pPr>
      <w:r w:rsidRPr="00D664E6">
        <w:rPr>
          <w:b/>
          <w:szCs w:val="24"/>
        </w:rPr>
        <w:t>Human rights implications</w:t>
      </w:r>
    </w:p>
    <w:p w:rsidR="00E311F5" w:rsidRDefault="00E311F5" w:rsidP="00E311F5">
      <w:pPr>
        <w:spacing w:before="120" w:after="120"/>
        <w:rPr>
          <w:szCs w:val="24"/>
        </w:rPr>
      </w:pPr>
      <w:r w:rsidRPr="00893F87">
        <w:rPr>
          <w:szCs w:val="24"/>
        </w:rPr>
        <w:t xml:space="preserve">The regulations engage Articles 2, 9 and 12 of the International Covenant on Economic Social and Cultural Rights (ICESCR), specifically the rights </w:t>
      </w:r>
      <w:r>
        <w:rPr>
          <w:szCs w:val="24"/>
        </w:rPr>
        <w:t xml:space="preserve">to health and social security. </w:t>
      </w:r>
    </w:p>
    <w:p w:rsidR="00E311F5" w:rsidRPr="00E872E4" w:rsidRDefault="00E311F5" w:rsidP="00E311F5">
      <w:pPr>
        <w:spacing w:before="120" w:after="120"/>
        <w:rPr>
          <w:szCs w:val="24"/>
        </w:rPr>
      </w:pPr>
    </w:p>
    <w:p w:rsidR="00E311F5" w:rsidRPr="00893F87" w:rsidRDefault="00E311F5" w:rsidP="00E311F5">
      <w:pPr>
        <w:spacing w:before="120" w:after="120"/>
        <w:rPr>
          <w:i/>
          <w:szCs w:val="24"/>
        </w:rPr>
      </w:pPr>
      <w:r w:rsidRPr="00893F87">
        <w:rPr>
          <w:i/>
          <w:szCs w:val="24"/>
        </w:rPr>
        <w:t>The Right to Health</w:t>
      </w:r>
    </w:p>
    <w:p w:rsidR="00E311F5" w:rsidRPr="00893F87" w:rsidRDefault="00E311F5" w:rsidP="00E311F5">
      <w:pPr>
        <w:spacing w:before="120" w:after="120"/>
        <w:rPr>
          <w:szCs w:val="24"/>
        </w:rPr>
      </w:pPr>
      <w:r w:rsidRPr="00893F87">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rsidR="00E311F5" w:rsidRDefault="00E311F5" w:rsidP="00E311F5">
      <w:pPr>
        <w:spacing w:before="120" w:after="120"/>
        <w:rPr>
          <w:szCs w:val="24"/>
        </w:rPr>
      </w:pPr>
      <w:r w:rsidRPr="00893F87">
        <w:rPr>
          <w:szCs w:val="24"/>
        </w:rPr>
        <w:t xml:space="preserve">The Committee reports that the </w:t>
      </w:r>
      <w:r w:rsidRPr="00893F87">
        <w:rPr>
          <w:i/>
          <w:szCs w:val="24"/>
        </w:rPr>
        <w:t>‘highest attainable standard of health’</w:t>
      </w:r>
      <w:r w:rsidRPr="00893F87">
        <w:rPr>
          <w:szCs w:val="24"/>
        </w:rPr>
        <w:t xml:space="preserve"> takes into account the country’s available resources. This right may be understood as a right of access to a variety of public health and health care facilities, goods, services, programs and con</w:t>
      </w:r>
      <w:r>
        <w:rPr>
          <w:szCs w:val="24"/>
        </w:rPr>
        <w:t>ditions necessary for the realis</w:t>
      </w:r>
      <w:r w:rsidRPr="00893F87">
        <w:rPr>
          <w:szCs w:val="24"/>
        </w:rPr>
        <w:t xml:space="preserve">ation of the highest attainable standard of health. </w:t>
      </w:r>
    </w:p>
    <w:p w:rsidR="00E311F5" w:rsidRPr="00893F87" w:rsidRDefault="00E311F5" w:rsidP="00E311F5">
      <w:pPr>
        <w:spacing w:before="120" w:after="120"/>
        <w:rPr>
          <w:szCs w:val="24"/>
        </w:rPr>
      </w:pPr>
    </w:p>
    <w:p w:rsidR="00E311F5" w:rsidRPr="00893F87" w:rsidRDefault="00E311F5" w:rsidP="00E311F5">
      <w:pPr>
        <w:spacing w:before="120" w:after="120"/>
        <w:rPr>
          <w:i/>
          <w:szCs w:val="24"/>
        </w:rPr>
      </w:pPr>
      <w:r w:rsidRPr="00893F87">
        <w:rPr>
          <w:i/>
          <w:szCs w:val="24"/>
        </w:rPr>
        <w:t xml:space="preserve">The Right to Social Security </w:t>
      </w:r>
    </w:p>
    <w:p w:rsidR="00E311F5" w:rsidRPr="00893F87" w:rsidRDefault="00E311F5" w:rsidP="00E311F5">
      <w:pPr>
        <w:spacing w:before="120" w:after="120"/>
        <w:rPr>
          <w:szCs w:val="24"/>
        </w:rPr>
      </w:pPr>
      <w:r w:rsidRPr="00893F87">
        <w:rPr>
          <w:szCs w:val="24"/>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 </w:t>
      </w:r>
    </w:p>
    <w:p w:rsidR="00E311F5" w:rsidRDefault="00E311F5" w:rsidP="00E311F5">
      <w:pPr>
        <w:spacing w:before="120" w:after="120"/>
        <w:rPr>
          <w:szCs w:val="24"/>
        </w:rPr>
      </w:pPr>
      <w:r w:rsidRPr="00893F87">
        <w:rPr>
          <w:szCs w:val="24"/>
        </w:rPr>
        <w:t xml:space="preserve">The Committee reports that there is a strong presumption that retrogressive measures taken in relation to the right to social security are prohibited under ICESCR. In this context, a retrogressive measure </w:t>
      </w:r>
      <w:r w:rsidR="00B316E7">
        <w:rPr>
          <w:szCs w:val="24"/>
        </w:rPr>
        <w:t>is</w:t>
      </w:r>
      <w:r w:rsidRPr="00893F87">
        <w:rPr>
          <w:szCs w:val="24"/>
        </w:rPr>
        <w:t xml:space="preserv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w:t>
      </w:r>
      <w:r>
        <w:rPr>
          <w:szCs w:val="24"/>
        </w:rPr>
        <w:t>sadvantaged members of society.</w:t>
      </w:r>
    </w:p>
    <w:p w:rsidR="00E311F5" w:rsidRPr="00893F87" w:rsidRDefault="00E311F5" w:rsidP="00E311F5">
      <w:pPr>
        <w:spacing w:before="120" w:after="120"/>
        <w:rPr>
          <w:szCs w:val="24"/>
          <w:u w:val="single"/>
        </w:rPr>
      </w:pPr>
      <w:r w:rsidRPr="00893F87">
        <w:rPr>
          <w:szCs w:val="24"/>
          <w:u w:val="single"/>
        </w:rPr>
        <w:t xml:space="preserve">Analysis </w:t>
      </w:r>
    </w:p>
    <w:p w:rsidR="00E311F5" w:rsidRDefault="00E311F5" w:rsidP="00E311F5">
      <w:pPr>
        <w:rPr>
          <w:szCs w:val="24"/>
        </w:rPr>
      </w:pPr>
      <w:r>
        <w:rPr>
          <w:szCs w:val="24"/>
        </w:rPr>
        <w:t>T</w:t>
      </w:r>
      <w:r w:rsidRPr="00893F87">
        <w:rPr>
          <w:szCs w:val="24"/>
        </w:rPr>
        <w:t>he amendm</w:t>
      </w:r>
      <w:r>
        <w:rPr>
          <w:szCs w:val="24"/>
        </w:rPr>
        <w:t xml:space="preserve">ents to the regulation </w:t>
      </w:r>
      <w:r w:rsidRPr="00893F87">
        <w:rPr>
          <w:szCs w:val="24"/>
        </w:rPr>
        <w:t>advance rights to health and social security</w:t>
      </w:r>
      <w:r>
        <w:rPr>
          <w:szCs w:val="24"/>
        </w:rPr>
        <w:t xml:space="preserve"> primarily</w:t>
      </w:r>
      <w:r w:rsidRPr="00893F87">
        <w:rPr>
          <w:szCs w:val="24"/>
        </w:rPr>
        <w:t xml:space="preserve"> by increasing access to publicly subsidised health services</w:t>
      </w:r>
      <w:r>
        <w:rPr>
          <w:szCs w:val="24"/>
        </w:rPr>
        <w:t xml:space="preserve">. </w:t>
      </w:r>
    </w:p>
    <w:p w:rsidR="00E311F5" w:rsidRDefault="00E311F5" w:rsidP="00E311F5">
      <w:pPr>
        <w:rPr>
          <w:szCs w:val="24"/>
        </w:rPr>
      </w:pPr>
    </w:p>
    <w:p w:rsidR="002228AD" w:rsidRPr="002228AD" w:rsidRDefault="001F367E" w:rsidP="00E311F5">
      <w:pPr>
        <w:numPr>
          <w:ilvl w:val="0"/>
          <w:numId w:val="20"/>
        </w:numPr>
        <w:rPr>
          <w:szCs w:val="24"/>
        </w:rPr>
      </w:pPr>
      <w:r>
        <w:rPr>
          <w:szCs w:val="24"/>
        </w:rPr>
        <w:t xml:space="preserve">Increasing the MBS fee for </w:t>
      </w:r>
      <w:r w:rsidR="002228AD">
        <w:rPr>
          <w:szCs w:val="24"/>
        </w:rPr>
        <w:t xml:space="preserve">general practitioner attendance items </w:t>
      </w:r>
      <w:r w:rsidR="00D408EF">
        <w:rPr>
          <w:szCs w:val="24"/>
        </w:rPr>
        <w:t>results in more afford</w:t>
      </w:r>
      <w:r w:rsidR="006979F5">
        <w:rPr>
          <w:szCs w:val="24"/>
        </w:rPr>
        <w:t>able primary health care.</w:t>
      </w:r>
      <w:r w:rsidR="00D408EF">
        <w:rPr>
          <w:szCs w:val="24"/>
        </w:rPr>
        <w:t xml:space="preserve"> </w:t>
      </w:r>
    </w:p>
    <w:p w:rsidR="00E311F5" w:rsidRPr="00FF0DCC" w:rsidRDefault="00E311F5" w:rsidP="00E311F5">
      <w:pPr>
        <w:numPr>
          <w:ilvl w:val="0"/>
          <w:numId w:val="20"/>
        </w:numPr>
        <w:rPr>
          <w:szCs w:val="24"/>
        </w:rPr>
      </w:pPr>
      <w:r>
        <w:rPr>
          <w:szCs w:val="24"/>
          <w:lang w:val="en-US"/>
        </w:rPr>
        <w:t xml:space="preserve">Amendments </w:t>
      </w:r>
      <w:r w:rsidRPr="00893F87">
        <w:rPr>
          <w:szCs w:val="24"/>
          <w:lang w:val="en-US"/>
        </w:rPr>
        <w:t xml:space="preserve">to gender specific </w:t>
      </w:r>
      <w:r>
        <w:rPr>
          <w:szCs w:val="24"/>
          <w:lang w:val="en-US"/>
        </w:rPr>
        <w:t xml:space="preserve">mastectomy </w:t>
      </w:r>
      <w:r w:rsidRPr="00893F87">
        <w:rPr>
          <w:szCs w:val="24"/>
          <w:lang w:val="en-US"/>
        </w:rPr>
        <w:t>items</w:t>
      </w:r>
      <w:r w:rsidRPr="00893F87">
        <w:rPr>
          <w:szCs w:val="24"/>
        </w:rPr>
        <w:t xml:space="preserve"> uphold critical components of the right to health - </w:t>
      </w:r>
      <w:r w:rsidRPr="00893F87">
        <w:rPr>
          <w:i/>
          <w:szCs w:val="24"/>
        </w:rPr>
        <w:t>the right to non-discrimination and equality</w:t>
      </w:r>
      <w:r w:rsidRPr="00893F87">
        <w:rPr>
          <w:szCs w:val="24"/>
        </w:rPr>
        <w:t xml:space="preserve"> – as individuals, in accessing these services, will </w:t>
      </w:r>
      <w:r w:rsidRPr="00893F87">
        <w:rPr>
          <w:szCs w:val="24"/>
          <w:lang w:val="en-US"/>
        </w:rPr>
        <w:t xml:space="preserve">have the </w:t>
      </w:r>
      <w:r w:rsidRPr="00893F87">
        <w:rPr>
          <w:szCs w:val="24"/>
        </w:rPr>
        <w:t xml:space="preserve">option of identifying as male, female or </w:t>
      </w:r>
      <w:r w:rsidRPr="00893F87">
        <w:rPr>
          <w:szCs w:val="24"/>
        </w:rPr>
        <w:lastRenderedPageBreak/>
        <w:t>indeterminate/intersex/unspecified</w:t>
      </w:r>
      <w:r>
        <w:rPr>
          <w:szCs w:val="24"/>
        </w:rPr>
        <w:t>.</w:t>
      </w:r>
      <w:r w:rsidRPr="00893F87">
        <w:rPr>
          <w:szCs w:val="24"/>
        </w:rPr>
        <w:t xml:space="preserve"> </w:t>
      </w:r>
      <w:r>
        <w:rPr>
          <w:szCs w:val="24"/>
        </w:rPr>
        <w:t>The elimination of duplicate items, as a result of these changes, will not deny benefits to persons who already have them.</w:t>
      </w:r>
    </w:p>
    <w:p w:rsidR="00E311F5" w:rsidRDefault="00E311F5" w:rsidP="00E311F5">
      <w:pPr>
        <w:numPr>
          <w:ilvl w:val="0"/>
          <w:numId w:val="20"/>
        </w:numPr>
        <w:rPr>
          <w:szCs w:val="24"/>
        </w:rPr>
      </w:pPr>
      <w:r>
        <w:rPr>
          <w:szCs w:val="24"/>
        </w:rPr>
        <w:t xml:space="preserve">The listing of two new transcatheter closure items, as alternatives to </w:t>
      </w:r>
      <w:r w:rsidRPr="004D45DE">
        <w:rPr>
          <w:bCs/>
          <w:szCs w:val="24"/>
        </w:rPr>
        <w:t>open heart surgery</w:t>
      </w:r>
      <w:r>
        <w:rPr>
          <w:bCs/>
          <w:szCs w:val="24"/>
        </w:rPr>
        <w:t xml:space="preserve">, and an amendment to an additional transcatheter closure item to enable it to cover </w:t>
      </w:r>
      <w:r w:rsidRPr="00E872E4">
        <w:rPr>
          <w:szCs w:val="24"/>
        </w:rPr>
        <w:t>surgical closure of not only congenital defects, but also acquired defects</w:t>
      </w:r>
      <w:r>
        <w:rPr>
          <w:szCs w:val="24"/>
        </w:rPr>
        <w:t xml:space="preserve">; advances  </w:t>
      </w:r>
      <w:r w:rsidRPr="00E872E4">
        <w:rPr>
          <w:szCs w:val="24"/>
        </w:rPr>
        <w:t>access to Commonwealth subsidised health care and therefore</w:t>
      </w:r>
      <w:r w:rsidRPr="0090746A">
        <w:rPr>
          <w:szCs w:val="24"/>
        </w:rPr>
        <w:t xml:space="preserve"> </w:t>
      </w:r>
      <w:r w:rsidRPr="00A32EFA">
        <w:rPr>
          <w:szCs w:val="24"/>
        </w:rPr>
        <w:t>the right to health and social security</w:t>
      </w:r>
      <w:r>
        <w:rPr>
          <w:szCs w:val="24"/>
        </w:rPr>
        <w:t>.</w:t>
      </w:r>
    </w:p>
    <w:p w:rsidR="00E311F5" w:rsidRDefault="00E311F5" w:rsidP="00E311F5">
      <w:pPr>
        <w:numPr>
          <w:ilvl w:val="0"/>
          <w:numId w:val="20"/>
        </w:numPr>
        <w:rPr>
          <w:szCs w:val="24"/>
        </w:rPr>
      </w:pPr>
      <w:r w:rsidRPr="00A32EFA">
        <w:rPr>
          <w:szCs w:val="24"/>
        </w:rPr>
        <w:t>Broadening the scope of ophthalmology items to reflect current clinical practice</w:t>
      </w:r>
      <w:r>
        <w:rPr>
          <w:szCs w:val="24"/>
        </w:rPr>
        <w:t xml:space="preserve"> </w:t>
      </w:r>
      <w:r w:rsidRPr="00A32EFA">
        <w:rPr>
          <w:szCs w:val="24"/>
        </w:rPr>
        <w:t>upholds the right to health and social security as re</w:t>
      </w:r>
      <w:r>
        <w:rPr>
          <w:szCs w:val="24"/>
        </w:rPr>
        <w:t>levant patients/groups can</w:t>
      </w:r>
      <w:r w:rsidRPr="00A32EFA">
        <w:rPr>
          <w:szCs w:val="24"/>
        </w:rPr>
        <w:t xml:space="preserve"> access appropriate services</w:t>
      </w:r>
      <w:r>
        <w:rPr>
          <w:szCs w:val="24"/>
        </w:rPr>
        <w:t>.</w:t>
      </w:r>
    </w:p>
    <w:p w:rsidR="00E311F5" w:rsidRPr="009358CE" w:rsidRDefault="00E311F5" w:rsidP="00E311F5">
      <w:pPr>
        <w:numPr>
          <w:ilvl w:val="0"/>
          <w:numId w:val="20"/>
        </w:numPr>
        <w:rPr>
          <w:szCs w:val="24"/>
        </w:rPr>
      </w:pPr>
      <w:r>
        <w:rPr>
          <w:szCs w:val="24"/>
        </w:rPr>
        <w:t>Medicare subsidised</w:t>
      </w:r>
      <w:r w:rsidRPr="00042182">
        <w:rPr>
          <w:szCs w:val="24"/>
        </w:rPr>
        <w:t xml:space="preserve"> </w:t>
      </w:r>
      <w:r w:rsidRPr="00042182">
        <w:rPr>
          <w:szCs w:val="24"/>
          <w:lang w:val="en-US"/>
        </w:rPr>
        <w:t>cardiac resynchronisation therapy for patients with mild heart failure ensures MBS services reflect current clinical practice and there is greater patien</w:t>
      </w:r>
      <w:r>
        <w:rPr>
          <w:szCs w:val="24"/>
          <w:lang w:val="en-US"/>
        </w:rPr>
        <w:t xml:space="preserve">t access to this </w:t>
      </w:r>
      <w:r w:rsidR="006979F5">
        <w:rPr>
          <w:szCs w:val="24"/>
          <w:lang w:val="en-US"/>
        </w:rPr>
        <w:t>therapy.</w:t>
      </w:r>
    </w:p>
    <w:p w:rsidR="00E311F5" w:rsidRPr="009358CE" w:rsidRDefault="00E311F5" w:rsidP="00E311F5">
      <w:pPr>
        <w:numPr>
          <w:ilvl w:val="0"/>
          <w:numId w:val="20"/>
        </w:numPr>
        <w:ind w:left="714" w:hanging="357"/>
        <w:rPr>
          <w:szCs w:val="24"/>
        </w:rPr>
      </w:pPr>
      <w:r>
        <w:rPr>
          <w:color w:val="000000"/>
          <w:szCs w:val="24"/>
        </w:rPr>
        <w:t>A</w:t>
      </w:r>
      <w:r w:rsidRPr="004D45DE">
        <w:rPr>
          <w:color w:val="000000"/>
          <w:szCs w:val="24"/>
        </w:rPr>
        <w:t>ccess to Medicare eligible health assessment services for former servicing members of the Australian Defence Force, including former Reservists</w:t>
      </w:r>
      <w:r>
        <w:rPr>
          <w:color w:val="000000"/>
          <w:szCs w:val="24"/>
        </w:rPr>
        <w:t>, advances access to the right to health and social security for this new eligible group.</w:t>
      </w:r>
    </w:p>
    <w:p w:rsidR="00E311F5" w:rsidRPr="006374DF" w:rsidRDefault="00E311F5" w:rsidP="00E311F5">
      <w:pPr>
        <w:ind w:left="720"/>
        <w:rPr>
          <w:szCs w:val="24"/>
        </w:rPr>
      </w:pPr>
    </w:p>
    <w:p w:rsidR="00E311F5" w:rsidRPr="00893F87" w:rsidRDefault="00E311F5" w:rsidP="00E311F5">
      <w:pPr>
        <w:spacing w:before="120" w:after="120"/>
        <w:rPr>
          <w:b/>
          <w:szCs w:val="24"/>
        </w:rPr>
      </w:pPr>
      <w:r w:rsidRPr="00893F87">
        <w:rPr>
          <w:b/>
          <w:szCs w:val="24"/>
        </w:rPr>
        <w:t>Conclusion</w:t>
      </w:r>
    </w:p>
    <w:p w:rsidR="00E311F5" w:rsidRPr="00D664E6" w:rsidRDefault="00E311F5" w:rsidP="00E311F5">
      <w:pPr>
        <w:spacing w:before="120" w:after="120"/>
        <w:rPr>
          <w:szCs w:val="24"/>
        </w:rPr>
      </w:pPr>
      <w:r>
        <w:rPr>
          <w:szCs w:val="24"/>
        </w:rPr>
        <w:t xml:space="preserve">The </w:t>
      </w:r>
      <w:r w:rsidRPr="00D664E6">
        <w:rPr>
          <w:szCs w:val="24"/>
        </w:rPr>
        <w:t>Legislative Instrument is compatible with human rights because it advances</w:t>
      </w:r>
      <w:r>
        <w:rPr>
          <w:szCs w:val="24"/>
        </w:rPr>
        <w:t xml:space="preserve"> the protection of human rights and </w:t>
      </w:r>
      <w:r w:rsidRPr="00D664E6">
        <w:rPr>
          <w:szCs w:val="24"/>
          <w:lang w:val="en-GB"/>
        </w:rPr>
        <w:t xml:space="preserve">to the extent that it may limit human rights, those limitations are reasonable, necessary and </w:t>
      </w:r>
      <w:r>
        <w:rPr>
          <w:szCs w:val="24"/>
        </w:rPr>
        <w:t>proportionate</w:t>
      </w:r>
      <w:r w:rsidRPr="00D664E6">
        <w:rPr>
          <w:szCs w:val="24"/>
        </w:rPr>
        <w:t>.</w:t>
      </w:r>
    </w:p>
    <w:p w:rsidR="00E311F5" w:rsidRPr="00893F87" w:rsidRDefault="00E311F5" w:rsidP="00E311F5">
      <w:pPr>
        <w:spacing w:before="120" w:after="120"/>
        <w:rPr>
          <w:szCs w:val="24"/>
        </w:rPr>
      </w:pPr>
    </w:p>
    <w:p w:rsidR="00E311F5" w:rsidRPr="00893F87" w:rsidRDefault="00E311F5" w:rsidP="00E311F5">
      <w:pPr>
        <w:spacing w:before="120" w:after="120"/>
        <w:jc w:val="center"/>
        <w:rPr>
          <w:b/>
          <w:bCs/>
          <w:szCs w:val="24"/>
        </w:rPr>
      </w:pPr>
      <w:r w:rsidRPr="00893F87">
        <w:rPr>
          <w:b/>
          <w:bCs/>
          <w:szCs w:val="24"/>
        </w:rPr>
        <w:t xml:space="preserve">Peter Dutton </w:t>
      </w:r>
    </w:p>
    <w:p w:rsidR="00E311F5" w:rsidRPr="00C85894" w:rsidRDefault="00E311F5" w:rsidP="00E311F5">
      <w:pPr>
        <w:spacing w:before="120" w:after="120"/>
        <w:jc w:val="center"/>
        <w:rPr>
          <w:szCs w:val="24"/>
        </w:rPr>
      </w:pPr>
      <w:r w:rsidRPr="00893F87">
        <w:rPr>
          <w:b/>
          <w:bCs/>
          <w:szCs w:val="24"/>
        </w:rPr>
        <w:t>Minister for Health</w:t>
      </w:r>
    </w:p>
    <w:p w:rsidR="00445A6D" w:rsidRPr="004D45DE" w:rsidRDefault="00445A6D" w:rsidP="000B3452">
      <w:pPr>
        <w:rPr>
          <w:szCs w:val="24"/>
        </w:rPr>
      </w:pPr>
    </w:p>
    <w:p w:rsidR="00445A6D" w:rsidRPr="004D45DE" w:rsidRDefault="00445A6D" w:rsidP="00445A6D">
      <w:pPr>
        <w:ind w:left="360"/>
        <w:rPr>
          <w:szCs w:val="24"/>
        </w:rPr>
      </w:pPr>
    </w:p>
    <w:p w:rsidR="00445A6D" w:rsidRPr="003239D0" w:rsidRDefault="00445A6D" w:rsidP="003239D0">
      <w:pPr>
        <w:pStyle w:val="BodyText"/>
        <w:rPr>
          <w:b w:val="0"/>
        </w:rPr>
      </w:pPr>
    </w:p>
    <w:sectPr w:rsidR="00445A6D" w:rsidRPr="003239D0" w:rsidSect="008F1AA9">
      <w:headerReference w:type="even" r:id="rId9"/>
      <w:headerReference w:type="default" r:id="rId10"/>
      <w:pgSz w:w="11906" w:h="16838"/>
      <w:pgMar w:top="1440" w:right="1440"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09B" w:rsidRDefault="00B3709B">
      <w:r>
        <w:separator/>
      </w:r>
    </w:p>
  </w:endnote>
  <w:endnote w:type="continuationSeparator" w:id="0">
    <w:p w:rsidR="00B3709B" w:rsidRDefault="00B3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09B" w:rsidRDefault="00B3709B">
      <w:r>
        <w:separator/>
      </w:r>
    </w:p>
  </w:footnote>
  <w:footnote w:type="continuationSeparator" w:id="0">
    <w:p w:rsidR="00B3709B" w:rsidRDefault="00B370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C9D" w:rsidRDefault="00883C9D"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83C9D" w:rsidRDefault="00883C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C9D" w:rsidRDefault="00883C9D"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2011">
      <w:rPr>
        <w:rStyle w:val="PageNumber"/>
        <w:noProof/>
      </w:rPr>
      <w:t>7</w:t>
    </w:r>
    <w:r>
      <w:rPr>
        <w:rStyle w:val="PageNumber"/>
      </w:rPr>
      <w:fldChar w:fldCharType="end"/>
    </w:r>
  </w:p>
  <w:p w:rsidR="00883C9D" w:rsidRDefault="00883C9D" w:rsidP="009D3773">
    <w:pPr>
      <w:pStyle w:val="Header"/>
      <w:framePr w:wrap="around" w:vAnchor="text" w:hAnchor="page" w:x="6022" w:y="1"/>
      <w:rPr>
        <w:rStyle w:val="PageNumber"/>
      </w:rPr>
    </w:pPr>
  </w:p>
  <w:p w:rsidR="00883C9D" w:rsidRDefault="00883C9D" w:rsidP="009D377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1736B"/>
    <w:multiLevelType w:val="hybridMultilevel"/>
    <w:tmpl w:val="56AA2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172181"/>
    <w:multiLevelType w:val="hybridMultilevel"/>
    <w:tmpl w:val="17C40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4B5AF9"/>
    <w:multiLevelType w:val="hybridMultilevel"/>
    <w:tmpl w:val="8DFA5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CE6388"/>
    <w:multiLevelType w:val="hybridMultilevel"/>
    <w:tmpl w:val="480C76D2"/>
    <w:lvl w:ilvl="0" w:tplc="0C090017">
      <w:start w:val="1"/>
      <w:numFmt w:val="lowerLetter"/>
      <w:lvlText w:val="%1)"/>
      <w:lvlJc w:val="left"/>
      <w:pPr>
        <w:ind w:left="720" w:hanging="360"/>
      </w:pPr>
      <w:rPr>
        <w:rFonts w:eastAsia="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9B0324C"/>
    <w:multiLevelType w:val="hybridMultilevel"/>
    <w:tmpl w:val="CB701AE6"/>
    <w:lvl w:ilvl="0" w:tplc="FA54F4F4">
      <w:start w:val="1"/>
      <w:numFmt w:val="bullet"/>
      <w:lvlText w:val="-"/>
      <w:lvlJc w:val="left"/>
      <w:pPr>
        <w:ind w:left="720" w:hanging="360"/>
      </w:pPr>
      <w:rPr>
        <w:rFonts w:ascii="Times New Roman" w:eastAsia="Times New Roman" w:hAnsi="Times New Roman" w:cs="Times New Roman" w:hint="default"/>
        <w:b/>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8E5F34"/>
    <w:multiLevelType w:val="hybridMultilevel"/>
    <w:tmpl w:val="520AD47E"/>
    <w:lvl w:ilvl="0" w:tplc="307685D2">
      <w:start w:val="2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EC47F72"/>
    <w:multiLevelType w:val="hybridMultilevel"/>
    <w:tmpl w:val="4776F6D4"/>
    <w:lvl w:ilvl="0" w:tplc="978A0A7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FD81EF9"/>
    <w:multiLevelType w:val="hybridMultilevel"/>
    <w:tmpl w:val="BE1E191E"/>
    <w:lvl w:ilvl="0" w:tplc="93FA76D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D2A29FC"/>
    <w:multiLevelType w:val="hybridMultilevel"/>
    <w:tmpl w:val="D28CE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EEA4F50"/>
    <w:multiLevelType w:val="hybridMultilevel"/>
    <w:tmpl w:val="6CBCEC82"/>
    <w:lvl w:ilvl="0" w:tplc="B958F7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F805223"/>
    <w:multiLevelType w:val="hybridMultilevel"/>
    <w:tmpl w:val="A19A0EC0"/>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1">
    <w:nsid w:val="461971BB"/>
    <w:multiLevelType w:val="hybridMultilevel"/>
    <w:tmpl w:val="DA0C8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8C66F4B"/>
    <w:multiLevelType w:val="hybridMultilevel"/>
    <w:tmpl w:val="04A0F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6801C3D"/>
    <w:multiLevelType w:val="hybridMultilevel"/>
    <w:tmpl w:val="80E67CC2"/>
    <w:lvl w:ilvl="0" w:tplc="BFC0C860">
      <w:start w:val="6"/>
      <w:numFmt w:val="bullet"/>
      <w:lvlText w:val="-"/>
      <w:lvlJc w:val="left"/>
      <w:pPr>
        <w:ind w:left="420" w:hanging="360"/>
      </w:pPr>
      <w:rPr>
        <w:rFonts w:ascii="Times New Roman" w:eastAsia="Times New Roman" w:hAnsi="Times New Roman" w:cs="Times New Roman" w:hint="default"/>
        <w:b w:val="0"/>
        <w:sz w:val="23"/>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4">
    <w:nsid w:val="66E778BC"/>
    <w:multiLevelType w:val="hybridMultilevel"/>
    <w:tmpl w:val="45C62E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nsid w:val="6B9B6017"/>
    <w:multiLevelType w:val="hybridMultilevel"/>
    <w:tmpl w:val="DF2E81E6"/>
    <w:lvl w:ilvl="0" w:tplc="3D0205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316731C"/>
    <w:multiLevelType w:val="hybridMultilevel"/>
    <w:tmpl w:val="BF582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869147E"/>
    <w:multiLevelType w:val="hybridMultilevel"/>
    <w:tmpl w:val="D18EB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9"/>
  </w:num>
  <w:num w:numId="4">
    <w:abstractNumId w:val="1"/>
  </w:num>
  <w:num w:numId="5">
    <w:abstractNumId w:val="16"/>
  </w:num>
  <w:num w:numId="6">
    <w:abstractNumId w:val="0"/>
  </w:num>
  <w:num w:numId="7">
    <w:abstractNumId w:val="11"/>
  </w:num>
  <w:num w:numId="8">
    <w:abstractNumId w:val="8"/>
  </w:num>
  <w:num w:numId="9">
    <w:abstractNumId w:val="5"/>
  </w:num>
  <w:num w:numId="10">
    <w:abstractNumId w:val="17"/>
  </w:num>
  <w:num w:numId="11">
    <w:abstractNumId w:val="8"/>
  </w:num>
  <w:num w:numId="12">
    <w:abstractNumId w:val="12"/>
  </w:num>
  <w:num w:numId="13">
    <w:abstractNumId w:val="15"/>
  </w:num>
  <w:num w:numId="14">
    <w:abstractNumId w:val="6"/>
  </w:num>
  <w:num w:numId="15">
    <w:abstractNumId w:val="10"/>
  </w:num>
  <w:num w:numId="16">
    <w:abstractNumId w:val="14"/>
  </w:num>
  <w:num w:numId="17">
    <w:abstractNumId w:val="3"/>
  </w:num>
  <w:num w:numId="18">
    <w:abstractNumId w:val="7"/>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EE"/>
    <w:rsid w:val="00005906"/>
    <w:rsid w:val="00014B38"/>
    <w:rsid w:val="0002704E"/>
    <w:rsid w:val="00044A2A"/>
    <w:rsid w:val="000509BA"/>
    <w:rsid w:val="0005224B"/>
    <w:rsid w:val="0005533C"/>
    <w:rsid w:val="00064BA4"/>
    <w:rsid w:val="000710DD"/>
    <w:rsid w:val="000727E0"/>
    <w:rsid w:val="000969EF"/>
    <w:rsid w:val="000A31F2"/>
    <w:rsid w:val="000A45BE"/>
    <w:rsid w:val="000B3452"/>
    <w:rsid w:val="000C6797"/>
    <w:rsid w:val="000C6FF8"/>
    <w:rsid w:val="000D4D45"/>
    <w:rsid w:val="000D7803"/>
    <w:rsid w:val="000E1ACD"/>
    <w:rsid w:val="000F1714"/>
    <w:rsid w:val="000F249E"/>
    <w:rsid w:val="000F5E76"/>
    <w:rsid w:val="00134B27"/>
    <w:rsid w:val="00141E8C"/>
    <w:rsid w:val="00154FC4"/>
    <w:rsid w:val="0015521F"/>
    <w:rsid w:val="001641C0"/>
    <w:rsid w:val="0017187F"/>
    <w:rsid w:val="001770D9"/>
    <w:rsid w:val="0018012F"/>
    <w:rsid w:val="0018451D"/>
    <w:rsid w:val="001867EA"/>
    <w:rsid w:val="0019289B"/>
    <w:rsid w:val="0019464A"/>
    <w:rsid w:val="00195A6A"/>
    <w:rsid w:val="001978CE"/>
    <w:rsid w:val="001A4BE2"/>
    <w:rsid w:val="001C6713"/>
    <w:rsid w:val="001D778A"/>
    <w:rsid w:val="001D7D62"/>
    <w:rsid w:val="001E3B02"/>
    <w:rsid w:val="001E5DE7"/>
    <w:rsid w:val="001E7C25"/>
    <w:rsid w:val="001F367E"/>
    <w:rsid w:val="00203952"/>
    <w:rsid w:val="00213177"/>
    <w:rsid w:val="00217EBF"/>
    <w:rsid w:val="00221C4B"/>
    <w:rsid w:val="002228AD"/>
    <w:rsid w:val="00250061"/>
    <w:rsid w:val="00250642"/>
    <w:rsid w:val="00251F50"/>
    <w:rsid w:val="00253E30"/>
    <w:rsid w:val="00263279"/>
    <w:rsid w:val="002643FC"/>
    <w:rsid w:val="0027610D"/>
    <w:rsid w:val="00287B08"/>
    <w:rsid w:val="002B2E78"/>
    <w:rsid w:val="002B49DE"/>
    <w:rsid w:val="002B53D3"/>
    <w:rsid w:val="002C5DCD"/>
    <w:rsid w:val="002D2A4E"/>
    <w:rsid w:val="002E3493"/>
    <w:rsid w:val="002F0434"/>
    <w:rsid w:val="002F449C"/>
    <w:rsid w:val="0031124D"/>
    <w:rsid w:val="003239D0"/>
    <w:rsid w:val="00324908"/>
    <w:rsid w:val="0033493D"/>
    <w:rsid w:val="0035214B"/>
    <w:rsid w:val="003613B8"/>
    <w:rsid w:val="0036495A"/>
    <w:rsid w:val="003876E6"/>
    <w:rsid w:val="00391AFA"/>
    <w:rsid w:val="003B59A9"/>
    <w:rsid w:val="003E1249"/>
    <w:rsid w:val="003E3544"/>
    <w:rsid w:val="003E35A8"/>
    <w:rsid w:val="003E77CB"/>
    <w:rsid w:val="003F73BA"/>
    <w:rsid w:val="003F73F0"/>
    <w:rsid w:val="00405890"/>
    <w:rsid w:val="0041237F"/>
    <w:rsid w:val="00414613"/>
    <w:rsid w:val="0041767B"/>
    <w:rsid w:val="00424197"/>
    <w:rsid w:val="00432D4D"/>
    <w:rsid w:val="00442F9D"/>
    <w:rsid w:val="00445A6D"/>
    <w:rsid w:val="00446A6B"/>
    <w:rsid w:val="00466A5B"/>
    <w:rsid w:val="004828A9"/>
    <w:rsid w:val="004849DE"/>
    <w:rsid w:val="00484C48"/>
    <w:rsid w:val="00484E4F"/>
    <w:rsid w:val="00492DBE"/>
    <w:rsid w:val="004A56D3"/>
    <w:rsid w:val="004C27EB"/>
    <w:rsid w:val="004C405B"/>
    <w:rsid w:val="004C68D1"/>
    <w:rsid w:val="004D7821"/>
    <w:rsid w:val="004E22A7"/>
    <w:rsid w:val="004E7F97"/>
    <w:rsid w:val="00502156"/>
    <w:rsid w:val="00502277"/>
    <w:rsid w:val="005140F2"/>
    <w:rsid w:val="0051437A"/>
    <w:rsid w:val="00532CD3"/>
    <w:rsid w:val="005345A9"/>
    <w:rsid w:val="0054004F"/>
    <w:rsid w:val="00552105"/>
    <w:rsid w:val="0055354D"/>
    <w:rsid w:val="005642D9"/>
    <w:rsid w:val="0057258C"/>
    <w:rsid w:val="00573651"/>
    <w:rsid w:val="00581904"/>
    <w:rsid w:val="00585309"/>
    <w:rsid w:val="00594EB6"/>
    <w:rsid w:val="005A3D73"/>
    <w:rsid w:val="005B0EA3"/>
    <w:rsid w:val="005C6118"/>
    <w:rsid w:val="005D538F"/>
    <w:rsid w:val="005D63D9"/>
    <w:rsid w:val="005E293A"/>
    <w:rsid w:val="005F04DC"/>
    <w:rsid w:val="00601165"/>
    <w:rsid w:val="00611A4E"/>
    <w:rsid w:val="0061281D"/>
    <w:rsid w:val="00623004"/>
    <w:rsid w:val="00635031"/>
    <w:rsid w:val="006407FA"/>
    <w:rsid w:val="00642BEB"/>
    <w:rsid w:val="00647590"/>
    <w:rsid w:val="006526F5"/>
    <w:rsid w:val="006619F5"/>
    <w:rsid w:val="0066562D"/>
    <w:rsid w:val="00670998"/>
    <w:rsid w:val="00672050"/>
    <w:rsid w:val="00694C76"/>
    <w:rsid w:val="006979F5"/>
    <w:rsid w:val="006B13BC"/>
    <w:rsid w:val="006B32FE"/>
    <w:rsid w:val="006D2B37"/>
    <w:rsid w:val="006D54FB"/>
    <w:rsid w:val="006E1A62"/>
    <w:rsid w:val="006E3D84"/>
    <w:rsid w:val="006E5C6B"/>
    <w:rsid w:val="006E6377"/>
    <w:rsid w:val="0070058D"/>
    <w:rsid w:val="00704A1A"/>
    <w:rsid w:val="00705924"/>
    <w:rsid w:val="007134A2"/>
    <w:rsid w:val="00717B45"/>
    <w:rsid w:val="00726CFA"/>
    <w:rsid w:val="007304D5"/>
    <w:rsid w:val="00730965"/>
    <w:rsid w:val="007368DC"/>
    <w:rsid w:val="00741A4E"/>
    <w:rsid w:val="007452E0"/>
    <w:rsid w:val="007505FB"/>
    <w:rsid w:val="0076544A"/>
    <w:rsid w:val="007859F8"/>
    <w:rsid w:val="00791384"/>
    <w:rsid w:val="007A5B55"/>
    <w:rsid w:val="007A5F41"/>
    <w:rsid w:val="007B08D1"/>
    <w:rsid w:val="007B4EAA"/>
    <w:rsid w:val="007C20FA"/>
    <w:rsid w:val="007C27D3"/>
    <w:rsid w:val="007C2C95"/>
    <w:rsid w:val="007C79FB"/>
    <w:rsid w:val="007D4A14"/>
    <w:rsid w:val="007E7ABF"/>
    <w:rsid w:val="007F0907"/>
    <w:rsid w:val="007F1C81"/>
    <w:rsid w:val="007F6ABA"/>
    <w:rsid w:val="007F6CF7"/>
    <w:rsid w:val="0080144C"/>
    <w:rsid w:val="00804A98"/>
    <w:rsid w:val="00805C3A"/>
    <w:rsid w:val="00826C1C"/>
    <w:rsid w:val="00833FCC"/>
    <w:rsid w:val="00845708"/>
    <w:rsid w:val="008478EE"/>
    <w:rsid w:val="0085475F"/>
    <w:rsid w:val="00855C39"/>
    <w:rsid w:val="008609B1"/>
    <w:rsid w:val="00875104"/>
    <w:rsid w:val="00883C9D"/>
    <w:rsid w:val="0089513F"/>
    <w:rsid w:val="008B444F"/>
    <w:rsid w:val="008C20F7"/>
    <w:rsid w:val="008C2349"/>
    <w:rsid w:val="008D1B01"/>
    <w:rsid w:val="008D2A83"/>
    <w:rsid w:val="008D2D7B"/>
    <w:rsid w:val="008D44EB"/>
    <w:rsid w:val="008F1AA9"/>
    <w:rsid w:val="008F7C5B"/>
    <w:rsid w:val="009049C0"/>
    <w:rsid w:val="009124F6"/>
    <w:rsid w:val="00913B67"/>
    <w:rsid w:val="00915B08"/>
    <w:rsid w:val="009225FE"/>
    <w:rsid w:val="009414C5"/>
    <w:rsid w:val="009427F2"/>
    <w:rsid w:val="00944F64"/>
    <w:rsid w:val="00953383"/>
    <w:rsid w:val="00965025"/>
    <w:rsid w:val="00971B7B"/>
    <w:rsid w:val="00971D3B"/>
    <w:rsid w:val="00972D48"/>
    <w:rsid w:val="00977A95"/>
    <w:rsid w:val="009902F7"/>
    <w:rsid w:val="0099448D"/>
    <w:rsid w:val="00995A06"/>
    <w:rsid w:val="009A222A"/>
    <w:rsid w:val="009A733D"/>
    <w:rsid w:val="009B3AEB"/>
    <w:rsid w:val="009C3EB5"/>
    <w:rsid w:val="009C444B"/>
    <w:rsid w:val="009D3773"/>
    <w:rsid w:val="009D499D"/>
    <w:rsid w:val="009E2AEA"/>
    <w:rsid w:val="009E3183"/>
    <w:rsid w:val="009E3783"/>
    <w:rsid w:val="009E3EA3"/>
    <w:rsid w:val="00A045CA"/>
    <w:rsid w:val="00A04DC3"/>
    <w:rsid w:val="00A05DAD"/>
    <w:rsid w:val="00A17694"/>
    <w:rsid w:val="00A462C7"/>
    <w:rsid w:val="00A73CF1"/>
    <w:rsid w:val="00A75C9A"/>
    <w:rsid w:val="00A9123D"/>
    <w:rsid w:val="00A92534"/>
    <w:rsid w:val="00AA4399"/>
    <w:rsid w:val="00AB35DC"/>
    <w:rsid w:val="00AB419D"/>
    <w:rsid w:val="00AC046B"/>
    <w:rsid w:val="00AC54F8"/>
    <w:rsid w:val="00AC681D"/>
    <w:rsid w:val="00AD0F67"/>
    <w:rsid w:val="00AD7E8E"/>
    <w:rsid w:val="00AE0F81"/>
    <w:rsid w:val="00AE1821"/>
    <w:rsid w:val="00AF3563"/>
    <w:rsid w:val="00B019A9"/>
    <w:rsid w:val="00B03273"/>
    <w:rsid w:val="00B110B5"/>
    <w:rsid w:val="00B174E3"/>
    <w:rsid w:val="00B316E7"/>
    <w:rsid w:val="00B34EF9"/>
    <w:rsid w:val="00B3709B"/>
    <w:rsid w:val="00B56E4F"/>
    <w:rsid w:val="00B748AE"/>
    <w:rsid w:val="00B7681E"/>
    <w:rsid w:val="00B84958"/>
    <w:rsid w:val="00B94CD8"/>
    <w:rsid w:val="00B96F16"/>
    <w:rsid w:val="00BA58AC"/>
    <w:rsid w:val="00BB1CDA"/>
    <w:rsid w:val="00BB2CD8"/>
    <w:rsid w:val="00BC459E"/>
    <w:rsid w:val="00BE2D5A"/>
    <w:rsid w:val="00BE2ECA"/>
    <w:rsid w:val="00BF23A6"/>
    <w:rsid w:val="00BF5A87"/>
    <w:rsid w:val="00BF6341"/>
    <w:rsid w:val="00C0045E"/>
    <w:rsid w:val="00C00FD8"/>
    <w:rsid w:val="00C073E4"/>
    <w:rsid w:val="00C07C34"/>
    <w:rsid w:val="00C154E6"/>
    <w:rsid w:val="00C33771"/>
    <w:rsid w:val="00C34230"/>
    <w:rsid w:val="00C3661B"/>
    <w:rsid w:val="00C42112"/>
    <w:rsid w:val="00C46A0C"/>
    <w:rsid w:val="00C473F7"/>
    <w:rsid w:val="00C5100A"/>
    <w:rsid w:val="00C56251"/>
    <w:rsid w:val="00C62FDC"/>
    <w:rsid w:val="00C72011"/>
    <w:rsid w:val="00C74739"/>
    <w:rsid w:val="00C77A1F"/>
    <w:rsid w:val="00C9518D"/>
    <w:rsid w:val="00CA73CB"/>
    <w:rsid w:val="00CC12A0"/>
    <w:rsid w:val="00CC26A8"/>
    <w:rsid w:val="00CF6B2F"/>
    <w:rsid w:val="00D05CAA"/>
    <w:rsid w:val="00D114E6"/>
    <w:rsid w:val="00D40645"/>
    <w:rsid w:val="00D408EF"/>
    <w:rsid w:val="00D41D2D"/>
    <w:rsid w:val="00D44316"/>
    <w:rsid w:val="00D565F8"/>
    <w:rsid w:val="00D56ABB"/>
    <w:rsid w:val="00D571B1"/>
    <w:rsid w:val="00D644BD"/>
    <w:rsid w:val="00D85008"/>
    <w:rsid w:val="00D9441A"/>
    <w:rsid w:val="00D9515D"/>
    <w:rsid w:val="00DA7439"/>
    <w:rsid w:val="00DB0DA9"/>
    <w:rsid w:val="00DD0EDE"/>
    <w:rsid w:val="00DD3239"/>
    <w:rsid w:val="00DE0877"/>
    <w:rsid w:val="00E311F5"/>
    <w:rsid w:val="00E35B1E"/>
    <w:rsid w:val="00E40C1E"/>
    <w:rsid w:val="00E55649"/>
    <w:rsid w:val="00E56A50"/>
    <w:rsid w:val="00E72855"/>
    <w:rsid w:val="00E74C1D"/>
    <w:rsid w:val="00E81B2F"/>
    <w:rsid w:val="00E85B0A"/>
    <w:rsid w:val="00E935A1"/>
    <w:rsid w:val="00EA5A32"/>
    <w:rsid w:val="00EB7CA0"/>
    <w:rsid w:val="00EC0273"/>
    <w:rsid w:val="00EC25BA"/>
    <w:rsid w:val="00EC5F6C"/>
    <w:rsid w:val="00ED0AD5"/>
    <w:rsid w:val="00ED7140"/>
    <w:rsid w:val="00EF0AFA"/>
    <w:rsid w:val="00F012F4"/>
    <w:rsid w:val="00F072E1"/>
    <w:rsid w:val="00F11185"/>
    <w:rsid w:val="00F12E98"/>
    <w:rsid w:val="00F13F4C"/>
    <w:rsid w:val="00F207AB"/>
    <w:rsid w:val="00F21724"/>
    <w:rsid w:val="00F21A81"/>
    <w:rsid w:val="00F21CC1"/>
    <w:rsid w:val="00F2428F"/>
    <w:rsid w:val="00F27444"/>
    <w:rsid w:val="00F32A56"/>
    <w:rsid w:val="00F413D8"/>
    <w:rsid w:val="00F42100"/>
    <w:rsid w:val="00F42A9B"/>
    <w:rsid w:val="00F464FE"/>
    <w:rsid w:val="00F6591A"/>
    <w:rsid w:val="00F7546C"/>
    <w:rsid w:val="00F82E1C"/>
    <w:rsid w:val="00F91200"/>
    <w:rsid w:val="00F93ACB"/>
    <w:rsid w:val="00FB1780"/>
    <w:rsid w:val="00FB35C6"/>
    <w:rsid w:val="00FB5BFA"/>
    <w:rsid w:val="00FD3574"/>
    <w:rsid w:val="00FD6A7D"/>
    <w:rsid w:val="00FD6FC9"/>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rsid w:val="00C56251"/>
    <w:pPr>
      <w:tabs>
        <w:tab w:val="center" w:pos="4153"/>
        <w:tab w:val="right" w:pos="8306"/>
      </w:tabs>
    </w:pPr>
  </w:style>
  <w:style w:type="character" w:customStyle="1" w:styleId="HeaderChar">
    <w:name w:val="Header Char"/>
    <w:basedOn w:val="DefaultParagraphFont"/>
    <w:link w:val="Header"/>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semiHidden/>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rsid w:val="00C56251"/>
    <w:pPr>
      <w:tabs>
        <w:tab w:val="center" w:pos="4153"/>
        <w:tab w:val="right" w:pos="8306"/>
      </w:tabs>
    </w:pPr>
  </w:style>
  <w:style w:type="character" w:customStyle="1" w:styleId="HeaderChar">
    <w:name w:val="Header Char"/>
    <w:basedOn w:val="DefaultParagraphFont"/>
    <w:link w:val="Header"/>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semiHidden/>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1A40B-D681-4BE9-9487-89198C639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2578</Words>
  <Characters>14026</Characters>
  <Application>Microsoft Office Word</Application>
  <DocSecurity>0</DocSecurity>
  <Lines>609</Lines>
  <Paragraphs>255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Gibson, Vikki</cp:lastModifiedBy>
  <cp:revision>3</cp:revision>
  <cp:lastPrinted>2014-05-23T01:02:00Z</cp:lastPrinted>
  <dcterms:created xsi:type="dcterms:W3CDTF">2014-06-12T02:10:00Z</dcterms:created>
  <dcterms:modified xsi:type="dcterms:W3CDTF">2014-06-12T02:11:00Z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