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51" w:rsidRPr="00414613" w:rsidRDefault="00C56251" w:rsidP="000B0D05">
      <w:pPr>
        <w:pStyle w:val="Heading1"/>
        <w:ind w:left="284"/>
        <w:rPr>
          <w:szCs w:val="24"/>
        </w:rPr>
      </w:pPr>
      <w:r w:rsidRPr="00414613">
        <w:rPr>
          <w:szCs w:val="24"/>
        </w:rPr>
        <w:t xml:space="preserve">EXPLANATORY </w:t>
      </w:r>
      <w:r w:rsidR="00FF62A9">
        <w:rPr>
          <w:szCs w:val="24"/>
        </w:rPr>
        <w:t>STATEMENT</w:t>
      </w:r>
    </w:p>
    <w:p w:rsidR="00C56251" w:rsidRDefault="00C56251" w:rsidP="007920F0">
      <w:pPr>
        <w:rPr>
          <w:szCs w:val="24"/>
        </w:rPr>
      </w:pPr>
    </w:p>
    <w:p w:rsidR="007920F0" w:rsidRDefault="007920F0" w:rsidP="007920F0">
      <w:pPr>
        <w:rPr>
          <w:szCs w:val="24"/>
          <w:u w:val="single"/>
        </w:rPr>
      </w:pPr>
    </w:p>
    <w:p w:rsidR="00441C2C" w:rsidRDefault="00441C2C" w:rsidP="00441C2C">
      <w:pPr>
        <w:jc w:val="center"/>
        <w:rPr>
          <w:szCs w:val="24"/>
          <w:u w:val="single"/>
        </w:rPr>
      </w:pPr>
      <w:r>
        <w:rPr>
          <w:szCs w:val="24"/>
          <w:u w:val="single"/>
        </w:rPr>
        <w:t>Select Legislative Instrument No.</w:t>
      </w:r>
      <w:r w:rsidR="00A4027A">
        <w:rPr>
          <w:szCs w:val="24"/>
          <w:u w:val="single"/>
        </w:rPr>
        <w:t xml:space="preserve"> 79</w:t>
      </w:r>
      <w:r w:rsidR="004E1B2F">
        <w:rPr>
          <w:szCs w:val="24"/>
          <w:u w:val="single"/>
        </w:rPr>
        <w:t>,</w:t>
      </w:r>
      <w:bookmarkStart w:id="0" w:name="_GoBack"/>
      <w:bookmarkEnd w:id="0"/>
      <w:r w:rsidR="00A4027A">
        <w:rPr>
          <w:szCs w:val="24"/>
          <w:u w:val="single"/>
        </w:rPr>
        <w:t xml:space="preserve"> </w:t>
      </w:r>
      <w:r w:rsidR="00A4027A">
        <w:rPr>
          <w:szCs w:val="24"/>
          <w:u w:val="single"/>
        </w:rPr>
        <w:t xml:space="preserve">2014 </w:t>
      </w:r>
    </w:p>
    <w:p w:rsidR="00441C2C" w:rsidRPr="00D05CAA" w:rsidRDefault="00441C2C" w:rsidP="00441C2C">
      <w:pPr>
        <w:jc w:val="center"/>
        <w:rPr>
          <w:szCs w:val="24"/>
          <w:u w:val="single"/>
        </w:rPr>
      </w:pPr>
    </w:p>
    <w:p w:rsidR="00441C2C" w:rsidRPr="00414613" w:rsidRDefault="00441C2C" w:rsidP="00441C2C">
      <w:pPr>
        <w:widowControl w:val="0"/>
        <w:tabs>
          <w:tab w:val="left" w:pos="1418"/>
        </w:tabs>
        <w:jc w:val="center"/>
        <w:rPr>
          <w:i/>
          <w:szCs w:val="24"/>
        </w:rPr>
      </w:pPr>
      <w:r w:rsidRPr="00414613">
        <w:rPr>
          <w:i/>
          <w:szCs w:val="24"/>
        </w:rPr>
        <w:t>Health Insurance Act 1973</w:t>
      </w:r>
    </w:p>
    <w:p w:rsidR="00441C2C" w:rsidRPr="00414613" w:rsidRDefault="00441C2C" w:rsidP="00441C2C">
      <w:pPr>
        <w:tabs>
          <w:tab w:val="left" w:pos="1418"/>
        </w:tabs>
        <w:ind w:left="851"/>
        <w:jc w:val="center"/>
        <w:rPr>
          <w:i/>
          <w:szCs w:val="24"/>
        </w:rPr>
      </w:pPr>
    </w:p>
    <w:p w:rsidR="00C56251" w:rsidRDefault="00441C2C" w:rsidP="00441C2C">
      <w:pPr>
        <w:tabs>
          <w:tab w:val="left" w:pos="1418"/>
        </w:tabs>
        <w:ind w:left="851"/>
        <w:rPr>
          <w:i/>
          <w:szCs w:val="24"/>
        </w:rPr>
      </w:pPr>
      <w:r w:rsidRPr="00414613">
        <w:rPr>
          <w:i/>
          <w:szCs w:val="24"/>
        </w:rPr>
        <w:t>Health Insurance (</w:t>
      </w:r>
      <w:r>
        <w:rPr>
          <w:i/>
          <w:szCs w:val="24"/>
        </w:rPr>
        <w:t>Diagnostic Imaging Services Table</w:t>
      </w:r>
      <w:r w:rsidRPr="00414613">
        <w:rPr>
          <w:i/>
          <w:szCs w:val="24"/>
        </w:rPr>
        <w:t xml:space="preserve">) </w:t>
      </w:r>
      <w:r>
        <w:rPr>
          <w:i/>
          <w:szCs w:val="24"/>
        </w:rPr>
        <w:t xml:space="preserve">Amendment (2014 Measures No. 1) </w:t>
      </w:r>
      <w:r w:rsidRPr="00414613">
        <w:rPr>
          <w:i/>
          <w:szCs w:val="24"/>
        </w:rPr>
        <w:t>Regulation 201</w:t>
      </w:r>
      <w:r>
        <w:rPr>
          <w:i/>
          <w:szCs w:val="24"/>
        </w:rPr>
        <w:t>4</w:t>
      </w:r>
    </w:p>
    <w:p w:rsidR="00441C2C" w:rsidRPr="00414613" w:rsidRDefault="00441C2C" w:rsidP="00441C2C">
      <w:pPr>
        <w:tabs>
          <w:tab w:val="left" w:pos="1418"/>
        </w:tabs>
        <w:ind w:left="851"/>
        <w:rPr>
          <w:i/>
          <w:szCs w:val="24"/>
        </w:rPr>
      </w:pPr>
    </w:p>
    <w:p w:rsidR="007920F0" w:rsidRPr="007920F0" w:rsidRDefault="007920F0" w:rsidP="007920F0">
      <w:pPr>
        <w:tabs>
          <w:tab w:val="left" w:pos="1418"/>
        </w:tabs>
        <w:ind w:left="851"/>
        <w:jc w:val="center"/>
        <w:rPr>
          <w:i/>
          <w:szCs w:val="24"/>
        </w:rPr>
      </w:pPr>
    </w:p>
    <w:p w:rsidR="00C56251" w:rsidRPr="00414613" w:rsidRDefault="00C56251" w:rsidP="00C56251">
      <w:pPr>
        <w:rPr>
          <w:szCs w:val="24"/>
        </w:rPr>
      </w:pPr>
      <w:r w:rsidRPr="00414613">
        <w:rPr>
          <w:szCs w:val="24"/>
        </w:rPr>
        <w:t xml:space="preserve">Subsection 133(1) of the </w:t>
      </w:r>
      <w:r w:rsidRPr="00414613">
        <w:rPr>
          <w:i/>
          <w:szCs w:val="24"/>
        </w:rPr>
        <w:t xml:space="preserve">Health Insurance Act 1973 </w:t>
      </w:r>
      <w:r w:rsidRPr="00414613">
        <w:rPr>
          <w:szCs w:val="24"/>
        </w:rPr>
        <w:t xml:space="preserve">(the Act) provides that the </w:t>
      </w:r>
    </w:p>
    <w:p w:rsidR="00C56251" w:rsidRPr="00414613" w:rsidRDefault="00C56251" w:rsidP="00C56251">
      <w:pPr>
        <w:rPr>
          <w:szCs w:val="24"/>
        </w:rPr>
      </w:pPr>
      <w:r w:rsidRPr="00414613">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C56251" w:rsidRPr="00414613" w:rsidRDefault="00C56251" w:rsidP="00C56251">
      <w:pPr>
        <w:rPr>
          <w:szCs w:val="24"/>
        </w:rPr>
      </w:pPr>
    </w:p>
    <w:p w:rsidR="00C56251" w:rsidRDefault="00C56251" w:rsidP="00C56251">
      <w:pPr>
        <w:rPr>
          <w:szCs w:val="24"/>
        </w:rPr>
      </w:pPr>
      <w:r w:rsidRPr="00414613">
        <w:rPr>
          <w:szCs w:val="24"/>
        </w:rPr>
        <w:t>Subsection 4</w:t>
      </w:r>
      <w:r w:rsidR="00F9117A">
        <w:rPr>
          <w:szCs w:val="24"/>
        </w:rPr>
        <w:t>AA</w:t>
      </w:r>
      <w:r w:rsidRPr="00414613">
        <w:rPr>
          <w:szCs w:val="24"/>
        </w:rPr>
        <w:t xml:space="preserve">(1) of the Act provides that the regulations may prescribe a table of </w:t>
      </w:r>
      <w:r w:rsidR="00F05393">
        <w:rPr>
          <w:szCs w:val="24"/>
        </w:rPr>
        <w:t>diagnostic imag</w:t>
      </w:r>
      <w:r w:rsidR="00F9117A">
        <w:rPr>
          <w:szCs w:val="24"/>
        </w:rPr>
        <w:t xml:space="preserve">ing services </w:t>
      </w:r>
      <w:r w:rsidRPr="00414613">
        <w:rPr>
          <w:szCs w:val="24"/>
        </w:rPr>
        <w:t>which sets out</w:t>
      </w:r>
      <w:r w:rsidR="00F9117A">
        <w:rPr>
          <w:szCs w:val="24"/>
        </w:rPr>
        <w:t xml:space="preserve"> the</w:t>
      </w:r>
      <w:r w:rsidRPr="00414613">
        <w:rPr>
          <w:szCs w:val="24"/>
        </w:rPr>
        <w:t xml:space="preserve"> items</w:t>
      </w:r>
      <w:r w:rsidR="007A2E32">
        <w:rPr>
          <w:szCs w:val="24"/>
        </w:rPr>
        <w:t xml:space="preserve"> </w:t>
      </w:r>
      <w:r w:rsidRPr="00414613">
        <w:rPr>
          <w:szCs w:val="24"/>
        </w:rPr>
        <w:t>of services, the fees applicable for each item, and rules for interpreting the table.</w:t>
      </w:r>
      <w:r w:rsidR="00F9117A">
        <w:rPr>
          <w:szCs w:val="24"/>
        </w:rPr>
        <w:t xml:space="preserve"> The </w:t>
      </w:r>
      <w:r w:rsidRPr="00414613">
        <w:rPr>
          <w:i/>
          <w:szCs w:val="24"/>
        </w:rPr>
        <w:t>Health Insurance (</w:t>
      </w:r>
      <w:r w:rsidR="00C04952">
        <w:rPr>
          <w:i/>
          <w:szCs w:val="24"/>
        </w:rPr>
        <w:t>Diagnostic Imag</w:t>
      </w:r>
      <w:r w:rsidR="00F9117A">
        <w:rPr>
          <w:i/>
          <w:szCs w:val="24"/>
        </w:rPr>
        <w:t xml:space="preserve">ing </w:t>
      </w:r>
      <w:r w:rsidR="002B49DE">
        <w:rPr>
          <w:i/>
          <w:szCs w:val="24"/>
        </w:rPr>
        <w:t>Services Table) Regulation 2013</w:t>
      </w:r>
      <w:r w:rsidRPr="00414613">
        <w:rPr>
          <w:szCs w:val="24"/>
        </w:rPr>
        <w:t xml:space="preserve"> </w:t>
      </w:r>
      <w:r w:rsidR="00F05393">
        <w:rPr>
          <w:szCs w:val="24"/>
        </w:rPr>
        <w:t>(the Principal Regulation</w:t>
      </w:r>
      <w:r w:rsidR="000B0D05">
        <w:rPr>
          <w:szCs w:val="24"/>
        </w:rPr>
        <w:t xml:space="preserve">) </w:t>
      </w:r>
      <w:r w:rsidRPr="00414613">
        <w:rPr>
          <w:szCs w:val="24"/>
        </w:rPr>
        <w:t>currently prescribes such a table.</w:t>
      </w:r>
    </w:p>
    <w:p w:rsidR="007C27D3" w:rsidRDefault="007C27D3" w:rsidP="00C56251"/>
    <w:p w:rsidR="00555CC2" w:rsidRDefault="00DE4236" w:rsidP="000B0D05">
      <w:r>
        <w:t xml:space="preserve">The </w:t>
      </w:r>
      <w:r w:rsidR="000B0D05" w:rsidRPr="000B0D05">
        <w:rPr>
          <w:i/>
        </w:rPr>
        <w:t xml:space="preserve">Health Insurance (Diagnostic Imaging Services Table) Amendment (2014 Measures No.1) Regulation 2014 </w:t>
      </w:r>
      <w:r w:rsidR="00F05393">
        <w:t>(the Amendment Regulation) is</w:t>
      </w:r>
      <w:r w:rsidR="000B0D05" w:rsidRPr="000B0D05">
        <w:t xml:space="preserve"> part of the on-going man</w:t>
      </w:r>
      <w:r w:rsidR="00F05393">
        <w:t>agement of the Diagnostic Imag</w:t>
      </w:r>
      <w:r w:rsidR="000B0D05" w:rsidRPr="000B0D05">
        <w:t>ing Services Table.</w:t>
      </w:r>
      <w:r w:rsidR="000B0D05">
        <w:t xml:space="preserve"> The </w:t>
      </w:r>
      <w:r w:rsidR="00F05393">
        <w:t>Amendment Regulation</w:t>
      </w:r>
      <w:r w:rsidR="000B0D05" w:rsidRPr="000B0D05">
        <w:t xml:space="preserve"> </w:t>
      </w:r>
      <w:r w:rsidR="00F05393" w:rsidRPr="000B0D05">
        <w:t>includes</w:t>
      </w:r>
      <w:r w:rsidR="000B0D05" w:rsidRPr="000B0D05">
        <w:t xml:space="preserve"> a</w:t>
      </w:r>
      <w:r w:rsidR="000B0D05" w:rsidRPr="000B0D05">
        <w:rPr>
          <w:szCs w:val="24"/>
        </w:rPr>
        <w:t>mendments to Schedul</w:t>
      </w:r>
      <w:r w:rsidR="00F05393">
        <w:rPr>
          <w:szCs w:val="24"/>
        </w:rPr>
        <w:t xml:space="preserve">e 1 </w:t>
      </w:r>
      <w:r w:rsidR="00173B7B">
        <w:rPr>
          <w:szCs w:val="24"/>
        </w:rPr>
        <w:t>to</w:t>
      </w:r>
      <w:r w:rsidR="00F05393">
        <w:rPr>
          <w:szCs w:val="24"/>
        </w:rPr>
        <w:t xml:space="preserve"> the Principal Regulation</w:t>
      </w:r>
      <w:r w:rsidR="000B0D05" w:rsidRPr="000B0D05">
        <w:rPr>
          <w:szCs w:val="24"/>
        </w:rPr>
        <w:t xml:space="preserve"> to ensure that the diagnostic imaging services funded through the Medicare Benefits Schedule (MBS) are </w:t>
      </w:r>
      <w:r w:rsidR="000B0D05" w:rsidRPr="000B0D05">
        <w:t>reflective of Government commitments.</w:t>
      </w:r>
      <w:r w:rsidR="000B0D05">
        <w:t xml:space="preserve"> </w:t>
      </w:r>
    </w:p>
    <w:p w:rsidR="000B0D05" w:rsidRPr="000B0D05" w:rsidRDefault="000B0D05" w:rsidP="000B0D05"/>
    <w:p w:rsidR="000B0D05" w:rsidRPr="000B0D05" w:rsidRDefault="00F05393" w:rsidP="00F05393">
      <w:pPr>
        <w:contextualSpacing/>
      </w:pPr>
      <w:r>
        <w:t>The Amendment Regulation merge</w:t>
      </w:r>
      <w:r w:rsidR="00062E2C">
        <w:t>s</w:t>
      </w:r>
      <w:r>
        <w:t xml:space="preserve"> </w:t>
      </w:r>
      <w:r w:rsidR="000B0D05" w:rsidRPr="000B0D05">
        <w:t xml:space="preserve">eight current MBS pelvis ultrasound items into four new MBS items, by removing the gender specific terminology in the item descriptors (‘male’ or ‘female’) and </w:t>
      </w:r>
      <w:r w:rsidR="009A40DC">
        <w:t xml:space="preserve">replacing it with </w:t>
      </w:r>
      <w:r w:rsidR="000B0D05" w:rsidRPr="000B0D05">
        <w:t>gender neutral terminology</w:t>
      </w:r>
      <w:r w:rsidR="000B0D05">
        <w:t xml:space="preserve">. </w:t>
      </w:r>
      <w:r w:rsidR="002C732A">
        <w:t>T</w:t>
      </w:r>
      <w:r w:rsidR="000B0D05">
        <w:t>he change will</w:t>
      </w:r>
      <w:r w:rsidR="000B0D05" w:rsidRPr="000B0D05">
        <w:t xml:space="preserve"> </w:t>
      </w:r>
      <w:r>
        <w:t xml:space="preserve">not </w:t>
      </w:r>
      <w:r w:rsidR="00ED0C58">
        <w:t xml:space="preserve">change the </w:t>
      </w:r>
      <w:r w:rsidR="002C732A">
        <w:t xml:space="preserve">clinical criteria for claiming pelvis ultrasound items. </w:t>
      </w:r>
      <w:r w:rsidR="000B0D05" w:rsidRPr="000B0D05">
        <w:t>The changes allow for the items to be provided to all patients who have the anatomical characteristics but who do not identify with the gender specific la</w:t>
      </w:r>
      <w:r w:rsidR="00C15DD6">
        <w:t>nguage (</w:t>
      </w:r>
      <w:r w:rsidR="00173B7B">
        <w:t xml:space="preserve">that is, </w:t>
      </w:r>
      <w:r w:rsidR="00C15DD6">
        <w:t>woman/man, female/male)</w:t>
      </w:r>
      <w:r w:rsidR="00ED0C58">
        <w:t>. This</w:t>
      </w:r>
      <w:r w:rsidR="000B0D05" w:rsidRPr="000B0D05">
        <w:t xml:space="preserve"> change adheres to the Australian Government Guidelines on the Recognition of Sex and Gender.</w:t>
      </w:r>
    </w:p>
    <w:p w:rsidR="000B0D05" w:rsidRDefault="000B0D05" w:rsidP="000B0D05">
      <w:pPr>
        <w:contextualSpacing/>
      </w:pPr>
    </w:p>
    <w:p w:rsidR="000B0D05" w:rsidRDefault="002C732A" w:rsidP="002C732A">
      <w:pPr>
        <w:contextualSpacing/>
      </w:pPr>
      <w:r>
        <w:t>Additionally, the Amendment Regulation amend</w:t>
      </w:r>
      <w:r w:rsidR="005B0148">
        <w:t>s</w:t>
      </w:r>
      <w:r w:rsidR="000B0D05" w:rsidRPr="000B0D05">
        <w:t xml:space="preserve"> eight ultrasound MBS items (relating to the pelvis, urinary tract, u</w:t>
      </w:r>
      <w:r w:rsidR="00C04952">
        <w:t xml:space="preserve">rinary bladder, and abdomen) to reference </w:t>
      </w:r>
      <w:r w:rsidR="000B0D05" w:rsidRPr="000B0D05">
        <w:t xml:space="preserve">the four new MBS items </w:t>
      </w:r>
      <w:r>
        <w:t>and remove</w:t>
      </w:r>
      <w:r w:rsidR="005B0148">
        <w:t>s</w:t>
      </w:r>
      <w:r w:rsidR="00C04952">
        <w:t xml:space="preserve"> the reference to the previous </w:t>
      </w:r>
      <w:r w:rsidR="000B0D05" w:rsidRPr="000B0D05">
        <w:t>eight pelvis ultrasound MBS items</w:t>
      </w:r>
      <w:r w:rsidR="00C04952">
        <w:t xml:space="preserve"> </w:t>
      </w:r>
      <w:r w:rsidR="00DB768F">
        <w:t>which have been deleted</w:t>
      </w:r>
      <w:r w:rsidR="000B0D05" w:rsidRPr="000B0D05">
        <w:t>.</w:t>
      </w:r>
    </w:p>
    <w:p w:rsidR="002C732A" w:rsidRDefault="002C732A" w:rsidP="002C732A">
      <w:pPr>
        <w:contextualSpacing/>
      </w:pPr>
    </w:p>
    <w:p w:rsidR="000B0D05" w:rsidRDefault="002C732A" w:rsidP="002C732A">
      <w:pPr>
        <w:contextualSpacing/>
      </w:pPr>
      <w:r>
        <w:t>Finally, the Amending Regulation include</w:t>
      </w:r>
      <w:r w:rsidR="00DB768F">
        <w:t>s</w:t>
      </w:r>
      <w:r>
        <w:t xml:space="preserve"> </w:t>
      </w:r>
      <w:r w:rsidR="00C04952">
        <w:t>a provision which includes a regional</w:t>
      </w:r>
      <w:r w:rsidR="000B0D05" w:rsidRPr="000B0D05">
        <w:t xml:space="preserve"> exemption from </w:t>
      </w:r>
      <w:r w:rsidR="00C04952">
        <w:t>the Capital Sensitivity measure</w:t>
      </w:r>
      <w:r w:rsidR="000B0D05" w:rsidRPr="000B0D05">
        <w:t xml:space="preserve"> for computed tomography (‘CT’) services that are provided in a remote loc</w:t>
      </w:r>
      <w:r>
        <w:t>ation. The Principal Regulation</w:t>
      </w:r>
      <w:r w:rsidR="000B0D05" w:rsidRPr="000B0D05">
        <w:t xml:space="preserve"> provide</w:t>
      </w:r>
      <w:r>
        <w:t>s</w:t>
      </w:r>
      <w:r w:rsidR="000B0D05" w:rsidRPr="000B0D05">
        <w:t xml:space="preserve"> for reduced Medicare benefits for </w:t>
      </w:r>
      <w:r w:rsidR="00173B7B">
        <w:t>most</w:t>
      </w:r>
      <w:r w:rsidR="000B0D05" w:rsidRPr="000B0D05">
        <w:t xml:space="preserve"> diagnosti</w:t>
      </w:r>
      <w:r w:rsidR="00C04952">
        <w:t>c services performed using aged</w:t>
      </w:r>
      <w:r w:rsidR="000B0D05" w:rsidRPr="000B0D05">
        <w:t xml:space="preserve"> equipment as an incentive for providers to upgrade equipment in the interests of </w:t>
      </w:r>
      <w:r w:rsidR="00C04952">
        <w:t xml:space="preserve">quality and safety for </w:t>
      </w:r>
      <w:r w:rsidR="000B0D05" w:rsidRPr="000B0D05">
        <w:t xml:space="preserve">consumers. This is </w:t>
      </w:r>
      <w:r w:rsidR="00173B7B">
        <w:t>indicated</w:t>
      </w:r>
      <w:r w:rsidR="000B0D05" w:rsidRPr="000B0D05">
        <w:t xml:space="preserve"> by the use of the ‘(K)’ and ‘(NK)’ symbols in the MBS item descriptors. MBS items with ‘(NK)’ in the desc</w:t>
      </w:r>
      <w:r w:rsidR="00C04952">
        <w:t xml:space="preserve">riptor have a MBS fee which has a value of approximately fifty per cent </w:t>
      </w:r>
      <w:r w:rsidR="000B0D05" w:rsidRPr="000B0D05">
        <w:t xml:space="preserve">of the corresponding ‘(K)’ item. Previously, a </w:t>
      </w:r>
      <w:r w:rsidR="006D5623">
        <w:t xml:space="preserve">provider performing a CT service </w:t>
      </w:r>
      <w:r w:rsidR="000B0D05" w:rsidRPr="000B0D05">
        <w:t>on equipmen</w:t>
      </w:r>
      <w:r w:rsidR="006D5623">
        <w:t xml:space="preserve">t that was older than 10 years </w:t>
      </w:r>
      <w:r w:rsidR="000B0D05" w:rsidRPr="000B0D05">
        <w:t>was eligible for the ‘(K)’ item (</w:t>
      </w:r>
      <w:r w:rsidR="00173B7B">
        <w:t>that is,</w:t>
      </w:r>
      <w:r w:rsidR="000B0D05" w:rsidRPr="000B0D05">
        <w:t xml:space="preserve"> an item with a higher Medicare rebate) if the service was performed on equipment in a ‘remote location’</w:t>
      </w:r>
      <w:r w:rsidR="00ED0C58">
        <w:t xml:space="preserve">. </w:t>
      </w:r>
      <w:r w:rsidR="00ED0C58">
        <w:lastRenderedPageBreak/>
        <w:t>U</w:t>
      </w:r>
      <w:r w:rsidR="006D5623" w:rsidRPr="00567518">
        <w:t xml:space="preserve">nder </w:t>
      </w:r>
      <w:r w:rsidR="000B0D05" w:rsidRPr="00567518">
        <w:t xml:space="preserve">the </w:t>
      </w:r>
      <w:r w:rsidR="000B0D05" w:rsidRPr="00567518">
        <w:rPr>
          <w:i/>
        </w:rPr>
        <w:t>Hea</w:t>
      </w:r>
      <w:r w:rsidR="00C04952" w:rsidRPr="00567518">
        <w:rPr>
          <w:i/>
        </w:rPr>
        <w:t>lth Insurance (Diagnostic Imag</w:t>
      </w:r>
      <w:r w:rsidR="000B0D05" w:rsidRPr="00567518">
        <w:rPr>
          <w:i/>
        </w:rPr>
        <w:t>ing Services Table) Regulation 2013</w:t>
      </w:r>
      <w:r w:rsidR="00ED0C58">
        <w:t xml:space="preserve">, </w:t>
      </w:r>
      <w:r w:rsidR="00ED0C58" w:rsidRPr="00567518">
        <w:t xml:space="preserve">CT services </w:t>
      </w:r>
      <w:r w:rsidR="00ED0C58">
        <w:t xml:space="preserve">became </w:t>
      </w:r>
      <w:r w:rsidR="00ED0C58" w:rsidRPr="00567518">
        <w:t>subject to the same regional exemption rules as other modalities</w:t>
      </w:r>
      <w:r w:rsidR="00ED0C58">
        <w:t>.</w:t>
      </w:r>
      <w:r w:rsidR="00567518" w:rsidRPr="00567518">
        <w:t xml:space="preserve"> I</w:t>
      </w:r>
      <w:r w:rsidR="000B0D05" w:rsidRPr="00567518">
        <w:t>t</w:t>
      </w:r>
      <w:r w:rsidR="000B0D05" w:rsidRPr="000B0D05">
        <w:t xml:space="preserve"> may be t</w:t>
      </w:r>
      <w:r w:rsidR="00C04952">
        <w:t>he case that some providers who</w:t>
      </w:r>
      <w:r w:rsidR="000B0D05" w:rsidRPr="000B0D05">
        <w:t xml:space="preserve"> were previously able to access the </w:t>
      </w:r>
      <w:r w:rsidR="00C04952">
        <w:t xml:space="preserve">remote location exemption may no longer be able to access the regional exemption </w:t>
      </w:r>
      <w:r w:rsidR="00752309">
        <w:t xml:space="preserve">contained </w:t>
      </w:r>
      <w:r w:rsidR="00C04952">
        <w:t xml:space="preserve">in the </w:t>
      </w:r>
      <w:r w:rsidR="00C04952">
        <w:rPr>
          <w:i/>
        </w:rPr>
        <w:t>Health Insurance (Diagnostic Imaging Services Table) Regulation 2013</w:t>
      </w:r>
      <w:r w:rsidR="000B0D05" w:rsidRPr="000B0D05">
        <w:t xml:space="preserve">. To ensure that providers have time to adapt to the new requirements the </w:t>
      </w:r>
      <w:r w:rsidR="00752309">
        <w:t>Amendment Regulation</w:t>
      </w:r>
      <w:r w:rsidR="000B0D05" w:rsidRPr="000B0D05">
        <w:t xml:space="preserve"> ensure</w:t>
      </w:r>
      <w:r w:rsidR="00DB612F">
        <w:t>s</w:t>
      </w:r>
      <w:r w:rsidR="000B0D05" w:rsidRPr="000B0D05">
        <w:t xml:space="preserve"> that </w:t>
      </w:r>
      <w:r w:rsidR="0064755D">
        <w:t xml:space="preserve">previously </w:t>
      </w:r>
      <w:r w:rsidR="000B0D05" w:rsidRPr="000B0D05">
        <w:t xml:space="preserve">eligible healthcare providers </w:t>
      </w:r>
      <w:r w:rsidR="0064755D">
        <w:t xml:space="preserve">who are no longer eligible from 1 July 2014 </w:t>
      </w:r>
      <w:r w:rsidR="000B0D05" w:rsidRPr="000B0D05">
        <w:t>continue to have access to higher Medicare rebates for two years in respect of their older equipment from the date of the Amendment Regulations</w:t>
      </w:r>
      <w:r w:rsidR="00720B66">
        <w:t xml:space="preserve"> until 30 June 2016</w:t>
      </w:r>
      <w:r w:rsidR="000B0D05" w:rsidRPr="000B0D05">
        <w:t>.</w:t>
      </w:r>
    </w:p>
    <w:p w:rsidR="00AA53DB" w:rsidRDefault="00AA53DB" w:rsidP="002C732A">
      <w:pPr>
        <w:contextualSpacing/>
      </w:pPr>
    </w:p>
    <w:p w:rsidR="00AA53DB" w:rsidRPr="006C14C6" w:rsidRDefault="00AA53DB" w:rsidP="00AA53DB">
      <w:pPr>
        <w:rPr>
          <w:szCs w:val="24"/>
          <w:u w:val="single"/>
        </w:rPr>
      </w:pPr>
      <w:r w:rsidRPr="006C14C6">
        <w:rPr>
          <w:szCs w:val="24"/>
          <w:u w:val="single"/>
        </w:rPr>
        <w:t>Consultation</w:t>
      </w:r>
    </w:p>
    <w:p w:rsidR="00AA53DB" w:rsidRPr="006C14C6" w:rsidRDefault="00AA53DB" w:rsidP="00AA53DB">
      <w:pPr>
        <w:rPr>
          <w:szCs w:val="24"/>
        </w:rPr>
      </w:pPr>
      <w:r w:rsidRPr="006C14C6">
        <w:rPr>
          <w:szCs w:val="24"/>
        </w:rPr>
        <w:t>The Department of Health has consulted with the medical profession, including the Australian Medical Association, Royal Australian College of Surgeons, the Royal Australian and New Zealand College of Radiologists and other relevant professional medical groups as well as the Medical Services Advisory Committee.</w:t>
      </w:r>
    </w:p>
    <w:p w:rsidR="00AA53DB" w:rsidRPr="006C14C6" w:rsidRDefault="00AA53DB" w:rsidP="00AA53DB">
      <w:pPr>
        <w:rPr>
          <w:szCs w:val="24"/>
        </w:rPr>
      </w:pPr>
    </w:p>
    <w:p w:rsidR="00AA53DB" w:rsidRPr="006C14C6" w:rsidRDefault="00AA53DB" w:rsidP="00AA53DB">
      <w:pPr>
        <w:rPr>
          <w:szCs w:val="24"/>
        </w:rPr>
      </w:pPr>
      <w:r w:rsidRPr="006C14C6">
        <w:rPr>
          <w:szCs w:val="24"/>
        </w:rPr>
        <w:t>The National Lesbian, Gay, Bisexual, Transgender and Intersex Health Alliance and the Organisation Intersex International have also been consulted throughout the process to ensure the proposed item descriptors incorporate appropriate language.</w:t>
      </w:r>
    </w:p>
    <w:p w:rsidR="00AA53DB" w:rsidRPr="006C14C6" w:rsidRDefault="00AA53DB" w:rsidP="00AA53DB">
      <w:pPr>
        <w:rPr>
          <w:szCs w:val="24"/>
        </w:rPr>
      </w:pPr>
    </w:p>
    <w:p w:rsidR="00AA53DB" w:rsidRPr="006C14C6" w:rsidRDefault="00AA53DB" w:rsidP="00AA53DB">
      <w:pPr>
        <w:rPr>
          <w:szCs w:val="24"/>
        </w:rPr>
      </w:pPr>
      <w:r w:rsidRPr="006C14C6">
        <w:rPr>
          <w:szCs w:val="24"/>
        </w:rPr>
        <w:t>All stakeholder groups have expressed their approval for the proposed changes to proceed.</w:t>
      </w:r>
    </w:p>
    <w:p w:rsidR="00FE0D38" w:rsidRDefault="00FE0D38" w:rsidP="00AE29C8">
      <w:pPr>
        <w:rPr>
          <w:bCs/>
          <w:szCs w:val="24"/>
        </w:rPr>
      </w:pPr>
    </w:p>
    <w:p w:rsidR="00C56251" w:rsidRPr="00414613" w:rsidRDefault="00C56251" w:rsidP="00C56251">
      <w:pPr>
        <w:rPr>
          <w:szCs w:val="24"/>
          <w:u w:val="single"/>
        </w:rPr>
      </w:pPr>
      <w:r w:rsidRPr="00414613">
        <w:rPr>
          <w:szCs w:val="24"/>
        </w:rPr>
        <w:t xml:space="preserve">Details of the </w:t>
      </w:r>
      <w:r w:rsidR="007920F0">
        <w:rPr>
          <w:szCs w:val="24"/>
        </w:rPr>
        <w:t>Amendment R</w:t>
      </w:r>
      <w:r w:rsidRPr="00414613">
        <w:rPr>
          <w:szCs w:val="24"/>
        </w:rPr>
        <w:t>egulation</w:t>
      </w:r>
      <w:r w:rsidRPr="00414613">
        <w:rPr>
          <w:i/>
          <w:szCs w:val="24"/>
        </w:rPr>
        <w:t xml:space="preserve"> </w:t>
      </w:r>
      <w:r w:rsidRPr="00414613">
        <w:rPr>
          <w:szCs w:val="24"/>
        </w:rPr>
        <w:t xml:space="preserve">are set out in the </w:t>
      </w:r>
      <w:r w:rsidRPr="00414613">
        <w:rPr>
          <w:szCs w:val="24"/>
          <w:u w:val="single"/>
        </w:rPr>
        <w:t>Attachment.</w:t>
      </w:r>
    </w:p>
    <w:p w:rsidR="00C56251" w:rsidRPr="00414613" w:rsidRDefault="00C56251" w:rsidP="00C56251">
      <w:pPr>
        <w:rPr>
          <w:szCs w:val="24"/>
        </w:rPr>
      </w:pPr>
    </w:p>
    <w:p w:rsidR="008F1AA9" w:rsidRPr="00414613" w:rsidRDefault="00C56251" w:rsidP="00C56251">
      <w:pPr>
        <w:rPr>
          <w:szCs w:val="24"/>
        </w:rPr>
      </w:pPr>
      <w:r w:rsidRPr="00414613">
        <w:rPr>
          <w:szCs w:val="24"/>
        </w:rPr>
        <w:t xml:space="preserve">The Act specifies no conditions which need to be met before the power to make the </w:t>
      </w:r>
      <w:r w:rsidR="007920F0">
        <w:rPr>
          <w:szCs w:val="24"/>
        </w:rPr>
        <w:t>Amendment R</w:t>
      </w:r>
      <w:r w:rsidRPr="00414613">
        <w:rPr>
          <w:szCs w:val="24"/>
        </w:rPr>
        <w:t xml:space="preserve">egulation may be exercised.  </w:t>
      </w:r>
    </w:p>
    <w:p w:rsidR="0031124D" w:rsidRPr="00414613" w:rsidRDefault="0031124D" w:rsidP="00C56251">
      <w:pPr>
        <w:rPr>
          <w:szCs w:val="24"/>
        </w:rPr>
      </w:pPr>
    </w:p>
    <w:p w:rsidR="00E06D10" w:rsidRDefault="00C56251" w:rsidP="00C56251">
      <w:pPr>
        <w:rPr>
          <w:szCs w:val="24"/>
        </w:rPr>
      </w:pPr>
      <w:r w:rsidRPr="00414613">
        <w:rPr>
          <w:szCs w:val="24"/>
        </w:rPr>
        <w:t xml:space="preserve">The </w:t>
      </w:r>
      <w:r w:rsidR="007920F0">
        <w:rPr>
          <w:szCs w:val="24"/>
        </w:rPr>
        <w:t>Amendment R</w:t>
      </w:r>
      <w:r w:rsidRPr="00414613">
        <w:rPr>
          <w:szCs w:val="24"/>
        </w:rPr>
        <w:t xml:space="preserve">egulation </w:t>
      </w:r>
      <w:r w:rsidR="00DB612F">
        <w:rPr>
          <w:szCs w:val="24"/>
        </w:rPr>
        <w:t>is</w:t>
      </w:r>
      <w:r w:rsidRPr="00414613">
        <w:rPr>
          <w:szCs w:val="24"/>
        </w:rPr>
        <w:t xml:space="preserve"> a legislative instrument for the purposes of the </w:t>
      </w:r>
      <w:r w:rsidRPr="00414613">
        <w:rPr>
          <w:i/>
          <w:szCs w:val="24"/>
        </w:rPr>
        <w:t>Legislative Instruments Act 2003</w:t>
      </w:r>
      <w:r w:rsidRPr="00414613">
        <w:rPr>
          <w:szCs w:val="24"/>
        </w:rPr>
        <w:t>.</w:t>
      </w:r>
    </w:p>
    <w:p w:rsidR="00856379" w:rsidRDefault="00856379">
      <w:pPr>
        <w:rPr>
          <w:szCs w:val="24"/>
        </w:rPr>
      </w:pPr>
    </w:p>
    <w:p w:rsidR="00C56251" w:rsidRPr="00414613" w:rsidRDefault="00C56251" w:rsidP="00E70D5A">
      <w:pPr>
        <w:spacing w:after="200" w:line="276" w:lineRule="auto"/>
        <w:rPr>
          <w:szCs w:val="24"/>
        </w:rPr>
      </w:pPr>
      <w:r w:rsidRPr="00414613">
        <w:rPr>
          <w:szCs w:val="24"/>
        </w:rPr>
        <w:t xml:space="preserve">The </w:t>
      </w:r>
      <w:r w:rsidR="007920F0">
        <w:rPr>
          <w:szCs w:val="24"/>
        </w:rPr>
        <w:t>Amendment R</w:t>
      </w:r>
      <w:r w:rsidRPr="00414613">
        <w:rPr>
          <w:szCs w:val="24"/>
        </w:rPr>
        <w:t>egulation</w:t>
      </w:r>
      <w:r w:rsidR="007B08D1" w:rsidRPr="00414613">
        <w:rPr>
          <w:szCs w:val="24"/>
        </w:rPr>
        <w:t xml:space="preserve"> commence</w:t>
      </w:r>
      <w:r w:rsidR="00193526">
        <w:rPr>
          <w:szCs w:val="24"/>
        </w:rPr>
        <w:t>s</w:t>
      </w:r>
      <w:r w:rsidR="007B08D1" w:rsidRPr="00414613">
        <w:rPr>
          <w:szCs w:val="24"/>
        </w:rPr>
        <w:t xml:space="preserve"> </w:t>
      </w:r>
      <w:r w:rsidR="00B03273" w:rsidRPr="00414613">
        <w:rPr>
          <w:szCs w:val="24"/>
        </w:rPr>
        <w:t>on 1 July</w:t>
      </w:r>
      <w:r w:rsidR="0076544A">
        <w:rPr>
          <w:szCs w:val="24"/>
        </w:rPr>
        <w:t xml:space="preserve"> 2014</w:t>
      </w:r>
      <w:r w:rsidR="00A045CA" w:rsidRPr="00414613">
        <w:rPr>
          <w:szCs w:val="24"/>
        </w:rPr>
        <w:t>.</w:t>
      </w:r>
    </w:p>
    <w:p w:rsidR="00047B7F" w:rsidRPr="00414613" w:rsidRDefault="00047B7F" w:rsidP="00C56251">
      <w:pPr>
        <w:pStyle w:val="Subtitle"/>
        <w:rPr>
          <w:szCs w:val="24"/>
          <w:u w:val="none"/>
        </w:rPr>
      </w:pPr>
    </w:p>
    <w:p w:rsidR="00C56251" w:rsidRPr="00414613" w:rsidRDefault="00C56251" w:rsidP="00C56251">
      <w:pPr>
        <w:tabs>
          <w:tab w:val="left" w:pos="4536"/>
          <w:tab w:val="left" w:pos="5670"/>
        </w:tabs>
        <w:ind w:left="284"/>
        <w:jc w:val="center"/>
        <w:rPr>
          <w:szCs w:val="24"/>
        </w:rPr>
      </w:pPr>
      <w:r w:rsidRPr="00414613">
        <w:rPr>
          <w:szCs w:val="24"/>
        </w:rPr>
        <w:tab/>
      </w:r>
      <w:r w:rsidRPr="00414613">
        <w:rPr>
          <w:szCs w:val="24"/>
          <w:u w:val="single"/>
        </w:rPr>
        <w:t>Authority</w:t>
      </w:r>
      <w:r w:rsidRPr="00414613">
        <w:rPr>
          <w:szCs w:val="24"/>
        </w:rPr>
        <w:t xml:space="preserve">:     Subsection 133(1) of the </w:t>
      </w:r>
    </w:p>
    <w:p w:rsidR="005B29A5" w:rsidRDefault="00C56251" w:rsidP="00D41D2D">
      <w:pPr>
        <w:tabs>
          <w:tab w:val="left" w:pos="4536"/>
        </w:tabs>
        <w:ind w:left="284"/>
        <w:jc w:val="center"/>
        <w:rPr>
          <w:szCs w:val="24"/>
        </w:rPr>
      </w:pPr>
      <w:r w:rsidRPr="00414613">
        <w:rPr>
          <w:i/>
          <w:szCs w:val="24"/>
        </w:rPr>
        <w:t xml:space="preserve">                                                                                                Health Insurance Act 1973</w:t>
      </w:r>
      <w:r w:rsidRPr="00414613">
        <w:rPr>
          <w:szCs w:val="24"/>
        </w:rPr>
        <w:t xml:space="preserve">  </w:t>
      </w:r>
    </w:p>
    <w:p w:rsidR="005B1057" w:rsidRDefault="005B1057" w:rsidP="00D41D2D">
      <w:pPr>
        <w:tabs>
          <w:tab w:val="left" w:pos="4536"/>
        </w:tabs>
        <w:ind w:left="284"/>
        <w:jc w:val="center"/>
        <w:rPr>
          <w:szCs w:val="24"/>
        </w:rPr>
        <w:sectPr w:rsidR="005B1057" w:rsidSect="00E62223">
          <w:headerReference w:type="even" r:id="rId9"/>
          <w:headerReference w:type="default" r:id="rId10"/>
          <w:pgSz w:w="11906" w:h="16838"/>
          <w:pgMar w:top="1440" w:right="1440" w:bottom="1440" w:left="1440" w:header="720" w:footer="720" w:gutter="0"/>
          <w:paperSrc w:first="7" w:other="7"/>
          <w:pgNumType w:start="1"/>
          <w:cols w:space="720"/>
          <w:titlePg/>
          <w:docGrid w:linePitch="326"/>
        </w:sectPr>
      </w:pPr>
    </w:p>
    <w:p w:rsidR="00C56251" w:rsidRPr="00414613" w:rsidRDefault="00E62223" w:rsidP="00E62223">
      <w:pPr>
        <w:spacing w:after="200" w:line="276" w:lineRule="auto"/>
        <w:rPr>
          <w:szCs w:val="24"/>
        </w:rPr>
      </w:pPr>
      <w:r>
        <w:rPr>
          <w:szCs w:val="24"/>
        </w:rPr>
        <w:lastRenderedPageBreak/>
        <w:br w:type="page"/>
      </w:r>
    </w:p>
    <w:p w:rsidR="005B29A5" w:rsidRDefault="005B29A5" w:rsidP="007920F0">
      <w:pPr>
        <w:jc w:val="right"/>
        <w:rPr>
          <w:b/>
          <w:szCs w:val="24"/>
          <w:u w:val="single"/>
        </w:rPr>
        <w:sectPr w:rsidR="005B29A5" w:rsidSect="00E62223">
          <w:type w:val="continuous"/>
          <w:pgSz w:w="11906" w:h="16838"/>
          <w:pgMar w:top="1440" w:right="1440" w:bottom="1440" w:left="1440" w:header="720" w:footer="720" w:gutter="0"/>
          <w:paperSrc w:first="7" w:other="7"/>
          <w:pgNumType w:start="1"/>
          <w:cols w:space="720"/>
          <w:titlePg/>
          <w:docGrid w:linePitch="326"/>
        </w:sectPr>
      </w:pPr>
    </w:p>
    <w:p w:rsidR="007920F0" w:rsidRPr="007920F0" w:rsidRDefault="007920F0" w:rsidP="007920F0">
      <w:pPr>
        <w:jc w:val="right"/>
        <w:rPr>
          <w:b/>
          <w:szCs w:val="24"/>
          <w:u w:val="single"/>
        </w:rPr>
      </w:pPr>
      <w:r w:rsidRPr="007920F0">
        <w:rPr>
          <w:b/>
          <w:szCs w:val="24"/>
          <w:u w:val="single"/>
        </w:rPr>
        <w:lastRenderedPageBreak/>
        <w:t>ATTACHMENT</w:t>
      </w:r>
    </w:p>
    <w:p w:rsidR="007920F0" w:rsidRPr="007920F0" w:rsidRDefault="007920F0" w:rsidP="007920F0">
      <w:pPr>
        <w:jc w:val="right"/>
        <w:rPr>
          <w:b/>
          <w:szCs w:val="24"/>
        </w:rPr>
      </w:pPr>
    </w:p>
    <w:p w:rsidR="007920F0" w:rsidRPr="007920F0" w:rsidRDefault="007920F0" w:rsidP="007920F0">
      <w:pPr>
        <w:rPr>
          <w:i/>
          <w:szCs w:val="24"/>
        </w:rPr>
      </w:pPr>
    </w:p>
    <w:p w:rsidR="00752309" w:rsidRPr="00752309" w:rsidRDefault="00752309" w:rsidP="007920F0">
      <w:pPr>
        <w:tabs>
          <w:tab w:val="num" w:pos="2289"/>
        </w:tabs>
        <w:rPr>
          <w:b/>
          <w:szCs w:val="24"/>
          <w:u w:val="single"/>
        </w:rPr>
      </w:pPr>
      <w:r w:rsidRPr="00752309">
        <w:rPr>
          <w:b/>
          <w:szCs w:val="24"/>
          <w:u w:val="single"/>
        </w:rPr>
        <w:t xml:space="preserve">Details of the </w:t>
      </w:r>
      <w:r w:rsidRPr="00752309">
        <w:rPr>
          <w:b/>
          <w:i/>
          <w:szCs w:val="24"/>
          <w:u w:val="single"/>
        </w:rPr>
        <w:t>Health Insurance (Diagnostic Imaging Services Table) Amendment (2014 Measures No.1) Regulation 2014</w:t>
      </w:r>
    </w:p>
    <w:p w:rsidR="007920F0" w:rsidRPr="007920F0" w:rsidRDefault="007920F0" w:rsidP="007920F0">
      <w:pPr>
        <w:tabs>
          <w:tab w:val="num" w:pos="2289"/>
        </w:tabs>
        <w:rPr>
          <w:b/>
          <w:szCs w:val="24"/>
          <w:u w:val="single"/>
        </w:rPr>
      </w:pPr>
    </w:p>
    <w:p w:rsidR="007920F0" w:rsidRPr="007920F0" w:rsidRDefault="007920F0" w:rsidP="007920F0">
      <w:pPr>
        <w:tabs>
          <w:tab w:val="num" w:pos="2289"/>
        </w:tabs>
        <w:rPr>
          <w:b/>
          <w:szCs w:val="24"/>
          <w:u w:val="single"/>
        </w:rPr>
      </w:pPr>
      <w:r w:rsidRPr="007920F0">
        <w:rPr>
          <w:b/>
          <w:szCs w:val="24"/>
          <w:u w:val="single"/>
        </w:rPr>
        <w:t xml:space="preserve">Section 1 – Name of regulation </w:t>
      </w:r>
    </w:p>
    <w:p w:rsidR="007920F0" w:rsidRPr="007920F0" w:rsidRDefault="007920F0" w:rsidP="007920F0">
      <w:pPr>
        <w:tabs>
          <w:tab w:val="num" w:pos="2289"/>
        </w:tabs>
        <w:rPr>
          <w:b/>
          <w:szCs w:val="24"/>
          <w:u w:val="single"/>
        </w:rPr>
      </w:pPr>
    </w:p>
    <w:p w:rsidR="007920F0" w:rsidRPr="007920F0" w:rsidRDefault="00671CF2" w:rsidP="007920F0">
      <w:pPr>
        <w:tabs>
          <w:tab w:val="num" w:pos="2289"/>
        </w:tabs>
        <w:rPr>
          <w:szCs w:val="24"/>
        </w:rPr>
      </w:pPr>
      <w:r>
        <w:rPr>
          <w:szCs w:val="24"/>
        </w:rPr>
        <w:t>This section provide</w:t>
      </w:r>
      <w:r w:rsidR="00B04AF8">
        <w:rPr>
          <w:szCs w:val="24"/>
        </w:rPr>
        <w:t>s</w:t>
      </w:r>
      <w:r w:rsidR="007920F0" w:rsidRPr="007920F0">
        <w:rPr>
          <w:szCs w:val="24"/>
        </w:rPr>
        <w:t xml:space="preserve"> for the regulation to be referred to as the </w:t>
      </w:r>
      <w:r w:rsidR="007920F0" w:rsidRPr="007920F0">
        <w:rPr>
          <w:i/>
          <w:szCs w:val="24"/>
        </w:rPr>
        <w:t>Hea</w:t>
      </w:r>
      <w:r w:rsidR="0064755D">
        <w:rPr>
          <w:i/>
          <w:szCs w:val="24"/>
        </w:rPr>
        <w:t>lth Insurance (Diagnostic Imag</w:t>
      </w:r>
      <w:r w:rsidR="007920F0" w:rsidRPr="007920F0">
        <w:rPr>
          <w:i/>
          <w:szCs w:val="24"/>
        </w:rPr>
        <w:t>ing Services Table) Amendment (2014 Measures No.1) Regulation 2014</w:t>
      </w:r>
      <w:r w:rsidR="007920F0" w:rsidRPr="007920F0">
        <w:rPr>
          <w:szCs w:val="24"/>
        </w:rPr>
        <w:t xml:space="preserve">. </w:t>
      </w:r>
    </w:p>
    <w:p w:rsidR="007920F0" w:rsidRPr="007920F0" w:rsidRDefault="007920F0" w:rsidP="007920F0">
      <w:pPr>
        <w:tabs>
          <w:tab w:val="num" w:pos="2289"/>
        </w:tabs>
        <w:rPr>
          <w:szCs w:val="24"/>
        </w:rPr>
      </w:pPr>
    </w:p>
    <w:p w:rsidR="007920F0" w:rsidRPr="007920F0" w:rsidRDefault="007920F0" w:rsidP="007920F0">
      <w:pPr>
        <w:tabs>
          <w:tab w:val="num" w:pos="2289"/>
        </w:tabs>
        <w:rPr>
          <w:b/>
          <w:szCs w:val="24"/>
          <w:u w:val="single"/>
        </w:rPr>
      </w:pPr>
      <w:r w:rsidRPr="007920F0">
        <w:rPr>
          <w:b/>
          <w:szCs w:val="24"/>
          <w:u w:val="single"/>
        </w:rPr>
        <w:t xml:space="preserve">Section 2 – Commencement </w:t>
      </w:r>
    </w:p>
    <w:p w:rsidR="007920F0" w:rsidRPr="007920F0" w:rsidRDefault="007920F0" w:rsidP="007920F0">
      <w:pPr>
        <w:tabs>
          <w:tab w:val="num" w:pos="2289"/>
        </w:tabs>
        <w:rPr>
          <w:b/>
          <w:szCs w:val="24"/>
          <w:u w:val="single"/>
        </w:rPr>
      </w:pPr>
    </w:p>
    <w:p w:rsidR="007920F0" w:rsidRPr="007920F0" w:rsidRDefault="00671CF2" w:rsidP="007920F0">
      <w:pPr>
        <w:tabs>
          <w:tab w:val="num" w:pos="2289"/>
        </w:tabs>
        <w:rPr>
          <w:szCs w:val="24"/>
        </w:rPr>
      </w:pPr>
      <w:r w:rsidRPr="00671CF2">
        <w:rPr>
          <w:szCs w:val="24"/>
        </w:rPr>
        <w:t>This sectionprovide</w:t>
      </w:r>
      <w:r w:rsidR="00B04AF8">
        <w:rPr>
          <w:szCs w:val="24"/>
        </w:rPr>
        <w:t>s</w:t>
      </w:r>
      <w:r w:rsidR="007920F0" w:rsidRPr="007920F0">
        <w:rPr>
          <w:szCs w:val="24"/>
        </w:rPr>
        <w:t xml:space="preserve"> for the regulation to commence on 1 July 2014.</w:t>
      </w:r>
    </w:p>
    <w:p w:rsidR="007920F0" w:rsidRPr="007920F0" w:rsidRDefault="007920F0" w:rsidP="007920F0">
      <w:pPr>
        <w:tabs>
          <w:tab w:val="num" w:pos="2289"/>
        </w:tabs>
        <w:rPr>
          <w:szCs w:val="24"/>
        </w:rPr>
      </w:pPr>
    </w:p>
    <w:p w:rsidR="007920F0" w:rsidRPr="007920F0" w:rsidRDefault="007920F0" w:rsidP="007920F0">
      <w:pPr>
        <w:tabs>
          <w:tab w:val="num" w:pos="2289"/>
        </w:tabs>
        <w:rPr>
          <w:b/>
          <w:szCs w:val="24"/>
          <w:u w:val="single"/>
        </w:rPr>
      </w:pPr>
      <w:r w:rsidRPr="007920F0">
        <w:rPr>
          <w:b/>
          <w:szCs w:val="24"/>
          <w:u w:val="single"/>
        </w:rPr>
        <w:t xml:space="preserve">Section 3 – Authority </w:t>
      </w:r>
    </w:p>
    <w:p w:rsidR="007920F0" w:rsidRPr="007920F0" w:rsidRDefault="007920F0" w:rsidP="007920F0">
      <w:pPr>
        <w:tabs>
          <w:tab w:val="num" w:pos="2289"/>
        </w:tabs>
        <w:rPr>
          <w:b/>
          <w:szCs w:val="24"/>
          <w:u w:val="single"/>
        </w:rPr>
      </w:pPr>
    </w:p>
    <w:p w:rsidR="007920F0" w:rsidRPr="007920F0" w:rsidRDefault="00671CF2" w:rsidP="007920F0">
      <w:pPr>
        <w:tabs>
          <w:tab w:val="num" w:pos="2289"/>
        </w:tabs>
        <w:rPr>
          <w:szCs w:val="24"/>
        </w:rPr>
      </w:pPr>
      <w:r>
        <w:rPr>
          <w:szCs w:val="24"/>
        </w:rPr>
        <w:t>This</w:t>
      </w:r>
      <w:r w:rsidR="007920F0" w:rsidRPr="007920F0">
        <w:rPr>
          <w:szCs w:val="24"/>
        </w:rPr>
        <w:t xml:space="preserve"> regulation is made under the </w:t>
      </w:r>
      <w:r w:rsidR="007920F0" w:rsidRPr="007920F0">
        <w:rPr>
          <w:i/>
          <w:szCs w:val="24"/>
        </w:rPr>
        <w:t>Health Insurance Act 1973</w:t>
      </w:r>
      <w:r w:rsidR="007920F0" w:rsidRPr="007920F0">
        <w:rPr>
          <w:szCs w:val="24"/>
        </w:rPr>
        <w:t xml:space="preserve">. </w:t>
      </w:r>
    </w:p>
    <w:p w:rsidR="007920F0" w:rsidRPr="007920F0" w:rsidRDefault="007920F0" w:rsidP="007920F0">
      <w:pPr>
        <w:tabs>
          <w:tab w:val="num" w:pos="2289"/>
        </w:tabs>
        <w:rPr>
          <w:szCs w:val="24"/>
        </w:rPr>
      </w:pPr>
    </w:p>
    <w:p w:rsidR="007920F0" w:rsidRPr="007920F0" w:rsidRDefault="007920F0" w:rsidP="007920F0">
      <w:pPr>
        <w:tabs>
          <w:tab w:val="num" w:pos="2289"/>
        </w:tabs>
        <w:rPr>
          <w:b/>
          <w:szCs w:val="24"/>
          <w:u w:val="single"/>
        </w:rPr>
      </w:pPr>
      <w:r w:rsidRPr="007920F0">
        <w:rPr>
          <w:b/>
          <w:szCs w:val="24"/>
          <w:u w:val="single"/>
        </w:rPr>
        <w:t xml:space="preserve">Section 4 – Schedule(s) </w:t>
      </w:r>
    </w:p>
    <w:p w:rsidR="007920F0" w:rsidRPr="007920F0" w:rsidRDefault="007920F0" w:rsidP="007920F0">
      <w:pPr>
        <w:tabs>
          <w:tab w:val="num" w:pos="2289"/>
        </w:tabs>
        <w:rPr>
          <w:szCs w:val="24"/>
        </w:rPr>
      </w:pPr>
    </w:p>
    <w:p w:rsidR="007920F0" w:rsidRPr="007920F0" w:rsidRDefault="007920F0" w:rsidP="007920F0">
      <w:pPr>
        <w:tabs>
          <w:tab w:val="num" w:pos="2289"/>
        </w:tabs>
        <w:rPr>
          <w:szCs w:val="24"/>
        </w:rPr>
      </w:pPr>
      <w:r w:rsidRPr="007920F0">
        <w:rPr>
          <w:szCs w:val="24"/>
        </w:rPr>
        <w:t xml:space="preserve">This section </w:t>
      </w:r>
      <w:r w:rsidR="00671CF2">
        <w:rPr>
          <w:szCs w:val="24"/>
        </w:rPr>
        <w:t>provide</w:t>
      </w:r>
      <w:r w:rsidR="00B04AF8">
        <w:rPr>
          <w:szCs w:val="24"/>
        </w:rPr>
        <w:t>s</w:t>
      </w:r>
      <w:r w:rsidRPr="007920F0">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 </w:t>
      </w:r>
    </w:p>
    <w:p w:rsidR="007920F0" w:rsidRPr="007920F0" w:rsidRDefault="007920F0" w:rsidP="007920F0">
      <w:pPr>
        <w:tabs>
          <w:tab w:val="num" w:pos="2289"/>
        </w:tabs>
        <w:rPr>
          <w:szCs w:val="24"/>
        </w:rPr>
      </w:pPr>
    </w:p>
    <w:p w:rsidR="007920F0" w:rsidRPr="007920F0" w:rsidRDefault="007920F0" w:rsidP="007920F0">
      <w:pPr>
        <w:tabs>
          <w:tab w:val="num" w:pos="2289"/>
        </w:tabs>
        <w:rPr>
          <w:b/>
          <w:szCs w:val="24"/>
          <w:u w:val="single"/>
        </w:rPr>
      </w:pPr>
      <w:r w:rsidRPr="007920F0">
        <w:rPr>
          <w:b/>
          <w:szCs w:val="24"/>
          <w:u w:val="single"/>
        </w:rPr>
        <w:t xml:space="preserve">Schedule 1 – Amendments </w:t>
      </w:r>
    </w:p>
    <w:p w:rsidR="007920F0" w:rsidRPr="007920F0" w:rsidRDefault="007920F0" w:rsidP="007920F0">
      <w:pPr>
        <w:tabs>
          <w:tab w:val="num" w:pos="2289"/>
        </w:tabs>
        <w:rPr>
          <w:b/>
          <w:szCs w:val="24"/>
          <w:u w:val="single"/>
        </w:rPr>
      </w:pPr>
    </w:p>
    <w:p w:rsidR="00C04498" w:rsidRDefault="00671CF2" w:rsidP="007920F0">
      <w:pPr>
        <w:tabs>
          <w:tab w:val="num" w:pos="2289"/>
        </w:tabs>
        <w:rPr>
          <w:b/>
          <w:szCs w:val="24"/>
          <w:u w:val="single"/>
        </w:rPr>
      </w:pPr>
      <w:r>
        <w:rPr>
          <w:b/>
          <w:szCs w:val="24"/>
          <w:u w:val="single"/>
        </w:rPr>
        <w:t>Item [1</w:t>
      </w:r>
      <w:r w:rsidR="007920F0" w:rsidRPr="007920F0">
        <w:rPr>
          <w:b/>
          <w:szCs w:val="24"/>
          <w:u w:val="single"/>
        </w:rPr>
        <w:t>] –</w:t>
      </w:r>
      <w:r w:rsidR="00C04498">
        <w:rPr>
          <w:b/>
          <w:szCs w:val="24"/>
          <w:u w:val="single"/>
        </w:rPr>
        <w:t xml:space="preserve"> Clause 1.2.1 of Schedule 1</w:t>
      </w:r>
      <w:r w:rsidR="007920F0" w:rsidRPr="007920F0">
        <w:rPr>
          <w:b/>
          <w:szCs w:val="24"/>
          <w:u w:val="single"/>
        </w:rPr>
        <w:t xml:space="preserve"> </w:t>
      </w:r>
    </w:p>
    <w:p w:rsidR="00C04498" w:rsidRDefault="00C04498" w:rsidP="007920F0">
      <w:pPr>
        <w:tabs>
          <w:tab w:val="num" w:pos="2289"/>
        </w:tabs>
        <w:rPr>
          <w:b/>
          <w:szCs w:val="24"/>
          <w:u w:val="single"/>
        </w:rPr>
      </w:pPr>
    </w:p>
    <w:p w:rsidR="00C04498" w:rsidRDefault="00C04498" w:rsidP="007920F0">
      <w:pPr>
        <w:tabs>
          <w:tab w:val="num" w:pos="2289"/>
        </w:tabs>
        <w:rPr>
          <w:szCs w:val="24"/>
        </w:rPr>
      </w:pPr>
      <w:r>
        <w:rPr>
          <w:szCs w:val="24"/>
        </w:rPr>
        <w:t>Item 1 repeal</w:t>
      </w:r>
      <w:r w:rsidR="00CC5E83">
        <w:rPr>
          <w:szCs w:val="24"/>
        </w:rPr>
        <w:t>s</w:t>
      </w:r>
      <w:r>
        <w:rPr>
          <w:szCs w:val="24"/>
        </w:rPr>
        <w:t xml:space="preserve"> the clause 1.2.1 and replace</w:t>
      </w:r>
      <w:r w:rsidR="00CC5E83">
        <w:rPr>
          <w:szCs w:val="24"/>
        </w:rPr>
        <w:t>s</w:t>
      </w:r>
      <w:r>
        <w:rPr>
          <w:szCs w:val="24"/>
        </w:rPr>
        <w:t xml:space="preserve"> it with a new clause 1.2.1 which simplifies the current drafting to avoid repeating the phrase ‘an item that includes the symbol (NK) at the end’ in subclauses 1.2.3(1) to (3) of Schedule 1.</w:t>
      </w:r>
      <w:r w:rsidR="00A81B02">
        <w:rPr>
          <w:szCs w:val="24"/>
        </w:rPr>
        <w:t xml:space="preserve"> Item </w:t>
      </w:r>
      <w:r w:rsidR="0009687D">
        <w:rPr>
          <w:szCs w:val="24"/>
        </w:rPr>
        <w:t>1 also delete</w:t>
      </w:r>
      <w:r w:rsidR="00CC5E83">
        <w:rPr>
          <w:szCs w:val="24"/>
        </w:rPr>
        <w:t>s</w:t>
      </w:r>
      <w:r w:rsidR="0009687D">
        <w:rPr>
          <w:szCs w:val="24"/>
        </w:rPr>
        <w:t xml:space="preserve"> </w:t>
      </w:r>
      <w:r w:rsidR="00A81B02">
        <w:rPr>
          <w:szCs w:val="24"/>
        </w:rPr>
        <w:t xml:space="preserve">the </w:t>
      </w:r>
      <w:r w:rsidR="0009687D">
        <w:rPr>
          <w:szCs w:val="24"/>
        </w:rPr>
        <w:t xml:space="preserve">meaning of the </w:t>
      </w:r>
      <w:r w:rsidR="00A81B02">
        <w:rPr>
          <w:szCs w:val="24"/>
        </w:rPr>
        <w:t xml:space="preserve">definition of (K) and (NK) items from clause 1.2.1. These definitions are relocated </w:t>
      </w:r>
      <w:r w:rsidR="0009687D">
        <w:rPr>
          <w:szCs w:val="24"/>
        </w:rPr>
        <w:t xml:space="preserve">in full </w:t>
      </w:r>
      <w:r w:rsidR="00A81B02">
        <w:rPr>
          <w:szCs w:val="24"/>
        </w:rPr>
        <w:t>to the dictionary in Schedule 3 under item 17 below.</w:t>
      </w:r>
      <w:r>
        <w:rPr>
          <w:szCs w:val="24"/>
        </w:rPr>
        <w:t xml:space="preserve"> Item</w:t>
      </w:r>
      <w:r w:rsidR="00752309">
        <w:rPr>
          <w:szCs w:val="24"/>
        </w:rPr>
        <w:t xml:space="preserve"> </w:t>
      </w:r>
      <w:r>
        <w:rPr>
          <w:szCs w:val="24"/>
        </w:rPr>
        <w:t>1 is a drafting change and does not change the current arrangements.</w:t>
      </w:r>
    </w:p>
    <w:p w:rsidR="00C04498" w:rsidRDefault="00C04498" w:rsidP="007920F0">
      <w:pPr>
        <w:tabs>
          <w:tab w:val="num" w:pos="2289"/>
        </w:tabs>
        <w:rPr>
          <w:szCs w:val="24"/>
        </w:rPr>
      </w:pPr>
    </w:p>
    <w:p w:rsidR="00C04498" w:rsidRPr="00C04498" w:rsidRDefault="00C04498" w:rsidP="007920F0">
      <w:pPr>
        <w:tabs>
          <w:tab w:val="num" w:pos="2289"/>
        </w:tabs>
        <w:rPr>
          <w:b/>
          <w:szCs w:val="24"/>
          <w:u w:val="single"/>
        </w:rPr>
      </w:pPr>
      <w:r w:rsidRPr="00C04498">
        <w:rPr>
          <w:b/>
          <w:szCs w:val="24"/>
          <w:u w:val="single"/>
        </w:rPr>
        <w:t>Item [2] – Subclauses 1.2.3(1) to (3) of Schedule</w:t>
      </w:r>
      <w:r w:rsidR="00752309">
        <w:rPr>
          <w:b/>
          <w:szCs w:val="24"/>
          <w:u w:val="single"/>
        </w:rPr>
        <w:t xml:space="preserve"> </w:t>
      </w:r>
      <w:r w:rsidRPr="00C04498">
        <w:rPr>
          <w:b/>
          <w:szCs w:val="24"/>
          <w:u w:val="single"/>
        </w:rPr>
        <w:t>1</w:t>
      </w:r>
    </w:p>
    <w:p w:rsidR="00C04498" w:rsidRDefault="00C04498" w:rsidP="007920F0">
      <w:pPr>
        <w:tabs>
          <w:tab w:val="num" w:pos="2289"/>
        </w:tabs>
        <w:rPr>
          <w:szCs w:val="24"/>
        </w:rPr>
      </w:pPr>
    </w:p>
    <w:p w:rsidR="00C04498" w:rsidRDefault="00C04498" w:rsidP="007920F0">
      <w:pPr>
        <w:tabs>
          <w:tab w:val="num" w:pos="2289"/>
        </w:tabs>
        <w:rPr>
          <w:szCs w:val="24"/>
        </w:rPr>
      </w:pPr>
      <w:r>
        <w:rPr>
          <w:szCs w:val="24"/>
        </w:rPr>
        <w:t>Item 2 make</w:t>
      </w:r>
      <w:r w:rsidR="00CC5E83">
        <w:rPr>
          <w:szCs w:val="24"/>
        </w:rPr>
        <w:t>s</w:t>
      </w:r>
      <w:r>
        <w:rPr>
          <w:szCs w:val="24"/>
        </w:rPr>
        <w:t xml:space="preserve"> consequential amendments to subclauses 1.2.3(1) to (3) to reflect the changes made by item 1.</w:t>
      </w:r>
    </w:p>
    <w:p w:rsidR="00C04498" w:rsidRPr="00C04498" w:rsidRDefault="00C04498" w:rsidP="007920F0">
      <w:pPr>
        <w:tabs>
          <w:tab w:val="num" w:pos="2289"/>
        </w:tabs>
        <w:rPr>
          <w:szCs w:val="24"/>
        </w:rPr>
      </w:pPr>
    </w:p>
    <w:p w:rsidR="007920F0" w:rsidRPr="007920F0" w:rsidRDefault="00C04498" w:rsidP="007920F0">
      <w:pPr>
        <w:tabs>
          <w:tab w:val="num" w:pos="2289"/>
        </w:tabs>
        <w:rPr>
          <w:b/>
          <w:szCs w:val="24"/>
          <w:u w:val="single"/>
        </w:rPr>
      </w:pPr>
      <w:r>
        <w:rPr>
          <w:b/>
          <w:szCs w:val="24"/>
          <w:u w:val="single"/>
        </w:rPr>
        <w:t>Item [3] A</w:t>
      </w:r>
      <w:r w:rsidR="007920F0" w:rsidRPr="007920F0">
        <w:rPr>
          <w:b/>
          <w:szCs w:val="24"/>
          <w:u w:val="single"/>
        </w:rPr>
        <w:t xml:space="preserve">fter paragraph 1.2.3(6)(a) of Schedule 1 </w:t>
      </w:r>
    </w:p>
    <w:p w:rsidR="007920F0" w:rsidRPr="007920F0" w:rsidRDefault="007920F0" w:rsidP="007920F0">
      <w:pPr>
        <w:tabs>
          <w:tab w:val="num" w:pos="2289"/>
        </w:tabs>
        <w:rPr>
          <w:b/>
          <w:szCs w:val="24"/>
          <w:u w:val="single"/>
        </w:rPr>
      </w:pPr>
    </w:p>
    <w:p w:rsidR="007920F0" w:rsidRPr="007920F0" w:rsidRDefault="00C04498" w:rsidP="007920F0">
      <w:pPr>
        <w:tabs>
          <w:tab w:val="num" w:pos="2289"/>
        </w:tabs>
        <w:rPr>
          <w:szCs w:val="24"/>
        </w:rPr>
      </w:pPr>
      <w:r>
        <w:rPr>
          <w:szCs w:val="24"/>
        </w:rPr>
        <w:t xml:space="preserve">Item 3 </w:t>
      </w:r>
      <w:r w:rsidR="00671CF2">
        <w:rPr>
          <w:szCs w:val="24"/>
        </w:rPr>
        <w:t>i</w:t>
      </w:r>
      <w:r w:rsidR="0064755D">
        <w:rPr>
          <w:szCs w:val="24"/>
        </w:rPr>
        <w:t>ntroduce</w:t>
      </w:r>
      <w:r w:rsidR="00831C11">
        <w:rPr>
          <w:szCs w:val="24"/>
        </w:rPr>
        <w:t>s</w:t>
      </w:r>
      <w:r w:rsidR="007920F0" w:rsidRPr="007920F0">
        <w:rPr>
          <w:szCs w:val="24"/>
        </w:rPr>
        <w:t xml:space="preserve"> an additional </w:t>
      </w:r>
      <w:r w:rsidR="0064755D">
        <w:rPr>
          <w:szCs w:val="24"/>
        </w:rPr>
        <w:t xml:space="preserve">regional </w:t>
      </w:r>
      <w:r w:rsidR="007920F0" w:rsidRPr="007920F0">
        <w:rPr>
          <w:szCs w:val="24"/>
        </w:rPr>
        <w:t xml:space="preserve">exemption from capital sensitivity provisions where a relevant proprietor applies </w:t>
      </w:r>
      <w:r>
        <w:rPr>
          <w:szCs w:val="24"/>
        </w:rPr>
        <w:t>for an exemption under subclause</w:t>
      </w:r>
      <w:r w:rsidR="007920F0" w:rsidRPr="007920F0">
        <w:rPr>
          <w:szCs w:val="24"/>
        </w:rPr>
        <w:t xml:space="preserve"> 1.2.3(4). </w:t>
      </w:r>
    </w:p>
    <w:p w:rsidR="00A81B02" w:rsidRPr="007920F0" w:rsidRDefault="00A81B02" w:rsidP="007920F0">
      <w:pPr>
        <w:tabs>
          <w:tab w:val="num" w:pos="2289"/>
        </w:tabs>
        <w:rPr>
          <w:szCs w:val="24"/>
        </w:rPr>
      </w:pPr>
    </w:p>
    <w:p w:rsidR="007920F0" w:rsidRPr="007920F0" w:rsidRDefault="00C04498" w:rsidP="007920F0">
      <w:pPr>
        <w:tabs>
          <w:tab w:val="num" w:pos="2289"/>
        </w:tabs>
        <w:rPr>
          <w:b/>
          <w:szCs w:val="24"/>
          <w:u w:val="single"/>
        </w:rPr>
      </w:pPr>
      <w:r>
        <w:rPr>
          <w:b/>
          <w:szCs w:val="24"/>
          <w:u w:val="single"/>
        </w:rPr>
        <w:t>Item [4</w:t>
      </w:r>
      <w:r w:rsidR="007920F0" w:rsidRPr="007920F0">
        <w:rPr>
          <w:b/>
          <w:szCs w:val="24"/>
          <w:u w:val="single"/>
        </w:rPr>
        <w:t xml:space="preserve">] </w:t>
      </w:r>
      <w:r>
        <w:rPr>
          <w:b/>
          <w:szCs w:val="24"/>
          <w:u w:val="single"/>
        </w:rPr>
        <w:t>– At the end of clause 1.2.3 of Schedule 1</w:t>
      </w:r>
      <w:r w:rsidR="007920F0" w:rsidRPr="007920F0">
        <w:rPr>
          <w:b/>
          <w:szCs w:val="24"/>
          <w:u w:val="single"/>
        </w:rPr>
        <w:t xml:space="preserve"> </w:t>
      </w:r>
    </w:p>
    <w:p w:rsidR="007920F0" w:rsidRPr="007920F0" w:rsidRDefault="007920F0" w:rsidP="007920F0">
      <w:pPr>
        <w:tabs>
          <w:tab w:val="num" w:pos="2289"/>
        </w:tabs>
        <w:rPr>
          <w:szCs w:val="24"/>
        </w:rPr>
      </w:pPr>
    </w:p>
    <w:p w:rsidR="007920F0" w:rsidRPr="007920F0" w:rsidRDefault="00C04498" w:rsidP="007920F0">
      <w:pPr>
        <w:tabs>
          <w:tab w:val="num" w:pos="2289"/>
        </w:tabs>
        <w:rPr>
          <w:szCs w:val="24"/>
        </w:rPr>
      </w:pPr>
      <w:r>
        <w:rPr>
          <w:szCs w:val="24"/>
        </w:rPr>
        <w:t xml:space="preserve">Item 4 </w:t>
      </w:r>
      <w:r w:rsidR="00671CF2">
        <w:rPr>
          <w:szCs w:val="24"/>
        </w:rPr>
        <w:t>add</w:t>
      </w:r>
      <w:r w:rsidR="00831C11">
        <w:rPr>
          <w:szCs w:val="24"/>
        </w:rPr>
        <w:t>s</w:t>
      </w:r>
      <w:r w:rsidR="00671CF2">
        <w:rPr>
          <w:szCs w:val="24"/>
        </w:rPr>
        <w:t xml:space="preserve"> </w:t>
      </w:r>
      <w:r w:rsidR="007920F0" w:rsidRPr="007920F0">
        <w:rPr>
          <w:szCs w:val="24"/>
        </w:rPr>
        <w:t xml:space="preserve">an expiry date </w:t>
      </w:r>
      <w:r>
        <w:rPr>
          <w:szCs w:val="24"/>
        </w:rPr>
        <w:t xml:space="preserve">of 30 June 2016 </w:t>
      </w:r>
      <w:r w:rsidR="007920F0" w:rsidRPr="007920F0">
        <w:rPr>
          <w:szCs w:val="24"/>
        </w:rPr>
        <w:t xml:space="preserve">to the new </w:t>
      </w:r>
      <w:r w:rsidR="0064755D">
        <w:rPr>
          <w:szCs w:val="24"/>
        </w:rPr>
        <w:t xml:space="preserve">regional </w:t>
      </w:r>
      <w:r w:rsidR="007920F0" w:rsidRPr="007920F0">
        <w:rPr>
          <w:szCs w:val="24"/>
        </w:rPr>
        <w:t xml:space="preserve">exemption from capital sensitivity provisions. </w:t>
      </w:r>
    </w:p>
    <w:p w:rsidR="007920F0" w:rsidRPr="007920F0" w:rsidRDefault="007920F0" w:rsidP="007920F0">
      <w:pPr>
        <w:tabs>
          <w:tab w:val="num" w:pos="2289"/>
        </w:tabs>
        <w:rPr>
          <w:szCs w:val="24"/>
        </w:rPr>
      </w:pPr>
    </w:p>
    <w:p w:rsidR="007920F0" w:rsidRPr="007920F0" w:rsidRDefault="00AD6305" w:rsidP="007920F0">
      <w:pPr>
        <w:tabs>
          <w:tab w:val="num" w:pos="2289"/>
        </w:tabs>
        <w:rPr>
          <w:b/>
          <w:szCs w:val="24"/>
          <w:u w:val="single"/>
        </w:rPr>
      </w:pPr>
      <w:r>
        <w:rPr>
          <w:b/>
          <w:szCs w:val="24"/>
          <w:u w:val="single"/>
        </w:rPr>
        <w:t>Item [5</w:t>
      </w:r>
      <w:r w:rsidR="007920F0" w:rsidRPr="007920F0">
        <w:rPr>
          <w:b/>
          <w:szCs w:val="24"/>
          <w:u w:val="single"/>
        </w:rPr>
        <w:t>] – Schedule 1, item 55014 (column headed “Description”, paragraph (f))</w:t>
      </w:r>
    </w:p>
    <w:p w:rsidR="007920F0" w:rsidRPr="007920F0" w:rsidRDefault="007920F0" w:rsidP="007920F0">
      <w:pPr>
        <w:tabs>
          <w:tab w:val="num" w:pos="2289"/>
        </w:tabs>
        <w:rPr>
          <w:b/>
          <w:szCs w:val="24"/>
          <w:u w:val="single"/>
        </w:rPr>
      </w:pPr>
    </w:p>
    <w:p w:rsidR="007920F0" w:rsidRPr="007920F0" w:rsidRDefault="00AD6305" w:rsidP="007920F0">
      <w:pPr>
        <w:tabs>
          <w:tab w:val="num" w:pos="2289"/>
        </w:tabs>
        <w:rPr>
          <w:szCs w:val="24"/>
        </w:rPr>
      </w:pPr>
      <w:r>
        <w:rPr>
          <w:szCs w:val="24"/>
        </w:rPr>
        <w:t>Item 5</w:t>
      </w:r>
      <w:r w:rsidR="00671CF2">
        <w:rPr>
          <w:szCs w:val="24"/>
        </w:rPr>
        <w:t xml:space="preserve"> remove</w:t>
      </w:r>
      <w:r w:rsidR="00831C11">
        <w:rPr>
          <w:szCs w:val="24"/>
        </w:rPr>
        <w:t>s</w:t>
      </w:r>
      <w:r w:rsidR="007920F0" w:rsidRPr="007920F0">
        <w:rPr>
          <w:szCs w:val="24"/>
        </w:rPr>
        <w:t xml:space="preserve"> reference to items “55020, 55038</w:t>
      </w:r>
      <w:r w:rsidR="00671CF2">
        <w:rPr>
          <w:szCs w:val="24"/>
        </w:rPr>
        <w:t>, 55044, 55731</w:t>
      </w:r>
      <w:r w:rsidR="007F61B6">
        <w:rPr>
          <w:szCs w:val="24"/>
        </w:rPr>
        <w:t xml:space="preserve"> or 55732</w:t>
      </w:r>
      <w:r w:rsidR="00671CF2">
        <w:rPr>
          <w:szCs w:val="24"/>
        </w:rPr>
        <w:t>”, and substitute</w:t>
      </w:r>
      <w:r w:rsidR="00831C11">
        <w:rPr>
          <w:szCs w:val="24"/>
        </w:rPr>
        <w:t>s</w:t>
      </w:r>
      <w:r w:rsidR="00752309">
        <w:rPr>
          <w:szCs w:val="24"/>
        </w:rPr>
        <w:t xml:space="preserve"> the items with items “</w:t>
      </w:r>
      <w:r w:rsidR="007920F0" w:rsidRPr="007920F0">
        <w:rPr>
          <w:szCs w:val="24"/>
        </w:rPr>
        <w:t>55038, 55065</w:t>
      </w:r>
      <w:r w:rsidR="00752309">
        <w:rPr>
          <w:szCs w:val="24"/>
        </w:rPr>
        <w:t xml:space="preserve"> or 55067”</w:t>
      </w:r>
      <w:r w:rsidR="007920F0" w:rsidRPr="007920F0">
        <w:rPr>
          <w:szCs w:val="24"/>
        </w:rPr>
        <w:t xml:space="preserve">. </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[6</w:t>
      </w:r>
      <w:r w:rsidR="007920F0" w:rsidRPr="007920F0">
        <w:rPr>
          <w:b/>
          <w:szCs w:val="24"/>
          <w:u w:val="single"/>
        </w:rPr>
        <w:t>] – Schedule 1, item 55017 (column headed “Description”, paragraph (e))</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6</w:t>
      </w:r>
      <w:r w:rsidR="00671CF2">
        <w:rPr>
          <w:szCs w:val="24"/>
        </w:rPr>
        <w:t xml:space="preserve"> remove</w:t>
      </w:r>
      <w:r w:rsidR="00831C11">
        <w:rPr>
          <w:szCs w:val="24"/>
        </w:rPr>
        <w:t>s</w:t>
      </w:r>
      <w:r w:rsidR="007920F0" w:rsidRPr="007920F0">
        <w:rPr>
          <w:szCs w:val="24"/>
        </w:rPr>
        <w:t xml:space="preserve"> reference to items “55020, 55038, 55044, </w:t>
      </w:r>
      <w:r w:rsidR="00671CF2">
        <w:rPr>
          <w:szCs w:val="24"/>
        </w:rPr>
        <w:t>55731 or 55732”, and substitute</w:t>
      </w:r>
      <w:r w:rsidR="00831C11">
        <w:rPr>
          <w:szCs w:val="24"/>
        </w:rPr>
        <w:t>s</w:t>
      </w:r>
      <w:r w:rsidR="007920F0" w:rsidRPr="007920F0">
        <w:rPr>
          <w:szCs w:val="24"/>
        </w:rPr>
        <w:t xml:space="preserve"> the items with items “55038, 55065 or 55067”. </w:t>
      </w:r>
    </w:p>
    <w:p w:rsidR="00671CF2" w:rsidRPr="007920F0" w:rsidRDefault="00671CF2"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[7</w:t>
      </w:r>
      <w:r w:rsidR="007920F0" w:rsidRPr="007920F0">
        <w:rPr>
          <w:b/>
          <w:szCs w:val="24"/>
          <w:u w:val="single"/>
        </w:rPr>
        <w:t>] – Schedule 1, item 55036 (column headed “Description”, paragraph (f))</w:t>
      </w:r>
    </w:p>
    <w:p w:rsidR="007920F0" w:rsidRPr="007920F0" w:rsidRDefault="007920F0" w:rsidP="007920F0">
      <w:pPr>
        <w:tabs>
          <w:tab w:val="num" w:pos="2289"/>
        </w:tabs>
        <w:rPr>
          <w:b/>
          <w:szCs w:val="24"/>
          <w:u w:val="single"/>
        </w:rPr>
      </w:pPr>
    </w:p>
    <w:p w:rsidR="007920F0" w:rsidRPr="007920F0" w:rsidRDefault="00A81B02" w:rsidP="007920F0">
      <w:pPr>
        <w:tabs>
          <w:tab w:val="num" w:pos="2289"/>
        </w:tabs>
        <w:rPr>
          <w:szCs w:val="24"/>
        </w:rPr>
      </w:pPr>
      <w:r>
        <w:rPr>
          <w:szCs w:val="24"/>
        </w:rPr>
        <w:t>Item 7</w:t>
      </w:r>
      <w:r w:rsidR="00671CF2">
        <w:rPr>
          <w:szCs w:val="24"/>
        </w:rPr>
        <w:t xml:space="preserve"> r</w:t>
      </w:r>
      <w:r>
        <w:rPr>
          <w:szCs w:val="24"/>
        </w:rPr>
        <w:t>emove</w:t>
      </w:r>
      <w:r w:rsidR="00831C11">
        <w:rPr>
          <w:szCs w:val="24"/>
        </w:rPr>
        <w:t>s</w:t>
      </w:r>
      <w:r w:rsidR="007920F0" w:rsidRPr="007920F0">
        <w:rPr>
          <w:szCs w:val="24"/>
        </w:rPr>
        <w:t xml:space="preserve"> reference to items “55020, 55038, 55044”, “</w:t>
      </w:r>
      <w:r w:rsidR="00752309">
        <w:rPr>
          <w:szCs w:val="24"/>
        </w:rPr>
        <w:t>55731 or 55732”, and substitute</w:t>
      </w:r>
      <w:r w:rsidR="00831C11">
        <w:rPr>
          <w:szCs w:val="24"/>
        </w:rPr>
        <w:t>s</w:t>
      </w:r>
      <w:r w:rsidR="007920F0" w:rsidRPr="007920F0">
        <w:rPr>
          <w:szCs w:val="24"/>
        </w:rPr>
        <w:t xml:space="preserve"> these items with items “55038, 55065 or 55067”. </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[8</w:t>
      </w:r>
      <w:r w:rsidR="007920F0" w:rsidRPr="007920F0">
        <w:rPr>
          <w:b/>
          <w:szCs w:val="24"/>
          <w:u w:val="single"/>
        </w:rPr>
        <w:t>] – Schedule 1, item 55038, (column headed “Description”, paragraph (e))</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8</w:t>
      </w:r>
      <w:r w:rsidR="00671CF2">
        <w:rPr>
          <w:szCs w:val="24"/>
        </w:rPr>
        <w:t xml:space="preserve"> r</w:t>
      </w:r>
      <w:r>
        <w:rPr>
          <w:szCs w:val="24"/>
        </w:rPr>
        <w:t>emove</w:t>
      </w:r>
      <w:r w:rsidR="00831C11">
        <w:rPr>
          <w:szCs w:val="24"/>
        </w:rPr>
        <w:t>s</w:t>
      </w:r>
      <w:r w:rsidR="007920F0" w:rsidRPr="007920F0">
        <w:rPr>
          <w:szCs w:val="24"/>
        </w:rPr>
        <w:t xml:space="preserve"> reference to items “55020, 55036, 55044, </w:t>
      </w:r>
      <w:r w:rsidR="00671CF2">
        <w:rPr>
          <w:szCs w:val="24"/>
        </w:rPr>
        <w:t>55731 or 55732”, and substitute</w:t>
      </w:r>
      <w:r w:rsidR="00831C11">
        <w:rPr>
          <w:szCs w:val="24"/>
        </w:rPr>
        <w:t>s</w:t>
      </w:r>
      <w:r w:rsidR="007920F0" w:rsidRPr="007920F0">
        <w:rPr>
          <w:szCs w:val="24"/>
        </w:rPr>
        <w:t xml:space="preserve"> these items wit</w:t>
      </w:r>
      <w:r w:rsidR="00E62223">
        <w:rPr>
          <w:szCs w:val="24"/>
        </w:rPr>
        <w:t>h items “55036, 55065 or 55067.”</w:t>
      </w:r>
      <w:r w:rsidR="007920F0" w:rsidRPr="007920F0">
        <w:rPr>
          <w:szCs w:val="24"/>
        </w:rPr>
        <w:t xml:space="preserve"> </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[9</w:t>
      </w:r>
      <w:r w:rsidR="007920F0" w:rsidRPr="007920F0">
        <w:rPr>
          <w:b/>
          <w:szCs w:val="24"/>
          <w:u w:val="single"/>
        </w:rPr>
        <w:t>] – Schedule 1, item 55063 (column headed “Description”, paragraph (d))</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9</w:t>
      </w:r>
      <w:r w:rsidR="00671CF2">
        <w:rPr>
          <w:szCs w:val="24"/>
        </w:rPr>
        <w:t xml:space="preserve"> r</w:t>
      </w:r>
      <w:r>
        <w:rPr>
          <w:szCs w:val="24"/>
        </w:rPr>
        <w:t>emove</w:t>
      </w:r>
      <w:r w:rsidR="00831C11">
        <w:rPr>
          <w:szCs w:val="24"/>
        </w:rPr>
        <w:t>s</w:t>
      </w:r>
      <w:r w:rsidR="007920F0" w:rsidRPr="007920F0">
        <w:rPr>
          <w:szCs w:val="24"/>
        </w:rPr>
        <w:t xml:space="preserve"> reference to items “55020, 55036, 55038, 55044, 55600, 55601, 55603, 55604, </w:t>
      </w:r>
      <w:r w:rsidR="00671CF2">
        <w:rPr>
          <w:szCs w:val="24"/>
        </w:rPr>
        <w:t>55731 or 55732”, and substitute</w:t>
      </w:r>
      <w:r w:rsidR="00831C11">
        <w:rPr>
          <w:szCs w:val="24"/>
        </w:rPr>
        <w:t>s</w:t>
      </w:r>
      <w:r w:rsidR="007920F0" w:rsidRPr="007920F0">
        <w:rPr>
          <w:szCs w:val="24"/>
        </w:rPr>
        <w:t xml:space="preserve"> these items with items “55036, 55038, 55065, 55067, 55600, 55601, 55603 or 55604”. </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[10</w:t>
      </w:r>
      <w:r w:rsidR="007920F0" w:rsidRPr="007920F0">
        <w:rPr>
          <w:b/>
          <w:szCs w:val="24"/>
          <w:u w:val="single"/>
        </w:rPr>
        <w:t>] – Schedule 1, item 55064 (column headed “Description”, paragraph (c))</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10</w:t>
      </w:r>
      <w:r w:rsidR="00671CF2">
        <w:rPr>
          <w:szCs w:val="24"/>
        </w:rPr>
        <w:t xml:space="preserve"> remove</w:t>
      </w:r>
      <w:r w:rsidR="00831C11">
        <w:rPr>
          <w:szCs w:val="24"/>
        </w:rPr>
        <w:t>s</w:t>
      </w:r>
      <w:r w:rsidR="007920F0" w:rsidRPr="007920F0">
        <w:rPr>
          <w:szCs w:val="24"/>
        </w:rPr>
        <w:t xml:space="preserve"> reference to items “55022, 55037, 55039, 55045, 55600, 55601, 55603</w:t>
      </w:r>
      <w:r>
        <w:rPr>
          <w:szCs w:val="24"/>
        </w:rPr>
        <w:t>, 55604, 55733 or 55734</w:t>
      </w:r>
      <w:r w:rsidR="00671CF2">
        <w:rPr>
          <w:szCs w:val="24"/>
        </w:rPr>
        <w:t>” and substitute these items</w:t>
      </w:r>
      <w:r>
        <w:rPr>
          <w:szCs w:val="24"/>
        </w:rPr>
        <w:t xml:space="preserve"> with items “55037, 55039, 55068</w:t>
      </w:r>
      <w:r w:rsidR="00671CF2">
        <w:rPr>
          <w:szCs w:val="24"/>
        </w:rPr>
        <w:t>,</w:t>
      </w:r>
      <w:r>
        <w:rPr>
          <w:szCs w:val="24"/>
        </w:rPr>
        <w:t xml:space="preserve"> 55069,</w:t>
      </w:r>
      <w:r w:rsidR="00671CF2">
        <w:rPr>
          <w:szCs w:val="24"/>
        </w:rPr>
        <w:t xml:space="preserve"> 55600, 55601, 55603 or 55604”.</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[11</w:t>
      </w:r>
      <w:r w:rsidR="007920F0" w:rsidRPr="007920F0">
        <w:rPr>
          <w:b/>
          <w:szCs w:val="24"/>
          <w:u w:val="single"/>
        </w:rPr>
        <w:t>] – Schedule 1, after item 55064</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11</w:t>
      </w:r>
      <w:r w:rsidR="00671CF2">
        <w:rPr>
          <w:szCs w:val="24"/>
        </w:rPr>
        <w:t xml:space="preserve"> introduce</w:t>
      </w:r>
      <w:r w:rsidR="00831C11">
        <w:rPr>
          <w:szCs w:val="24"/>
        </w:rPr>
        <w:t>s</w:t>
      </w:r>
      <w:r w:rsidR="007920F0" w:rsidRPr="007920F0">
        <w:rPr>
          <w:szCs w:val="24"/>
        </w:rPr>
        <w:t xml:space="preserve"> four new pelvis ultrasound items that contain gender neutral terminology. </w:t>
      </w:r>
    </w:p>
    <w:p w:rsidR="007920F0" w:rsidRPr="007920F0" w:rsidRDefault="007920F0"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[12</w:t>
      </w:r>
      <w:r w:rsidR="007920F0" w:rsidRPr="007920F0">
        <w:rPr>
          <w:b/>
          <w:szCs w:val="24"/>
          <w:u w:val="single"/>
        </w:rPr>
        <w:t>] – Schedule 1, item 55084 (column headed “Description”, paragraph (d))</w:t>
      </w:r>
    </w:p>
    <w:p w:rsidR="007920F0" w:rsidRPr="007920F0" w:rsidRDefault="007920F0" w:rsidP="007920F0">
      <w:pPr>
        <w:tabs>
          <w:tab w:val="num" w:pos="2289"/>
        </w:tabs>
        <w:rPr>
          <w:szCs w:val="24"/>
        </w:rPr>
      </w:pPr>
    </w:p>
    <w:p w:rsidR="00A81B02" w:rsidRDefault="00A81B02" w:rsidP="007920F0">
      <w:pPr>
        <w:tabs>
          <w:tab w:val="num" w:pos="2289"/>
        </w:tabs>
        <w:rPr>
          <w:szCs w:val="24"/>
        </w:rPr>
      </w:pPr>
      <w:r>
        <w:rPr>
          <w:szCs w:val="24"/>
        </w:rPr>
        <w:t>Item 12</w:t>
      </w:r>
      <w:r w:rsidR="00671CF2">
        <w:rPr>
          <w:szCs w:val="24"/>
        </w:rPr>
        <w:t xml:space="preserve"> remove</w:t>
      </w:r>
      <w:r w:rsidR="00831C11">
        <w:rPr>
          <w:szCs w:val="24"/>
        </w:rPr>
        <w:t>s</w:t>
      </w:r>
      <w:r w:rsidR="007920F0" w:rsidRPr="007920F0">
        <w:rPr>
          <w:szCs w:val="24"/>
        </w:rPr>
        <w:t xml:space="preserve"> reference to items “55020, 55036, 55038, 55044, 55600, 55601, 55603, 55604, 55731 or 55732”, </w:t>
      </w:r>
      <w:r w:rsidR="00671CF2">
        <w:rPr>
          <w:szCs w:val="24"/>
        </w:rPr>
        <w:t>and substitute</w:t>
      </w:r>
      <w:r w:rsidR="00831C11">
        <w:rPr>
          <w:szCs w:val="24"/>
        </w:rPr>
        <w:t>s</w:t>
      </w:r>
      <w:r w:rsidR="007920F0" w:rsidRPr="007920F0">
        <w:rPr>
          <w:szCs w:val="24"/>
        </w:rPr>
        <w:t xml:space="preserve"> these items with items “55036, 55038, 55065, 55067, 55600, 55601, 55603 or 55604”.</w:t>
      </w:r>
    </w:p>
    <w:p w:rsidR="00A81B02" w:rsidRPr="007920F0" w:rsidRDefault="00A81B02" w:rsidP="007920F0">
      <w:pPr>
        <w:tabs>
          <w:tab w:val="num" w:pos="2289"/>
        </w:tabs>
        <w:rPr>
          <w:szCs w:val="24"/>
        </w:rPr>
      </w:pPr>
    </w:p>
    <w:p w:rsidR="007920F0" w:rsidRPr="007920F0" w:rsidRDefault="00A81B02" w:rsidP="007920F0">
      <w:pPr>
        <w:tabs>
          <w:tab w:val="num" w:pos="2289"/>
        </w:tabs>
        <w:rPr>
          <w:b/>
          <w:szCs w:val="24"/>
          <w:u w:val="single"/>
        </w:rPr>
      </w:pPr>
      <w:r>
        <w:rPr>
          <w:b/>
          <w:szCs w:val="24"/>
          <w:u w:val="single"/>
        </w:rPr>
        <w:t>Item [13</w:t>
      </w:r>
      <w:r w:rsidR="007920F0" w:rsidRPr="007920F0">
        <w:rPr>
          <w:b/>
          <w:szCs w:val="24"/>
          <w:u w:val="single"/>
        </w:rPr>
        <w:t>] – Schedule 1, item 55085 (column headed “Description”, paragraph (c))</w:t>
      </w:r>
    </w:p>
    <w:p w:rsidR="007920F0" w:rsidRPr="007920F0" w:rsidRDefault="007920F0" w:rsidP="007920F0">
      <w:pPr>
        <w:tabs>
          <w:tab w:val="num" w:pos="2289"/>
        </w:tabs>
        <w:rPr>
          <w:szCs w:val="24"/>
        </w:rPr>
      </w:pPr>
    </w:p>
    <w:p w:rsidR="007920F0" w:rsidRPr="007920F0" w:rsidRDefault="00A81B02" w:rsidP="007920F0">
      <w:pPr>
        <w:tabs>
          <w:tab w:val="num" w:pos="2289"/>
        </w:tabs>
        <w:rPr>
          <w:szCs w:val="24"/>
        </w:rPr>
      </w:pPr>
      <w:r>
        <w:rPr>
          <w:szCs w:val="24"/>
        </w:rPr>
        <w:t>Item 13</w:t>
      </w:r>
      <w:r w:rsidR="00671CF2">
        <w:rPr>
          <w:szCs w:val="24"/>
        </w:rPr>
        <w:t xml:space="preserve"> remove</w:t>
      </w:r>
      <w:r w:rsidR="00831C11">
        <w:rPr>
          <w:szCs w:val="24"/>
        </w:rPr>
        <w:t>s</w:t>
      </w:r>
      <w:r w:rsidR="007920F0" w:rsidRPr="007920F0">
        <w:rPr>
          <w:szCs w:val="24"/>
        </w:rPr>
        <w:t xml:space="preserve"> references to items “55045, 55600, 55601, 55603, 55604, </w:t>
      </w:r>
      <w:r w:rsidR="00671CF2">
        <w:rPr>
          <w:szCs w:val="24"/>
        </w:rPr>
        <w:t>55733 or 55734”, and substitute</w:t>
      </w:r>
      <w:r w:rsidR="00831C11">
        <w:rPr>
          <w:szCs w:val="24"/>
        </w:rPr>
        <w:t>s</w:t>
      </w:r>
      <w:r w:rsidR="007920F0" w:rsidRPr="007920F0">
        <w:rPr>
          <w:szCs w:val="24"/>
        </w:rPr>
        <w:t xml:space="preserve"> these items with items “55068, 55069, 55600, 55601, 55603 or 55604”.  </w:t>
      </w:r>
    </w:p>
    <w:p w:rsidR="00A81B02" w:rsidRDefault="00A81B02" w:rsidP="007920F0">
      <w:pPr>
        <w:tabs>
          <w:tab w:val="num" w:pos="2289"/>
        </w:tabs>
        <w:rPr>
          <w:szCs w:val="24"/>
        </w:rPr>
      </w:pPr>
    </w:p>
    <w:p w:rsidR="0076370A" w:rsidRDefault="0076370A" w:rsidP="007920F0">
      <w:pPr>
        <w:tabs>
          <w:tab w:val="num" w:pos="2289"/>
        </w:tabs>
        <w:rPr>
          <w:szCs w:val="24"/>
        </w:rPr>
      </w:pPr>
    </w:p>
    <w:p w:rsidR="0076370A" w:rsidRPr="007920F0" w:rsidRDefault="0076370A" w:rsidP="007920F0">
      <w:pPr>
        <w:tabs>
          <w:tab w:val="num" w:pos="2289"/>
        </w:tabs>
        <w:rPr>
          <w:szCs w:val="24"/>
        </w:rPr>
      </w:pPr>
    </w:p>
    <w:p w:rsidR="00A81B02" w:rsidRDefault="00A81B02" w:rsidP="007920F0">
      <w:pPr>
        <w:tabs>
          <w:tab w:val="num" w:pos="2289"/>
        </w:tabs>
        <w:rPr>
          <w:b/>
          <w:i/>
          <w:szCs w:val="24"/>
          <w:u w:val="single"/>
        </w:rPr>
      </w:pPr>
      <w:r>
        <w:rPr>
          <w:b/>
          <w:szCs w:val="24"/>
          <w:u w:val="single"/>
        </w:rPr>
        <w:t>Item [14</w:t>
      </w:r>
      <w:r w:rsidR="007920F0" w:rsidRPr="007920F0">
        <w:rPr>
          <w:b/>
          <w:szCs w:val="24"/>
          <w:u w:val="single"/>
        </w:rPr>
        <w:t xml:space="preserve">] – </w:t>
      </w:r>
      <w:r>
        <w:rPr>
          <w:b/>
          <w:szCs w:val="24"/>
          <w:u w:val="single"/>
        </w:rPr>
        <w:t xml:space="preserve">Part 3 of Schedule 1 (definition of </w:t>
      </w:r>
      <w:r>
        <w:rPr>
          <w:b/>
          <w:i/>
          <w:szCs w:val="24"/>
          <w:u w:val="single"/>
        </w:rPr>
        <w:t>(Anaes.)</w:t>
      </w:r>
    </w:p>
    <w:p w:rsidR="00A81B02" w:rsidRDefault="00A81B02" w:rsidP="007920F0">
      <w:pPr>
        <w:tabs>
          <w:tab w:val="num" w:pos="2289"/>
        </w:tabs>
        <w:rPr>
          <w:szCs w:val="24"/>
        </w:rPr>
      </w:pPr>
    </w:p>
    <w:p w:rsidR="00A81B02" w:rsidRPr="00A81B02" w:rsidRDefault="00A81B02" w:rsidP="007920F0">
      <w:pPr>
        <w:tabs>
          <w:tab w:val="num" w:pos="2289"/>
        </w:tabs>
        <w:rPr>
          <w:szCs w:val="24"/>
        </w:rPr>
      </w:pPr>
      <w:r>
        <w:rPr>
          <w:szCs w:val="24"/>
        </w:rPr>
        <w:t>Item 14 relocate</w:t>
      </w:r>
      <w:r w:rsidR="00831C11">
        <w:rPr>
          <w:szCs w:val="24"/>
        </w:rPr>
        <w:t>s</w:t>
      </w:r>
      <w:r>
        <w:rPr>
          <w:szCs w:val="24"/>
        </w:rPr>
        <w:t xml:space="preserve"> the definition of Anaes. to its ap</w:t>
      </w:r>
      <w:r w:rsidR="00752309">
        <w:rPr>
          <w:szCs w:val="24"/>
        </w:rPr>
        <w:t>propriate alphabetical position</w:t>
      </w:r>
      <w:r>
        <w:rPr>
          <w:szCs w:val="24"/>
        </w:rPr>
        <w:t>.</w:t>
      </w:r>
    </w:p>
    <w:p w:rsidR="00A81B02" w:rsidRDefault="00A81B02" w:rsidP="007920F0">
      <w:pPr>
        <w:tabs>
          <w:tab w:val="num" w:pos="2289"/>
        </w:tabs>
        <w:rPr>
          <w:b/>
          <w:szCs w:val="24"/>
          <w:u w:val="single"/>
        </w:rPr>
      </w:pPr>
    </w:p>
    <w:p w:rsidR="00A81B02" w:rsidRDefault="00A81B02" w:rsidP="007920F0">
      <w:pPr>
        <w:tabs>
          <w:tab w:val="num" w:pos="2289"/>
        </w:tabs>
        <w:rPr>
          <w:b/>
          <w:i/>
          <w:szCs w:val="24"/>
          <w:u w:val="single"/>
        </w:rPr>
      </w:pPr>
      <w:r>
        <w:rPr>
          <w:b/>
          <w:szCs w:val="24"/>
          <w:u w:val="single"/>
        </w:rPr>
        <w:t xml:space="preserve">Item [15] Part 3 of Schedule 1 (definitions of </w:t>
      </w:r>
      <w:r>
        <w:rPr>
          <w:b/>
          <w:i/>
          <w:szCs w:val="24"/>
          <w:u w:val="single"/>
        </w:rPr>
        <w:t>(K) and (NK)</w:t>
      </w:r>
      <w:r w:rsidR="0009687D">
        <w:rPr>
          <w:b/>
          <w:i/>
          <w:szCs w:val="24"/>
          <w:u w:val="single"/>
        </w:rPr>
        <w:t>)</w:t>
      </w:r>
    </w:p>
    <w:p w:rsidR="00A81B02" w:rsidRDefault="00A81B02" w:rsidP="007920F0">
      <w:pPr>
        <w:tabs>
          <w:tab w:val="num" w:pos="2289"/>
        </w:tabs>
        <w:rPr>
          <w:b/>
          <w:i/>
          <w:szCs w:val="24"/>
          <w:u w:val="single"/>
        </w:rPr>
      </w:pPr>
    </w:p>
    <w:p w:rsidR="00A81B02" w:rsidRDefault="0009687D" w:rsidP="007920F0">
      <w:pPr>
        <w:tabs>
          <w:tab w:val="num" w:pos="2289"/>
        </w:tabs>
        <w:rPr>
          <w:szCs w:val="24"/>
        </w:rPr>
      </w:pPr>
      <w:r>
        <w:rPr>
          <w:szCs w:val="24"/>
        </w:rPr>
        <w:t>Item 15 repeal</w:t>
      </w:r>
      <w:r w:rsidR="009936D1">
        <w:rPr>
          <w:szCs w:val="24"/>
        </w:rPr>
        <w:t>s</w:t>
      </w:r>
      <w:r>
        <w:rPr>
          <w:szCs w:val="24"/>
        </w:rPr>
        <w:t xml:space="preserve"> the definitions of (K) and (NK) items. These definitions would be replaced under item 17.</w:t>
      </w:r>
    </w:p>
    <w:p w:rsidR="0009687D" w:rsidRPr="0009687D" w:rsidRDefault="0009687D" w:rsidP="007920F0">
      <w:pPr>
        <w:tabs>
          <w:tab w:val="num" w:pos="2289"/>
        </w:tabs>
        <w:rPr>
          <w:szCs w:val="24"/>
        </w:rPr>
      </w:pPr>
    </w:p>
    <w:p w:rsidR="0009687D" w:rsidRDefault="0009687D" w:rsidP="007920F0">
      <w:pPr>
        <w:tabs>
          <w:tab w:val="num" w:pos="2289"/>
        </w:tabs>
        <w:rPr>
          <w:b/>
          <w:i/>
          <w:szCs w:val="24"/>
          <w:u w:val="single"/>
        </w:rPr>
      </w:pPr>
      <w:r>
        <w:rPr>
          <w:b/>
          <w:szCs w:val="24"/>
          <w:u w:val="single"/>
        </w:rPr>
        <w:t xml:space="preserve">Item [16] Part 3 of Schedule 1 (definitions of </w:t>
      </w:r>
      <w:r>
        <w:rPr>
          <w:b/>
          <w:i/>
          <w:szCs w:val="24"/>
          <w:u w:val="single"/>
        </w:rPr>
        <w:t>(NR) and (R) )</w:t>
      </w:r>
    </w:p>
    <w:p w:rsidR="0009687D" w:rsidRDefault="0009687D" w:rsidP="007920F0">
      <w:pPr>
        <w:tabs>
          <w:tab w:val="num" w:pos="2289"/>
        </w:tabs>
        <w:rPr>
          <w:b/>
          <w:i/>
          <w:szCs w:val="24"/>
          <w:u w:val="single"/>
        </w:rPr>
      </w:pPr>
    </w:p>
    <w:p w:rsidR="0009687D" w:rsidRDefault="0009687D" w:rsidP="007920F0">
      <w:pPr>
        <w:tabs>
          <w:tab w:val="num" w:pos="2289"/>
        </w:tabs>
        <w:rPr>
          <w:szCs w:val="24"/>
        </w:rPr>
      </w:pPr>
      <w:r>
        <w:rPr>
          <w:szCs w:val="24"/>
        </w:rPr>
        <w:t>Item 16 relocate</w:t>
      </w:r>
      <w:r w:rsidR="009936D1">
        <w:rPr>
          <w:szCs w:val="24"/>
        </w:rPr>
        <w:t>s</w:t>
      </w:r>
      <w:r>
        <w:rPr>
          <w:szCs w:val="24"/>
        </w:rPr>
        <w:t xml:space="preserve"> the definitions of (NR) and (R) to their appropriate alphabetical positions.</w:t>
      </w:r>
    </w:p>
    <w:p w:rsidR="0009687D" w:rsidRPr="0009687D" w:rsidRDefault="0009687D" w:rsidP="007920F0">
      <w:pPr>
        <w:tabs>
          <w:tab w:val="num" w:pos="2289"/>
        </w:tabs>
        <w:rPr>
          <w:szCs w:val="24"/>
        </w:rPr>
      </w:pPr>
    </w:p>
    <w:p w:rsidR="0009687D" w:rsidRDefault="0009687D" w:rsidP="007920F0">
      <w:pPr>
        <w:tabs>
          <w:tab w:val="num" w:pos="2289"/>
        </w:tabs>
        <w:rPr>
          <w:b/>
          <w:szCs w:val="24"/>
          <w:u w:val="single"/>
        </w:rPr>
      </w:pPr>
      <w:r>
        <w:rPr>
          <w:b/>
          <w:szCs w:val="24"/>
          <w:u w:val="single"/>
        </w:rPr>
        <w:t>Item [17] Part 3 of Schedule 1</w:t>
      </w:r>
    </w:p>
    <w:p w:rsidR="0009687D" w:rsidRDefault="0009687D" w:rsidP="007920F0">
      <w:pPr>
        <w:tabs>
          <w:tab w:val="num" w:pos="2289"/>
        </w:tabs>
        <w:rPr>
          <w:b/>
          <w:szCs w:val="24"/>
          <w:u w:val="single"/>
        </w:rPr>
      </w:pPr>
    </w:p>
    <w:p w:rsidR="0009687D" w:rsidRDefault="0009687D" w:rsidP="007920F0">
      <w:pPr>
        <w:tabs>
          <w:tab w:val="num" w:pos="2289"/>
        </w:tabs>
        <w:rPr>
          <w:szCs w:val="24"/>
        </w:rPr>
      </w:pPr>
      <w:r>
        <w:rPr>
          <w:szCs w:val="24"/>
        </w:rPr>
        <w:t>Item 17 insert</w:t>
      </w:r>
      <w:r w:rsidR="009936D1">
        <w:rPr>
          <w:szCs w:val="24"/>
        </w:rPr>
        <w:t>s</w:t>
      </w:r>
      <w:r>
        <w:rPr>
          <w:szCs w:val="24"/>
        </w:rPr>
        <w:t xml:space="preserve"> full definitions of (K) and (NK) items in Part 3 of Schedule 1.</w:t>
      </w:r>
    </w:p>
    <w:p w:rsidR="0009687D" w:rsidRPr="0009687D" w:rsidRDefault="0009687D" w:rsidP="007920F0">
      <w:pPr>
        <w:tabs>
          <w:tab w:val="num" w:pos="2289"/>
        </w:tabs>
        <w:rPr>
          <w:szCs w:val="24"/>
        </w:rPr>
      </w:pPr>
    </w:p>
    <w:p w:rsidR="007920F0" w:rsidRPr="007920F0" w:rsidRDefault="0009687D" w:rsidP="007920F0">
      <w:pPr>
        <w:tabs>
          <w:tab w:val="num" w:pos="2289"/>
        </w:tabs>
        <w:rPr>
          <w:b/>
          <w:szCs w:val="24"/>
          <w:u w:val="single"/>
        </w:rPr>
      </w:pPr>
      <w:r>
        <w:rPr>
          <w:b/>
          <w:szCs w:val="24"/>
          <w:u w:val="single"/>
        </w:rPr>
        <w:t xml:space="preserve">Item [18] </w:t>
      </w:r>
      <w:r w:rsidR="007920F0" w:rsidRPr="007920F0">
        <w:rPr>
          <w:b/>
          <w:szCs w:val="24"/>
          <w:u w:val="single"/>
        </w:rPr>
        <w:t>Amendment of listed provisions – repeals</w:t>
      </w:r>
    </w:p>
    <w:p w:rsidR="007920F0" w:rsidRPr="007920F0" w:rsidRDefault="007920F0" w:rsidP="007920F0">
      <w:pPr>
        <w:tabs>
          <w:tab w:val="num" w:pos="2289"/>
        </w:tabs>
        <w:rPr>
          <w:b/>
          <w:szCs w:val="24"/>
          <w:u w:val="single"/>
        </w:rPr>
      </w:pPr>
    </w:p>
    <w:p w:rsidR="007920F0" w:rsidRPr="007920F0" w:rsidRDefault="0009687D" w:rsidP="007920F0">
      <w:pPr>
        <w:tabs>
          <w:tab w:val="num" w:pos="2289"/>
        </w:tabs>
        <w:rPr>
          <w:szCs w:val="24"/>
        </w:rPr>
      </w:pPr>
      <w:r>
        <w:rPr>
          <w:szCs w:val="24"/>
        </w:rPr>
        <w:t>Item 18</w:t>
      </w:r>
      <w:r w:rsidR="00671CF2">
        <w:rPr>
          <w:szCs w:val="24"/>
        </w:rPr>
        <w:t xml:space="preserve"> repeal</w:t>
      </w:r>
      <w:r w:rsidR="009936D1">
        <w:rPr>
          <w:szCs w:val="24"/>
        </w:rPr>
        <w:t>s</w:t>
      </w:r>
      <w:r w:rsidR="00E62223">
        <w:rPr>
          <w:szCs w:val="24"/>
        </w:rPr>
        <w:t xml:space="preserve"> </w:t>
      </w:r>
      <w:r w:rsidR="007920F0" w:rsidRPr="007920F0">
        <w:rPr>
          <w:szCs w:val="24"/>
        </w:rPr>
        <w:t xml:space="preserve">items 55020, 55022, 55044, 55045, </w:t>
      </w:r>
      <w:r w:rsidR="0064755D">
        <w:rPr>
          <w:szCs w:val="24"/>
        </w:rPr>
        <w:t>557</w:t>
      </w:r>
      <w:r w:rsidR="00752309">
        <w:rPr>
          <w:szCs w:val="24"/>
        </w:rPr>
        <w:t>31, 55732, 55733, and 55734 which</w:t>
      </w:r>
      <w:r w:rsidR="0064755D">
        <w:rPr>
          <w:szCs w:val="24"/>
        </w:rPr>
        <w:t xml:space="preserve"> contain unnecessary gender specific language.</w:t>
      </w:r>
    </w:p>
    <w:p w:rsidR="007920F0" w:rsidRPr="007920F0" w:rsidRDefault="007920F0" w:rsidP="007920F0">
      <w:pPr>
        <w:tabs>
          <w:tab w:val="num" w:pos="2289"/>
        </w:tabs>
        <w:rPr>
          <w:szCs w:val="24"/>
        </w:rPr>
      </w:pPr>
    </w:p>
    <w:p w:rsidR="007920F0" w:rsidRPr="007920F0" w:rsidRDefault="007920F0" w:rsidP="007920F0">
      <w:pPr>
        <w:tabs>
          <w:tab w:val="num" w:pos="2289"/>
        </w:tabs>
        <w:rPr>
          <w:szCs w:val="24"/>
        </w:rPr>
      </w:pPr>
    </w:p>
    <w:p w:rsidR="00B51626" w:rsidRDefault="00B51626">
      <w:pPr>
        <w:spacing w:after="200" w:line="276" w:lineRule="auto"/>
        <w:rPr>
          <w:szCs w:val="24"/>
        </w:rPr>
      </w:pPr>
      <w:r>
        <w:rPr>
          <w:szCs w:val="24"/>
        </w:rPr>
        <w:br w:type="page"/>
      </w:r>
    </w:p>
    <w:p w:rsidR="00E349E3" w:rsidRPr="00E349E3" w:rsidRDefault="00E349E3" w:rsidP="00E349E3">
      <w:pPr>
        <w:spacing w:before="360" w:after="120" w:line="276" w:lineRule="auto"/>
        <w:jc w:val="center"/>
        <w:rPr>
          <w:rFonts w:eastAsia="Calibri"/>
          <w:b/>
          <w:sz w:val="28"/>
          <w:szCs w:val="28"/>
          <w:lang w:eastAsia="en-US"/>
        </w:rPr>
      </w:pPr>
      <w:r w:rsidRPr="00E349E3">
        <w:rPr>
          <w:rFonts w:eastAsia="Calibri"/>
          <w:b/>
          <w:sz w:val="28"/>
          <w:szCs w:val="28"/>
          <w:lang w:eastAsia="en-US"/>
        </w:rPr>
        <w:t>Statement of Compatibility with Human Rights</w:t>
      </w:r>
    </w:p>
    <w:p w:rsidR="00E349E3" w:rsidRPr="00E349E3" w:rsidRDefault="00E349E3" w:rsidP="00E349E3">
      <w:pPr>
        <w:spacing w:before="120" w:after="120" w:line="276" w:lineRule="auto"/>
        <w:jc w:val="center"/>
        <w:rPr>
          <w:rFonts w:eastAsia="Calibri"/>
          <w:szCs w:val="24"/>
          <w:lang w:eastAsia="en-US"/>
        </w:rPr>
      </w:pPr>
      <w:r w:rsidRPr="00E349E3">
        <w:rPr>
          <w:rFonts w:eastAsia="Calibri"/>
          <w:i/>
          <w:szCs w:val="24"/>
          <w:lang w:eastAsia="en-US"/>
        </w:rPr>
        <w:t>Prepared in accordance with Part 3 of the Human Rights (Parliamentary Scrutiny) Act 2011</w:t>
      </w:r>
    </w:p>
    <w:p w:rsidR="00E349E3" w:rsidRPr="00E349E3" w:rsidRDefault="00E349E3" w:rsidP="00E349E3">
      <w:pPr>
        <w:spacing w:before="120" w:after="120" w:line="276" w:lineRule="auto"/>
        <w:jc w:val="center"/>
        <w:rPr>
          <w:rFonts w:eastAsia="Calibri"/>
          <w:szCs w:val="24"/>
          <w:lang w:eastAsia="en-US"/>
        </w:rPr>
      </w:pPr>
    </w:p>
    <w:p w:rsidR="00E349E3" w:rsidRPr="00E349E3" w:rsidRDefault="00E349E3" w:rsidP="00E349E3">
      <w:pPr>
        <w:tabs>
          <w:tab w:val="left" w:pos="1418"/>
        </w:tabs>
        <w:ind w:left="851"/>
        <w:jc w:val="center"/>
        <w:rPr>
          <w:b/>
          <w:i/>
          <w:szCs w:val="24"/>
        </w:rPr>
      </w:pPr>
      <w:r w:rsidRPr="00E349E3">
        <w:rPr>
          <w:b/>
          <w:i/>
          <w:szCs w:val="24"/>
        </w:rPr>
        <w:t>Health Insurance (Diagnostic Imagining Services Table) Amendment (2014 Measures No. 1) Regulation 2014</w:t>
      </w:r>
    </w:p>
    <w:p w:rsidR="00E349E3" w:rsidRPr="00E349E3" w:rsidRDefault="00E349E3" w:rsidP="00E349E3">
      <w:pPr>
        <w:tabs>
          <w:tab w:val="left" w:pos="1418"/>
        </w:tabs>
        <w:ind w:left="851"/>
        <w:jc w:val="center"/>
        <w:rPr>
          <w:b/>
          <w:i/>
          <w:szCs w:val="24"/>
        </w:rPr>
      </w:pPr>
    </w:p>
    <w:p w:rsidR="00E349E3" w:rsidRPr="00E349E3" w:rsidRDefault="00E349E3" w:rsidP="00E349E3">
      <w:pPr>
        <w:spacing w:before="120" w:after="120" w:line="276" w:lineRule="auto"/>
        <w:jc w:val="center"/>
        <w:rPr>
          <w:rFonts w:eastAsia="Calibri"/>
          <w:szCs w:val="24"/>
          <w:lang w:eastAsia="en-US"/>
        </w:rPr>
      </w:pPr>
      <w:r w:rsidRPr="00E349E3">
        <w:rPr>
          <w:rFonts w:eastAsia="Calibri"/>
          <w:szCs w:val="24"/>
          <w:lang w:eastAsia="en-US"/>
        </w:rPr>
        <w:t xml:space="preserve">This Legislative Instrument is compatible with the human rights and freedoms recognised or declared in the international instruments listed in section 3 of the </w:t>
      </w:r>
      <w:r w:rsidRPr="00E349E3">
        <w:rPr>
          <w:rFonts w:eastAsia="Calibri"/>
          <w:i/>
          <w:szCs w:val="24"/>
          <w:lang w:eastAsia="en-US"/>
        </w:rPr>
        <w:t>Human Rights (Parliamentary Scrutiny) Act 2011</w:t>
      </w:r>
      <w:r w:rsidRPr="00E349E3">
        <w:rPr>
          <w:rFonts w:eastAsia="Calibri"/>
          <w:szCs w:val="24"/>
          <w:lang w:eastAsia="en-US"/>
        </w:rPr>
        <w:t>.</w:t>
      </w:r>
    </w:p>
    <w:p w:rsidR="00E349E3" w:rsidRPr="00E349E3" w:rsidRDefault="00E349E3" w:rsidP="00E349E3">
      <w:pPr>
        <w:spacing w:before="120" w:after="120" w:line="276" w:lineRule="auto"/>
        <w:jc w:val="center"/>
        <w:rPr>
          <w:rFonts w:eastAsia="Calibri"/>
          <w:szCs w:val="24"/>
          <w:lang w:eastAsia="en-US"/>
        </w:rPr>
      </w:pPr>
    </w:p>
    <w:p w:rsidR="00E349E3" w:rsidRPr="00E349E3" w:rsidRDefault="00E349E3" w:rsidP="00E349E3">
      <w:pPr>
        <w:spacing w:before="120" w:after="120" w:line="276" w:lineRule="auto"/>
        <w:jc w:val="both"/>
        <w:rPr>
          <w:rFonts w:eastAsia="Calibri"/>
          <w:b/>
          <w:szCs w:val="24"/>
          <w:lang w:eastAsia="en-US"/>
        </w:rPr>
      </w:pPr>
      <w:r w:rsidRPr="00E349E3">
        <w:rPr>
          <w:rFonts w:eastAsia="Calibri"/>
          <w:b/>
          <w:szCs w:val="24"/>
          <w:lang w:eastAsia="en-US"/>
        </w:rPr>
        <w:t>Overview of the Legislative Instrument</w:t>
      </w:r>
    </w:p>
    <w:p w:rsidR="00E349E3" w:rsidRPr="00E349E3" w:rsidRDefault="00E349E3" w:rsidP="00E349E3">
      <w:pPr>
        <w:spacing w:before="120" w:after="120"/>
      </w:pPr>
      <w:r w:rsidRPr="00E349E3">
        <w:rPr>
          <w:rFonts w:eastAsia="Calibri"/>
          <w:szCs w:val="24"/>
          <w:lang w:eastAsia="en-US"/>
        </w:rPr>
        <w:t xml:space="preserve">The </w:t>
      </w:r>
      <w:r w:rsidRPr="00E349E3">
        <w:rPr>
          <w:rFonts w:eastAsia="Calibri"/>
          <w:i/>
          <w:szCs w:val="24"/>
          <w:lang w:eastAsia="en-US"/>
        </w:rPr>
        <w:t>Health Insurance (Diagnostic Imagining Services Table) Amendment (2014 Measures No. 1) Regulation 2014</w:t>
      </w:r>
      <w:r w:rsidRPr="00E349E3">
        <w:rPr>
          <w:rFonts w:eastAsia="Calibri"/>
          <w:b/>
          <w:i/>
          <w:szCs w:val="24"/>
          <w:lang w:eastAsia="en-US"/>
        </w:rPr>
        <w:t xml:space="preserve"> </w:t>
      </w:r>
      <w:r w:rsidRPr="00E349E3">
        <w:rPr>
          <w:rFonts w:eastAsia="Calibri"/>
          <w:szCs w:val="24"/>
          <w:lang w:eastAsia="en-US"/>
        </w:rPr>
        <w:t>amends</w:t>
      </w:r>
      <w:r w:rsidRPr="00E349E3">
        <w:rPr>
          <w:rFonts w:eastAsia="Calibri"/>
          <w:b/>
          <w:szCs w:val="24"/>
          <w:lang w:eastAsia="en-US"/>
        </w:rPr>
        <w:t xml:space="preserve"> </w:t>
      </w:r>
      <w:r w:rsidRPr="00E349E3">
        <w:rPr>
          <w:rFonts w:eastAsia="Calibri"/>
          <w:szCs w:val="24"/>
          <w:lang w:eastAsia="en-US"/>
        </w:rPr>
        <w:t xml:space="preserve">the </w:t>
      </w:r>
      <w:r w:rsidRPr="00E349E3">
        <w:rPr>
          <w:rFonts w:eastAsia="Calibri"/>
          <w:i/>
          <w:szCs w:val="24"/>
          <w:lang w:eastAsia="en-US"/>
        </w:rPr>
        <w:t>Health Insurance (Diagnostic Imagining Services Table) Regulation 2013</w:t>
      </w:r>
      <w:r w:rsidRPr="00E349E3">
        <w:rPr>
          <w:rFonts w:eastAsia="Calibri"/>
          <w:szCs w:val="24"/>
          <w:lang w:eastAsia="en-US"/>
        </w:rPr>
        <w:t xml:space="preserve"> to </w:t>
      </w:r>
      <w:r w:rsidRPr="00E349E3">
        <w:t xml:space="preserve">ensure diagnostic imagining services funded through the Medicare Benefits Schedule (MBS) continue to reflect government commitments. </w:t>
      </w:r>
    </w:p>
    <w:p w:rsidR="00E349E3" w:rsidRPr="00E349E3" w:rsidRDefault="00E349E3" w:rsidP="00E349E3">
      <w:pPr>
        <w:rPr>
          <w:szCs w:val="24"/>
        </w:rPr>
      </w:pPr>
      <w:r w:rsidRPr="00E349E3">
        <w:rPr>
          <w:szCs w:val="24"/>
        </w:rPr>
        <w:t xml:space="preserve">In accordance with subsection 4 AA (1) of the </w:t>
      </w:r>
      <w:r w:rsidRPr="00E349E3">
        <w:rPr>
          <w:i/>
          <w:szCs w:val="24"/>
        </w:rPr>
        <w:t>Health Insurance Act 1973</w:t>
      </w:r>
      <w:r w:rsidRPr="00E349E3">
        <w:rPr>
          <w:szCs w:val="24"/>
        </w:rPr>
        <w:t xml:space="preserve"> the regulation may prescribe a table of diagnostic imagining services which sets out the items of services, the fees applicable for each item, and rules for interpreting the table. Schedule 1 of the regulation will be amended as follows: </w:t>
      </w:r>
    </w:p>
    <w:p w:rsidR="00E349E3" w:rsidRPr="00E349E3" w:rsidRDefault="00E349E3" w:rsidP="00E349E3"/>
    <w:p w:rsidR="00E349E3" w:rsidRPr="00E349E3" w:rsidRDefault="00E349E3" w:rsidP="00E349E3">
      <w:pPr>
        <w:numPr>
          <w:ilvl w:val="0"/>
          <w:numId w:val="17"/>
        </w:numPr>
        <w:ind w:left="714" w:hanging="357"/>
      </w:pPr>
      <w:r w:rsidRPr="00E349E3">
        <w:rPr>
          <w:rFonts w:eastAsia="Calibri"/>
          <w:szCs w:val="24"/>
          <w:lang w:eastAsia="en-US"/>
        </w:rPr>
        <w:t xml:space="preserve">amendments to eight MBS pelvis ultrasound items, by substituting the gender specific terminology in the item descriptors with gender neutral terminology, where it will not change the clinical or eligibility intent of the item; </w:t>
      </w:r>
    </w:p>
    <w:p w:rsidR="00E349E3" w:rsidRPr="00E349E3" w:rsidRDefault="00E349E3" w:rsidP="00E349E3">
      <w:pPr>
        <w:ind w:left="714"/>
      </w:pPr>
    </w:p>
    <w:p w:rsidR="00E349E3" w:rsidRPr="00E349E3" w:rsidRDefault="00E349E3" w:rsidP="00E349E3">
      <w:pPr>
        <w:numPr>
          <w:ilvl w:val="0"/>
          <w:numId w:val="17"/>
        </w:numPr>
        <w:ind w:left="714" w:hanging="357"/>
        <w:rPr>
          <w:szCs w:val="24"/>
        </w:rPr>
      </w:pPr>
      <w:r w:rsidRPr="00E349E3">
        <w:rPr>
          <w:rFonts w:eastAsia="Calibri"/>
          <w:szCs w:val="24"/>
          <w:lang w:eastAsia="en-US"/>
        </w:rPr>
        <w:t>consequential amendments to eight ultrasound items (relating to the</w:t>
      </w:r>
      <w:r w:rsidRPr="00E349E3">
        <w:rPr>
          <w:rFonts w:eastAsia="Calibri"/>
          <w:color w:val="000000"/>
          <w:szCs w:val="24"/>
          <w:lang w:eastAsia="en-US"/>
        </w:rPr>
        <w:t xml:space="preserve"> pelvis, urinary tract, urinary bladder, and abdomen) to ensure the amended forms of the pelvis ultrasound items are referenced in the items and the redundant items are removed; and</w:t>
      </w:r>
    </w:p>
    <w:p w:rsidR="00E349E3" w:rsidRPr="00E349E3" w:rsidRDefault="00E349E3" w:rsidP="00E349E3">
      <w:pPr>
        <w:rPr>
          <w:szCs w:val="24"/>
        </w:rPr>
      </w:pPr>
    </w:p>
    <w:p w:rsidR="00E349E3" w:rsidRPr="00E349E3" w:rsidRDefault="00E349E3" w:rsidP="00E349E3">
      <w:pPr>
        <w:numPr>
          <w:ilvl w:val="0"/>
          <w:numId w:val="17"/>
        </w:numPr>
        <w:ind w:left="714" w:hanging="357"/>
        <w:contextualSpacing/>
      </w:pPr>
      <w:r w:rsidRPr="00E349E3">
        <w:t>the listing of a grandfathering provision providing an exemption from capital sensitivity provisions for computed tomography (‘CT’) services that are provided in a ‘remote location’</w:t>
      </w:r>
      <w:r w:rsidRPr="00E349E3">
        <w:rPr>
          <w:lang w:val="en-US"/>
        </w:rPr>
        <w:t xml:space="preserve">; to accommodate for providers who have been adversely affected by previous amendments to capital sensitivity exemptions in the regulation. </w:t>
      </w:r>
    </w:p>
    <w:p w:rsidR="00E349E3" w:rsidRPr="00E349E3" w:rsidRDefault="00E349E3" w:rsidP="00E349E3">
      <w:pPr>
        <w:ind w:left="360"/>
        <w:contextualSpacing/>
      </w:pPr>
    </w:p>
    <w:p w:rsidR="00E349E3" w:rsidRPr="00E349E3" w:rsidRDefault="00E349E3" w:rsidP="00E349E3">
      <w:pPr>
        <w:spacing w:before="120" w:after="120" w:line="276" w:lineRule="auto"/>
        <w:rPr>
          <w:rFonts w:eastAsia="Calibri"/>
          <w:b/>
          <w:szCs w:val="24"/>
          <w:lang w:eastAsia="en-US"/>
        </w:rPr>
      </w:pPr>
      <w:r w:rsidRPr="00E349E3">
        <w:rPr>
          <w:rFonts w:eastAsia="Calibri"/>
          <w:b/>
          <w:szCs w:val="24"/>
          <w:lang w:eastAsia="en-US"/>
        </w:rPr>
        <w:t>Human rights implications</w:t>
      </w:r>
    </w:p>
    <w:p w:rsidR="00E349E3" w:rsidRPr="00E349E3" w:rsidRDefault="00E349E3" w:rsidP="00E349E3">
      <w:pPr>
        <w:spacing w:before="120" w:after="120"/>
        <w:rPr>
          <w:rFonts w:eastAsia="Calibri"/>
          <w:szCs w:val="24"/>
          <w:lang w:eastAsia="en-US"/>
        </w:rPr>
      </w:pPr>
      <w:r w:rsidRPr="00E349E3">
        <w:rPr>
          <w:rFonts w:eastAsia="Calibri"/>
          <w:szCs w:val="24"/>
          <w:lang w:eastAsia="en-US"/>
        </w:rPr>
        <w:t xml:space="preserve">The regulations engage Articles 2, 9 and 12 of the International Covenant on Economic Social and Cultural Rights (ICESCR), specifically the rights to health and social security. </w:t>
      </w:r>
    </w:p>
    <w:p w:rsidR="00E349E3" w:rsidRPr="00E349E3" w:rsidRDefault="00E349E3" w:rsidP="00E349E3">
      <w:pPr>
        <w:spacing w:before="120" w:after="120"/>
        <w:rPr>
          <w:rFonts w:eastAsia="Calibri"/>
          <w:i/>
          <w:szCs w:val="24"/>
          <w:lang w:eastAsia="en-US"/>
        </w:rPr>
      </w:pPr>
      <w:r w:rsidRPr="00E349E3">
        <w:rPr>
          <w:rFonts w:eastAsia="Calibri"/>
          <w:i/>
          <w:szCs w:val="24"/>
          <w:lang w:eastAsia="en-US"/>
        </w:rPr>
        <w:t>The Right to Health</w:t>
      </w:r>
    </w:p>
    <w:p w:rsidR="00E349E3" w:rsidRPr="00E349E3" w:rsidRDefault="00E349E3" w:rsidP="00E349E3">
      <w:pPr>
        <w:spacing w:before="120" w:after="120"/>
        <w:rPr>
          <w:rFonts w:eastAsia="Calibri"/>
          <w:szCs w:val="24"/>
          <w:lang w:eastAsia="en-US"/>
        </w:rPr>
      </w:pPr>
      <w:r w:rsidRPr="00E349E3">
        <w:rPr>
          <w:rFonts w:eastAsia="Calibri"/>
          <w:szCs w:val="24"/>
          <w:lang w:eastAsia="en-US"/>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349E3" w:rsidRPr="00E349E3" w:rsidRDefault="00E349E3" w:rsidP="00E349E3">
      <w:pPr>
        <w:spacing w:before="120" w:after="120"/>
        <w:rPr>
          <w:rFonts w:eastAsia="Calibri"/>
          <w:szCs w:val="24"/>
          <w:lang w:eastAsia="en-US"/>
        </w:rPr>
      </w:pPr>
      <w:r w:rsidRPr="00E349E3">
        <w:rPr>
          <w:rFonts w:eastAsia="Calibri"/>
          <w:szCs w:val="24"/>
          <w:lang w:eastAsia="en-US"/>
        </w:rPr>
        <w:t xml:space="preserve">The Committee reports that the </w:t>
      </w:r>
      <w:r w:rsidRPr="00E349E3">
        <w:rPr>
          <w:rFonts w:eastAsia="Calibri"/>
          <w:i/>
          <w:szCs w:val="24"/>
          <w:lang w:eastAsia="en-US"/>
        </w:rPr>
        <w:t>‘highest attainable standard of health’</w:t>
      </w:r>
      <w:r w:rsidRPr="00E349E3">
        <w:rPr>
          <w:rFonts w:eastAsia="Calibri"/>
          <w:szCs w:val="24"/>
          <w:lang w:eastAsia="en-US"/>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349E3" w:rsidRPr="00E349E3" w:rsidRDefault="00E349E3" w:rsidP="00E349E3">
      <w:pPr>
        <w:spacing w:before="120" w:after="120"/>
        <w:rPr>
          <w:rFonts w:eastAsia="Calibri"/>
          <w:i/>
          <w:szCs w:val="24"/>
          <w:lang w:eastAsia="en-US"/>
        </w:rPr>
      </w:pPr>
      <w:r w:rsidRPr="00E349E3">
        <w:rPr>
          <w:rFonts w:eastAsia="Calibri"/>
          <w:i/>
          <w:szCs w:val="24"/>
          <w:lang w:eastAsia="en-US"/>
        </w:rPr>
        <w:t xml:space="preserve">The Right to Social Security </w:t>
      </w:r>
    </w:p>
    <w:p w:rsidR="00E349E3" w:rsidRPr="00E349E3" w:rsidRDefault="00E349E3" w:rsidP="00E349E3">
      <w:pPr>
        <w:spacing w:before="120" w:after="120"/>
        <w:rPr>
          <w:rFonts w:eastAsia="Calibri"/>
          <w:szCs w:val="24"/>
          <w:lang w:eastAsia="en-US"/>
        </w:rPr>
      </w:pPr>
      <w:r w:rsidRPr="00E349E3">
        <w:rPr>
          <w:rFonts w:eastAsia="Calibri"/>
          <w:szCs w:val="24"/>
          <w:lang w:eastAsia="en-US"/>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49E3" w:rsidRPr="00E349E3" w:rsidRDefault="00E349E3" w:rsidP="00E349E3">
      <w:pPr>
        <w:spacing w:before="120" w:after="120"/>
        <w:rPr>
          <w:rFonts w:eastAsia="Calibri"/>
          <w:szCs w:val="24"/>
          <w:lang w:eastAsia="en-US"/>
        </w:rPr>
      </w:pPr>
      <w:r w:rsidRPr="00E349E3">
        <w:rPr>
          <w:rFonts w:eastAsia="Calibri"/>
          <w:szCs w:val="24"/>
          <w:lang w:eastAsia="en-US"/>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E349E3" w:rsidRPr="00E349E3" w:rsidRDefault="00E349E3" w:rsidP="00E349E3">
      <w:pPr>
        <w:spacing w:before="120" w:after="120"/>
        <w:rPr>
          <w:rFonts w:eastAsia="Calibri"/>
          <w:szCs w:val="24"/>
          <w:u w:val="single"/>
          <w:lang w:eastAsia="en-US"/>
        </w:rPr>
      </w:pPr>
      <w:r w:rsidRPr="00E349E3">
        <w:rPr>
          <w:rFonts w:eastAsia="Calibri"/>
          <w:szCs w:val="24"/>
          <w:u w:val="single"/>
          <w:lang w:eastAsia="en-US"/>
        </w:rPr>
        <w:t xml:space="preserve">Analysis </w:t>
      </w:r>
    </w:p>
    <w:p w:rsidR="00E349E3" w:rsidRPr="00E349E3" w:rsidRDefault="00E349E3" w:rsidP="00E349E3">
      <w:pPr>
        <w:rPr>
          <w:rFonts w:eastAsia="Calibri"/>
          <w:szCs w:val="24"/>
          <w:lang w:eastAsia="en-US"/>
        </w:rPr>
      </w:pPr>
      <w:r w:rsidRPr="00E349E3">
        <w:rPr>
          <w:rFonts w:eastAsia="Calibri"/>
          <w:szCs w:val="24"/>
          <w:lang w:eastAsia="en-US"/>
        </w:rPr>
        <w:t xml:space="preserve">The amendments to the regulation advance rights to health and social security primarily by increasing access to publicly subsidised, non-discriminative health services. </w:t>
      </w:r>
    </w:p>
    <w:p w:rsidR="00E349E3" w:rsidRPr="00E349E3" w:rsidRDefault="00E349E3" w:rsidP="00E349E3">
      <w:pPr>
        <w:rPr>
          <w:rFonts w:eastAsia="Calibri"/>
          <w:szCs w:val="24"/>
          <w:lang w:eastAsia="en-US"/>
        </w:rPr>
      </w:pPr>
    </w:p>
    <w:p w:rsidR="00E349E3" w:rsidRDefault="00E349E3" w:rsidP="00E349E3">
      <w:pPr>
        <w:numPr>
          <w:ilvl w:val="0"/>
          <w:numId w:val="19"/>
        </w:numPr>
        <w:ind w:left="714" w:hanging="357"/>
        <w:rPr>
          <w:rFonts w:eastAsia="Calibri"/>
          <w:szCs w:val="24"/>
          <w:lang w:eastAsia="en-US"/>
        </w:rPr>
      </w:pPr>
      <w:r w:rsidRPr="00E349E3">
        <w:t xml:space="preserve">Currently, the eight MBS pelvis ultrasound items refer to a patient’s biological sex, for example, </w:t>
      </w:r>
      <w:r w:rsidRPr="00E349E3">
        <w:rPr>
          <w:i/>
        </w:rPr>
        <w:t xml:space="preserve">‘Pelvis, male, ultrasound scan of’. </w:t>
      </w:r>
      <w:r w:rsidRPr="00E349E3">
        <w:t xml:space="preserve">As a result, the item can only be claimed by a patient who is recorded as a male on the Department of Human Services database.  This may disadvantage patients who do not identify with their biological sex or who identify with a gender other than that which they were assigned at birth. Allowing for the items to be provided to all patients who have the anatomical characteristics but who do not identify with the gender specific language (woman/man, female/male) upholds </w:t>
      </w:r>
      <w:r w:rsidRPr="00E349E3">
        <w:rPr>
          <w:rFonts w:eastAsia="Calibri"/>
          <w:szCs w:val="24"/>
          <w:lang w:eastAsia="en-US"/>
        </w:rPr>
        <w:t xml:space="preserve">critical components of the right to health - </w:t>
      </w:r>
      <w:r w:rsidRPr="00E349E3">
        <w:rPr>
          <w:rFonts w:eastAsia="Calibri"/>
          <w:i/>
          <w:szCs w:val="24"/>
          <w:lang w:eastAsia="en-US"/>
        </w:rPr>
        <w:t>the right to non-discrimination and equality</w:t>
      </w:r>
      <w:r w:rsidRPr="00E349E3">
        <w:rPr>
          <w:rFonts w:eastAsia="Calibri"/>
          <w:szCs w:val="24"/>
          <w:lang w:eastAsia="en-US"/>
        </w:rPr>
        <w:t>.</w:t>
      </w:r>
    </w:p>
    <w:p w:rsidR="00E349E3" w:rsidRPr="00E349E3" w:rsidRDefault="00E349E3" w:rsidP="00E349E3">
      <w:pPr>
        <w:ind w:left="714"/>
        <w:rPr>
          <w:rFonts w:eastAsia="Calibri"/>
          <w:szCs w:val="24"/>
          <w:lang w:eastAsia="en-US"/>
        </w:rPr>
      </w:pPr>
    </w:p>
    <w:p w:rsidR="00E349E3" w:rsidRDefault="00E349E3" w:rsidP="00E349E3">
      <w:pPr>
        <w:numPr>
          <w:ilvl w:val="0"/>
          <w:numId w:val="19"/>
        </w:numPr>
        <w:ind w:left="714" w:hanging="357"/>
      </w:pPr>
      <w:r w:rsidRPr="00E349E3">
        <w:rPr>
          <w:lang w:val="en-US"/>
        </w:rPr>
        <w:t xml:space="preserve">Previously, pursuant to clause 2.2.1(1) of Schedule 1 to the </w:t>
      </w:r>
      <w:r w:rsidRPr="00E349E3">
        <w:rPr>
          <w:i/>
        </w:rPr>
        <w:t>H</w:t>
      </w:r>
      <w:r w:rsidRPr="00E349E3">
        <w:rPr>
          <w:i/>
          <w:lang w:val="en-US"/>
        </w:rPr>
        <w:t>ealth Insurance (Diagnostic Imagining Services Table) Regulations 2012</w:t>
      </w:r>
      <w:r w:rsidRPr="00E349E3">
        <w:rPr>
          <w:lang w:val="en-US"/>
        </w:rPr>
        <w:t xml:space="preserve">, a CT service performed by a provider on equipment that was older than 10 years, was eligible for the (‘K’) item (i.e. an item with a higher Medicare rebate) if the service was performed on equipment in a </w:t>
      </w:r>
      <w:r w:rsidRPr="00E349E3">
        <w:rPr>
          <w:i/>
          <w:lang w:val="en-US"/>
        </w:rPr>
        <w:t>‘remote location’.</w:t>
      </w:r>
      <w:r w:rsidRPr="00E349E3">
        <w:rPr>
          <w:lang w:val="en-US"/>
        </w:rPr>
        <w:t xml:space="preserve"> To provide consistency for all modalities, CT services became subject to the same rules as other modalities when the </w:t>
      </w:r>
      <w:r w:rsidRPr="00E349E3">
        <w:rPr>
          <w:i/>
          <w:lang w:val="en-US"/>
        </w:rPr>
        <w:t>Health Insurance (Diagnostic Imagining Capital Sensitivity) Determination 2011</w:t>
      </w:r>
      <w:r w:rsidRPr="00E349E3">
        <w:rPr>
          <w:lang w:val="en-US"/>
        </w:rPr>
        <w:t xml:space="preserve"> was revoked and the provisions were included in the </w:t>
      </w:r>
      <w:r w:rsidRPr="00E349E3">
        <w:rPr>
          <w:i/>
          <w:szCs w:val="24"/>
        </w:rPr>
        <w:t>Health Insurance (Diagnostic Imagining Services Table) Regulation 2013.</w:t>
      </w:r>
      <w:r w:rsidRPr="00E349E3">
        <w:rPr>
          <w:lang w:val="en-US"/>
        </w:rPr>
        <w:t xml:space="preserve"> The grandfathering provision ensures providers who have been adversely affected by the amendments, which removed the </w:t>
      </w:r>
      <w:r w:rsidRPr="00E349E3">
        <w:t>30km remoteness rule for CT services and substituted the RA Geographical Classification Rural and Remoteness criteria, have access to increased Medicare rebates for two years from the date of this regulation. This improves rights to health and social security by ensuring patients still have access to such services until the providers can meet the amended capital sensitivity requirements.</w:t>
      </w:r>
    </w:p>
    <w:p w:rsidR="00E349E3" w:rsidRDefault="00E349E3" w:rsidP="00E349E3">
      <w:pPr>
        <w:ind w:left="714"/>
      </w:pPr>
    </w:p>
    <w:p w:rsidR="00E349E3" w:rsidRDefault="00E349E3" w:rsidP="00E349E3">
      <w:pPr>
        <w:pStyle w:val="ListParagraph"/>
        <w:numPr>
          <w:ilvl w:val="0"/>
          <w:numId w:val="19"/>
        </w:numPr>
        <w:ind w:left="714" w:hanging="357"/>
        <w:rPr>
          <w:szCs w:val="24"/>
        </w:rPr>
      </w:pPr>
      <w:r>
        <w:rPr>
          <w:szCs w:val="24"/>
        </w:rPr>
        <w:t xml:space="preserve">The consequential amendments to eight ultrasound items (relating to </w:t>
      </w:r>
      <w:r w:rsidRPr="003B30AC">
        <w:rPr>
          <w:szCs w:val="24"/>
        </w:rPr>
        <w:t>the</w:t>
      </w:r>
      <w:r w:rsidRPr="003B30AC">
        <w:rPr>
          <w:color w:val="000000"/>
          <w:szCs w:val="24"/>
        </w:rPr>
        <w:t xml:space="preserve"> pelvis, urinary tract, </w:t>
      </w:r>
      <w:r>
        <w:rPr>
          <w:color w:val="000000"/>
          <w:szCs w:val="24"/>
        </w:rPr>
        <w:t>urinary bladder, and abdomen)</w:t>
      </w:r>
      <w:r>
        <w:rPr>
          <w:szCs w:val="24"/>
        </w:rPr>
        <w:t xml:space="preserve"> are purely administrative and do not raise any human rights. </w:t>
      </w:r>
    </w:p>
    <w:p w:rsidR="00E349E3" w:rsidRDefault="00E349E3" w:rsidP="00E349E3">
      <w:pPr>
        <w:rPr>
          <w:b/>
          <w:szCs w:val="24"/>
        </w:rPr>
      </w:pPr>
    </w:p>
    <w:p w:rsidR="00E349E3" w:rsidRDefault="00E349E3" w:rsidP="00E349E3">
      <w:pPr>
        <w:rPr>
          <w:b/>
          <w:szCs w:val="24"/>
        </w:rPr>
      </w:pPr>
      <w:r w:rsidRPr="00D43D39">
        <w:rPr>
          <w:b/>
          <w:szCs w:val="24"/>
        </w:rPr>
        <w:t xml:space="preserve">Conclusion </w:t>
      </w:r>
    </w:p>
    <w:p w:rsidR="00E349E3" w:rsidRDefault="00E349E3" w:rsidP="00E349E3">
      <w:pPr>
        <w:rPr>
          <w:b/>
          <w:szCs w:val="24"/>
        </w:rPr>
      </w:pPr>
    </w:p>
    <w:p w:rsidR="00E349E3" w:rsidRDefault="00E349E3" w:rsidP="00E349E3">
      <w:pPr>
        <w:rPr>
          <w:szCs w:val="24"/>
        </w:rPr>
      </w:pPr>
      <w:r>
        <w:rPr>
          <w:szCs w:val="24"/>
        </w:rPr>
        <w:t xml:space="preserve">The </w:t>
      </w:r>
      <w:r w:rsidRPr="00D43D39">
        <w:rPr>
          <w:szCs w:val="24"/>
        </w:rPr>
        <w:t>Legislative Instrument is compatible with human rights because it advances the</w:t>
      </w:r>
      <w:r>
        <w:rPr>
          <w:szCs w:val="24"/>
        </w:rPr>
        <w:t xml:space="preserve"> protection of human rights.</w:t>
      </w:r>
    </w:p>
    <w:p w:rsidR="00E349E3" w:rsidRPr="00BF308C" w:rsidRDefault="00E349E3" w:rsidP="00E349E3">
      <w:pPr>
        <w:rPr>
          <w:szCs w:val="24"/>
        </w:rPr>
      </w:pPr>
    </w:p>
    <w:p w:rsidR="00E349E3" w:rsidRPr="002D373E" w:rsidRDefault="00E349E3" w:rsidP="00E349E3">
      <w:pPr>
        <w:spacing w:before="120" w:after="120"/>
        <w:jc w:val="center"/>
        <w:rPr>
          <w:b/>
          <w:bCs/>
          <w:szCs w:val="24"/>
        </w:rPr>
      </w:pPr>
      <w:r>
        <w:rPr>
          <w:b/>
          <w:bCs/>
          <w:szCs w:val="24"/>
        </w:rPr>
        <w:t xml:space="preserve">Peter Dutton </w:t>
      </w:r>
    </w:p>
    <w:p w:rsidR="00E349E3" w:rsidRPr="00C85894" w:rsidRDefault="00E349E3" w:rsidP="00E349E3">
      <w:pPr>
        <w:spacing w:before="120" w:after="120"/>
        <w:jc w:val="center"/>
        <w:rPr>
          <w:szCs w:val="24"/>
        </w:rPr>
      </w:pPr>
      <w:r w:rsidRPr="00893F87">
        <w:rPr>
          <w:b/>
          <w:bCs/>
          <w:szCs w:val="24"/>
        </w:rPr>
        <w:t>Minister for Health</w:t>
      </w:r>
    </w:p>
    <w:p w:rsidR="00E349E3" w:rsidRPr="00414613" w:rsidRDefault="00E349E3">
      <w:pPr>
        <w:rPr>
          <w:szCs w:val="24"/>
        </w:rPr>
      </w:pPr>
    </w:p>
    <w:sectPr w:rsidR="00E349E3" w:rsidRPr="00414613" w:rsidSect="00E62223">
      <w:headerReference w:type="first" r:id="rId11"/>
      <w:type w:val="continuous"/>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F9" w:rsidRDefault="003530F9">
      <w:r>
        <w:separator/>
      </w:r>
    </w:p>
  </w:endnote>
  <w:endnote w:type="continuationSeparator" w:id="0">
    <w:p w:rsidR="003530F9" w:rsidRDefault="003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F9" w:rsidRDefault="003530F9">
      <w:r>
        <w:separator/>
      </w:r>
    </w:p>
  </w:footnote>
  <w:footnote w:type="continuationSeparator" w:id="0">
    <w:p w:rsidR="003530F9" w:rsidRDefault="0035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9F8">
      <w:rPr>
        <w:rStyle w:val="PageNumber"/>
        <w:noProof/>
      </w:rPr>
      <w:t>4</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23327"/>
      <w:docPartObj>
        <w:docPartGallery w:val="Page Numbers (Top of Page)"/>
        <w:docPartUnique/>
      </w:docPartObj>
    </w:sdtPr>
    <w:sdtEndPr>
      <w:rPr>
        <w:noProof/>
      </w:rPr>
    </w:sdtEndPr>
    <w:sdtContent>
      <w:p w:rsidR="00E62223" w:rsidRDefault="00E62223">
        <w:pPr>
          <w:pStyle w:val="Header"/>
          <w:jc w:val="center"/>
        </w:pPr>
        <w:r>
          <w:fldChar w:fldCharType="begin"/>
        </w:r>
        <w:r>
          <w:instrText xml:space="preserve"> PAGE   \* MERGEFORMAT </w:instrText>
        </w:r>
        <w:r>
          <w:fldChar w:fldCharType="separate"/>
        </w:r>
        <w:r w:rsidR="00A4027A">
          <w:rPr>
            <w:noProof/>
          </w:rPr>
          <w:t>6</w:t>
        </w:r>
        <w:r>
          <w:rPr>
            <w:noProof/>
          </w:rPr>
          <w:fldChar w:fldCharType="end"/>
        </w:r>
      </w:p>
    </w:sdtContent>
  </w:sdt>
  <w:p w:rsidR="00752309" w:rsidRDefault="00752309" w:rsidP="0075230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9A5" w:rsidRDefault="005B2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96B"/>
    <w:multiLevelType w:val="hybridMultilevel"/>
    <w:tmpl w:val="D7C4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51226"/>
    <w:multiLevelType w:val="hybridMultilevel"/>
    <w:tmpl w:val="EB48B3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0758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D039D9"/>
    <w:multiLevelType w:val="hybridMultilevel"/>
    <w:tmpl w:val="EAF6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AF2D62"/>
    <w:multiLevelType w:val="hybridMultilevel"/>
    <w:tmpl w:val="87F42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6D4F50"/>
    <w:multiLevelType w:val="hybridMultilevel"/>
    <w:tmpl w:val="0E5C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DF25F7"/>
    <w:multiLevelType w:val="hybridMultilevel"/>
    <w:tmpl w:val="A33267D2"/>
    <w:lvl w:ilvl="0" w:tplc="2F7C32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3"/>
  </w:num>
  <w:num w:numId="5">
    <w:abstractNumId w:val="15"/>
  </w:num>
  <w:num w:numId="6">
    <w:abstractNumId w:val="1"/>
  </w:num>
  <w:num w:numId="7">
    <w:abstractNumId w:val="10"/>
  </w:num>
  <w:num w:numId="8">
    <w:abstractNumId w:val="8"/>
  </w:num>
  <w:num w:numId="9">
    <w:abstractNumId w:val="6"/>
  </w:num>
  <w:num w:numId="10">
    <w:abstractNumId w:val="17"/>
  </w:num>
  <w:num w:numId="11">
    <w:abstractNumId w:val="8"/>
  </w:num>
  <w:num w:numId="12">
    <w:abstractNumId w:val="12"/>
  </w:num>
  <w:num w:numId="13">
    <w:abstractNumId w:val="11"/>
  </w:num>
  <w:num w:numId="14">
    <w:abstractNumId w:val="2"/>
  </w:num>
  <w:num w:numId="15">
    <w:abstractNumId w:val="7"/>
  </w:num>
  <w:num w:numId="16">
    <w:abstractNumId w:val="0"/>
  </w:num>
  <w:num w:numId="17">
    <w:abstractNumId w:val="13"/>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6EB8"/>
    <w:rsid w:val="00012405"/>
    <w:rsid w:val="00014B38"/>
    <w:rsid w:val="00022CC8"/>
    <w:rsid w:val="00026FC6"/>
    <w:rsid w:val="00047B7F"/>
    <w:rsid w:val="000509BA"/>
    <w:rsid w:val="0005224B"/>
    <w:rsid w:val="0005533C"/>
    <w:rsid w:val="00062E2C"/>
    <w:rsid w:val="00064BA4"/>
    <w:rsid w:val="000710DD"/>
    <w:rsid w:val="000727E0"/>
    <w:rsid w:val="0009552D"/>
    <w:rsid w:val="0009687D"/>
    <w:rsid w:val="000969EF"/>
    <w:rsid w:val="000A31F2"/>
    <w:rsid w:val="000B0D05"/>
    <w:rsid w:val="000C6797"/>
    <w:rsid w:val="000C6FF8"/>
    <w:rsid w:val="000D20EE"/>
    <w:rsid w:val="000D7803"/>
    <w:rsid w:val="000E17BC"/>
    <w:rsid w:val="000E1ACD"/>
    <w:rsid w:val="000F249E"/>
    <w:rsid w:val="000F5E76"/>
    <w:rsid w:val="00141E8C"/>
    <w:rsid w:val="00153059"/>
    <w:rsid w:val="00154FC4"/>
    <w:rsid w:val="0015521F"/>
    <w:rsid w:val="001641C0"/>
    <w:rsid w:val="0017187F"/>
    <w:rsid w:val="001718DC"/>
    <w:rsid w:val="00173B7B"/>
    <w:rsid w:val="001770D9"/>
    <w:rsid w:val="0018012F"/>
    <w:rsid w:val="0018451D"/>
    <w:rsid w:val="001867EA"/>
    <w:rsid w:val="0019289B"/>
    <w:rsid w:val="00193526"/>
    <w:rsid w:val="00195A6A"/>
    <w:rsid w:val="001978CE"/>
    <w:rsid w:val="001A4BE2"/>
    <w:rsid w:val="001C6713"/>
    <w:rsid w:val="001D778A"/>
    <w:rsid w:val="001E53C3"/>
    <w:rsid w:val="001E5DE7"/>
    <w:rsid w:val="001E7C25"/>
    <w:rsid w:val="001F33C5"/>
    <w:rsid w:val="00203952"/>
    <w:rsid w:val="00205104"/>
    <w:rsid w:val="00217EBF"/>
    <w:rsid w:val="00221C4B"/>
    <w:rsid w:val="0022327E"/>
    <w:rsid w:val="00243811"/>
    <w:rsid w:val="00250642"/>
    <w:rsid w:val="00263279"/>
    <w:rsid w:val="002643FC"/>
    <w:rsid w:val="0027610D"/>
    <w:rsid w:val="00287B08"/>
    <w:rsid w:val="002B49DE"/>
    <w:rsid w:val="002C3EAE"/>
    <w:rsid w:val="002C5DCD"/>
    <w:rsid w:val="002C732A"/>
    <w:rsid w:val="002F0434"/>
    <w:rsid w:val="002F449C"/>
    <w:rsid w:val="0031124D"/>
    <w:rsid w:val="00316E40"/>
    <w:rsid w:val="0033493D"/>
    <w:rsid w:val="00341DF4"/>
    <w:rsid w:val="0035214B"/>
    <w:rsid w:val="003530F9"/>
    <w:rsid w:val="0036495A"/>
    <w:rsid w:val="003876E6"/>
    <w:rsid w:val="00391AFA"/>
    <w:rsid w:val="00396BD5"/>
    <w:rsid w:val="003B59A9"/>
    <w:rsid w:val="003E1249"/>
    <w:rsid w:val="003E172F"/>
    <w:rsid w:val="003E3544"/>
    <w:rsid w:val="003E35A8"/>
    <w:rsid w:val="003E5605"/>
    <w:rsid w:val="003E77CB"/>
    <w:rsid w:val="003F2061"/>
    <w:rsid w:val="003F73BA"/>
    <w:rsid w:val="003F73F0"/>
    <w:rsid w:val="00405890"/>
    <w:rsid w:val="00414613"/>
    <w:rsid w:val="0041767B"/>
    <w:rsid w:val="00424969"/>
    <w:rsid w:val="00441C2C"/>
    <w:rsid w:val="00442F9D"/>
    <w:rsid w:val="00466A5B"/>
    <w:rsid w:val="00470F55"/>
    <w:rsid w:val="00477BC0"/>
    <w:rsid w:val="004828A9"/>
    <w:rsid w:val="00484E4F"/>
    <w:rsid w:val="00492DBE"/>
    <w:rsid w:val="004A4F6D"/>
    <w:rsid w:val="004B17C5"/>
    <w:rsid w:val="004C27EB"/>
    <w:rsid w:val="004C405B"/>
    <w:rsid w:val="004C68D1"/>
    <w:rsid w:val="004E1B2F"/>
    <w:rsid w:val="0050138D"/>
    <w:rsid w:val="00502277"/>
    <w:rsid w:val="005140F2"/>
    <w:rsid w:val="00532CD3"/>
    <w:rsid w:val="005345A9"/>
    <w:rsid w:val="0054004F"/>
    <w:rsid w:val="00552105"/>
    <w:rsid w:val="00555CC2"/>
    <w:rsid w:val="005642D9"/>
    <w:rsid w:val="00567518"/>
    <w:rsid w:val="0057258C"/>
    <w:rsid w:val="00573651"/>
    <w:rsid w:val="00581904"/>
    <w:rsid w:val="00585309"/>
    <w:rsid w:val="00594EB6"/>
    <w:rsid w:val="005A0ECD"/>
    <w:rsid w:val="005A3D73"/>
    <w:rsid w:val="005B0148"/>
    <w:rsid w:val="005B0EA3"/>
    <w:rsid w:val="005B1057"/>
    <w:rsid w:val="005B29A5"/>
    <w:rsid w:val="005C6118"/>
    <w:rsid w:val="005D538F"/>
    <w:rsid w:val="005D63D9"/>
    <w:rsid w:val="005E293A"/>
    <w:rsid w:val="00601165"/>
    <w:rsid w:val="00602D60"/>
    <w:rsid w:val="00611A4E"/>
    <w:rsid w:val="0061281D"/>
    <w:rsid w:val="00623004"/>
    <w:rsid w:val="00635031"/>
    <w:rsid w:val="006407FA"/>
    <w:rsid w:val="00642BEB"/>
    <w:rsid w:val="0064755D"/>
    <w:rsid w:val="006526F5"/>
    <w:rsid w:val="006619F5"/>
    <w:rsid w:val="00670998"/>
    <w:rsid w:val="00671CF2"/>
    <w:rsid w:val="00684200"/>
    <w:rsid w:val="00694C76"/>
    <w:rsid w:val="006B13BC"/>
    <w:rsid w:val="006C14C6"/>
    <w:rsid w:val="006D2B37"/>
    <w:rsid w:val="006D54FB"/>
    <w:rsid w:val="006D5623"/>
    <w:rsid w:val="006E1A62"/>
    <w:rsid w:val="006E3D84"/>
    <w:rsid w:val="006E5C6B"/>
    <w:rsid w:val="006E6377"/>
    <w:rsid w:val="0070058D"/>
    <w:rsid w:val="00705924"/>
    <w:rsid w:val="007134A2"/>
    <w:rsid w:val="00717B45"/>
    <w:rsid w:val="00720B66"/>
    <w:rsid w:val="007304D5"/>
    <w:rsid w:val="00730965"/>
    <w:rsid w:val="00741A4E"/>
    <w:rsid w:val="007514F1"/>
    <w:rsid w:val="00752309"/>
    <w:rsid w:val="0076370A"/>
    <w:rsid w:val="0076544A"/>
    <w:rsid w:val="007859F8"/>
    <w:rsid w:val="00791384"/>
    <w:rsid w:val="007920F0"/>
    <w:rsid w:val="007A2E32"/>
    <w:rsid w:val="007A5B55"/>
    <w:rsid w:val="007A6EA4"/>
    <w:rsid w:val="007B08D1"/>
    <w:rsid w:val="007B4EAA"/>
    <w:rsid w:val="007C20FA"/>
    <w:rsid w:val="007C27D3"/>
    <w:rsid w:val="007C2C95"/>
    <w:rsid w:val="007C79FB"/>
    <w:rsid w:val="007D4A14"/>
    <w:rsid w:val="007E1F81"/>
    <w:rsid w:val="007E7ABF"/>
    <w:rsid w:val="007F0907"/>
    <w:rsid w:val="007F44E4"/>
    <w:rsid w:val="007F61B6"/>
    <w:rsid w:val="00804A98"/>
    <w:rsid w:val="0081085C"/>
    <w:rsid w:val="00814EBF"/>
    <w:rsid w:val="00826C1C"/>
    <w:rsid w:val="00831C11"/>
    <w:rsid w:val="00833FCC"/>
    <w:rsid w:val="00843671"/>
    <w:rsid w:val="00845708"/>
    <w:rsid w:val="008478EE"/>
    <w:rsid w:val="0085475F"/>
    <w:rsid w:val="00855C39"/>
    <w:rsid w:val="00856379"/>
    <w:rsid w:val="008609B1"/>
    <w:rsid w:val="00875104"/>
    <w:rsid w:val="00883C9D"/>
    <w:rsid w:val="0089513F"/>
    <w:rsid w:val="008952B8"/>
    <w:rsid w:val="008B444F"/>
    <w:rsid w:val="008C20F7"/>
    <w:rsid w:val="008D1B01"/>
    <w:rsid w:val="008D2A83"/>
    <w:rsid w:val="008D2D7B"/>
    <w:rsid w:val="008D44EB"/>
    <w:rsid w:val="008E019D"/>
    <w:rsid w:val="008F1AA9"/>
    <w:rsid w:val="008F7C5B"/>
    <w:rsid w:val="00903AF7"/>
    <w:rsid w:val="009049C0"/>
    <w:rsid w:val="009124F6"/>
    <w:rsid w:val="00913B67"/>
    <w:rsid w:val="009225FE"/>
    <w:rsid w:val="009414C5"/>
    <w:rsid w:val="009427F2"/>
    <w:rsid w:val="00944F64"/>
    <w:rsid w:val="00953383"/>
    <w:rsid w:val="00965025"/>
    <w:rsid w:val="00971B7B"/>
    <w:rsid w:val="00971D3B"/>
    <w:rsid w:val="00977A95"/>
    <w:rsid w:val="009936D1"/>
    <w:rsid w:val="00993839"/>
    <w:rsid w:val="00995A06"/>
    <w:rsid w:val="009A222A"/>
    <w:rsid w:val="009A40DC"/>
    <w:rsid w:val="009B6FB2"/>
    <w:rsid w:val="009C444B"/>
    <w:rsid w:val="009D3773"/>
    <w:rsid w:val="009D499D"/>
    <w:rsid w:val="009E2AEA"/>
    <w:rsid w:val="009E3183"/>
    <w:rsid w:val="009E3783"/>
    <w:rsid w:val="009E3EA3"/>
    <w:rsid w:val="009F0B54"/>
    <w:rsid w:val="00A018DC"/>
    <w:rsid w:val="00A045CA"/>
    <w:rsid w:val="00A05DAD"/>
    <w:rsid w:val="00A141C0"/>
    <w:rsid w:val="00A17694"/>
    <w:rsid w:val="00A31165"/>
    <w:rsid w:val="00A4027A"/>
    <w:rsid w:val="00A52D40"/>
    <w:rsid w:val="00A53E06"/>
    <w:rsid w:val="00A73CF1"/>
    <w:rsid w:val="00A73D18"/>
    <w:rsid w:val="00A75C9A"/>
    <w:rsid w:val="00A81B02"/>
    <w:rsid w:val="00A9123D"/>
    <w:rsid w:val="00A92534"/>
    <w:rsid w:val="00AA4399"/>
    <w:rsid w:val="00AA53DB"/>
    <w:rsid w:val="00AB419D"/>
    <w:rsid w:val="00AC046B"/>
    <w:rsid w:val="00AC54F8"/>
    <w:rsid w:val="00AC681D"/>
    <w:rsid w:val="00AD0F67"/>
    <w:rsid w:val="00AD6305"/>
    <w:rsid w:val="00AE0F81"/>
    <w:rsid w:val="00AE29C8"/>
    <w:rsid w:val="00AF1A71"/>
    <w:rsid w:val="00AF3563"/>
    <w:rsid w:val="00B019A9"/>
    <w:rsid w:val="00B02C77"/>
    <w:rsid w:val="00B03273"/>
    <w:rsid w:val="00B04AF8"/>
    <w:rsid w:val="00B174E3"/>
    <w:rsid w:val="00B34EF9"/>
    <w:rsid w:val="00B51626"/>
    <w:rsid w:val="00B56E4F"/>
    <w:rsid w:val="00B641FA"/>
    <w:rsid w:val="00B748AE"/>
    <w:rsid w:val="00B7512A"/>
    <w:rsid w:val="00B7681E"/>
    <w:rsid w:val="00B84958"/>
    <w:rsid w:val="00B96F16"/>
    <w:rsid w:val="00BA58AC"/>
    <w:rsid w:val="00BB1CDA"/>
    <w:rsid w:val="00BB2CD8"/>
    <w:rsid w:val="00BC459E"/>
    <w:rsid w:val="00BF23A6"/>
    <w:rsid w:val="00BF5A87"/>
    <w:rsid w:val="00BF6341"/>
    <w:rsid w:val="00C0045E"/>
    <w:rsid w:val="00C00FD8"/>
    <w:rsid w:val="00C04498"/>
    <w:rsid w:val="00C04952"/>
    <w:rsid w:val="00C073E4"/>
    <w:rsid w:val="00C07903"/>
    <w:rsid w:val="00C0797E"/>
    <w:rsid w:val="00C07C34"/>
    <w:rsid w:val="00C154E6"/>
    <w:rsid w:val="00C15DD6"/>
    <w:rsid w:val="00C33771"/>
    <w:rsid w:val="00C34230"/>
    <w:rsid w:val="00C3661B"/>
    <w:rsid w:val="00C4418F"/>
    <w:rsid w:val="00C473F7"/>
    <w:rsid w:val="00C5100A"/>
    <w:rsid w:val="00C56251"/>
    <w:rsid w:val="00C77A1F"/>
    <w:rsid w:val="00C80673"/>
    <w:rsid w:val="00CA73CB"/>
    <w:rsid w:val="00CC5E83"/>
    <w:rsid w:val="00CE65AD"/>
    <w:rsid w:val="00CF6B2F"/>
    <w:rsid w:val="00D059FE"/>
    <w:rsid w:val="00D114E6"/>
    <w:rsid w:val="00D22A29"/>
    <w:rsid w:val="00D41D2D"/>
    <w:rsid w:val="00D4278C"/>
    <w:rsid w:val="00D44316"/>
    <w:rsid w:val="00D50ABE"/>
    <w:rsid w:val="00D565F8"/>
    <w:rsid w:val="00D56ABB"/>
    <w:rsid w:val="00D571B1"/>
    <w:rsid w:val="00D61BD3"/>
    <w:rsid w:val="00D85008"/>
    <w:rsid w:val="00D86F96"/>
    <w:rsid w:val="00D9503A"/>
    <w:rsid w:val="00DA7439"/>
    <w:rsid w:val="00DB0DA9"/>
    <w:rsid w:val="00DB612F"/>
    <w:rsid w:val="00DB768F"/>
    <w:rsid w:val="00DD3239"/>
    <w:rsid w:val="00DE0877"/>
    <w:rsid w:val="00DE4236"/>
    <w:rsid w:val="00DF1BC0"/>
    <w:rsid w:val="00DF7C8C"/>
    <w:rsid w:val="00E06D10"/>
    <w:rsid w:val="00E229F8"/>
    <w:rsid w:val="00E349E3"/>
    <w:rsid w:val="00E55649"/>
    <w:rsid w:val="00E56A50"/>
    <w:rsid w:val="00E62123"/>
    <w:rsid w:val="00E62223"/>
    <w:rsid w:val="00E70D5A"/>
    <w:rsid w:val="00E72855"/>
    <w:rsid w:val="00E734D9"/>
    <w:rsid w:val="00E74C1D"/>
    <w:rsid w:val="00E762E3"/>
    <w:rsid w:val="00E81B2F"/>
    <w:rsid w:val="00E85239"/>
    <w:rsid w:val="00E85B0A"/>
    <w:rsid w:val="00E935A1"/>
    <w:rsid w:val="00E93E4F"/>
    <w:rsid w:val="00E95CB9"/>
    <w:rsid w:val="00EA5A32"/>
    <w:rsid w:val="00EC0273"/>
    <w:rsid w:val="00EC25BA"/>
    <w:rsid w:val="00ED0AD5"/>
    <w:rsid w:val="00ED0C58"/>
    <w:rsid w:val="00ED2CAA"/>
    <w:rsid w:val="00ED5117"/>
    <w:rsid w:val="00EF0AFA"/>
    <w:rsid w:val="00F05393"/>
    <w:rsid w:val="00F12E98"/>
    <w:rsid w:val="00F207AB"/>
    <w:rsid w:val="00F21724"/>
    <w:rsid w:val="00F21A81"/>
    <w:rsid w:val="00F21CC1"/>
    <w:rsid w:val="00F2428F"/>
    <w:rsid w:val="00F32A56"/>
    <w:rsid w:val="00F413D8"/>
    <w:rsid w:val="00F42100"/>
    <w:rsid w:val="00F61DE5"/>
    <w:rsid w:val="00F6591A"/>
    <w:rsid w:val="00F7546C"/>
    <w:rsid w:val="00F8190B"/>
    <w:rsid w:val="00F9117A"/>
    <w:rsid w:val="00FB35C6"/>
    <w:rsid w:val="00FB5BFA"/>
    <w:rsid w:val="00FC1B02"/>
    <w:rsid w:val="00FD3574"/>
    <w:rsid w:val="00FD6A7D"/>
    <w:rsid w:val="00FD6FC9"/>
    <w:rsid w:val="00FE0D38"/>
    <w:rsid w:val="00FE2AD8"/>
    <w:rsid w:val="00FF35E2"/>
    <w:rsid w:val="00FF3DCF"/>
    <w:rsid w:val="00FF62A9"/>
    <w:rsid w:val="00FF6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customStyle="1" w:styleId="Title1">
    <w:name w:val="Title1"/>
    <w:aliases w:val="Subject"/>
    <w:basedOn w:val="Normal"/>
    <w:next w:val="Normal"/>
    <w:rsid w:val="00D22A29"/>
    <w:pPr>
      <w:keepNext/>
      <w:widowControl w:val="0"/>
      <w:spacing w:before="340" w:after="140"/>
    </w:pPr>
    <w:rPr>
      <w:b/>
      <w:caps/>
    </w:rPr>
  </w:style>
  <w:style w:type="paragraph" w:customStyle="1" w:styleId="Body">
    <w:name w:val="Body"/>
    <w:rsid w:val="0042496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AU"/>
    </w:rPr>
  </w:style>
  <w:style w:type="paragraph" w:styleId="Footer">
    <w:name w:val="footer"/>
    <w:basedOn w:val="Normal"/>
    <w:link w:val="FooterChar"/>
    <w:uiPriority w:val="99"/>
    <w:unhideWhenUsed/>
    <w:rsid w:val="00752309"/>
    <w:pPr>
      <w:tabs>
        <w:tab w:val="center" w:pos="4513"/>
        <w:tab w:val="right" w:pos="9026"/>
      </w:tabs>
    </w:pPr>
  </w:style>
  <w:style w:type="character" w:customStyle="1" w:styleId="FooterChar">
    <w:name w:val="Footer Char"/>
    <w:basedOn w:val="DefaultParagraphFont"/>
    <w:link w:val="Footer"/>
    <w:uiPriority w:val="99"/>
    <w:rsid w:val="00752309"/>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customStyle="1" w:styleId="Title1">
    <w:name w:val="Title1"/>
    <w:aliases w:val="Subject"/>
    <w:basedOn w:val="Normal"/>
    <w:next w:val="Normal"/>
    <w:rsid w:val="00D22A29"/>
    <w:pPr>
      <w:keepNext/>
      <w:widowControl w:val="0"/>
      <w:spacing w:before="340" w:after="140"/>
    </w:pPr>
    <w:rPr>
      <w:b/>
      <w:caps/>
    </w:rPr>
  </w:style>
  <w:style w:type="paragraph" w:customStyle="1" w:styleId="Body">
    <w:name w:val="Body"/>
    <w:rsid w:val="0042496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AU"/>
    </w:rPr>
  </w:style>
  <w:style w:type="paragraph" w:styleId="Footer">
    <w:name w:val="footer"/>
    <w:basedOn w:val="Normal"/>
    <w:link w:val="FooterChar"/>
    <w:uiPriority w:val="99"/>
    <w:unhideWhenUsed/>
    <w:rsid w:val="00752309"/>
    <w:pPr>
      <w:tabs>
        <w:tab w:val="center" w:pos="4513"/>
        <w:tab w:val="right" w:pos="9026"/>
      </w:tabs>
    </w:pPr>
  </w:style>
  <w:style w:type="character" w:customStyle="1" w:styleId="FooterChar">
    <w:name w:val="Footer Char"/>
    <w:basedOn w:val="DefaultParagraphFont"/>
    <w:link w:val="Footer"/>
    <w:uiPriority w:val="99"/>
    <w:rsid w:val="0075230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021A-1DCA-4A05-97EE-49F764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2556</Words>
  <Characters>13911</Characters>
  <Application>Microsoft Office Word</Application>
  <DocSecurity>0</DocSecurity>
  <Lines>604</Lines>
  <Paragraphs>253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4</cp:revision>
  <cp:lastPrinted>2014-05-26T04:49:00Z</cp:lastPrinted>
  <dcterms:created xsi:type="dcterms:W3CDTF">2014-06-12T01:49:00Z</dcterms:created>
  <dcterms:modified xsi:type="dcterms:W3CDTF">2014-06-12T02:04:00Z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