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72" w:rsidRDefault="004E4072">
      <w:pPr>
        <w:pStyle w:val="LeftHeading"/>
        <w:jc w:val="center"/>
        <w:rPr>
          <w:u w:val="single"/>
        </w:rPr>
      </w:pPr>
      <w:r>
        <w:rPr>
          <w:u w:val="single"/>
        </w:rPr>
        <w:t>explanatory statement</w:t>
      </w:r>
    </w:p>
    <w:p w:rsidR="004E4072" w:rsidRDefault="004E4072">
      <w:pPr>
        <w:jc w:val="center"/>
      </w:pPr>
      <w:r>
        <w:t xml:space="preserve">Issued by </w:t>
      </w:r>
      <w:r w:rsidR="00C8189C">
        <w:t xml:space="preserve">the Minister for Finance </w:t>
      </w:r>
    </w:p>
    <w:p w:rsidR="004E4072" w:rsidRDefault="004E4072">
      <w:pPr>
        <w:pStyle w:val="Heading3"/>
      </w:pPr>
      <w:r>
        <w:t>Superannuation Act 1990</w:t>
      </w:r>
    </w:p>
    <w:p w:rsidR="004E4072" w:rsidRDefault="004E4072">
      <w:pPr>
        <w:ind w:right="-341"/>
        <w:jc w:val="center"/>
      </w:pPr>
      <w:r>
        <w:t>Declaration under paragraph 6(1</w:t>
      </w:r>
      <w:proofErr w:type="gramStart"/>
      <w:r>
        <w:t>)(</w:t>
      </w:r>
      <w:proofErr w:type="gramEnd"/>
      <w:r>
        <w:t>j)</w:t>
      </w:r>
    </w:p>
    <w:p w:rsidR="004E4072" w:rsidRDefault="004E4072" w:rsidP="00AF7578">
      <w:pPr>
        <w:spacing w:before="240" w:after="200"/>
      </w:pPr>
      <w:r>
        <w:t xml:space="preserve">The </w:t>
      </w:r>
      <w:r>
        <w:rPr>
          <w:i/>
        </w:rPr>
        <w:t xml:space="preserve">Superannuation Act 1990 </w:t>
      </w:r>
      <w:r>
        <w:t>(the Act) makes provision for and in relation to the Public Sector Superannuation Scheme (PSS) for Australian Government employees and for certain other persons.</w:t>
      </w:r>
    </w:p>
    <w:p w:rsidR="004E4072" w:rsidRDefault="004E4072" w:rsidP="00AF7578">
      <w:pPr>
        <w:spacing w:after="200"/>
      </w:pPr>
      <w:r>
        <w:t>Section 6 of the Act specifies the various persons who may be a member of the PSS.  Paragraph 6(1</w:t>
      </w:r>
      <w:proofErr w:type="gramStart"/>
      <w:r>
        <w:t>)(</w:t>
      </w:r>
      <w:proofErr w:type="gramEnd"/>
      <w:r>
        <w:t xml:space="preserve">j) provides that the Minister may declare a person to </w:t>
      </w:r>
      <w:r w:rsidRPr="007601F5">
        <w:t>be a PSS member.</w:t>
      </w:r>
    </w:p>
    <w:p w:rsidR="004E4072" w:rsidRPr="007601F5" w:rsidRDefault="004E4072" w:rsidP="00AF7578">
      <w:pPr>
        <w:spacing w:after="200"/>
      </w:pPr>
      <w:r w:rsidRPr="007601F5">
        <w:t xml:space="preserve">The </w:t>
      </w:r>
      <w:r w:rsidR="008A4F49" w:rsidRPr="007601F5">
        <w:rPr>
          <w:i/>
        </w:rPr>
        <w:t>Superannuation</w:t>
      </w:r>
      <w:r w:rsidR="003145C3">
        <w:rPr>
          <w:i/>
        </w:rPr>
        <w:t xml:space="preserve"> </w:t>
      </w:r>
      <w:r w:rsidR="008A4F49" w:rsidRPr="007601F5">
        <w:rPr>
          <w:i/>
        </w:rPr>
        <w:t>(PSS)</w:t>
      </w:r>
      <w:r w:rsidR="003145C3">
        <w:rPr>
          <w:i/>
        </w:rPr>
        <w:t xml:space="preserve"> </w:t>
      </w:r>
      <w:r w:rsidR="008A4F49" w:rsidRPr="007601F5">
        <w:rPr>
          <w:i/>
        </w:rPr>
        <w:t>Membership Inclusion Declaration 2006</w:t>
      </w:r>
      <w:r w:rsidR="001428CD" w:rsidRPr="007601F5">
        <w:rPr>
          <w:i/>
        </w:rPr>
        <w:t xml:space="preserve"> </w:t>
      </w:r>
      <w:r w:rsidR="00532124">
        <w:t>(the Principal </w:t>
      </w:r>
      <w:r w:rsidR="001428CD" w:rsidRPr="007601F5">
        <w:t xml:space="preserve">Declaration) </w:t>
      </w:r>
      <w:r w:rsidRPr="007601F5">
        <w:t>identifies the persons who are declared PSS members under paragraph</w:t>
      </w:r>
      <w:r w:rsidR="00C8189C" w:rsidRPr="007601F5">
        <w:t> </w:t>
      </w:r>
      <w:r w:rsidRPr="007601F5">
        <w:t>6(1</w:t>
      </w:r>
      <w:proofErr w:type="gramStart"/>
      <w:r w:rsidRPr="007601F5">
        <w:t>)(</w:t>
      </w:r>
      <w:proofErr w:type="gramEnd"/>
      <w:r w:rsidRPr="007601F5">
        <w:t>j).</w:t>
      </w:r>
      <w:r w:rsidR="003C2548">
        <w:t xml:space="preserve"> Section 4 of the Principal Declaration also sets out circumstances whe</w:t>
      </w:r>
      <w:r w:rsidR="00A0397D">
        <w:t>re persons declared as PSS members</w:t>
      </w:r>
      <w:r w:rsidR="003C2548">
        <w:t xml:space="preserve"> cease to be </w:t>
      </w:r>
      <w:r w:rsidR="00A0397D">
        <w:t xml:space="preserve">contributory </w:t>
      </w:r>
      <w:r w:rsidR="003C2548">
        <w:t xml:space="preserve">members, for example when the body they are employed with ceases to be a Commonwealth body. </w:t>
      </w:r>
    </w:p>
    <w:p w:rsidR="008A362D" w:rsidRDefault="004E4072" w:rsidP="00AF7578">
      <w:pPr>
        <w:spacing w:after="200"/>
      </w:pPr>
      <w:r w:rsidRPr="007601F5">
        <w:t xml:space="preserve">The purpose of </w:t>
      </w:r>
      <w:r w:rsidRPr="00C76379">
        <w:t xml:space="preserve">the </w:t>
      </w:r>
      <w:r w:rsidRPr="00C76379">
        <w:rPr>
          <w:i/>
        </w:rPr>
        <w:t>Superannuation (PSS) Membership Inclusion Amendment Declaration 20</w:t>
      </w:r>
      <w:r w:rsidR="004745B5" w:rsidRPr="00C76379">
        <w:rPr>
          <w:i/>
        </w:rPr>
        <w:t>1</w:t>
      </w:r>
      <w:r w:rsidR="002A05FE" w:rsidRPr="00C76379">
        <w:rPr>
          <w:i/>
        </w:rPr>
        <w:t>4</w:t>
      </w:r>
      <w:r w:rsidRPr="00C76379">
        <w:rPr>
          <w:i/>
        </w:rPr>
        <w:t xml:space="preserve"> (No. </w:t>
      </w:r>
      <w:r w:rsidR="002A05FE" w:rsidRPr="00C76379">
        <w:rPr>
          <w:i/>
        </w:rPr>
        <w:t>1</w:t>
      </w:r>
      <w:r w:rsidRPr="00C76379">
        <w:rPr>
          <w:i/>
        </w:rPr>
        <w:t>)</w:t>
      </w:r>
      <w:r w:rsidRPr="00C76379">
        <w:t xml:space="preserve"> (the Declaration) is to amend the Principal Declaration </w:t>
      </w:r>
      <w:r w:rsidR="00E361EF" w:rsidRPr="00C76379">
        <w:t>to make consequential changes</w:t>
      </w:r>
      <w:r w:rsidR="00E361EF" w:rsidRPr="00DD4DDB">
        <w:t xml:space="preserve"> brought about </w:t>
      </w:r>
      <w:r w:rsidR="00E361EF">
        <w:t xml:space="preserve">by </w:t>
      </w:r>
      <w:r w:rsidR="005B1FE8">
        <w:t>the commencement of the</w:t>
      </w:r>
      <w:r w:rsidR="00C91A46">
        <w:t xml:space="preserve"> substantive provisions of the</w:t>
      </w:r>
      <w:r w:rsidR="005B1FE8">
        <w:t xml:space="preserve"> </w:t>
      </w:r>
      <w:r w:rsidR="005B1FE8" w:rsidRPr="005B1FE8">
        <w:rPr>
          <w:i/>
        </w:rPr>
        <w:t>Public Governance, Performance and Accountability Act 2013</w:t>
      </w:r>
      <w:r w:rsidR="00355F9D">
        <w:rPr>
          <w:i/>
        </w:rPr>
        <w:t xml:space="preserve"> </w:t>
      </w:r>
      <w:r w:rsidR="00355F9D" w:rsidRPr="00355F9D">
        <w:t>(PGPA Act)</w:t>
      </w:r>
      <w:r w:rsidR="00C91A46">
        <w:t xml:space="preserve"> </w:t>
      </w:r>
      <w:r w:rsidR="00C91A46" w:rsidRPr="00C91A46">
        <w:t xml:space="preserve">and the repeal of the </w:t>
      </w:r>
      <w:r w:rsidR="00C91A46" w:rsidRPr="00C91A46">
        <w:rPr>
          <w:i/>
        </w:rPr>
        <w:t>Commonw</w:t>
      </w:r>
      <w:r w:rsidR="005758C5">
        <w:rPr>
          <w:i/>
        </w:rPr>
        <w:t xml:space="preserve">ealth Authorities and Companies </w:t>
      </w:r>
      <w:r w:rsidR="00C91A46" w:rsidRPr="00C91A46">
        <w:rPr>
          <w:i/>
        </w:rPr>
        <w:t>Act</w:t>
      </w:r>
      <w:r w:rsidR="005758C5">
        <w:rPr>
          <w:i/>
        </w:rPr>
        <w:t> </w:t>
      </w:r>
      <w:r w:rsidR="00C91A46" w:rsidRPr="00C91A46">
        <w:rPr>
          <w:i/>
        </w:rPr>
        <w:t xml:space="preserve">1997 </w:t>
      </w:r>
      <w:r w:rsidR="00C91A46" w:rsidRPr="00C91A46">
        <w:t>(CAC Act)</w:t>
      </w:r>
      <w:r w:rsidR="00355F9D">
        <w:t xml:space="preserve">.  </w:t>
      </w:r>
    </w:p>
    <w:p w:rsidR="00585FF6" w:rsidRDefault="005758C5" w:rsidP="00AF7578">
      <w:pPr>
        <w:spacing w:after="200"/>
      </w:pPr>
      <w:r>
        <w:t xml:space="preserve">The </w:t>
      </w:r>
      <w:r w:rsidR="00C91A46" w:rsidRPr="00C91A46">
        <w:t>PGPA Act will replace the governance arrangements previously applying to Commonwealth entities under the CAC Act.</w:t>
      </w:r>
      <w:r w:rsidR="005B1FE8">
        <w:t xml:space="preserve">   </w:t>
      </w:r>
      <w:r w:rsidR="006F624D">
        <w:t xml:space="preserve"> </w:t>
      </w:r>
    </w:p>
    <w:p w:rsidR="00593C83" w:rsidRDefault="008A362D" w:rsidP="00AF7578">
      <w:pPr>
        <w:spacing w:after="200"/>
      </w:pPr>
      <w:r>
        <w:t xml:space="preserve">The Declaration updates relevant </w:t>
      </w:r>
      <w:r w:rsidR="00B52AF1">
        <w:t>references</w:t>
      </w:r>
      <w:r>
        <w:t xml:space="preserve"> </w:t>
      </w:r>
      <w:r w:rsidR="00ED4CBA">
        <w:t xml:space="preserve">and terminology in </w:t>
      </w:r>
      <w:r>
        <w:t>the</w:t>
      </w:r>
      <w:r w:rsidR="00ED4CBA">
        <w:t xml:space="preserve"> Principal Declaration to </w:t>
      </w:r>
      <w:r>
        <w:t>bring it into line with the PGPA Act</w:t>
      </w:r>
      <w:r w:rsidRPr="009A552F">
        <w:t>.</w:t>
      </w:r>
      <w:r w:rsidR="00C91A46" w:rsidRPr="009A552F">
        <w:t xml:space="preserve">  </w:t>
      </w:r>
      <w:proofErr w:type="gramStart"/>
      <w:r w:rsidR="00C91A46" w:rsidRPr="009A552F">
        <w:t>Bodies which were previously referred to as ‘Commonwealth authorities’ under the CAC Act, will be known as ‘corporate Commonwealth entities’ under the PGPA Act.</w:t>
      </w:r>
      <w:proofErr w:type="gramEnd"/>
    </w:p>
    <w:p w:rsidR="00C76379" w:rsidRDefault="00C76379" w:rsidP="00AF7578">
      <w:pPr>
        <w:spacing w:after="200"/>
      </w:pPr>
      <w:r w:rsidRPr="000E04E7">
        <w:t xml:space="preserve">In relation to section 17 and 18 of the </w:t>
      </w:r>
      <w:r w:rsidRPr="000E04E7">
        <w:rPr>
          <w:i/>
        </w:rPr>
        <w:t>Legislative Instruments Act 2003</w:t>
      </w:r>
      <w:r w:rsidRPr="000E04E7">
        <w:t xml:space="preserve">, </w:t>
      </w:r>
      <w:r w:rsidR="005758C5">
        <w:t xml:space="preserve">no </w:t>
      </w:r>
      <w:r w:rsidRPr="000E04E7">
        <w:t xml:space="preserve">consultation was undertaken </w:t>
      </w:r>
      <w:r w:rsidR="005758C5">
        <w:t>because</w:t>
      </w:r>
      <w:r w:rsidRPr="000E04E7">
        <w:t xml:space="preserve"> the </w:t>
      </w:r>
      <w:r w:rsidR="005758C5">
        <w:t>instrument</w:t>
      </w:r>
      <w:r w:rsidRPr="000E04E7">
        <w:t xml:space="preserve"> is of a minor or machinery nature and does not substantially alter existing arrangements.  </w:t>
      </w:r>
    </w:p>
    <w:p w:rsidR="00C76379" w:rsidRDefault="00A108E2" w:rsidP="00AF7578">
      <w:pPr>
        <w:spacing w:after="200"/>
      </w:pPr>
      <w:r>
        <w:t>T</w:t>
      </w:r>
      <w:r w:rsidRPr="001E1D85">
        <w:t xml:space="preserve">he </w:t>
      </w:r>
      <w:r>
        <w:t>Office of Best Practice Regulation (OBPR) assessed that the changes to be made by the Declaration will</w:t>
      </w:r>
      <w:r w:rsidR="00844184">
        <w:t xml:space="preserve"> have</w:t>
      </w:r>
      <w:r>
        <w:t xml:space="preserve"> nil or low impacts and no further analysis in the form of a Regulation Impact Statement was required (OBPR </w:t>
      </w:r>
      <w:r w:rsidRPr="00AF7578">
        <w:t>ID: 16978</w:t>
      </w:r>
      <w:r>
        <w:t xml:space="preserve">). </w:t>
      </w:r>
    </w:p>
    <w:p w:rsidR="0040740B" w:rsidRPr="00532124" w:rsidRDefault="0040740B" w:rsidP="00AF7578">
      <w:pPr>
        <w:spacing w:after="200"/>
      </w:pPr>
      <w:r w:rsidRPr="007E0937">
        <w:t xml:space="preserve">The Declaration is a legislative instrument for the purposes of the </w:t>
      </w:r>
      <w:r w:rsidRPr="007E0937">
        <w:rPr>
          <w:i/>
        </w:rPr>
        <w:t>Legislative Instruments Act 2003.</w:t>
      </w:r>
      <w:r w:rsidR="00532124">
        <w:rPr>
          <w:i/>
        </w:rPr>
        <w:t xml:space="preserve">  </w:t>
      </w:r>
      <w:r w:rsidR="00532124">
        <w:t xml:space="preserve">Although section 44 of the </w:t>
      </w:r>
      <w:r w:rsidR="00532124" w:rsidRPr="00532124">
        <w:t>Legislative Instruments Act</w:t>
      </w:r>
      <w:r w:rsidR="00532124">
        <w:t xml:space="preserve"> exempts superannuation instruments from disallowance, the Declaration is subject to disallowance in accordance with section 45 of the Act.</w:t>
      </w:r>
    </w:p>
    <w:p w:rsidR="00A85FC4" w:rsidRPr="00140301" w:rsidRDefault="00A85FC4" w:rsidP="00AF7578">
      <w:pPr>
        <w:spacing w:after="200"/>
      </w:pPr>
      <w:r w:rsidRPr="00F27102">
        <w:t xml:space="preserve">The Declaration commences </w:t>
      </w:r>
      <w:r w:rsidR="001C769D">
        <w:t>upon</w:t>
      </w:r>
      <w:r w:rsidR="001F4BE5">
        <w:t xml:space="preserve"> the commencement of sections 6 to </w:t>
      </w:r>
      <w:r w:rsidR="001C769D">
        <w:t>112 of the PGPA Act.</w:t>
      </w:r>
    </w:p>
    <w:p w:rsidR="000636AD" w:rsidRPr="00BD1CB8" w:rsidRDefault="0040740B" w:rsidP="00AF7578">
      <w:pPr>
        <w:spacing w:after="200"/>
      </w:pPr>
      <w:r w:rsidRPr="006C2A14">
        <w:lastRenderedPageBreak/>
        <w:t xml:space="preserve">The details of the </w:t>
      </w:r>
      <w:r w:rsidR="000636AD">
        <w:t>Declaration are explained in</w:t>
      </w:r>
      <w:r w:rsidRPr="006C2A14">
        <w:t xml:space="preserve"> </w:t>
      </w:r>
      <w:r w:rsidRPr="000636AD">
        <w:rPr>
          <w:u w:val="single"/>
        </w:rPr>
        <w:t>Attachment</w:t>
      </w:r>
      <w:r w:rsidR="000636AD" w:rsidRPr="000636AD">
        <w:rPr>
          <w:u w:val="single"/>
        </w:rPr>
        <w:t xml:space="preserve"> A</w:t>
      </w:r>
      <w:r w:rsidRPr="006C2A14">
        <w:t>.</w:t>
      </w:r>
      <w:r w:rsidR="001A6281">
        <w:t xml:space="preserve">  </w:t>
      </w:r>
      <w:r w:rsidR="000636AD">
        <w:t xml:space="preserve">A Statement of Compatibility with Human Rights is at </w:t>
      </w:r>
      <w:r w:rsidR="000636AD" w:rsidRPr="009A117B">
        <w:rPr>
          <w:u w:val="single"/>
        </w:rPr>
        <w:t>Attachment B</w:t>
      </w:r>
      <w:r w:rsidR="000636AD">
        <w:t>.</w:t>
      </w:r>
    </w:p>
    <w:p w:rsidR="004E4072" w:rsidRDefault="004E4072">
      <w:pPr>
        <w:pStyle w:val="Attachment"/>
      </w:pPr>
      <w:r>
        <w:br w:type="page"/>
      </w:r>
      <w:r>
        <w:lastRenderedPageBreak/>
        <w:t>Attachment</w:t>
      </w:r>
      <w:r w:rsidR="000636AD">
        <w:t xml:space="preserve"> A</w:t>
      </w:r>
    </w:p>
    <w:p w:rsidR="004E4072" w:rsidRDefault="004E4072">
      <w:pPr>
        <w:pStyle w:val="Heading1"/>
      </w:pPr>
      <w:r>
        <w:t>Superannuation (PSS) Membership inclusion Amendment Declaration 20</w:t>
      </w:r>
      <w:r w:rsidR="00775DAF">
        <w:t>1</w:t>
      </w:r>
      <w:r w:rsidR="00047AC3">
        <w:t>4</w:t>
      </w:r>
      <w:r w:rsidR="007E0937">
        <w:t xml:space="preserve"> </w:t>
      </w:r>
      <w:r>
        <w:t>(no. </w:t>
      </w:r>
      <w:r w:rsidR="00047AC3">
        <w:t>1</w:t>
      </w:r>
      <w:r>
        <w:t>)</w:t>
      </w:r>
    </w:p>
    <w:p w:rsidR="004E4072" w:rsidRPr="00FE6020" w:rsidRDefault="006A00C3" w:rsidP="00711EDE">
      <w:pPr>
        <w:pStyle w:val="SubHeading"/>
        <w:spacing w:before="0" w:after="120"/>
      </w:pPr>
      <w:r>
        <w:t xml:space="preserve">Section </w:t>
      </w:r>
      <w:r w:rsidR="007E0937" w:rsidRPr="00FE6020">
        <w:t>1</w:t>
      </w:r>
      <w:r w:rsidR="00B2135C" w:rsidRPr="00FE6020">
        <w:t xml:space="preserve"> – Name of Declaration</w:t>
      </w:r>
    </w:p>
    <w:p w:rsidR="004E4072" w:rsidRPr="00FE6020" w:rsidRDefault="004E4072" w:rsidP="00CB1E48">
      <w:pPr>
        <w:spacing w:after="240"/>
        <w:rPr>
          <w:i/>
        </w:rPr>
      </w:pPr>
      <w:r w:rsidRPr="00FE6020">
        <w:t xml:space="preserve">This </w:t>
      </w:r>
      <w:r w:rsidR="00C448BE">
        <w:t>section</w:t>
      </w:r>
      <w:r w:rsidR="00B2135C" w:rsidRPr="00FE6020">
        <w:t xml:space="preserve"> provides that the name of the </w:t>
      </w:r>
      <w:r w:rsidRPr="00FE6020">
        <w:t xml:space="preserve">Declaration is the </w:t>
      </w:r>
      <w:r w:rsidRPr="00FE6020">
        <w:rPr>
          <w:i/>
        </w:rPr>
        <w:t>Superannuation (PSS) Membership Inclusion Amendment Declaration 20</w:t>
      </w:r>
      <w:r w:rsidR="00775DAF">
        <w:rPr>
          <w:i/>
        </w:rPr>
        <w:t>1</w:t>
      </w:r>
      <w:r w:rsidR="000A012D">
        <w:rPr>
          <w:i/>
        </w:rPr>
        <w:t>4</w:t>
      </w:r>
      <w:r w:rsidRPr="00FE6020">
        <w:rPr>
          <w:i/>
        </w:rPr>
        <w:t xml:space="preserve"> (No. </w:t>
      </w:r>
      <w:r w:rsidR="000A012D">
        <w:rPr>
          <w:i/>
        </w:rPr>
        <w:t>1</w:t>
      </w:r>
      <w:r w:rsidRPr="00FE6020">
        <w:rPr>
          <w:i/>
        </w:rPr>
        <w:t>).</w:t>
      </w:r>
    </w:p>
    <w:p w:rsidR="004E4072" w:rsidRPr="000F4DCD" w:rsidRDefault="006A00C3" w:rsidP="00711EDE">
      <w:pPr>
        <w:pStyle w:val="SubHeading"/>
        <w:spacing w:before="0" w:after="120"/>
      </w:pPr>
      <w:r>
        <w:t xml:space="preserve">Section </w:t>
      </w:r>
      <w:r w:rsidR="00B2135C" w:rsidRPr="000F4DCD">
        <w:t xml:space="preserve">2 </w:t>
      </w:r>
      <w:r w:rsidR="0008589D" w:rsidRPr="00FE6020">
        <w:t xml:space="preserve">– </w:t>
      </w:r>
      <w:r w:rsidR="00B2135C" w:rsidRPr="000F4DCD">
        <w:t>Commencement</w:t>
      </w:r>
    </w:p>
    <w:p w:rsidR="000F4DCD" w:rsidRPr="00BD1235" w:rsidRDefault="000F4DCD" w:rsidP="00CB1E48">
      <w:pPr>
        <w:spacing w:after="240"/>
      </w:pPr>
      <w:r w:rsidRPr="00BD1235">
        <w:t xml:space="preserve">This </w:t>
      </w:r>
      <w:r w:rsidR="00C448BE">
        <w:t>section</w:t>
      </w:r>
      <w:r w:rsidRPr="00BD1235">
        <w:t xml:space="preserve"> provides for the Declaration to commence </w:t>
      </w:r>
      <w:r w:rsidR="00D94EA1">
        <w:t>upon the commencement of sections 6</w:t>
      </w:r>
      <w:r w:rsidR="008A2423">
        <w:t xml:space="preserve"> to</w:t>
      </w:r>
      <w:r w:rsidR="00D94EA1">
        <w:t xml:space="preserve">112 of the </w:t>
      </w:r>
      <w:r w:rsidR="00D94EA1" w:rsidRPr="00DD4DDB">
        <w:rPr>
          <w:i/>
        </w:rPr>
        <w:t>Public Governance, Performance and Accountability Act 2013</w:t>
      </w:r>
      <w:r w:rsidR="00D94EA1">
        <w:t xml:space="preserve"> </w:t>
      </w:r>
      <w:r w:rsidR="00E65E75">
        <w:t>(</w:t>
      </w:r>
      <w:r w:rsidR="00D94EA1">
        <w:t>PGPA Act</w:t>
      </w:r>
      <w:r w:rsidR="00E65E75">
        <w:t>)</w:t>
      </w:r>
      <w:r w:rsidR="00D94EA1">
        <w:t>.</w:t>
      </w:r>
      <w:r w:rsidR="00D94EA1" w:rsidRPr="00DD4DDB">
        <w:t xml:space="preserve"> </w:t>
      </w:r>
    </w:p>
    <w:p w:rsidR="004E4072" w:rsidRPr="000F4DCD" w:rsidRDefault="006A00C3" w:rsidP="00CB1E48">
      <w:pPr>
        <w:pStyle w:val="SubHeading"/>
        <w:spacing w:before="0"/>
        <w:rPr>
          <w:i/>
        </w:rPr>
      </w:pPr>
      <w:r>
        <w:t xml:space="preserve">Section </w:t>
      </w:r>
      <w:r w:rsidR="000A012D">
        <w:t>3</w:t>
      </w:r>
      <w:r w:rsidR="00B2135C" w:rsidRPr="000F4DCD">
        <w:t xml:space="preserve"> – Amendment of </w:t>
      </w:r>
      <w:r w:rsidR="000F4DCD" w:rsidRPr="000F4DCD">
        <w:rPr>
          <w:i/>
        </w:rPr>
        <w:t>Superannuation</w:t>
      </w:r>
      <w:r w:rsidR="00B2135C" w:rsidRPr="000F4DCD">
        <w:rPr>
          <w:i/>
        </w:rPr>
        <w:t xml:space="preserve"> (PSS) Membership Inclusion Declaration 2006</w:t>
      </w:r>
    </w:p>
    <w:p w:rsidR="004E4072" w:rsidRPr="008670D0" w:rsidRDefault="008839D7" w:rsidP="00CB1E48">
      <w:pPr>
        <w:spacing w:after="240"/>
      </w:pPr>
      <w:r>
        <w:t>This</w:t>
      </w:r>
      <w:r w:rsidR="00C606C6">
        <w:t xml:space="preserve"> </w:t>
      </w:r>
      <w:r w:rsidR="008E783D">
        <w:t>section</w:t>
      </w:r>
      <w:r>
        <w:t xml:space="preserve"> </w:t>
      </w:r>
      <w:r w:rsidR="004E4072" w:rsidRPr="008670D0">
        <w:t xml:space="preserve">provides that Schedule 1 of the Declaration amends the </w:t>
      </w:r>
      <w:r w:rsidR="004E4072" w:rsidRPr="008670D0">
        <w:rPr>
          <w:i/>
          <w:iCs/>
        </w:rPr>
        <w:t xml:space="preserve">Superannuation (PSS) Membership Inclusion Declaration </w:t>
      </w:r>
      <w:r w:rsidR="00B2135C" w:rsidRPr="008670D0">
        <w:rPr>
          <w:i/>
          <w:iCs/>
        </w:rPr>
        <w:t>2006</w:t>
      </w:r>
      <w:r w:rsidR="004E4072" w:rsidRPr="008670D0">
        <w:t xml:space="preserve"> (the Principal Declaration).</w:t>
      </w:r>
    </w:p>
    <w:p w:rsidR="00B2135C" w:rsidRDefault="00B2135C" w:rsidP="00CB1E48">
      <w:pPr>
        <w:spacing w:after="240"/>
        <w:rPr>
          <w:b/>
          <w:u w:val="single"/>
        </w:rPr>
      </w:pPr>
      <w:r w:rsidRPr="008670D0">
        <w:rPr>
          <w:b/>
          <w:u w:val="single"/>
        </w:rPr>
        <w:t xml:space="preserve">Schedule 1 </w:t>
      </w:r>
      <w:r w:rsidR="00A23DD9">
        <w:rPr>
          <w:b/>
          <w:u w:val="single"/>
        </w:rPr>
        <w:t>–</w:t>
      </w:r>
      <w:r w:rsidRPr="008670D0">
        <w:rPr>
          <w:b/>
          <w:u w:val="single"/>
        </w:rPr>
        <w:t xml:space="preserve"> Amendments</w:t>
      </w:r>
    </w:p>
    <w:p w:rsidR="00C06335" w:rsidRPr="00DD4DDB" w:rsidRDefault="00A23DD9" w:rsidP="00CB1E48">
      <w:pPr>
        <w:spacing w:after="240"/>
        <w:rPr>
          <w:bCs/>
        </w:rPr>
      </w:pPr>
      <w:r>
        <w:rPr>
          <w:b/>
        </w:rPr>
        <w:t xml:space="preserve">Item 1 </w:t>
      </w:r>
      <w:r w:rsidR="00124E60">
        <w:t xml:space="preserve">deletes the reference to a </w:t>
      </w:r>
      <w:r w:rsidR="00124E60" w:rsidRPr="00EB78D3">
        <w:t xml:space="preserve">Commonwealth authority within the meaning of the </w:t>
      </w:r>
      <w:r w:rsidR="00124E60" w:rsidRPr="00EB78D3">
        <w:rPr>
          <w:i/>
        </w:rPr>
        <w:t>Commonwealth Authorities and Companies Act 1997</w:t>
      </w:r>
      <w:r w:rsidR="00124E60" w:rsidRPr="00124E60">
        <w:t xml:space="preserve"> </w:t>
      </w:r>
      <w:r w:rsidR="00D94EA1">
        <w:t xml:space="preserve">(CAC Act) </w:t>
      </w:r>
      <w:r w:rsidR="00124E60">
        <w:t xml:space="preserve">and </w:t>
      </w:r>
      <w:r w:rsidR="00124E60">
        <w:rPr>
          <w:bCs/>
        </w:rPr>
        <w:t xml:space="preserve">replaces it with </w:t>
      </w:r>
      <w:r w:rsidR="00124E60" w:rsidRPr="00D94EA1">
        <w:rPr>
          <w:bCs/>
        </w:rPr>
        <w:t xml:space="preserve">reference </w:t>
      </w:r>
      <w:r w:rsidR="000B17BC" w:rsidRPr="00D94EA1">
        <w:rPr>
          <w:bCs/>
        </w:rPr>
        <w:t>to</w:t>
      </w:r>
      <w:r w:rsidR="000B17BC" w:rsidRPr="00D94EA1">
        <w:t xml:space="preserve"> a corporate Commonwealth entity within the meaning of the</w:t>
      </w:r>
      <w:r w:rsidR="00D94EA1">
        <w:rPr>
          <w:i/>
        </w:rPr>
        <w:t xml:space="preserve"> </w:t>
      </w:r>
      <w:r w:rsidR="00D94EA1">
        <w:t>PGPA Act</w:t>
      </w:r>
      <w:r w:rsidR="00CA7A00" w:rsidRPr="00DD4DDB">
        <w:t>.</w:t>
      </w:r>
      <w:r w:rsidR="000B17BC" w:rsidRPr="00DD4DDB">
        <w:t xml:space="preserve">  </w:t>
      </w:r>
      <w:r w:rsidR="00ED4CBA">
        <w:t xml:space="preserve">This </w:t>
      </w:r>
      <w:r w:rsidR="00AF1787">
        <w:t xml:space="preserve">is a consequential </w:t>
      </w:r>
      <w:r w:rsidR="00ED4CBA">
        <w:t>amendment</w:t>
      </w:r>
      <w:r w:rsidR="00AF1787">
        <w:t xml:space="preserve"> </w:t>
      </w:r>
      <w:r w:rsidR="00D94EA1" w:rsidRPr="00D94EA1">
        <w:t xml:space="preserve">following the commencement of </w:t>
      </w:r>
      <w:r w:rsidR="009A552F">
        <w:t xml:space="preserve">the substantive </w:t>
      </w:r>
      <w:r w:rsidR="00D94EA1" w:rsidRPr="00D94EA1">
        <w:t xml:space="preserve">provisions of </w:t>
      </w:r>
      <w:r w:rsidR="00D94EA1">
        <w:t xml:space="preserve">the PGPA Act and repeal of the CAC Act. </w:t>
      </w:r>
      <w:r w:rsidR="009A552F" w:rsidRPr="009A552F">
        <w:t xml:space="preserve"> </w:t>
      </w:r>
      <w:r w:rsidR="00D94EA1" w:rsidRPr="009A552F">
        <w:t xml:space="preserve">From </w:t>
      </w:r>
      <w:r w:rsidR="006612BC">
        <w:t>th</w:t>
      </w:r>
      <w:r w:rsidR="002030E4">
        <w:t>is</w:t>
      </w:r>
      <w:r w:rsidR="006612BC">
        <w:t xml:space="preserve"> time</w:t>
      </w:r>
      <w:r w:rsidR="00D94EA1" w:rsidRPr="009A552F">
        <w:t>, the Australian Government Solicitor is a corporate Commonwealth entity under the PGPA Act.</w:t>
      </w:r>
    </w:p>
    <w:p w:rsidR="006F46F4" w:rsidRPr="00D94EA1" w:rsidRDefault="00A23DD9" w:rsidP="00C448BE">
      <w:pPr>
        <w:spacing w:line="240" w:lineRule="atLeast"/>
        <w:rPr>
          <w:b/>
          <w:szCs w:val="24"/>
        </w:rPr>
      </w:pPr>
      <w:r w:rsidRPr="00DD4DDB">
        <w:rPr>
          <w:b/>
        </w:rPr>
        <w:t xml:space="preserve">Item 2 </w:t>
      </w:r>
      <w:r w:rsidR="006F46F4" w:rsidRPr="00DD4DDB">
        <w:t xml:space="preserve">deletes the reference to a Commonwealth authority within the meaning of the </w:t>
      </w:r>
      <w:r w:rsidR="00D94EA1">
        <w:t xml:space="preserve">CAC Act </w:t>
      </w:r>
      <w:r w:rsidR="006F46F4" w:rsidRPr="00DD4DDB">
        <w:t xml:space="preserve">and </w:t>
      </w:r>
      <w:r w:rsidR="006F46F4" w:rsidRPr="00DD4DDB">
        <w:rPr>
          <w:bCs/>
        </w:rPr>
        <w:t>replaces it with reference to</w:t>
      </w:r>
      <w:r w:rsidR="006F46F4" w:rsidRPr="00DD4DDB">
        <w:t xml:space="preserve"> a corporate Commonwealth entity within the meaning of the</w:t>
      </w:r>
      <w:r w:rsidR="00D94EA1">
        <w:rPr>
          <w:i/>
        </w:rPr>
        <w:t xml:space="preserve"> </w:t>
      </w:r>
      <w:r w:rsidR="00D94EA1">
        <w:t>PGPA Act</w:t>
      </w:r>
      <w:r w:rsidR="006F46F4" w:rsidRPr="00DD4DDB">
        <w:t xml:space="preserve">.  </w:t>
      </w:r>
      <w:r w:rsidR="00AF1787">
        <w:t xml:space="preserve">This is a consequential amendment </w:t>
      </w:r>
      <w:r w:rsidR="00D94EA1" w:rsidRPr="00D94EA1">
        <w:t>following the commencement of</w:t>
      </w:r>
      <w:r w:rsidR="009A552F">
        <w:t xml:space="preserve"> the substantive </w:t>
      </w:r>
      <w:r w:rsidR="00D94EA1" w:rsidRPr="00D94EA1">
        <w:t>provisions of</w:t>
      </w:r>
      <w:r w:rsidR="00D94EA1">
        <w:t xml:space="preserve"> the</w:t>
      </w:r>
      <w:r w:rsidR="006612BC">
        <w:t xml:space="preserve"> PGPA Act and repeal of the CAC </w:t>
      </w:r>
      <w:r w:rsidR="00D94EA1">
        <w:t xml:space="preserve">Act. </w:t>
      </w:r>
      <w:r w:rsidR="00D94EA1" w:rsidRPr="009A552F">
        <w:t xml:space="preserve"> From </w:t>
      </w:r>
      <w:r w:rsidR="002030E4">
        <w:t>this</w:t>
      </w:r>
      <w:r w:rsidR="006612BC">
        <w:t xml:space="preserve"> time</w:t>
      </w:r>
      <w:r w:rsidR="00D94EA1" w:rsidRPr="009A552F">
        <w:t xml:space="preserve">, the </w:t>
      </w:r>
      <w:r w:rsidR="00D94EA1" w:rsidRPr="009A552F">
        <w:rPr>
          <w:szCs w:val="24"/>
        </w:rPr>
        <w:t>Sydney Harbour Federation Trust</w:t>
      </w:r>
      <w:r w:rsidR="00D94EA1" w:rsidRPr="009A552F">
        <w:t xml:space="preserve"> is a corporate Commonwealth entity under the PGPA Act</w:t>
      </w:r>
      <w:r w:rsidR="000B29C0" w:rsidRPr="009A552F">
        <w:t>.</w:t>
      </w:r>
      <w:r w:rsidR="00D94EA1" w:rsidRPr="009A552F">
        <w:rPr>
          <w:szCs w:val="24"/>
        </w:rPr>
        <w:t xml:space="preserve"> </w:t>
      </w:r>
    </w:p>
    <w:p w:rsidR="006F46F4" w:rsidRPr="00DD4DDB" w:rsidRDefault="006F46F4" w:rsidP="00C448BE">
      <w:pPr>
        <w:spacing w:line="240" w:lineRule="atLeast"/>
      </w:pPr>
      <w:r w:rsidRPr="00DD4DDB">
        <w:rPr>
          <w:b/>
          <w:bCs/>
        </w:rPr>
        <w:t>Item 3</w:t>
      </w:r>
      <w:r w:rsidR="009D4556" w:rsidRPr="00DD4DDB">
        <w:rPr>
          <w:bCs/>
        </w:rPr>
        <w:t xml:space="preserve"> </w:t>
      </w:r>
      <w:r w:rsidR="009D4556" w:rsidRPr="00DD4DDB">
        <w:t xml:space="preserve">deletes the reference to a Commonwealth company within the meaning of the </w:t>
      </w:r>
      <w:r w:rsidR="006612BC">
        <w:t>CAC </w:t>
      </w:r>
      <w:r w:rsidR="00D94EA1">
        <w:t xml:space="preserve">Act </w:t>
      </w:r>
      <w:r w:rsidR="009D4556" w:rsidRPr="00DD4DDB">
        <w:t xml:space="preserve">and </w:t>
      </w:r>
      <w:r w:rsidR="009D4556" w:rsidRPr="00DD4DDB">
        <w:rPr>
          <w:bCs/>
        </w:rPr>
        <w:t>replaces it with</w:t>
      </w:r>
      <w:r w:rsidR="00DD4DDB">
        <w:rPr>
          <w:bCs/>
        </w:rPr>
        <w:t xml:space="preserve"> a</w:t>
      </w:r>
      <w:r w:rsidR="009D4556" w:rsidRPr="00DD4DDB">
        <w:rPr>
          <w:bCs/>
        </w:rPr>
        <w:t xml:space="preserve"> reference to</w:t>
      </w:r>
      <w:r w:rsidR="009D4556" w:rsidRPr="00DD4DDB">
        <w:t xml:space="preserve"> a Commonwealth company within the meaning of the</w:t>
      </w:r>
      <w:r w:rsidR="00D94EA1">
        <w:rPr>
          <w:i/>
        </w:rPr>
        <w:t xml:space="preserve"> </w:t>
      </w:r>
      <w:r w:rsidR="00D94EA1">
        <w:t>PGPA Act</w:t>
      </w:r>
      <w:r w:rsidR="009D4556" w:rsidRPr="00DD4DDB">
        <w:rPr>
          <w:i/>
        </w:rPr>
        <w:t xml:space="preserve">.  </w:t>
      </w:r>
      <w:r w:rsidR="00AF1787">
        <w:t xml:space="preserve">This is a consequential amendment </w:t>
      </w:r>
      <w:r w:rsidR="000B29C0" w:rsidRPr="00D94EA1">
        <w:t xml:space="preserve">following the commencement of </w:t>
      </w:r>
      <w:r w:rsidR="009A552F">
        <w:t xml:space="preserve">the substantive </w:t>
      </w:r>
      <w:r w:rsidR="000B29C0" w:rsidRPr="00D94EA1">
        <w:t>provisions of</w:t>
      </w:r>
      <w:r w:rsidR="000B29C0">
        <w:t xml:space="preserve"> the</w:t>
      </w:r>
      <w:r w:rsidR="006612BC">
        <w:t xml:space="preserve"> PGPA Act and repeal of the CAC </w:t>
      </w:r>
      <w:r w:rsidR="000B29C0">
        <w:t xml:space="preserve">Act. </w:t>
      </w:r>
      <w:r w:rsidR="000B29C0" w:rsidRPr="009A552F">
        <w:t xml:space="preserve"> From </w:t>
      </w:r>
      <w:r w:rsidR="002030E4">
        <w:t>this</w:t>
      </w:r>
      <w:r w:rsidR="006612BC">
        <w:t xml:space="preserve"> time</w:t>
      </w:r>
      <w:r w:rsidR="000B29C0" w:rsidRPr="009A552F">
        <w:t xml:space="preserve">, the </w:t>
      </w:r>
      <w:r w:rsidR="000B29C0" w:rsidRPr="009A552F">
        <w:rPr>
          <w:szCs w:val="24"/>
        </w:rPr>
        <w:t>Australian Strategic Policy Institute Limited</w:t>
      </w:r>
      <w:r w:rsidR="000B29C0" w:rsidRPr="009A552F">
        <w:rPr>
          <w:rFonts w:ascii="Helvetica Neue" w:hAnsi="Helvetica Neue"/>
          <w:sz w:val="19"/>
          <w:szCs w:val="19"/>
        </w:rPr>
        <w:t xml:space="preserve"> </w:t>
      </w:r>
      <w:r w:rsidR="000B29C0" w:rsidRPr="009A552F">
        <w:t>is a Commonwealth company under the PGPA Act.</w:t>
      </w:r>
    </w:p>
    <w:p w:rsidR="00DD4DDB" w:rsidRPr="009D4556" w:rsidRDefault="00DD4DDB" w:rsidP="00DD4DDB">
      <w:pPr>
        <w:spacing w:line="240" w:lineRule="atLeast"/>
      </w:pPr>
      <w:r w:rsidRPr="00DD4DDB">
        <w:rPr>
          <w:b/>
          <w:bCs/>
        </w:rPr>
        <w:t>Item 4</w:t>
      </w:r>
      <w:r w:rsidRPr="00DD4DDB">
        <w:rPr>
          <w:bCs/>
        </w:rPr>
        <w:t xml:space="preserve"> </w:t>
      </w:r>
      <w:r w:rsidRPr="00DD4DDB">
        <w:t xml:space="preserve">deletes the references to </w:t>
      </w:r>
      <w:r>
        <w:t xml:space="preserve">a Commonwealth authority </w:t>
      </w:r>
      <w:r w:rsidRPr="00DD4DDB">
        <w:t xml:space="preserve">within the meaning of the </w:t>
      </w:r>
      <w:r w:rsidR="000B29C0">
        <w:t xml:space="preserve">CAC Act </w:t>
      </w:r>
      <w:r w:rsidRPr="00DD4DDB">
        <w:t xml:space="preserve">and </w:t>
      </w:r>
      <w:r w:rsidRPr="00DD4DDB">
        <w:rPr>
          <w:bCs/>
        </w:rPr>
        <w:t>replaces it with references to</w:t>
      </w:r>
      <w:r w:rsidRPr="00DD4DDB">
        <w:t xml:space="preserve"> a corporate Commonwealth entity within the meaning of the </w:t>
      </w:r>
      <w:r w:rsidR="000B29C0">
        <w:t>PGPA Act.</w:t>
      </w:r>
      <w:r w:rsidRPr="00DD4DDB">
        <w:rPr>
          <w:i/>
        </w:rPr>
        <w:t xml:space="preserve">  </w:t>
      </w:r>
      <w:r w:rsidR="00A96F9F">
        <w:t xml:space="preserve">This is a consequential amendment </w:t>
      </w:r>
      <w:r w:rsidR="000B29C0" w:rsidRPr="00D94EA1">
        <w:t>following the commencement of provisions of</w:t>
      </w:r>
      <w:r w:rsidR="000B29C0">
        <w:t xml:space="preserve"> the PGPA Act and repeal of the CAC Act.</w:t>
      </w:r>
      <w:r w:rsidR="000B29C0" w:rsidRPr="009A552F">
        <w:t xml:space="preserve">  From </w:t>
      </w:r>
      <w:r w:rsidR="006612BC">
        <w:t>th</w:t>
      </w:r>
      <w:r w:rsidR="002030E4">
        <w:t>is</w:t>
      </w:r>
      <w:r w:rsidR="006612BC">
        <w:t xml:space="preserve"> time</w:t>
      </w:r>
      <w:r w:rsidR="000B29C0" w:rsidRPr="009A552F">
        <w:t xml:space="preserve">, the </w:t>
      </w:r>
      <w:r w:rsidR="000B29C0" w:rsidRPr="009A552F">
        <w:rPr>
          <w:szCs w:val="24"/>
        </w:rPr>
        <w:t>ARPC</w:t>
      </w:r>
      <w:r w:rsidR="000B29C0" w:rsidRPr="009A552F">
        <w:t xml:space="preserve"> is a corporate Commonwealth entity under the PGPA Act</w:t>
      </w:r>
      <w:r w:rsidR="000B29C0" w:rsidRPr="009A552F">
        <w:rPr>
          <w:rFonts w:ascii="Helvetica Neue" w:hAnsi="Helvetica Neue"/>
          <w:sz w:val="19"/>
          <w:szCs w:val="19"/>
        </w:rPr>
        <w:t>.</w:t>
      </w:r>
    </w:p>
    <w:p w:rsidR="00DD4DDB" w:rsidRDefault="00DD4DDB" w:rsidP="00C448BE">
      <w:pPr>
        <w:spacing w:line="240" w:lineRule="atLeast"/>
      </w:pPr>
    </w:p>
    <w:p w:rsidR="00650896" w:rsidRDefault="00650896" w:rsidP="00C448BE">
      <w:pPr>
        <w:spacing w:after="240"/>
        <w:ind w:left="765"/>
        <w:rPr>
          <w:bCs/>
        </w:rPr>
      </w:pPr>
    </w:p>
    <w:p w:rsidR="00BE4F76" w:rsidRPr="00CB1E48" w:rsidRDefault="00BE4F76" w:rsidP="00C448BE">
      <w:pPr>
        <w:spacing w:after="240"/>
        <w:ind w:left="765"/>
        <w:rPr>
          <w:bCs/>
        </w:rPr>
      </w:pPr>
    </w:p>
    <w:p w:rsidR="000636AD" w:rsidRPr="00E4135E" w:rsidRDefault="000636AD" w:rsidP="000636AD">
      <w:pPr>
        <w:jc w:val="right"/>
      </w:pPr>
      <w:r w:rsidRPr="00807F8D">
        <w:rPr>
          <w:b/>
          <w:bCs/>
        </w:rPr>
        <w:t>ATTACHMENT</w:t>
      </w:r>
      <w:r>
        <w:rPr>
          <w:b/>
          <w:bCs/>
        </w:rPr>
        <w:t xml:space="preserve"> B</w:t>
      </w:r>
    </w:p>
    <w:p w:rsidR="00FD651D" w:rsidRDefault="008D328B" w:rsidP="000636AD">
      <w:pPr>
        <w:rPr>
          <w:bCs/>
        </w:rPr>
      </w:pPr>
      <w:r>
        <w:rPr>
          <w:bCs/>
          <w:noProof/>
          <w:lang w:eastAsia="en-AU"/>
        </w:rPr>
        <w:pict>
          <v:rect id="_x0000_s1026" style="position:absolute;margin-left:-35.3pt;margin-top:3.45pt;width:481.8pt;height:571.8pt;z-index:251657728" strokeweight="6pt">
            <v:stroke linestyle="thickBetweenThin"/>
            <v:textbox style="mso-next-textbox:#_x0000_s1026" inset="5mm,,5mm">
              <w:txbxContent>
                <w:p w:rsidR="008A2423" w:rsidRPr="00E4135E" w:rsidRDefault="008A2423" w:rsidP="000636AD">
                  <w:pPr>
                    <w:spacing w:befor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135E">
                    <w:rPr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8A2423" w:rsidRPr="00E4135E" w:rsidRDefault="008A2423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  <w:r w:rsidRPr="00E361EF">
                    <w:rPr>
                      <w:szCs w:val="24"/>
                    </w:rPr>
                    <w:t>Prepared in accordance with Part 3 of the</w:t>
                  </w:r>
                  <w:r w:rsidRPr="00E4135E">
                    <w:rPr>
                      <w:i/>
                      <w:szCs w:val="24"/>
                    </w:rPr>
                    <w:t xml:space="preserve"> Human Rights (Parliamentary Scrutiny) Act 2011</w:t>
                  </w:r>
                </w:p>
                <w:p w:rsidR="008A2423" w:rsidRPr="00E4135E" w:rsidRDefault="008A2423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8A2423" w:rsidRPr="008973EA" w:rsidRDefault="008A2423" w:rsidP="000636AD">
                  <w:pPr>
                    <w:spacing w:before="120"/>
                    <w:jc w:val="center"/>
                    <w:rPr>
                      <w:b/>
                      <w:szCs w:val="24"/>
                    </w:rPr>
                  </w:pPr>
                  <w:r w:rsidRPr="008973EA">
                    <w:rPr>
                      <w:b/>
                      <w:szCs w:val="24"/>
                    </w:rPr>
                    <w:t>Superannuation (PSS) Membership Inclusion Amendment Declaration 201</w:t>
                  </w:r>
                  <w:r>
                    <w:rPr>
                      <w:b/>
                      <w:szCs w:val="24"/>
                    </w:rPr>
                    <w:t>4</w:t>
                  </w:r>
                  <w:r w:rsidRPr="008973EA">
                    <w:rPr>
                      <w:b/>
                      <w:szCs w:val="24"/>
                    </w:rPr>
                    <w:t xml:space="preserve"> (No. </w:t>
                  </w:r>
                  <w:r>
                    <w:rPr>
                      <w:b/>
                      <w:szCs w:val="24"/>
                    </w:rPr>
                    <w:t>1</w:t>
                  </w:r>
                  <w:r w:rsidRPr="008973EA">
                    <w:rPr>
                      <w:b/>
                      <w:szCs w:val="24"/>
                    </w:rPr>
                    <w:t>)</w:t>
                  </w:r>
                </w:p>
                <w:p w:rsidR="008A2423" w:rsidRPr="00E4135E" w:rsidRDefault="008A2423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8A2423" w:rsidRPr="00E4135E" w:rsidRDefault="008A2423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</w:t>
                  </w:r>
                  <w:r w:rsidRPr="00E4135E">
                    <w:rPr>
                      <w:szCs w:val="24"/>
                    </w:rPr>
                    <w:t xml:space="preserve">Legislative Instrument is compatible with the human rights and freedoms recognised or declared in the international instruments listed in section 3 of the </w:t>
                  </w:r>
                  <w:r w:rsidRPr="00E4135E">
                    <w:rPr>
                      <w:i/>
                      <w:szCs w:val="24"/>
                    </w:rPr>
                    <w:t>Human Rights (Parliamentary Scrutiny) Act 2011</w:t>
                  </w:r>
                  <w:r w:rsidRPr="00E4135E">
                    <w:rPr>
                      <w:szCs w:val="24"/>
                    </w:rPr>
                    <w:t>.</w:t>
                  </w:r>
                </w:p>
                <w:p w:rsidR="008A2423" w:rsidRPr="00E4135E" w:rsidRDefault="008A2423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8A2423" w:rsidRPr="00E4135E" w:rsidRDefault="008A2423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8A2423" w:rsidRPr="00E4135E" w:rsidRDefault="008A2423" w:rsidP="000636AD">
                  <w:pPr>
                    <w:spacing w:before="120"/>
                    <w:jc w:val="both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Overview of the </w:t>
                  </w:r>
                  <w:r w:rsidRPr="00E4135E">
                    <w:rPr>
                      <w:b/>
                      <w:szCs w:val="24"/>
                    </w:rPr>
                    <w:t>Legislative Instrument</w:t>
                  </w:r>
                </w:p>
                <w:p w:rsidR="008A2423" w:rsidRDefault="008A2423" w:rsidP="000636AD">
                  <w:pPr>
                    <w:rPr>
                      <w:szCs w:val="24"/>
                    </w:rPr>
                  </w:pPr>
                  <w:r w:rsidRPr="00DD4DDB">
                    <w:rPr>
                      <w:szCs w:val="24"/>
                    </w:rPr>
                    <w:t xml:space="preserve">The purpose of the </w:t>
                  </w:r>
                  <w:r w:rsidRPr="00DD4DDB">
                    <w:rPr>
                      <w:i/>
                      <w:szCs w:val="24"/>
                    </w:rPr>
                    <w:t>Superannuation (PSS) Membership Inclusion Amendment Declaration 2014 (No. 1)</w:t>
                  </w:r>
                  <w:r w:rsidRPr="00DD4DDB">
                    <w:rPr>
                      <w:szCs w:val="24"/>
                    </w:rPr>
                    <w:t xml:space="preserve"> is to amend</w:t>
                  </w:r>
                  <w:r>
                    <w:rPr>
                      <w:szCs w:val="24"/>
                    </w:rPr>
                    <w:t xml:space="preserve"> the</w:t>
                  </w:r>
                  <w:r w:rsidRPr="00DD4DDB">
                    <w:rPr>
                      <w:szCs w:val="24"/>
                    </w:rPr>
                    <w:t xml:space="preserve"> </w:t>
                  </w:r>
                  <w:r w:rsidRPr="00DD4DDB">
                    <w:rPr>
                      <w:i/>
                      <w:iCs/>
                    </w:rPr>
                    <w:t>Superannuation (PSS) Membership Inclusion Declaration 2006</w:t>
                  </w:r>
                  <w:r w:rsidRPr="00DD4DDB">
                    <w:t xml:space="preserve"> </w:t>
                  </w:r>
                  <w:r>
                    <w:t xml:space="preserve">to make consequential </w:t>
                  </w:r>
                  <w:r w:rsidRPr="00DD4DDB">
                    <w:t xml:space="preserve">changes brought about </w:t>
                  </w:r>
                  <w:r>
                    <w:t xml:space="preserve">by </w:t>
                  </w:r>
                  <w:r w:rsidRPr="00DD4DDB">
                    <w:t>the commencement of the</w:t>
                  </w:r>
                  <w:r w:rsidRPr="006A7A34">
                    <w:t xml:space="preserve"> </w:t>
                  </w:r>
                  <w:r>
                    <w:t>substantive provisions of the</w:t>
                  </w:r>
                  <w:r w:rsidRPr="00DD4DDB">
                    <w:t xml:space="preserve"> </w:t>
                  </w:r>
                  <w:r w:rsidRPr="00DD4DDB">
                    <w:rPr>
                      <w:i/>
                    </w:rPr>
                    <w:t>Public Governance, Performance and Accountability Act 2013</w:t>
                  </w:r>
                  <w:r w:rsidRPr="00DD4DDB">
                    <w:rPr>
                      <w:szCs w:val="24"/>
                    </w:rPr>
                    <w:t xml:space="preserve"> </w:t>
                  </w:r>
                  <w:r w:rsidRPr="00DD4DDB">
                    <w:t>and the</w:t>
                  </w:r>
                  <w:r w:rsidRPr="006A7A34">
                    <w:t xml:space="preserve"> </w:t>
                  </w:r>
                  <w:r w:rsidRPr="00C91A46">
                    <w:t xml:space="preserve">repeal of the </w:t>
                  </w:r>
                  <w:r w:rsidRPr="00DD4DDB">
                    <w:rPr>
                      <w:i/>
                    </w:rPr>
                    <w:t>Commonwealth Authorities and</w:t>
                  </w:r>
                  <w:r w:rsidRPr="00DD4DDB">
                    <w:t xml:space="preserve"> </w:t>
                  </w:r>
                  <w:r w:rsidRPr="00DD4DDB">
                    <w:rPr>
                      <w:i/>
                    </w:rPr>
                    <w:t>Companies Act</w:t>
                  </w:r>
                  <w:r w:rsidRPr="00DD4DDB">
                    <w:t xml:space="preserve"> </w:t>
                  </w:r>
                  <w:r w:rsidRPr="00DD4DDB">
                    <w:rPr>
                      <w:i/>
                    </w:rPr>
                    <w:t>1997</w:t>
                  </w:r>
                  <w:r w:rsidRPr="00DD4DDB">
                    <w:t>.</w:t>
                  </w:r>
                </w:p>
                <w:p w:rsidR="008A2423" w:rsidRPr="00487EEB" w:rsidRDefault="008A2423" w:rsidP="000636AD">
                  <w:pPr>
                    <w:rPr>
                      <w:szCs w:val="24"/>
                    </w:rPr>
                  </w:pPr>
                </w:p>
                <w:p w:rsidR="008A2423" w:rsidRPr="00E4135E" w:rsidRDefault="008A2423" w:rsidP="000636AD">
                  <w:pPr>
                    <w:spacing w:before="120"/>
                    <w:rPr>
                      <w:b/>
                      <w:szCs w:val="24"/>
                    </w:rPr>
                  </w:pPr>
                  <w:r w:rsidRPr="00E4135E">
                    <w:rPr>
                      <w:b/>
                      <w:szCs w:val="24"/>
                    </w:rPr>
                    <w:t>Human rights implications</w:t>
                  </w:r>
                </w:p>
                <w:p w:rsidR="008A2423" w:rsidRPr="00E4135E" w:rsidRDefault="008A2423" w:rsidP="000636AD">
                  <w:pPr>
                    <w:spacing w:before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</w:t>
                  </w:r>
                  <w:r w:rsidRPr="00E4135E">
                    <w:rPr>
                      <w:szCs w:val="24"/>
                    </w:rPr>
                    <w:t>Legislative Instrument does not engage any of the applicable rights or freedoms.</w:t>
                  </w:r>
                </w:p>
                <w:p w:rsidR="008A2423" w:rsidRPr="00E4135E" w:rsidRDefault="008A2423" w:rsidP="000636AD">
                  <w:pPr>
                    <w:spacing w:before="120"/>
                    <w:rPr>
                      <w:szCs w:val="24"/>
                    </w:rPr>
                  </w:pPr>
                </w:p>
                <w:p w:rsidR="008A2423" w:rsidRPr="00E4135E" w:rsidRDefault="008A2423" w:rsidP="000636AD">
                  <w:pPr>
                    <w:spacing w:before="120"/>
                    <w:rPr>
                      <w:b/>
                      <w:szCs w:val="24"/>
                    </w:rPr>
                  </w:pPr>
                  <w:r w:rsidRPr="00E4135E">
                    <w:rPr>
                      <w:b/>
                      <w:szCs w:val="24"/>
                    </w:rPr>
                    <w:t>Conclusion</w:t>
                  </w:r>
                </w:p>
                <w:p w:rsidR="008A2423" w:rsidRDefault="008A2423" w:rsidP="000636A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</w:t>
                  </w:r>
                  <w:r w:rsidRPr="00E4135E">
                    <w:rPr>
                      <w:szCs w:val="24"/>
                    </w:rPr>
                    <w:t>Legislative Instrument is compatible with human rights as it does not raise any human</w:t>
                  </w:r>
                  <w:r>
                    <w:rPr>
                      <w:szCs w:val="24"/>
                    </w:rPr>
                    <w:t xml:space="preserve"> rights issues.</w:t>
                  </w:r>
                </w:p>
                <w:p w:rsidR="008A2423" w:rsidRPr="00E4135E" w:rsidRDefault="008A2423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8A2423" w:rsidRDefault="008A2423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8A2423" w:rsidRPr="00E4135E" w:rsidRDefault="008A2423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8A2423" w:rsidRPr="007A450D" w:rsidRDefault="008A2423" w:rsidP="000636AD">
                  <w:pPr>
                    <w:spacing w:before="120"/>
                    <w:jc w:val="center"/>
                    <w:rPr>
                      <w:b/>
                      <w:szCs w:val="24"/>
                    </w:rPr>
                  </w:pPr>
                  <w:r w:rsidRPr="007A450D">
                    <w:rPr>
                      <w:b/>
                    </w:rPr>
                    <w:t xml:space="preserve">Mathias Hubert Paul </w:t>
                  </w:r>
                  <w:proofErr w:type="spellStart"/>
                  <w:r w:rsidRPr="007A450D">
                    <w:rPr>
                      <w:b/>
                    </w:rPr>
                    <w:t>Cormann</w:t>
                  </w:r>
                  <w:proofErr w:type="spellEnd"/>
                </w:p>
                <w:p w:rsidR="008A2423" w:rsidRPr="00E4135E" w:rsidRDefault="008A2423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  <w:r w:rsidRPr="000636AD">
                    <w:rPr>
                      <w:b/>
                      <w:szCs w:val="24"/>
                    </w:rPr>
                    <w:t xml:space="preserve">Minister for Finance </w:t>
                  </w:r>
                </w:p>
                <w:p w:rsidR="008A2423" w:rsidRPr="00E4135E" w:rsidRDefault="008A2423" w:rsidP="000636AD">
                  <w:pPr>
                    <w:spacing w:before="120"/>
                    <w:jc w:val="center"/>
                  </w:pPr>
                </w:p>
              </w:txbxContent>
            </v:textbox>
          </v:rect>
        </w:pict>
      </w:r>
    </w:p>
    <w:sectPr w:rsidR="00FD651D" w:rsidSect="00C179BC">
      <w:headerReference w:type="even" r:id="rId8"/>
      <w:headerReference w:type="defaul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23" w:rsidRDefault="008A2423">
      <w:r>
        <w:separator/>
      </w:r>
    </w:p>
  </w:endnote>
  <w:endnote w:type="continuationSeparator" w:id="0">
    <w:p w:rsidR="008A2423" w:rsidRDefault="008A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23" w:rsidRDefault="008A2423">
      <w:r>
        <w:separator/>
      </w:r>
    </w:p>
  </w:footnote>
  <w:footnote w:type="continuationSeparator" w:id="0">
    <w:p w:rsidR="008A2423" w:rsidRDefault="008A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23" w:rsidRDefault="008D32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2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423">
      <w:rPr>
        <w:rStyle w:val="PageNumber"/>
        <w:noProof/>
      </w:rPr>
      <w:t>1</w:t>
    </w:r>
    <w:r>
      <w:rPr>
        <w:rStyle w:val="PageNumber"/>
      </w:rPr>
      <w:fldChar w:fldCharType="end"/>
    </w:r>
  </w:p>
  <w:p w:rsidR="008A2423" w:rsidRDefault="008A24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23" w:rsidRDefault="008D32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2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548">
      <w:rPr>
        <w:rStyle w:val="PageNumber"/>
        <w:noProof/>
      </w:rPr>
      <w:t>4</w:t>
    </w:r>
    <w:r>
      <w:rPr>
        <w:rStyle w:val="PageNumber"/>
      </w:rPr>
      <w:fldChar w:fldCharType="end"/>
    </w:r>
  </w:p>
  <w:p w:rsidR="008A2423" w:rsidRDefault="008A242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2D6"/>
    <w:multiLevelType w:val="hybridMultilevel"/>
    <w:tmpl w:val="7FCC34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17DA5"/>
    <w:multiLevelType w:val="singleLevel"/>
    <w:tmpl w:val="3D30A7D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2">
    <w:nsid w:val="1A0160DD"/>
    <w:multiLevelType w:val="singleLevel"/>
    <w:tmpl w:val="8340D518"/>
    <w:lvl w:ilvl="0">
      <w:start w:val="7"/>
      <w:numFmt w:val="decimal"/>
      <w:lvlText w:val="%1."/>
      <w:legacy w:legacy="1" w:legacySpace="0" w:legacyIndent="283"/>
      <w:lvlJc w:val="left"/>
    </w:lvl>
  </w:abstractNum>
  <w:abstractNum w:abstractNumId="3">
    <w:nsid w:val="1F484136"/>
    <w:multiLevelType w:val="hybridMultilevel"/>
    <w:tmpl w:val="02061C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090083"/>
    <w:multiLevelType w:val="singleLevel"/>
    <w:tmpl w:val="BBE603B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</w:abstractNum>
  <w:abstractNum w:abstractNumId="5">
    <w:nsid w:val="226007D0"/>
    <w:multiLevelType w:val="singleLevel"/>
    <w:tmpl w:val="CC44FCA0"/>
    <w:lvl w:ilvl="0">
      <w:start w:val="3"/>
      <w:numFmt w:val="decimal"/>
      <w:pStyle w:val="List1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276D4101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7">
    <w:nsid w:val="3ADA6E64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8">
    <w:nsid w:val="3F8E743A"/>
    <w:multiLevelType w:val="hybridMultilevel"/>
    <w:tmpl w:val="5A8049BA"/>
    <w:lvl w:ilvl="0" w:tplc="0BC83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D46B28"/>
    <w:multiLevelType w:val="singleLevel"/>
    <w:tmpl w:val="4FD2A21A"/>
    <w:lvl w:ilvl="0">
      <w:start w:val="9"/>
      <w:numFmt w:val="decimal"/>
      <w:lvlText w:val="%1."/>
      <w:legacy w:legacy="1" w:legacySpace="0" w:legacyIndent="283"/>
      <w:lvlJc w:val="left"/>
    </w:lvl>
  </w:abstractNum>
  <w:abstractNum w:abstractNumId="10">
    <w:nsid w:val="452975B4"/>
    <w:multiLevelType w:val="singleLevel"/>
    <w:tmpl w:val="8340D518"/>
    <w:lvl w:ilvl="0">
      <w:start w:val="7"/>
      <w:numFmt w:val="decimal"/>
      <w:lvlText w:val="%1."/>
      <w:legacy w:legacy="1" w:legacySpace="0" w:legacyIndent="283"/>
      <w:lvlJc w:val="left"/>
    </w:lvl>
  </w:abstractNum>
  <w:abstractNum w:abstractNumId="11">
    <w:nsid w:val="4AAD0593"/>
    <w:multiLevelType w:val="singleLevel"/>
    <w:tmpl w:val="CBBEEE2C"/>
    <w:lvl w:ilvl="0">
      <w:start w:val="1"/>
      <w:numFmt w:val="lowerRoman"/>
      <w:pStyle w:val="Listi"/>
      <w:lvlText w:val="(%1)"/>
      <w:lvlJc w:val="left"/>
      <w:pPr>
        <w:tabs>
          <w:tab w:val="num" w:pos="1060"/>
        </w:tabs>
        <w:ind w:left="737" w:hanging="397"/>
      </w:pPr>
    </w:lvl>
  </w:abstractNum>
  <w:abstractNum w:abstractNumId="12">
    <w:nsid w:val="4F8A380D"/>
    <w:multiLevelType w:val="singleLevel"/>
    <w:tmpl w:val="B7606580"/>
    <w:lvl w:ilvl="0">
      <w:start w:val="1"/>
      <w:numFmt w:val="bullet"/>
      <w:pStyle w:val="Colonpoint"/>
      <w:lvlText w:val=":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</w:rPr>
    </w:lvl>
  </w:abstractNum>
  <w:abstractNum w:abstractNumId="13">
    <w:nsid w:val="504A6CC5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4">
    <w:nsid w:val="50FF0D16"/>
    <w:multiLevelType w:val="hybridMultilevel"/>
    <w:tmpl w:val="7C5EC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201305A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6">
    <w:nsid w:val="520549F0"/>
    <w:multiLevelType w:val="hybridMultilevel"/>
    <w:tmpl w:val="61927BDE"/>
    <w:lvl w:ilvl="0" w:tplc="0BC8381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2AE114F"/>
    <w:multiLevelType w:val="hybridMultilevel"/>
    <w:tmpl w:val="7F404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2F82A1E"/>
    <w:multiLevelType w:val="singleLevel"/>
    <w:tmpl w:val="191EEAD8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54AD28BC"/>
    <w:multiLevelType w:val="singleLevel"/>
    <w:tmpl w:val="D0E6AF1C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20">
    <w:nsid w:val="54F44B8D"/>
    <w:multiLevelType w:val="hybridMultilevel"/>
    <w:tmpl w:val="47CA88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9E72E9F"/>
    <w:multiLevelType w:val="singleLevel"/>
    <w:tmpl w:val="632AD85A"/>
    <w:lvl w:ilvl="0">
      <w:start w:val="1"/>
      <w:numFmt w:val="bullet"/>
      <w:lvlText w:val="–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/>
        <w:i w:val="0"/>
      </w:rPr>
    </w:lvl>
  </w:abstractNum>
  <w:abstractNum w:abstractNumId="22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23">
    <w:nsid w:val="5EF77814"/>
    <w:multiLevelType w:val="singleLevel"/>
    <w:tmpl w:val="A7F261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4">
    <w:nsid w:val="60561778"/>
    <w:multiLevelType w:val="singleLevel"/>
    <w:tmpl w:val="AC18B6A2"/>
    <w:lvl w:ilvl="0">
      <w:start w:val="1"/>
      <w:numFmt w:val="bullet"/>
      <w:pStyle w:val="Dash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25">
    <w:nsid w:val="63730F10"/>
    <w:multiLevelType w:val="hybridMultilevel"/>
    <w:tmpl w:val="248EC1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68B4136"/>
    <w:multiLevelType w:val="singleLevel"/>
    <w:tmpl w:val="F2CE8894"/>
    <w:lvl w:ilvl="0">
      <w:start w:val="5"/>
      <w:numFmt w:val="decimal"/>
      <w:lvlText w:val="%1."/>
      <w:legacy w:legacy="1" w:legacySpace="0" w:legacyIndent="283"/>
      <w:lvlJc w:val="left"/>
    </w:lvl>
  </w:abstractNum>
  <w:abstractNum w:abstractNumId="27">
    <w:nsid w:val="68C3597E"/>
    <w:multiLevelType w:val="singleLevel"/>
    <w:tmpl w:val="F1362B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6AF87225"/>
    <w:multiLevelType w:val="hybridMultilevel"/>
    <w:tmpl w:val="683086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4E0839"/>
    <w:multiLevelType w:val="singleLevel"/>
    <w:tmpl w:val="300A7396"/>
    <w:lvl w:ilvl="0">
      <w:start w:val="1"/>
      <w:numFmt w:val="lowerLetter"/>
      <w:pStyle w:val="List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67E1BAE"/>
    <w:multiLevelType w:val="singleLevel"/>
    <w:tmpl w:val="8340D518"/>
    <w:lvl w:ilvl="0">
      <w:start w:val="5"/>
      <w:numFmt w:val="decimal"/>
      <w:lvlText w:val="%1."/>
      <w:legacy w:legacy="1" w:legacySpace="0" w:legacyIndent="283"/>
      <w:lvlJc w:val="left"/>
    </w:lvl>
  </w:abstractNum>
  <w:abstractNum w:abstractNumId="31">
    <w:nsid w:val="7E177B91"/>
    <w:multiLevelType w:val="hybridMultilevel"/>
    <w:tmpl w:val="1498609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9"/>
  </w:num>
  <w:num w:numId="4">
    <w:abstractNumId w:val="19"/>
  </w:num>
  <w:num w:numId="5">
    <w:abstractNumId w:val="12"/>
  </w:num>
  <w:num w:numId="6">
    <w:abstractNumId w:val="5"/>
  </w:num>
  <w:num w:numId="7">
    <w:abstractNumId w:val="12"/>
  </w:num>
  <w:num w:numId="8">
    <w:abstractNumId w:val="12"/>
  </w:num>
  <w:num w:numId="9">
    <w:abstractNumId w:val="1"/>
  </w:num>
  <w:num w:numId="10">
    <w:abstractNumId w:val="29"/>
  </w:num>
  <w:num w:numId="11">
    <w:abstractNumId w:val="24"/>
  </w:num>
  <w:num w:numId="12">
    <w:abstractNumId w:val="11"/>
  </w:num>
  <w:num w:numId="13">
    <w:abstractNumId w:val="21"/>
  </w:num>
  <w:num w:numId="14">
    <w:abstractNumId w:val="13"/>
  </w:num>
  <w:num w:numId="15">
    <w:abstractNumId w:val="15"/>
  </w:num>
  <w:num w:numId="16">
    <w:abstractNumId w:val="26"/>
  </w:num>
  <w:num w:numId="17">
    <w:abstractNumId w:val="2"/>
  </w:num>
  <w:num w:numId="18">
    <w:abstractNumId w:val="2"/>
    <w:lvlOverride w:ilvl="0">
      <w:lvl w:ilvl="0">
        <w:start w:val="5"/>
        <w:numFmt w:val="decimal"/>
        <w:lvlText w:val="%1."/>
        <w:legacy w:legacy="1" w:legacySpace="0" w:legacyIndent="283"/>
        <w:lvlJc w:val="left"/>
      </w:lvl>
    </w:lvlOverride>
  </w:num>
  <w:num w:numId="19">
    <w:abstractNumId w:val="7"/>
  </w:num>
  <w:num w:numId="20">
    <w:abstractNumId w:val="6"/>
  </w:num>
  <w:num w:numId="21">
    <w:abstractNumId w:val="30"/>
  </w:num>
  <w:num w:numId="22">
    <w:abstractNumId w:val="10"/>
  </w:num>
  <w:num w:numId="23">
    <w:abstractNumId w:val="9"/>
  </w:num>
  <w:num w:numId="24">
    <w:abstractNumId w:val="5"/>
  </w:num>
  <w:num w:numId="25">
    <w:abstractNumId w:val="11"/>
    <w:lvlOverride w:ilvl="0">
      <w:startOverride w:val="1"/>
    </w:lvlOverride>
  </w:num>
  <w:num w:numId="26">
    <w:abstractNumId w:val="11"/>
  </w:num>
  <w:num w:numId="27">
    <w:abstractNumId w:val="11"/>
  </w:num>
  <w:num w:numId="28">
    <w:abstractNumId w:val="24"/>
  </w:num>
  <w:num w:numId="29">
    <w:abstractNumId w:val="27"/>
  </w:num>
  <w:num w:numId="30">
    <w:abstractNumId w:val="5"/>
  </w:num>
  <w:num w:numId="31">
    <w:abstractNumId w:val="5"/>
  </w:num>
  <w:num w:numId="32">
    <w:abstractNumId w:val="5"/>
  </w:num>
  <w:num w:numId="33">
    <w:abstractNumId w:val="4"/>
  </w:num>
  <w:num w:numId="34">
    <w:abstractNumId w:val="18"/>
  </w:num>
  <w:num w:numId="35">
    <w:abstractNumId w:val="5"/>
  </w:num>
  <w:num w:numId="36">
    <w:abstractNumId w:val="3"/>
  </w:num>
  <w:num w:numId="37">
    <w:abstractNumId w:val="17"/>
  </w:num>
  <w:num w:numId="38">
    <w:abstractNumId w:val="14"/>
  </w:num>
  <w:num w:numId="39">
    <w:abstractNumId w:val="25"/>
  </w:num>
  <w:num w:numId="40">
    <w:abstractNumId w:val="0"/>
  </w:num>
  <w:num w:numId="41">
    <w:abstractNumId w:val="16"/>
  </w:num>
  <w:num w:numId="42">
    <w:abstractNumId w:val="8"/>
  </w:num>
  <w:num w:numId="43">
    <w:abstractNumId w:val="28"/>
  </w:num>
  <w:num w:numId="44">
    <w:abstractNumId w:val="31"/>
  </w:num>
  <w:num w:numId="45">
    <w:abstractNumId w:val="20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A77E95"/>
    <w:rsid w:val="000024EE"/>
    <w:rsid w:val="00023319"/>
    <w:rsid w:val="00031681"/>
    <w:rsid w:val="0004073A"/>
    <w:rsid w:val="00043EA5"/>
    <w:rsid w:val="00047AC3"/>
    <w:rsid w:val="000636AD"/>
    <w:rsid w:val="00065F65"/>
    <w:rsid w:val="00072A3D"/>
    <w:rsid w:val="0008175A"/>
    <w:rsid w:val="0008589D"/>
    <w:rsid w:val="000A012D"/>
    <w:rsid w:val="000A798A"/>
    <w:rsid w:val="000B17BC"/>
    <w:rsid w:val="000B29C0"/>
    <w:rsid w:val="000D1EC9"/>
    <w:rsid w:val="000E04E7"/>
    <w:rsid w:val="000F4DCD"/>
    <w:rsid w:val="00120F6A"/>
    <w:rsid w:val="00124E60"/>
    <w:rsid w:val="00133D18"/>
    <w:rsid w:val="00141AD1"/>
    <w:rsid w:val="001428CD"/>
    <w:rsid w:val="00161D29"/>
    <w:rsid w:val="001643BE"/>
    <w:rsid w:val="00170919"/>
    <w:rsid w:val="001A6281"/>
    <w:rsid w:val="001B3071"/>
    <w:rsid w:val="001B7FE6"/>
    <w:rsid w:val="001C769D"/>
    <w:rsid w:val="001D10CC"/>
    <w:rsid w:val="001E0BA1"/>
    <w:rsid w:val="001F4BE5"/>
    <w:rsid w:val="002030E4"/>
    <w:rsid w:val="002043FC"/>
    <w:rsid w:val="00207E71"/>
    <w:rsid w:val="00215B2B"/>
    <w:rsid w:val="00221F44"/>
    <w:rsid w:val="00226D72"/>
    <w:rsid w:val="00261874"/>
    <w:rsid w:val="00265BE2"/>
    <w:rsid w:val="00273879"/>
    <w:rsid w:val="002A05FE"/>
    <w:rsid w:val="002A11AD"/>
    <w:rsid w:val="002F6391"/>
    <w:rsid w:val="0030762A"/>
    <w:rsid w:val="003145C3"/>
    <w:rsid w:val="00334B93"/>
    <w:rsid w:val="0033615A"/>
    <w:rsid w:val="00345E33"/>
    <w:rsid w:val="00346F4F"/>
    <w:rsid w:val="00355F9D"/>
    <w:rsid w:val="00365412"/>
    <w:rsid w:val="003669AC"/>
    <w:rsid w:val="003A409D"/>
    <w:rsid w:val="003A6F85"/>
    <w:rsid w:val="003B38E8"/>
    <w:rsid w:val="003C2548"/>
    <w:rsid w:val="003D57FB"/>
    <w:rsid w:val="003D7886"/>
    <w:rsid w:val="00401BB3"/>
    <w:rsid w:val="0040740B"/>
    <w:rsid w:val="004439A7"/>
    <w:rsid w:val="00451296"/>
    <w:rsid w:val="004534DF"/>
    <w:rsid w:val="0046767D"/>
    <w:rsid w:val="004745B5"/>
    <w:rsid w:val="00476135"/>
    <w:rsid w:val="004A2DD0"/>
    <w:rsid w:val="004B4124"/>
    <w:rsid w:val="004C2F3A"/>
    <w:rsid w:val="004D0CC5"/>
    <w:rsid w:val="004E4072"/>
    <w:rsid w:val="004E434A"/>
    <w:rsid w:val="004E5C45"/>
    <w:rsid w:val="004F4F3A"/>
    <w:rsid w:val="00500DD7"/>
    <w:rsid w:val="00524E95"/>
    <w:rsid w:val="00532124"/>
    <w:rsid w:val="00550254"/>
    <w:rsid w:val="005758C5"/>
    <w:rsid w:val="00585FF6"/>
    <w:rsid w:val="00593C83"/>
    <w:rsid w:val="005A365E"/>
    <w:rsid w:val="005A47B2"/>
    <w:rsid w:val="005B1FE8"/>
    <w:rsid w:val="005B5408"/>
    <w:rsid w:val="005C07EB"/>
    <w:rsid w:val="005C59FA"/>
    <w:rsid w:val="005E3012"/>
    <w:rsid w:val="005F5ECE"/>
    <w:rsid w:val="00611CA1"/>
    <w:rsid w:val="0061635D"/>
    <w:rsid w:val="0062605E"/>
    <w:rsid w:val="00632350"/>
    <w:rsid w:val="00633116"/>
    <w:rsid w:val="00643751"/>
    <w:rsid w:val="00650896"/>
    <w:rsid w:val="00651B38"/>
    <w:rsid w:val="006612BC"/>
    <w:rsid w:val="0066192D"/>
    <w:rsid w:val="006A00C3"/>
    <w:rsid w:val="006A7A34"/>
    <w:rsid w:val="006C4D2D"/>
    <w:rsid w:val="006C788A"/>
    <w:rsid w:val="006D0490"/>
    <w:rsid w:val="006E0D5D"/>
    <w:rsid w:val="006E19F9"/>
    <w:rsid w:val="006E3BE9"/>
    <w:rsid w:val="006F2908"/>
    <w:rsid w:val="006F46F4"/>
    <w:rsid w:val="006F624D"/>
    <w:rsid w:val="00701178"/>
    <w:rsid w:val="00706C32"/>
    <w:rsid w:val="00711EDE"/>
    <w:rsid w:val="00726CDC"/>
    <w:rsid w:val="00743303"/>
    <w:rsid w:val="007601F5"/>
    <w:rsid w:val="00762D86"/>
    <w:rsid w:val="0076369C"/>
    <w:rsid w:val="00766348"/>
    <w:rsid w:val="00772D98"/>
    <w:rsid w:val="00773995"/>
    <w:rsid w:val="00775DAF"/>
    <w:rsid w:val="00782CD8"/>
    <w:rsid w:val="007A450D"/>
    <w:rsid w:val="007C1868"/>
    <w:rsid w:val="007E0937"/>
    <w:rsid w:val="00812504"/>
    <w:rsid w:val="00820C54"/>
    <w:rsid w:val="00830013"/>
    <w:rsid w:val="00844184"/>
    <w:rsid w:val="0085165B"/>
    <w:rsid w:val="008670D0"/>
    <w:rsid w:val="008839D7"/>
    <w:rsid w:val="00884129"/>
    <w:rsid w:val="00890A97"/>
    <w:rsid w:val="008926E3"/>
    <w:rsid w:val="008A2243"/>
    <w:rsid w:val="008A2423"/>
    <w:rsid w:val="008A362D"/>
    <w:rsid w:val="008A4F49"/>
    <w:rsid w:val="008A5B58"/>
    <w:rsid w:val="008B665A"/>
    <w:rsid w:val="008C083F"/>
    <w:rsid w:val="008D328B"/>
    <w:rsid w:val="008E783D"/>
    <w:rsid w:val="00913F7A"/>
    <w:rsid w:val="00914AFD"/>
    <w:rsid w:val="0092267C"/>
    <w:rsid w:val="009233E7"/>
    <w:rsid w:val="009719CD"/>
    <w:rsid w:val="0097243B"/>
    <w:rsid w:val="00981CB1"/>
    <w:rsid w:val="00993857"/>
    <w:rsid w:val="009A552F"/>
    <w:rsid w:val="009D4556"/>
    <w:rsid w:val="009F3AEC"/>
    <w:rsid w:val="00A0397D"/>
    <w:rsid w:val="00A108E2"/>
    <w:rsid w:val="00A21814"/>
    <w:rsid w:val="00A23DD9"/>
    <w:rsid w:val="00A2726E"/>
    <w:rsid w:val="00A31347"/>
    <w:rsid w:val="00A537E2"/>
    <w:rsid w:val="00A71D38"/>
    <w:rsid w:val="00A77E95"/>
    <w:rsid w:val="00A821E1"/>
    <w:rsid w:val="00A85FC4"/>
    <w:rsid w:val="00A961B8"/>
    <w:rsid w:val="00A96F9F"/>
    <w:rsid w:val="00AA17FA"/>
    <w:rsid w:val="00AC118C"/>
    <w:rsid w:val="00AC1842"/>
    <w:rsid w:val="00AD3B09"/>
    <w:rsid w:val="00AD576F"/>
    <w:rsid w:val="00AD75BE"/>
    <w:rsid w:val="00AE110A"/>
    <w:rsid w:val="00AE2AFE"/>
    <w:rsid w:val="00AF1787"/>
    <w:rsid w:val="00AF7578"/>
    <w:rsid w:val="00B07311"/>
    <w:rsid w:val="00B07444"/>
    <w:rsid w:val="00B10160"/>
    <w:rsid w:val="00B2135C"/>
    <w:rsid w:val="00B32D97"/>
    <w:rsid w:val="00B44006"/>
    <w:rsid w:val="00B52AF1"/>
    <w:rsid w:val="00B611CB"/>
    <w:rsid w:val="00B659AA"/>
    <w:rsid w:val="00B817C4"/>
    <w:rsid w:val="00B82113"/>
    <w:rsid w:val="00B94320"/>
    <w:rsid w:val="00BA65A3"/>
    <w:rsid w:val="00BA7592"/>
    <w:rsid w:val="00BE4F76"/>
    <w:rsid w:val="00C0281D"/>
    <w:rsid w:val="00C047CD"/>
    <w:rsid w:val="00C06335"/>
    <w:rsid w:val="00C179BC"/>
    <w:rsid w:val="00C34AFC"/>
    <w:rsid w:val="00C44405"/>
    <w:rsid w:val="00C448BE"/>
    <w:rsid w:val="00C606C6"/>
    <w:rsid w:val="00C64030"/>
    <w:rsid w:val="00C75E27"/>
    <w:rsid w:val="00C76379"/>
    <w:rsid w:val="00C8189C"/>
    <w:rsid w:val="00C91A46"/>
    <w:rsid w:val="00CA7A00"/>
    <w:rsid w:val="00CB1E48"/>
    <w:rsid w:val="00CB3D3A"/>
    <w:rsid w:val="00CC5697"/>
    <w:rsid w:val="00CC6E68"/>
    <w:rsid w:val="00CC78D5"/>
    <w:rsid w:val="00D22A45"/>
    <w:rsid w:val="00D27899"/>
    <w:rsid w:val="00D32F86"/>
    <w:rsid w:val="00D73DD1"/>
    <w:rsid w:val="00D94EA1"/>
    <w:rsid w:val="00DC132C"/>
    <w:rsid w:val="00DD4DDB"/>
    <w:rsid w:val="00E07E61"/>
    <w:rsid w:val="00E137D0"/>
    <w:rsid w:val="00E17352"/>
    <w:rsid w:val="00E361EF"/>
    <w:rsid w:val="00E47941"/>
    <w:rsid w:val="00E64C2F"/>
    <w:rsid w:val="00E65E75"/>
    <w:rsid w:val="00E67528"/>
    <w:rsid w:val="00E86435"/>
    <w:rsid w:val="00E93894"/>
    <w:rsid w:val="00EA749F"/>
    <w:rsid w:val="00EB02A0"/>
    <w:rsid w:val="00EB6756"/>
    <w:rsid w:val="00ED4CBA"/>
    <w:rsid w:val="00EF1927"/>
    <w:rsid w:val="00F04F3A"/>
    <w:rsid w:val="00F27102"/>
    <w:rsid w:val="00F368A8"/>
    <w:rsid w:val="00F67E5D"/>
    <w:rsid w:val="00F80144"/>
    <w:rsid w:val="00F80B54"/>
    <w:rsid w:val="00FB533A"/>
    <w:rsid w:val="00FC3629"/>
    <w:rsid w:val="00FD651D"/>
    <w:rsid w:val="00FE06DF"/>
    <w:rsid w:val="00FE5C82"/>
    <w:rsid w:val="00FE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9BC"/>
    <w:pPr>
      <w:spacing w:after="120"/>
    </w:pPr>
    <w:rPr>
      <w:sz w:val="24"/>
      <w:lang w:eastAsia="en-US"/>
    </w:rPr>
  </w:style>
  <w:style w:type="paragraph" w:styleId="Heading1">
    <w:name w:val="heading 1"/>
    <w:aliases w:val="Centre Head"/>
    <w:next w:val="LeftHeading"/>
    <w:qFormat/>
    <w:rsid w:val="00C179BC"/>
    <w:pPr>
      <w:spacing w:before="240" w:after="240"/>
      <w:jc w:val="center"/>
      <w:outlineLvl w:val="0"/>
    </w:pPr>
    <w:rPr>
      <w:rFonts w:ascii="Arial" w:hAnsi="Arial"/>
      <w:b/>
      <w:caps/>
      <w:color w:val="000000"/>
      <w:sz w:val="28"/>
      <w:lang w:eastAsia="en-US"/>
    </w:rPr>
  </w:style>
  <w:style w:type="paragraph" w:styleId="Heading2">
    <w:name w:val="heading 2"/>
    <w:basedOn w:val="Normal"/>
    <w:next w:val="Normal"/>
    <w:qFormat/>
    <w:rsid w:val="00C179B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179BC"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C179B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Heading">
    <w:name w:val="Left Heading"/>
    <w:next w:val="SubHeading"/>
    <w:rsid w:val="00C179BC"/>
    <w:pPr>
      <w:spacing w:before="120" w:after="240"/>
    </w:pPr>
    <w:rPr>
      <w:rFonts w:ascii="Arial" w:hAnsi="Arial"/>
      <w:b/>
      <w:caps/>
      <w:color w:val="000000"/>
      <w:sz w:val="24"/>
      <w:lang w:eastAsia="en-US"/>
    </w:rPr>
  </w:style>
  <w:style w:type="paragraph" w:customStyle="1" w:styleId="SubHeading">
    <w:name w:val="Sub Heading"/>
    <w:next w:val="Normal"/>
    <w:rsid w:val="00C179BC"/>
    <w:pPr>
      <w:keepNext/>
      <w:spacing w:before="120" w:after="240"/>
    </w:pPr>
    <w:rPr>
      <w:b/>
      <w:color w:val="000000"/>
      <w:sz w:val="24"/>
      <w:u w:val="single"/>
      <w:lang w:eastAsia="en-US"/>
    </w:rPr>
  </w:style>
  <w:style w:type="paragraph" w:customStyle="1" w:styleId="List1">
    <w:name w:val="List 1."/>
    <w:rsid w:val="00C179BC"/>
    <w:pPr>
      <w:numPr>
        <w:numId w:val="6"/>
      </w:numPr>
      <w:spacing w:after="120"/>
    </w:pPr>
    <w:rPr>
      <w:color w:val="000000"/>
      <w:sz w:val="24"/>
      <w:lang w:eastAsia="en-US"/>
    </w:rPr>
  </w:style>
  <w:style w:type="paragraph" w:styleId="BodyText">
    <w:name w:val="Body Text"/>
    <w:rsid w:val="00C179BC"/>
    <w:pPr>
      <w:tabs>
        <w:tab w:val="left" w:pos="912"/>
        <w:tab w:val="left" w:pos="2265"/>
        <w:tab w:val="left" w:pos="3975"/>
        <w:tab w:val="left" w:pos="5100"/>
        <w:tab w:val="decimal" w:pos="6384"/>
      </w:tabs>
      <w:spacing w:after="120"/>
    </w:pPr>
    <w:rPr>
      <w:color w:val="000000"/>
      <w:sz w:val="24"/>
      <w:lang w:eastAsia="en-US"/>
    </w:rPr>
  </w:style>
  <w:style w:type="paragraph" w:customStyle="1" w:styleId="Comment">
    <w:name w:val="Comment"/>
    <w:rsid w:val="00C179BC"/>
    <w:pPr>
      <w:spacing w:after="120"/>
      <w:ind w:left="680" w:hanging="680"/>
    </w:pPr>
    <w:rPr>
      <w:color w:val="000000"/>
      <w:sz w:val="24"/>
      <w:lang w:eastAsia="en-US"/>
    </w:rPr>
  </w:style>
  <w:style w:type="paragraph" w:customStyle="1" w:styleId="Comment2">
    <w:name w:val="Comment2"/>
    <w:rsid w:val="00C179BC"/>
    <w:pPr>
      <w:spacing w:after="120"/>
      <w:ind w:left="340"/>
    </w:pPr>
    <w:rPr>
      <w:color w:val="000000"/>
      <w:sz w:val="24"/>
      <w:lang w:eastAsia="en-US"/>
    </w:rPr>
  </w:style>
  <w:style w:type="paragraph" w:customStyle="1" w:styleId="Italicsubheading">
    <w:name w:val="Italic subheading"/>
    <w:basedOn w:val="BodyText"/>
    <w:next w:val="List1"/>
    <w:rsid w:val="00C179BC"/>
    <w:pPr>
      <w:spacing w:before="120" w:after="240"/>
    </w:pPr>
    <w:rPr>
      <w:i/>
    </w:rPr>
  </w:style>
  <w:style w:type="paragraph" w:customStyle="1" w:styleId="Para1">
    <w:name w:val="Para 1"/>
    <w:next w:val="List1"/>
    <w:autoRedefine/>
    <w:rsid w:val="00C179BC"/>
    <w:pPr>
      <w:tabs>
        <w:tab w:val="left" w:pos="912"/>
        <w:tab w:val="left" w:pos="2265"/>
        <w:tab w:val="left" w:pos="3975"/>
        <w:tab w:val="left" w:pos="5100"/>
        <w:tab w:val="decimal" w:pos="6384"/>
      </w:tabs>
      <w:spacing w:after="120"/>
    </w:pPr>
    <w:rPr>
      <w:color w:val="000000"/>
      <w:sz w:val="24"/>
      <w:lang w:eastAsia="en-US"/>
    </w:rPr>
  </w:style>
  <w:style w:type="paragraph" w:customStyle="1" w:styleId="Colonpoint">
    <w:name w:val="Colon point"/>
    <w:basedOn w:val="Normal"/>
    <w:rsid w:val="00C179BC"/>
    <w:pPr>
      <w:widowControl w:val="0"/>
      <w:numPr>
        <w:numId w:val="8"/>
      </w:numPr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</w:pPr>
    <w:rPr>
      <w:snapToGrid w:val="0"/>
      <w:color w:val="000000"/>
    </w:rPr>
  </w:style>
  <w:style w:type="paragraph" w:customStyle="1" w:styleId="Listi">
    <w:name w:val="List (i)"/>
    <w:rsid w:val="00C179BC"/>
    <w:pPr>
      <w:numPr>
        <w:numId w:val="27"/>
      </w:numPr>
      <w:tabs>
        <w:tab w:val="left" w:pos="680"/>
        <w:tab w:val="left" w:pos="835"/>
        <w:tab w:val="left" w:pos="1706"/>
        <w:tab w:val="left" w:pos="2562"/>
        <w:tab w:val="left" w:pos="3433"/>
        <w:tab w:val="left" w:pos="4304"/>
        <w:tab w:val="left" w:pos="5115"/>
      </w:tabs>
      <w:spacing w:after="120"/>
    </w:pPr>
    <w:rPr>
      <w:color w:val="000000"/>
      <w:sz w:val="24"/>
      <w:lang w:eastAsia="en-US"/>
    </w:rPr>
  </w:style>
  <w:style w:type="paragraph" w:customStyle="1" w:styleId="Dot">
    <w:name w:val="Dot"/>
    <w:rsid w:val="00C179BC"/>
    <w:pPr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</w:tabs>
      <w:spacing w:after="120"/>
    </w:pPr>
    <w:rPr>
      <w:color w:val="000000"/>
      <w:sz w:val="24"/>
      <w:lang w:eastAsia="en-US"/>
    </w:rPr>
  </w:style>
  <w:style w:type="paragraph" w:customStyle="1" w:styleId="Lista">
    <w:name w:val="List (a)"/>
    <w:rsid w:val="00C179BC"/>
    <w:pPr>
      <w:numPr>
        <w:numId w:val="10"/>
      </w:numPr>
      <w:spacing w:after="120"/>
    </w:pPr>
    <w:rPr>
      <w:color w:val="000000"/>
      <w:sz w:val="24"/>
      <w:lang w:eastAsia="en-US"/>
    </w:rPr>
  </w:style>
  <w:style w:type="paragraph" w:customStyle="1" w:styleId="Footer1">
    <w:name w:val="Footer1"/>
    <w:rsid w:val="00C179BC"/>
    <w:rPr>
      <w:color w:val="000000"/>
      <w:lang w:eastAsia="en-US"/>
    </w:rPr>
  </w:style>
  <w:style w:type="paragraph" w:customStyle="1" w:styleId="Attachment">
    <w:name w:val="Attachment"/>
    <w:next w:val="LeftHeading"/>
    <w:rsid w:val="00C179BC"/>
    <w:pPr>
      <w:spacing w:after="240"/>
      <w:jc w:val="right"/>
    </w:pPr>
    <w:rPr>
      <w:b/>
      <w:caps/>
      <w:color w:val="000000"/>
      <w:sz w:val="24"/>
      <w:lang w:eastAsia="en-US"/>
    </w:rPr>
  </w:style>
  <w:style w:type="paragraph" w:customStyle="1" w:styleId="BodySingle">
    <w:name w:val="Body Single"/>
    <w:rsid w:val="00C179BC"/>
    <w:rPr>
      <w:color w:val="000000"/>
      <w:sz w:val="24"/>
      <w:lang w:eastAsia="en-US"/>
    </w:rPr>
  </w:style>
  <w:style w:type="paragraph" w:customStyle="1" w:styleId="ResetParaNo">
    <w:name w:val="Reset Para No"/>
    <w:rsid w:val="00C179BC"/>
    <w:rPr>
      <w:color w:val="000000"/>
      <w:sz w:val="24"/>
      <w:lang w:eastAsia="en-US"/>
    </w:rPr>
  </w:style>
  <w:style w:type="paragraph" w:styleId="BodyTextIndent">
    <w:name w:val="Body Text Indent"/>
    <w:basedOn w:val="Normal"/>
    <w:rsid w:val="00C179BC"/>
    <w:pPr>
      <w:spacing w:after="0"/>
      <w:ind w:left="680" w:hanging="680"/>
    </w:pPr>
    <w:rPr>
      <w:rFonts w:ascii="Arial" w:hAnsi="Arial"/>
    </w:rPr>
  </w:style>
  <w:style w:type="paragraph" w:customStyle="1" w:styleId="Dash">
    <w:name w:val="Dash"/>
    <w:basedOn w:val="Normal"/>
    <w:rsid w:val="00C179BC"/>
    <w:pPr>
      <w:numPr>
        <w:numId w:val="28"/>
      </w:numPr>
    </w:pPr>
  </w:style>
  <w:style w:type="paragraph" w:styleId="Header">
    <w:name w:val="header"/>
    <w:basedOn w:val="Normal"/>
    <w:rsid w:val="00C179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79BC"/>
  </w:style>
  <w:style w:type="paragraph" w:customStyle="1" w:styleId="CentreHead2">
    <w:name w:val="Centre Head 2"/>
    <w:next w:val="LeftHeading"/>
    <w:autoRedefine/>
    <w:rsid w:val="00C179BC"/>
    <w:pPr>
      <w:spacing w:after="120"/>
      <w:jc w:val="center"/>
    </w:pPr>
    <w:rPr>
      <w:rFonts w:ascii="Arial" w:hAnsi="Arial"/>
      <w:b/>
      <w:caps/>
      <w:color w:val="000000"/>
      <w:sz w:val="26"/>
      <w:lang w:eastAsia="en-US"/>
    </w:rPr>
  </w:style>
  <w:style w:type="paragraph" w:styleId="Footer">
    <w:name w:val="footer"/>
    <w:basedOn w:val="Normal"/>
    <w:rsid w:val="00C179B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C179BC"/>
    <w:rPr>
      <w:i/>
      <w:iCs/>
    </w:rPr>
  </w:style>
  <w:style w:type="paragraph" w:customStyle="1" w:styleId="HeaderBoldEven">
    <w:name w:val="HeaderBoldEven"/>
    <w:basedOn w:val="Normal"/>
    <w:rsid w:val="00772D98"/>
    <w:pPr>
      <w:spacing w:before="120" w:after="60"/>
    </w:pPr>
    <w:rPr>
      <w:rFonts w:ascii="Arial" w:hAnsi="Arial"/>
      <w:b/>
      <w:sz w:val="20"/>
      <w:szCs w:val="24"/>
    </w:rPr>
  </w:style>
  <w:style w:type="paragraph" w:customStyle="1" w:styleId="HeaderBoldOdd">
    <w:name w:val="HeaderBoldOdd"/>
    <w:basedOn w:val="Normal"/>
    <w:rsid w:val="00772D98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customStyle="1" w:styleId="HeaderLiteEven">
    <w:name w:val="HeaderLiteEven"/>
    <w:basedOn w:val="Normal"/>
    <w:rsid w:val="00772D98"/>
    <w:pPr>
      <w:tabs>
        <w:tab w:val="center" w:pos="3969"/>
        <w:tab w:val="right" w:pos="8505"/>
      </w:tabs>
      <w:spacing w:before="60" w:after="0"/>
    </w:pPr>
    <w:rPr>
      <w:rFonts w:ascii="Arial" w:hAnsi="Arial"/>
      <w:sz w:val="18"/>
      <w:szCs w:val="24"/>
    </w:rPr>
  </w:style>
  <w:style w:type="paragraph" w:customStyle="1" w:styleId="HeaderLiteOdd">
    <w:name w:val="HeaderLiteOdd"/>
    <w:basedOn w:val="Normal"/>
    <w:rsid w:val="00772D98"/>
    <w:pPr>
      <w:tabs>
        <w:tab w:val="center" w:pos="3969"/>
        <w:tab w:val="right" w:pos="8505"/>
      </w:tabs>
      <w:spacing w:before="60" w:after="0"/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772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aliases w:val="(a)"/>
    <w:basedOn w:val="Normal"/>
    <w:rsid w:val="00772D98"/>
    <w:pPr>
      <w:tabs>
        <w:tab w:val="right" w:pos="1191"/>
      </w:tabs>
      <w:spacing w:before="60" w:after="0" w:line="260" w:lineRule="exact"/>
      <w:ind w:left="1418" w:hanging="1418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772D98"/>
    <w:pPr>
      <w:tabs>
        <w:tab w:val="right" w:pos="794"/>
      </w:tabs>
      <w:spacing w:before="180" w:after="0" w:line="260" w:lineRule="exact"/>
      <w:ind w:left="964" w:hanging="964"/>
      <w:jc w:val="both"/>
    </w:pPr>
    <w:rPr>
      <w:szCs w:val="24"/>
    </w:rPr>
  </w:style>
  <w:style w:type="paragraph" w:styleId="BalloonText">
    <w:name w:val="Balloon Text"/>
    <w:basedOn w:val="Normal"/>
    <w:link w:val="BalloonTextChar"/>
    <w:rsid w:val="00CA7A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A00"/>
    <w:rPr>
      <w:rFonts w:ascii="Tahoma" w:hAnsi="Tahoma" w:cs="Tahoma"/>
      <w:sz w:val="16"/>
      <w:szCs w:val="16"/>
      <w:lang w:eastAsia="en-US"/>
    </w:rPr>
  </w:style>
  <w:style w:type="paragraph" w:customStyle="1" w:styleId="NumberList">
    <w:name w:val="Number List"/>
    <w:basedOn w:val="Normal"/>
    <w:rsid w:val="001A6281"/>
    <w:pPr>
      <w:numPr>
        <w:numId w:val="46"/>
      </w:numPr>
      <w:tabs>
        <w:tab w:val="left" w:pos="1985"/>
      </w:tabs>
      <w:spacing w:before="240" w:after="0" w:line="240" w:lineRule="atLeast"/>
    </w:pPr>
    <w:rPr>
      <w:szCs w:val="24"/>
    </w:rPr>
  </w:style>
  <w:style w:type="paragraph" w:customStyle="1" w:styleId="NumberListSub">
    <w:name w:val="Number List Sub"/>
    <w:basedOn w:val="NumberList"/>
    <w:rsid w:val="001A6281"/>
    <w:pPr>
      <w:numPr>
        <w:ilvl w:val="1"/>
      </w:numPr>
      <w:tabs>
        <w:tab w:val="left" w:pos="2552"/>
      </w:tabs>
    </w:pPr>
  </w:style>
  <w:style w:type="character" w:styleId="CommentReference">
    <w:name w:val="annotation reference"/>
    <w:basedOn w:val="DefaultParagraphFont"/>
    <w:rsid w:val="000316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16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16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31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16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uperstyle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0AEC-231D-4128-86FA-21DF7657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Superstyle doc.dot</Template>
  <TotalTime>12</TotalTime>
  <Pages>4</Pages>
  <Words>791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1996/97/98</vt:lpstr>
    </vt:vector>
  </TitlesOfParts>
  <Company>Department of Finance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1996/97/98</dc:title>
  <dc:creator>Wilson</dc:creator>
  <cp:lastModifiedBy>robros</cp:lastModifiedBy>
  <cp:revision>4</cp:revision>
  <cp:lastPrinted>2014-05-29T06:51:00Z</cp:lastPrinted>
  <dcterms:created xsi:type="dcterms:W3CDTF">2014-06-02T06:59:00Z</dcterms:created>
  <dcterms:modified xsi:type="dcterms:W3CDTF">2014-06-02T07:11:00Z</dcterms:modified>
</cp:coreProperties>
</file>