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C" w:rsidRPr="00426998" w:rsidRDefault="00817C0C" w:rsidP="00817C0C">
      <w:pPr>
        <w:spacing w:before="0"/>
        <w:ind w:right="91"/>
        <w:jc w:val="center"/>
        <w:rPr>
          <w:b/>
          <w:u w:val="single"/>
        </w:rPr>
      </w:pPr>
      <w:r>
        <w:rPr>
          <w:b/>
          <w:u w:val="single"/>
        </w:rPr>
        <w:t xml:space="preserve">EXPLANATORY </w:t>
      </w:r>
      <w:r w:rsidR="00426998">
        <w:rPr>
          <w:b/>
          <w:u w:val="single"/>
        </w:rPr>
        <w:t>STATEMENT</w:t>
      </w:r>
    </w:p>
    <w:p w:rsidR="00817C0C" w:rsidRPr="0038023D" w:rsidRDefault="00817C0C" w:rsidP="00817C0C">
      <w:pPr>
        <w:spacing w:before="0"/>
        <w:ind w:right="91"/>
        <w:jc w:val="center"/>
      </w:pPr>
    </w:p>
    <w:p w:rsidR="009A3988" w:rsidRDefault="009A3988" w:rsidP="009A3988">
      <w:pPr>
        <w:jc w:val="center"/>
        <w:rPr>
          <w:b/>
          <w:u w:val="single"/>
        </w:rPr>
      </w:pPr>
      <w:r w:rsidRPr="00D7256E">
        <w:rPr>
          <w:b/>
          <w:u w:val="single"/>
        </w:rPr>
        <w:t>Se</w:t>
      </w:r>
      <w:r>
        <w:rPr>
          <w:b/>
          <w:u w:val="single"/>
        </w:rPr>
        <w:t xml:space="preserve">lect Legislative </w:t>
      </w:r>
      <w:r w:rsidRPr="0054306D">
        <w:rPr>
          <w:b/>
          <w:u w:val="single"/>
        </w:rPr>
        <w:t>Instrument No.</w:t>
      </w:r>
      <w:r w:rsidR="00180B92">
        <w:rPr>
          <w:b/>
          <w:u w:val="single"/>
        </w:rPr>
        <w:t xml:space="preserve"> </w:t>
      </w:r>
      <w:r w:rsidR="002875F2">
        <w:rPr>
          <w:b/>
          <w:u w:val="single"/>
        </w:rPr>
        <w:t>85</w:t>
      </w:r>
      <w:r w:rsidR="00180B92">
        <w:rPr>
          <w:b/>
          <w:u w:val="single"/>
        </w:rPr>
        <w:t>,</w:t>
      </w:r>
      <w:r w:rsidR="002875F2">
        <w:rPr>
          <w:b/>
          <w:u w:val="single"/>
        </w:rPr>
        <w:t xml:space="preserve"> </w:t>
      </w:r>
      <w:bookmarkStart w:id="0" w:name="_GoBack"/>
      <w:bookmarkEnd w:id="0"/>
      <w:r w:rsidR="00180B92">
        <w:rPr>
          <w:b/>
          <w:u w:val="single"/>
        </w:rPr>
        <w:t>2014</w:t>
      </w:r>
    </w:p>
    <w:p w:rsidR="00E64D51" w:rsidRPr="0054306D" w:rsidRDefault="00E64D51" w:rsidP="009A3988">
      <w:pPr>
        <w:jc w:val="center"/>
        <w:rPr>
          <w:u w:val="single"/>
        </w:rPr>
      </w:pPr>
      <w:r>
        <w:t xml:space="preserve">Issued by the authority of the Minister for </w:t>
      </w:r>
      <w:r w:rsidR="00521F3D">
        <w:t>Infrastructure</w:t>
      </w:r>
      <w:r>
        <w:t xml:space="preserve"> and Regional Development</w:t>
      </w:r>
    </w:p>
    <w:p w:rsidR="00817C0C" w:rsidRPr="0038023D" w:rsidRDefault="00817C0C" w:rsidP="00817C0C">
      <w:pPr>
        <w:spacing w:before="0"/>
        <w:ind w:right="91"/>
      </w:pPr>
    </w:p>
    <w:p w:rsidR="00817C0C" w:rsidRPr="0038023D" w:rsidRDefault="00817C0C" w:rsidP="00817C0C">
      <w:pPr>
        <w:tabs>
          <w:tab w:val="left" w:pos="993"/>
        </w:tabs>
        <w:spacing w:before="0"/>
        <w:ind w:right="91"/>
        <w:rPr>
          <w:i/>
        </w:rPr>
      </w:pPr>
      <w:r w:rsidRPr="0038023D">
        <w:t>Subject</w:t>
      </w:r>
      <w:r w:rsidR="00D22862">
        <w:t>:</w:t>
      </w:r>
      <w:r w:rsidRPr="0038023D">
        <w:t xml:space="preserve"> </w:t>
      </w:r>
      <w:r w:rsidRPr="0038023D">
        <w:tab/>
      </w:r>
      <w:r w:rsidR="00D22862">
        <w:tab/>
      </w:r>
      <w:r w:rsidRPr="0038023D">
        <w:rPr>
          <w:i/>
        </w:rPr>
        <w:t>Protection of the Sea (Shipping Levy) Act 1981</w:t>
      </w:r>
    </w:p>
    <w:p w:rsidR="00817C0C" w:rsidRPr="0038023D" w:rsidRDefault="00817C0C" w:rsidP="00817C0C">
      <w:pPr>
        <w:tabs>
          <w:tab w:val="left" w:pos="993"/>
        </w:tabs>
        <w:spacing w:before="0"/>
        <w:ind w:right="91"/>
      </w:pPr>
    </w:p>
    <w:p w:rsidR="00817C0C" w:rsidRPr="0038023D" w:rsidRDefault="00817C0C" w:rsidP="00817C0C">
      <w:pPr>
        <w:spacing w:before="0"/>
        <w:ind w:right="91" w:firstLine="2"/>
        <w:jc w:val="center"/>
        <w:rPr>
          <w:i/>
        </w:rPr>
      </w:pPr>
      <w:r>
        <w:rPr>
          <w:i/>
        </w:rPr>
        <w:t>Protec</w:t>
      </w:r>
      <w:r w:rsidR="008D5654">
        <w:rPr>
          <w:i/>
        </w:rPr>
        <w:t>tion of the Sea (Shipping Levy)</w:t>
      </w:r>
      <w:r w:rsidR="002A543E">
        <w:rPr>
          <w:i/>
        </w:rPr>
        <w:t xml:space="preserve"> </w:t>
      </w:r>
      <w:r w:rsidRPr="0038023D">
        <w:rPr>
          <w:i/>
        </w:rPr>
        <w:t>Regulation 20</w:t>
      </w:r>
      <w:r w:rsidR="00450AC3" w:rsidRPr="0038023D">
        <w:rPr>
          <w:i/>
        </w:rPr>
        <w:t>1</w:t>
      </w:r>
      <w:r w:rsidR="008D5654">
        <w:rPr>
          <w:i/>
        </w:rPr>
        <w:t>4</w:t>
      </w:r>
      <w:r w:rsidRPr="0038023D">
        <w:rPr>
          <w:i/>
        </w:rPr>
        <w:t xml:space="preserve"> </w:t>
      </w:r>
    </w:p>
    <w:p w:rsidR="00817C0C" w:rsidRPr="0038023D" w:rsidRDefault="00817C0C" w:rsidP="00817C0C">
      <w:pPr>
        <w:spacing w:before="0"/>
        <w:ind w:right="91"/>
      </w:pPr>
    </w:p>
    <w:p w:rsidR="00817C0C" w:rsidRPr="0038023D" w:rsidRDefault="00817C0C" w:rsidP="00817C0C">
      <w:pPr>
        <w:spacing w:before="0"/>
        <w:ind w:right="91"/>
      </w:pPr>
      <w:r w:rsidRPr="0038023D">
        <w:t xml:space="preserve">Section 9 of the </w:t>
      </w:r>
      <w:r w:rsidRPr="0038023D">
        <w:rPr>
          <w:i/>
        </w:rPr>
        <w:t>Protection of the Sea (Shipping Levy) Act 1981</w:t>
      </w:r>
      <w:r w:rsidRPr="0038023D">
        <w:t xml:space="preserve"> (the Act) provides that the Governor-General may make regulations for the purposes of sections 6 and 7 of the Act.  Section 6 of the Act enables the regulations to prescribe the rate of levy and section 7 enables the regulations to prescribe a minimum amount of levy payable for a ship for a quarter.</w:t>
      </w:r>
    </w:p>
    <w:p w:rsidR="00817C0C" w:rsidRPr="0038023D" w:rsidRDefault="00817C0C" w:rsidP="00817C0C">
      <w:pPr>
        <w:spacing w:before="0"/>
        <w:ind w:right="91"/>
      </w:pPr>
    </w:p>
    <w:p w:rsidR="00817C0C" w:rsidRPr="0038023D" w:rsidRDefault="00817C0C" w:rsidP="00817C0C">
      <w:pPr>
        <w:spacing w:before="0"/>
        <w:ind w:right="91"/>
      </w:pPr>
      <w:r w:rsidRPr="0038023D">
        <w:t xml:space="preserve">The Act imposes a quarterly </w:t>
      </w:r>
      <w:r w:rsidR="00E27C7A" w:rsidRPr="0038023D">
        <w:t xml:space="preserve">levy </w:t>
      </w:r>
      <w:r w:rsidRPr="0038023D">
        <w:t>on ships of 24 metres or more in length and having on board a quantity of 10 tonnes or more of oil in bulk</w:t>
      </w:r>
      <w:r w:rsidR="0056684C">
        <w:t xml:space="preserve"> as fuel or cargo</w:t>
      </w:r>
      <w:r w:rsidRPr="0038023D">
        <w:t xml:space="preserve">.  The rate of levy is currently prescribed in the </w:t>
      </w:r>
      <w:r w:rsidRPr="0038023D">
        <w:rPr>
          <w:i/>
        </w:rPr>
        <w:t>Protection of the Sea (Shipping Levy) Regulations 1982</w:t>
      </w:r>
      <w:r w:rsidRPr="0038023D">
        <w:t xml:space="preserve"> (the </w:t>
      </w:r>
      <w:r w:rsidR="004A2608">
        <w:t>1982</w:t>
      </w:r>
      <w:r w:rsidRPr="0038023D">
        <w:t xml:space="preserve"> Regulations) for the purposes of section 6 of the Act</w:t>
      </w:r>
      <w:r w:rsidR="0056684C">
        <w:t>.  The current</w:t>
      </w:r>
      <w:r w:rsidRPr="0038023D">
        <w:t xml:space="preserve"> quarterly levy </w:t>
      </w:r>
      <w:r w:rsidR="0056684C">
        <w:t>is</w:t>
      </w:r>
      <w:r w:rsidR="0056684C" w:rsidRPr="0038023D">
        <w:t xml:space="preserve"> </w:t>
      </w:r>
      <w:r w:rsidRPr="0038023D">
        <w:t xml:space="preserve">14.25 cents per ton of the </w:t>
      </w:r>
      <w:r w:rsidR="001D179B" w:rsidRPr="0038023D">
        <w:t xml:space="preserve">net </w:t>
      </w:r>
      <w:r w:rsidRPr="0038023D">
        <w:t>tonnage of a ship.</w:t>
      </w:r>
    </w:p>
    <w:p w:rsidR="00817C0C" w:rsidRPr="0038023D" w:rsidRDefault="00817C0C" w:rsidP="00817C0C">
      <w:pPr>
        <w:spacing w:before="0"/>
        <w:ind w:right="91"/>
      </w:pPr>
    </w:p>
    <w:p w:rsidR="00817C0C" w:rsidRPr="0038023D" w:rsidRDefault="00817C0C" w:rsidP="00817C0C">
      <w:pPr>
        <w:spacing w:before="0"/>
        <w:ind w:right="91"/>
      </w:pPr>
      <w:r w:rsidRPr="0038023D">
        <w:t xml:space="preserve">The Regulation </w:t>
      </w:r>
      <w:r w:rsidR="002A543E">
        <w:t>replace</w:t>
      </w:r>
      <w:r w:rsidR="004A2608">
        <w:t>s</w:t>
      </w:r>
      <w:r w:rsidRPr="0038023D">
        <w:t xml:space="preserve"> </w:t>
      </w:r>
      <w:r w:rsidR="002A543E">
        <w:t xml:space="preserve">the </w:t>
      </w:r>
      <w:r w:rsidR="004A2608">
        <w:t>1982</w:t>
      </w:r>
      <w:r w:rsidR="002A543E">
        <w:t xml:space="preserve"> </w:t>
      </w:r>
      <w:r w:rsidRPr="0038023D">
        <w:t>Regulation</w:t>
      </w:r>
      <w:r w:rsidR="004A2608">
        <w:t>s</w:t>
      </w:r>
      <w:r w:rsidRPr="0038023D">
        <w:t xml:space="preserve"> </w:t>
      </w:r>
      <w:r w:rsidR="002A543E">
        <w:t xml:space="preserve">in order to </w:t>
      </w:r>
      <w:r w:rsidRPr="0038023D">
        <w:t xml:space="preserve">decrease the quarterly levy </w:t>
      </w:r>
      <w:r w:rsidR="002A543E">
        <w:t xml:space="preserve">from 14.25 cents </w:t>
      </w:r>
      <w:r w:rsidRPr="0038023D">
        <w:t xml:space="preserve">to 11.25 cents per ton on all ships to which the Act applies, effective from </w:t>
      </w:r>
      <w:r w:rsidR="004726B8">
        <w:t>1 July 2014</w:t>
      </w:r>
      <w:r w:rsidR="002A543E">
        <w:t xml:space="preserve">, and remake the Regulation in the modern drafting style. </w:t>
      </w:r>
      <w:r w:rsidRPr="0038023D">
        <w:t>The minimum levy prescribed in the Principal Regulations for the purposes of section 7 of the Act w</w:t>
      </w:r>
      <w:r w:rsidR="004A2608">
        <w:t>ill</w:t>
      </w:r>
      <w:r w:rsidRPr="0038023D">
        <w:t xml:space="preserve"> remain at its current level of $10.</w:t>
      </w:r>
    </w:p>
    <w:p w:rsidR="00817C0C" w:rsidRPr="0038023D" w:rsidRDefault="00817C0C" w:rsidP="00817C0C">
      <w:pPr>
        <w:spacing w:before="0"/>
        <w:ind w:right="91"/>
      </w:pPr>
    </w:p>
    <w:p w:rsidR="00817C0C" w:rsidRPr="0038023D" w:rsidRDefault="00817C0C" w:rsidP="00817C0C">
      <w:pPr>
        <w:spacing w:before="0"/>
        <w:ind w:right="91"/>
      </w:pPr>
      <w:r w:rsidRPr="0038023D">
        <w:t xml:space="preserve">The </w:t>
      </w:r>
      <w:r w:rsidR="00E27C7A" w:rsidRPr="0038023D">
        <w:t xml:space="preserve">levy </w:t>
      </w:r>
      <w:r w:rsidRPr="0038023D">
        <w:t xml:space="preserve">is payable once in every quarter that a ship to which the Act applies is in an Australian port.  The levy is used to fund the operations and management of the </w:t>
      </w:r>
      <w:r w:rsidR="001F200B" w:rsidRPr="001F200B">
        <w:t xml:space="preserve">National Plan for Maritime Environmental Emergencies </w:t>
      </w:r>
      <w:r w:rsidRPr="0038023D">
        <w:t>(the National Plan).  Since 1 July 2007, the levy has also been used to fund the National Maritime Emergency Response Arrangements.</w:t>
      </w:r>
    </w:p>
    <w:p w:rsidR="00817C0C" w:rsidRPr="0038023D" w:rsidRDefault="00817C0C" w:rsidP="00817C0C">
      <w:pPr>
        <w:spacing w:before="0"/>
        <w:ind w:right="91"/>
      </w:pPr>
    </w:p>
    <w:p w:rsidR="00817C0C" w:rsidRPr="0038023D" w:rsidRDefault="00817C0C" w:rsidP="00817C0C">
      <w:pPr>
        <w:tabs>
          <w:tab w:val="left" w:pos="6521"/>
        </w:tabs>
        <w:spacing w:before="0"/>
        <w:ind w:right="91"/>
      </w:pPr>
      <w:r w:rsidRPr="0038023D">
        <w:t xml:space="preserve">The National Plan incurred costs as a result of the fuel oil spill from the </w:t>
      </w:r>
      <w:r w:rsidRPr="0038023D">
        <w:rPr>
          <w:i/>
        </w:rPr>
        <w:t>Pacific Adventurer</w:t>
      </w:r>
      <w:r w:rsidRPr="0038023D">
        <w:t xml:space="preserve"> off Queensland in March 2009.  The </w:t>
      </w:r>
      <w:r w:rsidR="00180291" w:rsidRPr="0038023D">
        <w:t xml:space="preserve">levy was increased from </w:t>
      </w:r>
      <w:r w:rsidRPr="0038023D">
        <w:t xml:space="preserve">1 April 2010 </w:t>
      </w:r>
      <w:r w:rsidR="00180291" w:rsidRPr="0038023D">
        <w:t>by</w:t>
      </w:r>
      <w:r w:rsidRPr="0038023D">
        <w:t xml:space="preserve"> </w:t>
      </w:r>
      <w:r w:rsidR="00180291" w:rsidRPr="0038023D">
        <w:t>three </w:t>
      </w:r>
      <w:r w:rsidRPr="0038023D">
        <w:t xml:space="preserve">cents per ton to fund the shortfall in the actual clean-up costs that were not able to be recovered from the shipowner.  These costs have now been fully collected, and the </w:t>
      </w:r>
      <w:r w:rsidR="00E27C7A" w:rsidRPr="0038023D">
        <w:t xml:space="preserve">levy </w:t>
      </w:r>
      <w:r w:rsidR="00D72739">
        <w:t xml:space="preserve">will decrease </w:t>
      </w:r>
      <w:r w:rsidRPr="0038023D">
        <w:t xml:space="preserve">to its former rate of 11.25 </w:t>
      </w:r>
      <w:r w:rsidR="00E27C7A" w:rsidRPr="0038023D">
        <w:t xml:space="preserve">cents </w:t>
      </w:r>
      <w:r w:rsidRPr="0038023D">
        <w:t xml:space="preserve">per </w:t>
      </w:r>
      <w:r w:rsidR="00180291" w:rsidRPr="0038023D">
        <w:t>ton</w:t>
      </w:r>
      <w:r w:rsidRPr="0038023D">
        <w:t>.</w:t>
      </w:r>
    </w:p>
    <w:p w:rsidR="00817C0C" w:rsidRPr="0038023D" w:rsidRDefault="00817C0C" w:rsidP="00817C0C">
      <w:pPr>
        <w:tabs>
          <w:tab w:val="left" w:pos="6521"/>
        </w:tabs>
        <w:spacing w:before="0"/>
        <w:ind w:right="91"/>
      </w:pPr>
    </w:p>
    <w:p w:rsidR="00817C0C" w:rsidRPr="0038023D" w:rsidRDefault="00817C0C" w:rsidP="00817C0C">
      <w:pPr>
        <w:tabs>
          <w:tab w:val="left" w:pos="6521"/>
        </w:tabs>
        <w:spacing w:before="0"/>
        <w:ind w:right="91"/>
      </w:pPr>
      <w:r w:rsidRPr="0038023D">
        <w:t xml:space="preserve">The Act specifies no conditions that need to be satisfied before the power to make the proposed Regulations may be </w:t>
      </w:r>
      <w:r w:rsidR="00E01D74" w:rsidRPr="0038023D">
        <w:t>exercised. The</w:t>
      </w:r>
      <w:r w:rsidRPr="0038023D">
        <w:t xml:space="preserve"> proposed Regulations would be a legislative instrument for the purposes of the </w:t>
      </w:r>
      <w:r w:rsidRPr="0038023D">
        <w:rPr>
          <w:i/>
        </w:rPr>
        <w:t>Legislative Instruments Act 2003</w:t>
      </w:r>
      <w:r w:rsidRPr="0038023D">
        <w:t>.</w:t>
      </w:r>
    </w:p>
    <w:p w:rsidR="00817C0C" w:rsidRPr="0038023D" w:rsidRDefault="00817C0C" w:rsidP="00817C0C">
      <w:pPr>
        <w:tabs>
          <w:tab w:val="left" w:pos="6521"/>
        </w:tabs>
        <w:spacing w:before="0"/>
        <w:ind w:right="91"/>
      </w:pPr>
    </w:p>
    <w:p w:rsidR="00817C0C" w:rsidRPr="0038023D" w:rsidRDefault="00817C0C" w:rsidP="00817C0C">
      <w:pPr>
        <w:tabs>
          <w:tab w:val="left" w:pos="6521"/>
        </w:tabs>
        <w:spacing w:before="0"/>
        <w:ind w:right="91"/>
      </w:pPr>
      <w:r w:rsidRPr="0038023D">
        <w:t>The Regulations w</w:t>
      </w:r>
      <w:r w:rsidR="00D8092A">
        <w:t>ill</w:t>
      </w:r>
      <w:r w:rsidRPr="0038023D">
        <w:t xml:space="preserve"> commence on</w:t>
      </w:r>
      <w:r w:rsidR="00180291" w:rsidRPr="0038023D">
        <w:t xml:space="preserve"> </w:t>
      </w:r>
      <w:r w:rsidR="00DC07B5" w:rsidRPr="0038023D">
        <w:t>1 J</w:t>
      </w:r>
      <w:r w:rsidR="000033ED">
        <w:t xml:space="preserve">uly </w:t>
      </w:r>
      <w:r w:rsidR="00DC07B5" w:rsidRPr="0038023D">
        <w:t>201</w:t>
      </w:r>
      <w:r w:rsidR="000033ED">
        <w:t>4</w:t>
      </w:r>
      <w:r w:rsidRPr="0038023D">
        <w:t>.</w:t>
      </w:r>
    </w:p>
    <w:p w:rsidR="00817C0C" w:rsidRDefault="00817C0C" w:rsidP="00817C0C">
      <w:pPr>
        <w:tabs>
          <w:tab w:val="left" w:pos="6521"/>
        </w:tabs>
        <w:spacing w:before="0"/>
        <w:ind w:right="91"/>
      </w:pPr>
    </w:p>
    <w:p w:rsidR="000033ED" w:rsidRDefault="000033ED" w:rsidP="00817C0C">
      <w:pPr>
        <w:tabs>
          <w:tab w:val="left" w:pos="6521"/>
        </w:tabs>
        <w:spacing w:before="0"/>
        <w:ind w:right="91"/>
      </w:pPr>
      <w:r>
        <w:t>The Australian Maritime Safety Authority was consulted in relation to this Proposal.</w:t>
      </w:r>
    </w:p>
    <w:p w:rsidR="000033ED" w:rsidRPr="0038023D" w:rsidRDefault="000033ED" w:rsidP="00817C0C">
      <w:pPr>
        <w:tabs>
          <w:tab w:val="left" w:pos="6521"/>
        </w:tabs>
        <w:spacing w:before="0"/>
        <w:ind w:right="91"/>
      </w:pPr>
    </w:p>
    <w:p w:rsidR="00817C0C" w:rsidRDefault="00426998" w:rsidP="00817C0C">
      <w:pPr>
        <w:tabs>
          <w:tab w:val="left" w:pos="6521"/>
        </w:tabs>
        <w:spacing w:before="0"/>
        <w:ind w:right="91"/>
        <w:rPr>
          <w:u w:val="single"/>
        </w:rPr>
      </w:pPr>
      <w:r>
        <w:t xml:space="preserve">Details of the regulation are set out in the </w:t>
      </w:r>
      <w:r>
        <w:rPr>
          <w:u w:val="single"/>
        </w:rPr>
        <w:t>Attachment</w:t>
      </w:r>
      <w:r w:rsidR="00D22862">
        <w:rPr>
          <w:u w:val="single"/>
        </w:rPr>
        <w:t>.</w:t>
      </w:r>
    </w:p>
    <w:p w:rsidR="008E0401" w:rsidRDefault="008E0401" w:rsidP="00730E4C">
      <w:pPr>
        <w:tabs>
          <w:tab w:val="left" w:pos="3969"/>
        </w:tabs>
        <w:spacing w:before="0"/>
        <w:ind w:left="4680" w:right="91" w:hanging="1276"/>
        <w:jc w:val="right"/>
        <w:rPr>
          <w:u w:val="single"/>
        </w:rPr>
      </w:pPr>
    </w:p>
    <w:p w:rsidR="008E0401" w:rsidRDefault="00817C0C" w:rsidP="00730E4C">
      <w:pPr>
        <w:tabs>
          <w:tab w:val="left" w:pos="3969"/>
        </w:tabs>
        <w:spacing w:before="0"/>
        <w:ind w:left="4680" w:right="91" w:hanging="1276"/>
        <w:jc w:val="right"/>
        <w:rPr>
          <w:i/>
        </w:rPr>
      </w:pPr>
      <w:r>
        <w:rPr>
          <w:u w:val="single"/>
        </w:rPr>
        <w:t>Authority:</w:t>
      </w:r>
      <w:r>
        <w:tab/>
        <w:t xml:space="preserve">Section 9 of the </w:t>
      </w:r>
      <w:r>
        <w:rPr>
          <w:i/>
        </w:rPr>
        <w:t xml:space="preserve">Protection of the Sea </w:t>
      </w:r>
    </w:p>
    <w:p w:rsidR="00F11410" w:rsidRPr="00180291" w:rsidRDefault="00817C0C" w:rsidP="00730E4C">
      <w:pPr>
        <w:tabs>
          <w:tab w:val="left" w:pos="3969"/>
        </w:tabs>
        <w:spacing w:before="0"/>
        <w:ind w:left="4680" w:right="91" w:hanging="1276"/>
        <w:jc w:val="right"/>
        <w:rPr>
          <w:i/>
        </w:rPr>
      </w:pPr>
      <w:r>
        <w:rPr>
          <w:i/>
        </w:rPr>
        <w:t>(Shipping Levy) Act 1981</w:t>
      </w:r>
      <w:r w:rsidR="00F11410">
        <w:br w:type="page"/>
      </w:r>
      <w:r w:rsidR="00F11410" w:rsidRPr="009C7A63">
        <w:rPr>
          <w:b/>
          <w:u w:val="single"/>
        </w:rPr>
        <w:lastRenderedPageBreak/>
        <w:t>ATTACHMENT</w:t>
      </w:r>
    </w:p>
    <w:p w:rsidR="00F11410" w:rsidRDefault="00F11410">
      <w:pPr>
        <w:spacing w:before="0"/>
        <w:ind w:right="91"/>
        <w:jc w:val="right"/>
      </w:pPr>
    </w:p>
    <w:p w:rsidR="00F11410" w:rsidRPr="008E0401" w:rsidRDefault="00B60ED1">
      <w:pPr>
        <w:spacing w:before="0"/>
        <w:ind w:right="91"/>
        <w:rPr>
          <w:szCs w:val="24"/>
          <w:u w:val="single"/>
        </w:rPr>
      </w:pPr>
      <w:r w:rsidRPr="008E0401">
        <w:rPr>
          <w:b/>
          <w:i/>
          <w:szCs w:val="24"/>
          <w:u w:val="single"/>
        </w:rPr>
        <w:t>Protection of the Sea (Shipping Levy)</w:t>
      </w:r>
      <w:r w:rsidR="00900E5A" w:rsidRPr="008E0401">
        <w:rPr>
          <w:b/>
          <w:i/>
          <w:szCs w:val="24"/>
          <w:u w:val="single"/>
        </w:rPr>
        <w:t xml:space="preserve"> Regulation </w:t>
      </w:r>
      <w:r w:rsidR="00450AC3" w:rsidRPr="008E0401">
        <w:rPr>
          <w:b/>
          <w:i/>
          <w:szCs w:val="24"/>
          <w:u w:val="single"/>
        </w:rPr>
        <w:t>20</w:t>
      </w:r>
      <w:r w:rsidR="00960160" w:rsidRPr="008E0401">
        <w:rPr>
          <w:b/>
          <w:i/>
          <w:szCs w:val="24"/>
          <w:u w:val="single"/>
        </w:rPr>
        <w:t>1</w:t>
      </w:r>
      <w:r w:rsidR="002A543E" w:rsidRPr="008E0401">
        <w:rPr>
          <w:b/>
          <w:i/>
          <w:szCs w:val="24"/>
          <w:u w:val="single"/>
        </w:rPr>
        <w:t>4</w:t>
      </w:r>
      <w:r w:rsidR="00F11410" w:rsidRPr="008E0401">
        <w:rPr>
          <w:b/>
          <w:i/>
          <w:szCs w:val="24"/>
          <w:u w:val="single"/>
        </w:rPr>
        <w:t xml:space="preserve"> 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F11410" w:rsidRPr="008E0401" w:rsidRDefault="00F11410">
      <w:pPr>
        <w:spacing w:before="0"/>
        <w:ind w:right="91"/>
        <w:rPr>
          <w:szCs w:val="24"/>
        </w:rPr>
      </w:pPr>
      <w:r w:rsidRPr="008E0401">
        <w:rPr>
          <w:szCs w:val="24"/>
          <w:u w:val="single"/>
        </w:rPr>
        <w:t>Regulation 1 – Name of Regulation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F11410" w:rsidRPr="008E0401" w:rsidRDefault="00730E4C">
      <w:pPr>
        <w:spacing w:before="0"/>
        <w:ind w:right="91"/>
        <w:rPr>
          <w:szCs w:val="24"/>
        </w:rPr>
      </w:pPr>
      <w:r w:rsidRPr="008E0401">
        <w:rPr>
          <w:szCs w:val="24"/>
        </w:rPr>
        <w:t>Regulation 1 provide</w:t>
      </w:r>
      <w:r w:rsidR="004A2608" w:rsidRPr="008E0401">
        <w:rPr>
          <w:szCs w:val="24"/>
        </w:rPr>
        <w:t>s</w:t>
      </w:r>
      <w:r w:rsidRPr="008E0401">
        <w:rPr>
          <w:szCs w:val="24"/>
        </w:rPr>
        <w:t xml:space="preserve"> that the title of the </w:t>
      </w:r>
      <w:r w:rsidR="00883D41">
        <w:rPr>
          <w:szCs w:val="24"/>
        </w:rPr>
        <w:t>Regulation</w:t>
      </w:r>
      <w:r w:rsidRPr="008E0401">
        <w:rPr>
          <w:szCs w:val="24"/>
        </w:rPr>
        <w:t xml:space="preserve"> </w:t>
      </w:r>
      <w:r w:rsidR="00F11410" w:rsidRPr="008E0401">
        <w:rPr>
          <w:szCs w:val="24"/>
        </w:rPr>
        <w:t xml:space="preserve">is the </w:t>
      </w:r>
      <w:r w:rsidR="00B60ED1" w:rsidRPr="008E0401">
        <w:rPr>
          <w:szCs w:val="24"/>
        </w:rPr>
        <w:t>Protection of the Sea (Shipping Levy) Regulation 20</w:t>
      </w:r>
      <w:r w:rsidR="00450AC3" w:rsidRPr="008E0401">
        <w:rPr>
          <w:szCs w:val="24"/>
        </w:rPr>
        <w:t>1</w:t>
      </w:r>
      <w:r w:rsidR="002A543E" w:rsidRPr="008E0401">
        <w:rPr>
          <w:szCs w:val="24"/>
        </w:rPr>
        <w:t>4</w:t>
      </w:r>
      <w:r w:rsidR="00464F53" w:rsidRPr="008E0401">
        <w:rPr>
          <w:szCs w:val="24"/>
        </w:rPr>
        <w:t>.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F11410" w:rsidRPr="008E0401" w:rsidRDefault="00F11410">
      <w:pPr>
        <w:spacing w:before="0"/>
        <w:ind w:right="91"/>
        <w:rPr>
          <w:szCs w:val="24"/>
          <w:u w:val="single"/>
        </w:rPr>
      </w:pPr>
      <w:r w:rsidRPr="008E0401">
        <w:rPr>
          <w:szCs w:val="24"/>
          <w:u w:val="single"/>
        </w:rPr>
        <w:t>Regulation 2 – Commencement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F11410" w:rsidRPr="008E0401" w:rsidRDefault="00730E4C">
      <w:pPr>
        <w:spacing w:before="0"/>
        <w:ind w:right="91"/>
        <w:rPr>
          <w:szCs w:val="24"/>
        </w:rPr>
      </w:pPr>
      <w:r w:rsidRPr="008E0401">
        <w:rPr>
          <w:szCs w:val="24"/>
        </w:rPr>
        <w:t xml:space="preserve">Regulation 2 </w:t>
      </w:r>
      <w:r w:rsidR="00F11410" w:rsidRPr="008E0401">
        <w:rPr>
          <w:szCs w:val="24"/>
        </w:rPr>
        <w:t>provide</w:t>
      </w:r>
      <w:r w:rsidR="004A2608" w:rsidRPr="008E0401">
        <w:rPr>
          <w:szCs w:val="24"/>
        </w:rPr>
        <w:t>s</w:t>
      </w:r>
      <w:r w:rsidR="00F11410" w:rsidRPr="008E0401">
        <w:rPr>
          <w:szCs w:val="24"/>
        </w:rPr>
        <w:t xml:space="preserve"> </w:t>
      </w:r>
      <w:r w:rsidRPr="008E0401">
        <w:rPr>
          <w:szCs w:val="24"/>
        </w:rPr>
        <w:t>that</w:t>
      </w:r>
      <w:r w:rsidR="00F11410" w:rsidRPr="008E0401">
        <w:rPr>
          <w:szCs w:val="24"/>
        </w:rPr>
        <w:t xml:space="preserve"> the Regulation commence</w:t>
      </w:r>
      <w:r w:rsidR="00883D41">
        <w:rPr>
          <w:szCs w:val="24"/>
        </w:rPr>
        <w:t>s</w:t>
      </w:r>
      <w:r w:rsidR="00F11410" w:rsidRPr="008E0401">
        <w:rPr>
          <w:szCs w:val="24"/>
        </w:rPr>
        <w:t xml:space="preserve"> on </w:t>
      </w:r>
      <w:r w:rsidR="00F819F6" w:rsidRPr="008E0401">
        <w:rPr>
          <w:szCs w:val="24"/>
        </w:rPr>
        <w:t xml:space="preserve">1 </w:t>
      </w:r>
      <w:r w:rsidR="002A543E" w:rsidRPr="008E0401">
        <w:rPr>
          <w:szCs w:val="24"/>
        </w:rPr>
        <w:t>July 2014</w:t>
      </w:r>
      <w:r w:rsidRPr="008E0401">
        <w:rPr>
          <w:szCs w:val="24"/>
        </w:rPr>
        <w:t>.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F11410" w:rsidRPr="008E0401" w:rsidRDefault="00F11410">
      <w:pPr>
        <w:spacing w:before="0"/>
        <w:ind w:right="91"/>
        <w:rPr>
          <w:szCs w:val="24"/>
        </w:rPr>
      </w:pPr>
      <w:r w:rsidRPr="008E0401">
        <w:rPr>
          <w:szCs w:val="24"/>
          <w:u w:val="single"/>
        </w:rPr>
        <w:t xml:space="preserve">Regulation 3 – </w:t>
      </w:r>
      <w:r w:rsidR="002A543E" w:rsidRPr="008E0401">
        <w:rPr>
          <w:szCs w:val="24"/>
          <w:u w:val="single"/>
        </w:rPr>
        <w:t>Authority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2A543E" w:rsidRPr="008E0401" w:rsidRDefault="004A2608">
      <w:pPr>
        <w:spacing w:before="0"/>
        <w:ind w:right="91"/>
        <w:rPr>
          <w:szCs w:val="24"/>
        </w:rPr>
      </w:pPr>
      <w:r w:rsidRPr="008E0401">
        <w:rPr>
          <w:szCs w:val="24"/>
        </w:rPr>
        <w:t xml:space="preserve">Regulation 3 </w:t>
      </w:r>
      <w:r w:rsidR="00F11410" w:rsidRPr="008E0401">
        <w:rPr>
          <w:szCs w:val="24"/>
        </w:rPr>
        <w:t>provide</w:t>
      </w:r>
      <w:r w:rsidRPr="008E0401">
        <w:rPr>
          <w:szCs w:val="24"/>
        </w:rPr>
        <w:t>s</w:t>
      </w:r>
      <w:r w:rsidR="00F11410" w:rsidRPr="008E0401">
        <w:rPr>
          <w:szCs w:val="24"/>
        </w:rPr>
        <w:t xml:space="preserve"> that </w:t>
      </w:r>
      <w:r w:rsidR="002A543E" w:rsidRPr="008E0401">
        <w:rPr>
          <w:szCs w:val="24"/>
        </w:rPr>
        <w:t xml:space="preserve">the Regulation is made under the </w:t>
      </w:r>
      <w:r w:rsidR="002A543E" w:rsidRPr="008E0401">
        <w:rPr>
          <w:i/>
          <w:iCs/>
          <w:szCs w:val="24"/>
        </w:rPr>
        <w:t>Protection of the Sea (Shipping Levy) Act 1981</w:t>
      </w:r>
      <w:r w:rsidR="002A543E" w:rsidRPr="008E0401">
        <w:rPr>
          <w:szCs w:val="24"/>
        </w:rPr>
        <w:t xml:space="preserve">. </w:t>
      </w:r>
    </w:p>
    <w:p w:rsidR="002A543E" w:rsidRPr="008E0401" w:rsidRDefault="002A543E">
      <w:pPr>
        <w:spacing w:before="0"/>
        <w:ind w:right="91"/>
        <w:rPr>
          <w:szCs w:val="24"/>
        </w:rPr>
      </w:pPr>
    </w:p>
    <w:p w:rsidR="002A543E" w:rsidRPr="008E0401" w:rsidRDefault="002A543E">
      <w:pPr>
        <w:spacing w:before="0"/>
        <w:ind w:right="91"/>
        <w:rPr>
          <w:szCs w:val="24"/>
          <w:u w:val="single"/>
        </w:rPr>
      </w:pPr>
      <w:r w:rsidRPr="008E0401">
        <w:rPr>
          <w:szCs w:val="24"/>
          <w:u w:val="single"/>
        </w:rPr>
        <w:t>Regulation 4 – Schedule (s)</w:t>
      </w:r>
    </w:p>
    <w:p w:rsidR="009A3DF9" w:rsidRPr="008E0401" w:rsidRDefault="009A3DF9">
      <w:pPr>
        <w:spacing w:before="0"/>
        <w:ind w:right="91"/>
        <w:rPr>
          <w:szCs w:val="24"/>
        </w:rPr>
      </w:pPr>
    </w:p>
    <w:p w:rsidR="002A543E" w:rsidRPr="008E0401" w:rsidRDefault="002A543E">
      <w:pPr>
        <w:spacing w:before="0"/>
        <w:ind w:right="91"/>
        <w:rPr>
          <w:szCs w:val="24"/>
        </w:rPr>
      </w:pPr>
      <w:r w:rsidRPr="008E0401">
        <w:rPr>
          <w:szCs w:val="24"/>
        </w:rPr>
        <w:t>Regulation 4 provide</w:t>
      </w:r>
      <w:r w:rsidR="004A2608" w:rsidRPr="008E0401">
        <w:rPr>
          <w:szCs w:val="24"/>
        </w:rPr>
        <w:t>s</w:t>
      </w:r>
      <w:r w:rsidRPr="008E0401">
        <w:rPr>
          <w:szCs w:val="24"/>
        </w:rPr>
        <w:t xml:space="preserve"> for amendment or repeal of instruments as specified in the Schedule.</w:t>
      </w:r>
    </w:p>
    <w:p w:rsidR="002A543E" w:rsidRPr="008E0401" w:rsidRDefault="002A543E">
      <w:pPr>
        <w:spacing w:before="0"/>
        <w:ind w:right="91"/>
        <w:rPr>
          <w:szCs w:val="24"/>
          <w:u w:val="single"/>
        </w:rPr>
      </w:pPr>
    </w:p>
    <w:p w:rsidR="002A543E" w:rsidRPr="008E0401" w:rsidRDefault="002A543E">
      <w:pPr>
        <w:spacing w:before="0"/>
        <w:ind w:right="91"/>
        <w:rPr>
          <w:szCs w:val="24"/>
          <w:u w:val="single"/>
        </w:rPr>
      </w:pPr>
      <w:r w:rsidRPr="008E0401">
        <w:rPr>
          <w:szCs w:val="24"/>
          <w:u w:val="single"/>
        </w:rPr>
        <w:t>Regulation 5 – Definitions</w:t>
      </w:r>
    </w:p>
    <w:p w:rsidR="009A3DF9" w:rsidRPr="008E0401" w:rsidRDefault="009A3DF9">
      <w:pPr>
        <w:spacing w:before="0"/>
        <w:ind w:right="91"/>
        <w:rPr>
          <w:szCs w:val="24"/>
        </w:rPr>
      </w:pPr>
    </w:p>
    <w:p w:rsidR="002A543E" w:rsidRPr="008E0401" w:rsidRDefault="002A543E">
      <w:pPr>
        <w:spacing w:before="0"/>
        <w:ind w:right="91"/>
        <w:rPr>
          <w:szCs w:val="24"/>
        </w:rPr>
      </w:pPr>
      <w:r w:rsidRPr="008E0401">
        <w:rPr>
          <w:szCs w:val="24"/>
        </w:rPr>
        <w:t>Regulation 5 provide</w:t>
      </w:r>
      <w:r w:rsidR="004A2608" w:rsidRPr="008E0401">
        <w:rPr>
          <w:szCs w:val="24"/>
        </w:rPr>
        <w:t>s</w:t>
      </w:r>
      <w:r w:rsidRPr="008E0401">
        <w:rPr>
          <w:szCs w:val="24"/>
        </w:rPr>
        <w:t xml:space="preserve"> for a definition of ‘Act’ to mean </w:t>
      </w:r>
      <w:r w:rsidRPr="008E0401">
        <w:rPr>
          <w:i/>
          <w:iCs/>
          <w:szCs w:val="24"/>
        </w:rPr>
        <w:t>Protection of the Sea (Shipping Levy) Act 1981</w:t>
      </w:r>
      <w:r w:rsidRPr="008E0401">
        <w:rPr>
          <w:szCs w:val="24"/>
        </w:rPr>
        <w:t>.</w:t>
      </w:r>
    </w:p>
    <w:p w:rsidR="002A543E" w:rsidRPr="008E0401" w:rsidRDefault="002A543E">
      <w:pPr>
        <w:spacing w:before="0"/>
        <w:ind w:right="91"/>
        <w:rPr>
          <w:szCs w:val="24"/>
        </w:rPr>
      </w:pPr>
    </w:p>
    <w:p w:rsidR="002A543E" w:rsidRPr="008E0401" w:rsidRDefault="002A543E">
      <w:pPr>
        <w:spacing w:before="0"/>
        <w:ind w:right="91"/>
        <w:rPr>
          <w:szCs w:val="24"/>
          <w:u w:val="single"/>
        </w:rPr>
      </w:pPr>
      <w:r w:rsidRPr="008E0401">
        <w:rPr>
          <w:szCs w:val="24"/>
          <w:u w:val="single"/>
        </w:rPr>
        <w:t>Regulation 6 – Rate of Levy</w:t>
      </w:r>
    </w:p>
    <w:p w:rsidR="009A3DF9" w:rsidRPr="008E0401" w:rsidRDefault="009A3DF9">
      <w:pPr>
        <w:spacing w:before="0"/>
        <w:ind w:right="91"/>
        <w:rPr>
          <w:szCs w:val="24"/>
        </w:rPr>
      </w:pPr>
    </w:p>
    <w:p w:rsidR="002A543E" w:rsidRPr="008E0401" w:rsidRDefault="002A543E">
      <w:pPr>
        <w:spacing w:before="0"/>
        <w:ind w:right="91"/>
        <w:rPr>
          <w:szCs w:val="24"/>
        </w:rPr>
      </w:pPr>
      <w:r w:rsidRPr="008E0401">
        <w:rPr>
          <w:szCs w:val="24"/>
        </w:rPr>
        <w:t>Regulation 6 provide</w:t>
      </w:r>
      <w:r w:rsidR="004A2608" w:rsidRPr="008E0401">
        <w:rPr>
          <w:szCs w:val="24"/>
        </w:rPr>
        <w:t>s</w:t>
      </w:r>
      <w:r w:rsidRPr="008E0401">
        <w:rPr>
          <w:szCs w:val="24"/>
        </w:rPr>
        <w:t xml:space="preserve"> for the rate of levy to be paid under section 6 of the Act to be 11.25 cents </w:t>
      </w:r>
      <w:r w:rsidR="004726B8" w:rsidRPr="008E0401">
        <w:rPr>
          <w:szCs w:val="24"/>
        </w:rPr>
        <w:t>per ton of the tonnage of a ship from 1 July 2014.</w:t>
      </w:r>
    </w:p>
    <w:p w:rsidR="002A543E" w:rsidRPr="008E0401" w:rsidRDefault="002A543E">
      <w:pPr>
        <w:spacing w:before="0"/>
        <w:ind w:right="91"/>
        <w:rPr>
          <w:szCs w:val="24"/>
          <w:u w:val="single"/>
        </w:rPr>
      </w:pPr>
    </w:p>
    <w:p w:rsidR="002A543E" w:rsidRPr="008E0401" w:rsidRDefault="002A543E">
      <w:pPr>
        <w:spacing w:before="0"/>
        <w:ind w:right="91"/>
        <w:rPr>
          <w:szCs w:val="24"/>
          <w:u w:val="single"/>
        </w:rPr>
      </w:pPr>
      <w:r w:rsidRPr="008E0401">
        <w:rPr>
          <w:szCs w:val="24"/>
          <w:u w:val="single"/>
        </w:rPr>
        <w:t>Regulation 7 – Minimum amount of levy</w:t>
      </w:r>
    </w:p>
    <w:p w:rsidR="009A3DF9" w:rsidRPr="008E0401" w:rsidRDefault="009A3DF9">
      <w:pPr>
        <w:spacing w:before="0"/>
        <w:ind w:right="91"/>
        <w:rPr>
          <w:szCs w:val="24"/>
        </w:rPr>
      </w:pPr>
    </w:p>
    <w:p w:rsidR="002A543E" w:rsidRPr="008E0401" w:rsidRDefault="004726B8">
      <w:pPr>
        <w:spacing w:before="0"/>
        <w:ind w:right="91"/>
        <w:rPr>
          <w:szCs w:val="24"/>
        </w:rPr>
      </w:pPr>
      <w:r w:rsidRPr="008E0401">
        <w:rPr>
          <w:szCs w:val="24"/>
        </w:rPr>
        <w:t>Regulation</w:t>
      </w:r>
      <w:r w:rsidR="002A543E" w:rsidRPr="008E0401">
        <w:rPr>
          <w:szCs w:val="24"/>
        </w:rPr>
        <w:t xml:space="preserve"> 7 provide</w:t>
      </w:r>
      <w:r w:rsidR="004A2608" w:rsidRPr="008E0401">
        <w:rPr>
          <w:szCs w:val="24"/>
        </w:rPr>
        <w:t>s</w:t>
      </w:r>
      <w:r w:rsidRPr="008E0401">
        <w:rPr>
          <w:szCs w:val="24"/>
        </w:rPr>
        <w:t xml:space="preserve"> that for section 7 of the Act, the minimum amount of levy for a quarter from 1 July 2014 is $10.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F11410" w:rsidRPr="008E0401" w:rsidRDefault="00F11410">
      <w:pPr>
        <w:spacing w:before="0"/>
        <w:ind w:right="91"/>
        <w:rPr>
          <w:szCs w:val="24"/>
        </w:rPr>
      </w:pPr>
      <w:r w:rsidRPr="008E0401">
        <w:rPr>
          <w:szCs w:val="24"/>
          <w:u w:val="single"/>
        </w:rPr>
        <w:t>Schedule</w:t>
      </w:r>
      <w:r w:rsidR="00E27C7A" w:rsidRPr="008E0401">
        <w:rPr>
          <w:szCs w:val="24"/>
          <w:u w:val="single"/>
        </w:rPr>
        <w:t xml:space="preserve"> 1</w:t>
      </w:r>
      <w:r w:rsidRPr="008E0401">
        <w:rPr>
          <w:szCs w:val="24"/>
          <w:u w:val="single"/>
        </w:rPr>
        <w:t xml:space="preserve"> – </w:t>
      </w:r>
      <w:r w:rsidR="002A543E" w:rsidRPr="008E0401">
        <w:rPr>
          <w:szCs w:val="24"/>
          <w:u w:val="single"/>
        </w:rPr>
        <w:t>Repeal</w:t>
      </w:r>
    </w:p>
    <w:p w:rsidR="002A543E" w:rsidRPr="008E0401" w:rsidRDefault="002A543E">
      <w:pPr>
        <w:spacing w:before="0"/>
        <w:ind w:right="91"/>
        <w:rPr>
          <w:szCs w:val="24"/>
        </w:rPr>
      </w:pPr>
    </w:p>
    <w:p w:rsidR="00F11410" w:rsidRPr="008E0401" w:rsidRDefault="002A543E">
      <w:pPr>
        <w:spacing w:before="0"/>
        <w:ind w:right="91"/>
        <w:rPr>
          <w:szCs w:val="24"/>
        </w:rPr>
      </w:pPr>
      <w:r w:rsidRPr="008E0401">
        <w:rPr>
          <w:szCs w:val="24"/>
        </w:rPr>
        <w:t xml:space="preserve">Schedule 1 repeals the </w:t>
      </w:r>
      <w:r w:rsidRPr="008E0401">
        <w:rPr>
          <w:i/>
          <w:szCs w:val="24"/>
        </w:rPr>
        <w:t>Protection of the Sea (Shipping Levy) Regulations 1982.</w:t>
      </w:r>
    </w:p>
    <w:p w:rsidR="00F11410" w:rsidRPr="008E0401" w:rsidRDefault="00F11410">
      <w:pPr>
        <w:spacing w:before="0"/>
        <w:ind w:right="91"/>
        <w:rPr>
          <w:szCs w:val="24"/>
        </w:rPr>
      </w:pPr>
    </w:p>
    <w:p w:rsidR="00426998" w:rsidRPr="008E0401" w:rsidRDefault="00426998">
      <w:pPr>
        <w:spacing w:before="0"/>
        <w:ind w:right="91"/>
        <w:rPr>
          <w:szCs w:val="24"/>
        </w:rPr>
      </w:pPr>
    </w:p>
    <w:p w:rsidR="005118C6" w:rsidRPr="008E0401" w:rsidRDefault="005118C6">
      <w:pPr>
        <w:spacing w:before="0"/>
        <w:rPr>
          <w:szCs w:val="24"/>
        </w:rPr>
      </w:pPr>
      <w:r w:rsidRPr="008E0401">
        <w:rPr>
          <w:szCs w:val="24"/>
        </w:rPr>
        <w:br w:type="page"/>
      </w:r>
    </w:p>
    <w:p w:rsidR="005118C6" w:rsidRDefault="005118C6" w:rsidP="005118C6">
      <w:pPr>
        <w:spacing w:before="3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Statement of Compatibility with Human Rights</w:t>
      </w:r>
    </w:p>
    <w:p w:rsidR="005118C6" w:rsidRDefault="005118C6" w:rsidP="005118C6">
      <w:pPr>
        <w:spacing w:before="120" w:after="120"/>
        <w:jc w:val="center"/>
        <w:rPr>
          <w:szCs w:val="24"/>
        </w:rPr>
      </w:pPr>
      <w:r>
        <w:rPr>
          <w:i/>
          <w:szCs w:val="24"/>
        </w:rPr>
        <w:t>Prepared in accordance with Part 3 of the Human Rights (Parliamentary Scrutiny) Act 2011</w:t>
      </w:r>
    </w:p>
    <w:p w:rsidR="005118C6" w:rsidRDefault="005118C6" w:rsidP="005118C6">
      <w:pPr>
        <w:spacing w:before="120" w:after="120"/>
        <w:jc w:val="center"/>
        <w:rPr>
          <w:szCs w:val="24"/>
        </w:rPr>
      </w:pPr>
    </w:p>
    <w:p w:rsidR="005118C6" w:rsidRDefault="005118C6" w:rsidP="005118C6">
      <w:pPr>
        <w:spacing w:before="120" w:after="120"/>
        <w:jc w:val="center"/>
        <w:rPr>
          <w:b/>
          <w:szCs w:val="24"/>
        </w:rPr>
      </w:pPr>
      <w:r w:rsidRPr="005118C6">
        <w:rPr>
          <w:b/>
          <w:szCs w:val="24"/>
        </w:rPr>
        <w:t>Protection of the Sea (Shipping Levy) Regulation 2014</w:t>
      </w:r>
    </w:p>
    <w:p w:rsidR="005118C6" w:rsidRDefault="005118C6" w:rsidP="005118C6">
      <w:pPr>
        <w:spacing w:before="120" w:after="120"/>
        <w:jc w:val="center"/>
        <w:rPr>
          <w:szCs w:val="24"/>
        </w:rPr>
      </w:pPr>
    </w:p>
    <w:p w:rsidR="005118C6" w:rsidRDefault="005118C6" w:rsidP="005118C6">
      <w:pPr>
        <w:spacing w:before="120" w:after="120"/>
        <w:jc w:val="center"/>
        <w:rPr>
          <w:szCs w:val="24"/>
        </w:rPr>
      </w:pPr>
      <w:r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Cs w:val="24"/>
        </w:rPr>
        <w:t>Human Rights (Parliamentary Scrutiny) Act 2011</w:t>
      </w:r>
      <w:r>
        <w:rPr>
          <w:szCs w:val="24"/>
        </w:rPr>
        <w:t>.</w:t>
      </w:r>
    </w:p>
    <w:p w:rsidR="005118C6" w:rsidRDefault="005118C6" w:rsidP="005118C6">
      <w:pPr>
        <w:spacing w:before="120" w:after="120"/>
        <w:jc w:val="center"/>
        <w:rPr>
          <w:szCs w:val="24"/>
        </w:rPr>
      </w:pPr>
    </w:p>
    <w:p w:rsidR="005118C6" w:rsidRDefault="005118C6" w:rsidP="005118C6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Overview of the Bill/Legislative Instrument</w:t>
      </w:r>
    </w:p>
    <w:p w:rsidR="005118C6" w:rsidRPr="0038023D" w:rsidRDefault="005118C6" w:rsidP="005118C6">
      <w:pPr>
        <w:spacing w:before="0"/>
        <w:ind w:right="91"/>
      </w:pPr>
      <w:r>
        <w:t>The</w:t>
      </w:r>
      <w:r w:rsidRPr="0038023D">
        <w:t xml:space="preserve"> </w:t>
      </w:r>
      <w:r w:rsidRPr="0038023D">
        <w:rPr>
          <w:i/>
        </w:rPr>
        <w:t>Protection of the Sea (Shipping Levy) Act 1981</w:t>
      </w:r>
      <w:r w:rsidRPr="0038023D">
        <w:t xml:space="preserve"> (the Act) imposes a quarterly levy on ships of 24 metres or more in length and having on board a quantity of 10 tonnes or more of oil in bulk</w:t>
      </w:r>
      <w:r>
        <w:t xml:space="preserve"> as fuel or cargo</w:t>
      </w:r>
      <w:r w:rsidRPr="0038023D">
        <w:t xml:space="preserve">.  The rate of levy is currently prescribed in the </w:t>
      </w:r>
      <w:r w:rsidRPr="0038023D">
        <w:rPr>
          <w:i/>
        </w:rPr>
        <w:t>Protection of the Sea (Shipping Levy) Regulations 1982</w:t>
      </w:r>
      <w:r w:rsidRPr="0038023D">
        <w:t xml:space="preserve"> (the </w:t>
      </w:r>
      <w:r w:rsidR="004A2608">
        <w:t>1982</w:t>
      </w:r>
      <w:r w:rsidRPr="0038023D">
        <w:t xml:space="preserve"> Regulations) for the purposes of section 6 of the Act</w:t>
      </w:r>
      <w:r>
        <w:t>.  The current</w:t>
      </w:r>
      <w:r w:rsidRPr="0038023D">
        <w:t xml:space="preserve"> quarterly levy </w:t>
      </w:r>
      <w:r>
        <w:t>is</w:t>
      </w:r>
      <w:r w:rsidRPr="0038023D">
        <w:t xml:space="preserve"> 14.25 cents per ton of the net tonnage of a ship.</w:t>
      </w:r>
    </w:p>
    <w:p w:rsidR="005118C6" w:rsidRPr="0038023D" w:rsidRDefault="005118C6" w:rsidP="005118C6">
      <w:pPr>
        <w:spacing w:before="0"/>
        <w:ind w:right="91"/>
      </w:pPr>
    </w:p>
    <w:p w:rsidR="005118C6" w:rsidRDefault="005118C6" w:rsidP="005118C6">
      <w:pPr>
        <w:spacing w:before="0"/>
        <w:ind w:right="91"/>
        <w:rPr>
          <w:szCs w:val="24"/>
        </w:rPr>
      </w:pPr>
      <w:r w:rsidRPr="0038023D">
        <w:t>Th</w:t>
      </w:r>
      <w:r w:rsidR="004A2608">
        <w:t>is</w:t>
      </w:r>
      <w:r w:rsidRPr="0038023D">
        <w:t xml:space="preserve"> Regulation </w:t>
      </w:r>
      <w:r>
        <w:t>replace</w:t>
      </w:r>
      <w:r w:rsidR="004A2608">
        <w:t>s</w:t>
      </w:r>
      <w:r w:rsidRPr="0038023D">
        <w:t xml:space="preserve"> </w:t>
      </w:r>
      <w:r>
        <w:t xml:space="preserve">the </w:t>
      </w:r>
      <w:r w:rsidR="004A2608">
        <w:t>1982</w:t>
      </w:r>
      <w:r>
        <w:t xml:space="preserve"> </w:t>
      </w:r>
      <w:r w:rsidRPr="0038023D">
        <w:t>Regulation</w:t>
      </w:r>
      <w:r w:rsidR="004A2608">
        <w:t>s</w:t>
      </w:r>
      <w:r w:rsidRPr="0038023D">
        <w:t xml:space="preserve"> </w:t>
      </w:r>
      <w:r>
        <w:t xml:space="preserve">in order to </w:t>
      </w:r>
      <w:r w:rsidRPr="0038023D">
        <w:t xml:space="preserve">decrease the quarterly levy </w:t>
      </w:r>
      <w:r>
        <w:t xml:space="preserve">from 14.25 cents </w:t>
      </w:r>
      <w:r w:rsidRPr="0038023D">
        <w:t xml:space="preserve">to 11.25 cents per ton on all ships to which the Act applies, effective from </w:t>
      </w:r>
      <w:r>
        <w:t xml:space="preserve">1 July 2014, and remake the Regulation in the modern drafting style. </w:t>
      </w:r>
    </w:p>
    <w:p w:rsidR="005118C6" w:rsidRDefault="005118C6" w:rsidP="005118C6">
      <w:pPr>
        <w:spacing w:before="120" w:after="120"/>
        <w:rPr>
          <w:b/>
          <w:szCs w:val="24"/>
        </w:rPr>
      </w:pPr>
      <w:r>
        <w:rPr>
          <w:b/>
          <w:szCs w:val="24"/>
        </w:rPr>
        <w:t>Human rights implications</w:t>
      </w:r>
    </w:p>
    <w:p w:rsidR="005118C6" w:rsidRDefault="005118C6" w:rsidP="005118C6">
      <w:pPr>
        <w:spacing w:before="120" w:after="120"/>
        <w:rPr>
          <w:szCs w:val="24"/>
        </w:rPr>
      </w:pPr>
      <w:r>
        <w:rPr>
          <w:szCs w:val="24"/>
        </w:rPr>
        <w:t>This Legislative Instrument does not engage any of the applicable rights or freedoms.</w:t>
      </w:r>
    </w:p>
    <w:p w:rsidR="005118C6" w:rsidRDefault="005118C6" w:rsidP="005118C6">
      <w:pPr>
        <w:spacing w:before="120" w:after="120"/>
        <w:rPr>
          <w:b/>
          <w:szCs w:val="24"/>
        </w:rPr>
      </w:pPr>
      <w:r>
        <w:rPr>
          <w:b/>
          <w:szCs w:val="24"/>
        </w:rPr>
        <w:t>Conclusion</w:t>
      </w:r>
    </w:p>
    <w:p w:rsidR="005118C6" w:rsidRDefault="005118C6" w:rsidP="005118C6">
      <w:pPr>
        <w:spacing w:before="120" w:after="120"/>
        <w:rPr>
          <w:szCs w:val="24"/>
        </w:rPr>
      </w:pPr>
      <w:r>
        <w:rPr>
          <w:szCs w:val="24"/>
        </w:rPr>
        <w:t>This Legislative Instrument is compatible with human rights as it does not raise any human rights issues.</w:t>
      </w:r>
    </w:p>
    <w:p w:rsidR="007D0BF6" w:rsidRDefault="007D0BF6" w:rsidP="005118C6">
      <w:pPr>
        <w:spacing w:before="120" w:after="120"/>
        <w:jc w:val="center"/>
        <w:rPr>
          <w:szCs w:val="24"/>
        </w:rPr>
      </w:pPr>
    </w:p>
    <w:p w:rsidR="005118C6" w:rsidRPr="007D0BF6" w:rsidRDefault="007D0BF6" w:rsidP="005118C6">
      <w:pPr>
        <w:spacing w:before="120" w:after="120"/>
        <w:jc w:val="center"/>
        <w:rPr>
          <w:b/>
          <w:szCs w:val="24"/>
        </w:rPr>
      </w:pPr>
      <w:r w:rsidRPr="007D0BF6">
        <w:rPr>
          <w:b/>
          <w:szCs w:val="24"/>
        </w:rPr>
        <w:t>Warren Truss</w:t>
      </w:r>
    </w:p>
    <w:p w:rsidR="007D0BF6" w:rsidRPr="007D0BF6" w:rsidRDefault="007D0BF6" w:rsidP="005118C6">
      <w:pPr>
        <w:spacing w:before="120" w:after="120"/>
        <w:jc w:val="center"/>
        <w:rPr>
          <w:b/>
          <w:szCs w:val="24"/>
        </w:rPr>
      </w:pPr>
      <w:r w:rsidRPr="007D0BF6">
        <w:rPr>
          <w:b/>
          <w:szCs w:val="24"/>
        </w:rPr>
        <w:t xml:space="preserve">Minister for </w:t>
      </w:r>
      <w:r w:rsidR="003B208F">
        <w:rPr>
          <w:b/>
          <w:szCs w:val="24"/>
        </w:rPr>
        <w:t xml:space="preserve">Infrastructure </w:t>
      </w:r>
      <w:r w:rsidRPr="007D0BF6">
        <w:rPr>
          <w:b/>
          <w:szCs w:val="24"/>
        </w:rPr>
        <w:t>and Regional Development</w:t>
      </w:r>
    </w:p>
    <w:p w:rsidR="005118C6" w:rsidRDefault="005118C6">
      <w:pPr>
        <w:spacing w:before="0"/>
        <w:ind w:right="91"/>
      </w:pPr>
    </w:p>
    <w:sectPr w:rsidR="005118C6" w:rsidSect="008E0401">
      <w:footerReference w:type="default" r:id="rId8"/>
      <w:footerReference w:type="first" r:id="rId9"/>
      <w:pgSz w:w="11907" w:h="16840" w:code="9"/>
      <w:pgMar w:top="1077" w:right="1247" w:bottom="102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11" w:rsidRDefault="00016A11">
      <w:r>
        <w:separator/>
      </w:r>
    </w:p>
  </w:endnote>
  <w:endnote w:type="continuationSeparator" w:id="0">
    <w:p w:rsidR="00016A11" w:rsidRDefault="0001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11" w:rsidRDefault="00F819F6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875F2">
      <w:rPr>
        <w:noProof/>
      </w:rPr>
      <w:t>3</w:t>
    </w:r>
    <w:r>
      <w:rPr>
        <w:noProof/>
      </w:rPr>
      <w:fldChar w:fldCharType="end"/>
    </w:r>
  </w:p>
  <w:p w:rsidR="00016A11" w:rsidRDefault="00016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11" w:rsidRDefault="00F819F6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40E61">
      <w:rPr>
        <w:noProof/>
      </w:rPr>
      <w:t>3</w:t>
    </w:r>
    <w:r>
      <w:rPr>
        <w:noProof/>
      </w:rPr>
      <w:fldChar w:fldCharType="end"/>
    </w:r>
  </w:p>
  <w:p w:rsidR="00016A11" w:rsidRDefault="00016A11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11" w:rsidRDefault="00016A11">
      <w:r>
        <w:separator/>
      </w:r>
    </w:p>
  </w:footnote>
  <w:footnote w:type="continuationSeparator" w:id="0">
    <w:p w:rsidR="00016A11" w:rsidRDefault="0001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ECE"/>
    <w:multiLevelType w:val="hybridMultilevel"/>
    <w:tmpl w:val="F252E7CE"/>
    <w:lvl w:ilvl="0" w:tplc="4BA08CA4">
      <w:start w:val="3"/>
      <w:numFmt w:val="lowerRoman"/>
      <w:lvlText w:val="(%1)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319A1C76"/>
    <w:multiLevelType w:val="hybridMultilevel"/>
    <w:tmpl w:val="388CC3A6"/>
    <w:lvl w:ilvl="0" w:tplc="F9C20F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4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4E44393E"/>
    <w:multiLevelType w:val="hybridMultilevel"/>
    <w:tmpl w:val="79F2AAE0"/>
    <w:lvl w:ilvl="0" w:tplc="1368F598">
      <w:start w:val="1"/>
      <w:numFmt w:val="lowerRoman"/>
      <w:lvlText w:val="(%1)"/>
      <w:lvlJc w:val="left"/>
      <w:pPr>
        <w:tabs>
          <w:tab w:val="num" w:pos="1636"/>
        </w:tabs>
        <w:ind w:left="1636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46E7733"/>
    <w:multiLevelType w:val="hybridMultilevel"/>
    <w:tmpl w:val="B0F07FE2"/>
    <w:lvl w:ilvl="0" w:tplc="1368F598">
      <w:start w:val="1"/>
      <w:numFmt w:val="lowerRoman"/>
      <w:lvlText w:val="(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AU" w:vendorID="8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A"/>
    <w:rsid w:val="000033ED"/>
    <w:rsid w:val="00016A11"/>
    <w:rsid w:val="00033AD8"/>
    <w:rsid w:val="001548BA"/>
    <w:rsid w:val="00166970"/>
    <w:rsid w:val="00180291"/>
    <w:rsid w:val="00180B92"/>
    <w:rsid w:val="0019178E"/>
    <w:rsid w:val="001A60F7"/>
    <w:rsid w:val="001D179B"/>
    <w:rsid w:val="001F200B"/>
    <w:rsid w:val="002875F2"/>
    <w:rsid w:val="002A543E"/>
    <w:rsid w:val="00332EE0"/>
    <w:rsid w:val="0038023D"/>
    <w:rsid w:val="003B208F"/>
    <w:rsid w:val="00426998"/>
    <w:rsid w:val="00450AC3"/>
    <w:rsid w:val="00464F53"/>
    <w:rsid w:val="004726B8"/>
    <w:rsid w:val="004841D6"/>
    <w:rsid w:val="004A2608"/>
    <w:rsid w:val="005118C6"/>
    <w:rsid w:val="00513ECF"/>
    <w:rsid w:val="00521F3D"/>
    <w:rsid w:val="0056684C"/>
    <w:rsid w:val="00730E4C"/>
    <w:rsid w:val="007D0BF6"/>
    <w:rsid w:val="007F4003"/>
    <w:rsid w:val="00817C0C"/>
    <w:rsid w:val="00840E61"/>
    <w:rsid w:val="00857FFC"/>
    <w:rsid w:val="00883D41"/>
    <w:rsid w:val="008B7D64"/>
    <w:rsid w:val="008D5654"/>
    <w:rsid w:val="008E0401"/>
    <w:rsid w:val="00900E5A"/>
    <w:rsid w:val="00901F84"/>
    <w:rsid w:val="00907F36"/>
    <w:rsid w:val="00960160"/>
    <w:rsid w:val="009A3988"/>
    <w:rsid w:val="009A3DF9"/>
    <w:rsid w:val="009A44F9"/>
    <w:rsid w:val="009D526D"/>
    <w:rsid w:val="00A24B83"/>
    <w:rsid w:val="00B02416"/>
    <w:rsid w:val="00B60ED1"/>
    <w:rsid w:val="00B6157D"/>
    <w:rsid w:val="00B75775"/>
    <w:rsid w:val="00C8236E"/>
    <w:rsid w:val="00CD2527"/>
    <w:rsid w:val="00D22862"/>
    <w:rsid w:val="00D64011"/>
    <w:rsid w:val="00D72739"/>
    <w:rsid w:val="00D8092A"/>
    <w:rsid w:val="00DC07B5"/>
    <w:rsid w:val="00DC4D8F"/>
    <w:rsid w:val="00E01D74"/>
    <w:rsid w:val="00E27C7A"/>
    <w:rsid w:val="00E64D51"/>
    <w:rsid w:val="00EC4DB7"/>
    <w:rsid w:val="00F11410"/>
    <w:rsid w:val="00F819F6"/>
    <w:rsid w:val="00F81CC1"/>
    <w:rsid w:val="00F86651"/>
    <w:rsid w:val="00F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4F9"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rsid w:val="009A44F9"/>
    <w:pPr>
      <w:keepNext/>
      <w:numPr>
        <w:numId w:val="8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9A44F9"/>
    <w:pPr>
      <w:keepNext/>
      <w:numPr>
        <w:ilvl w:val="1"/>
        <w:numId w:val="8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A44F9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A44F9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rsid w:val="009A44F9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A44F9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9A44F9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rsid w:val="009A44F9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rsid w:val="009A44F9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44F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9A44F9"/>
    <w:pPr>
      <w:numPr>
        <w:numId w:val="28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link w:val="AppendixCharChar"/>
    <w:rsid w:val="009A44F9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9A44F9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9A44F9"/>
    <w:pPr>
      <w:ind w:left="1440" w:right="90" w:hanging="720"/>
    </w:pPr>
  </w:style>
  <w:style w:type="paragraph" w:customStyle="1" w:styleId="AppendixTitle">
    <w:name w:val="Appendix Title"/>
    <w:basedOn w:val="Normal"/>
    <w:rsid w:val="009A44F9"/>
    <w:pPr>
      <w:jc w:val="center"/>
    </w:pPr>
    <w:rPr>
      <w:b/>
    </w:rPr>
  </w:style>
  <w:style w:type="paragraph" w:styleId="DocumentMap">
    <w:name w:val="Document Map"/>
    <w:basedOn w:val="Normal"/>
    <w:semiHidden/>
    <w:rsid w:val="009A44F9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9A44F9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9A44F9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9A44F9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9A44F9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9A44F9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9A44F9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9A44F9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9A44F9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9A44F9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link w:val="HB-Paragraph-unnumbered"/>
    <w:rsid w:val="009A44F9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link w:val="HB-Paragraph-unnumberedCharChar"/>
    <w:rsid w:val="009A44F9"/>
    <w:pPr>
      <w:ind w:left="851"/>
    </w:pPr>
  </w:style>
  <w:style w:type="paragraph" w:customStyle="1" w:styleId="HB-dotpoint">
    <w:name w:val="HB - dotpoint"/>
    <w:basedOn w:val="Normal"/>
    <w:rsid w:val="009A44F9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9A44F9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9A44F9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9A44F9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sid w:val="009A44F9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link w:val="HB-ParagraphCharChar"/>
    <w:rsid w:val="009A44F9"/>
    <w:pPr>
      <w:numPr>
        <w:ilvl w:val="2"/>
        <w:numId w:val="8"/>
      </w:numPr>
      <w:spacing w:before="120" w:after="120"/>
    </w:pPr>
  </w:style>
  <w:style w:type="character" w:customStyle="1" w:styleId="HB-ParagraphCharChar">
    <w:name w:val="HB - Paragraph Char Char"/>
    <w:basedOn w:val="DefaultParagraphFont"/>
    <w:link w:val="HB-Paragraph"/>
    <w:rsid w:val="009A44F9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9A44F9"/>
    <w:pPr>
      <w:numPr>
        <w:numId w:val="5"/>
      </w:numPr>
      <w:spacing w:before="120"/>
    </w:pPr>
  </w:style>
  <w:style w:type="paragraph" w:customStyle="1" w:styleId="Indentedtext">
    <w:name w:val="Indented text"/>
    <w:basedOn w:val="Normal"/>
    <w:rsid w:val="009A44F9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9A44F9"/>
    <w:rPr>
      <w:color w:val="0000FF"/>
      <w:u w:val="single"/>
    </w:rPr>
  </w:style>
  <w:style w:type="paragraph" w:styleId="Title">
    <w:name w:val="Title"/>
    <w:basedOn w:val="Normal"/>
    <w:qFormat/>
    <w:rsid w:val="009A44F9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9A44F9"/>
    <w:pPr>
      <w:numPr>
        <w:numId w:val="3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rsid w:val="009A44F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A44F9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9A4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4F9"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rsid w:val="009A44F9"/>
    <w:pPr>
      <w:keepNext/>
      <w:numPr>
        <w:numId w:val="8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9A44F9"/>
    <w:pPr>
      <w:keepNext/>
      <w:numPr>
        <w:ilvl w:val="1"/>
        <w:numId w:val="8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A44F9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A44F9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rsid w:val="009A44F9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A44F9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9A44F9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rsid w:val="009A44F9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rsid w:val="009A44F9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44F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9A44F9"/>
    <w:pPr>
      <w:numPr>
        <w:numId w:val="28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link w:val="AppendixCharChar"/>
    <w:rsid w:val="009A44F9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9A44F9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9A44F9"/>
    <w:pPr>
      <w:ind w:left="1440" w:right="90" w:hanging="720"/>
    </w:pPr>
  </w:style>
  <w:style w:type="paragraph" w:customStyle="1" w:styleId="AppendixTitle">
    <w:name w:val="Appendix Title"/>
    <w:basedOn w:val="Normal"/>
    <w:rsid w:val="009A44F9"/>
    <w:pPr>
      <w:jc w:val="center"/>
    </w:pPr>
    <w:rPr>
      <w:b/>
    </w:rPr>
  </w:style>
  <w:style w:type="paragraph" w:styleId="DocumentMap">
    <w:name w:val="Document Map"/>
    <w:basedOn w:val="Normal"/>
    <w:semiHidden/>
    <w:rsid w:val="009A44F9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9A44F9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9A44F9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9A44F9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9A44F9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9A44F9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9A44F9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9A44F9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9A44F9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9A44F9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link w:val="HB-Paragraph-unnumbered"/>
    <w:rsid w:val="009A44F9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link w:val="HB-Paragraph-unnumberedCharChar"/>
    <w:rsid w:val="009A44F9"/>
    <w:pPr>
      <w:ind w:left="851"/>
    </w:pPr>
  </w:style>
  <w:style w:type="paragraph" w:customStyle="1" w:styleId="HB-dotpoint">
    <w:name w:val="HB - dotpoint"/>
    <w:basedOn w:val="Normal"/>
    <w:rsid w:val="009A44F9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9A44F9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9A44F9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9A44F9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sid w:val="009A44F9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link w:val="HB-ParagraphCharChar"/>
    <w:rsid w:val="009A44F9"/>
    <w:pPr>
      <w:numPr>
        <w:ilvl w:val="2"/>
        <w:numId w:val="8"/>
      </w:numPr>
      <w:spacing w:before="120" w:after="120"/>
    </w:pPr>
  </w:style>
  <w:style w:type="character" w:customStyle="1" w:styleId="HB-ParagraphCharChar">
    <w:name w:val="HB - Paragraph Char Char"/>
    <w:basedOn w:val="DefaultParagraphFont"/>
    <w:link w:val="HB-Paragraph"/>
    <w:rsid w:val="009A44F9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9A44F9"/>
    <w:pPr>
      <w:numPr>
        <w:numId w:val="5"/>
      </w:numPr>
      <w:spacing w:before="120"/>
    </w:pPr>
  </w:style>
  <w:style w:type="paragraph" w:customStyle="1" w:styleId="Indentedtext">
    <w:name w:val="Indented text"/>
    <w:basedOn w:val="Normal"/>
    <w:rsid w:val="009A44F9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9A44F9"/>
    <w:rPr>
      <w:color w:val="0000FF"/>
      <w:u w:val="single"/>
    </w:rPr>
  </w:style>
  <w:style w:type="paragraph" w:styleId="Title">
    <w:name w:val="Title"/>
    <w:basedOn w:val="Normal"/>
    <w:qFormat/>
    <w:rsid w:val="009A44F9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9A44F9"/>
    <w:pPr>
      <w:numPr>
        <w:numId w:val="3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rsid w:val="009A44F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A44F9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9A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199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templates\EXCO\EM%20for%20Regul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Regulations.dot</Template>
  <TotalTime>0</TotalTime>
  <Pages>3</Pages>
  <Words>892</Words>
  <Characters>4417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Dept. Prime Minister &amp; Cabinet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Jon Berney</dc:creator>
  <cp:lastModifiedBy>Davy, Gavin</cp:lastModifiedBy>
  <cp:revision>2</cp:revision>
  <cp:lastPrinted>2014-05-23T05:47:00Z</cp:lastPrinted>
  <dcterms:created xsi:type="dcterms:W3CDTF">2014-06-18T02:33:00Z</dcterms:created>
  <dcterms:modified xsi:type="dcterms:W3CDTF">2014-06-18T02:33:00Z</dcterms:modified>
</cp:coreProperties>
</file>