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C6" w:rsidRDefault="00AA45C6" w:rsidP="00043B6D">
      <w:pPr>
        <w:spacing w:before="0"/>
        <w:ind w:right="91"/>
        <w:rPr>
          <w:rFonts w:ascii="Lucida Sans Unicode" w:hAnsi="Lucida Sans Unicode" w:cs="Lucida Sans Unicode"/>
          <w:color w:val="000000"/>
          <w:sz w:val="17"/>
          <w:szCs w:val="17"/>
          <w:lang w:val="en"/>
        </w:rPr>
      </w:pPr>
      <w:bookmarkStart w:id="0" w:name="_GoBack"/>
      <w:bookmarkEnd w:id="0"/>
    </w:p>
    <w:p w:rsidR="00043B6D" w:rsidRDefault="00043B6D" w:rsidP="00043B6D">
      <w:pPr>
        <w:spacing w:before="0"/>
        <w:ind w:right="91"/>
        <w:rPr>
          <w:b/>
          <w:u w:val="single"/>
        </w:rPr>
      </w:pPr>
    </w:p>
    <w:p w:rsidR="002533F0" w:rsidRDefault="002533F0" w:rsidP="002533F0">
      <w:pPr>
        <w:spacing w:before="0"/>
        <w:ind w:right="91"/>
        <w:jc w:val="center"/>
      </w:pPr>
      <w:r>
        <w:rPr>
          <w:b/>
          <w:u w:val="single"/>
        </w:rPr>
        <w:t>EXPLANATORY STATEMENT</w:t>
      </w:r>
    </w:p>
    <w:p w:rsidR="00B52B87" w:rsidRDefault="00B52B87" w:rsidP="00852407">
      <w:pPr>
        <w:spacing w:before="0"/>
        <w:ind w:right="91"/>
        <w:rPr>
          <w:b/>
          <w:u w:val="single"/>
        </w:rPr>
      </w:pPr>
    </w:p>
    <w:p w:rsidR="002533F0" w:rsidRDefault="002533F0" w:rsidP="002533F0">
      <w:pPr>
        <w:spacing w:before="0"/>
        <w:ind w:right="91"/>
        <w:jc w:val="center"/>
        <w:rPr>
          <w:b/>
          <w:u w:val="single"/>
        </w:rPr>
      </w:pPr>
    </w:p>
    <w:p w:rsidR="002533F0" w:rsidRPr="00333B5D" w:rsidRDefault="00333B5D" w:rsidP="002533F0">
      <w:pPr>
        <w:spacing w:before="0"/>
        <w:ind w:right="91"/>
        <w:jc w:val="center"/>
        <w:rPr>
          <w:i/>
        </w:rPr>
      </w:pPr>
      <w:r>
        <w:rPr>
          <w:i/>
        </w:rPr>
        <w:t>Student Assistance (Education Institutions and Courses) Amendment Determination 2014 (No. 1)</w:t>
      </w:r>
    </w:p>
    <w:p w:rsidR="002533F0" w:rsidRDefault="002533F0" w:rsidP="002533F0">
      <w:pPr>
        <w:spacing w:before="0"/>
        <w:ind w:right="91"/>
        <w:jc w:val="center"/>
        <w:rPr>
          <w:i/>
        </w:rPr>
      </w:pPr>
    </w:p>
    <w:p w:rsidR="002533F0" w:rsidRPr="00956519" w:rsidRDefault="002533F0" w:rsidP="002533F0">
      <w:pPr>
        <w:spacing w:before="0"/>
        <w:ind w:right="91"/>
        <w:rPr>
          <w:b/>
        </w:rPr>
      </w:pPr>
      <w:r w:rsidRPr="00956519">
        <w:rPr>
          <w:b/>
        </w:rPr>
        <w:t>General outline</w:t>
      </w:r>
    </w:p>
    <w:p w:rsidR="00852407" w:rsidRPr="00852407" w:rsidRDefault="00852407" w:rsidP="00852407">
      <w:r w:rsidRPr="00852407">
        <w:t xml:space="preserve">The </w:t>
      </w:r>
      <w:r w:rsidR="00333B5D">
        <w:rPr>
          <w:i/>
        </w:rPr>
        <w:t>Student Assistance (Education Institutions and Courses) Amendment Determination 2014 (No. 1)</w:t>
      </w:r>
      <w:r w:rsidRPr="00852407">
        <w:t xml:space="preserve"> (the Amendment Determination) is made under subsection 5D(1) of the </w:t>
      </w:r>
      <w:r w:rsidRPr="00852407">
        <w:rPr>
          <w:i/>
        </w:rPr>
        <w:t>Student Assistance Act 1973</w:t>
      </w:r>
      <w:r w:rsidRPr="00852407">
        <w:t xml:space="preserve"> (the Act).  Subsection </w:t>
      </w:r>
      <w:proofErr w:type="gramStart"/>
      <w:r w:rsidRPr="00852407">
        <w:t>5D(</w:t>
      </w:r>
      <w:proofErr w:type="gramEnd"/>
      <w:r w:rsidRPr="00852407">
        <w:t xml:space="preserve">3) of the Act provides that a determination under subsection 5D(1) is a </w:t>
      </w:r>
      <w:r w:rsidR="00333B5D">
        <w:t>legislative</w:t>
      </w:r>
      <w:r w:rsidR="00333B5D" w:rsidRPr="00852407">
        <w:t xml:space="preserve"> </w:t>
      </w:r>
      <w:r w:rsidRPr="00852407">
        <w:t>instrument</w:t>
      </w:r>
      <w:r w:rsidRPr="00852407">
        <w:rPr>
          <w:i/>
        </w:rPr>
        <w:t>.</w:t>
      </w:r>
    </w:p>
    <w:p w:rsidR="00965D08" w:rsidRDefault="00852407" w:rsidP="00852407">
      <w:r w:rsidRPr="00852407">
        <w:t xml:space="preserve">The Amendment Determination amends the </w:t>
      </w:r>
      <w:r w:rsidRPr="00852407">
        <w:rPr>
          <w:i/>
        </w:rPr>
        <w:t>Student Assistance (Education Institutions and Courses) Determination 2009 (No. 2)</w:t>
      </w:r>
      <w:r w:rsidRPr="00852407">
        <w:t xml:space="preserve"> (</w:t>
      </w:r>
      <w:r w:rsidR="00CD16FD">
        <w:t xml:space="preserve">the </w:t>
      </w:r>
      <w:r w:rsidRPr="00852407">
        <w:t>Principal Determination).  The Amendment Determination makes technical amendments to the Principal Determination, particularly clarif</w:t>
      </w:r>
      <w:r w:rsidR="000269F7">
        <w:t>ying course types eligible for</w:t>
      </w:r>
      <w:r w:rsidR="0038093E">
        <w:t xml:space="preserve"> student</w:t>
      </w:r>
      <w:r w:rsidR="000269F7">
        <w:t xml:space="preserve"> payments, including </w:t>
      </w:r>
      <w:r w:rsidR="00CD16FD">
        <w:t>y</w:t>
      </w:r>
      <w:r w:rsidR="000269F7">
        <w:t xml:space="preserve">outh </w:t>
      </w:r>
      <w:r w:rsidR="00CD16FD">
        <w:t>a</w:t>
      </w:r>
      <w:r w:rsidR="000269F7">
        <w:t xml:space="preserve">llowance, </w:t>
      </w:r>
      <w:proofErr w:type="spellStart"/>
      <w:r w:rsidR="00CD16FD">
        <w:t>a</w:t>
      </w:r>
      <w:r w:rsidR="000269F7">
        <w:t>ustudy</w:t>
      </w:r>
      <w:proofErr w:type="spellEnd"/>
      <w:r w:rsidR="000269F7">
        <w:t xml:space="preserve"> and </w:t>
      </w:r>
      <w:r w:rsidR="00CD16FD">
        <w:t>p</w:t>
      </w:r>
      <w:r w:rsidR="000269F7">
        <w:t xml:space="preserve">ensioner </w:t>
      </w:r>
      <w:r w:rsidR="00CD16FD">
        <w:t>e</w:t>
      </w:r>
      <w:r w:rsidR="000269F7">
        <w:t xml:space="preserve">ducation </w:t>
      </w:r>
      <w:r w:rsidR="00CD16FD">
        <w:t>s</w:t>
      </w:r>
      <w:r w:rsidR="000269F7">
        <w:t>upplement (provided they meet the other qualification criteria for those payments).</w:t>
      </w:r>
    </w:p>
    <w:p w:rsidR="0015134A" w:rsidRPr="00956519" w:rsidRDefault="0015134A" w:rsidP="00852407">
      <w:pPr>
        <w:rPr>
          <w:rStyle w:val="BookTitle"/>
          <w:b/>
          <w:i w:val="0"/>
          <w:iCs w:val="0"/>
          <w:smallCaps w:val="0"/>
          <w:spacing w:val="0"/>
        </w:rPr>
      </w:pPr>
      <w:r w:rsidRPr="00956519">
        <w:rPr>
          <w:rStyle w:val="BookTitle"/>
          <w:b/>
          <w:i w:val="0"/>
          <w:iCs w:val="0"/>
          <w:smallCaps w:val="0"/>
          <w:spacing w:val="0"/>
        </w:rPr>
        <w:t>Background</w:t>
      </w:r>
    </w:p>
    <w:p w:rsidR="00221CB6" w:rsidRDefault="00333B5D" w:rsidP="00191AEC">
      <w:r>
        <w:t xml:space="preserve">Subsection </w:t>
      </w:r>
      <w:proofErr w:type="gramStart"/>
      <w:r>
        <w:t>5D(</w:t>
      </w:r>
      <w:proofErr w:type="gramEnd"/>
      <w:r>
        <w:t>1) of the Act provides that the Minister may</w:t>
      </w:r>
      <w:r w:rsidR="00221CB6">
        <w:t>, for the purposes of the Act, determine in writing that:</w:t>
      </w:r>
    </w:p>
    <w:p w:rsidR="00333B5D" w:rsidRDefault="00221CB6" w:rsidP="00FE02B7">
      <w:pPr>
        <w:pStyle w:val="ListParagraph"/>
        <w:numPr>
          <w:ilvl w:val="0"/>
          <w:numId w:val="9"/>
        </w:numPr>
      </w:pPr>
      <w:r>
        <w:t>a course of study or instruction is a secondary course, or a tertiary course; or</w:t>
      </w:r>
    </w:p>
    <w:p w:rsidR="00221CB6" w:rsidRDefault="00221CB6" w:rsidP="00FE02B7">
      <w:pPr>
        <w:pStyle w:val="ListParagraph"/>
        <w:numPr>
          <w:ilvl w:val="0"/>
          <w:numId w:val="9"/>
        </w:numPr>
      </w:pPr>
      <w:proofErr w:type="gramStart"/>
      <w:r>
        <w:t>a</w:t>
      </w:r>
      <w:proofErr w:type="gramEnd"/>
      <w:r>
        <w:t xml:space="preserve"> part of a course of study or instruction is a part of a secondary course or part of a tertiary course.</w:t>
      </w:r>
    </w:p>
    <w:p w:rsidR="00446D6C" w:rsidRDefault="00F92E1F" w:rsidP="00191AEC">
      <w:r>
        <w:t>The Princip</w:t>
      </w:r>
      <w:r w:rsidR="00333B5D">
        <w:t>a</w:t>
      </w:r>
      <w:r>
        <w:t>l Determination broadly outlines the institutions and courses</w:t>
      </w:r>
      <w:r w:rsidR="00221CB6">
        <w:t xml:space="preserve"> for the purpose of subsection</w:t>
      </w:r>
      <w:r w:rsidR="006E780B">
        <w:t>s 3(1) and</w:t>
      </w:r>
      <w:r w:rsidR="00221CB6">
        <w:t xml:space="preserve"> 5D(1)</w:t>
      </w:r>
      <w:r w:rsidR="006E780B">
        <w:t xml:space="preserve"> of the Act</w:t>
      </w:r>
      <w:r>
        <w:t>, specifying multiple levels of study at higher education institutions and registered training organisat</w:t>
      </w:r>
      <w:r w:rsidR="00146DD9">
        <w:t>ions</w:t>
      </w:r>
      <w:r w:rsidR="00221CB6">
        <w:t xml:space="preserve">. </w:t>
      </w:r>
      <w:r w:rsidR="003B6FFD">
        <w:t xml:space="preserve"> </w:t>
      </w:r>
      <w:r w:rsidR="00221CB6">
        <w:t xml:space="preserve">The determination of these courses for the purposes of the Act allows </w:t>
      </w:r>
      <w:r>
        <w:t>for students</w:t>
      </w:r>
      <w:r w:rsidR="00221CB6">
        <w:t xml:space="preserve"> studying these courses</w:t>
      </w:r>
      <w:r>
        <w:t xml:space="preserve"> to be eligible to receive student payments (</w:t>
      </w:r>
      <w:r w:rsidR="00CD16FD">
        <w:t>y</w:t>
      </w:r>
      <w:r>
        <w:t xml:space="preserve">outh </w:t>
      </w:r>
      <w:r w:rsidR="00CD16FD">
        <w:t>a</w:t>
      </w:r>
      <w:r>
        <w:t xml:space="preserve">llowance, </w:t>
      </w:r>
      <w:proofErr w:type="spellStart"/>
      <w:r w:rsidR="00CD16FD">
        <w:t>a</w:t>
      </w:r>
      <w:r>
        <w:t>ustudy</w:t>
      </w:r>
      <w:proofErr w:type="spellEnd"/>
      <w:r>
        <w:t xml:space="preserve"> and </w:t>
      </w:r>
      <w:r w:rsidR="00CD16FD">
        <w:t>p</w:t>
      </w:r>
      <w:r>
        <w:t xml:space="preserve">ensioner </w:t>
      </w:r>
      <w:r w:rsidR="00CD16FD">
        <w:t>e</w:t>
      </w:r>
      <w:r>
        <w:t xml:space="preserve">ducation </w:t>
      </w:r>
      <w:r w:rsidR="00CD16FD">
        <w:t>s</w:t>
      </w:r>
      <w:r>
        <w:t>upplement)</w:t>
      </w:r>
      <w:r w:rsidR="00CD16FD">
        <w:t>, subject to other relevant criteria being met</w:t>
      </w:r>
      <w:r>
        <w:t>.</w:t>
      </w:r>
    </w:p>
    <w:p w:rsidR="00F1167E" w:rsidRDefault="00F1167E" w:rsidP="00191AEC">
      <w:r w:rsidRPr="00F1167E">
        <w:t xml:space="preserve">Under subsection 33(3) of the </w:t>
      </w:r>
      <w:r w:rsidRPr="00F1167E">
        <w:rPr>
          <w:i/>
        </w:rPr>
        <w:t>Acts Interpretation Act 1901</w:t>
      </w:r>
      <w:r w:rsidRPr="00F1167E"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  </w:t>
      </w:r>
    </w:p>
    <w:p w:rsidR="000B4130" w:rsidRPr="00956519" w:rsidRDefault="000B4130" w:rsidP="004B54CA">
      <w:pPr>
        <w:rPr>
          <w:rStyle w:val="BookTitle"/>
          <w:b/>
          <w:i w:val="0"/>
          <w:iCs w:val="0"/>
          <w:smallCaps w:val="0"/>
          <w:spacing w:val="0"/>
        </w:rPr>
      </w:pPr>
      <w:r w:rsidRPr="00956519">
        <w:rPr>
          <w:rStyle w:val="BookTitle"/>
          <w:b/>
          <w:i w:val="0"/>
          <w:iCs w:val="0"/>
          <w:smallCaps w:val="0"/>
          <w:spacing w:val="0"/>
        </w:rPr>
        <w:t>Commencement</w:t>
      </w:r>
    </w:p>
    <w:p w:rsidR="000B4130" w:rsidRDefault="002A0E63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 xml:space="preserve">The </w:t>
      </w:r>
      <w:r w:rsidR="00333B5D">
        <w:rPr>
          <w:rStyle w:val="BookTitle"/>
          <w:i w:val="0"/>
          <w:iCs w:val="0"/>
          <w:smallCaps w:val="0"/>
          <w:spacing w:val="0"/>
        </w:rPr>
        <w:t xml:space="preserve">Amendment Determination </w:t>
      </w:r>
      <w:r w:rsidR="000B4130">
        <w:rPr>
          <w:rStyle w:val="BookTitle"/>
          <w:i w:val="0"/>
          <w:iCs w:val="0"/>
          <w:smallCaps w:val="0"/>
          <w:spacing w:val="0"/>
        </w:rPr>
        <w:t xml:space="preserve">commences on </w:t>
      </w:r>
      <w:r w:rsidR="009D56AD">
        <w:rPr>
          <w:rStyle w:val="BookTitle"/>
          <w:i w:val="0"/>
          <w:iCs w:val="0"/>
          <w:smallCaps w:val="0"/>
          <w:spacing w:val="0"/>
        </w:rPr>
        <w:t>1 July</w:t>
      </w:r>
      <w:r w:rsidR="00F92E1F">
        <w:rPr>
          <w:rStyle w:val="BookTitle"/>
          <w:i w:val="0"/>
          <w:iCs w:val="0"/>
          <w:smallCaps w:val="0"/>
          <w:spacing w:val="0"/>
        </w:rPr>
        <w:t xml:space="preserve"> 2014.</w:t>
      </w:r>
    </w:p>
    <w:p w:rsidR="006A6D51" w:rsidRPr="00956519" w:rsidRDefault="006A6D51" w:rsidP="00E01E71">
      <w:pPr>
        <w:rPr>
          <w:rStyle w:val="BookTitle"/>
          <w:b/>
          <w:i w:val="0"/>
          <w:iCs w:val="0"/>
          <w:smallCaps w:val="0"/>
          <w:spacing w:val="0"/>
        </w:rPr>
      </w:pPr>
      <w:r w:rsidRPr="00956519">
        <w:rPr>
          <w:rStyle w:val="BookTitle"/>
          <w:b/>
          <w:i w:val="0"/>
          <w:iCs w:val="0"/>
          <w:smallCaps w:val="0"/>
          <w:spacing w:val="0"/>
        </w:rPr>
        <w:t>Consultation</w:t>
      </w:r>
    </w:p>
    <w:p w:rsidR="00D367AA" w:rsidRDefault="00F92E1F" w:rsidP="00E01E71">
      <w:pPr>
        <w:rPr>
          <w:szCs w:val="24"/>
        </w:rPr>
      </w:pPr>
      <w:r>
        <w:rPr>
          <w:szCs w:val="24"/>
        </w:rPr>
        <w:t>The Department</w:t>
      </w:r>
      <w:r w:rsidR="00025DB5">
        <w:rPr>
          <w:szCs w:val="24"/>
        </w:rPr>
        <w:t xml:space="preserve"> of Social Services</w:t>
      </w:r>
      <w:r>
        <w:rPr>
          <w:szCs w:val="24"/>
        </w:rPr>
        <w:t xml:space="preserve"> </w:t>
      </w:r>
      <w:r w:rsidR="00FE02B7">
        <w:rPr>
          <w:szCs w:val="24"/>
        </w:rPr>
        <w:t>has</w:t>
      </w:r>
      <w:r>
        <w:rPr>
          <w:szCs w:val="24"/>
        </w:rPr>
        <w:t xml:space="preserve"> consulted with the Department of Human Services on the making of the Amendment Determination</w:t>
      </w:r>
      <w:r w:rsidR="009F6343">
        <w:rPr>
          <w:szCs w:val="24"/>
        </w:rPr>
        <w:t>.</w:t>
      </w:r>
      <w:r>
        <w:rPr>
          <w:szCs w:val="24"/>
        </w:rPr>
        <w:t xml:space="preserve"> </w:t>
      </w:r>
    </w:p>
    <w:p w:rsidR="00F92E1F" w:rsidRPr="007C5234" w:rsidRDefault="00F92E1F" w:rsidP="00E01E71"/>
    <w:p w:rsidR="002329E1" w:rsidRDefault="002329E1" w:rsidP="002329E1">
      <w:pPr>
        <w:spacing w:before="0" w:after="240"/>
        <w:jc w:val="both"/>
        <w:rPr>
          <w:b/>
          <w:u w:val="single"/>
        </w:rPr>
      </w:pPr>
      <w:r w:rsidRPr="00D367AA">
        <w:rPr>
          <w:b/>
          <w:u w:val="single"/>
        </w:rPr>
        <w:t>Regulat</w:t>
      </w:r>
      <w:r w:rsidR="00D459E0">
        <w:rPr>
          <w:b/>
          <w:u w:val="single"/>
        </w:rPr>
        <w:t>ion</w:t>
      </w:r>
      <w:r w:rsidRPr="00D367AA">
        <w:rPr>
          <w:b/>
          <w:u w:val="single"/>
        </w:rPr>
        <w:t xml:space="preserve"> Impact </w:t>
      </w:r>
      <w:r w:rsidR="00D459E0">
        <w:rPr>
          <w:b/>
          <w:u w:val="single"/>
        </w:rPr>
        <w:t>Statement</w:t>
      </w:r>
    </w:p>
    <w:p w:rsidR="00D367AA" w:rsidRDefault="00F92E1F" w:rsidP="00D367AA">
      <w:pPr>
        <w:rPr>
          <w:szCs w:val="24"/>
        </w:rPr>
      </w:pPr>
      <w:r>
        <w:rPr>
          <w:szCs w:val="24"/>
        </w:rPr>
        <w:t>The Amendment Determination does not require a Regulatory Impact Statement.</w:t>
      </w:r>
      <w:r w:rsidR="003B6FFD">
        <w:rPr>
          <w:szCs w:val="24"/>
        </w:rPr>
        <w:t xml:space="preserve"> </w:t>
      </w:r>
      <w:r>
        <w:rPr>
          <w:szCs w:val="24"/>
        </w:rPr>
        <w:t xml:space="preserve"> The Amendment Determination is not regulatory in nature, will not impact on business activity and will have no, or minimal, compliance costs or competition impact.</w:t>
      </w:r>
    </w:p>
    <w:p w:rsidR="006A6D51" w:rsidRPr="00576330" w:rsidRDefault="006A6D51" w:rsidP="004B54CA">
      <w:pPr>
        <w:rPr>
          <w:rStyle w:val="BookTitle"/>
          <w:b/>
          <w:i w:val="0"/>
          <w:iCs w:val="0"/>
          <w:smallCaps w:val="0"/>
          <w:spacing w:val="0"/>
          <w:u w:val="single"/>
        </w:rPr>
      </w:pPr>
      <w:r w:rsidRPr="00576330">
        <w:rPr>
          <w:rStyle w:val="BookTitle"/>
          <w:b/>
          <w:i w:val="0"/>
          <w:iCs w:val="0"/>
          <w:smallCaps w:val="0"/>
          <w:spacing w:val="0"/>
          <w:u w:val="single"/>
        </w:rPr>
        <w:t>Explanation of the provisions</w:t>
      </w:r>
    </w:p>
    <w:p w:rsidR="00871F28" w:rsidRDefault="00365424" w:rsidP="00871F28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  <w:u w:val="single"/>
        </w:rPr>
        <w:t>Section</w:t>
      </w:r>
      <w:r w:rsidR="00871F28" w:rsidRPr="00E1662A">
        <w:rPr>
          <w:rStyle w:val="BookTitle"/>
          <w:i w:val="0"/>
          <w:iCs w:val="0"/>
          <w:smallCaps w:val="0"/>
          <w:spacing w:val="0"/>
          <w:u w:val="single"/>
        </w:rPr>
        <w:t xml:space="preserve"> 1</w:t>
      </w:r>
      <w:r w:rsidR="00871F28" w:rsidRPr="00767511">
        <w:rPr>
          <w:rStyle w:val="BookTitle"/>
          <w:i w:val="0"/>
          <w:iCs w:val="0"/>
          <w:smallCaps w:val="0"/>
          <w:spacing w:val="0"/>
        </w:rPr>
        <w:t xml:space="preserve"> </w:t>
      </w:r>
    </w:p>
    <w:p w:rsidR="00446D6C" w:rsidRPr="00870311" w:rsidRDefault="00870311" w:rsidP="00871F28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 xml:space="preserve">This section provides that the name of the Determination is the </w:t>
      </w:r>
      <w:r>
        <w:rPr>
          <w:i/>
        </w:rPr>
        <w:t>Student Assistance (Education Institutions and Courses) Amendment Determination 2014 (No. 1)</w:t>
      </w:r>
      <w:r>
        <w:t>.</w:t>
      </w:r>
    </w:p>
    <w:p w:rsidR="00871F28" w:rsidRDefault="00365424" w:rsidP="00871F28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  <w:u w:val="single"/>
        </w:rPr>
        <w:t>Section</w:t>
      </w:r>
      <w:r w:rsidR="00446D6C">
        <w:rPr>
          <w:rStyle w:val="BookTitle"/>
          <w:i w:val="0"/>
          <w:iCs w:val="0"/>
          <w:smallCaps w:val="0"/>
          <w:spacing w:val="0"/>
          <w:u w:val="single"/>
        </w:rPr>
        <w:t xml:space="preserve"> 2 </w:t>
      </w:r>
      <w:r w:rsidR="00871F28">
        <w:rPr>
          <w:rStyle w:val="BookTitle"/>
          <w:i w:val="0"/>
          <w:iCs w:val="0"/>
          <w:smallCaps w:val="0"/>
          <w:spacing w:val="0"/>
        </w:rPr>
        <w:t xml:space="preserve"> </w:t>
      </w:r>
    </w:p>
    <w:p w:rsidR="00870311" w:rsidRPr="00870311" w:rsidRDefault="00870311" w:rsidP="00871F28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 xml:space="preserve">This section provides that the </w:t>
      </w:r>
      <w:r w:rsidR="00BB4C3D">
        <w:rPr>
          <w:rStyle w:val="BookTitle"/>
          <w:i w:val="0"/>
          <w:iCs w:val="0"/>
          <w:smallCaps w:val="0"/>
          <w:spacing w:val="0"/>
        </w:rPr>
        <w:t xml:space="preserve">Amendment </w:t>
      </w:r>
      <w:r>
        <w:rPr>
          <w:rStyle w:val="BookTitle"/>
          <w:i w:val="0"/>
          <w:iCs w:val="0"/>
          <w:smallCaps w:val="0"/>
          <w:spacing w:val="0"/>
        </w:rPr>
        <w:t xml:space="preserve">Determination commences on </w:t>
      </w:r>
      <w:r w:rsidR="00574494">
        <w:rPr>
          <w:rStyle w:val="BookTitle"/>
          <w:i w:val="0"/>
          <w:iCs w:val="0"/>
          <w:smallCaps w:val="0"/>
          <w:spacing w:val="0"/>
        </w:rPr>
        <w:t>1 July</w:t>
      </w:r>
      <w:r>
        <w:rPr>
          <w:rStyle w:val="BookTitle"/>
          <w:i w:val="0"/>
          <w:iCs w:val="0"/>
          <w:smallCaps w:val="0"/>
          <w:spacing w:val="0"/>
        </w:rPr>
        <w:t xml:space="preserve"> 2014.</w:t>
      </w:r>
    </w:p>
    <w:p w:rsidR="00870311" w:rsidRDefault="00870311" w:rsidP="00871F28">
      <w:pPr>
        <w:rPr>
          <w:rStyle w:val="BookTitle"/>
          <w:i w:val="0"/>
          <w:iCs w:val="0"/>
          <w:smallCaps w:val="0"/>
          <w:spacing w:val="0"/>
          <w:u w:val="single"/>
        </w:rPr>
      </w:pPr>
      <w:r>
        <w:rPr>
          <w:rStyle w:val="BookTitle"/>
          <w:i w:val="0"/>
          <w:iCs w:val="0"/>
          <w:smallCaps w:val="0"/>
          <w:spacing w:val="0"/>
          <w:u w:val="single"/>
        </w:rPr>
        <w:t>Section 3</w:t>
      </w:r>
    </w:p>
    <w:p w:rsidR="00870311" w:rsidRPr="00870311" w:rsidRDefault="00870311" w:rsidP="00871F28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>This section provides that Schedule 1 to th</w:t>
      </w:r>
      <w:r w:rsidR="00BB4C3D">
        <w:rPr>
          <w:rStyle w:val="BookTitle"/>
          <w:i w:val="0"/>
          <w:iCs w:val="0"/>
          <w:smallCaps w:val="0"/>
          <w:spacing w:val="0"/>
        </w:rPr>
        <w:t>e Amendment</w:t>
      </w:r>
      <w:r>
        <w:rPr>
          <w:rStyle w:val="BookTitle"/>
          <w:i w:val="0"/>
          <w:iCs w:val="0"/>
          <w:smallCaps w:val="0"/>
          <w:spacing w:val="0"/>
        </w:rPr>
        <w:t xml:space="preserve"> Determination amends the </w:t>
      </w:r>
      <w:r>
        <w:rPr>
          <w:i/>
        </w:rPr>
        <w:t>Student Assistance (Education Institutions and Courses) Determination 2009 (No.2)</w:t>
      </w:r>
      <w:r>
        <w:t xml:space="preserve"> which is referred to as ‘the Principal Determination’ in this Determination.</w:t>
      </w:r>
    </w:p>
    <w:p w:rsidR="00871F28" w:rsidRDefault="00871F28" w:rsidP="00871F28">
      <w:pPr>
        <w:rPr>
          <w:rStyle w:val="BookTitle"/>
          <w:i w:val="0"/>
          <w:iCs w:val="0"/>
          <w:smallCaps w:val="0"/>
          <w:spacing w:val="0"/>
        </w:rPr>
      </w:pPr>
      <w:r w:rsidRPr="008D7A97">
        <w:rPr>
          <w:rStyle w:val="BookTitle"/>
          <w:i w:val="0"/>
          <w:iCs w:val="0"/>
          <w:smallCaps w:val="0"/>
          <w:spacing w:val="0"/>
          <w:u w:val="single"/>
        </w:rPr>
        <w:t xml:space="preserve">Schedule </w:t>
      </w:r>
      <w:r w:rsidR="00446D6C">
        <w:rPr>
          <w:rStyle w:val="BookTitle"/>
          <w:i w:val="0"/>
          <w:iCs w:val="0"/>
          <w:smallCaps w:val="0"/>
          <w:spacing w:val="0"/>
          <w:u w:val="single"/>
        </w:rPr>
        <w:t>1</w:t>
      </w:r>
      <w:r>
        <w:rPr>
          <w:rStyle w:val="BookTitle"/>
          <w:i w:val="0"/>
          <w:iCs w:val="0"/>
          <w:smallCaps w:val="0"/>
          <w:spacing w:val="0"/>
        </w:rPr>
        <w:t xml:space="preserve"> </w:t>
      </w:r>
    </w:p>
    <w:p w:rsidR="00871F28" w:rsidRDefault="00870311" w:rsidP="00871F28">
      <w:pPr>
        <w:rPr>
          <w:rStyle w:val="BookTitle"/>
          <w:i w:val="0"/>
          <w:iCs w:val="0"/>
          <w:smallCaps w:val="0"/>
          <w:spacing w:val="0"/>
          <w:u w:val="single"/>
        </w:rPr>
      </w:pPr>
      <w:r>
        <w:rPr>
          <w:rStyle w:val="BookTitle"/>
          <w:i w:val="0"/>
          <w:iCs w:val="0"/>
          <w:smallCaps w:val="0"/>
          <w:spacing w:val="0"/>
          <w:u w:val="single"/>
        </w:rPr>
        <w:t>Item 1</w:t>
      </w:r>
    </w:p>
    <w:p w:rsidR="00870311" w:rsidRDefault="00870311" w:rsidP="00871F28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>This is a technical amendment that corrects a typographical omission in the definition of “accredited higher education course”</w:t>
      </w:r>
      <w:r w:rsidR="000F17C2">
        <w:rPr>
          <w:rStyle w:val="BookTitle"/>
          <w:i w:val="0"/>
          <w:iCs w:val="0"/>
          <w:smallCaps w:val="0"/>
          <w:spacing w:val="0"/>
        </w:rPr>
        <w:t xml:space="preserve"> in section 4 of the Principal Determination</w:t>
      </w:r>
      <w:r>
        <w:rPr>
          <w:rStyle w:val="BookTitle"/>
          <w:i w:val="0"/>
          <w:iCs w:val="0"/>
          <w:smallCaps w:val="0"/>
          <w:spacing w:val="0"/>
        </w:rPr>
        <w:t>.</w:t>
      </w:r>
    </w:p>
    <w:p w:rsidR="00870311" w:rsidRDefault="00870311" w:rsidP="00871F28">
      <w:pPr>
        <w:rPr>
          <w:rStyle w:val="BookTitle"/>
          <w:i w:val="0"/>
          <w:iCs w:val="0"/>
          <w:smallCaps w:val="0"/>
          <w:spacing w:val="0"/>
          <w:u w:val="single"/>
        </w:rPr>
      </w:pPr>
      <w:r>
        <w:rPr>
          <w:rStyle w:val="BookTitle"/>
          <w:i w:val="0"/>
          <w:iCs w:val="0"/>
          <w:smallCaps w:val="0"/>
          <w:spacing w:val="0"/>
          <w:u w:val="single"/>
        </w:rPr>
        <w:t>Item 2</w:t>
      </w:r>
    </w:p>
    <w:p w:rsidR="00870311" w:rsidRDefault="00870311" w:rsidP="00871F28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>This item repeals the definition of “Australian Apprenticeships Access Programme”</w:t>
      </w:r>
      <w:r w:rsidR="000F17C2">
        <w:rPr>
          <w:rStyle w:val="BookTitle"/>
          <w:i w:val="0"/>
          <w:iCs w:val="0"/>
          <w:smallCaps w:val="0"/>
          <w:spacing w:val="0"/>
        </w:rPr>
        <w:t xml:space="preserve"> in section 4 of the Principal Determination</w:t>
      </w:r>
      <w:r>
        <w:rPr>
          <w:rStyle w:val="BookTitle"/>
          <w:i w:val="0"/>
          <w:iCs w:val="0"/>
          <w:smallCaps w:val="0"/>
          <w:spacing w:val="0"/>
        </w:rPr>
        <w:t xml:space="preserve"> and substitutes a new definition. </w:t>
      </w:r>
      <w:r w:rsidR="003B6FFD">
        <w:rPr>
          <w:rStyle w:val="BookTitle"/>
          <w:i w:val="0"/>
          <w:iCs w:val="0"/>
          <w:smallCaps w:val="0"/>
          <w:spacing w:val="0"/>
        </w:rPr>
        <w:t xml:space="preserve"> </w:t>
      </w:r>
      <w:r>
        <w:rPr>
          <w:rStyle w:val="BookTitle"/>
          <w:i w:val="0"/>
          <w:iCs w:val="0"/>
          <w:smallCaps w:val="0"/>
          <w:spacing w:val="0"/>
        </w:rPr>
        <w:t xml:space="preserve">The new definition </w:t>
      </w:r>
      <w:r w:rsidR="009C3B63">
        <w:rPr>
          <w:rStyle w:val="BookTitle"/>
          <w:i w:val="0"/>
          <w:iCs w:val="0"/>
          <w:smallCaps w:val="0"/>
          <w:spacing w:val="0"/>
        </w:rPr>
        <w:t xml:space="preserve">recognises </w:t>
      </w:r>
      <w:r>
        <w:rPr>
          <w:rStyle w:val="BookTitle"/>
          <w:i w:val="0"/>
          <w:iCs w:val="0"/>
          <w:smallCaps w:val="0"/>
          <w:spacing w:val="0"/>
        </w:rPr>
        <w:t xml:space="preserve">that the Department of Industry is now </w:t>
      </w:r>
      <w:r w:rsidR="000F17C2">
        <w:rPr>
          <w:rStyle w:val="BookTitle"/>
          <w:i w:val="0"/>
          <w:iCs w:val="0"/>
          <w:smallCaps w:val="0"/>
          <w:spacing w:val="0"/>
        </w:rPr>
        <w:t>responsible for the funding of the programme following changes to administrative arrangements.</w:t>
      </w:r>
    </w:p>
    <w:p w:rsidR="000F17C2" w:rsidRDefault="000F17C2" w:rsidP="00871F28">
      <w:pPr>
        <w:rPr>
          <w:rStyle w:val="BookTitle"/>
          <w:i w:val="0"/>
          <w:iCs w:val="0"/>
          <w:smallCaps w:val="0"/>
          <w:spacing w:val="0"/>
          <w:u w:val="single"/>
        </w:rPr>
      </w:pPr>
      <w:r>
        <w:rPr>
          <w:rStyle w:val="BookTitle"/>
          <w:i w:val="0"/>
          <w:iCs w:val="0"/>
          <w:smallCaps w:val="0"/>
          <w:spacing w:val="0"/>
          <w:u w:val="single"/>
        </w:rPr>
        <w:t>Item 3</w:t>
      </w:r>
    </w:p>
    <w:p w:rsidR="000F17C2" w:rsidRDefault="000F17C2" w:rsidP="00871F28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 xml:space="preserve">This item repeals the definition of “Integrated undergraduate/postgraduate course” in section 4 of the </w:t>
      </w:r>
      <w:r w:rsidR="00767130">
        <w:rPr>
          <w:rStyle w:val="BookTitle"/>
          <w:i w:val="0"/>
          <w:iCs w:val="0"/>
          <w:smallCaps w:val="0"/>
          <w:spacing w:val="0"/>
        </w:rPr>
        <w:t xml:space="preserve">Principal </w:t>
      </w:r>
      <w:r>
        <w:rPr>
          <w:rStyle w:val="BookTitle"/>
          <w:i w:val="0"/>
          <w:iCs w:val="0"/>
          <w:smallCaps w:val="0"/>
          <w:spacing w:val="0"/>
        </w:rPr>
        <w:t xml:space="preserve">Determination. </w:t>
      </w:r>
      <w:r w:rsidR="003B6FFD">
        <w:rPr>
          <w:rStyle w:val="BookTitle"/>
          <w:i w:val="0"/>
          <w:iCs w:val="0"/>
          <w:smallCaps w:val="0"/>
          <w:spacing w:val="0"/>
        </w:rPr>
        <w:t xml:space="preserve"> </w:t>
      </w:r>
      <w:r>
        <w:rPr>
          <w:rStyle w:val="BookTitle"/>
          <w:i w:val="0"/>
          <w:iCs w:val="0"/>
          <w:smallCaps w:val="0"/>
          <w:spacing w:val="0"/>
        </w:rPr>
        <w:t xml:space="preserve">Following the amendments made by item 7 of </w:t>
      </w:r>
      <w:r w:rsidR="00BB4C3D">
        <w:rPr>
          <w:rStyle w:val="BookTitle"/>
          <w:i w:val="0"/>
          <w:iCs w:val="0"/>
          <w:smallCaps w:val="0"/>
          <w:spacing w:val="0"/>
        </w:rPr>
        <w:t xml:space="preserve">the Amendment </w:t>
      </w:r>
      <w:r>
        <w:rPr>
          <w:rStyle w:val="BookTitle"/>
          <w:i w:val="0"/>
          <w:iCs w:val="0"/>
          <w:smallCaps w:val="0"/>
          <w:spacing w:val="0"/>
        </w:rPr>
        <w:t>Determination, an ‘Integrated undergraduate/postgraduate course’ is no longer a tertiary course specified in Schedule 2 to the Principal Determination.</w:t>
      </w:r>
      <w:r w:rsidR="003B6FFD">
        <w:rPr>
          <w:rStyle w:val="BookTitle"/>
          <w:i w:val="0"/>
          <w:iCs w:val="0"/>
          <w:smallCaps w:val="0"/>
          <w:spacing w:val="0"/>
        </w:rPr>
        <w:t xml:space="preserve"> </w:t>
      </w:r>
      <w:r>
        <w:rPr>
          <w:rStyle w:val="BookTitle"/>
          <w:i w:val="0"/>
          <w:iCs w:val="0"/>
          <w:smallCaps w:val="0"/>
          <w:spacing w:val="0"/>
        </w:rPr>
        <w:t>As such, the definition in section 4 can also be repealed.</w:t>
      </w:r>
    </w:p>
    <w:p w:rsidR="000F17C2" w:rsidRDefault="000F17C2" w:rsidP="00871F28">
      <w:pPr>
        <w:rPr>
          <w:rStyle w:val="BookTitle"/>
          <w:i w:val="0"/>
          <w:iCs w:val="0"/>
          <w:smallCaps w:val="0"/>
          <w:spacing w:val="0"/>
          <w:u w:val="single"/>
        </w:rPr>
      </w:pPr>
      <w:r>
        <w:rPr>
          <w:rStyle w:val="BookTitle"/>
          <w:i w:val="0"/>
          <w:iCs w:val="0"/>
          <w:smallCaps w:val="0"/>
          <w:spacing w:val="0"/>
          <w:u w:val="single"/>
        </w:rPr>
        <w:t>Item 4</w:t>
      </w:r>
    </w:p>
    <w:p w:rsidR="000F17C2" w:rsidRDefault="000F17C2" w:rsidP="00871F28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 xml:space="preserve">This item corrects a typographical omission in the reference to the </w:t>
      </w:r>
      <w:r>
        <w:rPr>
          <w:rStyle w:val="BookTitle"/>
          <w:iCs w:val="0"/>
          <w:smallCaps w:val="0"/>
          <w:spacing w:val="0"/>
        </w:rPr>
        <w:t>National Vocational Education and Training Regulator Act 2011</w:t>
      </w:r>
      <w:r>
        <w:rPr>
          <w:rStyle w:val="BookTitle"/>
          <w:i w:val="0"/>
          <w:iCs w:val="0"/>
          <w:smallCaps w:val="0"/>
          <w:spacing w:val="0"/>
        </w:rPr>
        <w:t xml:space="preserve"> in the definition of “VET course” in section 4 of the Principal Determination.</w:t>
      </w:r>
    </w:p>
    <w:p w:rsidR="00F2374D" w:rsidRDefault="00F2374D" w:rsidP="00871F28">
      <w:pPr>
        <w:rPr>
          <w:rStyle w:val="BookTitle"/>
          <w:i w:val="0"/>
          <w:iCs w:val="0"/>
          <w:smallCaps w:val="0"/>
          <w:spacing w:val="0"/>
          <w:u w:val="single"/>
        </w:rPr>
      </w:pPr>
    </w:p>
    <w:p w:rsidR="000F17C2" w:rsidRDefault="000F17C2" w:rsidP="00871F28">
      <w:pPr>
        <w:rPr>
          <w:rStyle w:val="BookTitle"/>
          <w:i w:val="0"/>
          <w:iCs w:val="0"/>
          <w:smallCaps w:val="0"/>
          <w:spacing w:val="0"/>
          <w:u w:val="single"/>
        </w:rPr>
      </w:pPr>
      <w:r>
        <w:rPr>
          <w:rStyle w:val="BookTitle"/>
          <w:i w:val="0"/>
          <w:iCs w:val="0"/>
          <w:smallCaps w:val="0"/>
          <w:spacing w:val="0"/>
          <w:u w:val="single"/>
        </w:rPr>
        <w:t xml:space="preserve">Item 5 </w:t>
      </w:r>
    </w:p>
    <w:p w:rsidR="000F17C2" w:rsidRDefault="000F17C2" w:rsidP="00871F28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 xml:space="preserve">This is a technical amendment that </w:t>
      </w:r>
      <w:r w:rsidR="00767130">
        <w:rPr>
          <w:rStyle w:val="BookTitle"/>
          <w:i w:val="0"/>
          <w:iCs w:val="0"/>
          <w:smallCaps w:val="0"/>
          <w:spacing w:val="0"/>
        </w:rPr>
        <w:t>corrects an incorrect reference to a provision in subsection 10(2) of the Principal Determination.</w:t>
      </w:r>
    </w:p>
    <w:p w:rsidR="00767130" w:rsidRDefault="00767130" w:rsidP="00871F28">
      <w:pPr>
        <w:rPr>
          <w:rStyle w:val="BookTitle"/>
          <w:i w:val="0"/>
          <w:iCs w:val="0"/>
          <w:smallCaps w:val="0"/>
          <w:spacing w:val="0"/>
          <w:u w:val="single"/>
        </w:rPr>
      </w:pPr>
      <w:r>
        <w:rPr>
          <w:rStyle w:val="BookTitle"/>
          <w:i w:val="0"/>
          <w:iCs w:val="0"/>
          <w:smallCaps w:val="0"/>
          <w:spacing w:val="0"/>
          <w:u w:val="single"/>
        </w:rPr>
        <w:t>Item 6</w:t>
      </w:r>
    </w:p>
    <w:p w:rsidR="00767130" w:rsidRDefault="00767130" w:rsidP="00871F28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>This is a technical amendment to ensure ‘ESL course’ is refer</w:t>
      </w:r>
      <w:r w:rsidR="00025DB5">
        <w:rPr>
          <w:rStyle w:val="BookTitle"/>
          <w:i w:val="0"/>
          <w:iCs w:val="0"/>
          <w:smallCaps w:val="0"/>
          <w:spacing w:val="0"/>
        </w:rPr>
        <w:t>enced</w:t>
      </w:r>
      <w:r w:rsidR="00FF7050">
        <w:rPr>
          <w:rStyle w:val="BookTitle"/>
          <w:i w:val="0"/>
          <w:iCs w:val="0"/>
          <w:smallCaps w:val="0"/>
          <w:spacing w:val="0"/>
        </w:rPr>
        <w:t xml:space="preserve"> </w:t>
      </w:r>
      <w:r>
        <w:rPr>
          <w:rStyle w:val="BookTitle"/>
          <w:i w:val="0"/>
          <w:iCs w:val="0"/>
          <w:smallCaps w:val="0"/>
          <w:spacing w:val="0"/>
        </w:rPr>
        <w:t>consistently throughout the Principal Determination by referring to ‘course’ using lower case.</w:t>
      </w:r>
    </w:p>
    <w:p w:rsidR="00767130" w:rsidRDefault="00767130" w:rsidP="00871F28">
      <w:pPr>
        <w:rPr>
          <w:rStyle w:val="BookTitle"/>
          <w:i w:val="0"/>
          <w:iCs w:val="0"/>
          <w:smallCaps w:val="0"/>
          <w:spacing w:val="0"/>
          <w:u w:val="single"/>
        </w:rPr>
      </w:pPr>
      <w:r>
        <w:rPr>
          <w:rStyle w:val="BookTitle"/>
          <w:i w:val="0"/>
          <w:iCs w:val="0"/>
          <w:smallCaps w:val="0"/>
          <w:spacing w:val="0"/>
          <w:u w:val="single"/>
        </w:rPr>
        <w:t>Item 7</w:t>
      </w:r>
    </w:p>
    <w:p w:rsidR="00767130" w:rsidRDefault="00767130" w:rsidP="00871F28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 xml:space="preserve">This item repeals Schedule 2 to the Principal Determination and substitutes a new Schedule 2. </w:t>
      </w:r>
    </w:p>
    <w:p w:rsidR="00767130" w:rsidRDefault="00767130" w:rsidP="00871F28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>Paragraph 10(1</w:t>
      </w:r>
      <w:proofErr w:type="gramStart"/>
      <w:r>
        <w:rPr>
          <w:rStyle w:val="BookTitle"/>
          <w:i w:val="0"/>
          <w:iCs w:val="0"/>
          <w:smallCaps w:val="0"/>
          <w:spacing w:val="0"/>
        </w:rPr>
        <w:t>)(</w:t>
      </w:r>
      <w:proofErr w:type="gramEnd"/>
      <w:r>
        <w:rPr>
          <w:rStyle w:val="BookTitle"/>
          <w:i w:val="0"/>
          <w:iCs w:val="0"/>
          <w:smallCaps w:val="0"/>
          <w:spacing w:val="0"/>
        </w:rPr>
        <w:t xml:space="preserve">a) of the Principal Determination provides that a tertiary course is a full-time course for the purpose of paragraph 5D(1)(a) of the Act if it is specified in Column 1 of the table in Schedule 2 to the Principal Determination that is </w:t>
      </w:r>
      <w:r w:rsidR="005F0A89">
        <w:rPr>
          <w:rStyle w:val="BookTitle"/>
          <w:i w:val="0"/>
          <w:iCs w:val="0"/>
          <w:smallCaps w:val="0"/>
          <w:spacing w:val="0"/>
        </w:rPr>
        <w:t>provid</w:t>
      </w:r>
      <w:r>
        <w:rPr>
          <w:rStyle w:val="BookTitle"/>
          <w:i w:val="0"/>
          <w:iCs w:val="0"/>
          <w:smallCaps w:val="0"/>
          <w:spacing w:val="0"/>
        </w:rPr>
        <w:t xml:space="preserve">ed by an education institution specified for that course in Column 2 </w:t>
      </w:r>
      <w:r w:rsidR="005F0A89">
        <w:rPr>
          <w:rStyle w:val="BookTitle"/>
          <w:i w:val="0"/>
          <w:iCs w:val="0"/>
          <w:smallCaps w:val="0"/>
          <w:spacing w:val="0"/>
        </w:rPr>
        <w:t>of</w:t>
      </w:r>
      <w:r>
        <w:rPr>
          <w:rStyle w:val="BookTitle"/>
          <w:i w:val="0"/>
          <w:iCs w:val="0"/>
          <w:smallCaps w:val="0"/>
          <w:spacing w:val="0"/>
        </w:rPr>
        <w:t xml:space="preserve"> that table.</w:t>
      </w:r>
    </w:p>
    <w:p w:rsidR="005F0A89" w:rsidRDefault="005F0A89" w:rsidP="00871F28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 xml:space="preserve">Under new Schedule 2, an integrated undergraduate/postgraduate course is no longer </w:t>
      </w:r>
      <w:r w:rsidR="00025DB5">
        <w:rPr>
          <w:rStyle w:val="BookTitle"/>
          <w:i w:val="0"/>
          <w:iCs w:val="0"/>
          <w:smallCaps w:val="0"/>
          <w:spacing w:val="0"/>
        </w:rPr>
        <w:t xml:space="preserve">a </w:t>
      </w:r>
      <w:r>
        <w:rPr>
          <w:rStyle w:val="BookTitle"/>
          <w:i w:val="0"/>
          <w:iCs w:val="0"/>
          <w:smallCaps w:val="0"/>
          <w:spacing w:val="0"/>
        </w:rPr>
        <w:t xml:space="preserve">tertiary course for the purpose of paragraph </w:t>
      </w:r>
      <w:proofErr w:type="gramStart"/>
      <w:r>
        <w:rPr>
          <w:rStyle w:val="BookTitle"/>
          <w:i w:val="0"/>
          <w:iCs w:val="0"/>
          <w:smallCaps w:val="0"/>
          <w:spacing w:val="0"/>
        </w:rPr>
        <w:t>5D(</w:t>
      </w:r>
      <w:proofErr w:type="gramEnd"/>
      <w:r>
        <w:rPr>
          <w:rStyle w:val="BookTitle"/>
          <w:i w:val="0"/>
          <w:iCs w:val="0"/>
          <w:smallCaps w:val="0"/>
          <w:spacing w:val="0"/>
        </w:rPr>
        <w:t>1)(a) of the Act</w:t>
      </w:r>
      <w:r w:rsidR="00F2374D">
        <w:rPr>
          <w:rStyle w:val="BookTitle"/>
          <w:i w:val="0"/>
          <w:iCs w:val="0"/>
          <w:smallCaps w:val="0"/>
          <w:spacing w:val="0"/>
        </w:rPr>
        <w:t xml:space="preserve"> as it </w:t>
      </w:r>
      <w:r w:rsidR="00C72FD2">
        <w:rPr>
          <w:rStyle w:val="BookTitle"/>
          <w:i w:val="0"/>
          <w:iCs w:val="0"/>
          <w:smallCaps w:val="0"/>
          <w:spacing w:val="0"/>
        </w:rPr>
        <w:t>is</w:t>
      </w:r>
      <w:r w:rsidR="00F2374D">
        <w:rPr>
          <w:rStyle w:val="BookTitle"/>
          <w:i w:val="0"/>
          <w:iCs w:val="0"/>
          <w:smallCaps w:val="0"/>
          <w:spacing w:val="0"/>
        </w:rPr>
        <w:t xml:space="preserve"> a</w:t>
      </w:r>
      <w:r w:rsidR="00D4188E">
        <w:rPr>
          <w:rStyle w:val="BookTitle"/>
          <w:i w:val="0"/>
          <w:iCs w:val="0"/>
          <w:smallCaps w:val="0"/>
          <w:spacing w:val="0"/>
        </w:rPr>
        <w:t xml:space="preserve"> redundant course type.</w:t>
      </w:r>
      <w:r w:rsidR="00F2374D">
        <w:rPr>
          <w:rStyle w:val="BookTitle"/>
          <w:i w:val="0"/>
          <w:iCs w:val="0"/>
          <w:smallCaps w:val="0"/>
          <w:spacing w:val="0"/>
        </w:rPr>
        <w:t xml:space="preserve"> </w:t>
      </w:r>
    </w:p>
    <w:p w:rsidR="005F0A89" w:rsidRDefault="005F0A89" w:rsidP="00871F28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 xml:space="preserve">This item also amends the wording of the reference in Column 1 of the table to an Open Learning course to align that wording more closely </w:t>
      </w:r>
      <w:r w:rsidR="00025DB5">
        <w:rPr>
          <w:rStyle w:val="BookTitle"/>
          <w:i w:val="0"/>
          <w:iCs w:val="0"/>
          <w:smallCaps w:val="0"/>
          <w:spacing w:val="0"/>
        </w:rPr>
        <w:t>with</w:t>
      </w:r>
      <w:r>
        <w:rPr>
          <w:rStyle w:val="BookTitle"/>
          <w:i w:val="0"/>
          <w:iCs w:val="0"/>
          <w:smallCaps w:val="0"/>
          <w:spacing w:val="0"/>
        </w:rPr>
        <w:t xml:space="preserve"> the wording of ‘undergraduate or postgraduate accredited higher education course’ which is also referenced in column 1 of the table.</w:t>
      </w:r>
    </w:p>
    <w:p w:rsidR="005F0A89" w:rsidRDefault="005F0A89" w:rsidP="00871F28">
      <w:pPr>
        <w:rPr>
          <w:rStyle w:val="BookTitle"/>
          <w:i w:val="0"/>
          <w:iCs w:val="0"/>
          <w:smallCaps w:val="0"/>
          <w:spacing w:val="0"/>
          <w:u w:val="single"/>
        </w:rPr>
      </w:pPr>
      <w:r>
        <w:rPr>
          <w:rStyle w:val="BookTitle"/>
          <w:i w:val="0"/>
          <w:iCs w:val="0"/>
          <w:smallCaps w:val="0"/>
          <w:spacing w:val="0"/>
          <w:u w:val="single"/>
        </w:rPr>
        <w:t>Item 8</w:t>
      </w:r>
    </w:p>
    <w:p w:rsidR="005F0A89" w:rsidRDefault="005F0A89" w:rsidP="00871F28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>This item repeals Schedule 3 to the Principal Determination and substitutes a new Schedule 3.</w:t>
      </w:r>
    </w:p>
    <w:p w:rsidR="005F0A89" w:rsidRDefault="00A35D99" w:rsidP="00871F28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>Paragraph 10(1</w:t>
      </w:r>
      <w:proofErr w:type="gramStart"/>
      <w:r>
        <w:rPr>
          <w:rStyle w:val="BookTitle"/>
          <w:i w:val="0"/>
          <w:iCs w:val="0"/>
          <w:smallCaps w:val="0"/>
          <w:spacing w:val="0"/>
        </w:rPr>
        <w:t>)(</w:t>
      </w:r>
      <w:proofErr w:type="gramEnd"/>
      <w:r>
        <w:rPr>
          <w:rStyle w:val="BookTitle"/>
          <w:i w:val="0"/>
          <w:iCs w:val="0"/>
          <w:smallCaps w:val="0"/>
          <w:spacing w:val="0"/>
        </w:rPr>
        <w:t>b) of the Principal Determination provides that for paragraph 5D(1)(a) of the Act, a tertiary course is a full-time course that is:</w:t>
      </w:r>
    </w:p>
    <w:p w:rsidR="00A35D99" w:rsidRDefault="00A35D99" w:rsidP="00A35D99">
      <w:pPr>
        <w:pStyle w:val="ListParagraph"/>
        <w:numPr>
          <w:ilvl w:val="0"/>
          <w:numId w:val="10"/>
        </w:num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>accredited at Masters level; and</w:t>
      </w:r>
    </w:p>
    <w:p w:rsidR="00A35D99" w:rsidRDefault="00A35D99" w:rsidP="00A35D99">
      <w:pPr>
        <w:pStyle w:val="ListParagraph"/>
        <w:numPr>
          <w:ilvl w:val="0"/>
          <w:numId w:val="10"/>
        </w:num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 xml:space="preserve">specified in Column 2 of the table in Schedule 3 to the Principal Determination; and </w:t>
      </w:r>
    </w:p>
    <w:p w:rsidR="00A35D99" w:rsidRDefault="00A35D99" w:rsidP="00A35D99">
      <w:pPr>
        <w:pStyle w:val="ListParagraph"/>
        <w:numPr>
          <w:ilvl w:val="0"/>
          <w:numId w:val="10"/>
        </w:numPr>
        <w:rPr>
          <w:rStyle w:val="BookTitle"/>
          <w:i w:val="0"/>
          <w:iCs w:val="0"/>
          <w:smallCaps w:val="0"/>
          <w:spacing w:val="0"/>
        </w:rPr>
      </w:pPr>
      <w:proofErr w:type="gramStart"/>
      <w:r>
        <w:rPr>
          <w:rStyle w:val="BookTitle"/>
          <w:i w:val="0"/>
          <w:iCs w:val="0"/>
          <w:smallCaps w:val="0"/>
          <w:spacing w:val="0"/>
        </w:rPr>
        <w:t>provided</w:t>
      </w:r>
      <w:proofErr w:type="gramEnd"/>
      <w:r>
        <w:rPr>
          <w:rStyle w:val="BookTitle"/>
          <w:i w:val="0"/>
          <w:iCs w:val="0"/>
          <w:smallCaps w:val="0"/>
          <w:spacing w:val="0"/>
        </w:rPr>
        <w:t xml:space="preserve"> by the education institution specified for that course in Column 1 of that table.</w:t>
      </w:r>
    </w:p>
    <w:p w:rsidR="00FC2823" w:rsidRPr="00FC2823" w:rsidRDefault="00FC2823" w:rsidP="00A35D99">
      <w:pPr>
        <w:rPr>
          <w:rStyle w:val="BookTitle"/>
          <w:iCs w:val="0"/>
          <w:smallCaps w:val="0"/>
          <w:spacing w:val="0"/>
        </w:rPr>
      </w:pPr>
      <w:r>
        <w:rPr>
          <w:rStyle w:val="BookTitle"/>
          <w:iCs w:val="0"/>
          <w:smallCaps w:val="0"/>
          <w:spacing w:val="0"/>
        </w:rPr>
        <w:t>New Masters courses in Schedule 3 to the Principal Determination</w:t>
      </w:r>
    </w:p>
    <w:p w:rsidR="00A35D99" w:rsidRDefault="00A35D99" w:rsidP="00A35D99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>New Schedule 3 to the Principal Determination provides for the following new Masters courses that were not previously contained in that Schedule:</w:t>
      </w:r>
    </w:p>
    <w:p w:rsidR="00FC2823" w:rsidRDefault="002317F5" w:rsidP="00A35D99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A35D99" w:rsidTr="00A35D9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35D99" w:rsidRPr="00A35D99" w:rsidRDefault="00A35D99">
            <w:pPr>
              <w:rPr>
                <w:b/>
                <w:szCs w:val="24"/>
                <w:lang w:eastAsia="en-US"/>
              </w:rPr>
            </w:pPr>
            <w:r w:rsidRPr="00A35D99">
              <w:rPr>
                <w:b/>
                <w:szCs w:val="24"/>
              </w:rPr>
              <w:lastRenderedPageBreak/>
              <w:t>Education Institution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35D99" w:rsidRPr="00A35D99" w:rsidRDefault="00A35D99">
            <w:pPr>
              <w:rPr>
                <w:b/>
                <w:szCs w:val="24"/>
                <w:lang w:eastAsia="en-US"/>
              </w:rPr>
            </w:pPr>
            <w:r w:rsidRPr="00A35D99">
              <w:rPr>
                <w:b/>
                <w:szCs w:val="24"/>
              </w:rPr>
              <w:t>Course</w:t>
            </w:r>
          </w:p>
        </w:tc>
      </w:tr>
      <w:tr w:rsidR="00A35D99" w:rsidTr="00A35D99">
        <w:trPr>
          <w:trHeight w:val="2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D99" w:rsidRPr="00A35D99" w:rsidRDefault="002D7AE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Avondale College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D99" w:rsidRPr="00A35D99" w:rsidRDefault="002D7AE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Master of Teaching (Primary)</w:t>
            </w:r>
          </w:p>
        </w:tc>
      </w:tr>
      <w:tr w:rsidR="002D7AEE" w:rsidTr="00A35D99">
        <w:trPr>
          <w:trHeight w:val="2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7AEE" w:rsidRPr="00A35D99" w:rsidRDefault="002D7AE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Avondale College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7AEE" w:rsidRDefault="002D7AE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Master of Teaching (Secondary)</w:t>
            </w:r>
          </w:p>
        </w:tc>
      </w:tr>
      <w:tr w:rsidR="002D7AEE" w:rsidTr="00A35D99">
        <w:trPr>
          <w:trHeight w:val="2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7AEE" w:rsidRPr="00A35D99" w:rsidRDefault="002D7AEE">
            <w:pPr>
              <w:rPr>
                <w:bCs/>
                <w:szCs w:val="24"/>
              </w:rPr>
            </w:pPr>
            <w:r w:rsidRPr="00A35D99">
              <w:rPr>
                <w:bCs/>
                <w:szCs w:val="24"/>
              </w:rPr>
              <w:t>Bond University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7AEE" w:rsidRDefault="002D7AE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Master of Psychology (Forensic)</w:t>
            </w:r>
          </w:p>
        </w:tc>
      </w:tr>
      <w:tr w:rsidR="00FC2823" w:rsidTr="00A35D99">
        <w:trPr>
          <w:trHeight w:val="2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823" w:rsidRPr="00A35D99" w:rsidRDefault="00FC282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Charles Darwin University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823" w:rsidRDefault="00FC282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Master of Professional Accounting (MPA1)</w:t>
            </w:r>
          </w:p>
        </w:tc>
      </w:tr>
      <w:tr w:rsidR="00A35D99" w:rsidTr="00A35D99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D99" w:rsidRPr="00A35D99" w:rsidRDefault="00A35D99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Kaplan Business School (formerly known as Bradford College Pty Limited)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D99" w:rsidRPr="00A35D99" w:rsidRDefault="00A35D99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Master of Accounting</w:t>
            </w:r>
          </w:p>
        </w:tc>
      </w:tr>
      <w:tr w:rsidR="00A35D99" w:rsidTr="00A35D99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D99" w:rsidRPr="00A35D99" w:rsidRDefault="00A35D99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Sydney College of Divinity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D99" w:rsidRPr="00A35D99" w:rsidRDefault="00A35D99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Master of Divinity (Korean)</w:t>
            </w:r>
          </w:p>
        </w:tc>
      </w:tr>
      <w:tr w:rsidR="00A35D99" w:rsidTr="00A35D99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D99" w:rsidRPr="00A35D99" w:rsidRDefault="00A35D99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Sydney College of Divinity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D99" w:rsidRPr="00A35D99" w:rsidRDefault="00A35D99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Master of Theology (Korean)</w:t>
            </w:r>
          </w:p>
        </w:tc>
      </w:tr>
      <w:tr w:rsidR="00A35D99" w:rsidTr="00A35D99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D99" w:rsidRPr="00A35D99" w:rsidRDefault="00A35D99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University of Southern Queensland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D99" w:rsidRPr="00A35D99" w:rsidRDefault="00A35D99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Master of Education (MED1 or MED3)</w:t>
            </w:r>
          </w:p>
        </w:tc>
      </w:tr>
      <w:tr w:rsidR="00BA56CF" w:rsidTr="00A35D99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6CF" w:rsidRDefault="00BA56CF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University of Sunshine Coast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6CF" w:rsidRDefault="00BA56CF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Master of Professional Accounting MPA</w:t>
            </w:r>
          </w:p>
        </w:tc>
      </w:tr>
      <w:tr w:rsidR="00BA56CF" w:rsidTr="00A35D99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6CF" w:rsidRDefault="00BA56CF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University of Sunshine Coast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6CF" w:rsidRDefault="00BA56CF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Master of Regional and Urban Planning</w:t>
            </w:r>
          </w:p>
        </w:tc>
      </w:tr>
      <w:tr w:rsidR="00A35D99" w:rsidTr="00A35D99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D99" w:rsidRPr="00A35D99" w:rsidRDefault="00A35D99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University of Sydney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D99" w:rsidRPr="00A35D99" w:rsidRDefault="00A35D99" w:rsidP="00A35D99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Master of Nursing (Nurse Practitioner)</w:t>
            </w:r>
          </w:p>
        </w:tc>
      </w:tr>
      <w:tr w:rsidR="00A35D99" w:rsidTr="00A35D99">
        <w:trPr>
          <w:trHeight w:val="2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D99" w:rsidRPr="00A35D99" w:rsidRDefault="00FC282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University of Western Sydney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D99" w:rsidRPr="00A35D99" w:rsidRDefault="00FC282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Master of Teaching (Birth – 5 years, Birth – 12 years)</w:t>
            </w:r>
          </w:p>
        </w:tc>
      </w:tr>
      <w:tr w:rsidR="00A35D99" w:rsidTr="00A35D99">
        <w:trPr>
          <w:trHeight w:val="2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D99" w:rsidRPr="00A35D99" w:rsidRDefault="00FC282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Victoria University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D99" w:rsidRPr="00A35D99" w:rsidRDefault="00FC282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Master of Clinical Exercise Science  and Rehabilitation</w:t>
            </w:r>
          </w:p>
        </w:tc>
      </w:tr>
    </w:tbl>
    <w:p w:rsidR="00FC2823" w:rsidRDefault="00FC2823" w:rsidP="00A35D99">
      <w:pPr>
        <w:rPr>
          <w:rStyle w:val="BookTitle"/>
          <w:iCs w:val="0"/>
          <w:smallCaps w:val="0"/>
          <w:spacing w:val="0"/>
        </w:rPr>
      </w:pPr>
    </w:p>
    <w:p w:rsidR="00A35D99" w:rsidRDefault="00FC2823" w:rsidP="00A35D99">
      <w:pPr>
        <w:rPr>
          <w:rStyle w:val="BookTitle"/>
          <w:iCs w:val="0"/>
          <w:smallCaps w:val="0"/>
          <w:spacing w:val="0"/>
        </w:rPr>
      </w:pPr>
      <w:r>
        <w:rPr>
          <w:rStyle w:val="BookTitle"/>
          <w:iCs w:val="0"/>
          <w:smallCaps w:val="0"/>
          <w:spacing w:val="0"/>
        </w:rPr>
        <w:t>Removal of Masters courses in Schedule 3 to the Principal Determination</w:t>
      </w:r>
    </w:p>
    <w:p w:rsidR="00FC2823" w:rsidRPr="00FC2823" w:rsidRDefault="00FC2823" w:rsidP="00A35D99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 xml:space="preserve">New Schedule 3 to the Principal Determination omits </w:t>
      </w:r>
      <w:r w:rsidR="009B323B">
        <w:rPr>
          <w:rStyle w:val="BookTitle"/>
          <w:i w:val="0"/>
          <w:iCs w:val="0"/>
          <w:smallCaps w:val="0"/>
          <w:spacing w:val="0"/>
        </w:rPr>
        <w:t xml:space="preserve">the </w:t>
      </w:r>
      <w:r>
        <w:rPr>
          <w:rStyle w:val="BookTitle"/>
          <w:i w:val="0"/>
          <w:iCs w:val="0"/>
          <w:smallCaps w:val="0"/>
          <w:spacing w:val="0"/>
        </w:rPr>
        <w:t>Masters courses</w:t>
      </w:r>
      <w:r w:rsidR="009B323B">
        <w:rPr>
          <w:rStyle w:val="BookTitle"/>
          <w:i w:val="0"/>
          <w:iCs w:val="0"/>
          <w:smallCaps w:val="0"/>
          <w:spacing w:val="0"/>
        </w:rPr>
        <w:t xml:space="preserve"> in the following table</w:t>
      </w:r>
      <w:r>
        <w:rPr>
          <w:rStyle w:val="BookTitle"/>
          <w:i w:val="0"/>
          <w:iCs w:val="0"/>
          <w:smallCaps w:val="0"/>
          <w:spacing w:val="0"/>
        </w:rPr>
        <w:t xml:space="preserve"> that were previously contained in Schedule 3 to the Principal Determination</w:t>
      </w:r>
      <w:r w:rsidR="009B323B">
        <w:rPr>
          <w:rStyle w:val="BookTitle"/>
          <w:i w:val="0"/>
          <w:iCs w:val="0"/>
          <w:smallCaps w:val="0"/>
          <w:spacing w:val="0"/>
        </w:rPr>
        <w:t>.  These courses have been removed as students are no longer enrolled in them.</w:t>
      </w:r>
    </w:p>
    <w:p w:rsidR="00096B8D" w:rsidRDefault="002317F5" w:rsidP="006546B7">
      <w:pPr>
        <w:pStyle w:val="NormalWeb"/>
        <w:shd w:val="clear" w:color="auto" w:fill="FFFFFF"/>
        <w:spacing w:before="0" w:beforeAutospacing="0" w:after="0" w:line="240" w:lineRule="auto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FC2823" w:rsidTr="00FF2E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2823" w:rsidRPr="00A35D99" w:rsidRDefault="00FC2823" w:rsidP="00FF2E50">
            <w:pPr>
              <w:rPr>
                <w:b/>
                <w:szCs w:val="24"/>
                <w:lang w:eastAsia="en-US"/>
              </w:rPr>
            </w:pPr>
            <w:r w:rsidRPr="00A35D99">
              <w:rPr>
                <w:b/>
                <w:szCs w:val="24"/>
              </w:rPr>
              <w:t>Education Institution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2823" w:rsidRPr="00A35D99" w:rsidRDefault="00FC2823" w:rsidP="00FF2E50">
            <w:pPr>
              <w:rPr>
                <w:b/>
                <w:szCs w:val="24"/>
                <w:lang w:eastAsia="en-US"/>
              </w:rPr>
            </w:pPr>
            <w:r w:rsidRPr="00A35D99">
              <w:rPr>
                <w:b/>
                <w:szCs w:val="24"/>
              </w:rPr>
              <w:t>Course</w:t>
            </w:r>
          </w:p>
        </w:tc>
      </w:tr>
      <w:tr w:rsidR="00FC2823" w:rsidTr="00FF2E50">
        <w:trPr>
          <w:trHeight w:val="2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823" w:rsidRPr="00A35D99" w:rsidRDefault="00FC2823" w:rsidP="00FF2E5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Central Queensland University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823" w:rsidRPr="00A35D99" w:rsidRDefault="00FC2823" w:rsidP="00FF2E5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Master of Professional Accounting (CG27)</w:t>
            </w:r>
          </w:p>
        </w:tc>
      </w:tr>
      <w:tr w:rsidR="00FC2823" w:rsidTr="00FF2E50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823" w:rsidRPr="00A35D99" w:rsidRDefault="00FC2823" w:rsidP="00FF2E50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Southern Cross University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823" w:rsidRPr="00A35D99" w:rsidRDefault="00FC2823" w:rsidP="00FF2E50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Master of Forest Management</w:t>
            </w:r>
          </w:p>
        </w:tc>
      </w:tr>
      <w:tr w:rsidR="00FC2823" w:rsidTr="00FF2E50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823" w:rsidRPr="00A35D99" w:rsidRDefault="002317F5" w:rsidP="00FF2E50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Southern Cross University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823" w:rsidRPr="00A35D99" w:rsidRDefault="002317F5" w:rsidP="00FF2E50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Master of Midwifery</w:t>
            </w:r>
          </w:p>
        </w:tc>
      </w:tr>
      <w:tr w:rsidR="00FC2823" w:rsidTr="00FF2E50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823" w:rsidRPr="00A35D99" w:rsidRDefault="002317F5" w:rsidP="00FF2E50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University of Melbourne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823" w:rsidRPr="00A35D99" w:rsidRDefault="002317F5" w:rsidP="00FF2E50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Master of Spatial Information Systems</w:t>
            </w:r>
          </w:p>
        </w:tc>
      </w:tr>
      <w:tr w:rsidR="00FC2823" w:rsidTr="00FF2E50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823" w:rsidRPr="00A35D99" w:rsidRDefault="002317F5" w:rsidP="00FF2E50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t>University of Western Sydney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823" w:rsidRPr="00A35D99" w:rsidRDefault="002317F5" w:rsidP="00FF2E50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Master of Teaching (Special Education)</w:t>
            </w:r>
          </w:p>
        </w:tc>
      </w:tr>
      <w:tr w:rsidR="00FC2823" w:rsidTr="00FF2E50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823" w:rsidRPr="00A35D99" w:rsidRDefault="002317F5" w:rsidP="00FF2E50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Wesley Institute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823" w:rsidRPr="00A35D99" w:rsidRDefault="002317F5" w:rsidP="00FF2E50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Master of Theological Studies</w:t>
            </w:r>
          </w:p>
        </w:tc>
      </w:tr>
    </w:tbl>
    <w:p w:rsidR="002317F5" w:rsidRDefault="002317F5">
      <w:pPr>
        <w:spacing w:before="0" w:after="200" w:line="276" w:lineRule="auto"/>
        <w:rPr>
          <w:sz w:val="20"/>
        </w:rPr>
      </w:pPr>
    </w:p>
    <w:p w:rsidR="002317F5" w:rsidRDefault="002317F5">
      <w:pPr>
        <w:spacing w:before="0" w:after="200" w:line="276" w:lineRule="auto"/>
        <w:rPr>
          <w:i/>
          <w:szCs w:val="24"/>
        </w:rPr>
      </w:pPr>
      <w:r>
        <w:rPr>
          <w:i/>
          <w:szCs w:val="24"/>
        </w:rPr>
        <w:t>Other amendments to Schedule 3 to the Principal Determination</w:t>
      </w:r>
    </w:p>
    <w:p w:rsidR="008D3EED" w:rsidRDefault="002317F5">
      <w:pPr>
        <w:spacing w:before="0" w:after="200" w:line="276" w:lineRule="auto"/>
        <w:rPr>
          <w:sz w:val="20"/>
        </w:rPr>
      </w:pPr>
      <w:r>
        <w:rPr>
          <w:szCs w:val="24"/>
        </w:rPr>
        <w:t>This item also makes other technical amendments to Schedule 3 to improve the table’s clarity and functionality.</w:t>
      </w:r>
      <w:r w:rsidR="008D3EED">
        <w:rPr>
          <w:sz w:val="20"/>
        </w:rPr>
        <w:br w:type="page"/>
      </w:r>
    </w:p>
    <w:p w:rsidR="006546B7" w:rsidRPr="00D664E6" w:rsidRDefault="006546B7" w:rsidP="006546B7">
      <w:pPr>
        <w:spacing w:before="360" w:after="120"/>
        <w:jc w:val="center"/>
        <w:rPr>
          <w:b/>
          <w:sz w:val="28"/>
          <w:szCs w:val="28"/>
        </w:rPr>
      </w:pPr>
      <w:bookmarkStart w:id="1" w:name="_Toc290210739"/>
      <w:r w:rsidRPr="00D664E6">
        <w:rPr>
          <w:b/>
          <w:sz w:val="28"/>
          <w:szCs w:val="28"/>
        </w:rPr>
        <w:lastRenderedPageBreak/>
        <w:t>Statement of Compatibility with Human Rights</w:t>
      </w:r>
    </w:p>
    <w:p w:rsidR="006546B7" w:rsidRPr="00D664E6" w:rsidRDefault="006546B7" w:rsidP="006546B7">
      <w:pPr>
        <w:spacing w:before="120" w:after="120"/>
        <w:jc w:val="center"/>
        <w:rPr>
          <w:szCs w:val="24"/>
        </w:rPr>
      </w:pPr>
      <w:r w:rsidRPr="00D664E6">
        <w:rPr>
          <w:i/>
          <w:szCs w:val="24"/>
        </w:rPr>
        <w:t>Prepared in accordance with Part 3 of the Human Rights (Parliamentary Scrutiny) Act 2011</w:t>
      </w:r>
    </w:p>
    <w:p w:rsidR="006546B7" w:rsidRPr="00D664E6" w:rsidRDefault="006546B7" w:rsidP="006546B7">
      <w:pPr>
        <w:spacing w:before="120" w:after="120"/>
        <w:jc w:val="center"/>
        <w:rPr>
          <w:szCs w:val="24"/>
        </w:rPr>
      </w:pPr>
    </w:p>
    <w:p w:rsidR="006546B7" w:rsidRPr="00D664E6" w:rsidRDefault="002317F5" w:rsidP="006546B7">
      <w:pPr>
        <w:spacing w:before="120" w:after="120"/>
        <w:jc w:val="center"/>
        <w:rPr>
          <w:b/>
          <w:szCs w:val="24"/>
        </w:rPr>
      </w:pPr>
      <w:r>
        <w:rPr>
          <w:i/>
        </w:rPr>
        <w:t>Student Assistance (Education Institutions and Courses) Amendment Determination 2014 (No. 1)</w:t>
      </w:r>
      <w:r w:rsidR="006546B7" w:rsidRPr="00D664E6">
        <w:rPr>
          <w:b/>
          <w:szCs w:val="24"/>
        </w:rPr>
        <w:t xml:space="preserve"> </w:t>
      </w:r>
    </w:p>
    <w:p w:rsidR="006546B7" w:rsidRPr="00D664E6" w:rsidRDefault="006546B7" w:rsidP="006546B7">
      <w:pPr>
        <w:spacing w:before="120" w:after="120"/>
        <w:jc w:val="center"/>
        <w:rPr>
          <w:szCs w:val="24"/>
        </w:rPr>
      </w:pPr>
    </w:p>
    <w:p w:rsidR="006546B7" w:rsidRDefault="002317F5" w:rsidP="00146DD9">
      <w:pPr>
        <w:spacing w:before="120" w:after="120"/>
        <w:jc w:val="center"/>
        <w:rPr>
          <w:szCs w:val="24"/>
        </w:rPr>
      </w:pPr>
      <w:r>
        <w:rPr>
          <w:szCs w:val="24"/>
        </w:rPr>
        <w:t xml:space="preserve">The </w:t>
      </w:r>
      <w:r>
        <w:rPr>
          <w:i/>
        </w:rPr>
        <w:t>Student Assistance (Education Institutions and Courses) Amendment Determination 2014 (No. 1)</w:t>
      </w:r>
      <w:r w:rsidR="00146DD9" w:rsidRPr="00146DD9">
        <w:rPr>
          <w:szCs w:val="24"/>
        </w:rPr>
        <w:t xml:space="preserve"> is</w:t>
      </w:r>
      <w:r w:rsidR="006546B7" w:rsidRPr="00D664E6">
        <w:rPr>
          <w:szCs w:val="24"/>
        </w:rPr>
        <w:t xml:space="preserve"> compatible with the human rights and freedoms recognised or declared in the international instruments listed in section 3 of the </w:t>
      </w:r>
      <w:r w:rsidR="006546B7" w:rsidRPr="00D664E6">
        <w:rPr>
          <w:i/>
          <w:szCs w:val="24"/>
        </w:rPr>
        <w:t>Human Rights (Parliamentary Scrutiny) Act 2011</w:t>
      </w:r>
      <w:r w:rsidR="006546B7" w:rsidRPr="00D664E6">
        <w:rPr>
          <w:szCs w:val="24"/>
        </w:rPr>
        <w:t>.</w:t>
      </w:r>
    </w:p>
    <w:p w:rsidR="006546B7" w:rsidRPr="00D664E6" w:rsidRDefault="006546B7" w:rsidP="006546B7">
      <w:pPr>
        <w:spacing w:before="120" w:after="120"/>
        <w:jc w:val="both"/>
        <w:rPr>
          <w:b/>
          <w:szCs w:val="24"/>
        </w:rPr>
      </w:pPr>
      <w:r w:rsidRPr="00D664E6">
        <w:rPr>
          <w:b/>
          <w:szCs w:val="24"/>
        </w:rPr>
        <w:t>Overview of the Legislative Instrument</w:t>
      </w:r>
    </w:p>
    <w:p w:rsidR="00146DD9" w:rsidRPr="00852407" w:rsidRDefault="00146DD9" w:rsidP="00146DD9">
      <w:r w:rsidRPr="00852407">
        <w:t xml:space="preserve">The </w:t>
      </w:r>
      <w:r w:rsidR="00333B5D">
        <w:rPr>
          <w:i/>
        </w:rPr>
        <w:t>Student Assistance (Education Institutions and Courses) Amendment Determination 2014 (No. 1)</w:t>
      </w:r>
      <w:r w:rsidRPr="00852407">
        <w:t xml:space="preserve"> (the Amendment Determina</w:t>
      </w:r>
      <w:r w:rsidR="00993F68">
        <w:t xml:space="preserve">tion) is made under subsection </w:t>
      </w:r>
      <w:r w:rsidRPr="00852407">
        <w:t xml:space="preserve">5D(1) of the </w:t>
      </w:r>
      <w:r w:rsidRPr="00852407">
        <w:rPr>
          <w:i/>
        </w:rPr>
        <w:t>Student Assistance Act 1973</w:t>
      </w:r>
      <w:r w:rsidRPr="00852407">
        <w:t xml:space="preserve"> (the Act).  Subsection </w:t>
      </w:r>
      <w:proofErr w:type="gramStart"/>
      <w:r w:rsidRPr="00852407">
        <w:t>5D(</w:t>
      </w:r>
      <w:proofErr w:type="gramEnd"/>
      <w:r w:rsidRPr="00852407">
        <w:t xml:space="preserve">3) of the Act provides that a determination under subsection 5D(1) is a </w:t>
      </w:r>
      <w:r w:rsidR="00333B5D">
        <w:t>legislative</w:t>
      </w:r>
      <w:r w:rsidR="00333B5D" w:rsidRPr="00852407">
        <w:t xml:space="preserve"> </w:t>
      </w:r>
      <w:r w:rsidRPr="00852407">
        <w:t>instrument</w:t>
      </w:r>
      <w:r w:rsidRPr="00852407">
        <w:rPr>
          <w:i/>
        </w:rPr>
        <w:t>.</w:t>
      </w:r>
    </w:p>
    <w:p w:rsidR="00830D5C" w:rsidRDefault="00830D5C" w:rsidP="00830D5C">
      <w:r>
        <w:t xml:space="preserve">Subsection </w:t>
      </w:r>
      <w:proofErr w:type="gramStart"/>
      <w:r>
        <w:t>5D(</w:t>
      </w:r>
      <w:proofErr w:type="gramEnd"/>
      <w:r>
        <w:t>1) of the Act provides that the Minister may, for the purposes of the Act, determine in writing that:</w:t>
      </w:r>
    </w:p>
    <w:p w:rsidR="00830D5C" w:rsidRDefault="00830D5C" w:rsidP="00830D5C">
      <w:pPr>
        <w:pStyle w:val="ListParagraph"/>
        <w:numPr>
          <w:ilvl w:val="0"/>
          <w:numId w:val="11"/>
        </w:numPr>
      </w:pPr>
      <w:r>
        <w:t>a course of study or instruction is a secondary course, or a tertiary course; or</w:t>
      </w:r>
    </w:p>
    <w:p w:rsidR="00830D5C" w:rsidRDefault="00830D5C" w:rsidP="00830D5C">
      <w:pPr>
        <w:pStyle w:val="ListParagraph"/>
        <w:numPr>
          <w:ilvl w:val="0"/>
          <w:numId w:val="11"/>
        </w:numPr>
      </w:pPr>
      <w:proofErr w:type="gramStart"/>
      <w:r>
        <w:t>a</w:t>
      </w:r>
      <w:proofErr w:type="gramEnd"/>
      <w:r>
        <w:t xml:space="preserve"> part of a course of study or instruction is a part of a secondary course or part of a tertiary course.</w:t>
      </w:r>
    </w:p>
    <w:p w:rsidR="00146DD9" w:rsidRDefault="00146DD9" w:rsidP="00146DD9">
      <w:r w:rsidRPr="00852407">
        <w:t xml:space="preserve">The Amendment Determination amends the </w:t>
      </w:r>
      <w:r w:rsidRPr="00852407">
        <w:rPr>
          <w:i/>
        </w:rPr>
        <w:t>Student Assistance (Education Institutions and Courses) Determination 2009 (No. 2)</w:t>
      </w:r>
      <w:r w:rsidRPr="00852407">
        <w:t xml:space="preserve"> (Principal Determination).  </w:t>
      </w:r>
      <w:r w:rsidRPr="00146DD9">
        <w:t>The Princip</w:t>
      </w:r>
      <w:r w:rsidR="002317F5">
        <w:t>a</w:t>
      </w:r>
      <w:r w:rsidRPr="00146DD9">
        <w:t>l Determination broadly outlines the institutions and courses</w:t>
      </w:r>
      <w:r w:rsidR="00830D5C">
        <w:t xml:space="preserve"> for the purpose of subsection</w:t>
      </w:r>
      <w:r w:rsidR="00C72FD2">
        <w:t>s 3(1) and</w:t>
      </w:r>
      <w:r w:rsidR="00830D5C">
        <w:t xml:space="preserve"> 5D(1) of the Act</w:t>
      </w:r>
      <w:r w:rsidRPr="00146DD9">
        <w:t>, specifying multiple levels of study at higher education institutions and registered training organisations</w:t>
      </w:r>
      <w:r w:rsidR="00830D5C">
        <w:t xml:space="preserve">. </w:t>
      </w:r>
      <w:r w:rsidR="003B6FFD">
        <w:t xml:space="preserve"> </w:t>
      </w:r>
      <w:r w:rsidR="00830D5C">
        <w:t xml:space="preserve">The determination of these courses for the purposes of the Act </w:t>
      </w:r>
      <w:r w:rsidR="00025DB5">
        <w:t>will ensure that</w:t>
      </w:r>
      <w:r w:rsidRPr="00146DD9">
        <w:t xml:space="preserve"> students</w:t>
      </w:r>
      <w:r w:rsidR="00025DB5">
        <w:t xml:space="preserve"> studying</w:t>
      </w:r>
      <w:r w:rsidRPr="00146DD9">
        <w:t xml:space="preserve"> </w:t>
      </w:r>
      <w:r w:rsidR="00830D5C">
        <w:t xml:space="preserve">these courses </w:t>
      </w:r>
      <w:r w:rsidR="00025DB5">
        <w:t>are</w:t>
      </w:r>
      <w:r w:rsidRPr="00146DD9">
        <w:t xml:space="preserve"> eligible to receive student payments (</w:t>
      </w:r>
      <w:r w:rsidR="00C72FD2">
        <w:t>y</w:t>
      </w:r>
      <w:r w:rsidRPr="00146DD9">
        <w:t xml:space="preserve">outh </w:t>
      </w:r>
      <w:r w:rsidR="00C72FD2">
        <w:t>a</w:t>
      </w:r>
      <w:r w:rsidRPr="00146DD9">
        <w:t xml:space="preserve">llowance, </w:t>
      </w:r>
      <w:proofErr w:type="spellStart"/>
      <w:r w:rsidR="00C72FD2">
        <w:t>a</w:t>
      </w:r>
      <w:r w:rsidRPr="00146DD9">
        <w:t>ustudy</w:t>
      </w:r>
      <w:proofErr w:type="spellEnd"/>
      <w:r w:rsidRPr="00146DD9">
        <w:t xml:space="preserve"> and </w:t>
      </w:r>
      <w:r w:rsidR="00C72FD2">
        <w:t>p</w:t>
      </w:r>
      <w:r w:rsidRPr="00146DD9">
        <w:t xml:space="preserve">ensioner </w:t>
      </w:r>
      <w:r w:rsidR="00C72FD2">
        <w:t>e</w:t>
      </w:r>
      <w:r w:rsidRPr="00146DD9">
        <w:t xml:space="preserve">ducation </w:t>
      </w:r>
      <w:r w:rsidR="00C72FD2">
        <w:t>s</w:t>
      </w:r>
      <w:r w:rsidRPr="00146DD9">
        <w:t>upplement).</w:t>
      </w:r>
    </w:p>
    <w:p w:rsidR="00146DD9" w:rsidRDefault="00146DD9" w:rsidP="00146DD9">
      <w:r w:rsidRPr="00852407">
        <w:t>The Amendment Determination makes technical amendments to the Principal Determination, particularly clarif</w:t>
      </w:r>
      <w:r>
        <w:t xml:space="preserve">ying course types eligible for payments, including </w:t>
      </w:r>
      <w:r w:rsidR="00C72FD2">
        <w:t>y</w:t>
      </w:r>
      <w:r>
        <w:t xml:space="preserve">outh </w:t>
      </w:r>
      <w:r w:rsidR="00C72FD2">
        <w:t>a</w:t>
      </w:r>
      <w:r>
        <w:t xml:space="preserve">llowance, </w:t>
      </w:r>
      <w:proofErr w:type="spellStart"/>
      <w:r w:rsidR="00C72FD2">
        <w:t>a</w:t>
      </w:r>
      <w:r>
        <w:t>ustudy</w:t>
      </w:r>
      <w:proofErr w:type="spellEnd"/>
      <w:r>
        <w:t xml:space="preserve"> and </w:t>
      </w:r>
      <w:r w:rsidR="00C72FD2">
        <w:t>p</w:t>
      </w:r>
      <w:r>
        <w:t xml:space="preserve">ensioner </w:t>
      </w:r>
      <w:r w:rsidR="00C72FD2">
        <w:t>e</w:t>
      </w:r>
      <w:r>
        <w:t xml:space="preserve">ducation </w:t>
      </w:r>
      <w:r w:rsidR="00C72FD2">
        <w:t>s</w:t>
      </w:r>
      <w:r>
        <w:t>upplement (provided they meet the other qualification criteria for those payments).</w:t>
      </w:r>
    </w:p>
    <w:p w:rsidR="006546B7" w:rsidRPr="00D664E6" w:rsidRDefault="006546B7" w:rsidP="006546B7">
      <w:pPr>
        <w:spacing w:before="120" w:after="120"/>
        <w:rPr>
          <w:b/>
          <w:szCs w:val="24"/>
        </w:rPr>
      </w:pPr>
      <w:r w:rsidRPr="00D664E6">
        <w:rPr>
          <w:b/>
          <w:szCs w:val="24"/>
        </w:rPr>
        <w:t>Human rights implications</w:t>
      </w:r>
    </w:p>
    <w:p w:rsidR="006546B7" w:rsidRDefault="00146DD9" w:rsidP="006546B7">
      <w:pPr>
        <w:rPr>
          <w:szCs w:val="24"/>
        </w:rPr>
      </w:pPr>
      <w:r>
        <w:rPr>
          <w:szCs w:val="24"/>
        </w:rPr>
        <w:t xml:space="preserve">The </w:t>
      </w:r>
      <w:r w:rsidR="002317F5">
        <w:rPr>
          <w:szCs w:val="24"/>
        </w:rPr>
        <w:t>Amendment Determination</w:t>
      </w:r>
      <w:r>
        <w:rPr>
          <w:szCs w:val="24"/>
        </w:rPr>
        <w:t xml:space="preserve"> engages the following human rights:</w:t>
      </w:r>
    </w:p>
    <w:p w:rsidR="00146DD9" w:rsidRPr="006A6045" w:rsidRDefault="006A6045" w:rsidP="006546B7">
      <w:pPr>
        <w:rPr>
          <w:i/>
          <w:szCs w:val="24"/>
        </w:rPr>
      </w:pPr>
      <w:r w:rsidRPr="006A6045">
        <w:rPr>
          <w:i/>
          <w:szCs w:val="24"/>
        </w:rPr>
        <w:t>Right to Education</w:t>
      </w:r>
    </w:p>
    <w:p w:rsidR="006A6045" w:rsidRDefault="006A6045" w:rsidP="006546B7">
      <w:pPr>
        <w:rPr>
          <w:szCs w:val="24"/>
        </w:rPr>
      </w:pPr>
      <w:r>
        <w:rPr>
          <w:szCs w:val="24"/>
        </w:rPr>
        <w:t xml:space="preserve">The </w:t>
      </w:r>
      <w:r w:rsidR="002317F5">
        <w:rPr>
          <w:szCs w:val="24"/>
        </w:rPr>
        <w:t xml:space="preserve">Amendment Determination </w:t>
      </w:r>
      <w:r>
        <w:rPr>
          <w:szCs w:val="24"/>
        </w:rPr>
        <w:t>engages the right to education contained in Article 13 of the International Covenant on Economic, Social and Cultural Rights</w:t>
      </w:r>
      <w:r w:rsidR="00B1246B">
        <w:rPr>
          <w:szCs w:val="24"/>
        </w:rPr>
        <w:t xml:space="preserve"> (ICESCR)</w:t>
      </w:r>
      <w:r>
        <w:rPr>
          <w:szCs w:val="24"/>
        </w:rPr>
        <w:t>.</w:t>
      </w:r>
    </w:p>
    <w:p w:rsidR="00B1246B" w:rsidRDefault="006A6045" w:rsidP="006546B7">
      <w:pPr>
        <w:rPr>
          <w:szCs w:val="24"/>
        </w:rPr>
      </w:pPr>
      <w:r>
        <w:rPr>
          <w:szCs w:val="24"/>
        </w:rPr>
        <w:t>By</w:t>
      </w:r>
      <w:r w:rsidR="00370BED">
        <w:rPr>
          <w:szCs w:val="24"/>
        </w:rPr>
        <w:t xml:space="preserve"> making technical amendments to the course types eligible for student payments (</w:t>
      </w:r>
      <w:r w:rsidR="00370BED" w:rsidRPr="00370BED">
        <w:rPr>
          <w:szCs w:val="24"/>
        </w:rPr>
        <w:t xml:space="preserve">amending the open learning courses available for student payments, removing ‘integrated undergraduate/postgraduate courses’ and updating the course names of a number of approved </w:t>
      </w:r>
      <w:r w:rsidR="00370BED" w:rsidRPr="00370BED">
        <w:rPr>
          <w:szCs w:val="24"/>
        </w:rPr>
        <w:lastRenderedPageBreak/>
        <w:t xml:space="preserve">tertiary courses at Masters level listed in Schedule 3 </w:t>
      </w:r>
      <w:r w:rsidR="002317F5">
        <w:rPr>
          <w:szCs w:val="24"/>
        </w:rPr>
        <w:t xml:space="preserve">to </w:t>
      </w:r>
      <w:r w:rsidR="00370BED" w:rsidRPr="00370BED">
        <w:rPr>
          <w:szCs w:val="24"/>
        </w:rPr>
        <w:t>the Principal Determination</w:t>
      </w:r>
      <w:r w:rsidR="00370BED">
        <w:rPr>
          <w:szCs w:val="24"/>
        </w:rPr>
        <w:t xml:space="preserve">), </w:t>
      </w:r>
      <w:r w:rsidR="00342ADC">
        <w:rPr>
          <w:szCs w:val="24"/>
        </w:rPr>
        <w:t xml:space="preserve">the Instrument does not limit </w:t>
      </w:r>
      <w:r w:rsidR="00370BED">
        <w:rPr>
          <w:szCs w:val="24"/>
        </w:rPr>
        <w:t>a student’s right to seek these forms of education</w:t>
      </w:r>
      <w:r w:rsidR="00C72FD2">
        <w:rPr>
          <w:szCs w:val="24"/>
        </w:rPr>
        <w:t xml:space="preserve"> and</w:t>
      </w:r>
      <w:r w:rsidR="00370BED">
        <w:rPr>
          <w:szCs w:val="24"/>
        </w:rPr>
        <w:t xml:space="preserve"> it</w:t>
      </w:r>
      <w:r w:rsidR="00B97543">
        <w:rPr>
          <w:szCs w:val="24"/>
        </w:rPr>
        <w:t xml:space="preserve"> continues to provide</w:t>
      </w:r>
      <w:r w:rsidR="00553DF4">
        <w:rPr>
          <w:szCs w:val="24"/>
        </w:rPr>
        <w:t xml:space="preserve"> support for people, especially those from low socioeconomic backgrounds, to access education.</w:t>
      </w:r>
      <w:r w:rsidR="00370BED">
        <w:rPr>
          <w:szCs w:val="24"/>
        </w:rPr>
        <w:t xml:space="preserve"> </w:t>
      </w:r>
    </w:p>
    <w:p w:rsidR="00B1246B" w:rsidRPr="00B1246B" w:rsidRDefault="00B1246B" w:rsidP="006546B7">
      <w:pPr>
        <w:rPr>
          <w:i/>
          <w:szCs w:val="24"/>
        </w:rPr>
      </w:pPr>
      <w:r w:rsidRPr="00B1246B">
        <w:rPr>
          <w:i/>
          <w:szCs w:val="24"/>
        </w:rPr>
        <w:t>Right to Social Security</w:t>
      </w:r>
    </w:p>
    <w:p w:rsidR="00B1246B" w:rsidRDefault="00B1246B" w:rsidP="00B1246B">
      <w:pPr>
        <w:spacing w:before="0"/>
        <w:rPr>
          <w:szCs w:val="24"/>
        </w:rPr>
      </w:pPr>
    </w:p>
    <w:p w:rsidR="006A6045" w:rsidRPr="006A6045" w:rsidRDefault="00B1246B" w:rsidP="00B1246B">
      <w:pPr>
        <w:spacing w:before="0"/>
        <w:rPr>
          <w:szCs w:val="24"/>
        </w:rPr>
      </w:pPr>
      <w:r>
        <w:rPr>
          <w:szCs w:val="24"/>
        </w:rPr>
        <w:t xml:space="preserve">The </w:t>
      </w:r>
      <w:r w:rsidR="002317F5">
        <w:rPr>
          <w:szCs w:val="24"/>
        </w:rPr>
        <w:t xml:space="preserve">Amendment Determination </w:t>
      </w:r>
      <w:r>
        <w:rPr>
          <w:szCs w:val="24"/>
        </w:rPr>
        <w:t>engages the right to social security contained in Article 9 of the ICESCR.</w:t>
      </w:r>
    </w:p>
    <w:p w:rsidR="00B1246B" w:rsidRDefault="00B1246B" w:rsidP="00B1246B">
      <w:pPr>
        <w:spacing w:before="0"/>
        <w:rPr>
          <w:szCs w:val="24"/>
        </w:rPr>
      </w:pPr>
    </w:p>
    <w:p w:rsidR="00B1246B" w:rsidRDefault="00B1246B" w:rsidP="0050360A">
      <w:pPr>
        <w:spacing w:before="0"/>
        <w:rPr>
          <w:szCs w:val="24"/>
        </w:rPr>
      </w:pPr>
      <w:r w:rsidRPr="00B1246B">
        <w:rPr>
          <w:szCs w:val="24"/>
        </w:rPr>
        <w:t xml:space="preserve">The </w:t>
      </w:r>
      <w:r w:rsidR="002317F5">
        <w:rPr>
          <w:szCs w:val="24"/>
        </w:rPr>
        <w:t>Amendment Determination</w:t>
      </w:r>
      <w:r w:rsidR="00167DE4">
        <w:rPr>
          <w:szCs w:val="24"/>
        </w:rPr>
        <w:t xml:space="preserve"> will have </w:t>
      </w:r>
      <w:r w:rsidR="00F70683">
        <w:rPr>
          <w:szCs w:val="24"/>
        </w:rPr>
        <w:t>a</w:t>
      </w:r>
      <w:r w:rsidR="00AF514B">
        <w:rPr>
          <w:szCs w:val="24"/>
        </w:rPr>
        <w:t xml:space="preserve"> very</w:t>
      </w:r>
      <w:r w:rsidR="00F70683">
        <w:rPr>
          <w:szCs w:val="24"/>
        </w:rPr>
        <w:t xml:space="preserve"> limited impact on the right to </w:t>
      </w:r>
      <w:r w:rsidR="00AF514B">
        <w:rPr>
          <w:szCs w:val="24"/>
        </w:rPr>
        <w:t xml:space="preserve">social security.  The amendments are technical in nature </w:t>
      </w:r>
      <w:r w:rsidR="0050360A">
        <w:rPr>
          <w:szCs w:val="24"/>
        </w:rPr>
        <w:t xml:space="preserve">and will ensure that student payments are administered consistently and effectively and </w:t>
      </w:r>
      <w:r w:rsidR="00AF514B">
        <w:rPr>
          <w:szCs w:val="24"/>
        </w:rPr>
        <w:t>will continue to provide payments to eligible students thus ensuring their access to education.</w:t>
      </w:r>
      <w:r w:rsidR="0050360A">
        <w:rPr>
          <w:szCs w:val="24"/>
        </w:rPr>
        <w:t xml:space="preserve">  </w:t>
      </w:r>
    </w:p>
    <w:p w:rsidR="006546B7" w:rsidRPr="00D664E6" w:rsidRDefault="006546B7" w:rsidP="006546B7">
      <w:pPr>
        <w:spacing w:before="120" w:after="120"/>
        <w:rPr>
          <w:b/>
          <w:szCs w:val="24"/>
        </w:rPr>
      </w:pPr>
      <w:r w:rsidRPr="00D664E6">
        <w:rPr>
          <w:b/>
          <w:szCs w:val="24"/>
        </w:rPr>
        <w:t xml:space="preserve">Conclusion </w:t>
      </w:r>
    </w:p>
    <w:p w:rsidR="006546B7" w:rsidRPr="00D664E6" w:rsidRDefault="002317F5" w:rsidP="006546B7">
      <w:pPr>
        <w:spacing w:before="120" w:after="120"/>
        <w:rPr>
          <w:szCs w:val="24"/>
        </w:rPr>
      </w:pPr>
      <w:r>
        <w:rPr>
          <w:szCs w:val="24"/>
        </w:rPr>
        <w:t>The Amendment Determination</w:t>
      </w:r>
      <w:r w:rsidR="00DD2BC5">
        <w:rPr>
          <w:szCs w:val="24"/>
        </w:rPr>
        <w:t xml:space="preserve"> is compatible with human rights </w:t>
      </w:r>
      <w:r w:rsidR="00576784">
        <w:rPr>
          <w:szCs w:val="24"/>
        </w:rPr>
        <w:t>as it does not limit</w:t>
      </w:r>
      <w:r>
        <w:rPr>
          <w:szCs w:val="24"/>
        </w:rPr>
        <w:t xml:space="preserve"> a</w:t>
      </w:r>
      <w:r w:rsidR="00576784">
        <w:rPr>
          <w:szCs w:val="24"/>
        </w:rPr>
        <w:t xml:space="preserve"> student</w:t>
      </w:r>
      <w:r w:rsidR="00B1246B">
        <w:rPr>
          <w:szCs w:val="24"/>
        </w:rPr>
        <w:t>’</w:t>
      </w:r>
      <w:r w:rsidR="00576784">
        <w:rPr>
          <w:szCs w:val="24"/>
        </w:rPr>
        <w:t>s ability to access</w:t>
      </w:r>
      <w:r w:rsidR="00C72FD2">
        <w:rPr>
          <w:szCs w:val="24"/>
        </w:rPr>
        <w:t xml:space="preserve"> education and</w:t>
      </w:r>
      <w:r w:rsidR="00576784">
        <w:rPr>
          <w:szCs w:val="24"/>
        </w:rPr>
        <w:t xml:space="preserve"> social security.</w:t>
      </w:r>
    </w:p>
    <w:p w:rsidR="006546B7" w:rsidRPr="00D664E6" w:rsidRDefault="006546B7" w:rsidP="006546B7">
      <w:pPr>
        <w:spacing w:before="120" w:after="120"/>
        <w:rPr>
          <w:szCs w:val="24"/>
        </w:rPr>
      </w:pPr>
    </w:p>
    <w:bookmarkEnd w:id="1"/>
    <w:p w:rsidR="00AD1645" w:rsidRPr="00E23C53" w:rsidRDefault="00576784" w:rsidP="00E23C53">
      <w:pPr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Minister for Social Services, the Hon Kevin Andrews MP</w:t>
      </w:r>
    </w:p>
    <w:sectPr w:rsidR="00AD1645" w:rsidRPr="00E23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45" w:rsidRDefault="00AD1645" w:rsidP="00AD1645">
      <w:pPr>
        <w:spacing w:before="0"/>
      </w:pPr>
      <w:r>
        <w:separator/>
      </w:r>
    </w:p>
  </w:endnote>
  <w:endnote w:type="continuationSeparator" w:id="0">
    <w:p w:rsidR="00AD1645" w:rsidRDefault="00AD1645" w:rsidP="00AD16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45" w:rsidRDefault="00AD1645" w:rsidP="00AD1645">
      <w:pPr>
        <w:spacing w:before="0"/>
      </w:pPr>
      <w:r>
        <w:separator/>
      </w:r>
    </w:p>
  </w:footnote>
  <w:footnote w:type="continuationSeparator" w:id="0">
    <w:p w:rsidR="00AD1645" w:rsidRDefault="00AD1645" w:rsidP="00AD164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64A2E"/>
    <w:multiLevelType w:val="hybridMultilevel"/>
    <w:tmpl w:val="1340C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505B4"/>
    <w:multiLevelType w:val="hybridMultilevel"/>
    <w:tmpl w:val="5C80E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DF5487"/>
    <w:multiLevelType w:val="hybridMultilevel"/>
    <w:tmpl w:val="2ECCCE8C"/>
    <w:lvl w:ilvl="0" w:tplc="FE76A5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A181D"/>
    <w:multiLevelType w:val="hybridMultilevel"/>
    <w:tmpl w:val="77BC02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D4D4B"/>
    <w:multiLevelType w:val="hybridMultilevel"/>
    <w:tmpl w:val="DF36C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2611E"/>
    <w:multiLevelType w:val="hybridMultilevel"/>
    <w:tmpl w:val="0F022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82A6B"/>
    <w:multiLevelType w:val="hybridMultilevel"/>
    <w:tmpl w:val="FAFE925C"/>
    <w:lvl w:ilvl="0" w:tplc="7F3A4E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4A728AC"/>
    <w:multiLevelType w:val="hybridMultilevel"/>
    <w:tmpl w:val="2ECCCE8C"/>
    <w:lvl w:ilvl="0" w:tplc="FE76A5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F0"/>
    <w:rsid w:val="00000E2A"/>
    <w:rsid w:val="0000668E"/>
    <w:rsid w:val="00025DB5"/>
    <w:rsid w:val="000269F7"/>
    <w:rsid w:val="00030B79"/>
    <w:rsid w:val="00043B6D"/>
    <w:rsid w:val="00085730"/>
    <w:rsid w:val="00086CA8"/>
    <w:rsid w:val="00096B8D"/>
    <w:rsid w:val="000B4130"/>
    <w:rsid w:val="000D365F"/>
    <w:rsid w:val="000E302B"/>
    <w:rsid w:val="000E3915"/>
    <w:rsid w:val="000F17C2"/>
    <w:rsid w:val="0011719D"/>
    <w:rsid w:val="001310C6"/>
    <w:rsid w:val="00146DD9"/>
    <w:rsid w:val="0015134A"/>
    <w:rsid w:val="00167DE4"/>
    <w:rsid w:val="00191AEC"/>
    <w:rsid w:val="001E5D12"/>
    <w:rsid w:val="001E630D"/>
    <w:rsid w:val="001E7422"/>
    <w:rsid w:val="001F4E3C"/>
    <w:rsid w:val="00221CB6"/>
    <w:rsid w:val="002317F5"/>
    <w:rsid w:val="002329E1"/>
    <w:rsid w:val="0024760C"/>
    <w:rsid w:val="002533F0"/>
    <w:rsid w:val="00274CAF"/>
    <w:rsid w:val="00276D06"/>
    <w:rsid w:val="00276F09"/>
    <w:rsid w:val="002A0E63"/>
    <w:rsid w:val="002A2A71"/>
    <w:rsid w:val="002B0175"/>
    <w:rsid w:val="002C1938"/>
    <w:rsid w:val="002D0F1C"/>
    <w:rsid w:val="002D4522"/>
    <w:rsid w:val="002D7AEE"/>
    <w:rsid w:val="00300D8B"/>
    <w:rsid w:val="00333B5D"/>
    <w:rsid w:val="00342ADC"/>
    <w:rsid w:val="0035378F"/>
    <w:rsid w:val="003606C5"/>
    <w:rsid w:val="00365424"/>
    <w:rsid w:val="00370BED"/>
    <w:rsid w:val="00380666"/>
    <w:rsid w:val="0038093E"/>
    <w:rsid w:val="00393D4E"/>
    <w:rsid w:val="003B2BB8"/>
    <w:rsid w:val="003B6FFD"/>
    <w:rsid w:val="003C3368"/>
    <w:rsid w:val="003C54B6"/>
    <w:rsid w:val="003D34FF"/>
    <w:rsid w:val="00420387"/>
    <w:rsid w:val="00446D6C"/>
    <w:rsid w:val="00453FC9"/>
    <w:rsid w:val="00454405"/>
    <w:rsid w:val="00456FBD"/>
    <w:rsid w:val="004814F1"/>
    <w:rsid w:val="00482411"/>
    <w:rsid w:val="004956ED"/>
    <w:rsid w:val="00497768"/>
    <w:rsid w:val="004A0C19"/>
    <w:rsid w:val="004A24AF"/>
    <w:rsid w:val="004B54CA"/>
    <w:rsid w:val="004C163F"/>
    <w:rsid w:val="004D336A"/>
    <w:rsid w:val="004E3A61"/>
    <w:rsid w:val="004E5CBF"/>
    <w:rsid w:val="004F1CD0"/>
    <w:rsid w:val="004F264A"/>
    <w:rsid w:val="0050360A"/>
    <w:rsid w:val="00527238"/>
    <w:rsid w:val="00553DF4"/>
    <w:rsid w:val="00574494"/>
    <w:rsid w:val="00576330"/>
    <w:rsid w:val="0057641C"/>
    <w:rsid w:val="005766D2"/>
    <w:rsid w:val="00576784"/>
    <w:rsid w:val="00591D1A"/>
    <w:rsid w:val="005C390A"/>
    <w:rsid w:val="005C3AA9"/>
    <w:rsid w:val="005F0A89"/>
    <w:rsid w:val="005F41C9"/>
    <w:rsid w:val="00614C63"/>
    <w:rsid w:val="00624E34"/>
    <w:rsid w:val="006402A6"/>
    <w:rsid w:val="006546B7"/>
    <w:rsid w:val="006643AB"/>
    <w:rsid w:val="0067070B"/>
    <w:rsid w:val="00681C7F"/>
    <w:rsid w:val="00683FF5"/>
    <w:rsid w:val="006A1F70"/>
    <w:rsid w:val="006A4CE7"/>
    <w:rsid w:val="006A6045"/>
    <w:rsid w:val="006A6D51"/>
    <w:rsid w:val="006E1B19"/>
    <w:rsid w:val="006E780B"/>
    <w:rsid w:val="006F0662"/>
    <w:rsid w:val="0073766B"/>
    <w:rsid w:val="00740FF7"/>
    <w:rsid w:val="007563E4"/>
    <w:rsid w:val="00762A05"/>
    <w:rsid w:val="00767130"/>
    <w:rsid w:val="00771003"/>
    <w:rsid w:val="00785261"/>
    <w:rsid w:val="007938F3"/>
    <w:rsid w:val="007B0256"/>
    <w:rsid w:val="007C5234"/>
    <w:rsid w:val="007D6273"/>
    <w:rsid w:val="00807CD7"/>
    <w:rsid w:val="00830D5C"/>
    <w:rsid w:val="00852407"/>
    <w:rsid w:val="00860BE9"/>
    <w:rsid w:val="00870311"/>
    <w:rsid w:val="00871F28"/>
    <w:rsid w:val="00880E92"/>
    <w:rsid w:val="00896466"/>
    <w:rsid w:val="008B026E"/>
    <w:rsid w:val="008B1AA5"/>
    <w:rsid w:val="008D3EED"/>
    <w:rsid w:val="008D59CA"/>
    <w:rsid w:val="008D7A97"/>
    <w:rsid w:val="008E1D0E"/>
    <w:rsid w:val="008F5702"/>
    <w:rsid w:val="009140F6"/>
    <w:rsid w:val="00915A96"/>
    <w:rsid w:val="009225F0"/>
    <w:rsid w:val="009426E4"/>
    <w:rsid w:val="00950ACB"/>
    <w:rsid w:val="00956519"/>
    <w:rsid w:val="00965D08"/>
    <w:rsid w:val="00966756"/>
    <w:rsid w:val="00966F79"/>
    <w:rsid w:val="00985038"/>
    <w:rsid w:val="00993F68"/>
    <w:rsid w:val="0099649B"/>
    <w:rsid w:val="009A4EAB"/>
    <w:rsid w:val="009A5D3E"/>
    <w:rsid w:val="009B323B"/>
    <w:rsid w:val="009C3B63"/>
    <w:rsid w:val="009C63B6"/>
    <w:rsid w:val="009D1BE5"/>
    <w:rsid w:val="009D56AD"/>
    <w:rsid w:val="009F3C43"/>
    <w:rsid w:val="009F6343"/>
    <w:rsid w:val="00A27E85"/>
    <w:rsid w:val="00A35D99"/>
    <w:rsid w:val="00A4616D"/>
    <w:rsid w:val="00AA45C6"/>
    <w:rsid w:val="00AC271F"/>
    <w:rsid w:val="00AC635D"/>
    <w:rsid w:val="00AD1645"/>
    <w:rsid w:val="00AE11F6"/>
    <w:rsid w:val="00AF0E6A"/>
    <w:rsid w:val="00AF514B"/>
    <w:rsid w:val="00B01538"/>
    <w:rsid w:val="00B03F8D"/>
    <w:rsid w:val="00B1246B"/>
    <w:rsid w:val="00B261D9"/>
    <w:rsid w:val="00B33E33"/>
    <w:rsid w:val="00B52B87"/>
    <w:rsid w:val="00B6472A"/>
    <w:rsid w:val="00B74531"/>
    <w:rsid w:val="00B97543"/>
    <w:rsid w:val="00BA2DB9"/>
    <w:rsid w:val="00BA56CF"/>
    <w:rsid w:val="00BB4C3D"/>
    <w:rsid w:val="00BE56A0"/>
    <w:rsid w:val="00BE7148"/>
    <w:rsid w:val="00BF2FB3"/>
    <w:rsid w:val="00C12EEC"/>
    <w:rsid w:val="00C2733D"/>
    <w:rsid w:val="00C4511C"/>
    <w:rsid w:val="00C559BF"/>
    <w:rsid w:val="00C72FD2"/>
    <w:rsid w:val="00CA3D78"/>
    <w:rsid w:val="00CD16FD"/>
    <w:rsid w:val="00CF0527"/>
    <w:rsid w:val="00D1706F"/>
    <w:rsid w:val="00D2075E"/>
    <w:rsid w:val="00D21D83"/>
    <w:rsid w:val="00D243C5"/>
    <w:rsid w:val="00D367AA"/>
    <w:rsid w:val="00D4188E"/>
    <w:rsid w:val="00D459E0"/>
    <w:rsid w:val="00D61C4B"/>
    <w:rsid w:val="00D708CA"/>
    <w:rsid w:val="00DB6E7A"/>
    <w:rsid w:val="00DD2BC5"/>
    <w:rsid w:val="00E01E71"/>
    <w:rsid w:val="00E027AF"/>
    <w:rsid w:val="00E23C53"/>
    <w:rsid w:val="00E32139"/>
    <w:rsid w:val="00E72DC6"/>
    <w:rsid w:val="00E9738E"/>
    <w:rsid w:val="00EA2DDC"/>
    <w:rsid w:val="00EB51BC"/>
    <w:rsid w:val="00EC0C59"/>
    <w:rsid w:val="00EC25F5"/>
    <w:rsid w:val="00EC47F6"/>
    <w:rsid w:val="00ED1D5E"/>
    <w:rsid w:val="00F0576D"/>
    <w:rsid w:val="00F1167E"/>
    <w:rsid w:val="00F227A4"/>
    <w:rsid w:val="00F2374D"/>
    <w:rsid w:val="00F32CBF"/>
    <w:rsid w:val="00F35271"/>
    <w:rsid w:val="00F42D0D"/>
    <w:rsid w:val="00F502A9"/>
    <w:rsid w:val="00F664A6"/>
    <w:rsid w:val="00F70683"/>
    <w:rsid w:val="00F92E1F"/>
    <w:rsid w:val="00FA6F53"/>
    <w:rsid w:val="00FC2823"/>
    <w:rsid w:val="00FD368E"/>
    <w:rsid w:val="00FE02B7"/>
    <w:rsid w:val="00FE5C69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F0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0066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1C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C9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nhideWhenUsed/>
    <w:rsid w:val="005F41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41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41C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1C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8F5702"/>
    <w:rPr>
      <w:rFonts w:ascii="Times New Roman" w:eastAsia="Times New Roman" w:hAnsi="Times New Roman" w:cs="Times New Roman"/>
    </w:rPr>
  </w:style>
  <w:style w:type="paragraph" w:customStyle="1" w:styleId="paragraph">
    <w:name w:val="paragraph"/>
    <w:aliases w:val="a"/>
    <w:basedOn w:val="Normal"/>
    <w:link w:val="paragraphChar"/>
    <w:rsid w:val="008F5702"/>
    <w:pPr>
      <w:tabs>
        <w:tab w:val="right" w:pos="1531"/>
      </w:tabs>
      <w:spacing w:before="40"/>
      <w:ind w:left="1644" w:hanging="1644"/>
    </w:pPr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D1645"/>
    <w:pPr>
      <w:spacing w:before="0"/>
    </w:pPr>
    <w:rPr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D16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D164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546B7"/>
    <w:pPr>
      <w:spacing w:before="100" w:beforeAutospacing="1" w:after="360" w:line="360" w:lineRule="atLeas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6546B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546B7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546B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546B7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241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35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F0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0066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1C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C9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nhideWhenUsed/>
    <w:rsid w:val="005F41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41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41C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1C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8F5702"/>
    <w:rPr>
      <w:rFonts w:ascii="Times New Roman" w:eastAsia="Times New Roman" w:hAnsi="Times New Roman" w:cs="Times New Roman"/>
    </w:rPr>
  </w:style>
  <w:style w:type="paragraph" w:customStyle="1" w:styleId="paragraph">
    <w:name w:val="paragraph"/>
    <w:aliases w:val="a"/>
    <w:basedOn w:val="Normal"/>
    <w:link w:val="paragraphChar"/>
    <w:rsid w:val="008F5702"/>
    <w:pPr>
      <w:tabs>
        <w:tab w:val="right" w:pos="1531"/>
      </w:tabs>
      <w:spacing w:before="40"/>
      <w:ind w:left="1644" w:hanging="1644"/>
    </w:pPr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D1645"/>
    <w:pPr>
      <w:spacing w:before="0"/>
    </w:pPr>
    <w:rPr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D16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D164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546B7"/>
    <w:pPr>
      <w:spacing w:before="100" w:beforeAutospacing="1" w:after="360" w:line="360" w:lineRule="atLeas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6546B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546B7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546B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546B7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241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35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2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5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33722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5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2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889108">
                                                      <w:marLeft w:val="537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5829-5AE8-458C-AF33-8551CD57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Duncan</dc:creator>
  <cp:lastModifiedBy>Burrowes, Megan</cp:lastModifiedBy>
  <cp:revision>2</cp:revision>
  <cp:lastPrinted>2013-07-15T01:48:00Z</cp:lastPrinted>
  <dcterms:created xsi:type="dcterms:W3CDTF">2014-06-16T23:41:00Z</dcterms:created>
  <dcterms:modified xsi:type="dcterms:W3CDTF">2014-06-16T23:41:00Z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