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7A8A9" w14:textId="77777777" w:rsidR="00422779" w:rsidRDefault="00422779" w:rsidP="00422779">
      <w:pPr>
        <w:pStyle w:val="Title"/>
        <w:rPr>
          <w:rFonts w:ascii="Times New Roman" w:hAnsi="Times New Roman"/>
          <w:u w:val="none"/>
        </w:rPr>
      </w:pPr>
      <w:bookmarkStart w:id="0" w:name="_GoBack"/>
      <w:bookmarkEnd w:id="0"/>
      <w:r w:rsidRPr="007041E3">
        <w:rPr>
          <w:rFonts w:ascii="Times New Roman" w:hAnsi="Times New Roman"/>
          <w:u w:val="none"/>
        </w:rPr>
        <w:t xml:space="preserve">EXPLANATORY STATEMENT </w:t>
      </w:r>
    </w:p>
    <w:p w14:paraId="0FCE3F0D" w14:textId="77777777" w:rsidR="00422779" w:rsidRPr="004B646D" w:rsidRDefault="00422779" w:rsidP="00422779">
      <w:pPr>
        <w:pStyle w:val="Title"/>
        <w:rPr>
          <w:rFonts w:ascii="Times New Roman" w:hAnsi="Times New Roman"/>
          <w:u w:val="none"/>
        </w:rPr>
      </w:pPr>
    </w:p>
    <w:p w14:paraId="76559F86" w14:textId="77777777" w:rsidR="00422779" w:rsidRPr="00D56EDD" w:rsidRDefault="00422779" w:rsidP="00422779">
      <w:pPr>
        <w:jc w:val="center"/>
        <w:rPr>
          <w:szCs w:val="24"/>
        </w:rPr>
      </w:pPr>
      <w:r w:rsidRPr="00D56EDD">
        <w:rPr>
          <w:i/>
          <w:szCs w:val="24"/>
        </w:rPr>
        <w:t xml:space="preserve">Telecommunications </w:t>
      </w:r>
      <w:r>
        <w:rPr>
          <w:i/>
          <w:szCs w:val="24"/>
        </w:rPr>
        <w:t>Universal Service Management Agency</w:t>
      </w:r>
      <w:r w:rsidRPr="00D56EDD">
        <w:rPr>
          <w:i/>
          <w:szCs w:val="24"/>
        </w:rPr>
        <w:t xml:space="preserve"> Act </w:t>
      </w:r>
      <w:r>
        <w:rPr>
          <w:i/>
          <w:szCs w:val="24"/>
        </w:rPr>
        <w:t>2012</w:t>
      </w:r>
    </w:p>
    <w:p w14:paraId="4DD5D4A9" w14:textId="77777777" w:rsidR="00422779" w:rsidRDefault="00422779" w:rsidP="00422779">
      <w:pPr>
        <w:jc w:val="center"/>
      </w:pPr>
    </w:p>
    <w:p w14:paraId="1F4C3056" w14:textId="77777777" w:rsidR="00422779" w:rsidRPr="00E215FD" w:rsidRDefault="00422779" w:rsidP="00422779">
      <w:pPr>
        <w:jc w:val="center"/>
        <w:rPr>
          <w:b/>
          <w:szCs w:val="24"/>
        </w:rPr>
      </w:pPr>
      <w:r w:rsidRPr="003D3D84">
        <w:rPr>
          <w:b/>
          <w:szCs w:val="24"/>
        </w:rPr>
        <w:t>Levy Amount Formula Modification Determination 201</w:t>
      </w:r>
      <w:r>
        <w:rPr>
          <w:b/>
          <w:szCs w:val="24"/>
        </w:rPr>
        <w:t>4</w:t>
      </w:r>
      <w:r w:rsidRPr="003D3D84">
        <w:rPr>
          <w:b/>
          <w:szCs w:val="24"/>
        </w:rPr>
        <w:t xml:space="preserve"> </w:t>
      </w:r>
      <w:r w:rsidRPr="00E215FD">
        <w:rPr>
          <w:b/>
          <w:szCs w:val="24"/>
        </w:rPr>
        <w:t xml:space="preserve"> </w:t>
      </w:r>
    </w:p>
    <w:p w14:paraId="48E71E05" w14:textId="77777777" w:rsidR="00422779" w:rsidRDefault="00422779" w:rsidP="00422779">
      <w:pPr>
        <w:jc w:val="center"/>
      </w:pPr>
    </w:p>
    <w:p w14:paraId="65778A4B" w14:textId="77777777" w:rsidR="00422779" w:rsidRPr="0081794C" w:rsidRDefault="00422779" w:rsidP="00422779">
      <w:pPr>
        <w:pStyle w:val="Heading2"/>
        <w:jc w:val="center"/>
        <w:rPr>
          <w:szCs w:val="24"/>
        </w:rPr>
      </w:pPr>
      <w:r w:rsidRPr="007041E3">
        <w:rPr>
          <w:szCs w:val="24"/>
        </w:rPr>
        <w:t xml:space="preserve">Issued by the Authority of the Minister for Communications </w:t>
      </w:r>
    </w:p>
    <w:p w14:paraId="36014F57" w14:textId="77777777" w:rsidR="00422779" w:rsidRPr="00D56EDD" w:rsidRDefault="00422779" w:rsidP="00422779">
      <w:pPr>
        <w:jc w:val="center"/>
        <w:rPr>
          <w:szCs w:val="24"/>
        </w:rPr>
      </w:pPr>
    </w:p>
    <w:p w14:paraId="6B4D8C40" w14:textId="77777777" w:rsidR="00422779" w:rsidRPr="00A9422C" w:rsidRDefault="00422779" w:rsidP="00422779">
      <w:pPr>
        <w:rPr>
          <w:b/>
          <w:szCs w:val="24"/>
        </w:rPr>
      </w:pPr>
      <w:r w:rsidRPr="00A9422C">
        <w:rPr>
          <w:b/>
          <w:szCs w:val="24"/>
        </w:rPr>
        <w:t xml:space="preserve">Authority </w:t>
      </w:r>
    </w:p>
    <w:p w14:paraId="190A76AD" w14:textId="77777777" w:rsidR="00422779" w:rsidRDefault="00422779" w:rsidP="00422779">
      <w:pPr>
        <w:rPr>
          <w:szCs w:val="24"/>
          <w:u w:val="single"/>
        </w:rPr>
      </w:pPr>
    </w:p>
    <w:p w14:paraId="41779540" w14:textId="77777777" w:rsidR="00422779" w:rsidRPr="00D56EDD" w:rsidRDefault="00422779" w:rsidP="00422779">
      <w:pPr>
        <w:rPr>
          <w:szCs w:val="24"/>
        </w:rPr>
      </w:pPr>
      <w:r w:rsidRPr="00D56EDD">
        <w:rPr>
          <w:szCs w:val="24"/>
        </w:rPr>
        <w:t xml:space="preserve">The </w:t>
      </w:r>
      <w:r w:rsidRPr="00A128F0">
        <w:rPr>
          <w:i/>
          <w:szCs w:val="24"/>
        </w:rPr>
        <w:t>Levy Amount Formula Modification</w:t>
      </w:r>
      <w:r>
        <w:rPr>
          <w:i/>
          <w:szCs w:val="24"/>
        </w:rPr>
        <w:t xml:space="preserve"> Determination 2014</w:t>
      </w:r>
      <w:r w:rsidRPr="00D56EDD">
        <w:rPr>
          <w:b/>
          <w:szCs w:val="24"/>
        </w:rPr>
        <w:t xml:space="preserve"> </w:t>
      </w:r>
      <w:r>
        <w:rPr>
          <w:szCs w:val="24"/>
        </w:rPr>
        <w:t xml:space="preserve">(the </w:t>
      </w:r>
      <w:r w:rsidRPr="00C00C26">
        <w:rPr>
          <w:b/>
          <w:szCs w:val="24"/>
        </w:rPr>
        <w:t>Determination</w:t>
      </w:r>
      <w:r>
        <w:rPr>
          <w:szCs w:val="24"/>
        </w:rPr>
        <w:t xml:space="preserve">) </w:t>
      </w:r>
      <w:r w:rsidRPr="00BF4A7F">
        <w:rPr>
          <w:szCs w:val="24"/>
        </w:rPr>
        <w:t>is</w:t>
      </w:r>
      <w:r w:rsidRPr="00D56EDD">
        <w:rPr>
          <w:szCs w:val="24"/>
        </w:rPr>
        <w:t xml:space="preserve"> made by the Minister for Communications (the Minister) </w:t>
      </w:r>
      <w:r>
        <w:rPr>
          <w:szCs w:val="24"/>
        </w:rPr>
        <w:t>under</w:t>
      </w:r>
      <w:r w:rsidRPr="00D56EDD">
        <w:rPr>
          <w:szCs w:val="24"/>
        </w:rPr>
        <w:t xml:space="preserve"> </w:t>
      </w:r>
      <w:r>
        <w:rPr>
          <w:szCs w:val="24"/>
        </w:rPr>
        <w:t>subsection</w:t>
      </w:r>
      <w:r w:rsidRPr="00D56EDD">
        <w:rPr>
          <w:szCs w:val="24"/>
        </w:rPr>
        <w:t xml:space="preserve"> </w:t>
      </w:r>
      <w:r>
        <w:rPr>
          <w:szCs w:val="24"/>
        </w:rPr>
        <w:t>99(2)</w:t>
      </w:r>
      <w:r w:rsidRPr="00D56EDD">
        <w:rPr>
          <w:szCs w:val="24"/>
        </w:rPr>
        <w:t xml:space="preserve"> of the </w:t>
      </w:r>
      <w:r w:rsidRPr="00D56EDD">
        <w:rPr>
          <w:i/>
          <w:szCs w:val="24"/>
        </w:rPr>
        <w:t xml:space="preserve">Telecommunications </w:t>
      </w:r>
      <w:r>
        <w:rPr>
          <w:i/>
          <w:szCs w:val="24"/>
        </w:rPr>
        <w:t>Universal Service Management Agency</w:t>
      </w:r>
      <w:r w:rsidRPr="00D56EDD">
        <w:rPr>
          <w:i/>
          <w:szCs w:val="24"/>
        </w:rPr>
        <w:t xml:space="preserve"> Act </w:t>
      </w:r>
      <w:r>
        <w:rPr>
          <w:i/>
          <w:szCs w:val="24"/>
        </w:rPr>
        <w:t>2012</w:t>
      </w:r>
      <w:r>
        <w:rPr>
          <w:szCs w:val="24"/>
        </w:rPr>
        <w:t xml:space="preserve"> (the </w:t>
      </w:r>
      <w:r w:rsidRPr="00C00C26">
        <w:rPr>
          <w:b/>
          <w:szCs w:val="24"/>
        </w:rPr>
        <w:t>Act</w:t>
      </w:r>
      <w:r>
        <w:rPr>
          <w:szCs w:val="24"/>
        </w:rPr>
        <w:t>).  This provision enables</w:t>
      </w:r>
      <w:r w:rsidRPr="00D56EDD">
        <w:rPr>
          <w:szCs w:val="24"/>
        </w:rPr>
        <w:t xml:space="preserve"> the Minister </w:t>
      </w:r>
      <w:r>
        <w:rPr>
          <w:szCs w:val="24"/>
        </w:rPr>
        <w:t>to</w:t>
      </w:r>
      <w:r w:rsidRPr="00D56EDD">
        <w:rPr>
          <w:szCs w:val="24"/>
        </w:rPr>
        <w:t xml:space="preserve"> </w:t>
      </w:r>
      <w:r>
        <w:rPr>
          <w:szCs w:val="24"/>
        </w:rPr>
        <w:t>modify the formula for calculating the levy amount</w:t>
      </w:r>
      <w:r w:rsidRPr="00D56EDD">
        <w:rPr>
          <w:szCs w:val="24"/>
        </w:rPr>
        <w:t xml:space="preserve"> of a ‘participating person’ for </w:t>
      </w:r>
      <w:r>
        <w:rPr>
          <w:szCs w:val="24"/>
        </w:rPr>
        <w:t>an</w:t>
      </w:r>
      <w:r w:rsidRPr="00D56EDD">
        <w:rPr>
          <w:szCs w:val="24"/>
        </w:rPr>
        <w:t xml:space="preserve"> eligible revenue period under the Act.</w:t>
      </w:r>
    </w:p>
    <w:p w14:paraId="23A5A041" w14:textId="77777777" w:rsidR="00422779" w:rsidRDefault="00422779" w:rsidP="00422779">
      <w:pPr>
        <w:rPr>
          <w:szCs w:val="24"/>
          <w:u w:val="single"/>
        </w:rPr>
      </w:pPr>
    </w:p>
    <w:p w14:paraId="24019596" w14:textId="77777777" w:rsidR="00422779" w:rsidRPr="00A9422C" w:rsidRDefault="00422779" w:rsidP="00422779">
      <w:pPr>
        <w:rPr>
          <w:b/>
          <w:szCs w:val="24"/>
        </w:rPr>
      </w:pPr>
      <w:r w:rsidRPr="00A9422C">
        <w:rPr>
          <w:b/>
          <w:szCs w:val="24"/>
        </w:rPr>
        <w:t>Purpose</w:t>
      </w:r>
    </w:p>
    <w:p w14:paraId="6BD46944" w14:textId="77777777" w:rsidR="00422779" w:rsidRDefault="00422779" w:rsidP="00422779">
      <w:pPr>
        <w:rPr>
          <w:szCs w:val="24"/>
          <w:u w:val="single"/>
        </w:rPr>
      </w:pPr>
    </w:p>
    <w:p w14:paraId="4ED7445F" w14:textId="77777777" w:rsidR="00422779" w:rsidRPr="00C104CC" w:rsidRDefault="00422779" w:rsidP="00422779">
      <w:pPr>
        <w:rPr>
          <w:szCs w:val="24"/>
        </w:rPr>
      </w:pPr>
      <w:r>
        <w:rPr>
          <w:szCs w:val="24"/>
        </w:rPr>
        <w:t xml:space="preserve">The Determination modifies the general formula by which a levy amount is calculated for a participating person in an eligible revenue period (other than the first or second eligible revenue periods) to provide for the calculations to be adjusted in the event that a participating person goes into receivership, liquidation, general administration or ceases to exist. </w:t>
      </w:r>
    </w:p>
    <w:p w14:paraId="3366D54B" w14:textId="77777777" w:rsidR="00422779" w:rsidRPr="00A9422C" w:rsidRDefault="00422779" w:rsidP="00422779">
      <w:pPr>
        <w:spacing w:before="240" w:after="240"/>
        <w:rPr>
          <w:b/>
          <w:szCs w:val="24"/>
        </w:rPr>
      </w:pPr>
      <w:r w:rsidRPr="00A9422C">
        <w:rPr>
          <w:b/>
          <w:szCs w:val="24"/>
        </w:rPr>
        <w:t>Background</w:t>
      </w:r>
    </w:p>
    <w:p w14:paraId="0B115D7D" w14:textId="77777777" w:rsidR="00422779" w:rsidRPr="00A77CFE" w:rsidRDefault="00422779" w:rsidP="00422779">
      <w:r>
        <w:t xml:space="preserve">Part 6 of the Act sets out the provisions for the assessment, collection and recovery of an industry levy, imposed under the </w:t>
      </w:r>
      <w:r w:rsidRPr="00960E5E">
        <w:rPr>
          <w:i/>
        </w:rPr>
        <w:t>Telecommunications (Industry Levy) Act 2012</w:t>
      </w:r>
      <w:r>
        <w:t xml:space="preserve">.  A levy is payable by a ‘participating person’, as defined in section 92 of the Act and the </w:t>
      </w:r>
      <w:r>
        <w:rPr>
          <w:i/>
          <w:iCs/>
        </w:rPr>
        <w:t>Telecommunications (Participating Persons) Determination 2013</w:t>
      </w:r>
      <w:r>
        <w:rPr>
          <w:iCs/>
        </w:rPr>
        <w:t>.  This levy (together with government funding) covers the costs of the Telecommunications Universal Service Management Agency (</w:t>
      </w:r>
      <w:r>
        <w:rPr>
          <w:b/>
          <w:iCs/>
        </w:rPr>
        <w:t>TUSMA</w:t>
      </w:r>
      <w:r>
        <w:rPr>
          <w:iCs/>
        </w:rPr>
        <w:t xml:space="preserve">).  </w:t>
      </w:r>
      <w:r>
        <w:t>TUSMA has responsibility for the effective implementation and administration of service contracts or grants that deliver universal service and other public policy telecommunications outcomes.</w:t>
      </w:r>
    </w:p>
    <w:p w14:paraId="343C4393" w14:textId="77777777" w:rsidR="00422779" w:rsidRDefault="00422779" w:rsidP="00422779"/>
    <w:p w14:paraId="06F93CF7" w14:textId="77777777" w:rsidR="00422779" w:rsidRDefault="00422779" w:rsidP="00422779">
      <w:pPr>
        <w:rPr>
          <w:u w:val="single"/>
        </w:rPr>
      </w:pPr>
      <w:r w:rsidRPr="00B60B7C">
        <w:rPr>
          <w:u w:val="single"/>
        </w:rPr>
        <w:t>The first and second eligible revenue periods</w:t>
      </w:r>
    </w:p>
    <w:p w14:paraId="22A48C0D" w14:textId="77777777" w:rsidR="00422779" w:rsidRPr="00B60B7C" w:rsidRDefault="00422779" w:rsidP="00422779">
      <w:pPr>
        <w:rPr>
          <w:u w:val="single"/>
        </w:rPr>
      </w:pPr>
    </w:p>
    <w:p w14:paraId="1D9D8AAB" w14:textId="77777777" w:rsidR="00422779" w:rsidRDefault="00422779" w:rsidP="00422779">
      <w:r>
        <w:t xml:space="preserve">For the first and second eligible revenue periods (ie the 2011 - 2012 and 2012 - 2013 financial years respectively), subsection 99(3) of the Act provides that </w:t>
      </w:r>
      <w:r>
        <w:rPr>
          <w:szCs w:val="24"/>
        </w:rPr>
        <w:t>the levy amount is the ‘</w:t>
      </w:r>
      <w:r w:rsidRPr="00212C5E">
        <w:rPr>
          <w:szCs w:val="24"/>
        </w:rPr>
        <w:t>levy contribution factor</w:t>
      </w:r>
      <w:r>
        <w:rPr>
          <w:szCs w:val="24"/>
        </w:rPr>
        <w:t>’</w:t>
      </w:r>
      <w:r>
        <w:rPr>
          <w:i/>
          <w:szCs w:val="24"/>
        </w:rPr>
        <w:t xml:space="preserve"> </w:t>
      </w:r>
      <w:r>
        <w:rPr>
          <w:szCs w:val="24"/>
        </w:rPr>
        <w:t>(as calculated under section 98 of the Act) multiplied by the ‘</w:t>
      </w:r>
      <w:r w:rsidRPr="00212C5E">
        <w:rPr>
          <w:szCs w:val="24"/>
        </w:rPr>
        <w:t>overall levy cap amount</w:t>
      </w:r>
      <w:r>
        <w:rPr>
          <w:szCs w:val="24"/>
        </w:rPr>
        <w:t xml:space="preserve">’ (which is </w:t>
      </w:r>
      <w:r>
        <w:t xml:space="preserve">an amount ascertained in accordance with a written instrument made by the Minister under subsection 99(4) of the Act).  </w:t>
      </w:r>
    </w:p>
    <w:p w14:paraId="3FDD8196" w14:textId="77777777" w:rsidR="00422779" w:rsidRDefault="00422779" w:rsidP="00422779"/>
    <w:p w14:paraId="2FC12B90" w14:textId="77777777" w:rsidR="00422779" w:rsidRPr="00E34E9D" w:rsidRDefault="00422779" w:rsidP="00422779">
      <w:r>
        <w:t xml:space="preserve">In 2013, the </w:t>
      </w:r>
      <w:r w:rsidRPr="00A128F0">
        <w:rPr>
          <w:i/>
          <w:szCs w:val="24"/>
        </w:rPr>
        <w:t>Levy Amount Formula Modification</w:t>
      </w:r>
      <w:r>
        <w:rPr>
          <w:i/>
          <w:szCs w:val="24"/>
        </w:rPr>
        <w:t xml:space="preserve"> Determination 2013 </w:t>
      </w:r>
      <w:r>
        <w:rPr>
          <w:szCs w:val="24"/>
        </w:rPr>
        <w:t xml:space="preserve">(the </w:t>
      </w:r>
      <w:r w:rsidRPr="00532D7F">
        <w:rPr>
          <w:b/>
          <w:szCs w:val="24"/>
        </w:rPr>
        <w:t>2013 Determination</w:t>
      </w:r>
      <w:r>
        <w:rPr>
          <w:szCs w:val="24"/>
        </w:rPr>
        <w:t xml:space="preserve">) was made under subsection 99(8) of the Act and </w:t>
      </w:r>
      <w:r>
        <w:t xml:space="preserve">modified the formula set out in subsection 99(3) of the Act for the first and second eligible revenue periods.  The calculation of the levy amount was adjusted in the event that a participating person </w:t>
      </w:r>
      <w:r>
        <w:lastRenderedPageBreak/>
        <w:t>goes into receivership, liquidation, general administration or ceases to exist.  The formula for calculating the levy amount for the first or second eligible revenue periods is different from the formula that applies in subsequent eligible revenue periods because of the substantially different liabilities incurred by TUSMA during its first two years of operation.</w:t>
      </w:r>
    </w:p>
    <w:p w14:paraId="20B10583" w14:textId="77777777" w:rsidR="00422779" w:rsidRDefault="00422779" w:rsidP="00422779"/>
    <w:p w14:paraId="422D3008" w14:textId="77777777" w:rsidR="00422779" w:rsidRPr="00B60B7C" w:rsidRDefault="00422779" w:rsidP="00422779">
      <w:pPr>
        <w:keepNext/>
        <w:keepLines/>
        <w:rPr>
          <w:u w:val="single"/>
        </w:rPr>
      </w:pPr>
      <w:r>
        <w:rPr>
          <w:u w:val="single"/>
        </w:rPr>
        <w:t>Subsequent eligible revenue periods</w:t>
      </w:r>
    </w:p>
    <w:p w14:paraId="5A987AA5" w14:textId="77777777" w:rsidR="00422779" w:rsidRDefault="00422779" w:rsidP="00422779">
      <w:pPr>
        <w:keepNext/>
        <w:keepLines/>
      </w:pPr>
    </w:p>
    <w:p w14:paraId="26A600AE" w14:textId="77777777" w:rsidR="00422779" w:rsidRDefault="00422779" w:rsidP="00422779">
      <w:pPr>
        <w:keepNext/>
        <w:keepLines/>
      </w:pPr>
      <w:r>
        <w:t xml:space="preserve">For subsequent eligible revenue periods (ie commencing with the financial year 2014 – 2015), the formula in subsection 99(1) of the Act applies.  This formula provides that the levy amount will be calculated for each participating person for an eligible levy period by multiplying each person’s ‘levy contribution factor’ by the ‘overall levy target amount’ (which is an amount worked out under section 88 of the Act).  </w:t>
      </w:r>
    </w:p>
    <w:p w14:paraId="4974ECE6" w14:textId="77777777" w:rsidR="00422779" w:rsidRDefault="00422779" w:rsidP="00422779">
      <w:pPr>
        <w:keepNext/>
        <w:keepLines/>
      </w:pPr>
    </w:p>
    <w:p w14:paraId="25B11DA8" w14:textId="77777777" w:rsidR="00422779" w:rsidRDefault="00422779" w:rsidP="00422779">
      <w:pPr>
        <w:keepNext/>
        <w:keepLines/>
      </w:pPr>
      <w:r>
        <w:t xml:space="preserve">As with the modifications to the formula in subsection 99(3) of the Act, the Determination modifies the formula in subsection 99(1) of the Act in the event that a participating person goes into receivership, liquidation, general administration or ceases to exist.  </w:t>
      </w:r>
    </w:p>
    <w:p w14:paraId="16CB714D" w14:textId="77777777" w:rsidR="00422779" w:rsidRDefault="00422779" w:rsidP="00422779">
      <w:pPr>
        <w:keepNext/>
        <w:keepLines/>
      </w:pPr>
    </w:p>
    <w:p w14:paraId="15C66474" w14:textId="77777777" w:rsidR="00422779" w:rsidRDefault="00422779" w:rsidP="00422779">
      <w:pPr>
        <w:ind w:right="-332"/>
      </w:pPr>
      <w:r>
        <w:t xml:space="preserve">The formula in subsection 99(1) of the Act relies on all participating persons paying in full their respective levy amounts so that the ‘overall levy target amount’ is recovered.  If a participating person does not pay the levy amount owed (because, for example, they enter some form of external administration under the </w:t>
      </w:r>
      <w:r>
        <w:rPr>
          <w:i/>
        </w:rPr>
        <w:t>Corporations Act 2001</w:t>
      </w:r>
      <w:r>
        <w:t xml:space="preserve">, or otherwise cease to exist before the end of the relevant eligible revenue period), there will be a shortfall in TUSMA’s funding for that financial year.  </w:t>
      </w:r>
    </w:p>
    <w:p w14:paraId="77086292" w14:textId="77777777" w:rsidR="00422779" w:rsidRDefault="00422779" w:rsidP="00422779">
      <w:pPr>
        <w:ind w:right="-332"/>
      </w:pPr>
    </w:p>
    <w:p w14:paraId="17BA703B" w14:textId="77777777" w:rsidR="00422779" w:rsidRPr="00604059" w:rsidRDefault="00422779" w:rsidP="00422779">
      <w:pPr>
        <w:rPr>
          <w:i/>
          <w:szCs w:val="24"/>
        </w:rPr>
      </w:pPr>
      <w:r>
        <w:rPr>
          <w:szCs w:val="24"/>
        </w:rPr>
        <w:t xml:space="preserve">Subsection 99(2) of the Act sets out that the Minister may, by legislative instrument, modify the formula in subsection 99(1).  The Explanatory Memorandum to the </w:t>
      </w:r>
      <w:r w:rsidRPr="00507A92">
        <w:rPr>
          <w:i/>
          <w:szCs w:val="24"/>
        </w:rPr>
        <w:t>Telecommunications Universal Service Management Agency Bill 2011</w:t>
      </w:r>
      <w:r>
        <w:rPr>
          <w:szCs w:val="24"/>
        </w:rPr>
        <w:t xml:space="preserve"> provides the following relevant commentary: </w:t>
      </w:r>
    </w:p>
    <w:p w14:paraId="66703E34" w14:textId="77777777" w:rsidR="00422779" w:rsidRPr="00604059" w:rsidRDefault="00422779" w:rsidP="00422779">
      <w:pPr>
        <w:spacing w:before="120"/>
        <w:ind w:left="567"/>
        <w:rPr>
          <w:szCs w:val="24"/>
        </w:rPr>
      </w:pPr>
      <w:r w:rsidRPr="00604059">
        <w:rPr>
          <w:szCs w:val="24"/>
        </w:rPr>
        <w:t xml:space="preserve">This ability to vary the formula of a levy amount would allow the Minister to modify the means by which the overall levy amount is calculated to account for any irregularities that might otherwise adversely affect the accurate assessment of a levy amount under this clause. For example, this power could be utilised to adjust the calculations of a levy amount in the event of a participating person going into receivership, liquidation or general administration or who for any reason has ceased to exist. </w:t>
      </w:r>
    </w:p>
    <w:p w14:paraId="7B0F489F" w14:textId="77777777" w:rsidR="00422779" w:rsidRPr="0051005F" w:rsidRDefault="00422779" w:rsidP="00422779">
      <w:pPr>
        <w:autoSpaceDE w:val="0"/>
        <w:autoSpaceDN w:val="0"/>
        <w:adjustRightInd w:val="0"/>
        <w:rPr>
          <w:szCs w:val="24"/>
        </w:rPr>
      </w:pPr>
    </w:p>
    <w:p w14:paraId="14620602" w14:textId="77777777" w:rsidR="00422779" w:rsidRDefault="00422779" w:rsidP="00422779">
      <w:pPr>
        <w:autoSpaceDE w:val="0"/>
        <w:autoSpaceDN w:val="0"/>
        <w:adjustRightInd w:val="0"/>
        <w:rPr>
          <w:szCs w:val="24"/>
        </w:rPr>
      </w:pPr>
      <w:r>
        <w:rPr>
          <w:szCs w:val="24"/>
        </w:rPr>
        <w:t>The Determination provides a mechanism to automatically recover a shortfall of the overall levy target amount, in circumstances where a participating person is unable to pay the full levy amount in an eligible revenue period, due to receivership, liquidation, general administration or that the person ceases to exist.  The Determination</w:t>
      </w:r>
      <w:r w:rsidRPr="0051005F">
        <w:rPr>
          <w:szCs w:val="24"/>
        </w:rPr>
        <w:t xml:space="preserve"> </w:t>
      </w:r>
      <w:r>
        <w:rPr>
          <w:szCs w:val="24"/>
        </w:rPr>
        <w:t>achieves</w:t>
      </w:r>
      <w:r w:rsidRPr="0051005F">
        <w:rPr>
          <w:szCs w:val="24"/>
        </w:rPr>
        <w:t xml:space="preserve"> this in an equitable manner, with</w:t>
      </w:r>
      <w:r>
        <w:rPr>
          <w:szCs w:val="24"/>
        </w:rPr>
        <w:t xml:space="preserve"> the relevant </w:t>
      </w:r>
      <w:r w:rsidRPr="0051005F">
        <w:rPr>
          <w:szCs w:val="24"/>
        </w:rPr>
        <w:t>shortfall</w:t>
      </w:r>
      <w:r>
        <w:rPr>
          <w:szCs w:val="24"/>
        </w:rPr>
        <w:t xml:space="preserve"> being </w:t>
      </w:r>
      <w:r w:rsidRPr="0051005F">
        <w:rPr>
          <w:szCs w:val="24"/>
        </w:rPr>
        <w:t>distributed amongst the remaining carriers</w:t>
      </w:r>
      <w:r>
        <w:rPr>
          <w:szCs w:val="24"/>
        </w:rPr>
        <w:t xml:space="preserve"> for payment</w:t>
      </w:r>
      <w:r w:rsidRPr="0051005F">
        <w:rPr>
          <w:szCs w:val="24"/>
        </w:rPr>
        <w:t>.</w:t>
      </w:r>
    </w:p>
    <w:p w14:paraId="0F8D3327" w14:textId="77777777" w:rsidR="00422779" w:rsidRDefault="00422779" w:rsidP="00422779">
      <w:pPr>
        <w:autoSpaceDE w:val="0"/>
        <w:autoSpaceDN w:val="0"/>
        <w:adjustRightInd w:val="0"/>
        <w:rPr>
          <w:szCs w:val="24"/>
        </w:rPr>
      </w:pPr>
    </w:p>
    <w:p w14:paraId="36F00A07" w14:textId="77777777" w:rsidR="00422779" w:rsidRPr="00142EC5" w:rsidRDefault="00422779" w:rsidP="00422779">
      <w:pPr>
        <w:autoSpaceDE w:val="0"/>
        <w:autoSpaceDN w:val="0"/>
        <w:adjustRightInd w:val="0"/>
        <w:rPr>
          <w:szCs w:val="24"/>
        </w:rPr>
      </w:pPr>
      <w:r>
        <w:rPr>
          <w:szCs w:val="24"/>
        </w:rPr>
        <w:lastRenderedPageBreak/>
        <w:t xml:space="preserve">The Determination is consistent with previous levy modification determinations, including the 2013 Determination and the </w:t>
      </w:r>
      <w:r>
        <w:rPr>
          <w:i/>
          <w:szCs w:val="24"/>
        </w:rPr>
        <w:t xml:space="preserve">Levy Debit Formula Modification Determination (No.1) 2002 </w:t>
      </w:r>
      <w:r>
        <w:rPr>
          <w:szCs w:val="24"/>
        </w:rPr>
        <w:t xml:space="preserve">made by the Minister under subsection 20R(3) of the </w:t>
      </w:r>
      <w:r w:rsidRPr="009F5B37">
        <w:rPr>
          <w:i/>
        </w:rPr>
        <w:t>Telecommunications (Consumer Protection and Service Standards) Act 1999</w:t>
      </w:r>
      <w:r>
        <w:t xml:space="preserve">, </w:t>
      </w:r>
      <w:r>
        <w:rPr>
          <w:szCs w:val="24"/>
        </w:rPr>
        <w:t>in respect of the former Universal Service Obligation levy. The Determination does not impose new obligations on participating persons, or alter their existing obligations in any significant way.</w:t>
      </w:r>
    </w:p>
    <w:p w14:paraId="31BD847D" w14:textId="77777777" w:rsidR="00422779" w:rsidRPr="0051005F" w:rsidRDefault="00422779" w:rsidP="00422779">
      <w:pPr>
        <w:autoSpaceDE w:val="0"/>
        <w:autoSpaceDN w:val="0"/>
        <w:adjustRightInd w:val="0"/>
        <w:rPr>
          <w:szCs w:val="24"/>
        </w:rPr>
      </w:pPr>
    </w:p>
    <w:p w14:paraId="4E906FFF" w14:textId="77777777" w:rsidR="00422779" w:rsidRPr="00A9422C" w:rsidRDefault="00422779" w:rsidP="00422779">
      <w:pPr>
        <w:rPr>
          <w:b/>
          <w:szCs w:val="24"/>
        </w:rPr>
      </w:pPr>
      <w:r w:rsidRPr="00A9422C">
        <w:rPr>
          <w:b/>
          <w:szCs w:val="24"/>
        </w:rPr>
        <w:t xml:space="preserve">Consultation </w:t>
      </w:r>
    </w:p>
    <w:p w14:paraId="16257982" w14:textId="77777777" w:rsidR="00422779" w:rsidRPr="00D56EDD" w:rsidRDefault="00422779" w:rsidP="00422779">
      <w:pPr>
        <w:rPr>
          <w:szCs w:val="24"/>
        </w:rPr>
      </w:pPr>
    </w:p>
    <w:p w14:paraId="36B32AF9" w14:textId="77777777" w:rsidR="00422779" w:rsidRPr="00797942" w:rsidRDefault="00422779" w:rsidP="00422779">
      <w:pPr>
        <w:rPr>
          <w:szCs w:val="24"/>
        </w:rPr>
      </w:pPr>
      <w:r w:rsidRPr="000F3488">
        <w:rPr>
          <w:szCs w:val="24"/>
        </w:rPr>
        <w:t>The Australian Communications and Media Authority was consulted in relation to the making of this Determination.</w:t>
      </w:r>
      <w:r w:rsidRPr="00144537">
        <w:rPr>
          <w:szCs w:val="24"/>
        </w:rPr>
        <w:t xml:space="preserve"> </w:t>
      </w:r>
    </w:p>
    <w:p w14:paraId="12845585" w14:textId="77777777" w:rsidR="00422779" w:rsidRPr="00797942" w:rsidRDefault="00422779" w:rsidP="00422779">
      <w:pPr>
        <w:rPr>
          <w:szCs w:val="24"/>
        </w:rPr>
      </w:pPr>
    </w:p>
    <w:p w14:paraId="79D19898" w14:textId="77777777" w:rsidR="00422779" w:rsidRPr="000F3488" w:rsidRDefault="00422779" w:rsidP="00422779">
      <w:pPr>
        <w:rPr>
          <w:szCs w:val="24"/>
        </w:rPr>
      </w:pPr>
      <w:r w:rsidRPr="000F3488">
        <w:rPr>
          <w:szCs w:val="24"/>
        </w:rPr>
        <w:t xml:space="preserve">An exposure draft of this Determination was provided to carriers who were participating persons for the 2012-13 eligible revenue period, as well as those additional carriers who might be participating persons for the 2013-14 eligible revenue period. A total of three submissions were received, two of which provided only general criticisms of the levy and broader TUSMA funding arrangements. </w:t>
      </w:r>
    </w:p>
    <w:p w14:paraId="78D7F1C8" w14:textId="77777777" w:rsidR="00422779" w:rsidRPr="000F3488" w:rsidRDefault="00422779" w:rsidP="00422779">
      <w:pPr>
        <w:rPr>
          <w:szCs w:val="24"/>
        </w:rPr>
      </w:pPr>
    </w:p>
    <w:p w14:paraId="0F637B86" w14:textId="77777777" w:rsidR="00422779" w:rsidRPr="000F3488" w:rsidRDefault="00422779" w:rsidP="00422779">
      <w:pPr>
        <w:rPr>
          <w:szCs w:val="24"/>
        </w:rPr>
      </w:pPr>
      <w:r w:rsidRPr="000F3488">
        <w:rPr>
          <w:szCs w:val="24"/>
        </w:rPr>
        <w:t>The third submission raised concerns regarding the Determination’s treatment of participating persons under external administration and whether such persons were receiving preferential treatment.  Further discussions were held with the party and as a consequence it was considered that  no amendments were required to be made to the Determination.</w:t>
      </w:r>
    </w:p>
    <w:p w14:paraId="76866C83" w14:textId="77777777" w:rsidR="00422779" w:rsidRPr="00144537" w:rsidRDefault="00422779" w:rsidP="00422779">
      <w:pPr>
        <w:rPr>
          <w:szCs w:val="24"/>
        </w:rPr>
      </w:pPr>
    </w:p>
    <w:p w14:paraId="1DFDDD92" w14:textId="77777777" w:rsidR="00422779" w:rsidRPr="00797942" w:rsidRDefault="00422779" w:rsidP="00422779">
      <w:pPr>
        <w:spacing w:after="240"/>
        <w:rPr>
          <w:b/>
          <w:color w:val="000000"/>
          <w:szCs w:val="24"/>
        </w:rPr>
      </w:pPr>
      <w:r w:rsidRPr="00797942">
        <w:rPr>
          <w:b/>
          <w:color w:val="000000"/>
          <w:szCs w:val="24"/>
        </w:rPr>
        <w:t>Regulatory impact</w:t>
      </w:r>
    </w:p>
    <w:p w14:paraId="2F29E6CF" w14:textId="77777777" w:rsidR="00422779" w:rsidRPr="0091501F" w:rsidRDefault="00422779" w:rsidP="00422779">
      <w:pPr>
        <w:rPr>
          <w:color w:val="000000"/>
          <w:szCs w:val="24"/>
        </w:rPr>
      </w:pPr>
      <w:r w:rsidRPr="000F3488">
        <w:rPr>
          <w:color w:val="000000"/>
          <w:szCs w:val="24"/>
        </w:rPr>
        <w:t xml:space="preserve">The Office of Best Practice Regulation (the </w:t>
      </w:r>
      <w:r w:rsidRPr="000F3488">
        <w:rPr>
          <w:b/>
          <w:color w:val="000000"/>
          <w:szCs w:val="24"/>
        </w:rPr>
        <w:t>OBPR</w:t>
      </w:r>
      <w:r w:rsidRPr="000F3488">
        <w:rPr>
          <w:color w:val="000000"/>
          <w:szCs w:val="24"/>
        </w:rPr>
        <w:t>) has agreed that the regulatory changes arising from the Determination are machinery in nature and that no further regulatory impact analysis is required.</w:t>
      </w:r>
      <w:r w:rsidRPr="0091501F">
        <w:rPr>
          <w:color w:val="000000"/>
          <w:szCs w:val="24"/>
        </w:rPr>
        <w:t xml:space="preserve"> </w:t>
      </w:r>
    </w:p>
    <w:p w14:paraId="75885296" w14:textId="77777777" w:rsidR="00422779" w:rsidRPr="0091501F" w:rsidRDefault="00422779" w:rsidP="00422779">
      <w:pPr>
        <w:rPr>
          <w:b/>
          <w:color w:val="000000"/>
          <w:szCs w:val="24"/>
        </w:rPr>
      </w:pPr>
    </w:p>
    <w:p w14:paraId="09D537F6" w14:textId="77777777" w:rsidR="00422779" w:rsidRPr="0091501F" w:rsidRDefault="00422779" w:rsidP="00422779">
      <w:pPr>
        <w:spacing w:after="240"/>
        <w:rPr>
          <w:b/>
          <w:color w:val="000000"/>
          <w:szCs w:val="24"/>
        </w:rPr>
      </w:pPr>
      <w:r w:rsidRPr="0091501F">
        <w:rPr>
          <w:b/>
          <w:color w:val="000000"/>
          <w:szCs w:val="24"/>
        </w:rPr>
        <w:t>Statement of compatibility with human rights</w:t>
      </w:r>
    </w:p>
    <w:p w14:paraId="53D08865" w14:textId="77777777" w:rsidR="00422779" w:rsidRPr="0091501F" w:rsidRDefault="00422779" w:rsidP="00422779">
      <w:pPr>
        <w:rPr>
          <w:color w:val="000000"/>
          <w:szCs w:val="24"/>
        </w:rPr>
      </w:pPr>
      <w:r w:rsidRPr="0091501F">
        <w:rPr>
          <w:color w:val="000000"/>
          <w:szCs w:val="24"/>
        </w:rPr>
        <w:t xml:space="preserve">This statement of compatibility is prepared in accordance with Part 3 of the </w:t>
      </w:r>
      <w:r w:rsidRPr="0091501F">
        <w:rPr>
          <w:i/>
          <w:color w:val="000000"/>
          <w:szCs w:val="24"/>
        </w:rPr>
        <w:t>Human Rights (Parliamentary Scrutiny) Act 2011</w:t>
      </w:r>
      <w:r w:rsidRPr="0091501F">
        <w:rPr>
          <w:color w:val="000000"/>
          <w:szCs w:val="24"/>
        </w:rPr>
        <w:t>.</w:t>
      </w:r>
    </w:p>
    <w:p w14:paraId="020D7518" w14:textId="77777777" w:rsidR="00422779" w:rsidRPr="0091501F" w:rsidRDefault="00422779" w:rsidP="00422779">
      <w:pPr>
        <w:rPr>
          <w:color w:val="000000"/>
          <w:szCs w:val="24"/>
        </w:rPr>
      </w:pPr>
    </w:p>
    <w:p w14:paraId="5951CA7F" w14:textId="77777777" w:rsidR="00422779" w:rsidRDefault="00422779" w:rsidP="00422779">
      <w:pPr>
        <w:rPr>
          <w:color w:val="000000"/>
          <w:szCs w:val="24"/>
        </w:rPr>
      </w:pPr>
      <w:r w:rsidRPr="0091501F">
        <w:rPr>
          <w:color w:val="000000"/>
          <w:szCs w:val="24"/>
        </w:rPr>
        <w:t xml:space="preserve">The Determination modifies the </w:t>
      </w:r>
      <w:r>
        <w:rPr>
          <w:szCs w:val="24"/>
        </w:rPr>
        <w:t>formula by which a levy amount is calculated for a participating person in an eligible revenue period.  This modified formula provides for the calculations to be adjusted in the event that a participating person goes into receivership, liquidation, general administration or ceases to exist</w:t>
      </w:r>
      <w:r>
        <w:rPr>
          <w:color w:val="000000"/>
          <w:szCs w:val="24"/>
        </w:rPr>
        <w:t xml:space="preserve">.  </w:t>
      </w:r>
    </w:p>
    <w:p w14:paraId="31D24D7F" w14:textId="77777777" w:rsidR="00422779" w:rsidRDefault="00422779" w:rsidP="00422779">
      <w:pPr>
        <w:rPr>
          <w:color w:val="000000"/>
          <w:szCs w:val="24"/>
        </w:rPr>
      </w:pPr>
    </w:p>
    <w:p w14:paraId="6BF3C612" w14:textId="77777777" w:rsidR="00422779" w:rsidRPr="0091501F" w:rsidRDefault="00422779" w:rsidP="00422779">
      <w:pPr>
        <w:rPr>
          <w:color w:val="000000"/>
          <w:szCs w:val="24"/>
        </w:rPr>
      </w:pPr>
      <w:r w:rsidRPr="0091501F">
        <w:rPr>
          <w:color w:val="000000"/>
          <w:szCs w:val="24"/>
        </w:rPr>
        <w:t xml:space="preserve">The Determination is compatible with the human rights and freedoms recognised or declared in the international instruments listed in section 3 of the </w:t>
      </w:r>
      <w:r w:rsidRPr="0091501F">
        <w:rPr>
          <w:i/>
          <w:color w:val="000000"/>
          <w:szCs w:val="24"/>
        </w:rPr>
        <w:t>Human Rights (Parliamentary Scrutiny) Act</w:t>
      </w:r>
      <w:r>
        <w:rPr>
          <w:i/>
          <w:color w:val="000000"/>
          <w:szCs w:val="24"/>
        </w:rPr>
        <w:t xml:space="preserve"> 2011</w:t>
      </w:r>
      <w:r w:rsidRPr="0091501F">
        <w:rPr>
          <w:color w:val="000000"/>
          <w:szCs w:val="24"/>
        </w:rPr>
        <w:t>.  It does not engage any of the applicable rights or freedoms and does not raise any human rights issues.</w:t>
      </w:r>
    </w:p>
    <w:p w14:paraId="02027E94" w14:textId="77777777" w:rsidR="00422779" w:rsidRDefault="00422779" w:rsidP="00422779">
      <w:pPr>
        <w:rPr>
          <w:szCs w:val="24"/>
        </w:rPr>
      </w:pPr>
    </w:p>
    <w:p w14:paraId="34BEA5BE" w14:textId="77777777" w:rsidR="00422779" w:rsidRPr="00D56EDD" w:rsidRDefault="00422779" w:rsidP="00422779">
      <w:pPr>
        <w:rPr>
          <w:szCs w:val="24"/>
        </w:rPr>
      </w:pPr>
      <w:r w:rsidRPr="00D56EDD">
        <w:rPr>
          <w:szCs w:val="24"/>
        </w:rPr>
        <w:lastRenderedPageBreak/>
        <w:t xml:space="preserve">The Determination is a legislative instrument for the purposes of the </w:t>
      </w:r>
      <w:r w:rsidRPr="00D56EDD">
        <w:rPr>
          <w:i/>
          <w:szCs w:val="24"/>
        </w:rPr>
        <w:t>Legislative Instruments Act 2003</w:t>
      </w:r>
      <w:r w:rsidRPr="00D56EDD">
        <w:rPr>
          <w:szCs w:val="24"/>
        </w:rPr>
        <w:t xml:space="preserve">.  </w:t>
      </w:r>
    </w:p>
    <w:p w14:paraId="10E949CA" w14:textId="77777777" w:rsidR="00422779" w:rsidRPr="00A9422C" w:rsidRDefault="00422779" w:rsidP="00422779"/>
    <w:p w14:paraId="60C073BE" w14:textId="77777777" w:rsidR="00422779" w:rsidRPr="005A09F1" w:rsidRDefault="00422779" w:rsidP="00422779">
      <w:pPr>
        <w:pStyle w:val="Heading3"/>
      </w:pPr>
      <w:r w:rsidRPr="00FB4987">
        <w:t>Notes on sections</w:t>
      </w:r>
    </w:p>
    <w:p w14:paraId="5225240D" w14:textId="77777777" w:rsidR="00422779" w:rsidRDefault="00422779" w:rsidP="00422779">
      <w:pPr>
        <w:pStyle w:val="HR"/>
        <w:tabs>
          <w:tab w:val="clear" w:pos="540"/>
        </w:tabs>
        <w:spacing w:before="400"/>
        <w:jc w:val="left"/>
        <w:rPr>
          <w:rFonts w:ascii="Times New Roman" w:hAnsi="Times New Roman" w:cs="Times New Roman"/>
          <w:sz w:val="24"/>
          <w:szCs w:val="24"/>
        </w:rPr>
      </w:pPr>
      <w:r>
        <w:rPr>
          <w:rFonts w:ascii="Times New Roman" w:hAnsi="Times New Roman" w:cs="Times New Roman"/>
          <w:sz w:val="24"/>
          <w:szCs w:val="24"/>
        </w:rPr>
        <w:t xml:space="preserve">Section 1 - </w:t>
      </w:r>
      <w:r w:rsidRPr="00EE0ABB">
        <w:rPr>
          <w:rFonts w:ascii="Times New Roman" w:hAnsi="Times New Roman" w:cs="Times New Roman"/>
          <w:sz w:val="24"/>
          <w:szCs w:val="24"/>
        </w:rPr>
        <w:t xml:space="preserve">Name of </w:t>
      </w:r>
      <w:r>
        <w:rPr>
          <w:rFonts w:ascii="Times New Roman" w:hAnsi="Times New Roman" w:cs="Times New Roman"/>
          <w:sz w:val="24"/>
          <w:szCs w:val="24"/>
        </w:rPr>
        <w:t xml:space="preserve">Determination </w:t>
      </w:r>
    </w:p>
    <w:p w14:paraId="75E4F35E" w14:textId="77777777" w:rsidR="00422779" w:rsidRDefault="00422779" w:rsidP="00422779">
      <w:pPr>
        <w:spacing w:before="120" w:after="120"/>
        <w:rPr>
          <w:b/>
          <w:bCs/>
        </w:rPr>
      </w:pPr>
      <w:r>
        <w:t>Section 1 provides that the name of t</w:t>
      </w:r>
      <w:r w:rsidRPr="003F2B22">
        <w:t>h</w:t>
      </w:r>
      <w:r>
        <w:t xml:space="preserve">e Determination is the </w:t>
      </w:r>
      <w:r>
        <w:rPr>
          <w:i/>
        </w:rPr>
        <w:t>Levy Amount Formula Modification Determination 2014.</w:t>
      </w:r>
    </w:p>
    <w:p w14:paraId="6B594585" w14:textId="77777777" w:rsidR="00422779" w:rsidRDefault="00422779" w:rsidP="00422779">
      <w:pPr>
        <w:pStyle w:val="HR"/>
        <w:tabs>
          <w:tab w:val="clear" w:pos="540"/>
        </w:tabs>
        <w:jc w:val="left"/>
        <w:rPr>
          <w:rFonts w:ascii="Times New Roman" w:hAnsi="Times New Roman" w:cs="Times New Roman"/>
          <w:sz w:val="24"/>
          <w:szCs w:val="24"/>
        </w:rPr>
      </w:pPr>
      <w:r>
        <w:rPr>
          <w:rFonts w:ascii="Times New Roman" w:hAnsi="Times New Roman" w:cs="Times New Roman"/>
          <w:sz w:val="24"/>
          <w:szCs w:val="24"/>
        </w:rPr>
        <w:t xml:space="preserve">Section 2 - </w:t>
      </w:r>
      <w:r w:rsidRPr="00EE0ABB">
        <w:rPr>
          <w:rFonts w:ascii="Times New Roman" w:hAnsi="Times New Roman" w:cs="Times New Roman"/>
          <w:sz w:val="24"/>
          <w:szCs w:val="24"/>
        </w:rPr>
        <w:t>Commencement</w:t>
      </w:r>
    </w:p>
    <w:p w14:paraId="5ACD0091" w14:textId="77777777" w:rsidR="00422779" w:rsidRDefault="00422779" w:rsidP="00422779">
      <w:pPr>
        <w:spacing w:before="120" w:after="120"/>
      </w:pPr>
      <w:r>
        <w:t>Section 2 provides that the Determination commences on the day after it is registered on the Federal Register of Legislative Instruments.</w:t>
      </w:r>
    </w:p>
    <w:p w14:paraId="059BA142" w14:textId="77777777" w:rsidR="00422779" w:rsidRDefault="00422779" w:rsidP="00422779">
      <w:pPr>
        <w:pStyle w:val="HR"/>
        <w:tabs>
          <w:tab w:val="clear" w:pos="540"/>
        </w:tabs>
        <w:jc w:val="left"/>
        <w:rPr>
          <w:rFonts w:ascii="Times New Roman" w:hAnsi="Times New Roman" w:cs="Times New Roman"/>
          <w:sz w:val="24"/>
          <w:szCs w:val="24"/>
        </w:rPr>
      </w:pPr>
      <w:r>
        <w:rPr>
          <w:rFonts w:ascii="Times New Roman" w:hAnsi="Times New Roman" w:cs="Times New Roman"/>
          <w:sz w:val="24"/>
          <w:szCs w:val="24"/>
        </w:rPr>
        <w:t>Section 3 - Application</w:t>
      </w:r>
    </w:p>
    <w:p w14:paraId="3E8607A4" w14:textId="77777777" w:rsidR="00422779" w:rsidRDefault="00422779" w:rsidP="00422779">
      <w:pPr>
        <w:tabs>
          <w:tab w:val="left" w:pos="567"/>
        </w:tabs>
        <w:spacing w:after="120"/>
      </w:pPr>
      <w:r>
        <w:t xml:space="preserve">Section 3 provides that the Determination applies in relation to the 2014- 2015 eligible levy period and subsequent eligible levy periods.  </w:t>
      </w:r>
    </w:p>
    <w:p w14:paraId="36DFEDEE" w14:textId="77777777" w:rsidR="00422779" w:rsidRDefault="00422779" w:rsidP="00422779">
      <w:pPr>
        <w:pStyle w:val="HR"/>
        <w:tabs>
          <w:tab w:val="clear" w:pos="540"/>
        </w:tabs>
        <w:jc w:val="left"/>
        <w:rPr>
          <w:rFonts w:ascii="Times New Roman" w:hAnsi="Times New Roman" w:cs="Times New Roman"/>
          <w:sz w:val="24"/>
          <w:szCs w:val="24"/>
        </w:rPr>
      </w:pPr>
      <w:r>
        <w:rPr>
          <w:rFonts w:ascii="Times New Roman" w:hAnsi="Times New Roman" w:cs="Times New Roman"/>
          <w:sz w:val="24"/>
          <w:szCs w:val="24"/>
        </w:rPr>
        <w:t xml:space="preserve">Section 4 - </w:t>
      </w:r>
      <w:r w:rsidRPr="00EE0ABB">
        <w:rPr>
          <w:rFonts w:ascii="Times New Roman" w:hAnsi="Times New Roman" w:cs="Times New Roman"/>
          <w:sz w:val="24"/>
          <w:szCs w:val="24"/>
        </w:rPr>
        <w:t>Definitions</w:t>
      </w:r>
    </w:p>
    <w:p w14:paraId="47B784A6" w14:textId="77777777" w:rsidR="00422779" w:rsidRDefault="00422779" w:rsidP="00422779">
      <w:pPr>
        <w:spacing w:before="120" w:after="120"/>
      </w:pPr>
      <w:r>
        <w:t>This section defines the terms used in the Determination.</w:t>
      </w:r>
    </w:p>
    <w:p w14:paraId="6668AF31" w14:textId="7F23CAB9" w:rsidR="00422779" w:rsidRDefault="00422779" w:rsidP="00422779">
      <w:pPr>
        <w:pStyle w:val="HR"/>
        <w:tabs>
          <w:tab w:val="clear" w:pos="540"/>
        </w:tabs>
        <w:jc w:val="left"/>
        <w:rPr>
          <w:rFonts w:ascii="Times New Roman" w:hAnsi="Times New Roman" w:cs="Times New Roman"/>
          <w:sz w:val="24"/>
          <w:szCs w:val="24"/>
        </w:rPr>
      </w:pPr>
      <w:r>
        <w:rPr>
          <w:rFonts w:ascii="Times New Roman" w:hAnsi="Times New Roman" w:cs="Times New Roman"/>
          <w:sz w:val="24"/>
          <w:szCs w:val="24"/>
        </w:rPr>
        <w:t xml:space="preserve">Section 5 - </w:t>
      </w:r>
      <w:r w:rsidRPr="00A6093D">
        <w:rPr>
          <w:rFonts w:ascii="Times New Roman" w:hAnsi="Times New Roman" w:cs="Times New Roman"/>
          <w:sz w:val="24"/>
          <w:szCs w:val="24"/>
        </w:rPr>
        <w:t>Modification of the formula in subsection 99(</w:t>
      </w:r>
      <w:r w:rsidR="00F60764">
        <w:rPr>
          <w:rFonts w:ascii="Times New Roman" w:hAnsi="Times New Roman" w:cs="Times New Roman"/>
          <w:sz w:val="24"/>
          <w:szCs w:val="24"/>
        </w:rPr>
        <w:t>1</w:t>
      </w:r>
      <w:r w:rsidRPr="00A6093D">
        <w:rPr>
          <w:rFonts w:ascii="Times New Roman" w:hAnsi="Times New Roman" w:cs="Times New Roman"/>
          <w:sz w:val="24"/>
          <w:szCs w:val="24"/>
        </w:rPr>
        <w:t>) of the Act</w:t>
      </w:r>
    </w:p>
    <w:p w14:paraId="5915D14D" w14:textId="77777777" w:rsidR="00422779" w:rsidRDefault="00422779" w:rsidP="00422779">
      <w:r>
        <w:t>The formula in subsection 99(1) of the Act has been replaced with three separate formulas in relation to an eligible revenue period:</w:t>
      </w:r>
    </w:p>
    <w:p w14:paraId="350B6365" w14:textId="77777777" w:rsidR="00422779" w:rsidRDefault="00422779" w:rsidP="00422779">
      <w:pPr>
        <w:numPr>
          <w:ilvl w:val="0"/>
          <w:numId w:val="30"/>
        </w:numPr>
        <w:spacing w:before="120"/>
        <w:ind w:left="567" w:hanging="567"/>
      </w:pPr>
      <w:r>
        <w:t>levy amounts for a participating person that ceases to exist;</w:t>
      </w:r>
    </w:p>
    <w:p w14:paraId="10F0ED2A" w14:textId="77777777" w:rsidR="00422779" w:rsidRDefault="00422779" w:rsidP="00422779">
      <w:pPr>
        <w:numPr>
          <w:ilvl w:val="0"/>
          <w:numId w:val="30"/>
        </w:numPr>
        <w:spacing w:before="120"/>
        <w:ind w:left="567" w:hanging="567"/>
      </w:pPr>
      <w:r>
        <w:t>levy amounts for a participating person that is an externally-administered body corporate; and</w:t>
      </w:r>
    </w:p>
    <w:p w14:paraId="05C72513" w14:textId="77777777" w:rsidR="00422779" w:rsidRDefault="00422779" w:rsidP="00422779">
      <w:pPr>
        <w:numPr>
          <w:ilvl w:val="0"/>
          <w:numId w:val="30"/>
        </w:numPr>
        <w:spacing w:before="120"/>
        <w:ind w:left="567" w:hanging="567"/>
      </w:pPr>
      <w:r>
        <w:t>levy amounts for participating persons where paragraphs (a) or (b) do not apply.</w:t>
      </w:r>
    </w:p>
    <w:p w14:paraId="43E601F3" w14:textId="77777777" w:rsidR="00422779" w:rsidRDefault="00422779" w:rsidP="00422779"/>
    <w:p w14:paraId="69E59C05" w14:textId="77777777" w:rsidR="00422779" w:rsidRPr="009557FE" w:rsidRDefault="00422779" w:rsidP="00422779">
      <w:pPr>
        <w:rPr>
          <w:i/>
        </w:rPr>
      </w:pPr>
      <w:r>
        <w:rPr>
          <w:i/>
        </w:rPr>
        <w:t>Levy amounts for an</w:t>
      </w:r>
      <w:r w:rsidRPr="009557FE">
        <w:rPr>
          <w:i/>
        </w:rPr>
        <w:t xml:space="preserve"> eligible revenue period, for a participating person that </w:t>
      </w:r>
      <w:r>
        <w:rPr>
          <w:i/>
        </w:rPr>
        <w:t>ceases to exist</w:t>
      </w:r>
    </w:p>
    <w:p w14:paraId="289F565E" w14:textId="77777777" w:rsidR="00422779" w:rsidRDefault="00422779" w:rsidP="00422779"/>
    <w:p w14:paraId="03C112DE" w14:textId="77777777" w:rsidR="00422779" w:rsidRDefault="00422779" w:rsidP="00422779">
      <w:r>
        <w:t xml:space="preserve">The formula in new subsection 99(1) sets out that the amount payable by a participating person for an eligible revenue period is zero, where the participating person ceases to exist before the end of the ‘date of assessment’ (i.e. a date determined by the ACMA, being a date which is </w:t>
      </w:r>
      <w:r w:rsidRPr="006E377A">
        <w:t>no earlier than the end of the relevant eligible revenue period and no later than the date the ACMA issues its writt</w:t>
      </w:r>
      <w:r>
        <w:t xml:space="preserve">en assessment under section 100).  </w:t>
      </w:r>
    </w:p>
    <w:p w14:paraId="20FD8366" w14:textId="77777777" w:rsidR="00422779" w:rsidRDefault="00422779" w:rsidP="00422779"/>
    <w:p w14:paraId="38A6B519" w14:textId="77777777" w:rsidR="00422779" w:rsidRDefault="00422779" w:rsidP="00422779">
      <w:r>
        <w:t xml:space="preserve">Setting the levy amount for these particular participating persons at zero avoids the administrative burden on the ACMA in pursuing these entities in circumstances where no levy amount will be recoverable. </w:t>
      </w:r>
    </w:p>
    <w:p w14:paraId="6E7E6023" w14:textId="77777777" w:rsidR="00422779" w:rsidRDefault="00422779" w:rsidP="00422779">
      <w:pPr>
        <w:rPr>
          <w:i/>
        </w:rPr>
      </w:pPr>
    </w:p>
    <w:p w14:paraId="013B19AD" w14:textId="77777777" w:rsidR="00422779" w:rsidRPr="009557FE" w:rsidRDefault="00422779" w:rsidP="00422779">
      <w:pPr>
        <w:rPr>
          <w:i/>
        </w:rPr>
      </w:pPr>
      <w:r w:rsidRPr="009557FE">
        <w:rPr>
          <w:i/>
        </w:rPr>
        <w:t xml:space="preserve">Levy amounts for </w:t>
      </w:r>
      <w:r>
        <w:rPr>
          <w:i/>
        </w:rPr>
        <w:t>an</w:t>
      </w:r>
      <w:r w:rsidRPr="009557FE">
        <w:rPr>
          <w:i/>
        </w:rPr>
        <w:t xml:space="preserve"> eligible revenue period, for a participating person that is an externally-administered body corporate</w:t>
      </w:r>
    </w:p>
    <w:p w14:paraId="5354B82B" w14:textId="77777777" w:rsidR="00422779" w:rsidRDefault="00422779" w:rsidP="00422779"/>
    <w:p w14:paraId="742A3DE8" w14:textId="77777777" w:rsidR="00422779" w:rsidRDefault="00422779" w:rsidP="00422779">
      <w:r>
        <w:t>The formula in new subsection 99(1A) sets out the amount payable by a participating person for an eligible revenue period, in circumstances where the participating person is an ‘externally-administered body corporate’.  This formula is the same as that which is currently provided for in subsection 99(1) of the Act.</w:t>
      </w:r>
    </w:p>
    <w:p w14:paraId="1395F55B" w14:textId="77777777" w:rsidR="00422779" w:rsidRDefault="00422779" w:rsidP="00422779"/>
    <w:p w14:paraId="7AF25223" w14:textId="77777777" w:rsidR="00422779" w:rsidRDefault="00422779" w:rsidP="00422779">
      <w:pPr>
        <w:rPr>
          <w:rFonts w:ascii="Arial" w:hAnsi="Arial" w:cs="Arial"/>
          <w:sz w:val="19"/>
          <w:szCs w:val="19"/>
        </w:rPr>
      </w:pPr>
      <w:r>
        <w:t xml:space="preserve">The term ‘externally-administered body corporate’ is defined in the </w:t>
      </w:r>
      <w:r w:rsidRPr="002E3987">
        <w:rPr>
          <w:i/>
        </w:rPr>
        <w:t>Corporations Act 2001</w:t>
      </w:r>
      <w:r>
        <w:t xml:space="preserve">.  </w:t>
      </w:r>
      <w:r w:rsidRPr="00B40D44">
        <w:t>It applies to a body corporate that is being wound up, in receivership, under administration or has executed a deed of company arrangement that has not yet terminated or has entered into a compromise or arrangement with another person the administration of which has not been concluded</w:t>
      </w:r>
      <w:r>
        <w:rPr>
          <w:rFonts w:ascii="Arial" w:hAnsi="Arial" w:cs="Arial"/>
          <w:sz w:val="19"/>
          <w:szCs w:val="19"/>
        </w:rPr>
        <w:t>.</w:t>
      </w:r>
    </w:p>
    <w:p w14:paraId="3D45FDC1" w14:textId="77777777" w:rsidR="00422779" w:rsidRDefault="00422779" w:rsidP="00422779">
      <w:pPr>
        <w:pStyle w:val="paragraph"/>
        <w:spacing w:before="0" w:beforeAutospacing="0" w:after="0" w:afterAutospacing="0"/>
        <w:rPr>
          <w:rFonts w:ascii="Arial" w:hAnsi="Arial" w:cs="Arial"/>
          <w:sz w:val="19"/>
          <w:szCs w:val="19"/>
        </w:rPr>
      </w:pPr>
    </w:p>
    <w:p w14:paraId="4124A450" w14:textId="77777777" w:rsidR="00422779" w:rsidRDefault="00422779" w:rsidP="00422779">
      <w:pPr>
        <w:pStyle w:val="paragraph"/>
        <w:spacing w:before="0" w:beforeAutospacing="0" w:after="0" w:afterAutospacing="0"/>
      </w:pPr>
      <w:r w:rsidRPr="00FB4929">
        <w:t xml:space="preserve">Unlike participating persons that have ceased to exist, it remains viable that a levy amount will be recoverable from a participating person that is under external administration.  </w:t>
      </w:r>
    </w:p>
    <w:p w14:paraId="35C06AAD" w14:textId="77777777" w:rsidR="00422779" w:rsidRDefault="00422779" w:rsidP="00422779">
      <w:pPr>
        <w:pStyle w:val="paragraph"/>
        <w:spacing w:before="0" w:beforeAutospacing="0" w:after="0" w:afterAutospacing="0"/>
      </w:pPr>
    </w:p>
    <w:p w14:paraId="31C951FB" w14:textId="77777777" w:rsidR="00422779" w:rsidRPr="006E7840" w:rsidRDefault="00422779" w:rsidP="00422779">
      <w:pPr>
        <w:rPr>
          <w:i/>
        </w:rPr>
      </w:pPr>
      <w:r w:rsidRPr="006E7840">
        <w:rPr>
          <w:i/>
        </w:rPr>
        <w:t>Levy amounts for an eligible revenue period, for all other participating persons</w:t>
      </w:r>
    </w:p>
    <w:p w14:paraId="135AC993" w14:textId="77777777" w:rsidR="00422779" w:rsidRPr="006E7840" w:rsidRDefault="00422779" w:rsidP="00422779"/>
    <w:p w14:paraId="1CF3D982" w14:textId="77777777" w:rsidR="00422779" w:rsidRDefault="00422779" w:rsidP="00422779">
      <w:r w:rsidRPr="006E7840">
        <w:t xml:space="preserve">The formula in new subsection 99(1B) sets out the amount payable by a participating person in an eligible revenue period, </w:t>
      </w:r>
      <w:r>
        <w:t xml:space="preserve">in circumstances </w:t>
      </w:r>
      <w:r w:rsidRPr="006E7840">
        <w:t xml:space="preserve">where the participating person is not </w:t>
      </w:r>
      <w:r>
        <w:t>under</w:t>
      </w:r>
      <w:r w:rsidRPr="006E7840">
        <w:t xml:space="preserve"> external administration.  </w:t>
      </w:r>
    </w:p>
    <w:p w14:paraId="51EC002E" w14:textId="77777777" w:rsidR="00422779" w:rsidRDefault="00422779" w:rsidP="00422779"/>
    <w:p w14:paraId="65CFC824" w14:textId="1B250768" w:rsidR="00422779" w:rsidRDefault="00422779" w:rsidP="00422779">
      <w:r>
        <w:t xml:space="preserve">This formula includes concepts of a ‘levy contribution factor’ and an ‘overall levy target amount’, similar to new subsection 99(1A).  However, this formula introduces the concepts of an ‘adjustment factor’ and ‘previous levy deficit’ into the formula.  The effect of this modified formula is that those participating persons to which it applies </w:t>
      </w:r>
      <w:r w:rsidR="00C72CC3">
        <w:t>may</w:t>
      </w:r>
      <w:r>
        <w:t xml:space="preserve"> be required to pay a higher levy amount in order to cover a portion of the levy amount owed by participating person(s) to whom the new subsections 99(1) and (1A) applies. </w:t>
      </w:r>
    </w:p>
    <w:p w14:paraId="6F3DE857" w14:textId="77777777" w:rsidR="00422779" w:rsidRDefault="00422779" w:rsidP="00422779"/>
    <w:p w14:paraId="7F8848D3" w14:textId="4F5838D3" w:rsidR="00F60764" w:rsidRPr="000F3488" w:rsidRDefault="00F60764" w:rsidP="000F3488">
      <w:r w:rsidRPr="000F3488">
        <w:t xml:space="preserve">The Determination recognises that, in practice, the only category of participating person that can guaranteed to be able to pay levy at the time it is due are those carriers which remain fully operational.  The modified levy formula for these carriers includes an adjustment factor to ensure any levy shortfall that occurs due to other carriers ceasing to exist or entering into external administration is spread equitably based on each operational carrier’s share of eligible revenue.  This is consistent with the approach first introduced in the </w:t>
      </w:r>
      <w:r w:rsidRPr="000F3488">
        <w:rPr>
          <w:i/>
        </w:rPr>
        <w:t>Levy Debit Formula Modification Determination (No.1) 2002</w:t>
      </w:r>
      <w:r w:rsidRPr="000F3488">
        <w:t xml:space="preserve"> and the 2013 Determination.</w:t>
      </w:r>
    </w:p>
    <w:p w14:paraId="2A5EB82C" w14:textId="77777777" w:rsidR="00F60764" w:rsidRPr="000F3488" w:rsidRDefault="00F60764" w:rsidP="000F3488"/>
    <w:p w14:paraId="34C965A6" w14:textId="77777777" w:rsidR="001051E6" w:rsidRDefault="00F60764" w:rsidP="00422779">
      <w:r w:rsidRPr="000F3488">
        <w:t xml:space="preserve">Should levy be recovered from a participating person under external administration, then there are mechanisms under the TUSMA Act for reimbursing carriers which made up the shortfall.  </w:t>
      </w:r>
    </w:p>
    <w:p w14:paraId="76FF6054" w14:textId="77777777" w:rsidR="001051E6" w:rsidRDefault="001051E6" w:rsidP="00422779"/>
    <w:p w14:paraId="50DC9810" w14:textId="2D4D5A36" w:rsidR="00422779" w:rsidRPr="002E7DA7" w:rsidRDefault="00422779" w:rsidP="00422779">
      <w:r w:rsidRPr="006E7840">
        <w:t xml:space="preserve">Section 87 of the Act </w:t>
      </w:r>
      <w:r>
        <w:t>may</w:t>
      </w:r>
      <w:r w:rsidRPr="006E7840">
        <w:t xml:space="preserve"> apply in circumstances where a carrier pays a levy amount under subsection 99(1B) and the levy deficit is subsequently reduced (for example, where a participating person in external administration subsequently pays an amount which reduces the levy deficit for the purposes of the formula in subsection 99(1B)).  Section 87 of the Act </w:t>
      </w:r>
      <w:r>
        <w:t>enables</w:t>
      </w:r>
      <w:r w:rsidRPr="006E7840">
        <w:t xml:space="preserve"> TUSMA </w:t>
      </w:r>
      <w:r>
        <w:t>to</w:t>
      </w:r>
      <w:r w:rsidRPr="006E7840">
        <w:t xml:space="preserve"> redistribute an amount from the Telecommunications </w:t>
      </w:r>
      <w:r w:rsidRPr="006E7840">
        <w:lastRenderedPageBreak/>
        <w:t>Universal Service Special Account (where the balance is in credit and the debits for an eligible levy period have been paid) to relevant participating persons.</w:t>
      </w:r>
      <w:r w:rsidR="00F05205">
        <w:t xml:space="preserve">  Section 111 also enables TUSMA on behalf of the Commonwealth to refund any overpayment of levy.</w:t>
      </w:r>
    </w:p>
    <w:p w14:paraId="134A7213" w14:textId="5A02E344" w:rsidR="007C1DED" w:rsidRPr="002E7DA7" w:rsidRDefault="007C1DED" w:rsidP="007C1DED"/>
    <w:sectPr w:rsidR="007C1DED" w:rsidRPr="002E7DA7" w:rsidSect="00813909">
      <w:footerReference w:type="default" r:id="rId12"/>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8B4DA" w14:textId="77777777" w:rsidR="009F08B0" w:rsidRDefault="009F08B0">
      <w:r>
        <w:separator/>
      </w:r>
    </w:p>
  </w:endnote>
  <w:endnote w:type="continuationSeparator" w:id="0">
    <w:p w14:paraId="39DEDC3F" w14:textId="77777777" w:rsidR="009F08B0" w:rsidRDefault="009F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0F924" w14:textId="77777777" w:rsidR="003A5175" w:rsidRDefault="0091501F">
    <w:pPr>
      <w:pStyle w:val="Footer"/>
      <w:jc w:val="right"/>
    </w:pPr>
    <w:r>
      <w:fldChar w:fldCharType="begin"/>
    </w:r>
    <w:r>
      <w:instrText xml:space="preserve"> PAGE   \* MERGEFORMAT </w:instrText>
    </w:r>
    <w:r>
      <w:fldChar w:fldCharType="separate"/>
    </w:r>
    <w:r w:rsidR="00C65124">
      <w:rPr>
        <w:noProof/>
      </w:rPr>
      <w:t>2</w:t>
    </w:r>
    <w:r>
      <w:rPr>
        <w:noProof/>
      </w:rPr>
      <w:fldChar w:fldCharType="end"/>
    </w:r>
  </w:p>
  <w:p w14:paraId="7262D256" w14:textId="77777777" w:rsidR="003A5175" w:rsidRDefault="003A5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1C4BD" w14:textId="77777777" w:rsidR="009F08B0" w:rsidRDefault="009F08B0">
      <w:r>
        <w:separator/>
      </w:r>
    </w:p>
  </w:footnote>
  <w:footnote w:type="continuationSeparator" w:id="0">
    <w:p w14:paraId="052BFD42" w14:textId="77777777" w:rsidR="009F08B0" w:rsidRDefault="009F08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1883"/>
    <w:multiLevelType w:val="multilevel"/>
    <w:tmpl w:val="9DE613D2"/>
    <w:numStyleLink w:val="Style1"/>
  </w:abstractNum>
  <w:abstractNum w:abstractNumId="1">
    <w:nsid w:val="08566C3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
    <w:nsid w:val="08C22ED9"/>
    <w:multiLevelType w:val="hybridMultilevel"/>
    <w:tmpl w:val="5A084FCA"/>
    <w:lvl w:ilvl="0" w:tplc="0C090001">
      <w:start w:val="1"/>
      <w:numFmt w:val="bullet"/>
      <w:lvlText w:val=""/>
      <w:lvlJc w:val="left"/>
      <w:pPr>
        <w:tabs>
          <w:tab w:val="num" w:pos="1287"/>
        </w:tabs>
        <w:ind w:left="1287" w:hanging="360"/>
      </w:pPr>
      <w:rPr>
        <w:rFonts w:ascii="Symbol" w:hAnsi="Symbol" w:hint="default"/>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
    <w:nsid w:val="09CD41B5"/>
    <w:multiLevelType w:val="hybridMultilevel"/>
    <w:tmpl w:val="11F2F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337586"/>
    <w:multiLevelType w:val="hybridMultilevel"/>
    <w:tmpl w:val="CCDE0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534AA2"/>
    <w:multiLevelType w:val="hybridMultilevel"/>
    <w:tmpl w:val="E102A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584B2A"/>
    <w:multiLevelType w:val="hybridMultilevel"/>
    <w:tmpl w:val="8F44A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D83911"/>
    <w:multiLevelType w:val="hybridMultilevel"/>
    <w:tmpl w:val="04B042C6"/>
    <w:lvl w:ilvl="0" w:tplc="EF66B018">
      <w:start w:val="1"/>
      <w:numFmt w:val="lowerLetter"/>
      <w:lvlText w:val="(%1)"/>
      <w:lvlJc w:val="left"/>
      <w:pPr>
        <w:tabs>
          <w:tab w:val="num" w:pos="927"/>
        </w:tabs>
        <w:ind w:left="927"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17A71657"/>
    <w:multiLevelType w:val="hybridMultilevel"/>
    <w:tmpl w:val="B652FD4E"/>
    <w:lvl w:ilvl="0" w:tplc="89F2A1B2">
      <w:start w:val="1"/>
      <w:numFmt w:val="lowerLetter"/>
      <w:lvlText w:val="(%1)"/>
      <w:lvlJc w:val="left"/>
      <w:pPr>
        <w:ind w:left="1216" w:hanging="360"/>
      </w:pPr>
      <w:rPr>
        <w:rFonts w:hint="default"/>
        <w:b w:val="0"/>
        <w:u w:val="none"/>
      </w:rPr>
    </w:lvl>
    <w:lvl w:ilvl="1" w:tplc="0C090019" w:tentative="1">
      <w:start w:val="1"/>
      <w:numFmt w:val="lowerLetter"/>
      <w:lvlText w:val="%2."/>
      <w:lvlJc w:val="left"/>
      <w:pPr>
        <w:ind w:left="1936" w:hanging="360"/>
      </w:pPr>
    </w:lvl>
    <w:lvl w:ilvl="2" w:tplc="0C09001B" w:tentative="1">
      <w:start w:val="1"/>
      <w:numFmt w:val="lowerRoman"/>
      <w:lvlText w:val="%3."/>
      <w:lvlJc w:val="right"/>
      <w:pPr>
        <w:ind w:left="2656" w:hanging="180"/>
      </w:pPr>
    </w:lvl>
    <w:lvl w:ilvl="3" w:tplc="0C09000F" w:tentative="1">
      <w:start w:val="1"/>
      <w:numFmt w:val="decimal"/>
      <w:lvlText w:val="%4."/>
      <w:lvlJc w:val="left"/>
      <w:pPr>
        <w:ind w:left="3376" w:hanging="360"/>
      </w:pPr>
    </w:lvl>
    <w:lvl w:ilvl="4" w:tplc="0C090019" w:tentative="1">
      <w:start w:val="1"/>
      <w:numFmt w:val="lowerLetter"/>
      <w:lvlText w:val="%5."/>
      <w:lvlJc w:val="left"/>
      <w:pPr>
        <w:ind w:left="4096" w:hanging="360"/>
      </w:pPr>
    </w:lvl>
    <w:lvl w:ilvl="5" w:tplc="0C09001B" w:tentative="1">
      <w:start w:val="1"/>
      <w:numFmt w:val="lowerRoman"/>
      <w:lvlText w:val="%6."/>
      <w:lvlJc w:val="right"/>
      <w:pPr>
        <w:ind w:left="4816" w:hanging="180"/>
      </w:pPr>
    </w:lvl>
    <w:lvl w:ilvl="6" w:tplc="0C09000F" w:tentative="1">
      <w:start w:val="1"/>
      <w:numFmt w:val="decimal"/>
      <w:lvlText w:val="%7."/>
      <w:lvlJc w:val="left"/>
      <w:pPr>
        <w:ind w:left="5536" w:hanging="360"/>
      </w:pPr>
    </w:lvl>
    <w:lvl w:ilvl="7" w:tplc="0C090019" w:tentative="1">
      <w:start w:val="1"/>
      <w:numFmt w:val="lowerLetter"/>
      <w:lvlText w:val="%8."/>
      <w:lvlJc w:val="left"/>
      <w:pPr>
        <w:ind w:left="6256" w:hanging="360"/>
      </w:pPr>
    </w:lvl>
    <w:lvl w:ilvl="8" w:tplc="0C09001B" w:tentative="1">
      <w:start w:val="1"/>
      <w:numFmt w:val="lowerRoman"/>
      <w:lvlText w:val="%9."/>
      <w:lvlJc w:val="right"/>
      <w:pPr>
        <w:ind w:left="6976" w:hanging="180"/>
      </w:pPr>
    </w:lvl>
  </w:abstractNum>
  <w:abstractNum w:abstractNumId="9">
    <w:nsid w:val="1EF25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1F2F128A"/>
    <w:multiLevelType w:val="multilevel"/>
    <w:tmpl w:val="9DE613D2"/>
    <w:styleLink w:val="Style1"/>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nsid w:val="23942739"/>
    <w:multiLevelType w:val="multilevel"/>
    <w:tmpl w:val="85BC00F0"/>
    <w:lvl w:ilvl="0">
      <w:start w:val="1"/>
      <w:numFmt w:val="lowerLetter"/>
      <w:lvlText w:val="(%1)"/>
      <w:lvlJc w:val="left"/>
      <w:pPr>
        <w:tabs>
          <w:tab w:val="num" w:pos="1440"/>
        </w:tabs>
        <w:ind w:left="1440" w:hanging="360"/>
      </w:pPr>
      <w:rPr>
        <w:rFonts w:cs="Times New Roman" w:hint="default"/>
        <w:i w:val="0"/>
        <w:sz w:val="20"/>
        <w:szCs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25724D9A"/>
    <w:multiLevelType w:val="hybridMultilevel"/>
    <w:tmpl w:val="BA98EAE4"/>
    <w:lvl w:ilvl="0" w:tplc="AA3C5A30">
      <w:start w:val="1"/>
      <w:numFmt w:val="lowerRoman"/>
      <w:lvlText w:val="(%1)"/>
      <w:lvlJc w:val="right"/>
      <w:pPr>
        <w:tabs>
          <w:tab w:val="num" w:pos="2313"/>
        </w:tabs>
        <w:ind w:left="2313"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F3828E4"/>
    <w:multiLevelType w:val="hybridMultilevel"/>
    <w:tmpl w:val="D6E234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697771E"/>
    <w:multiLevelType w:val="hybridMultilevel"/>
    <w:tmpl w:val="7944C4B4"/>
    <w:lvl w:ilvl="0" w:tplc="55D8A856">
      <w:numFmt w:val="bullet"/>
      <w:lvlText w:val="·"/>
      <w:lvlJc w:val="left"/>
      <w:pPr>
        <w:ind w:left="780" w:hanging="4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C361430"/>
    <w:multiLevelType w:val="hybridMultilevel"/>
    <w:tmpl w:val="CAA4AF1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3D041554"/>
    <w:multiLevelType w:val="hybridMultilevel"/>
    <w:tmpl w:val="BB3A12EA"/>
    <w:lvl w:ilvl="0" w:tplc="CECC0BBC">
      <w:start w:val="1"/>
      <w:numFmt w:val="lowerLetter"/>
      <w:lvlText w:val="(%1)"/>
      <w:lvlJc w:val="left"/>
      <w:pPr>
        <w:tabs>
          <w:tab w:val="num" w:pos="927"/>
        </w:tabs>
        <w:ind w:left="927"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F933392"/>
    <w:multiLevelType w:val="singleLevel"/>
    <w:tmpl w:val="62F61132"/>
    <w:lvl w:ilvl="0">
      <w:start w:val="1"/>
      <w:numFmt w:val="lowerLetter"/>
      <w:lvlText w:val="(%1)"/>
      <w:lvlJc w:val="left"/>
      <w:pPr>
        <w:tabs>
          <w:tab w:val="num" w:pos="720"/>
        </w:tabs>
        <w:ind w:left="720" w:hanging="720"/>
      </w:pPr>
      <w:rPr>
        <w:rFonts w:hint="default"/>
      </w:rPr>
    </w:lvl>
  </w:abstractNum>
  <w:abstractNum w:abstractNumId="18">
    <w:nsid w:val="442E69B8"/>
    <w:multiLevelType w:val="hybridMultilevel"/>
    <w:tmpl w:val="0142779A"/>
    <w:lvl w:ilvl="0" w:tplc="DE7234C2">
      <w:start w:val="1"/>
      <w:numFmt w:val="lowerLetter"/>
      <w:lvlText w:val="(%1)"/>
      <w:lvlJc w:val="left"/>
      <w:pPr>
        <w:tabs>
          <w:tab w:val="num" w:pos="927"/>
        </w:tabs>
        <w:ind w:left="927"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7530007"/>
    <w:multiLevelType w:val="hybridMultilevel"/>
    <w:tmpl w:val="EF8C9564"/>
    <w:lvl w:ilvl="0" w:tplc="68781DAE">
      <w:start w:val="1"/>
      <w:numFmt w:val="lowerRoman"/>
      <w:lvlText w:val="(%1)"/>
      <w:lvlJc w:val="left"/>
      <w:pPr>
        <w:ind w:left="765" w:hanging="72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0">
    <w:nsid w:val="4D06115C"/>
    <w:multiLevelType w:val="hybridMultilevel"/>
    <w:tmpl w:val="66786D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D393EDD"/>
    <w:multiLevelType w:val="hybridMultilevel"/>
    <w:tmpl w:val="B32E5984"/>
    <w:lvl w:ilvl="0" w:tplc="0C090001">
      <w:start w:val="1"/>
      <w:numFmt w:val="bullet"/>
      <w:lvlText w:val=""/>
      <w:lvlJc w:val="left"/>
      <w:pPr>
        <w:tabs>
          <w:tab w:val="num" w:pos="1350"/>
        </w:tabs>
        <w:ind w:left="1350" w:hanging="360"/>
      </w:pPr>
      <w:rPr>
        <w:rFonts w:ascii="Symbol" w:hAnsi="Symbol" w:hint="default"/>
      </w:rPr>
    </w:lvl>
    <w:lvl w:ilvl="1" w:tplc="0C090003" w:tentative="1">
      <w:start w:val="1"/>
      <w:numFmt w:val="bullet"/>
      <w:lvlText w:val="o"/>
      <w:lvlJc w:val="left"/>
      <w:pPr>
        <w:tabs>
          <w:tab w:val="num" w:pos="2070"/>
        </w:tabs>
        <w:ind w:left="2070" w:hanging="360"/>
      </w:pPr>
      <w:rPr>
        <w:rFonts w:ascii="Courier New" w:hAnsi="Courier New" w:cs="Courier New" w:hint="default"/>
      </w:rPr>
    </w:lvl>
    <w:lvl w:ilvl="2" w:tplc="0C090005" w:tentative="1">
      <w:start w:val="1"/>
      <w:numFmt w:val="bullet"/>
      <w:lvlText w:val=""/>
      <w:lvlJc w:val="left"/>
      <w:pPr>
        <w:tabs>
          <w:tab w:val="num" w:pos="2790"/>
        </w:tabs>
        <w:ind w:left="2790" w:hanging="360"/>
      </w:pPr>
      <w:rPr>
        <w:rFonts w:ascii="Wingdings" w:hAnsi="Wingdings" w:hint="default"/>
      </w:rPr>
    </w:lvl>
    <w:lvl w:ilvl="3" w:tplc="0C090001" w:tentative="1">
      <w:start w:val="1"/>
      <w:numFmt w:val="bullet"/>
      <w:lvlText w:val=""/>
      <w:lvlJc w:val="left"/>
      <w:pPr>
        <w:tabs>
          <w:tab w:val="num" w:pos="3510"/>
        </w:tabs>
        <w:ind w:left="3510" w:hanging="360"/>
      </w:pPr>
      <w:rPr>
        <w:rFonts w:ascii="Symbol" w:hAnsi="Symbol" w:hint="default"/>
      </w:rPr>
    </w:lvl>
    <w:lvl w:ilvl="4" w:tplc="0C090003" w:tentative="1">
      <w:start w:val="1"/>
      <w:numFmt w:val="bullet"/>
      <w:lvlText w:val="o"/>
      <w:lvlJc w:val="left"/>
      <w:pPr>
        <w:tabs>
          <w:tab w:val="num" w:pos="4230"/>
        </w:tabs>
        <w:ind w:left="4230" w:hanging="360"/>
      </w:pPr>
      <w:rPr>
        <w:rFonts w:ascii="Courier New" w:hAnsi="Courier New" w:cs="Courier New" w:hint="default"/>
      </w:rPr>
    </w:lvl>
    <w:lvl w:ilvl="5" w:tplc="0C090005" w:tentative="1">
      <w:start w:val="1"/>
      <w:numFmt w:val="bullet"/>
      <w:lvlText w:val=""/>
      <w:lvlJc w:val="left"/>
      <w:pPr>
        <w:tabs>
          <w:tab w:val="num" w:pos="4950"/>
        </w:tabs>
        <w:ind w:left="4950" w:hanging="360"/>
      </w:pPr>
      <w:rPr>
        <w:rFonts w:ascii="Wingdings" w:hAnsi="Wingdings" w:hint="default"/>
      </w:rPr>
    </w:lvl>
    <w:lvl w:ilvl="6" w:tplc="0C090001" w:tentative="1">
      <w:start w:val="1"/>
      <w:numFmt w:val="bullet"/>
      <w:lvlText w:val=""/>
      <w:lvlJc w:val="left"/>
      <w:pPr>
        <w:tabs>
          <w:tab w:val="num" w:pos="5670"/>
        </w:tabs>
        <w:ind w:left="5670" w:hanging="360"/>
      </w:pPr>
      <w:rPr>
        <w:rFonts w:ascii="Symbol" w:hAnsi="Symbol" w:hint="default"/>
      </w:rPr>
    </w:lvl>
    <w:lvl w:ilvl="7" w:tplc="0C090003" w:tentative="1">
      <w:start w:val="1"/>
      <w:numFmt w:val="bullet"/>
      <w:lvlText w:val="o"/>
      <w:lvlJc w:val="left"/>
      <w:pPr>
        <w:tabs>
          <w:tab w:val="num" w:pos="6390"/>
        </w:tabs>
        <w:ind w:left="6390" w:hanging="360"/>
      </w:pPr>
      <w:rPr>
        <w:rFonts w:ascii="Courier New" w:hAnsi="Courier New" w:cs="Courier New" w:hint="default"/>
      </w:rPr>
    </w:lvl>
    <w:lvl w:ilvl="8" w:tplc="0C090005" w:tentative="1">
      <w:start w:val="1"/>
      <w:numFmt w:val="bullet"/>
      <w:lvlText w:val=""/>
      <w:lvlJc w:val="left"/>
      <w:pPr>
        <w:tabs>
          <w:tab w:val="num" w:pos="7110"/>
        </w:tabs>
        <w:ind w:left="7110" w:hanging="360"/>
      </w:pPr>
      <w:rPr>
        <w:rFonts w:ascii="Wingdings" w:hAnsi="Wingdings" w:hint="default"/>
      </w:rPr>
    </w:lvl>
  </w:abstractNum>
  <w:abstractNum w:abstractNumId="22">
    <w:nsid w:val="4F8A2F53"/>
    <w:multiLevelType w:val="hybridMultilevel"/>
    <w:tmpl w:val="7786E9AE"/>
    <w:lvl w:ilvl="0" w:tplc="55D8A856">
      <w:numFmt w:val="bullet"/>
      <w:lvlText w:val="·"/>
      <w:lvlJc w:val="left"/>
      <w:pPr>
        <w:ind w:left="1140" w:hanging="4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508250C1"/>
    <w:multiLevelType w:val="multilevel"/>
    <w:tmpl w:val="74A0AB7E"/>
    <w:lvl w:ilvl="0">
      <w:start w:val="1"/>
      <w:numFmt w:val="lowerLetter"/>
      <w:lvlText w:val="(%1)"/>
      <w:lvlJc w:val="left"/>
      <w:pPr>
        <w:tabs>
          <w:tab w:val="num" w:pos="1440"/>
        </w:tabs>
        <w:ind w:left="1440" w:hanging="360"/>
      </w:pPr>
      <w:rPr>
        <w:rFonts w:cs="Times New Roman" w:hint="default"/>
        <w:i w:val="0"/>
        <w:sz w:val="20"/>
        <w:szCs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nsid w:val="53AE0134"/>
    <w:multiLevelType w:val="hybridMultilevel"/>
    <w:tmpl w:val="A1AA6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7EF25E8"/>
    <w:multiLevelType w:val="hybridMultilevel"/>
    <w:tmpl w:val="C1B269D8"/>
    <w:lvl w:ilvl="0" w:tplc="7D9A11D6">
      <w:numFmt w:val="bullet"/>
      <w:lvlText w:val="-"/>
      <w:lvlJc w:val="left"/>
      <w:pPr>
        <w:ind w:left="1800" w:hanging="360"/>
      </w:pPr>
      <w:rPr>
        <w:rFonts w:ascii="Times New Roman" w:eastAsia="Times New Roma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nsid w:val="5F395CE7"/>
    <w:multiLevelType w:val="hybridMultilevel"/>
    <w:tmpl w:val="9D9869A0"/>
    <w:lvl w:ilvl="0" w:tplc="F84C3F7A">
      <w:start w:val="1"/>
      <w:numFmt w:val="lowerRoman"/>
      <w:lvlText w:val="(%1)"/>
      <w:lvlJc w:val="right"/>
      <w:pPr>
        <w:tabs>
          <w:tab w:val="num" w:pos="2313"/>
        </w:tabs>
        <w:ind w:left="2313"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FB03C6F"/>
    <w:multiLevelType w:val="hybridMultilevel"/>
    <w:tmpl w:val="5642B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6018559D"/>
    <w:multiLevelType w:val="multilevel"/>
    <w:tmpl w:val="4D7E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CA53C8"/>
    <w:multiLevelType w:val="hybridMultilevel"/>
    <w:tmpl w:val="A8068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45C62AC"/>
    <w:multiLevelType w:val="singleLevel"/>
    <w:tmpl w:val="0C090019"/>
    <w:lvl w:ilvl="0">
      <w:start w:val="1"/>
      <w:numFmt w:val="lowerLetter"/>
      <w:lvlText w:val="(%1)"/>
      <w:lvlJc w:val="left"/>
      <w:pPr>
        <w:tabs>
          <w:tab w:val="num" w:pos="360"/>
        </w:tabs>
        <w:ind w:left="360" w:hanging="360"/>
      </w:pPr>
      <w:rPr>
        <w:rFonts w:hint="default"/>
      </w:rPr>
    </w:lvl>
  </w:abstractNum>
  <w:abstractNum w:abstractNumId="31">
    <w:nsid w:val="658B505D"/>
    <w:multiLevelType w:val="hybridMultilevel"/>
    <w:tmpl w:val="75EEC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B6851CF"/>
    <w:multiLevelType w:val="hybridMultilevel"/>
    <w:tmpl w:val="2F36962E"/>
    <w:lvl w:ilvl="0" w:tplc="77D6D8EE">
      <w:start w:val="1"/>
      <w:numFmt w:val="lowerLetter"/>
      <w:lvlText w:val="(%1)"/>
      <w:lvlJc w:val="left"/>
      <w:pPr>
        <w:tabs>
          <w:tab w:val="num" w:pos="927"/>
        </w:tabs>
        <w:ind w:left="927" w:hanging="360"/>
      </w:pPr>
      <w:rPr>
        <w:rFonts w:cs="Times New Roman" w:hint="default"/>
      </w:rPr>
    </w:lvl>
    <w:lvl w:ilvl="1" w:tplc="71B0064C">
      <w:start w:val="1"/>
      <w:numFmt w:val="lowerRoman"/>
      <w:lvlText w:val="(%2)"/>
      <w:lvlJc w:val="right"/>
      <w:pPr>
        <w:tabs>
          <w:tab w:val="num" w:pos="2007"/>
        </w:tabs>
        <w:ind w:left="2007" w:hanging="360"/>
      </w:pPr>
      <w:rPr>
        <w:rFonts w:cs="Times New Roman" w:hint="default"/>
      </w:rPr>
    </w:lvl>
    <w:lvl w:ilvl="2" w:tplc="0C09001B" w:tentative="1">
      <w:start w:val="1"/>
      <w:numFmt w:val="lowerRoman"/>
      <w:lvlText w:val="%3."/>
      <w:lvlJc w:val="right"/>
      <w:pPr>
        <w:tabs>
          <w:tab w:val="num" w:pos="2727"/>
        </w:tabs>
        <w:ind w:left="2727" w:hanging="180"/>
      </w:pPr>
      <w:rPr>
        <w:rFonts w:cs="Times New Roman"/>
      </w:rPr>
    </w:lvl>
    <w:lvl w:ilvl="3" w:tplc="0C09000F" w:tentative="1">
      <w:start w:val="1"/>
      <w:numFmt w:val="decimal"/>
      <w:lvlText w:val="%4."/>
      <w:lvlJc w:val="left"/>
      <w:pPr>
        <w:tabs>
          <w:tab w:val="num" w:pos="3447"/>
        </w:tabs>
        <w:ind w:left="3447" w:hanging="360"/>
      </w:pPr>
      <w:rPr>
        <w:rFonts w:cs="Times New Roman"/>
      </w:rPr>
    </w:lvl>
    <w:lvl w:ilvl="4" w:tplc="0C090019" w:tentative="1">
      <w:start w:val="1"/>
      <w:numFmt w:val="lowerLetter"/>
      <w:lvlText w:val="%5."/>
      <w:lvlJc w:val="left"/>
      <w:pPr>
        <w:tabs>
          <w:tab w:val="num" w:pos="4167"/>
        </w:tabs>
        <w:ind w:left="4167" w:hanging="360"/>
      </w:pPr>
      <w:rPr>
        <w:rFonts w:cs="Times New Roman"/>
      </w:rPr>
    </w:lvl>
    <w:lvl w:ilvl="5" w:tplc="0C09001B" w:tentative="1">
      <w:start w:val="1"/>
      <w:numFmt w:val="lowerRoman"/>
      <w:lvlText w:val="%6."/>
      <w:lvlJc w:val="right"/>
      <w:pPr>
        <w:tabs>
          <w:tab w:val="num" w:pos="4887"/>
        </w:tabs>
        <w:ind w:left="4887" w:hanging="180"/>
      </w:pPr>
      <w:rPr>
        <w:rFonts w:cs="Times New Roman"/>
      </w:rPr>
    </w:lvl>
    <w:lvl w:ilvl="6" w:tplc="0C09000F" w:tentative="1">
      <w:start w:val="1"/>
      <w:numFmt w:val="decimal"/>
      <w:lvlText w:val="%7."/>
      <w:lvlJc w:val="left"/>
      <w:pPr>
        <w:tabs>
          <w:tab w:val="num" w:pos="5607"/>
        </w:tabs>
        <w:ind w:left="5607" w:hanging="360"/>
      </w:pPr>
      <w:rPr>
        <w:rFonts w:cs="Times New Roman"/>
      </w:rPr>
    </w:lvl>
    <w:lvl w:ilvl="7" w:tplc="0C090019" w:tentative="1">
      <w:start w:val="1"/>
      <w:numFmt w:val="lowerLetter"/>
      <w:lvlText w:val="%8."/>
      <w:lvlJc w:val="left"/>
      <w:pPr>
        <w:tabs>
          <w:tab w:val="num" w:pos="6327"/>
        </w:tabs>
        <w:ind w:left="6327" w:hanging="360"/>
      </w:pPr>
      <w:rPr>
        <w:rFonts w:cs="Times New Roman"/>
      </w:rPr>
    </w:lvl>
    <w:lvl w:ilvl="8" w:tplc="0C09001B" w:tentative="1">
      <w:start w:val="1"/>
      <w:numFmt w:val="lowerRoman"/>
      <w:lvlText w:val="%9."/>
      <w:lvlJc w:val="right"/>
      <w:pPr>
        <w:tabs>
          <w:tab w:val="num" w:pos="7047"/>
        </w:tabs>
        <w:ind w:left="7047" w:hanging="180"/>
      </w:pPr>
      <w:rPr>
        <w:rFonts w:cs="Times New Roman"/>
      </w:rPr>
    </w:lvl>
  </w:abstractNum>
  <w:abstractNum w:abstractNumId="33">
    <w:nsid w:val="6E546BF9"/>
    <w:multiLevelType w:val="hybridMultilevel"/>
    <w:tmpl w:val="1F0A327E"/>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4">
    <w:nsid w:val="6E6C71E5"/>
    <w:multiLevelType w:val="hybridMultilevel"/>
    <w:tmpl w:val="F118AA74"/>
    <w:lvl w:ilvl="0" w:tplc="CB74C3EE">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1B86046"/>
    <w:multiLevelType w:val="multilevel"/>
    <w:tmpl w:val="1ADCDF0A"/>
    <w:lvl w:ilvl="0">
      <w:start w:val="1"/>
      <w:numFmt w:val="lowerLetter"/>
      <w:lvlText w:val="(%1)"/>
      <w:lvlJc w:val="left"/>
      <w:pPr>
        <w:tabs>
          <w:tab w:val="num" w:pos="1440"/>
        </w:tabs>
        <w:ind w:left="1440" w:hanging="360"/>
      </w:pPr>
      <w:rPr>
        <w:rFonts w:cs="Times New Roman" w:hint="default"/>
        <w:i w:val="0"/>
        <w:sz w:val="20"/>
        <w:szCs w:val="20"/>
      </w:rPr>
    </w:lvl>
    <w:lvl w:ilvl="1">
      <w:start w:val="1"/>
      <w:numFmt w:val="lowerLetter"/>
      <w:lvlText w:val="%2."/>
      <w:lvlJc w:val="left"/>
      <w:pPr>
        <w:tabs>
          <w:tab w:val="num" w:pos="1440"/>
        </w:tabs>
        <w:ind w:left="1440" w:hanging="360"/>
      </w:pPr>
      <w:rPr>
        <w:rFonts w:cs="Times New Roman"/>
      </w:rPr>
    </w:lvl>
    <w:lvl w:ilvl="2">
      <w:start w:val="8"/>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nsid w:val="756611AF"/>
    <w:multiLevelType w:val="hybridMultilevel"/>
    <w:tmpl w:val="575CBA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99D5B27"/>
    <w:multiLevelType w:val="hybridMultilevel"/>
    <w:tmpl w:val="3D265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EA66ADB"/>
    <w:multiLevelType w:val="hybridMultilevel"/>
    <w:tmpl w:val="4B406DCC"/>
    <w:lvl w:ilvl="0" w:tplc="2EE425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7FDE2FFB"/>
    <w:multiLevelType w:val="hybridMultilevel"/>
    <w:tmpl w:val="D40C5C0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7"/>
  </w:num>
  <w:num w:numId="2">
    <w:abstractNumId w:val="1"/>
  </w:num>
  <w:num w:numId="3">
    <w:abstractNumId w:val="9"/>
  </w:num>
  <w:num w:numId="4">
    <w:abstractNumId w:val="30"/>
  </w:num>
  <w:num w:numId="5">
    <w:abstractNumId w:val="0"/>
  </w:num>
  <w:num w:numId="6">
    <w:abstractNumId w:val="10"/>
  </w:num>
  <w:num w:numId="7">
    <w:abstractNumId w:val="32"/>
  </w:num>
  <w:num w:numId="8">
    <w:abstractNumId w:val="35"/>
  </w:num>
  <w:num w:numId="9">
    <w:abstractNumId w:val="23"/>
  </w:num>
  <w:num w:numId="10">
    <w:abstractNumId w:val="15"/>
  </w:num>
  <w:num w:numId="11">
    <w:abstractNumId w:val="11"/>
  </w:num>
  <w:num w:numId="12">
    <w:abstractNumId w:val="7"/>
  </w:num>
  <w:num w:numId="13">
    <w:abstractNumId w:val="2"/>
  </w:num>
  <w:num w:numId="14">
    <w:abstractNumId w:val="33"/>
  </w:num>
  <w:num w:numId="15">
    <w:abstractNumId w:val="21"/>
  </w:num>
  <w:num w:numId="16">
    <w:abstractNumId w:val="16"/>
  </w:num>
  <w:num w:numId="17">
    <w:abstractNumId w:val="26"/>
  </w:num>
  <w:num w:numId="18">
    <w:abstractNumId w:val="18"/>
  </w:num>
  <w:num w:numId="19">
    <w:abstractNumId w:val="12"/>
  </w:num>
  <w:num w:numId="20">
    <w:abstractNumId w:val="20"/>
  </w:num>
  <w:num w:numId="21">
    <w:abstractNumId w:val="29"/>
  </w:num>
  <w:num w:numId="22">
    <w:abstractNumId w:val="37"/>
  </w:num>
  <w:num w:numId="23">
    <w:abstractNumId w:val="14"/>
  </w:num>
  <w:num w:numId="24">
    <w:abstractNumId w:val="22"/>
  </w:num>
  <w:num w:numId="25">
    <w:abstractNumId w:val="13"/>
  </w:num>
  <w:num w:numId="26">
    <w:abstractNumId w:val="5"/>
  </w:num>
  <w:num w:numId="27">
    <w:abstractNumId w:val="38"/>
  </w:num>
  <w:num w:numId="28">
    <w:abstractNumId w:val="28"/>
  </w:num>
  <w:num w:numId="29">
    <w:abstractNumId w:val="19"/>
  </w:num>
  <w:num w:numId="30">
    <w:abstractNumId w:val="34"/>
  </w:num>
  <w:num w:numId="31">
    <w:abstractNumId w:val="8"/>
  </w:num>
  <w:num w:numId="32">
    <w:abstractNumId w:val="24"/>
  </w:num>
  <w:num w:numId="33">
    <w:abstractNumId w:val="36"/>
  </w:num>
  <w:num w:numId="34">
    <w:abstractNumId w:val="25"/>
  </w:num>
  <w:num w:numId="35">
    <w:abstractNumId w:val="39"/>
  </w:num>
  <w:num w:numId="36">
    <w:abstractNumId w:val="4"/>
  </w:num>
  <w:num w:numId="37">
    <w:abstractNumId w:val="3"/>
  </w:num>
  <w:num w:numId="38">
    <w:abstractNumId w:val="6"/>
  </w:num>
  <w:num w:numId="39">
    <w:abstractNumId w:val="31"/>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638"/>
    <w:rsid w:val="00015BBE"/>
    <w:rsid w:val="00022897"/>
    <w:rsid w:val="000229EF"/>
    <w:rsid w:val="00031DCB"/>
    <w:rsid w:val="0004013C"/>
    <w:rsid w:val="00040465"/>
    <w:rsid w:val="00042BE9"/>
    <w:rsid w:val="00043A10"/>
    <w:rsid w:val="00045CCD"/>
    <w:rsid w:val="00046313"/>
    <w:rsid w:val="00051B61"/>
    <w:rsid w:val="0005312D"/>
    <w:rsid w:val="00053542"/>
    <w:rsid w:val="000563E9"/>
    <w:rsid w:val="00061358"/>
    <w:rsid w:val="00063362"/>
    <w:rsid w:val="00065349"/>
    <w:rsid w:val="00065E75"/>
    <w:rsid w:val="00065FD9"/>
    <w:rsid w:val="000673AD"/>
    <w:rsid w:val="000737F6"/>
    <w:rsid w:val="00073DDD"/>
    <w:rsid w:val="000765CF"/>
    <w:rsid w:val="00084597"/>
    <w:rsid w:val="000A1144"/>
    <w:rsid w:val="000A19B0"/>
    <w:rsid w:val="000A2BB3"/>
    <w:rsid w:val="000B2D91"/>
    <w:rsid w:val="000B434D"/>
    <w:rsid w:val="000C0E57"/>
    <w:rsid w:val="000C2862"/>
    <w:rsid w:val="000C6A89"/>
    <w:rsid w:val="000D3CFC"/>
    <w:rsid w:val="000D4A9D"/>
    <w:rsid w:val="000D4F78"/>
    <w:rsid w:val="000D70FA"/>
    <w:rsid w:val="000E141B"/>
    <w:rsid w:val="000E3063"/>
    <w:rsid w:val="000E4792"/>
    <w:rsid w:val="000E5549"/>
    <w:rsid w:val="000E5CD2"/>
    <w:rsid w:val="000E6B79"/>
    <w:rsid w:val="000F013D"/>
    <w:rsid w:val="000F3488"/>
    <w:rsid w:val="000F54EE"/>
    <w:rsid w:val="000F5A0D"/>
    <w:rsid w:val="000F7616"/>
    <w:rsid w:val="00104728"/>
    <w:rsid w:val="001051E6"/>
    <w:rsid w:val="00111CD8"/>
    <w:rsid w:val="00113DB9"/>
    <w:rsid w:val="001332F3"/>
    <w:rsid w:val="00133EF2"/>
    <w:rsid w:val="001362D4"/>
    <w:rsid w:val="00142EC5"/>
    <w:rsid w:val="00144537"/>
    <w:rsid w:val="0014746C"/>
    <w:rsid w:val="00147C4D"/>
    <w:rsid w:val="001511D7"/>
    <w:rsid w:val="001607B5"/>
    <w:rsid w:val="0016181E"/>
    <w:rsid w:val="0016367F"/>
    <w:rsid w:val="0016664D"/>
    <w:rsid w:val="001675AD"/>
    <w:rsid w:val="00167731"/>
    <w:rsid w:val="00174142"/>
    <w:rsid w:val="00175BD3"/>
    <w:rsid w:val="00177A07"/>
    <w:rsid w:val="00185773"/>
    <w:rsid w:val="001878BE"/>
    <w:rsid w:val="001A05CE"/>
    <w:rsid w:val="001A3736"/>
    <w:rsid w:val="001A5586"/>
    <w:rsid w:val="001C34ED"/>
    <w:rsid w:val="001C4AF2"/>
    <w:rsid w:val="001D1656"/>
    <w:rsid w:val="001D4650"/>
    <w:rsid w:val="001E2EA0"/>
    <w:rsid w:val="001E5351"/>
    <w:rsid w:val="001F1D83"/>
    <w:rsid w:val="001F427E"/>
    <w:rsid w:val="001F5475"/>
    <w:rsid w:val="00200062"/>
    <w:rsid w:val="00201271"/>
    <w:rsid w:val="00202FB3"/>
    <w:rsid w:val="00205BD9"/>
    <w:rsid w:val="00205D8D"/>
    <w:rsid w:val="00206D33"/>
    <w:rsid w:val="002106CF"/>
    <w:rsid w:val="00212C5E"/>
    <w:rsid w:val="00215F87"/>
    <w:rsid w:val="002167B8"/>
    <w:rsid w:val="00222EBA"/>
    <w:rsid w:val="002276BF"/>
    <w:rsid w:val="002316D0"/>
    <w:rsid w:val="00235876"/>
    <w:rsid w:val="00241789"/>
    <w:rsid w:val="00242080"/>
    <w:rsid w:val="00243029"/>
    <w:rsid w:val="00243516"/>
    <w:rsid w:val="0024730A"/>
    <w:rsid w:val="00256061"/>
    <w:rsid w:val="00260F92"/>
    <w:rsid w:val="00263C84"/>
    <w:rsid w:val="00264F24"/>
    <w:rsid w:val="00267ED5"/>
    <w:rsid w:val="00270F5C"/>
    <w:rsid w:val="00272BD2"/>
    <w:rsid w:val="002752E7"/>
    <w:rsid w:val="002768F9"/>
    <w:rsid w:val="00280AF0"/>
    <w:rsid w:val="00281036"/>
    <w:rsid w:val="00285204"/>
    <w:rsid w:val="00290900"/>
    <w:rsid w:val="00293788"/>
    <w:rsid w:val="00295867"/>
    <w:rsid w:val="002A6895"/>
    <w:rsid w:val="002B264A"/>
    <w:rsid w:val="002B3BE9"/>
    <w:rsid w:val="002B4D12"/>
    <w:rsid w:val="002B59C1"/>
    <w:rsid w:val="002B6534"/>
    <w:rsid w:val="002C1B31"/>
    <w:rsid w:val="002C2A54"/>
    <w:rsid w:val="002C5B4D"/>
    <w:rsid w:val="002C6521"/>
    <w:rsid w:val="002C6DC8"/>
    <w:rsid w:val="002C747B"/>
    <w:rsid w:val="002D2F47"/>
    <w:rsid w:val="002D61B4"/>
    <w:rsid w:val="002D66B1"/>
    <w:rsid w:val="002E3987"/>
    <w:rsid w:val="002E4491"/>
    <w:rsid w:val="002E7DA7"/>
    <w:rsid w:val="002E7EB6"/>
    <w:rsid w:val="002F1522"/>
    <w:rsid w:val="002F1698"/>
    <w:rsid w:val="002F202B"/>
    <w:rsid w:val="002F3E02"/>
    <w:rsid w:val="00300502"/>
    <w:rsid w:val="00306694"/>
    <w:rsid w:val="003142DB"/>
    <w:rsid w:val="00314D3B"/>
    <w:rsid w:val="0032315C"/>
    <w:rsid w:val="003272CF"/>
    <w:rsid w:val="00334DFA"/>
    <w:rsid w:val="0033534E"/>
    <w:rsid w:val="00336777"/>
    <w:rsid w:val="00337EBA"/>
    <w:rsid w:val="00341742"/>
    <w:rsid w:val="00344F39"/>
    <w:rsid w:val="00346247"/>
    <w:rsid w:val="00352D6E"/>
    <w:rsid w:val="00353531"/>
    <w:rsid w:val="0036659F"/>
    <w:rsid w:val="00372582"/>
    <w:rsid w:val="00372884"/>
    <w:rsid w:val="00373531"/>
    <w:rsid w:val="00374BD3"/>
    <w:rsid w:val="00381D93"/>
    <w:rsid w:val="0038232B"/>
    <w:rsid w:val="0038400C"/>
    <w:rsid w:val="00391526"/>
    <w:rsid w:val="003932FE"/>
    <w:rsid w:val="00395E99"/>
    <w:rsid w:val="003A1BFF"/>
    <w:rsid w:val="003A4F0C"/>
    <w:rsid w:val="003A5175"/>
    <w:rsid w:val="003B3361"/>
    <w:rsid w:val="003B53A4"/>
    <w:rsid w:val="003B627F"/>
    <w:rsid w:val="003C2B85"/>
    <w:rsid w:val="003C38A5"/>
    <w:rsid w:val="003C7538"/>
    <w:rsid w:val="003C76F3"/>
    <w:rsid w:val="003D37FF"/>
    <w:rsid w:val="003D3D84"/>
    <w:rsid w:val="003E0FE3"/>
    <w:rsid w:val="003E47C4"/>
    <w:rsid w:val="003F0640"/>
    <w:rsid w:val="003F488E"/>
    <w:rsid w:val="003F6CFF"/>
    <w:rsid w:val="0040165C"/>
    <w:rsid w:val="004063A3"/>
    <w:rsid w:val="004139DF"/>
    <w:rsid w:val="00415A2A"/>
    <w:rsid w:val="00416C04"/>
    <w:rsid w:val="0042002D"/>
    <w:rsid w:val="004221BD"/>
    <w:rsid w:val="00422779"/>
    <w:rsid w:val="0042485D"/>
    <w:rsid w:val="0043393D"/>
    <w:rsid w:val="00434057"/>
    <w:rsid w:val="00436865"/>
    <w:rsid w:val="00440D53"/>
    <w:rsid w:val="00445592"/>
    <w:rsid w:val="0044691A"/>
    <w:rsid w:val="0045183A"/>
    <w:rsid w:val="00452F80"/>
    <w:rsid w:val="00453475"/>
    <w:rsid w:val="00454AAD"/>
    <w:rsid w:val="0046450A"/>
    <w:rsid w:val="0047633B"/>
    <w:rsid w:val="00484388"/>
    <w:rsid w:val="00486B24"/>
    <w:rsid w:val="0049193F"/>
    <w:rsid w:val="004929FD"/>
    <w:rsid w:val="004A0336"/>
    <w:rsid w:val="004A1625"/>
    <w:rsid w:val="004A7C7C"/>
    <w:rsid w:val="004B0F08"/>
    <w:rsid w:val="004B14CE"/>
    <w:rsid w:val="004B45C7"/>
    <w:rsid w:val="004B50DB"/>
    <w:rsid w:val="004B638E"/>
    <w:rsid w:val="004B646D"/>
    <w:rsid w:val="004C6E1F"/>
    <w:rsid w:val="004D0E5E"/>
    <w:rsid w:val="004D5D3C"/>
    <w:rsid w:val="004D6ABE"/>
    <w:rsid w:val="004E1AC4"/>
    <w:rsid w:val="004E3FA8"/>
    <w:rsid w:val="004E423E"/>
    <w:rsid w:val="004F2E05"/>
    <w:rsid w:val="004F391D"/>
    <w:rsid w:val="004F407F"/>
    <w:rsid w:val="004F4758"/>
    <w:rsid w:val="004F69F4"/>
    <w:rsid w:val="005000B9"/>
    <w:rsid w:val="00502766"/>
    <w:rsid w:val="005033AC"/>
    <w:rsid w:val="00503DCA"/>
    <w:rsid w:val="00505245"/>
    <w:rsid w:val="00507A92"/>
    <w:rsid w:val="0051005F"/>
    <w:rsid w:val="0051254A"/>
    <w:rsid w:val="005171D5"/>
    <w:rsid w:val="0052181D"/>
    <w:rsid w:val="00523A14"/>
    <w:rsid w:val="005252F9"/>
    <w:rsid w:val="00532D7F"/>
    <w:rsid w:val="00532FDE"/>
    <w:rsid w:val="00533A45"/>
    <w:rsid w:val="005341C3"/>
    <w:rsid w:val="00534C9E"/>
    <w:rsid w:val="00542727"/>
    <w:rsid w:val="0054499E"/>
    <w:rsid w:val="00545404"/>
    <w:rsid w:val="0054793A"/>
    <w:rsid w:val="005543B4"/>
    <w:rsid w:val="005569F7"/>
    <w:rsid w:val="005574D6"/>
    <w:rsid w:val="00557F4C"/>
    <w:rsid w:val="00561A55"/>
    <w:rsid w:val="005675C8"/>
    <w:rsid w:val="005706C6"/>
    <w:rsid w:val="00572C51"/>
    <w:rsid w:val="00574D94"/>
    <w:rsid w:val="00576DB6"/>
    <w:rsid w:val="00580D27"/>
    <w:rsid w:val="0059077A"/>
    <w:rsid w:val="00593759"/>
    <w:rsid w:val="005A09F1"/>
    <w:rsid w:val="005B1C38"/>
    <w:rsid w:val="005C267C"/>
    <w:rsid w:val="005C4C93"/>
    <w:rsid w:val="005D451C"/>
    <w:rsid w:val="005D4A7A"/>
    <w:rsid w:val="005E0AE7"/>
    <w:rsid w:val="005E118E"/>
    <w:rsid w:val="005E2D8E"/>
    <w:rsid w:val="005F0C49"/>
    <w:rsid w:val="005F6251"/>
    <w:rsid w:val="005F673D"/>
    <w:rsid w:val="00600463"/>
    <w:rsid w:val="00604059"/>
    <w:rsid w:val="006042F2"/>
    <w:rsid w:val="00610F90"/>
    <w:rsid w:val="00621D34"/>
    <w:rsid w:val="00622F31"/>
    <w:rsid w:val="00626112"/>
    <w:rsid w:val="00630F22"/>
    <w:rsid w:val="00631222"/>
    <w:rsid w:val="0064751D"/>
    <w:rsid w:val="00653CE1"/>
    <w:rsid w:val="0065583A"/>
    <w:rsid w:val="00655912"/>
    <w:rsid w:val="00657319"/>
    <w:rsid w:val="0066559E"/>
    <w:rsid w:val="006709CD"/>
    <w:rsid w:val="006773DF"/>
    <w:rsid w:val="00681511"/>
    <w:rsid w:val="00681B80"/>
    <w:rsid w:val="00681E10"/>
    <w:rsid w:val="00690ECD"/>
    <w:rsid w:val="00696450"/>
    <w:rsid w:val="0069753C"/>
    <w:rsid w:val="006A0BAD"/>
    <w:rsid w:val="006A1A9E"/>
    <w:rsid w:val="006A259D"/>
    <w:rsid w:val="006A3BC1"/>
    <w:rsid w:val="006A415F"/>
    <w:rsid w:val="006B4BEC"/>
    <w:rsid w:val="006B614A"/>
    <w:rsid w:val="006C1500"/>
    <w:rsid w:val="006C1CEB"/>
    <w:rsid w:val="006C275D"/>
    <w:rsid w:val="006C43D9"/>
    <w:rsid w:val="006C724C"/>
    <w:rsid w:val="006C7EF9"/>
    <w:rsid w:val="006D1934"/>
    <w:rsid w:val="006E13B0"/>
    <w:rsid w:val="006E57F7"/>
    <w:rsid w:val="006E7840"/>
    <w:rsid w:val="006F00D7"/>
    <w:rsid w:val="006F1A7D"/>
    <w:rsid w:val="006F4321"/>
    <w:rsid w:val="00701A42"/>
    <w:rsid w:val="007041E3"/>
    <w:rsid w:val="00707F2E"/>
    <w:rsid w:val="007122B9"/>
    <w:rsid w:val="007154E0"/>
    <w:rsid w:val="007201D7"/>
    <w:rsid w:val="00725030"/>
    <w:rsid w:val="00725F32"/>
    <w:rsid w:val="007265FE"/>
    <w:rsid w:val="007345B2"/>
    <w:rsid w:val="00741ADF"/>
    <w:rsid w:val="00741D95"/>
    <w:rsid w:val="007456B8"/>
    <w:rsid w:val="007526C8"/>
    <w:rsid w:val="00753FF0"/>
    <w:rsid w:val="00754DF9"/>
    <w:rsid w:val="00755D12"/>
    <w:rsid w:val="00773101"/>
    <w:rsid w:val="00773217"/>
    <w:rsid w:val="0077409F"/>
    <w:rsid w:val="00777EE9"/>
    <w:rsid w:val="00780F10"/>
    <w:rsid w:val="00786958"/>
    <w:rsid w:val="00791822"/>
    <w:rsid w:val="00795234"/>
    <w:rsid w:val="00795CF3"/>
    <w:rsid w:val="00797942"/>
    <w:rsid w:val="007A1847"/>
    <w:rsid w:val="007A6223"/>
    <w:rsid w:val="007C065C"/>
    <w:rsid w:val="007C1DED"/>
    <w:rsid w:val="007C6507"/>
    <w:rsid w:val="007D17FF"/>
    <w:rsid w:val="007D1A94"/>
    <w:rsid w:val="007D1C5A"/>
    <w:rsid w:val="007D251C"/>
    <w:rsid w:val="007D6471"/>
    <w:rsid w:val="007E3122"/>
    <w:rsid w:val="007E736C"/>
    <w:rsid w:val="007F27A8"/>
    <w:rsid w:val="007F42E3"/>
    <w:rsid w:val="00800258"/>
    <w:rsid w:val="008038F3"/>
    <w:rsid w:val="00803BAA"/>
    <w:rsid w:val="00806006"/>
    <w:rsid w:val="0080649B"/>
    <w:rsid w:val="008123AF"/>
    <w:rsid w:val="008130B0"/>
    <w:rsid w:val="00813909"/>
    <w:rsid w:val="008147BB"/>
    <w:rsid w:val="00816462"/>
    <w:rsid w:val="0081794C"/>
    <w:rsid w:val="00821D64"/>
    <w:rsid w:val="008262CB"/>
    <w:rsid w:val="008307DE"/>
    <w:rsid w:val="00834A41"/>
    <w:rsid w:val="008358C6"/>
    <w:rsid w:val="00836416"/>
    <w:rsid w:val="00836E95"/>
    <w:rsid w:val="00841B1D"/>
    <w:rsid w:val="008453BD"/>
    <w:rsid w:val="00845B53"/>
    <w:rsid w:val="00852C5D"/>
    <w:rsid w:val="00862390"/>
    <w:rsid w:val="00871E11"/>
    <w:rsid w:val="00873D34"/>
    <w:rsid w:val="00876A4B"/>
    <w:rsid w:val="00882763"/>
    <w:rsid w:val="00883756"/>
    <w:rsid w:val="008845D2"/>
    <w:rsid w:val="00884E5B"/>
    <w:rsid w:val="00886A98"/>
    <w:rsid w:val="00887A45"/>
    <w:rsid w:val="00890A52"/>
    <w:rsid w:val="008911EB"/>
    <w:rsid w:val="0089121B"/>
    <w:rsid w:val="0089131B"/>
    <w:rsid w:val="00894A15"/>
    <w:rsid w:val="008A0211"/>
    <w:rsid w:val="008A1D9E"/>
    <w:rsid w:val="008A2545"/>
    <w:rsid w:val="008A5086"/>
    <w:rsid w:val="008A7C4A"/>
    <w:rsid w:val="008B1624"/>
    <w:rsid w:val="008B5744"/>
    <w:rsid w:val="008B689C"/>
    <w:rsid w:val="008B6CD2"/>
    <w:rsid w:val="008C57BB"/>
    <w:rsid w:val="008C5A5D"/>
    <w:rsid w:val="008C74B9"/>
    <w:rsid w:val="008D344A"/>
    <w:rsid w:val="008D395D"/>
    <w:rsid w:val="008D4FEF"/>
    <w:rsid w:val="008D5955"/>
    <w:rsid w:val="008D5967"/>
    <w:rsid w:val="008D64D5"/>
    <w:rsid w:val="008E0EFF"/>
    <w:rsid w:val="008F229F"/>
    <w:rsid w:val="008F7960"/>
    <w:rsid w:val="0090426D"/>
    <w:rsid w:val="009055DB"/>
    <w:rsid w:val="00905D4B"/>
    <w:rsid w:val="00907C2B"/>
    <w:rsid w:val="00907C93"/>
    <w:rsid w:val="009117F0"/>
    <w:rsid w:val="00913096"/>
    <w:rsid w:val="0091317A"/>
    <w:rsid w:val="00914182"/>
    <w:rsid w:val="0091501F"/>
    <w:rsid w:val="009163B3"/>
    <w:rsid w:val="00921357"/>
    <w:rsid w:val="00922DEE"/>
    <w:rsid w:val="00923769"/>
    <w:rsid w:val="009264E9"/>
    <w:rsid w:val="009277B0"/>
    <w:rsid w:val="009303C7"/>
    <w:rsid w:val="00942AE0"/>
    <w:rsid w:val="00943B85"/>
    <w:rsid w:val="009557FE"/>
    <w:rsid w:val="00956EC4"/>
    <w:rsid w:val="00960E5E"/>
    <w:rsid w:val="00965731"/>
    <w:rsid w:val="00965BDF"/>
    <w:rsid w:val="00973534"/>
    <w:rsid w:val="00973820"/>
    <w:rsid w:val="009741E3"/>
    <w:rsid w:val="00974A44"/>
    <w:rsid w:val="009761FA"/>
    <w:rsid w:val="0097781E"/>
    <w:rsid w:val="00980009"/>
    <w:rsid w:val="00982662"/>
    <w:rsid w:val="00987E3F"/>
    <w:rsid w:val="009915C8"/>
    <w:rsid w:val="00995456"/>
    <w:rsid w:val="00997773"/>
    <w:rsid w:val="009978AD"/>
    <w:rsid w:val="009A21F7"/>
    <w:rsid w:val="009A3DA5"/>
    <w:rsid w:val="009C51C2"/>
    <w:rsid w:val="009C6180"/>
    <w:rsid w:val="009D214E"/>
    <w:rsid w:val="009D38CF"/>
    <w:rsid w:val="009D695F"/>
    <w:rsid w:val="009E0567"/>
    <w:rsid w:val="009E37AA"/>
    <w:rsid w:val="009E4FF5"/>
    <w:rsid w:val="009E7FAF"/>
    <w:rsid w:val="009F08B0"/>
    <w:rsid w:val="009F35A2"/>
    <w:rsid w:val="009F5B37"/>
    <w:rsid w:val="00A028FE"/>
    <w:rsid w:val="00A04FEF"/>
    <w:rsid w:val="00A128F0"/>
    <w:rsid w:val="00A15FDC"/>
    <w:rsid w:val="00A16180"/>
    <w:rsid w:val="00A16C4B"/>
    <w:rsid w:val="00A16F50"/>
    <w:rsid w:val="00A217C8"/>
    <w:rsid w:val="00A23928"/>
    <w:rsid w:val="00A3351C"/>
    <w:rsid w:val="00A36F6E"/>
    <w:rsid w:val="00A42681"/>
    <w:rsid w:val="00A42786"/>
    <w:rsid w:val="00A4407A"/>
    <w:rsid w:val="00A44143"/>
    <w:rsid w:val="00A6093D"/>
    <w:rsid w:val="00A64FC6"/>
    <w:rsid w:val="00A65F76"/>
    <w:rsid w:val="00A744DC"/>
    <w:rsid w:val="00A75207"/>
    <w:rsid w:val="00A77CFE"/>
    <w:rsid w:val="00A77D9A"/>
    <w:rsid w:val="00A85E66"/>
    <w:rsid w:val="00A87D6F"/>
    <w:rsid w:val="00A9422C"/>
    <w:rsid w:val="00A9477E"/>
    <w:rsid w:val="00A959ED"/>
    <w:rsid w:val="00A96247"/>
    <w:rsid w:val="00AA0F14"/>
    <w:rsid w:val="00AA29C0"/>
    <w:rsid w:val="00AA7C09"/>
    <w:rsid w:val="00AA7D52"/>
    <w:rsid w:val="00AB262F"/>
    <w:rsid w:val="00AB6752"/>
    <w:rsid w:val="00AB7CBA"/>
    <w:rsid w:val="00AC16A1"/>
    <w:rsid w:val="00AC6DEB"/>
    <w:rsid w:val="00AD0531"/>
    <w:rsid w:val="00AD119D"/>
    <w:rsid w:val="00AD16B2"/>
    <w:rsid w:val="00AD1834"/>
    <w:rsid w:val="00AD6FC1"/>
    <w:rsid w:val="00AE09B2"/>
    <w:rsid w:val="00AE113F"/>
    <w:rsid w:val="00AE1DF8"/>
    <w:rsid w:val="00AE372F"/>
    <w:rsid w:val="00AE3F6A"/>
    <w:rsid w:val="00AE4A7E"/>
    <w:rsid w:val="00AE6B0E"/>
    <w:rsid w:val="00AF6F33"/>
    <w:rsid w:val="00B0721C"/>
    <w:rsid w:val="00B1078C"/>
    <w:rsid w:val="00B15BBA"/>
    <w:rsid w:val="00B17FCB"/>
    <w:rsid w:val="00B201E5"/>
    <w:rsid w:val="00B23985"/>
    <w:rsid w:val="00B26EC4"/>
    <w:rsid w:val="00B3562C"/>
    <w:rsid w:val="00B40BF8"/>
    <w:rsid w:val="00B40D44"/>
    <w:rsid w:val="00B414D8"/>
    <w:rsid w:val="00B445D9"/>
    <w:rsid w:val="00B45745"/>
    <w:rsid w:val="00B5183C"/>
    <w:rsid w:val="00B51E82"/>
    <w:rsid w:val="00B5238A"/>
    <w:rsid w:val="00B547C0"/>
    <w:rsid w:val="00B60B7C"/>
    <w:rsid w:val="00B62AE9"/>
    <w:rsid w:val="00B64E40"/>
    <w:rsid w:val="00B71262"/>
    <w:rsid w:val="00B72665"/>
    <w:rsid w:val="00B809B4"/>
    <w:rsid w:val="00B824F3"/>
    <w:rsid w:val="00B8606A"/>
    <w:rsid w:val="00B96E0B"/>
    <w:rsid w:val="00BA16AB"/>
    <w:rsid w:val="00BA3051"/>
    <w:rsid w:val="00BB46C4"/>
    <w:rsid w:val="00BC2632"/>
    <w:rsid w:val="00BC27E5"/>
    <w:rsid w:val="00BD39AC"/>
    <w:rsid w:val="00BD60E9"/>
    <w:rsid w:val="00BD7D1B"/>
    <w:rsid w:val="00BE30AD"/>
    <w:rsid w:val="00BE3805"/>
    <w:rsid w:val="00BE7393"/>
    <w:rsid w:val="00BE7638"/>
    <w:rsid w:val="00BF4A7F"/>
    <w:rsid w:val="00BF62AD"/>
    <w:rsid w:val="00C00A3B"/>
    <w:rsid w:val="00C00C26"/>
    <w:rsid w:val="00C04835"/>
    <w:rsid w:val="00C048F4"/>
    <w:rsid w:val="00C04B01"/>
    <w:rsid w:val="00C104CC"/>
    <w:rsid w:val="00C1089E"/>
    <w:rsid w:val="00C126E1"/>
    <w:rsid w:val="00C16CE5"/>
    <w:rsid w:val="00C27C5D"/>
    <w:rsid w:val="00C3198D"/>
    <w:rsid w:val="00C33763"/>
    <w:rsid w:val="00C358DB"/>
    <w:rsid w:val="00C42B56"/>
    <w:rsid w:val="00C51B18"/>
    <w:rsid w:val="00C52CE4"/>
    <w:rsid w:val="00C54127"/>
    <w:rsid w:val="00C63ECA"/>
    <w:rsid w:val="00C65124"/>
    <w:rsid w:val="00C72CC3"/>
    <w:rsid w:val="00C72FD6"/>
    <w:rsid w:val="00C743EC"/>
    <w:rsid w:val="00C81F11"/>
    <w:rsid w:val="00C91A9D"/>
    <w:rsid w:val="00C94490"/>
    <w:rsid w:val="00C96897"/>
    <w:rsid w:val="00C96E57"/>
    <w:rsid w:val="00C97BF4"/>
    <w:rsid w:val="00CA25CB"/>
    <w:rsid w:val="00CA3D95"/>
    <w:rsid w:val="00CB3FC1"/>
    <w:rsid w:val="00CC1A11"/>
    <w:rsid w:val="00CC1A74"/>
    <w:rsid w:val="00CC39EF"/>
    <w:rsid w:val="00CC579F"/>
    <w:rsid w:val="00CD356A"/>
    <w:rsid w:val="00CE14A9"/>
    <w:rsid w:val="00CE1F6D"/>
    <w:rsid w:val="00CE3B13"/>
    <w:rsid w:val="00CF1B1D"/>
    <w:rsid w:val="00CF3767"/>
    <w:rsid w:val="00CF418D"/>
    <w:rsid w:val="00CF4B92"/>
    <w:rsid w:val="00CF74D1"/>
    <w:rsid w:val="00D035B0"/>
    <w:rsid w:val="00D078CC"/>
    <w:rsid w:val="00D07B12"/>
    <w:rsid w:val="00D12F78"/>
    <w:rsid w:val="00D13F6E"/>
    <w:rsid w:val="00D15020"/>
    <w:rsid w:val="00D17B68"/>
    <w:rsid w:val="00D20E1F"/>
    <w:rsid w:val="00D21598"/>
    <w:rsid w:val="00D22DEA"/>
    <w:rsid w:val="00D23957"/>
    <w:rsid w:val="00D25456"/>
    <w:rsid w:val="00D35A99"/>
    <w:rsid w:val="00D36EB4"/>
    <w:rsid w:val="00D41074"/>
    <w:rsid w:val="00D43DD8"/>
    <w:rsid w:val="00D43FF6"/>
    <w:rsid w:val="00D56EDD"/>
    <w:rsid w:val="00D64039"/>
    <w:rsid w:val="00D64DE1"/>
    <w:rsid w:val="00D64F3C"/>
    <w:rsid w:val="00D679AE"/>
    <w:rsid w:val="00D71184"/>
    <w:rsid w:val="00D73010"/>
    <w:rsid w:val="00D74329"/>
    <w:rsid w:val="00D77763"/>
    <w:rsid w:val="00D86232"/>
    <w:rsid w:val="00D86E9C"/>
    <w:rsid w:val="00D875B7"/>
    <w:rsid w:val="00D92699"/>
    <w:rsid w:val="00D92E22"/>
    <w:rsid w:val="00D94A0A"/>
    <w:rsid w:val="00D94B72"/>
    <w:rsid w:val="00D973D5"/>
    <w:rsid w:val="00DA1E6F"/>
    <w:rsid w:val="00DA332F"/>
    <w:rsid w:val="00DA4773"/>
    <w:rsid w:val="00DA5486"/>
    <w:rsid w:val="00DA5ED3"/>
    <w:rsid w:val="00DA6CFD"/>
    <w:rsid w:val="00DB7FC0"/>
    <w:rsid w:val="00DC230B"/>
    <w:rsid w:val="00DC352A"/>
    <w:rsid w:val="00DC3D5C"/>
    <w:rsid w:val="00DC6315"/>
    <w:rsid w:val="00DC74B8"/>
    <w:rsid w:val="00DD22AF"/>
    <w:rsid w:val="00DD361F"/>
    <w:rsid w:val="00DD7C88"/>
    <w:rsid w:val="00DE7066"/>
    <w:rsid w:val="00DF00DC"/>
    <w:rsid w:val="00DF6F4D"/>
    <w:rsid w:val="00E00C1D"/>
    <w:rsid w:val="00E03CCC"/>
    <w:rsid w:val="00E04105"/>
    <w:rsid w:val="00E05659"/>
    <w:rsid w:val="00E06A67"/>
    <w:rsid w:val="00E110C5"/>
    <w:rsid w:val="00E20468"/>
    <w:rsid w:val="00E215FD"/>
    <w:rsid w:val="00E31C96"/>
    <w:rsid w:val="00E34E9D"/>
    <w:rsid w:val="00E40D22"/>
    <w:rsid w:val="00E50D10"/>
    <w:rsid w:val="00E51F5F"/>
    <w:rsid w:val="00E54AA9"/>
    <w:rsid w:val="00E56B62"/>
    <w:rsid w:val="00E576C6"/>
    <w:rsid w:val="00E57801"/>
    <w:rsid w:val="00E60B05"/>
    <w:rsid w:val="00E6525D"/>
    <w:rsid w:val="00E66202"/>
    <w:rsid w:val="00E710E3"/>
    <w:rsid w:val="00E73315"/>
    <w:rsid w:val="00E7476A"/>
    <w:rsid w:val="00E747BD"/>
    <w:rsid w:val="00E80125"/>
    <w:rsid w:val="00E804D7"/>
    <w:rsid w:val="00E81B36"/>
    <w:rsid w:val="00E81FFC"/>
    <w:rsid w:val="00E8530C"/>
    <w:rsid w:val="00E92553"/>
    <w:rsid w:val="00E927B0"/>
    <w:rsid w:val="00E955DF"/>
    <w:rsid w:val="00E96405"/>
    <w:rsid w:val="00E968E3"/>
    <w:rsid w:val="00E96AF9"/>
    <w:rsid w:val="00EA3AD5"/>
    <w:rsid w:val="00EA57E3"/>
    <w:rsid w:val="00EB0149"/>
    <w:rsid w:val="00EB1CE3"/>
    <w:rsid w:val="00EB414E"/>
    <w:rsid w:val="00EB5115"/>
    <w:rsid w:val="00EC4B0D"/>
    <w:rsid w:val="00EC503D"/>
    <w:rsid w:val="00EC6A4C"/>
    <w:rsid w:val="00ED0069"/>
    <w:rsid w:val="00ED07DD"/>
    <w:rsid w:val="00ED0F31"/>
    <w:rsid w:val="00ED1FCA"/>
    <w:rsid w:val="00ED6F21"/>
    <w:rsid w:val="00EE0ABB"/>
    <w:rsid w:val="00EE1E49"/>
    <w:rsid w:val="00EE261B"/>
    <w:rsid w:val="00EE37D4"/>
    <w:rsid w:val="00EF45C0"/>
    <w:rsid w:val="00EF4A27"/>
    <w:rsid w:val="00EF521A"/>
    <w:rsid w:val="00F01174"/>
    <w:rsid w:val="00F01BE4"/>
    <w:rsid w:val="00F03FF7"/>
    <w:rsid w:val="00F05205"/>
    <w:rsid w:val="00F1119A"/>
    <w:rsid w:val="00F118D0"/>
    <w:rsid w:val="00F14636"/>
    <w:rsid w:val="00F157B6"/>
    <w:rsid w:val="00F20E68"/>
    <w:rsid w:val="00F21478"/>
    <w:rsid w:val="00F22BF2"/>
    <w:rsid w:val="00F244DF"/>
    <w:rsid w:val="00F26F80"/>
    <w:rsid w:val="00F33C8C"/>
    <w:rsid w:val="00F375CA"/>
    <w:rsid w:val="00F409B1"/>
    <w:rsid w:val="00F56417"/>
    <w:rsid w:val="00F60764"/>
    <w:rsid w:val="00F711D5"/>
    <w:rsid w:val="00F74C0A"/>
    <w:rsid w:val="00F83B04"/>
    <w:rsid w:val="00F84C30"/>
    <w:rsid w:val="00F87ED3"/>
    <w:rsid w:val="00F9067F"/>
    <w:rsid w:val="00F90C72"/>
    <w:rsid w:val="00F95526"/>
    <w:rsid w:val="00F9564F"/>
    <w:rsid w:val="00F964B1"/>
    <w:rsid w:val="00F97B3C"/>
    <w:rsid w:val="00FA059F"/>
    <w:rsid w:val="00FA32FE"/>
    <w:rsid w:val="00FB1003"/>
    <w:rsid w:val="00FB225E"/>
    <w:rsid w:val="00FB2AE0"/>
    <w:rsid w:val="00FB4929"/>
    <w:rsid w:val="00FB4987"/>
    <w:rsid w:val="00FB5BC2"/>
    <w:rsid w:val="00FC0735"/>
    <w:rsid w:val="00FD05FA"/>
    <w:rsid w:val="00FD3992"/>
    <w:rsid w:val="00FD5557"/>
    <w:rsid w:val="00FD7626"/>
    <w:rsid w:val="00FE34B8"/>
    <w:rsid w:val="00FE3D6F"/>
    <w:rsid w:val="00FE6941"/>
    <w:rsid w:val="00FF1916"/>
    <w:rsid w:val="00FF4692"/>
    <w:rsid w:val="00FF4EAD"/>
    <w:rsid w:val="00FF5D7E"/>
    <w:rsid w:val="00FF65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742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07DE"/>
    <w:rPr>
      <w:sz w:val="24"/>
    </w:rPr>
  </w:style>
  <w:style w:type="paragraph" w:styleId="Heading1">
    <w:name w:val="heading 1"/>
    <w:basedOn w:val="Normal"/>
    <w:next w:val="Normal"/>
    <w:qFormat/>
    <w:rsid w:val="008307DE"/>
    <w:pPr>
      <w:keepNext/>
      <w:outlineLvl w:val="0"/>
    </w:pPr>
    <w:rPr>
      <w:rFonts w:eastAsia="Times"/>
      <w:u w:val="single"/>
    </w:rPr>
  </w:style>
  <w:style w:type="paragraph" w:styleId="Heading2">
    <w:name w:val="heading 2"/>
    <w:basedOn w:val="Normal"/>
    <w:next w:val="Normal"/>
    <w:qFormat/>
    <w:rsid w:val="008307DE"/>
    <w:pPr>
      <w:keepNext/>
      <w:outlineLvl w:val="1"/>
    </w:pPr>
    <w:rPr>
      <w:rFonts w:eastAsia="Times"/>
    </w:rPr>
  </w:style>
  <w:style w:type="paragraph" w:styleId="Heading3">
    <w:name w:val="heading 3"/>
    <w:basedOn w:val="Normal"/>
    <w:next w:val="Normal"/>
    <w:qFormat/>
    <w:rsid w:val="008307DE"/>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307DE"/>
    <w:pPr>
      <w:jc w:val="center"/>
    </w:pPr>
    <w:rPr>
      <w:rFonts w:ascii="Times" w:eastAsia="Times" w:hAnsi="Times"/>
      <w:b/>
      <w:u w:val="single"/>
    </w:rPr>
  </w:style>
  <w:style w:type="paragraph" w:styleId="BodyTextIndent">
    <w:name w:val="Body Text Indent"/>
    <w:basedOn w:val="Normal"/>
    <w:rsid w:val="008307DE"/>
    <w:pPr>
      <w:ind w:left="709" w:hanging="709"/>
    </w:pPr>
    <w:rPr>
      <w:rFonts w:eastAsia="Times"/>
    </w:rPr>
  </w:style>
  <w:style w:type="paragraph" w:styleId="BalloonText">
    <w:name w:val="Balloon Text"/>
    <w:basedOn w:val="Normal"/>
    <w:semiHidden/>
    <w:rsid w:val="004A0336"/>
    <w:rPr>
      <w:rFonts w:ascii="Tahoma" w:hAnsi="Tahoma" w:cs="Tahoma"/>
      <w:sz w:val="16"/>
      <w:szCs w:val="16"/>
    </w:rPr>
  </w:style>
  <w:style w:type="paragraph" w:customStyle="1" w:styleId="HR">
    <w:name w:val="HR"/>
    <w:aliases w:val="Regulation Heading"/>
    <w:basedOn w:val="Normal"/>
    <w:next w:val="Normal"/>
    <w:rsid w:val="00965BDF"/>
    <w:pPr>
      <w:keepNext/>
      <w:tabs>
        <w:tab w:val="left" w:pos="540"/>
      </w:tabs>
      <w:autoSpaceDE w:val="0"/>
      <w:autoSpaceDN w:val="0"/>
      <w:spacing w:before="240" w:after="120"/>
      <w:jc w:val="both"/>
    </w:pPr>
    <w:rPr>
      <w:rFonts w:ascii="Times" w:hAnsi="Times" w:cs="Times"/>
      <w:b/>
      <w:bCs/>
      <w:sz w:val="26"/>
      <w:szCs w:val="26"/>
    </w:rPr>
  </w:style>
  <w:style w:type="paragraph" w:customStyle="1" w:styleId="P1">
    <w:name w:val="P1"/>
    <w:aliases w:val="(a)"/>
    <w:basedOn w:val="Normal"/>
    <w:uiPriority w:val="99"/>
    <w:rsid w:val="00965BDF"/>
    <w:pPr>
      <w:tabs>
        <w:tab w:val="right" w:pos="1080"/>
      </w:tabs>
      <w:autoSpaceDE w:val="0"/>
      <w:autoSpaceDN w:val="0"/>
      <w:spacing w:before="40" w:line="260" w:lineRule="atLeast"/>
      <w:ind w:left="1276" w:hanging="1280"/>
      <w:jc w:val="both"/>
    </w:pPr>
    <w:rPr>
      <w:rFonts w:ascii="Times" w:hAnsi="Times" w:cs="Times"/>
      <w:sz w:val="26"/>
      <w:szCs w:val="26"/>
    </w:rPr>
  </w:style>
  <w:style w:type="numbering" w:customStyle="1" w:styleId="Style1">
    <w:name w:val="Style1"/>
    <w:rsid w:val="00965BDF"/>
    <w:pPr>
      <w:numPr>
        <w:numId w:val="6"/>
      </w:numPr>
    </w:pPr>
  </w:style>
  <w:style w:type="paragraph" w:styleId="Header">
    <w:name w:val="header"/>
    <w:basedOn w:val="Normal"/>
    <w:link w:val="HeaderChar"/>
    <w:uiPriority w:val="99"/>
    <w:rsid w:val="00346247"/>
    <w:pPr>
      <w:tabs>
        <w:tab w:val="center" w:pos="4153"/>
        <w:tab w:val="right" w:pos="8306"/>
      </w:tabs>
    </w:pPr>
  </w:style>
  <w:style w:type="paragraph" w:styleId="Footer">
    <w:name w:val="footer"/>
    <w:basedOn w:val="Normal"/>
    <w:link w:val="FooterChar"/>
    <w:uiPriority w:val="99"/>
    <w:rsid w:val="00346247"/>
    <w:pPr>
      <w:tabs>
        <w:tab w:val="center" w:pos="4153"/>
        <w:tab w:val="right" w:pos="8306"/>
      </w:tabs>
    </w:pPr>
  </w:style>
  <w:style w:type="character" w:styleId="CommentReference">
    <w:name w:val="annotation reference"/>
    <w:uiPriority w:val="99"/>
    <w:rsid w:val="00B96E0B"/>
    <w:rPr>
      <w:sz w:val="16"/>
      <w:szCs w:val="16"/>
    </w:rPr>
  </w:style>
  <w:style w:type="paragraph" w:styleId="CommentText">
    <w:name w:val="annotation text"/>
    <w:basedOn w:val="Normal"/>
    <w:link w:val="CommentTextChar"/>
    <w:uiPriority w:val="99"/>
    <w:rsid w:val="00B96E0B"/>
    <w:rPr>
      <w:sz w:val="20"/>
    </w:rPr>
  </w:style>
  <w:style w:type="character" w:customStyle="1" w:styleId="CommentTextChar">
    <w:name w:val="Comment Text Char"/>
    <w:basedOn w:val="DefaultParagraphFont"/>
    <w:link w:val="CommentText"/>
    <w:uiPriority w:val="99"/>
    <w:rsid w:val="00B96E0B"/>
  </w:style>
  <w:style w:type="paragraph" w:styleId="CommentSubject">
    <w:name w:val="annotation subject"/>
    <w:basedOn w:val="CommentText"/>
    <w:next w:val="CommentText"/>
    <w:link w:val="CommentSubjectChar"/>
    <w:rsid w:val="00B96E0B"/>
    <w:rPr>
      <w:b/>
      <w:bCs/>
    </w:rPr>
  </w:style>
  <w:style w:type="character" w:customStyle="1" w:styleId="CommentSubjectChar">
    <w:name w:val="Comment Subject Char"/>
    <w:link w:val="CommentSubject"/>
    <w:rsid w:val="00B96E0B"/>
    <w:rPr>
      <w:b/>
      <w:bCs/>
    </w:rPr>
  </w:style>
  <w:style w:type="paragraph" w:styleId="BodyTextIndent2">
    <w:name w:val="Body Text Indent 2"/>
    <w:basedOn w:val="Normal"/>
    <w:link w:val="BodyTextIndent2Char"/>
    <w:rsid w:val="00337EBA"/>
    <w:pPr>
      <w:spacing w:after="120" w:line="480" w:lineRule="auto"/>
      <w:ind w:left="283"/>
    </w:pPr>
  </w:style>
  <w:style w:type="character" w:customStyle="1" w:styleId="BodyTextIndent2Char">
    <w:name w:val="Body Text Indent 2 Char"/>
    <w:link w:val="BodyTextIndent2"/>
    <w:rsid w:val="00337EBA"/>
    <w:rPr>
      <w:sz w:val="24"/>
    </w:rPr>
  </w:style>
  <w:style w:type="paragraph" w:customStyle="1" w:styleId="subsection">
    <w:name w:val="subsection"/>
    <w:basedOn w:val="Normal"/>
    <w:rsid w:val="00913096"/>
    <w:pPr>
      <w:spacing w:before="100" w:beforeAutospacing="1" w:after="100" w:afterAutospacing="1"/>
    </w:pPr>
    <w:rPr>
      <w:szCs w:val="24"/>
    </w:rPr>
  </w:style>
  <w:style w:type="paragraph" w:customStyle="1" w:styleId="paragraph">
    <w:name w:val="paragraph"/>
    <w:basedOn w:val="Normal"/>
    <w:rsid w:val="00913096"/>
    <w:pPr>
      <w:spacing w:before="100" w:beforeAutospacing="1" w:after="100" w:afterAutospacing="1"/>
    </w:pPr>
    <w:rPr>
      <w:szCs w:val="24"/>
    </w:rPr>
  </w:style>
  <w:style w:type="paragraph" w:customStyle="1" w:styleId="paragraphsub">
    <w:name w:val="paragraphsub"/>
    <w:basedOn w:val="Normal"/>
    <w:rsid w:val="00913096"/>
    <w:pPr>
      <w:spacing w:before="100" w:beforeAutospacing="1" w:after="100" w:afterAutospacing="1"/>
    </w:pPr>
    <w:rPr>
      <w:szCs w:val="24"/>
    </w:rPr>
  </w:style>
  <w:style w:type="character" w:styleId="Hyperlink">
    <w:name w:val="Hyperlink"/>
    <w:uiPriority w:val="99"/>
    <w:unhideWhenUsed/>
    <w:rsid w:val="00913096"/>
    <w:rPr>
      <w:color w:val="0000FF"/>
      <w:u w:val="single"/>
    </w:rPr>
  </w:style>
  <w:style w:type="paragraph" w:styleId="FootnoteText">
    <w:name w:val="footnote text"/>
    <w:basedOn w:val="Normal"/>
    <w:link w:val="FootnoteTextChar"/>
    <w:rsid w:val="007265FE"/>
    <w:rPr>
      <w:sz w:val="20"/>
      <w:lang w:eastAsia="en-US"/>
    </w:rPr>
  </w:style>
  <w:style w:type="character" w:customStyle="1" w:styleId="FootnoteTextChar">
    <w:name w:val="Footnote Text Char"/>
    <w:link w:val="FootnoteText"/>
    <w:rsid w:val="007265FE"/>
    <w:rPr>
      <w:lang w:eastAsia="en-US"/>
    </w:rPr>
  </w:style>
  <w:style w:type="character" w:styleId="FootnoteReference">
    <w:name w:val="footnote reference"/>
    <w:rsid w:val="007265FE"/>
    <w:rPr>
      <w:vertAlign w:val="superscript"/>
    </w:rPr>
  </w:style>
  <w:style w:type="character" w:customStyle="1" w:styleId="FooterChar">
    <w:name w:val="Footer Char"/>
    <w:link w:val="Footer"/>
    <w:uiPriority w:val="99"/>
    <w:rsid w:val="00AE09B2"/>
    <w:rPr>
      <w:sz w:val="24"/>
    </w:rPr>
  </w:style>
  <w:style w:type="paragraph" w:customStyle="1" w:styleId="p10">
    <w:name w:val="p1"/>
    <w:basedOn w:val="Normal"/>
    <w:rsid w:val="002F1698"/>
    <w:pPr>
      <w:spacing w:before="100" w:beforeAutospacing="1" w:after="100" w:afterAutospacing="1"/>
    </w:pPr>
    <w:rPr>
      <w:szCs w:val="24"/>
    </w:rPr>
  </w:style>
  <w:style w:type="paragraph" w:customStyle="1" w:styleId="znote">
    <w:name w:val="znote"/>
    <w:basedOn w:val="Normal"/>
    <w:rsid w:val="002F1698"/>
    <w:pPr>
      <w:spacing w:before="100" w:beforeAutospacing="1" w:after="100" w:afterAutospacing="1"/>
    </w:pPr>
    <w:rPr>
      <w:szCs w:val="24"/>
    </w:rPr>
  </w:style>
  <w:style w:type="paragraph" w:customStyle="1" w:styleId="notepara">
    <w:name w:val="notepara"/>
    <w:basedOn w:val="Normal"/>
    <w:rsid w:val="002F1698"/>
    <w:pPr>
      <w:spacing w:before="100" w:beforeAutospacing="1" w:after="100" w:afterAutospacing="1"/>
    </w:pPr>
    <w:rPr>
      <w:szCs w:val="24"/>
    </w:rPr>
  </w:style>
  <w:style w:type="paragraph" w:customStyle="1" w:styleId="Default">
    <w:name w:val="Default"/>
    <w:rsid w:val="009E37AA"/>
    <w:pPr>
      <w:autoSpaceDE w:val="0"/>
      <w:autoSpaceDN w:val="0"/>
      <w:adjustRightInd w:val="0"/>
    </w:pPr>
    <w:rPr>
      <w:rFonts w:ascii="Arial" w:hAnsi="Arial" w:cs="Arial"/>
      <w:color w:val="000000"/>
      <w:sz w:val="24"/>
      <w:szCs w:val="24"/>
    </w:rPr>
  </w:style>
  <w:style w:type="table" w:styleId="TableGrid">
    <w:name w:val="Table Grid"/>
    <w:basedOn w:val="TableNormal"/>
    <w:rsid w:val="00E652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51B61"/>
    <w:pPr>
      <w:spacing w:before="180" w:after="180"/>
      <w:ind w:firstLine="240"/>
    </w:pPr>
    <w:rPr>
      <w:color w:val="444444"/>
      <w:szCs w:val="24"/>
    </w:rPr>
  </w:style>
  <w:style w:type="paragraph" w:styleId="BodyText">
    <w:name w:val="Body Text"/>
    <w:basedOn w:val="Normal"/>
    <w:link w:val="BodyTextChar"/>
    <w:rsid w:val="008C74B9"/>
    <w:pPr>
      <w:spacing w:after="120"/>
    </w:pPr>
  </w:style>
  <w:style w:type="character" w:customStyle="1" w:styleId="BodyTextChar">
    <w:name w:val="Body Text Char"/>
    <w:link w:val="BodyText"/>
    <w:rsid w:val="008C74B9"/>
    <w:rPr>
      <w:sz w:val="24"/>
    </w:rPr>
  </w:style>
  <w:style w:type="character" w:customStyle="1" w:styleId="HeaderChar">
    <w:name w:val="Header Char"/>
    <w:link w:val="Header"/>
    <w:uiPriority w:val="99"/>
    <w:rsid w:val="00306694"/>
    <w:rPr>
      <w:sz w:val="24"/>
    </w:rPr>
  </w:style>
  <w:style w:type="paragraph" w:customStyle="1" w:styleId="definition">
    <w:name w:val="definition"/>
    <w:basedOn w:val="Normal"/>
    <w:rsid w:val="00295867"/>
    <w:pPr>
      <w:tabs>
        <w:tab w:val="right" w:pos="1080"/>
        <w:tab w:val="left" w:pos="1260"/>
        <w:tab w:val="left" w:pos="1800"/>
      </w:tabs>
      <w:autoSpaceDE w:val="0"/>
      <w:autoSpaceDN w:val="0"/>
      <w:spacing w:before="40"/>
      <w:jc w:val="both"/>
    </w:pPr>
    <w:rPr>
      <w:rFonts w:ascii="Times" w:hAnsi="Times" w:cs="Times"/>
      <w:sz w:val="26"/>
      <w:szCs w:val="26"/>
    </w:rPr>
  </w:style>
  <w:style w:type="paragraph" w:styleId="Revision">
    <w:name w:val="Revision"/>
    <w:hidden/>
    <w:uiPriority w:val="99"/>
    <w:semiHidden/>
    <w:rsid w:val="00B60B7C"/>
    <w:rPr>
      <w:sz w:val="24"/>
    </w:rPr>
  </w:style>
  <w:style w:type="paragraph" w:styleId="ListParagraph">
    <w:name w:val="List Paragraph"/>
    <w:basedOn w:val="Normal"/>
    <w:uiPriority w:val="34"/>
    <w:qFormat/>
    <w:rsid w:val="007C1DED"/>
    <w:pPr>
      <w:ind w:left="720"/>
    </w:pPr>
    <w:rPr>
      <w:rFonts w:ascii="Calibri" w:eastAsia="Calibri" w:hAnsi="Calibri" w:cs="Calibri"/>
      <w:sz w:val="22"/>
      <w:szCs w:val="22"/>
    </w:rPr>
  </w:style>
  <w:style w:type="character" w:customStyle="1" w:styleId="Text-Normal">
    <w:name w:val="Text - Normal"/>
    <w:uiPriority w:val="1"/>
    <w:unhideWhenUsed/>
    <w:qFormat/>
    <w:rsid w:val="00F60764"/>
    <w:rPr>
      <w:color w:val="000000"/>
      <w:sz w:val="24"/>
      <w:szCs w:val="24"/>
    </w:rPr>
  </w:style>
  <w:style w:type="paragraph" w:customStyle="1" w:styleId="MinSubbodytext">
    <w:name w:val="Min Sub body text"/>
    <w:uiPriority w:val="3"/>
    <w:rsid w:val="00F60764"/>
    <w:pPr>
      <w:tabs>
        <w:tab w:val="right" w:pos="9923"/>
      </w:tabs>
      <w:ind w:left="-142"/>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07DE"/>
    <w:rPr>
      <w:sz w:val="24"/>
    </w:rPr>
  </w:style>
  <w:style w:type="paragraph" w:styleId="Heading1">
    <w:name w:val="heading 1"/>
    <w:basedOn w:val="Normal"/>
    <w:next w:val="Normal"/>
    <w:qFormat/>
    <w:rsid w:val="008307DE"/>
    <w:pPr>
      <w:keepNext/>
      <w:outlineLvl w:val="0"/>
    </w:pPr>
    <w:rPr>
      <w:rFonts w:eastAsia="Times"/>
      <w:u w:val="single"/>
    </w:rPr>
  </w:style>
  <w:style w:type="paragraph" w:styleId="Heading2">
    <w:name w:val="heading 2"/>
    <w:basedOn w:val="Normal"/>
    <w:next w:val="Normal"/>
    <w:qFormat/>
    <w:rsid w:val="008307DE"/>
    <w:pPr>
      <w:keepNext/>
      <w:outlineLvl w:val="1"/>
    </w:pPr>
    <w:rPr>
      <w:rFonts w:eastAsia="Times"/>
    </w:rPr>
  </w:style>
  <w:style w:type="paragraph" w:styleId="Heading3">
    <w:name w:val="heading 3"/>
    <w:basedOn w:val="Normal"/>
    <w:next w:val="Normal"/>
    <w:qFormat/>
    <w:rsid w:val="008307DE"/>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307DE"/>
    <w:pPr>
      <w:jc w:val="center"/>
    </w:pPr>
    <w:rPr>
      <w:rFonts w:ascii="Times" w:eastAsia="Times" w:hAnsi="Times"/>
      <w:b/>
      <w:u w:val="single"/>
    </w:rPr>
  </w:style>
  <w:style w:type="paragraph" w:styleId="BodyTextIndent">
    <w:name w:val="Body Text Indent"/>
    <w:basedOn w:val="Normal"/>
    <w:rsid w:val="008307DE"/>
    <w:pPr>
      <w:ind w:left="709" w:hanging="709"/>
    </w:pPr>
    <w:rPr>
      <w:rFonts w:eastAsia="Times"/>
    </w:rPr>
  </w:style>
  <w:style w:type="paragraph" w:styleId="BalloonText">
    <w:name w:val="Balloon Text"/>
    <w:basedOn w:val="Normal"/>
    <w:semiHidden/>
    <w:rsid w:val="004A0336"/>
    <w:rPr>
      <w:rFonts w:ascii="Tahoma" w:hAnsi="Tahoma" w:cs="Tahoma"/>
      <w:sz w:val="16"/>
      <w:szCs w:val="16"/>
    </w:rPr>
  </w:style>
  <w:style w:type="paragraph" w:customStyle="1" w:styleId="HR">
    <w:name w:val="HR"/>
    <w:aliases w:val="Regulation Heading"/>
    <w:basedOn w:val="Normal"/>
    <w:next w:val="Normal"/>
    <w:rsid w:val="00965BDF"/>
    <w:pPr>
      <w:keepNext/>
      <w:tabs>
        <w:tab w:val="left" w:pos="540"/>
      </w:tabs>
      <w:autoSpaceDE w:val="0"/>
      <w:autoSpaceDN w:val="0"/>
      <w:spacing w:before="240" w:after="120"/>
      <w:jc w:val="both"/>
    </w:pPr>
    <w:rPr>
      <w:rFonts w:ascii="Times" w:hAnsi="Times" w:cs="Times"/>
      <w:b/>
      <w:bCs/>
      <w:sz w:val="26"/>
      <w:szCs w:val="26"/>
    </w:rPr>
  </w:style>
  <w:style w:type="paragraph" w:customStyle="1" w:styleId="P1">
    <w:name w:val="P1"/>
    <w:aliases w:val="(a)"/>
    <w:basedOn w:val="Normal"/>
    <w:uiPriority w:val="99"/>
    <w:rsid w:val="00965BDF"/>
    <w:pPr>
      <w:tabs>
        <w:tab w:val="right" w:pos="1080"/>
      </w:tabs>
      <w:autoSpaceDE w:val="0"/>
      <w:autoSpaceDN w:val="0"/>
      <w:spacing w:before="40" w:line="260" w:lineRule="atLeast"/>
      <w:ind w:left="1276" w:hanging="1280"/>
      <w:jc w:val="both"/>
    </w:pPr>
    <w:rPr>
      <w:rFonts w:ascii="Times" w:hAnsi="Times" w:cs="Times"/>
      <w:sz w:val="26"/>
      <w:szCs w:val="26"/>
    </w:rPr>
  </w:style>
  <w:style w:type="numbering" w:customStyle="1" w:styleId="Style1">
    <w:name w:val="Style1"/>
    <w:rsid w:val="00965BDF"/>
    <w:pPr>
      <w:numPr>
        <w:numId w:val="6"/>
      </w:numPr>
    </w:pPr>
  </w:style>
  <w:style w:type="paragraph" w:styleId="Header">
    <w:name w:val="header"/>
    <w:basedOn w:val="Normal"/>
    <w:link w:val="HeaderChar"/>
    <w:uiPriority w:val="99"/>
    <w:rsid w:val="00346247"/>
    <w:pPr>
      <w:tabs>
        <w:tab w:val="center" w:pos="4153"/>
        <w:tab w:val="right" w:pos="8306"/>
      </w:tabs>
    </w:pPr>
  </w:style>
  <w:style w:type="paragraph" w:styleId="Footer">
    <w:name w:val="footer"/>
    <w:basedOn w:val="Normal"/>
    <w:link w:val="FooterChar"/>
    <w:uiPriority w:val="99"/>
    <w:rsid w:val="00346247"/>
    <w:pPr>
      <w:tabs>
        <w:tab w:val="center" w:pos="4153"/>
        <w:tab w:val="right" w:pos="8306"/>
      </w:tabs>
    </w:pPr>
  </w:style>
  <w:style w:type="character" w:styleId="CommentReference">
    <w:name w:val="annotation reference"/>
    <w:uiPriority w:val="99"/>
    <w:rsid w:val="00B96E0B"/>
    <w:rPr>
      <w:sz w:val="16"/>
      <w:szCs w:val="16"/>
    </w:rPr>
  </w:style>
  <w:style w:type="paragraph" w:styleId="CommentText">
    <w:name w:val="annotation text"/>
    <w:basedOn w:val="Normal"/>
    <w:link w:val="CommentTextChar"/>
    <w:uiPriority w:val="99"/>
    <w:rsid w:val="00B96E0B"/>
    <w:rPr>
      <w:sz w:val="20"/>
    </w:rPr>
  </w:style>
  <w:style w:type="character" w:customStyle="1" w:styleId="CommentTextChar">
    <w:name w:val="Comment Text Char"/>
    <w:basedOn w:val="DefaultParagraphFont"/>
    <w:link w:val="CommentText"/>
    <w:uiPriority w:val="99"/>
    <w:rsid w:val="00B96E0B"/>
  </w:style>
  <w:style w:type="paragraph" w:styleId="CommentSubject">
    <w:name w:val="annotation subject"/>
    <w:basedOn w:val="CommentText"/>
    <w:next w:val="CommentText"/>
    <w:link w:val="CommentSubjectChar"/>
    <w:rsid w:val="00B96E0B"/>
    <w:rPr>
      <w:b/>
      <w:bCs/>
    </w:rPr>
  </w:style>
  <w:style w:type="character" w:customStyle="1" w:styleId="CommentSubjectChar">
    <w:name w:val="Comment Subject Char"/>
    <w:link w:val="CommentSubject"/>
    <w:rsid w:val="00B96E0B"/>
    <w:rPr>
      <w:b/>
      <w:bCs/>
    </w:rPr>
  </w:style>
  <w:style w:type="paragraph" w:styleId="BodyTextIndent2">
    <w:name w:val="Body Text Indent 2"/>
    <w:basedOn w:val="Normal"/>
    <w:link w:val="BodyTextIndent2Char"/>
    <w:rsid w:val="00337EBA"/>
    <w:pPr>
      <w:spacing w:after="120" w:line="480" w:lineRule="auto"/>
      <w:ind w:left="283"/>
    </w:pPr>
  </w:style>
  <w:style w:type="character" w:customStyle="1" w:styleId="BodyTextIndent2Char">
    <w:name w:val="Body Text Indent 2 Char"/>
    <w:link w:val="BodyTextIndent2"/>
    <w:rsid w:val="00337EBA"/>
    <w:rPr>
      <w:sz w:val="24"/>
    </w:rPr>
  </w:style>
  <w:style w:type="paragraph" w:customStyle="1" w:styleId="subsection">
    <w:name w:val="subsection"/>
    <w:basedOn w:val="Normal"/>
    <w:rsid w:val="00913096"/>
    <w:pPr>
      <w:spacing w:before="100" w:beforeAutospacing="1" w:after="100" w:afterAutospacing="1"/>
    </w:pPr>
    <w:rPr>
      <w:szCs w:val="24"/>
    </w:rPr>
  </w:style>
  <w:style w:type="paragraph" w:customStyle="1" w:styleId="paragraph">
    <w:name w:val="paragraph"/>
    <w:basedOn w:val="Normal"/>
    <w:rsid w:val="00913096"/>
    <w:pPr>
      <w:spacing w:before="100" w:beforeAutospacing="1" w:after="100" w:afterAutospacing="1"/>
    </w:pPr>
    <w:rPr>
      <w:szCs w:val="24"/>
    </w:rPr>
  </w:style>
  <w:style w:type="paragraph" w:customStyle="1" w:styleId="paragraphsub">
    <w:name w:val="paragraphsub"/>
    <w:basedOn w:val="Normal"/>
    <w:rsid w:val="00913096"/>
    <w:pPr>
      <w:spacing w:before="100" w:beforeAutospacing="1" w:after="100" w:afterAutospacing="1"/>
    </w:pPr>
    <w:rPr>
      <w:szCs w:val="24"/>
    </w:rPr>
  </w:style>
  <w:style w:type="character" w:styleId="Hyperlink">
    <w:name w:val="Hyperlink"/>
    <w:uiPriority w:val="99"/>
    <w:unhideWhenUsed/>
    <w:rsid w:val="00913096"/>
    <w:rPr>
      <w:color w:val="0000FF"/>
      <w:u w:val="single"/>
    </w:rPr>
  </w:style>
  <w:style w:type="paragraph" w:styleId="FootnoteText">
    <w:name w:val="footnote text"/>
    <w:basedOn w:val="Normal"/>
    <w:link w:val="FootnoteTextChar"/>
    <w:rsid w:val="007265FE"/>
    <w:rPr>
      <w:sz w:val="20"/>
      <w:lang w:eastAsia="en-US"/>
    </w:rPr>
  </w:style>
  <w:style w:type="character" w:customStyle="1" w:styleId="FootnoteTextChar">
    <w:name w:val="Footnote Text Char"/>
    <w:link w:val="FootnoteText"/>
    <w:rsid w:val="007265FE"/>
    <w:rPr>
      <w:lang w:eastAsia="en-US"/>
    </w:rPr>
  </w:style>
  <w:style w:type="character" w:styleId="FootnoteReference">
    <w:name w:val="footnote reference"/>
    <w:rsid w:val="007265FE"/>
    <w:rPr>
      <w:vertAlign w:val="superscript"/>
    </w:rPr>
  </w:style>
  <w:style w:type="character" w:customStyle="1" w:styleId="FooterChar">
    <w:name w:val="Footer Char"/>
    <w:link w:val="Footer"/>
    <w:uiPriority w:val="99"/>
    <w:rsid w:val="00AE09B2"/>
    <w:rPr>
      <w:sz w:val="24"/>
    </w:rPr>
  </w:style>
  <w:style w:type="paragraph" w:customStyle="1" w:styleId="p10">
    <w:name w:val="p1"/>
    <w:basedOn w:val="Normal"/>
    <w:rsid w:val="002F1698"/>
    <w:pPr>
      <w:spacing w:before="100" w:beforeAutospacing="1" w:after="100" w:afterAutospacing="1"/>
    </w:pPr>
    <w:rPr>
      <w:szCs w:val="24"/>
    </w:rPr>
  </w:style>
  <w:style w:type="paragraph" w:customStyle="1" w:styleId="znote">
    <w:name w:val="znote"/>
    <w:basedOn w:val="Normal"/>
    <w:rsid w:val="002F1698"/>
    <w:pPr>
      <w:spacing w:before="100" w:beforeAutospacing="1" w:after="100" w:afterAutospacing="1"/>
    </w:pPr>
    <w:rPr>
      <w:szCs w:val="24"/>
    </w:rPr>
  </w:style>
  <w:style w:type="paragraph" w:customStyle="1" w:styleId="notepara">
    <w:name w:val="notepara"/>
    <w:basedOn w:val="Normal"/>
    <w:rsid w:val="002F1698"/>
    <w:pPr>
      <w:spacing w:before="100" w:beforeAutospacing="1" w:after="100" w:afterAutospacing="1"/>
    </w:pPr>
    <w:rPr>
      <w:szCs w:val="24"/>
    </w:rPr>
  </w:style>
  <w:style w:type="paragraph" w:customStyle="1" w:styleId="Default">
    <w:name w:val="Default"/>
    <w:rsid w:val="009E37AA"/>
    <w:pPr>
      <w:autoSpaceDE w:val="0"/>
      <w:autoSpaceDN w:val="0"/>
      <w:adjustRightInd w:val="0"/>
    </w:pPr>
    <w:rPr>
      <w:rFonts w:ascii="Arial" w:hAnsi="Arial" w:cs="Arial"/>
      <w:color w:val="000000"/>
      <w:sz w:val="24"/>
      <w:szCs w:val="24"/>
    </w:rPr>
  </w:style>
  <w:style w:type="table" w:styleId="TableGrid">
    <w:name w:val="Table Grid"/>
    <w:basedOn w:val="TableNormal"/>
    <w:rsid w:val="00E652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51B61"/>
    <w:pPr>
      <w:spacing w:before="180" w:after="180"/>
      <w:ind w:firstLine="240"/>
    </w:pPr>
    <w:rPr>
      <w:color w:val="444444"/>
      <w:szCs w:val="24"/>
    </w:rPr>
  </w:style>
  <w:style w:type="paragraph" w:styleId="BodyText">
    <w:name w:val="Body Text"/>
    <w:basedOn w:val="Normal"/>
    <w:link w:val="BodyTextChar"/>
    <w:rsid w:val="008C74B9"/>
    <w:pPr>
      <w:spacing w:after="120"/>
    </w:pPr>
  </w:style>
  <w:style w:type="character" w:customStyle="1" w:styleId="BodyTextChar">
    <w:name w:val="Body Text Char"/>
    <w:link w:val="BodyText"/>
    <w:rsid w:val="008C74B9"/>
    <w:rPr>
      <w:sz w:val="24"/>
    </w:rPr>
  </w:style>
  <w:style w:type="character" w:customStyle="1" w:styleId="HeaderChar">
    <w:name w:val="Header Char"/>
    <w:link w:val="Header"/>
    <w:uiPriority w:val="99"/>
    <w:rsid w:val="00306694"/>
    <w:rPr>
      <w:sz w:val="24"/>
    </w:rPr>
  </w:style>
  <w:style w:type="paragraph" w:customStyle="1" w:styleId="definition">
    <w:name w:val="definition"/>
    <w:basedOn w:val="Normal"/>
    <w:rsid w:val="00295867"/>
    <w:pPr>
      <w:tabs>
        <w:tab w:val="right" w:pos="1080"/>
        <w:tab w:val="left" w:pos="1260"/>
        <w:tab w:val="left" w:pos="1800"/>
      </w:tabs>
      <w:autoSpaceDE w:val="0"/>
      <w:autoSpaceDN w:val="0"/>
      <w:spacing w:before="40"/>
      <w:jc w:val="both"/>
    </w:pPr>
    <w:rPr>
      <w:rFonts w:ascii="Times" w:hAnsi="Times" w:cs="Times"/>
      <w:sz w:val="26"/>
      <w:szCs w:val="26"/>
    </w:rPr>
  </w:style>
  <w:style w:type="paragraph" w:styleId="Revision">
    <w:name w:val="Revision"/>
    <w:hidden/>
    <w:uiPriority w:val="99"/>
    <w:semiHidden/>
    <w:rsid w:val="00B60B7C"/>
    <w:rPr>
      <w:sz w:val="24"/>
    </w:rPr>
  </w:style>
  <w:style w:type="paragraph" w:styleId="ListParagraph">
    <w:name w:val="List Paragraph"/>
    <w:basedOn w:val="Normal"/>
    <w:uiPriority w:val="34"/>
    <w:qFormat/>
    <w:rsid w:val="007C1DED"/>
    <w:pPr>
      <w:ind w:left="720"/>
    </w:pPr>
    <w:rPr>
      <w:rFonts w:ascii="Calibri" w:eastAsia="Calibri" w:hAnsi="Calibri" w:cs="Calibri"/>
      <w:sz w:val="22"/>
      <w:szCs w:val="22"/>
    </w:rPr>
  </w:style>
  <w:style w:type="character" w:customStyle="1" w:styleId="Text-Normal">
    <w:name w:val="Text - Normal"/>
    <w:uiPriority w:val="1"/>
    <w:unhideWhenUsed/>
    <w:qFormat/>
    <w:rsid w:val="00F60764"/>
    <w:rPr>
      <w:color w:val="000000"/>
      <w:sz w:val="24"/>
      <w:szCs w:val="24"/>
    </w:rPr>
  </w:style>
  <w:style w:type="paragraph" w:customStyle="1" w:styleId="MinSubbodytext">
    <w:name w:val="Min Sub body text"/>
    <w:uiPriority w:val="3"/>
    <w:rsid w:val="00F60764"/>
    <w:pPr>
      <w:tabs>
        <w:tab w:val="right" w:pos="9923"/>
      </w:tabs>
      <w:ind w:left="-142"/>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548">
      <w:bodyDiv w:val="1"/>
      <w:marLeft w:val="0"/>
      <w:marRight w:val="0"/>
      <w:marTop w:val="0"/>
      <w:marBottom w:val="0"/>
      <w:divBdr>
        <w:top w:val="none" w:sz="0" w:space="0" w:color="auto"/>
        <w:left w:val="none" w:sz="0" w:space="0" w:color="auto"/>
        <w:bottom w:val="none" w:sz="0" w:space="0" w:color="auto"/>
        <w:right w:val="none" w:sz="0" w:space="0" w:color="auto"/>
      </w:divBdr>
      <w:divsChild>
        <w:div w:id="327950061">
          <w:marLeft w:val="2"/>
          <w:marRight w:val="2"/>
          <w:marTop w:val="100"/>
          <w:marBottom w:val="300"/>
          <w:divBdr>
            <w:top w:val="single" w:sz="4" w:space="5" w:color="CDCCD4"/>
            <w:left w:val="single" w:sz="4" w:space="5" w:color="CDCCD4"/>
            <w:bottom w:val="single" w:sz="4" w:space="5" w:color="CDCCD4"/>
            <w:right w:val="single" w:sz="4" w:space="3" w:color="CDCCD4"/>
          </w:divBdr>
          <w:divsChild>
            <w:div w:id="702943777">
              <w:marLeft w:val="0"/>
              <w:marRight w:val="0"/>
              <w:marTop w:val="50"/>
              <w:marBottom w:val="50"/>
              <w:divBdr>
                <w:top w:val="single" w:sz="4" w:space="5" w:color="CCCCD4"/>
                <w:left w:val="single" w:sz="4" w:space="5" w:color="CCCCD4"/>
                <w:bottom w:val="single" w:sz="4" w:space="5" w:color="CCCCD4"/>
                <w:right w:val="single" w:sz="4" w:space="5" w:color="CCCCD4"/>
              </w:divBdr>
              <w:divsChild>
                <w:div w:id="12586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2300">
      <w:bodyDiv w:val="1"/>
      <w:marLeft w:val="0"/>
      <w:marRight w:val="0"/>
      <w:marTop w:val="0"/>
      <w:marBottom w:val="0"/>
      <w:divBdr>
        <w:top w:val="none" w:sz="0" w:space="0" w:color="auto"/>
        <w:left w:val="none" w:sz="0" w:space="0" w:color="auto"/>
        <w:bottom w:val="none" w:sz="0" w:space="0" w:color="auto"/>
        <w:right w:val="none" w:sz="0" w:space="0" w:color="auto"/>
      </w:divBdr>
    </w:div>
    <w:div w:id="360588822">
      <w:bodyDiv w:val="1"/>
      <w:marLeft w:val="0"/>
      <w:marRight w:val="0"/>
      <w:marTop w:val="0"/>
      <w:marBottom w:val="0"/>
      <w:divBdr>
        <w:top w:val="none" w:sz="0" w:space="0" w:color="auto"/>
        <w:left w:val="none" w:sz="0" w:space="0" w:color="auto"/>
        <w:bottom w:val="none" w:sz="0" w:space="0" w:color="auto"/>
        <w:right w:val="none" w:sz="0" w:space="0" w:color="auto"/>
      </w:divBdr>
      <w:divsChild>
        <w:div w:id="2118329787">
          <w:marLeft w:val="0"/>
          <w:marRight w:val="0"/>
          <w:marTop w:val="0"/>
          <w:marBottom w:val="0"/>
          <w:divBdr>
            <w:top w:val="none" w:sz="0" w:space="0" w:color="auto"/>
            <w:left w:val="none" w:sz="0" w:space="0" w:color="auto"/>
            <w:bottom w:val="none" w:sz="0" w:space="0" w:color="auto"/>
            <w:right w:val="none" w:sz="0" w:space="0" w:color="auto"/>
          </w:divBdr>
          <w:divsChild>
            <w:div w:id="1061514788">
              <w:marLeft w:val="0"/>
              <w:marRight w:val="0"/>
              <w:marTop w:val="0"/>
              <w:marBottom w:val="0"/>
              <w:divBdr>
                <w:top w:val="none" w:sz="0" w:space="0" w:color="auto"/>
                <w:left w:val="none" w:sz="0" w:space="0" w:color="auto"/>
                <w:bottom w:val="none" w:sz="0" w:space="0" w:color="auto"/>
                <w:right w:val="none" w:sz="0" w:space="0" w:color="auto"/>
              </w:divBdr>
              <w:divsChild>
                <w:div w:id="243684523">
                  <w:marLeft w:val="1900"/>
                  <w:marRight w:val="120"/>
                  <w:marTop w:val="0"/>
                  <w:marBottom w:val="0"/>
                  <w:divBdr>
                    <w:top w:val="none" w:sz="0" w:space="0" w:color="auto"/>
                    <w:left w:val="none" w:sz="0" w:space="0" w:color="auto"/>
                    <w:bottom w:val="none" w:sz="0" w:space="0" w:color="auto"/>
                    <w:right w:val="none" w:sz="0" w:space="0" w:color="auto"/>
                  </w:divBdr>
                  <w:divsChild>
                    <w:div w:id="34434369">
                      <w:marLeft w:val="0"/>
                      <w:marRight w:val="0"/>
                      <w:marTop w:val="0"/>
                      <w:marBottom w:val="0"/>
                      <w:divBdr>
                        <w:top w:val="none" w:sz="0" w:space="0" w:color="auto"/>
                        <w:left w:val="none" w:sz="0" w:space="0" w:color="auto"/>
                        <w:bottom w:val="none" w:sz="0" w:space="0" w:color="auto"/>
                        <w:right w:val="none" w:sz="0" w:space="0" w:color="auto"/>
                      </w:divBdr>
                      <w:divsChild>
                        <w:div w:id="14728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24436">
      <w:bodyDiv w:val="1"/>
      <w:marLeft w:val="0"/>
      <w:marRight w:val="0"/>
      <w:marTop w:val="0"/>
      <w:marBottom w:val="0"/>
      <w:divBdr>
        <w:top w:val="none" w:sz="0" w:space="0" w:color="auto"/>
        <w:left w:val="none" w:sz="0" w:space="0" w:color="auto"/>
        <w:bottom w:val="none" w:sz="0" w:space="0" w:color="auto"/>
        <w:right w:val="none" w:sz="0" w:space="0" w:color="auto"/>
      </w:divBdr>
      <w:divsChild>
        <w:div w:id="2004701330">
          <w:marLeft w:val="0"/>
          <w:marRight w:val="0"/>
          <w:marTop w:val="0"/>
          <w:marBottom w:val="0"/>
          <w:divBdr>
            <w:top w:val="none" w:sz="0" w:space="0" w:color="auto"/>
            <w:left w:val="none" w:sz="0" w:space="0" w:color="auto"/>
            <w:bottom w:val="none" w:sz="0" w:space="0" w:color="auto"/>
            <w:right w:val="none" w:sz="0" w:space="0" w:color="auto"/>
          </w:divBdr>
          <w:divsChild>
            <w:div w:id="740059346">
              <w:marLeft w:val="0"/>
              <w:marRight w:val="0"/>
              <w:marTop w:val="0"/>
              <w:marBottom w:val="0"/>
              <w:divBdr>
                <w:top w:val="none" w:sz="0" w:space="0" w:color="auto"/>
                <w:left w:val="none" w:sz="0" w:space="0" w:color="auto"/>
                <w:bottom w:val="none" w:sz="0" w:space="0" w:color="auto"/>
                <w:right w:val="none" w:sz="0" w:space="0" w:color="auto"/>
              </w:divBdr>
              <w:divsChild>
                <w:div w:id="1065491616">
                  <w:marLeft w:val="1900"/>
                  <w:marRight w:val="120"/>
                  <w:marTop w:val="0"/>
                  <w:marBottom w:val="0"/>
                  <w:divBdr>
                    <w:top w:val="none" w:sz="0" w:space="0" w:color="auto"/>
                    <w:left w:val="none" w:sz="0" w:space="0" w:color="auto"/>
                    <w:bottom w:val="none" w:sz="0" w:space="0" w:color="auto"/>
                    <w:right w:val="none" w:sz="0" w:space="0" w:color="auto"/>
                  </w:divBdr>
                  <w:divsChild>
                    <w:div w:id="1257439390">
                      <w:marLeft w:val="0"/>
                      <w:marRight w:val="0"/>
                      <w:marTop w:val="0"/>
                      <w:marBottom w:val="0"/>
                      <w:divBdr>
                        <w:top w:val="none" w:sz="0" w:space="0" w:color="auto"/>
                        <w:left w:val="none" w:sz="0" w:space="0" w:color="auto"/>
                        <w:bottom w:val="none" w:sz="0" w:space="0" w:color="auto"/>
                        <w:right w:val="none" w:sz="0" w:space="0" w:color="auto"/>
                      </w:divBdr>
                      <w:divsChild>
                        <w:div w:id="6539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751173">
      <w:bodyDiv w:val="1"/>
      <w:marLeft w:val="0"/>
      <w:marRight w:val="0"/>
      <w:marTop w:val="0"/>
      <w:marBottom w:val="0"/>
      <w:divBdr>
        <w:top w:val="none" w:sz="0" w:space="0" w:color="auto"/>
        <w:left w:val="none" w:sz="0" w:space="0" w:color="auto"/>
        <w:bottom w:val="none" w:sz="0" w:space="0" w:color="auto"/>
        <w:right w:val="none" w:sz="0" w:space="0" w:color="auto"/>
      </w:divBdr>
      <w:divsChild>
        <w:div w:id="1311710150">
          <w:marLeft w:val="0"/>
          <w:marRight w:val="0"/>
          <w:marTop w:val="0"/>
          <w:marBottom w:val="0"/>
          <w:divBdr>
            <w:top w:val="none" w:sz="0" w:space="0" w:color="auto"/>
            <w:left w:val="none" w:sz="0" w:space="0" w:color="auto"/>
            <w:bottom w:val="none" w:sz="0" w:space="0" w:color="auto"/>
            <w:right w:val="none" w:sz="0" w:space="0" w:color="auto"/>
          </w:divBdr>
          <w:divsChild>
            <w:div w:id="1031958124">
              <w:marLeft w:val="0"/>
              <w:marRight w:val="0"/>
              <w:marTop w:val="0"/>
              <w:marBottom w:val="0"/>
              <w:divBdr>
                <w:top w:val="none" w:sz="0" w:space="0" w:color="auto"/>
                <w:left w:val="none" w:sz="0" w:space="0" w:color="auto"/>
                <w:bottom w:val="none" w:sz="0" w:space="0" w:color="auto"/>
                <w:right w:val="none" w:sz="0" w:space="0" w:color="auto"/>
              </w:divBdr>
              <w:divsChild>
                <w:div w:id="1132093538">
                  <w:marLeft w:val="0"/>
                  <w:marRight w:val="0"/>
                  <w:marTop w:val="0"/>
                  <w:marBottom w:val="0"/>
                  <w:divBdr>
                    <w:top w:val="none" w:sz="0" w:space="0" w:color="auto"/>
                    <w:left w:val="none" w:sz="0" w:space="0" w:color="auto"/>
                    <w:bottom w:val="none" w:sz="0" w:space="0" w:color="auto"/>
                    <w:right w:val="none" w:sz="0" w:space="0" w:color="auto"/>
                  </w:divBdr>
                  <w:divsChild>
                    <w:div w:id="2099595351">
                      <w:marLeft w:val="0"/>
                      <w:marRight w:val="0"/>
                      <w:marTop w:val="0"/>
                      <w:marBottom w:val="0"/>
                      <w:divBdr>
                        <w:top w:val="none" w:sz="0" w:space="0" w:color="auto"/>
                        <w:left w:val="none" w:sz="0" w:space="0" w:color="auto"/>
                        <w:bottom w:val="none" w:sz="0" w:space="0" w:color="auto"/>
                        <w:right w:val="none" w:sz="0" w:space="0" w:color="auto"/>
                      </w:divBdr>
                      <w:divsChild>
                        <w:div w:id="230622715">
                          <w:marLeft w:val="0"/>
                          <w:marRight w:val="0"/>
                          <w:marTop w:val="0"/>
                          <w:marBottom w:val="0"/>
                          <w:divBdr>
                            <w:top w:val="single" w:sz="4" w:space="0" w:color="828282"/>
                            <w:left w:val="single" w:sz="4" w:space="0" w:color="828282"/>
                            <w:bottom w:val="single" w:sz="4" w:space="0" w:color="828282"/>
                            <w:right w:val="single" w:sz="4" w:space="0" w:color="828282"/>
                          </w:divBdr>
                          <w:divsChild>
                            <w:div w:id="921332026">
                              <w:marLeft w:val="0"/>
                              <w:marRight w:val="0"/>
                              <w:marTop w:val="0"/>
                              <w:marBottom w:val="0"/>
                              <w:divBdr>
                                <w:top w:val="none" w:sz="0" w:space="0" w:color="auto"/>
                                <w:left w:val="none" w:sz="0" w:space="0" w:color="auto"/>
                                <w:bottom w:val="none" w:sz="0" w:space="0" w:color="auto"/>
                                <w:right w:val="none" w:sz="0" w:space="0" w:color="auto"/>
                              </w:divBdr>
                              <w:divsChild>
                                <w:div w:id="823399450">
                                  <w:marLeft w:val="0"/>
                                  <w:marRight w:val="0"/>
                                  <w:marTop w:val="0"/>
                                  <w:marBottom w:val="0"/>
                                  <w:divBdr>
                                    <w:top w:val="none" w:sz="0" w:space="0" w:color="auto"/>
                                    <w:left w:val="none" w:sz="0" w:space="0" w:color="auto"/>
                                    <w:bottom w:val="none" w:sz="0" w:space="0" w:color="auto"/>
                                    <w:right w:val="none" w:sz="0" w:space="0" w:color="auto"/>
                                  </w:divBdr>
                                  <w:divsChild>
                                    <w:div w:id="1863400660">
                                      <w:marLeft w:val="0"/>
                                      <w:marRight w:val="0"/>
                                      <w:marTop w:val="0"/>
                                      <w:marBottom w:val="0"/>
                                      <w:divBdr>
                                        <w:top w:val="none" w:sz="0" w:space="0" w:color="auto"/>
                                        <w:left w:val="none" w:sz="0" w:space="0" w:color="auto"/>
                                        <w:bottom w:val="none" w:sz="0" w:space="0" w:color="auto"/>
                                        <w:right w:val="none" w:sz="0" w:space="0" w:color="auto"/>
                                      </w:divBdr>
                                      <w:divsChild>
                                        <w:div w:id="2066710226">
                                          <w:marLeft w:val="0"/>
                                          <w:marRight w:val="0"/>
                                          <w:marTop w:val="0"/>
                                          <w:marBottom w:val="0"/>
                                          <w:divBdr>
                                            <w:top w:val="none" w:sz="0" w:space="0" w:color="auto"/>
                                            <w:left w:val="none" w:sz="0" w:space="0" w:color="auto"/>
                                            <w:bottom w:val="none" w:sz="0" w:space="0" w:color="auto"/>
                                            <w:right w:val="none" w:sz="0" w:space="0" w:color="auto"/>
                                          </w:divBdr>
                                          <w:divsChild>
                                            <w:div w:id="186139195">
                                              <w:marLeft w:val="0"/>
                                              <w:marRight w:val="0"/>
                                              <w:marTop w:val="0"/>
                                              <w:marBottom w:val="0"/>
                                              <w:divBdr>
                                                <w:top w:val="none" w:sz="0" w:space="0" w:color="auto"/>
                                                <w:left w:val="none" w:sz="0" w:space="0" w:color="auto"/>
                                                <w:bottom w:val="none" w:sz="0" w:space="0" w:color="auto"/>
                                                <w:right w:val="none" w:sz="0" w:space="0" w:color="auto"/>
                                              </w:divBdr>
                                              <w:divsChild>
                                                <w:div w:id="9750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9161837">
      <w:bodyDiv w:val="1"/>
      <w:marLeft w:val="0"/>
      <w:marRight w:val="0"/>
      <w:marTop w:val="0"/>
      <w:marBottom w:val="0"/>
      <w:divBdr>
        <w:top w:val="none" w:sz="0" w:space="0" w:color="auto"/>
        <w:left w:val="none" w:sz="0" w:space="0" w:color="auto"/>
        <w:bottom w:val="none" w:sz="0" w:space="0" w:color="auto"/>
        <w:right w:val="none" w:sz="0" w:space="0" w:color="auto"/>
      </w:divBdr>
      <w:divsChild>
        <w:div w:id="1427379479">
          <w:marLeft w:val="0"/>
          <w:marRight w:val="0"/>
          <w:marTop w:val="0"/>
          <w:marBottom w:val="0"/>
          <w:divBdr>
            <w:top w:val="none" w:sz="0" w:space="0" w:color="auto"/>
            <w:left w:val="none" w:sz="0" w:space="0" w:color="auto"/>
            <w:bottom w:val="none" w:sz="0" w:space="0" w:color="auto"/>
            <w:right w:val="none" w:sz="0" w:space="0" w:color="auto"/>
          </w:divBdr>
          <w:divsChild>
            <w:div w:id="1176962581">
              <w:marLeft w:val="0"/>
              <w:marRight w:val="0"/>
              <w:marTop w:val="0"/>
              <w:marBottom w:val="0"/>
              <w:divBdr>
                <w:top w:val="none" w:sz="0" w:space="0" w:color="auto"/>
                <w:left w:val="none" w:sz="0" w:space="0" w:color="auto"/>
                <w:bottom w:val="none" w:sz="0" w:space="0" w:color="auto"/>
                <w:right w:val="none" w:sz="0" w:space="0" w:color="auto"/>
              </w:divBdr>
              <w:divsChild>
                <w:div w:id="495069582">
                  <w:marLeft w:val="0"/>
                  <w:marRight w:val="0"/>
                  <w:marTop w:val="0"/>
                  <w:marBottom w:val="0"/>
                  <w:divBdr>
                    <w:top w:val="none" w:sz="0" w:space="0" w:color="auto"/>
                    <w:left w:val="none" w:sz="0" w:space="0" w:color="auto"/>
                    <w:bottom w:val="none" w:sz="0" w:space="0" w:color="auto"/>
                    <w:right w:val="none" w:sz="0" w:space="0" w:color="auto"/>
                  </w:divBdr>
                  <w:divsChild>
                    <w:div w:id="1186598513">
                      <w:marLeft w:val="0"/>
                      <w:marRight w:val="0"/>
                      <w:marTop w:val="0"/>
                      <w:marBottom w:val="0"/>
                      <w:divBdr>
                        <w:top w:val="none" w:sz="0" w:space="0" w:color="auto"/>
                        <w:left w:val="none" w:sz="0" w:space="0" w:color="auto"/>
                        <w:bottom w:val="none" w:sz="0" w:space="0" w:color="auto"/>
                        <w:right w:val="none" w:sz="0" w:space="0" w:color="auto"/>
                      </w:divBdr>
                      <w:divsChild>
                        <w:div w:id="807666637">
                          <w:marLeft w:val="0"/>
                          <w:marRight w:val="0"/>
                          <w:marTop w:val="0"/>
                          <w:marBottom w:val="0"/>
                          <w:divBdr>
                            <w:top w:val="single" w:sz="6" w:space="0" w:color="828282"/>
                            <w:left w:val="single" w:sz="6" w:space="0" w:color="828282"/>
                            <w:bottom w:val="single" w:sz="6" w:space="0" w:color="828282"/>
                            <w:right w:val="single" w:sz="6" w:space="0" w:color="828282"/>
                          </w:divBdr>
                          <w:divsChild>
                            <w:div w:id="1476338908">
                              <w:marLeft w:val="0"/>
                              <w:marRight w:val="0"/>
                              <w:marTop w:val="0"/>
                              <w:marBottom w:val="0"/>
                              <w:divBdr>
                                <w:top w:val="none" w:sz="0" w:space="0" w:color="auto"/>
                                <w:left w:val="none" w:sz="0" w:space="0" w:color="auto"/>
                                <w:bottom w:val="none" w:sz="0" w:space="0" w:color="auto"/>
                                <w:right w:val="none" w:sz="0" w:space="0" w:color="auto"/>
                              </w:divBdr>
                              <w:divsChild>
                                <w:div w:id="1136408435">
                                  <w:marLeft w:val="0"/>
                                  <w:marRight w:val="0"/>
                                  <w:marTop w:val="0"/>
                                  <w:marBottom w:val="0"/>
                                  <w:divBdr>
                                    <w:top w:val="none" w:sz="0" w:space="0" w:color="auto"/>
                                    <w:left w:val="none" w:sz="0" w:space="0" w:color="auto"/>
                                    <w:bottom w:val="none" w:sz="0" w:space="0" w:color="auto"/>
                                    <w:right w:val="none" w:sz="0" w:space="0" w:color="auto"/>
                                  </w:divBdr>
                                  <w:divsChild>
                                    <w:div w:id="528108261">
                                      <w:marLeft w:val="0"/>
                                      <w:marRight w:val="0"/>
                                      <w:marTop w:val="0"/>
                                      <w:marBottom w:val="0"/>
                                      <w:divBdr>
                                        <w:top w:val="none" w:sz="0" w:space="0" w:color="auto"/>
                                        <w:left w:val="none" w:sz="0" w:space="0" w:color="auto"/>
                                        <w:bottom w:val="none" w:sz="0" w:space="0" w:color="auto"/>
                                        <w:right w:val="none" w:sz="0" w:space="0" w:color="auto"/>
                                      </w:divBdr>
                                      <w:divsChild>
                                        <w:div w:id="1990089451">
                                          <w:marLeft w:val="0"/>
                                          <w:marRight w:val="0"/>
                                          <w:marTop w:val="0"/>
                                          <w:marBottom w:val="0"/>
                                          <w:divBdr>
                                            <w:top w:val="none" w:sz="0" w:space="0" w:color="auto"/>
                                            <w:left w:val="none" w:sz="0" w:space="0" w:color="auto"/>
                                            <w:bottom w:val="none" w:sz="0" w:space="0" w:color="auto"/>
                                            <w:right w:val="none" w:sz="0" w:space="0" w:color="auto"/>
                                          </w:divBdr>
                                          <w:divsChild>
                                            <w:div w:id="2083215903">
                                              <w:marLeft w:val="0"/>
                                              <w:marRight w:val="0"/>
                                              <w:marTop w:val="0"/>
                                              <w:marBottom w:val="0"/>
                                              <w:divBdr>
                                                <w:top w:val="none" w:sz="0" w:space="0" w:color="auto"/>
                                                <w:left w:val="none" w:sz="0" w:space="0" w:color="auto"/>
                                                <w:bottom w:val="none" w:sz="0" w:space="0" w:color="auto"/>
                                                <w:right w:val="none" w:sz="0" w:space="0" w:color="auto"/>
                                              </w:divBdr>
                                              <w:divsChild>
                                                <w:div w:id="14782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3857664">
      <w:bodyDiv w:val="1"/>
      <w:marLeft w:val="0"/>
      <w:marRight w:val="0"/>
      <w:marTop w:val="0"/>
      <w:marBottom w:val="0"/>
      <w:divBdr>
        <w:top w:val="none" w:sz="0" w:space="0" w:color="auto"/>
        <w:left w:val="none" w:sz="0" w:space="0" w:color="auto"/>
        <w:bottom w:val="none" w:sz="0" w:space="0" w:color="auto"/>
        <w:right w:val="none" w:sz="0" w:space="0" w:color="auto"/>
      </w:divBdr>
      <w:divsChild>
        <w:div w:id="895161731">
          <w:marLeft w:val="2"/>
          <w:marRight w:val="2"/>
          <w:marTop w:val="100"/>
          <w:marBottom w:val="300"/>
          <w:divBdr>
            <w:top w:val="single" w:sz="4" w:space="5" w:color="CDCCD4"/>
            <w:left w:val="single" w:sz="4" w:space="5" w:color="CDCCD4"/>
            <w:bottom w:val="single" w:sz="4" w:space="5" w:color="CDCCD4"/>
            <w:right w:val="single" w:sz="4" w:space="3" w:color="CDCCD4"/>
          </w:divBdr>
          <w:divsChild>
            <w:div w:id="975722900">
              <w:marLeft w:val="0"/>
              <w:marRight w:val="0"/>
              <w:marTop w:val="50"/>
              <w:marBottom w:val="50"/>
              <w:divBdr>
                <w:top w:val="single" w:sz="4" w:space="5" w:color="CCCCD4"/>
                <w:left w:val="single" w:sz="4" w:space="5" w:color="CCCCD4"/>
                <w:bottom w:val="single" w:sz="4" w:space="5" w:color="CCCCD4"/>
                <w:right w:val="single" w:sz="4" w:space="5" w:color="CCCCD4"/>
              </w:divBdr>
              <w:divsChild>
                <w:div w:id="18942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3738">
      <w:bodyDiv w:val="1"/>
      <w:marLeft w:val="0"/>
      <w:marRight w:val="0"/>
      <w:marTop w:val="0"/>
      <w:marBottom w:val="0"/>
      <w:divBdr>
        <w:top w:val="none" w:sz="0" w:space="0" w:color="auto"/>
        <w:left w:val="none" w:sz="0" w:space="0" w:color="auto"/>
        <w:bottom w:val="none" w:sz="0" w:space="0" w:color="auto"/>
        <w:right w:val="none" w:sz="0" w:space="0" w:color="auto"/>
      </w:divBdr>
      <w:divsChild>
        <w:div w:id="496843382">
          <w:marLeft w:val="0"/>
          <w:marRight w:val="0"/>
          <w:marTop w:val="0"/>
          <w:marBottom w:val="0"/>
          <w:divBdr>
            <w:top w:val="none" w:sz="0" w:space="0" w:color="auto"/>
            <w:left w:val="none" w:sz="0" w:space="0" w:color="auto"/>
            <w:bottom w:val="none" w:sz="0" w:space="0" w:color="auto"/>
            <w:right w:val="none" w:sz="0" w:space="0" w:color="auto"/>
          </w:divBdr>
          <w:divsChild>
            <w:div w:id="753087082">
              <w:marLeft w:val="0"/>
              <w:marRight w:val="0"/>
              <w:marTop w:val="0"/>
              <w:marBottom w:val="0"/>
              <w:divBdr>
                <w:top w:val="none" w:sz="0" w:space="0" w:color="auto"/>
                <w:left w:val="none" w:sz="0" w:space="0" w:color="auto"/>
                <w:bottom w:val="none" w:sz="0" w:space="0" w:color="auto"/>
                <w:right w:val="none" w:sz="0" w:space="0" w:color="auto"/>
              </w:divBdr>
              <w:divsChild>
                <w:div w:id="2106609601">
                  <w:marLeft w:val="0"/>
                  <w:marRight w:val="0"/>
                  <w:marTop w:val="0"/>
                  <w:marBottom w:val="0"/>
                  <w:divBdr>
                    <w:top w:val="none" w:sz="0" w:space="0" w:color="auto"/>
                    <w:left w:val="none" w:sz="0" w:space="0" w:color="auto"/>
                    <w:bottom w:val="none" w:sz="0" w:space="0" w:color="auto"/>
                    <w:right w:val="none" w:sz="0" w:space="0" w:color="auto"/>
                  </w:divBdr>
                  <w:divsChild>
                    <w:div w:id="80834424">
                      <w:marLeft w:val="0"/>
                      <w:marRight w:val="0"/>
                      <w:marTop w:val="0"/>
                      <w:marBottom w:val="0"/>
                      <w:divBdr>
                        <w:top w:val="none" w:sz="0" w:space="0" w:color="auto"/>
                        <w:left w:val="none" w:sz="0" w:space="0" w:color="auto"/>
                        <w:bottom w:val="none" w:sz="0" w:space="0" w:color="auto"/>
                        <w:right w:val="none" w:sz="0" w:space="0" w:color="auto"/>
                      </w:divBdr>
                      <w:divsChild>
                        <w:div w:id="84738348">
                          <w:marLeft w:val="0"/>
                          <w:marRight w:val="0"/>
                          <w:marTop w:val="0"/>
                          <w:marBottom w:val="0"/>
                          <w:divBdr>
                            <w:top w:val="single" w:sz="6" w:space="0" w:color="828282"/>
                            <w:left w:val="single" w:sz="6" w:space="0" w:color="828282"/>
                            <w:bottom w:val="single" w:sz="6" w:space="0" w:color="828282"/>
                            <w:right w:val="single" w:sz="6" w:space="0" w:color="828282"/>
                          </w:divBdr>
                          <w:divsChild>
                            <w:div w:id="1066148590">
                              <w:marLeft w:val="0"/>
                              <w:marRight w:val="0"/>
                              <w:marTop w:val="0"/>
                              <w:marBottom w:val="0"/>
                              <w:divBdr>
                                <w:top w:val="none" w:sz="0" w:space="0" w:color="auto"/>
                                <w:left w:val="none" w:sz="0" w:space="0" w:color="auto"/>
                                <w:bottom w:val="none" w:sz="0" w:space="0" w:color="auto"/>
                                <w:right w:val="none" w:sz="0" w:space="0" w:color="auto"/>
                              </w:divBdr>
                              <w:divsChild>
                                <w:div w:id="1728534115">
                                  <w:marLeft w:val="0"/>
                                  <w:marRight w:val="0"/>
                                  <w:marTop w:val="0"/>
                                  <w:marBottom w:val="0"/>
                                  <w:divBdr>
                                    <w:top w:val="none" w:sz="0" w:space="0" w:color="auto"/>
                                    <w:left w:val="none" w:sz="0" w:space="0" w:color="auto"/>
                                    <w:bottom w:val="none" w:sz="0" w:space="0" w:color="auto"/>
                                    <w:right w:val="none" w:sz="0" w:space="0" w:color="auto"/>
                                  </w:divBdr>
                                  <w:divsChild>
                                    <w:div w:id="678964583">
                                      <w:marLeft w:val="0"/>
                                      <w:marRight w:val="0"/>
                                      <w:marTop w:val="0"/>
                                      <w:marBottom w:val="0"/>
                                      <w:divBdr>
                                        <w:top w:val="none" w:sz="0" w:space="0" w:color="auto"/>
                                        <w:left w:val="none" w:sz="0" w:space="0" w:color="auto"/>
                                        <w:bottom w:val="none" w:sz="0" w:space="0" w:color="auto"/>
                                        <w:right w:val="none" w:sz="0" w:space="0" w:color="auto"/>
                                      </w:divBdr>
                                      <w:divsChild>
                                        <w:div w:id="1205605211">
                                          <w:marLeft w:val="0"/>
                                          <w:marRight w:val="0"/>
                                          <w:marTop w:val="0"/>
                                          <w:marBottom w:val="0"/>
                                          <w:divBdr>
                                            <w:top w:val="none" w:sz="0" w:space="0" w:color="auto"/>
                                            <w:left w:val="none" w:sz="0" w:space="0" w:color="auto"/>
                                            <w:bottom w:val="none" w:sz="0" w:space="0" w:color="auto"/>
                                            <w:right w:val="none" w:sz="0" w:space="0" w:color="auto"/>
                                          </w:divBdr>
                                          <w:divsChild>
                                            <w:div w:id="1044866641">
                                              <w:marLeft w:val="0"/>
                                              <w:marRight w:val="0"/>
                                              <w:marTop w:val="0"/>
                                              <w:marBottom w:val="0"/>
                                              <w:divBdr>
                                                <w:top w:val="none" w:sz="0" w:space="0" w:color="auto"/>
                                                <w:left w:val="none" w:sz="0" w:space="0" w:color="auto"/>
                                                <w:bottom w:val="none" w:sz="0" w:space="0" w:color="auto"/>
                                                <w:right w:val="none" w:sz="0" w:space="0" w:color="auto"/>
                                              </w:divBdr>
                                              <w:divsChild>
                                                <w:div w:id="8298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123742">
      <w:bodyDiv w:val="1"/>
      <w:marLeft w:val="0"/>
      <w:marRight w:val="0"/>
      <w:marTop w:val="0"/>
      <w:marBottom w:val="0"/>
      <w:divBdr>
        <w:top w:val="none" w:sz="0" w:space="0" w:color="auto"/>
        <w:left w:val="none" w:sz="0" w:space="0" w:color="auto"/>
        <w:bottom w:val="none" w:sz="0" w:space="0" w:color="auto"/>
        <w:right w:val="none" w:sz="0" w:space="0" w:color="auto"/>
      </w:divBdr>
      <w:divsChild>
        <w:div w:id="2037777634">
          <w:marLeft w:val="0"/>
          <w:marRight w:val="0"/>
          <w:marTop w:val="0"/>
          <w:marBottom w:val="0"/>
          <w:divBdr>
            <w:top w:val="none" w:sz="0" w:space="0" w:color="auto"/>
            <w:left w:val="none" w:sz="0" w:space="0" w:color="auto"/>
            <w:bottom w:val="none" w:sz="0" w:space="0" w:color="auto"/>
            <w:right w:val="none" w:sz="0" w:space="0" w:color="auto"/>
          </w:divBdr>
          <w:divsChild>
            <w:div w:id="835925663">
              <w:marLeft w:val="0"/>
              <w:marRight w:val="0"/>
              <w:marTop w:val="0"/>
              <w:marBottom w:val="0"/>
              <w:divBdr>
                <w:top w:val="none" w:sz="0" w:space="0" w:color="auto"/>
                <w:left w:val="none" w:sz="0" w:space="0" w:color="auto"/>
                <w:bottom w:val="none" w:sz="0" w:space="0" w:color="auto"/>
                <w:right w:val="none" w:sz="0" w:space="0" w:color="auto"/>
              </w:divBdr>
              <w:divsChild>
                <w:div w:id="414861932">
                  <w:marLeft w:val="0"/>
                  <w:marRight w:val="0"/>
                  <w:marTop w:val="0"/>
                  <w:marBottom w:val="0"/>
                  <w:divBdr>
                    <w:top w:val="none" w:sz="0" w:space="0" w:color="auto"/>
                    <w:left w:val="none" w:sz="0" w:space="0" w:color="auto"/>
                    <w:bottom w:val="none" w:sz="0" w:space="0" w:color="auto"/>
                    <w:right w:val="none" w:sz="0" w:space="0" w:color="auto"/>
                  </w:divBdr>
                  <w:divsChild>
                    <w:div w:id="1496144349">
                      <w:marLeft w:val="0"/>
                      <w:marRight w:val="0"/>
                      <w:marTop w:val="0"/>
                      <w:marBottom w:val="0"/>
                      <w:divBdr>
                        <w:top w:val="none" w:sz="0" w:space="0" w:color="auto"/>
                        <w:left w:val="none" w:sz="0" w:space="0" w:color="auto"/>
                        <w:bottom w:val="none" w:sz="0" w:space="0" w:color="auto"/>
                        <w:right w:val="none" w:sz="0" w:space="0" w:color="auto"/>
                      </w:divBdr>
                      <w:divsChild>
                        <w:div w:id="1916016600">
                          <w:marLeft w:val="0"/>
                          <w:marRight w:val="0"/>
                          <w:marTop w:val="0"/>
                          <w:marBottom w:val="0"/>
                          <w:divBdr>
                            <w:top w:val="single" w:sz="4" w:space="0" w:color="828282"/>
                            <w:left w:val="single" w:sz="4" w:space="0" w:color="828282"/>
                            <w:bottom w:val="single" w:sz="4" w:space="0" w:color="828282"/>
                            <w:right w:val="single" w:sz="4" w:space="0" w:color="828282"/>
                          </w:divBdr>
                          <w:divsChild>
                            <w:div w:id="1089496771">
                              <w:marLeft w:val="0"/>
                              <w:marRight w:val="0"/>
                              <w:marTop w:val="0"/>
                              <w:marBottom w:val="0"/>
                              <w:divBdr>
                                <w:top w:val="none" w:sz="0" w:space="0" w:color="auto"/>
                                <w:left w:val="none" w:sz="0" w:space="0" w:color="auto"/>
                                <w:bottom w:val="none" w:sz="0" w:space="0" w:color="auto"/>
                                <w:right w:val="none" w:sz="0" w:space="0" w:color="auto"/>
                              </w:divBdr>
                              <w:divsChild>
                                <w:div w:id="811872788">
                                  <w:marLeft w:val="0"/>
                                  <w:marRight w:val="0"/>
                                  <w:marTop w:val="0"/>
                                  <w:marBottom w:val="0"/>
                                  <w:divBdr>
                                    <w:top w:val="none" w:sz="0" w:space="0" w:color="auto"/>
                                    <w:left w:val="none" w:sz="0" w:space="0" w:color="auto"/>
                                    <w:bottom w:val="none" w:sz="0" w:space="0" w:color="auto"/>
                                    <w:right w:val="none" w:sz="0" w:space="0" w:color="auto"/>
                                  </w:divBdr>
                                  <w:divsChild>
                                    <w:div w:id="193614455">
                                      <w:marLeft w:val="0"/>
                                      <w:marRight w:val="0"/>
                                      <w:marTop w:val="0"/>
                                      <w:marBottom w:val="0"/>
                                      <w:divBdr>
                                        <w:top w:val="none" w:sz="0" w:space="0" w:color="auto"/>
                                        <w:left w:val="none" w:sz="0" w:space="0" w:color="auto"/>
                                        <w:bottom w:val="none" w:sz="0" w:space="0" w:color="auto"/>
                                        <w:right w:val="none" w:sz="0" w:space="0" w:color="auto"/>
                                      </w:divBdr>
                                      <w:divsChild>
                                        <w:div w:id="1443380532">
                                          <w:marLeft w:val="0"/>
                                          <w:marRight w:val="0"/>
                                          <w:marTop w:val="0"/>
                                          <w:marBottom w:val="0"/>
                                          <w:divBdr>
                                            <w:top w:val="none" w:sz="0" w:space="0" w:color="auto"/>
                                            <w:left w:val="none" w:sz="0" w:space="0" w:color="auto"/>
                                            <w:bottom w:val="none" w:sz="0" w:space="0" w:color="auto"/>
                                            <w:right w:val="none" w:sz="0" w:space="0" w:color="auto"/>
                                          </w:divBdr>
                                          <w:divsChild>
                                            <w:div w:id="317926899">
                                              <w:marLeft w:val="0"/>
                                              <w:marRight w:val="0"/>
                                              <w:marTop w:val="0"/>
                                              <w:marBottom w:val="0"/>
                                              <w:divBdr>
                                                <w:top w:val="none" w:sz="0" w:space="0" w:color="auto"/>
                                                <w:left w:val="none" w:sz="0" w:space="0" w:color="auto"/>
                                                <w:bottom w:val="none" w:sz="0" w:space="0" w:color="auto"/>
                                                <w:right w:val="none" w:sz="0" w:space="0" w:color="auto"/>
                                              </w:divBdr>
                                              <w:divsChild>
                                                <w:div w:id="11637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8204894">
      <w:bodyDiv w:val="1"/>
      <w:marLeft w:val="0"/>
      <w:marRight w:val="0"/>
      <w:marTop w:val="0"/>
      <w:marBottom w:val="0"/>
      <w:divBdr>
        <w:top w:val="none" w:sz="0" w:space="0" w:color="auto"/>
        <w:left w:val="none" w:sz="0" w:space="0" w:color="auto"/>
        <w:bottom w:val="none" w:sz="0" w:space="0" w:color="auto"/>
        <w:right w:val="none" w:sz="0" w:space="0" w:color="auto"/>
      </w:divBdr>
      <w:divsChild>
        <w:div w:id="762192397">
          <w:marLeft w:val="0"/>
          <w:marRight w:val="0"/>
          <w:marTop w:val="0"/>
          <w:marBottom w:val="0"/>
          <w:divBdr>
            <w:top w:val="none" w:sz="0" w:space="0" w:color="auto"/>
            <w:left w:val="none" w:sz="0" w:space="0" w:color="auto"/>
            <w:bottom w:val="none" w:sz="0" w:space="0" w:color="auto"/>
            <w:right w:val="none" w:sz="0" w:space="0" w:color="auto"/>
          </w:divBdr>
          <w:divsChild>
            <w:div w:id="800853177">
              <w:marLeft w:val="0"/>
              <w:marRight w:val="0"/>
              <w:marTop w:val="0"/>
              <w:marBottom w:val="0"/>
              <w:divBdr>
                <w:top w:val="none" w:sz="0" w:space="0" w:color="auto"/>
                <w:left w:val="none" w:sz="0" w:space="0" w:color="auto"/>
                <w:bottom w:val="none" w:sz="0" w:space="0" w:color="auto"/>
                <w:right w:val="none" w:sz="0" w:space="0" w:color="auto"/>
              </w:divBdr>
              <w:divsChild>
                <w:div w:id="1032070798">
                  <w:marLeft w:val="0"/>
                  <w:marRight w:val="0"/>
                  <w:marTop w:val="0"/>
                  <w:marBottom w:val="0"/>
                  <w:divBdr>
                    <w:top w:val="none" w:sz="0" w:space="0" w:color="auto"/>
                    <w:left w:val="none" w:sz="0" w:space="0" w:color="auto"/>
                    <w:bottom w:val="none" w:sz="0" w:space="0" w:color="auto"/>
                    <w:right w:val="none" w:sz="0" w:space="0" w:color="auto"/>
                  </w:divBdr>
                  <w:divsChild>
                    <w:div w:id="787234452">
                      <w:marLeft w:val="0"/>
                      <w:marRight w:val="0"/>
                      <w:marTop w:val="0"/>
                      <w:marBottom w:val="0"/>
                      <w:divBdr>
                        <w:top w:val="none" w:sz="0" w:space="0" w:color="auto"/>
                        <w:left w:val="none" w:sz="0" w:space="0" w:color="auto"/>
                        <w:bottom w:val="none" w:sz="0" w:space="0" w:color="auto"/>
                        <w:right w:val="none" w:sz="0" w:space="0" w:color="auto"/>
                      </w:divBdr>
                      <w:divsChild>
                        <w:div w:id="719355310">
                          <w:marLeft w:val="0"/>
                          <w:marRight w:val="0"/>
                          <w:marTop w:val="0"/>
                          <w:marBottom w:val="0"/>
                          <w:divBdr>
                            <w:top w:val="single" w:sz="6" w:space="0" w:color="828282"/>
                            <w:left w:val="single" w:sz="6" w:space="0" w:color="828282"/>
                            <w:bottom w:val="single" w:sz="6" w:space="0" w:color="828282"/>
                            <w:right w:val="single" w:sz="6" w:space="0" w:color="828282"/>
                          </w:divBdr>
                          <w:divsChild>
                            <w:div w:id="1410536557">
                              <w:marLeft w:val="0"/>
                              <w:marRight w:val="0"/>
                              <w:marTop w:val="0"/>
                              <w:marBottom w:val="0"/>
                              <w:divBdr>
                                <w:top w:val="none" w:sz="0" w:space="0" w:color="auto"/>
                                <w:left w:val="none" w:sz="0" w:space="0" w:color="auto"/>
                                <w:bottom w:val="none" w:sz="0" w:space="0" w:color="auto"/>
                                <w:right w:val="none" w:sz="0" w:space="0" w:color="auto"/>
                              </w:divBdr>
                              <w:divsChild>
                                <w:div w:id="187645748">
                                  <w:marLeft w:val="0"/>
                                  <w:marRight w:val="0"/>
                                  <w:marTop w:val="0"/>
                                  <w:marBottom w:val="0"/>
                                  <w:divBdr>
                                    <w:top w:val="none" w:sz="0" w:space="0" w:color="auto"/>
                                    <w:left w:val="none" w:sz="0" w:space="0" w:color="auto"/>
                                    <w:bottom w:val="none" w:sz="0" w:space="0" w:color="auto"/>
                                    <w:right w:val="none" w:sz="0" w:space="0" w:color="auto"/>
                                  </w:divBdr>
                                  <w:divsChild>
                                    <w:div w:id="339746044">
                                      <w:marLeft w:val="0"/>
                                      <w:marRight w:val="0"/>
                                      <w:marTop w:val="0"/>
                                      <w:marBottom w:val="0"/>
                                      <w:divBdr>
                                        <w:top w:val="none" w:sz="0" w:space="0" w:color="auto"/>
                                        <w:left w:val="none" w:sz="0" w:space="0" w:color="auto"/>
                                        <w:bottom w:val="none" w:sz="0" w:space="0" w:color="auto"/>
                                        <w:right w:val="none" w:sz="0" w:space="0" w:color="auto"/>
                                      </w:divBdr>
                                      <w:divsChild>
                                        <w:div w:id="129372755">
                                          <w:marLeft w:val="0"/>
                                          <w:marRight w:val="0"/>
                                          <w:marTop w:val="0"/>
                                          <w:marBottom w:val="0"/>
                                          <w:divBdr>
                                            <w:top w:val="none" w:sz="0" w:space="0" w:color="auto"/>
                                            <w:left w:val="none" w:sz="0" w:space="0" w:color="auto"/>
                                            <w:bottom w:val="none" w:sz="0" w:space="0" w:color="auto"/>
                                            <w:right w:val="none" w:sz="0" w:space="0" w:color="auto"/>
                                          </w:divBdr>
                                          <w:divsChild>
                                            <w:div w:id="1460610431">
                                              <w:marLeft w:val="0"/>
                                              <w:marRight w:val="0"/>
                                              <w:marTop w:val="0"/>
                                              <w:marBottom w:val="0"/>
                                              <w:divBdr>
                                                <w:top w:val="none" w:sz="0" w:space="0" w:color="auto"/>
                                                <w:left w:val="none" w:sz="0" w:space="0" w:color="auto"/>
                                                <w:bottom w:val="none" w:sz="0" w:space="0" w:color="auto"/>
                                                <w:right w:val="none" w:sz="0" w:space="0" w:color="auto"/>
                                              </w:divBdr>
                                              <w:divsChild>
                                                <w:div w:id="10207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102524">
      <w:bodyDiv w:val="1"/>
      <w:marLeft w:val="0"/>
      <w:marRight w:val="0"/>
      <w:marTop w:val="0"/>
      <w:marBottom w:val="0"/>
      <w:divBdr>
        <w:top w:val="none" w:sz="0" w:space="0" w:color="auto"/>
        <w:left w:val="none" w:sz="0" w:space="0" w:color="auto"/>
        <w:bottom w:val="none" w:sz="0" w:space="0" w:color="auto"/>
        <w:right w:val="none" w:sz="0" w:space="0" w:color="auto"/>
      </w:divBdr>
    </w:div>
    <w:div w:id="155681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imRootDocACLCanViewDocument xmlns="4597da67-68a3-4e9d-8803-ba3e1787ab6c">Inherit</trimRootDocACLCanViewDocument>
    <trimRootDocNotes xmlns="4597da67-68a3-4e9d-8803-ba3e1787ab6c" xsi:nil="true"/>
    <TrimUDF_Text_698 xmlns="4597da67-68a3-4e9d-8803-ba3e1787ab6c" xsi:nil="true"/>
    <TrimUDF_String_40 xmlns="4597da67-68a3-4e9d-8803-ba3e1787ab6c" xsi:nil="true"/>
    <trimRootDocACLCanUpdateMetadata xmlns="4597da67-68a3-4e9d-8803-ba3e1787ab6c">Inherit</trimRootDocACLCanUpdateMetadata>
    <trimRootDocParentURI xmlns="4597da67-68a3-4e9d-8803-ba3e1787ab6c" xsi:nil="true"/>
    <trimRootDocACLCanModifyAccess xmlns="4597da67-68a3-4e9d-8803-ba3e1787ab6c">Inherit</trimRootDocACLCanModifyAccess>
    <trimRootDocSecurityLevel xmlns="4597da67-68a3-4e9d-8803-ba3e1787ab6c">For Official Use Only</trimRootDocSecurityLevel>
    <TaxCatchAll xmlns="4597da67-68a3-4e9d-8803-ba3e1787ab6c">
      <Value>150</Value>
    </TaxCatchAll>
    <dd9c7627a75f4720a6ccce58a35e4d75 xmlns="4597da67-68a3-4e9d-8803-ba3e1787ab6c">
      <Terms xmlns="http://schemas.microsoft.com/office/infopath/2007/PartnerControls"/>
    </dd9c7627a75f4720a6ccce58a35e4d75>
    <trimRootDocURI xmlns="4597da67-68a3-4e9d-8803-ba3e1787ab6c">4021319</trimRootDocURI>
    <trimRootDocACLCanContributeDocuments xmlns="4597da67-68a3-4e9d-8803-ba3e1787ab6c">Inherit</trimRootDocACLCanContributeDocuments>
    <ie56bdfdc4a44ef997c05b4ed8c67594 xmlns="4597da67-68a3-4e9d-8803-ba3e1787ab6c">
      <Terms xmlns="http://schemas.microsoft.com/office/infopath/2007/PartnerControls"/>
    </ie56bdfdc4a44ef997c05b4ed8c67594>
    <trimRootDocACLCanUpdateDocument xmlns="4597da67-68a3-4e9d-8803-ba3e1787ab6c">Inherit</trimRootDocACLCanUpdateDocument>
    <me786d0e3c9949dc83d6a9826d3f7afb xmlns="4597da67-68a3-4e9d-8803-ba3e1787ab6c">
      <Terms xmlns="http://schemas.microsoft.com/office/infopath/2007/PartnerControls">
        <TermInfo xmlns="http://schemas.microsoft.com/office/infopath/2007/PartnerControls">
          <TermName xmlns="http://schemas.microsoft.com/office/infopath/2007/PartnerControls">Universal Access Policy [Organization] [internal] [29919]</TermName>
          <TermId xmlns="http://schemas.microsoft.com/office/infopath/2007/PartnerControls">67aae3f1-ebff-4ddc-908b-fe10fb7ccff5</TermId>
        </TermInfo>
      </Terms>
    </me786d0e3c9949dc83d6a9826d3f7afb>
    <TrimUDF_String_696 xmlns="4597da67-68a3-4e9d-8803-ba3e1787ab6c" xsi:nil="true"/>
    <l30152c64bc5409cb0d6af5fc7998329 xmlns="4597da67-68a3-4e9d-8803-ba3e1787ab6c">
      <Terms xmlns="http://schemas.microsoft.com/office/infopath/2007/PartnerControls"/>
    </l30152c64bc5409cb0d6af5fc7998329>
    <e74c999a0f514bafbaad1ae53c56eac2 xmlns="4597da67-68a3-4e9d-8803-ba3e1787ab6c">
      <Terms xmlns="http://schemas.microsoft.com/office/infopath/2007/PartnerControls"/>
    </e74c999a0f514bafbaad1ae53c56eac2>
    <a26f7cb41fae41ebb6c8e377b7c30d71 xmlns="4597da67-68a3-4e9d-8803-ba3e1787ab6c">
      <Terms xmlns="http://schemas.microsoft.com/office/infopath/2007/PartnerControls"/>
    </a26f7cb41fae41ebb6c8e377b7c30d71>
    <trimRootDocACLCanViewMetadata xmlns="4597da67-68a3-4e9d-8803-ba3e1787ab6c">Inherit</trimRootDocACLCanViewMetadata>
    <hab31d4ae2264d5c8e77fd86c07e7635 xmlns="4597da67-68a3-4e9d-8803-ba3e1787ab6c">
      <Terms xmlns="http://schemas.microsoft.com/office/infopath/2007/PartnerControls"/>
    </hab31d4ae2264d5c8e77fd86c07e7635>
    <TrimUDF_Text_706 xmlns="4597da67-68a3-4e9d-8803-ba3e1787ab6c" xsi:nil="true"/>
    <e65fcc6ef396426b9c231bd6b3bc54de xmlns="4597da67-68a3-4e9d-8803-ba3e1787ab6c">
      <Terms xmlns="http://schemas.microsoft.com/office/infopath/2007/PartnerControls"/>
    </e65fcc6ef396426b9c231bd6b3bc54de>
    <l7f7762656034748af4098221ba10b64 xmlns="4597da67-68a3-4e9d-8803-ba3e1787ab6c">
      <Terms xmlns="http://schemas.microsoft.com/office/infopath/2007/PartnerControls"/>
    </l7f7762656034748af4098221ba10b64>
    <TrimUDF_String_39 xmlns="4597da67-68a3-4e9d-8803-ba3e1787ab6c" xsi:nil="true"/>
    <c1aa94c1bcce43cc9138ccb9c7bf6e69 xmlns="4597da67-68a3-4e9d-8803-ba3e1787ab6c">
      <Terms xmlns="http://schemas.microsoft.com/office/infopath/2007/PartnerControls"/>
    </c1aa94c1bcce43cc9138ccb9c7bf6e69>
    <trimRootDocSecurityCaveats xmlns="4597da67-68a3-4e9d-8803-ba3e1787ab6c">
      <Value>Departmental Staff</Value>
    </trimRootDocSecurityCavea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PT DOCUMENT" ma:contentTypeID="0x010100407620DDFF47524F86BCF55EDD39464301005B5E199673AE33488C867BD7793AACB9" ma:contentTypeVersion="18" ma:contentTypeDescription="106" ma:contentTypeScope="" ma:versionID="95f2cc16ef18471caf6d91d67fabe605">
  <xsd:schema xmlns:xsd="http://www.w3.org/2001/XMLSchema" xmlns:xs="http://www.w3.org/2001/XMLSchema" xmlns:p="http://schemas.microsoft.com/office/2006/metadata/properties" xmlns:ns2="4597da67-68a3-4e9d-8803-ba3e1787ab6c" targetNamespace="http://schemas.microsoft.com/office/2006/metadata/properties" ma:root="true" ma:fieldsID="7565b05217e68dd819d60f5503df44cc"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trimRootDocACLCanViewMetadata" minOccurs="0"/>
                <xsd:element ref="ns2:trimRootDocACLCanUpdateDocument" minOccurs="0"/>
                <xsd:element ref="ns2:trimRootDocACLCanUpdateMetadata" minOccurs="0"/>
                <xsd:element ref="ns2:trimRootDocACLCanModifyAccess" minOccurs="0"/>
                <xsd:element ref="ns2:trimRootDocNotes" minOccurs="0"/>
                <xsd:element ref="ns2:hab31d4ae2264d5c8e77fd86c07e7635" minOccurs="0"/>
                <xsd:element ref="ns2:c1aa94c1bcce43cc9138ccb9c7bf6e69" minOccurs="0"/>
                <xsd:element ref="ns2:e65fcc6ef396426b9c231bd6b3bc54de" minOccurs="0"/>
                <xsd:element ref="ns2:dd9c7627a75f4720a6ccce58a35e4d75" minOccurs="0"/>
                <xsd:element ref="ns2:trimRootDocACLCanContributeDocuments" minOccurs="0"/>
                <xsd:element ref="ns2:l30152c64bc5409cb0d6af5fc7998329" minOccurs="0"/>
                <xsd:element ref="ns2:TaxCatchAll" minOccurs="0"/>
                <xsd:element ref="ns2:ie56bdfdc4a44ef997c05b4ed8c67594" minOccurs="0"/>
                <xsd:element ref="ns2:TaxCatchAllLabel"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39" minOccurs="0"/>
                <xsd:element ref="ns2:TrimUDF_String_40" minOccurs="0"/>
                <xsd:element ref="ns2:TrimUDF_String_696" minOccurs="0"/>
                <xsd:element ref="ns2:TrimUDF_Text_698" minOccurs="0"/>
                <xsd:element ref="ns2:TrimUDF_Text_7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2" nillable="true" ma:displayName="URI" ma:hidden="true" ma:internalName="trimRootDocURI" ma:readOnly="false">
      <xsd:simpleType>
        <xsd:restriction base="dms:Text">
          <xsd:maxLength value="255"/>
        </xsd:restriction>
      </xsd:simpleType>
    </xsd:element>
    <xsd:element name="trimRootDocParentURI" ma:index="3" nillable="true" ma:displayName="Parent URI" ma:internalName="trimRootDocParentURI" ma:readOnly="false">
      <xsd:simpleType>
        <xsd:restriction base="dms:Number"/>
      </xsd:simpleType>
    </xsd:element>
    <xsd:element name="trimRootDocSecurityLevel" ma:index="4" nillable="true" ma:displayName="Security Level" ma:default="For Official Use Only" ma:format="Dropdown" ma:internalName="trimRootDocSecurityLevel" ma:readOnly="false">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5" nillable="true" ma:displayName="Security Caveats" ma:default="Departmental Staff" ma:internalName="trimRootDocSecurityCaveats" ma:readOnly="false">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6" nillable="true" ma:displayName="Can View Document" ma:format="RadioButtons" ma:internalName="trimRootDocACLCanViewDocument" ma:readOnly="false">
      <xsd:simpleType>
        <xsd:restriction base="dms:Choice">
          <xsd:enumeration value="Inherit"/>
          <xsd:enumeration value="Everyone"/>
          <xsd:enumeration value="Custom"/>
        </xsd:restriction>
      </xsd:simpleType>
    </xsd:element>
    <xsd:element name="trimRootDocACLCanViewMetadata" ma:index="8" nillable="true" ma:displayName="Can View Metadata" ma:format="RadioButtons" ma:internalName="trimRootDocACLCanViewMetadata" ma:readOnly="false">
      <xsd:simpleType>
        <xsd:restriction base="dms:Choice">
          <xsd:enumeration value="Inherit"/>
          <xsd:enumeration value="Everyone"/>
          <xsd:enumeration value="Custom"/>
        </xsd:restriction>
      </xsd:simpleType>
    </xsd:element>
    <xsd:element name="trimRootDocACLCanUpdateDocument" ma:index="10" nillable="true" ma:displayName="Can Update Document" ma:format="RadioButtons" ma:internalName="trimRootDocACLCanUpdateDocument" ma:readOnly="false">
      <xsd:simpleType>
        <xsd:restriction base="dms:Choice">
          <xsd:enumeration value="Inherit"/>
          <xsd:enumeration value="Everyone"/>
          <xsd:enumeration value="Custom"/>
        </xsd:restriction>
      </xsd:simpleType>
    </xsd:element>
    <xsd:element name="trimRootDocACLCanUpdateMetadata" ma:index="12" nillable="true" ma:displayName="Can Update Metadata" ma:format="RadioButtons" ma:internalName="trimRootDocACLCanUpdateMetadata" ma:readOnly="false">
      <xsd:simpleType>
        <xsd:restriction base="dms:Choice">
          <xsd:enumeration value="Inherit"/>
          <xsd:enumeration value="Everyone"/>
          <xsd:enumeration value="Custom"/>
        </xsd:restriction>
      </xsd:simpleType>
    </xsd:element>
    <xsd:element name="trimRootDocACLCanModifyAccess" ma:index="14" nillable="true" ma:displayName="Can Modify Access" ma:format="RadioButtons" ma:internalName="trimRootDocACLCanModifyAccess" ma:readOnly="false">
      <xsd:simpleType>
        <xsd:restriction base="dms:Choice">
          <xsd:enumeration value="Inherit"/>
          <xsd:enumeration value="Everyone"/>
          <xsd:enumeration value="Custom"/>
        </xsd:restriction>
      </xsd:simpleType>
    </xsd:element>
    <xsd:element name="trimRootDocNotes" ma:index="16" nillable="true" ma:displayName="Notes" ma:internalName="trimRootDocNotes" ma:readOnly="false">
      <xsd:simpleType>
        <xsd:restriction base="dms:Note"/>
      </xsd:simpleType>
    </xsd:element>
    <xsd:element name="hab31d4ae2264d5c8e77fd86c07e7635" ma:index="18" nillable="true" ma:taxonomy="true" ma:internalName="hab31d4ae2264d5c8e77fd86c07e7635" ma:taxonomyFieldName="trimRootDocACLCanViewMetadata_List" ma:displayName="Can View Metadata List" ma:readOnly="false"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c1aa94c1bcce43cc9138ccb9c7bf6e69" ma:index="21" nillable="true" ma:taxonomy="true" ma:internalName="c1aa94c1bcce43cc9138ccb9c7bf6e69" ma:taxonomyFieldName="trimRootDocACLCanUpdateDocument_List" ma:displayName="Can Update Document List" ma:readOnly="false"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65fcc6ef396426b9c231bd6b3bc54de" ma:index="24" nillable="true" ma:taxonomy="true" ma:internalName="e65fcc6ef396426b9c231bd6b3bc54de" ma:taxonomyFieldName="trimRootDocACLCanUpdateMetadata_List" ma:displayName="Can Update Metadata List" ma:readOnly="false"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dd9c7627a75f4720a6ccce58a35e4d75" ma:index="25" nillable="true" ma:taxonomy="true" ma:internalName="dd9c7627a75f4720a6ccce58a35e4d75" ma:taxonomyFieldName="trimRootDocACLCanViewDocument_List" ma:displayName="Can View Document List" ma:readOnly="false"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ie56bdfdc4a44ef997c05b4ed8c67594" ma:index="30" nillable="true" ma:taxonomy="true" ma:internalName="ie56bdfdc4a44ef997c05b4ed8c67594" ma:taxonomyFieldName="trimRootDocACLCanModifyAccess_List" ma:displayName="Can Modify Access List" ma:readOnly="false"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readOnly="false"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39" ma:index="41" nillable="true" ma:displayName="Document Type" ma:format="Dropdown" ma:hidden="true" ma:internalName="TrimUDF_String_39" ma:readOnly="false">
      <xsd:simpleType>
        <xsd:restriction base="dms:Choice">
          <xsd:enumeration value="COMMUNITY RELATIONS"/>
          <xsd:enumeration value="EQUIPMENT, STORES AND VECHICLES"/>
          <xsd:enumeration value="FINANCIAL MANAGEMENT"/>
          <xsd:enumeration value="GOVERNMENT AND IT &amp; T"/>
          <xsd:enumeration value="GOVERNMENT RELATIONS"/>
          <xsd:enumeration value="INDUSTRY DEVELOPMENT"/>
          <xsd:enumeration value="INFORMATION MANAGEMENT"/>
          <xsd:enumeration value="INFORMATION SYSTEMS"/>
          <xsd:enumeration value="LEGAL SERVICES"/>
          <xsd:enumeration value="PROPERTY MANAGEMENT"/>
          <xsd:enumeration value="RESEARCH AND STATISTICS"/>
          <xsd:enumeration value="STRATEGIC MANAGEMENT"/>
        </xsd:restriction>
      </xsd:simpleType>
    </xsd:element>
    <xsd:element name="TrimUDF_String_40" ma:index="42" nillable="true" ma:displayName="Classification 2" ma:format="Dropdown" ma:hidden="true" ma:internalName="TrimUDF_String_40" ma:readOnly="false">
      <xsd:simpleType>
        <xsd:restriction base="dms:Choice">
          <xsd:enumeration value="ACCESS AND EQUITY"/>
          <xsd:enumeration value="ACQUISITION AND DISPOSAL"/>
          <xsd:enumeration value="ASSET MANAGEMENT"/>
          <xsd:enumeration value="AUDITS"/>
          <xsd:enumeration value="BUDGETING"/>
          <xsd:enumeration value="BUSINESS IMPROVEMENT"/>
          <xsd:enumeration value="INTERGOVERNMENT LIAISON"/>
          <xsd:enumeration value="LEASING"/>
          <xsd:enumeration value="LEGAL ADVICE"/>
          <xsd:enumeration value="MAINTENANCE"/>
          <xsd:enumeration value="MEDIA RELATIONS"/>
          <xsd:enumeration value="PRIVACY"/>
          <xsd:enumeration value="PROJECTS"/>
          <xsd:enumeration value="PUBLIC REACTION"/>
          <xsd:enumeration value="REVIEWS"/>
          <xsd:enumeration value="RISK MANAGEMENT"/>
          <xsd:enumeration value="SECURITY"/>
          <xsd:enumeration value="STATISTICS"/>
        </xsd:restriction>
      </xsd:simpleType>
    </xsd:element>
    <xsd:element name="TrimUDF_String_696" ma:index="43" nillable="true" ma:displayName="Delete" ma:format="Dropdown" ma:hidden="true" ma:internalName="TrimUDF_String_696" ma:readOnly="false">
      <xsd:simpleType>
        <xsd:restriction base="dms:Choice">
          <xsd:enumeration value="Copy"/>
          <xsd:enumeration value="Draft"/>
          <xsd:enumeration value="Personal"/>
          <xsd:enumeration value="Published"/>
          <xsd:enumeration value="Transitory"/>
          <xsd:enumeration value="Working Paper"/>
        </xsd:restriction>
      </xsd:simpleType>
    </xsd:element>
    <xsd:element name="TrimUDF_Text_698" ma:index="44" nillable="true" ma:displayName="IMS Display" ma:hidden="true" ma:internalName="TrimUDF_Text_698" ma:readOnly="false">
      <xsd:simpleType>
        <xsd:restriction base="dms:Note"/>
      </xsd:simpleType>
    </xsd:element>
    <xsd:element name="TrimUDF_Text_706" ma:index="45" nillable="true" ma:displayName="Published" ma:hidden="true" ma:internalName="TrimUDF_Text_706"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E36AD-59CF-4F1F-979E-6099064F608E}">
  <ds:schemaRefs>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4597da67-68a3-4e9d-8803-ba3e1787ab6c"/>
  </ds:schemaRefs>
</ds:datastoreItem>
</file>

<file path=customXml/itemProps2.xml><?xml version="1.0" encoding="utf-8"?>
<ds:datastoreItem xmlns:ds="http://schemas.openxmlformats.org/officeDocument/2006/customXml" ds:itemID="{92BC8541-BBEE-4EFA-A650-EEDDD34BF853}">
  <ds:schemaRefs>
    <ds:schemaRef ds:uri="http://schemas.microsoft.com/sharepoint/v3/contenttype/forms"/>
  </ds:schemaRefs>
</ds:datastoreItem>
</file>

<file path=customXml/itemProps3.xml><?xml version="1.0" encoding="utf-8"?>
<ds:datastoreItem xmlns:ds="http://schemas.openxmlformats.org/officeDocument/2006/customXml" ds:itemID="{64B5D5C8-C4C7-4356-B073-78BB7866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D2ED52-2A3D-4171-BBED-7503D67A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4BA312B3</Template>
  <TotalTime>0</TotalTime>
  <Pages>6</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MT2014-0213 Attachment B - Explanatory Statement (FINAL).docx</vt:lpstr>
    </vt:vector>
  </TitlesOfParts>
  <Company>DBCDE</Company>
  <LinksUpToDate>false</LinksUpToDate>
  <CharactersWithSpaces>12886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MT2014-0213 Attachment B - Explanatory Statement (FINAL).docx</dc:title>
  <dc:creator>bmetschke</dc:creator>
  <cp:lastModifiedBy>Duncan, Angus</cp:lastModifiedBy>
  <cp:revision>2</cp:revision>
  <cp:lastPrinted>2014-05-08T00:48:00Z</cp:lastPrinted>
  <dcterms:created xsi:type="dcterms:W3CDTF">2014-06-23T01:15:00Z</dcterms:created>
  <dcterms:modified xsi:type="dcterms:W3CDTF">2014-06-23T01:15:00Z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DEPT DOCUMENT</vt:lpwstr>
  </property>
  <property fmtid="{D5CDD505-2E9C-101B-9397-08002B2CF9AE}" pid="3" name="ContentTypeId">
    <vt:lpwstr>0x010100407620DDFF47524F86BCF55EDD39464301005B5E199673AE33488C867BD7793AACB9</vt:lpwstr>
  </property>
  <property fmtid="{D5CDD505-2E9C-101B-9397-08002B2CF9AE}" pid="4" name="trimRootDocClassification">
    <vt:lpwstr/>
  </property>
  <property fmtid="{D5CDD505-2E9C-101B-9397-08002B2CF9AE}" pid="5" name="trimRootDocAssigneeLocation">
    <vt:lpwstr/>
  </property>
  <property fmtid="{D5CDD505-2E9C-101B-9397-08002B2CF9AE}" pid="6" name="trimRootDocACLCanUpdateMetadata_List">
    <vt:lpwstr/>
  </property>
  <property fmtid="{D5CDD505-2E9C-101B-9397-08002B2CF9AE}" pid="7" name="trimRootDocOtherContactLocation">
    <vt:lpwstr/>
  </property>
  <property fmtid="{D5CDD505-2E9C-101B-9397-08002B2CF9AE}" pid="8" name="trimRootDocACLCanModifyAccess_List">
    <vt:lpwstr/>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trimRootDocACLCanViewDocument_List">
    <vt:lpwstr/>
  </property>
  <property fmtid="{D5CDD505-2E9C-101B-9397-08002B2CF9AE}" pid="12" name="trimRootDocOwnerLocation">
    <vt:lpwstr>150;#Universal Access Policy [Organization] [internal] [29919]|67aae3f1-ebff-4ddc-908b-fe10fb7ccff5</vt:lpwstr>
  </property>
  <property fmtid="{D5CDD505-2E9C-101B-9397-08002B2CF9AE}" pid="13" name="trimRootDocACLCanContributeDocuments_List">
    <vt:lpwstr/>
  </property>
  <property fmtid="{D5CDD505-2E9C-101B-9397-08002B2CF9AE}" pid="14" name="TrimRevisionNumber">
    <vt:i4>3</vt:i4>
  </property>
</Properties>
</file>