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04" w:rsidRDefault="00914D70" w:rsidP="00F24504">
      <w:pPr>
        <w:pStyle w:val="Default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 xml:space="preserve">ASIC CLASS ORDER </w:t>
      </w:r>
      <w:r w:rsidR="009951D3">
        <w:rPr>
          <w:b/>
          <w:bCs/>
          <w:sz w:val="30"/>
          <w:szCs w:val="30"/>
        </w:rPr>
        <w:t>[</w:t>
      </w:r>
      <w:r w:rsidR="00DF3A1D">
        <w:rPr>
          <w:b/>
          <w:bCs/>
          <w:sz w:val="30"/>
          <w:szCs w:val="30"/>
        </w:rPr>
        <w:t>CO 14</w:t>
      </w:r>
      <w:r w:rsidR="009951D3">
        <w:rPr>
          <w:b/>
          <w:bCs/>
          <w:sz w:val="30"/>
          <w:szCs w:val="30"/>
        </w:rPr>
        <w:t>/</w:t>
      </w:r>
      <w:r w:rsidR="00DF3A1D">
        <w:rPr>
          <w:b/>
          <w:bCs/>
          <w:sz w:val="30"/>
          <w:szCs w:val="30"/>
        </w:rPr>
        <w:t>509</w:t>
      </w:r>
      <w:r w:rsidR="009951D3">
        <w:rPr>
          <w:b/>
          <w:bCs/>
          <w:sz w:val="30"/>
          <w:szCs w:val="30"/>
        </w:rPr>
        <w:t>]</w:t>
      </w:r>
    </w:p>
    <w:p w:rsidR="00F24504" w:rsidRPr="00A1445D" w:rsidRDefault="00F24504" w:rsidP="00F24504">
      <w:pPr>
        <w:pStyle w:val="Default"/>
        <w:rPr>
          <w:sz w:val="30"/>
          <w:szCs w:val="30"/>
        </w:rPr>
      </w:pPr>
    </w:p>
    <w:p w:rsidR="00F24504" w:rsidRDefault="00F24504" w:rsidP="00F24504">
      <w:pPr>
        <w:pStyle w:val="Default"/>
        <w:jc w:val="center"/>
        <w:rPr>
          <w:b/>
          <w:bCs/>
          <w:sz w:val="30"/>
          <w:szCs w:val="30"/>
        </w:rPr>
      </w:pPr>
      <w:r w:rsidRPr="00A1445D">
        <w:rPr>
          <w:b/>
          <w:bCs/>
          <w:sz w:val="30"/>
          <w:szCs w:val="30"/>
        </w:rPr>
        <w:t>EXPLANATORY STATEMENT</w:t>
      </w:r>
    </w:p>
    <w:p w:rsidR="00A1445D" w:rsidRPr="00A1445D" w:rsidRDefault="00A1445D" w:rsidP="00F24504">
      <w:pPr>
        <w:pStyle w:val="Default"/>
        <w:jc w:val="center"/>
        <w:rPr>
          <w:b/>
          <w:bCs/>
          <w:sz w:val="30"/>
          <w:szCs w:val="30"/>
        </w:rPr>
      </w:pPr>
    </w:p>
    <w:p w:rsidR="00F24504" w:rsidRPr="00F24504" w:rsidRDefault="00F24504" w:rsidP="00EB450A">
      <w:pPr>
        <w:pStyle w:val="Default"/>
        <w:jc w:val="center"/>
        <w:rPr>
          <w:sz w:val="23"/>
          <w:szCs w:val="23"/>
        </w:rPr>
      </w:pPr>
    </w:p>
    <w:p w:rsidR="00F24504" w:rsidRPr="00A1445D" w:rsidRDefault="00F24504" w:rsidP="00EB450A">
      <w:pPr>
        <w:pStyle w:val="Default"/>
        <w:jc w:val="center"/>
      </w:pPr>
      <w:r w:rsidRPr="00A1445D">
        <w:t>Prepared by the Australian Securities and Investments Commission</w:t>
      </w:r>
    </w:p>
    <w:p w:rsidR="00F24504" w:rsidRPr="00A1445D" w:rsidRDefault="00F24504" w:rsidP="00EB450A">
      <w:pPr>
        <w:pStyle w:val="Default"/>
        <w:jc w:val="center"/>
      </w:pPr>
    </w:p>
    <w:p w:rsidR="00F24504" w:rsidRPr="00A1445D" w:rsidRDefault="00F24504" w:rsidP="00EB450A">
      <w:pPr>
        <w:pStyle w:val="Default"/>
        <w:jc w:val="center"/>
        <w:rPr>
          <w:i/>
        </w:rPr>
      </w:pPr>
      <w:r w:rsidRPr="00A1445D">
        <w:rPr>
          <w:i/>
        </w:rPr>
        <w:t>Superannuation Industry (Supervision) Act 1993</w:t>
      </w:r>
    </w:p>
    <w:p w:rsidR="00F24504" w:rsidRPr="00A1445D" w:rsidRDefault="00F24504" w:rsidP="00F24504">
      <w:pPr>
        <w:pStyle w:val="Default"/>
        <w:rPr>
          <w:iCs/>
        </w:rPr>
      </w:pPr>
    </w:p>
    <w:p w:rsidR="00F24504" w:rsidRPr="00A1445D" w:rsidRDefault="00F24504" w:rsidP="00F24504">
      <w:pPr>
        <w:pStyle w:val="Default"/>
      </w:pPr>
      <w:r w:rsidRPr="00A1445D">
        <w:t>The Australian Securities and Investments Commission (</w:t>
      </w:r>
      <w:r w:rsidRPr="00A1445D">
        <w:rPr>
          <w:b/>
          <w:bCs/>
          <w:i/>
          <w:iCs/>
        </w:rPr>
        <w:t>ASIC</w:t>
      </w:r>
      <w:r w:rsidR="00914D70">
        <w:t xml:space="preserve">) makes </w:t>
      </w:r>
      <w:r w:rsidR="00126C13">
        <w:t xml:space="preserve">ASIC </w:t>
      </w:r>
      <w:r w:rsidR="00914D70">
        <w:t xml:space="preserve">Class Order </w:t>
      </w:r>
      <w:r w:rsidR="00126C13">
        <w:t>[</w:t>
      </w:r>
      <w:r w:rsidR="00914D70">
        <w:t>CO</w:t>
      </w:r>
      <w:r w:rsidR="00126C13">
        <w:t xml:space="preserve"> </w:t>
      </w:r>
      <w:r w:rsidR="00914D70">
        <w:t>14</w:t>
      </w:r>
      <w:r w:rsidR="00126C13">
        <w:t>/</w:t>
      </w:r>
      <w:r w:rsidR="002802B0">
        <w:t>509</w:t>
      </w:r>
      <w:r w:rsidR="00126C13">
        <w:t>]</w:t>
      </w:r>
      <w:r w:rsidRPr="00A1445D">
        <w:t xml:space="preserve"> under </w:t>
      </w:r>
      <w:r w:rsidR="00126C13">
        <w:rPr>
          <w:bCs/>
        </w:rPr>
        <w:t xml:space="preserve">subsection </w:t>
      </w:r>
      <w:r w:rsidR="002802B0">
        <w:rPr>
          <w:bCs/>
        </w:rPr>
        <w:t>332</w:t>
      </w:r>
      <w:r w:rsidRPr="00A1445D">
        <w:rPr>
          <w:bCs/>
        </w:rPr>
        <w:t>(1)</w:t>
      </w:r>
      <w:r w:rsidRPr="00A1445D">
        <w:rPr>
          <w:b/>
          <w:bCs/>
        </w:rPr>
        <w:t xml:space="preserve"> </w:t>
      </w:r>
      <w:r w:rsidRPr="00A1445D">
        <w:t xml:space="preserve">of the </w:t>
      </w:r>
      <w:r w:rsidRPr="00A1445D">
        <w:rPr>
          <w:bCs/>
          <w:i/>
          <w:iCs/>
        </w:rPr>
        <w:t xml:space="preserve">Superannuation Industry (Supervision) Act 1993 </w:t>
      </w:r>
      <w:r w:rsidRPr="00A1445D">
        <w:t xml:space="preserve">(the </w:t>
      </w:r>
      <w:r w:rsidRPr="00A1445D">
        <w:rPr>
          <w:b/>
          <w:bCs/>
          <w:i/>
          <w:iCs/>
        </w:rPr>
        <w:t>Act</w:t>
      </w:r>
      <w:r w:rsidRPr="00A1445D">
        <w:t xml:space="preserve">). </w:t>
      </w:r>
    </w:p>
    <w:p w:rsidR="00F24504" w:rsidRPr="00A1445D" w:rsidRDefault="00F24504" w:rsidP="00F24504">
      <w:pPr>
        <w:pStyle w:val="Default"/>
      </w:pPr>
    </w:p>
    <w:p w:rsidR="00F24504" w:rsidRPr="00A1445D" w:rsidRDefault="00126C13" w:rsidP="00F24504">
      <w:pPr>
        <w:pStyle w:val="Default"/>
      </w:pPr>
      <w:r>
        <w:t>Subsection</w:t>
      </w:r>
      <w:r w:rsidRPr="00A1445D">
        <w:t xml:space="preserve"> </w:t>
      </w:r>
      <w:r w:rsidR="002802B0">
        <w:rPr>
          <w:bCs/>
        </w:rPr>
        <w:t>332</w:t>
      </w:r>
      <w:r w:rsidR="00F24504" w:rsidRPr="00A1445D">
        <w:rPr>
          <w:bCs/>
        </w:rPr>
        <w:t>(1)</w:t>
      </w:r>
      <w:r w:rsidR="00F24504" w:rsidRPr="00A1445D">
        <w:rPr>
          <w:b/>
          <w:bCs/>
        </w:rPr>
        <w:t xml:space="preserve"> </w:t>
      </w:r>
      <w:r w:rsidR="00F24504" w:rsidRPr="00A1445D">
        <w:t>provides t</w:t>
      </w:r>
      <w:r w:rsidR="00795EDB">
        <w:t xml:space="preserve">hat ASIC may, in writing, declare that a modifiable provision is to have effect, as if it were modified </w:t>
      </w:r>
      <w:r>
        <w:t xml:space="preserve">as specified </w:t>
      </w:r>
      <w:r w:rsidR="00795EDB">
        <w:t>in the declaration, in relation to</w:t>
      </w:r>
      <w:r w:rsidR="00F24504" w:rsidRPr="00A1445D">
        <w:t xml:space="preserve"> a particular person or a class of persons</w:t>
      </w:r>
      <w:r w:rsidR="00C517E6">
        <w:t xml:space="preserve"> or a particular group of individual trustees or a class of groups of individual trustees</w:t>
      </w:r>
      <w:r>
        <w:t>.</w:t>
      </w:r>
      <w:r w:rsidR="00F24504" w:rsidRPr="00A1445D">
        <w:t xml:space="preserve"> </w:t>
      </w:r>
      <w:r>
        <w:t xml:space="preserve">The modifiable provisions </w:t>
      </w:r>
      <w:r w:rsidR="00F24504" w:rsidRPr="00A1445D">
        <w:t>include a provision of Part 2B of the Act</w:t>
      </w:r>
      <w:r>
        <w:t xml:space="preserve"> and a provision of regulations made under Part 2B</w:t>
      </w:r>
      <w:r w:rsidR="00F24504" w:rsidRPr="00A1445D">
        <w:t>.</w:t>
      </w:r>
    </w:p>
    <w:p w:rsidR="00F24504" w:rsidRPr="00A1445D" w:rsidRDefault="00F24504" w:rsidP="00F24504">
      <w:pPr>
        <w:pStyle w:val="Default"/>
      </w:pPr>
    </w:p>
    <w:p w:rsidR="00F24504" w:rsidRPr="00A1445D" w:rsidRDefault="00F24504" w:rsidP="00EB450A">
      <w:pPr>
        <w:pStyle w:val="Default"/>
        <w:numPr>
          <w:ilvl w:val="0"/>
          <w:numId w:val="2"/>
        </w:numPr>
        <w:ind w:left="567" w:hanging="567"/>
        <w:rPr>
          <w:b/>
          <w:bCs/>
        </w:rPr>
      </w:pPr>
      <w:r w:rsidRPr="00A1445D">
        <w:rPr>
          <w:b/>
          <w:bCs/>
        </w:rPr>
        <w:t xml:space="preserve">Background </w:t>
      </w:r>
    </w:p>
    <w:p w:rsidR="00F24504" w:rsidRPr="00A1445D" w:rsidRDefault="00F24504" w:rsidP="00F24504">
      <w:pPr>
        <w:pStyle w:val="Default"/>
      </w:pPr>
    </w:p>
    <w:p w:rsidR="007323B4" w:rsidRDefault="007323B4" w:rsidP="007323B4">
      <w:pPr>
        <w:pStyle w:val="Default"/>
      </w:pPr>
      <w:r>
        <w:t>On 29 May 2009, the Government commissioned the Super System Review</w:t>
      </w:r>
      <w:r w:rsidR="003A0D34">
        <w:t xml:space="preserve"> </w:t>
      </w:r>
      <w:r>
        <w:t xml:space="preserve">to make recommendations to improve the superannuation system.  The Review’s final report was handed to the Government on 30 June 2010.  </w:t>
      </w:r>
    </w:p>
    <w:p w:rsidR="007323B4" w:rsidRDefault="007323B4" w:rsidP="007323B4">
      <w:pPr>
        <w:pStyle w:val="Default"/>
      </w:pPr>
    </w:p>
    <w:p w:rsidR="007D754F" w:rsidRDefault="007323B4" w:rsidP="007323B4">
      <w:pPr>
        <w:pStyle w:val="Default"/>
      </w:pPr>
      <w:r>
        <w:t>The Government’s response to the Review was a package of reform recommendations entitled Stronge</w:t>
      </w:r>
      <w:r w:rsidR="00A220D8">
        <w:t>r Super</w:t>
      </w:r>
      <w:r w:rsidR="003A0D34">
        <w:t xml:space="preserve"> (the </w:t>
      </w:r>
      <w:r w:rsidR="003A0D34" w:rsidRPr="00EB450A">
        <w:rPr>
          <w:b/>
          <w:i/>
        </w:rPr>
        <w:t>reforms</w:t>
      </w:r>
      <w:r w:rsidR="003A0D34">
        <w:t>)</w:t>
      </w:r>
      <w:r w:rsidR="00A220D8">
        <w:t xml:space="preserve">. </w:t>
      </w:r>
      <w:r w:rsidR="007D754F">
        <w:t>These reforms included strengthening the governance, integrity and regulatory settings of the superannuation system including enhancements to the disclosure and reporting requirements for superannuation (</w:t>
      </w:r>
      <w:r w:rsidR="007D754F" w:rsidRPr="00EB450A">
        <w:rPr>
          <w:b/>
          <w:i/>
        </w:rPr>
        <w:t>systemic transparency measures</w:t>
      </w:r>
      <w:r w:rsidR="007D754F">
        <w:t>).</w:t>
      </w:r>
    </w:p>
    <w:p w:rsidR="007D754F" w:rsidRDefault="007D754F" w:rsidP="007323B4">
      <w:pPr>
        <w:pStyle w:val="Default"/>
      </w:pPr>
      <w:r>
        <w:t xml:space="preserve"> </w:t>
      </w:r>
    </w:p>
    <w:p w:rsidR="003A0D34" w:rsidRDefault="006D62AE" w:rsidP="007323B4">
      <w:pPr>
        <w:pStyle w:val="Default"/>
      </w:pPr>
      <w:r>
        <w:t xml:space="preserve">One </w:t>
      </w:r>
      <w:r w:rsidR="007D754F">
        <w:t>of the objectives of the systemic transparency measures is</w:t>
      </w:r>
      <w:r>
        <w:t xml:space="preserve"> to increase </w:t>
      </w:r>
      <w:r w:rsidR="003A0D34">
        <w:t xml:space="preserve">transparency and accountability in the superannuation sector. The </w:t>
      </w:r>
      <w:r w:rsidR="00126C13">
        <w:t>G</w:t>
      </w:r>
      <w:r w:rsidR="003A0D34">
        <w:t>overnment noted that a large amount of information was only available to members through request or on the member only section of the fund</w:t>
      </w:r>
      <w:r w:rsidR="004C622C">
        <w:t>’</w:t>
      </w:r>
      <w:r w:rsidR="003A0D34">
        <w:t xml:space="preserve">s website. </w:t>
      </w:r>
      <w:r w:rsidR="007D754F">
        <w:t>Gr</w:t>
      </w:r>
      <w:r w:rsidR="00D0240B">
        <w:t xml:space="preserve">eater transparency </w:t>
      </w:r>
      <w:proofErr w:type="gramStart"/>
      <w:r w:rsidR="00D0240B">
        <w:t>required</w:t>
      </w:r>
      <w:r w:rsidR="007D754F">
        <w:t xml:space="preserve">  certain</w:t>
      </w:r>
      <w:proofErr w:type="gramEnd"/>
      <w:r w:rsidR="007D754F">
        <w:t xml:space="preserve"> information</w:t>
      </w:r>
      <w:r w:rsidR="00D0240B">
        <w:t xml:space="preserve"> to</w:t>
      </w:r>
      <w:r w:rsidR="007D754F">
        <w:t xml:space="preserve"> be made available to the public as well. </w:t>
      </w:r>
    </w:p>
    <w:p w:rsidR="003A0D34" w:rsidRDefault="003A0D34" w:rsidP="007323B4">
      <w:pPr>
        <w:pStyle w:val="Default"/>
      </w:pPr>
    </w:p>
    <w:p w:rsidR="007323B4" w:rsidRDefault="005B30C5" w:rsidP="007323B4">
      <w:pPr>
        <w:pStyle w:val="Default"/>
      </w:pPr>
      <w:r>
        <w:t>To promote systemic</w:t>
      </w:r>
      <w:r w:rsidR="003A0D34">
        <w:t xml:space="preserve"> transparency, section 29QB of the Act requires the publication, on the public section of the fund</w:t>
      </w:r>
      <w:r w:rsidR="004C622C">
        <w:t>’</w:t>
      </w:r>
      <w:r w:rsidR="003A0D34">
        <w:t xml:space="preserve">s website, of information and documents prescribed in </w:t>
      </w:r>
      <w:r w:rsidR="00126C13">
        <w:t>regulations</w:t>
      </w:r>
      <w:r w:rsidR="003A0D34">
        <w:t xml:space="preserve"> 2.37 and 2.38</w:t>
      </w:r>
      <w:r w:rsidR="00126C13">
        <w:t xml:space="preserve"> of the </w:t>
      </w:r>
      <w:r w:rsidR="00126C13" w:rsidRPr="00EB450A">
        <w:rPr>
          <w:i/>
        </w:rPr>
        <w:t>Superannuation Indust</w:t>
      </w:r>
      <w:r w:rsidR="004C622C" w:rsidRPr="004C622C">
        <w:rPr>
          <w:i/>
        </w:rPr>
        <w:t xml:space="preserve">ry (Supervision) Regulations </w:t>
      </w:r>
      <w:r w:rsidR="004C622C">
        <w:rPr>
          <w:i/>
        </w:rPr>
        <w:t>199</w:t>
      </w:r>
      <w:r w:rsidR="00126C13" w:rsidRPr="00EB450A">
        <w:rPr>
          <w:i/>
        </w:rPr>
        <w:t>4</w:t>
      </w:r>
      <w:r w:rsidR="00126C13">
        <w:t>.</w:t>
      </w:r>
      <w:r w:rsidR="003A0D34">
        <w:t xml:space="preserve"> The</w:t>
      </w:r>
      <w:r w:rsidR="00126C13">
        <w:t>se requirements,</w:t>
      </w:r>
      <w:r w:rsidR="003A0D34">
        <w:t xml:space="preserve"> </w:t>
      </w:r>
      <w:r w:rsidR="00E260AB">
        <w:t>originally scheduled to commence on 1 July 2013, have b</w:t>
      </w:r>
      <w:r w:rsidR="00D0240B">
        <w:t xml:space="preserve">een deferred by </w:t>
      </w:r>
      <w:r w:rsidR="00126C13">
        <w:t>ASIC C</w:t>
      </w:r>
      <w:r w:rsidR="00D0240B">
        <w:t xml:space="preserve">lass </w:t>
      </w:r>
      <w:r w:rsidR="00126C13">
        <w:t>O</w:t>
      </w:r>
      <w:r w:rsidR="00D0240B">
        <w:t xml:space="preserve">rders </w:t>
      </w:r>
      <w:r w:rsidR="00126C13">
        <w:t xml:space="preserve">[CO </w:t>
      </w:r>
      <w:r w:rsidR="00D0240B">
        <w:t>13</w:t>
      </w:r>
      <w:r w:rsidR="00126C13">
        <w:t>/</w:t>
      </w:r>
      <w:r w:rsidR="00E260AB">
        <w:t>830</w:t>
      </w:r>
      <w:r w:rsidR="00EB450A">
        <w:t>]</w:t>
      </w:r>
      <w:r w:rsidR="00E260AB">
        <w:t xml:space="preserve"> and</w:t>
      </w:r>
      <w:r w:rsidR="00D0240B">
        <w:t xml:space="preserve"> </w:t>
      </w:r>
      <w:r w:rsidR="00126C13">
        <w:t xml:space="preserve">[CO </w:t>
      </w:r>
      <w:r w:rsidR="00D0240B">
        <w:t>13</w:t>
      </w:r>
      <w:r w:rsidR="00126C13">
        <w:t>/</w:t>
      </w:r>
      <w:r w:rsidR="00E260AB">
        <w:t>1275</w:t>
      </w:r>
      <w:r w:rsidR="00126C13">
        <w:t>]</w:t>
      </w:r>
      <w:r w:rsidR="00E260AB">
        <w:t xml:space="preserve"> and now come into effect on 1 July 2014.</w:t>
      </w:r>
    </w:p>
    <w:p w:rsidR="00F24504" w:rsidRPr="00A1445D" w:rsidRDefault="00F24504" w:rsidP="00F24504">
      <w:pPr>
        <w:pStyle w:val="Default"/>
      </w:pPr>
    </w:p>
    <w:p w:rsidR="00F24504" w:rsidRDefault="00F24504" w:rsidP="003940D3">
      <w:pPr>
        <w:pStyle w:val="Default"/>
      </w:pPr>
      <w:r w:rsidRPr="00A1445D">
        <w:rPr>
          <w:bCs/>
          <w:iCs/>
        </w:rPr>
        <w:t xml:space="preserve">Under these requirements, an RSE licensee of a registrable superannuation entity will be required </w:t>
      </w:r>
      <w:r w:rsidRPr="00A1445D">
        <w:t>to make publicly a</w:t>
      </w:r>
      <w:r w:rsidR="005A06DE">
        <w:t>vailable and to keep up to date</w:t>
      </w:r>
      <w:r w:rsidRPr="00A1445D">
        <w:t xml:space="preserve"> at all times</w:t>
      </w:r>
      <w:r w:rsidR="005A06DE">
        <w:t>,</w:t>
      </w:r>
      <w:r w:rsidRPr="00A1445D">
        <w:t xml:space="preserve"> on the registrable superannuation entity</w:t>
      </w:r>
      <w:r w:rsidR="004C622C">
        <w:t>’</w:t>
      </w:r>
      <w:r w:rsidRPr="00A1445D">
        <w:t>s website</w:t>
      </w:r>
      <w:r w:rsidR="005A06DE">
        <w:t>,</w:t>
      </w:r>
      <w:r w:rsidR="003940D3">
        <w:t xml:space="preserve"> details and</w:t>
      </w:r>
      <w:r w:rsidRPr="00A1445D">
        <w:t xml:space="preserve"> remuneration of executive officers and individual</w:t>
      </w:r>
      <w:r w:rsidR="003940D3">
        <w:t xml:space="preserve"> trustees and information and documents relevant to the superannuation fund. </w:t>
      </w:r>
    </w:p>
    <w:p w:rsidR="00F24504" w:rsidRPr="00A1445D" w:rsidRDefault="00F24504" w:rsidP="00F24504">
      <w:pPr>
        <w:pStyle w:val="Default"/>
      </w:pPr>
    </w:p>
    <w:p w:rsidR="003940D3" w:rsidRDefault="003940D3" w:rsidP="00EB450A">
      <w:pPr>
        <w:pStyle w:val="Default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Purpose</w:t>
      </w:r>
      <w:r w:rsidR="00F24504" w:rsidRPr="00A1445D">
        <w:rPr>
          <w:b/>
          <w:bCs/>
        </w:rPr>
        <w:t xml:space="preserve"> of the class order</w:t>
      </w:r>
    </w:p>
    <w:p w:rsidR="003940D3" w:rsidRDefault="003940D3" w:rsidP="003940D3">
      <w:pPr>
        <w:pStyle w:val="Default"/>
        <w:rPr>
          <w:b/>
          <w:bCs/>
        </w:rPr>
      </w:pPr>
    </w:p>
    <w:p w:rsidR="003940D3" w:rsidRDefault="003940D3" w:rsidP="003940D3">
      <w:pPr>
        <w:pStyle w:val="Default"/>
      </w:pPr>
      <w:r w:rsidRPr="00633380">
        <w:rPr>
          <w:bCs/>
        </w:rPr>
        <w:t>The purpose</w:t>
      </w:r>
      <w:r>
        <w:rPr>
          <w:b/>
          <w:bCs/>
        </w:rPr>
        <w:t xml:space="preserve"> </w:t>
      </w:r>
      <w:r w:rsidRPr="00A1445D">
        <w:t xml:space="preserve">of the class order is </w:t>
      </w:r>
      <w:r w:rsidR="00407329">
        <w:t xml:space="preserve">to clarify </w:t>
      </w:r>
      <w:r w:rsidR="007D754F">
        <w:t xml:space="preserve">the </w:t>
      </w:r>
      <w:r w:rsidR="009951D3">
        <w:t>requirement under</w:t>
      </w:r>
      <w:r w:rsidR="007D754F">
        <w:t xml:space="preserve"> </w:t>
      </w:r>
      <w:r w:rsidR="00407329">
        <w:t>s</w:t>
      </w:r>
      <w:r w:rsidR="005733CC">
        <w:t xml:space="preserve">ection </w:t>
      </w:r>
      <w:r w:rsidR="00407329">
        <w:t>29QB</w:t>
      </w:r>
      <w:r w:rsidR="007D754F">
        <w:t xml:space="preserve"> of the Act </w:t>
      </w:r>
      <w:r w:rsidR="00407329">
        <w:t xml:space="preserve">that superannuation websites must be kept up to date at all times. To achieve this, the class order provides RSE licensees with a safe harbour so that if they update the </w:t>
      </w:r>
      <w:r w:rsidR="005733CC">
        <w:t>responsible superannuation entity</w:t>
      </w:r>
      <w:r w:rsidR="004C622C">
        <w:t>’</w:t>
      </w:r>
      <w:r w:rsidR="00407329">
        <w:t>s website within the time frames prescribed they will be taken to comply with the updating obligations under s</w:t>
      </w:r>
      <w:r w:rsidR="005733CC">
        <w:t xml:space="preserve">ection </w:t>
      </w:r>
      <w:r w:rsidR="00407329">
        <w:t>29QB.</w:t>
      </w:r>
    </w:p>
    <w:p w:rsidR="003940D3" w:rsidRDefault="003940D3" w:rsidP="003940D3">
      <w:pPr>
        <w:pStyle w:val="Default"/>
        <w:rPr>
          <w:b/>
          <w:bCs/>
        </w:rPr>
      </w:pPr>
    </w:p>
    <w:p w:rsidR="00F24504" w:rsidRPr="00A1445D" w:rsidRDefault="003940D3" w:rsidP="00EB450A">
      <w:pPr>
        <w:pStyle w:val="Default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 xml:space="preserve">Operation of the class order </w:t>
      </w:r>
      <w:r w:rsidR="00F24504" w:rsidRPr="00A1445D">
        <w:rPr>
          <w:b/>
          <w:bCs/>
        </w:rPr>
        <w:t xml:space="preserve"> </w:t>
      </w:r>
    </w:p>
    <w:p w:rsidR="00F24504" w:rsidRPr="00A1445D" w:rsidRDefault="00F24504" w:rsidP="00F24504">
      <w:pPr>
        <w:pStyle w:val="Default"/>
      </w:pPr>
    </w:p>
    <w:p w:rsidR="00F24504" w:rsidRPr="00A1445D" w:rsidRDefault="00F24504" w:rsidP="00F24504">
      <w:pPr>
        <w:pStyle w:val="Default"/>
      </w:pPr>
      <w:r w:rsidRPr="00A1445D">
        <w:t>The class order</w:t>
      </w:r>
      <w:r w:rsidR="002F79AA">
        <w:t xml:space="preserve"> </w:t>
      </w:r>
      <w:r w:rsidR="007D754F">
        <w:t>sets</w:t>
      </w:r>
      <w:r w:rsidR="00B167FA">
        <w:t xml:space="preserve"> release times for each document or item of information prescribed under the Regulations. These include: </w:t>
      </w:r>
    </w:p>
    <w:p w:rsidR="00F24504" w:rsidRPr="00A1445D" w:rsidRDefault="00F24504" w:rsidP="00F24504">
      <w:pPr>
        <w:pStyle w:val="Default"/>
      </w:pPr>
    </w:p>
    <w:p w:rsidR="00B167FA" w:rsidRDefault="00B167FA" w:rsidP="00F24504">
      <w:pPr>
        <w:pStyle w:val="Default"/>
        <w:numPr>
          <w:ilvl w:val="0"/>
          <w:numId w:val="24"/>
        </w:numPr>
      </w:pPr>
      <w:r>
        <w:t xml:space="preserve">name and </w:t>
      </w:r>
      <w:r w:rsidR="00F24504" w:rsidRPr="00A1445D">
        <w:t>details of executive officers and individual trustees</w:t>
      </w:r>
      <w:r>
        <w:t xml:space="preserve"> of the RSE licensee</w:t>
      </w:r>
      <w:r w:rsidR="00F24504" w:rsidRPr="00A1445D">
        <w:t xml:space="preserve"> (regulation 2.37</w:t>
      </w:r>
      <w:r>
        <w:t>(1)</w:t>
      </w:r>
      <w:r w:rsidR="0002178E">
        <w:t>,</w:t>
      </w:r>
      <w:r w:rsidR="006A3969">
        <w:t xml:space="preserve"> Items 1-4</w:t>
      </w:r>
      <w:r>
        <w:t>);</w:t>
      </w:r>
    </w:p>
    <w:p w:rsidR="00F24504" w:rsidRPr="00A1445D" w:rsidRDefault="00B167FA" w:rsidP="00F24504">
      <w:pPr>
        <w:pStyle w:val="Default"/>
        <w:numPr>
          <w:ilvl w:val="0"/>
          <w:numId w:val="24"/>
        </w:numPr>
      </w:pPr>
      <w:r>
        <w:t xml:space="preserve">remuneration, payments and benefits made to executive officers </w:t>
      </w:r>
      <w:r w:rsidR="0002178E">
        <w:t xml:space="preserve">and individual trustees </w:t>
      </w:r>
      <w:r w:rsidRPr="00A1445D">
        <w:t>(regulation 2.37</w:t>
      </w:r>
      <w:r>
        <w:t>(</w:t>
      </w:r>
      <w:r w:rsidR="006A3969">
        <w:t>1</w:t>
      </w:r>
      <w:r>
        <w:t>)</w:t>
      </w:r>
      <w:r w:rsidR="0002178E">
        <w:t>,</w:t>
      </w:r>
      <w:r w:rsidR="006A3969">
        <w:t xml:space="preserve"> Items 5-16</w:t>
      </w:r>
      <w:r>
        <w:t>);</w:t>
      </w:r>
      <w:r w:rsidR="00EB450A">
        <w:t xml:space="preserve"> and</w:t>
      </w:r>
    </w:p>
    <w:p w:rsidR="00F24504" w:rsidRDefault="00F24504" w:rsidP="00F24504">
      <w:pPr>
        <w:pStyle w:val="Default"/>
        <w:numPr>
          <w:ilvl w:val="0"/>
          <w:numId w:val="24"/>
        </w:numPr>
      </w:pPr>
      <w:proofErr w:type="gramStart"/>
      <w:r w:rsidRPr="00A1445D">
        <w:t>various</w:t>
      </w:r>
      <w:proofErr w:type="gramEnd"/>
      <w:r w:rsidRPr="00A1445D">
        <w:t xml:space="preserve"> </w:t>
      </w:r>
      <w:r w:rsidR="0002178E">
        <w:t>documents and</w:t>
      </w:r>
      <w:r w:rsidRPr="00A1445D">
        <w:t xml:space="preserve"> information relating to the relevant superannuation fund, such as trust deeds and summaries of significant event notices given to members of the fund (regulation 2.38).</w:t>
      </w:r>
    </w:p>
    <w:p w:rsidR="00DB60A1" w:rsidRDefault="00DB60A1" w:rsidP="00DB60A1">
      <w:pPr>
        <w:pStyle w:val="Default"/>
      </w:pPr>
    </w:p>
    <w:p w:rsidR="003940D3" w:rsidRDefault="00DB60A1" w:rsidP="00DB60A1">
      <w:pPr>
        <w:pStyle w:val="Default"/>
      </w:pPr>
      <w:r>
        <w:t xml:space="preserve">The </w:t>
      </w:r>
      <w:r w:rsidR="003940D3">
        <w:t xml:space="preserve">class order uses the concepts of </w:t>
      </w:r>
      <w:r w:rsidR="004C622C">
        <w:t>‘</w:t>
      </w:r>
      <w:r w:rsidR="003940D3">
        <w:t>triggers</w:t>
      </w:r>
      <w:r w:rsidR="004C622C">
        <w:t>’</w:t>
      </w:r>
      <w:r w:rsidR="003940D3">
        <w:t xml:space="preserve"> and </w:t>
      </w:r>
      <w:r w:rsidR="004C622C">
        <w:t>‘</w:t>
      </w:r>
      <w:r w:rsidR="003940D3">
        <w:t>release times</w:t>
      </w:r>
      <w:r w:rsidR="004C622C">
        <w:t>’</w:t>
      </w:r>
      <w:r w:rsidR="003940D3">
        <w:t xml:space="preserve"> as a simple way of dealing with the complexities of the regulations although these terms are not used in the class order. An RSE</w:t>
      </w:r>
      <w:r w:rsidR="009951D3">
        <w:t xml:space="preserve"> licensee</w:t>
      </w:r>
      <w:r w:rsidR="003940D3">
        <w:t xml:space="preserve"> can take advantage of the </w:t>
      </w:r>
      <w:r w:rsidR="00914D70">
        <w:t xml:space="preserve">safe harbour offered by </w:t>
      </w:r>
      <w:r w:rsidR="00946456">
        <w:t>[</w:t>
      </w:r>
      <w:r w:rsidR="00914D70">
        <w:t>CO14</w:t>
      </w:r>
      <w:r w:rsidR="00946456">
        <w:t>/</w:t>
      </w:r>
      <w:r w:rsidR="00914D70">
        <w:t>509</w:t>
      </w:r>
      <w:r w:rsidR="00946456">
        <w:t>]</w:t>
      </w:r>
      <w:r w:rsidR="003940D3">
        <w:t xml:space="preserve"> if it updates the </w:t>
      </w:r>
      <w:r w:rsidR="009951D3">
        <w:t>responsible superannuation entity</w:t>
      </w:r>
      <w:r w:rsidR="004C622C">
        <w:t>’</w:t>
      </w:r>
      <w:r w:rsidR="003940D3">
        <w:t>s website after a trigger event within a given time after the day the trigger occurs. This means that:</w:t>
      </w:r>
    </w:p>
    <w:p w:rsidR="006A3969" w:rsidRDefault="006A3969" w:rsidP="00DB60A1">
      <w:pPr>
        <w:pStyle w:val="Default"/>
      </w:pPr>
    </w:p>
    <w:p w:rsidR="003940D3" w:rsidRDefault="003940D3" w:rsidP="00DB60A1">
      <w:pPr>
        <w:pStyle w:val="Default"/>
      </w:pPr>
      <w:r>
        <w:tab/>
      </w:r>
      <w:proofErr w:type="gramStart"/>
      <w:r w:rsidR="006A3969">
        <w:t>u</w:t>
      </w:r>
      <w:r>
        <w:t>pdate</w:t>
      </w:r>
      <w:proofErr w:type="gramEnd"/>
      <w:r>
        <w:t xml:space="preserve"> </w:t>
      </w:r>
      <w:r w:rsidR="005016B3">
        <w:t xml:space="preserve">time = </w:t>
      </w:r>
      <w:r w:rsidR="008C46D0">
        <w:t>trigger +</w:t>
      </w:r>
      <w:r>
        <w:t xml:space="preserve"> release time. </w:t>
      </w:r>
    </w:p>
    <w:p w:rsidR="003940D3" w:rsidRDefault="003940D3" w:rsidP="00DB60A1">
      <w:pPr>
        <w:pStyle w:val="Default"/>
      </w:pPr>
    </w:p>
    <w:p w:rsidR="003940D3" w:rsidRDefault="003940D3" w:rsidP="00DB60A1">
      <w:pPr>
        <w:pStyle w:val="Default"/>
      </w:pPr>
      <w:r>
        <w:t xml:space="preserve">The release times are: </w:t>
      </w:r>
    </w:p>
    <w:p w:rsidR="003940D3" w:rsidRDefault="003940D3" w:rsidP="003940D3">
      <w:pPr>
        <w:pStyle w:val="Default"/>
        <w:numPr>
          <w:ilvl w:val="0"/>
          <w:numId w:val="27"/>
        </w:numPr>
      </w:pPr>
      <w:r>
        <w:t>20 business day</w:t>
      </w:r>
      <w:r w:rsidR="00DE66DA">
        <w:t xml:space="preserve">s for executive officer details (items 1-4 in </w:t>
      </w:r>
      <w:proofErr w:type="spellStart"/>
      <w:r w:rsidR="00DE66DA">
        <w:t>reg</w:t>
      </w:r>
      <w:proofErr w:type="spellEnd"/>
      <w:r w:rsidR="00DE66DA">
        <w:t xml:space="preserve"> 2.37(1))</w:t>
      </w:r>
      <w:r>
        <w:t>; and</w:t>
      </w:r>
    </w:p>
    <w:p w:rsidR="003940D3" w:rsidRDefault="003940D3" w:rsidP="003940D3">
      <w:pPr>
        <w:pStyle w:val="Default"/>
        <w:numPr>
          <w:ilvl w:val="0"/>
          <w:numId w:val="27"/>
        </w:numPr>
      </w:pPr>
      <w:r>
        <w:t xml:space="preserve">4 months for remuneration items (items 5 – 16 in </w:t>
      </w:r>
      <w:proofErr w:type="spellStart"/>
      <w:r>
        <w:t>reg</w:t>
      </w:r>
      <w:proofErr w:type="spellEnd"/>
      <w:r>
        <w:t xml:space="preserve"> 2.37(1)</w:t>
      </w:r>
      <w:r w:rsidR="001C48FF">
        <w:t>)</w:t>
      </w:r>
      <w:r w:rsidR="00DE66DA">
        <w:t>; and</w:t>
      </w:r>
    </w:p>
    <w:p w:rsidR="00DE66DA" w:rsidRDefault="00DE66DA" w:rsidP="003940D3">
      <w:pPr>
        <w:pStyle w:val="Default"/>
        <w:numPr>
          <w:ilvl w:val="0"/>
          <w:numId w:val="27"/>
        </w:numPr>
      </w:pPr>
      <w:r>
        <w:t xml:space="preserve">20 business days for all information and documents required under </w:t>
      </w:r>
      <w:proofErr w:type="spellStart"/>
      <w:r>
        <w:t>reg</w:t>
      </w:r>
      <w:proofErr w:type="spellEnd"/>
      <w:r>
        <w:t xml:space="preserve"> 2.38.</w:t>
      </w:r>
    </w:p>
    <w:p w:rsidR="006A3969" w:rsidRDefault="006A3969" w:rsidP="006A3969">
      <w:pPr>
        <w:pStyle w:val="Default"/>
      </w:pPr>
    </w:p>
    <w:p w:rsidR="006A3969" w:rsidRPr="00A1445D" w:rsidRDefault="006A3969" w:rsidP="006A3969">
      <w:pPr>
        <w:pStyle w:val="Default"/>
      </w:pPr>
      <w:r>
        <w:t xml:space="preserve">An example of this is if a trigger occurs on 10 November 2014 (Monday) and the release time is 20 business days, the RSE licensee must update the </w:t>
      </w:r>
      <w:r w:rsidR="009951D3">
        <w:t>responsible superannuation entity</w:t>
      </w:r>
      <w:r w:rsidR="004C622C">
        <w:t>’</w:t>
      </w:r>
      <w:r>
        <w:t xml:space="preserve">s website by the end of 8 December 2014 (Monday) to be taken as complying with the updating obligation. </w:t>
      </w:r>
      <w:r w:rsidR="0002178E">
        <w:t>That is, the day of the trigger is not counted as being one of the 20 business days.</w:t>
      </w:r>
    </w:p>
    <w:p w:rsidR="00F24504" w:rsidRDefault="00F24504" w:rsidP="00F24504">
      <w:pPr>
        <w:pStyle w:val="Default"/>
      </w:pPr>
    </w:p>
    <w:p w:rsidR="006A3969" w:rsidRDefault="001C48FF" w:rsidP="00F24504">
      <w:pPr>
        <w:pStyle w:val="Default"/>
      </w:pPr>
      <w:r>
        <w:t xml:space="preserve">To extend the example to one of the </w:t>
      </w:r>
      <w:r w:rsidR="006A3969">
        <w:t xml:space="preserve">prescribed </w:t>
      </w:r>
      <w:r>
        <w:t>documents, t</w:t>
      </w:r>
      <w:r w:rsidR="006A3969">
        <w:t xml:space="preserve">he trigger </w:t>
      </w:r>
      <w:r>
        <w:t>for</w:t>
      </w:r>
      <w:r w:rsidR="005A06DE">
        <w:t xml:space="preserve"> the</w:t>
      </w:r>
      <w:r>
        <w:t xml:space="preserve"> publication of the PDS of a superannuation product</w:t>
      </w:r>
      <w:r w:rsidR="008C46D0">
        <w:t xml:space="preserve"> </w:t>
      </w:r>
      <w:r w:rsidR="0004115F">
        <w:t xml:space="preserve">will be when a copy </w:t>
      </w:r>
      <w:r w:rsidR="004C622C">
        <w:t>‘</w:t>
      </w:r>
      <w:r w:rsidR="0004115F">
        <w:t>is first given to a person in a recommendation, issue or sale situation</w:t>
      </w:r>
      <w:r w:rsidR="004C622C">
        <w:t>’</w:t>
      </w:r>
      <w:r w:rsidR="0004115F">
        <w:t xml:space="preserve"> which, in this example, is the 10 November 2014. This means that the PDS must be on the website 20 business days from the day </w:t>
      </w:r>
      <w:r w:rsidR="0004115F" w:rsidRPr="0004115F">
        <w:rPr>
          <w:i/>
        </w:rPr>
        <w:t>after</w:t>
      </w:r>
      <w:r w:rsidR="0004115F">
        <w:t xml:space="preserve"> it is given (</w:t>
      </w:r>
      <w:proofErr w:type="spellStart"/>
      <w:r w:rsidR="0004115F">
        <w:t>ie</w:t>
      </w:r>
      <w:proofErr w:type="spellEnd"/>
      <w:r w:rsidR="0004115F">
        <w:t xml:space="preserve"> day </w:t>
      </w:r>
      <w:r w:rsidR="004C622C">
        <w:t>‘</w:t>
      </w:r>
      <w:r w:rsidR="0004115F">
        <w:t>one</w:t>
      </w:r>
      <w:r w:rsidR="004C622C">
        <w:t>’</w:t>
      </w:r>
      <w:r w:rsidR="0004115F">
        <w:t xml:space="preserve"> is 11 November 2014). Counting </w:t>
      </w:r>
      <w:r w:rsidR="008C46D0">
        <w:t xml:space="preserve">the release time of </w:t>
      </w:r>
      <w:r w:rsidR="0004115F">
        <w:t>20 business days from that date</w:t>
      </w:r>
      <w:r w:rsidR="008C46D0">
        <w:t>,</w:t>
      </w:r>
      <w:r w:rsidR="0004115F">
        <w:t xml:space="preserve"> means that the website will be up to date if the PDS is published by 8 December 2014).</w:t>
      </w:r>
    </w:p>
    <w:p w:rsidR="00761E4B" w:rsidRDefault="00761E4B" w:rsidP="00F24504">
      <w:pPr>
        <w:pStyle w:val="Default"/>
      </w:pPr>
    </w:p>
    <w:p w:rsidR="00761E4B" w:rsidRDefault="00761E4B" w:rsidP="00F24504">
      <w:pPr>
        <w:pStyle w:val="Default"/>
      </w:pPr>
      <w:r>
        <w:lastRenderedPageBreak/>
        <w:t xml:space="preserve">We consider that the release times we have set, following industry consultation, are sufficiently generous for RSE licensees to be able to comply with the </w:t>
      </w:r>
      <w:r w:rsidR="00A96DBD">
        <w:t xml:space="preserve">requirements of section 29QB, as modified by the </w:t>
      </w:r>
      <w:r>
        <w:t xml:space="preserve">class order. </w:t>
      </w:r>
    </w:p>
    <w:p w:rsidR="00761E4B" w:rsidRDefault="00761E4B" w:rsidP="00F24504">
      <w:pPr>
        <w:pStyle w:val="Default"/>
      </w:pPr>
    </w:p>
    <w:p w:rsidR="00761E4B" w:rsidRDefault="00761E4B" w:rsidP="00F24504">
      <w:pPr>
        <w:pStyle w:val="Default"/>
      </w:pPr>
      <w:r>
        <w:t>We reg</w:t>
      </w:r>
      <w:r w:rsidR="00914D70">
        <w:t>ard a failure to comply with</w:t>
      </w:r>
      <w:r w:rsidR="00EB450A">
        <w:t xml:space="preserve"> a time period specified by</w:t>
      </w:r>
      <w:r w:rsidR="00914D70">
        <w:t xml:space="preserve"> </w:t>
      </w:r>
      <w:r w:rsidR="00946456">
        <w:t>[</w:t>
      </w:r>
      <w:r w:rsidR="00914D70">
        <w:t>CO</w:t>
      </w:r>
      <w:r w:rsidR="004C622C">
        <w:t xml:space="preserve"> </w:t>
      </w:r>
      <w:r>
        <w:t>14</w:t>
      </w:r>
      <w:r w:rsidR="00946456">
        <w:t>/</w:t>
      </w:r>
      <w:r w:rsidR="00914D70">
        <w:t>509</w:t>
      </w:r>
      <w:r w:rsidR="00946456">
        <w:t>]</w:t>
      </w:r>
      <w:r>
        <w:t xml:space="preserve"> as a breach of the s</w:t>
      </w:r>
      <w:r w:rsidR="0002178E">
        <w:t xml:space="preserve">ection </w:t>
      </w:r>
      <w:r>
        <w:t xml:space="preserve">29QB updating obligation and expect RSE licensees who are also Australian </w:t>
      </w:r>
      <w:r w:rsidR="0002178E">
        <w:t>f</w:t>
      </w:r>
      <w:r>
        <w:t xml:space="preserve">inancial </w:t>
      </w:r>
      <w:r w:rsidR="0002178E">
        <w:t>s</w:t>
      </w:r>
      <w:r>
        <w:t xml:space="preserve">ervices </w:t>
      </w:r>
      <w:r w:rsidR="0002178E">
        <w:t>l</w:t>
      </w:r>
      <w:r>
        <w:t xml:space="preserve">icensees to apply their normal breach handling procedures to such a breach. </w:t>
      </w:r>
    </w:p>
    <w:p w:rsidR="00946456" w:rsidRDefault="00946456" w:rsidP="00F24504">
      <w:pPr>
        <w:pStyle w:val="Default"/>
      </w:pPr>
    </w:p>
    <w:p w:rsidR="008C46D0" w:rsidRDefault="00946456" w:rsidP="00F24504">
      <w:pPr>
        <w:pStyle w:val="Default"/>
      </w:pPr>
      <w:r>
        <w:t>[CO</w:t>
      </w:r>
      <w:r w:rsidR="004C622C">
        <w:t xml:space="preserve"> </w:t>
      </w:r>
      <w:r>
        <w:t>14/509</w:t>
      </w:r>
      <w:r w:rsidR="00CE43D9">
        <w:t>]</w:t>
      </w:r>
      <w:r>
        <w:t xml:space="preserve"> also modifies regulation</w:t>
      </w:r>
      <w:r w:rsidR="00656C27">
        <w:t>s</w:t>
      </w:r>
      <w:r>
        <w:t xml:space="preserve"> 2.37 </w:t>
      </w:r>
      <w:r w:rsidR="00656C27">
        <w:t xml:space="preserve">and 2.38 </w:t>
      </w:r>
      <w:r>
        <w:t xml:space="preserve">by </w:t>
      </w:r>
      <w:r w:rsidR="004C622C">
        <w:t xml:space="preserve">clarifying how references to ‘financial year’ are to operate in various circumstances.  </w:t>
      </w:r>
    </w:p>
    <w:p w:rsidR="008C46D0" w:rsidRPr="00A1445D" w:rsidRDefault="008C46D0" w:rsidP="00F24504">
      <w:pPr>
        <w:pStyle w:val="Default"/>
      </w:pPr>
    </w:p>
    <w:p w:rsidR="00F24504" w:rsidRPr="00A1445D" w:rsidRDefault="00F24504" w:rsidP="00EB450A">
      <w:pPr>
        <w:pStyle w:val="Default"/>
        <w:numPr>
          <w:ilvl w:val="0"/>
          <w:numId w:val="2"/>
        </w:numPr>
        <w:ind w:left="567" w:hanging="567"/>
        <w:rPr>
          <w:b/>
          <w:bCs/>
        </w:rPr>
      </w:pPr>
      <w:r w:rsidRPr="00A1445D">
        <w:rPr>
          <w:b/>
          <w:bCs/>
        </w:rPr>
        <w:t xml:space="preserve">Consultation </w:t>
      </w:r>
    </w:p>
    <w:p w:rsidR="00F24504" w:rsidRPr="00A1445D" w:rsidRDefault="00F24504" w:rsidP="00F24504">
      <w:pPr>
        <w:pStyle w:val="Default"/>
      </w:pPr>
    </w:p>
    <w:p w:rsidR="008C46D0" w:rsidRDefault="008C46D0" w:rsidP="008C46D0">
      <w:pPr>
        <w:pStyle w:val="Default"/>
      </w:pPr>
      <w:r>
        <w:t xml:space="preserve">When </w:t>
      </w:r>
      <w:r w:rsidR="004C622C">
        <w:t>regulations 2.37 and 2.38</w:t>
      </w:r>
      <w:r>
        <w:t xml:space="preserve"> were released, feedback from industry indicated uncertainty around the meaning of the term </w:t>
      </w:r>
      <w:r w:rsidR="004C622C">
        <w:t>‘</w:t>
      </w:r>
      <w:r>
        <w:t>up to date at all times</w:t>
      </w:r>
      <w:r w:rsidR="004C622C">
        <w:t>’</w:t>
      </w:r>
      <w:r>
        <w:t xml:space="preserve">. ASIC released Consultation </w:t>
      </w:r>
      <w:r w:rsidR="004C622C">
        <w:t>P</w:t>
      </w:r>
      <w:r>
        <w:t xml:space="preserve">aper 219 </w:t>
      </w:r>
      <w:r w:rsidRPr="005B30C5">
        <w:rPr>
          <w:i/>
        </w:rPr>
        <w:t>Keeping superannuation w</w:t>
      </w:r>
      <w:r>
        <w:rPr>
          <w:i/>
        </w:rPr>
        <w:t>ebsites up to date</w:t>
      </w:r>
      <w:r>
        <w:t xml:space="preserve"> in November 2013, and obtained industry</w:t>
      </w:r>
      <w:r w:rsidR="004C622C">
        <w:t>’</w:t>
      </w:r>
      <w:r>
        <w:t>s comments on</w:t>
      </w:r>
      <w:r w:rsidR="00407329">
        <w:t xml:space="preserve"> its</w:t>
      </w:r>
      <w:r>
        <w:t xml:space="preserve"> proposed times for publication of the various </w:t>
      </w:r>
      <w:r w:rsidR="004C622C">
        <w:t>matters required by</w:t>
      </w:r>
      <w:r>
        <w:t xml:space="preserve"> </w:t>
      </w:r>
      <w:r w:rsidR="004C622C">
        <w:t>these r</w:t>
      </w:r>
      <w:r>
        <w:t xml:space="preserve">egulations. ASIC accepted a number of points made by industry and has </w:t>
      </w:r>
      <w:r w:rsidR="00D0240B">
        <w:t xml:space="preserve">released </w:t>
      </w:r>
      <w:r w:rsidR="00946456">
        <w:t>[</w:t>
      </w:r>
      <w:r w:rsidR="00D0240B">
        <w:t>CO</w:t>
      </w:r>
      <w:r>
        <w:t>14</w:t>
      </w:r>
      <w:r w:rsidR="00946456">
        <w:t>/</w:t>
      </w:r>
      <w:r w:rsidR="00914D70">
        <w:t>509</w:t>
      </w:r>
      <w:r w:rsidR="00946456">
        <w:t>]</w:t>
      </w:r>
      <w:r w:rsidR="00914D70">
        <w:t xml:space="preserve"> </w:t>
      </w:r>
      <w:r>
        <w:t xml:space="preserve">and Regulatory Guide </w:t>
      </w:r>
      <w:r w:rsidR="000E029E" w:rsidRPr="00EB450A">
        <w:t>252</w:t>
      </w:r>
      <w:r w:rsidR="000E029E">
        <w:t xml:space="preserve"> </w:t>
      </w:r>
      <w:r w:rsidR="000E029E" w:rsidRPr="00EB450A">
        <w:rPr>
          <w:i/>
        </w:rPr>
        <w:t>Keeping superannuation websites up to date</w:t>
      </w:r>
      <w:r w:rsidRPr="00EB450A">
        <w:rPr>
          <w:i/>
        </w:rPr>
        <w:t xml:space="preserve"> </w:t>
      </w:r>
      <w:r>
        <w:t xml:space="preserve">to clarify how RSE licensees can comply with the obligation to keep </w:t>
      </w:r>
      <w:r w:rsidR="004C622C">
        <w:t xml:space="preserve">registrable superannuation entities’ </w:t>
      </w:r>
      <w:r>
        <w:t xml:space="preserve">websites up to date. </w:t>
      </w:r>
    </w:p>
    <w:p w:rsidR="00F24504" w:rsidRPr="00A1445D" w:rsidRDefault="00F24504" w:rsidP="00F24504">
      <w:pPr>
        <w:pStyle w:val="Default"/>
      </w:pPr>
    </w:p>
    <w:p w:rsidR="00F24504" w:rsidRPr="00A1445D" w:rsidRDefault="00F24504" w:rsidP="00F24504">
      <w:pPr>
        <w:pStyle w:val="Default"/>
      </w:pPr>
      <w:r w:rsidRPr="00A1445D">
        <w:t xml:space="preserve">The Office of Best Practice Regulation confirmed that a Regulation Impact Statement was not necessary. </w:t>
      </w:r>
    </w:p>
    <w:p w:rsidR="00F24504" w:rsidRPr="00A1445D" w:rsidRDefault="00F24504" w:rsidP="00F24504">
      <w:pPr>
        <w:pStyle w:val="Default"/>
      </w:pPr>
    </w:p>
    <w:p w:rsidR="00F16B5F" w:rsidRPr="00A1445D" w:rsidRDefault="00F16B5F" w:rsidP="00AF769C">
      <w:pPr>
        <w:pStyle w:val="Default"/>
      </w:pPr>
    </w:p>
    <w:p w:rsidR="00774A36" w:rsidRPr="00A1445D" w:rsidRDefault="003A0CAF" w:rsidP="00774A36">
      <w:pPr>
        <w:pStyle w:val="Default"/>
        <w:jc w:val="center"/>
      </w:pPr>
      <w:r w:rsidRPr="00A1445D">
        <w:br w:type="page"/>
      </w:r>
      <w:r w:rsidRPr="00A1445D">
        <w:rPr>
          <w:b/>
          <w:bCs/>
        </w:rPr>
        <w:lastRenderedPageBreak/>
        <w:t>Statement of Compatibility with Human Rights</w:t>
      </w:r>
    </w:p>
    <w:p w:rsidR="00774A36" w:rsidRPr="00A1445D" w:rsidRDefault="003A0CAF" w:rsidP="00774A36">
      <w:pPr>
        <w:pStyle w:val="Default"/>
        <w:jc w:val="center"/>
      </w:pPr>
      <w:r w:rsidRPr="00A1445D">
        <w:rPr>
          <w:i/>
          <w:iCs/>
        </w:rPr>
        <w:t>Prepared in accordance with Part 3 of the Human Rights (Parliamentary Scrutiny) Act 2011</w:t>
      </w:r>
    </w:p>
    <w:p w:rsidR="00774A36" w:rsidRPr="00A1445D" w:rsidRDefault="00D0240B" w:rsidP="00774A3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ASIC Class Order </w:t>
      </w:r>
      <w:r w:rsidR="00946456">
        <w:rPr>
          <w:b/>
          <w:bCs/>
        </w:rPr>
        <w:t>[</w:t>
      </w:r>
      <w:r w:rsidR="00914D70">
        <w:rPr>
          <w:b/>
          <w:bCs/>
        </w:rPr>
        <w:t>CO 14</w:t>
      </w:r>
      <w:r w:rsidR="00946456">
        <w:rPr>
          <w:b/>
          <w:bCs/>
        </w:rPr>
        <w:t>/</w:t>
      </w:r>
      <w:r w:rsidR="00914D70">
        <w:rPr>
          <w:b/>
          <w:bCs/>
        </w:rPr>
        <w:t>509</w:t>
      </w:r>
      <w:r w:rsidR="00946456">
        <w:rPr>
          <w:b/>
          <w:bCs/>
        </w:rPr>
        <w:t>]</w:t>
      </w:r>
      <w:r w:rsidR="003A0CAF" w:rsidRPr="00A1445D">
        <w:rPr>
          <w:b/>
          <w:bCs/>
        </w:rPr>
        <w:t xml:space="preserve"> 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 xml:space="preserve">This class order is compatible with the human rights and freedoms recognised or declared in the international instruments listed in section 3 of the </w:t>
      </w:r>
      <w:r w:rsidRPr="00A1445D">
        <w:rPr>
          <w:i/>
          <w:iCs/>
        </w:rPr>
        <w:t>Human Rights (Parliamentary Scrutiny) Act 2011</w:t>
      </w:r>
      <w:r w:rsidRPr="00A1445D">
        <w:t>.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Overview of the class order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 xml:space="preserve">The class order relates to regulations 2.37 and 2.38 of the </w:t>
      </w:r>
      <w:r w:rsidRPr="00A1445D">
        <w:rPr>
          <w:i/>
        </w:rPr>
        <w:t>Superannuation</w:t>
      </w:r>
      <w:r w:rsidRPr="00A1445D">
        <w:rPr>
          <w:bCs/>
          <w:i/>
          <w:iCs/>
        </w:rPr>
        <w:t xml:space="preserve"> Industry (Supervision) Regulations 1994</w:t>
      </w:r>
      <w:r w:rsidRPr="00A1445D">
        <w:rPr>
          <w:bCs/>
          <w:iCs/>
        </w:rPr>
        <w:t>, which were made under s</w:t>
      </w:r>
      <w:r w:rsidR="00F24504" w:rsidRPr="00A1445D">
        <w:rPr>
          <w:bCs/>
          <w:iCs/>
        </w:rPr>
        <w:t xml:space="preserve">ection </w:t>
      </w:r>
      <w:r w:rsidRPr="00A1445D">
        <w:rPr>
          <w:bCs/>
          <w:iCs/>
        </w:rPr>
        <w:t xml:space="preserve">29QB of the </w:t>
      </w:r>
      <w:r w:rsidR="004C622C">
        <w:rPr>
          <w:bCs/>
          <w:i/>
          <w:iCs/>
        </w:rPr>
        <w:t>Superannuation Industry (Supervision) Act 1993</w:t>
      </w:r>
      <w:r w:rsidRPr="00A1445D">
        <w:rPr>
          <w:bCs/>
          <w:iCs/>
        </w:rPr>
        <w:t xml:space="preserve">. </w:t>
      </w:r>
      <w:r w:rsidR="004C622C">
        <w:rPr>
          <w:bCs/>
          <w:iCs/>
        </w:rPr>
        <w:t xml:space="preserve">Because of the operation of ASIC Class Order [CO 13/830], the requirements of these provisions will commence on </w:t>
      </w:r>
      <w:r w:rsidRPr="00A1445D">
        <w:rPr>
          <w:bCs/>
          <w:iCs/>
        </w:rPr>
        <w:t>1 July 201</w:t>
      </w:r>
      <w:r w:rsidR="008C46D0">
        <w:rPr>
          <w:bCs/>
          <w:iCs/>
        </w:rPr>
        <w:t>4</w:t>
      </w:r>
      <w:r w:rsidRPr="00A1445D">
        <w:rPr>
          <w:bCs/>
          <w:iCs/>
        </w:rPr>
        <w:t>.  These p</w:t>
      </w:r>
      <w:r w:rsidR="005A06DE">
        <w:rPr>
          <w:bCs/>
          <w:iCs/>
        </w:rPr>
        <w:t xml:space="preserve">rovisions require the licensee of a registrable superannuation entity (RSE) </w:t>
      </w:r>
      <w:r w:rsidRPr="00A1445D">
        <w:t>to make publicly a</w:t>
      </w:r>
      <w:r w:rsidR="005A06DE">
        <w:t>vailable, and to keep up to date</w:t>
      </w:r>
      <w:r w:rsidRPr="00A1445D">
        <w:t xml:space="preserve"> at all times</w:t>
      </w:r>
      <w:r w:rsidR="005A06DE">
        <w:t>,</w:t>
      </w:r>
      <w:r w:rsidRPr="00A1445D">
        <w:t xml:space="preserve"> on the registrable superannuation entity</w:t>
      </w:r>
      <w:r w:rsidR="004C622C">
        <w:t>’</w:t>
      </w:r>
      <w:r w:rsidRPr="00A1445D">
        <w:t>s website:</w:t>
      </w:r>
    </w:p>
    <w:p w:rsidR="003A0CAF" w:rsidRPr="00A1445D" w:rsidRDefault="003A0CAF" w:rsidP="003A0CAF">
      <w:pPr>
        <w:pStyle w:val="RPG-SublistLevel1"/>
        <w:numPr>
          <w:ilvl w:val="0"/>
          <w:numId w:val="26"/>
        </w:numPr>
        <w:rPr>
          <w:sz w:val="24"/>
          <w:szCs w:val="24"/>
        </w:rPr>
      </w:pPr>
      <w:r w:rsidRPr="00A1445D">
        <w:rPr>
          <w:sz w:val="24"/>
          <w:szCs w:val="24"/>
        </w:rPr>
        <w:t>details of executive officers and individual trustees</w:t>
      </w:r>
      <w:r w:rsidR="005733CC">
        <w:rPr>
          <w:sz w:val="24"/>
          <w:szCs w:val="24"/>
        </w:rPr>
        <w:t>,</w:t>
      </w:r>
      <w:r w:rsidR="008C46D0">
        <w:rPr>
          <w:sz w:val="24"/>
          <w:szCs w:val="24"/>
        </w:rPr>
        <w:t xml:space="preserve"> including their remuneration</w:t>
      </w:r>
      <w:r w:rsidRPr="00A1445D">
        <w:rPr>
          <w:sz w:val="24"/>
          <w:szCs w:val="24"/>
        </w:rPr>
        <w:t xml:space="preserve"> (regulation 2.37); and</w:t>
      </w:r>
    </w:p>
    <w:p w:rsidR="003A0CAF" w:rsidRPr="00A1445D" w:rsidRDefault="003A0CAF" w:rsidP="003A0CAF">
      <w:pPr>
        <w:pStyle w:val="RPG-SublistLevel1"/>
        <w:numPr>
          <w:ilvl w:val="0"/>
          <w:numId w:val="26"/>
        </w:numPr>
        <w:rPr>
          <w:sz w:val="24"/>
          <w:szCs w:val="24"/>
        </w:rPr>
      </w:pPr>
      <w:proofErr w:type="gramStart"/>
      <w:r w:rsidRPr="00A1445D">
        <w:rPr>
          <w:sz w:val="24"/>
          <w:szCs w:val="24"/>
        </w:rPr>
        <w:t>various</w:t>
      </w:r>
      <w:proofErr w:type="gramEnd"/>
      <w:r w:rsidRPr="00A1445D">
        <w:rPr>
          <w:sz w:val="24"/>
          <w:szCs w:val="24"/>
        </w:rPr>
        <w:t xml:space="preserve"> items of information relating to the relevant superannuation fund, such as trust deeds and summaries of significant event notices given to members of the fund (regulation 2.38).</w:t>
      </w:r>
    </w:p>
    <w:p w:rsidR="00774A36" w:rsidRPr="00A1445D" w:rsidRDefault="00774A36" w:rsidP="00774A36">
      <w:pPr>
        <w:pStyle w:val="Default"/>
        <w:jc w:val="both"/>
      </w:pPr>
    </w:p>
    <w:p w:rsidR="00774A36" w:rsidRDefault="008C46D0" w:rsidP="00774A36">
      <w:pPr>
        <w:pStyle w:val="Default"/>
        <w:jc w:val="both"/>
      </w:pPr>
      <w:r>
        <w:t>The class order provides</w:t>
      </w:r>
      <w:r w:rsidR="005A06DE">
        <w:t xml:space="preserve"> RSE licensees with a </w:t>
      </w:r>
      <w:r w:rsidR="004C622C">
        <w:t>‘</w:t>
      </w:r>
      <w:r w:rsidR="005A06DE">
        <w:t>safe harbour</w:t>
      </w:r>
      <w:r w:rsidR="004C622C">
        <w:t>’</w:t>
      </w:r>
      <w:r w:rsidR="005A06DE">
        <w:t xml:space="preserve"> so that if they update the RSE</w:t>
      </w:r>
      <w:r w:rsidR="009951D3">
        <w:t>’</w:t>
      </w:r>
      <w:r w:rsidR="005A06DE">
        <w:t>s website within the time frames prescribed they will be taken to comply with the updating obligations under s</w:t>
      </w:r>
      <w:r w:rsidR="005733CC">
        <w:t xml:space="preserve">ection </w:t>
      </w:r>
      <w:r w:rsidR="005A06DE">
        <w:t>29QB.</w:t>
      </w:r>
    </w:p>
    <w:p w:rsidR="005A06DE" w:rsidRPr="00A1445D" w:rsidRDefault="005A06DE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Human rights implications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>This class order does not engage any of the applicable rights or freedoms.</w:t>
      </w:r>
    </w:p>
    <w:p w:rsidR="00774A36" w:rsidRPr="00A1445D" w:rsidRDefault="003A0CAF" w:rsidP="00774A36">
      <w:pPr>
        <w:pStyle w:val="Default"/>
        <w:jc w:val="both"/>
      </w:pPr>
      <w:r w:rsidRPr="00A1445D">
        <w:t xml:space="preserve"> </w:t>
      </w: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 xml:space="preserve">Conclusion </w:t>
      </w:r>
    </w:p>
    <w:p w:rsidR="00774A36" w:rsidRPr="00A1445D" w:rsidRDefault="00774A36" w:rsidP="00774A36">
      <w:pPr>
        <w:pStyle w:val="Default"/>
        <w:jc w:val="both"/>
      </w:pPr>
    </w:p>
    <w:p w:rsidR="00C935CF" w:rsidRPr="00A1445D" w:rsidRDefault="003A0CAF">
      <w:pPr>
        <w:pStyle w:val="Default"/>
        <w:jc w:val="both"/>
      </w:pPr>
      <w:r w:rsidRPr="00A1445D">
        <w:t>This class order is compatible with human rights as it does not raise any human rights issues.</w:t>
      </w:r>
    </w:p>
    <w:sectPr w:rsidR="00C935CF" w:rsidRPr="00A1445D" w:rsidSect="00410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6C" w:rsidRDefault="00A2796C" w:rsidP="00DF04D3">
      <w:r>
        <w:separator/>
      </w:r>
    </w:p>
  </w:endnote>
  <w:endnote w:type="continuationSeparator" w:id="0">
    <w:p w:rsidR="00A2796C" w:rsidRDefault="00A2796C" w:rsidP="00DF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7" w:rsidRDefault="00BD4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7" w:rsidRDefault="00BD4A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7" w:rsidRDefault="00BD4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6C" w:rsidRDefault="00A2796C" w:rsidP="00DF04D3">
      <w:r>
        <w:separator/>
      </w:r>
    </w:p>
  </w:footnote>
  <w:footnote w:type="continuationSeparator" w:id="0">
    <w:p w:rsidR="00A2796C" w:rsidRDefault="00A2796C" w:rsidP="00DF0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7" w:rsidRDefault="00BD4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7" w:rsidRDefault="00BD4A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7" w:rsidRDefault="00BD4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557"/>
    <w:multiLevelType w:val="hybridMultilevel"/>
    <w:tmpl w:val="8618DC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779F9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3E1A"/>
    <w:multiLevelType w:val="hybridMultilevel"/>
    <w:tmpl w:val="838E836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72EB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4479"/>
    <w:multiLevelType w:val="hybridMultilevel"/>
    <w:tmpl w:val="2E000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456A2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10E4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07E483E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B5A5FBC"/>
    <w:multiLevelType w:val="multilevel"/>
    <w:tmpl w:val="C07CFE3A"/>
    <w:lvl w:ilvl="0">
      <w:start w:val="1"/>
      <w:numFmt w:val="decimal"/>
      <w:pStyle w:val="RPG-BodyTextNumbered"/>
      <w:lvlText w:val="%1"/>
      <w:lvlJc w:val="left"/>
      <w:pPr>
        <w:tabs>
          <w:tab w:val="num" w:pos="851"/>
        </w:tabs>
        <w:ind w:left="851" w:hanging="426"/>
      </w:pPr>
      <w:rPr>
        <w:rFonts w:hint="default"/>
        <w:sz w:val="18"/>
      </w:rPr>
    </w:lvl>
    <w:lvl w:ilvl="1">
      <w:start w:val="1"/>
      <w:numFmt w:val="lowerLetter"/>
      <w:pStyle w:val="RPG-SublistLevel1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pStyle w:val="RPG-SublistLevel2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CD65266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7"/>
  </w:num>
  <w:num w:numId="21">
    <w:abstractNumId w:val="6"/>
  </w:num>
  <w:num w:numId="22">
    <w:abstractNumId w:val="8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D3"/>
    <w:rsid w:val="0001231E"/>
    <w:rsid w:val="0002178E"/>
    <w:rsid w:val="0004115F"/>
    <w:rsid w:val="000A5889"/>
    <w:rsid w:val="000B5578"/>
    <w:rsid w:val="000C5E35"/>
    <w:rsid w:val="000D4170"/>
    <w:rsid w:val="000D5AE3"/>
    <w:rsid w:val="000E029E"/>
    <w:rsid w:val="000E4358"/>
    <w:rsid w:val="0012686B"/>
    <w:rsid w:val="00126C13"/>
    <w:rsid w:val="00151FDB"/>
    <w:rsid w:val="00160A1D"/>
    <w:rsid w:val="001B1093"/>
    <w:rsid w:val="001C48FF"/>
    <w:rsid w:val="001C5DE3"/>
    <w:rsid w:val="001F3784"/>
    <w:rsid w:val="002508D7"/>
    <w:rsid w:val="002802B0"/>
    <w:rsid w:val="00280F32"/>
    <w:rsid w:val="002A1564"/>
    <w:rsid w:val="002D0106"/>
    <w:rsid w:val="002D547F"/>
    <w:rsid w:val="002F79AA"/>
    <w:rsid w:val="0030277F"/>
    <w:rsid w:val="00330BC3"/>
    <w:rsid w:val="00360E0C"/>
    <w:rsid w:val="003940D3"/>
    <w:rsid w:val="003A06AF"/>
    <w:rsid w:val="003A0CAF"/>
    <w:rsid w:val="003A0D34"/>
    <w:rsid w:val="003B5CA5"/>
    <w:rsid w:val="00407329"/>
    <w:rsid w:val="0041017B"/>
    <w:rsid w:val="0042189D"/>
    <w:rsid w:val="004749B4"/>
    <w:rsid w:val="00486AAC"/>
    <w:rsid w:val="00490022"/>
    <w:rsid w:val="004A361D"/>
    <w:rsid w:val="004C622C"/>
    <w:rsid w:val="005016B3"/>
    <w:rsid w:val="00541DF3"/>
    <w:rsid w:val="00553CFB"/>
    <w:rsid w:val="005556E5"/>
    <w:rsid w:val="005733CC"/>
    <w:rsid w:val="0058498F"/>
    <w:rsid w:val="005A06DE"/>
    <w:rsid w:val="005B30C5"/>
    <w:rsid w:val="005C3C2A"/>
    <w:rsid w:val="005D2BB4"/>
    <w:rsid w:val="005E3A3D"/>
    <w:rsid w:val="005F33F1"/>
    <w:rsid w:val="00633380"/>
    <w:rsid w:val="00656C27"/>
    <w:rsid w:val="006A3969"/>
    <w:rsid w:val="006B7F66"/>
    <w:rsid w:val="006D62AE"/>
    <w:rsid w:val="007323B4"/>
    <w:rsid w:val="00761E4B"/>
    <w:rsid w:val="00763682"/>
    <w:rsid w:val="00774A36"/>
    <w:rsid w:val="00795EDB"/>
    <w:rsid w:val="007D754F"/>
    <w:rsid w:val="007E6991"/>
    <w:rsid w:val="008924B6"/>
    <w:rsid w:val="008A2955"/>
    <w:rsid w:val="008A3899"/>
    <w:rsid w:val="008C46D0"/>
    <w:rsid w:val="008C5887"/>
    <w:rsid w:val="008D58D9"/>
    <w:rsid w:val="008F097D"/>
    <w:rsid w:val="008F5DB1"/>
    <w:rsid w:val="00900ED7"/>
    <w:rsid w:val="00910B72"/>
    <w:rsid w:val="00914D70"/>
    <w:rsid w:val="00916FB0"/>
    <w:rsid w:val="00946456"/>
    <w:rsid w:val="009844BF"/>
    <w:rsid w:val="009951D3"/>
    <w:rsid w:val="00997C23"/>
    <w:rsid w:val="009A1A82"/>
    <w:rsid w:val="009A240E"/>
    <w:rsid w:val="009A2FC0"/>
    <w:rsid w:val="009B2B23"/>
    <w:rsid w:val="009E7212"/>
    <w:rsid w:val="00A1445D"/>
    <w:rsid w:val="00A220D8"/>
    <w:rsid w:val="00A2796C"/>
    <w:rsid w:val="00A53247"/>
    <w:rsid w:val="00A96DBD"/>
    <w:rsid w:val="00AC7D7E"/>
    <w:rsid w:val="00AD2C95"/>
    <w:rsid w:val="00AF769C"/>
    <w:rsid w:val="00B14B85"/>
    <w:rsid w:val="00B167FA"/>
    <w:rsid w:val="00B540A7"/>
    <w:rsid w:val="00BD2ECF"/>
    <w:rsid w:val="00BD4AB7"/>
    <w:rsid w:val="00C046AA"/>
    <w:rsid w:val="00C517E6"/>
    <w:rsid w:val="00C54F5B"/>
    <w:rsid w:val="00C85EE9"/>
    <w:rsid w:val="00C935CF"/>
    <w:rsid w:val="00CA62DA"/>
    <w:rsid w:val="00CE1391"/>
    <w:rsid w:val="00CE43D9"/>
    <w:rsid w:val="00CF7B37"/>
    <w:rsid w:val="00D0240B"/>
    <w:rsid w:val="00D23F99"/>
    <w:rsid w:val="00DB60A1"/>
    <w:rsid w:val="00DD44A3"/>
    <w:rsid w:val="00DD78EB"/>
    <w:rsid w:val="00DE66DA"/>
    <w:rsid w:val="00DE6888"/>
    <w:rsid w:val="00DF04D3"/>
    <w:rsid w:val="00DF3A1D"/>
    <w:rsid w:val="00E260AB"/>
    <w:rsid w:val="00E3239B"/>
    <w:rsid w:val="00E431A8"/>
    <w:rsid w:val="00EB450A"/>
    <w:rsid w:val="00ED6F06"/>
    <w:rsid w:val="00F16B5F"/>
    <w:rsid w:val="00F24504"/>
    <w:rsid w:val="00F2662A"/>
    <w:rsid w:val="00F6065F"/>
    <w:rsid w:val="00F7571C"/>
    <w:rsid w:val="00F8236E"/>
    <w:rsid w:val="00F87109"/>
    <w:rsid w:val="00FC0623"/>
    <w:rsid w:val="00FC2FEB"/>
    <w:rsid w:val="00FD52EB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101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017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F76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PG-BodyTextNumbered">
    <w:name w:val="RPG - Body Text (Numbered)"/>
    <w:basedOn w:val="Normal"/>
    <w:link w:val="RPG-BodyTextNumberedChar"/>
    <w:qFormat/>
    <w:rsid w:val="0012686B"/>
    <w:pPr>
      <w:numPr>
        <w:numId w:val="3"/>
      </w:numPr>
      <w:spacing w:before="200"/>
    </w:pPr>
    <w:rPr>
      <w:rFonts w:eastAsia="Calibri"/>
      <w:sz w:val="22"/>
      <w:szCs w:val="22"/>
    </w:rPr>
  </w:style>
  <w:style w:type="paragraph" w:customStyle="1" w:styleId="RPG-SublistLevel1">
    <w:name w:val="RPG - Sublist Level 1"/>
    <w:basedOn w:val="RPG-BodyTextNumbered"/>
    <w:qFormat/>
    <w:rsid w:val="0012686B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12686B"/>
    <w:pPr>
      <w:numPr>
        <w:ilvl w:val="2"/>
      </w:numPr>
    </w:pPr>
  </w:style>
  <w:style w:type="character" w:customStyle="1" w:styleId="RPG-BodyTextNumberedChar">
    <w:name w:val="RPG - Body Text (Numbered) Char"/>
    <w:link w:val="RPG-BodyTextNumbered"/>
    <w:rsid w:val="00490022"/>
    <w:rPr>
      <w:rFonts w:eastAsia="Calibri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D5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54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547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4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101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017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F76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PG-BodyTextNumbered">
    <w:name w:val="RPG - Body Text (Numbered)"/>
    <w:basedOn w:val="Normal"/>
    <w:link w:val="RPG-BodyTextNumberedChar"/>
    <w:qFormat/>
    <w:rsid w:val="0012686B"/>
    <w:pPr>
      <w:numPr>
        <w:numId w:val="3"/>
      </w:numPr>
      <w:spacing w:before="200"/>
    </w:pPr>
    <w:rPr>
      <w:rFonts w:eastAsia="Calibri"/>
      <w:sz w:val="22"/>
      <w:szCs w:val="22"/>
    </w:rPr>
  </w:style>
  <w:style w:type="paragraph" w:customStyle="1" w:styleId="RPG-SublistLevel1">
    <w:name w:val="RPG - Sublist Level 1"/>
    <w:basedOn w:val="RPG-BodyTextNumbered"/>
    <w:qFormat/>
    <w:rsid w:val="0012686B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12686B"/>
    <w:pPr>
      <w:numPr>
        <w:ilvl w:val="2"/>
      </w:numPr>
    </w:pPr>
  </w:style>
  <w:style w:type="character" w:customStyle="1" w:styleId="RPG-BodyTextNumberedChar">
    <w:name w:val="RPG - Body Text (Numbered) Char"/>
    <w:link w:val="RPG-BodyTextNumbered"/>
    <w:rsid w:val="00490022"/>
    <w:rPr>
      <w:rFonts w:eastAsia="Calibri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D5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54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547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Taing</dc:creator>
  <cp:lastModifiedBy>Merrill.murray</cp:lastModifiedBy>
  <cp:revision>2</cp:revision>
  <cp:lastPrinted>2014-06-06T04:52:00Z</cp:lastPrinted>
  <dcterms:created xsi:type="dcterms:W3CDTF">2014-06-12T03:47:00Z</dcterms:created>
  <dcterms:modified xsi:type="dcterms:W3CDTF">2014-06-12T03:47:00Z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A4194756</vt:lpwstr>
  </property>
  <property fmtid="{D5CDD505-2E9C-101B-9397-08002B2CF9AE}" pid="4" name="Objective-Title">
    <vt:lpwstr>Explanatory Statement - Class order release times for s29QB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2014-05-21T04:02:51Z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2014-05-21T05:33:32Z</vt:filetime>
  </property>
  <property fmtid="{D5CDD505-2E9C-101B-9397-08002B2CF9AE}" pid="11" name="Objective-Owner">
    <vt:lpwstr>Julie Johannsen</vt:lpwstr>
  </property>
  <property fmtid="{D5CDD505-2E9C-101B-9397-08002B2CF9AE}" pid="12" name="Objective-Path">
    <vt:lpwstr>ASIC BCS:STRATEGIC MANAGEMENT:Business Improvement Projects:Project Management:Stronger Super Reform Project:Project Products:Transparency:SIS 29QB Keeping super websites up to date:20140501 draft CO and RG:</vt:lpwstr>
  </property>
  <property fmtid="{D5CDD505-2E9C-101B-9397-08002B2CF9AE}" pid="13" name="Objective-Parent">
    <vt:lpwstr>20140501 draft CO and RG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