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73" w:rsidRPr="006E2373" w:rsidRDefault="006E2373" w:rsidP="006E2373">
      <w:pPr>
        <w:pStyle w:val="Heading2"/>
      </w:pPr>
      <w:bookmarkStart w:id="0" w:name="_Toc163488666"/>
      <w:bookmarkStart w:id="1" w:name="_GoBack"/>
      <w:bookmarkEnd w:id="1"/>
    </w:p>
    <w:p w:rsidR="00734088" w:rsidRDefault="00734088" w:rsidP="00734088">
      <w:pPr>
        <w:spacing w:after="0"/>
        <w:jc w:val="center"/>
        <w:rPr>
          <w:b/>
          <w:bCs/>
        </w:rPr>
      </w:pPr>
      <w:r>
        <w:rPr>
          <w:b/>
          <w:bCs/>
        </w:rPr>
        <w:t>Australian Securities and Investments Commission</w:t>
      </w:r>
    </w:p>
    <w:p w:rsidR="00734088" w:rsidRPr="005529DB" w:rsidRDefault="00734088" w:rsidP="00734088">
      <w:pPr>
        <w:jc w:val="center"/>
      </w:pPr>
      <w:r w:rsidRPr="005529DB">
        <w:rPr>
          <w:b/>
          <w:bCs/>
        </w:rPr>
        <w:t>Superannuation Industry (Supervision) Act 1993—</w:t>
      </w:r>
      <w:r w:rsidR="00D35BFC">
        <w:rPr>
          <w:b/>
          <w:bCs/>
        </w:rPr>
        <w:t>Subsection</w:t>
      </w:r>
      <w:r w:rsidR="00D35BFC" w:rsidRPr="005529DB">
        <w:rPr>
          <w:b/>
          <w:bCs/>
        </w:rPr>
        <w:t xml:space="preserve"> </w:t>
      </w:r>
      <w:r w:rsidRPr="005529DB">
        <w:rPr>
          <w:b/>
          <w:bCs/>
        </w:rPr>
        <w:t>332(1)—Declaration</w:t>
      </w:r>
    </w:p>
    <w:p w:rsidR="00734088" w:rsidRPr="005529DB" w:rsidRDefault="00734088" w:rsidP="00734088">
      <w:pPr>
        <w:spacing w:after="200"/>
      </w:pPr>
      <w:r w:rsidRPr="005529DB">
        <w:rPr>
          <w:b/>
          <w:bCs/>
        </w:rPr>
        <w:t xml:space="preserve">Enabling legislation </w:t>
      </w:r>
    </w:p>
    <w:p w:rsidR="00734088" w:rsidRPr="00A34B8D" w:rsidRDefault="00734088" w:rsidP="00734088">
      <w:pPr>
        <w:pStyle w:val="ListParagraph"/>
        <w:numPr>
          <w:ilvl w:val="0"/>
          <w:numId w:val="11"/>
        </w:numPr>
        <w:spacing w:after="200"/>
        <w:ind w:left="284" w:hanging="284"/>
        <w:rPr>
          <w:sz w:val="22"/>
          <w:szCs w:val="22"/>
        </w:rPr>
      </w:pPr>
      <w:r w:rsidRPr="00A34B8D">
        <w:rPr>
          <w:sz w:val="22"/>
          <w:szCs w:val="22"/>
        </w:rPr>
        <w:t xml:space="preserve">The Australian Securities and Investments Commission makes this instrument under </w:t>
      </w:r>
      <w:r w:rsidR="00D35BFC">
        <w:rPr>
          <w:sz w:val="22"/>
          <w:szCs w:val="22"/>
        </w:rPr>
        <w:t>subsection</w:t>
      </w:r>
      <w:r w:rsidR="00D35BFC" w:rsidRPr="00A34B8D">
        <w:rPr>
          <w:sz w:val="22"/>
          <w:szCs w:val="22"/>
        </w:rPr>
        <w:t> </w:t>
      </w:r>
      <w:r w:rsidRPr="00A34B8D">
        <w:rPr>
          <w:sz w:val="22"/>
          <w:szCs w:val="22"/>
        </w:rPr>
        <w:t>332(1)</w:t>
      </w:r>
      <w:r w:rsidRPr="00A34B8D">
        <w:rPr>
          <w:b/>
          <w:bCs/>
          <w:sz w:val="22"/>
          <w:szCs w:val="22"/>
        </w:rPr>
        <w:t xml:space="preserve"> </w:t>
      </w:r>
      <w:r w:rsidRPr="00A34B8D">
        <w:rPr>
          <w:sz w:val="22"/>
          <w:szCs w:val="22"/>
        </w:rPr>
        <w:t xml:space="preserve">of the </w:t>
      </w:r>
      <w:r w:rsidRPr="00A34B8D">
        <w:rPr>
          <w:i/>
          <w:iCs/>
          <w:sz w:val="22"/>
          <w:szCs w:val="22"/>
        </w:rPr>
        <w:t xml:space="preserve">Superannuation Industry (Supervision) Act 1993 </w:t>
      </w:r>
      <w:r w:rsidRPr="00A34B8D">
        <w:rPr>
          <w:sz w:val="22"/>
          <w:szCs w:val="22"/>
        </w:rPr>
        <w:t xml:space="preserve">(the </w:t>
      </w:r>
      <w:r w:rsidRPr="00A34B8D">
        <w:rPr>
          <w:b/>
          <w:bCs/>
          <w:i/>
          <w:iCs/>
          <w:sz w:val="22"/>
          <w:szCs w:val="22"/>
        </w:rPr>
        <w:t>Act</w:t>
      </w:r>
      <w:r w:rsidRPr="00A34B8D">
        <w:rPr>
          <w:sz w:val="22"/>
          <w:szCs w:val="22"/>
        </w:rPr>
        <w:t>).</w:t>
      </w:r>
    </w:p>
    <w:p w:rsidR="00734088" w:rsidRPr="005529DB" w:rsidRDefault="00734088" w:rsidP="00734088">
      <w:pPr>
        <w:spacing w:after="200"/>
      </w:pPr>
      <w:r w:rsidRPr="005529DB">
        <w:rPr>
          <w:b/>
          <w:bCs/>
        </w:rPr>
        <w:t xml:space="preserve">Title </w:t>
      </w:r>
    </w:p>
    <w:p w:rsidR="00734088" w:rsidRPr="005529DB" w:rsidRDefault="00734088" w:rsidP="00734088">
      <w:pPr>
        <w:ind w:left="284" w:hanging="284"/>
      </w:pPr>
      <w:r w:rsidRPr="005529DB">
        <w:t>2.</w:t>
      </w:r>
      <w:r>
        <w:tab/>
      </w:r>
      <w:r w:rsidRPr="005529DB">
        <w:t xml:space="preserve">This instrument is ASIC Class Order </w:t>
      </w:r>
      <w:r w:rsidR="00D352A7">
        <w:t>[</w:t>
      </w:r>
      <w:r w:rsidRPr="005529DB">
        <w:t>CO 1</w:t>
      </w:r>
      <w:r>
        <w:t>4</w:t>
      </w:r>
      <w:r w:rsidRPr="005529DB">
        <w:t>/</w:t>
      </w:r>
      <w:r w:rsidR="00423354">
        <w:t>509</w:t>
      </w:r>
      <w:r w:rsidR="00D352A7">
        <w:t>]</w:t>
      </w:r>
      <w:r w:rsidRPr="005529DB">
        <w:t xml:space="preserve">. </w:t>
      </w:r>
    </w:p>
    <w:p w:rsidR="00734088" w:rsidRPr="005529DB" w:rsidRDefault="00734088" w:rsidP="00734088">
      <w:pPr>
        <w:spacing w:after="200"/>
      </w:pPr>
      <w:r w:rsidRPr="005529DB">
        <w:rPr>
          <w:b/>
          <w:bCs/>
        </w:rPr>
        <w:t xml:space="preserve">Commencement </w:t>
      </w:r>
    </w:p>
    <w:p w:rsidR="00734088" w:rsidRPr="005529DB" w:rsidRDefault="00734088" w:rsidP="00734088">
      <w:pPr>
        <w:spacing w:after="180"/>
        <w:ind w:left="284" w:hanging="284"/>
      </w:pPr>
      <w:r w:rsidRPr="005529DB">
        <w:t>3.</w:t>
      </w:r>
      <w:r w:rsidRPr="005529DB">
        <w:tab/>
        <w:t xml:space="preserve">This instrument commences on the later of: </w:t>
      </w:r>
    </w:p>
    <w:p w:rsidR="00734088" w:rsidRPr="005529DB" w:rsidRDefault="00734088" w:rsidP="00734088">
      <w:pPr>
        <w:tabs>
          <w:tab w:val="left" w:pos="709"/>
        </w:tabs>
        <w:spacing w:after="180"/>
        <w:ind w:left="284"/>
      </w:pPr>
      <w:r w:rsidRPr="005529DB">
        <w:t>(a)</w:t>
      </w:r>
      <w:r w:rsidRPr="005529DB">
        <w:tab/>
        <w:t xml:space="preserve">the date it is registered under the </w:t>
      </w:r>
      <w:r w:rsidRPr="005529DB">
        <w:rPr>
          <w:i/>
          <w:iCs/>
        </w:rPr>
        <w:t>Legislative Instruments Act 2003</w:t>
      </w:r>
      <w:r w:rsidRPr="005529DB">
        <w:t xml:space="preserve">; and </w:t>
      </w:r>
    </w:p>
    <w:p w:rsidR="00734088" w:rsidRPr="005529DB" w:rsidRDefault="00734088" w:rsidP="00734088">
      <w:pPr>
        <w:tabs>
          <w:tab w:val="left" w:pos="709"/>
        </w:tabs>
        <w:ind w:left="284"/>
      </w:pPr>
      <w:r w:rsidRPr="005529DB">
        <w:t>(b)</w:t>
      </w:r>
      <w:r w:rsidRPr="005529DB">
        <w:tab/>
      </w:r>
      <w:r>
        <w:t>1 July 2014</w:t>
      </w:r>
      <w:r w:rsidRPr="005529DB">
        <w:t>.</w:t>
      </w:r>
    </w:p>
    <w:p w:rsidR="00734088" w:rsidRPr="005529DB" w:rsidRDefault="00734088" w:rsidP="00734088">
      <w:pPr>
        <w:pStyle w:val="Note"/>
        <w:tabs>
          <w:tab w:val="left" w:pos="851"/>
        </w:tabs>
        <w:spacing w:before="0" w:after="240" w:line="120" w:lineRule="atLeast"/>
        <w:ind w:left="851" w:hanging="567"/>
      </w:pPr>
      <w:r>
        <w:t xml:space="preserve">Note: </w:t>
      </w:r>
      <w:r w:rsidRPr="005529DB">
        <w:tab/>
        <w:t>An instrument is registered when it is recorded on the Federal Register of Legislative Instruments (</w:t>
      </w:r>
      <w:r w:rsidRPr="005529DB">
        <w:rPr>
          <w:b/>
          <w:bCs/>
          <w:i/>
          <w:iCs/>
        </w:rPr>
        <w:t>FRLI</w:t>
      </w:r>
      <w:r w:rsidRPr="005529DB">
        <w:t xml:space="preserve">) in electronic form: see </w:t>
      </w:r>
      <w:r w:rsidRPr="005529DB">
        <w:rPr>
          <w:i/>
          <w:iCs/>
        </w:rPr>
        <w:t>Legislative Instruments Act 2003</w:t>
      </w:r>
      <w:r w:rsidRPr="005529DB">
        <w:t xml:space="preserve">, section 4 (definition of </w:t>
      </w:r>
      <w:r w:rsidRPr="005529DB">
        <w:rPr>
          <w:b/>
          <w:bCs/>
          <w:i/>
          <w:iCs/>
        </w:rPr>
        <w:t>register</w:t>
      </w:r>
      <w:r w:rsidRPr="005529DB">
        <w:t xml:space="preserve">). The FRLI may be accessed at </w:t>
      </w:r>
      <w:hyperlink r:id="rId9" w:history="1">
        <w:r w:rsidRPr="00656B22">
          <w:rPr>
            <w:rStyle w:val="Hyperlink"/>
            <w:color w:val="auto"/>
          </w:rPr>
          <w:t>http://www.frli.gov.au/</w:t>
        </w:r>
      </w:hyperlink>
      <w:r w:rsidRPr="005529DB">
        <w:t xml:space="preserve">. </w:t>
      </w:r>
    </w:p>
    <w:p w:rsidR="00734088" w:rsidRPr="005529DB" w:rsidRDefault="00734088" w:rsidP="00734088">
      <w:pPr>
        <w:spacing w:after="200"/>
      </w:pPr>
      <w:r w:rsidRPr="005529DB">
        <w:rPr>
          <w:b/>
          <w:bCs/>
        </w:rPr>
        <w:t xml:space="preserve">Declaration </w:t>
      </w:r>
    </w:p>
    <w:p w:rsidR="00734088" w:rsidRDefault="00734088" w:rsidP="00734088">
      <w:pPr>
        <w:ind w:left="284" w:hanging="284"/>
      </w:pPr>
      <w:r w:rsidRPr="005529DB">
        <w:t>4.</w:t>
      </w:r>
      <w:r w:rsidRPr="005529DB">
        <w:tab/>
        <w:t xml:space="preserve">Section 29QB of the Act </w:t>
      </w:r>
      <w:r>
        <w:t>has effect</w:t>
      </w:r>
      <w:r w:rsidRPr="005529DB">
        <w:t xml:space="preserve"> in relation to an RSE licensee of a registrable superannuation entity as if </w:t>
      </w:r>
      <w:r>
        <w:t>that section</w:t>
      </w:r>
      <w:r w:rsidRPr="005529DB">
        <w:t xml:space="preserve"> were modified </w:t>
      </w:r>
      <w:r>
        <w:t>by inserting after subsection 29QB(1):</w:t>
      </w:r>
    </w:p>
    <w:p w:rsidR="00734088" w:rsidRDefault="00734088" w:rsidP="00734088">
      <w:pPr>
        <w:spacing w:after="180"/>
        <w:ind w:left="993" w:hanging="709"/>
      </w:pPr>
      <w:r w:rsidRPr="005529DB">
        <w:t>“(1A)</w:t>
      </w:r>
      <w:r>
        <w:tab/>
        <w:t xml:space="preserve">If subsection (1) requires the RSE licensee of a registrable superannuation entity to make publicly available, or update, particular details, a particular document or particular information on the registrable superannuation entity’s website, the RSE licensee is taken to satisfy that requirement if: </w:t>
      </w:r>
    </w:p>
    <w:p w:rsidR="00734088" w:rsidRDefault="00734088" w:rsidP="00734088">
      <w:pPr>
        <w:spacing w:after="180"/>
        <w:ind w:left="1418" w:hanging="425"/>
      </w:pPr>
      <w:r>
        <w:t>(a)</w:t>
      </w:r>
      <w:r>
        <w:tab/>
      </w:r>
      <w:r w:rsidRPr="007C2FB3">
        <w:rPr>
          <w:spacing w:val="-2"/>
        </w:rPr>
        <w:t xml:space="preserve">for details prescribed by regulation 2.37 of the </w:t>
      </w:r>
      <w:r w:rsidRPr="007C2FB3">
        <w:rPr>
          <w:i/>
          <w:spacing w:val="-2"/>
        </w:rPr>
        <w:t>Superannuation Industry (Supervision)</w:t>
      </w:r>
      <w:r w:rsidRPr="009F105D">
        <w:rPr>
          <w:i/>
        </w:rPr>
        <w:t xml:space="preserve"> Regulations 1994</w:t>
      </w:r>
      <w:r>
        <w:t xml:space="preserve"> (</w:t>
      </w:r>
      <w:r w:rsidRPr="009F105D">
        <w:rPr>
          <w:b/>
          <w:i/>
        </w:rPr>
        <w:t>Regulations</w:t>
      </w:r>
      <w:r w:rsidR="007A793B">
        <w:t>)—</w:t>
      </w:r>
      <w:r>
        <w:t xml:space="preserve">the details (as updated if applicable) are included on the registrable superannuation entity’s website by the following time: </w:t>
      </w:r>
    </w:p>
    <w:p w:rsidR="00734088" w:rsidRDefault="00734088" w:rsidP="00734088">
      <w:pPr>
        <w:spacing w:after="180"/>
        <w:ind w:left="1985" w:hanging="567"/>
      </w:pPr>
      <w:r>
        <w:t>(i)</w:t>
      </w:r>
      <w:r>
        <w:tab/>
        <w:t xml:space="preserve">for details about a person referred to in item 1 of the table in </w:t>
      </w:r>
      <w:r w:rsidR="00656B22">
        <w:t>sub</w:t>
      </w:r>
      <w:r>
        <w:t>regulation 2.37</w:t>
      </w:r>
      <w:r w:rsidR="00656B22">
        <w:t>(1)—</w:t>
      </w:r>
      <w:r>
        <w:t xml:space="preserve">within </w:t>
      </w:r>
      <w:r w:rsidR="002C4720">
        <w:t>20 business days</w:t>
      </w:r>
      <w:r>
        <w:t xml:space="preserve"> after the person referred to </w:t>
      </w:r>
      <w:r w:rsidRPr="00D771B5">
        <w:t>in</w:t>
      </w:r>
      <w:r>
        <w:t xml:space="preserve"> the item: </w:t>
      </w:r>
    </w:p>
    <w:p w:rsidR="00734088" w:rsidRDefault="00734088" w:rsidP="00734088">
      <w:pPr>
        <w:spacing w:after="180"/>
        <w:ind w:left="2410" w:hanging="425"/>
      </w:pPr>
      <w:r>
        <w:t>(A)</w:t>
      </w:r>
      <w:r>
        <w:tab/>
        <w:t>is appointed as a relevant executive officer or relevant individual trustee; or</w:t>
      </w:r>
    </w:p>
    <w:p w:rsidR="00734088" w:rsidRDefault="00734088" w:rsidP="00734088">
      <w:pPr>
        <w:spacing w:after="180"/>
        <w:ind w:left="2410" w:hanging="425"/>
      </w:pPr>
      <w:r>
        <w:t>(B)</w:t>
      </w:r>
      <w:r>
        <w:tab/>
      </w:r>
      <w:r w:rsidR="002C4720">
        <w:t xml:space="preserve">advises the RSE </w:t>
      </w:r>
      <w:r w:rsidR="00505819">
        <w:t>l</w:t>
      </w:r>
      <w:r w:rsidR="002C4720">
        <w:t xml:space="preserve">icensee that they have changed </w:t>
      </w:r>
      <w:r>
        <w:t>their name; and</w:t>
      </w:r>
    </w:p>
    <w:p w:rsidR="00734088" w:rsidRDefault="00734088" w:rsidP="00734088">
      <w:pPr>
        <w:spacing w:after="180"/>
        <w:ind w:left="1985" w:hanging="567"/>
      </w:pPr>
      <w:r>
        <w:t>(ii)</w:t>
      </w:r>
      <w:r>
        <w:tab/>
        <w:t xml:space="preserve">for details referred to in any of items 2 to 4 of the table </w:t>
      </w:r>
      <w:r w:rsidR="00656B22" w:rsidRPr="00656B22">
        <w:t>in subregulation 2.37(1)—</w:t>
      </w:r>
      <w:r>
        <w:t xml:space="preserve">within </w:t>
      </w:r>
      <w:r w:rsidR="002C4720">
        <w:t>20 business days</w:t>
      </w:r>
      <w:r>
        <w:t xml:space="preserve"> after the </w:t>
      </w:r>
      <w:r w:rsidR="0068108C">
        <w:t>event</w:t>
      </w:r>
      <w:r w:rsidR="002A048F">
        <w:t xml:space="preserve"> </w:t>
      </w:r>
      <w:r>
        <w:t>referred to in the relevant item</w:t>
      </w:r>
      <w:r w:rsidR="0068108C">
        <w:t xml:space="preserve"> occurs</w:t>
      </w:r>
      <w:r>
        <w:t>; and</w:t>
      </w:r>
    </w:p>
    <w:p w:rsidR="00734088" w:rsidRDefault="00734088" w:rsidP="00734088">
      <w:pPr>
        <w:spacing w:after="180"/>
        <w:ind w:left="1985" w:hanging="567"/>
      </w:pPr>
      <w:r>
        <w:t>(iii)</w:t>
      </w:r>
      <w:r>
        <w:tab/>
        <w:t xml:space="preserve">for details referred to in any of items 5 to 7 and 9 to 16 of the table </w:t>
      </w:r>
      <w:r w:rsidR="00656B22">
        <w:t xml:space="preserve">in subregulation 2.37(1) </w:t>
      </w:r>
      <w:r>
        <w:t>(as affec</w:t>
      </w:r>
      <w:r w:rsidR="00656B22">
        <w:t>ted by subregulation 2.37(2))—</w:t>
      </w:r>
      <w:r>
        <w:t xml:space="preserve">within </w:t>
      </w:r>
      <w:r w:rsidR="002C4720">
        <w:t>4 months</w:t>
      </w:r>
      <w:r>
        <w:t xml:space="preserve"> after the end of the most recently completed financial year referred to in the relevant item; and</w:t>
      </w:r>
    </w:p>
    <w:p w:rsidR="00734088" w:rsidRDefault="00734088" w:rsidP="00734088">
      <w:pPr>
        <w:spacing w:after="180"/>
        <w:ind w:left="1985" w:hanging="567"/>
      </w:pPr>
      <w:r>
        <w:lastRenderedPageBreak/>
        <w:t>(iv)</w:t>
      </w:r>
      <w:r>
        <w:tab/>
        <w:t xml:space="preserve">for details referred to in item 8 of the table </w:t>
      </w:r>
      <w:r w:rsidR="00656B22">
        <w:t xml:space="preserve">in subregulation 2.37(1) </w:t>
      </w:r>
      <w:r>
        <w:t>(as affected by subregulation 2.37(2))</w:t>
      </w:r>
      <w:r w:rsidR="00656B22">
        <w:t>—</w:t>
      </w:r>
      <w:r>
        <w:t xml:space="preserve">within </w:t>
      </w:r>
      <w:r w:rsidR="008463FF">
        <w:t>4 months</w:t>
      </w:r>
      <w:r>
        <w:t xml:space="preserve"> after the </w:t>
      </w:r>
      <w:r w:rsidR="008463FF">
        <w:t xml:space="preserve">end of the financial year </w:t>
      </w:r>
      <w:r>
        <w:t>referred to in the item; and</w:t>
      </w:r>
    </w:p>
    <w:p w:rsidR="0081522D" w:rsidRDefault="00734088" w:rsidP="00734088">
      <w:pPr>
        <w:spacing w:after="180"/>
        <w:ind w:left="1418" w:hanging="425"/>
      </w:pPr>
      <w:r>
        <w:t>(b)</w:t>
      </w:r>
      <w:r>
        <w:tab/>
        <w:t>for a document or information prescribed by regulation 2.38 of the Regulations</w:t>
      </w:r>
      <w:r w:rsidR="00656B22">
        <w:t>—</w:t>
      </w:r>
      <w:r>
        <w:t>the document or information (as updated if applicable)</w:t>
      </w:r>
      <w:r w:rsidRPr="0014496C">
        <w:t xml:space="preserve"> </w:t>
      </w:r>
      <w:r>
        <w:t>is included on the registrable superannuation entity’s website by</w:t>
      </w:r>
      <w:r w:rsidRPr="0014496C">
        <w:t xml:space="preserve"> the following time:</w:t>
      </w:r>
    </w:p>
    <w:p w:rsidR="00734088" w:rsidRDefault="00734088" w:rsidP="00734088">
      <w:pPr>
        <w:spacing w:after="180"/>
        <w:ind w:left="1985" w:hanging="567"/>
      </w:pPr>
      <w:r>
        <w:t>(i)</w:t>
      </w:r>
      <w:r>
        <w:tab/>
        <w:t>for a document referred to in any of paragraphs 2.38(2)(a) to (c) of the Regulations</w:t>
      </w:r>
      <w:r w:rsidR="00656B22">
        <w:t>—</w:t>
      </w:r>
      <w:r>
        <w:t xml:space="preserve">within </w:t>
      </w:r>
      <w:r w:rsidR="002C4720">
        <w:t>20 business days</w:t>
      </w:r>
      <w:r>
        <w:t xml:space="preserve"> after the document beginning to apply in relation to the registrable superannuation entity or</w:t>
      </w:r>
      <w:r w:rsidR="00857CAD">
        <w:t xml:space="preserve"> in the case of</w:t>
      </w:r>
      <w:r>
        <w:t xml:space="preserve"> being amended</w:t>
      </w:r>
      <w:r w:rsidR="00857CAD">
        <w:t>, the later of the date of amendment and the effective date of the amendment</w:t>
      </w:r>
      <w:r>
        <w:t>; and</w:t>
      </w:r>
    </w:p>
    <w:p w:rsidR="00734088" w:rsidRDefault="00734088" w:rsidP="00734088">
      <w:pPr>
        <w:spacing w:after="180"/>
        <w:ind w:left="1985" w:hanging="567"/>
      </w:pPr>
      <w:r>
        <w:t>(ii)</w:t>
      </w:r>
      <w:r>
        <w:tab/>
        <w:t xml:space="preserve">for an actuarial report referred to in paragraph </w:t>
      </w:r>
      <w:r w:rsidR="00656B22">
        <w:t>2.38(2)(d) of the Regulations—</w:t>
      </w:r>
      <w:r>
        <w:t xml:space="preserve">within </w:t>
      </w:r>
      <w:r w:rsidR="002C4720">
        <w:t>20 business days</w:t>
      </w:r>
      <w:r>
        <w:t xml:space="preserve"> after the RSE licensee receives the report; and</w:t>
      </w:r>
    </w:p>
    <w:p w:rsidR="002A5BD5" w:rsidRDefault="00734088" w:rsidP="00734088">
      <w:pPr>
        <w:spacing w:after="180"/>
        <w:ind w:left="1985" w:hanging="567"/>
        <w:rPr>
          <w:b/>
          <w:i/>
        </w:rPr>
      </w:pPr>
      <w:r>
        <w:t xml:space="preserve">(iii) </w:t>
      </w:r>
      <w:r>
        <w:tab/>
      </w:r>
      <w:r w:rsidRPr="00D771B5">
        <w:t xml:space="preserve">for a </w:t>
      </w:r>
      <w:r w:rsidR="00423354">
        <w:t>p</w:t>
      </w:r>
      <w:r w:rsidRPr="00D771B5">
        <w:t xml:space="preserve">roduct </w:t>
      </w:r>
      <w:r w:rsidR="00423354">
        <w:t>d</w:t>
      </w:r>
      <w:r w:rsidRPr="00D771B5">
        <w:t xml:space="preserve">isclosure </w:t>
      </w:r>
      <w:r w:rsidR="00423354">
        <w:t>s</w:t>
      </w:r>
      <w:r w:rsidRPr="00D771B5">
        <w:t>tatement referred to in paragraph 2.38(2)(e) of th</w:t>
      </w:r>
      <w:r w:rsidR="00656B22">
        <w:t>e Regulations—</w:t>
      </w:r>
      <w:r w:rsidR="00B70D82">
        <w:t>within 20 business days after</w:t>
      </w:r>
      <w:r w:rsidRPr="00D771B5">
        <w:t xml:space="preserve"> a copy of the </w:t>
      </w:r>
      <w:r w:rsidR="00423354">
        <w:t>p</w:t>
      </w:r>
      <w:r w:rsidRPr="00D771B5">
        <w:t xml:space="preserve">roduct </w:t>
      </w:r>
      <w:r w:rsidR="00423354">
        <w:t>d</w:t>
      </w:r>
      <w:r w:rsidRPr="00D771B5">
        <w:t xml:space="preserve">isclosure </w:t>
      </w:r>
      <w:r w:rsidR="00423354">
        <w:t>s</w:t>
      </w:r>
      <w:r w:rsidRPr="00D771B5">
        <w:t>tatement (including any Supplementary Product Disclosure Statement or Replacement Product Disclosure Statement) is first given to a person in a recommendation, issue or sale situation; and</w:t>
      </w:r>
      <w:r w:rsidRPr="007500AC">
        <w:rPr>
          <w:b/>
          <w:i/>
        </w:rPr>
        <w:t xml:space="preserve"> </w:t>
      </w:r>
    </w:p>
    <w:p w:rsidR="00734088" w:rsidRDefault="00734088" w:rsidP="00734088">
      <w:pPr>
        <w:spacing w:after="180"/>
        <w:ind w:left="1985" w:hanging="567"/>
      </w:pPr>
      <w:r>
        <w:t>(iv)</w:t>
      </w:r>
      <w:r>
        <w:tab/>
      </w:r>
      <w:r w:rsidRPr="00F65E83">
        <w:t xml:space="preserve">for </w:t>
      </w:r>
      <w:r w:rsidR="006571F5">
        <w:t>an annual report</w:t>
      </w:r>
      <w:r w:rsidRPr="00F65E83">
        <w:t xml:space="preserve"> referred to in paragraph 2.38(2)(f) of the Regulations</w:t>
      </w:r>
      <w:r w:rsidR="00656B22">
        <w:t>—</w:t>
      </w:r>
      <w:r w:rsidR="006571F5">
        <w:t xml:space="preserve"> within 20 business days after</w:t>
      </w:r>
      <w:r w:rsidRPr="00F65E83">
        <w:t xml:space="preserve"> the </w:t>
      </w:r>
      <w:r w:rsidR="006571F5">
        <w:t>annual report</w:t>
      </w:r>
      <w:r w:rsidR="006571F5" w:rsidRPr="00F65E83">
        <w:t xml:space="preserve"> </w:t>
      </w:r>
      <w:r w:rsidRPr="00F65E83">
        <w:t>is first provided or made available to a member;</w:t>
      </w:r>
      <w:r>
        <w:t xml:space="preserve"> and </w:t>
      </w:r>
    </w:p>
    <w:p w:rsidR="00734088" w:rsidRDefault="00734088" w:rsidP="00734088">
      <w:pPr>
        <w:spacing w:after="180"/>
        <w:ind w:left="1985" w:hanging="567"/>
      </w:pPr>
      <w:r>
        <w:t>(v)</w:t>
      </w:r>
      <w:r>
        <w:tab/>
        <w:t xml:space="preserve">for a </w:t>
      </w:r>
      <w:r w:rsidR="00423354">
        <w:t>f</w:t>
      </w:r>
      <w:r>
        <w:t xml:space="preserve">inancial </w:t>
      </w:r>
      <w:r w:rsidR="00423354">
        <w:t>s</w:t>
      </w:r>
      <w:r>
        <w:t xml:space="preserve">ervices </w:t>
      </w:r>
      <w:r w:rsidR="00423354">
        <w:t>g</w:t>
      </w:r>
      <w:r>
        <w:t>uide referred to in paragraph 2.38(2)(g) of the Regulations</w:t>
      </w:r>
      <w:r w:rsidR="00656B22">
        <w:t>—</w:t>
      </w:r>
      <w:r w:rsidR="006571F5">
        <w:t xml:space="preserve">within 20 business </w:t>
      </w:r>
      <w:r>
        <w:t>day</w:t>
      </w:r>
      <w:r w:rsidR="006571F5">
        <w:t>s after</w:t>
      </w:r>
      <w:r>
        <w:t xml:space="preserve"> </w:t>
      </w:r>
      <w:r w:rsidRPr="00683476">
        <w:t xml:space="preserve">the </w:t>
      </w:r>
      <w:r w:rsidR="00DD2A31">
        <w:t>f</w:t>
      </w:r>
      <w:r w:rsidRPr="00683476">
        <w:t xml:space="preserve">inancial </w:t>
      </w:r>
      <w:r w:rsidR="00DD2A31">
        <w:t>s</w:t>
      </w:r>
      <w:r w:rsidRPr="00683476">
        <w:t xml:space="preserve">ervices </w:t>
      </w:r>
      <w:r w:rsidR="00DD2A31">
        <w:t>g</w:t>
      </w:r>
      <w:r w:rsidRPr="00683476">
        <w:t>uide is first</w:t>
      </w:r>
      <w:r>
        <w:t xml:space="preserve"> </w:t>
      </w:r>
      <w:r w:rsidR="00DD2A31">
        <w:t>given</w:t>
      </w:r>
      <w:r w:rsidRPr="00683476">
        <w:t xml:space="preserve"> to </w:t>
      </w:r>
      <w:r>
        <w:t xml:space="preserve">a person under section 941A or 941B of the </w:t>
      </w:r>
      <w:r w:rsidRPr="006159FD">
        <w:rPr>
          <w:i/>
        </w:rPr>
        <w:t>Corporations Act 2001</w:t>
      </w:r>
      <w:r>
        <w:t>; and</w:t>
      </w:r>
    </w:p>
    <w:p w:rsidR="00734088" w:rsidRDefault="00734088" w:rsidP="00734088">
      <w:pPr>
        <w:spacing w:after="180"/>
        <w:ind w:left="1985" w:hanging="567"/>
      </w:pPr>
      <w:r>
        <w:t>(vi)</w:t>
      </w:r>
      <w:r>
        <w:tab/>
        <w:t>for a summary of a significant event or material change notice referred to in paragraph 2.38(2)(h) of the Regulations</w:t>
      </w:r>
      <w:r w:rsidR="00656B22">
        <w:t>—</w:t>
      </w:r>
      <w:r>
        <w:t xml:space="preserve">within </w:t>
      </w:r>
      <w:r w:rsidR="006571F5">
        <w:t xml:space="preserve">20 business </w:t>
      </w:r>
      <w:r>
        <w:t>days after the notice is first sent to members; and</w:t>
      </w:r>
    </w:p>
    <w:p w:rsidR="00734088" w:rsidRDefault="00734088" w:rsidP="00734088">
      <w:pPr>
        <w:spacing w:after="180"/>
        <w:ind w:left="1985" w:hanging="567"/>
      </w:pPr>
      <w:r>
        <w:t>(vii)</w:t>
      </w:r>
      <w:r>
        <w:tab/>
        <w:t>for information in relation to a person referred to in paragraph 2.38(2)(i) of the Regulations</w:t>
      </w:r>
      <w:r w:rsidR="00656B22">
        <w:t>—</w:t>
      </w:r>
      <w:r>
        <w:t xml:space="preserve">within </w:t>
      </w:r>
      <w:r w:rsidR="002C4720">
        <w:t>20 business days</w:t>
      </w:r>
      <w:r>
        <w:t xml:space="preserve"> after the person is appointed to provide a service referred to in that paragraph; and</w:t>
      </w:r>
    </w:p>
    <w:p w:rsidR="00734088" w:rsidRDefault="00734088" w:rsidP="00734088">
      <w:pPr>
        <w:spacing w:after="180"/>
        <w:ind w:left="1985" w:hanging="567"/>
      </w:pPr>
      <w:r>
        <w:t>(viii)</w:t>
      </w:r>
      <w:r>
        <w:tab/>
        <w:t>for information in relation to a person referred to in paragraph 2.38(2)(j) of the Regulations</w:t>
      </w:r>
      <w:r w:rsidR="00656B22">
        <w:t>—</w:t>
      </w:r>
      <w:r>
        <w:t xml:space="preserve">within </w:t>
      </w:r>
      <w:r w:rsidR="002C4720">
        <w:t>20 business days</w:t>
      </w:r>
      <w:r>
        <w:t xml:space="preserve"> after: </w:t>
      </w:r>
    </w:p>
    <w:p w:rsidR="00734088" w:rsidRDefault="00DD2A31" w:rsidP="007500AC">
      <w:pPr>
        <w:pStyle w:val="sub3paraA"/>
        <w:numPr>
          <w:ilvl w:val="0"/>
          <w:numId w:val="0"/>
        </w:numPr>
        <w:spacing w:before="0" w:after="180" w:line="240" w:lineRule="auto"/>
        <w:ind w:left="2552" w:hanging="567"/>
      </w:pPr>
      <w:r>
        <w:t>(A)</w:t>
      </w:r>
      <w:r>
        <w:tab/>
      </w:r>
      <w:r w:rsidR="00734088">
        <w:t>the person is appointed as an executive officer of the RSE licensee or an individual trustee; or</w:t>
      </w:r>
    </w:p>
    <w:p w:rsidR="00734088" w:rsidRDefault="00DD2A31" w:rsidP="007500AC">
      <w:pPr>
        <w:pStyle w:val="sub3paraA"/>
        <w:numPr>
          <w:ilvl w:val="0"/>
          <w:numId w:val="0"/>
        </w:numPr>
        <w:spacing w:before="0" w:after="180" w:line="240" w:lineRule="auto"/>
        <w:ind w:left="2552" w:hanging="567"/>
      </w:pPr>
      <w:r>
        <w:t>(B)</w:t>
      </w:r>
      <w:r>
        <w:tab/>
      </w:r>
      <w:r w:rsidR="00734088">
        <w:t xml:space="preserve">the end of each financial year during which the person served as a trustee or </w:t>
      </w:r>
      <w:r w:rsidR="00D05CC9">
        <w:t>executive officer</w:t>
      </w:r>
      <w:r w:rsidR="00734088">
        <w:t>; and</w:t>
      </w:r>
      <w:r>
        <w:t xml:space="preserve"> </w:t>
      </w:r>
    </w:p>
    <w:p w:rsidR="00734088" w:rsidRDefault="00734088" w:rsidP="00734088">
      <w:pPr>
        <w:spacing w:after="180"/>
        <w:ind w:left="1985" w:hanging="567"/>
      </w:pPr>
      <w:r>
        <w:t>(ix)</w:t>
      </w:r>
      <w:r>
        <w:tab/>
        <w:t>for a record of attendance for a director referred to in paragraph 2.38(2)(k) of the Regulations</w:t>
      </w:r>
      <w:r w:rsidR="00656B22">
        <w:t>—w</w:t>
      </w:r>
      <w:r>
        <w:t xml:space="preserve">ithin </w:t>
      </w:r>
      <w:r w:rsidR="002C4720">
        <w:t>20 business days</w:t>
      </w:r>
      <w:r>
        <w:t xml:space="preserve"> after the end of each financial year during some or all of which the director</w:t>
      </w:r>
      <w:r w:rsidR="00CD6692">
        <w:t xml:space="preserve"> has served</w:t>
      </w:r>
      <w:r>
        <w:t>; and</w:t>
      </w:r>
    </w:p>
    <w:p w:rsidR="00656B22" w:rsidRDefault="00734088" w:rsidP="00734088">
      <w:pPr>
        <w:spacing w:after="180"/>
        <w:ind w:left="1985" w:hanging="567"/>
      </w:pPr>
      <w:r>
        <w:t>(x)</w:t>
      </w:r>
      <w:r>
        <w:tab/>
        <w:t>for a register referred to in paragraph 2.38(2)(l) of the Regulations</w:t>
      </w:r>
      <w:r w:rsidR="00656B22">
        <w:t>—</w:t>
      </w:r>
      <w:r w:rsidR="00826C9B">
        <w:t xml:space="preserve">the register as at the end of the most recent quarter is included </w:t>
      </w:r>
      <w:r>
        <w:t xml:space="preserve">within </w:t>
      </w:r>
      <w:r w:rsidR="002C4720">
        <w:t>20 business days</w:t>
      </w:r>
      <w:r>
        <w:t xml:space="preserve"> after </w:t>
      </w:r>
      <w:r w:rsidR="00826C9B">
        <w:t>the end of the quarter</w:t>
      </w:r>
      <w:r>
        <w:t>; and</w:t>
      </w:r>
    </w:p>
    <w:p w:rsidR="00734088" w:rsidRDefault="00734088" w:rsidP="00734088">
      <w:pPr>
        <w:spacing w:after="180"/>
        <w:ind w:left="1985" w:hanging="567"/>
      </w:pPr>
      <w:r>
        <w:lastRenderedPageBreak/>
        <w:t>(xi)</w:t>
      </w:r>
      <w:r>
        <w:tab/>
        <w:t xml:space="preserve">for a summary of the conflicts management </w:t>
      </w:r>
      <w:r w:rsidRPr="00D771B5">
        <w:t>policy</w:t>
      </w:r>
      <w:r>
        <w:t xml:space="preserve"> referred to in paragraph 2.38(2)(m)</w:t>
      </w:r>
      <w:r w:rsidR="00656B22">
        <w:t>—</w:t>
      </w:r>
      <w:r>
        <w:t xml:space="preserve">within </w:t>
      </w:r>
      <w:r w:rsidR="002C4720">
        <w:t>20 business days</w:t>
      </w:r>
      <w:r>
        <w:t xml:space="preserve"> </w:t>
      </w:r>
      <w:r w:rsidR="00095E2F">
        <w:t xml:space="preserve">after </w:t>
      </w:r>
      <w:r>
        <w:t xml:space="preserve">the </w:t>
      </w:r>
      <w:r w:rsidRPr="00D771B5">
        <w:t xml:space="preserve">policy </w:t>
      </w:r>
      <w:r>
        <w:t>being established or amended; and</w:t>
      </w:r>
    </w:p>
    <w:p w:rsidR="00734088" w:rsidRDefault="00734088" w:rsidP="00734088">
      <w:pPr>
        <w:spacing w:after="180"/>
        <w:ind w:left="1985" w:hanging="567"/>
      </w:pPr>
      <w:r>
        <w:t>(xii)</w:t>
      </w:r>
      <w:r>
        <w:tab/>
        <w:t>for a policy referred to in paragraph 2.38(2)(n) of the Regulations</w:t>
      </w:r>
      <w:r w:rsidR="00656B22">
        <w:t>—</w:t>
      </w:r>
      <w:r>
        <w:t xml:space="preserve">within </w:t>
      </w:r>
      <w:r w:rsidR="002C4720">
        <w:t>20 business days</w:t>
      </w:r>
      <w:r>
        <w:t xml:space="preserve"> after the policy being established or amended; and</w:t>
      </w:r>
    </w:p>
    <w:p w:rsidR="00734088" w:rsidRDefault="00734088" w:rsidP="00734088">
      <w:pPr>
        <w:spacing w:after="180"/>
        <w:ind w:left="1985" w:hanging="567"/>
      </w:pPr>
      <w:r>
        <w:t>(xiii)</w:t>
      </w:r>
      <w:r>
        <w:tab/>
        <w:t>for the summary referred to in paragraph 2.38(2)(o) of the Regulations</w:t>
      </w:r>
      <w:r w:rsidR="00656B22">
        <w:t>—</w:t>
      </w:r>
      <w:r>
        <w:t xml:space="preserve">within </w:t>
      </w:r>
      <w:r w:rsidR="002C4720">
        <w:t>20 business days</w:t>
      </w:r>
      <w:r>
        <w:t xml:space="preserve"> after the end of the previous financial year referred to in the paragraph; and</w:t>
      </w:r>
    </w:p>
    <w:p w:rsidR="00734088" w:rsidRDefault="00734088" w:rsidP="00734088">
      <w:pPr>
        <w:spacing w:after="180"/>
        <w:ind w:left="1985" w:hanging="567"/>
      </w:pPr>
      <w:r w:rsidRPr="00D771B5">
        <w:t>(xiv)</w:t>
      </w:r>
      <w:r w:rsidRPr="00D771B5">
        <w:tab/>
        <w:t>for a constitution of an RSE licensee referred to in paragraph 2.38(3)(a) of the Regulations</w:t>
      </w:r>
      <w:r w:rsidR="00656B22">
        <w:t>—</w:t>
      </w:r>
      <w:r w:rsidRPr="00D771B5">
        <w:t xml:space="preserve">within </w:t>
      </w:r>
      <w:r w:rsidR="002C4720">
        <w:t>20 business days</w:t>
      </w:r>
      <w:r w:rsidRPr="00D771B5">
        <w:t xml:space="preserve"> </w:t>
      </w:r>
      <w:r w:rsidR="00095E2F">
        <w:t>after</w:t>
      </w:r>
      <w:r w:rsidR="00095E2F" w:rsidRPr="00D771B5">
        <w:t xml:space="preserve"> </w:t>
      </w:r>
      <w:r w:rsidRPr="00D771B5">
        <w:t>the constitution beginning to apply in relation to the RSE licensee or being amended; and</w:t>
      </w:r>
    </w:p>
    <w:p w:rsidR="0081522D" w:rsidRPr="00E72763" w:rsidRDefault="00734088" w:rsidP="00DD37FA">
      <w:pPr>
        <w:spacing w:after="180"/>
        <w:ind w:left="1985" w:hanging="567"/>
      </w:pPr>
      <w:r w:rsidRPr="00FC1F20">
        <w:t>(</w:t>
      </w:r>
      <w:r>
        <w:t>x</w:t>
      </w:r>
      <w:r w:rsidRPr="00FC1F20">
        <w:t>v)</w:t>
      </w:r>
      <w:r w:rsidRPr="00FC1F20">
        <w:tab/>
      </w:r>
      <w:r w:rsidRPr="00E72763">
        <w:t>for the</w:t>
      </w:r>
      <w:r w:rsidR="002B13FC">
        <w:t xml:space="preserve"> annual financial</w:t>
      </w:r>
      <w:r w:rsidRPr="00E72763">
        <w:t xml:space="preserve"> statement referred to in paragraph 2.38(3)(b) of the Regulations</w:t>
      </w:r>
      <w:r w:rsidR="00656B22">
        <w:t>—</w:t>
      </w:r>
      <w:r w:rsidRPr="00E72763">
        <w:t xml:space="preserve">the day that the statement is </w:t>
      </w:r>
      <w:r w:rsidR="0033725B">
        <w:t xml:space="preserve">first </w:t>
      </w:r>
      <w:r w:rsidR="002B13FC">
        <w:t>lodged with ASIC</w:t>
      </w:r>
      <w:r w:rsidRPr="00E72763">
        <w:t xml:space="preserve"> or</w:t>
      </w:r>
      <w:r w:rsidR="002B13FC">
        <w:t xml:space="preserve"> provided to</w:t>
      </w:r>
      <w:r w:rsidRPr="00E72763">
        <w:t xml:space="preserve"> a member of the RSE licensee.</w:t>
      </w:r>
      <w:r w:rsidR="00095E2F">
        <w:t xml:space="preserve"> </w:t>
      </w:r>
    </w:p>
    <w:p w:rsidR="00734088" w:rsidRDefault="00734088" w:rsidP="00734088">
      <w:pPr>
        <w:ind w:left="993" w:hanging="709"/>
      </w:pPr>
      <w:r>
        <w:t>(1B)</w:t>
      </w:r>
      <w:r>
        <w:tab/>
        <w:t>In subsection (1A) a reference to a document being amended or updated includes a reference to the document being replaced.</w:t>
      </w:r>
    </w:p>
    <w:p w:rsidR="008F066A" w:rsidRDefault="00734088" w:rsidP="000A140D">
      <w:pPr>
        <w:ind w:left="993" w:hanging="709"/>
      </w:pPr>
      <w:r>
        <w:t>(1C)</w:t>
      </w:r>
      <w:r>
        <w:tab/>
        <w:t>In subsection (1A):</w:t>
      </w:r>
    </w:p>
    <w:p w:rsidR="00734088" w:rsidRDefault="00734088" w:rsidP="00734088">
      <w:pPr>
        <w:ind w:left="993"/>
      </w:pPr>
      <w:r w:rsidRPr="009C0159">
        <w:rPr>
          <w:b/>
          <w:i/>
        </w:rPr>
        <w:t>recommendation, issue or sale situation</w:t>
      </w:r>
      <w:r>
        <w:t xml:space="preserve"> means a </w:t>
      </w:r>
      <w:r w:rsidRPr="000E66A4">
        <w:rPr>
          <w:b/>
          <w:i/>
        </w:rPr>
        <w:t>recommendation situation</w:t>
      </w:r>
      <w:r>
        <w:t xml:space="preserve">, an </w:t>
      </w:r>
      <w:r w:rsidRPr="000E66A4">
        <w:rPr>
          <w:b/>
          <w:i/>
        </w:rPr>
        <w:t>issue situation</w:t>
      </w:r>
      <w:r>
        <w:t xml:space="preserve"> or a </w:t>
      </w:r>
      <w:r w:rsidRPr="000E66A4">
        <w:rPr>
          <w:b/>
          <w:i/>
        </w:rPr>
        <w:t>sale situation</w:t>
      </w:r>
      <w:r>
        <w:t xml:space="preserve"> within the meaning of Division 2 of Part 7.9 of the </w:t>
      </w:r>
      <w:r w:rsidRPr="000E66A4">
        <w:rPr>
          <w:i/>
        </w:rPr>
        <w:t>Corporations Act 2001</w:t>
      </w:r>
      <w:r>
        <w:t>.</w:t>
      </w:r>
    </w:p>
    <w:p w:rsidR="00734088" w:rsidRDefault="00734088" w:rsidP="00734088">
      <w:pPr>
        <w:ind w:left="993"/>
      </w:pPr>
      <w:r>
        <w:rPr>
          <w:b/>
          <w:i/>
        </w:rPr>
        <w:t xml:space="preserve">Replacement Product Disclosure Statement </w:t>
      </w:r>
      <w:r w:rsidRPr="00B45F56">
        <w:t xml:space="preserve">has the same meaning as in the </w:t>
      </w:r>
      <w:r w:rsidRPr="00B45F56">
        <w:rPr>
          <w:i/>
        </w:rPr>
        <w:t>Corporations Act 2001</w:t>
      </w:r>
      <w:r w:rsidRPr="00B45F56">
        <w:t>.</w:t>
      </w:r>
    </w:p>
    <w:p w:rsidR="00734088" w:rsidRDefault="00734088" w:rsidP="00734088">
      <w:pPr>
        <w:ind w:left="993"/>
      </w:pPr>
      <w:r w:rsidRPr="009C0159">
        <w:rPr>
          <w:b/>
          <w:i/>
        </w:rPr>
        <w:t>relevant executive officer</w:t>
      </w:r>
      <w:r>
        <w:t xml:space="preserve"> has the same meaning as in subregulation 2.37(1) of the Regulations. </w:t>
      </w:r>
    </w:p>
    <w:p w:rsidR="00734088" w:rsidRDefault="00734088" w:rsidP="00734088">
      <w:pPr>
        <w:ind w:left="993"/>
      </w:pPr>
      <w:r w:rsidRPr="009C0159">
        <w:rPr>
          <w:b/>
          <w:i/>
        </w:rPr>
        <w:t>relevant individual trustee</w:t>
      </w:r>
      <w:r>
        <w:t xml:space="preserve"> has the same meaning as in subregulation 2.37(1) of the Regulations.</w:t>
      </w:r>
    </w:p>
    <w:p w:rsidR="00734088" w:rsidRDefault="00734088" w:rsidP="00734088">
      <w:pPr>
        <w:ind w:left="993"/>
      </w:pPr>
      <w:r>
        <w:rPr>
          <w:b/>
          <w:i/>
        </w:rPr>
        <w:t xml:space="preserve">Supplementary Product Disclosure Statement </w:t>
      </w:r>
      <w:r w:rsidRPr="00B45F56">
        <w:t xml:space="preserve">has the same meaning as in the </w:t>
      </w:r>
      <w:r w:rsidRPr="00B45F56">
        <w:rPr>
          <w:i/>
        </w:rPr>
        <w:t>Corporations Act 2001</w:t>
      </w:r>
      <w:r w:rsidRPr="00B45F56">
        <w:t>.</w:t>
      </w:r>
      <w:r>
        <w:t>”.</w:t>
      </w:r>
    </w:p>
    <w:p w:rsidR="0068108C" w:rsidRDefault="0068108C" w:rsidP="0068108C">
      <w:pPr>
        <w:ind w:left="284" w:hanging="284"/>
      </w:pPr>
      <w:r>
        <w:t>5</w:t>
      </w:r>
      <w:r w:rsidRPr="005529DB">
        <w:t>.</w:t>
      </w:r>
      <w:r w:rsidRPr="005529DB">
        <w:tab/>
      </w:r>
      <w:r>
        <w:t>Regulation 2.37</w:t>
      </w:r>
      <w:r w:rsidRPr="005529DB">
        <w:t xml:space="preserve"> of the </w:t>
      </w:r>
      <w:r w:rsidRPr="000A140D">
        <w:rPr>
          <w:i/>
        </w:rPr>
        <w:t xml:space="preserve">Superannuation Industry (Supervision) Regulations 1994 </w:t>
      </w:r>
      <w:r>
        <w:t xml:space="preserve">(the </w:t>
      </w:r>
      <w:r w:rsidRPr="000A140D">
        <w:rPr>
          <w:b/>
          <w:i/>
        </w:rPr>
        <w:t>Regulations</w:t>
      </w:r>
      <w:r>
        <w:t>) has effect</w:t>
      </w:r>
      <w:r w:rsidRPr="005529DB">
        <w:t xml:space="preserve"> in relation to an RSE licensee of a registrable superannuation entity as if </w:t>
      </w:r>
      <w:r>
        <w:t>that regulation</w:t>
      </w:r>
      <w:r w:rsidRPr="005529DB">
        <w:t xml:space="preserve"> were modified </w:t>
      </w:r>
      <w:r>
        <w:t>by inserting after subregulation 2.37(5):</w:t>
      </w:r>
    </w:p>
    <w:p w:rsidR="0068108C" w:rsidRDefault="0068108C" w:rsidP="000A140D">
      <w:pPr>
        <w:ind w:left="851" w:hanging="567"/>
      </w:pPr>
      <w:r>
        <w:t>“(6)</w:t>
      </w:r>
      <w:r>
        <w:tab/>
        <w:t xml:space="preserve">In this regulation, </w:t>
      </w:r>
      <w:r w:rsidRPr="000A140D">
        <w:rPr>
          <w:b/>
          <w:i/>
        </w:rPr>
        <w:t>financial year</w:t>
      </w:r>
      <w:r>
        <w:t xml:space="preserve"> means:</w:t>
      </w:r>
    </w:p>
    <w:p w:rsidR="0068108C" w:rsidRDefault="0068108C" w:rsidP="000A140D">
      <w:pPr>
        <w:ind w:left="1417" w:hanging="567"/>
      </w:pPr>
      <w:r>
        <w:t>(a)</w:t>
      </w:r>
      <w:r>
        <w:tab/>
        <w:t>in relation to a relevant executive officer, the financial year of the RSE licensee; and</w:t>
      </w:r>
    </w:p>
    <w:p w:rsidR="00CA42CE" w:rsidRDefault="00CA42CE" w:rsidP="000A140D">
      <w:pPr>
        <w:ind w:left="1417" w:hanging="567"/>
      </w:pPr>
      <w:r>
        <w:t>(b)</w:t>
      </w:r>
      <w:r>
        <w:tab/>
        <w:t>in relation to an individual trustee, a period of 12 months ending on 30 June.”.</w:t>
      </w:r>
    </w:p>
    <w:p w:rsidR="00CA42CE" w:rsidRDefault="005262AD" w:rsidP="00CA42CE">
      <w:pPr>
        <w:ind w:left="284" w:hanging="284"/>
      </w:pPr>
      <w:r>
        <w:t>6</w:t>
      </w:r>
      <w:r w:rsidR="00CA42CE" w:rsidRPr="005529DB">
        <w:t>.</w:t>
      </w:r>
      <w:r w:rsidR="00CA42CE" w:rsidRPr="005529DB">
        <w:tab/>
      </w:r>
      <w:r w:rsidR="00CA42CE">
        <w:t>Regulation 2.38</w:t>
      </w:r>
      <w:r w:rsidR="00CA42CE" w:rsidRPr="005529DB">
        <w:t xml:space="preserve"> of the</w:t>
      </w:r>
      <w:r w:rsidR="00CA42CE">
        <w:t xml:space="preserve"> Regulations has effect</w:t>
      </w:r>
      <w:r w:rsidR="00CA42CE" w:rsidRPr="005529DB">
        <w:t xml:space="preserve"> in relation to an RSE licensee of a registrable superannuation entity as if </w:t>
      </w:r>
      <w:r w:rsidR="00CA42CE">
        <w:t>that regulation</w:t>
      </w:r>
      <w:r w:rsidR="00CA42CE" w:rsidRPr="005529DB">
        <w:t xml:space="preserve"> were modified </w:t>
      </w:r>
      <w:r w:rsidR="00CA42CE">
        <w:t>by in</w:t>
      </w:r>
      <w:r w:rsidR="00D352A7">
        <w:t>serting after subregulation 2.38</w:t>
      </w:r>
      <w:r w:rsidR="00CA42CE">
        <w:t>(4):</w:t>
      </w:r>
    </w:p>
    <w:p w:rsidR="00CA42CE" w:rsidRDefault="00CA42CE" w:rsidP="00CA42CE">
      <w:pPr>
        <w:ind w:left="851" w:hanging="567"/>
      </w:pPr>
      <w:r>
        <w:t>“(5)</w:t>
      </w:r>
      <w:r>
        <w:tab/>
        <w:t xml:space="preserve">In this regulation, </w:t>
      </w:r>
      <w:r w:rsidRPr="008B5C6C">
        <w:rPr>
          <w:b/>
          <w:i/>
        </w:rPr>
        <w:t>financial year</w:t>
      </w:r>
      <w:r>
        <w:t xml:space="preserve"> means:</w:t>
      </w:r>
    </w:p>
    <w:p w:rsidR="00CA42CE" w:rsidRDefault="00CA42CE" w:rsidP="00CA42CE">
      <w:pPr>
        <w:ind w:left="1417" w:hanging="567"/>
      </w:pPr>
      <w:r>
        <w:t>(a)</w:t>
      </w:r>
      <w:r>
        <w:tab/>
        <w:t>in subregulation (3), the financial year of the registrable superannuation entity; and</w:t>
      </w:r>
      <w:r w:rsidR="00D35BFC">
        <w:t xml:space="preserve"> </w:t>
      </w:r>
    </w:p>
    <w:p w:rsidR="00CA42CE" w:rsidRDefault="00CA42CE" w:rsidP="00CA42CE">
      <w:pPr>
        <w:ind w:left="1417" w:hanging="567"/>
      </w:pPr>
      <w:r>
        <w:lastRenderedPageBreak/>
        <w:t>(b)</w:t>
      </w:r>
      <w:r>
        <w:tab/>
        <w:t>in subregulation (4), the financial year of the RSE licensee.”.</w:t>
      </w:r>
      <w:r w:rsidR="00D35BFC">
        <w:t xml:space="preserve"> </w:t>
      </w:r>
    </w:p>
    <w:p w:rsidR="00734088" w:rsidRPr="005529DB" w:rsidRDefault="00734088" w:rsidP="00734088"/>
    <w:p w:rsidR="00734088" w:rsidRDefault="00734088" w:rsidP="00734088">
      <w:r w:rsidRPr="005529DB">
        <w:t xml:space="preserve">Dated this </w:t>
      </w:r>
      <w:r w:rsidR="002A5BD5">
        <w:t>6</w:t>
      </w:r>
      <w:r w:rsidR="002A5BD5" w:rsidRPr="002A5BD5">
        <w:rPr>
          <w:vertAlign w:val="superscript"/>
        </w:rPr>
        <w:t>th</w:t>
      </w:r>
      <w:r w:rsidR="002A5BD5">
        <w:t xml:space="preserve"> </w:t>
      </w:r>
      <w:r w:rsidRPr="005529DB">
        <w:t xml:space="preserve">day of </w:t>
      </w:r>
      <w:r w:rsidR="002A5BD5">
        <w:t>June</w:t>
      </w:r>
      <w:r w:rsidRPr="005529DB">
        <w:t xml:space="preserve"> 201</w:t>
      </w:r>
      <w:r>
        <w:t>4</w:t>
      </w:r>
    </w:p>
    <w:p w:rsidR="00734088" w:rsidRDefault="00734088" w:rsidP="00734088"/>
    <w:p w:rsidR="002A5BD5" w:rsidRDefault="002A5BD5" w:rsidP="00734088"/>
    <w:p w:rsidR="00734088" w:rsidRDefault="00734088" w:rsidP="00734088">
      <w:pPr>
        <w:spacing w:after="0"/>
      </w:pPr>
      <w:r w:rsidRPr="005529DB">
        <w:t xml:space="preserve">Signed by </w:t>
      </w:r>
      <w:r w:rsidR="00095E2F">
        <w:t>Stephen Yen PSM</w:t>
      </w:r>
    </w:p>
    <w:p w:rsidR="00734088" w:rsidRPr="005529DB" w:rsidRDefault="00734088" w:rsidP="00734088">
      <w:pPr>
        <w:spacing w:after="0"/>
      </w:pPr>
      <w:r w:rsidRPr="005529DB">
        <w:t>as a delegate of the Australian Securities and Investments Commission</w:t>
      </w:r>
    </w:p>
    <w:bookmarkEnd w:id="0"/>
    <w:p w:rsidR="00734088" w:rsidRDefault="00734088" w:rsidP="00734088">
      <w:pPr>
        <w:pStyle w:val="Bodytextplain"/>
      </w:pPr>
    </w:p>
    <w:sectPr w:rsidR="00734088" w:rsidSect="007A793B">
      <w:headerReference w:type="default" r:id="rId10"/>
      <w:headerReference w:type="first" r:id="rId11"/>
      <w:pgSz w:w="11906" w:h="16838" w:code="9"/>
      <w:pgMar w:top="1644" w:right="1418" w:bottom="1418" w:left="141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C8" w:rsidRDefault="000847C8">
      <w:r>
        <w:separator/>
      </w:r>
    </w:p>
  </w:endnote>
  <w:endnote w:type="continuationSeparator" w:id="0">
    <w:p w:rsidR="000847C8" w:rsidRDefault="0008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C8" w:rsidRDefault="000847C8">
      <w:r>
        <w:separator/>
      </w:r>
    </w:p>
  </w:footnote>
  <w:footnote w:type="continuationSeparator" w:id="0">
    <w:p w:rsidR="000847C8" w:rsidRDefault="0008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1140180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:rsidR="00DE2C5E" w:rsidRPr="00DF1690" w:rsidRDefault="00DE2C5E" w:rsidP="007A793B">
        <w:pPr>
          <w:pStyle w:val="Header"/>
          <w:pBdr>
            <w:bottom w:val="none" w:sz="0" w:space="0" w:color="auto"/>
          </w:pBdr>
          <w:jc w:val="center"/>
          <w:rPr>
            <w:rFonts w:ascii="Times New Roman" w:hAnsi="Times New Roman" w:cs="Times New Roman"/>
            <w:color w:val="auto"/>
            <w:sz w:val="22"/>
            <w:szCs w:val="22"/>
          </w:rPr>
        </w:pPr>
        <w:r w:rsidRPr="00DF1690">
          <w:rPr>
            <w:rFonts w:ascii="Times New Roman" w:hAnsi="Times New Roman" w:cs="Times New Roman"/>
            <w:color w:val="auto"/>
            <w:sz w:val="22"/>
            <w:szCs w:val="22"/>
          </w:rPr>
          <w:fldChar w:fldCharType="begin"/>
        </w:r>
        <w:r w:rsidRPr="00DF1690">
          <w:rPr>
            <w:rFonts w:ascii="Times New Roman" w:hAnsi="Times New Roman" w:cs="Times New Roman"/>
            <w:color w:val="auto"/>
            <w:sz w:val="22"/>
            <w:szCs w:val="22"/>
          </w:rPr>
          <w:instrText xml:space="preserve"> PAGE   \* MERGEFORMAT </w:instrText>
        </w:r>
        <w:r w:rsidRPr="00DF1690">
          <w:rPr>
            <w:rFonts w:ascii="Times New Roman" w:hAnsi="Times New Roman" w:cs="Times New Roman"/>
            <w:color w:val="auto"/>
            <w:sz w:val="22"/>
            <w:szCs w:val="22"/>
          </w:rPr>
          <w:fldChar w:fldCharType="separate"/>
        </w:r>
        <w:r w:rsidR="00333FDF">
          <w:rPr>
            <w:rFonts w:ascii="Times New Roman" w:hAnsi="Times New Roman" w:cs="Times New Roman"/>
            <w:noProof/>
            <w:color w:val="auto"/>
            <w:sz w:val="22"/>
            <w:szCs w:val="22"/>
          </w:rPr>
          <w:t>4</w:t>
        </w:r>
        <w:r w:rsidRPr="00DF1690">
          <w:rPr>
            <w:rFonts w:ascii="Times New Roman" w:hAnsi="Times New Roman" w:cs="Times New Roman"/>
            <w:noProof/>
            <w:color w:val="auto"/>
            <w:sz w:val="22"/>
            <w:szCs w:val="22"/>
          </w:rPr>
          <w:fldChar w:fldCharType="end"/>
        </w:r>
      </w:p>
    </w:sdtContent>
  </w:sdt>
  <w:p w:rsidR="00DE2C5E" w:rsidRPr="007A793B" w:rsidRDefault="00DE2C5E" w:rsidP="007A793B">
    <w:pPr>
      <w:pStyle w:val="Header"/>
      <w:pBdr>
        <w:bottom w:val="none" w:sz="0" w:space="0" w:color="auto"/>
      </w:pBd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5F" w:rsidRDefault="00285B5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50AAF"/>
    <w:multiLevelType w:val="multilevel"/>
    <w:tmpl w:val="34E6B7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993"/>
        </w:tabs>
        <w:ind w:left="993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3">
    <w:nsid w:val="193659A5"/>
    <w:multiLevelType w:val="hybridMultilevel"/>
    <w:tmpl w:val="8610B52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C6808"/>
    <w:multiLevelType w:val="multilevel"/>
    <w:tmpl w:val="37C61B0E"/>
    <w:lvl w:ilvl="0">
      <w:start w:val="1"/>
      <w:numFmt w:val="decimal"/>
      <w:pStyle w:val="BodyText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1E3F03F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D62565"/>
    <w:multiLevelType w:val="multilevel"/>
    <w:tmpl w:val="D43CAEE8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23732320"/>
    <w:multiLevelType w:val="hybridMultilevel"/>
    <w:tmpl w:val="8C1CA7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B31023"/>
    <w:multiLevelType w:val="hybridMultilevel"/>
    <w:tmpl w:val="8CF0355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9075CE"/>
    <w:multiLevelType w:val="hybridMultilevel"/>
    <w:tmpl w:val="594AFAF6"/>
    <w:lvl w:ilvl="0" w:tplc="487AFBB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41993"/>
    <w:multiLevelType w:val="multilevel"/>
    <w:tmpl w:val="4680F51A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13">
    <w:nsid w:val="3D716222"/>
    <w:multiLevelType w:val="hybridMultilevel"/>
    <w:tmpl w:val="EA08E5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E1743"/>
    <w:multiLevelType w:val="hybridMultilevel"/>
    <w:tmpl w:val="B7224134"/>
    <w:lvl w:ilvl="0" w:tplc="086A0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1807E2"/>
    <w:multiLevelType w:val="hybridMultilevel"/>
    <w:tmpl w:val="4CB2DB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6A5379"/>
    <w:multiLevelType w:val="hybridMultilevel"/>
    <w:tmpl w:val="16C83AEE"/>
    <w:lvl w:ilvl="0" w:tplc="0C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219F2"/>
    <w:multiLevelType w:val="hybridMultilevel"/>
    <w:tmpl w:val="C1B0260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3">
    <w:nsid w:val="7A04370D"/>
    <w:multiLevelType w:val="hybridMultilevel"/>
    <w:tmpl w:val="94749C48"/>
    <w:lvl w:ilvl="0" w:tplc="21A06F82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0409A5"/>
    <w:multiLevelType w:val="hybridMultilevel"/>
    <w:tmpl w:val="7BE2FC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"/>
  </w:num>
  <w:num w:numId="5">
    <w:abstractNumId w:val="19"/>
  </w:num>
  <w:num w:numId="6">
    <w:abstractNumId w:val="8"/>
  </w:num>
  <w:num w:numId="7">
    <w:abstractNumId w:val="4"/>
  </w:num>
  <w:num w:numId="8">
    <w:abstractNumId w:val="23"/>
  </w:num>
  <w:num w:numId="9">
    <w:abstractNumId w:val="14"/>
  </w:num>
  <w:num w:numId="10">
    <w:abstractNumId w:val="0"/>
  </w:num>
  <w:num w:numId="11">
    <w:abstractNumId w:val="1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5"/>
  </w:num>
  <w:num w:numId="15">
    <w:abstractNumId w:val="10"/>
  </w:num>
  <w:num w:numId="16">
    <w:abstractNumId w:val="15"/>
  </w:num>
  <w:num w:numId="17">
    <w:abstractNumId w:val="16"/>
  </w:num>
  <w:num w:numId="18">
    <w:abstractNumId w:val="3"/>
  </w:num>
  <w:num w:numId="19">
    <w:abstractNumId w:val="24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6"/>
  </w:num>
  <w:num w:numId="26">
    <w:abstractNumId w:val="7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A"/>
    <w:rsid w:val="000018AC"/>
    <w:rsid w:val="0005450A"/>
    <w:rsid w:val="00054B6C"/>
    <w:rsid w:val="0006151C"/>
    <w:rsid w:val="000674F4"/>
    <w:rsid w:val="000847C8"/>
    <w:rsid w:val="0009232D"/>
    <w:rsid w:val="00095E2F"/>
    <w:rsid w:val="000A133D"/>
    <w:rsid w:val="000A140D"/>
    <w:rsid w:val="000B1CF4"/>
    <w:rsid w:val="000E1832"/>
    <w:rsid w:val="000E441B"/>
    <w:rsid w:val="000F1451"/>
    <w:rsid w:val="000F3076"/>
    <w:rsid w:val="000F3BE8"/>
    <w:rsid w:val="001039AC"/>
    <w:rsid w:val="00115C18"/>
    <w:rsid w:val="0013451C"/>
    <w:rsid w:val="001436CF"/>
    <w:rsid w:val="0016177F"/>
    <w:rsid w:val="00162107"/>
    <w:rsid w:val="00194C99"/>
    <w:rsid w:val="0019655E"/>
    <w:rsid w:val="001A7A2D"/>
    <w:rsid w:val="001B3D50"/>
    <w:rsid w:val="001B5D35"/>
    <w:rsid w:val="001C2932"/>
    <w:rsid w:val="001E64DB"/>
    <w:rsid w:val="001E69F4"/>
    <w:rsid w:val="001F0E50"/>
    <w:rsid w:val="001F1717"/>
    <w:rsid w:val="001F2334"/>
    <w:rsid w:val="00225B5E"/>
    <w:rsid w:val="0023267F"/>
    <w:rsid w:val="00237995"/>
    <w:rsid w:val="00242728"/>
    <w:rsid w:val="0026742C"/>
    <w:rsid w:val="00271323"/>
    <w:rsid w:val="00273564"/>
    <w:rsid w:val="0027445A"/>
    <w:rsid w:val="00280110"/>
    <w:rsid w:val="00285B5F"/>
    <w:rsid w:val="002941D9"/>
    <w:rsid w:val="002A048F"/>
    <w:rsid w:val="002A5BD5"/>
    <w:rsid w:val="002B0C44"/>
    <w:rsid w:val="002B13FC"/>
    <w:rsid w:val="002B6C54"/>
    <w:rsid w:val="002C4720"/>
    <w:rsid w:val="002F23A1"/>
    <w:rsid w:val="002F465D"/>
    <w:rsid w:val="002F5BB7"/>
    <w:rsid w:val="003028BF"/>
    <w:rsid w:val="0030776E"/>
    <w:rsid w:val="00317A0A"/>
    <w:rsid w:val="00323277"/>
    <w:rsid w:val="00333FDF"/>
    <w:rsid w:val="0033725B"/>
    <w:rsid w:val="00351F6B"/>
    <w:rsid w:val="003B7BA8"/>
    <w:rsid w:val="003D229E"/>
    <w:rsid w:val="003E64C4"/>
    <w:rsid w:val="003E7EDA"/>
    <w:rsid w:val="00423354"/>
    <w:rsid w:val="004272F1"/>
    <w:rsid w:val="00452E6A"/>
    <w:rsid w:val="00456A2F"/>
    <w:rsid w:val="00496197"/>
    <w:rsid w:val="004A68D9"/>
    <w:rsid w:val="004A7891"/>
    <w:rsid w:val="004D0A04"/>
    <w:rsid w:val="004D717C"/>
    <w:rsid w:val="004E5010"/>
    <w:rsid w:val="004F4E59"/>
    <w:rsid w:val="004F6F91"/>
    <w:rsid w:val="004F7735"/>
    <w:rsid w:val="00505819"/>
    <w:rsid w:val="0051387B"/>
    <w:rsid w:val="00517130"/>
    <w:rsid w:val="005262AD"/>
    <w:rsid w:val="005310E9"/>
    <w:rsid w:val="00554097"/>
    <w:rsid w:val="00556D9D"/>
    <w:rsid w:val="00583BAE"/>
    <w:rsid w:val="005950DB"/>
    <w:rsid w:val="005969C6"/>
    <w:rsid w:val="005A1B24"/>
    <w:rsid w:val="005A4ADC"/>
    <w:rsid w:val="005C4502"/>
    <w:rsid w:val="005D0A3E"/>
    <w:rsid w:val="005D7DF2"/>
    <w:rsid w:val="005E0676"/>
    <w:rsid w:val="00606880"/>
    <w:rsid w:val="0061217A"/>
    <w:rsid w:val="00612426"/>
    <w:rsid w:val="00625455"/>
    <w:rsid w:val="00625A35"/>
    <w:rsid w:val="00634D0E"/>
    <w:rsid w:val="00636359"/>
    <w:rsid w:val="0064252A"/>
    <w:rsid w:val="00650452"/>
    <w:rsid w:val="00656B22"/>
    <w:rsid w:val="006571F5"/>
    <w:rsid w:val="0066366A"/>
    <w:rsid w:val="0067510C"/>
    <w:rsid w:val="00677D57"/>
    <w:rsid w:val="0068108C"/>
    <w:rsid w:val="006A5699"/>
    <w:rsid w:val="006B5DCE"/>
    <w:rsid w:val="006D2A71"/>
    <w:rsid w:val="006E2373"/>
    <w:rsid w:val="006F7878"/>
    <w:rsid w:val="0071277C"/>
    <w:rsid w:val="00715863"/>
    <w:rsid w:val="00722AF5"/>
    <w:rsid w:val="007256BB"/>
    <w:rsid w:val="00730127"/>
    <w:rsid w:val="00730FD8"/>
    <w:rsid w:val="00734088"/>
    <w:rsid w:val="007500AC"/>
    <w:rsid w:val="00752B33"/>
    <w:rsid w:val="00761DEE"/>
    <w:rsid w:val="00764988"/>
    <w:rsid w:val="00765F7F"/>
    <w:rsid w:val="00773A4E"/>
    <w:rsid w:val="00780ADA"/>
    <w:rsid w:val="00796690"/>
    <w:rsid w:val="00796AEF"/>
    <w:rsid w:val="007A144F"/>
    <w:rsid w:val="007A2E4D"/>
    <w:rsid w:val="007A793B"/>
    <w:rsid w:val="007B00CC"/>
    <w:rsid w:val="007B5152"/>
    <w:rsid w:val="007E0AAA"/>
    <w:rsid w:val="00811E55"/>
    <w:rsid w:val="0081522D"/>
    <w:rsid w:val="0082190A"/>
    <w:rsid w:val="00823C31"/>
    <w:rsid w:val="00823D6C"/>
    <w:rsid w:val="008264B9"/>
    <w:rsid w:val="00826C9B"/>
    <w:rsid w:val="0082720A"/>
    <w:rsid w:val="008346EE"/>
    <w:rsid w:val="0083649F"/>
    <w:rsid w:val="00844593"/>
    <w:rsid w:val="008463FF"/>
    <w:rsid w:val="00851440"/>
    <w:rsid w:val="0085685D"/>
    <w:rsid w:val="00857CAD"/>
    <w:rsid w:val="00864EDF"/>
    <w:rsid w:val="00872324"/>
    <w:rsid w:val="00881C0B"/>
    <w:rsid w:val="0089216C"/>
    <w:rsid w:val="008A7172"/>
    <w:rsid w:val="008C46DD"/>
    <w:rsid w:val="008C6CF4"/>
    <w:rsid w:val="008D21FB"/>
    <w:rsid w:val="008E4C57"/>
    <w:rsid w:val="008F04A2"/>
    <w:rsid w:val="008F066A"/>
    <w:rsid w:val="008F09C8"/>
    <w:rsid w:val="008F4D76"/>
    <w:rsid w:val="009051F0"/>
    <w:rsid w:val="0090614E"/>
    <w:rsid w:val="00926272"/>
    <w:rsid w:val="00931756"/>
    <w:rsid w:val="00931819"/>
    <w:rsid w:val="00941F92"/>
    <w:rsid w:val="00943E92"/>
    <w:rsid w:val="009845AB"/>
    <w:rsid w:val="009910A9"/>
    <w:rsid w:val="009B1A49"/>
    <w:rsid w:val="009B3F5F"/>
    <w:rsid w:val="009C37B0"/>
    <w:rsid w:val="009F03D0"/>
    <w:rsid w:val="009F6702"/>
    <w:rsid w:val="00A01A22"/>
    <w:rsid w:val="00A64EAD"/>
    <w:rsid w:val="00A703ED"/>
    <w:rsid w:val="00A7405C"/>
    <w:rsid w:val="00A777B2"/>
    <w:rsid w:val="00A86CD3"/>
    <w:rsid w:val="00A87764"/>
    <w:rsid w:val="00A9150A"/>
    <w:rsid w:val="00AB4916"/>
    <w:rsid w:val="00AB6589"/>
    <w:rsid w:val="00AC17AC"/>
    <w:rsid w:val="00AE55C6"/>
    <w:rsid w:val="00AE587A"/>
    <w:rsid w:val="00AF36B1"/>
    <w:rsid w:val="00B14F19"/>
    <w:rsid w:val="00B15485"/>
    <w:rsid w:val="00B20764"/>
    <w:rsid w:val="00B237AE"/>
    <w:rsid w:val="00B23B3F"/>
    <w:rsid w:val="00B56462"/>
    <w:rsid w:val="00B70D82"/>
    <w:rsid w:val="00B72D18"/>
    <w:rsid w:val="00B746C2"/>
    <w:rsid w:val="00B82D65"/>
    <w:rsid w:val="00B83161"/>
    <w:rsid w:val="00BA0854"/>
    <w:rsid w:val="00BA6F32"/>
    <w:rsid w:val="00BB5264"/>
    <w:rsid w:val="00BD636E"/>
    <w:rsid w:val="00C03008"/>
    <w:rsid w:val="00C03E9F"/>
    <w:rsid w:val="00C12102"/>
    <w:rsid w:val="00C36209"/>
    <w:rsid w:val="00C60D0C"/>
    <w:rsid w:val="00C63B1D"/>
    <w:rsid w:val="00C735E2"/>
    <w:rsid w:val="00C809C9"/>
    <w:rsid w:val="00C831C2"/>
    <w:rsid w:val="00C831C9"/>
    <w:rsid w:val="00C9665A"/>
    <w:rsid w:val="00CA42CE"/>
    <w:rsid w:val="00CB43A8"/>
    <w:rsid w:val="00CB6573"/>
    <w:rsid w:val="00CD6692"/>
    <w:rsid w:val="00CF0F77"/>
    <w:rsid w:val="00D01DF2"/>
    <w:rsid w:val="00D05CC9"/>
    <w:rsid w:val="00D078E5"/>
    <w:rsid w:val="00D12B69"/>
    <w:rsid w:val="00D13176"/>
    <w:rsid w:val="00D139A5"/>
    <w:rsid w:val="00D352A7"/>
    <w:rsid w:val="00D35BFC"/>
    <w:rsid w:val="00D36481"/>
    <w:rsid w:val="00D47BCF"/>
    <w:rsid w:val="00D6419A"/>
    <w:rsid w:val="00D7009C"/>
    <w:rsid w:val="00D71B64"/>
    <w:rsid w:val="00D90962"/>
    <w:rsid w:val="00D90A27"/>
    <w:rsid w:val="00D9207E"/>
    <w:rsid w:val="00D92DFC"/>
    <w:rsid w:val="00D94B40"/>
    <w:rsid w:val="00D94C88"/>
    <w:rsid w:val="00DA21B1"/>
    <w:rsid w:val="00DB1C3B"/>
    <w:rsid w:val="00DD115D"/>
    <w:rsid w:val="00DD2A31"/>
    <w:rsid w:val="00DD37FA"/>
    <w:rsid w:val="00DE2C5E"/>
    <w:rsid w:val="00DF1690"/>
    <w:rsid w:val="00DF1F69"/>
    <w:rsid w:val="00E044CD"/>
    <w:rsid w:val="00E14138"/>
    <w:rsid w:val="00E1602F"/>
    <w:rsid w:val="00E25A5D"/>
    <w:rsid w:val="00E4526A"/>
    <w:rsid w:val="00E56B0D"/>
    <w:rsid w:val="00E61D6F"/>
    <w:rsid w:val="00E725DC"/>
    <w:rsid w:val="00E72699"/>
    <w:rsid w:val="00E81D79"/>
    <w:rsid w:val="00E82C5F"/>
    <w:rsid w:val="00EA1626"/>
    <w:rsid w:val="00EA4F11"/>
    <w:rsid w:val="00EB7EDC"/>
    <w:rsid w:val="00EE45CF"/>
    <w:rsid w:val="00F17CAB"/>
    <w:rsid w:val="00F22009"/>
    <w:rsid w:val="00F566DC"/>
    <w:rsid w:val="00F60EA1"/>
    <w:rsid w:val="00F66A06"/>
    <w:rsid w:val="00F96234"/>
    <w:rsid w:val="00FA624E"/>
    <w:rsid w:val="00FC2E80"/>
    <w:rsid w:val="00FD1E8B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6C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823D6C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823D6C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823D6C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823D6C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823D6C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link w:val="Heading6Char"/>
    <w:unhideWhenUsed/>
    <w:qFormat/>
    <w:rsid w:val="00823D6C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823D6C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3D6C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blnote">
    <w:name w:val="tbl note"/>
    <w:basedOn w:val="sourcenotefullwidth"/>
    <w:next w:val="tbltext"/>
    <w:qFormat/>
    <w:rsid w:val="00823D6C"/>
    <w:pPr>
      <w:ind w:left="425"/>
    </w:pPr>
  </w:style>
  <w:style w:type="character" w:styleId="FollowedHyperlink">
    <w:name w:val="FollowedHyperlink"/>
    <w:basedOn w:val="DefaultParagraphFont"/>
    <w:rsid w:val="007256B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3D6C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823D6C"/>
    <w:rPr>
      <w:b/>
      <w:sz w:val="20"/>
    </w:rPr>
  </w:style>
  <w:style w:type="paragraph" w:styleId="Header">
    <w:name w:val="header"/>
    <w:basedOn w:val="Normal"/>
    <w:link w:val="HeaderChar"/>
    <w:uiPriority w:val="99"/>
    <w:rsid w:val="00823D6C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823D6C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823D6C"/>
    <w:pPr>
      <w:numPr>
        <w:ilvl w:val="1"/>
      </w:numPr>
    </w:pPr>
  </w:style>
  <w:style w:type="paragraph" w:customStyle="1" w:styleId="ListNumber1">
    <w:name w:val="List Number1"/>
    <w:basedOn w:val="Normal"/>
    <w:rsid w:val="00823D6C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823D6C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823D6C"/>
    <w:rPr>
      <w:szCs w:val="22"/>
    </w:rPr>
  </w:style>
  <w:style w:type="paragraph" w:customStyle="1" w:styleId="tabletitlefullwidth">
    <w:name w:val="table title full width"/>
    <w:basedOn w:val="Normal"/>
    <w:rsid w:val="00823D6C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823D6C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823D6C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823D6C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823D6C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character" w:styleId="Hyperlink">
    <w:name w:val="Hyperlink"/>
    <w:basedOn w:val="DefaultParagraphFont"/>
    <w:uiPriority w:val="99"/>
    <w:rsid w:val="00823D6C"/>
    <w:rPr>
      <w:color w:val="0000FF"/>
      <w:u w:val="single"/>
    </w:rPr>
  </w:style>
  <w:style w:type="paragraph" w:customStyle="1" w:styleId="tablebullet">
    <w:name w:val="table bullet"/>
    <w:basedOn w:val="Normal"/>
    <w:rsid w:val="00823D6C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823D6C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823D6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23D6C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823D6C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823D6C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823D6C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rsid w:val="007256BB"/>
    <w:pPr>
      <w:numPr>
        <w:numId w:val="0"/>
      </w:numPr>
    </w:pPr>
  </w:style>
  <w:style w:type="paragraph" w:customStyle="1" w:styleId="tabletext">
    <w:name w:val="table text"/>
    <w:basedOn w:val="tablehead"/>
    <w:rsid w:val="007256BB"/>
    <w:pPr>
      <w:keepNext w:val="0"/>
    </w:pPr>
    <w:rPr>
      <w:b w:val="0"/>
    </w:rPr>
  </w:style>
  <w:style w:type="paragraph" w:customStyle="1" w:styleId="Tiptext">
    <w:name w:val="Tip text"/>
    <w:basedOn w:val="Fronttext"/>
    <w:next w:val="BodyText"/>
    <w:rsid w:val="007256BB"/>
    <w:rPr>
      <w:vanish/>
      <w:color w:val="800000"/>
    </w:rPr>
  </w:style>
  <w:style w:type="paragraph" w:customStyle="1" w:styleId="Fronttext">
    <w:name w:val="Front text"/>
    <w:basedOn w:val="Bodytextplain"/>
    <w:rsid w:val="00823D6C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tabletitleindented">
    <w:name w:val="table title indented"/>
    <w:basedOn w:val="tabletitlefullwidth"/>
    <w:rsid w:val="00823D6C"/>
    <w:pPr>
      <w:ind w:left="3260"/>
    </w:pPr>
  </w:style>
  <w:style w:type="paragraph" w:styleId="Caption">
    <w:name w:val="caption"/>
    <w:basedOn w:val="Normal"/>
    <w:next w:val="Normal"/>
    <w:qFormat/>
    <w:rsid w:val="00823D6C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823D6C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823D6C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823D6C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823D6C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823D6C"/>
    <w:rPr>
      <w:b w:val="0"/>
    </w:rPr>
  </w:style>
  <w:style w:type="character" w:customStyle="1" w:styleId="KPboldChar">
    <w:name w:val="KP bold Char"/>
    <w:basedOn w:val="DefaultParagraphFont"/>
    <w:rsid w:val="007256BB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823D6C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823D6C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823D6C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7256BB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823D6C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823D6C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823D6C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7256BB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823D6C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823D6C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DescriptorCP">
    <w:name w:val="Descriptor CP"/>
    <w:basedOn w:val="DescriptorRG"/>
    <w:next w:val="Normal"/>
    <w:rsid w:val="00823D6C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bullet">
    <w:name w:val="Front bullet"/>
    <w:basedOn w:val="Fronttext"/>
    <w:rsid w:val="00823D6C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823D6C"/>
  </w:style>
  <w:style w:type="paragraph" w:customStyle="1" w:styleId="Blockquote">
    <w:name w:val="Block quote"/>
    <w:basedOn w:val="Bodytextplain"/>
    <w:rsid w:val="00823D6C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7256BB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823D6C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823D6C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823D6C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823D6C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823D6C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823D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23D6C"/>
    <w:rPr>
      <w:sz w:val="20"/>
    </w:rPr>
  </w:style>
  <w:style w:type="paragraph" w:customStyle="1" w:styleId="issueddate">
    <w:name w:val="issued date"/>
    <w:rsid w:val="007256BB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823D6C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823D6C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823D6C"/>
    <w:pPr>
      <w:spacing w:before="120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194C99"/>
    <w:rPr>
      <w:rFonts w:ascii="Arial" w:hAnsi="Arial" w:cs="Arial"/>
      <w:caps/>
      <w:color w:val="008291"/>
      <w:sz w:val="16"/>
      <w:szCs w:val="16"/>
    </w:rPr>
  </w:style>
  <w:style w:type="paragraph" w:customStyle="1" w:styleId="sub3paraA">
    <w:name w:val="sub3para (A)"/>
    <w:basedOn w:val="subsubparai"/>
    <w:qFormat/>
    <w:rsid w:val="00823D6C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823D6C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823D6C"/>
    <w:pPr>
      <w:numPr>
        <w:ilvl w:val="6"/>
      </w:numPr>
    </w:pPr>
  </w:style>
  <w:style w:type="paragraph" w:styleId="ListParagraph">
    <w:name w:val="List Paragraph"/>
    <w:basedOn w:val="Normal"/>
    <w:uiPriority w:val="34"/>
    <w:qFormat/>
    <w:rsid w:val="00734088"/>
    <w:pPr>
      <w:spacing w:after="0"/>
      <w:ind w:left="720"/>
    </w:pPr>
    <w:rPr>
      <w:rFonts w:eastAsiaTheme="minorHAnsi"/>
      <w:sz w:val="24"/>
      <w:szCs w:val="24"/>
    </w:rPr>
  </w:style>
  <w:style w:type="paragraph" w:customStyle="1" w:styleId="sourcenotefullwidth">
    <w:name w:val="source note full width"/>
    <w:rsid w:val="00823D6C"/>
    <w:pPr>
      <w:spacing w:before="120"/>
    </w:pPr>
    <w:rPr>
      <w:rFonts w:ascii="Arial" w:hAnsi="Arial"/>
      <w:sz w:val="16"/>
      <w:szCs w:val="22"/>
    </w:rPr>
  </w:style>
  <w:style w:type="paragraph" w:customStyle="1" w:styleId="sourcenoteindented">
    <w:name w:val="source note indented"/>
    <w:basedOn w:val="sourcenotefullwidth"/>
    <w:qFormat/>
    <w:rsid w:val="00823D6C"/>
    <w:pPr>
      <w:ind w:left="226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F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B1CF4"/>
  </w:style>
  <w:style w:type="character" w:customStyle="1" w:styleId="CommentSubjectChar">
    <w:name w:val="Comment Subject Char"/>
    <w:basedOn w:val="CommentTextChar"/>
    <w:link w:val="CommentSubject"/>
    <w:rsid w:val="000B1CF4"/>
  </w:style>
  <w:style w:type="character" w:customStyle="1" w:styleId="FooterChar">
    <w:name w:val="Footer Char"/>
    <w:basedOn w:val="DefaultParagraphFont"/>
    <w:link w:val="Footer"/>
    <w:uiPriority w:val="99"/>
    <w:rsid w:val="00A703ED"/>
    <w:rPr>
      <w:rFonts w:ascii="Arial" w:hAnsi="Arial"/>
      <w:sz w:val="16"/>
      <w:szCs w:val="16"/>
    </w:rPr>
  </w:style>
  <w:style w:type="paragraph" w:styleId="Revision">
    <w:name w:val="Revision"/>
    <w:hidden/>
    <w:uiPriority w:val="99"/>
    <w:semiHidden/>
    <w:rsid w:val="00C36209"/>
    <w:rPr>
      <w:sz w:val="22"/>
    </w:rPr>
  </w:style>
  <w:style w:type="paragraph" w:styleId="ListBullet2">
    <w:name w:val="List Bullet 2"/>
    <w:basedOn w:val="Normal"/>
    <w:rsid w:val="00823D6C"/>
    <w:pPr>
      <w:numPr>
        <w:numId w:val="24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paragraph" w:customStyle="1" w:styleId="tblProposalsubpara">
    <w:name w:val="tbl Proposal sub para"/>
    <w:basedOn w:val="tbltext"/>
    <w:qFormat/>
    <w:rsid w:val="00823D6C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823D6C"/>
    <w:pPr>
      <w:ind w:left="1310" w:hanging="425"/>
    </w:pPr>
  </w:style>
  <w:style w:type="paragraph" w:customStyle="1" w:styleId="tblProposaltext">
    <w:name w:val="tbl Proposal text"/>
    <w:basedOn w:val="tbltext"/>
    <w:qFormat/>
    <w:rsid w:val="00823D6C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823D6C"/>
    <w:pPr>
      <w:ind w:left="425"/>
    </w:pPr>
  </w:style>
  <w:style w:type="paragraph" w:customStyle="1" w:styleId="tblFeedbackquestion">
    <w:name w:val="tbl Feedback question"/>
    <w:basedOn w:val="Proposaltext"/>
    <w:qFormat/>
    <w:rsid w:val="00823D6C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823D6C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823D6C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823D6C"/>
    <w:pPr>
      <w:ind w:left="1304" w:hanging="340"/>
    </w:pPr>
  </w:style>
  <w:style w:type="character" w:customStyle="1" w:styleId="Heading6Char">
    <w:name w:val="Heading 6 Char"/>
    <w:basedOn w:val="DefaultParagraphFont"/>
    <w:link w:val="Heading6"/>
    <w:rsid w:val="00823D6C"/>
    <w:rPr>
      <w:rFonts w:ascii="Arial" w:hAnsi="Arial" w:cs="Arial"/>
      <w:b/>
      <w:kern w:val="28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6C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823D6C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823D6C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823D6C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823D6C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823D6C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link w:val="Heading6Char"/>
    <w:unhideWhenUsed/>
    <w:qFormat/>
    <w:rsid w:val="00823D6C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823D6C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3D6C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blnote">
    <w:name w:val="tbl note"/>
    <w:basedOn w:val="sourcenotefullwidth"/>
    <w:next w:val="tbltext"/>
    <w:qFormat/>
    <w:rsid w:val="00823D6C"/>
    <w:pPr>
      <w:ind w:left="425"/>
    </w:pPr>
  </w:style>
  <w:style w:type="character" w:styleId="FollowedHyperlink">
    <w:name w:val="FollowedHyperlink"/>
    <w:basedOn w:val="DefaultParagraphFont"/>
    <w:rsid w:val="007256B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3D6C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823D6C"/>
    <w:rPr>
      <w:b/>
      <w:sz w:val="20"/>
    </w:rPr>
  </w:style>
  <w:style w:type="paragraph" w:styleId="Header">
    <w:name w:val="header"/>
    <w:basedOn w:val="Normal"/>
    <w:link w:val="HeaderChar"/>
    <w:uiPriority w:val="99"/>
    <w:rsid w:val="00823D6C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823D6C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823D6C"/>
    <w:pPr>
      <w:numPr>
        <w:ilvl w:val="1"/>
      </w:numPr>
    </w:pPr>
  </w:style>
  <w:style w:type="paragraph" w:customStyle="1" w:styleId="ListNumber1">
    <w:name w:val="List Number1"/>
    <w:basedOn w:val="Normal"/>
    <w:rsid w:val="00823D6C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823D6C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823D6C"/>
    <w:rPr>
      <w:szCs w:val="22"/>
    </w:rPr>
  </w:style>
  <w:style w:type="paragraph" w:customStyle="1" w:styleId="tabletitlefullwidth">
    <w:name w:val="table title full width"/>
    <w:basedOn w:val="Normal"/>
    <w:rsid w:val="00823D6C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823D6C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823D6C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823D6C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823D6C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character" w:styleId="Hyperlink">
    <w:name w:val="Hyperlink"/>
    <w:basedOn w:val="DefaultParagraphFont"/>
    <w:uiPriority w:val="99"/>
    <w:rsid w:val="00823D6C"/>
    <w:rPr>
      <w:color w:val="0000FF"/>
      <w:u w:val="single"/>
    </w:rPr>
  </w:style>
  <w:style w:type="paragraph" w:customStyle="1" w:styleId="tablebullet">
    <w:name w:val="table bullet"/>
    <w:basedOn w:val="Normal"/>
    <w:rsid w:val="00823D6C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823D6C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823D6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23D6C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823D6C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823D6C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823D6C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rsid w:val="007256BB"/>
    <w:pPr>
      <w:numPr>
        <w:numId w:val="0"/>
      </w:numPr>
    </w:pPr>
  </w:style>
  <w:style w:type="paragraph" w:customStyle="1" w:styleId="tabletext">
    <w:name w:val="table text"/>
    <w:basedOn w:val="tablehead"/>
    <w:rsid w:val="007256BB"/>
    <w:pPr>
      <w:keepNext w:val="0"/>
    </w:pPr>
    <w:rPr>
      <w:b w:val="0"/>
    </w:rPr>
  </w:style>
  <w:style w:type="paragraph" w:customStyle="1" w:styleId="Tiptext">
    <w:name w:val="Tip text"/>
    <w:basedOn w:val="Fronttext"/>
    <w:next w:val="BodyText"/>
    <w:rsid w:val="007256BB"/>
    <w:rPr>
      <w:vanish/>
      <w:color w:val="800000"/>
    </w:rPr>
  </w:style>
  <w:style w:type="paragraph" w:customStyle="1" w:styleId="Fronttext">
    <w:name w:val="Front text"/>
    <w:basedOn w:val="Bodytextplain"/>
    <w:rsid w:val="00823D6C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tabletitleindented">
    <w:name w:val="table title indented"/>
    <w:basedOn w:val="tabletitlefullwidth"/>
    <w:rsid w:val="00823D6C"/>
    <w:pPr>
      <w:ind w:left="3260"/>
    </w:pPr>
  </w:style>
  <w:style w:type="paragraph" w:styleId="Caption">
    <w:name w:val="caption"/>
    <w:basedOn w:val="Normal"/>
    <w:next w:val="Normal"/>
    <w:qFormat/>
    <w:rsid w:val="00823D6C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823D6C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823D6C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823D6C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823D6C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823D6C"/>
    <w:rPr>
      <w:b w:val="0"/>
    </w:rPr>
  </w:style>
  <w:style w:type="character" w:customStyle="1" w:styleId="KPboldChar">
    <w:name w:val="KP bold Char"/>
    <w:basedOn w:val="DefaultParagraphFont"/>
    <w:rsid w:val="007256BB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823D6C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823D6C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823D6C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7256BB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823D6C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823D6C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823D6C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7256BB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823D6C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823D6C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DescriptorCP">
    <w:name w:val="Descriptor CP"/>
    <w:basedOn w:val="DescriptorRG"/>
    <w:next w:val="Normal"/>
    <w:rsid w:val="00823D6C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bullet">
    <w:name w:val="Front bullet"/>
    <w:basedOn w:val="Fronttext"/>
    <w:rsid w:val="00823D6C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823D6C"/>
  </w:style>
  <w:style w:type="paragraph" w:customStyle="1" w:styleId="Blockquote">
    <w:name w:val="Block quote"/>
    <w:basedOn w:val="Bodytextplain"/>
    <w:rsid w:val="00823D6C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7256BB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823D6C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823D6C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823D6C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823D6C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823D6C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823D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23D6C"/>
    <w:rPr>
      <w:sz w:val="20"/>
    </w:rPr>
  </w:style>
  <w:style w:type="paragraph" w:customStyle="1" w:styleId="issueddate">
    <w:name w:val="issued date"/>
    <w:rsid w:val="007256BB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823D6C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823D6C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823D6C"/>
    <w:pPr>
      <w:spacing w:before="120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194C99"/>
    <w:rPr>
      <w:rFonts w:ascii="Arial" w:hAnsi="Arial" w:cs="Arial"/>
      <w:caps/>
      <w:color w:val="008291"/>
      <w:sz w:val="16"/>
      <w:szCs w:val="16"/>
    </w:rPr>
  </w:style>
  <w:style w:type="paragraph" w:customStyle="1" w:styleId="sub3paraA">
    <w:name w:val="sub3para (A)"/>
    <w:basedOn w:val="subsubparai"/>
    <w:qFormat/>
    <w:rsid w:val="00823D6C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823D6C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823D6C"/>
    <w:pPr>
      <w:numPr>
        <w:ilvl w:val="6"/>
      </w:numPr>
    </w:pPr>
  </w:style>
  <w:style w:type="paragraph" w:styleId="ListParagraph">
    <w:name w:val="List Paragraph"/>
    <w:basedOn w:val="Normal"/>
    <w:uiPriority w:val="34"/>
    <w:qFormat/>
    <w:rsid w:val="00734088"/>
    <w:pPr>
      <w:spacing w:after="0"/>
      <w:ind w:left="720"/>
    </w:pPr>
    <w:rPr>
      <w:rFonts w:eastAsiaTheme="minorHAnsi"/>
      <w:sz w:val="24"/>
      <w:szCs w:val="24"/>
    </w:rPr>
  </w:style>
  <w:style w:type="paragraph" w:customStyle="1" w:styleId="sourcenotefullwidth">
    <w:name w:val="source note full width"/>
    <w:rsid w:val="00823D6C"/>
    <w:pPr>
      <w:spacing w:before="120"/>
    </w:pPr>
    <w:rPr>
      <w:rFonts w:ascii="Arial" w:hAnsi="Arial"/>
      <w:sz w:val="16"/>
      <w:szCs w:val="22"/>
    </w:rPr>
  </w:style>
  <w:style w:type="paragraph" w:customStyle="1" w:styleId="sourcenoteindented">
    <w:name w:val="source note indented"/>
    <w:basedOn w:val="sourcenotefullwidth"/>
    <w:qFormat/>
    <w:rsid w:val="00823D6C"/>
    <w:pPr>
      <w:ind w:left="226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F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B1CF4"/>
  </w:style>
  <w:style w:type="character" w:customStyle="1" w:styleId="CommentSubjectChar">
    <w:name w:val="Comment Subject Char"/>
    <w:basedOn w:val="CommentTextChar"/>
    <w:link w:val="CommentSubject"/>
    <w:rsid w:val="000B1CF4"/>
  </w:style>
  <w:style w:type="character" w:customStyle="1" w:styleId="FooterChar">
    <w:name w:val="Footer Char"/>
    <w:basedOn w:val="DefaultParagraphFont"/>
    <w:link w:val="Footer"/>
    <w:uiPriority w:val="99"/>
    <w:rsid w:val="00A703ED"/>
    <w:rPr>
      <w:rFonts w:ascii="Arial" w:hAnsi="Arial"/>
      <w:sz w:val="16"/>
      <w:szCs w:val="16"/>
    </w:rPr>
  </w:style>
  <w:style w:type="paragraph" w:styleId="Revision">
    <w:name w:val="Revision"/>
    <w:hidden/>
    <w:uiPriority w:val="99"/>
    <w:semiHidden/>
    <w:rsid w:val="00C36209"/>
    <w:rPr>
      <w:sz w:val="22"/>
    </w:rPr>
  </w:style>
  <w:style w:type="paragraph" w:styleId="ListBullet2">
    <w:name w:val="List Bullet 2"/>
    <w:basedOn w:val="Normal"/>
    <w:rsid w:val="00823D6C"/>
    <w:pPr>
      <w:numPr>
        <w:numId w:val="24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paragraph" w:customStyle="1" w:styleId="tblProposalsubpara">
    <w:name w:val="tbl Proposal sub para"/>
    <w:basedOn w:val="tbltext"/>
    <w:qFormat/>
    <w:rsid w:val="00823D6C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823D6C"/>
    <w:pPr>
      <w:ind w:left="1310" w:hanging="425"/>
    </w:pPr>
  </w:style>
  <w:style w:type="paragraph" w:customStyle="1" w:styleId="tblProposaltext">
    <w:name w:val="tbl Proposal text"/>
    <w:basedOn w:val="tbltext"/>
    <w:qFormat/>
    <w:rsid w:val="00823D6C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823D6C"/>
    <w:pPr>
      <w:ind w:left="425"/>
    </w:pPr>
  </w:style>
  <w:style w:type="paragraph" w:customStyle="1" w:styleId="tblFeedbackquestion">
    <w:name w:val="tbl Feedback question"/>
    <w:basedOn w:val="Proposaltext"/>
    <w:qFormat/>
    <w:rsid w:val="00823D6C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823D6C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823D6C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823D6C"/>
    <w:pPr>
      <w:ind w:left="1304" w:hanging="340"/>
    </w:pPr>
  </w:style>
  <w:style w:type="character" w:customStyle="1" w:styleId="Heading6Char">
    <w:name w:val="Heading 6 Char"/>
    <w:basedOn w:val="DefaultParagraphFont"/>
    <w:link w:val="Heading6"/>
    <w:rsid w:val="00823D6C"/>
    <w:rPr>
      <w:rFonts w:ascii="Arial" w:hAnsi="Arial" w:cs="Arial"/>
      <w:b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92B7-237D-4ADE-8769-3B18616A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1</TotalTime>
  <Pages>4</Pages>
  <Words>1240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7793</CharactersWithSpaces>
  <SharedDoc>false</SharedDoc>
  <HyperlinkBase/>
  <HLinks>
    <vt:vector size="144" baseType="variant"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B</vt:lpwstr>
      </vt:variant>
      <vt:variant>
        <vt:i4>1245299</vt:i4>
      </vt:variant>
      <vt:variant>
        <vt:i4>189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KP3</vt:lpwstr>
      </vt:variant>
      <vt:variant>
        <vt:i4>1245299</vt:i4>
      </vt:variant>
      <vt:variant>
        <vt:i4>180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KP2</vt:lpwstr>
      </vt:variant>
      <vt:variant>
        <vt:i4>1245299</vt:i4>
      </vt:variant>
      <vt:variant>
        <vt:i4>171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KP1</vt:lpwstr>
      </vt:variant>
      <vt:variant>
        <vt:i4>7012363</vt:i4>
      </vt:variant>
      <vt:variant>
        <vt:i4>162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KeyPoints</vt:lpwstr>
      </vt:variant>
      <vt:variant>
        <vt:i4>7929857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Overview</vt:lpwstr>
      </vt:variant>
      <vt:variant>
        <vt:i4>101</vt:i4>
      </vt:variant>
      <vt:variant>
        <vt:i4>147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DocumentDesignModel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_Toc167001757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_Toc167001756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_Toc167001755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_Toc167001754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_Toc167001753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_Toc167001752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_Toc167001751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_Toc167001750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_Toc167001749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_Toc167001748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_Toc167001747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_Toc167001746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_Toc167001745</vt:lpwstr>
      </vt:variant>
      <vt:variant>
        <vt:i4>131176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AboutThisGuide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/>
      </vt:variant>
      <vt:variant>
        <vt:i4>6488088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/>
      </vt:variant>
      <vt:variant>
        <vt:i4>6488088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Button</dc:creator>
  <cp:lastModifiedBy>Merrill.murray</cp:lastModifiedBy>
  <cp:revision>2</cp:revision>
  <cp:lastPrinted>2014-06-06T04:03:00Z</cp:lastPrinted>
  <dcterms:created xsi:type="dcterms:W3CDTF">2014-06-26T00:42:00Z</dcterms:created>
  <dcterms:modified xsi:type="dcterms:W3CDTF">2014-06-26T00:42:00Z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REGULATORY GUIDE</vt:lpwstr>
  </property>
  <property fmtid="{D5CDD505-2E9C-101B-9397-08002B2CF9AE}" pid="3" name="Document title">
    <vt:lpwstr>Keeping superannuation websites up to date</vt:lpwstr>
  </property>
  <property fmtid="{D5CDD505-2E9C-101B-9397-08002B2CF9AE}" pid="4" name="Issue date">
    <vt:lpwstr>March 2014</vt:lpwstr>
  </property>
  <property fmtid="{D5CDD505-2E9C-101B-9397-08002B2CF9AE}" pid="5" name="Document num">
    <vt:lpwstr>000</vt:lpwstr>
  </property>
  <property fmtid="{D5CDD505-2E9C-101B-9397-08002B2CF9AE}" pid="6" name="Source file type">
    <vt:lpwstr>RG standard</vt:lpwstr>
  </property>
  <property fmtid="{D5CDD505-2E9C-101B-9397-08002B2CF9AE}" pid="7" name="Objective-Id">
    <vt:lpwstr>A4206604</vt:lpwstr>
  </property>
  <property fmtid="{D5CDD505-2E9C-101B-9397-08002B2CF9AE}" pid="8" name="Objective-Title">
    <vt:lpwstr>CO 14-509</vt:lpwstr>
  </property>
  <property fmtid="{D5CDD505-2E9C-101B-9397-08002B2CF9AE}" pid="9" name="Objective-Comment">
    <vt:lpwstr>
    </vt:lpwstr>
  </property>
  <property fmtid="{D5CDD505-2E9C-101B-9397-08002B2CF9AE}" pid="10" name="Objective-CreationStamp">
    <vt:filetime>2014-06-06T03:35:14Z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>
    </vt:lpwstr>
  </property>
  <property fmtid="{D5CDD505-2E9C-101B-9397-08002B2CF9AE}" pid="14" name="Objective-ModificationStamp">
    <vt:filetime>2014-06-06T04:09:19Z</vt:filetime>
  </property>
  <property fmtid="{D5CDD505-2E9C-101B-9397-08002B2CF9AE}" pid="15" name="Objective-Owner">
    <vt:lpwstr>Stephen Yen</vt:lpwstr>
  </property>
  <property fmtid="{D5CDD505-2E9C-101B-9397-08002B2CF9AE}" pid="16" name="Objective-Path">
    <vt:lpwstr>ASIC BCS:LEGAL SERVICES:Advice:Class Orders:Class Orders 2014:</vt:lpwstr>
  </property>
  <property fmtid="{D5CDD505-2E9C-101B-9397-08002B2CF9AE}" pid="17" name="Objective-Parent">
    <vt:lpwstr>Class Orders 2014</vt:lpwstr>
  </property>
  <property fmtid="{D5CDD505-2E9C-101B-9397-08002B2CF9AE}" pid="18" name="Objective-State">
    <vt:lpwstr>Being Drafted</vt:lpwstr>
  </property>
  <property fmtid="{D5CDD505-2E9C-101B-9397-08002B2CF9AE}" pid="19" name="Objective-Version">
    <vt:lpwstr>0.2</vt:lpwstr>
  </property>
  <property fmtid="{D5CDD505-2E9C-101B-9397-08002B2CF9AE}" pid="20" name="Objective-VersionNumber">
    <vt:i4>2</vt:i4>
  </property>
  <property fmtid="{D5CDD505-2E9C-101B-9397-08002B2CF9AE}" pid="21" name="Objective-VersionComment">
    <vt:lpwstr>Version 2</vt:lpwstr>
  </property>
  <property fmtid="{D5CDD505-2E9C-101B-9397-08002B2CF9AE}" pid="22" name="Objective-FileNumber">
    <vt:lpwstr>
    </vt:lpwstr>
  </property>
  <property fmtid="{D5CDD505-2E9C-101B-9397-08002B2CF9AE}" pid="23" name="Objective-Classification">
    <vt:lpwstr>[Inherited - IN-CONFIDENCE]</vt:lpwstr>
  </property>
  <property fmtid="{D5CDD505-2E9C-101B-9397-08002B2CF9AE}" pid="24" name="Objective-Caveats">
    <vt:lpwstr>
    </vt:lpwstr>
  </property>
  <property fmtid="{D5CDD505-2E9C-101B-9397-08002B2CF9AE}" pid="25" name="Objective-Category [system]">
    <vt:lpwstr>
    </vt:lpwstr>
  </property>
</Properties>
</file>