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422C2" w:rsidRDefault="00193461" w:rsidP="0048364F">
      <w:pPr>
        <w:rPr>
          <w:sz w:val="28"/>
        </w:rPr>
      </w:pPr>
      <w:r w:rsidRPr="000422C2">
        <w:rPr>
          <w:noProof/>
          <w:lang w:eastAsia="en-AU"/>
        </w:rPr>
        <w:drawing>
          <wp:inline distT="0" distB="0" distL="0" distR="0" wp14:anchorId="7C2D80DF" wp14:editId="78B5DBC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422C2" w:rsidRDefault="0048364F" w:rsidP="0048364F">
      <w:pPr>
        <w:rPr>
          <w:sz w:val="19"/>
        </w:rPr>
      </w:pPr>
    </w:p>
    <w:p w:rsidR="0048364F" w:rsidRPr="000422C2" w:rsidRDefault="008910A3" w:rsidP="0048364F">
      <w:pPr>
        <w:pStyle w:val="ShortT"/>
      </w:pPr>
      <w:r w:rsidRPr="000422C2">
        <w:t>Financial Management and Accountability Amendment (2014 Measures No.</w:t>
      </w:r>
      <w:r w:rsidR="000422C2" w:rsidRPr="000422C2">
        <w:t> </w:t>
      </w:r>
      <w:r w:rsidRPr="000422C2">
        <w:t>6) Regulation</w:t>
      </w:r>
      <w:r w:rsidR="000422C2" w:rsidRPr="000422C2">
        <w:t> </w:t>
      </w:r>
      <w:r w:rsidRPr="000422C2">
        <w:t>2014</w:t>
      </w:r>
    </w:p>
    <w:p w:rsidR="0048364F" w:rsidRPr="000422C2" w:rsidRDefault="0048364F" w:rsidP="0048364F"/>
    <w:p w:rsidR="0048364F" w:rsidRPr="000422C2" w:rsidRDefault="00A4361F" w:rsidP="00680F17">
      <w:pPr>
        <w:pStyle w:val="InstNo"/>
      </w:pPr>
      <w:r w:rsidRPr="000422C2">
        <w:t>Select Legislative Instrument</w:t>
      </w:r>
      <w:r w:rsidR="00154EAC" w:rsidRPr="000422C2">
        <w:t xml:space="preserve"> </w:t>
      </w:r>
      <w:bookmarkStart w:id="0" w:name="BKCheck15B_1"/>
      <w:bookmarkEnd w:id="0"/>
      <w:r w:rsidR="00D0104A" w:rsidRPr="000422C2">
        <w:fldChar w:fldCharType="begin"/>
      </w:r>
      <w:r w:rsidR="00D0104A" w:rsidRPr="000422C2">
        <w:instrText xml:space="preserve"> DOCPROPERTY  ActNo </w:instrText>
      </w:r>
      <w:r w:rsidR="00D0104A" w:rsidRPr="000422C2">
        <w:fldChar w:fldCharType="separate"/>
      </w:r>
      <w:r w:rsidR="009423D3">
        <w:t>No. 107, 2014</w:t>
      </w:r>
      <w:r w:rsidR="00D0104A" w:rsidRPr="000422C2">
        <w:fldChar w:fldCharType="end"/>
      </w:r>
    </w:p>
    <w:p w:rsidR="00A535B1" w:rsidRPr="000422C2" w:rsidRDefault="00A535B1" w:rsidP="00870151">
      <w:pPr>
        <w:pStyle w:val="SignCoverPageStart"/>
        <w:spacing w:before="240"/>
        <w:rPr>
          <w:szCs w:val="22"/>
        </w:rPr>
      </w:pPr>
      <w:r w:rsidRPr="000422C2">
        <w:rPr>
          <w:szCs w:val="22"/>
        </w:rPr>
        <w:t xml:space="preserve">I, General the Honourable Sir Peter Cosgrove AK MC (Ret’d), </w:t>
      </w:r>
      <w:r w:rsidR="000422C2" w:rsidRPr="000422C2">
        <w:rPr>
          <w:szCs w:val="22"/>
        </w:rPr>
        <w:t>Governor</w:t>
      </w:r>
      <w:r w:rsidR="000422C2">
        <w:rPr>
          <w:szCs w:val="22"/>
        </w:rPr>
        <w:noBreakHyphen/>
      </w:r>
      <w:r w:rsidR="000422C2" w:rsidRPr="000422C2">
        <w:rPr>
          <w:szCs w:val="22"/>
        </w:rPr>
        <w:t>General</w:t>
      </w:r>
      <w:r w:rsidRPr="000422C2">
        <w:rPr>
          <w:szCs w:val="22"/>
        </w:rPr>
        <w:t xml:space="preserve"> of the Commonwealth of Australia, acting with the advice of the Federal Executive Council, make the following regulation.</w:t>
      </w:r>
    </w:p>
    <w:p w:rsidR="00A535B1" w:rsidRPr="000422C2" w:rsidRDefault="00A535B1" w:rsidP="009A1619">
      <w:pPr>
        <w:keepNext/>
        <w:spacing w:before="600" w:line="240" w:lineRule="atLeast"/>
        <w:ind w:right="397"/>
        <w:jc w:val="both"/>
        <w:rPr>
          <w:szCs w:val="22"/>
        </w:rPr>
      </w:pPr>
      <w:r w:rsidRPr="000422C2">
        <w:rPr>
          <w:szCs w:val="22"/>
        </w:rPr>
        <w:t xml:space="preserve">Dated </w:t>
      </w:r>
      <w:bookmarkStart w:id="1" w:name="BKCheck15B_2"/>
      <w:bookmarkEnd w:id="1"/>
      <w:r w:rsidRPr="000422C2">
        <w:rPr>
          <w:szCs w:val="22"/>
        </w:rPr>
        <w:fldChar w:fldCharType="begin"/>
      </w:r>
      <w:r w:rsidRPr="000422C2">
        <w:rPr>
          <w:szCs w:val="22"/>
        </w:rPr>
        <w:instrText xml:space="preserve"> DOCPROPERTY  DateMade </w:instrText>
      </w:r>
      <w:r w:rsidRPr="000422C2">
        <w:rPr>
          <w:szCs w:val="22"/>
        </w:rPr>
        <w:fldChar w:fldCharType="separate"/>
      </w:r>
      <w:r w:rsidR="009423D3">
        <w:rPr>
          <w:szCs w:val="22"/>
        </w:rPr>
        <w:t>26 June 2014</w:t>
      </w:r>
      <w:r w:rsidRPr="000422C2">
        <w:rPr>
          <w:szCs w:val="22"/>
        </w:rPr>
        <w:fldChar w:fldCharType="end"/>
      </w:r>
    </w:p>
    <w:p w:rsidR="00A535B1" w:rsidRPr="000422C2" w:rsidRDefault="00A535B1" w:rsidP="00870151">
      <w:pPr>
        <w:keepNext/>
        <w:tabs>
          <w:tab w:val="left" w:pos="3402"/>
        </w:tabs>
        <w:spacing w:before="1080" w:line="300" w:lineRule="atLeast"/>
        <w:ind w:left="397" w:right="397"/>
        <w:jc w:val="right"/>
        <w:rPr>
          <w:szCs w:val="22"/>
        </w:rPr>
      </w:pPr>
      <w:r w:rsidRPr="000422C2">
        <w:rPr>
          <w:szCs w:val="22"/>
        </w:rPr>
        <w:t>Peter Cosgrove</w:t>
      </w:r>
    </w:p>
    <w:p w:rsidR="00A535B1" w:rsidRPr="000422C2" w:rsidRDefault="000422C2" w:rsidP="00870151">
      <w:pPr>
        <w:keepNext/>
        <w:tabs>
          <w:tab w:val="left" w:pos="3402"/>
        </w:tabs>
        <w:spacing w:line="300" w:lineRule="atLeast"/>
        <w:ind w:left="397" w:right="397"/>
        <w:jc w:val="right"/>
        <w:rPr>
          <w:szCs w:val="22"/>
        </w:rPr>
      </w:pPr>
      <w:r w:rsidRPr="000422C2">
        <w:rPr>
          <w:szCs w:val="22"/>
        </w:rPr>
        <w:t>Governor</w:t>
      </w:r>
      <w:r>
        <w:rPr>
          <w:szCs w:val="22"/>
        </w:rPr>
        <w:noBreakHyphen/>
      </w:r>
      <w:r w:rsidRPr="000422C2">
        <w:rPr>
          <w:szCs w:val="22"/>
        </w:rPr>
        <w:t>General</w:t>
      </w:r>
    </w:p>
    <w:p w:rsidR="00A535B1" w:rsidRPr="000422C2" w:rsidRDefault="00A535B1" w:rsidP="009A1619">
      <w:pPr>
        <w:keepNext/>
        <w:tabs>
          <w:tab w:val="left" w:pos="3402"/>
        </w:tabs>
        <w:spacing w:before="120" w:after="1080" w:line="300" w:lineRule="atLeast"/>
        <w:ind w:right="397"/>
        <w:rPr>
          <w:szCs w:val="22"/>
        </w:rPr>
      </w:pPr>
      <w:r w:rsidRPr="000422C2">
        <w:rPr>
          <w:szCs w:val="22"/>
        </w:rPr>
        <w:t>By His Excellency’s Command</w:t>
      </w:r>
    </w:p>
    <w:p w:rsidR="00A535B1" w:rsidRPr="000422C2" w:rsidRDefault="00A535B1" w:rsidP="009A1619">
      <w:pPr>
        <w:keepNext/>
        <w:tabs>
          <w:tab w:val="left" w:pos="3402"/>
        </w:tabs>
        <w:spacing w:before="1080" w:line="300" w:lineRule="atLeast"/>
        <w:ind w:right="397"/>
        <w:rPr>
          <w:b/>
          <w:szCs w:val="22"/>
        </w:rPr>
      </w:pPr>
      <w:r w:rsidRPr="000422C2">
        <w:rPr>
          <w:szCs w:val="22"/>
        </w:rPr>
        <w:t>Mathias Cormann</w:t>
      </w:r>
    </w:p>
    <w:p w:rsidR="00A535B1" w:rsidRPr="000422C2" w:rsidRDefault="00A535B1" w:rsidP="00870151">
      <w:pPr>
        <w:pStyle w:val="SignCoverPageEnd"/>
        <w:rPr>
          <w:szCs w:val="22"/>
        </w:rPr>
      </w:pPr>
      <w:r w:rsidRPr="000422C2">
        <w:rPr>
          <w:szCs w:val="22"/>
        </w:rPr>
        <w:t>Minister for Finance</w:t>
      </w:r>
    </w:p>
    <w:p w:rsidR="00A535B1" w:rsidRPr="000422C2" w:rsidRDefault="00A535B1" w:rsidP="00A535B1"/>
    <w:p w:rsidR="0048364F" w:rsidRPr="000422C2" w:rsidRDefault="0048364F" w:rsidP="0048364F">
      <w:pPr>
        <w:pStyle w:val="Header"/>
        <w:tabs>
          <w:tab w:val="clear" w:pos="4150"/>
          <w:tab w:val="clear" w:pos="8307"/>
        </w:tabs>
      </w:pPr>
      <w:r w:rsidRPr="000422C2">
        <w:rPr>
          <w:rStyle w:val="CharAmSchNo"/>
        </w:rPr>
        <w:t xml:space="preserve"> </w:t>
      </w:r>
      <w:r w:rsidRPr="000422C2">
        <w:rPr>
          <w:rStyle w:val="CharAmSchText"/>
        </w:rPr>
        <w:t xml:space="preserve"> </w:t>
      </w:r>
    </w:p>
    <w:p w:rsidR="0048364F" w:rsidRPr="000422C2" w:rsidRDefault="0048364F" w:rsidP="0048364F">
      <w:pPr>
        <w:pStyle w:val="Header"/>
        <w:tabs>
          <w:tab w:val="clear" w:pos="4150"/>
          <w:tab w:val="clear" w:pos="8307"/>
        </w:tabs>
      </w:pPr>
      <w:r w:rsidRPr="000422C2">
        <w:rPr>
          <w:rStyle w:val="CharAmPartNo"/>
        </w:rPr>
        <w:t xml:space="preserve"> </w:t>
      </w:r>
      <w:r w:rsidRPr="000422C2">
        <w:rPr>
          <w:rStyle w:val="CharAmPartText"/>
        </w:rPr>
        <w:t xml:space="preserve"> </w:t>
      </w:r>
    </w:p>
    <w:p w:rsidR="0048364F" w:rsidRPr="000422C2" w:rsidRDefault="0048364F" w:rsidP="0048364F">
      <w:pPr>
        <w:sectPr w:rsidR="0048364F" w:rsidRPr="000422C2" w:rsidSect="00395EB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0422C2" w:rsidRDefault="0048364F" w:rsidP="008660BB">
      <w:pPr>
        <w:rPr>
          <w:sz w:val="36"/>
        </w:rPr>
      </w:pPr>
      <w:r w:rsidRPr="000422C2">
        <w:rPr>
          <w:sz w:val="36"/>
        </w:rPr>
        <w:lastRenderedPageBreak/>
        <w:t>Contents</w:t>
      </w:r>
    </w:p>
    <w:bookmarkStart w:id="2" w:name="BKCheck15B_3"/>
    <w:bookmarkEnd w:id="2"/>
    <w:p w:rsidR="008B5B75" w:rsidRPr="000422C2" w:rsidRDefault="008B5B75">
      <w:pPr>
        <w:pStyle w:val="TOC5"/>
        <w:rPr>
          <w:rFonts w:asciiTheme="minorHAnsi" w:eastAsiaTheme="minorEastAsia" w:hAnsiTheme="minorHAnsi" w:cstheme="minorBidi"/>
          <w:noProof/>
          <w:kern w:val="0"/>
          <w:sz w:val="22"/>
          <w:szCs w:val="22"/>
        </w:rPr>
      </w:pPr>
      <w:r w:rsidRPr="000422C2">
        <w:fldChar w:fldCharType="begin"/>
      </w:r>
      <w:r w:rsidRPr="000422C2">
        <w:instrText xml:space="preserve"> TOC \o "1-9" </w:instrText>
      </w:r>
      <w:r w:rsidRPr="000422C2">
        <w:fldChar w:fldCharType="separate"/>
      </w:r>
      <w:r w:rsidRPr="000422C2">
        <w:rPr>
          <w:noProof/>
        </w:rPr>
        <w:t>1</w:t>
      </w:r>
      <w:r w:rsidRPr="000422C2">
        <w:rPr>
          <w:noProof/>
        </w:rPr>
        <w:tab/>
        <w:t>Name of regulation</w:t>
      </w:r>
      <w:r w:rsidRPr="000422C2">
        <w:rPr>
          <w:noProof/>
        </w:rPr>
        <w:tab/>
      </w:r>
      <w:r w:rsidRPr="000422C2">
        <w:rPr>
          <w:noProof/>
        </w:rPr>
        <w:fldChar w:fldCharType="begin"/>
      </w:r>
      <w:r w:rsidRPr="000422C2">
        <w:rPr>
          <w:noProof/>
        </w:rPr>
        <w:instrText xml:space="preserve"> PAGEREF _Toc390681255 \h </w:instrText>
      </w:r>
      <w:r w:rsidRPr="000422C2">
        <w:rPr>
          <w:noProof/>
        </w:rPr>
      </w:r>
      <w:r w:rsidRPr="000422C2">
        <w:rPr>
          <w:noProof/>
        </w:rPr>
        <w:fldChar w:fldCharType="separate"/>
      </w:r>
      <w:r w:rsidR="009423D3">
        <w:rPr>
          <w:noProof/>
        </w:rPr>
        <w:t>1</w:t>
      </w:r>
      <w:r w:rsidRPr="000422C2">
        <w:rPr>
          <w:noProof/>
        </w:rPr>
        <w:fldChar w:fldCharType="end"/>
      </w:r>
    </w:p>
    <w:p w:rsidR="008B5B75" w:rsidRPr="000422C2" w:rsidRDefault="008B5B75">
      <w:pPr>
        <w:pStyle w:val="TOC5"/>
        <w:rPr>
          <w:rFonts w:asciiTheme="minorHAnsi" w:eastAsiaTheme="minorEastAsia" w:hAnsiTheme="minorHAnsi" w:cstheme="minorBidi"/>
          <w:noProof/>
          <w:kern w:val="0"/>
          <w:sz w:val="22"/>
          <w:szCs w:val="22"/>
        </w:rPr>
      </w:pPr>
      <w:r w:rsidRPr="000422C2">
        <w:rPr>
          <w:noProof/>
        </w:rPr>
        <w:t>2</w:t>
      </w:r>
      <w:r w:rsidRPr="000422C2">
        <w:rPr>
          <w:noProof/>
        </w:rPr>
        <w:tab/>
        <w:t>Commencement</w:t>
      </w:r>
      <w:r w:rsidRPr="000422C2">
        <w:rPr>
          <w:noProof/>
        </w:rPr>
        <w:tab/>
      </w:r>
      <w:r w:rsidRPr="000422C2">
        <w:rPr>
          <w:noProof/>
        </w:rPr>
        <w:fldChar w:fldCharType="begin"/>
      </w:r>
      <w:r w:rsidRPr="000422C2">
        <w:rPr>
          <w:noProof/>
        </w:rPr>
        <w:instrText xml:space="preserve"> PAGEREF _Toc390681256 \h </w:instrText>
      </w:r>
      <w:r w:rsidRPr="000422C2">
        <w:rPr>
          <w:noProof/>
        </w:rPr>
      </w:r>
      <w:r w:rsidRPr="000422C2">
        <w:rPr>
          <w:noProof/>
        </w:rPr>
        <w:fldChar w:fldCharType="separate"/>
      </w:r>
      <w:r w:rsidR="009423D3">
        <w:rPr>
          <w:noProof/>
        </w:rPr>
        <w:t>1</w:t>
      </w:r>
      <w:r w:rsidRPr="000422C2">
        <w:rPr>
          <w:noProof/>
        </w:rPr>
        <w:fldChar w:fldCharType="end"/>
      </w:r>
    </w:p>
    <w:p w:rsidR="008B5B75" w:rsidRPr="000422C2" w:rsidRDefault="008B5B75">
      <w:pPr>
        <w:pStyle w:val="TOC5"/>
        <w:rPr>
          <w:rFonts w:asciiTheme="minorHAnsi" w:eastAsiaTheme="minorEastAsia" w:hAnsiTheme="minorHAnsi" w:cstheme="minorBidi"/>
          <w:noProof/>
          <w:kern w:val="0"/>
          <w:sz w:val="22"/>
          <w:szCs w:val="22"/>
        </w:rPr>
      </w:pPr>
      <w:r w:rsidRPr="000422C2">
        <w:rPr>
          <w:noProof/>
        </w:rPr>
        <w:t>3</w:t>
      </w:r>
      <w:r w:rsidRPr="000422C2">
        <w:rPr>
          <w:noProof/>
        </w:rPr>
        <w:tab/>
        <w:t>Authority</w:t>
      </w:r>
      <w:r w:rsidRPr="000422C2">
        <w:rPr>
          <w:noProof/>
        </w:rPr>
        <w:tab/>
      </w:r>
      <w:r w:rsidRPr="000422C2">
        <w:rPr>
          <w:noProof/>
        </w:rPr>
        <w:fldChar w:fldCharType="begin"/>
      </w:r>
      <w:r w:rsidRPr="000422C2">
        <w:rPr>
          <w:noProof/>
        </w:rPr>
        <w:instrText xml:space="preserve"> PAGEREF _Toc390681257 \h </w:instrText>
      </w:r>
      <w:r w:rsidRPr="000422C2">
        <w:rPr>
          <w:noProof/>
        </w:rPr>
      </w:r>
      <w:r w:rsidRPr="000422C2">
        <w:rPr>
          <w:noProof/>
        </w:rPr>
        <w:fldChar w:fldCharType="separate"/>
      </w:r>
      <w:r w:rsidR="009423D3">
        <w:rPr>
          <w:noProof/>
        </w:rPr>
        <w:t>1</w:t>
      </w:r>
      <w:r w:rsidRPr="000422C2">
        <w:rPr>
          <w:noProof/>
        </w:rPr>
        <w:fldChar w:fldCharType="end"/>
      </w:r>
    </w:p>
    <w:p w:rsidR="008B5B75" w:rsidRPr="000422C2" w:rsidRDefault="008B5B75">
      <w:pPr>
        <w:pStyle w:val="TOC5"/>
        <w:rPr>
          <w:rFonts w:asciiTheme="minorHAnsi" w:eastAsiaTheme="minorEastAsia" w:hAnsiTheme="minorHAnsi" w:cstheme="minorBidi"/>
          <w:noProof/>
          <w:kern w:val="0"/>
          <w:sz w:val="22"/>
          <w:szCs w:val="22"/>
        </w:rPr>
      </w:pPr>
      <w:r w:rsidRPr="000422C2">
        <w:rPr>
          <w:noProof/>
        </w:rPr>
        <w:t>4</w:t>
      </w:r>
      <w:r w:rsidRPr="000422C2">
        <w:rPr>
          <w:noProof/>
        </w:rPr>
        <w:tab/>
        <w:t>Schedule(s)</w:t>
      </w:r>
      <w:r w:rsidRPr="000422C2">
        <w:rPr>
          <w:noProof/>
        </w:rPr>
        <w:tab/>
      </w:r>
      <w:r w:rsidRPr="000422C2">
        <w:rPr>
          <w:noProof/>
        </w:rPr>
        <w:fldChar w:fldCharType="begin"/>
      </w:r>
      <w:r w:rsidRPr="000422C2">
        <w:rPr>
          <w:noProof/>
        </w:rPr>
        <w:instrText xml:space="preserve"> PAGEREF _Toc390681258 \h </w:instrText>
      </w:r>
      <w:r w:rsidRPr="000422C2">
        <w:rPr>
          <w:noProof/>
        </w:rPr>
      </w:r>
      <w:r w:rsidRPr="000422C2">
        <w:rPr>
          <w:noProof/>
        </w:rPr>
        <w:fldChar w:fldCharType="separate"/>
      </w:r>
      <w:r w:rsidR="009423D3">
        <w:rPr>
          <w:noProof/>
        </w:rPr>
        <w:t>1</w:t>
      </w:r>
      <w:r w:rsidRPr="000422C2">
        <w:rPr>
          <w:noProof/>
        </w:rPr>
        <w:fldChar w:fldCharType="end"/>
      </w:r>
    </w:p>
    <w:p w:rsidR="008B5B75" w:rsidRPr="000422C2" w:rsidRDefault="008B5B75">
      <w:pPr>
        <w:pStyle w:val="TOC6"/>
        <w:rPr>
          <w:rFonts w:asciiTheme="minorHAnsi" w:eastAsiaTheme="minorEastAsia" w:hAnsiTheme="minorHAnsi" w:cstheme="minorBidi"/>
          <w:b w:val="0"/>
          <w:noProof/>
          <w:kern w:val="0"/>
          <w:sz w:val="22"/>
          <w:szCs w:val="22"/>
        </w:rPr>
      </w:pPr>
      <w:r w:rsidRPr="000422C2">
        <w:rPr>
          <w:noProof/>
        </w:rPr>
        <w:t>Schedule</w:t>
      </w:r>
      <w:r w:rsidR="000422C2" w:rsidRPr="000422C2">
        <w:rPr>
          <w:noProof/>
        </w:rPr>
        <w:t> </w:t>
      </w:r>
      <w:r w:rsidRPr="000422C2">
        <w:rPr>
          <w:noProof/>
        </w:rPr>
        <w:t>1—Amendments</w:t>
      </w:r>
      <w:r w:rsidRPr="000422C2">
        <w:rPr>
          <w:b w:val="0"/>
          <w:noProof/>
          <w:sz w:val="18"/>
        </w:rPr>
        <w:tab/>
      </w:r>
      <w:r w:rsidRPr="000422C2">
        <w:rPr>
          <w:b w:val="0"/>
          <w:noProof/>
          <w:sz w:val="18"/>
        </w:rPr>
        <w:fldChar w:fldCharType="begin"/>
      </w:r>
      <w:r w:rsidRPr="000422C2">
        <w:rPr>
          <w:b w:val="0"/>
          <w:noProof/>
          <w:sz w:val="18"/>
        </w:rPr>
        <w:instrText xml:space="preserve"> PAGEREF _Toc390681259 \h </w:instrText>
      </w:r>
      <w:r w:rsidRPr="000422C2">
        <w:rPr>
          <w:b w:val="0"/>
          <w:noProof/>
          <w:sz w:val="18"/>
        </w:rPr>
      </w:r>
      <w:r w:rsidRPr="000422C2">
        <w:rPr>
          <w:b w:val="0"/>
          <w:noProof/>
          <w:sz w:val="18"/>
        </w:rPr>
        <w:fldChar w:fldCharType="separate"/>
      </w:r>
      <w:r w:rsidR="009423D3">
        <w:rPr>
          <w:b w:val="0"/>
          <w:noProof/>
          <w:sz w:val="18"/>
        </w:rPr>
        <w:t>2</w:t>
      </w:r>
      <w:r w:rsidRPr="000422C2">
        <w:rPr>
          <w:b w:val="0"/>
          <w:noProof/>
          <w:sz w:val="18"/>
        </w:rPr>
        <w:fldChar w:fldCharType="end"/>
      </w:r>
    </w:p>
    <w:p w:rsidR="008B5B75" w:rsidRPr="000422C2" w:rsidRDefault="008B5B75">
      <w:pPr>
        <w:pStyle w:val="TOC9"/>
        <w:rPr>
          <w:rFonts w:asciiTheme="minorHAnsi" w:eastAsiaTheme="minorEastAsia" w:hAnsiTheme="minorHAnsi" w:cstheme="minorBidi"/>
          <w:i w:val="0"/>
          <w:noProof/>
          <w:kern w:val="0"/>
          <w:sz w:val="22"/>
          <w:szCs w:val="22"/>
        </w:rPr>
      </w:pPr>
      <w:r w:rsidRPr="000422C2">
        <w:rPr>
          <w:noProof/>
        </w:rPr>
        <w:t>Financial Management and Accountability Regulations</w:t>
      </w:r>
      <w:r w:rsidR="000422C2" w:rsidRPr="000422C2">
        <w:rPr>
          <w:noProof/>
        </w:rPr>
        <w:t> </w:t>
      </w:r>
      <w:r w:rsidRPr="000422C2">
        <w:rPr>
          <w:noProof/>
        </w:rPr>
        <w:t>1997</w:t>
      </w:r>
      <w:r w:rsidRPr="000422C2">
        <w:rPr>
          <w:i w:val="0"/>
          <w:noProof/>
          <w:sz w:val="18"/>
        </w:rPr>
        <w:tab/>
      </w:r>
      <w:r w:rsidRPr="000422C2">
        <w:rPr>
          <w:i w:val="0"/>
          <w:noProof/>
          <w:sz w:val="18"/>
        </w:rPr>
        <w:fldChar w:fldCharType="begin"/>
      </w:r>
      <w:r w:rsidRPr="000422C2">
        <w:rPr>
          <w:i w:val="0"/>
          <w:noProof/>
          <w:sz w:val="18"/>
        </w:rPr>
        <w:instrText xml:space="preserve"> PAGEREF _Toc390681260 \h </w:instrText>
      </w:r>
      <w:r w:rsidRPr="000422C2">
        <w:rPr>
          <w:i w:val="0"/>
          <w:noProof/>
          <w:sz w:val="18"/>
        </w:rPr>
      </w:r>
      <w:r w:rsidRPr="000422C2">
        <w:rPr>
          <w:i w:val="0"/>
          <w:noProof/>
          <w:sz w:val="18"/>
        </w:rPr>
        <w:fldChar w:fldCharType="separate"/>
      </w:r>
      <w:r w:rsidR="009423D3">
        <w:rPr>
          <w:i w:val="0"/>
          <w:noProof/>
          <w:sz w:val="18"/>
        </w:rPr>
        <w:t>2</w:t>
      </w:r>
      <w:r w:rsidRPr="000422C2">
        <w:rPr>
          <w:i w:val="0"/>
          <w:noProof/>
          <w:sz w:val="18"/>
        </w:rPr>
        <w:fldChar w:fldCharType="end"/>
      </w:r>
    </w:p>
    <w:p w:rsidR="00833416" w:rsidRPr="000422C2" w:rsidRDefault="008B5B75" w:rsidP="0048364F">
      <w:r w:rsidRPr="000422C2">
        <w:fldChar w:fldCharType="end"/>
      </w:r>
    </w:p>
    <w:p w:rsidR="00722023" w:rsidRPr="000422C2" w:rsidRDefault="00722023" w:rsidP="0048364F">
      <w:pPr>
        <w:sectPr w:rsidR="00722023" w:rsidRPr="000422C2" w:rsidSect="00395EBF">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0422C2" w:rsidRDefault="0048364F" w:rsidP="0048364F">
      <w:pPr>
        <w:pStyle w:val="ActHead5"/>
      </w:pPr>
      <w:bookmarkStart w:id="3" w:name="_Toc390681255"/>
      <w:r w:rsidRPr="000422C2">
        <w:rPr>
          <w:rStyle w:val="CharSectno"/>
        </w:rPr>
        <w:lastRenderedPageBreak/>
        <w:t>1</w:t>
      </w:r>
      <w:r w:rsidRPr="000422C2">
        <w:t xml:space="preserve">  </w:t>
      </w:r>
      <w:r w:rsidR="004F676E" w:rsidRPr="000422C2">
        <w:t xml:space="preserve">Name of </w:t>
      </w:r>
      <w:r w:rsidR="008910A3" w:rsidRPr="000422C2">
        <w:t>regulation</w:t>
      </w:r>
      <w:bookmarkEnd w:id="3"/>
    </w:p>
    <w:p w:rsidR="0048364F" w:rsidRPr="000422C2" w:rsidRDefault="0048364F" w:rsidP="0048364F">
      <w:pPr>
        <w:pStyle w:val="subsection"/>
      </w:pPr>
      <w:r w:rsidRPr="000422C2">
        <w:tab/>
      </w:r>
      <w:r w:rsidRPr="000422C2">
        <w:tab/>
        <w:t>Th</w:t>
      </w:r>
      <w:r w:rsidR="00F24C35" w:rsidRPr="000422C2">
        <w:t>is</w:t>
      </w:r>
      <w:r w:rsidRPr="000422C2">
        <w:t xml:space="preserve"> </w:t>
      </w:r>
      <w:r w:rsidR="008910A3" w:rsidRPr="000422C2">
        <w:t>regulation</w:t>
      </w:r>
      <w:r w:rsidRPr="000422C2">
        <w:t xml:space="preserve"> </w:t>
      </w:r>
      <w:r w:rsidR="00F24C35" w:rsidRPr="000422C2">
        <w:t>is</w:t>
      </w:r>
      <w:r w:rsidR="003801D0" w:rsidRPr="000422C2">
        <w:t xml:space="preserve"> the</w:t>
      </w:r>
      <w:r w:rsidRPr="000422C2">
        <w:t xml:space="preserve"> </w:t>
      </w:r>
      <w:bookmarkStart w:id="4" w:name="BKCheck15B_4"/>
      <w:bookmarkEnd w:id="4"/>
      <w:r w:rsidR="00CB0180" w:rsidRPr="000422C2">
        <w:rPr>
          <w:i/>
        </w:rPr>
        <w:fldChar w:fldCharType="begin"/>
      </w:r>
      <w:r w:rsidR="00CB0180" w:rsidRPr="000422C2">
        <w:rPr>
          <w:i/>
        </w:rPr>
        <w:instrText xml:space="preserve"> STYLEREF  ShortT </w:instrText>
      </w:r>
      <w:r w:rsidR="00CB0180" w:rsidRPr="000422C2">
        <w:rPr>
          <w:i/>
        </w:rPr>
        <w:fldChar w:fldCharType="separate"/>
      </w:r>
      <w:r w:rsidR="009423D3">
        <w:rPr>
          <w:i/>
          <w:noProof/>
        </w:rPr>
        <w:t>Financial Management and Accountability Amendment (2014 Measures No. 6) Regulation 2014</w:t>
      </w:r>
      <w:r w:rsidR="00CB0180" w:rsidRPr="000422C2">
        <w:rPr>
          <w:i/>
        </w:rPr>
        <w:fldChar w:fldCharType="end"/>
      </w:r>
      <w:r w:rsidRPr="000422C2">
        <w:t>.</w:t>
      </w:r>
    </w:p>
    <w:p w:rsidR="0048364F" w:rsidRPr="000422C2" w:rsidRDefault="0048364F" w:rsidP="0048364F">
      <w:pPr>
        <w:pStyle w:val="ActHead5"/>
      </w:pPr>
      <w:bookmarkStart w:id="5" w:name="_Toc390681256"/>
      <w:r w:rsidRPr="000422C2">
        <w:rPr>
          <w:rStyle w:val="CharSectno"/>
        </w:rPr>
        <w:t>2</w:t>
      </w:r>
      <w:r w:rsidRPr="000422C2">
        <w:t xml:space="preserve">  Commencement</w:t>
      </w:r>
      <w:bookmarkEnd w:id="5"/>
    </w:p>
    <w:p w:rsidR="004F676E" w:rsidRPr="000422C2" w:rsidRDefault="004F676E" w:rsidP="004F676E">
      <w:pPr>
        <w:pStyle w:val="subsection"/>
      </w:pPr>
      <w:bookmarkStart w:id="6" w:name="_GoBack"/>
      <w:r w:rsidRPr="000422C2">
        <w:tab/>
      </w:r>
      <w:r w:rsidRPr="000422C2">
        <w:tab/>
        <w:t>Th</w:t>
      </w:r>
      <w:r w:rsidR="00F24C35" w:rsidRPr="000422C2">
        <w:t>is</w:t>
      </w:r>
      <w:r w:rsidRPr="000422C2">
        <w:t xml:space="preserve"> </w:t>
      </w:r>
      <w:r w:rsidR="008910A3" w:rsidRPr="000422C2">
        <w:t>regulation</w:t>
      </w:r>
      <w:r w:rsidRPr="000422C2">
        <w:t xml:space="preserve"> commence</w:t>
      </w:r>
      <w:r w:rsidR="00D17B17" w:rsidRPr="000422C2">
        <w:t>s</w:t>
      </w:r>
      <w:r w:rsidRPr="000422C2">
        <w:t xml:space="preserve"> on </w:t>
      </w:r>
      <w:r w:rsidR="00A26DBE" w:rsidRPr="000422C2">
        <w:t xml:space="preserve">the </w:t>
      </w:r>
      <w:r w:rsidR="008910A3" w:rsidRPr="000422C2">
        <w:t>day after it is registered</w:t>
      </w:r>
      <w:r w:rsidRPr="000422C2">
        <w:t>.</w:t>
      </w:r>
      <w:bookmarkEnd w:id="6"/>
    </w:p>
    <w:p w:rsidR="007769D4" w:rsidRPr="000422C2" w:rsidRDefault="007769D4" w:rsidP="007769D4">
      <w:pPr>
        <w:pStyle w:val="ActHead5"/>
      </w:pPr>
      <w:bookmarkStart w:id="7" w:name="_Toc390681257"/>
      <w:r w:rsidRPr="000422C2">
        <w:rPr>
          <w:rStyle w:val="CharSectno"/>
        </w:rPr>
        <w:t>3</w:t>
      </w:r>
      <w:r w:rsidRPr="000422C2">
        <w:t xml:space="preserve">  Authority</w:t>
      </w:r>
      <w:bookmarkEnd w:id="7"/>
    </w:p>
    <w:p w:rsidR="007769D4" w:rsidRPr="000422C2" w:rsidRDefault="007769D4" w:rsidP="007769D4">
      <w:pPr>
        <w:pStyle w:val="subsection"/>
      </w:pPr>
      <w:r w:rsidRPr="000422C2">
        <w:tab/>
      </w:r>
      <w:r w:rsidRPr="000422C2">
        <w:tab/>
      </w:r>
      <w:r w:rsidR="00AF0336" w:rsidRPr="000422C2">
        <w:t xml:space="preserve">This </w:t>
      </w:r>
      <w:r w:rsidR="008910A3" w:rsidRPr="000422C2">
        <w:t>regulation</w:t>
      </w:r>
      <w:r w:rsidR="00AF0336" w:rsidRPr="000422C2">
        <w:t xml:space="preserve"> is made under the </w:t>
      </w:r>
      <w:r w:rsidR="008910A3" w:rsidRPr="000422C2">
        <w:rPr>
          <w:i/>
        </w:rPr>
        <w:t>Financial Management and Accountability Act 1997</w:t>
      </w:r>
      <w:r w:rsidR="00D83D21" w:rsidRPr="000422C2">
        <w:rPr>
          <w:i/>
        </w:rPr>
        <w:t>.</w:t>
      </w:r>
    </w:p>
    <w:p w:rsidR="00557C7A" w:rsidRPr="000422C2" w:rsidRDefault="007769D4" w:rsidP="00557C7A">
      <w:pPr>
        <w:pStyle w:val="ActHead5"/>
      </w:pPr>
      <w:bookmarkStart w:id="8" w:name="_Toc390681258"/>
      <w:r w:rsidRPr="000422C2">
        <w:rPr>
          <w:rStyle w:val="CharSectno"/>
        </w:rPr>
        <w:t>4</w:t>
      </w:r>
      <w:r w:rsidR="00557C7A" w:rsidRPr="000422C2">
        <w:t xml:space="preserve">  </w:t>
      </w:r>
      <w:r w:rsidR="00B332B8" w:rsidRPr="000422C2">
        <w:t>Schedule(s)</w:t>
      </w:r>
      <w:bookmarkEnd w:id="8"/>
    </w:p>
    <w:p w:rsidR="00557C7A" w:rsidRPr="000422C2" w:rsidRDefault="00557C7A" w:rsidP="00557C7A">
      <w:pPr>
        <w:pStyle w:val="subsection"/>
      </w:pPr>
      <w:r w:rsidRPr="000422C2">
        <w:tab/>
      </w:r>
      <w:r w:rsidRPr="000422C2">
        <w:tab/>
      </w:r>
      <w:r w:rsidR="00CD7ECB" w:rsidRPr="000422C2">
        <w:t>Each instrument that is specified in a Schedule to this instrument is amended or repealed as set out in the applicable items in the Schedule concerned, and any other item in a Schedule to this instrument has effect according to its terms.</w:t>
      </w:r>
    </w:p>
    <w:p w:rsidR="0048364F" w:rsidRPr="000422C2" w:rsidRDefault="0048364F" w:rsidP="00FF3089">
      <w:pPr>
        <w:pStyle w:val="ActHead6"/>
        <w:pageBreakBefore/>
      </w:pPr>
      <w:bookmarkStart w:id="9" w:name="_Toc390681259"/>
      <w:bookmarkStart w:id="10" w:name="opcAmSched"/>
      <w:bookmarkStart w:id="11" w:name="opcCurrentFind"/>
      <w:r w:rsidRPr="000422C2">
        <w:rPr>
          <w:rStyle w:val="CharAmSchNo"/>
        </w:rPr>
        <w:t>Schedule</w:t>
      </w:r>
      <w:r w:rsidR="000422C2" w:rsidRPr="000422C2">
        <w:rPr>
          <w:rStyle w:val="CharAmSchNo"/>
        </w:rPr>
        <w:t> </w:t>
      </w:r>
      <w:r w:rsidRPr="000422C2">
        <w:rPr>
          <w:rStyle w:val="CharAmSchNo"/>
        </w:rPr>
        <w:t>1</w:t>
      </w:r>
      <w:r w:rsidRPr="000422C2">
        <w:t>—</w:t>
      </w:r>
      <w:r w:rsidR="00460499" w:rsidRPr="000422C2">
        <w:rPr>
          <w:rStyle w:val="CharAmSchText"/>
        </w:rPr>
        <w:t>Amendments</w:t>
      </w:r>
      <w:bookmarkEnd w:id="9"/>
    </w:p>
    <w:bookmarkEnd w:id="10"/>
    <w:bookmarkEnd w:id="11"/>
    <w:p w:rsidR="0004044E" w:rsidRPr="000422C2" w:rsidRDefault="0004044E" w:rsidP="0004044E">
      <w:pPr>
        <w:pStyle w:val="Header"/>
      </w:pPr>
      <w:r w:rsidRPr="000422C2">
        <w:rPr>
          <w:rStyle w:val="CharAmPartNo"/>
        </w:rPr>
        <w:t xml:space="preserve"> </w:t>
      </w:r>
      <w:r w:rsidRPr="000422C2">
        <w:rPr>
          <w:rStyle w:val="CharAmPartText"/>
        </w:rPr>
        <w:t xml:space="preserve"> </w:t>
      </w:r>
    </w:p>
    <w:p w:rsidR="00A535B1" w:rsidRPr="000422C2" w:rsidRDefault="00A535B1" w:rsidP="00A535B1">
      <w:pPr>
        <w:pStyle w:val="ActHead9"/>
      </w:pPr>
      <w:bookmarkStart w:id="12" w:name="_Toc390681260"/>
      <w:r w:rsidRPr="000422C2">
        <w:t>Financial Management and Accountability Regulations</w:t>
      </w:r>
      <w:r w:rsidR="000422C2" w:rsidRPr="000422C2">
        <w:t> </w:t>
      </w:r>
      <w:r w:rsidRPr="000422C2">
        <w:t>1997</w:t>
      </w:r>
      <w:bookmarkEnd w:id="12"/>
    </w:p>
    <w:p w:rsidR="009A6EBE" w:rsidRPr="000422C2" w:rsidRDefault="00280073" w:rsidP="00CA6351">
      <w:pPr>
        <w:pStyle w:val="ItemHead"/>
        <w:tabs>
          <w:tab w:val="left" w:pos="6663"/>
        </w:tabs>
      </w:pPr>
      <w:r w:rsidRPr="000422C2">
        <w:t>1</w:t>
      </w:r>
      <w:r w:rsidR="009A6EBE" w:rsidRPr="000422C2">
        <w:t xml:space="preserve">  Part</w:t>
      </w:r>
      <w:r w:rsidR="000422C2" w:rsidRPr="000422C2">
        <w:t> </w:t>
      </w:r>
      <w:r w:rsidR="009A6EBE" w:rsidRPr="000422C2">
        <w:t>2 of Schedule</w:t>
      </w:r>
      <w:r w:rsidR="000422C2" w:rsidRPr="000422C2">
        <w:t> </w:t>
      </w:r>
      <w:r w:rsidR="009A6EBE" w:rsidRPr="000422C2">
        <w:t>1AB (at the end of the table)</w:t>
      </w:r>
    </w:p>
    <w:p w:rsidR="009A6EBE" w:rsidRPr="000422C2" w:rsidRDefault="009A6EBE" w:rsidP="009A6EBE">
      <w:pPr>
        <w:pStyle w:val="Item"/>
      </w:pPr>
      <w:r w:rsidRPr="000422C2">
        <w:t>Add:</w:t>
      </w:r>
    </w:p>
    <w:p w:rsidR="009A6EBE" w:rsidRPr="000422C2" w:rsidRDefault="009A6EBE" w:rsidP="009A6EBE">
      <w:pPr>
        <w:pStyle w:val="Tabletext"/>
      </w:pPr>
    </w:p>
    <w:tbl>
      <w:tblPr>
        <w:tblW w:w="7080" w:type="dxa"/>
        <w:tblInd w:w="113" w:type="dxa"/>
        <w:tblLayout w:type="fixed"/>
        <w:tblLook w:val="04A0" w:firstRow="1" w:lastRow="0" w:firstColumn="1" w:lastColumn="0" w:noHBand="0" w:noVBand="1"/>
      </w:tblPr>
      <w:tblGrid>
        <w:gridCol w:w="714"/>
        <w:gridCol w:w="2115"/>
        <w:gridCol w:w="4251"/>
      </w:tblGrid>
      <w:tr w:rsidR="009A6EBE" w:rsidRPr="000422C2" w:rsidTr="0049341C">
        <w:tc>
          <w:tcPr>
            <w:tcW w:w="714" w:type="dxa"/>
            <w:shd w:val="clear" w:color="auto" w:fill="auto"/>
            <w:hideMark/>
          </w:tcPr>
          <w:p w:rsidR="009A6EBE" w:rsidRPr="000422C2" w:rsidRDefault="009A6EBE" w:rsidP="0041057C">
            <w:pPr>
              <w:pStyle w:val="Tabletext"/>
            </w:pPr>
            <w:r w:rsidRPr="000422C2">
              <w:t>2</w:t>
            </w:r>
          </w:p>
        </w:tc>
        <w:tc>
          <w:tcPr>
            <w:tcW w:w="2115" w:type="dxa"/>
            <w:shd w:val="clear" w:color="auto" w:fill="auto"/>
            <w:hideMark/>
          </w:tcPr>
          <w:p w:rsidR="009A6EBE" w:rsidRPr="000422C2" w:rsidRDefault="009A6EBE" w:rsidP="009A6EBE">
            <w:pPr>
              <w:pStyle w:val="Tabletext"/>
            </w:pPr>
            <w:r w:rsidRPr="000422C2">
              <w:rPr>
                <w:rFonts w:eastAsia="Calibri"/>
              </w:rPr>
              <w:t>Mersey Community Hospital</w:t>
            </w:r>
          </w:p>
        </w:tc>
        <w:tc>
          <w:tcPr>
            <w:tcW w:w="4251" w:type="dxa"/>
            <w:shd w:val="clear" w:color="auto" w:fill="auto"/>
            <w:hideMark/>
          </w:tcPr>
          <w:p w:rsidR="009A6EBE" w:rsidRPr="000422C2" w:rsidRDefault="009A6EBE" w:rsidP="009A6EBE">
            <w:pPr>
              <w:pStyle w:val="Tabletext"/>
            </w:pPr>
            <w:r w:rsidRPr="000422C2">
              <w:t>To provide funding to Tasmania for the continued operation of the Mersey Community Hospital.</w:t>
            </w:r>
          </w:p>
        </w:tc>
      </w:tr>
    </w:tbl>
    <w:p w:rsidR="009A6EBE" w:rsidRPr="000422C2" w:rsidRDefault="009A6EBE" w:rsidP="009A6EBE">
      <w:pPr>
        <w:pStyle w:val="Tabletext"/>
      </w:pPr>
    </w:p>
    <w:p w:rsidR="0058665B" w:rsidRPr="000422C2" w:rsidRDefault="00280073" w:rsidP="00CA6351">
      <w:pPr>
        <w:pStyle w:val="ItemHead"/>
        <w:tabs>
          <w:tab w:val="left" w:pos="6663"/>
        </w:tabs>
      </w:pPr>
      <w:r w:rsidRPr="000422C2">
        <w:t>2</w:t>
      </w:r>
      <w:r w:rsidR="0058665B" w:rsidRPr="000422C2">
        <w:t xml:space="preserve">  Part</w:t>
      </w:r>
      <w:r w:rsidR="000422C2" w:rsidRPr="000422C2">
        <w:t> </w:t>
      </w:r>
      <w:r w:rsidR="00FB6C56" w:rsidRPr="000422C2">
        <w:t>3</w:t>
      </w:r>
      <w:r w:rsidR="0058665B" w:rsidRPr="000422C2">
        <w:t xml:space="preserve"> of Schedule</w:t>
      </w:r>
      <w:r w:rsidR="000422C2" w:rsidRPr="000422C2">
        <w:t> </w:t>
      </w:r>
      <w:r w:rsidR="0058665B" w:rsidRPr="000422C2">
        <w:t>1AB (note)</w:t>
      </w:r>
    </w:p>
    <w:p w:rsidR="0058665B" w:rsidRPr="000422C2" w:rsidRDefault="0058665B" w:rsidP="0058665B">
      <w:pPr>
        <w:pStyle w:val="Item"/>
      </w:pPr>
      <w:r w:rsidRPr="000422C2">
        <w:t>Repeal the note, substitute:</w:t>
      </w:r>
    </w:p>
    <w:p w:rsidR="0058665B" w:rsidRPr="000422C2" w:rsidRDefault="0058665B" w:rsidP="0058665B">
      <w:pPr>
        <w:pStyle w:val="Tabletext"/>
      </w:pPr>
    </w:p>
    <w:tbl>
      <w:tblPr>
        <w:tblW w:w="7080" w:type="dxa"/>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2115"/>
        <w:gridCol w:w="4251"/>
      </w:tblGrid>
      <w:tr w:rsidR="0058665B" w:rsidRPr="000422C2" w:rsidTr="0049341C">
        <w:trPr>
          <w:tblHeader/>
        </w:trPr>
        <w:tc>
          <w:tcPr>
            <w:tcW w:w="7080" w:type="dxa"/>
            <w:gridSpan w:val="3"/>
            <w:tcBorders>
              <w:top w:val="single" w:sz="12" w:space="0" w:color="auto"/>
              <w:bottom w:val="single" w:sz="6" w:space="0" w:color="auto"/>
            </w:tcBorders>
            <w:shd w:val="clear" w:color="auto" w:fill="auto"/>
            <w:hideMark/>
          </w:tcPr>
          <w:p w:rsidR="0058665B" w:rsidRPr="000422C2" w:rsidRDefault="0058665B" w:rsidP="0049341C">
            <w:pPr>
              <w:pStyle w:val="TableHeading"/>
            </w:pPr>
            <w:r w:rsidRPr="000422C2">
              <w:t>Grants</w:t>
            </w:r>
          </w:p>
        </w:tc>
      </w:tr>
      <w:tr w:rsidR="0058665B" w:rsidRPr="000422C2" w:rsidTr="0049341C">
        <w:trPr>
          <w:tblHeader/>
        </w:trPr>
        <w:tc>
          <w:tcPr>
            <w:tcW w:w="714" w:type="dxa"/>
            <w:tcBorders>
              <w:top w:val="single" w:sz="6" w:space="0" w:color="auto"/>
              <w:bottom w:val="single" w:sz="12" w:space="0" w:color="auto"/>
            </w:tcBorders>
            <w:shd w:val="clear" w:color="auto" w:fill="auto"/>
            <w:hideMark/>
          </w:tcPr>
          <w:p w:rsidR="0058665B" w:rsidRPr="000422C2" w:rsidRDefault="0058665B" w:rsidP="0049341C">
            <w:pPr>
              <w:pStyle w:val="TableHeading"/>
            </w:pPr>
            <w:r w:rsidRPr="000422C2">
              <w:t>Item</w:t>
            </w:r>
          </w:p>
        </w:tc>
        <w:tc>
          <w:tcPr>
            <w:tcW w:w="2115" w:type="dxa"/>
            <w:tcBorders>
              <w:top w:val="single" w:sz="6" w:space="0" w:color="auto"/>
              <w:bottom w:val="single" w:sz="12" w:space="0" w:color="auto"/>
            </w:tcBorders>
            <w:shd w:val="clear" w:color="auto" w:fill="auto"/>
            <w:hideMark/>
          </w:tcPr>
          <w:p w:rsidR="0058665B" w:rsidRPr="000422C2" w:rsidRDefault="0058665B" w:rsidP="0049341C">
            <w:pPr>
              <w:pStyle w:val="TableHeading"/>
            </w:pPr>
            <w:r w:rsidRPr="000422C2">
              <w:t>Name</w:t>
            </w:r>
          </w:p>
        </w:tc>
        <w:tc>
          <w:tcPr>
            <w:tcW w:w="4251" w:type="dxa"/>
            <w:tcBorders>
              <w:top w:val="single" w:sz="6" w:space="0" w:color="auto"/>
              <w:bottom w:val="single" w:sz="12" w:space="0" w:color="auto"/>
            </w:tcBorders>
            <w:shd w:val="clear" w:color="auto" w:fill="auto"/>
            <w:hideMark/>
          </w:tcPr>
          <w:p w:rsidR="0058665B" w:rsidRPr="000422C2" w:rsidRDefault="0058665B" w:rsidP="0049341C">
            <w:pPr>
              <w:pStyle w:val="TableHeading"/>
            </w:pPr>
            <w:r w:rsidRPr="000422C2">
              <w:t>Purpose</w:t>
            </w:r>
          </w:p>
        </w:tc>
      </w:tr>
      <w:tr w:rsidR="009A6EBE" w:rsidRPr="000422C2" w:rsidTr="0049341C">
        <w:tc>
          <w:tcPr>
            <w:tcW w:w="714" w:type="dxa"/>
            <w:tcBorders>
              <w:top w:val="single" w:sz="12" w:space="0" w:color="auto"/>
            </w:tcBorders>
            <w:shd w:val="clear" w:color="auto" w:fill="auto"/>
          </w:tcPr>
          <w:p w:rsidR="009A6EBE" w:rsidRPr="000422C2" w:rsidRDefault="009A6EBE" w:rsidP="0058665B">
            <w:pPr>
              <w:pStyle w:val="Tabletext"/>
            </w:pPr>
            <w:r w:rsidRPr="000422C2">
              <w:t>1</w:t>
            </w:r>
          </w:p>
        </w:tc>
        <w:tc>
          <w:tcPr>
            <w:tcW w:w="2115" w:type="dxa"/>
            <w:tcBorders>
              <w:top w:val="single" w:sz="12" w:space="0" w:color="auto"/>
            </w:tcBorders>
            <w:shd w:val="clear" w:color="auto" w:fill="auto"/>
          </w:tcPr>
          <w:p w:rsidR="009A6EBE" w:rsidRPr="000422C2" w:rsidRDefault="009A6EBE" w:rsidP="004453E9">
            <w:pPr>
              <w:pStyle w:val="Tabletext"/>
            </w:pPr>
            <w:r w:rsidRPr="000422C2">
              <w:t>Grant to Hobart International Airport Pty L</w:t>
            </w:r>
            <w:r w:rsidR="004453E9" w:rsidRPr="000422C2">
              <w:t>imited</w:t>
            </w:r>
          </w:p>
        </w:tc>
        <w:tc>
          <w:tcPr>
            <w:tcW w:w="4251" w:type="dxa"/>
            <w:tcBorders>
              <w:top w:val="single" w:sz="12" w:space="0" w:color="auto"/>
            </w:tcBorders>
            <w:shd w:val="clear" w:color="auto" w:fill="auto"/>
          </w:tcPr>
          <w:p w:rsidR="009A6EBE" w:rsidRPr="000422C2" w:rsidRDefault="009A6EBE" w:rsidP="0058665B">
            <w:pPr>
              <w:pStyle w:val="Tabletext"/>
            </w:pPr>
            <w:r w:rsidRPr="000422C2">
              <w:t>To contribute towards meeting the costs of a runway extension and associated capital works at Hobart International Airport.</w:t>
            </w:r>
          </w:p>
        </w:tc>
      </w:tr>
      <w:tr w:rsidR="009A6EBE" w:rsidRPr="000422C2" w:rsidTr="0049341C">
        <w:tc>
          <w:tcPr>
            <w:tcW w:w="714" w:type="dxa"/>
            <w:tcBorders>
              <w:bottom w:val="single" w:sz="4" w:space="0" w:color="auto"/>
            </w:tcBorders>
            <w:shd w:val="clear" w:color="auto" w:fill="auto"/>
          </w:tcPr>
          <w:p w:rsidR="009A6EBE" w:rsidRPr="000422C2" w:rsidRDefault="009A6EBE" w:rsidP="0058665B">
            <w:pPr>
              <w:pStyle w:val="Tabletext"/>
            </w:pPr>
            <w:r w:rsidRPr="000422C2">
              <w:t>2</w:t>
            </w:r>
          </w:p>
        </w:tc>
        <w:tc>
          <w:tcPr>
            <w:tcW w:w="2115" w:type="dxa"/>
            <w:tcBorders>
              <w:bottom w:val="single" w:sz="4" w:space="0" w:color="auto"/>
            </w:tcBorders>
            <w:shd w:val="clear" w:color="auto" w:fill="auto"/>
          </w:tcPr>
          <w:p w:rsidR="009A6EBE" w:rsidRPr="000422C2" w:rsidRDefault="009A6EBE" w:rsidP="009A6EBE">
            <w:pPr>
              <w:pStyle w:val="Tabletext"/>
            </w:pPr>
            <w:r w:rsidRPr="000422C2">
              <w:rPr>
                <w:rFonts w:eastAsia="Calibri"/>
              </w:rPr>
              <w:t>Rural and Regional General Practice Teaching Infrastructure Grant</w:t>
            </w:r>
          </w:p>
        </w:tc>
        <w:tc>
          <w:tcPr>
            <w:tcW w:w="4251" w:type="dxa"/>
            <w:tcBorders>
              <w:bottom w:val="single" w:sz="4" w:space="0" w:color="auto"/>
            </w:tcBorders>
            <w:shd w:val="clear" w:color="auto" w:fill="auto"/>
          </w:tcPr>
          <w:p w:rsidR="009A6EBE" w:rsidRPr="000422C2" w:rsidRDefault="009A6EBE" w:rsidP="009A6EBE">
            <w:pPr>
              <w:pStyle w:val="Tabletext"/>
            </w:pPr>
            <w:r w:rsidRPr="000422C2">
              <w:t>To establish and fund a scheme for the provision, to general practices in rural and regional Australia, of additional consultation space for teaching and training to provide:</w:t>
            </w:r>
          </w:p>
          <w:p w:rsidR="009A6EBE" w:rsidRPr="000422C2" w:rsidRDefault="009E138B" w:rsidP="009A6EBE">
            <w:pPr>
              <w:pStyle w:val="Tablea"/>
            </w:pPr>
            <w:r w:rsidRPr="000422C2">
              <w:t>(a) benefits to students;</w:t>
            </w:r>
            <w:r w:rsidR="009A6EBE" w:rsidRPr="000422C2">
              <w:t xml:space="preserve"> and</w:t>
            </w:r>
          </w:p>
          <w:p w:rsidR="009A6EBE" w:rsidRPr="000422C2" w:rsidRDefault="009A6EBE" w:rsidP="009A6EBE">
            <w:pPr>
              <w:pStyle w:val="Tablea"/>
            </w:pPr>
            <w:r w:rsidRPr="000422C2">
              <w:t>(b) support incidental to the Commonwealth’s provision of sickness and hospital benefits and medical services.</w:t>
            </w:r>
          </w:p>
        </w:tc>
      </w:tr>
      <w:tr w:rsidR="0058665B" w:rsidRPr="000422C2" w:rsidTr="0049341C">
        <w:tc>
          <w:tcPr>
            <w:tcW w:w="714" w:type="dxa"/>
            <w:tcBorders>
              <w:bottom w:val="single" w:sz="12" w:space="0" w:color="auto"/>
            </w:tcBorders>
            <w:shd w:val="clear" w:color="auto" w:fill="auto"/>
            <w:hideMark/>
          </w:tcPr>
          <w:p w:rsidR="0058665B" w:rsidRPr="000422C2" w:rsidRDefault="009A6EBE" w:rsidP="0058665B">
            <w:pPr>
              <w:pStyle w:val="Tabletext"/>
            </w:pPr>
            <w:r w:rsidRPr="000422C2">
              <w:t>3</w:t>
            </w:r>
          </w:p>
        </w:tc>
        <w:tc>
          <w:tcPr>
            <w:tcW w:w="2115" w:type="dxa"/>
            <w:tcBorders>
              <w:bottom w:val="single" w:sz="12" w:space="0" w:color="auto"/>
            </w:tcBorders>
            <w:shd w:val="clear" w:color="auto" w:fill="auto"/>
            <w:hideMark/>
          </w:tcPr>
          <w:p w:rsidR="0058665B" w:rsidRPr="000422C2" w:rsidRDefault="009A6EBE" w:rsidP="009A6EBE">
            <w:pPr>
              <w:pStyle w:val="Tabletext"/>
            </w:pPr>
            <w:r w:rsidRPr="000422C2">
              <w:rPr>
                <w:rFonts w:eastAsia="Calibri"/>
              </w:rPr>
              <w:t>National Centre of Excellence in Youth Mental Health</w:t>
            </w:r>
          </w:p>
        </w:tc>
        <w:tc>
          <w:tcPr>
            <w:tcW w:w="4251" w:type="dxa"/>
            <w:tcBorders>
              <w:bottom w:val="single" w:sz="12" w:space="0" w:color="auto"/>
            </w:tcBorders>
            <w:shd w:val="clear" w:color="auto" w:fill="auto"/>
            <w:hideMark/>
          </w:tcPr>
          <w:p w:rsidR="0058665B" w:rsidRPr="000422C2" w:rsidRDefault="009A6EBE" w:rsidP="00576526">
            <w:pPr>
              <w:pStyle w:val="Tabletext"/>
            </w:pPr>
            <w:r w:rsidRPr="000422C2">
              <w:t xml:space="preserve">To establish and fund a National Centre </w:t>
            </w:r>
            <w:r w:rsidR="00576526" w:rsidRPr="000422C2">
              <w:t>of</w:t>
            </w:r>
            <w:r w:rsidRPr="000422C2">
              <w:t xml:space="preserve"> Excellence in Youth Mental Health to undertake nationally significant research and collaboration with research partnership nodes as activities </w:t>
            </w:r>
            <w:r w:rsidR="00DA70E8" w:rsidRPr="000422C2">
              <w:t xml:space="preserve">that are </w:t>
            </w:r>
            <w:r w:rsidRPr="000422C2">
              <w:t>peculiarly adapted to the government of a nation and cannot otherwise be carried out for the benefit of the nation.</w:t>
            </w:r>
          </w:p>
        </w:tc>
      </w:tr>
    </w:tbl>
    <w:p w:rsidR="0058665B" w:rsidRPr="000422C2" w:rsidRDefault="0058665B" w:rsidP="0058665B">
      <w:pPr>
        <w:pStyle w:val="Tabletext"/>
      </w:pPr>
    </w:p>
    <w:p w:rsidR="00CA6351" w:rsidRPr="000422C2" w:rsidRDefault="00280073" w:rsidP="00CA6351">
      <w:pPr>
        <w:pStyle w:val="ItemHead"/>
        <w:tabs>
          <w:tab w:val="left" w:pos="6663"/>
        </w:tabs>
      </w:pPr>
      <w:r w:rsidRPr="000422C2">
        <w:t>3</w:t>
      </w:r>
      <w:r w:rsidR="00CA6351" w:rsidRPr="000422C2">
        <w:t xml:space="preserve">  Part</w:t>
      </w:r>
      <w:r w:rsidR="000422C2" w:rsidRPr="000422C2">
        <w:t> </w:t>
      </w:r>
      <w:r w:rsidR="00CA6351" w:rsidRPr="000422C2">
        <w:t>4 of Schedule</w:t>
      </w:r>
      <w:r w:rsidR="000422C2" w:rsidRPr="000422C2">
        <w:t> </w:t>
      </w:r>
      <w:r w:rsidR="00CA6351" w:rsidRPr="000422C2">
        <w:t>1AB (at the end of the table)</w:t>
      </w:r>
    </w:p>
    <w:p w:rsidR="00CA6351" w:rsidRPr="000422C2" w:rsidRDefault="00CA6351" w:rsidP="00CA6351">
      <w:pPr>
        <w:pStyle w:val="Item"/>
      </w:pPr>
      <w:r w:rsidRPr="000422C2">
        <w:t>Add:</w:t>
      </w:r>
    </w:p>
    <w:p w:rsidR="00CA6351" w:rsidRPr="000422C2" w:rsidRDefault="00CA6351" w:rsidP="00CA6351">
      <w:pPr>
        <w:pStyle w:val="Tabletext"/>
      </w:pPr>
    </w:p>
    <w:tbl>
      <w:tblPr>
        <w:tblW w:w="7080" w:type="dxa"/>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2115"/>
        <w:gridCol w:w="4251"/>
      </w:tblGrid>
      <w:tr w:rsidR="00CA6351" w:rsidRPr="000422C2" w:rsidTr="00786143">
        <w:tc>
          <w:tcPr>
            <w:tcW w:w="714" w:type="dxa"/>
            <w:tcBorders>
              <w:top w:val="nil"/>
              <w:bottom w:val="single" w:sz="4" w:space="0" w:color="auto"/>
            </w:tcBorders>
            <w:shd w:val="clear" w:color="auto" w:fill="auto"/>
            <w:hideMark/>
          </w:tcPr>
          <w:p w:rsidR="00CA6351" w:rsidRPr="000422C2" w:rsidRDefault="00F619C8" w:rsidP="00870151">
            <w:pPr>
              <w:pStyle w:val="Tabletext"/>
            </w:pPr>
            <w:r w:rsidRPr="000422C2">
              <w:t>13</w:t>
            </w:r>
          </w:p>
        </w:tc>
        <w:tc>
          <w:tcPr>
            <w:tcW w:w="2115" w:type="dxa"/>
            <w:tcBorders>
              <w:top w:val="nil"/>
              <w:bottom w:val="single" w:sz="4" w:space="0" w:color="auto"/>
            </w:tcBorders>
            <w:shd w:val="clear" w:color="auto" w:fill="auto"/>
            <w:hideMark/>
          </w:tcPr>
          <w:p w:rsidR="00CA6351" w:rsidRPr="000422C2" w:rsidRDefault="00F619C8" w:rsidP="00F619C8">
            <w:pPr>
              <w:pStyle w:val="Tabletext"/>
            </w:pPr>
            <w:r w:rsidRPr="000422C2">
              <w:t>Manufacturing Industry Support</w:t>
            </w:r>
          </w:p>
        </w:tc>
        <w:tc>
          <w:tcPr>
            <w:tcW w:w="4251" w:type="dxa"/>
            <w:tcBorders>
              <w:top w:val="nil"/>
              <w:bottom w:val="single" w:sz="4" w:space="0" w:color="auto"/>
            </w:tcBorders>
            <w:shd w:val="clear" w:color="auto" w:fill="auto"/>
            <w:hideMark/>
          </w:tcPr>
          <w:p w:rsidR="009C64C4" w:rsidRPr="000422C2" w:rsidRDefault="00F619C8" w:rsidP="00F619C8">
            <w:pPr>
              <w:pStyle w:val="Tabletext"/>
            </w:pPr>
            <w:r w:rsidRPr="000422C2">
              <w:t xml:space="preserve">To provide support to </w:t>
            </w:r>
            <w:r w:rsidR="00FE7ED9" w:rsidRPr="000422C2">
              <w:t>manufacturing</w:t>
            </w:r>
            <w:r w:rsidR="009C64C4" w:rsidRPr="000422C2">
              <w:t>.</w:t>
            </w:r>
          </w:p>
          <w:p w:rsidR="009C64C4" w:rsidRPr="000422C2" w:rsidRDefault="009C64C4" w:rsidP="009C64C4">
            <w:pPr>
              <w:pStyle w:val="Tabletext"/>
            </w:pPr>
            <w:r w:rsidRPr="000422C2">
              <w:t xml:space="preserve">This objective also has the effect it would have if it were </w:t>
            </w:r>
            <w:r w:rsidR="00DE3BA2" w:rsidRPr="000422C2">
              <w:t>limited</w:t>
            </w:r>
            <w:r w:rsidRPr="000422C2">
              <w:t xml:space="preserve"> to providing support to:</w:t>
            </w:r>
          </w:p>
          <w:p w:rsidR="00F619C8" w:rsidRPr="000422C2" w:rsidRDefault="00F619C8" w:rsidP="00F619C8">
            <w:pPr>
              <w:pStyle w:val="Tablea"/>
              <w:rPr>
                <w:rFonts w:eastAsiaTheme="minorHAnsi"/>
              </w:rPr>
            </w:pPr>
            <w:r w:rsidRPr="000422C2">
              <w:rPr>
                <w:rFonts w:eastAsiaTheme="minorHAnsi"/>
              </w:rPr>
              <w:t xml:space="preserve">(a) corporations </w:t>
            </w:r>
            <w:r w:rsidR="00FE7ED9" w:rsidRPr="000422C2">
              <w:rPr>
                <w:rFonts w:eastAsiaTheme="minorHAnsi"/>
              </w:rPr>
              <w:t xml:space="preserve">to which </w:t>
            </w:r>
            <w:r w:rsidR="0091440C" w:rsidRPr="000422C2">
              <w:rPr>
                <w:rFonts w:eastAsiaTheme="minorHAnsi"/>
              </w:rPr>
              <w:t>paragraph</w:t>
            </w:r>
            <w:r w:rsidR="000422C2" w:rsidRPr="000422C2">
              <w:rPr>
                <w:rFonts w:eastAsiaTheme="minorHAnsi"/>
              </w:rPr>
              <w:t> </w:t>
            </w:r>
            <w:r w:rsidRPr="000422C2">
              <w:rPr>
                <w:rFonts w:eastAsiaTheme="minorHAnsi"/>
              </w:rPr>
              <w:t>51(xx) of the Constitution</w:t>
            </w:r>
            <w:r w:rsidR="00FE7ED9" w:rsidRPr="000422C2">
              <w:rPr>
                <w:rFonts w:eastAsiaTheme="minorHAnsi"/>
              </w:rPr>
              <w:t xml:space="preserve"> applies</w:t>
            </w:r>
            <w:r w:rsidRPr="000422C2">
              <w:rPr>
                <w:rFonts w:eastAsiaTheme="minorHAnsi"/>
              </w:rPr>
              <w:t>;</w:t>
            </w:r>
            <w:r w:rsidR="009C64C4" w:rsidRPr="000422C2">
              <w:rPr>
                <w:rFonts w:eastAsiaTheme="minorHAnsi"/>
              </w:rPr>
              <w:t xml:space="preserve"> or</w:t>
            </w:r>
          </w:p>
          <w:p w:rsidR="00F619C8" w:rsidRPr="000422C2" w:rsidRDefault="00F619C8" w:rsidP="00F619C8">
            <w:pPr>
              <w:pStyle w:val="Tablea"/>
              <w:rPr>
                <w:rFonts w:eastAsiaTheme="minorHAnsi"/>
              </w:rPr>
            </w:pPr>
            <w:r w:rsidRPr="000422C2">
              <w:rPr>
                <w:rFonts w:eastAsiaTheme="minorHAnsi"/>
              </w:rPr>
              <w:t>(b)</w:t>
            </w:r>
            <w:r w:rsidR="00FE7ED9" w:rsidRPr="000422C2">
              <w:rPr>
                <w:rFonts w:eastAsiaTheme="minorHAnsi"/>
              </w:rPr>
              <w:t xml:space="preserve"> </w:t>
            </w:r>
            <w:r w:rsidRPr="000422C2">
              <w:t xml:space="preserve">manufacturing </w:t>
            </w:r>
            <w:r w:rsidRPr="000422C2">
              <w:rPr>
                <w:rFonts w:eastAsiaTheme="minorHAnsi"/>
              </w:rPr>
              <w:t>in connection with interstate or overseas trade and</w:t>
            </w:r>
            <w:r w:rsidRPr="000422C2">
              <w:t xml:space="preserve"> </w:t>
            </w:r>
            <w:r w:rsidRPr="000422C2">
              <w:rPr>
                <w:rFonts w:eastAsiaTheme="minorHAnsi"/>
              </w:rPr>
              <w:t>commerce;</w:t>
            </w:r>
            <w:r w:rsidR="009C64C4" w:rsidRPr="000422C2">
              <w:rPr>
                <w:rFonts w:eastAsiaTheme="minorHAnsi"/>
              </w:rPr>
              <w:t xml:space="preserve"> or</w:t>
            </w:r>
          </w:p>
          <w:p w:rsidR="00CA6351" w:rsidRPr="000422C2" w:rsidRDefault="00F619C8" w:rsidP="00FE7ED9">
            <w:pPr>
              <w:pStyle w:val="Tablea"/>
            </w:pPr>
            <w:r w:rsidRPr="000422C2">
              <w:rPr>
                <w:rFonts w:eastAsiaTheme="minorHAnsi"/>
              </w:rPr>
              <w:t>(c)</w:t>
            </w:r>
            <w:r w:rsidR="00507A10" w:rsidRPr="000422C2">
              <w:rPr>
                <w:rFonts w:eastAsiaTheme="minorHAnsi"/>
              </w:rPr>
              <w:t xml:space="preserve"> </w:t>
            </w:r>
            <w:r w:rsidRPr="000422C2">
              <w:rPr>
                <w:rFonts w:eastAsiaTheme="minorHAnsi"/>
              </w:rPr>
              <w:t>manufacturing in connection with the Territories</w:t>
            </w:r>
            <w:r w:rsidR="00CA6351" w:rsidRPr="000422C2">
              <w:t>.</w:t>
            </w:r>
          </w:p>
        </w:tc>
      </w:tr>
      <w:tr w:rsidR="00FE7ED9" w:rsidRPr="000422C2" w:rsidTr="00786143">
        <w:tc>
          <w:tcPr>
            <w:tcW w:w="714" w:type="dxa"/>
            <w:tcBorders>
              <w:top w:val="single" w:sz="4" w:space="0" w:color="auto"/>
            </w:tcBorders>
            <w:shd w:val="clear" w:color="auto" w:fill="auto"/>
            <w:hideMark/>
          </w:tcPr>
          <w:p w:rsidR="00FE7ED9" w:rsidRPr="000422C2" w:rsidRDefault="00FE7ED9" w:rsidP="00870151">
            <w:pPr>
              <w:pStyle w:val="Tabletext"/>
            </w:pPr>
            <w:r w:rsidRPr="000422C2">
              <w:t>14</w:t>
            </w:r>
          </w:p>
        </w:tc>
        <w:tc>
          <w:tcPr>
            <w:tcW w:w="2115" w:type="dxa"/>
            <w:tcBorders>
              <w:top w:val="single" w:sz="4" w:space="0" w:color="auto"/>
            </w:tcBorders>
            <w:shd w:val="clear" w:color="auto" w:fill="auto"/>
            <w:hideMark/>
          </w:tcPr>
          <w:p w:rsidR="00FE7ED9" w:rsidRPr="000422C2" w:rsidRDefault="00FE7ED9" w:rsidP="00FE7ED9">
            <w:pPr>
              <w:pStyle w:val="Tabletext"/>
            </w:pPr>
            <w:r w:rsidRPr="000422C2">
              <w:t>Fund for Industry Skills</w:t>
            </w:r>
          </w:p>
        </w:tc>
        <w:tc>
          <w:tcPr>
            <w:tcW w:w="4251" w:type="dxa"/>
            <w:tcBorders>
              <w:top w:val="single" w:sz="4" w:space="0" w:color="auto"/>
            </w:tcBorders>
            <w:shd w:val="clear" w:color="auto" w:fill="auto"/>
            <w:hideMark/>
          </w:tcPr>
          <w:p w:rsidR="009C64C4" w:rsidRPr="000422C2" w:rsidRDefault="00FE7ED9" w:rsidP="00FE7ED9">
            <w:pPr>
              <w:pStyle w:val="Tabletext"/>
            </w:pPr>
            <w:r w:rsidRPr="000422C2">
              <w:t>To support industry diversification and competitiveness by providing</w:t>
            </w:r>
            <w:r w:rsidR="00507A10" w:rsidRPr="000422C2">
              <w:t>,</w:t>
            </w:r>
            <w:r w:rsidRPr="000422C2">
              <w:t xml:space="preserve"> or funding</w:t>
            </w:r>
            <w:r w:rsidR="00507A10" w:rsidRPr="000422C2">
              <w:t>,</w:t>
            </w:r>
            <w:r w:rsidRPr="000422C2">
              <w:t xml:space="preserve"> trainin</w:t>
            </w:r>
            <w:r w:rsidR="009C64C4" w:rsidRPr="000422C2">
              <w:t>g and training support services.</w:t>
            </w:r>
          </w:p>
          <w:p w:rsidR="009C64C4" w:rsidRPr="000422C2" w:rsidRDefault="009C64C4" w:rsidP="009C64C4">
            <w:pPr>
              <w:pStyle w:val="Tabletext"/>
            </w:pPr>
            <w:r w:rsidRPr="000422C2">
              <w:t>This objective also has the effect it would have if it were limited to providing support for:</w:t>
            </w:r>
          </w:p>
          <w:p w:rsidR="00FE7ED9" w:rsidRPr="000422C2" w:rsidRDefault="00507A10" w:rsidP="00507A10">
            <w:pPr>
              <w:pStyle w:val="Tablea"/>
              <w:rPr>
                <w:rFonts w:eastAsiaTheme="minorHAnsi"/>
              </w:rPr>
            </w:pPr>
            <w:r w:rsidRPr="000422C2">
              <w:rPr>
                <w:rFonts w:eastAsiaTheme="minorHAnsi"/>
              </w:rPr>
              <w:t>(a</w:t>
            </w:r>
            <w:r w:rsidR="00FE7ED9" w:rsidRPr="000422C2">
              <w:rPr>
                <w:rFonts w:eastAsiaTheme="minorHAnsi"/>
              </w:rPr>
              <w:t xml:space="preserve">) </w:t>
            </w:r>
            <w:r w:rsidR="003B44A9" w:rsidRPr="000422C2">
              <w:rPr>
                <w:rFonts w:eastAsiaTheme="minorHAnsi"/>
              </w:rPr>
              <w:t xml:space="preserve">the </w:t>
            </w:r>
            <w:r w:rsidR="00FE7ED9" w:rsidRPr="000422C2">
              <w:rPr>
                <w:rFonts w:eastAsiaTheme="minorHAnsi"/>
              </w:rPr>
              <w:t xml:space="preserve">formal or accredited training </w:t>
            </w:r>
            <w:r w:rsidR="003B44A9" w:rsidRPr="000422C2">
              <w:rPr>
                <w:rFonts w:eastAsiaTheme="minorHAnsi"/>
              </w:rPr>
              <w:t>of</w:t>
            </w:r>
            <w:r w:rsidR="00F56039" w:rsidRPr="000422C2">
              <w:rPr>
                <w:rFonts w:eastAsiaTheme="minorHAnsi"/>
              </w:rPr>
              <w:t xml:space="preserve"> workers;</w:t>
            </w:r>
            <w:r w:rsidR="009C64C4" w:rsidRPr="000422C2">
              <w:rPr>
                <w:rFonts w:eastAsiaTheme="minorHAnsi"/>
              </w:rPr>
              <w:t xml:space="preserve"> or</w:t>
            </w:r>
          </w:p>
          <w:p w:rsidR="00FE7ED9" w:rsidRPr="000422C2" w:rsidRDefault="00507A10" w:rsidP="00507A10">
            <w:pPr>
              <w:pStyle w:val="Tablea"/>
              <w:rPr>
                <w:rFonts w:eastAsiaTheme="minorHAnsi"/>
              </w:rPr>
            </w:pPr>
            <w:r w:rsidRPr="000422C2">
              <w:rPr>
                <w:rFonts w:eastAsiaTheme="minorHAnsi"/>
              </w:rPr>
              <w:t>(b</w:t>
            </w:r>
            <w:r w:rsidR="00FE7ED9" w:rsidRPr="000422C2">
              <w:rPr>
                <w:rFonts w:eastAsiaTheme="minorHAnsi"/>
              </w:rPr>
              <w:t>)</w:t>
            </w:r>
            <w:r w:rsidRPr="000422C2">
              <w:rPr>
                <w:rFonts w:eastAsiaTheme="minorHAnsi"/>
              </w:rPr>
              <w:t xml:space="preserve"> corporations to which </w:t>
            </w:r>
            <w:r w:rsidR="0091440C" w:rsidRPr="000422C2">
              <w:rPr>
                <w:rFonts w:eastAsiaTheme="minorHAnsi"/>
              </w:rPr>
              <w:t>paragraph</w:t>
            </w:r>
            <w:r w:rsidR="000422C2" w:rsidRPr="000422C2">
              <w:rPr>
                <w:rFonts w:eastAsiaTheme="minorHAnsi"/>
              </w:rPr>
              <w:t> </w:t>
            </w:r>
            <w:r w:rsidRPr="000422C2">
              <w:rPr>
                <w:rFonts w:eastAsiaTheme="minorHAnsi"/>
              </w:rPr>
              <w:t>51(xx) of the Constitution applies</w:t>
            </w:r>
            <w:r w:rsidR="00F56039" w:rsidRPr="000422C2">
              <w:rPr>
                <w:rFonts w:eastAsiaTheme="minorHAnsi"/>
              </w:rPr>
              <w:t>;</w:t>
            </w:r>
            <w:r w:rsidR="009C64C4" w:rsidRPr="000422C2">
              <w:rPr>
                <w:rFonts w:eastAsiaTheme="minorHAnsi"/>
              </w:rPr>
              <w:t xml:space="preserve"> or</w:t>
            </w:r>
          </w:p>
          <w:p w:rsidR="00FE7ED9" w:rsidRPr="000422C2" w:rsidRDefault="00507A10" w:rsidP="00507A10">
            <w:pPr>
              <w:pStyle w:val="Tablea"/>
              <w:rPr>
                <w:rFonts w:eastAsiaTheme="minorHAnsi"/>
              </w:rPr>
            </w:pPr>
            <w:r w:rsidRPr="000422C2">
              <w:rPr>
                <w:rFonts w:eastAsiaTheme="minorHAnsi"/>
              </w:rPr>
              <w:t>(c</w:t>
            </w:r>
            <w:r w:rsidR="00FE7ED9" w:rsidRPr="000422C2">
              <w:rPr>
                <w:rFonts w:eastAsiaTheme="minorHAnsi"/>
              </w:rPr>
              <w:t xml:space="preserve">) </w:t>
            </w:r>
            <w:r w:rsidR="009C64C4" w:rsidRPr="000422C2">
              <w:rPr>
                <w:rFonts w:eastAsiaTheme="minorHAnsi"/>
              </w:rPr>
              <w:t xml:space="preserve">the </w:t>
            </w:r>
            <w:r w:rsidRPr="000422C2">
              <w:rPr>
                <w:rFonts w:eastAsiaTheme="minorHAnsi"/>
              </w:rPr>
              <w:t xml:space="preserve">fostering </w:t>
            </w:r>
            <w:r w:rsidR="00F56039" w:rsidRPr="000422C2">
              <w:rPr>
                <w:rFonts w:eastAsiaTheme="minorHAnsi"/>
              </w:rPr>
              <w:t>or</w:t>
            </w:r>
            <w:r w:rsidRPr="000422C2">
              <w:rPr>
                <w:rFonts w:eastAsiaTheme="minorHAnsi"/>
              </w:rPr>
              <w:t xml:space="preserve"> promot</w:t>
            </w:r>
            <w:r w:rsidR="0091440C" w:rsidRPr="000422C2">
              <w:rPr>
                <w:rFonts w:eastAsiaTheme="minorHAnsi"/>
              </w:rPr>
              <w:t>ion</w:t>
            </w:r>
            <w:r w:rsidR="00FE7ED9" w:rsidRPr="000422C2">
              <w:rPr>
                <w:rFonts w:eastAsiaTheme="minorHAnsi"/>
              </w:rPr>
              <w:t xml:space="preserve"> </w:t>
            </w:r>
            <w:r w:rsidR="003B44A9" w:rsidRPr="000422C2">
              <w:rPr>
                <w:rFonts w:eastAsiaTheme="minorHAnsi"/>
              </w:rPr>
              <w:t xml:space="preserve">of </w:t>
            </w:r>
            <w:r w:rsidR="00FE7ED9" w:rsidRPr="000422C2">
              <w:rPr>
                <w:rFonts w:eastAsiaTheme="minorHAnsi"/>
              </w:rPr>
              <w:t xml:space="preserve">interstate </w:t>
            </w:r>
            <w:r w:rsidR="00F56039" w:rsidRPr="000422C2">
              <w:rPr>
                <w:rFonts w:eastAsiaTheme="minorHAnsi"/>
              </w:rPr>
              <w:t>or overseas trade and commerce;</w:t>
            </w:r>
            <w:r w:rsidR="009C64C4" w:rsidRPr="000422C2">
              <w:rPr>
                <w:rFonts w:eastAsiaTheme="minorHAnsi"/>
              </w:rPr>
              <w:t xml:space="preserve"> or</w:t>
            </w:r>
          </w:p>
          <w:p w:rsidR="00FE7ED9" w:rsidRPr="000422C2" w:rsidRDefault="00507A10" w:rsidP="00507A10">
            <w:pPr>
              <w:pStyle w:val="Tablea"/>
              <w:rPr>
                <w:rFonts w:eastAsiaTheme="minorHAnsi"/>
              </w:rPr>
            </w:pPr>
            <w:r w:rsidRPr="000422C2">
              <w:rPr>
                <w:rFonts w:eastAsiaTheme="minorHAnsi"/>
              </w:rPr>
              <w:t>(d</w:t>
            </w:r>
            <w:r w:rsidR="00FE7ED9" w:rsidRPr="000422C2">
              <w:rPr>
                <w:rFonts w:eastAsiaTheme="minorHAnsi"/>
              </w:rPr>
              <w:t>) business enterprises</w:t>
            </w:r>
            <w:r w:rsidR="00F56039" w:rsidRPr="000422C2">
              <w:rPr>
                <w:rFonts w:eastAsiaTheme="minorHAnsi"/>
              </w:rPr>
              <w:t xml:space="preserve"> or workers in the Territories;</w:t>
            </w:r>
            <w:r w:rsidR="009C64C4" w:rsidRPr="000422C2">
              <w:rPr>
                <w:rFonts w:eastAsiaTheme="minorHAnsi"/>
              </w:rPr>
              <w:t xml:space="preserve"> or</w:t>
            </w:r>
          </w:p>
          <w:p w:rsidR="00690BAC" w:rsidRPr="000422C2" w:rsidRDefault="00507A10" w:rsidP="00927FB9">
            <w:pPr>
              <w:pStyle w:val="Tablea"/>
              <w:rPr>
                <w:rFonts w:eastAsiaTheme="minorHAnsi"/>
              </w:rPr>
            </w:pPr>
            <w:r w:rsidRPr="000422C2">
              <w:rPr>
                <w:rFonts w:eastAsiaTheme="minorHAnsi"/>
              </w:rPr>
              <w:t>(e</w:t>
            </w:r>
            <w:r w:rsidR="00FE7ED9" w:rsidRPr="000422C2">
              <w:rPr>
                <w:rFonts w:eastAsiaTheme="minorHAnsi"/>
              </w:rPr>
              <w:t xml:space="preserve">) </w:t>
            </w:r>
            <w:r w:rsidR="00705E0B" w:rsidRPr="000422C2">
              <w:rPr>
                <w:rFonts w:eastAsiaTheme="minorHAnsi"/>
              </w:rPr>
              <w:t>online training and support services</w:t>
            </w:r>
            <w:r w:rsidRPr="000422C2">
              <w:rPr>
                <w:rFonts w:eastAsiaTheme="minorHAnsi"/>
              </w:rPr>
              <w:t>.</w:t>
            </w:r>
          </w:p>
        </w:tc>
      </w:tr>
      <w:tr w:rsidR="00C115B1" w:rsidRPr="000422C2" w:rsidTr="00786143">
        <w:tc>
          <w:tcPr>
            <w:tcW w:w="714" w:type="dxa"/>
            <w:shd w:val="clear" w:color="auto" w:fill="auto"/>
            <w:hideMark/>
          </w:tcPr>
          <w:p w:rsidR="00C115B1" w:rsidRPr="000422C2" w:rsidRDefault="00C115B1" w:rsidP="00870151">
            <w:pPr>
              <w:pStyle w:val="Tabletext"/>
            </w:pPr>
            <w:r w:rsidRPr="000422C2">
              <w:t>15</w:t>
            </w:r>
          </w:p>
        </w:tc>
        <w:tc>
          <w:tcPr>
            <w:tcW w:w="2115" w:type="dxa"/>
            <w:shd w:val="clear" w:color="auto" w:fill="auto"/>
            <w:hideMark/>
          </w:tcPr>
          <w:p w:rsidR="00C115B1" w:rsidRPr="000422C2" w:rsidRDefault="00C115B1" w:rsidP="00C115B1">
            <w:pPr>
              <w:pStyle w:val="Tabletext"/>
            </w:pPr>
            <w:r w:rsidRPr="000422C2">
              <w:t>Entrepreneurs’ Infrastructure Program</w:t>
            </w:r>
            <w:r w:rsidR="00207BCE" w:rsidRPr="000422C2">
              <w:t>me</w:t>
            </w:r>
          </w:p>
          <w:p w:rsidR="00C115B1" w:rsidRPr="000422C2" w:rsidRDefault="00C115B1" w:rsidP="00870151">
            <w:pPr>
              <w:pStyle w:val="Tabletext"/>
              <w:rPr>
                <w:u w:val="double"/>
              </w:rPr>
            </w:pPr>
          </w:p>
        </w:tc>
        <w:tc>
          <w:tcPr>
            <w:tcW w:w="4251" w:type="dxa"/>
            <w:shd w:val="clear" w:color="auto" w:fill="auto"/>
            <w:hideMark/>
          </w:tcPr>
          <w:p w:rsidR="003B44A9" w:rsidRPr="000422C2" w:rsidRDefault="00C115B1" w:rsidP="00C115B1">
            <w:pPr>
              <w:pStyle w:val="Tabletext"/>
            </w:pPr>
            <w:r w:rsidRPr="000422C2">
              <w:t>To drive business competitiveness by providing, or funding, support for business improvement and the commercialisation of new ideas</w:t>
            </w:r>
            <w:r w:rsidR="00DE3BA2" w:rsidRPr="000422C2">
              <w:t>.</w:t>
            </w:r>
          </w:p>
          <w:p w:rsidR="00DE3BA2" w:rsidRPr="000422C2" w:rsidRDefault="00DE3BA2" w:rsidP="00DE3BA2">
            <w:pPr>
              <w:pStyle w:val="Tabletext"/>
            </w:pPr>
            <w:r w:rsidRPr="000422C2">
              <w:t>This objective also has the effect it would have if it were limited to providing, or funding, support for:</w:t>
            </w:r>
          </w:p>
          <w:p w:rsidR="00760E9E" w:rsidRPr="000422C2" w:rsidRDefault="00760E9E" w:rsidP="00760E9E">
            <w:pPr>
              <w:pStyle w:val="Tablea"/>
              <w:rPr>
                <w:rFonts w:eastAsiaTheme="minorHAnsi"/>
              </w:rPr>
            </w:pPr>
            <w:r w:rsidRPr="000422C2">
              <w:rPr>
                <w:rFonts w:eastAsiaTheme="minorHAnsi"/>
              </w:rPr>
              <w:t>(a) the fostering or promotion of interstate or overseas trade and commerce;</w:t>
            </w:r>
            <w:r w:rsidR="00DE3BA2" w:rsidRPr="000422C2">
              <w:rPr>
                <w:rFonts w:eastAsiaTheme="minorHAnsi"/>
              </w:rPr>
              <w:t xml:space="preserve"> or</w:t>
            </w:r>
          </w:p>
          <w:p w:rsidR="00760E9E" w:rsidRPr="000422C2" w:rsidRDefault="00760E9E" w:rsidP="00760E9E">
            <w:pPr>
              <w:pStyle w:val="Tablea"/>
              <w:rPr>
                <w:rFonts w:eastAsiaTheme="minorHAnsi"/>
              </w:rPr>
            </w:pPr>
            <w:r w:rsidRPr="000422C2">
              <w:rPr>
                <w:rFonts w:eastAsiaTheme="minorHAnsi"/>
              </w:rPr>
              <w:t>(b) businesses involved in interstate or overseas trade and commerce;</w:t>
            </w:r>
            <w:r w:rsidR="00DE3BA2" w:rsidRPr="000422C2">
              <w:rPr>
                <w:rFonts w:eastAsiaTheme="minorHAnsi"/>
              </w:rPr>
              <w:t xml:space="preserve"> or</w:t>
            </w:r>
          </w:p>
          <w:p w:rsidR="00760E9E" w:rsidRPr="000422C2" w:rsidRDefault="00760E9E" w:rsidP="00760E9E">
            <w:pPr>
              <w:pStyle w:val="Tablea"/>
              <w:rPr>
                <w:rFonts w:eastAsiaTheme="minorHAnsi"/>
              </w:rPr>
            </w:pPr>
            <w:r w:rsidRPr="000422C2">
              <w:rPr>
                <w:rFonts w:eastAsiaTheme="minorHAnsi"/>
              </w:rPr>
              <w:t xml:space="preserve">(c) corporations </w:t>
            </w:r>
            <w:r w:rsidR="003B44A9" w:rsidRPr="000422C2">
              <w:rPr>
                <w:rFonts w:eastAsiaTheme="minorHAnsi"/>
              </w:rPr>
              <w:t xml:space="preserve">to which </w:t>
            </w:r>
            <w:r w:rsidR="0091440C" w:rsidRPr="000422C2">
              <w:rPr>
                <w:rFonts w:eastAsiaTheme="minorHAnsi"/>
              </w:rPr>
              <w:t>paragraph</w:t>
            </w:r>
            <w:r w:rsidR="000422C2" w:rsidRPr="000422C2">
              <w:rPr>
                <w:rFonts w:eastAsiaTheme="minorHAnsi"/>
              </w:rPr>
              <w:t> </w:t>
            </w:r>
            <w:r w:rsidR="003B44A9" w:rsidRPr="000422C2">
              <w:rPr>
                <w:rFonts w:eastAsiaTheme="minorHAnsi"/>
              </w:rPr>
              <w:t>51(xx) of the Constitution applies</w:t>
            </w:r>
            <w:r w:rsidRPr="000422C2">
              <w:rPr>
                <w:rFonts w:eastAsiaTheme="minorHAnsi"/>
              </w:rPr>
              <w:t>;</w:t>
            </w:r>
            <w:r w:rsidR="00DE3BA2" w:rsidRPr="000422C2">
              <w:rPr>
                <w:rFonts w:eastAsiaTheme="minorHAnsi"/>
              </w:rPr>
              <w:t xml:space="preserve"> or</w:t>
            </w:r>
          </w:p>
          <w:p w:rsidR="00760E9E" w:rsidRPr="000422C2" w:rsidRDefault="00760E9E" w:rsidP="00760E9E">
            <w:pPr>
              <w:pStyle w:val="Tablea"/>
              <w:rPr>
                <w:rFonts w:eastAsiaTheme="minorHAnsi"/>
              </w:rPr>
            </w:pPr>
            <w:r w:rsidRPr="000422C2">
              <w:rPr>
                <w:rFonts w:eastAsiaTheme="minorHAnsi"/>
              </w:rPr>
              <w:t>(d) business enterprises or workers in the Territories; or</w:t>
            </w:r>
          </w:p>
          <w:p w:rsidR="00C115B1" w:rsidRPr="000422C2" w:rsidRDefault="00760E9E" w:rsidP="00760E9E">
            <w:pPr>
              <w:pStyle w:val="Tablea"/>
            </w:pPr>
            <w:r w:rsidRPr="000422C2">
              <w:rPr>
                <w:rFonts w:eastAsiaTheme="minorHAnsi"/>
              </w:rPr>
              <w:t>(e) online support services, advice and information.</w:t>
            </w:r>
          </w:p>
        </w:tc>
      </w:tr>
      <w:tr w:rsidR="0091440C" w:rsidRPr="000422C2" w:rsidTr="00786143">
        <w:tc>
          <w:tcPr>
            <w:tcW w:w="714" w:type="dxa"/>
            <w:shd w:val="clear" w:color="auto" w:fill="auto"/>
            <w:hideMark/>
          </w:tcPr>
          <w:p w:rsidR="0091440C" w:rsidRPr="000422C2" w:rsidRDefault="0091440C" w:rsidP="00870151">
            <w:pPr>
              <w:pStyle w:val="Tabletext"/>
            </w:pPr>
            <w:r w:rsidRPr="000422C2">
              <w:t>16</w:t>
            </w:r>
          </w:p>
        </w:tc>
        <w:tc>
          <w:tcPr>
            <w:tcW w:w="2115" w:type="dxa"/>
            <w:shd w:val="clear" w:color="auto" w:fill="auto"/>
            <w:hideMark/>
          </w:tcPr>
          <w:p w:rsidR="0091440C" w:rsidRPr="000422C2" w:rsidRDefault="0091440C" w:rsidP="0091440C">
            <w:pPr>
              <w:pStyle w:val="Tabletext"/>
            </w:pPr>
            <w:r w:rsidRPr="000422C2">
              <w:t>Growth Fund—Skills and Training Programme</w:t>
            </w:r>
          </w:p>
          <w:p w:rsidR="0091440C" w:rsidRPr="000422C2" w:rsidRDefault="0091440C" w:rsidP="00870151">
            <w:pPr>
              <w:pStyle w:val="Tabletext"/>
              <w:rPr>
                <w:u w:val="double"/>
              </w:rPr>
            </w:pPr>
          </w:p>
        </w:tc>
        <w:tc>
          <w:tcPr>
            <w:tcW w:w="4251" w:type="dxa"/>
            <w:shd w:val="clear" w:color="auto" w:fill="auto"/>
            <w:hideMark/>
          </w:tcPr>
          <w:p w:rsidR="0091440C" w:rsidRPr="000422C2" w:rsidRDefault="0091440C" w:rsidP="0091440C">
            <w:pPr>
              <w:pStyle w:val="Tabletext"/>
            </w:pPr>
            <w:r w:rsidRPr="000422C2">
              <w:t>To address the impact of the decline of the automotive manufacturing sector by providing</w:t>
            </w:r>
            <w:r w:rsidR="00D01595" w:rsidRPr="000422C2">
              <w:t>, or arranging for</w:t>
            </w:r>
            <w:r w:rsidRPr="000422C2">
              <w:t>:</w:t>
            </w:r>
          </w:p>
          <w:p w:rsidR="0091440C" w:rsidRPr="000422C2" w:rsidRDefault="0091440C" w:rsidP="0091440C">
            <w:pPr>
              <w:pStyle w:val="Tablea"/>
            </w:pPr>
            <w:r w:rsidRPr="000422C2">
              <w:t xml:space="preserve">(a) </w:t>
            </w:r>
            <w:r w:rsidR="00C930D0" w:rsidRPr="000422C2">
              <w:t xml:space="preserve">formal or accredited </w:t>
            </w:r>
            <w:r w:rsidRPr="000422C2">
              <w:t>education and training for automotive workers to facilitate their transition to other work; and</w:t>
            </w:r>
          </w:p>
          <w:p w:rsidR="0091440C" w:rsidRPr="000422C2" w:rsidRDefault="0091440C" w:rsidP="0091440C">
            <w:pPr>
              <w:pStyle w:val="Tablea"/>
            </w:pPr>
            <w:r w:rsidRPr="000422C2">
              <w:t xml:space="preserve">(b) services to assist unemployed former automotive workers to </w:t>
            </w:r>
            <w:r w:rsidR="00D01595" w:rsidRPr="000422C2">
              <w:t xml:space="preserve">continue with their training to </w:t>
            </w:r>
            <w:r w:rsidRPr="000422C2">
              <w:t>gain employment.</w:t>
            </w:r>
          </w:p>
        </w:tc>
      </w:tr>
      <w:tr w:rsidR="0091440C" w:rsidRPr="000422C2" w:rsidTr="00786143">
        <w:tc>
          <w:tcPr>
            <w:tcW w:w="714" w:type="dxa"/>
            <w:shd w:val="clear" w:color="auto" w:fill="auto"/>
            <w:hideMark/>
          </w:tcPr>
          <w:p w:rsidR="0091440C" w:rsidRPr="000422C2" w:rsidRDefault="0091440C" w:rsidP="00870151">
            <w:pPr>
              <w:pStyle w:val="Tabletext"/>
            </w:pPr>
            <w:r w:rsidRPr="000422C2">
              <w:t>17</w:t>
            </w:r>
          </w:p>
        </w:tc>
        <w:tc>
          <w:tcPr>
            <w:tcW w:w="2115" w:type="dxa"/>
            <w:shd w:val="clear" w:color="auto" w:fill="auto"/>
            <w:hideMark/>
          </w:tcPr>
          <w:p w:rsidR="0091440C" w:rsidRPr="000422C2" w:rsidRDefault="0091440C" w:rsidP="0091440C">
            <w:pPr>
              <w:pStyle w:val="Tabletext"/>
            </w:pPr>
            <w:r w:rsidRPr="000422C2">
              <w:t>Automotive Diversification Programme</w:t>
            </w:r>
          </w:p>
          <w:p w:rsidR="0091440C" w:rsidRPr="000422C2" w:rsidRDefault="0091440C" w:rsidP="00870151">
            <w:pPr>
              <w:pStyle w:val="Tabletext"/>
              <w:rPr>
                <w:u w:val="double"/>
              </w:rPr>
            </w:pPr>
          </w:p>
        </w:tc>
        <w:tc>
          <w:tcPr>
            <w:tcW w:w="4251" w:type="dxa"/>
            <w:shd w:val="clear" w:color="auto" w:fill="auto"/>
            <w:hideMark/>
          </w:tcPr>
          <w:p w:rsidR="0091440C" w:rsidRPr="000422C2" w:rsidRDefault="0091440C" w:rsidP="0091440C">
            <w:pPr>
              <w:pStyle w:val="Tabletext"/>
            </w:pPr>
            <w:r w:rsidRPr="000422C2">
              <w:t xml:space="preserve">To assist Australian automotive </w:t>
            </w:r>
            <w:r w:rsidR="00D01595" w:rsidRPr="000422C2">
              <w:t>supply chain companies</w:t>
            </w:r>
            <w:r w:rsidRPr="000422C2">
              <w:t xml:space="preserve"> to diversify their businesses out of the domestic </w:t>
            </w:r>
            <w:r w:rsidR="00063A40" w:rsidRPr="000422C2">
              <w:t>automotive manufacturing sector</w:t>
            </w:r>
            <w:r w:rsidRPr="000422C2">
              <w:t xml:space="preserve"> by providing funding to:</w:t>
            </w:r>
          </w:p>
          <w:p w:rsidR="0091440C" w:rsidRPr="000422C2" w:rsidRDefault="0091440C" w:rsidP="0091440C">
            <w:pPr>
              <w:pStyle w:val="Tablea"/>
            </w:pPr>
            <w:r w:rsidRPr="000422C2">
              <w:t xml:space="preserve">(a) corporations </w:t>
            </w:r>
            <w:r w:rsidRPr="000422C2">
              <w:rPr>
                <w:rFonts w:eastAsiaTheme="minorHAnsi"/>
              </w:rPr>
              <w:t>to which paragraph</w:t>
            </w:r>
            <w:r w:rsidR="000422C2" w:rsidRPr="000422C2">
              <w:rPr>
                <w:rFonts w:eastAsiaTheme="minorHAnsi"/>
              </w:rPr>
              <w:t> </w:t>
            </w:r>
            <w:r w:rsidRPr="000422C2">
              <w:rPr>
                <w:rFonts w:eastAsiaTheme="minorHAnsi"/>
              </w:rPr>
              <w:t xml:space="preserve">51(xx) of the Constitution applies; </w:t>
            </w:r>
            <w:r w:rsidRPr="000422C2">
              <w:t>and</w:t>
            </w:r>
          </w:p>
          <w:p w:rsidR="0091440C" w:rsidRPr="000422C2" w:rsidRDefault="0091440C" w:rsidP="00BE60C2">
            <w:pPr>
              <w:pStyle w:val="Tablea"/>
            </w:pPr>
            <w:r w:rsidRPr="000422C2">
              <w:t xml:space="preserve">(b) entities involved in interstate or overseas trade </w:t>
            </w:r>
            <w:r w:rsidR="00BE60C2" w:rsidRPr="000422C2">
              <w:t>and</w:t>
            </w:r>
            <w:r w:rsidRPr="000422C2">
              <w:t xml:space="preserve"> commerce.</w:t>
            </w:r>
          </w:p>
        </w:tc>
      </w:tr>
      <w:tr w:rsidR="0091440C" w:rsidRPr="000422C2" w:rsidTr="00786143">
        <w:tc>
          <w:tcPr>
            <w:tcW w:w="714" w:type="dxa"/>
            <w:shd w:val="clear" w:color="auto" w:fill="auto"/>
            <w:hideMark/>
          </w:tcPr>
          <w:p w:rsidR="0091440C" w:rsidRPr="000422C2" w:rsidRDefault="0091440C" w:rsidP="00870151">
            <w:pPr>
              <w:pStyle w:val="Tabletext"/>
            </w:pPr>
            <w:r w:rsidRPr="000422C2">
              <w:t>18</w:t>
            </w:r>
          </w:p>
        </w:tc>
        <w:tc>
          <w:tcPr>
            <w:tcW w:w="2115" w:type="dxa"/>
            <w:shd w:val="clear" w:color="auto" w:fill="auto"/>
            <w:hideMark/>
          </w:tcPr>
          <w:p w:rsidR="0091440C" w:rsidRPr="000422C2" w:rsidRDefault="0091440C" w:rsidP="0091440C">
            <w:pPr>
              <w:pStyle w:val="Tabletext"/>
            </w:pPr>
            <w:r w:rsidRPr="000422C2">
              <w:t>Growth Fund—Next Generation Manufacturing Investment Programme</w:t>
            </w:r>
          </w:p>
          <w:p w:rsidR="0091440C" w:rsidRPr="000422C2" w:rsidRDefault="0091440C" w:rsidP="00870151">
            <w:pPr>
              <w:pStyle w:val="Tabletext"/>
              <w:rPr>
                <w:u w:val="double"/>
              </w:rPr>
            </w:pPr>
          </w:p>
        </w:tc>
        <w:tc>
          <w:tcPr>
            <w:tcW w:w="4251" w:type="dxa"/>
            <w:shd w:val="clear" w:color="auto" w:fill="auto"/>
            <w:hideMark/>
          </w:tcPr>
          <w:p w:rsidR="00C426C4" w:rsidRPr="000422C2" w:rsidRDefault="0091440C" w:rsidP="00B3101A">
            <w:pPr>
              <w:pStyle w:val="Tabletext"/>
            </w:pPr>
            <w:r w:rsidRPr="000422C2">
              <w:t xml:space="preserve">To provide financial assistance to </w:t>
            </w:r>
            <w:r w:rsidR="00C426C4" w:rsidRPr="000422C2">
              <w:t>Australian trading corpora</w:t>
            </w:r>
            <w:r w:rsidR="00B3101A" w:rsidRPr="000422C2">
              <w:t xml:space="preserve">tions </w:t>
            </w:r>
            <w:r w:rsidR="00C930D0" w:rsidRPr="000422C2">
              <w:rPr>
                <w:rFonts w:eastAsiaTheme="minorHAnsi"/>
              </w:rPr>
              <w:t>to which paragraph</w:t>
            </w:r>
            <w:r w:rsidR="000422C2" w:rsidRPr="000422C2">
              <w:rPr>
                <w:rFonts w:eastAsiaTheme="minorHAnsi"/>
              </w:rPr>
              <w:t> </w:t>
            </w:r>
            <w:r w:rsidR="00C930D0" w:rsidRPr="000422C2">
              <w:rPr>
                <w:rFonts w:eastAsiaTheme="minorHAnsi"/>
              </w:rPr>
              <w:t xml:space="preserve">51(xx) of the Constitution applies </w:t>
            </w:r>
            <w:r w:rsidR="00B3101A" w:rsidRPr="000422C2">
              <w:t>involved in manufacturing</w:t>
            </w:r>
            <w:r w:rsidRPr="000422C2">
              <w:t xml:space="preserve"> to promote the growth of the non</w:t>
            </w:r>
            <w:r w:rsidR="000422C2">
              <w:noBreakHyphen/>
            </w:r>
            <w:r w:rsidRPr="000422C2">
              <w:t>a</w:t>
            </w:r>
            <w:r w:rsidR="00B3101A" w:rsidRPr="000422C2">
              <w:t>utomotive manufacturing sector.</w:t>
            </w:r>
          </w:p>
        </w:tc>
      </w:tr>
      <w:tr w:rsidR="00902765" w:rsidRPr="000422C2" w:rsidTr="00786143">
        <w:tc>
          <w:tcPr>
            <w:tcW w:w="714" w:type="dxa"/>
            <w:shd w:val="clear" w:color="auto" w:fill="auto"/>
            <w:hideMark/>
          </w:tcPr>
          <w:p w:rsidR="00902765" w:rsidRPr="000422C2" w:rsidRDefault="00902765" w:rsidP="00870151">
            <w:pPr>
              <w:pStyle w:val="Tabletext"/>
            </w:pPr>
            <w:r w:rsidRPr="000422C2">
              <w:t>19</w:t>
            </w:r>
          </w:p>
        </w:tc>
        <w:tc>
          <w:tcPr>
            <w:tcW w:w="2115" w:type="dxa"/>
            <w:shd w:val="clear" w:color="auto" w:fill="auto"/>
            <w:hideMark/>
          </w:tcPr>
          <w:p w:rsidR="00902765" w:rsidRPr="000422C2" w:rsidRDefault="00902765" w:rsidP="00902765">
            <w:pPr>
              <w:pStyle w:val="Tabletext"/>
            </w:pPr>
            <w:r w:rsidRPr="000422C2">
              <w:t>Regional Infrastructure Programme</w:t>
            </w:r>
          </w:p>
          <w:p w:rsidR="00902765" w:rsidRPr="000422C2" w:rsidRDefault="00902765" w:rsidP="00870151">
            <w:pPr>
              <w:pStyle w:val="Tabletext"/>
              <w:rPr>
                <w:u w:val="double"/>
              </w:rPr>
            </w:pPr>
          </w:p>
        </w:tc>
        <w:tc>
          <w:tcPr>
            <w:tcW w:w="4251" w:type="dxa"/>
            <w:shd w:val="clear" w:color="auto" w:fill="auto"/>
            <w:hideMark/>
          </w:tcPr>
          <w:p w:rsidR="00DE3BA2" w:rsidRPr="000422C2" w:rsidRDefault="00902765" w:rsidP="00902765">
            <w:pPr>
              <w:pStyle w:val="Tabletext"/>
            </w:pPr>
            <w:r w:rsidRPr="000422C2">
              <w:t xml:space="preserve">To </w:t>
            </w:r>
            <w:r w:rsidR="00C930D0" w:rsidRPr="000422C2">
              <w:t xml:space="preserve">fund suitable applicants in undertaking projects or activities to </w:t>
            </w:r>
            <w:r w:rsidRPr="000422C2">
              <w:t>support and develop infrastructure, stimulate new business activity and enhance economic development</w:t>
            </w:r>
            <w:r w:rsidR="00DE3BA2" w:rsidRPr="000422C2">
              <w:t>.</w:t>
            </w:r>
          </w:p>
          <w:p w:rsidR="00DE3BA2" w:rsidRPr="000422C2" w:rsidRDefault="00DE3BA2" w:rsidP="00DE3BA2">
            <w:pPr>
              <w:pStyle w:val="Tabletext"/>
            </w:pPr>
            <w:r w:rsidRPr="000422C2">
              <w:t xml:space="preserve">This objective also has the effect it would have if it were limited to providing funding </w:t>
            </w:r>
            <w:r w:rsidR="00957826" w:rsidRPr="000422C2">
              <w:t xml:space="preserve">or support </w:t>
            </w:r>
            <w:r w:rsidRPr="000422C2">
              <w:t>for:</w:t>
            </w:r>
          </w:p>
          <w:p w:rsidR="00902765" w:rsidRPr="000422C2" w:rsidRDefault="00902765" w:rsidP="00902765">
            <w:pPr>
              <w:pStyle w:val="Tablea"/>
              <w:rPr>
                <w:rFonts w:eastAsiaTheme="minorHAnsi"/>
              </w:rPr>
            </w:pPr>
            <w:r w:rsidRPr="000422C2">
              <w:rPr>
                <w:rFonts w:eastAsiaTheme="minorHAnsi"/>
              </w:rPr>
              <w:t xml:space="preserve">(a) the fostering or promotion of interstate </w:t>
            </w:r>
            <w:r w:rsidR="00B42902" w:rsidRPr="000422C2">
              <w:rPr>
                <w:rFonts w:eastAsiaTheme="minorHAnsi"/>
              </w:rPr>
              <w:t>or overseas trade and commerce;</w:t>
            </w:r>
            <w:r w:rsidR="00CA66FD" w:rsidRPr="000422C2">
              <w:rPr>
                <w:rFonts w:eastAsiaTheme="minorHAnsi"/>
              </w:rPr>
              <w:t xml:space="preserve"> or</w:t>
            </w:r>
          </w:p>
          <w:p w:rsidR="00902765" w:rsidRPr="000422C2" w:rsidRDefault="00902765" w:rsidP="00902765">
            <w:pPr>
              <w:pStyle w:val="Tablea"/>
              <w:rPr>
                <w:rFonts w:eastAsiaTheme="minorHAnsi"/>
              </w:rPr>
            </w:pPr>
            <w:r w:rsidRPr="000422C2">
              <w:rPr>
                <w:rFonts w:eastAsiaTheme="minorHAnsi"/>
              </w:rPr>
              <w:t xml:space="preserve">(b) businesses involved in interstate </w:t>
            </w:r>
            <w:r w:rsidR="00B42902" w:rsidRPr="000422C2">
              <w:rPr>
                <w:rFonts w:eastAsiaTheme="minorHAnsi"/>
              </w:rPr>
              <w:t>or overseas trade and commerce;</w:t>
            </w:r>
            <w:r w:rsidR="00CA66FD" w:rsidRPr="000422C2">
              <w:rPr>
                <w:rFonts w:eastAsiaTheme="minorHAnsi"/>
              </w:rPr>
              <w:t xml:space="preserve"> or</w:t>
            </w:r>
          </w:p>
          <w:p w:rsidR="00902765" w:rsidRPr="000422C2" w:rsidRDefault="00902765" w:rsidP="00902765">
            <w:pPr>
              <w:pStyle w:val="Tablea"/>
            </w:pPr>
            <w:r w:rsidRPr="000422C2">
              <w:rPr>
                <w:rFonts w:eastAsiaTheme="minorHAnsi"/>
              </w:rPr>
              <w:t>(c) corporations to which paragraph</w:t>
            </w:r>
            <w:r w:rsidR="000422C2" w:rsidRPr="000422C2">
              <w:rPr>
                <w:rFonts w:eastAsiaTheme="minorHAnsi"/>
              </w:rPr>
              <w:t> </w:t>
            </w:r>
            <w:r w:rsidRPr="000422C2">
              <w:rPr>
                <w:rFonts w:eastAsiaTheme="minorHAnsi"/>
              </w:rPr>
              <w:t>51(xx) of the Constitution applies.</w:t>
            </w:r>
          </w:p>
        </w:tc>
      </w:tr>
      <w:tr w:rsidR="00902765" w:rsidRPr="000422C2" w:rsidTr="00786143">
        <w:tc>
          <w:tcPr>
            <w:tcW w:w="714" w:type="dxa"/>
            <w:shd w:val="clear" w:color="auto" w:fill="auto"/>
            <w:hideMark/>
          </w:tcPr>
          <w:p w:rsidR="00902765" w:rsidRPr="000422C2" w:rsidRDefault="00902765" w:rsidP="00870151">
            <w:pPr>
              <w:pStyle w:val="Tabletext"/>
            </w:pPr>
            <w:r w:rsidRPr="000422C2">
              <w:t>20</w:t>
            </w:r>
          </w:p>
        </w:tc>
        <w:tc>
          <w:tcPr>
            <w:tcW w:w="2115" w:type="dxa"/>
            <w:shd w:val="clear" w:color="auto" w:fill="auto"/>
            <w:hideMark/>
          </w:tcPr>
          <w:p w:rsidR="00902765" w:rsidRPr="000422C2" w:rsidRDefault="00D01595" w:rsidP="00D01595">
            <w:pPr>
              <w:pStyle w:val="Tabletext"/>
            </w:pPr>
            <w:r w:rsidRPr="000422C2">
              <w:t>Matthew Flinders’ Chart</w:t>
            </w:r>
          </w:p>
          <w:p w:rsidR="00902765" w:rsidRPr="000422C2" w:rsidRDefault="00902765" w:rsidP="00870151">
            <w:pPr>
              <w:pStyle w:val="Tabletext"/>
              <w:rPr>
                <w:u w:val="double"/>
              </w:rPr>
            </w:pPr>
          </w:p>
        </w:tc>
        <w:tc>
          <w:tcPr>
            <w:tcW w:w="4251" w:type="dxa"/>
            <w:shd w:val="clear" w:color="auto" w:fill="auto"/>
            <w:hideMark/>
          </w:tcPr>
          <w:p w:rsidR="00627FD6" w:rsidRPr="000422C2" w:rsidRDefault="00F1259F" w:rsidP="00D01595">
            <w:pPr>
              <w:pStyle w:val="Tabletext"/>
            </w:pPr>
            <w:r w:rsidRPr="000422C2">
              <w:t>To</w:t>
            </w:r>
            <w:r w:rsidR="00094EFE" w:rsidRPr="000422C2">
              <w:t xml:space="preserve"> do the following</w:t>
            </w:r>
            <w:r w:rsidR="007F60D6" w:rsidRPr="000422C2">
              <w:t xml:space="preserve"> for the benefit of the nation</w:t>
            </w:r>
            <w:r w:rsidR="00627FD6" w:rsidRPr="000422C2">
              <w:t>:</w:t>
            </w:r>
          </w:p>
          <w:p w:rsidR="00F1259F" w:rsidRPr="000422C2" w:rsidRDefault="00627FD6" w:rsidP="00F1259F">
            <w:pPr>
              <w:pStyle w:val="Tablea"/>
            </w:pPr>
            <w:r w:rsidRPr="000422C2">
              <w:t xml:space="preserve">(a) </w:t>
            </w:r>
            <w:r w:rsidR="00B612AE" w:rsidRPr="000422C2">
              <w:t>borrow</w:t>
            </w:r>
            <w:r w:rsidR="00D01595" w:rsidRPr="000422C2">
              <w:t xml:space="preserve">, from the Government of the United Kingdom, the original chart of Australia </w:t>
            </w:r>
            <w:r w:rsidR="00A72567" w:rsidRPr="000422C2">
              <w:t>completed</w:t>
            </w:r>
            <w:r w:rsidR="00D01595" w:rsidRPr="000422C2">
              <w:t xml:space="preserve"> by Captain Matthew Flinders in 1804 </w:t>
            </w:r>
            <w:r w:rsidR="00A72567" w:rsidRPr="000422C2">
              <w:t>following</w:t>
            </w:r>
            <w:r w:rsidR="00D01595" w:rsidRPr="000422C2">
              <w:t xml:space="preserve"> his 1801</w:t>
            </w:r>
            <w:r w:rsidR="000422C2">
              <w:noBreakHyphen/>
            </w:r>
            <w:r w:rsidR="00D01595" w:rsidRPr="000422C2">
              <w:t>03 circumnavigation of the continent</w:t>
            </w:r>
            <w:r w:rsidR="00094EFE" w:rsidRPr="000422C2">
              <w:t>;</w:t>
            </w:r>
          </w:p>
          <w:p w:rsidR="00094EFE" w:rsidRPr="000422C2" w:rsidRDefault="00F1259F" w:rsidP="00A72567">
            <w:pPr>
              <w:pStyle w:val="Tablea"/>
            </w:pPr>
            <w:r w:rsidRPr="000422C2">
              <w:t xml:space="preserve">(b) </w:t>
            </w:r>
            <w:r w:rsidR="00B612AE" w:rsidRPr="000422C2">
              <w:t xml:space="preserve">exhibit </w:t>
            </w:r>
            <w:r w:rsidRPr="000422C2">
              <w:t>the c</w:t>
            </w:r>
            <w:r w:rsidR="00D01595" w:rsidRPr="000422C2">
              <w:t>hart in th</w:t>
            </w:r>
            <w:r w:rsidR="007F60D6" w:rsidRPr="000422C2">
              <w:t>e Australian Capital Territory</w:t>
            </w:r>
            <w:r w:rsidRPr="000422C2">
              <w:t>.</w:t>
            </w:r>
          </w:p>
        </w:tc>
      </w:tr>
      <w:tr w:rsidR="00F1259F" w:rsidRPr="000422C2" w:rsidTr="00786143">
        <w:tc>
          <w:tcPr>
            <w:tcW w:w="714" w:type="dxa"/>
            <w:shd w:val="clear" w:color="auto" w:fill="auto"/>
            <w:hideMark/>
          </w:tcPr>
          <w:p w:rsidR="00F1259F" w:rsidRPr="000422C2" w:rsidRDefault="00F1259F" w:rsidP="00870151">
            <w:pPr>
              <w:pStyle w:val="Tabletext"/>
            </w:pPr>
            <w:r w:rsidRPr="000422C2">
              <w:t>21</w:t>
            </w:r>
          </w:p>
        </w:tc>
        <w:tc>
          <w:tcPr>
            <w:tcW w:w="2115" w:type="dxa"/>
            <w:shd w:val="clear" w:color="auto" w:fill="auto"/>
            <w:hideMark/>
          </w:tcPr>
          <w:p w:rsidR="00F1259F" w:rsidRPr="000422C2" w:rsidRDefault="00F1259F" w:rsidP="00F1259F">
            <w:pPr>
              <w:pStyle w:val="Tabletext"/>
            </w:pPr>
            <w:r w:rsidRPr="000422C2">
              <w:t>National Insurance Affordability Initiative</w:t>
            </w:r>
          </w:p>
          <w:p w:rsidR="00F1259F" w:rsidRPr="000422C2" w:rsidRDefault="00F1259F" w:rsidP="00870151">
            <w:pPr>
              <w:pStyle w:val="Tabletext"/>
              <w:rPr>
                <w:u w:val="double"/>
              </w:rPr>
            </w:pPr>
          </w:p>
        </w:tc>
        <w:tc>
          <w:tcPr>
            <w:tcW w:w="4251" w:type="dxa"/>
            <w:shd w:val="clear" w:color="auto" w:fill="auto"/>
            <w:hideMark/>
          </w:tcPr>
          <w:p w:rsidR="00F1259F" w:rsidRPr="000422C2" w:rsidRDefault="00F1259F" w:rsidP="00F1259F">
            <w:pPr>
              <w:pStyle w:val="Tabletext"/>
            </w:pPr>
            <w:r w:rsidRPr="000422C2">
              <w:t>To establish and maintain a website which would compare features of, and premiums for, certain strata and home building and contents insurance products.</w:t>
            </w:r>
          </w:p>
        </w:tc>
      </w:tr>
      <w:tr w:rsidR="00F1259F" w:rsidRPr="000422C2" w:rsidTr="00786143">
        <w:tc>
          <w:tcPr>
            <w:tcW w:w="714" w:type="dxa"/>
            <w:shd w:val="clear" w:color="auto" w:fill="auto"/>
            <w:hideMark/>
          </w:tcPr>
          <w:p w:rsidR="00F1259F" w:rsidRPr="000422C2" w:rsidRDefault="00F1259F" w:rsidP="00870151">
            <w:pPr>
              <w:pStyle w:val="Tabletext"/>
            </w:pPr>
            <w:r w:rsidRPr="000422C2">
              <w:t>22</w:t>
            </w:r>
          </w:p>
        </w:tc>
        <w:tc>
          <w:tcPr>
            <w:tcW w:w="2115" w:type="dxa"/>
            <w:shd w:val="clear" w:color="auto" w:fill="auto"/>
            <w:hideMark/>
          </w:tcPr>
          <w:p w:rsidR="00F1259F" w:rsidRPr="000422C2" w:rsidRDefault="00F1259F" w:rsidP="00F1259F">
            <w:pPr>
              <w:pStyle w:val="Tabletext"/>
            </w:pPr>
            <w:r w:rsidRPr="000422C2">
              <w:t>Green Army Programme</w:t>
            </w:r>
          </w:p>
          <w:p w:rsidR="00F1259F" w:rsidRPr="000422C2" w:rsidRDefault="00F1259F" w:rsidP="00870151">
            <w:pPr>
              <w:pStyle w:val="Tabletext"/>
              <w:rPr>
                <w:u w:val="double"/>
              </w:rPr>
            </w:pPr>
          </w:p>
        </w:tc>
        <w:tc>
          <w:tcPr>
            <w:tcW w:w="4251" w:type="dxa"/>
            <w:shd w:val="clear" w:color="auto" w:fill="auto"/>
            <w:hideMark/>
          </w:tcPr>
          <w:p w:rsidR="00CA66FD" w:rsidRPr="000422C2" w:rsidRDefault="00F1259F" w:rsidP="00F1259F">
            <w:pPr>
              <w:pStyle w:val="Tabletext"/>
            </w:pPr>
            <w:r w:rsidRPr="000422C2">
              <w:t xml:space="preserve">To provide support for activities for the protection and conservation of </w:t>
            </w:r>
            <w:r w:rsidR="00281D98" w:rsidRPr="000422C2">
              <w:t xml:space="preserve">heritage and </w:t>
            </w:r>
            <w:r w:rsidRPr="000422C2">
              <w:t xml:space="preserve">the </w:t>
            </w:r>
            <w:r w:rsidR="00001292" w:rsidRPr="000422C2">
              <w:t>environment</w:t>
            </w:r>
            <w:r w:rsidR="00CA66FD" w:rsidRPr="000422C2">
              <w:t>.</w:t>
            </w:r>
          </w:p>
          <w:p w:rsidR="00CA66FD" w:rsidRPr="000422C2" w:rsidRDefault="00CA66FD" w:rsidP="00CA66FD">
            <w:pPr>
              <w:pStyle w:val="Tabletext"/>
            </w:pPr>
            <w:r w:rsidRPr="000422C2">
              <w:t>This objective also has the effect it would have if it were limited to providing support for activities:</w:t>
            </w:r>
          </w:p>
          <w:p w:rsidR="00001292" w:rsidRPr="000422C2" w:rsidRDefault="00001292" w:rsidP="00001292">
            <w:pPr>
              <w:pStyle w:val="Tablea"/>
            </w:pPr>
            <w:r w:rsidRPr="000422C2">
              <w:t xml:space="preserve">(a) to </w:t>
            </w:r>
            <w:r w:rsidR="00F1259F" w:rsidRPr="000422C2">
              <w:t>give effect to Australia’s international obligations under</w:t>
            </w:r>
            <w:r w:rsidR="00E4750E" w:rsidRPr="000422C2">
              <w:t xml:space="preserve"> </w:t>
            </w:r>
            <w:r w:rsidR="00CA66FD" w:rsidRPr="000422C2">
              <w:t xml:space="preserve">one or more of </w:t>
            </w:r>
            <w:r w:rsidR="00E4750E" w:rsidRPr="000422C2">
              <w:t>the following</w:t>
            </w:r>
            <w:r w:rsidRPr="000422C2">
              <w:t>:</w:t>
            </w:r>
          </w:p>
          <w:p w:rsidR="00E4750E" w:rsidRPr="000422C2" w:rsidRDefault="00001292" w:rsidP="00001292">
            <w:pPr>
              <w:pStyle w:val="Tablei"/>
            </w:pPr>
            <w:r w:rsidRPr="000422C2">
              <w:t xml:space="preserve">(i) </w:t>
            </w:r>
            <w:r w:rsidR="00F1259F" w:rsidRPr="000422C2">
              <w:t>the United Nations Framewo</w:t>
            </w:r>
            <w:r w:rsidR="00E4750E" w:rsidRPr="000422C2">
              <w:t>rk Convention on Climate Change;</w:t>
            </w:r>
          </w:p>
          <w:p w:rsidR="00E4750E" w:rsidRPr="000422C2" w:rsidRDefault="00E4750E" w:rsidP="00001292">
            <w:pPr>
              <w:pStyle w:val="Tablei"/>
            </w:pPr>
            <w:r w:rsidRPr="000422C2">
              <w:t xml:space="preserve">(ii) </w:t>
            </w:r>
            <w:r w:rsidR="00F1259F" w:rsidRPr="000422C2">
              <w:t>the Convention on Biological Diversity</w:t>
            </w:r>
            <w:r w:rsidRPr="000422C2">
              <w:t>;</w:t>
            </w:r>
          </w:p>
          <w:p w:rsidR="00E4750E" w:rsidRPr="000422C2" w:rsidRDefault="00E4750E" w:rsidP="00001292">
            <w:pPr>
              <w:pStyle w:val="Tablei"/>
            </w:pPr>
            <w:r w:rsidRPr="000422C2">
              <w:t xml:space="preserve">(iii) </w:t>
            </w:r>
            <w:r w:rsidR="00F1259F" w:rsidRPr="000422C2">
              <w:t>the Convention on Wetlan</w:t>
            </w:r>
            <w:r w:rsidR="004453E9" w:rsidRPr="000422C2">
              <w:t>ds of International Importance e</w:t>
            </w:r>
            <w:r w:rsidRPr="000422C2">
              <w:t>specially as Waterfowl Habitat;</w:t>
            </w:r>
          </w:p>
          <w:p w:rsidR="00E4750E" w:rsidRPr="000422C2" w:rsidRDefault="00E4750E" w:rsidP="00001292">
            <w:pPr>
              <w:pStyle w:val="Tablei"/>
            </w:pPr>
            <w:r w:rsidRPr="000422C2">
              <w:t xml:space="preserve">(iv) </w:t>
            </w:r>
            <w:r w:rsidR="00F1259F" w:rsidRPr="000422C2">
              <w:t>the Convention on the Conservation of Mi</w:t>
            </w:r>
            <w:r w:rsidRPr="000422C2">
              <w:t>gratory Species of Wild Animals;</w:t>
            </w:r>
          </w:p>
          <w:p w:rsidR="00F1259F" w:rsidRPr="000422C2" w:rsidRDefault="00E4750E" w:rsidP="00001292">
            <w:pPr>
              <w:pStyle w:val="Tablei"/>
            </w:pPr>
            <w:r w:rsidRPr="000422C2">
              <w:t>(v) t</w:t>
            </w:r>
            <w:r w:rsidR="00323551" w:rsidRPr="000422C2">
              <w:t>he Convention C</w:t>
            </w:r>
            <w:r w:rsidR="00F1259F" w:rsidRPr="000422C2">
              <w:t>oncerning the Protection of the World Cultural and Natural Heritage;</w:t>
            </w:r>
            <w:r w:rsidRPr="000422C2">
              <w:t xml:space="preserve"> </w:t>
            </w:r>
            <w:r w:rsidR="00CA66FD" w:rsidRPr="000422C2">
              <w:t>or</w:t>
            </w:r>
          </w:p>
          <w:p w:rsidR="00F1259F" w:rsidRPr="000422C2" w:rsidRDefault="00E4750E" w:rsidP="00E4750E">
            <w:pPr>
              <w:pStyle w:val="Tablea"/>
            </w:pPr>
            <w:r w:rsidRPr="000422C2">
              <w:t xml:space="preserve">(b) to </w:t>
            </w:r>
            <w:r w:rsidR="00F1259F" w:rsidRPr="000422C2">
              <w:t>provide training and other benefits to students or the unemployed;</w:t>
            </w:r>
            <w:r w:rsidRPr="000422C2">
              <w:t xml:space="preserve"> </w:t>
            </w:r>
            <w:r w:rsidR="00CA66FD" w:rsidRPr="000422C2">
              <w:t>or</w:t>
            </w:r>
          </w:p>
          <w:p w:rsidR="00F1259F" w:rsidRPr="000422C2" w:rsidRDefault="00E4750E" w:rsidP="00E4750E">
            <w:pPr>
              <w:pStyle w:val="Tablea"/>
            </w:pPr>
            <w:r w:rsidRPr="000422C2">
              <w:t xml:space="preserve">(c) to benefit Indigenous Australians; </w:t>
            </w:r>
            <w:r w:rsidR="00CA66FD" w:rsidRPr="000422C2">
              <w:t>or</w:t>
            </w:r>
          </w:p>
          <w:p w:rsidR="00001292" w:rsidRPr="000422C2" w:rsidRDefault="00E4750E" w:rsidP="00CA66FD">
            <w:pPr>
              <w:pStyle w:val="Tablea"/>
            </w:pPr>
            <w:r w:rsidRPr="000422C2">
              <w:t xml:space="preserve">(d) that </w:t>
            </w:r>
            <w:r w:rsidR="00CA66FD" w:rsidRPr="000422C2">
              <w:t>are carried out in a Territory.</w:t>
            </w:r>
          </w:p>
        </w:tc>
      </w:tr>
      <w:tr w:rsidR="00E4750E" w:rsidRPr="000422C2" w:rsidTr="00786143">
        <w:tc>
          <w:tcPr>
            <w:tcW w:w="714" w:type="dxa"/>
            <w:shd w:val="clear" w:color="auto" w:fill="auto"/>
            <w:hideMark/>
          </w:tcPr>
          <w:p w:rsidR="00E4750E" w:rsidRPr="000422C2" w:rsidRDefault="00BF689C" w:rsidP="00870151">
            <w:pPr>
              <w:pStyle w:val="Tabletext"/>
            </w:pPr>
            <w:r w:rsidRPr="000422C2">
              <w:t>23</w:t>
            </w:r>
          </w:p>
        </w:tc>
        <w:tc>
          <w:tcPr>
            <w:tcW w:w="2115" w:type="dxa"/>
            <w:shd w:val="clear" w:color="auto" w:fill="auto"/>
            <w:hideMark/>
          </w:tcPr>
          <w:p w:rsidR="00E4750E" w:rsidRPr="000422C2" w:rsidRDefault="00E4750E" w:rsidP="00E4750E">
            <w:pPr>
              <w:pStyle w:val="Tabletext"/>
            </w:pPr>
            <w:r w:rsidRPr="000422C2">
              <w:t>Community Heritage and Icons Grants</w:t>
            </w:r>
          </w:p>
          <w:p w:rsidR="00E4750E" w:rsidRPr="000422C2" w:rsidRDefault="00E4750E" w:rsidP="00870151">
            <w:pPr>
              <w:pStyle w:val="Tabletext"/>
              <w:rPr>
                <w:u w:val="double"/>
              </w:rPr>
            </w:pPr>
          </w:p>
        </w:tc>
        <w:tc>
          <w:tcPr>
            <w:tcW w:w="4251" w:type="dxa"/>
            <w:shd w:val="clear" w:color="auto" w:fill="auto"/>
            <w:hideMark/>
          </w:tcPr>
          <w:p w:rsidR="00CA66FD" w:rsidRPr="000422C2" w:rsidRDefault="00E4750E" w:rsidP="00E4750E">
            <w:pPr>
              <w:pStyle w:val="Tabletext"/>
            </w:pPr>
            <w:r w:rsidRPr="000422C2">
              <w:t>To provide support for activities to conserve, develop and interpret cultural heritage</w:t>
            </w:r>
            <w:r w:rsidR="00CA66FD" w:rsidRPr="000422C2">
              <w:t>.</w:t>
            </w:r>
          </w:p>
          <w:p w:rsidR="00E4750E" w:rsidRPr="000422C2" w:rsidRDefault="00CA66FD" w:rsidP="00E4750E">
            <w:pPr>
              <w:pStyle w:val="Tabletext"/>
            </w:pPr>
            <w:r w:rsidRPr="000422C2">
              <w:t xml:space="preserve">This objective also has the effect it would have if it were limited to </w:t>
            </w:r>
            <w:r w:rsidR="002441EC" w:rsidRPr="000422C2">
              <w:t>providing support for activities</w:t>
            </w:r>
            <w:r w:rsidRPr="000422C2">
              <w:t>:</w:t>
            </w:r>
          </w:p>
          <w:p w:rsidR="00E4750E" w:rsidRPr="000422C2" w:rsidRDefault="00E4750E" w:rsidP="00E4750E">
            <w:pPr>
              <w:pStyle w:val="Tablea"/>
            </w:pPr>
            <w:r w:rsidRPr="000422C2">
              <w:t xml:space="preserve">(a) to give effect to Australia’s international obligations under the </w:t>
            </w:r>
            <w:r w:rsidR="00870151" w:rsidRPr="000422C2">
              <w:t>Convention C</w:t>
            </w:r>
            <w:r w:rsidRPr="000422C2">
              <w:t>oncerning the Protection of the World Cultural and Natural Heritage;</w:t>
            </w:r>
            <w:r w:rsidR="00870151" w:rsidRPr="000422C2">
              <w:t xml:space="preserve"> </w:t>
            </w:r>
            <w:r w:rsidR="002441EC" w:rsidRPr="000422C2">
              <w:t>or</w:t>
            </w:r>
          </w:p>
          <w:p w:rsidR="00E4750E" w:rsidRPr="000422C2" w:rsidRDefault="00870151" w:rsidP="00E4750E">
            <w:pPr>
              <w:pStyle w:val="Tablea"/>
            </w:pPr>
            <w:r w:rsidRPr="000422C2">
              <w:t xml:space="preserve">(b) that </w:t>
            </w:r>
            <w:r w:rsidR="00E4750E" w:rsidRPr="000422C2">
              <w:t>are peculiarly adapted</w:t>
            </w:r>
            <w:r w:rsidRPr="000422C2">
              <w:t xml:space="preserve"> to</w:t>
            </w:r>
            <w:r w:rsidR="00E4750E" w:rsidRPr="000422C2">
              <w:t xml:space="preserve"> the government of </w:t>
            </w:r>
            <w:r w:rsidR="00FD6659" w:rsidRPr="000422C2">
              <w:t>a</w:t>
            </w:r>
            <w:r w:rsidR="00E4750E" w:rsidRPr="000422C2">
              <w:t xml:space="preserve"> nation and cannot otherwise be carried on for the benefit of the nation;</w:t>
            </w:r>
            <w:r w:rsidRPr="000422C2">
              <w:t xml:space="preserve"> </w:t>
            </w:r>
            <w:r w:rsidR="002441EC" w:rsidRPr="000422C2">
              <w:t>or</w:t>
            </w:r>
          </w:p>
          <w:p w:rsidR="00E4750E" w:rsidRPr="000422C2" w:rsidRDefault="00870151" w:rsidP="00E4750E">
            <w:pPr>
              <w:pStyle w:val="Tablea"/>
            </w:pPr>
            <w:r w:rsidRPr="000422C2">
              <w:t xml:space="preserve">(c) that </w:t>
            </w:r>
            <w:r w:rsidR="00E4750E" w:rsidRPr="000422C2">
              <w:t xml:space="preserve">are carried out in a Territory, in a Commonwealth place, or outside Australia; </w:t>
            </w:r>
            <w:r w:rsidR="002441EC" w:rsidRPr="000422C2">
              <w:t>or</w:t>
            </w:r>
          </w:p>
          <w:p w:rsidR="00BF689C" w:rsidRPr="000422C2" w:rsidRDefault="00870151" w:rsidP="00BF689C">
            <w:pPr>
              <w:pStyle w:val="Tablea"/>
            </w:pPr>
            <w:r w:rsidRPr="000422C2">
              <w:t xml:space="preserve">(d) that </w:t>
            </w:r>
            <w:r w:rsidR="00E4750E" w:rsidRPr="000422C2">
              <w:t>are carried out by a trading corporation</w:t>
            </w:r>
            <w:r w:rsidRPr="000422C2">
              <w:t xml:space="preserve"> to which paragraph</w:t>
            </w:r>
            <w:r w:rsidR="000422C2" w:rsidRPr="000422C2">
              <w:t> </w:t>
            </w:r>
            <w:r w:rsidRPr="000422C2">
              <w:t>51(xx) of the Constitution applie</w:t>
            </w:r>
            <w:r w:rsidR="00FD6659" w:rsidRPr="000422C2">
              <w:t>s</w:t>
            </w:r>
            <w:r w:rsidR="00E4750E" w:rsidRPr="000422C2">
              <w:t>.</w:t>
            </w:r>
          </w:p>
        </w:tc>
      </w:tr>
      <w:tr w:rsidR="00BF689C" w:rsidRPr="000422C2" w:rsidTr="00786143">
        <w:tc>
          <w:tcPr>
            <w:tcW w:w="714" w:type="dxa"/>
            <w:shd w:val="clear" w:color="auto" w:fill="auto"/>
            <w:hideMark/>
          </w:tcPr>
          <w:p w:rsidR="00BF689C" w:rsidRPr="000422C2" w:rsidRDefault="00BF689C" w:rsidP="00354A2E">
            <w:pPr>
              <w:pStyle w:val="Tabletext"/>
            </w:pPr>
            <w:r w:rsidRPr="000422C2">
              <w:t>24</w:t>
            </w:r>
          </w:p>
        </w:tc>
        <w:tc>
          <w:tcPr>
            <w:tcW w:w="2115" w:type="dxa"/>
            <w:shd w:val="clear" w:color="auto" w:fill="auto"/>
            <w:hideMark/>
          </w:tcPr>
          <w:p w:rsidR="00BF689C" w:rsidRPr="000422C2" w:rsidRDefault="00BF689C" w:rsidP="00354A2E">
            <w:pPr>
              <w:pStyle w:val="Tabletext"/>
            </w:pPr>
            <w:r w:rsidRPr="000422C2">
              <w:t>Orangutan Reintroduction Project</w:t>
            </w:r>
          </w:p>
        </w:tc>
        <w:tc>
          <w:tcPr>
            <w:tcW w:w="4251" w:type="dxa"/>
            <w:shd w:val="clear" w:color="auto" w:fill="auto"/>
            <w:hideMark/>
          </w:tcPr>
          <w:p w:rsidR="00BF689C" w:rsidRPr="000422C2" w:rsidRDefault="00BF689C" w:rsidP="00BF689C">
            <w:pPr>
              <w:pStyle w:val="Tabletext"/>
            </w:pPr>
            <w:r w:rsidRPr="000422C2">
              <w:t>To support the protection and rehabilitation of orangutans in Indonesia.</w:t>
            </w:r>
          </w:p>
        </w:tc>
      </w:tr>
      <w:tr w:rsidR="00C912B3" w:rsidRPr="000422C2" w:rsidTr="00786143">
        <w:tc>
          <w:tcPr>
            <w:tcW w:w="714" w:type="dxa"/>
            <w:shd w:val="clear" w:color="auto" w:fill="auto"/>
            <w:hideMark/>
          </w:tcPr>
          <w:p w:rsidR="00C912B3" w:rsidRPr="000422C2" w:rsidRDefault="00C912B3" w:rsidP="00354A2E">
            <w:pPr>
              <w:pStyle w:val="Tabletext"/>
            </w:pPr>
            <w:r w:rsidRPr="000422C2">
              <w:t>25</w:t>
            </w:r>
          </w:p>
        </w:tc>
        <w:tc>
          <w:tcPr>
            <w:tcW w:w="2115" w:type="dxa"/>
            <w:shd w:val="clear" w:color="auto" w:fill="auto"/>
            <w:hideMark/>
          </w:tcPr>
          <w:p w:rsidR="00C912B3" w:rsidRPr="000422C2" w:rsidRDefault="00C912B3" w:rsidP="00C912B3">
            <w:pPr>
              <w:pStyle w:val="Tabletext"/>
            </w:pPr>
            <w:r w:rsidRPr="000422C2">
              <w:t>National Climate Change Adaptation Research Facility</w:t>
            </w:r>
          </w:p>
          <w:p w:rsidR="00C912B3" w:rsidRPr="000422C2" w:rsidRDefault="00C912B3" w:rsidP="00354A2E">
            <w:pPr>
              <w:pStyle w:val="Tabletext"/>
              <w:rPr>
                <w:u w:val="double"/>
              </w:rPr>
            </w:pPr>
          </w:p>
        </w:tc>
        <w:tc>
          <w:tcPr>
            <w:tcW w:w="4251" w:type="dxa"/>
            <w:shd w:val="clear" w:color="auto" w:fill="auto"/>
            <w:hideMark/>
          </w:tcPr>
          <w:p w:rsidR="00C912B3" w:rsidRPr="000422C2" w:rsidRDefault="00C912B3" w:rsidP="00C912B3">
            <w:pPr>
              <w:pStyle w:val="Tabletext"/>
            </w:pPr>
            <w:r w:rsidRPr="000422C2">
              <w:t>To support the development of climate change adaptation policy and risk analysis for the purpose of giving effect to Australia’s international obligations under the United Nations Framework Convention on Climate Change, including by:</w:t>
            </w:r>
          </w:p>
          <w:p w:rsidR="00C912B3" w:rsidRPr="000422C2" w:rsidRDefault="00C912B3" w:rsidP="00C912B3">
            <w:pPr>
              <w:pStyle w:val="Tablea"/>
            </w:pPr>
            <w:r w:rsidRPr="000422C2">
              <w:t>(a) assisting local governments to develop a climate change risk management framework; and</w:t>
            </w:r>
          </w:p>
          <w:p w:rsidR="00C912B3" w:rsidRPr="000422C2" w:rsidRDefault="00C912B3" w:rsidP="00C912B3">
            <w:pPr>
              <w:pStyle w:val="Tablea"/>
            </w:pPr>
            <w:r w:rsidRPr="000422C2">
              <w:t>(b) synthesising and communicating climate change research across key sectors; and</w:t>
            </w:r>
          </w:p>
          <w:p w:rsidR="00C912B3" w:rsidRPr="000422C2" w:rsidRDefault="00C912B3" w:rsidP="00B3101A">
            <w:pPr>
              <w:pStyle w:val="Tablea"/>
            </w:pPr>
            <w:r w:rsidRPr="000422C2">
              <w:t>(c) coordinating research networks that link researchers with decision</w:t>
            </w:r>
            <w:r w:rsidR="000422C2">
              <w:noBreakHyphen/>
            </w:r>
            <w:r w:rsidRPr="000422C2">
              <w:t xml:space="preserve">makers managing climate </w:t>
            </w:r>
            <w:r w:rsidR="00B3101A" w:rsidRPr="000422C2">
              <w:t>change risk.</w:t>
            </w:r>
          </w:p>
        </w:tc>
      </w:tr>
      <w:tr w:rsidR="00C912B3" w:rsidRPr="000422C2" w:rsidTr="00786143">
        <w:tc>
          <w:tcPr>
            <w:tcW w:w="714" w:type="dxa"/>
            <w:shd w:val="clear" w:color="auto" w:fill="auto"/>
            <w:hideMark/>
          </w:tcPr>
          <w:p w:rsidR="00C912B3" w:rsidRPr="000422C2" w:rsidRDefault="00C912B3" w:rsidP="00354A2E">
            <w:pPr>
              <w:pStyle w:val="Tabletext"/>
            </w:pPr>
            <w:r w:rsidRPr="000422C2">
              <w:t>26</w:t>
            </w:r>
          </w:p>
        </w:tc>
        <w:tc>
          <w:tcPr>
            <w:tcW w:w="2115" w:type="dxa"/>
            <w:shd w:val="clear" w:color="auto" w:fill="auto"/>
            <w:hideMark/>
          </w:tcPr>
          <w:p w:rsidR="00C912B3" w:rsidRPr="000422C2" w:rsidRDefault="00C912B3" w:rsidP="00C912B3">
            <w:pPr>
              <w:pStyle w:val="Tabletext"/>
            </w:pPr>
            <w:r w:rsidRPr="000422C2">
              <w:t>Solar Towns Programme</w:t>
            </w:r>
          </w:p>
        </w:tc>
        <w:tc>
          <w:tcPr>
            <w:tcW w:w="4251" w:type="dxa"/>
            <w:shd w:val="clear" w:color="auto" w:fill="auto"/>
            <w:hideMark/>
          </w:tcPr>
          <w:p w:rsidR="00C912B3" w:rsidRPr="000422C2" w:rsidRDefault="00C912B3" w:rsidP="00C912B3">
            <w:pPr>
              <w:pStyle w:val="Tabletext"/>
            </w:pPr>
            <w:r w:rsidRPr="000422C2">
              <w:t>To provide support for community groups to install solar photovoltaic and solar hot water equipment at their facilities to reduce greenhouse gas emissions in order to give effect to Australia’s international obligations under the United Nations Framework Convention on Climate Change.</w:t>
            </w:r>
          </w:p>
        </w:tc>
      </w:tr>
      <w:tr w:rsidR="00C912B3" w:rsidRPr="000422C2" w:rsidTr="00786143">
        <w:tc>
          <w:tcPr>
            <w:tcW w:w="714" w:type="dxa"/>
            <w:shd w:val="clear" w:color="auto" w:fill="auto"/>
            <w:hideMark/>
          </w:tcPr>
          <w:p w:rsidR="00C912B3" w:rsidRPr="000422C2" w:rsidRDefault="00C912B3" w:rsidP="00354A2E">
            <w:pPr>
              <w:pStyle w:val="Tabletext"/>
            </w:pPr>
            <w:r w:rsidRPr="000422C2">
              <w:t>27</w:t>
            </w:r>
          </w:p>
        </w:tc>
        <w:tc>
          <w:tcPr>
            <w:tcW w:w="2115" w:type="dxa"/>
            <w:shd w:val="clear" w:color="auto" w:fill="auto"/>
            <w:hideMark/>
          </w:tcPr>
          <w:p w:rsidR="00C912B3" w:rsidRPr="000422C2" w:rsidRDefault="000974A8" w:rsidP="000974A8">
            <w:pPr>
              <w:pStyle w:val="Tabletext"/>
            </w:pPr>
            <w:r w:rsidRPr="000422C2">
              <w:t>Rural Research and Development for Profit</w:t>
            </w:r>
          </w:p>
        </w:tc>
        <w:tc>
          <w:tcPr>
            <w:tcW w:w="4251" w:type="dxa"/>
            <w:shd w:val="clear" w:color="auto" w:fill="auto"/>
            <w:hideMark/>
          </w:tcPr>
          <w:p w:rsidR="007D6CC7" w:rsidRPr="000422C2" w:rsidRDefault="000974A8" w:rsidP="000974A8">
            <w:pPr>
              <w:pStyle w:val="Tabletext"/>
            </w:pPr>
            <w:r w:rsidRPr="000422C2">
              <w:t xml:space="preserve">To provide support for research and development </w:t>
            </w:r>
            <w:r w:rsidR="007D6CC7" w:rsidRPr="000422C2">
              <w:t xml:space="preserve">activities </w:t>
            </w:r>
            <w:r w:rsidRPr="000422C2">
              <w:t>for Australian rural industries</w:t>
            </w:r>
            <w:r w:rsidR="007D6CC7" w:rsidRPr="000422C2">
              <w:t>:</w:t>
            </w:r>
          </w:p>
          <w:p w:rsidR="007D6CC7" w:rsidRPr="000422C2" w:rsidRDefault="007D6CC7" w:rsidP="007D6CC7">
            <w:pPr>
              <w:pStyle w:val="Tablea"/>
            </w:pPr>
            <w:r w:rsidRPr="000422C2">
              <w:t xml:space="preserve">(a) </w:t>
            </w:r>
            <w:r w:rsidR="000974A8" w:rsidRPr="000422C2">
              <w:t>to</w:t>
            </w:r>
            <w:r w:rsidRPr="000422C2">
              <w:t xml:space="preserve"> increase productivity and enhance profitability in order to meet national and global needs; </w:t>
            </w:r>
            <w:r w:rsidR="004D1289" w:rsidRPr="000422C2">
              <w:t>and</w:t>
            </w:r>
          </w:p>
          <w:p w:rsidR="007D6CC7" w:rsidRPr="000422C2" w:rsidRDefault="007D6CC7" w:rsidP="00F009F7">
            <w:pPr>
              <w:pStyle w:val="Tablea"/>
            </w:pPr>
            <w:r w:rsidRPr="000422C2">
              <w:t>(b) to the extent that the activities are peculiarly adapted to the government of a nation and cannot otherwise be carried out for the benefit of the nation.</w:t>
            </w:r>
          </w:p>
        </w:tc>
      </w:tr>
      <w:tr w:rsidR="000974A8" w:rsidRPr="000422C2" w:rsidTr="00786143">
        <w:tc>
          <w:tcPr>
            <w:tcW w:w="714" w:type="dxa"/>
            <w:shd w:val="clear" w:color="auto" w:fill="auto"/>
            <w:hideMark/>
          </w:tcPr>
          <w:p w:rsidR="000974A8" w:rsidRPr="000422C2" w:rsidRDefault="000974A8" w:rsidP="00354A2E">
            <w:pPr>
              <w:pStyle w:val="Tabletext"/>
            </w:pPr>
            <w:r w:rsidRPr="000422C2">
              <w:t>28</w:t>
            </w:r>
          </w:p>
        </w:tc>
        <w:tc>
          <w:tcPr>
            <w:tcW w:w="2115" w:type="dxa"/>
            <w:shd w:val="clear" w:color="auto" w:fill="auto"/>
            <w:hideMark/>
          </w:tcPr>
          <w:p w:rsidR="000974A8" w:rsidRPr="000422C2" w:rsidRDefault="000974A8" w:rsidP="000974A8">
            <w:pPr>
              <w:pStyle w:val="Tabletext"/>
            </w:pPr>
            <w:r w:rsidRPr="000422C2">
              <w:t>Financial Rebate for Small Exporters</w:t>
            </w:r>
          </w:p>
        </w:tc>
        <w:tc>
          <w:tcPr>
            <w:tcW w:w="4251" w:type="dxa"/>
            <w:shd w:val="clear" w:color="auto" w:fill="auto"/>
            <w:hideMark/>
          </w:tcPr>
          <w:p w:rsidR="000974A8" w:rsidRPr="000422C2" w:rsidRDefault="000974A8" w:rsidP="000974A8">
            <w:pPr>
              <w:pStyle w:val="Tabletext"/>
            </w:pPr>
            <w:r w:rsidRPr="000422C2">
              <w:t>To provide support for small exporters engaging in overseas trade and commerce by:</w:t>
            </w:r>
          </w:p>
          <w:p w:rsidR="000974A8" w:rsidRPr="000422C2" w:rsidRDefault="00AF487E" w:rsidP="00AF487E">
            <w:pPr>
              <w:pStyle w:val="Tablea"/>
            </w:pPr>
            <w:r w:rsidRPr="000422C2">
              <w:t xml:space="preserve">(a) </w:t>
            </w:r>
            <w:r w:rsidR="000974A8" w:rsidRPr="000422C2">
              <w:t>assisting with t</w:t>
            </w:r>
            <w:r w:rsidRPr="000422C2">
              <w:t>heir regulatory costs by refunding or remitting</w:t>
            </w:r>
            <w:r w:rsidR="000974A8" w:rsidRPr="000422C2">
              <w:t xml:space="preserve"> export registration charges; and</w:t>
            </w:r>
          </w:p>
          <w:p w:rsidR="000974A8" w:rsidRPr="000422C2" w:rsidRDefault="00AF487E" w:rsidP="00AF487E">
            <w:pPr>
              <w:pStyle w:val="Tablea"/>
            </w:pPr>
            <w:r w:rsidRPr="000422C2">
              <w:t xml:space="preserve">(b) </w:t>
            </w:r>
            <w:r w:rsidR="000974A8" w:rsidRPr="000422C2">
              <w:t>funding projects aimed at improving market access for small exporters.</w:t>
            </w:r>
          </w:p>
        </w:tc>
      </w:tr>
      <w:tr w:rsidR="00D76D99" w:rsidRPr="000422C2" w:rsidTr="00786143">
        <w:tc>
          <w:tcPr>
            <w:tcW w:w="714" w:type="dxa"/>
            <w:shd w:val="clear" w:color="auto" w:fill="auto"/>
            <w:hideMark/>
          </w:tcPr>
          <w:p w:rsidR="00D76D99" w:rsidRPr="000422C2" w:rsidRDefault="00D76D99" w:rsidP="00516CBE">
            <w:pPr>
              <w:pStyle w:val="Tabletext"/>
            </w:pPr>
            <w:r w:rsidRPr="000422C2">
              <w:t>2</w:t>
            </w:r>
            <w:r w:rsidR="00516CBE" w:rsidRPr="000422C2">
              <w:t>9</w:t>
            </w:r>
          </w:p>
        </w:tc>
        <w:tc>
          <w:tcPr>
            <w:tcW w:w="2115" w:type="dxa"/>
            <w:shd w:val="clear" w:color="auto" w:fill="auto"/>
            <w:hideMark/>
          </w:tcPr>
          <w:p w:rsidR="00D76D99" w:rsidRPr="000422C2" w:rsidRDefault="00516CBE" w:rsidP="00516CBE">
            <w:pPr>
              <w:pStyle w:val="Tabletext"/>
            </w:pPr>
            <w:r w:rsidRPr="000422C2">
              <w:t>Review of Invasive Marine Pests</w:t>
            </w:r>
          </w:p>
        </w:tc>
        <w:tc>
          <w:tcPr>
            <w:tcW w:w="4251" w:type="dxa"/>
            <w:shd w:val="clear" w:color="auto" w:fill="auto"/>
            <w:hideMark/>
          </w:tcPr>
          <w:p w:rsidR="00516CBE" w:rsidRPr="000422C2" w:rsidRDefault="00516CBE" w:rsidP="00516CBE">
            <w:pPr>
              <w:pStyle w:val="Tabletext"/>
            </w:pPr>
            <w:r w:rsidRPr="000422C2">
              <w:t>To fund the implementation of improved national maritime biosecurity arrangements</w:t>
            </w:r>
            <w:r w:rsidR="0057073A" w:rsidRPr="000422C2">
              <w:t>,</w:t>
            </w:r>
            <w:r w:rsidRPr="000422C2">
              <w:t xml:space="preserve"> including marine biosecurity measures with respect to:</w:t>
            </w:r>
          </w:p>
          <w:p w:rsidR="00516CBE" w:rsidRPr="000422C2" w:rsidRDefault="00516CBE" w:rsidP="00516CBE">
            <w:pPr>
              <w:pStyle w:val="Tablea"/>
            </w:pPr>
            <w:r w:rsidRPr="000422C2">
              <w:t>(a) international or interstate trade and commerce; and</w:t>
            </w:r>
          </w:p>
          <w:p w:rsidR="00D76D99" w:rsidRPr="000422C2" w:rsidRDefault="00516CBE" w:rsidP="00516CBE">
            <w:pPr>
              <w:pStyle w:val="Tablea"/>
            </w:pPr>
            <w:r w:rsidRPr="000422C2">
              <w:t>(b) quarantine.</w:t>
            </w:r>
          </w:p>
        </w:tc>
      </w:tr>
      <w:tr w:rsidR="00516CBE" w:rsidRPr="000422C2" w:rsidTr="00786143">
        <w:tc>
          <w:tcPr>
            <w:tcW w:w="714" w:type="dxa"/>
            <w:shd w:val="clear" w:color="auto" w:fill="auto"/>
            <w:hideMark/>
          </w:tcPr>
          <w:p w:rsidR="00516CBE" w:rsidRPr="000422C2" w:rsidRDefault="00516CBE" w:rsidP="00354A2E">
            <w:pPr>
              <w:pStyle w:val="Tabletext"/>
            </w:pPr>
            <w:r w:rsidRPr="000422C2">
              <w:t>30</w:t>
            </w:r>
          </w:p>
        </w:tc>
        <w:tc>
          <w:tcPr>
            <w:tcW w:w="2115" w:type="dxa"/>
            <w:shd w:val="clear" w:color="auto" w:fill="auto"/>
            <w:hideMark/>
          </w:tcPr>
          <w:p w:rsidR="00516CBE" w:rsidRPr="000422C2" w:rsidRDefault="00516CBE" w:rsidP="00516CBE">
            <w:pPr>
              <w:pStyle w:val="Tabletext"/>
            </w:pPr>
            <w:r w:rsidRPr="000422C2">
              <w:t>A Competitive and Sustainable Fisheries Sector</w:t>
            </w:r>
          </w:p>
        </w:tc>
        <w:tc>
          <w:tcPr>
            <w:tcW w:w="4251" w:type="dxa"/>
            <w:shd w:val="clear" w:color="auto" w:fill="auto"/>
            <w:hideMark/>
          </w:tcPr>
          <w:p w:rsidR="00516CBE" w:rsidRPr="000422C2" w:rsidRDefault="00516CBE" w:rsidP="00527A56">
            <w:pPr>
              <w:pStyle w:val="Tabletext"/>
            </w:pPr>
            <w:r w:rsidRPr="000422C2">
              <w:t>To provide support for national recreational and commercial fishing peak bodies for the development and promotion of sustainable fishing practices by giving effect to Australia</w:t>
            </w:r>
            <w:r w:rsidR="00527A56" w:rsidRPr="000422C2">
              <w:t>’</w:t>
            </w:r>
            <w:r w:rsidRPr="000422C2">
              <w:t>s international obligations for the conservation and sustainable use of biological diversity.</w:t>
            </w:r>
          </w:p>
        </w:tc>
      </w:tr>
      <w:tr w:rsidR="00516CBE" w:rsidRPr="000422C2" w:rsidTr="00786143">
        <w:tc>
          <w:tcPr>
            <w:tcW w:w="714" w:type="dxa"/>
            <w:shd w:val="clear" w:color="auto" w:fill="auto"/>
            <w:hideMark/>
          </w:tcPr>
          <w:p w:rsidR="00516CBE" w:rsidRPr="000422C2" w:rsidRDefault="00CC7F2A" w:rsidP="00354A2E">
            <w:pPr>
              <w:pStyle w:val="Tabletext"/>
            </w:pPr>
            <w:r w:rsidRPr="000422C2">
              <w:t>31</w:t>
            </w:r>
          </w:p>
        </w:tc>
        <w:tc>
          <w:tcPr>
            <w:tcW w:w="2115" w:type="dxa"/>
            <w:shd w:val="clear" w:color="auto" w:fill="auto"/>
            <w:hideMark/>
          </w:tcPr>
          <w:p w:rsidR="00516CBE" w:rsidRPr="000422C2" w:rsidRDefault="00CC7F2A" w:rsidP="00CC7F2A">
            <w:pPr>
              <w:pStyle w:val="Tabletext"/>
            </w:pPr>
            <w:r w:rsidRPr="000422C2">
              <w:t>Early Language Learning Australia Trial</w:t>
            </w:r>
          </w:p>
        </w:tc>
        <w:tc>
          <w:tcPr>
            <w:tcW w:w="4251" w:type="dxa"/>
            <w:shd w:val="clear" w:color="auto" w:fill="auto"/>
            <w:hideMark/>
          </w:tcPr>
          <w:p w:rsidR="00516CBE" w:rsidRPr="000422C2" w:rsidRDefault="00CC7F2A" w:rsidP="00CC7F2A">
            <w:pPr>
              <w:pStyle w:val="Tabletext"/>
            </w:pPr>
            <w:r w:rsidRPr="000422C2">
              <w:t>To deliver, through the use of online communication services, foreign language education to preschool students.</w:t>
            </w:r>
          </w:p>
        </w:tc>
      </w:tr>
      <w:tr w:rsidR="00516CBE" w:rsidRPr="000422C2" w:rsidTr="00786143">
        <w:tc>
          <w:tcPr>
            <w:tcW w:w="714" w:type="dxa"/>
            <w:shd w:val="clear" w:color="auto" w:fill="auto"/>
            <w:hideMark/>
          </w:tcPr>
          <w:p w:rsidR="00516CBE" w:rsidRPr="000422C2" w:rsidRDefault="00CC7F2A" w:rsidP="00354A2E">
            <w:pPr>
              <w:pStyle w:val="Tabletext"/>
            </w:pPr>
            <w:r w:rsidRPr="000422C2">
              <w:t>32</w:t>
            </w:r>
          </w:p>
        </w:tc>
        <w:tc>
          <w:tcPr>
            <w:tcW w:w="2115" w:type="dxa"/>
            <w:shd w:val="clear" w:color="auto" w:fill="auto"/>
            <w:hideMark/>
          </w:tcPr>
          <w:p w:rsidR="00516CBE" w:rsidRPr="000422C2" w:rsidRDefault="00CC7F2A" w:rsidP="00CC7F2A">
            <w:pPr>
              <w:pStyle w:val="Tabletext"/>
            </w:pPr>
            <w:r w:rsidRPr="000422C2">
              <w:t>Student Prizes Programme</w:t>
            </w:r>
          </w:p>
        </w:tc>
        <w:tc>
          <w:tcPr>
            <w:tcW w:w="4251" w:type="dxa"/>
            <w:shd w:val="clear" w:color="auto" w:fill="auto"/>
            <w:hideMark/>
          </w:tcPr>
          <w:p w:rsidR="00516CBE" w:rsidRPr="000422C2" w:rsidRDefault="00CC7F2A" w:rsidP="00CC7F2A">
            <w:pPr>
              <w:pStyle w:val="Tabletext"/>
            </w:pPr>
            <w:r w:rsidRPr="000422C2">
              <w:t>To benefit students by providing prizes to students for excellence in academic and vocational education.</w:t>
            </w:r>
          </w:p>
        </w:tc>
      </w:tr>
      <w:tr w:rsidR="00CC7F2A" w:rsidRPr="000422C2" w:rsidTr="00786143">
        <w:tc>
          <w:tcPr>
            <w:tcW w:w="714" w:type="dxa"/>
            <w:shd w:val="clear" w:color="auto" w:fill="auto"/>
            <w:hideMark/>
          </w:tcPr>
          <w:p w:rsidR="00CC7F2A" w:rsidRPr="000422C2" w:rsidRDefault="00695C5B" w:rsidP="00354A2E">
            <w:pPr>
              <w:pStyle w:val="Tabletext"/>
            </w:pPr>
            <w:r w:rsidRPr="000422C2">
              <w:t>3</w:t>
            </w:r>
            <w:r w:rsidR="00786143" w:rsidRPr="000422C2">
              <w:t>3</w:t>
            </w:r>
          </w:p>
        </w:tc>
        <w:tc>
          <w:tcPr>
            <w:tcW w:w="2115" w:type="dxa"/>
            <w:shd w:val="clear" w:color="auto" w:fill="auto"/>
            <w:hideMark/>
          </w:tcPr>
          <w:p w:rsidR="00CC7F2A" w:rsidRPr="000422C2" w:rsidRDefault="00323551" w:rsidP="00CC7F2A">
            <w:pPr>
              <w:pStyle w:val="Tabletext"/>
            </w:pPr>
            <w:r w:rsidRPr="000422C2">
              <w:t>Relocation Assistance to Take Up a</w:t>
            </w:r>
            <w:r w:rsidR="00CC7F2A" w:rsidRPr="000422C2">
              <w:t xml:space="preserve"> Job Programme</w:t>
            </w:r>
          </w:p>
        </w:tc>
        <w:tc>
          <w:tcPr>
            <w:tcW w:w="4251" w:type="dxa"/>
            <w:shd w:val="clear" w:color="auto" w:fill="auto"/>
            <w:hideMark/>
          </w:tcPr>
          <w:p w:rsidR="00CC7F2A" w:rsidRPr="000422C2" w:rsidRDefault="00CC7F2A" w:rsidP="00695C5B">
            <w:pPr>
              <w:pStyle w:val="Tabletext"/>
            </w:pPr>
            <w:r w:rsidRPr="000422C2">
              <w:t xml:space="preserve">To provide benefits to certain Newstart Allowance, Youth Allowance and Parenting Payment recipients, in the form of payments of financial assistance to </w:t>
            </w:r>
            <w:r w:rsidR="00695C5B" w:rsidRPr="000422C2">
              <w:t>enable them</w:t>
            </w:r>
            <w:r w:rsidRPr="000422C2">
              <w:t xml:space="preserve"> to relocate to other areas of Australia to take up employment.</w:t>
            </w:r>
          </w:p>
        </w:tc>
      </w:tr>
      <w:tr w:rsidR="00CC7F2A" w:rsidRPr="000422C2" w:rsidTr="00786143">
        <w:tc>
          <w:tcPr>
            <w:tcW w:w="714" w:type="dxa"/>
            <w:shd w:val="clear" w:color="auto" w:fill="auto"/>
            <w:hideMark/>
          </w:tcPr>
          <w:p w:rsidR="00CC7F2A" w:rsidRPr="000422C2" w:rsidRDefault="00786143" w:rsidP="00354A2E">
            <w:pPr>
              <w:pStyle w:val="Tabletext"/>
            </w:pPr>
            <w:r w:rsidRPr="000422C2">
              <w:t>34</w:t>
            </w:r>
          </w:p>
        </w:tc>
        <w:tc>
          <w:tcPr>
            <w:tcW w:w="2115" w:type="dxa"/>
            <w:shd w:val="clear" w:color="auto" w:fill="auto"/>
            <w:hideMark/>
          </w:tcPr>
          <w:p w:rsidR="00CC7F2A" w:rsidRPr="000422C2" w:rsidRDefault="00695C5B" w:rsidP="00695C5B">
            <w:pPr>
              <w:pStyle w:val="Tabletext"/>
            </w:pPr>
            <w:r w:rsidRPr="000422C2">
              <w:t>Work for the Dole</w:t>
            </w:r>
          </w:p>
        </w:tc>
        <w:tc>
          <w:tcPr>
            <w:tcW w:w="4251" w:type="dxa"/>
            <w:shd w:val="clear" w:color="auto" w:fill="auto"/>
            <w:hideMark/>
          </w:tcPr>
          <w:p w:rsidR="00695C5B" w:rsidRPr="000422C2" w:rsidRDefault="00695C5B" w:rsidP="00695C5B">
            <w:pPr>
              <w:pStyle w:val="Tabletext"/>
            </w:pPr>
            <w:r w:rsidRPr="000422C2">
              <w:t>To support the</w:t>
            </w:r>
            <w:r w:rsidR="000C4DFA" w:rsidRPr="000422C2">
              <w:t xml:space="preserve"> Job Services Australia program</w:t>
            </w:r>
            <w:r w:rsidRPr="000422C2">
              <w:t xml:space="preserve"> through:</w:t>
            </w:r>
          </w:p>
          <w:p w:rsidR="00CB4097" w:rsidRPr="000422C2" w:rsidRDefault="00CB4097" w:rsidP="00695C5B">
            <w:pPr>
              <w:pStyle w:val="Tablea"/>
            </w:pPr>
            <w:r w:rsidRPr="000422C2">
              <w:t xml:space="preserve">(a) providing benefits to unemployed persons by giving them the skills and attributes to meet the needs of prospective employers (including in circumstances where training in, or acquisition of, such skills and attributes is a condition of their receipt of payments under the </w:t>
            </w:r>
            <w:r w:rsidRPr="000422C2">
              <w:rPr>
                <w:i/>
              </w:rPr>
              <w:t>Social Security Act 1991</w:t>
            </w:r>
            <w:r w:rsidRPr="000422C2">
              <w:t>); and</w:t>
            </w:r>
          </w:p>
          <w:p w:rsidR="00695C5B" w:rsidRPr="000422C2" w:rsidRDefault="00CB4097" w:rsidP="00CB4097">
            <w:pPr>
              <w:pStyle w:val="Tablea"/>
            </w:pPr>
            <w:r w:rsidRPr="000422C2">
              <w:t>(b</w:t>
            </w:r>
            <w:r w:rsidR="00E22DEF" w:rsidRPr="000422C2">
              <w:t xml:space="preserve">) </w:t>
            </w:r>
            <w:r w:rsidRPr="000422C2">
              <w:t>providing technical and vocational guidance and training programs to enable persons to realise the right to work</w:t>
            </w:r>
            <w:r w:rsidR="00E22DEF" w:rsidRPr="000422C2">
              <w:t>; and</w:t>
            </w:r>
          </w:p>
          <w:p w:rsidR="00695C5B" w:rsidRPr="000422C2" w:rsidRDefault="00CB4097" w:rsidP="00CB4097">
            <w:pPr>
              <w:pStyle w:val="Tablea"/>
            </w:pPr>
            <w:r w:rsidRPr="000422C2">
              <w:t>(c</w:t>
            </w:r>
            <w:r w:rsidR="00E22DEF" w:rsidRPr="000422C2">
              <w:t xml:space="preserve">) </w:t>
            </w:r>
            <w:r w:rsidRPr="000422C2">
              <w:t>promoting</w:t>
            </w:r>
            <w:r w:rsidR="00695C5B" w:rsidRPr="000422C2">
              <w:t xml:space="preserve"> full productive and freely chosen employment</w:t>
            </w:r>
            <w:r w:rsidR="00E22DEF" w:rsidRPr="000422C2">
              <w:t>; and</w:t>
            </w:r>
          </w:p>
          <w:p w:rsidR="00CC7F2A" w:rsidRPr="000422C2" w:rsidRDefault="00CB4097" w:rsidP="00CB4097">
            <w:pPr>
              <w:pStyle w:val="Tablea"/>
            </w:pPr>
            <w:r w:rsidRPr="000422C2">
              <w:t>(d</w:t>
            </w:r>
            <w:r w:rsidR="00E22DEF" w:rsidRPr="000422C2">
              <w:t xml:space="preserve">) </w:t>
            </w:r>
            <w:r w:rsidRPr="000422C2">
              <w:t>providing</w:t>
            </w:r>
            <w:r w:rsidR="00695C5B" w:rsidRPr="000422C2">
              <w:t xml:space="preserve"> a free public employment service.</w:t>
            </w:r>
          </w:p>
        </w:tc>
      </w:tr>
      <w:tr w:rsidR="00695C5B" w:rsidRPr="000422C2" w:rsidTr="00786143">
        <w:tc>
          <w:tcPr>
            <w:tcW w:w="714" w:type="dxa"/>
            <w:shd w:val="clear" w:color="auto" w:fill="auto"/>
            <w:hideMark/>
          </w:tcPr>
          <w:p w:rsidR="00695C5B" w:rsidRPr="000422C2" w:rsidRDefault="00786143" w:rsidP="00354A2E">
            <w:pPr>
              <w:pStyle w:val="Tabletext"/>
            </w:pPr>
            <w:r w:rsidRPr="000422C2">
              <w:t>35</w:t>
            </w:r>
          </w:p>
        </w:tc>
        <w:tc>
          <w:tcPr>
            <w:tcW w:w="2115" w:type="dxa"/>
            <w:shd w:val="clear" w:color="auto" w:fill="auto"/>
            <w:hideMark/>
          </w:tcPr>
          <w:p w:rsidR="00695C5B" w:rsidRPr="000422C2" w:rsidRDefault="00354A2E" w:rsidP="00354A2E">
            <w:pPr>
              <w:pStyle w:val="Tabletext"/>
            </w:pPr>
            <w:r w:rsidRPr="000422C2">
              <w:t>Indigenous Advancement—Jobs, Land and Economy</w:t>
            </w:r>
          </w:p>
        </w:tc>
        <w:tc>
          <w:tcPr>
            <w:tcW w:w="4251" w:type="dxa"/>
            <w:shd w:val="clear" w:color="auto" w:fill="auto"/>
            <w:hideMark/>
          </w:tcPr>
          <w:p w:rsidR="00354A2E" w:rsidRPr="000422C2" w:rsidRDefault="00E80432" w:rsidP="00354A2E">
            <w:pPr>
              <w:pStyle w:val="Tabletext"/>
            </w:pPr>
            <w:r w:rsidRPr="000422C2">
              <w:t xml:space="preserve">1. </w:t>
            </w:r>
            <w:r w:rsidR="00354A2E" w:rsidRPr="000422C2">
              <w:t xml:space="preserve">The funding and provision of activities, assistance, infrastructure, research and services </w:t>
            </w:r>
            <w:r w:rsidR="004230B4" w:rsidRPr="000422C2">
              <w:t>that</w:t>
            </w:r>
            <w:r w:rsidR="00354A2E" w:rsidRPr="000422C2">
              <w:t xml:space="preserve"> promote jobs and economic opportunities for Indigenous persons, families, entities and communities or assist them to gain rights and interests in, or derive e</w:t>
            </w:r>
            <w:r w:rsidR="00927FB9" w:rsidRPr="000422C2">
              <w:t>conomic or social benefits from</w:t>
            </w:r>
            <w:r w:rsidR="00354A2E" w:rsidRPr="000422C2">
              <w:t xml:space="preserve"> the use of land and sea, including by:</w:t>
            </w:r>
          </w:p>
          <w:p w:rsidR="00354A2E" w:rsidRPr="000422C2" w:rsidRDefault="00354A2E" w:rsidP="00354A2E">
            <w:pPr>
              <w:pStyle w:val="Tablea"/>
            </w:pPr>
            <w:r w:rsidRPr="000422C2">
              <w:t xml:space="preserve">(a) promoting economic and social participation, fostering entrepreneurship and supporting economic, community and business development and opportunities; </w:t>
            </w:r>
            <w:r w:rsidR="002C4121" w:rsidRPr="000422C2">
              <w:t>or</w:t>
            </w:r>
          </w:p>
          <w:p w:rsidR="00354A2E" w:rsidRPr="000422C2" w:rsidRDefault="00354A2E" w:rsidP="00354A2E">
            <w:pPr>
              <w:pStyle w:val="Tablea"/>
            </w:pPr>
            <w:r w:rsidRPr="000422C2">
              <w:t>(b) providing training, employment and employment</w:t>
            </w:r>
            <w:r w:rsidR="000422C2">
              <w:noBreakHyphen/>
            </w:r>
            <w:r w:rsidRPr="000422C2">
              <w:t xml:space="preserve">related opportunities and support; </w:t>
            </w:r>
            <w:r w:rsidR="002C4121" w:rsidRPr="000422C2">
              <w:t>or</w:t>
            </w:r>
          </w:p>
          <w:p w:rsidR="00354A2E" w:rsidRPr="000422C2" w:rsidRDefault="00354A2E" w:rsidP="00354A2E">
            <w:pPr>
              <w:pStyle w:val="Tablea"/>
            </w:pPr>
            <w:r w:rsidRPr="000422C2">
              <w:t xml:space="preserve">(c) promoting the development of workforce skills and career pathways; </w:t>
            </w:r>
            <w:r w:rsidR="002C4121" w:rsidRPr="000422C2">
              <w:t>or</w:t>
            </w:r>
          </w:p>
          <w:p w:rsidR="00354A2E" w:rsidRPr="000422C2" w:rsidRDefault="00354A2E" w:rsidP="00354A2E">
            <w:pPr>
              <w:pStyle w:val="Tablea"/>
            </w:pPr>
            <w:r w:rsidRPr="000422C2">
              <w:t xml:space="preserve">(d) promoting access to vocational and higher education and training; </w:t>
            </w:r>
            <w:r w:rsidR="002C4121" w:rsidRPr="000422C2">
              <w:t>or</w:t>
            </w:r>
          </w:p>
          <w:p w:rsidR="00354A2E" w:rsidRPr="000422C2" w:rsidRDefault="00354A2E" w:rsidP="00354A2E">
            <w:pPr>
              <w:pStyle w:val="Tablea"/>
            </w:pPr>
            <w:r w:rsidRPr="000422C2">
              <w:t xml:space="preserve">(e) supporting entities which engage or assist jobseekers and people preparing to enter the labour market; </w:t>
            </w:r>
            <w:r w:rsidR="002C4121" w:rsidRPr="000422C2">
              <w:t>or</w:t>
            </w:r>
          </w:p>
          <w:p w:rsidR="00354A2E" w:rsidRPr="000422C2" w:rsidRDefault="00354A2E" w:rsidP="00354A2E">
            <w:pPr>
              <w:pStyle w:val="Tablea"/>
            </w:pPr>
            <w:r w:rsidRPr="000422C2">
              <w:t xml:space="preserve">(f) promoting and supporting land and sea use, development, protection and management; </w:t>
            </w:r>
            <w:r w:rsidR="002C4121" w:rsidRPr="000422C2">
              <w:t>or</w:t>
            </w:r>
          </w:p>
          <w:p w:rsidR="00354A2E" w:rsidRPr="000422C2" w:rsidRDefault="00354A2E" w:rsidP="00354A2E">
            <w:pPr>
              <w:pStyle w:val="Tablea"/>
            </w:pPr>
            <w:r w:rsidRPr="000422C2">
              <w:t xml:space="preserve">(g) supporting the pursuit and exercise of native title rights; </w:t>
            </w:r>
            <w:r w:rsidR="002C4121" w:rsidRPr="000422C2">
              <w:t>or</w:t>
            </w:r>
          </w:p>
          <w:p w:rsidR="00354A2E" w:rsidRPr="000422C2" w:rsidRDefault="00354A2E" w:rsidP="00354A2E">
            <w:pPr>
              <w:pStyle w:val="Tablea"/>
            </w:pPr>
            <w:r w:rsidRPr="000422C2">
              <w:t>(h) supporting access for Indigenous persons, families, entities and communities to affordable, safe and sustainable accommodation, housing and housing amenity.</w:t>
            </w:r>
          </w:p>
          <w:p w:rsidR="00E80432" w:rsidRPr="000422C2" w:rsidRDefault="00E80432" w:rsidP="00E80432">
            <w:pPr>
              <w:pStyle w:val="Tabletext"/>
            </w:pPr>
            <w:r w:rsidRPr="000422C2">
              <w:t xml:space="preserve">2. The funding and provision of activities, assistance, infrastructure, research and services for remote Australia </w:t>
            </w:r>
            <w:r w:rsidR="005C0128" w:rsidRPr="000422C2">
              <w:t>to do one or more of the following</w:t>
            </w:r>
            <w:r w:rsidRPr="000422C2">
              <w:t>:</w:t>
            </w:r>
          </w:p>
          <w:p w:rsidR="00E80432" w:rsidRPr="000422C2" w:rsidRDefault="00E80432" w:rsidP="00E80432">
            <w:pPr>
              <w:pStyle w:val="Tablea"/>
            </w:pPr>
            <w:r w:rsidRPr="000422C2">
              <w:t>(a) create a</w:t>
            </w:r>
            <w:r w:rsidR="005C0128" w:rsidRPr="000422C2">
              <w:t>nd sustain jobs and employment;</w:t>
            </w:r>
          </w:p>
          <w:p w:rsidR="00E80432" w:rsidRPr="000422C2" w:rsidRDefault="00E80432" w:rsidP="00E80432">
            <w:pPr>
              <w:pStyle w:val="Tablea"/>
            </w:pPr>
            <w:r w:rsidRPr="000422C2">
              <w:t>(b) support employer engagement and comm</w:t>
            </w:r>
            <w:r w:rsidR="005C0128" w:rsidRPr="000422C2">
              <w:t>unity and economic development;</w:t>
            </w:r>
          </w:p>
          <w:p w:rsidR="00E80432" w:rsidRPr="000422C2" w:rsidRDefault="00E80432" w:rsidP="00E80432">
            <w:pPr>
              <w:pStyle w:val="Tablea"/>
            </w:pPr>
            <w:r w:rsidRPr="000422C2">
              <w:t>(c) create sustainable communities and support sustainable soc</w:t>
            </w:r>
            <w:r w:rsidR="005C0128" w:rsidRPr="000422C2">
              <w:t>ial and economic participation;</w:t>
            </w:r>
          </w:p>
          <w:p w:rsidR="00E80432" w:rsidRPr="000422C2" w:rsidRDefault="00E80432" w:rsidP="00E80432">
            <w:pPr>
              <w:pStyle w:val="Tablea"/>
            </w:pPr>
            <w:r w:rsidRPr="000422C2">
              <w:t>(d) facilitate transition to work and provide work experience a</w:t>
            </w:r>
            <w:r w:rsidR="005C0128" w:rsidRPr="000422C2">
              <w:t>nd participation opportunities;</w:t>
            </w:r>
          </w:p>
          <w:p w:rsidR="00E80432" w:rsidRPr="000422C2" w:rsidRDefault="00E80432" w:rsidP="00E80432">
            <w:pPr>
              <w:pStyle w:val="Tablea"/>
            </w:pPr>
            <w:r w:rsidRPr="000422C2">
              <w:t>(e) assist with the development of skills and improve work readiness, employability and the capacity of persons to participate in the economy;</w:t>
            </w:r>
          </w:p>
          <w:p w:rsidR="00E80432" w:rsidRPr="000422C2" w:rsidRDefault="00E80432" w:rsidP="00E80432">
            <w:pPr>
              <w:pStyle w:val="Tabletext"/>
            </w:pPr>
            <w:r w:rsidRPr="000422C2">
              <w:t xml:space="preserve">where </w:t>
            </w:r>
            <w:r w:rsidRPr="000422C2">
              <w:rPr>
                <w:rFonts w:eastAsiaTheme="minorHAnsi"/>
              </w:rPr>
              <w:t>the activities, assistance, infrastructure, research and services</w:t>
            </w:r>
            <w:r w:rsidRPr="000422C2">
              <w:t>:</w:t>
            </w:r>
          </w:p>
          <w:p w:rsidR="00E80432" w:rsidRPr="000422C2" w:rsidRDefault="00E80432" w:rsidP="00E80432">
            <w:pPr>
              <w:pStyle w:val="Tablea"/>
              <w:rPr>
                <w:rFonts w:eastAsiaTheme="minorHAnsi"/>
              </w:rPr>
            </w:pPr>
            <w:r w:rsidRPr="000422C2">
              <w:rPr>
                <w:rFonts w:eastAsiaTheme="minorHAnsi"/>
              </w:rPr>
              <w:t>(f) are the provision of, or incidental to the provision of, unemployment benefits (within the meaning of paragraph</w:t>
            </w:r>
            <w:r w:rsidR="000422C2" w:rsidRPr="000422C2">
              <w:rPr>
                <w:rFonts w:eastAsiaTheme="minorHAnsi"/>
              </w:rPr>
              <w:t> </w:t>
            </w:r>
            <w:r w:rsidRPr="000422C2">
              <w:rPr>
                <w:rFonts w:eastAsiaTheme="minorHAnsi"/>
              </w:rPr>
              <w:t>51(xxiiiA) of the Constitution); or</w:t>
            </w:r>
          </w:p>
          <w:p w:rsidR="00E80432" w:rsidRPr="000422C2" w:rsidRDefault="00E80432" w:rsidP="00E80432">
            <w:pPr>
              <w:pStyle w:val="Tablea"/>
              <w:rPr>
                <w:rFonts w:eastAsiaTheme="minorHAnsi"/>
              </w:rPr>
            </w:pPr>
            <w:r w:rsidRPr="000422C2">
              <w:rPr>
                <w:rFonts w:eastAsiaTheme="minorHAnsi"/>
              </w:rPr>
              <w:t>(g) are the provision of, or incidental to the provision of, benefits to students (within the meaning of paragraph</w:t>
            </w:r>
            <w:r w:rsidR="000422C2" w:rsidRPr="000422C2">
              <w:rPr>
                <w:rFonts w:eastAsiaTheme="minorHAnsi"/>
              </w:rPr>
              <w:t> </w:t>
            </w:r>
            <w:r w:rsidRPr="000422C2">
              <w:rPr>
                <w:rFonts w:eastAsiaTheme="minorHAnsi"/>
              </w:rPr>
              <w:t>51(xxiiiA) of the Constitution); or</w:t>
            </w:r>
          </w:p>
          <w:p w:rsidR="00E80432" w:rsidRPr="000422C2" w:rsidRDefault="00E80432" w:rsidP="00E80432">
            <w:pPr>
              <w:pStyle w:val="Tablea"/>
              <w:rPr>
                <w:rFonts w:eastAsiaTheme="minorHAnsi"/>
              </w:rPr>
            </w:pPr>
            <w:r w:rsidRPr="000422C2">
              <w:rPr>
                <w:rFonts w:eastAsiaTheme="minorHAnsi"/>
              </w:rPr>
              <w:t>(h) are the provision of such activities, assistance, infrastructure, research or services in a Territory; or</w:t>
            </w:r>
          </w:p>
          <w:p w:rsidR="00E80432" w:rsidRPr="000422C2" w:rsidRDefault="00E80432" w:rsidP="00E80432">
            <w:pPr>
              <w:pStyle w:val="Tablea"/>
              <w:rPr>
                <w:rFonts w:eastAsiaTheme="minorHAnsi"/>
              </w:rPr>
            </w:pPr>
            <w:r w:rsidRPr="000422C2">
              <w:rPr>
                <w:rFonts w:eastAsiaTheme="minorHAnsi"/>
              </w:rPr>
              <w:t>(i) are provided by way of grants of financial assistance to States and Territories; or</w:t>
            </w:r>
          </w:p>
          <w:p w:rsidR="00E80432" w:rsidRPr="000422C2" w:rsidRDefault="00E80432" w:rsidP="00E80432">
            <w:pPr>
              <w:pStyle w:val="Tablea"/>
              <w:rPr>
                <w:rFonts w:eastAsiaTheme="minorHAnsi"/>
              </w:rPr>
            </w:pPr>
            <w:r w:rsidRPr="000422C2">
              <w:rPr>
                <w:rFonts w:eastAsiaTheme="minorHAnsi"/>
              </w:rPr>
              <w:t>(j) are provided to a trading, financial or foreign corporation to which paragraph</w:t>
            </w:r>
            <w:r w:rsidR="000422C2" w:rsidRPr="000422C2">
              <w:rPr>
                <w:rFonts w:eastAsiaTheme="minorHAnsi"/>
              </w:rPr>
              <w:t> </w:t>
            </w:r>
            <w:r w:rsidRPr="000422C2">
              <w:rPr>
                <w:rFonts w:eastAsiaTheme="minorHAnsi"/>
              </w:rPr>
              <w:t>51(xx) of the Constitution applies in relation to the existing activities of the corporation; or</w:t>
            </w:r>
          </w:p>
          <w:p w:rsidR="00E80432" w:rsidRPr="000422C2" w:rsidRDefault="00E80432" w:rsidP="00E80432">
            <w:pPr>
              <w:pStyle w:val="Tablea"/>
              <w:rPr>
                <w:rFonts w:eastAsiaTheme="minorHAnsi"/>
              </w:rPr>
            </w:pPr>
            <w:r w:rsidRPr="000422C2">
              <w:rPr>
                <w:rFonts w:eastAsiaTheme="minorHAnsi"/>
              </w:rPr>
              <w:t>(k) would assist Australia to meet its international obligations</w:t>
            </w:r>
            <w:r w:rsidR="0057073A" w:rsidRPr="000422C2">
              <w:rPr>
                <w:rFonts w:eastAsiaTheme="minorHAnsi"/>
              </w:rPr>
              <w:t>,</w:t>
            </w:r>
            <w:r w:rsidRPr="000422C2">
              <w:rPr>
                <w:rFonts w:eastAsiaTheme="minorHAnsi"/>
              </w:rPr>
              <w:t xml:space="preserve"> including its obligations under the Convention on the Rights of the Child (particularly </w:t>
            </w:r>
            <w:r w:rsidR="00927FB9" w:rsidRPr="000422C2">
              <w:rPr>
                <w:rFonts w:eastAsiaTheme="minorHAnsi"/>
              </w:rPr>
              <w:t>paragraph</w:t>
            </w:r>
            <w:r w:rsidR="000422C2" w:rsidRPr="000422C2">
              <w:rPr>
                <w:rFonts w:eastAsiaTheme="minorHAnsi"/>
              </w:rPr>
              <w:t> </w:t>
            </w:r>
            <w:r w:rsidR="00927FB9" w:rsidRPr="000422C2">
              <w:rPr>
                <w:rFonts w:eastAsiaTheme="minorHAnsi"/>
              </w:rPr>
              <w:t>1 of a</w:t>
            </w:r>
            <w:r w:rsidRPr="000422C2">
              <w:rPr>
                <w:rFonts w:eastAsiaTheme="minorHAnsi"/>
              </w:rPr>
              <w:t>rt</w:t>
            </w:r>
            <w:r w:rsidR="00323551" w:rsidRPr="000422C2">
              <w:rPr>
                <w:rFonts w:eastAsiaTheme="minorHAnsi"/>
              </w:rPr>
              <w:t>icle</w:t>
            </w:r>
            <w:r w:rsidRPr="000422C2">
              <w:rPr>
                <w:rFonts w:eastAsiaTheme="minorHAnsi"/>
              </w:rPr>
              <w:t xml:space="preserve"> 28 of the Convention); or</w:t>
            </w:r>
          </w:p>
          <w:p w:rsidR="00E80432" w:rsidRPr="000422C2" w:rsidRDefault="00E80432" w:rsidP="00E80432">
            <w:pPr>
              <w:pStyle w:val="Tablea"/>
              <w:rPr>
                <w:rFonts w:eastAsiaTheme="minorHAnsi"/>
              </w:rPr>
            </w:pPr>
            <w:r w:rsidRPr="000422C2">
              <w:rPr>
                <w:rFonts w:eastAsiaTheme="minorHAnsi"/>
              </w:rPr>
              <w:t>(l) are done in the exercise of the executive power of the Commonwealth; or</w:t>
            </w:r>
          </w:p>
          <w:p w:rsidR="00E80432" w:rsidRPr="000422C2" w:rsidRDefault="00E80432" w:rsidP="00354A2E">
            <w:pPr>
              <w:pStyle w:val="Tablea"/>
              <w:rPr>
                <w:rFonts w:eastAsiaTheme="minorHAnsi"/>
              </w:rPr>
            </w:pPr>
            <w:r w:rsidRPr="000422C2">
              <w:rPr>
                <w:rFonts w:eastAsiaTheme="minorHAnsi"/>
              </w:rPr>
              <w:t>(m) are otherwise</w:t>
            </w:r>
            <w:r w:rsidR="00A72567" w:rsidRPr="000422C2">
              <w:rPr>
                <w:rFonts w:eastAsiaTheme="minorHAnsi"/>
              </w:rPr>
              <w:t xml:space="preserve"> for the benefit of the nation.</w:t>
            </w:r>
          </w:p>
        </w:tc>
      </w:tr>
      <w:tr w:rsidR="00A06381" w:rsidRPr="000422C2" w:rsidTr="00786143">
        <w:tc>
          <w:tcPr>
            <w:tcW w:w="714" w:type="dxa"/>
            <w:shd w:val="clear" w:color="auto" w:fill="auto"/>
            <w:hideMark/>
          </w:tcPr>
          <w:p w:rsidR="00A06381" w:rsidRPr="000422C2" w:rsidRDefault="00786143" w:rsidP="00354A2E">
            <w:pPr>
              <w:pStyle w:val="Tabletext"/>
            </w:pPr>
            <w:r w:rsidRPr="000422C2">
              <w:t>36</w:t>
            </w:r>
          </w:p>
        </w:tc>
        <w:tc>
          <w:tcPr>
            <w:tcW w:w="2115" w:type="dxa"/>
            <w:shd w:val="clear" w:color="auto" w:fill="auto"/>
            <w:hideMark/>
          </w:tcPr>
          <w:p w:rsidR="00A06381" w:rsidRPr="000422C2" w:rsidRDefault="00EE5411" w:rsidP="00EE5411">
            <w:pPr>
              <w:pStyle w:val="Tabletext"/>
            </w:pPr>
            <w:r w:rsidRPr="000422C2">
              <w:t>Indigenous Advancement—Children and Schooling</w:t>
            </w:r>
          </w:p>
        </w:tc>
        <w:tc>
          <w:tcPr>
            <w:tcW w:w="4251" w:type="dxa"/>
            <w:shd w:val="clear" w:color="auto" w:fill="auto"/>
            <w:hideMark/>
          </w:tcPr>
          <w:p w:rsidR="00EE5411" w:rsidRPr="000422C2" w:rsidRDefault="00E80432" w:rsidP="00EE5411">
            <w:pPr>
              <w:pStyle w:val="Tabletext"/>
            </w:pPr>
            <w:r w:rsidRPr="000422C2">
              <w:t xml:space="preserve">1. </w:t>
            </w:r>
            <w:r w:rsidR="00EE5411" w:rsidRPr="000422C2">
              <w:t xml:space="preserve">The funding and provision of activities, assistance, infrastructure, research and services </w:t>
            </w:r>
            <w:r w:rsidR="004230B4" w:rsidRPr="000422C2">
              <w:t>that</w:t>
            </w:r>
            <w:r w:rsidR="00EE5411" w:rsidRPr="000422C2">
              <w:t xml:space="preserve"> assist in</w:t>
            </w:r>
            <w:r w:rsidR="005C0128" w:rsidRPr="000422C2">
              <w:t xml:space="preserve"> one or more of the following</w:t>
            </w:r>
            <w:r w:rsidR="00EE5411" w:rsidRPr="000422C2">
              <w:t>:</w:t>
            </w:r>
          </w:p>
          <w:p w:rsidR="00EE5411" w:rsidRPr="000422C2" w:rsidRDefault="00EE5411" w:rsidP="00EE5411">
            <w:pPr>
              <w:pStyle w:val="Tablea"/>
            </w:pPr>
            <w:r w:rsidRPr="000422C2">
              <w:t>(a) giving Indigenou</w:t>
            </w:r>
            <w:r w:rsidR="005C0128" w:rsidRPr="000422C2">
              <w:t>s persons a good start in life;</w:t>
            </w:r>
          </w:p>
          <w:p w:rsidR="00EE5411" w:rsidRPr="000422C2" w:rsidRDefault="00EE5411" w:rsidP="00EE5411">
            <w:pPr>
              <w:pStyle w:val="Tablea"/>
            </w:pPr>
            <w:r w:rsidRPr="000422C2">
              <w:t>(b) improving schooling and school att</w:t>
            </w:r>
            <w:r w:rsidR="005C0128" w:rsidRPr="000422C2">
              <w:t>endance for Indigenous persons;</w:t>
            </w:r>
          </w:p>
          <w:p w:rsidR="00EE5411" w:rsidRPr="000422C2" w:rsidRDefault="00EE5411" w:rsidP="00EE5411">
            <w:pPr>
              <w:pStyle w:val="Tablea"/>
            </w:pPr>
            <w:r w:rsidRPr="000422C2">
              <w:t>(c) providing better access to developmental and educational opportunities f</w:t>
            </w:r>
            <w:r w:rsidR="00E80432" w:rsidRPr="000422C2">
              <w:t>or Indigenous persons</w:t>
            </w:r>
            <w:r w:rsidR="001A552A" w:rsidRPr="000422C2">
              <w:t>;</w:t>
            </w:r>
          </w:p>
          <w:p w:rsidR="00E80432" w:rsidRPr="000422C2" w:rsidRDefault="00E80432" w:rsidP="00E80432">
            <w:pPr>
              <w:pStyle w:val="Tabletext"/>
            </w:pPr>
            <w:r w:rsidRPr="000422C2">
              <w:t>including by:</w:t>
            </w:r>
          </w:p>
          <w:p w:rsidR="00EE5411" w:rsidRPr="000422C2" w:rsidRDefault="00E80432" w:rsidP="00E80432">
            <w:pPr>
              <w:pStyle w:val="Tablea"/>
            </w:pPr>
            <w:r w:rsidRPr="000422C2">
              <w:t>(d</w:t>
            </w:r>
            <w:r w:rsidR="00EE5411" w:rsidRPr="000422C2">
              <w:t xml:space="preserve">) assisting with pre and post natal education and support, access to childcare and educational resources and other support for Indigenous children and their families, carers and communities; </w:t>
            </w:r>
            <w:r w:rsidR="002C4121" w:rsidRPr="000422C2">
              <w:t>or</w:t>
            </w:r>
          </w:p>
          <w:p w:rsidR="00EE5411" w:rsidRPr="000422C2" w:rsidRDefault="00E80432" w:rsidP="00E80432">
            <w:pPr>
              <w:pStyle w:val="Tablea"/>
            </w:pPr>
            <w:r w:rsidRPr="000422C2">
              <w:t>(e</w:t>
            </w:r>
            <w:r w:rsidR="00EE5411" w:rsidRPr="000422C2">
              <w:t xml:space="preserve">) promoting positive development, school attendance, engagement, literacy and numeracy and educational attainment for Indigenous persons; </w:t>
            </w:r>
            <w:r w:rsidR="002C4121" w:rsidRPr="000422C2">
              <w:t>or</w:t>
            </w:r>
          </w:p>
          <w:p w:rsidR="00EE5411" w:rsidRPr="000422C2" w:rsidRDefault="00E80432" w:rsidP="00E80432">
            <w:pPr>
              <w:pStyle w:val="Tablea"/>
            </w:pPr>
            <w:r w:rsidRPr="000422C2">
              <w:t>(f</w:t>
            </w:r>
            <w:r w:rsidR="00EE5411" w:rsidRPr="000422C2">
              <w:t xml:space="preserve">) assisting with the transition to work or vocational or higher education for Indigenous persons; </w:t>
            </w:r>
            <w:r w:rsidR="002C4121" w:rsidRPr="000422C2">
              <w:t>or</w:t>
            </w:r>
          </w:p>
          <w:p w:rsidR="00A06381" w:rsidRPr="000422C2" w:rsidRDefault="00E80432" w:rsidP="00E80432">
            <w:pPr>
              <w:pStyle w:val="Tablea"/>
            </w:pPr>
            <w:r w:rsidRPr="000422C2">
              <w:t>(g</w:t>
            </w:r>
            <w:r w:rsidR="00EE5411" w:rsidRPr="000422C2">
              <w:t>) supporting access to education, including</w:t>
            </w:r>
            <w:r w:rsidR="00F243E1" w:rsidRPr="000422C2">
              <w:t xml:space="preserve"> vocational or higher education</w:t>
            </w:r>
            <w:r w:rsidR="00EE5411" w:rsidRPr="000422C2">
              <w:t xml:space="preserve"> and </w:t>
            </w:r>
            <w:r w:rsidR="00F243E1" w:rsidRPr="000422C2">
              <w:t xml:space="preserve">to </w:t>
            </w:r>
            <w:r w:rsidR="00EE5411" w:rsidRPr="000422C2">
              <w:t>improved quality of education, educational opportunities and resources for Indigenous persons.</w:t>
            </w:r>
          </w:p>
          <w:p w:rsidR="00E80432" w:rsidRPr="000422C2" w:rsidRDefault="00E80432" w:rsidP="00E80432">
            <w:pPr>
              <w:pStyle w:val="Tabletext"/>
            </w:pPr>
            <w:r w:rsidRPr="000422C2">
              <w:t xml:space="preserve">2. The funding and provision of activities, assistance, infrastructure, research and services in remote Australia </w:t>
            </w:r>
            <w:r w:rsidR="009824B1" w:rsidRPr="000422C2">
              <w:t>to do one or more of the following</w:t>
            </w:r>
            <w:r w:rsidRPr="000422C2">
              <w:t>:</w:t>
            </w:r>
          </w:p>
          <w:p w:rsidR="00E80432" w:rsidRPr="000422C2" w:rsidRDefault="00E80432" w:rsidP="00E80432">
            <w:pPr>
              <w:pStyle w:val="Tablea"/>
            </w:pPr>
            <w:r w:rsidRPr="000422C2">
              <w:t>(a</w:t>
            </w:r>
            <w:r w:rsidR="009824B1" w:rsidRPr="000422C2">
              <w:t>) promote positive development;</w:t>
            </w:r>
          </w:p>
          <w:p w:rsidR="00E80432" w:rsidRPr="000422C2" w:rsidRDefault="00E80432" w:rsidP="00E80432">
            <w:pPr>
              <w:pStyle w:val="Tablea"/>
            </w:pPr>
            <w:r w:rsidRPr="000422C2">
              <w:t>(b) improve schooling and school attendance, engagement, literacy and numeracy and educational att</w:t>
            </w:r>
            <w:r w:rsidR="009824B1" w:rsidRPr="000422C2">
              <w:t>ainment for children and youth;</w:t>
            </w:r>
          </w:p>
          <w:p w:rsidR="00E80432" w:rsidRPr="000422C2" w:rsidRDefault="00E80432" w:rsidP="00E80432">
            <w:pPr>
              <w:pStyle w:val="Tablea"/>
            </w:pPr>
            <w:r w:rsidRPr="000422C2">
              <w:t>(c) assist children and youth with their transition to work or vocational or higher education;</w:t>
            </w:r>
          </w:p>
          <w:p w:rsidR="00E80432" w:rsidRPr="000422C2" w:rsidRDefault="00E80432" w:rsidP="00E80432">
            <w:pPr>
              <w:pStyle w:val="Tabletext"/>
            </w:pPr>
            <w:r w:rsidRPr="000422C2">
              <w:t xml:space="preserve">where </w:t>
            </w:r>
            <w:r w:rsidRPr="000422C2">
              <w:rPr>
                <w:rFonts w:eastAsiaTheme="minorHAnsi"/>
              </w:rPr>
              <w:t>the activities, assistance, infrastructure, research and services</w:t>
            </w:r>
            <w:r w:rsidRPr="000422C2">
              <w:t>:</w:t>
            </w:r>
          </w:p>
          <w:p w:rsidR="00E80432" w:rsidRPr="000422C2" w:rsidRDefault="00E80432" w:rsidP="00E80432">
            <w:pPr>
              <w:pStyle w:val="Tablea"/>
              <w:rPr>
                <w:rFonts w:eastAsiaTheme="minorHAnsi"/>
              </w:rPr>
            </w:pPr>
            <w:r w:rsidRPr="000422C2">
              <w:rPr>
                <w:rFonts w:eastAsiaTheme="minorHAnsi"/>
              </w:rPr>
              <w:t>(d) are the provision of, or incidental to the provision of, unemployment benefits (within the meaning of paragraph</w:t>
            </w:r>
            <w:r w:rsidR="000422C2" w:rsidRPr="000422C2">
              <w:rPr>
                <w:rFonts w:eastAsiaTheme="minorHAnsi"/>
              </w:rPr>
              <w:t> </w:t>
            </w:r>
            <w:r w:rsidRPr="000422C2">
              <w:rPr>
                <w:rFonts w:eastAsiaTheme="minorHAnsi"/>
              </w:rPr>
              <w:t>51(xxiiiA) of the Constitution); or</w:t>
            </w:r>
          </w:p>
          <w:p w:rsidR="00E80432" w:rsidRPr="000422C2" w:rsidRDefault="00E80432" w:rsidP="00E80432">
            <w:pPr>
              <w:pStyle w:val="Tablea"/>
              <w:rPr>
                <w:rFonts w:eastAsiaTheme="minorHAnsi"/>
              </w:rPr>
            </w:pPr>
            <w:r w:rsidRPr="000422C2">
              <w:rPr>
                <w:rFonts w:eastAsiaTheme="minorHAnsi"/>
              </w:rPr>
              <w:t>(e) are the provision of, or incidental to the provision of, benefits to students (within the meaning of paragraph</w:t>
            </w:r>
            <w:r w:rsidR="000422C2" w:rsidRPr="000422C2">
              <w:rPr>
                <w:rFonts w:eastAsiaTheme="minorHAnsi"/>
              </w:rPr>
              <w:t> </w:t>
            </w:r>
            <w:r w:rsidRPr="000422C2">
              <w:rPr>
                <w:rFonts w:eastAsiaTheme="minorHAnsi"/>
              </w:rPr>
              <w:t>51(xxiiiA) of the Constitution); or</w:t>
            </w:r>
          </w:p>
          <w:p w:rsidR="00E80432" w:rsidRPr="000422C2" w:rsidRDefault="00E80432" w:rsidP="00E80432">
            <w:pPr>
              <w:pStyle w:val="Tablea"/>
              <w:rPr>
                <w:rFonts w:eastAsiaTheme="minorHAnsi"/>
              </w:rPr>
            </w:pPr>
            <w:r w:rsidRPr="000422C2">
              <w:rPr>
                <w:rFonts w:eastAsiaTheme="minorHAnsi"/>
              </w:rPr>
              <w:t>(f) are the provision of such activities, assistance, infrastructure, research or services in a Territory; or</w:t>
            </w:r>
          </w:p>
          <w:p w:rsidR="00E80432" w:rsidRPr="000422C2" w:rsidRDefault="00E80432" w:rsidP="00E80432">
            <w:pPr>
              <w:pStyle w:val="Tablea"/>
              <w:rPr>
                <w:rFonts w:eastAsiaTheme="minorHAnsi"/>
              </w:rPr>
            </w:pPr>
            <w:r w:rsidRPr="000422C2">
              <w:rPr>
                <w:rFonts w:eastAsiaTheme="minorHAnsi"/>
              </w:rPr>
              <w:t>(g) are provided by way of grants of financial assistance to States and Territories; or</w:t>
            </w:r>
          </w:p>
          <w:p w:rsidR="00E80432" w:rsidRPr="000422C2" w:rsidRDefault="00E80432" w:rsidP="00E80432">
            <w:pPr>
              <w:pStyle w:val="Tablea"/>
              <w:rPr>
                <w:rFonts w:eastAsiaTheme="minorHAnsi"/>
              </w:rPr>
            </w:pPr>
            <w:r w:rsidRPr="000422C2">
              <w:rPr>
                <w:rFonts w:eastAsiaTheme="minorHAnsi"/>
              </w:rPr>
              <w:t>(h) are provided to a trading, financial or foreign corporation to which paragraph</w:t>
            </w:r>
            <w:r w:rsidR="000422C2" w:rsidRPr="000422C2">
              <w:rPr>
                <w:rFonts w:eastAsiaTheme="minorHAnsi"/>
              </w:rPr>
              <w:t> </w:t>
            </w:r>
            <w:r w:rsidRPr="000422C2">
              <w:rPr>
                <w:rFonts w:eastAsiaTheme="minorHAnsi"/>
              </w:rPr>
              <w:t>51(xx) of the Constitution applies in relation to the existing activities of the corporation; or</w:t>
            </w:r>
          </w:p>
          <w:p w:rsidR="00E80432" w:rsidRPr="000422C2" w:rsidRDefault="00E80432" w:rsidP="00E80432">
            <w:pPr>
              <w:pStyle w:val="Tablea"/>
              <w:rPr>
                <w:rFonts w:eastAsiaTheme="minorHAnsi"/>
              </w:rPr>
            </w:pPr>
            <w:r w:rsidRPr="000422C2">
              <w:rPr>
                <w:rFonts w:eastAsiaTheme="minorHAnsi"/>
              </w:rPr>
              <w:t>(i) would assist Australia to meet its international obligations</w:t>
            </w:r>
            <w:r w:rsidR="0057073A" w:rsidRPr="000422C2">
              <w:rPr>
                <w:rFonts w:eastAsiaTheme="minorHAnsi"/>
              </w:rPr>
              <w:t>,</w:t>
            </w:r>
            <w:r w:rsidRPr="000422C2">
              <w:rPr>
                <w:rFonts w:eastAsiaTheme="minorHAnsi"/>
              </w:rPr>
              <w:t xml:space="preserve"> including its obligations under the Convention on the Rights of the Child (particularly </w:t>
            </w:r>
            <w:r w:rsidR="00927FB9" w:rsidRPr="000422C2">
              <w:rPr>
                <w:rFonts w:eastAsiaTheme="minorHAnsi"/>
              </w:rPr>
              <w:t>paragraph</w:t>
            </w:r>
            <w:r w:rsidR="000422C2" w:rsidRPr="000422C2">
              <w:rPr>
                <w:rFonts w:eastAsiaTheme="minorHAnsi"/>
              </w:rPr>
              <w:t> </w:t>
            </w:r>
            <w:r w:rsidR="00927FB9" w:rsidRPr="000422C2">
              <w:rPr>
                <w:rFonts w:eastAsiaTheme="minorHAnsi"/>
              </w:rPr>
              <w:t>1 of a</w:t>
            </w:r>
            <w:r w:rsidRPr="000422C2">
              <w:rPr>
                <w:rFonts w:eastAsiaTheme="minorHAnsi"/>
              </w:rPr>
              <w:t>rt</w:t>
            </w:r>
            <w:r w:rsidR="00323551" w:rsidRPr="000422C2">
              <w:rPr>
                <w:rFonts w:eastAsiaTheme="minorHAnsi"/>
              </w:rPr>
              <w:t>icle</w:t>
            </w:r>
            <w:r w:rsidR="00927FB9" w:rsidRPr="000422C2">
              <w:rPr>
                <w:rFonts w:eastAsiaTheme="minorHAnsi"/>
              </w:rPr>
              <w:t xml:space="preserve"> 28</w:t>
            </w:r>
            <w:r w:rsidRPr="000422C2">
              <w:rPr>
                <w:rFonts w:eastAsiaTheme="minorHAnsi"/>
              </w:rPr>
              <w:t xml:space="preserve"> of the Convention); or</w:t>
            </w:r>
          </w:p>
          <w:p w:rsidR="00E80432" w:rsidRPr="000422C2" w:rsidRDefault="00E80432" w:rsidP="00E80432">
            <w:pPr>
              <w:pStyle w:val="Tablea"/>
              <w:rPr>
                <w:rFonts w:eastAsiaTheme="minorHAnsi"/>
              </w:rPr>
            </w:pPr>
            <w:r w:rsidRPr="000422C2">
              <w:rPr>
                <w:rFonts w:eastAsiaTheme="minorHAnsi"/>
              </w:rPr>
              <w:t>(j) are done in the exercise of the executive power of the Commonwealth; or</w:t>
            </w:r>
          </w:p>
          <w:p w:rsidR="00E80432" w:rsidRPr="000422C2" w:rsidRDefault="00E80432" w:rsidP="00E80432">
            <w:pPr>
              <w:pStyle w:val="Tablea"/>
            </w:pPr>
            <w:r w:rsidRPr="000422C2">
              <w:rPr>
                <w:rFonts w:eastAsiaTheme="minorHAnsi"/>
              </w:rPr>
              <w:t>(k) are otherwise for the benefit of the nation.</w:t>
            </w:r>
          </w:p>
        </w:tc>
      </w:tr>
      <w:tr w:rsidR="00EE5411" w:rsidRPr="000422C2" w:rsidTr="00786143">
        <w:tc>
          <w:tcPr>
            <w:tcW w:w="714" w:type="dxa"/>
            <w:shd w:val="clear" w:color="auto" w:fill="auto"/>
            <w:hideMark/>
          </w:tcPr>
          <w:p w:rsidR="00EE5411" w:rsidRPr="000422C2" w:rsidRDefault="00786143" w:rsidP="005D00FA">
            <w:pPr>
              <w:pStyle w:val="Tabletext"/>
            </w:pPr>
            <w:r w:rsidRPr="000422C2">
              <w:t>37</w:t>
            </w:r>
          </w:p>
        </w:tc>
        <w:tc>
          <w:tcPr>
            <w:tcW w:w="2115" w:type="dxa"/>
            <w:shd w:val="clear" w:color="auto" w:fill="auto"/>
            <w:hideMark/>
          </w:tcPr>
          <w:p w:rsidR="00EE5411" w:rsidRPr="000422C2" w:rsidRDefault="004230B4" w:rsidP="004230B4">
            <w:pPr>
              <w:pStyle w:val="Tabletext"/>
            </w:pPr>
            <w:r w:rsidRPr="000422C2">
              <w:t>Indigenous Advancement—Safety and Wellbeing</w:t>
            </w:r>
          </w:p>
        </w:tc>
        <w:tc>
          <w:tcPr>
            <w:tcW w:w="4251" w:type="dxa"/>
            <w:shd w:val="clear" w:color="auto" w:fill="auto"/>
            <w:hideMark/>
          </w:tcPr>
          <w:p w:rsidR="004230B4" w:rsidRPr="000422C2" w:rsidRDefault="004230B4" w:rsidP="004230B4">
            <w:pPr>
              <w:pStyle w:val="Tabletext"/>
            </w:pPr>
            <w:r w:rsidRPr="000422C2">
              <w:t>The funding and provision of activities, assistance, infrastructure, research and services that promote the safety and wellbeing of Indigenous persons, families and communities, including by:</w:t>
            </w:r>
          </w:p>
          <w:p w:rsidR="004230B4" w:rsidRPr="000422C2" w:rsidRDefault="004230B4" w:rsidP="004230B4">
            <w:pPr>
              <w:pStyle w:val="Tablea"/>
            </w:pPr>
            <w:r w:rsidRPr="000422C2">
              <w:t xml:space="preserve">(a) promoting physical, mental, social or emotional wellbeing, good nutrition, food security and health and safety; </w:t>
            </w:r>
            <w:r w:rsidR="002C4121" w:rsidRPr="000422C2">
              <w:t>or</w:t>
            </w:r>
          </w:p>
          <w:p w:rsidR="004230B4" w:rsidRPr="000422C2" w:rsidRDefault="004230B4" w:rsidP="004230B4">
            <w:pPr>
              <w:pStyle w:val="Tablea"/>
            </w:pPr>
            <w:r w:rsidRPr="000422C2">
              <w:t xml:space="preserve">(b) reducing crime and providing support and access to legal services and justice; </w:t>
            </w:r>
            <w:r w:rsidR="002C4121" w:rsidRPr="000422C2">
              <w:t>or</w:t>
            </w:r>
          </w:p>
          <w:p w:rsidR="004230B4" w:rsidRPr="000422C2" w:rsidRDefault="004230B4" w:rsidP="004230B4">
            <w:pPr>
              <w:pStyle w:val="Tablea"/>
            </w:pPr>
            <w:r w:rsidRPr="000422C2">
              <w:t xml:space="preserve">(c) addressing violence and substance abuse; </w:t>
            </w:r>
            <w:r w:rsidR="002C4121" w:rsidRPr="000422C2">
              <w:t>or</w:t>
            </w:r>
          </w:p>
          <w:p w:rsidR="004230B4" w:rsidRPr="000422C2" w:rsidRDefault="004230B4" w:rsidP="004230B4">
            <w:pPr>
              <w:pStyle w:val="Tablea"/>
            </w:pPr>
            <w:r w:rsidRPr="000422C2">
              <w:t xml:space="preserve">(d) promoting social inclusion and engagement, including through sporting, recreational and community opportunities; </w:t>
            </w:r>
            <w:r w:rsidR="002C4121" w:rsidRPr="000422C2">
              <w:t>or</w:t>
            </w:r>
          </w:p>
          <w:p w:rsidR="00EE5411" w:rsidRPr="000422C2" w:rsidRDefault="004230B4" w:rsidP="00292157">
            <w:pPr>
              <w:pStyle w:val="Tablea"/>
            </w:pPr>
            <w:r w:rsidRPr="000422C2">
              <w:t>(e) developing and providing access to information and support and community services.</w:t>
            </w:r>
          </w:p>
        </w:tc>
      </w:tr>
      <w:tr w:rsidR="004230B4" w:rsidRPr="000422C2" w:rsidTr="00786143">
        <w:tc>
          <w:tcPr>
            <w:tcW w:w="714" w:type="dxa"/>
            <w:shd w:val="clear" w:color="auto" w:fill="auto"/>
            <w:hideMark/>
          </w:tcPr>
          <w:p w:rsidR="004230B4" w:rsidRPr="000422C2" w:rsidRDefault="00A72567" w:rsidP="005D00FA">
            <w:pPr>
              <w:pStyle w:val="Tabletext"/>
            </w:pPr>
            <w:r w:rsidRPr="000422C2">
              <w:t>3</w:t>
            </w:r>
            <w:r w:rsidR="00786143" w:rsidRPr="000422C2">
              <w:t>8</w:t>
            </w:r>
          </w:p>
        </w:tc>
        <w:tc>
          <w:tcPr>
            <w:tcW w:w="2115" w:type="dxa"/>
            <w:shd w:val="clear" w:color="auto" w:fill="auto"/>
            <w:hideMark/>
          </w:tcPr>
          <w:p w:rsidR="004230B4" w:rsidRPr="000422C2" w:rsidRDefault="00292157" w:rsidP="00292157">
            <w:pPr>
              <w:pStyle w:val="Tabletext"/>
            </w:pPr>
            <w:r w:rsidRPr="000422C2">
              <w:t>Indigenous Advancement—Culture and Capability</w:t>
            </w:r>
          </w:p>
        </w:tc>
        <w:tc>
          <w:tcPr>
            <w:tcW w:w="4251" w:type="dxa"/>
            <w:shd w:val="clear" w:color="auto" w:fill="auto"/>
            <w:hideMark/>
          </w:tcPr>
          <w:p w:rsidR="00292157" w:rsidRPr="000422C2" w:rsidRDefault="00292157" w:rsidP="00292157">
            <w:pPr>
              <w:pStyle w:val="Tabletext"/>
            </w:pPr>
            <w:r w:rsidRPr="000422C2">
              <w:t xml:space="preserve">The funding and provision of activities, assistance, infrastructure, research and services </w:t>
            </w:r>
            <w:r w:rsidR="009824B1" w:rsidRPr="000422C2">
              <w:t>to do one or more of the following</w:t>
            </w:r>
            <w:r w:rsidRPr="000422C2">
              <w:t>:</w:t>
            </w:r>
          </w:p>
          <w:p w:rsidR="00292157" w:rsidRPr="000422C2" w:rsidRDefault="00292157" w:rsidP="00292157">
            <w:pPr>
              <w:pStyle w:val="Tablea"/>
            </w:pPr>
            <w:r w:rsidRPr="000422C2">
              <w:t>(a) assist Indigenous persons to develop and promote their cultur</w:t>
            </w:r>
            <w:r w:rsidR="009824B1" w:rsidRPr="000422C2">
              <w:t>e and raise cultural awareness;</w:t>
            </w:r>
          </w:p>
          <w:p w:rsidR="00292157" w:rsidRPr="000422C2" w:rsidRDefault="00292157" w:rsidP="00292157">
            <w:pPr>
              <w:pStyle w:val="Tablea"/>
            </w:pPr>
            <w:r w:rsidRPr="000422C2">
              <w:t>(b) assist in developing the capabilities of Indigenous persons, fami</w:t>
            </w:r>
            <w:r w:rsidR="00E80432" w:rsidRPr="000422C2">
              <w:t>lies, entities and communities;</w:t>
            </w:r>
          </w:p>
          <w:p w:rsidR="007D29FE" w:rsidRPr="000422C2" w:rsidRDefault="00E80432" w:rsidP="00E80432">
            <w:pPr>
              <w:pStyle w:val="Tabletext"/>
            </w:pPr>
            <w:r w:rsidRPr="000422C2">
              <w:t>including by:</w:t>
            </w:r>
          </w:p>
          <w:p w:rsidR="00292157" w:rsidRPr="000422C2" w:rsidRDefault="00E80432" w:rsidP="00E80432">
            <w:pPr>
              <w:pStyle w:val="Tablea"/>
            </w:pPr>
            <w:r w:rsidRPr="000422C2">
              <w:t>(c</w:t>
            </w:r>
            <w:r w:rsidR="00292157" w:rsidRPr="000422C2">
              <w:t xml:space="preserve">) promoting Indigenous leadership, governance, mentoring, engagement, representation, reconciliation and resilience; </w:t>
            </w:r>
            <w:r w:rsidR="002C4121" w:rsidRPr="000422C2">
              <w:t>or</w:t>
            </w:r>
          </w:p>
          <w:p w:rsidR="00292157" w:rsidRPr="000422C2" w:rsidRDefault="00E80432" w:rsidP="00E80432">
            <w:pPr>
              <w:pStyle w:val="Tablea"/>
            </w:pPr>
            <w:r w:rsidRPr="000422C2">
              <w:t>(d</w:t>
            </w:r>
            <w:r w:rsidR="00292157" w:rsidRPr="000422C2">
              <w:t xml:space="preserve">) assisting Indigenous persons to gain recognition as first Australians and to develop, communicate, protect and promote awareness of their heritage, culture, language, expression and knowledge; </w:t>
            </w:r>
            <w:r w:rsidR="002C4121" w:rsidRPr="000422C2">
              <w:t>or</w:t>
            </w:r>
          </w:p>
          <w:p w:rsidR="00292157" w:rsidRPr="000422C2" w:rsidRDefault="00E80432" w:rsidP="00E80432">
            <w:pPr>
              <w:pStyle w:val="Tablea"/>
            </w:pPr>
            <w:r w:rsidRPr="000422C2">
              <w:t>(e</w:t>
            </w:r>
            <w:r w:rsidR="00292157" w:rsidRPr="000422C2">
              <w:t xml:space="preserve">) providing access to, and supporting and enhancing, broadcasting and communication services for Indigenous persons, communities and entities; </w:t>
            </w:r>
            <w:r w:rsidR="002C4121" w:rsidRPr="000422C2">
              <w:t>or</w:t>
            </w:r>
          </w:p>
          <w:p w:rsidR="00292157" w:rsidRPr="000422C2" w:rsidRDefault="00E80432" w:rsidP="00E80432">
            <w:pPr>
              <w:pStyle w:val="Tablea"/>
            </w:pPr>
            <w:r w:rsidRPr="000422C2">
              <w:t>(f</w:t>
            </w:r>
            <w:r w:rsidR="00292157" w:rsidRPr="000422C2">
              <w:t xml:space="preserve">) promoting respect and recognition for Indigenous persons; </w:t>
            </w:r>
            <w:r w:rsidR="002C4121" w:rsidRPr="000422C2">
              <w:t>or</w:t>
            </w:r>
          </w:p>
          <w:p w:rsidR="004230B4" w:rsidRPr="000422C2" w:rsidRDefault="00E80432" w:rsidP="00E80432">
            <w:pPr>
              <w:pStyle w:val="Tablea"/>
            </w:pPr>
            <w:r w:rsidRPr="000422C2">
              <w:t>(g</w:t>
            </w:r>
            <w:r w:rsidR="00292157" w:rsidRPr="000422C2">
              <w:t xml:space="preserve">) building the capabilities of Indigenous persons, families, communities and entities to </w:t>
            </w:r>
            <w:r w:rsidR="001678CE" w:rsidRPr="000422C2">
              <w:t>p</w:t>
            </w:r>
            <w:r w:rsidR="00292157" w:rsidRPr="000422C2">
              <w:t>articipate in the economy and engage and communicate with broader society.</w:t>
            </w:r>
          </w:p>
        </w:tc>
      </w:tr>
      <w:tr w:rsidR="004230B4" w:rsidRPr="000422C2" w:rsidTr="00786143">
        <w:tc>
          <w:tcPr>
            <w:tcW w:w="714" w:type="dxa"/>
            <w:shd w:val="clear" w:color="auto" w:fill="auto"/>
            <w:hideMark/>
          </w:tcPr>
          <w:p w:rsidR="004230B4" w:rsidRPr="000422C2" w:rsidRDefault="00786143" w:rsidP="005D00FA">
            <w:pPr>
              <w:pStyle w:val="Tabletext"/>
            </w:pPr>
            <w:r w:rsidRPr="000422C2">
              <w:t>39</w:t>
            </w:r>
          </w:p>
        </w:tc>
        <w:tc>
          <w:tcPr>
            <w:tcW w:w="2115" w:type="dxa"/>
            <w:shd w:val="clear" w:color="auto" w:fill="auto"/>
            <w:hideMark/>
          </w:tcPr>
          <w:p w:rsidR="004230B4" w:rsidRPr="000422C2" w:rsidRDefault="001678CE" w:rsidP="005D00FA">
            <w:pPr>
              <w:pStyle w:val="Tabletext"/>
            </w:pPr>
            <w:r w:rsidRPr="000422C2">
              <w:t>Indigenous Advancement—Remote Australia Strategies</w:t>
            </w:r>
          </w:p>
        </w:tc>
        <w:tc>
          <w:tcPr>
            <w:tcW w:w="4251" w:type="dxa"/>
            <w:shd w:val="clear" w:color="auto" w:fill="auto"/>
            <w:hideMark/>
          </w:tcPr>
          <w:p w:rsidR="00A72567" w:rsidRPr="000422C2" w:rsidRDefault="00A72567" w:rsidP="00A72567">
            <w:pPr>
              <w:pStyle w:val="Tabletext"/>
            </w:pPr>
            <w:r w:rsidRPr="000422C2">
              <w:t>1. The funding and provision of activities, assistance, infrastructure, research and services that address social</w:t>
            </w:r>
            <w:r w:rsidR="00305801" w:rsidRPr="000422C2">
              <w:t xml:space="preserve"> and economic disadvantage for I</w:t>
            </w:r>
            <w:r w:rsidRPr="000422C2">
              <w:t>ndigenous persons, families and communities, particularly in remote Australia, including:</w:t>
            </w:r>
          </w:p>
          <w:p w:rsidR="00A72567" w:rsidRPr="000422C2" w:rsidRDefault="00A72567" w:rsidP="00A72567">
            <w:pPr>
              <w:pStyle w:val="Tablea"/>
            </w:pPr>
            <w:r w:rsidRPr="000422C2">
              <w:t xml:space="preserve">(a) investment and improvements in housing and infrastructure and municipal and community services; </w:t>
            </w:r>
            <w:r w:rsidR="002C4121" w:rsidRPr="000422C2">
              <w:t>or</w:t>
            </w:r>
          </w:p>
          <w:p w:rsidR="00A72567" w:rsidRPr="000422C2" w:rsidRDefault="00A72567" w:rsidP="00927FB9">
            <w:pPr>
              <w:pStyle w:val="Tablea"/>
            </w:pPr>
            <w:r w:rsidRPr="000422C2">
              <w:t>(b) place based service delivery initiatives.</w:t>
            </w:r>
          </w:p>
          <w:p w:rsidR="001678CE" w:rsidRPr="000422C2" w:rsidRDefault="00E80432" w:rsidP="001678CE">
            <w:pPr>
              <w:pStyle w:val="Tabletext"/>
            </w:pPr>
            <w:r w:rsidRPr="000422C2">
              <w:t xml:space="preserve">2. </w:t>
            </w:r>
            <w:r w:rsidR="001678CE" w:rsidRPr="000422C2">
              <w:t>The funding and provision of activities, assistance, infrastructure, research and services that address social and economic disadvantage in remote Australia, including by:</w:t>
            </w:r>
          </w:p>
          <w:p w:rsidR="001678CE" w:rsidRPr="000422C2" w:rsidRDefault="001678CE" w:rsidP="001678CE">
            <w:pPr>
              <w:pStyle w:val="Tablea"/>
            </w:pPr>
            <w:r w:rsidRPr="000422C2">
              <w:t xml:space="preserve">(a) creating and sustaining jobs and employment; </w:t>
            </w:r>
            <w:r w:rsidR="002C4121" w:rsidRPr="000422C2">
              <w:t>or</w:t>
            </w:r>
          </w:p>
          <w:p w:rsidR="001678CE" w:rsidRPr="000422C2" w:rsidRDefault="001678CE" w:rsidP="001678CE">
            <w:pPr>
              <w:pStyle w:val="Tablea"/>
            </w:pPr>
            <w:r w:rsidRPr="000422C2">
              <w:t xml:space="preserve">(b) supporting employer engagement and community and economic development; </w:t>
            </w:r>
            <w:r w:rsidR="002C4121" w:rsidRPr="000422C2">
              <w:t>or</w:t>
            </w:r>
          </w:p>
          <w:p w:rsidR="001678CE" w:rsidRPr="000422C2" w:rsidRDefault="001678CE" w:rsidP="001678CE">
            <w:pPr>
              <w:pStyle w:val="Tablea"/>
            </w:pPr>
            <w:r w:rsidRPr="000422C2">
              <w:t xml:space="preserve">(c) creating sustainable communities and supporting social and economic participation; </w:t>
            </w:r>
            <w:r w:rsidR="002C4121" w:rsidRPr="000422C2">
              <w:t>or</w:t>
            </w:r>
          </w:p>
          <w:p w:rsidR="001678CE" w:rsidRPr="000422C2" w:rsidRDefault="001678CE" w:rsidP="001678CE">
            <w:pPr>
              <w:pStyle w:val="Tablea"/>
            </w:pPr>
            <w:r w:rsidRPr="000422C2">
              <w:t>(d) facilitating transition to work and providing work experience and partic</w:t>
            </w:r>
            <w:r w:rsidR="002C4121" w:rsidRPr="000422C2">
              <w:t>ipation opportunities; or</w:t>
            </w:r>
          </w:p>
          <w:p w:rsidR="001678CE" w:rsidRPr="000422C2" w:rsidRDefault="001678CE" w:rsidP="001678CE">
            <w:pPr>
              <w:pStyle w:val="Tablea"/>
            </w:pPr>
            <w:r w:rsidRPr="000422C2">
              <w:t xml:space="preserve">(e) assisting with the development of skills and improving work readiness, employability and the capacity of persons to participate in the economy; </w:t>
            </w:r>
            <w:r w:rsidR="002C4121" w:rsidRPr="000422C2">
              <w:t>or</w:t>
            </w:r>
          </w:p>
          <w:p w:rsidR="001678CE" w:rsidRPr="000422C2" w:rsidRDefault="00031F70" w:rsidP="001678CE">
            <w:pPr>
              <w:pStyle w:val="Tablea"/>
            </w:pPr>
            <w:r w:rsidRPr="000422C2">
              <w:t>(f</w:t>
            </w:r>
            <w:r w:rsidR="001678CE" w:rsidRPr="000422C2">
              <w:t xml:space="preserve">) encouraging and improving school enrolment and regular school attendance; </w:t>
            </w:r>
            <w:r w:rsidR="002C4121" w:rsidRPr="000422C2">
              <w:t>or</w:t>
            </w:r>
          </w:p>
          <w:p w:rsidR="001678CE" w:rsidRPr="000422C2" w:rsidRDefault="00031F70" w:rsidP="001678CE">
            <w:pPr>
              <w:pStyle w:val="Tablea"/>
            </w:pPr>
            <w:r w:rsidRPr="000422C2">
              <w:t>(g</w:t>
            </w:r>
            <w:r w:rsidR="001678CE" w:rsidRPr="000422C2">
              <w:t>) addressing the need for investment in</w:t>
            </w:r>
            <w:r w:rsidR="0041057C" w:rsidRPr="000422C2">
              <w:t xml:space="preserve"> housing and infrastructure and the provision of municipal and community services; </w:t>
            </w:r>
            <w:r w:rsidR="002C4121" w:rsidRPr="000422C2">
              <w:t>or</w:t>
            </w:r>
          </w:p>
          <w:p w:rsidR="001678CE" w:rsidRPr="000422C2" w:rsidRDefault="0041057C" w:rsidP="0041057C">
            <w:pPr>
              <w:pStyle w:val="Tablea"/>
            </w:pPr>
            <w:r w:rsidRPr="000422C2">
              <w:t>(</w:t>
            </w:r>
            <w:r w:rsidR="00031F70" w:rsidRPr="000422C2">
              <w:t>h</w:t>
            </w:r>
            <w:r w:rsidR="001678CE" w:rsidRPr="000422C2">
              <w:t xml:space="preserve">) </w:t>
            </w:r>
            <w:r w:rsidR="00A72567" w:rsidRPr="000422C2">
              <w:t>delivering</w:t>
            </w:r>
            <w:r w:rsidRPr="000422C2">
              <w:t xml:space="preserve"> </w:t>
            </w:r>
            <w:r w:rsidR="001678CE" w:rsidRPr="000422C2">
              <w:t>place bas</w:t>
            </w:r>
            <w:r w:rsidR="00396190" w:rsidRPr="000422C2">
              <w:t>ed service delivery initiatives;</w:t>
            </w:r>
          </w:p>
          <w:p w:rsidR="006275CE" w:rsidRPr="000422C2" w:rsidRDefault="006275CE" w:rsidP="006275CE">
            <w:pPr>
              <w:pStyle w:val="Tabletext"/>
            </w:pPr>
            <w:r w:rsidRPr="000422C2">
              <w:t xml:space="preserve">where </w:t>
            </w:r>
            <w:r w:rsidRPr="000422C2">
              <w:rPr>
                <w:rFonts w:eastAsiaTheme="minorHAnsi"/>
              </w:rPr>
              <w:t>the activities, assistance, infrastructure, research and services</w:t>
            </w:r>
            <w:r w:rsidRPr="000422C2">
              <w:t>:</w:t>
            </w:r>
          </w:p>
          <w:p w:rsidR="006275CE" w:rsidRPr="000422C2" w:rsidRDefault="006275CE" w:rsidP="006275CE">
            <w:pPr>
              <w:pStyle w:val="Tablea"/>
              <w:rPr>
                <w:rFonts w:eastAsiaTheme="minorHAnsi"/>
              </w:rPr>
            </w:pPr>
            <w:r w:rsidRPr="000422C2">
              <w:rPr>
                <w:rFonts w:eastAsiaTheme="minorHAnsi"/>
              </w:rPr>
              <w:t>(i) are the provision of, or incidental to the provision of, unemployment benefits (within the meaning of paragraph</w:t>
            </w:r>
            <w:r w:rsidR="000422C2" w:rsidRPr="000422C2">
              <w:rPr>
                <w:rFonts w:eastAsiaTheme="minorHAnsi"/>
              </w:rPr>
              <w:t> </w:t>
            </w:r>
            <w:r w:rsidRPr="000422C2">
              <w:rPr>
                <w:rFonts w:eastAsiaTheme="minorHAnsi"/>
              </w:rPr>
              <w:t>51(xxiiiA) of the Constitution); or</w:t>
            </w:r>
          </w:p>
          <w:p w:rsidR="006275CE" w:rsidRPr="000422C2" w:rsidRDefault="006275CE" w:rsidP="006275CE">
            <w:pPr>
              <w:pStyle w:val="Tablea"/>
              <w:rPr>
                <w:rFonts w:eastAsiaTheme="minorHAnsi"/>
              </w:rPr>
            </w:pPr>
            <w:r w:rsidRPr="000422C2">
              <w:rPr>
                <w:rFonts w:eastAsiaTheme="minorHAnsi"/>
              </w:rPr>
              <w:t>(j) are the provision of, or incidental to the provision of, benefits to students (within the meaning of paragraph</w:t>
            </w:r>
            <w:r w:rsidR="000422C2" w:rsidRPr="000422C2">
              <w:rPr>
                <w:rFonts w:eastAsiaTheme="minorHAnsi"/>
              </w:rPr>
              <w:t> </w:t>
            </w:r>
            <w:r w:rsidRPr="000422C2">
              <w:rPr>
                <w:rFonts w:eastAsiaTheme="minorHAnsi"/>
              </w:rPr>
              <w:t>51(xxiiiA) of the Constitution); or</w:t>
            </w:r>
          </w:p>
          <w:p w:rsidR="006275CE" w:rsidRPr="000422C2" w:rsidRDefault="006275CE" w:rsidP="006275CE">
            <w:pPr>
              <w:pStyle w:val="Tablea"/>
              <w:rPr>
                <w:rFonts w:eastAsiaTheme="minorHAnsi"/>
              </w:rPr>
            </w:pPr>
            <w:r w:rsidRPr="000422C2">
              <w:rPr>
                <w:rFonts w:eastAsiaTheme="minorHAnsi"/>
              </w:rPr>
              <w:t>(k) are the provision of such activities, assistance, infrastructure, research or services in a Territory; or</w:t>
            </w:r>
          </w:p>
          <w:p w:rsidR="006275CE" w:rsidRPr="000422C2" w:rsidRDefault="006275CE" w:rsidP="006275CE">
            <w:pPr>
              <w:pStyle w:val="Tablea"/>
              <w:rPr>
                <w:rFonts w:eastAsiaTheme="minorHAnsi"/>
              </w:rPr>
            </w:pPr>
            <w:r w:rsidRPr="000422C2">
              <w:rPr>
                <w:rFonts w:eastAsiaTheme="minorHAnsi"/>
              </w:rPr>
              <w:t>(l) are provided by way of grants of financial assistance to States and Territories; or</w:t>
            </w:r>
          </w:p>
          <w:p w:rsidR="006275CE" w:rsidRPr="000422C2" w:rsidRDefault="006275CE" w:rsidP="006275CE">
            <w:pPr>
              <w:pStyle w:val="Tablea"/>
              <w:rPr>
                <w:rFonts w:eastAsiaTheme="minorHAnsi"/>
              </w:rPr>
            </w:pPr>
            <w:r w:rsidRPr="000422C2">
              <w:rPr>
                <w:rFonts w:eastAsiaTheme="minorHAnsi"/>
              </w:rPr>
              <w:t>(m) are provided to a trading, financial or foreign corporation to which paragraph</w:t>
            </w:r>
            <w:r w:rsidR="000422C2" w:rsidRPr="000422C2">
              <w:rPr>
                <w:rFonts w:eastAsiaTheme="minorHAnsi"/>
              </w:rPr>
              <w:t> </w:t>
            </w:r>
            <w:r w:rsidRPr="000422C2">
              <w:rPr>
                <w:rFonts w:eastAsiaTheme="minorHAnsi"/>
              </w:rPr>
              <w:t>51(xx) of the Constitution applies in relation to the existing activities of the corporation; or</w:t>
            </w:r>
          </w:p>
          <w:p w:rsidR="006275CE" w:rsidRPr="000422C2" w:rsidRDefault="006275CE" w:rsidP="006275CE">
            <w:pPr>
              <w:pStyle w:val="Tablea"/>
              <w:rPr>
                <w:rFonts w:eastAsiaTheme="minorHAnsi"/>
              </w:rPr>
            </w:pPr>
            <w:r w:rsidRPr="000422C2">
              <w:rPr>
                <w:rFonts w:eastAsiaTheme="minorHAnsi"/>
              </w:rPr>
              <w:t xml:space="preserve">(n) would assist Australia to meet its international obligations, including its obligations under the Convention on the Rights of the Child (particularly </w:t>
            </w:r>
            <w:r w:rsidR="00927FB9" w:rsidRPr="000422C2">
              <w:rPr>
                <w:rFonts w:eastAsiaTheme="minorHAnsi"/>
              </w:rPr>
              <w:t>paragraph</w:t>
            </w:r>
            <w:r w:rsidR="000422C2" w:rsidRPr="000422C2">
              <w:rPr>
                <w:rFonts w:eastAsiaTheme="minorHAnsi"/>
              </w:rPr>
              <w:t> </w:t>
            </w:r>
            <w:r w:rsidR="00927FB9" w:rsidRPr="000422C2">
              <w:rPr>
                <w:rFonts w:eastAsiaTheme="minorHAnsi"/>
              </w:rPr>
              <w:t>1 of a</w:t>
            </w:r>
            <w:r w:rsidRPr="000422C2">
              <w:rPr>
                <w:rFonts w:eastAsiaTheme="minorHAnsi"/>
              </w:rPr>
              <w:t>rt</w:t>
            </w:r>
            <w:r w:rsidR="00323551" w:rsidRPr="000422C2">
              <w:rPr>
                <w:rFonts w:eastAsiaTheme="minorHAnsi"/>
              </w:rPr>
              <w:t>icle</w:t>
            </w:r>
            <w:r w:rsidR="00927FB9" w:rsidRPr="000422C2">
              <w:rPr>
                <w:rFonts w:eastAsiaTheme="minorHAnsi"/>
              </w:rPr>
              <w:t xml:space="preserve"> 28</w:t>
            </w:r>
            <w:r w:rsidRPr="000422C2">
              <w:rPr>
                <w:rFonts w:eastAsiaTheme="minorHAnsi"/>
              </w:rPr>
              <w:t xml:space="preserve"> of the Convention); or</w:t>
            </w:r>
          </w:p>
          <w:p w:rsidR="006275CE" w:rsidRPr="000422C2" w:rsidRDefault="006275CE" w:rsidP="006275CE">
            <w:pPr>
              <w:pStyle w:val="Tablea"/>
              <w:rPr>
                <w:rFonts w:eastAsiaTheme="minorHAnsi"/>
              </w:rPr>
            </w:pPr>
            <w:r w:rsidRPr="000422C2">
              <w:rPr>
                <w:rFonts w:eastAsiaTheme="minorHAnsi"/>
              </w:rPr>
              <w:t>(o) are done in the exercise of the executive power of the Commonwealth; or</w:t>
            </w:r>
          </w:p>
          <w:p w:rsidR="004230B4" w:rsidRPr="000422C2" w:rsidRDefault="006275CE" w:rsidP="006275CE">
            <w:pPr>
              <w:pStyle w:val="Tablea"/>
            </w:pPr>
            <w:r w:rsidRPr="000422C2">
              <w:rPr>
                <w:rFonts w:eastAsiaTheme="minorHAnsi"/>
              </w:rPr>
              <w:t>(p) are otherwise for the benefit of the nation.</w:t>
            </w:r>
          </w:p>
        </w:tc>
      </w:tr>
      <w:tr w:rsidR="001678CE" w:rsidRPr="000422C2" w:rsidTr="00786143">
        <w:tc>
          <w:tcPr>
            <w:tcW w:w="714" w:type="dxa"/>
            <w:shd w:val="clear" w:color="auto" w:fill="auto"/>
            <w:hideMark/>
          </w:tcPr>
          <w:p w:rsidR="001678CE" w:rsidRPr="000422C2" w:rsidRDefault="00754C21" w:rsidP="005D00FA">
            <w:pPr>
              <w:pStyle w:val="Tabletext"/>
            </w:pPr>
            <w:r w:rsidRPr="000422C2">
              <w:t>4</w:t>
            </w:r>
            <w:r w:rsidR="00786143" w:rsidRPr="000422C2">
              <w:t>0</w:t>
            </w:r>
          </w:p>
        </w:tc>
        <w:tc>
          <w:tcPr>
            <w:tcW w:w="2115" w:type="dxa"/>
            <w:shd w:val="clear" w:color="auto" w:fill="auto"/>
            <w:hideMark/>
          </w:tcPr>
          <w:p w:rsidR="001678CE" w:rsidRPr="000422C2" w:rsidRDefault="00D9102D" w:rsidP="00D9102D">
            <w:pPr>
              <w:pStyle w:val="Tabletext"/>
            </w:pPr>
            <w:r w:rsidRPr="000422C2">
              <w:t>Families and Children</w:t>
            </w:r>
          </w:p>
        </w:tc>
        <w:tc>
          <w:tcPr>
            <w:tcW w:w="4251" w:type="dxa"/>
            <w:shd w:val="clear" w:color="auto" w:fill="auto"/>
            <w:hideMark/>
          </w:tcPr>
          <w:p w:rsidR="00D9102D" w:rsidRPr="000422C2" w:rsidRDefault="00D9102D" w:rsidP="00D9102D">
            <w:pPr>
              <w:pStyle w:val="Tabletext"/>
            </w:pPr>
            <w:r w:rsidRPr="000422C2">
              <w:t>To do the following:</w:t>
            </w:r>
          </w:p>
          <w:p w:rsidR="00D9102D" w:rsidRPr="000422C2" w:rsidRDefault="00D9102D" w:rsidP="00D9102D">
            <w:pPr>
              <w:pStyle w:val="Tablea"/>
            </w:pPr>
            <w:r w:rsidRPr="000422C2">
              <w:t>(a) support families to improve the wellbeing of children and young people;</w:t>
            </w:r>
          </w:p>
          <w:p w:rsidR="00D9102D" w:rsidRPr="000422C2" w:rsidRDefault="00D9102D" w:rsidP="00D9102D">
            <w:pPr>
              <w:pStyle w:val="Tablea"/>
            </w:pPr>
            <w:r w:rsidRPr="000422C2">
              <w:t>(b) enhance family and community functioning;</w:t>
            </w:r>
          </w:p>
          <w:p w:rsidR="00D9102D" w:rsidRPr="000422C2" w:rsidRDefault="00D9102D" w:rsidP="00D9102D">
            <w:pPr>
              <w:pStyle w:val="Tablea"/>
            </w:pPr>
            <w:r w:rsidRPr="000422C2">
              <w:t>(c) increase the participation of vulnerable people in community life;</w:t>
            </w:r>
          </w:p>
          <w:p w:rsidR="00712866" w:rsidRPr="000422C2" w:rsidRDefault="00712866" w:rsidP="00712866">
            <w:pPr>
              <w:pStyle w:val="Tabletext"/>
            </w:pPr>
            <w:r w:rsidRPr="000422C2">
              <w:t>including by providing funding as follows:</w:t>
            </w:r>
          </w:p>
          <w:p w:rsidR="00712866" w:rsidRPr="000422C2" w:rsidRDefault="00712866" w:rsidP="00712866">
            <w:pPr>
              <w:pStyle w:val="Tablea"/>
            </w:pPr>
            <w:r w:rsidRPr="000422C2">
              <w:t>(d) to family law services that provide alternatives to formal legal processes for families who are separated, separating or in dispute to improve their relationships and make arrangements in the best interests of their children;</w:t>
            </w:r>
          </w:p>
          <w:p w:rsidR="00712866" w:rsidRPr="000422C2" w:rsidRDefault="00712866" w:rsidP="00712866">
            <w:pPr>
              <w:pStyle w:val="Tablea"/>
            </w:pPr>
            <w:r w:rsidRPr="000422C2">
              <w:t>(e) to family and relationship services to strengthen family relationships, prevent family breakdown and ensure the wellbeing and safety of children through the provision of broad</w:t>
            </w:r>
            <w:r w:rsidR="000422C2">
              <w:noBreakHyphen/>
            </w:r>
            <w:r w:rsidRPr="000422C2">
              <w:t>based counselling and education to families of different forms and sizes;</w:t>
            </w:r>
          </w:p>
          <w:p w:rsidR="00712866" w:rsidRPr="000422C2" w:rsidRDefault="00712866" w:rsidP="00712866">
            <w:pPr>
              <w:pStyle w:val="Tablea"/>
            </w:pPr>
            <w:r w:rsidRPr="000422C2">
              <w:t>(f) to develop and facilitate whole</w:t>
            </w:r>
            <w:r w:rsidR="000422C2">
              <w:noBreakHyphen/>
            </w:r>
            <w:r w:rsidRPr="000422C2">
              <w:t>of</w:t>
            </w:r>
            <w:r w:rsidR="000422C2">
              <w:noBreakHyphen/>
            </w:r>
            <w:r w:rsidRPr="000422C2">
              <w:t>community approaches to support and enhance early childhood development and wellbeing for children from birth to 12 years;</w:t>
            </w:r>
          </w:p>
          <w:p w:rsidR="00712866" w:rsidRPr="000422C2" w:rsidRDefault="00712866" w:rsidP="00712866">
            <w:pPr>
              <w:pStyle w:val="Tablea"/>
            </w:pPr>
            <w:r w:rsidRPr="000422C2">
              <w:t>(g) to provide early intervention and prevention services and resources that are aimed at improving the development and wellbeing of children aged from birth to 12 years and to support the capacity of those in parenting roles;</w:t>
            </w:r>
          </w:p>
          <w:p w:rsidR="00712866" w:rsidRPr="000422C2" w:rsidRDefault="00712866" w:rsidP="00712866">
            <w:pPr>
              <w:pStyle w:val="Tablea"/>
            </w:pPr>
            <w:r w:rsidRPr="000422C2">
              <w:t>(h) for community</w:t>
            </w:r>
            <w:r w:rsidR="000422C2">
              <w:noBreakHyphen/>
            </w:r>
            <w:r w:rsidRPr="000422C2">
              <w:t>based interventions for vulnerable young people who are at risk of disengaging with family and community, including those at risk of homelessness;</w:t>
            </w:r>
          </w:p>
          <w:p w:rsidR="00712866" w:rsidRPr="000422C2" w:rsidRDefault="00712866" w:rsidP="00712866">
            <w:pPr>
              <w:pStyle w:val="Tablea"/>
            </w:pPr>
            <w:r w:rsidRPr="000422C2">
              <w:t>(i) for specialist adult support services to improve outcomes and enhance wellbeing for people adversely affected by past institutional and child</w:t>
            </w:r>
            <w:r w:rsidR="000422C2">
              <w:noBreakHyphen/>
            </w:r>
            <w:r w:rsidR="008808F7" w:rsidRPr="000422C2">
              <w:t>welfare practices and policies.</w:t>
            </w:r>
          </w:p>
          <w:p w:rsidR="004908A5" w:rsidRPr="000422C2" w:rsidRDefault="004908A5" w:rsidP="003D607A">
            <w:pPr>
              <w:pStyle w:val="Tabletext"/>
            </w:pPr>
            <w:r w:rsidRPr="000422C2">
              <w:t>This objective also has the effect it would have if it were limited to providing funding or support:</w:t>
            </w:r>
          </w:p>
          <w:p w:rsidR="00D9102D" w:rsidRPr="000422C2" w:rsidRDefault="003D607A" w:rsidP="00D9102D">
            <w:pPr>
              <w:pStyle w:val="Tablea"/>
            </w:pPr>
            <w:r w:rsidRPr="000422C2">
              <w:t>(a</w:t>
            </w:r>
            <w:r w:rsidR="00D9102D" w:rsidRPr="000422C2">
              <w:t>) by providing medical services, family and maternity allowances, child endowment, unemployment and sickness benefits and benefits to students;</w:t>
            </w:r>
            <w:r w:rsidR="008808F7" w:rsidRPr="000422C2">
              <w:t xml:space="preserve"> or</w:t>
            </w:r>
          </w:p>
          <w:p w:rsidR="00D9102D" w:rsidRPr="000422C2" w:rsidRDefault="003D607A" w:rsidP="00D9102D">
            <w:pPr>
              <w:pStyle w:val="Tablea"/>
            </w:pPr>
            <w:r w:rsidRPr="000422C2">
              <w:t>(b</w:t>
            </w:r>
            <w:r w:rsidR="00D9102D" w:rsidRPr="000422C2">
              <w:t xml:space="preserve">) by engaging in measures to meet Australia’s </w:t>
            </w:r>
            <w:r w:rsidR="00927FB9" w:rsidRPr="000422C2">
              <w:t xml:space="preserve">international </w:t>
            </w:r>
            <w:r w:rsidR="00D9102D" w:rsidRPr="000422C2">
              <w:t>obligations in relation to children, in particular those under the Convention on the Rights of the Child;</w:t>
            </w:r>
            <w:r w:rsidR="008808F7" w:rsidRPr="000422C2">
              <w:t xml:space="preserve"> or</w:t>
            </w:r>
          </w:p>
          <w:p w:rsidR="00D9102D" w:rsidRPr="000422C2" w:rsidRDefault="003D607A" w:rsidP="00D9102D">
            <w:pPr>
              <w:pStyle w:val="Tablea"/>
            </w:pPr>
            <w:r w:rsidRPr="000422C2">
              <w:t>(c</w:t>
            </w:r>
            <w:r w:rsidR="00D9102D" w:rsidRPr="000422C2">
              <w:t xml:space="preserve">) by engaging in measures to meet Australia’s </w:t>
            </w:r>
            <w:r w:rsidR="00927FB9" w:rsidRPr="000422C2">
              <w:t xml:space="preserve">international </w:t>
            </w:r>
            <w:r w:rsidR="00D9102D" w:rsidRPr="000422C2">
              <w:t xml:space="preserve">obligations in relation to persons with </w:t>
            </w:r>
            <w:r w:rsidR="00031F70" w:rsidRPr="000422C2">
              <w:t>disabilities</w:t>
            </w:r>
            <w:r w:rsidR="00D9102D" w:rsidRPr="000422C2">
              <w:t xml:space="preserve">, in particular </w:t>
            </w:r>
            <w:r w:rsidR="00275A47" w:rsidRPr="000422C2">
              <w:t>obligations</w:t>
            </w:r>
            <w:r w:rsidR="00D9102D" w:rsidRPr="000422C2">
              <w:t xml:space="preserve"> under the Convention on the Rights of Persons with Disabilities;</w:t>
            </w:r>
            <w:r w:rsidR="008808F7" w:rsidRPr="000422C2">
              <w:t xml:space="preserve"> or</w:t>
            </w:r>
          </w:p>
          <w:p w:rsidR="00D9102D" w:rsidRPr="000422C2" w:rsidRDefault="003D607A" w:rsidP="00D9102D">
            <w:pPr>
              <w:pStyle w:val="Tablea"/>
            </w:pPr>
            <w:r w:rsidRPr="000422C2">
              <w:t>(d</w:t>
            </w:r>
            <w:r w:rsidR="00D9102D" w:rsidRPr="000422C2">
              <w:t>) in a Territory;</w:t>
            </w:r>
            <w:r w:rsidR="008808F7" w:rsidRPr="000422C2">
              <w:t xml:space="preserve"> or</w:t>
            </w:r>
          </w:p>
          <w:p w:rsidR="00D9102D" w:rsidRPr="000422C2" w:rsidRDefault="003D607A" w:rsidP="00D9102D">
            <w:pPr>
              <w:pStyle w:val="Tablea"/>
            </w:pPr>
            <w:r w:rsidRPr="000422C2">
              <w:t>(e</w:t>
            </w:r>
            <w:r w:rsidR="00D9102D" w:rsidRPr="000422C2">
              <w:t xml:space="preserve">) </w:t>
            </w:r>
            <w:r w:rsidR="0020770A" w:rsidRPr="000422C2">
              <w:t>by providing assistance to</w:t>
            </w:r>
            <w:r w:rsidR="00D9102D" w:rsidRPr="000422C2">
              <w:t xml:space="preserve"> trading, financial </w:t>
            </w:r>
            <w:r w:rsidR="0020770A" w:rsidRPr="000422C2">
              <w:t>and</w:t>
            </w:r>
            <w:r w:rsidR="00D9102D" w:rsidRPr="000422C2">
              <w:t xml:space="preserve"> foreign corporation</w:t>
            </w:r>
            <w:r w:rsidR="0020770A" w:rsidRPr="000422C2">
              <w:t>s</w:t>
            </w:r>
            <w:r w:rsidR="00D9102D" w:rsidRPr="000422C2">
              <w:t xml:space="preserve"> to which paragraph</w:t>
            </w:r>
            <w:r w:rsidR="000422C2" w:rsidRPr="000422C2">
              <w:t> </w:t>
            </w:r>
            <w:r w:rsidR="00D9102D" w:rsidRPr="000422C2">
              <w:t>51(xx) of the Constitution applies where the assistance relates to the existing activities of the corporation</w:t>
            </w:r>
            <w:r w:rsidR="0020770A" w:rsidRPr="000422C2">
              <w:t>s</w:t>
            </w:r>
            <w:r w:rsidR="00D9102D" w:rsidRPr="000422C2">
              <w:t>;</w:t>
            </w:r>
            <w:r w:rsidRPr="000422C2">
              <w:t xml:space="preserve"> or</w:t>
            </w:r>
          </w:p>
          <w:p w:rsidR="00D9102D" w:rsidRPr="000422C2" w:rsidRDefault="00D9102D" w:rsidP="00D9102D">
            <w:pPr>
              <w:pStyle w:val="Tablea"/>
            </w:pPr>
            <w:r w:rsidRPr="000422C2">
              <w:t>(</w:t>
            </w:r>
            <w:r w:rsidR="003D607A" w:rsidRPr="000422C2">
              <w:t>f</w:t>
            </w:r>
            <w:r w:rsidRPr="000422C2">
              <w:t>) in relation to aliens or immigrants;</w:t>
            </w:r>
            <w:r w:rsidR="003D607A" w:rsidRPr="000422C2">
              <w:t xml:space="preserve"> or</w:t>
            </w:r>
          </w:p>
          <w:p w:rsidR="00D9102D" w:rsidRPr="000422C2" w:rsidRDefault="003D607A" w:rsidP="00D9102D">
            <w:pPr>
              <w:pStyle w:val="Tablea"/>
            </w:pPr>
            <w:r w:rsidRPr="000422C2">
              <w:t>(g</w:t>
            </w:r>
            <w:r w:rsidR="00D9102D" w:rsidRPr="000422C2">
              <w:t>) in relation to marriage;</w:t>
            </w:r>
            <w:r w:rsidRPr="000422C2">
              <w:t xml:space="preserve"> or</w:t>
            </w:r>
          </w:p>
          <w:p w:rsidR="00D9102D" w:rsidRPr="000422C2" w:rsidRDefault="003D607A" w:rsidP="00D9102D">
            <w:pPr>
              <w:pStyle w:val="Tablea"/>
            </w:pPr>
            <w:r w:rsidRPr="000422C2">
              <w:t>(h</w:t>
            </w:r>
            <w:r w:rsidR="00D9102D" w:rsidRPr="000422C2">
              <w:t>) in relation to divorce;</w:t>
            </w:r>
            <w:r w:rsidRPr="000422C2">
              <w:t xml:space="preserve"> or</w:t>
            </w:r>
          </w:p>
          <w:p w:rsidR="00D9102D" w:rsidRPr="000422C2" w:rsidRDefault="003D607A" w:rsidP="00D9102D">
            <w:pPr>
              <w:pStyle w:val="Tablea"/>
            </w:pPr>
            <w:r w:rsidRPr="000422C2">
              <w:t>(i</w:t>
            </w:r>
            <w:r w:rsidR="00D9102D" w:rsidRPr="000422C2">
              <w:t xml:space="preserve">) in </w:t>
            </w:r>
            <w:r w:rsidR="00FD6659" w:rsidRPr="000422C2">
              <w:t>connection with divorce—</w:t>
            </w:r>
            <w:r w:rsidR="00D9102D" w:rsidRPr="000422C2">
              <w:t>in relation to parental rights or the custody or guardianship of infants</w:t>
            </w:r>
            <w:r w:rsidR="00FD6659" w:rsidRPr="000422C2">
              <w:t>;</w:t>
            </w:r>
            <w:r w:rsidRPr="000422C2">
              <w:t xml:space="preserve"> or</w:t>
            </w:r>
          </w:p>
          <w:p w:rsidR="00D9102D" w:rsidRPr="000422C2" w:rsidRDefault="00CF0632" w:rsidP="00D9102D">
            <w:pPr>
              <w:pStyle w:val="Tablea"/>
            </w:pPr>
            <w:r w:rsidRPr="000422C2">
              <w:t>(</w:t>
            </w:r>
            <w:r w:rsidR="003D607A" w:rsidRPr="000422C2">
              <w:t>j</w:t>
            </w:r>
            <w:r w:rsidR="00FD6659" w:rsidRPr="000422C2">
              <w:t xml:space="preserve">) </w:t>
            </w:r>
            <w:r w:rsidR="00D9102D" w:rsidRPr="000422C2">
              <w:t xml:space="preserve">to assist persons who are insolvent or bankrupt to manage </w:t>
            </w:r>
            <w:r w:rsidR="00FD6659" w:rsidRPr="000422C2">
              <w:t>their insolvency or bankruptcy;</w:t>
            </w:r>
            <w:r w:rsidR="003D607A" w:rsidRPr="000422C2">
              <w:t xml:space="preserve"> or</w:t>
            </w:r>
          </w:p>
          <w:p w:rsidR="00D9102D" w:rsidRPr="000422C2" w:rsidRDefault="003D607A" w:rsidP="00D9102D">
            <w:pPr>
              <w:pStyle w:val="Tablea"/>
            </w:pPr>
            <w:r w:rsidRPr="000422C2">
              <w:t>(k</w:t>
            </w:r>
            <w:r w:rsidR="00FD6659" w:rsidRPr="000422C2">
              <w:t xml:space="preserve">) </w:t>
            </w:r>
            <w:r w:rsidR="00D9102D" w:rsidRPr="000422C2">
              <w:t>by providing grants of financial assistance to a State or T</w:t>
            </w:r>
            <w:r w:rsidR="00FD6659" w:rsidRPr="000422C2">
              <w:t>erritory;</w:t>
            </w:r>
            <w:r w:rsidRPr="000422C2">
              <w:t xml:space="preserve"> or</w:t>
            </w:r>
          </w:p>
          <w:p w:rsidR="00D9102D" w:rsidRPr="000422C2" w:rsidRDefault="003D607A" w:rsidP="00D9102D">
            <w:pPr>
              <w:pStyle w:val="Tablea"/>
            </w:pPr>
            <w:r w:rsidRPr="000422C2">
              <w:t>(l</w:t>
            </w:r>
            <w:r w:rsidR="00FD6659" w:rsidRPr="000422C2">
              <w:t xml:space="preserve">) </w:t>
            </w:r>
            <w:r w:rsidR="00D9102D" w:rsidRPr="000422C2">
              <w:t>by engaging in measures that are peculiarly adapted to the government of a nation and cannot otherwise be carried on</w:t>
            </w:r>
            <w:r w:rsidR="00FD6659" w:rsidRPr="000422C2">
              <w:t xml:space="preserve"> for the benefit of the nation;</w:t>
            </w:r>
            <w:r w:rsidRPr="000422C2">
              <w:t xml:space="preserve"> or</w:t>
            </w:r>
          </w:p>
          <w:p w:rsidR="00FB745C" w:rsidRPr="000422C2" w:rsidRDefault="003D607A" w:rsidP="00712866">
            <w:pPr>
              <w:pStyle w:val="Tablea"/>
            </w:pPr>
            <w:r w:rsidRPr="000422C2">
              <w:t>(m</w:t>
            </w:r>
            <w:r w:rsidR="00FD6659" w:rsidRPr="000422C2">
              <w:t xml:space="preserve">) in the exercise of </w:t>
            </w:r>
            <w:r w:rsidR="00D9102D" w:rsidRPr="000422C2">
              <w:t>the exec</w:t>
            </w:r>
            <w:r w:rsidR="007C2AF9" w:rsidRPr="000422C2">
              <w:t>utive power of the Commonw</w:t>
            </w:r>
            <w:r w:rsidR="00712866" w:rsidRPr="000422C2">
              <w:t>ealth.</w:t>
            </w:r>
          </w:p>
        </w:tc>
      </w:tr>
      <w:tr w:rsidR="00FD6659" w:rsidRPr="000422C2" w:rsidTr="00786143">
        <w:tc>
          <w:tcPr>
            <w:tcW w:w="714" w:type="dxa"/>
            <w:shd w:val="clear" w:color="auto" w:fill="auto"/>
            <w:hideMark/>
          </w:tcPr>
          <w:p w:rsidR="00FD6659" w:rsidRPr="000422C2" w:rsidRDefault="00FD6659" w:rsidP="005D00FA">
            <w:pPr>
              <w:pStyle w:val="Tabletext"/>
            </w:pPr>
            <w:r w:rsidRPr="000422C2">
              <w:t>4</w:t>
            </w:r>
            <w:r w:rsidR="00786143" w:rsidRPr="000422C2">
              <w:t>1</w:t>
            </w:r>
          </w:p>
        </w:tc>
        <w:tc>
          <w:tcPr>
            <w:tcW w:w="2115" w:type="dxa"/>
            <w:shd w:val="clear" w:color="auto" w:fill="auto"/>
            <w:hideMark/>
          </w:tcPr>
          <w:p w:rsidR="00FD6659" w:rsidRPr="000422C2" w:rsidRDefault="000B3E88" w:rsidP="000B3E88">
            <w:pPr>
              <w:pStyle w:val="Tabletext"/>
            </w:pPr>
            <w:r w:rsidRPr="000422C2">
              <w:t>Transition to Independent Living Allowance</w:t>
            </w:r>
          </w:p>
        </w:tc>
        <w:tc>
          <w:tcPr>
            <w:tcW w:w="4251" w:type="dxa"/>
            <w:shd w:val="clear" w:color="auto" w:fill="auto"/>
            <w:hideMark/>
          </w:tcPr>
          <w:p w:rsidR="008F232E" w:rsidRPr="000422C2" w:rsidRDefault="00152688" w:rsidP="00206EFA">
            <w:pPr>
              <w:pStyle w:val="Tabletext"/>
            </w:pPr>
            <w:r w:rsidRPr="000422C2">
              <w:t xml:space="preserve">To support </w:t>
            </w:r>
            <w:r w:rsidR="00532BCA" w:rsidRPr="000422C2">
              <w:t xml:space="preserve">eligible </w:t>
            </w:r>
            <w:r w:rsidRPr="000422C2">
              <w:t>young people exiting out</w:t>
            </w:r>
            <w:r w:rsidR="000422C2">
              <w:noBreakHyphen/>
            </w:r>
            <w:r w:rsidRPr="000422C2">
              <w:t>of</w:t>
            </w:r>
            <w:r w:rsidR="000422C2">
              <w:noBreakHyphen/>
            </w:r>
            <w:r w:rsidRPr="000422C2">
              <w:t>home care to meet some of the costs of moving from care to independent living and promote long</w:t>
            </w:r>
            <w:r w:rsidR="000422C2">
              <w:noBreakHyphen/>
            </w:r>
            <w:r w:rsidRPr="000422C2">
              <w:t>term</w:t>
            </w:r>
            <w:r w:rsidR="00CD1A35" w:rsidRPr="000422C2">
              <w:t xml:space="preserve"> economic and social stability </w:t>
            </w:r>
            <w:r w:rsidR="00206EFA" w:rsidRPr="000422C2">
              <w:t>b</w:t>
            </w:r>
            <w:r w:rsidR="00B3179B" w:rsidRPr="000422C2">
              <w:t>y providing one or more of the following</w:t>
            </w:r>
            <w:r w:rsidR="008F232E" w:rsidRPr="000422C2">
              <w:t>:</w:t>
            </w:r>
          </w:p>
          <w:p w:rsidR="00152688" w:rsidRPr="000422C2" w:rsidRDefault="008F232E" w:rsidP="008F232E">
            <w:pPr>
              <w:pStyle w:val="Tablea"/>
            </w:pPr>
            <w:r w:rsidRPr="000422C2">
              <w:t xml:space="preserve">(a) </w:t>
            </w:r>
            <w:r w:rsidR="00206EFA" w:rsidRPr="000422C2">
              <w:t xml:space="preserve">funding </w:t>
            </w:r>
            <w:r w:rsidRPr="000422C2">
              <w:t>for goods and services</w:t>
            </w:r>
            <w:r w:rsidR="00152688" w:rsidRPr="000422C2">
              <w:t>:</w:t>
            </w:r>
          </w:p>
          <w:p w:rsidR="00CD1A35" w:rsidRPr="000422C2" w:rsidRDefault="00B3179B" w:rsidP="00B3179B">
            <w:pPr>
              <w:pStyle w:val="Tablei"/>
            </w:pPr>
            <w:r w:rsidRPr="000422C2">
              <w:t>(i</w:t>
            </w:r>
            <w:r w:rsidR="00CD1A35" w:rsidRPr="000422C2">
              <w:t>)</w:t>
            </w:r>
            <w:r w:rsidR="00206EFA" w:rsidRPr="000422C2">
              <w:t xml:space="preserve"> </w:t>
            </w:r>
            <w:r w:rsidR="008F232E" w:rsidRPr="000422C2">
              <w:t xml:space="preserve">necessary to support the transition to independence </w:t>
            </w:r>
            <w:r w:rsidR="00206EFA" w:rsidRPr="000422C2">
              <w:t xml:space="preserve">in line with the goals outlined in </w:t>
            </w:r>
            <w:r w:rsidR="00CD1A35" w:rsidRPr="000422C2">
              <w:t>a</w:t>
            </w:r>
            <w:r w:rsidR="00206EFA" w:rsidRPr="000422C2">
              <w:t xml:space="preserve"> transition to independence plan </w:t>
            </w:r>
            <w:r w:rsidR="008F232E" w:rsidRPr="000422C2">
              <w:t>(</w:t>
            </w:r>
            <w:r w:rsidR="00206EFA" w:rsidRPr="000422C2">
              <w:t xml:space="preserve">under which the exact use of payments is agreed upon by the young person </w:t>
            </w:r>
            <w:r w:rsidR="00CD1A35" w:rsidRPr="000422C2">
              <w:t xml:space="preserve">concerned </w:t>
            </w:r>
            <w:r w:rsidR="00206EFA" w:rsidRPr="000422C2">
              <w:t xml:space="preserve">and </w:t>
            </w:r>
            <w:r w:rsidR="00CD1A35" w:rsidRPr="000422C2">
              <w:t>his or her</w:t>
            </w:r>
            <w:r w:rsidR="00206EFA" w:rsidRPr="000422C2">
              <w:t xml:space="preserve"> case worker</w:t>
            </w:r>
            <w:r w:rsidR="008F232E" w:rsidRPr="000422C2">
              <w:t>)</w:t>
            </w:r>
            <w:r w:rsidR="00CD1A35" w:rsidRPr="000422C2">
              <w:t>; and</w:t>
            </w:r>
          </w:p>
          <w:p w:rsidR="00B3179B" w:rsidRPr="000422C2" w:rsidRDefault="00B3179B" w:rsidP="00B3179B">
            <w:pPr>
              <w:pStyle w:val="Tablei"/>
            </w:pPr>
            <w:r w:rsidRPr="000422C2">
              <w:t>(ii</w:t>
            </w:r>
            <w:r w:rsidR="00CD1A35" w:rsidRPr="000422C2">
              <w:t>) which</w:t>
            </w:r>
            <w:r w:rsidR="00206EFA" w:rsidRPr="000422C2">
              <w:t xml:space="preserve"> may include </w:t>
            </w:r>
            <w:r w:rsidR="008F232E" w:rsidRPr="000422C2">
              <w:t xml:space="preserve">funding for </w:t>
            </w:r>
            <w:r w:rsidR="00206EFA" w:rsidRPr="000422C2">
              <w:t>costs associated with securing stable accommodation</w:t>
            </w:r>
            <w:r w:rsidR="001F7504" w:rsidRPr="000422C2">
              <w:t xml:space="preserve"> or the</w:t>
            </w:r>
            <w:r w:rsidR="00206EFA" w:rsidRPr="000422C2">
              <w:t xml:space="preserve"> purchase of essential household items</w:t>
            </w:r>
            <w:r w:rsidRPr="000422C2">
              <w:t>;</w:t>
            </w:r>
          </w:p>
          <w:p w:rsidR="00206EFA" w:rsidRPr="000422C2" w:rsidRDefault="00B3179B" w:rsidP="00206EFA">
            <w:pPr>
              <w:pStyle w:val="Tablea"/>
              <w:rPr>
                <w:color w:val="000000"/>
              </w:rPr>
            </w:pPr>
            <w:r w:rsidRPr="000422C2">
              <w:rPr>
                <w:color w:val="000000"/>
              </w:rPr>
              <w:t xml:space="preserve">(b) </w:t>
            </w:r>
            <w:r w:rsidR="00206EFA" w:rsidRPr="000422C2">
              <w:rPr>
                <w:color w:val="000000"/>
              </w:rPr>
              <w:t>support to</w:t>
            </w:r>
            <w:r w:rsidR="008F232E" w:rsidRPr="000422C2">
              <w:rPr>
                <w:color w:val="000000"/>
              </w:rPr>
              <w:t xml:space="preserve"> access e</w:t>
            </w:r>
            <w:r w:rsidR="00F42DC8" w:rsidRPr="000422C2">
              <w:rPr>
                <w:color w:val="000000"/>
              </w:rPr>
              <w:t>ducation, training or transport.</w:t>
            </w:r>
          </w:p>
          <w:p w:rsidR="004908A5" w:rsidRPr="000422C2" w:rsidRDefault="004908A5" w:rsidP="004908A5">
            <w:pPr>
              <w:pStyle w:val="Tabletext"/>
            </w:pPr>
            <w:r w:rsidRPr="000422C2">
              <w:t>This objective also has the effect it would have if it were limited to providing support:</w:t>
            </w:r>
          </w:p>
          <w:p w:rsidR="00206EFA" w:rsidRPr="000422C2" w:rsidRDefault="009C64C4" w:rsidP="00206EFA">
            <w:pPr>
              <w:pStyle w:val="Tablea"/>
            </w:pPr>
            <w:r w:rsidRPr="000422C2">
              <w:t>(a</w:t>
            </w:r>
            <w:r w:rsidR="00206EFA" w:rsidRPr="000422C2">
              <w:t>) by providing family allowances, child endowment, unemployment benefits and benefits to students;</w:t>
            </w:r>
            <w:r w:rsidRPr="000422C2">
              <w:t xml:space="preserve"> or</w:t>
            </w:r>
          </w:p>
          <w:p w:rsidR="00206EFA" w:rsidRPr="000422C2" w:rsidRDefault="009C64C4" w:rsidP="00206EFA">
            <w:pPr>
              <w:pStyle w:val="Tablea"/>
            </w:pPr>
            <w:r w:rsidRPr="000422C2">
              <w:t>(b</w:t>
            </w:r>
            <w:r w:rsidR="00206EFA" w:rsidRPr="000422C2">
              <w:t xml:space="preserve">) by engaging in measures to meet Australia’s </w:t>
            </w:r>
            <w:r w:rsidR="00927FB9" w:rsidRPr="000422C2">
              <w:t xml:space="preserve">international </w:t>
            </w:r>
            <w:r w:rsidR="00206EFA" w:rsidRPr="000422C2">
              <w:t>obligations in relation to children, in particular those under the Convention on the Rights of the Child;</w:t>
            </w:r>
            <w:r w:rsidRPr="000422C2">
              <w:t xml:space="preserve"> or</w:t>
            </w:r>
          </w:p>
          <w:p w:rsidR="00206EFA" w:rsidRPr="000422C2" w:rsidRDefault="009C64C4" w:rsidP="00206EFA">
            <w:pPr>
              <w:pStyle w:val="Tablea"/>
            </w:pPr>
            <w:r w:rsidRPr="000422C2">
              <w:t>(c</w:t>
            </w:r>
            <w:r w:rsidR="00206EFA" w:rsidRPr="000422C2">
              <w:t>) in a Territory;</w:t>
            </w:r>
            <w:r w:rsidRPr="000422C2">
              <w:t xml:space="preserve"> or</w:t>
            </w:r>
          </w:p>
          <w:p w:rsidR="00152688" w:rsidRPr="000422C2" w:rsidRDefault="009C64C4" w:rsidP="00921C23">
            <w:pPr>
              <w:pStyle w:val="Tablea"/>
            </w:pPr>
            <w:r w:rsidRPr="000422C2">
              <w:t>(d</w:t>
            </w:r>
            <w:r w:rsidR="00206EFA" w:rsidRPr="000422C2">
              <w:t>) by engaging in measures that are peculiarly adapted to the government of a nation and cannot otherwise be carried on for the benefit of the nation.</w:t>
            </w:r>
          </w:p>
        </w:tc>
      </w:tr>
      <w:tr w:rsidR="00FD6659" w:rsidRPr="000422C2" w:rsidTr="00786143">
        <w:tc>
          <w:tcPr>
            <w:tcW w:w="714" w:type="dxa"/>
            <w:shd w:val="clear" w:color="auto" w:fill="auto"/>
            <w:hideMark/>
          </w:tcPr>
          <w:p w:rsidR="00FD6659" w:rsidRPr="000422C2" w:rsidRDefault="00FD6659" w:rsidP="005D00FA">
            <w:pPr>
              <w:pStyle w:val="Tabletext"/>
            </w:pPr>
            <w:r w:rsidRPr="000422C2">
              <w:t>4</w:t>
            </w:r>
            <w:r w:rsidR="00786143" w:rsidRPr="000422C2">
              <w:t>2</w:t>
            </w:r>
          </w:p>
        </w:tc>
        <w:tc>
          <w:tcPr>
            <w:tcW w:w="2115" w:type="dxa"/>
            <w:shd w:val="clear" w:color="auto" w:fill="auto"/>
            <w:hideMark/>
          </w:tcPr>
          <w:p w:rsidR="00FD6659" w:rsidRPr="000422C2" w:rsidRDefault="008805D2" w:rsidP="008805D2">
            <w:pPr>
              <w:pStyle w:val="Tabletext"/>
            </w:pPr>
            <w:r w:rsidRPr="000422C2">
              <w:t>Settlement Service</w:t>
            </w:r>
            <w:r w:rsidR="008C6115" w:rsidRPr="000422C2">
              <w:t>s</w:t>
            </w:r>
          </w:p>
        </w:tc>
        <w:tc>
          <w:tcPr>
            <w:tcW w:w="4251" w:type="dxa"/>
            <w:shd w:val="clear" w:color="auto" w:fill="auto"/>
            <w:hideMark/>
          </w:tcPr>
          <w:p w:rsidR="00532BCA" w:rsidRPr="000422C2" w:rsidRDefault="008C6115" w:rsidP="008C6115">
            <w:pPr>
              <w:pStyle w:val="Tabletext"/>
            </w:pPr>
            <w:r w:rsidRPr="000422C2">
              <w:t xml:space="preserve">To provide settlement support for humanitarian entrants and other eligible migrants in their first </w:t>
            </w:r>
            <w:r w:rsidR="00305801" w:rsidRPr="000422C2">
              <w:t xml:space="preserve">5 </w:t>
            </w:r>
            <w:r w:rsidRPr="000422C2">
              <w:t>years of life in Australia to become self</w:t>
            </w:r>
            <w:r w:rsidR="000422C2">
              <w:noBreakHyphen/>
            </w:r>
            <w:r w:rsidRPr="000422C2">
              <w:t>reliant and participate equitably in Australian society and to minimise longer</w:t>
            </w:r>
            <w:r w:rsidR="000422C2">
              <w:noBreakHyphen/>
            </w:r>
            <w:r w:rsidRPr="000422C2">
              <w:t>term reliance on Common</w:t>
            </w:r>
            <w:r w:rsidR="0008162C" w:rsidRPr="000422C2">
              <w:t xml:space="preserve">wealth </w:t>
            </w:r>
            <w:r w:rsidR="00532BCA" w:rsidRPr="000422C2">
              <w:t>provided social services by providing funding for the following:</w:t>
            </w:r>
          </w:p>
          <w:p w:rsidR="00532BCA" w:rsidRPr="000422C2" w:rsidRDefault="00532BCA" w:rsidP="00532BCA">
            <w:pPr>
              <w:pStyle w:val="Tablea"/>
            </w:pPr>
            <w:r w:rsidRPr="000422C2">
              <w:t xml:space="preserve">(a) humanitarian settlement services </w:t>
            </w:r>
            <w:r w:rsidR="0056414B" w:rsidRPr="000422C2">
              <w:t>that</w:t>
            </w:r>
            <w:r w:rsidR="007B22C4" w:rsidRPr="000422C2">
              <w:t xml:space="preserve"> deliver</w:t>
            </w:r>
            <w:r w:rsidRPr="000422C2">
              <w:t xml:space="preserve"> early practical support </w:t>
            </w:r>
            <w:r w:rsidR="007B22C4" w:rsidRPr="000422C2">
              <w:t xml:space="preserve">(during the 6 to 12 months following arrival) to enable humanitarian entrants </w:t>
            </w:r>
            <w:r w:rsidRPr="000422C2">
              <w:t>to become self</w:t>
            </w:r>
            <w:r w:rsidR="000422C2">
              <w:noBreakHyphen/>
            </w:r>
            <w:r w:rsidRPr="000422C2">
              <w:t>reliant and participate equitably in Australian society;</w:t>
            </w:r>
          </w:p>
          <w:p w:rsidR="0056414B" w:rsidRPr="000422C2" w:rsidRDefault="0056414B" w:rsidP="00532BCA">
            <w:pPr>
              <w:pStyle w:val="Tablea"/>
            </w:pPr>
            <w:r w:rsidRPr="000422C2">
              <w:t>(b) settlement services activities that deliver services to humanitarian entrants and other migrants in their first 5 year in Australia;</w:t>
            </w:r>
          </w:p>
          <w:p w:rsidR="00532BCA" w:rsidRPr="000422C2" w:rsidRDefault="00532BCA" w:rsidP="00532BCA">
            <w:pPr>
              <w:pStyle w:val="Tablea"/>
            </w:pPr>
            <w:r w:rsidRPr="000422C2">
              <w:t>(</w:t>
            </w:r>
            <w:r w:rsidR="0056414B" w:rsidRPr="000422C2">
              <w:t>c</w:t>
            </w:r>
            <w:r w:rsidRPr="000422C2">
              <w:t>) support services to enable persons with complex needs to become self</w:t>
            </w:r>
            <w:r w:rsidR="000422C2">
              <w:noBreakHyphen/>
            </w:r>
            <w:r w:rsidRPr="000422C2">
              <w:t>reliant and to participate equitably in Australian society;</w:t>
            </w:r>
          </w:p>
          <w:p w:rsidR="00532BCA" w:rsidRPr="000422C2" w:rsidRDefault="0056414B" w:rsidP="00532BCA">
            <w:pPr>
              <w:pStyle w:val="Tablea"/>
            </w:pPr>
            <w:r w:rsidRPr="000422C2">
              <w:t>(d</w:t>
            </w:r>
            <w:r w:rsidR="00532BCA" w:rsidRPr="000422C2">
              <w:t>) peak bodies involved in the settlement of persons who arrive in Australia;</w:t>
            </w:r>
          </w:p>
          <w:p w:rsidR="00532BCA" w:rsidRPr="000422C2" w:rsidRDefault="0056414B" w:rsidP="00532BCA">
            <w:pPr>
              <w:pStyle w:val="Tablea"/>
            </w:pPr>
            <w:r w:rsidRPr="000422C2">
              <w:t>(e</w:t>
            </w:r>
            <w:r w:rsidR="00532BCA" w:rsidRPr="000422C2">
              <w:t>) pre</w:t>
            </w:r>
            <w:r w:rsidR="000422C2">
              <w:noBreakHyphen/>
            </w:r>
            <w:r w:rsidR="00532BCA" w:rsidRPr="000422C2">
              <w:t>arrival orientation and information services to persons who have been granted humanitarian visas;</w:t>
            </w:r>
          </w:p>
          <w:p w:rsidR="007B22C4" w:rsidRPr="000422C2" w:rsidRDefault="0056414B" w:rsidP="00532BCA">
            <w:pPr>
              <w:pStyle w:val="Tablea"/>
            </w:pPr>
            <w:r w:rsidRPr="000422C2">
              <w:t>(f</w:t>
            </w:r>
            <w:r w:rsidR="00532BCA" w:rsidRPr="000422C2">
              <w:t>) free interpreting services fo</w:t>
            </w:r>
            <w:r w:rsidR="007B22C4" w:rsidRPr="000422C2">
              <w:t>r persons settling in Australia;</w:t>
            </w:r>
          </w:p>
          <w:p w:rsidR="00532BCA" w:rsidRPr="000422C2" w:rsidRDefault="0056414B" w:rsidP="00532BCA">
            <w:pPr>
              <w:pStyle w:val="Tablea"/>
            </w:pPr>
            <w:r w:rsidRPr="000422C2">
              <w:t>(g</w:t>
            </w:r>
            <w:r w:rsidR="007B22C4" w:rsidRPr="000422C2">
              <w:t xml:space="preserve">) </w:t>
            </w:r>
            <w:r w:rsidR="004E254A" w:rsidRPr="000422C2">
              <w:t>the translation of settlement</w:t>
            </w:r>
            <w:r w:rsidR="000422C2">
              <w:noBreakHyphen/>
            </w:r>
            <w:r w:rsidR="00532BCA" w:rsidRPr="000422C2">
              <w:t>related documents;</w:t>
            </w:r>
          </w:p>
          <w:p w:rsidR="00532BCA" w:rsidRPr="000422C2" w:rsidRDefault="0056414B" w:rsidP="00532BCA">
            <w:pPr>
              <w:pStyle w:val="Tablea"/>
            </w:pPr>
            <w:r w:rsidRPr="000422C2">
              <w:t>(h</w:t>
            </w:r>
            <w:r w:rsidR="00532BCA" w:rsidRPr="000422C2">
              <w:t>) to:</w:t>
            </w:r>
          </w:p>
          <w:p w:rsidR="00532BCA" w:rsidRPr="000422C2" w:rsidRDefault="00532BCA" w:rsidP="00532BCA">
            <w:pPr>
              <w:pStyle w:val="Tablei"/>
            </w:pPr>
            <w:r w:rsidRPr="000422C2">
              <w:t>(i) set and maintain national standards for translating and interpreting; and</w:t>
            </w:r>
          </w:p>
          <w:p w:rsidR="00532BCA" w:rsidRPr="000422C2" w:rsidRDefault="00532BCA" w:rsidP="00532BCA">
            <w:pPr>
              <w:pStyle w:val="Tablei"/>
            </w:pPr>
            <w:r w:rsidRPr="000422C2">
              <w:t>(ii) support the ongoing development of credentiale</w:t>
            </w:r>
            <w:r w:rsidR="00456A57" w:rsidRPr="000422C2">
              <w:t>d translators and interpreters;</w:t>
            </w:r>
          </w:p>
          <w:p w:rsidR="00532BCA" w:rsidRPr="000422C2" w:rsidRDefault="0056414B" w:rsidP="00456A57">
            <w:pPr>
              <w:pStyle w:val="Tablea"/>
            </w:pPr>
            <w:r w:rsidRPr="000422C2">
              <w:t>(i</w:t>
            </w:r>
            <w:r w:rsidR="00532BCA" w:rsidRPr="000422C2">
              <w:t xml:space="preserve">) </w:t>
            </w:r>
            <w:r w:rsidR="00456A57" w:rsidRPr="000422C2">
              <w:t xml:space="preserve">to </w:t>
            </w:r>
            <w:r w:rsidR="00532BCA" w:rsidRPr="000422C2">
              <w:t>support Australian residents not fluent in English to access mainstream services;</w:t>
            </w:r>
          </w:p>
          <w:p w:rsidR="00456A57" w:rsidRPr="000422C2" w:rsidRDefault="0056414B" w:rsidP="004573D1">
            <w:pPr>
              <w:pStyle w:val="Tablea"/>
            </w:pPr>
            <w:r w:rsidRPr="000422C2">
              <w:t>(j</w:t>
            </w:r>
            <w:r w:rsidR="00532BCA" w:rsidRPr="000422C2">
              <w:t>) research and stakeholder engagement, including funding for national peak bodies and other stakeholder organisations.</w:t>
            </w:r>
          </w:p>
          <w:p w:rsidR="004908A5" w:rsidRPr="000422C2" w:rsidRDefault="004908A5" w:rsidP="004908A5">
            <w:pPr>
              <w:pStyle w:val="Tabletext"/>
            </w:pPr>
            <w:r w:rsidRPr="000422C2">
              <w:t>This objective also has the effect it would have if it were limited to providing support:</w:t>
            </w:r>
          </w:p>
          <w:p w:rsidR="008C6115" w:rsidRPr="000422C2" w:rsidRDefault="004908A5" w:rsidP="008C6115">
            <w:pPr>
              <w:pStyle w:val="Tablea"/>
            </w:pPr>
            <w:r w:rsidRPr="000422C2">
              <w:t>(a</w:t>
            </w:r>
            <w:r w:rsidR="008C6115" w:rsidRPr="000422C2">
              <w:t>) by engaging in measures in relation to aliens or immigrants;</w:t>
            </w:r>
            <w:r w:rsidRPr="000422C2">
              <w:t xml:space="preserve"> or</w:t>
            </w:r>
          </w:p>
          <w:p w:rsidR="008C6115" w:rsidRPr="000422C2" w:rsidRDefault="004908A5" w:rsidP="008C6115">
            <w:pPr>
              <w:pStyle w:val="Tablea"/>
            </w:pPr>
            <w:r w:rsidRPr="000422C2">
              <w:t>(b</w:t>
            </w:r>
            <w:r w:rsidR="008C6115" w:rsidRPr="000422C2">
              <w:t>) by providing unemployment benefits and benefits to students;</w:t>
            </w:r>
            <w:r w:rsidRPr="000422C2">
              <w:t xml:space="preserve"> or</w:t>
            </w:r>
          </w:p>
          <w:p w:rsidR="00FD6659" w:rsidRPr="000422C2" w:rsidRDefault="004908A5" w:rsidP="008C6115">
            <w:pPr>
              <w:pStyle w:val="Tablea"/>
            </w:pPr>
            <w:r w:rsidRPr="000422C2">
              <w:t>(c</w:t>
            </w:r>
            <w:r w:rsidR="008C6115" w:rsidRPr="000422C2">
              <w:t>) by engaging in measures that are peculiarly adapted to the government of a nation and cannot otherwise be carried on for the benefit of the nation.</w:t>
            </w:r>
          </w:p>
        </w:tc>
      </w:tr>
      <w:tr w:rsidR="008C6115" w:rsidRPr="000422C2" w:rsidTr="00786143">
        <w:tc>
          <w:tcPr>
            <w:tcW w:w="714" w:type="dxa"/>
            <w:shd w:val="clear" w:color="auto" w:fill="auto"/>
            <w:hideMark/>
          </w:tcPr>
          <w:p w:rsidR="008C6115" w:rsidRPr="000422C2" w:rsidRDefault="008C6115" w:rsidP="005D00FA">
            <w:pPr>
              <w:pStyle w:val="Tabletext"/>
            </w:pPr>
            <w:r w:rsidRPr="000422C2">
              <w:t>4</w:t>
            </w:r>
            <w:r w:rsidR="00786143" w:rsidRPr="000422C2">
              <w:t>3</w:t>
            </w:r>
          </w:p>
        </w:tc>
        <w:tc>
          <w:tcPr>
            <w:tcW w:w="2115" w:type="dxa"/>
            <w:shd w:val="clear" w:color="auto" w:fill="auto"/>
            <w:hideMark/>
          </w:tcPr>
          <w:p w:rsidR="008C6115" w:rsidRPr="000422C2" w:rsidRDefault="005D00FA" w:rsidP="005D00FA">
            <w:pPr>
              <w:pStyle w:val="Tabletext"/>
            </w:pPr>
            <w:r w:rsidRPr="000422C2">
              <w:t>Financial Wellbeing and Capability</w:t>
            </w:r>
          </w:p>
        </w:tc>
        <w:tc>
          <w:tcPr>
            <w:tcW w:w="4251" w:type="dxa"/>
            <w:shd w:val="clear" w:color="auto" w:fill="auto"/>
            <w:hideMark/>
          </w:tcPr>
          <w:p w:rsidR="005D00FA" w:rsidRPr="000422C2" w:rsidRDefault="005D00FA" w:rsidP="005D00FA">
            <w:pPr>
              <w:pStyle w:val="Tabletext"/>
            </w:pPr>
            <w:r w:rsidRPr="000422C2">
              <w:t>To:</w:t>
            </w:r>
          </w:p>
          <w:p w:rsidR="005D00FA" w:rsidRPr="000422C2" w:rsidRDefault="005D00FA" w:rsidP="005D00FA">
            <w:pPr>
              <w:pStyle w:val="Tablea"/>
            </w:pPr>
            <w:r w:rsidRPr="000422C2">
              <w:t>(a) improve the financial knowledge, skills and capabilities and financial resilience of vulnerable individuals and families; and</w:t>
            </w:r>
          </w:p>
          <w:p w:rsidR="005D00FA" w:rsidRPr="000422C2" w:rsidRDefault="005D00FA" w:rsidP="005D00FA">
            <w:pPr>
              <w:pStyle w:val="Tablea"/>
            </w:pPr>
            <w:r w:rsidRPr="000422C2">
              <w:t>(b) in relation to problem gambling:</w:t>
            </w:r>
          </w:p>
          <w:p w:rsidR="005D00FA" w:rsidRPr="000422C2" w:rsidRDefault="005D00FA" w:rsidP="005D00FA">
            <w:pPr>
              <w:pStyle w:val="Tablei"/>
            </w:pPr>
            <w:r w:rsidRPr="000422C2">
              <w:t>(i) alleviate the immediate impact of financial stress; and</w:t>
            </w:r>
          </w:p>
          <w:p w:rsidR="005D00FA" w:rsidRPr="000422C2" w:rsidRDefault="005D00FA" w:rsidP="005D00FA">
            <w:pPr>
              <w:pStyle w:val="Tablei"/>
            </w:pPr>
            <w:r w:rsidRPr="000422C2">
              <w:t>(ii) progress initiatives and assist those at risk of homelessness;</w:t>
            </w:r>
          </w:p>
          <w:p w:rsidR="00532BCA" w:rsidRPr="000422C2" w:rsidRDefault="00532BCA" w:rsidP="00532BCA">
            <w:pPr>
              <w:pStyle w:val="Tabletext"/>
            </w:pPr>
            <w:r w:rsidRPr="000422C2">
              <w:t>by providing funding for the following:</w:t>
            </w:r>
          </w:p>
          <w:p w:rsidR="00532BCA" w:rsidRPr="000422C2" w:rsidRDefault="00532BCA" w:rsidP="00532BCA">
            <w:pPr>
              <w:pStyle w:val="Tablea"/>
            </w:pPr>
            <w:r w:rsidRPr="000422C2">
              <w:t>(c) crisis support, financial capability</w:t>
            </w:r>
            <w:r w:rsidR="000422C2">
              <w:noBreakHyphen/>
            </w:r>
            <w:r w:rsidRPr="000422C2">
              <w:t>building services, financial counselling and access to microfinance products;</w:t>
            </w:r>
          </w:p>
          <w:p w:rsidR="00532BCA" w:rsidRPr="000422C2" w:rsidRDefault="00532BCA" w:rsidP="00532BCA">
            <w:pPr>
              <w:pStyle w:val="Tablea"/>
            </w:pPr>
            <w:r w:rsidRPr="000422C2">
              <w:t>(d) research and consultation, engagement activities and expert advice to inform the Commonwealth on issu</w:t>
            </w:r>
            <w:r w:rsidR="004908A5" w:rsidRPr="000422C2">
              <w:t>es relating to problem gambling.</w:t>
            </w:r>
          </w:p>
          <w:p w:rsidR="004908A5" w:rsidRPr="000422C2" w:rsidRDefault="004908A5" w:rsidP="004908A5">
            <w:pPr>
              <w:pStyle w:val="Tabletext"/>
            </w:pPr>
            <w:r w:rsidRPr="000422C2">
              <w:t>This objective also has the effect it would have if it were limited to providing finding:</w:t>
            </w:r>
          </w:p>
          <w:p w:rsidR="005D00FA" w:rsidRPr="000422C2" w:rsidRDefault="005D00FA" w:rsidP="005D00FA">
            <w:pPr>
              <w:pStyle w:val="Tablea"/>
            </w:pPr>
            <w:r w:rsidRPr="000422C2">
              <w:t>(</w:t>
            </w:r>
            <w:r w:rsidR="004908A5" w:rsidRPr="000422C2">
              <w:t>a</w:t>
            </w:r>
            <w:r w:rsidRPr="000422C2">
              <w:t>) by providing unemployment benefits;</w:t>
            </w:r>
            <w:r w:rsidR="004908A5" w:rsidRPr="000422C2">
              <w:t xml:space="preserve"> or</w:t>
            </w:r>
          </w:p>
          <w:p w:rsidR="005D00FA" w:rsidRPr="000422C2" w:rsidRDefault="004908A5" w:rsidP="005D00FA">
            <w:pPr>
              <w:pStyle w:val="Tablea"/>
            </w:pPr>
            <w:r w:rsidRPr="000422C2">
              <w:t>(b</w:t>
            </w:r>
            <w:r w:rsidR="005D00FA" w:rsidRPr="000422C2">
              <w:t xml:space="preserve">) by engaging in measures to meet Australia’s </w:t>
            </w:r>
            <w:r w:rsidR="00D124B2" w:rsidRPr="000422C2">
              <w:t xml:space="preserve">international </w:t>
            </w:r>
            <w:r w:rsidR="005D00FA" w:rsidRPr="000422C2">
              <w:t>obligations in relation to children, in particular those under the Convention on the Rights of the Child;</w:t>
            </w:r>
            <w:r w:rsidRPr="000422C2">
              <w:t xml:space="preserve"> or</w:t>
            </w:r>
          </w:p>
          <w:p w:rsidR="005D00FA" w:rsidRPr="000422C2" w:rsidRDefault="004908A5" w:rsidP="005D00FA">
            <w:pPr>
              <w:pStyle w:val="Tablea"/>
            </w:pPr>
            <w:r w:rsidRPr="000422C2">
              <w:t>(c</w:t>
            </w:r>
            <w:r w:rsidR="005D00FA" w:rsidRPr="000422C2">
              <w:t xml:space="preserve">) by engaging in measures to meet Australia’s </w:t>
            </w:r>
            <w:r w:rsidR="00D124B2" w:rsidRPr="000422C2">
              <w:t xml:space="preserve">international </w:t>
            </w:r>
            <w:r w:rsidR="005D00FA" w:rsidRPr="000422C2">
              <w:t>obligatio</w:t>
            </w:r>
            <w:r w:rsidR="00031F70" w:rsidRPr="000422C2">
              <w:t>ns in relation to persons with</w:t>
            </w:r>
            <w:r w:rsidR="005D00FA" w:rsidRPr="000422C2">
              <w:t xml:space="preserve"> disabilit</w:t>
            </w:r>
            <w:r w:rsidR="00031F70" w:rsidRPr="000422C2">
              <w:t>ies</w:t>
            </w:r>
            <w:r w:rsidR="005D00FA" w:rsidRPr="000422C2">
              <w:t xml:space="preserve">, in particular </w:t>
            </w:r>
            <w:r w:rsidR="00275A47" w:rsidRPr="000422C2">
              <w:t xml:space="preserve">obligations </w:t>
            </w:r>
            <w:r w:rsidR="005D00FA" w:rsidRPr="000422C2">
              <w:t xml:space="preserve">under the Convention on the Rights of Persons with </w:t>
            </w:r>
            <w:r w:rsidR="00794206" w:rsidRPr="000422C2">
              <w:t>Disabilities;</w:t>
            </w:r>
            <w:r w:rsidRPr="000422C2">
              <w:t xml:space="preserve"> or</w:t>
            </w:r>
          </w:p>
          <w:p w:rsidR="005D00FA" w:rsidRPr="000422C2" w:rsidRDefault="004908A5" w:rsidP="005D00FA">
            <w:pPr>
              <w:pStyle w:val="Tablea"/>
            </w:pPr>
            <w:r w:rsidRPr="000422C2">
              <w:t>(d</w:t>
            </w:r>
            <w:r w:rsidR="00794206" w:rsidRPr="000422C2">
              <w:t>) in a Territory;</w:t>
            </w:r>
            <w:r w:rsidRPr="000422C2">
              <w:t xml:space="preserve"> or</w:t>
            </w:r>
          </w:p>
          <w:p w:rsidR="005D00FA" w:rsidRPr="000422C2" w:rsidRDefault="004908A5" w:rsidP="005D00FA">
            <w:pPr>
              <w:pStyle w:val="Tablea"/>
            </w:pPr>
            <w:r w:rsidRPr="000422C2">
              <w:t>(e</w:t>
            </w:r>
            <w:r w:rsidR="00794206" w:rsidRPr="000422C2">
              <w:t xml:space="preserve">) </w:t>
            </w:r>
            <w:r w:rsidR="0020770A" w:rsidRPr="000422C2">
              <w:t>by providing assistance to</w:t>
            </w:r>
            <w:r w:rsidR="005D00FA" w:rsidRPr="000422C2">
              <w:t xml:space="preserve"> trading, financial </w:t>
            </w:r>
            <w:r w:rsidR="0020770A" w:rsidRPr="000422C2">
              <w:t>and</w:t>
            </w:r>
            <w:r w:rsidR="005D00FA" w:rsidRPr="000422C2">
              <w:t xml:space="preserve"> foreign corporation</w:t>
            </w:r>
            <w:r w:rsidR="0020770A" w:rsidRPr="000422C2">
              <w:t>s</w:t>
            </w:r>
            <w:r w:rsidR="005D00FA" w:rsidRPr="000422C2">
              <w:t xml:space="preserve"> </w:t>
            </w:r>
            <w:r w:rsidR="00794206" w:rsidRPr="000422C2">
              <w:t xml:space="preserve">to which </w:t>
            </w:r>
            <w:r w:rsidR="005D00FA" w:rsidRPr="000422C2">
              <w:t>paragraph</w:t>
            </w:r>
            <w:r w:rsidR="000422C2" w:rsidRPr="000422C2">
              <w:t> </w:t>
            </w:r>
            <w:r w:rsidR="005D00FA" w:rsidRPr="000422C2">
              <w:t xml:space="preserve">51(xx) of the Constitution </w:t>
            </w:r>
            <w:r w:rsidR="00794206" w:rsidRPr="000422C2">
              <w:t xml:space="preserve">applies </w:t>
            </w:r>
            <w:r w:rsidR="005D00FA" w:rsidRPr="000422C2">
              <w:t>where the assistance relates to the existing</w:t>
            </w:r>
            <w:r w:rsidR="00794206" w:rsidRPr="000422C2">
              <w:t xml:space="preserve"> activities of the corporation</w:t>
            </w:r>
            <w:r w:rsidR="0020770A" w:rsidRPr="000422C2">
              <w:t>s</w:t>
            </w:r>
            <w:r w:rsidR="00794206" w:rsidRPr="000422C2">
              <w:t>;</w:t>
            </w:r>
            <w:r w:rsidRPr="000422C2">
              <w:t xml:space="preserve"> or</w:t>
            </w:r>
          </w:p>
          <w:p w:rsidR="005D00FA" w:rsidRPr="000422C2" w:rsidRDefault="004908A5" w:rsidP="005D00FA">
            <w:pPr>
              <w:pStyle w:val="Tablea"/>
            </w:pPr>
            <w:r w:rsidRPr="000422C2">
              <w:t>(f</w:t>
            </w:r>
            <w:r w:rsidR="00794206" w:rsidRPr="000422C2">
              <w:t xml:space="preserve">) </w:t>
            </w:r>
            <w:r w:rsidR="005D00FA" w:rsidRPr="000422C2">
              <w:t>in relation</w:t>
            </w:r>
            <w:r w:rsidR="00794206" w:rsidRPr="000422C2">
              <w:t xml:space="preserve"> to aliens or immigrants;</w:t>
            </w:r>
            <w:r w:rsidRPr="000422C2">
              <w:t xml:space="preserve"> or</w:t>
            </w:r>
          </w:p>
          <w:p w:rsidR="005D00FA" w:rsidRPr="000422C2" w:rsidRDefault="004908A5" w:rsidP="005D00FA">
            <w:pPr>
              <w:pStyle w:val="Tablea"/>
            </w:pPr>
            <w:r w:rsidRPr="000422C2">
              <w:t>(g</w:t>
            </w:r>
            <w:r w:rsidR="00794206" w:rsidRPr="000422C2">
              <w:t xml:space="preserve">) </w:t>
            </w:r>
            <w:r w:rsidR="005D00FA" w:rsidRPr="000422C2">
              <w:t xml:space="preserve">to assist persons who are insolvent or bankrupt to manage </w:t>
            </w:r>
            <w:r w:rsidR="00794206" w:rsidRPr="000422C2">
              <w:t>their insolvency or bankruptcy;</w:t>
            </w:r>
            <w:r w:rsidRPr="000422C2">
              <w:t xml:space="preserve"> or</w:t>
            </w:r>
          </w:p>
          <w:p w:rsidR="005D00FA" w:rsidRPr="000422C2" w:rsidRDefault="004908A5" w:rsidP="005D00FA">
            <w:pPr>
              <w:pStyle w:val="Tablea"/>
            </w:pPr>
            <w:r w:rsidRPr="000422C2">
              <w:t>(h</w:t>
            </w:r>
            <w:r w:rsidR="00794206" w:rsidRPr="000422C2">
              <w:t xml:space="preserve">) </w:t>
            </w:r>
            <w:r w:rsidR="005D00FA" w:rsidRPr="000422C2">
              <w:t>by providing grants of financial assi</w:t>
            </w:r>
            <w:r w:rsidR="00794206" w:rsidRPr="000422C2">
              <w:t>stance to a State or Territory;</w:t>
            </w:r>
            <w:r w:rsidRPr="000422C2">
              <w:t xml:space="preserve"> or</w:t>
            </w:r>
          </w:p>
          <w:p w:rsidR="005D00FA" w:rsidRPr="000422C2" w:rsidRDefault="004908A5" w:rsidP="005D00FA">
            <w:pPr>
              <w:pStyle w:val="Tablea"/>
            </w:pPr>
            <w:r w:rsidRPr="000422C2">
              <w:t>(i</w:t>
            </w:r>
            <w:r w:rsidR="00794206" w:rsidRPr="000422C2">
              <w:t xml:space="preserve">) </w:t>
            </w:r>
            <w:r w:rsidR="005D00FA" w:rsidRPr="000422C2">
              <w:t>by engaging in measures that are peculiarly adapted to the government of a nation and cannot otherwise be carried on</w:t>
            </w:r>
            <w:r w:rsidR="00794206" w:rsidRPr="000422C2">
              <w:t xml:space="preserve"> for the benefit of the nation;</w:t>
            </w:r>
            <w:r w:rsidRPr="000422C2">
              <w:t xml:space="preserve"> or</w:t>
            </w:r>
          </w:p>
          <w:p w:rsidR="008C6115" w:rsidRPr="000422C2" w:rsidRDefault="004908A5" w:rsidP="008624F0">
            <w:pPr>
              <w:pStyle w:val="Tablea"/>
            </w:pPr>
            <w:r w:rsidRPr="000422C2">
              <w:t>(j</w:t>
            </w:r>
            <w:r w:rsidR="00794206" w:rsidRPr="000422C2">
              <w:t xml:space="preserve">) in the exercise of the </w:t>
            </w:r>
            <w:r w:rsidR="005D00FA" w:rsidRPr="000422C2">
              <w:t>execu</w:t>
            </w:r>
            <w:r w:rsidR="008624F0" w:rsidRPr="000422C2">
              <w:t>tive power of the Commonwealth.</w:t>
            </w:r>
          </w:p>
        </w:tc>
      </w:tr>
      <w:tr w:rsidR="008624F0" w:rsidRPr="000422C2" w:rsidTr="00786143">
        <w:tc>
          <w:tcPr>
            <w:tcW w:w="714" w:type="dxa"/>
            <w:shd w:val="clear" w:color="auto" w:fill="auto"/>
            <w:hideMark/>
          </w:tcPr>
          <w:p w:rsidR="008624F0" w:rsidRPr="000422C2" w:rsidRDefault="00786143" w:rsidP="005D00FA">
            <w:pPr>
              <w:pStyle w:val="Tabletext"/>
            </w:pPr>
            <w:r w:rsidRPr="000422C2">
              <w:t>44</w:t>
            </w:r>
          </w:p>
        </w:tc>
        <w:tc>
          <w:tcPr>
            <w:tcW w:w="2115" w:type="dxa"/>
            <w:shd w:val="clear" w:color="auto" w:fill="auto"/>
            <w:hideMark/>
          </w:tcPr>
          <w:p w:rsidR="008624F0" w:rsidRPr="000422C2" w:rsidRDefault="008624F0" w:rsidP="008624F0">
            <w:pPr>
              <w:pStyle w:val="Tabletext"/>
            </w:pPr>
            <w:r w:rsidRPr="000422C2">
              <w:t>Civil Society</w:t>
            </w:r>
          </w:p>
        </w:tc>
        <w:tc>
          <w:tcPr>
            <w:tcW w:w="4251" w:type="dxa"/>
            <w:shd w:val="clear" w:color="auto" w:fill="auto"/>
            <w:hideMark/>
          </w:tcPr>
          <w:p w:rsidR="00921C23" w:rsidRPr="000422C2" w:rsidRDefault="008624F0" w:rsidP="008624F0">
            <w:pPr>
              <w:pStyle w:val="Tabletext"/>
            </w:pPr>
            <w:r w:rsidRPr="000422C2">
              <w:t>To</w:t>
            </w:r>
            <w:r w:rsidR="00921C23" w:rsidRPr="000422C2">
              <w:t xml:space="preserve"> do the following:</w:t>
            </w:r>
          </w:p>
          <w:p w:rsidR="008624F0" w:rsidRPr="000422C2" w:rsidRDefault="00921C23" w:rsidP="008624F0">
            <w:pPr>
              <w:pStyle w:val="Tablea"/>
            </w:pPr>
            <w:r w:rsidRPr="000422C2">
              <w:t xml:space="preserve">(a) </w:t>
            </w:r>
            <w:r w:rsidR="008624F0" w:rsidRPr="000422C2">
              <w:t>support charities and non</w:t>
            </w:r>
            <w:r w:rsidR="000422C2">
              <w:noBreakHyphen/>
            </w:r>
            <w:r w:rsidR="008624F0" w:rsidRPr="000422C2">
              <w:t>government and not</w:t>
            </w:r>
            <w:r w:rsidR="000422C2">
              <w:noBreakHyphen/>
            </w:r>
            <w:r w:rsidR="008624F0" w:rsidRPr="000422C2">
              <w:t>for</w:t>
            </w:r>
            <w:r w:rsidR="000422C2">
              <w:noBreakHyphen/>
            </w:r>
            <w:r w:rsidR="008624F0" w:rsidRPr="000422C2">
              <w:t>profit organisations through education, training and fostering innovation to continue to</w:t>
            </w:r>
            <w:r w:rsidRPr="000422C2">
              <w:t xml:space="preserve"> focus on their work in the community;</w:t>
            </w:r>
          </w:p>
          <w:p w:rsidR="00921C23" w:rsidRPr="000422C2" w:rsidRDefault="008624F0" w:rsidP="008624F0">
            <w:pPr>
              <w:pStyle w:val="Tablea"/>
            </w:pPr>
            <w:r w:rsidRPr="000422C2">
              <w:t>(b) foster a culture of philanthropic giving, cross</w:t>
            </w:r>
            <w:r w:rsidR="000422C2">
              <w:noBreakHyphen/>
            </w:r>
            <w:r w:rsidRPr="000422C2">
              <w:t>sector partnering, volunteering and corporate social responsibility</w:t>
            </w:r>
            <w:r w:rsidR="00921C23" w:rsidRPr="000422C2">
              <w:t>;</w:t>
            </w:r>
          </w:p>
          <w:p w:rsidR="00921C23" w:rsidRPr="000422C2" w:rsidRDefault="00921C23" w:rsidP="008624F0">
            <w:pPr>
              <w:pStyle w:val="Tablea"/>
            </w:pPr>
            <w:r w:rsidRPr="000422C2">
              <w:t xml:space="preserve">(c) </w:t>
            </w:r>
            <w:r w:rsidR="008624F0" w:rsidRPr="000422C2">
              <w:t>help build a strong civil society</w:t>
            </w:r>
            <w:r w:rsidR="004908A5" w:rsidRPr="000422C2">
              <w:t>.</w:t>
            </w:r>
          </w:p>
          <w:p w:rsidR="004908A5" w:rsidRPr="000422C2" w:rsidRDefault="004908A5" w:rsidP="004908A5">
            <w:pPr>
              <w:pStyle w:val="Tabletext"/>
            </w:pPr>
            <w:r w:rsidRPr="000422C2">
              <w:t>This objective also has the effect it would have if it were limited to providing funding or support:</w:t>
            </w:r>
          </w:p>
          <w:p w:rsidR="008624F0" w:rsidRPr="000422C2" w:rsidRDefault="004908A5" w:rsidP="00921C23">
            <w:pPr>
              <w:pStyle w:val="Tablea"/>
            </w:pPr>
            <w:r w:rsidRPr="000422C2">
              <w:t>(a</w:t>
            </w:r>
            <w:r w:rsidR="00921C23" w:rsidRPr="000422C2">
              <w:t xml:space="preserve">) </w:t>
            </w:r>
            <w:r w:rsidR="008624F0" w:rsidRPr="000422C2">
              <w:t>by providing grants of financial assi</w:t>
            </w:r>
            <w:r w:rsidR="00921C23" w:rsidRPr="000422C2">
              <w:t>stance to a State or Territory;</w:t>
            </w:r>
            <w:r w:rsidRPr="000422C2">
              <w:t xml:space="preserve"> or</w:t>
            </w:r>
          </w:p>
          <w:p w:rsidR="008624F0" w:rsidRPr="000422C2" w:rsidRDefault="004908A5" w:rsidP="00921C23">
            <w:pPr>
              <w:pStyle w:val="Tablea"/>
            </w:pPr>
            <w:r w:rsidRPr="000422C2">
              <w:t>(b</w:t>
            </w:r>
            <w:r w:rsidR="00921C23" w:rsidRPr="000422C2">
              <w:t xml:space="preserve">) </w:t>
            </w:r>
            <w:r w:rsidR="008624F0" w:rsidRPr="000422C2">
              <w:t>by engaging in measures that are peculiarly adapted to the government of a nation and cannot otherwise be carried on</w:t>
            </w:r>
            <w:r w:rsidR="00921C23" w:rsidRPr="000422C2">
              <w:t xml:space="preserve"> for the benefit of the nation;</w:t>
            </w:r>
            <w:r w:rsidRPr="000422C2">
              <w:t xml:space="preserve"> or</w:t>
            </w:r>
          </w:p>
          <w:p w:rsidR="008624F0" w:rsidRPr="000422C2" w:rsidRDefault="004908A5" w:rsidP="00921C23">
            <w:pPr>
              <w:pStyle w:val="Tablea"/>
            </w:pPr>
            <w:r w:rsidRPr="000422C2">
              <w:t>(c</w:t>
            </w:r>
            <w:r w:rsidR="00921C23" w:rsidRPr="000422C2">
              <w:t xml:space="preserve">) in the exercise of the </w:t>
            </w:r>
            <w:r w:rsidR="008624F0" w:rsidRPr="000422C2">
              <w:t>executive power of the Commonwealth.</w:t>
            </w:r>
          </w:p>
        </w:tc>
      </w:tr>
      <w:tr w:rsidR="008624F0" w:rsidRPr="000422C2" w:rsidTr="00786143">
        <w:tc>
          <w:tcPr>
            <w:tcW w:w="714" w:type="dxa"/>
            <w:shd w:val="clear" w:color="auto" w:fill="auto"/>
            <w:hideMark/>
          </w:tcPr>
          <w:p w:rsidR="008624F0" w:rsidRPr="000422C2" w:rsidRDefault="00786143" w:rsidP="00275A47">
            <w:pPr>
              <w:pStyle w:val="Tabletext"/>
            </w:pPr>
            <w:r w:rsidRPr="000422C2">
              <w:t>45</w:t>
            </w:r>
          </w:p>
        </w:tc>
        <w:tc>
          <w:tcPr>
            <w:tcW w:w="2115" w:type="dxa"/>
            <w:shd w:val="clear" w:color="auto" w:fill="auto"/>
            <w:hideMark/>
          </w:tcPr>
          <w:p w:rsidR="008624F0" w:rsidRPr="000422C2" w:rsidRDefault="00921C23" w:rsidP="00921C23">
            <w:pPr>
              <w:pStyle w:val="Tabletext"/>
            </w:pPr>
            <w:r w:rsidRPr="000422C2">
              <w:t>Families and Communities Service Improvement</w:t>
            </w:r>
          </w:p>
        </w:tc>
        <w:tc>
          <w:tcPr>
            <w:tcW w:w="4251" w:type="dxa"/>
            <w:shd w:val="clear" w:color="auto" w:fill="auto"/>
            <w:hideMark/>
          </w:tcPr>
          <w:p w:rsidR="00532BCA" w:rsidRPr="000422C2" w:rsidRDefault="00921C23" w:rsidP="00532BCA">
            <w:pPr>
              <w:pStyle w:val="Tabletext"/>
            </w:pPr>
            <w:r w:rsidRPr="000422C2">
              <w:t>To support and encourage the continuous improvement of Commonwealth</w:t>
            </w:r>
            <w:r w:rsidR="000422C2">
              <w:noBreakHyphen/>
            </w:r>
            <w:r w:rsidRPr="000422C2">
              <w:t xml:space="preserve">funded social services, </w:t>
            </w:r>
            <w:r w:rsidR="00532BCA" w:rsidRPr="000422C2">
              <w:t xml:space="preserve">by providing funding </w:t>
            </w:r>
            <w:r w:rsidR="001F7504" w:rsidRPr="000422C2">
              <w:t>as follows</w:t>
            </w:r>
            <w:r w:rsidR="00532BCA" w:rsidRPr="000422C2">
              <w:t>:</w:t>
            </w:r>
          </w:p>
          <w:p w:rsidR="00532BCA" w:rsidRPr="000422C2" w:rsidRDefault="00532BCA" w:rsidP="00532BCA">
            <w:pPr>
              <w:pStyle w:val="Tablea"/>
            </w:pPr>
            <w:r w:rsidRPr="000422C2">
              <w:t>(a) to support peak community organisations;</w:t>
            </w:r>
          </w:p>
          <w:p w:rsidR="00532BCA" w:rsidRPr="000422C2" w:rsidRDefault="00532BCA" w:rsidP="00532BCA">
            <w:pPr>
              <w:pStyle w:val="Tablea"/>
            </w:pPr>
            <w:r w:rsidRPr="000422C2">
              <w:t xml:space="preserve">(b) </w:t>
            </w:r>
            <w:r w:rsidR="001F7504" w:rsidRPr="000422C2">
              <w:t xml:space="preserve">for </w:t>
            </w:r>
            <w:r w:rsidRPr="000422C2">
              <w:t>sponsorship activities, informed research and innovation, policy development, information sharing, new pilots and trials of service models and evaluations</w:t>
            </w:r>
            <w:r w:rsidR="004908A5" w:rsidRPr="000422C2">
              <w:t>.</w:t>
            </w:r>
          </w:p>
          <w:p w:rsidR="004908A5" w:rsidRPr="000422C2" w:rsidRDefault="004908A5" w:rsidP="004908A5">
            <w:pPr>
              <w:pStyle w:val="Tabletext"/>
            </w:pPr>
            <w:r w:rsidRPr="000422C2">
              <w:t>This objective also has the effect it would have if it were limited to providing funding:</w:t>
            </w:r>
          </w:p>
          <w:p w:rsidR="00921C23" w:rsidRPr="000422C2" w:rsidRDefault="004908A5" w:rsidP="00921C23">
            <w:pPr>
              <w:pStyle w:val="Tablea"/>
            </w:pPr>
            <w:r w:rsidRPr="000422C2">
              <w:t>(a</w:t>
            </w:r>
            <w:r w:rsidR="00921C23" w:rsidRPr="000422C2">
              <w:t>) by providing medical services, family and maternity allowances, child endowment, unemployment and sickness benefits and benefits to students, and by engaging in measures incidental to their provision;</w:t>
            </w:r>
            <w:r w:rsidRPr="000422C2">
              <w:t xml:space="preserve"> or</w:t>
            </w:r>
          </w:p>
          <w:p w:rsidR="00921C23" w:rsidRPr="000422C2" w:rsidRDefault="004908A5" w:rsidP="00921C23">
            <w:pPr>
              <w:pStyle w:val="Tablea"/>
            </w:pPr>
            <w:r w:rsidRPr="000422C2">
              <w:t>(b</w:t>
            </w:r>
            <w:r w:rsidR="00921C23" w:rsidRPr="000422C2">
              <w:t>) by engaging in measures that are peculiarly adapted to the government of a nation and cannot otherwise be carried on for the benefit of the nation;</w:t>
            </w:r>
            <w:r w:rsidRPr="000422C2">
              <w:t xml:space="preserve"> or</w:t>
            </w:r>
          </w:p>
          <w:p w:rsidR="008624F0" w:rsidRPr="000422C2" w:rsidRDefault="004908A5" w:rsidP="00921C23">
            <w:pPr>
              <w:pStyle w:val="Tablea"/>
            </w:pPr>
            <w:r w:rsidRPr="000422C2">
              <w:t>(c</w:t>
            </w:r>
            <w:r w:rsidR="00921C23" w:rsidRPr="000422C2">
              <w:t>) in the exercise of the executive power of the Commonwealth.</w:t>
            </w:r>
          </w:p>
        </w:tc>
      </w:tr>
      <w:tr w:rsidR="008624F0" w:rsidRPr="000422C2" w:rsidTr="00786143">
        <w:tc>
          <w:tcPr>
            <w:tcW w:w="714" w:type="dxa"/>
            <w:shd w:val="clear" w:color="auto" w:fill="auto"/>
            <w:hideMark/>
          </w:tcPr>
          <w:p w:rsidR="008624F0" w:rsidRPr="000422C2" w:rsidRDefault="00786143" w:rsidP="00275A47">
            <w:pPr>
              <w:pStyle w:val="Tabletext"/>
            </w:pPr>
            <w:r w:rsidRPr="000422C2">
              <w:t>46</w:t>
            </w:r>
          </w:p>
        </w:tc>
        <w:tc>
          <w:tcPr>
            <w:tcW w:w="2115" w:type="dxa"/>
            <w:shd w:val="clear" w:color="auto" w:fill="auto"/>
            <w:hideMark/>
          </w:tcPr>
          <w:p w:rsidR="008624F0" w:rsidRPr="000422C2" w:rsidRDefault="00921C23" w:rsidP="00921C23">
            <w:pPr>
              <w:pStyle w:val="Tabletext"/>
            </w:pPr>
            <w:r w:rsidRPr="000422C2">
              <w:t>Strengthening Communities</w:t>
            </w:r>
          </w:p>
        </w:tc>
        <w:tc>
          <w:tcPr>
            <w:tcW w:w="4251" w:type="dxa"/>
            <w:shd w:val="clear" w:color="auto" w:fill="auto"/>
            <w:hideMark/>
          </w:tcPr>
          <w:p w:rsidR="00532BCA" w:rsidRPr="000422C2" w:rsidRDefault="00921C23" w:rsidP="00532BCA">
            <w:pPr>
              <w:pStyle w:val="Tabletext"/>
            </w:pPr>
            <w:r w:rsidRPr="000422C2">
              <w:t xml:space="preserve">To strengthen communities and promote inclusion and </w:t>
            </w:r>
            <w:r w:rsidR="00532BCA" w:rsidRPr="000422C2">
              <w:t>participation in community life by providing funding for the following:</w:t>
            </w:r>
          </w:p>
          <w:p w:rsidR="00532BCA" w:rsidRPr="000422C2" w:rsidRDefault="00532BCA" w:rsidP="00532BCA">
            <w:pPr>
              <w:pStyle w:val="Tablea"/>
            </w:pPr>
            <w:r w:rsidRPr="000422C2">
              <w:t>(a) research and stakeholder engagement;</w:t>
            </w:r>
          </w:p>
          <w:p w:rsidR="00532BCA" w:rsidRPr="000422C2" w:rsidRDefault="00532BCA" w:rsidP="00532BCA">
            <w:pPr>
              <w:pStyle w:val="Tablea"/>
            </w:pPr>
            <w:r w:rsidRPr="000422C2">
              <w:t>(b) national peak bodies and other stakeholder organisations;</w:t>
            </w:r>
          </w:p>
          <w:p w:rsidR="00532BCA" w:rsidRPr="000422C2" w:rsidRDefault="00532BCA" w:rsidP="00532BCA">
            <w:pPr>
              <w:pStyle w:val="Tablea"/>
            </w:pPr>
            <w:r w:rsidRPr="000422C2">
              <w:t>(c) assisting seniors to increase their access to information and community resources;</w:t>
            </w:r>
          </w:p>
          <w:p w:rsidR="00532BCA" w:rsidRPr="000422C2" w:rsidRDefault="00532BCA" w:rsidP="00532BCA">
            <w:pPr>
              <w:pStyle w:val="Tablea"/>
            </w:pPr>
            <w:r w:rsidRPr="000422C2">
              <w:t>(d) multicultural affairs activities, which include grants aimed at building socially cohesive Australian communities by supporting projects that build the long</w:t>
            </w:r>
            <w:r w:rsidR="000422C2">
              <w:noBreakHyphen/>
            </w:r>
            <w:r w:rsidRPr="000422C2">
              <w:t>term capacities of higher need and at</w:t>
            </w:r>
            <w:r w:rsidR="000422C2">
              <w:noBreakHyphen/>
            </w:r>
            <w:r w:rsidRPr="000422C2">
              <w:t>risk communities, including through the promotion of stronger community relations and the development of sustainable community partnerships;</w:t>
            </w:r>
          </w:p>
          <w:p w:rsidR="00532BCA" w:rsidRPr="000422C2" w:rsidRDefault="00532BCA" w:rsidP="00532BCA">
            <w:pPr>
              <w:pStyle w:val="Tablea"/>
            </w:pPr>
            <w:r w:rsidRPr="000422C2">
              <w:t>(e) building socially inclusive communities to empower local communities to embrace the benefits of multiculturalism and maintain cohesive and socially inclusive neighbourhoods;</w:t>
            </w:r>
          </w:p>
          <w:p w:rsidR="00532BCA" w:rsidRPr="000422C2" w:rsidRDefault="00532BCA" w:rsidP="00532BCA">
            <w:pPr>
              <w:pStyle w:val="Tablea"/>
            </w:pPr>
            <w:r w:rsidRPr="000422C2">
              <w:t>(f</w:t>
            </w:r>
            <w:r w:rsidR="00102619" w:rsidRPr="000422C2">
              <w:t>) language translation services;</w:t>
            </w:r>
          </w:p>
          <w:p w:rsidR="00102619" w:rsidRPr="000422C2" w:rsidRDefault="00102619" w:rsidP="00102619">
            <w:pPr>
              <w:pStyle w:val="Tablea"/>
            </w:pPr>
            <w:r w:rsidRPr="000422C2">
              <w:t>(g) for organisations to develop solutions and deliver responsive and integrated services that meet local community needs.</w:t>
            </w:r>
          </w:p>
          <w:p w:rsidR="004908A5" w:rsidRPr="000422C2" w:rsidRDefault="004908A5" w:rsidP="004908A5">
            <w:pPr>
              <w:pStyle w:val="Tabletext"/>
            </w:pPr>
            <w:r w:rsidRPr="000422C2">
              <w:t>This objective also has the effect it would have if it were limited to providing funding:</w:t>
            </w:r>
          </w:p>
          <w:p w:rsidR="00921C23" w:rsidRPr="000422C2" w:rsidRDefault="004908A5" w:rsidP="00921C23">
            <w:pPr>
              <w:pStyle w:val="Tablea"/>
            </w:pPr>
            <w:r w:rsidRPr="000422C2">
              <w:t>(</w:t>
            </w:r>
            <w:r w:rsidR="00102619" w:rsidRPr="000422C2">
              <w:t>a</w:t>
            </w:r>
            <w:r w:rsidR="00275A47" w:rsidRPr="000422C2">
              <w:t xml:space="preserve">) </w:t>
            </w:r>
            <w:r w:rsidR="00921C23" w:rsidRPr="000422C2">
              <w:t>by providing medical services, family and maternity allowances, child endowment, unemployment and sickness ben</w:t>
            </w:r>
            <w:r w:rsidR="00275A47" w:rsidRPr="000422C2">
              <w:t>efits and benefits to students;</w:t>
            </w:r>
            <w:r w:rsidRPr="000422C2">
              <w:t xml:space="preserve"> or</w:t>
            </w:r>
          </w:p>
          <w:p w:rsidR="00921C23" w:rsidRPr="000422C2" w:rsidRDefault="00102619" w:rsidP="00921C23">
            <w:pPr>
              <w:pStyle w:val="Tablea"/>
            </w:pPr>
            <w:r w:rsidRPr="000422C2">
              <w:t>(b</w:t>
            </w:r>
            <w:r w:rsidR="00275A47" w:rsidRPr="000422C2">
              <w:t xml:space="preserve">) </w:t>
            </w:r>
            <w:r w:rsidR="00921C23" w:rsidRPr="000422C2">
              <w:t xml:space="preserve">by engaging in measures to meet Australia’s </w:t>
            </w:r>
            <w:r w:rsidR="00D124B2" w:rsidRPr="000422C2">
              <w:t xml:space="preserve">international </w:t>
            </w:r>
            <w:r w:rsidR="00921C23" w:rsidRPr="000422C2">
              <w:t>obligations in relation to children, in particular those under the Convention on the Rights of the</w:t>
            </w:r>
            <w:r w:rsidR="00275A47" w:rsidRPr="000422C2">
              <w:t xml:space="preserve"> Child;</w:t>
            </w:r>
            <w:r w:rsidR="004908A5" w:rsidRPr="000422C2">
              <w:t xml:space="preserve"> or</w:t>
            </w:r>
          </w:p>
          <w:p w:rsidR="00921C23" w:rsidRPr="000422C2" w:rsidRDefault="00102619" w:rsidP="00921C23">
            <w:pPr>
              <w:pStyle w:val="Tablea"/>
            </w:pPr>
            <w:r w:rsidRPr="000422C2">
              <w:t>(c</w:t>
            </w:r>
            <w:r w:rsidR="00275A47" w:rsidRPr="000422C2">
              <w:t xml:space="preserve">) </w:t>
            </w:r>
            <w:r w:rsidR="00921C23" w:rsidRPr="000422C2">
              <w:t xml:space="preserve">by engaging in measures to meet Australia’s </w:t>
            </w:r>
            <w:r w:rsidR="00D124B2" w:rsidRPr="000422C2">
              <w:t xml:space="preserve">international </w:t>
            </w:r>
            <w:r w:rsidR="00921C23" w:rsidRPr="000422C2">
              <w:t>obligati</w:t>
            </w:r>
            <w:r w:rsidR="00031F70" w:rsidRPr="000422C2">
              <w:t>ons in relation to persons with</w:t>
            </w:r>
            <w:r w:rsidR="00275A47" w:rsidRPr="000422C2">
              <w:t xml:space="preserve"> </w:t>
            </w:r>
            <w:r w:rsidR="00031F70" w:rsidRPr="000422C2">
              <w:t>disabilities</w:t>
            </w:r>
            <w:r w:rsidR="00921C23" w:rsidRPr="000422C2">
              <w:t xml:space="preserve">, in particular </w:t>
            </w:r>
            <w:r w:rsidR="00275A47" w:rsidRPr="000422C2">
              <w:t xml:space="preserve">obligations </w:t>
            </w:r>
            <w:r w:rsidR="00921C23" w:rsidRPr="000422C2">
              <w:t>under the Convention on the Right</w:t>
            </w:r>
            <w:r w:rsidR="00275A47" w:rsidRPr="000422C2">
              <w:t>s of Persons with Disabilities;</w:t>
            </w:r>
            <w:r w:rsidR="004908A5" w:rsidRPr="000422C2">
              <w:t xml:space="preserve"> or</w:t>
            </w:r>
          </w:p>
          <w:p w:rsidR="00921C23" w:rsidRPr="000422C2" w:rsidRDefault="00532BCA" w:rsidP="00921C23">
            <w:pPr>
              <w:pStyle w:val="Tablea"/>
            </w:pPr>
            <w:r w:rsidRPr="000422C2">
              <w:t>(</w:t>
            </w:r>
            <w:r w:rsidR="00102619" w:rsidRPr="000422C2">
              <w:t>d</w:t>
            </w:r>
            <w:r w:rsidR="00275A47" w:rsidRPr="000422C2">
              <w:t>) in a Territory;</w:t>
            </w:r>
            <w:r w:rsidR="004908A5" w:rsidRPr="000422C2">
              <w:t xml:space="preserve"> or</w:t>
            </w:r>
          </w:p>
          <w:p w:rsidR="00921C23" w:rsidRPr="000422C2" w:rsidRDefault="00102619" w:rsidP="00921C23">
            <w:pPr>
              <w:pStyle w:val="Tablea"/>
            </w:pPr>
            <w:r w:rsidRPr="000422C2">
              <w:t>(e</w:t>
            </w:r>
            <w:r w:rsidR="00275A47" w:rsidRPr="000422C2">
              <w:t xml:space="preserve">) </w:t>
            </w:r>
            <w:r w:rsidR="0020770A" w:rsidRPr="000422C2">
              <w:t>by providing assistance to</w:t>
            </w:r>
            <w:r w:rsidR="00921C23" w:rsidRPr="000422C2">
              <w:t xml:space="preserve"> trading, financial </w:t>
            </w:r>
            <w:r w:rsidR="0020770A" w:rsidRPr="000422C2">
              <w:t>and</w:t>
            </w:r>
            <w:r w:rsidR="00921C23" w:rsidRPr="000422C2">
              <w:t xml:space="preserve"> foreign corporation</w:t>
            </w:r>
            <w:r w:rsidR="0020770A" w:rsidRPr="000422C2">
              <w:t>s</w:t>
            </w:r>
            <w:r w:rsidR="00921C23" w:rsidRPr="000422C2">
              <w:t xml:space="preserve"> </w:t>
            </w:r>
            <w:r w:rsidR="00275A47" w:rsidRPr="000422C2">
              <w:t xml:space="preserve">to which </w:t>
            </w:r>
            <w:r w:rsidR="00921C23" w:rsidRPr="000422C2">
              <w:t>paragraph</w:t>
            </w:r>
            <w:r w:rsidR="000422C2" w:rsidRPr="000422C2">
              <w:t> </w:t>
            </w:r>
            <w:r w:rsidR="00921C23" w:rsidRPr="000422C2">
              <w:t xml:space="preserve">51(xx) of the Constitution </w:t>
            </w:r>
            <w:r w:rsidR="00275A47" w:rsidRPr="000422C2">
              <w:t xml:space="preserve">applies </w:t>
            </w:r>
            <w:r w:rsidR="00921C23" w:rsidRPr="000422C2">
              <w:t>where the assistance relates to the existing</w:t>
            </w:r>
            <w:r w:rsidR="00275A47" w:rsidRPr="000422C2">
              <w:t xml:space="preserve"> activities of the corporation</w:t>
            </w:r>
            <w:r w:rsidR="0020770A" w:rsidRPr="000422C2">
              <w:t>s</w:t>
            </w:r>
            <w:r w:rsidR="00275A47" w:rsidRPr="000422C2">
              <w:t>;</w:t>
            </w:r>
            <w:r w:rsidR="004908A5" w:rsidRPr="000422C2">
              <w:t xml:space="preserve"> or</w:t>
            </w:r>
          </w:p>
          <w:p w:rsidR="00921C23" w:rsidRPr="000422C2" w:rsidRDefault="00532BCA" w:rsidP="00921C23">
            <w:pPr>
              <w:pStyle w:val="Tablea"/>
            </w:pPr>
            <w:r w:rsidRPr="000422C2">
              <w:t>(</w:t>
            </w:r>
            <w:r w:rsidR="00102619" w:rsidRPr="000422C2">
              <w:t>f</w:t>
            </w:r>
            <w:r w:rsidR="00275A47" w:rsidRPr="000422C2">
              <w:t xml:space="preserve">) </w:t>
            </w:r>
            <w:r w:rsidR="00921C23" w:rsidRPr="000422C2">
              <w:t>in re</w:t>
            </w:r>
            <w:r w:rsidR="00275A47" w:rsidRPr="000422C2">
              <w:t>lation to aliens or immigrants;</w:t>
            </w:r>
            <w:r w:rsidR="004908A5" w:rsidRPr="000422C2">
              <w:t xml:space="preserve"> or</w:t>
            </w:r>
          </w:p>
          <w:p w:rsidR="00921C23" w:rsidRPr="000422C2" w:rsidRDefault="00102619" w:rsidP="00921C23">
            <w:pPr>
              <w:pStyle w:val="Tablea"/>
            </w:pPr>
            <w:r w:rsidRPr="000422C2">
              <w:t>(g</w:t>
            </w:r>
            <w:r w:rsidR="00275A47" w:rsidRPr="000422C2">
              <w:t>) in relation to marriage;</w:t>
            </w:r>
            <w:r w:rsidR="004908A5" w:rsidRPr="000422C2">
              <w:t xml:space="preserve"> or</w:t>
            </w:r>
          </w:p>
          <w:p w:rsidR="00275A47" w:rsidRPr="000422C2" w:rsidRDefault="00102619" w:rsidP="00921C23">
            <w:pPr>
              <w:pStyle w:val="Tablea"/>
            </w:pPr>
            <w:r w:rsidRPr="000422C2">
              <w:t>(h</w:t>
            </w:r>
            <w:r w:rsidR="00275A47" w:rsidRPr="000422C2">
              <w:t xml:space="preserve">) </w:t>
            </w:r>
            <w:r w:rsidR="00921C23" w:rsidRPr="000422C2">
              <w:t>in relation to divorce</w:t>
            </w:r>
            <w:r w:rsidR="00275A47" w:rsidRPr="000422C2">
              <w:t>;</w:t>
            </w:r>
            <w:r w:rsidR="004908A5" w:rsidRPr="000422C2">
              <w:t xml:space="preserve"> or</w:t>
            </w:r>
          </w:p>
          <w:p w:rsidR="00921C23" w:rsidRPr="000422C2" w:rsidRDefault="00102619" w:rsidP="00921C23">
            <w:pPr>
              <w:pStyle w:val="Tablea"/>
            </w:pPr>
            <w:r w:rsidRPr="000422C2">
              <w:t>(i</w:t>
            </w:r>
            <w:r w:rsidR="00275A47" w:rsidRPr="000422C2">
              <w:t>) in connection with divorce—in relation to parental rights or the custody or guardianship of infants;</w:t>
            </w:r>
            <w:r w:rsidR="004908A5" w:rsidRPr="000422C2">
              <w:t xml:space="preserve"> or</w:t>
            </w:r>
          </w:p>
          <w:p w:rsidR="00921C23" w:rsidRPr="000422C2" w:rsidRDefault="00102619" w:rsidP="00921C23">
            <w:pPr>
              <w:pStyle w:val="Tablea"/>
            </w:pPr>
            <w:r w:rsidRPr="000422C2">
              <w:t>(j</w:t>
            </w:r>
            <w:r w:rsidR="00275A47" w:rsidRPr="000422C2">
              <w:t xml:space="preserve">) </w:t>
            </w:r>
            <w:r w:rsidR="00921C23" w:rsidRPr="000422C2">
              <w:t xml:space="preserve">to assist persons who are insolvent or bankrupt to manage </w:t>
            </w:r>
            <w:r w:rsidR="00275A47" w:rsidRPr="000422C2">
              <w:t>their insolvency or bankruptcy;</w:t>
            </w:r>
            <w:r w:rsidR="004908A5" w:rsidRPr="000422C2">
              <w:t xml:space="preserve"> or</w:t>
            </w:r>
          </w:p>
          <w:p w:rsidR="00921C23" w:rsidRPr="000422C2" w:rsidRDefault="00102619" w:rsidP="00921C23">
            <w:pPr>
              <w:pStyle w:val="Tablea"/>
            </w:pPr>
            <w:r w:rsidRPr="000422C2">
              <w:t>(k</w:t>
            </w:r>
            <w:r w:rsidR="00275A47" w:rsidRPr="000422C2">
              <w:t xml:space="preserve">) </w:t>
            </w:r>
            <w:r w:rsidR="00921C23" w:rsidRPr="000422C2">
              <w:t>by providing grants of financial assistance to a State or Terri</w:t>
            </w:r>
            <w:r w:rsidR="00275A47" w:rsidRPr="000422C2">
              <w:t>tory;</w:t>
            </w:r>
            <w:r w:rsidR="004908A5" w:rsidRPr="000422C2">
              <w:t xml:space="preserve"> or</w:t>
            </w:r>
          </w:p>
          <w:p w:rsidR="00921C23" w:rsidRPr="000422C2" w:rsidRDefault="00275A47" w:rsidP="00921C23">
            <w:pPr>
              <w:pStyle w:val="Tablea"/>
            </w:pPr>
            <w:r w:rsidRPr="000422C2">
              <w:t>(</w:t>
            </w:r>
            <w:r w:rsidR="00102619" w:rsidRPr="000422C2">
              <w:t>l</w:t>
            </w:r>
            <w:r w:rsidRPr="000422C2">
              <w:t xml:space="preserve">) </w:t>
            </w:r>
            <w:r w:rsidR="00921C23" w:rsidRPr="000422C2">
              <w:t>by engaging in measures that are peculiarly adapted to the government of a nation and cannot otherwise be carried on</w:t>
            </w:r>
            <w:r w:rsidR="007214FA" w:rsidRPr="000422C2">
              <w:t xml:space="preserve"> for the benefit of the nation;</w:t>
            </w:r>
            <w:r w:rsidR="004908A5" w:rsidRPr="000422C2">
              <w:t xml:space="preserve"> or</w:t>
            </w:r>
          </w:p>
          <w:p w:rsidR="008624F0" w:rsidRPr="000422C2" w:rsidRDefault="00102619" w:rsidP="00361B83">
            <w:pPr>
              <w:pStyle w:val="Tablea"/>
            </w:pPr>
            <w:r w:rsidRPr="000422C2">
              <w:t>(m</w:t>
            </w:r>
            <w:r w:rsidR="007214FA" w:rsidRPr="000422C2">
              <w:t xml:space="preserve">) </w:t>
            </w:r>
            <w:r w:rsidR="00361B83" w:rsidRPr="000422C2">
              <w:t>in the exercise of</w:t>
            </w:r>
            <w:r w:rsidR="00921C23" w:rsidRPr="000422C2">
              <w:t xml:space="preserve"> the execu</w:t>
            </w:r>
            <w:r w:rsidR="007214FA" w:rsidRPr="000422C2">
              <w:t>tive power of the Commonwealth.</w:t>
            </w:r>
          </w:p>
        </w:tc>
      </w:tr>
      <w:tr w:rsidR="007214FA" w:rsidRPr="000422C2" w:rsidTr="00786143">
        <w:tc>
          <w:tcPr>
            <w:tcW w:w="714" w:type="dxa"/>
            <w:shd w:val="clear" w:color="auto" w:fill="auto"/>
            <w:hideMark/>
          </w:tcPr>
          <w:p w:rsidR="007214FA" w:rsidRPr="000422C2" w:rsidRDefault="00786143" w:rsidP="00275A47">
            <w:pPr>
              <w:pStyle w:val="Tabletext"/>
            </w:pPr>
            <w:r w:rsidRPr="000422C2">
              <w:t>47</w:t>
            </w:r>
          </w:p>
        </w:tc>
        <w:tc>
          <w:tcPr>
            <w:tcW w:w="2115" w:type="dxa"/>
            <w:shd w:val="clear" w:color="auto" w:fill="auto"/>
            <w:hideMark/>
          </w:tcPr>
          <w:p w:rsidR="007214FA" w:rsidRPr="000422C2" w:rsidRDefault="007214FA" w:rsidP="007214FA">
            <w:pPr>
              <w:pStyle w:val="Tabletext"/>
            </w:pPr>
            <w:r w:rsidRPr="000422C2">
              <w:t>National Initiatives</w:t>
            </w:r>
          </w:p>
        </w:tc>
        <w:tc>
          <w:tcPr>
            <w:tcW w:w="4251" w:type="dxa"/>
            <w:shd w:val="clear" w:color="auto" w:fill="auto"/>
            <w:hideMark/>
          </w:tcPr>
          <w:p w:rsidR="00361B83" w:rsidRPr="000422C2" w:rsidRDefault="007214FA" w:rsidP="007214FA">
            <w:pPr>
              <w:pStyle w:val="Tabletext"/>
            </w:pPr>
            <w:r w:rsidRPr="000422C2">
              <w:t xml:space="preserve">To achieve positive outcomes for families, women and children </w:t>
            </w:r>
            <w:r w:rsidR="00361B83" w:rsidRPr="000422C2">
              <w:t>by working across sectors</w:t>
            </w:r>
            <w:r w:rsidR="00031F70" w:rsidRPr="000422C2">
              <w:t xml:space="preserve"> to</w:t>
            </w:r>
            <w:r w:rsidR="00361B83" w:rsidRPr="000422C2">
              <w:t>:</w:t>
            </w:r>
          </w:p>
          <w:p w:rsidR="00361B83" w:rsidRPr="000422C2" w:rsidRDefault="00361B83" w:rsidP="00361B83">
            <w:pPr>
              <w:pStyle w:val="Tablea"/>
            </w:pPr>
            <w:r w:rsidRPr="000422C2">
              <w:t xml:space="preserve">(a) </w:t>
            </w:r>
            <w:r w:rsidR="007214FA" w:rsidRPr="000422C2">
              <w:t xml:space="preserve">improve the safety and </w:t>
            </w:r>
            <w:r w:rsidRPr="000422C2">
              <w:t>wellbeing of children; and</w:t>
            </w:r>
          </w:p>
          <w:p w:rsidR="00361B83" w:rsidRPr="000422C2" w:rsidRDefault="00361B83" w:rsidP="00361B83">
            <w:pPr>
              <w:pStyle w:val="Tablea"/>
            </w:pPr>
            <w:r w:rsidRPr="000422C2">
              <w:t>(b) advance</w:t>
            </w:r>
            <w:r w:rsidR="007214FA" w:rsidRPr="000422C2">
              <w:t xml:space="preserve"> gender equality</w:t>
            </w:r>
            <w:r w:rsidRPr="000422C2">
              <w:t>; and</w:t>
            </w:r>
          </w:p>
          <w:p w:rsidR="00361B83" w:rsidRPr="000422C2" w:rsidRDefault="00361B83" w:rsidP="00361B83">
            <w:pPr>
              <w:pStyle w:val="Tablea"/>
            </w:pPr>
            <w:r w:rsidRPr="000422C2">
              <w:t>(c) reduce</w:t>
            </w:r>
            <w:r w:rsidR="007214FA" w:rsidRPr="000422C2">
              <w:t xml:space="preserve"> viole</w:t>
            </w:r>
            <w:r w:rsidR="004908A5" w:rsidRPr="000422C2">
              <w:t xml:space="preserve">nce against </w:t>
            </w:r>
            <w:r w:rsidR="004573D1" w:rsidRPr="000422C2">
              <w:t>women and children; and</w:t>
            </w:r>
          </w:p>
          <w:p w:rsidR="004573D1" w:rsidRPr="000422C2" w:rsidRDefault="004573D1" w:rsidP="004573D1">
            <w:pPr>
              <w:pStyle w:val="Tablea"/>
            </w:pPr>
            <w:r w:rsidRPr="000422C2">
              <w:t>(d) support women affected by violence; and</w:t>
            </w:r>
          </w:p>
          <w:p w:rsidR="004573D1" w:rsidRPr="000422C2" w:rsidRDefault="004573D1" w:rsidP="00145E1D">
            <w:pPr>
              <w:pStyle w:val="Tablea"/>
            </w:pPr>
            <w:r w:rsidRPr="000422C2">
              <w:t xml:space="preserve">(e) </w:t>
            </w:r>
            <w:r w:rsidR="00145E1D" w:rsidRPr="000422C2">
              <w:t>support trafficked people; and</w:t>
            </w:r>
          </w:p>
          <w:p w:rsidR="00145E1D" w:rsidRPr="000422C2" w:rsidRDefault="00145E1D" w:rsidP="00145E1D">
            <w:pPr>
              <w:pStyle w:val="Tablea"/>
            </w:pPr>
            <w:r w:rsidRPr="000422C2">
              <w:t>(f) provide communication and information designed to change violence</w:t>
            </w:r>
            <w:r w:rsidR="000422C2">
              <w:noBreakHyphen/>
            </w:r>
            <w:r w:rsidRPr="000422C2">
              <w:t>supportive attitudes and effectively reduce the incidence and impact of violence in Australia; and</w:t>
            </w:r>
          </w:p>
          <w:p w:rsidR="00145E1D" w:rsidRPr="000422C2" w:rsidRDefault="00145E1D" w:rsidP="00145E1D">
            <w:pPr>
              <w:pStyle w:val="Tablea"/>
            </w:pPr>
            <w:r w:rsidRPr="000422C2">
              <w:t>(g) reducing child abuse and neglect; and</w:t>
            </w:r>
          </w:p>
          <w:p w:rsidR="00145E1D" w:rsidRPr="000422C2" w:rsidRDefault="00145E1D" w:rsidP="00145E1D">
            <w:pPr>
              <w:pStyle w:val="Tablea"/>
            </w:pPr>
            <w:r w:rsidRPr="000422C2">
              <w:t>(h) support research and stakeholder organisations to assist in making the protection of children everyone’s responsibility.</w:t>
            </w:r>
          </w:p>
          <w:p w:rsidR="004908A5" w:rsidRPr="000422C2" w:rsidRDefault="004908A5" w:rsidP="004908A5">
            <w:pPr>
              <w:pStyle w:val="Tabletext"/>
            </w:pPr>
            <w:r w:rsidRPr="000422C2">
              <w:t>This objective also has the effect it would have if it were limited to providing funding or support:</w:t>
            </w:r>
          </w:p>
          <w:p w:rsidR="007214FA" w:rsidRPr="000422C2" w:rsidRDefault="004908A5" w:rsidP="00361B83">
            <w:pPr>
              <w:pStyle w:val="Tablea"/>
            </w:pPr>
            <w:r w:rsidRPr="000422C2">
              <w:t>(a</w:t>
            </w:r>
            <w:r w:rsidR="00361B83" w:rsidRPr="000422C2">
              <w:t xml:space="preserve">) </w:t>
            </w:r>
            <w:r w:rsidR="007214FA" w:rsidRPr="000422C2">
              <w:t>by providing medical services, family and maternity allowances, child endowment, unemployment and sickness ben</w:t>
            </w:r>
            <w:r w:rsidR="00361B83" w:rsidRPr="000422C2">
              <w:t>efits and benefits to students;</w:t>
            </w:r>
            <w:r w:rsidR="00A15A31" w:rsidRPr="000422C2">
              <w:t xml:space="preserve"> or</w:t>
            </w:r>
          </w:p>
          <w:p w:rsidR="007214FA" w:rsidRPr="000422C2" w:rsidRDefault="004908A5" w:rsidP="00361B83">
            <w:pPr>
              <w:pStyle w:val="Tablea"/>
            </w:pPr>
            <w:r w:rsidRPr="000422C2">
              <w:t>(b</w:t>
            </w:r>
            <w:r w:rsidR="00361B83" w:rsidRPr="000422C2">
              <w:t xml:space="preserve">) </w:t>
            </w:r>
            <w:r w:rsidR="007214FA" w:rsidRPr="000422C2">
              <w:t xml:space="preserve">by engaging in measures to meet Australia’s </w:t>
            </w:r>
            <w:r w:rsidR="00D124B2" w:rsidRPr="000422C2">
              <w:t xml:space="preserve">international </w:t>
            </w:r>
            <w:r w:rsidR="007214FA" w:rsidRPr="000422C2">
              <w:t xml:space="preserve">obligations in relation to women, in particular </w:t>
            </w:r>
            <w:r w:rsidR="00361B83" w:rsidRPr="000422C2">
              <w:t>obligations</w:t>
            </w:r>
            <w:r w:rsidR="007214FA" w:rsidRPr="000422C2">
              <w:t xml:space="preserve"> under the Convention on the Elimination of All Forms o</w:t>
            </w:r>
            <w:r w:rsidR="00361B83" w:rsidRPr="000422C2">
              <w:t>f Discrimination against Women;</w:t>
            </w:r>
            <w:r w:rsidR="00A15A31" w:rsidRPr="000422C2">
              <w:t xml:space="preserve"> or</w:t>
            </w:r>
          </w:p>
          <w:p w:rsidR="007214FA" w:rsidRPr="000422C2" w:rsidRDefault="004908A5" w:rsidP="00361B83">
            <w:pPr>
              <w:pStyle w:val="Tablea"/>
            </w:pPr>
            <w:r w:rsidRPr="000422C2">
              <w:t>(c</w:t>
            </w:r>
            <w:r w:rsidR="00361B83" w:rsidRPr="000422C2">
              <w:t xml:space="preserve">) </w:t>
            </w:r>
            <w:r w:rsidR="007214FA" w:rsidRPr="000422C2">
              <w:t xml:space="preserve">by engaging in measures to meet Australia’s </w:t>
            </w:r>
            <w:r w:rsidR="00D124B2" w:rsidRPr="000422C2">
              <w:t xml:space="preserve">international </w:t>
            </w:r>
            <w:r w:rsidR="007214FA" w:rsidRPr="000422C2">
              <w:t xml:space="preserve">obligations in relation to children, in particular </w:t>
            </w:r>
            <w:r w:rsidR="00361B83" w:rsidRPr="000422C2">
              <w:t>obligations</w:t>
            </w:r>
            <w:r w:rsidR="007214FA" w:rsidRPr="000422C2">
              <w:t xml:space="preserve"> under the Convent</w:t>
            </w:r>
            <w:r w:rsidR="00361B83" w:rsidRPr="000422C2">
              <w:t>ion on the Rights of the Child;</w:t>
            </w:r>
            <w:r w:rsidR="00A15A31" w:rsidRPr="000422C2">
              <w:t xml:space="preserve"> or</w:t>
            </w:r>
          </w:p>
          <w:p w:rsidR="007214FA" w:rsidRPr="000422C2" w:rsidRDefault="004908A5" w:rsidP="00361B83">
            <w:pPr>
              <w:pStyle w:val="Tablea"/>
            </w:pPr>
            <w:r w:rsidRPr="000422C2">
              <w:t>(d</w:t>
            </w:r>
            <w:r w:rsidR="00361B83" w:rsidRPr="000422C2">
              <w:t xml:space="preserve">) </w:t>
            </w:r>
            <w:r w:rsidR="007214FA" w:rsidRPr="000422C2">
              <w:t xml:space="preserve">by engaging in measures to meet Australia’s </w:t>
            </w:r>
            <w:r w:rsidR="00D124B2" w:rsidRPr="000422C2">
              <w:t xml:space="preserve">international </w:t>
            </w:r>
            <w:r w:rsidR="007214FA" w:rsidRPr="000422C2">
              <w:t>obligations in rel</w:t>
            </w:r>
            <w:r w:rsidR="00031F70" w:rsidRPr="000422C2">
              <w:t>ation to persons with disabilities</w:t>
            </w:r>
            <w:r w:rsidR="007214FA" w:rsidRPr="000422C2">
              <w:t xml:space="preserve">, in particular </w:t>
            </w:r>
            <w:r w:rsidR="00361B83" w:rsidRPr="000422C2">
              <w:t xml:space="preserve">obligations </w:t>
            </w:r>
            <w:r w:rsidR="007214FA" w:rsidRPr="000422C2">
              <w:t>under the Convention on the Right</w:t>
            </w:r>
            <w:r w:rsidR="00361B83" w:rsidRPr="000422C2">
              <w:t>s of Persons with Disabilities;</w:t>
            </w:r>
            <w:r w:rsidR="00A15A31" w:rsidRPr="000422C2">
              <w:t xml:space="preserve"> or</w:t>
            </w:r>
          </w:p>
          <w:p w:rsidR="007214FA" w:rsidRPr="000422C2" w:rsidRDefault="004908A5" w:rsidP="00361B83">
            <w:pPr>
              <w:pStyle w:val="Tablea"/>
            </w:pPr>
            <w:r w:rsidRPr="000422C2">
              <w:t>(e</w:t>
            </w:r>
            <w:r w:rsidR="00361B83" w:rsidRPr="000422C2">
              <w:t xml:space="preserve">) </w:t>
            </w:r>
            <w:r w:rsidR="007214FA" w:rsidRPr="000422C2">
              <w:t>by engaging in measures with respect to postal, telegraphic, telepho</w:t>
            </w:r>
            <w:r w:rsidR="00361B83" w:rsidRPr="000422C2">
              <w:t>nic, and other like services;</w:t>
            </w:r>
            <w:r w:rsidR="00A15A31" w:rsidRPr="000422C2">
              <w:t xml:space="preserve"> or</w:t>
            </w:r>
          </w:p>
          <w:p w:rsidR="007214FA" w:rsidRPr="000422C2" w:rsidRDefault="004908A5" w:rsidP="00361B83">
            <w:pPr>
              <w:pStyle w:val="Tablea"/>
            </w:pPr>
            <w:r w:rsidRPr="000422C2">
              <w:t>(f</w:t>
            </w:r>
            <w:r w:rsidR="00361B83" w:rsidRPr="000422C2">
              <w:t>) in a Territory;</w:t>
            </w:r>
            <w:r w:rsidR="00A15A31" w:rsidRPr="000422C2">
              <w:t xml:space="preserve"> or</w:t>
            </w:r>
          </w:p>
          <w:p w:rsidR="007214FA" w:rsidRPr="000422C2" w:rsidRDefault="004908A5" w:rsidP="00361B83">
            <w:pPr>
              <w:pStyle w:val="Tablea"/>
            </w:pPr>
            <w:r w:rsidRPr="000422C2">
              <w:t>(g</w:t>
            </w:r>
            <w:r w:rsidR="00361B83" w:rsidRPr="000422C2">
              <w:t xml:space="preserve">) </w:t>
            </w:r>
            <w:r w:rsidR="0020770A" w:rsidRPr="000422C2">
              <w:t>by providing assistance to</w:t>
            </w:r>
            <w:r w:rsidR="007214FA" w:rsidRPr="000422C2">
              <w:t xml:space="preserve"> trading, financial </w:t>
            </w:r>
            <w:r w:rsidR="0020770A" w:rsidRPr="000422C2">
              <w:t>and</w:t>
            </w:r>
            <w:r w:rsidR="007214FA" w:rsidRPr="000422C2">
              <w:t xml:space="preserve"> foreign corporation</w:t>
            </w:r>
            <w:r w:rsidR="0020770A" w:rsidRPr="000422C2">
              <w:t>s</w:t>
            </w:r>
            <w:r w:rsidR="007214FA" w:rsidRPr="000422C2">
              <w:t xml:space="preserve"> </w:t>
            </w:r>
            <w:r w:rsidR="00361B83" w:rsidRPr="000422C2">
              <w:t xml:space="preserve">to which </w:t>
            </w:r>
            <w:r w:rsidR="007214FA" w:rsidRPr="000422C2">
              <w:t>paragraph</w:t>
            </w:r>
            <w:r w:rsidR="000422C2" w:rsidRPr="000422C2">
              <w:t> </w:t>
            </w:r>
            <w:r w:rsidR="007214FA" w:rsidRPr="000422C2">
              <w:t xml:space="preserve">51(xx) of the Constitution </w:t>
            </w:r>
            <w:r w:rsidR="00361B83" w:rsidRPr="000422C2">
              <w:t xml:space="preserve">applies </w:t>
            </w:r>
            <w:r w:rsidR="007214FA" w:rsidRPr="000422C2">
              <w:t>where the assistance relates to the existing activities of the corporation</w:t>
            </w:r>
            <w:r w:rsidR="0020770A" w:rsidRPr="000422C2">
              <w:t>s</w:t>
            </w:r>
            <w:r w:rsidR="00361B83" w:rsidRPr="000422C2">
              <w:t>;</w:t>
            </w:r>
            <w:r w:rsidR="00A15A31" w:rsidRPr="000422C2">
              <w:t xml:space="preserve"> or</w:t>
            </w:r>
          </w:p>
          <w:p w:rsidR="007214FA" w:rsidRPr="000422C2" w:rsidRDefault="004908A5" w:rsidP="00361B83">
            <w:pPr>
              <w:pStyle w:val="Tablea"/>
            </w:pPr>
            <w:r w:rsidRPr="000422C2">
              <w:t>(h</w:t>
            </w:r>
            <w:r w:rsidR="00361B83" w:rsidRPr="000422C2">
              <w:t xml:space="preserve">) </w:t>
            </w:r>
            <w:r w:rsidR="007214FA" w:rsidRPr="000422C2">
              <w:t>in re</w:t>
            </w:r>
            <w:r w:rsidR="00361B83" w:rsidRPr="000422C2">
              <w:t>lation to aliens or immigrants;</w:t>
            </w:r>
            <w:r w:rsidR="00A15A31" w:rsidRPr="000422C2">
              <w:t xml:space="preserve"> or</w:t>
            </w:r>
          </w:p>
          <w:p w:rsidR="007214FA" w:rsidRPr="000422C2" w:rsidRDefault="004908A5" w:rsidP="00361B83">
            <w:pPr>
              <w:pStyle w:val="Tablea"/>
            </w:pPr>
            <w:r w:rsidRPr="000422C2">
              <w:t>(i</w:t>
            </w:r>
            <w:r w:rsidR="00361B83" w:rsidRPr="000422C2">
              <w:t>) in relation to marriage;</w:t>
            </w:r>
            <w:r w:rsidR="00A15A31" w:rsidRPr="000422C2">
              <w:t xml:space="preserve"> or</w:t>
            </w:r>
          </w:p>
          <w:p w:rsidR="00361B83" w:rsidRPr="000422C2" w:rsidRDefault="00361B83" w:rsidP="00361B83">
            <w:pPr>
              <w:pStyle w:val="Tablea"/>
            </w:pPr>
            <w:r w:rsidRPr="000422C2">
              <w:t>(</w:t>
            </w:r>
            <w:r w:rsidR="004908A5" w:rsidRPr="000422C2">
              <w:t>j</w:t>
            </w:r>
            <w:r w:rsidRPr="000422C2">
              <w:t xml:space="preserve">) </w:t>
            </w:r>
            <w:r w:rsidR="007214FA" w:rsidRPr="000422C2">
              <w:t>in relation to divorce</w:t>
            </w:r>
            <w:r w:rsidRPr="000422C2">
              <w:t>;</w:t>
            </w:r>
            <w:r w:rsidR="00A15A31" w:rsidRPr="000422C2">
              <w:t xml:space="preserve"> or</w:t>
            </w:r>
          </w:p>
          <w:p w:rsidR="00361B83" w:rsidRPr="000422C2" w:rsidRDefault="004908A5" w:rsidP="00361B83">
            <w:pPr>
              <w:pStyle w:val="Tablea"/>
            </w:pPr>
            <w:r w:rsidRPr="000422C2">
              <w:t>(k</w:t>
            </w:r>
            <w:r w:rsidR="00361B83" w:rsidRPr="000422C2">
              <w:t>) in connection with divorce—in relation to parental rights or the custody or guardianship of infants;</w:t>
            </w:r>
            <w:r w:rsidR="00A15A31" w:rsidRPr="000422C2">
              <w:t xml:space="preserve"> or</w:t>
            </w:r>
          </w:p>
          <w:p w:rsidR="007214FA" w:rsidRPr="000422C2" w:rsidRDefault="004908A5" w:rsidP="00361B83">
            <w:pPr>
              <w:pStyle w:val="Tablea"/>
            </w:pPr>
            <w:r w:rsidRPr="000422C2">
              <w:t>(l</w:t>
            </w:r>
            <w:r w:rsidR="00361B83" w:rsidRPr="000422C2">
              <w:t xml:space="preserve">) </w:t>
            </w:r>
            <w:r w:rsidR="007214FA" w:rsidRPr="000422C2">
              <w:t>by providing grants of financial assistance to a State or Territory;</w:t>
            </w:r>
            <w:r w:rsidR="00A15A31" w:rsidRPr="000422C2">
              <w:t xml:space="preserve"> or</w:t>
            </w:r>
          </w:p>
          <w:p w:rsidR="007214FA" w:rsidRPr="000422C2" w:rsidRDefault="004908A5" w:rsidP="00361B83">
            <w:pPr>
              <w:pStyle w:val="Tablea"/>
            </w:pPr>
            <w:r w:rsidRPr="000422C2">
              <w:t>(m</w:t>
            </w:r>
            <w:r w:rsidR="00361B83" w:rsidRPr="000422C2">
              <w:t xml:space="preserve">) </w:t>
            </w:r>
            <w:r w:rsidR="007214FA" w:rsidRPr="000422C2">
              <w:t>by engaging in measures that are peculiarly adapted to the government of a nation and cannot otherwise be carried on</w:t>
            </w:r>
            <w:r w:rsidR="00361B83" w:rsidRPr="000422C2">
              <w:t xml:space="preserve"> for the benefit of the nation;</w:t>
            </w:r>
            <w:r w:rsidR="00A15A31" w:rsidRPr="000422C2">
              <w:t xml:space="preserve"> or</w:t>
            </w:r>
          </w:p>
          <w:p w:rsidR="007214FA" w:rsidRPr="000422C2" w:rsidRDefault="004908A5" w:rsidP="00145E1D">
            <w:pPr>
              <w:pStyle w:val="Tablea"/>
            </w:pPr>
            <w:r w:rsidRPr="000422C2">
              <w:t>(n</w:t>
            </w:r>
            <w:r w:rsidR="00361B83" w:rsidRPr="000422C2">
              <w:t>) in</w:t>
            </w:r>
            <w:r w:rsidR="007214FA" w:rsidRPr="000422C2">
              <w:t xml:space="preserve"> the </w:t>
            </w:r>
            <w:r w:rsidR="00361B83" w:rsidRPr="000422C2">
              <w:t xml:space="preserve">exercise of the </w:t>
            </w:r>
            <w:r w:rsidR="007214FA" w:rsidRPr="000422C2">
              <w:t>execu</w:t>
            </w:r>
            <w:r w:rsidR="00361B83" w:rsidRPr="000422C2">
              <w:t>tive power of the Commonwealth.</w:t>
            </w:r>
          </w:p>
        </w:tc>
      </w:tr>
      <w:tr w:rsidR="007214FA" w:rsidRPr="000422C2" w:rsidTr="00786143">
        <w:tc>
          <w:tcPr>
            <w:tcW w:w="714" w:type="dxa"/>
            <w:shd w:val="clear" w:color="auto" w:fill="auto"/>
            <w:hideMark/>
          </w:tcPr>
          <w:p w:rsidR="007214FA" w:rsidRPr="000422C2" w:rsidRDefault="00786143" w:rsidP="00275A47">
            <w:pPr>
              <w:pStyle w:val="Tabletext"/>
            </w:pPr>
            <w:r w:rsidRPr="000422C2">
              <w:t>48</w:t>
            </w:r>
          </w:p>
        </w:tc>
        <w:tc>
          <w:tcPr>
            <w:tcW w:w="2115" w:type="dxa"/>
            <w:shd w:val="clear" w:color="auto" w:fill="auto"/>
            <w:hideMark/>
          </w:tcPr>
          <w:p w:rsidR="007214FA" w:rsidRPr="000422C2" w:rsidRDefault="00361B83" w:rsidP="00361B83">
            <w:pPr>
              <w:pStyle w:val="Tabletext"/>
            </w:pPr>
            <w:r w:rsidRPr="000422C2">
              <w:t>Housing and Homelessness Service Improvement and Sector Support</w:t>
            </w:r>
          </w:p>
        </w:tc>
        <w:tc>
          <w:tcPr>
            <w:tcW w:w="4251" w:type="dxa"/>
            <w:shd w:val="clear" w:color="auto" w:fill="auto"/>
            <w:hideMark/>
          </w:tcPr>
          <w:p w:rsidR="003E6D9E" w:rsidRPr="000422C2" w:rsidRDefault="003E6D9E" w:rsidP="003E6D9E">
            <w:pPr>
              <w:pStyle w:val="Tabletext"/>
            </w:pPr>
            <w:r w:rsidRPr="000422C2">
              <w:t>To fund:</w:t>
            </w:r>
          </w:p>
          <w:p w:rsidR="003E6D9E" w:rsidRPr="000422C2" w:rsidRDefault="003E6D9E" w:rsidP="003E6D9E">
            <w:pPr>
              <w:pStyle w:val="Tablea"/>
            </w:pPr>
            <w:r w:rsidRPr="000422C2">
              <w:t>(a) homelessness prevention initiatives to reduce the impact of homelessness; and</w:t>
            </w:r>
          </w:p>
          <w:p w:rsidR="003E6D9E" w:rsidRPr="000422C2" w:rsidRDefault="003E6D9E" w:rsidP="003E6D9E">
            <w:pPr>
              <w:pStyle w:val="Tablea"/>
            </w:pPr>
            <w:r w:rsidRPr="000422C2">
              <w:t>(b) activities tha</w:t>
            </w:r>
            <w:r w:rsidR="00102619" w:rsidRPr="000422C2">
              <w:t>t improve housing affordability; and</w:t>
            </w:r>
          </w:p>
          <w:p w:rsidR="00102619" w:rsidRPr="000422C2" w:rsidRDefault="00102619" w:rsidP="00102619">
            <w:pPr>
              <w:pStyle w:val="Tablea"/>
            </w:pPr>
            <w:r w:rsidRPr="000422C2">
              <w:t>(c) research and activities of peak bodies to do one or more of the following:</w:t>
            </w:r>
          </w:p>
          <w:p w:rsidR="00102619" w:rsidRPr="000422C2" w:rsidRDefault="00102619" w:rsidP="00102619">
            <w:pPr>
              <w:pStyle w:val="Tablei"/>
            </w:pPr>
            <w:r w:rsidRPr="000422C2">
              <w:t>(i) build the research base for effective policy that addresses homelessness and housing affordability over the long term;</w:t>
            </w:r>
          </w:p>
          <w:p w:rsidR="00102619" w:rsidRPr="000422C2" w:rsidRDefault="00102619" w:rsidP="00102619">
            <w:pPr>
              <w:pStyle w:val="Tablei"/>
            </w:pPr>
            <w:r w:rsidRPr="000422C2">
              <w:t>(ii) identify best practice models that can be promoted and replicated and that will enhance existing housing and homelessness policies and programs;</w:t>
            </w:r>
          </w:p>
          <w:p w:rsidR="00102619" w:rsidRPr="000422C2" w:rsidRDefault="00102619" w:rsidP="00102619">
            <w:pPr>
              <w:pStyle w:val="Tablei"/>
            </w:pPr>
            <w:r w:rsidRPr="000422C2">
              <w:t>(iii) build the capacity of the community sector to improve linkages and networks;</w:t>
            </w:r>
          </w:p>
          <w:p w:rsidR="00102619" w:rsidRPr="000422C2" w:rsidRDefault="00102619" w:rsidP="00102619">
            <w:pPr>
              <w:pStyle w:val="Tablei"/>
            </w:pPr>
            <w:r w:rsidRPr="000422C2">
              <w:t>(iv) raise awareness of housing, housing affordability and homelessness issues at all levels of government and across the community.</w:t>
            </w:r>
          </w:p>
          <w:p w:rsidR="00984BB9" w:rsidRPr="000422C2" w:rsidRDefault="00984BB9" w:rsidP="00102619">
            <w:pPr>
              <w:pStyle w:val="Tabletext"/>
            </w:pPr>
            <w:r w:rsidRPr="000422C2">
              <w:t>This objective also has the effect it would have if it were limited to providing funding:</w:t>
            </w:r>
          </w:p>
          <w:p w:rsidR="003E6D9E" w:rsidRPr="000422C2" w:rsidRDefault="00984BB9" w:rsidP="003E6D9E">
            <w:pPr>
              <w:pStyle w:val="Tablea"/>
            </w:pPr>
            <w:r w:rsidRPr="000422C2">
              <w:t>(a</w:t>
            </w:r>
            <w:r w:rsidR="003E6D9E" w:rsidRPr="000422C2">
              <w:t>) by providing medical services, family and maternity allowances, child endowment, unemployment and sickness benefits and benefits to students, and by engaging in measures incidental to the provision of those matters;</w:t>
            </w:r>
            <w:r w:rsidRPr="000422C2">
              <w:t xml:space="preserve"> or</w:t>
            </w:r>
          </w:p>
          <w:p w:rsidR="003E6D9E" w:rsidRPr="000422C2" w:rsidRDefault="00984BB9" w:rsidP="003E6D9E">
            <w:pPr>
              <w:pStyle w:val="Tablea"/>
            </w:pPr>
            <w:r w:rsidRPr="000422C2">
              <w:t>(b</w:t>
            </w:r>
            <w:r w:rsidR="003E6D9E" w:rsidRPr="000422C2">
              <w:t xml:space="preserve">) by engaging in measures to meet Australia’s </w:t>
            </w:r>
            <w:r w:rsidR="00D124B2" w:rsidRPr="000422C2">
              <w:t xml:space="preserve">international </w:t>
            </w:r>
            <w:r w:rsidR="003E6D9E" w:rsidRPr="000422C2">
              <w:t>obligations under the International Covenant on Economic, Social and</w:t>
            </w:r>
            <w:r w:rsidR="00D124B2" w:rsidRPr="000422C2">
              <w:t xml:space="preserve"> Cultural Rights, particularly a</w:t>
            </w:r>
            <w:r w:rsidR="003E6D9E" w:rsidRPr="000422C2">
              <w:t>rticle</w:t>
            </w:r>
            <w:r w:rsidR="008660BB" w:rsidRPr="000422C2">
              <w:t xml:space="preserve"> </w:t>
            </w:r>
            <w:r w:rsidR="003E6D9E" w:rsidRPr="000422C2">
              <w:t>11;</w:t>
            </w:r>
            <w:r w:rsidRPr="000422C2">
              <w:t xml:space="preserve"> or</w:t>
            </w:r>
          </w:p>
          <w:p w:rsidR="003E6D9E" w:rsidRPr="000422C2" w:rsidRDefault="00984BB9" w:rsidP="003E6D9E">
            <w:pPr>
              <w:pStyle w:val="Tablea"/>
            </w:pPr>
            <w:r w:rsidRPr="000422C2">
              <w:t xml:space="preserve">(c) </w:t>
            </w:r>
            <w:r w:rsidR="003E6D9E" w:rsidRPr="000422C2">
              <w:t>by engaging in measures that are peculiarly adapted to the government of a nation and cannot otherwise be carried on for the benefit of the nation;</w:t>
            </w:r>
            <w:r w:rsidRPr="000422C2">
              <w:t xml:space="preserve"> or</w:t>
            </w:r>
          </w:p>
          <w:p w:rsidR="003E6D9E" w:rsidRPr="000422C2" w:rsidRDefault="00984BB9" w:rsidP="003E6D9E">
            <w:pPr>
              <w:pStyle w:val="Tablea"/>
            </w:pPr>
            <w:r w:rsidRPr="000422C2">
              <w:t>(d</w:t>
            </w:r>
            <w:r w:rsidR="003E6D9E" w:rsidRPr="000422C2">
              <w:t>) in the exercise of the exec</w:t>
            </w:r>
            <w:r w:rsidR="00102619" w:rsidRPr="000422C2">
              <w:t>utive power of the Commonwealth.</w:t>
            </w:r>
          </w:p>
          <w:p w:rsidR="007214FA" w:rsidRPr="000422C2" w:rsidRDefault="007214FA" w:rsidP="003E6D9E">
            <w:pPr>
              <w:pStyle w:val="Tablei"/>
            </w:pPr>
          </w:p>
        </w:tc>
      </w:tr>
      <w:tr w:rsidR="007214FA" w:rsidRPr="000422C2" w:rsidTr="00786143">
        <w:tc>
          <w:tcPr>
            <w:tcW w:w="714" w:type="dxa"/>
            <w:shd w:val="clear" w:color="auto" w:fill="auto"/>
            <w:hideMark/>
          </w:tcPr>
          <w:p w:rsidR="007214FA" w:rsidRPr="000422C2" w:rsidRDefault="00786143" w:rsidP="0058665B">
            <w:pPr>
              <w:pStyle w:val="Tabletext"/>
            </w:pPr>
            <w:r w:rsidRPr="000422C2">
              <w:t>49</w:t>
            </w:r>
          </w:p>
        </w:tc>
        <w:tc>
          <w:tcPr>
            <w:tcW w:w="2115" w:type="dxa"/>
            <w:shd w:val="clear" w:color="auto" w:fill="auto"/>
            <w:hideMark/>
          </w:tcPr>
          <w:p w:rsidR="007214FA" w:rsidRPr="000422C2" w:rsidRDefault="003E6D9E" w:rsidP="003E6D9E">
            <w:pPr>
              <w:pStyle w:val="Tabletext"/>
            </w:pPr>
            <w:r w:rsidRPr="000422C2">
              <w:t>Disability Employment</w:t>
            </w:r>
          </w:p>
        </w:tc>
        <w:tc>
          <w:tcPr>
            <w:tcW w:w="4251" w:type="dxa"/>
            <w:shd w:val="clear" w:color="auto" w:fill="auto"/>
            <w:hideMark/>
          </w:tcPr>
          <w:p w:rsidR="001B738E" w:rsidRPr="000422C2" w:rsidRDefault="001B738E" w:rsidP="001B738E">
            <w:pPr>
              <w:pStyle w:val="Tabletext"/>
            </w:pPr>
            <w:r w:rsidRPr="000422C2">
              <w:t>To help individuals with an injury, disability or health condition to secure and maintain sustainable open employment by:</w:t>
            </w:r>
          </w:p>
          <w:p w:rsidR="001B738E" w:rsidRPr="000422C2" w:rsidRDefault="001B738E" w:rsidP="001B738E">
            <w:pPr>
              <w:pStyle w:val="Tablea"/>
            </w:pPr>
            <w:r w:rsidRPr="000422C2">
              <w:t>(a) providing medical and dental services and unemployment, pharmaceutical, hospital and sickness benefits; and</w:t>
            </w:r>
          </w:p>
          <w:p w:rsidR="007214FA" w:rsidRPr="000422C2" w:rsidRDefault="001B738E" w:rsidP="00031F70">
            <w:pPr>
              <w:pStyle w:val="Tablea"/>
            </w:pPr>
            <w:r w:rsidRPr="000422C2">
              <w:t xml:space="preserve">(b) engaging in measures to meet Australia’s </w:t>
            </w:r>
            <w:r w:rsidR="00D124B2" w:rsidRPr="000422C2">
              <w:t xml:space="preserve">international </w:t>
            </w:r>
            <w:r w:rsidRPr="000422C2">
              <w:t>obligations in relation to persons with disabilit</w:t>
            </w:r>
            <w:r w:rsidR="00031F70" w:rsidRPr="000422C2">
              <w:t>ies</w:t>
            </w:r>
            <w:r w:rsidRPr="000422C2">
              <w:t>, in particular obligations under the Convention on the Rights of Persons with Disabilities.</w:t>
            </w:r>
          </w:p>
        </w:tc>
      </w:tr>
      <w:tr w:rsidR="007214FA" w:rsidRPr="000422C2" w:rsidTr="00786143">
        <w:tc>
          <w:tcPr>
            <w:tcW w:w="714" w:type="dxa"/>
            <w:shd w:val="clear" w:color="auto" w:fill="auto"/>
            <w:hideMark/>
          </w:tcPr>
          <w:p w:rsidR="007214FA" w:rsidRPr="000422C2" w:rsidRDefault="00786143" w:rsidP="0058665B">
            <w:pPr>
              <w:pStyle w:val="Tabletext"/>
            </w:pPr>
            <w:r w:rsidRPr="000422C2">
              <w:t>50</w:t>
            </w:r>
          </w:p>
        </w:tc>
        <w:tc>
          <w:tcPr>
            <w:tcW w:w="2115" w:type="dxa"/>
            <w:shd w:val="clear" w:color="auto" w:fill="auto"/>
            <w:hideMark/>
          </w:tcPr>
          <w:p w:rsidR="007214FA" w:rsidRPr="000422C2" w:rsidRDefault="00D2209B" w:rsidP="00D2209B">
            <w:pPr>
              <w:pStyle w:val="Tabletext"/>
            </w:pPr>
            <w:r w:rsidRPr="000422C2">
              <w:t>Employment Assistance and Other Services</w:t>
            </w:r>
          </w:p>
        </w:tc>
        <w:tc>
          <w:tcPr>
            <w:tcW w:w="4251" w:type="dxa"/>
            <w:shd w:val="clear" w:color="auto" w:fill="auto"/>
            <w:hideMark/>
          </w:tcPr>
          <w:p w:rsidR="00D2209B" w:rsidRPr="000422C2" w:rsidRDefault="00D2209B" w:rsidP="00D2209B">
            <w:pPr>
              <w:pStyle w:val="Tabletext"/>
            </w:pPr>
            <w:r w:rsidRPr="000422C2">
              <w:t xml:space="preserve">To support employers to employ people </w:t>
            </w:r>
            <w:r w:rsidR="00984BB9" w:rsidRPr="000422C2">
              <w:t>with disabilities.</w:t>
            </w:r>
          </w:p>
          <w:p w:rsidR="00984BB9" w:rsidRPr="000422C2" w:rsidRDefault="00984BB9" w:rsidP="00984BB9">
            <w:pPr>
              <w:pStyle w:val="Tabletext"/>
            </w:pPr>
            <w:r w:rsidRPr="000422C2">
              <w:t>This objective also has the effect it would have if it were limited to providing support:</w:t>
            </w:r>
          </w:p>
          <w:p w:rsidR="00D2209B" w:rsidRPr="000422C2" w:rsidRDefault="00D2209B" w:rsidP="00D2209B">
            <w:pPr>
              <w:pStyle w:val="Tablea"/>
            </w:pPr>
            <w:r w:rsidRPr="000422C2">
              <w:t xml:space="preserve">(a) </w:t>
            </w:r>
            <w:r w:rsidR="00984BB9" w:rsidRPr="000422C2">
              <w:t xml:space="preserve">by </w:t>
            </w:r>
            <w:r w:rsidRPr="000422C2">
              <w:t xml:space="preserve">providing medical and dental services and unemployment, pharmaceutical, hospital and sickness benefits; </w:t>
            </w:r>
            <w:r w:rsidR="00984BB9" w:rsidRPr="000422C2">
              <w:t>or</w:t>
            </w:r>
          </w:p>
          <w:p w:rsidR="007214FA" w:rsidRPr="000422C2" w:rsidRDefault="00D2209B" w:rsidP="00D2209B">
            <w:pPr>
              <w:pStyle w:val="Tablea"/>
            </w:pPr>
            <w:r w:rsidRPr="000422C2">
              <w:t xml:space="preserve">(b) </w:t>
            </w:r>
            <w:r w:rsidR="00984BB9" w:rsidRPr="000422C2">
              <w:t xml:space="preserve">by </w:t>
            </w:r>
            <w:r w:rsidRPr="000422C2">
              <w:t xml:space="preserve">engaging in measures to meet Australia’s </w:t>
            </w:r>
            <w:r w:rsidR="00D124B2" w:rsidRPr="000422C2">
              <w:t xml:space="preserve">international </w:t>
            </w:r>
            <w:r w:rsidRPr="000422C2">
              <w:t>obligations in relation to persons with disabilities, i</w:t>
            </w:r>
            <w:r w:rsidR="00D124B2" w:rsidRPr="000422C2">
              <w:t>n particular obligations under a</w:t>
            </w:r>
            <w:r w:rsidRPr="000422C2">
              <w:t>rticle 27 of the Convention on the Rights of Persons with Disabilities.</w:t>
            </w:r>
          </w:p>
        </w:tc>
      </w:tr>
      <w:tr w:rsidR="007214FA" w:rsidRPr="000422C2" w:rsidTr="00786143">
        <w:tc>
          <w:tcPr>
            <w:tcW w:w="714" w:type="dxa"/>
            <w:shd w:val="clear" w:color="auto" w:fill="auto"/>
            <w:hideMark/>
          </w:tcPr>
          <w:p w:rsidR="007214FA" w:rsidRPr="000422C2" w:rsidRDefault="00786143" w:rsidP="0058665B">
            <w:pPr>
              <w:pStyle w:val="Tabletext"/>
            </w:pPr>
            <w:r w:rsidRPr="000422C2">
              <w:t>51</w:t>
            </w:r>
          </w:p>
        </w:tc>
        <w:tc>
          <w:tcPr>
            <w:tcW w:w="2115" w:type="dxa"/>
            <w:shd w:val="clear" w:color="auto" w:fill="auto"/>
            <w:hideMark/>
          </w:tcPr>
          <w:p w:rsidR="007214FA" w:rsidRPr="000422C2" w:rsidRDefault="00D2209B" w:rsidP="00D2209B">
            <w:pPr>
              <w:pStyle w:val="Tabletext"/>
            </w:pPr>
            <w:r w:rsidRPr="000422C2">
              <w:t>Disability and Carer Support</w:t>
            </w:r>
          </w:p>
        </w:tc>
        <w:tc>
          <w:tcPr>
            <w:tcW w:w="4251" w:type="dxa"/>
            <w:shd w:val="clear" w:color="auto" w:fill="auto"/>
            <w:hideMark/>
          </w:tcPr>
          <w:p w:rsidR="004142F4" w:rsidRPr="000422C2" w:rsidRDefault="00D2209B" w:rsidP="00D2209B">
            <w:pPr>
              <w:pStyle w:val="Tabletext"/>
            </w:pPr>
            <w:r w:rsidRPr="000422C2">
              <w:t>To improve access, support and services for people with</w:t>
            </w:r>
            <w:r w:rsidR="009F79F0" w:rsidRPr="000422C2">
              <w:t xml:space="preserve"> disabilities and their carers as follows:</w:t>
            </w:r>
          </w:p>
          <w:p w:rsidR="00984BB9" w:rsidRPr="000422C2" w:rsidRDefault="00145E1D" w:rsidP="00145E1D">
            <w:pPr>
              <w:pStyle w:val="Tablea"/>
            </w:pPr>
            <w:r w:rsidRPr="000422C2">
              <w:t xml:space="preserve">(a) by </w:t>
            </w:r>
            <w:r w:rsidR="00D2209B" w:rsidRPr="000422C2">
              <w:t>providing and improving access to services and support through stakeholder eng</w:t>
            </w:r>
            <w:r w:rsidR="009F79F0" w:rsidRPr="000422C2">
              <w:t>agement and sector development;</w:t>
            </w:r>
          </w:p>
          <w:p w:rsidR="00145E1D" w:rsidRPr="000422C2" w:rsidRDefault="00145E1D" w:rsidP="00145E1D">
            <w:pPr>
              <w:pStyle w:val="Tablea"/>
            </w:pPr>
            <w:r w:rsidRPr="000422C2">
              <w:t>(b) by providing services and support for carers, including services to su</w:t>
            </w:r>
            <w:r w:rsidR="009F79F0" w:rsidRPr="000422C2">
              <w:t>pport carers aged 25 and under;</w:t>
            </w:r>
          </w:p>
          <w:p w:rsidR="00145E1D" w:rsidRPr="000422C2" w:rsidRDefault="00145E1D" w:rsidP="00145E1D">
            <w:pPr>
              <w:pStyle w:val="Tablea"/>
            </w:pPr>
            <w:r w:rsidRPr="000422C2">
              <w:t>(c) by providing support, services and funding to enable people with disabilities and c</w:t>
            </w:r>
            <w:r w:rsidR="009F79F0" w:rsidRPr="000422C2">
              <w:t>arers to participate in forums;</w:t>
            </w:r>
          </w:p>
          <w:p w:rsidR="00145E1D" w:rsidRPr="000422C2" w:rsidRDefault="00145E1D" w:rsidP="00145E1D">
            <w:pPr>
              <w:pStyle w:val="Tablea"/>
            </w:pPr>
            <w:r w:rsidRPr="000422C2">
              <w:t xml:space="preserve">(d) </w:t>
            </w:r>
            <w:r w:rsidR="004142F4" w:rsidRPr="000422C2">
              <w:t>by providing support to develop a robust sector to meet the needs of people with disabilities and carers</w:t>
            </w:r>
            <w:r w:rsidR="009F79F0" w:rsidRPr="000422C2">
              <w:t>;</w:t>
            </w:r>
          </w:p>
          <w:p w:rsidR="004142F4" w:rsidRPr="000422C2" w:rsidRDefault="004142F4" w:rsidP="004142F4">
            <w:pPr>
              <w:pStyle w:val="Tablea"/>
            </w:pPr>
            <w:r w:rsidRPr="000422C2">
              <w:t xml:space="preserve">(e) </w:t>
            </w:r>
            <w:r w:rsidR="009F79F0" w:rsidRPr="000422C2">
              <w:t xml:space="preserve">by </w:t>
            </w:r>
            <w:r w:rsidRPr="000422C2">
              <w:t>providing for the delivery of appropriate and timely adv</w:t>
            </w:r>
            <w:r w:rsidR="009F79F0" w:rsidRPr="000422C2">
              <w:t>ocacy for people with disabilities</w:t>
            </w:r>
            <w:r w:rsidRPr="000422C2">
              <w:t xml:space="preserve"> and carers that addresses instances of abuse, discrimination and neglect.</w:t>
            </w:r>
          </w:p>
          <w:p w:rsidR="00984BB9" w:rsidRPr="000422C2" w:rsidRDefault="00984BB9" w:rsidP="00145E1D">
            <w:pPr>
              <w:pStyle w:val="Tabletext"/>
            </w:pPr>
            <w:r w:rsidRPr="000422C2">
              <w:t>This objective also has the effect it would have if it were limited to providing support:</w:t>
            </w:r>
          </w:p>
          <w:p w:rsidR="00D2209B" w:rsidRPr="000422C2" w:rsidRDefault="00D2209B" w:rsidP="00D2209B">
            <w:pPr>
              <w:pStyle w:val="Tablea"/>
            </w:pPr>
            <w:r w:rsidRPr="000422C2">
              <w:t>(a) by providing medical and dental services, family and maternity allowances, unemployment, pharmaceutical, hospital and sickness benefits and benefits to students;</w:t>
            </w:r>
            <w:r w:rsidR="00984BB9" w:rsidRPr="000422C2">
              <w:t xml:space="preserve"> or</w:t>
            </w:r>
          </w:p>
          <w:p w:rsidR="00D2209B" w:rsidRPr="000422C2" w:rsidRDefault="00D2209B" w:rsidP="00D2209B">
            <w:pPr>
              <w:pStyle w:val="Tablea"/>
            </w:pPr>
            <w:r w:rsidRPr="000422C2">
              <w:t xml:space="preserve">(b) by engaging in measures to meet Australia’s </w:t>
            </w:r>
            <w:r w:rsidR="00D124B2" w:rsidRPr="000422C2">
              <w:t xml:space="preserve">international </w:t>
            </w:r>
            <w:r w:rsidRPr="000422C2">
              <w:t>obligations in relation to children, in particular obligations under the Convention on the Rights of the Child;</w:t>
            </w:r>
            <w:r w:rsidR="00984BB9" w:rsidRPr="000422C2">
              <w:t xml:space="preserve"> or</w:t>
            </w:r>
          </w:p>
          <w:p w:rsidR="00D2209B" w:rsidRPr="000422C2" w:rsidRDefault="00D2209B" w:rsidP="00D2209B">
            <w:pPr>
              <w:pStyle w:val="Tablea"/>
            </w:pPr>
            <w:r w:rsidRPr="000422C2">
              <w:t xml:space="preserve">(c) by engaging in measures to meet Australia’s </w:t>
            </w:r>
            <w:r w:rsidR="00D124B2" w:rsidRPr="000422C2">
              <w:t xml:space="preserve">international </w:t>
            </w:r>
            <w:r w:rsidRPr="000422C2">
              <w:t>obligations in relation to persons with disabilities, in particular obligations under the Convention on the Rights of Persons with Disabilities;</w:t>
            </w:r>
            <w:r w:rsidR="00984BB9" w:rsidRPr="000422C2">
              <w:t xml:space="preserve"> or</w:t>
            </w:r>
          </w:p>
          <w:p w:rsidR="00D2209B" w:rsidRPr="000422C2" w:rsidRDefault="00D2209B" w:rsidP="00D2209B">
            <w:pPr>
              <w:pStyle w:val="Tablea"/>
            </w:pPr>
            <w:r w:rsidRPr="000422C2">
              <w:t>(d) in a Territory;</w:t>
            </w:r>
            <w:r w:rsidR="00984BB9" w:rsidRPr="000422C2">
              <w:t xml:space="preserve"> or</w:t>
            </w:r>
          </w:p>
          <w:p w:rsidR="00D2209B" w:rsidRPr="000422C2" w:rsidRDefault="00D2209B" w:rsidP="00D2209B">
            <w:pPr>
              <w:pStyle w:val="Tablea"/>
            </w:pPr>
            <w:r w:rsidRPr="000422C2">
              <w:t xml:space="preserve">(e) by providing assistance to trading, financial </w:t>
            </w:r>
            <w:r w:rsidR="0020770A" w:rsidRPr="000422C2">
              <w:t>and</w:t>
            </w:r>
            <w:r w:rsidRPr="000422C2">
              <w:t xml:space="preserve"> foreign corporation</w:t>
            </w:r>
            <w:r w:rsidR="0020770A" w:rsidRPr="000422C2">
              <w:t xml:space="preserve">s to which </w:t>
            </w:r>
            <w:r w:rsidRPr="000422C2">
              <w:t>paragraph</w:t>
            </w:r>
            <w:r w:rsidR="000422C2" w:rsidRPr="000422C2">
              <w:t> </w:t>
            </w:r>
            <w:r w:rsidRPr="000422C2">
              <w:t xml:space="preserve">51(xx) of the Constitution </w:t>
            </w:r>
            <w:r w:rsidR="0020770A" w:rsidRPr="000422C2">
              <w:t xml:space="preserve">applies </w:t>
            </w:r>
            <w:r w:rsidRPr="000422C2">
              <w:t>where the assistance relates to the existing activities of the corporation</w:t>
            </w:r>
            <w:r w:rsidR="0020770A" w:rsidRPr="000422C2">
              <w:t>s;</w:t>
            </w:r>
            <w:r w:rsidR="00984BB9" w:rsidRPr="000422C2">
              <w:t xml:space="preserve"> or</w:t>
            </w:r>
          </w:p>
          <w:p w:rsidR="00D2209B" w:rsidRPr="000422C2" w:rsidRDefault="0020770A" w:rsidP="00D2209B">
            <w:pPr>
              <w:pStyle w:val="Tablea"/>
            </w:pPr>
            <w:r w:rsidRPr="000422C2">
              <w:t xml:space="preserve">(f) </w:t>
            </w:r>
            <w:r w:rsidR="00D2209B" w:rsidRPr="000422C2">
              <w:t>by providing grants of financial assis</w:t>
            </w:r>
            <w:r w:rsidRPr="000422C2">
              <w:t>tance to a State or Territory;</w:t>
            </w:r>
            <w:r w:rsidR="00984BB9" w:rsidRPr="000422C2">
              <w:t xml:space="preserve"> or</w:t>
            </w:r>
          </w:p>
          <w:p w:rsidR="00D2209B" w:rsidRPr="000422C2" w:rsidRDefault="0020770A" w:rsidP="00D2209B">
            <w:pPr>
              <w:pStyle w:val="Tablea"/>
            </w:pPr>
            <w:r w:rsidRPr="000422C2">
              <w:t xml:space="preserve">(g) </w:t>
            </w:r>
            <w:r w:rsidR="00D2209B" w:rsidRPr="000422C2">
              <w:t>by engaging in measures that are peculiarly adapted to the government of a nation and cannot otherwise be carried on</w:t>
            </w:r>
            <w:r w:rsidRPr="000422C2">
              <w:t xml:space="preserve"> for the benefit of the nation;</w:t>
            </w:r>
            <w:r w:rsidR="00984BB9" w:rsidRPr="000422C2">
              <w:t xml:space="preserve"> or</w:t>
            </w:r>
          </w:p>
          <w:p w:rsidR="007214FA" w:rsidRPr="000422C2" w:rsidRDefault="0020770A" w:rsidP="009F79F0">
            <w:pPr>
              <w:pStyle w:val="Tablea"/>
            </w:pPr>
            <w:r w:rsidRPr="000422C2">
              <w:t xml:space="preserve">(h) in the exercise of </w:t>
            </w:r>
            <w:r w:rsidR="00D2209B" w:rsidRPr="000422C2">
              <w:t>the executive power of the Commonwealth.</w:t>
            </w:r>
          </w:p>
        </w:tc>
      </w:tr>
      <w:tr w:rsidR="00D2209B" w:rsidRPr="000422C2" w:rsidTr="00786143">
        <w:tc>
          <w:tcPr>
            <w:tcW w:w="714" w:type="dxa"/>
            <w:shd w:val="clear" w:color="auto" w:fill="auto"/>
            <w:hideMark/>
          </w:tcPr>
          <w:p w:rsidR="00D2209B" w:rsidRPr="000422C2" w:rsidRDefault="00786143" w:rsidP="0058665B">
            <w:pPr>
              <w:pStyle w:val="Tabletext"/>
            </w:pPr>
            <w:r w:rsidRPr="000422C2">
              <w:t>52</w:t>
            </w:r>
          </w:p>
        </w:tc>
        <w:tc>
          <w:tcPr>
            <w:tcW w:w="2115" w:type="dxa"/>
            <w:shd w:val="clear" w:color="auto" w:fill="auto"/>
            <w:hideMark/>
          </w:tcPr>
          <w:p w:rsidR="00D2209B" w:rsidRPr="000422C2" w:rsidRDefault="0020770A" w:rsidP="0020770A">
            <w:pPr>
              <w:pStyle w:val="Tabletext"/>
            </w:pPr>
            <w:r w:rsidRPr="000422C2">
              <w:t>Disability and Carer Service Improvement and Sector Support</w:t>
            </w:r>
          </w:p>
        </w:tc>
        <w:tc>
          <w:tcPr>
            <w:tcW w:w="4251" w:type="dxa"/>
            <w:shd w:val="clear" w:color="auto" w:fill="auto"/>
            <w:hideMark/>
          </w:tcPr>
          <w:p w:rsidR="0020770A" w:rsidRPr="000422C2" w:rsidRDefault="0020770A" w:rsidP="0020770A">
            <w:pPr>
              <w:pStyle w:val="Tabletext"/>
            </w:pPr>
            <w:r w:rsidRPr="000422C2">
              <w:t>To provide funding for:</w:t>
            </w:r>
          </w:p>
          <w:p w:rsidR="0020770A" w:rsidRPr="000422C2" w:rsidRDefault="0020770A" w:rsidP="0020770A">
            <w:pPr>
              <w:pStyle w:val="Tablea"/>
            </w:pPr>
            <w:r w:rsidRPr="000422C2">
              <w:t>(a) research and stakeholder engagement; and</w:t>
            </w:r>
          </w:p>
          <w:p w:rsidR="0020770A" w:rsidRPr="000422C2" w:rsidRDefault="0020770A" w:rsidP="0020770A">
            <w:pPr>
              <w:pStyle w:val="Tablea"/>
            </w:pPr>
            <w:r w:rsidRPr="000422C2">
              <w:t>(b) peak bodies</w:t>
            </w:r>
            <w:r w:rsidR="00984BB9" w:rsidRPr="000422C2">
              <w:t xml:space="preserve"> and other persons and entities.</w:t>
            </w:r>
          </w:p>
          <w:p w:rsidR="00984BB9" w:rsidRPr="000422C2" w:rsidRDefault="00984BB9" w:rsidP="00984BB9">
            <w:pPr>
              <w:pStyle w:val="Tabletext"/>
            </w:pPr>
            <w:r w:rsidRPr="000422C2">
              <w:t>This objective also has the effect it would have if it were limited to providing funding:</w:t>
            </w:r>
          </w:p>
          <w:p w:rsidR="0020770A" w:rsidRPr="000422C2" w:rsidRDefault="00984BB9" w:rsidP="0020770A">
            <w:pPr>
              <w:pStyle w:val="Tablea"/>
            </w:pPr>
            <w:r w:rsidRPr="000422C2">
              <w:t>(a</w:t>
            </w:r>
            <w:r w:rsidR="0020770A" w:rsidRPr="000422C2">
              <w:t>) by providing medical and dental services, family and maternity allowances, unemployment, pharmaceutical, hospital and sickness benefits and benefits to students, and engaging in measures incidental to the provision of those matters;</w:t>
            </w:r>
            <w:r w:rsidRPr="000422C2">
              <w:t xml:space="preserve"> or</w:t>
            </w:r>
          </w:p>
          <w:p w:rsidR="0020770A" w:rsidRPr="000422C2" w:rsidRDefault="00984BB9" w:rsidP="0020770A">
            <w:pPr>
              <w:pStyle w:val="Tablea"/>
            </w:pPr>
            <w:r w:rsidRPr="000422C2">
              <w:t>(b</w:t>
            </w:r>
            <w:r w:rsidR="0020770A" w:rsidRPr="000422C2">
              <w:t xml:space="preserve">) by engaging in measures to meet Australia’s </w:t>
            </w:r>
            <w:r w:rsidR="0049341C" w:rsidRPr="000422C2">
              <w:t xml:space="preserve">international </w:t>
            </w:r>
            <w:r w:rsidR="0020770A" w:rsidRPr="000422C2">
              <w:t>obligations in relation to children, in particular obligations under the Convention on the Rights of the Child;</w:t>
            </w:r>
            <w:r w:rsidRPr="000422C2">
              <w:t xml:space="preserve"> or</w:t>
            </w:r>
          </w:p>
          <w:p w:rsidR="0020770A" w:rsidRPr="000422C2" w:rsidRDefault="00984BB9" w:rsidP="0020770A">
            <w:pPr>
              <w:pStyle w:val="Tablea"/>
            </w:pPr>
            <w:r w:rsidRPr="000422C2">
              <w:t>(c</w:t>
            </w:r>
            <w:r w:rsidR="0020770A" w:rsidRPr="000422C2">
              <w:t xml:space="preserve">) by engaging in measures to meet Australia’s </w:t>
            </w:r>
            <w:r w:rsidR="0049341C" w:rsidRPr="000422C2">
              <w:t xml:space="preserve">international </w:t>
            </w:r>
            <w:r w:rsidR="0020770A" w:rsidRPr="000422C2">
              <w:t>obligations in relation to persons with disabilities, in particular obligations under the Convention on the Rights of Persons with Disabilities;</w:t>
            </w:r>
            <w:r w:rsidRPr="000422C2">
              <w:t xml:space="preserve"> or</w:t>
            </w:r>
          </w:p>
          <w:p w:rsidR="0020770A" w:rsidRPr="000422C2" w:rsidRDefault="00984BB9" w:rsidP="0020770A">
            <w:pPr>
              <w:pStyle w:val="Tablea"/>
            </w:pPr>
            <w:r w:rsidRPr="000422C2">
              <w:t>(d</w:t>
            </w:r>
            <w:r w:rsidR="0020770A" w:rsidRPr="000422C2">
              <w:t>) in a Territory;</w:t>
            </w:r>
            <w:r w:rsidRPr="000422C2">
              <w:t xml:space="preserve"> or</w:t>
            </w:r>
          </w:p>
          <w:p w:rsidR="0020770A" w:rsidRPr="000422C2" w:rsidRDefault="00984BB9" w:rsidP="0020770A">
            <w:pPr>
              <w:pStyle w:val="Tablea"/>
            </w:pPr>
            <w:r w:rsidRPr="000422C2">
              <w:t>(e</w:t>
            </w:r>
            <w:r w:rsidR="0020770A" w:rsidRPr="000422C2">
              <w:t>) by providing assistance to trading, financial and foreign corporations to which paragraph</w:t>
            </w:r>
            <w:r w:rsidR="000422C2" w:rsidRPr="000422C2">
              <w:t> </w:t>
            </w:r>
            <w:r w:rsidR="0020770A" w:rsidRPr="000422C2">
              <w:t>51(xx) of the Constitution applies where the assistance relates to the existing activities of the corporations;</w:t>
            </w:r>
            <w:r w:rsidRPr="000422C2">
              <w:t xml:space="preserve"> or</w:t>
            </w:r>
          </w:p>
          <w:p w:rsidR="0020770A" w:rsidRPr="000422C2" w:rsidRDefault="00984BB9" w:rsidP="0020770A">
            <w:pPr>
              <w:pStyle w:val="Tablea"/>
            </w:pPr>
            <w:r w:rsidRPr="000422C2">
              <w:t>(f</w:t>
            </w:r>
            <w:r w:rsidR="0020770A" w:rsidRPr="000422C2">
              <w:t>) by providing grants of financial assistance to a State or Territory;</w:t>
            </w:r>
            <w:r w:rsidRPr="000422C2">
              <w:t xml:space="preserve"> or</w:t>
            </w:r>
          </w:p>
          <w:p w:rsidR="0020770A" w:rsidRPr="000422C2" w:rsidRDefault="00984BB9" w:rsidP="0020770A">
            <w:pPr>
              <w:pStyle w:val="Tablea"/>
            </w:pPr>
            <w:r w:rsidRPr="000422C2">
              <w:t>(g</w:t>
            </w:r>
            <w:r w:rsidR="0020770A" w:rsidRPr="000422C2">
              <w:t>) by engaging in measures that are peculiarly adapted to the government of a nation and cannot otherwise be carried on for the benefit of the nation;</w:t>
            </w:r>
            <w:r w:rsidRPr="000422C2">
              <w:t xml:space="preserve"> or</w:t>
            </w:r>
          </w:p>
          <w:p w:rsidR="00D2209B" w:rsidRPr="000422C2" w:rsidRDefault="00984BB9" w:rsidP="0020770A">
            <w:pPr>
              <w:pStyle w:val="Tablea"/>
            </w:pPr>
            <w:r w:rsidRPr="000422C2">
              <w:t>(h</w:t>
            </w:r>
            <w:r w:rsidR="0020770A" w:rsidRPr="000422C2">
              <w:t>) in the exercise of the executive power of the Commonwealth.</w:t>
            </w:r>
          </w:p>
        </w:tc>
      </w:tr>
      <w:tr w:rsidR="00D2209B" w:rsidRPr="000422C2" w:rsidTr="00786143">
        <w:tc>
          <w:tcPr>
            <w:tcW w:w="714" w:type="dxa"/>
            <w:shd w:val="clear" w:color="auto" w:fill="auto"/>
            <w:hideMark/>
          </w:tcPr>
          <w:p w:rsidR="00D2209B" w:rsidRPr="000422C2" w:rsidRDefault="00786143" w:rsidP="0058665B">
            <w:pPr>
              <w:pStyle w:val="Tabletext"/>
            </w:pPr>
            <w:r w:rsidRPr="000422C2">
              <w:t>53</w:t>
            </w:r>
          </w:p>
        </w:tc>
        <w:tc>
          <w:tcPr>
            <w:tcW w:w="2115" w:type="dxa"/>
            <w:shd w:val="clear" w:color="auto" w:fill="auto"/>
            <w:hideMark/>
          </w:tcPr>
          <w:p w:rsidR="00D2209B" w:rsidRPr="000422C2" w:rsidRDefault="0020770A" w:rsidP="0020770A">
            <w:pPr>
              <w:pStyle w:val="Tabletext"/>
            </w:pPr>
            <w:r w:rsidRPr="000422C2">
              <w:t>Community Mental Health</w:t>
            </w:r>
          </w:p>
        </w:tc>
        <w:tc>
          <w:tcPr>
            <w:tcW w:w="4251" w:type="dxa"/>
            <w:shd w:val="clear" w:color="auto" w:fill="auto"/>
            <w:hideMark/>
          </w:tcPr>
          <w:p w:rsidR="00984BB9" w:rsidRPr="000422C2" w:rsidRDefault="0020770A" w:rsidP="0020770A">
            <w:pPr>
              <w:pStyle w:val="Tabletext"/>
            </w:pPr>
            <w:r w:rsidRPr="000422C2">
              <w:t>To provide early intervention and other support through community</w:t>
            </w:r>
            <w:r w:rsidR="000422C2">
              <w:noBreakHyphen/>
            </w:r>
            <w:r w:rsidRPr="000422C2">
              <w:t>based initiatives for people with mental illness and their families and carers</w:t>
            </w:r>
            <w:r w:rsidR="00A83A31" w:rsidRPr="000422C2">
              <w:t>,</w:t>
            </w:r>
            <w:r w:rsidRPr="000422C2">
              <w:t xml:space="preserve"> so that they can develop their capabilities, increase their wellbeing and actively participate</w:t>
            </w:r>
            <w:r w:rsidR="009F79F0" w:rsidRPr="000422C2">
              <w:t xml:space="preserve"> in community and economic life, including </w:t>
            </w:r>
            <w:r w:rsidR="00B304DF" w:rsidRPr="000422C2">
              <w:t>by providing the following</w:t>
            </w:r>
            <w:r w:rsidR="009F79F0" w:rsidRPr="000422C2">
              <w:t>:</w:t>
            </w:r>
          </w:p>
          <w:p w:rsidR="009F79F0" w:rsidRPr="000422C2" w:rsidRDefault="009F79F0" w:rsidP="009F79F0">
            <w:pPr>
              <w:pStyle w:val="Tablea"/>
            </w:pPr>
            <w:r w:rsidRPr="000422C2">
              <w:t>(a) assistance for people severely impacted by mental illness, including services with an employment focus for those who have employment as a primary goal;</w:t>
            </w:r>
          </w:p>
          <w:p w:rsidR="009F79F0" w:rsidRPr="000422C2" w:rsidRDefault="009F79F0" w:rsidP="009F79F0">
            <w:pPr>
              <w:pStyle w:val="Tablea"/>
            </w:pPr>
            <w:r w:rsidRPr="000422C2">
              <w:t>(b) early intervention support to vulnerable families with children and young people who are showing early signs of, or are at risk of developing, mental illness;</w:t>
            </w:r>
          </w:p>
          <w:p w:rsidR="009F79F0" w:rsidRPr="000422C2" w:rsidRDefault="009F79F0" w:rsidP="009F79F0">
            <w:pPr>
              <w:pStyle w:val="Tablea"/>
            </w:pPr>
            <w:r w:rsidRPr="000422C2">
              <w:t>(c) a range of flexible support options for carers and families of people with severe mental illness;</w:t>
            </w:r>
          </w:p>
          <w:p w:rsidR="00B304DF" w:rsidRPr="000422C2" w:rsidRDefault="009F79F0" w:rsidP="009F79F0">
            <w:pPr>
              <w:pStyle w:val="Tablea"/>
            </w:pPr>
            <w:r w:rsidRPr="000422C2">
              <w:t xml:space="preserve">(d) </w:t>
            </w:r>
            <w:r w:rsidR="00B304DF" w:rsidRPr="000422C2">
              <w:t xml:space="preserve">funding and support to increase awareness and understanding of </w:t>
            </w:r>
            <w:r w:rsidRPr="000422C2">
              <w:t xml:space="preserve">mental health </w:t>
            </w:r>
            <w:r w:rsidR="00B304DF" w:rsidRPr="000422C2">
              <w:t>issues;</w:t>
            </w:r>
          </w:p>
          <w:p w:rsidR="009F79F0" w:rsidRPr="000422C2" w:rsidRDefault="00B304DF" w:rsidP="009F79F0">
            <w:pPr>
              <w:pStyle w:val="Tablea"/>
            </w:pPr>
            <w:r w:rsidRPr="000422C2">
              <w:t xml:space="preserve">(e) </w:t>
            </w:r>
            <w:r w:rsidR="009F79F0" w:rsidRPr="000422C2">
              <w:t>education and advocacy.</w:t>
            </w:r>
          </w:p>
          <w:p w:rsidR="00984BB9" w:rsidRPr="000422C2" w:rsidRDefault="00984BB9" w:rsidP="00984BB9">
            <w:pPr>
              <w:pStyle w:val="Tabletext"/>
            </w:pPr>
            <w:r w:rsidRPr="000422C2">
              <w:t>This objective also has the effect it would have if it were limited to providing support:</w:t>
            </w:r>
          </w:p>
          <w:p w:rsidR="00A83A31" w:rsidRPr="000422C2" w:rsidRDefault="00A83A31" w:rsidP="00A83A31">
            <w:pPr>
              <w:pStyle w:val="Tablea"/>
            </w:pPr>
            <w:r w:rsidRPr="000422C2">
              <w:t>(a) by providing medical and dental services, family and maternity allowances, unemployment, pharmaceutical, hospital and sickness benefits and benefits to students;</w:t>
            </w:r>
            <w:r w:rsidR="00984BB9" w:rsidRPr="000422C2">
              <w:t xml:space="preserve"> or</w:t>
            </w:r>
          </w:p>
          <w:p w:rsidR="00A83A31" w:rsidRPr="000422C2" w:rsidRDefault="00A83A31" w:rsidP="00A83A31">
            <w:pPr>
              <w:pStyle w:val="Tablea"/>
            </w:pPr>
            <w:r w:rsidRPr="000422C2">
              <w:t xml:space="preserve">(b) by engaging in measures to meet Australia’s </w:t>
            </w:r>
            <w:r w:rsidR="0049341C" w:rsidRPr="000422C2">
              <w:t xml:space="preserve">international </w:t>
            </w:r>
            <w:r w:rsidRPr="000422C2">
              <w:t>obligations in relation to children, in particular obligations under the Convention on the Rights of the Child;</w:t>
            </w:r>
            <w:r w:rsidR="00984BB9" w:rsidRPr="000422C2">
              <w:t xml:space="preserve"> or</w:t>
            </w:r>
          </w:p>
          <w:p w:rsidR="00A83A31" w:rsidRPr="000422C2" w:rsidRDefault="00A83A31" w:rsidP="00A83A31">
            <w:pPr>
              <w:pStyle w:val="Tablea"/>
            </w:pPr>
            <w:r w:rsidRPr="000422C2">
              <w:t xml:space="preserve">(c) by engaging in measures to meet Australia’s </w:t>
            </w:r>
            <w:r w:rsidR="0049341C" w:rsidRPr="000422C2">
              <w:t xml:space="preserve">international </w:t>
            </w:r>
            <w:r w:rsidRPr="000422C2">
              <w:t>obligations in relation to persons with disabilities, in particular obligations under the Convention on the Rights of Persons with Disabilities;</w:t>
            </w:r>
            <w:r w:rsidR="00984BB9" w:rsidRPr="000422C2">
              <w:t xml:space="preserve"> or</w:t>
            </w:r>
          </w:p>
          <w:p w:rsidR="00A83A31" w:rsidRPr="000422C2" w:rsidRDefault="00A83A31" w:rsidP="00A83A31">
            <w:pPr>
              <w:pStyle w:val="Tablea"/>
            </w:pPr>
            <w:r w:rsidRPr="000422C2">
              <w:t>(d) in a Territory;</w:t>
            </w:r>
            <w:r w:rsidR="00984BB9" w:rsidRPr="000422C2">
              <w:t xml:space="preserve"> or</w:t>
            </w:r>
          </w:p>
          <w:p w:rsidR="00A83A31" w:rsidRPr="000422C2" w:rsidRDefault="00A83A31" w:rsidP="00A83A31">
            <w:pPr>
              <w:pStyle w:val="Tablea"/>
            </w:pPr>
            <w:r w:rsidRPr="000422C2">
              <w:t>(e) by providing assistance to trading, financial and foreign corporations to which paragraph</w:t>
            </w:r>
            <w:r w:rsidR="000422C2" w:rsidRPr="000422C2">
              <w:t> </w:t>
            </w:r>
            <w:r w:rsidRPr="000422C2">
              <w:t>51(xx) of the Constitution applies where the assistance relates to the existing activities of the corporations;</w:t>
            </w:r>
            <w:r w:rsidR="00984BB9" w:rsidRPr="000422C2">
              <w:t xml:space="preserve"> or</w:t>
            </w:r>
          </w:p>
          <w:p w:rsidR="00A83A31" w:rsidRPr="000422C2" w:rsidRDefault="00A83A31" w:rsidP="00A83A31">
            <w:pPr>
              <w:pStyle w:val="Tablea"/>
            </w:pPr>
            <w:r w:rsidRPr="000422C2">
              <w:t>(f) by providing grants of financial assistance to a State or Territory;</w:t>
            </w:r>
            <w:r w:rsidR="00984BB9" w:rsidRPr="000422C2">
              <w:t xml:space="preserve"> or</w:t>
            </w:r>
          </w:p>
          <w:p w:rsidR="00A83A31" w:rsidRPr="000422C2" w:rsidRDefault="00A83A31" w:rsidP="00A83A31">
            <w:pPr>
              <w:pStyle w:val="Tablea"/>
            </w:pPr>
            <w:r w:rsidRPr="000422C2">
              <w:t>(g) by engaging in measures that are peculiarly adapted to the government of a nation and cannot otherwise be carried on for the benefit of the nation;</w:t>
            </w:r>
            <w:r w:rsidR="00984BB9" w:rsidRPr="000422C2">
              <w:t xml:space="preserve"> or</w:t>
            </w:r>
          </w:p>
          <w:p w:rsidR="00D2209B" w:rsidRPr="000422C2" w:rsidRDefault="00A83A31" w:rsidP="00B304DF">
            <w:pPr>
              <w:pStyle w:val="Tablea"/>
            </w:pPr>
            <w:r w:rsidRPr="000422C2">
              <w:t>(h) in the exercise of the execu</w:t>
            </w:r>
            <w:r w:rsidR="00B304DF" w:rsidRPr="000422C2">
              <w:t>tive power of the Commonwealth.</w:t>
            </w:r>
          </w:p>
        </w:tc>
      </w:tr>
      <w:tr w:rsidR="00D2209B" w:rsidRPr="000422C2" w:rsidTr="00786143">
        <w:tc>
          <w:tcPr>
            <w:tcW w:w="714" w:type="dxa"/>
            <w:shd w:val="clear" w:color="auto" w:fill="auto"/>
            <w:hideMark/>
          </w:tcPr>
          <w:p w:rsidR="00D2209B" w:rsidRPr="000422C2" w:rsidRDefault="00786143" w:rsidP="0058665B">
            <w:pPr>
              <w:pStyle w:val="Tabletext"/>
            </w:pPr>
            <w:r w:rsidRPr="000422C2">
              <w:t>54</w:t>
            </w:r>
          </w:p>
        </w:tc>
        <w:tc>
          <w:tcPr>
            <w:tcW w:w="2115" w:type="dxa"/>
            <w:shd w:val="clear" w:color="auto" w:fill="auto"/>
            <w:hideMark/>
          </w:tcPr>
          <w:p w:rsidR="00A83A31" w:rsidRPr="000422C2" w:rsidRDefault="00A83A31" w:rsidP="0058665B">
            <w:pPr>
              <w:pStyle w:val="Tabletext"/>
            </w:pPr>
            <w:r w:rsidRPr="000422C2">
              <w:t>NDIS Transitioning</w:t>
            </w:r>
          </w:p>
        </w:tc>
        <w:tc>
          <w:tcPr>
            <w:tcW w:w="4251" w:type="dxa"/>
            <w:shd w:val="clear" w:color="auto" w:fill="auto"/>
            <w:hideMark/>
          </w:tcPr>
          <w:p w:rsidR="00B304DF" w:rsidRPr="000422C2" w:rsidRDefault="00A83A31" w:rsidP="00A83A31">
            <w:pPr>
              <w:pStyle w:val="Tabletext"/>
            </w:pPr>
            <w:r w:rsidRPr="000422C2">
              <w:t xml:space="preserve">To improve the wellbeing and social and economic participation of people with disabilities </w:t>
            </w:r>
            <w:r w:rsidR="00B304DF" w:rsidRPr="000422C2">
              <w:t>and their families and carers as follows:</w:t>
            </w:r>
          </w:p>
          <w:p w:rsidR="00984BB9" w:rsidRPr="000422C2" w:rsidRDefault="00B304DF" w:rsidP="00B304DF">
            <w:pPr>
              <w:pStyle w:val="Tablea"/>
            </w:pPr>
            <w:r w:rsidRPr="000422C2">
              <w:t>(a) by</w:t>
            </w:r>
            <w:r w:rsidR="00A83A31" w:rsidRPr="000422C2">
              <w:t xml:space="preserve"> building a National Di</w:t>
            </w:r>
            <w:r w:rsidRPr="000422C2">
              <w:t>sability Insurance Scheme;</w:t>
            </w:r>
          </w:p>
          <w:p w:rsidR="00B304DF" w:rsidRPr="000422C2" w:rsidRDefault="00B304DF" w:rsidP="00B304DF">
            <w:pPr>
              <w:pStyle w:val="Tablea"/>
            </w:pPr>
            <w:r w:rsidRPr="000422C2">
              <w:t xml:space="preserve">(b) by providing a better start for children with disabilities and helping children with autism </w:t>
            </w:r>
            <w:r w:rsidR="00E506A4" w:rsidRPr="000422C2">
              <w:t>by providing them</w:t>
            </w:r>
            <w:r w:rsidRPr="000422C2">
              <w:t xml:space="preserve"> with early access to early intervent</w:t>
            </w:r>
            <w:r w:rsidR="00E506A4" w:rsidRPr="000422C2">
              <w:t>ion services;</w:t>
            </w:r>
          </w:p>
          <w:p w:rsidR="00B304DF" w:rsidRPr="000422C2" w:rsidRDefault="00E506A4" w:rsidP="00B304DF">
            <w:pPr>
              <w:pStyle w:val="Tablea"/>
            </w:pPr>
            <w:r w:rsidRPr="000422C2">
              <w:t>(c) by providing supported employment services</w:t>
            </w:r>
            <w:r w:rsidR="00B304DF" w:rsidRPr="000422C2">
              <w:t xml:space="preserve"> </w:t>
            </w:r>
            <w:r w:rsidRPr="000422C2">
              <w:t>to enable people with disabilities</w:t>
            </w:r>
            <w:r w:rsidR="00B304DF" w:rsidRPr="000422C2">
              <w:t xml:space="preserve"> to participate fully in </w:t>
            </w:r>
            <w:r w:rsidRPr="000422C2">
              <w:t>employment;</w:t>
            </w:r>
          </w:p>
          <w:p w:rsidR="00B304DF" w:rsidRPr="000422C2" w:rsidRDefault="00E506A4" w:rsidP="00B304DF">
            <w:pPr>
              <w:pStyle w:val="Tablea"/>
            </w:pPr>
            <w:r w:rsidRPr="000422C2">
              <w:t>(d) by providing o</w:t>
            </w:r>
            <w:r w:rsidR="00B304DF" w:rsidRPr="000422C2">
              <w:t xml:space="preserve">utside </w:t>
            </w:r>
            <w:r w:rsidRPr="000422C2">
              <w:t>s</w:t>
            </w:r>
            <w:r w:rsidR="00B304DF" w:rsidRPr="000422C2">
              <w:t xml:space="preserve">chool </w:t>
            </w:r>
            <w:r w:rsidRPr="000422C2">
              <w:t>h</w:t>
            </w:r>
            <w:r w:rsidR="00B304DF" w:rsidRPr="000422C2">
              <w:t xml:space="preserve">ours </w:t>
            </w:r>
            <w:r w:rsidRPr="000422C2">
              <w:t>care for teenagers with disabilities;</w:t>
            </w:r>
          </w:p>
          <w:p w:rsidR="00B304DF" w:rsidRPr="000422C2" w:rsidRDefault="00E506A4" w:rsidP="00B304DF">
            <w:pPr>
              <w:pStyle w:val="Tablea"/>
            </w:pPr>
            <w:r w:rsidRPr="000422C2">
              <w:t>(e) by providing immediate and short</w:t>
            </w:r>
            <w:r w:rsidR="000422C2">
              <w:noBreakHyphen/>
            </w:r>
            <w:r w:rsidRPr="000422C2">
              <w:t>term respite s</w:t>
            </w:r>
            <w:r w:rsidR="00B304DF" w:rsidRPr="000422C2">
              <w:t xml:space="preserve">upport for </w:t>
            </w:r>
            <w:r w:rsidRPr="000422C2">
              <w:t>c</w:t>
            </w:r>
            <w:r w:rsidR="00B304DF" w:rsidRPr="000422C2">
              <w:t xml:space="preserve">arers of </w:t>
            </w:r>
            <w:r w:rsidRPr="000422C2">
              <w:t>y</w:t>
            </w:r>
            <w:r w:rsidR="00B304DF" w:rsidRPr="000422C2">
              <w:t xml:space="preserve">oung </w:t>
            </w:r>
            <w:r w:rsidRPr="000422C2">
              <w:t>p</w:t>
            </w:r>
            <w:r w:rsidR="00B304DF" w:rsidRPr="000422C2">
              <w:t xml:space="preserve">eople with </w:t>
            </w:r>
            <w:r w:rsidRPr="000422C2">
              <w:t>s</w:t>
            </w:r>
            <w:r w:rsidR="00B304DF" w:rsidRPr="000422C2">
              <w:t xml:space="preserve">evere or </w:t>
            </w:r>
            <w:r w:rsidRPr="000422C2">
              <w:t>p</w:t>
            </w:r>
            <w:r w:rsidR="00B304DF" w:rsidRPr="000422C2">
              <w:t xml:space="preserve">rofound </w:t>
            </w:r>
            <w:r w:rsidRPr="000422C2">
              <w:t>d</w:t>
            </w:r>
            <w:r w:rsidR="00B304DF" w:rsidRPr="000422C2">
              <w:t>isabi</w:t>
            </w:r>
            <w:r w:rsidRPr="000422C2">
              <w:t>lities whose needs are not being met through existing government initiatives;</w:t>
            </w:r>
          </w:p>
          <w:p w:rsidR="00B304DF" w:rsidRPr="000422C2" w:rsidRDefault="00E506A4" w:rsidP="00B304DF">
            <w:pPr>
              <w:pStyle w:val="Tablea"/>
            </w:pPr>
            <w:r w:rsidRPr="000422C2">
              <w:t>(f) by providing y</w:t>
            </w:r>
            <w:r w:rsidR="00B304DF" w:rsidRPr="000422C2">
              <w:t xml:space="preserve">oung </w:t>
            </w:r>
            <w:r w:rsidRPr="000422C2">
              <w:t>c</w:t>
            </w:r>
            <w:r w:rsidR="00B304DF" w:rsidRPr="000422C2">
              <w:t xml:space="preserve">arers </w:t>
            </w:r>
            <w:r w:rsidRPr="000422C2">
              <w:t>respite and i</w:t>
            </w:r>
            <w:r w:rsidR="00B304DF" w:rsidRPr="000422C2">
              <w:t xml:space="preserve">nformation </w:t>
            </w:r>
            <w:r w:rsidRPr="000422C2">
              <w:t>services to assist</w:t>
            </w:r>
            <w:r w:rsidR="00B304DF" w:rsidRPr="000422C2">
              <w:t xml:space="preserve"> young carers who need support to complete their secondary education or vocational equivalent due to the demands of their caring role</w:t>
            </w:r>
            <w:r w:rsidRPr="000422C2">
              <w:t>.</w:t>
            </w:r>
          </w:p>
          <w:p w:rsidR="00984BB9" w:rsidRPr="000422C2" w:rsidRDefault="00984BB9" w:rsidP="00984BB9">
            <w:pPr>
              <w:pStyle w:val="Tabletext"/>
            </w:pPr>
            <w:r w:rsidRPr="000422C2">
              <w:t>This objective also has the effect it would have if it were limited to providing funding or support:</w:t>
            </w:r>
          </w:p>
          <w:p w:rsidR="00A83A31" w:rsidRPr="000422C2" w:rsidRDefault="00A83A31" w:rsidP="00A83A31">
            <w:pPr>
              <w:pStyle w:val="Tablea"/>
            </w:pPr>
            <w:r w:rsidRPr="000422C2">
              <w:t xml:space="preserve">(a) </w:t>
            </w:r>
            <w:r w:rsidR="00031F70" w:rsidRPr="000422C2">
              <w:t xml:space="preserve">by </w:t>
            </w:r>
            <w:r w:rsidRPr="000422C2">
              <w:t>providing medical and dental services</w:t>
            </w:r>
            <w:r w:rsidR="00031F70" w:rsidRPr="000422C2">
              <w:t xml:space="preserve"> and</w:t>
            </w:r>
            <w:r w:rsidRPr="000422C2">
              <w:t xml:space="preserve"> pharmaceutical, hospital and sickness benefits; or</w:t>
            </w:r>
          </w:p>
          <w:p w:rsidR="00D2209B" w:rsidRPr="000422C2" w:rsidRDefault="00A83A31" w:rsidP="00E506A4">
            <w:pPr>
              <w:pStyle w:val="Tablea"/>
            </w:pPr>
            <w:r w:rsidRPr="000422C2">
              <w:t xml:space="preserve">(b) </w:t>
            </w:r>
            <w:r w:rsidR="00031F70" w:rsidRPr="000422C2">
              <w:t xml:space="preserve">by </w:t>
            </w:r>
            <w:r w:rsidRPr="000422C2">
              <w:t xml:space="preserve">engaging in measures to meet Australia’s </w:t>
            </w:r>
            <w:r w:rsidR="0049341C" w:rsidRPr="000422C2">
              <w:t xml:space="preserve">international </w:t>
            </w:r>
            <w:r w:rsidRPr="000422C2">
              <w:t>obligations in relation to persons with disabilit</w:t>
            </w:r>
            <w:r w:rsidR="00031F70" w:rsidRPr="000422C2">
              <w:t>ies</w:t>
            </w:r>
            <w:r w:rsidRPr="000422C2">
              <w:t>, in particular obligations under the Convention on the Right</w:t>
            </w:r>
            <w:r w:rsidR="00E506A4" w:rsidRPr="000422C2">
              <w:t>s of Persons with Disabilities.</w:t>
            </w:r>
          </w:p>
        </w:tc>
      </w:tr>
      <w:tr w:rsidR="00D2209B" w:rsidRPr="000422C2" w:rsidTr="00786143">
        <w:tc>
          <w:tcPr>
            <w:tcW w:w="714" w:type="dxa"/>
            <w:shd w:val="clear" w:color="auto" w:fill="auto"/>
            <w:hideMark/>
          </w:tcPr>
          <w:p w:rsidR="00D2209B" w:rsidRPr="000422C2" w:rsidRDefault="00786143" w:rsidP="0058665B">
            <w:pPr>
              <w:pStyle w:val="Tabletext"/>
            </w:pPr>
            <w:r w:rsidRPr="000422C2">
              <w:t>55</w:t>
            </w:r>
          </w:p>
        </w:tc>
        <w:tc>
          <w:tcPr>
            <w:tcW w:w="2115" w:type="dxa"/>
            <w:shd w:val="clear" w:color="auto" w:fill="auto"/>
            <w:hideMark/>
          </w:tcPr>
          <w:p w:rsidR="00D2209B" w:rsidRPr="000422C2" w:rsidRDefault="00A83A31" w:rsidP="00A83A31">
            <w:pPr>
              <w:pStyle w:val="Tabletext"/>
            </w:pPr>
            <w:r w:rsidRPr="000422C2">
              <w:t>Stronger Relationships Programme</w:t>
            </w:r>
          </w:p>
        </w:tc>
        <w:tc>
          <w:tcPr>
            <w:tcW w:w="4251" w:type="dxa"/>
            <w:shd w:val="clear" w:color="auto" w:fill="auto"/>
            <w:hideMark/>
          </w:tcPr>
          <w:p w:rsidR="00A83A31" w:rsidRPr="000422C2" w:rsidRDefault="00A83A31" w:rsidP="00A83A31">
            <w:pPr>
              <w:pStyle w:val="Tabletext"/>
            </w:pPr>
            <w:r w:rsidRPr="000422C2">
              <w:t>To provide education and counselling to couples who are:</w:t>
            </w:r>
          </w:p>
          <w:p w:rsidR="00A83A31" w:rsidRPr="000422C2" w:rsidRDefault="00A83A31" w:rsidP="00A83A31">
            <w:pPr>
              <w:pStyle w:val="Tablea"/>
            </w:pPr>
            <w:r w:rsidRPr="000422C2">
              <w:t>(a) married, or engaged or intending to be married; or</w:t>
            </w:r>
          </w:p>
          <w:p w:rsidR="00A83A31" w:rsidRPr="000422C2" w:rsidRDefault="00A83A31" w:rsidP="00A83A31">
            <w:pPr>
              <w:pStyle w:val="Tablea"/>
            </w:pPr>
            <w:r w:rsidRPr="000422C2">
              <w:t>(b) in a</w:t>
            </w:r>
            <w:r w:rsidR="000422C2" w:rsidRPr="000422C2">
              <w:t> </w:t>
            </w:r>
            <w:r w:rsidRPr="000422C2">
              <w:t>de</w:t>
            </w:r>
            <w:r w:rsidR="000422C2" w:rsidRPr="000422C2">
              <w:t> </w:t>
            </w:r>
            <w:r w:rsidRPr="000422C2">
              <w:t>facto</w:t>
            </w:r>
            <w:r w:rsidR="000422C2" w:rsidRPr="000422C2">
              <w:t> </w:t>
            </w:r>
            <w:r w:rsidRPr="000422C2">
              <w:t>relationship; or</w:t>
            </w:r>
          </w:p>
          <w:p w:rsidR="00A83A31" w:rsidRPr="000422C2" w:rsidRDefault="00A83A31" w:rsidP="00A83A31">
            <w:pPr>
              <w:pStyle w:val="Tablea"/>
            </w:pPr>
            <w:r w:rsidRPr="000422C2">
              <w:t>(c) in a same</w:t>
            </w:r>
            <w:r w:rsidR="000422C2">
              <w:noBreakHyphen/>
            </w:r>
            <w:r w:rsidRPr="000422C2">
              <w:t>sex relationship;</w:t>
            </w:r>
          </w:p>
          <w:p w:rsidR="00A83A31" w:rsidRPr="000422C2" w:rsidRDefault="00A83A31" w:rsidP="00A83A31">
            <w:pPr>
              <w:pStyle w:val="Tabletext"/>
            </w:pPr>
            <w:r w:rsidRPr="000422C2">
              <w:t>relating to their relationship, including education and counselling relating to any of the following:</w:t>
            </w:r>
          </w:p>
          <w:p w:rsidR="00A83A31" w:rsidRPr="000422C2" w:rsidRDefault="00527A56" w:rsidP="00527A56">
            <w:pPr>
              <w:pStyle w:val="Tablea"/>
            </w:pPr>
            <w:r w:rsidRPr="000422C2">
              <w:t xml:space="preserve">(d) </w:t>
            </w:r>
            <w:r w:rsidR="00A83A31" w:rsidRPr="000422C2">
              <w:t>conflict resolution;</w:t>
            </w:r>
          </w:p>
          <w:p w:rsidR="00A83A31" w:rsidRPr="000422C2" w:rsidRDefault="00527A56" w:rsidP="00527A56">
            <w:pPr>
              <w:pStyle w:val="Tablea"/>
            </w:pPr>
            <w:r w:rsidRPr="000422C2">
              <w:t xml:space="preserve">(e) </w:t>
            </w:r>
            <w:r w:rsidR="00A83A31" w:rsidRPr="000422C2">
              <w:t>parenting;</w:t>
            </w:r>
          </w:p>
          <w:p w:rsidR="00D2209B" w:rsidRPr="000422C2" w:rsidRDefault="00527A56" w:rsidP="00527A56">
            <w:pPr>
              <w:pStyle w:val="Tablea"/>
            </w:pPr>
            <w:r w:rsidRPr="000422C2">
              <w:t xml:space="preserve">(f) </w:t>
            </w:r>
            <w:r w:rsidR="00A83A31" w:rsidRPr="000422C2">
              <w:t>financial management.</w:t>
            </w:r>
          </w:p>
        </w:tc>
      </w:tr>
      <w:tr w:rsidR="00D2209B" w:rsidRPr="000422C2" w:rsidTr="00786143">
        <w:tc>
          <w:tcPr>
            <w:tcW w:w="714" w:type="dxa"/>
            <w:shd w:val="clear" w:color="auto" w:fill="auto"/>
            <w:hideMark/>
          </w:tcPr>
          <w:p w:rsidR="00D2209B" w:rsidRPr="000422C2" w:rsidRDefault="00786143" w:rsidP="00120798">
            <w:pPr>
              <w:pStyle w:val="Tabletext"/>
            </w:pPr>
            <w:r w:rsidRPr="000422C2">
              <w:t>56</w:t>
            </w:r>
          </w:p>
        </w:tc>
        <w:tc>
          <w:tcPr>
            <w:tcW w:w="2115" w:type="dxa"/>
            <w:shd w:val="clear" w:color="auto" w:fill="auto"/>
            <w:hideMark/>
          </w:tcPr>
          <w:p w:rsidR="00D2209B" w:rsidRPr="000422C2" w:rsidRDefault="00985523" w:rsidP="00527A56">
            <w:pPr>
              <w:pStyle w:val="Tabletext"/>
            </w:pPr>
            <w:r w:rsidRPr="000422C2">
              <w:t>Young Carer</w:t>
            </w:r>
            <w:r w:rsidR="00527A56" w:rsidRPr="000422C2">
              <w:t xml:space="preserve"> Bursary Programme</w:t>
            </w:r>
          </w:p>
        </w:tc>
        <w:tc>
          <w:tcPr>
            <w:tcW w:w="4251" w:type="dxa"/>
            <w:shd w:val="clear" w:color="auto" w:fill="auto"/>
            <w:hideMark/>
          </w:tcPr>
          <w:p w:rsidR="00D2209B" w:rsidRPr="000422C2" w:rsidRDefault="00527A56" w:rsidP="00527A56">
            <w:pPr>
              <w:pStyle w:val="Tabletext"/>
            </w:pPr>
            <w:r w:rsidRPr="000422C2">
              <w:t>To provide benefits to students through the payment of bursaries to caregivers who are aged 25 and under, and who are currently enrolled in secondary school or in tertiary education.</w:t>
            </w:r>
          </w:p>
        </w:tc>
      </w:tr>
      <w:tr w:rsidR="00EF7A95" w:rsidRPr="000422C2" w:rsidTr="00786143">
        <w:tc>
          <w:tcPr>
            <w:tcW w:w="714" w:type="dxa"/>
            <w:shd w:val="clear" w:color="auto" w:fill="auto"/>
            <w:hideMark/>
          </w:tcPr>
          <w:p w:rsidR="00EF7A95" w:rsidRPr="000422C2" w:rsidRDefault="00786143" w:rsidP="0041057C">
            <w:pPr>
              <w:pStyle w:val="Tabletext"/>
            </w:pPr>
            <w:r w:rsidRPr="000422C2">
              <w:t>57</w:t>
            </w:r>
          </w:p>
        </w:tc>
        <w:tc>
          <w:tcPr>
            <w:tcW w:w="2115" w:type="dxa"/>
            <w:shd w:val="clear" w:color="auto" w:fill="auto"/>
            <w:hideMark/>
          </w:tcPr>
          <w:p w:rsidR="00EF7A95" w:rsidRPr="000422C2" w:rsidRDefault="00DA70E8" w:rsidP="00DA70E8">
            <w:pPr>
              <w:pStyle w:val="Tabletext"/>
            </w:pPr>
            <w:r w:rsidRPr="000422C2">
              <w:rPr>
                <w:rFonts w:eastAsia="Calibri"/>
              </w:rPr>
              <w:t>Primary Health Networks</w:t>
            </w:r>
          </w:p>
        </w:tc>
        <w:tc>
          <w:tcPr>
            <w:tcW w:w="4251" w:type="dxa"/>
            <w:shd w:val="clear" w:color="auto" w:fill="auto"/>
            <w:hideMark/>
          </w:tcPr>
          <w:p w:rsidR="00EF7A95" w:rsidRPr="000422C2" w:rsidRDefault="00DA70E8" w:rsidP="002612D2">
            <w:pPr>
              <w:pStyle w:val="Tabletext"/>
            </w:pPr>
            <w:r w:rsidRPr="000422C2">
              <w:t xml:space="preserve">To provide support </w:t>
            </w:r>
            <w:r w:rsidR="002612D2" w:rsidRPr="000422C2">
              <w:t>for</w:t>
            </w:r>
            <w:r w:rsidRPr="000422C2">
              <w:t xml:space="preserve"> the establishment of organisations (to be known as Primary Health Networks) that will work to integrate the care of patients across the health system and improve health outcomes for communities where that support is incidental to the Commonwealth’s provision of sickness and hospital benefits and medical services.</w:t>
            </w:r>
          </w:p>
        </w:tc>
      </w:tr>
      <w:tr w:rsidR="00EF7A95" w:rsidRPr="000422C2" w:rsidTr="00786143">
        <w:tc>
          <w:tcPr>
            <w:tcW w:w="714" w:type="dxa"/>
            <w:shd w:val="clear" w:color="auto" w:fill="auto"/>
            <w:hideMark/>
          </w:tcPr>
          <w:p w:rsidR="00EF7A95" w:rsidRPr="000422C2" w:rsidRDefault="00786143" w:rsidP="0041057C">
            <w:pPr>
              <w:pStyle w:val="Tabletext"/>
            </w:pPr>
            <w:r w:rsidRPr="000422C2">
              <w:t>58</w:t>
            </w:r>
          </w:p>
        </w:tc>
        <w:tc>
          <w:tcPr>
            <w:tcW w:w="2115" w:type="dxa"/>
            <w:shd w:val="clear" w:color="auto" w:fill="auto"/>
            <w:hideMark/>
          </w:tcPr>
          <w:p w:rsidR="00EF7A95" w:rsidRPr="000422C2" w:rsidRDefault="00DA70E8" w:rsidP="00DA70E8">
            <w:pPr>
              <w:pStyle w:val="Tabletext"/>
            </w:pPr>
            <w:r w:rsidRPr="000422C2">
              <w:rPr>
                <w:rFonts w:eastAsia="Calibri"/>
              </w:rPr>
              <w:t>Good Sports Programme</w:t>
            </w:r>
          </w:p>
        </w:tc>
        <w:tc>
          <w:tcPr>
            <w:tcW w:w="4251" w:type="dxa"/>
            <w:shd w:val="clear" w:color="auto" w:fill="auto"/>
            <w:hideMark/>
          </w:tcPr>
          <w:p w:rsidR="00DA70E8" w:rsidRPr="000422C2" w:rsidRDefault="00DA70E8" w:rsidP="00DA70E8">
            <w:pPr>
              <w:pStyle w:val="Tabletext"/>
            </w:pPr>
            <w:r w:rsidRPr="000422C2">
              <w:t>To provide support to the Australian Drug Foundation to work with sporting codes, organisations and clubs to provide activities to change behaviours and attitudes around alcohol consumption where the activities:</w:t>
            </w:r>
          </w:p>
          <w:p w:rsidR="00DA70E8" w:rsidRPr="000422C2" w:rsidRDefault="00DA70E8" w:rsidP="00DA70E8">
            <w:pPr>
              <w:pStyle w:val="Tablea"/>
              <w:rPr>
                <w:rFonts w:eastAsia="Calibri"/>
              </w:rPr>
            </w:pPr>
            <w:r w:rsidRPr="000422C2">
              <w:rPr>
                <w:rFonts w:eastAsia="Calibri"/>
              </w:rPr>
              <w:t>(a) are incidental to the Commonwealth’s provision of pharmaceutical, sickness and hospital</w:t>
            </w:r>
            <w:r w:rsidR="009E56F0" w:rsidRPr="000422C2">
              <w:rPr>
                <w:rFonts w:eastAsia="Calibri"/>
              </w:rPr>
              <w:t xml:space="preserve"> benefits and medical services; or</w:t>
            </w:r>
          </w:p>
          <w:p w:rsidR="00DA70E8" w:rsidRPr="000422C2" w:rsidRDefault="00DA70E8" w:rsidP="002612D2">
            <w:pPr>
              <w:pStyle w:val="Tablea"/>
              <w:rPr>
                <w:rFonts w:eastAsia="Calibri"/>
              </w:rPr>
            </w:pPr>
            <w:r w:rsidRPr="000422C2">
              <w:rPr>
                <w:rFonts w:eastAsia="Calibri"/>
              </w:rPr>
              <w:t>(b) are peculiarly adapted to the government of a nation and cannot otherwise be carried out for the benefit of the nation.</w:t>
            </w:r>
          </w:p>
        </w:tc>
      </w:tr>
      <w:tr w:rsidR="00EF7A95" w:rsidRPr="000422C2" w:rsidTr="00786143">
        <w:tc>
          <w:tcPr>
            <w:tcW w:w="714" w:type="dxa"/>
            <w:tcBorders>
              <w:bottom w:val="single" w:sz="4" w:space="0" w:color="auto"/>
            </w:tcBorders>
            <w:shd w:val="clear" w:color="auto" w:fill="auto"/>
            <w:hideMark/>
          </w:tcPr>
          <w:p w:rsidR="00EF7A95" w:rsidRPr="000422C2" w:rsidRDefault="00786143" w:rsidP="0041057C">
            <w:pPr>
              <w:pStyle w:val="Tabletext"/>
            </w:pPr>
            <w:r w:rsidRPr="000422C2">
              <w:t>59</w:t>
            </w:r>
          </w:p>
        </w:tc>
        <w:tc>
          <w:tcPr>
            <w:tcW w:w="2115" w:type="dxa"/>
            <w:tcBorders>
              <w:bottom w:val="single" w:sz="4" w:space="0" w:color="auto"/>
            </w:tcBorders>
            <w:shd w:val="clear" w:color="auto" w:fill="auto"/>
            <w:hideMark/>
          </w:tcPr>
          <w:p w:rsidR="00EF7A95" w:rsidRPr="000422C2" w:rsidRDefault="00DA70E8" w:rsidP="00DA70E8">
            <w:pPr>
              <w:pStyle w:val="Tabletext"/>
            </w:pPr>
            <w:r w:rsidRPr="000422C2">
              <w:rPr>
                <w:rFonts w:eastAsia="Calibri"/>
              </w:rPr>
              <w:t>Water Safety</w:t>
            </w:r>
          </w:p>
        </w:tc>
        <w:tc>
          <w:tcPr>
            <w:tcW w:w="4251" w:type="dxa"/>
            <w:tcBorders>
              <w:bottom w:val="single" w:sz="4" w:space="0" w:color="auto"/>
            </w:tcBorders>
            <w:shd w:val="clear" w:color="auto" w:fill="auto"/>
            <w:hideMark/>
          </w:tcPr>
          <w:p w:rsidR="00DA70E8" w:rsidRPr="000422C2" w:rsidRDefault="00DA70E8" w:rsidP="00DA70E8">
            <w:pPr>
              <w:pStyle w:val="Tabletext"/>
            </w:pPr>
            <w:r w:rsidRPr="000422C2">
              <w:t>To provide support for activities to reduce incidences of drowning and promote water safety</w:t>
            </w:r>
            <w:r w:rsidR="0057073A" w:rsidRPr="000422C2">
              <w:t>,</w:t>
            </w:r>
            <w:r w:rsidRPr="000422C2">
              <w:t xml:space="preserve"> including </w:t>
            </w:r>
            <w:r w:rsidR="004F2D70" w:rsidRPr="000422C2">
              <w:t>activities that</w:t>
            </w:r>
            <w:r w:rsidRPr="000422C2">
              <w:t>:</w:t>
            </w:r>
          </w:p>
          <w:p w:rsidR="00DA70E8" w:rsidRPr="000422C2" w:rsidRDefault="004F2D70" w:rsidP="004F2D70">
            <w:pPr>
              <w:pStyle w:val="Tablea"/>
              <w:rPr>
                <w:rFonts w:eastAsia="Calibri"/>
              </w:rPr>
            </w:pPr>
            <w:r w:rsidRPr="000422C2">
              <w:rPr>
                <w:rFonts w:eastAsia="Calibri"/>
              </w:rPr>
              <w:t xml:space="preserve">(a) </w:t>
            </w:r>
            <w:r w:rsidR="009E56F0" w:rsidRPr="000422C2">
              <w:rPr>
                <w:rFonts w:eastAsia="Calibri"/>
              </w:rPr>
              <w:t>are carried out by a</w:t>
            </w:r>
            <w:r w:rsidR="00DA70E8" w:rsidRPr="000422C2">
              <w:rPr>
                <w:rFonts w:eastAsia="Calibri"/>
              </w:rPr>
              <w:t xml:space="preserve"> trading </w:t>
            </w:r>
            <w:r w:rsidR="009E56F0" w:rsidRPr="000422C2">
              <w:rPr>
                <w:rFonts w:eastAsia="Calibri"/>
              </w:rPr>
              <w:t xml:space="preserve">or foreign </w:t>
            </w:r>
            <w:r w:rsidR="00DA70E8" w:rsidRPr="000422C2">
              <w:rPr>
                <w:rFonts w:eastAsia="Calibri"/>
              </w:rPr>
              <w:t>corporation</w:t>
            </w:r>
            <w:r w:rsidR="009E56F0" w:rsidRPr="000422C2">
              <w:rPr>
                <w:rFonts w:eastAsia="Calibri"/>
              </w:rPr>
              <w:t xml:space="preserve"> </w:t>
            </w:r>
            <w:r w:rsidRPr="000422C2">
              <w:t>to which paragraph</w:t>
            </w:r>
            <w:r w:rsidR="000422C2" w:rsidRPr="000422C2">
              <w:t> </w:t>
            </w:r>
            <w:r w:rsidRPr="000422C2">
              <w:t>51(</w:t>
            </w:r>
            <w:r w:rsidR="009E56F0" w:rsidRPr="000422C2">
              <w:t>xx) of the Constitution applies</w:t>
            </w:r>
            <w:r w:rsidRPr="000422C2">
              <w:t>;</w:t>
            </w:r>
            <w:r w:rsidR="00DA70E8" w:rsidRPr="000422C2">
              <w:rPr>
                <w:rFonts w:eastAsia="Calibri"/>
              </w:rPr>
              <w:t xml:space="preserve"> or</w:t>
            </w:r>
          </w:p>
          <w:p w:rsidR="00EF7A95" w:rsidRPr="000422C2" w:rsidRDefault="004F2D70" w:rsidP="002612D2">
            <w:pPr>
              <w:pStyle w:val="Tablea"/>
            </w:pPr>
            <w:r w:rsidRPr="000422C2">
              <w:rPr>
                <w:rFonts w:eastAsia="Calibri"/>
              </w:rPr>
              <w:t xml:space="preserve">(b) </w:t>
            </w:r>
            <w:r w:rsidR="00DA70E8" w:rsidRPr="000422C2">
              <w:rPr>
                <w:rFonts w:eastAsia="Calibri"/>
              </w:rPr>
              <w:t>are peculiarly adapted to the government of a nation and cannot otherwise be carried out for the benefit of the nation.</w:t>
            </w:r>
          </w:p>
        </w:tc>
      </w:tr>
      <w:tr w:rsidR="00EF7A95" w:rsidRPr="000422C2" w:rsidTr="00786143">
        <w:tc>
          <w:tcPr>
            <w:tcW w:w="714" w:type="dxa"/>
            <w:tcBorders>
              <w:bottom w:val="nil"/>
            </w:tcBorders>
            <w:shd w:val="clear" w:color="auto" w:fill="auto"/>
            <w:hideMark/>
          </w:tcPr>
          <w:p w:rsidR="00EF7A95" w:rsidRPr="000422C2" w:rsidRDefault="00786143" w:rsidP="0041057C">
            <w:pPr>
              <w:pStyle w:val="Tabletext"/>
            </w:pPr>
            <w:r w:rsidRPr="000422C2">
              <w:t>60</w:t>
            </w:r>
          </w:p>
        </w:tc>
        <w:tc>
          <w:tcPr>
            <w:tcW w:w="2115" w:type="dxa"/>
            <w:tcBorders>
              <w:bottom w:val="nil"/>
            </w:tcBorders>
            <w:shd w:val="clear" w:color="auto" w:fill="auto"/>
            <w:hideMark/>
          </w:tcPr>
          <w:p w:rsidR="00EF7A95" w:rsidRPr="000422C2" w:rsidRDefault="004F2D70" w:rsidP="004F2D70">
            <w:pPr>
              <w:pStyle w:val="Tabletext"/>
            </w:pPr>
            <w:r w:rsidRPr="000422C2">
              <w:rPr>
                <w:rFonts w:eastAsia="Calibri"/>
              </w:rPr>
              <w:t>Ensuring the Supply of Antivenoms, Q fever vaccine and Pandemic Influenza vaccines</w:t>
            </w:r>
          </w:p>
        </w:tc>
        <w:tc>
          <w:tcPr>
            <w:tcW w:w="4251" w:type="dxa"/>
            <w:tcBorders>
              <w:bottom w:val="nil"/>
            </w:tcBorders>
            <w:shd w:val="clear" w:color="auto" w:fill="auto"/>
            <w:hideMark/>
          </w:tcPr>
          <w:p w:rsidR="00EF7A95" w:rsidRPr="000422C2" w:rsidRDefault="004F2D70" w:rsidP="004F2D70">
            <w:pPr>
              <w:pStyle w:val="Tabletext"/>
            </w:pPr>
            <w:r w:rsidRPr="000422C2">
              <w:t>To provide support for activities to ensure the regular, ongoing availability of Q fever vaccine, antivenoms and pandemic influenza vaccines where those activities are peculiarly adapted to the government of a nation and cannot otherwise be carried out for the benefit of the nation.</w:t>
            </w:r>
          </w:p>
        </w:tc>
      </w:tr>
      <w:tr w:rsidR="004C5F43" w:rsidRPr="000422C2" w:rsidTr="009F2EF1">
        <w:tc>
          <w:tcPr>
            <w:tcW w:w="714" w:type="dxa"/>
            <w:tcBorders>
              <w:bottom w:val="single" w:sz="4" w:space="0" w:color="auto"/>
            </w:tcBorders>
            <w:shd w:val="clear" w:color="auto" w:fill="auto"/>
            <w:hideMark/>
          </w:tcPr>
          <w:p w:rsidR="004C5F43" w:rsidRPr="000422C2" w:rsidRDefault="004C5F43" w:rsidP="00BA7653">
            <w:pPr>
              <w:pStyle w:val="Tabletext"/>
            </w:pPr>
            <w:r w:rsidRPr="000422C2">
              <w:t>61</w:t>
            </w:r>
          </w:p>
        </w:tc>
        <w:tc>
          <w:tcPr>
            <w:tcW w:w="2115" w:type="dxa"/>
            <w:tcBorders>
              <w:bottom w:val="single" w:sz="4" w:space="0" w:color="auto"/>
            </w:tcBorders>
            <w:shd w:val="clear" w:color="auto" w:fill="auto"/>
            <w:hideMark/>
          </w:tcPr>
          <w:p w:rsidR="004C5F43" w:rsidRPr="000422C2" w:rsidRDefault="004C5F43" w:rsidP="00BA7653">
            <w:pPr>
              <w:pStyle w:val="Tabletext"/>
            </w:pPr>
            <w:r w:rsidRPr="000422C2">
              <w:t>Community Development Grants Programme</w:t>
            </w:r>
          </w:p>
        </w:tc>
        <w:tc>
          <w:tcPr>
            <w:tcW w:w="4251" w:type="dxa"/>
            <w:tcBorders>
              <w:bottom w:val="single" w:sz="4" w:space="0" w:color="auto"/>
            </w:tcBorders>
            <w:shd w:val="clear" w:color="auto" w:fill="auto"/>
            <w:hideMark/>
          </w:tcPr>
          <w:p w:rsidR="004C5F43" w:rsidRPr="000422C2" w:rsidRDefault="004C5F43" w:rsidP="00BA7653">
            <w:pPr>
              <w:pStyle w:val="Tabletext"/>
            </w:pPr>
            <w:r w:rsidRPr="000422C2">
              <w:t>To provide grants for regional and community infrastructure projects.</w:t>
            </w:r>
          </w:p>
          <w:p w:rsidR="004C5F43" w:rsidRPr="000422C2" w:rsidRDefault="004C5F43" w:rsidP="00BA7653">
            <w:pPr>
              <w:pStyle w:val="Tabletext"/>
            </w:pPr>
            <w:r w:rsidRPr="000422C2">
              <w:t>This objective also has the effect it would have if it were limited to providing grants:</w:t>
            </w:r>
          </w:p>
          <w:p w:rsidR="004C5F43" w:rsidRPr="000422C2" w:rsidRDefault="004C5F43" w:rsidP="00BA7653">
            <w:pPr>
              <w:pStyle w:val="Tabletext"/>
            </w:pPr>
            <w:r w:rsidRPr="000422C2">
              <w:t>(a) in or in relation to a Territory; or</w:t>
            </w:r>
          </w:p>
          <w:p w:rsidR="004C5F43" w:rsidRPr="000422C2" w:rsidRDefault="004C5F43" w:rsidP="00BA7653">
            <w:pPr>
              <w:pStyle w:val="Tablea"/>
            </w:pPr>
            <w:r w:rsidRPr="000422C2">
              <w:t>(b) as financial assistance to a State or Territory; or</w:t>
            </w:r>
          </w:p>
          <w:p w:rsidR="004C5F43" w:rsidRPr="000422C2" w:rsidRDefault="004C5F43" w:rsidP="00BA7653">
            <w:pPr>
              <w:pStyle w:val="Tablea"/>
            </w:pPr>
            <w:r w:rsidRPr="000422C2">
              <w:t>(c) to or in relation to Indigenous Australians and particular groups of Indigenous Australians; or</w:t>
            </w:r>
          </w:p>
          <w:p w:rsidR="004C5F43" w:rsidRPr="000422C2" w:rsidRDefault="004C5F43" w:rsidP="00BA7653">
            <w:pPr>
              <w:pStyle w:val="Tablea"/>
            </w:pPr>
            <w:r w:rsidRPr="000422C2">
              <w:t>(d) to commemorate Australians killed or injured in war, and support veterans and defence force members and their families and communities; or</w:t>
            </w:r>
          </w:p>
          <w:p w:rsidR="004C5F43" w:rsidRPr="000422C2" w:rsidRDefault="004C5F43" w:rsidP="00BA7653">
            <w:pPr>
              <w:pStyle w:val="Tablea"/>
            </w:pPr>
            <w:r w:rsidRPr="000422C2">
              <w:t>(e) in relation to aliens or immigrants; or</w:t>
            </w:r>
          </w:p>
          <w:p w:rsidR="004C5F43" w:rsidRPr="000422C2" w:rsidRDefault="004C5F43" w:rsidP="00BA7653">
            <w:pPr>
              <w:pStyle w:val="Tablea"/>
            </w:pPr>
            <w:r w:rsidRPr="000422C2">
              <w:t>(f) in connection with trade and commerce with other countries, or among the States and Territories; or</w:t>
            </w:r>
          </w:p>
          <w:p w:rsidR="004C5F43" w:rsidRPr="000422C2" w:rsidRDefault="004C5F43" w:rsidP="00BA7653">
            <w:pPr>
              <w:pStyle w:val="Tablea"/>
            </w:pPr>
            <w:r w:rsidRPr="000422C2">
              <w:t>(g) in connection with assisting Australia to meet its obligations under international agreements; or</w:t>
            </w:r>
          </w:p>
          <w:p w:rsidR="004C5F43" w:rsidRPr="000422C2" w:rsidRDefault="004C5F43" w:rsidP="00BA7653">
            <w:pPr>
              <w:pStyle w:val="Tablea"/>
            </w:pPr>
            <w:r w:rsidRPr="000422C2">
              <w:t>(h) to provide medical services, unemployment, pharmaceutical, sickness and hospital benefits, benefits to students, and measures incidental to the provision of those matters; or</w:t>
            </w:r>
          </w:p>
          <w:p w:rsidR="004C5F43" w:rsidRPr="000422C2" w:rsidRDefault="004C5F43" w:rsidP="00BA7653">
            <w:pPr>
              <w:pStyle w:val="Tablea"/>
            </w:pPr>
            <w:r w:rsidRPr="000422C2">
              <w:t>(i) in connection with electronic communications; or</w:t>
            </w:r>
          </w:p>
          <w:p w:rsidR="004C5F43" w:rsidRPr="000422C2" w:rsidRDefault="004C5F43" w:rsidP="00BA7653">
            <w:pPr>
              <w:pStyle w:val="Tablea"/>
            </w:pPr>
            <w:r w:rsidRPr="000422C2">
              <w:t>(j) to provide assistance to trading, financial and foreign corporations to which paragraph</w:t>
            </w:r>
            <w:r w:rsidR="000422C2" w:rsidRPr="000422C2">
              <w:t> </w:t>
            </w:r>
            <w:r w:rsidRPr="000422C2">
              <w:t>51(xx) of the Constitution applies where the assistance relates to the existing activities of the corporations; or</w:t>
            </w:r>
          </w:p>
          <w:p w:rsidR="004C5F43" w:rsidRPr="000422C2" w:rsidRDefault="004C5F43" w:rsidP="00BA7653">
            <w:pPr>
              <w:pStyle w:val="Tablea"/>
            </w:pPr>
            <w:r w:rsidRPr="000422C2">
              <w:t>(k) to provide for measures that are peculiarly adapted to the government of a nation and cannot otherwise be carried on for the benefit of the nation; or</w:t>
            </w:r>
          </w:p>
          <w:p w:rsidR="004C5F43" w:rsidRPr="000422C2" w:rsidRDefault="004C5F43" w:rsidP="00BA7653">
            <w:pPr>
              <w:pStyle w:val="Tablea"/>
            </w:pPr>
            <w:r w:rsidRPr="000422C2">
              <w:t>(l) in the exercise of the executive power of the Commonwealth.</w:t>
            </w:r>
          </w:p>
        </w:tc>
      </w:tr>
      <w:tr w:rsidR="004C5F43" w:rsidRPr="000422C2" w:rsidTr="009F2EF1">
        <w:tc>
          <w:tcPr>
            <w:tcW w:w="714" w:type="dxa"/>
            <w:tcBorders>
              <w:bottom w:val="nil"/>
            </w:tcBorders>
            <w:shd w:val="clear" w:color="auto" w:fill="auto"/>
            <w:hideMark/>
          </w:tcPr>
          <w:p w:rsidR="004C5F43" w:rsidRPr="000422C2" w:rsidRDefault="004C5F43" w:rsidP="00BA7653">
            <w:pPr>
              <w:pStyle w:val="Tabletext"/>
            </w:pPr>
            <w:r w:rsidRPr="000422C2">
              <w:t>62</w:t>
            </w:r>
          </w:p>
        </w:tc>
        <w:tc>
          <w:tcPr>
            <w:tcW w:w="2115" w:type="dxa"/>
            <w:tcBorders>
              <w:bottom w:val="nil"/>
            </w:tcBorders>
            <w:shd w:val="clear" w:color="auto" w:fill="auto"/>
            <w:hideMark/>
          </w:tcPr>
          <w:p w:rsidR="004C5F43" w:rsidRPr="000422C2" w:rsidRDefault="004C5F43" w:rsidP="00BA7653">
            <w:pPr>
              <w:pStyle w:val="Tabletext"/>
            </w:pPr>
            <w:r w:rsidRPr="000422C2">
              <w:t>National Stronger Regions Fund</w:t>
            </w:r>
          </w:p>
        </w:tc>
        <w:tc>
          <w:tcPr>
            <w:tcW w:w="4251" w:type="dxa"/>
            <w:tcBorders>
              <w:bottom w:val="nil"/>
            </w:tcBorders>
            <w:shd w:val="clear" w:color="auto" w:fill="auto"/>
            <w:hideMark/>
          </w:tcPr>
          <w:p w:rsidR="004C5F43" w:rsidRPr="000422C2" w:rsidRDefault="004C5F43" w:rsidP="00BA7653">
            <w:pPr>
              <w:pStyle w:val="Tabletext"/>
            </w:pPr>
            <w:r w:rsidRPr="000422C2">
              <w:t>To provide grants to support the construction, expansion and enhancement of infrastructure across regional Australia.</w:t>
            </w:r>
          </w:p>
          <w:p w:rsidR="004C5F43" w:rsidRPr="000422C2" w:rsidRDefault="004C5F43" w:rsidP="00BA7653">
            <w:pPr>
              <w:pStyle w:val="Tabletext"/>
            </w:pPr>
            <w:r w:rsidRPr="000422C2">
              <w:t>This objective also has the effect it would have if it were limited to providing grants:</w:t>
            </w:r>
          </w:p>
          <w:p w:rsidR="004C5F43" w:rsidRPr="000422C2" w:rsidRDefault="004C5F43" w:rsidP="00BA7653">
            <w:pPr>
              <w:pStyle w:val="Tablea"/>
            </w:pPr>
            <w:r w:rsidRPr="000422C2">
              <w:t>(a) in or in relation to a Territory; or</w:t>
            </w:r>
          </w:p>
          <w:p w:rsidR="004C5F43" w:rsidRPr="000422C2" w:rsidRDefault="004C5F43" w:rsidP="00BA7653">
            <w:pPr>
              <w:pStyle w:val="Tablea"/>
            </w:pPr>
            <w:r w:rsidRPr="000422C2">
              <w:t>(b) as financial assistance to a State or Territory; or</w:t>
            </w:r>
          </w:p>
          <w:p w:rsidR="004C5F43" w:rsidRPr="000422C2" w:rsidRDefault="004C5F43" w:rsidP="00BA7653">
            <w:pPr>
              <w:pStyle w:val="Tablea"/>
            </w:pPr>
            <w:r w:rsidRPr="000422C2">
              <w:t>(c) to or in relation to Indigenous Australians and particular groups of Indigenous Australians; or</w:t>
            </w:r>
          </w:p>
          <w:p w:rsidR="004C5F43" w:rsidRPr="000422C2" w:rsidRDefault="004C5F43" w:rsidP="00BA7653">
            <w:pPr>
              <w:pStyle w:val="Tablea"/>
            </w:pPr>
            <w:r w:rsidRPr="000422C2">
              <w:t>(d) to commemorate Australians killed or injured in war, and support veterans and defence force members and their families and communities; or</w:t>
            </w:r>
          </w:p>
          <w:p w:rsidR="004C5F43" w:rsidRPr="000422C2" w:rsidRDefault="004C5F43" w:rsidP="00BA7653">
            <w:pPr>
              <w:pStyle w:val="Tablea"/>
            </w:pPr>
            <w:r w:rsidRPr="000422C2">
              <w:t>(e) in relation to aliens or immigrants; or</w:t>
            </w:r>
          </w:p>
          <w:p w:rsidR="004C5F43" w:rsidRPr="000422C2" w:rsidRDefault="004C5F43" w:rsidP="00BA7653">
            <w:pPr>
              <w:pStyle w:val="Tablea"/>
            </w:pPr>
            <w:r w:rsidRPr="000422C2">
              <w:t>(f) in connection with trade and commerce with other countries, or among the States and Territories; or</w:t>
            </w:r>
          </w:p>
          <w:p w:rsidR="004C5F43" w:rsidRPr="000422C2" w:rsidRDefault="004C5F43" w:rsidP="00BA7653">
            <w:pPr>
              <w:pStyle w:val="Tablea"/>
            </w:pPr>
            <w:r w:rsidRPr="000422C2">
              <w:t>(g) in connection with assisting Australia to meet its obligations under international agreements; or</w:t>
            </w:r>
          </w:p>
          <w:p w:rsidR="004C5F43" w:rsidRPr="000422C2" w:rsidRDefault="004C5F43" w:rsidP="00BA7653">
            <w:pPr>
              <w:pStyle w:val="Tablea"/>
            </w:pPr>
            <w:r w:rsidRPr="000422C2">
              <w:t>(h) to provide medical services, unemployment, pharmaceutical, sickness and hospital benefits, benefits to students, and measures incidental to the provision of those matters; or</w:t>
            </w:r>
          </w:p>
          <w:p w:rsidR="004C5F43" w:rsidRPr="000422C2" w:rsidRDefault="004C5F43" w:rsidP="00BA7653">
            <w:pPr>
              <w:pStyle w:val="Tablea"/>
            </w:pPr>
            <w:r w:rsidRPr="000422C2">
              <w:t>(i) in connection with electronic communications; or</w:t>
            </w:r>
          </w:p>
          <w:p w:rsidR="004C5F43" w:rsidRPr="000422C2" w:rsidRDefault="004C5F43" w:rsidP="00BA7653">
            <w:pPr>
              <w:pStyle w:val="Tablea"/>
            </w:pPr>
            <w:r w:rsidRPr="000422C2">
              <w:t>(j) to provide assistance to trading, financial and foreign corporations to which paragraph</w:t>
            </w:r>
            <w:r w:rsidR="000422C2" w:rsidRPr="000422C2">
              <w:t> </w:t>
            </w:r>
            <w:r w:rsidRPr="000422C2">
              <w:t>51(xx) of the Constitution applies where the assistance relates to the existing activities of the corporations; or</w:t>
            </w:r>
          </w:p>
          <w:p w:rsidR="004C5F43" w:rsidRPr="000422C2" w:rsidRDefault="004C5F43" w:rsidP="00BA7653">
            <w:pPr>
              <w:pStyle w:val="Tablea"/>
            </w:pPr>
            <w:r w:rsidRPr="000422C2">
              <w:t>(k) for the construction or extension of railways in any State with the consent of that State; or</w:t>
            </w:r>
          </w:p>
          <w:p w:rsidR="004C5F43" w:rsidRPr="000422C2" w:rsidRDefault="004C5F43" w:rsidP="00BA7653">
            <w:pPr>
              <w:pStyle w:val="Tablea"/>
            </w:pPr>
            <w:r w:rsidRPr="000422C2">
              <w:t>(l) to provide for measures that are peculiarly adapted to the government of a nation and cannot otherwise be carried on for the benefit of the nation; or</w:t>
            </w:r>
          </w:p>
          <w:p w:rsidR="004C5F43" w:rsidRPr="000422C2" w:rsidRDefault="004C5F43" w:rsidP="00BA7653">
            <w:pPr>
              <w:pStyle w:val="Tablea"/>
            </w:pPr>
            <w:r w:rsidRPr="000422C2">
              <w:t>(m) in the exercise of the executive power of the Commonwealth.</w:t>
            </w:r>
          </w:p>
        </w:tc>
      </w:tr>
    </w:tbl>
    <w:p w:rsidR="006D3667" w:rsidRPr="000422C2" w:rsidRDefault="006D3667" w:rsidP="00E4750E">
      <w:pPr>
        <w:pStyle w:val="Tabletext"/>
      </w:pPr>
    </w:p>
    <w:sectPr w:rsidR="006D3667" w:rsidRPr="000422C2" w:rsidSect="00395EBF">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526" w:rsidRDefault="00576526" w:rsidP="0048364F">
      <w:pPr>
        <w:spacing w:line="240" w:lineRule="auto"/>
      </w:pPr>
      <w:r>
        <w:separator/>
      </w:r>
    </w:p>
  </w:endnote>
  <w:endnote w:type="continuationSeparator" w:id="0">
    <w:p w:rsidR="00576526" w:rsidRDefault="0057652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395EBF" w:rsidRDefault="00576526" w:rsidP="00395EBF">
    <w:pPr>
      <w:pStyle w:val="Footer"/>
      <w:tabs>
        <w:tab w:val="clear" w:pos="4153"/>
        <w:tab w:val="clear" w:pos="8306"/>
        <w:tab w:val="center" w:pos="4150"/>
        <w:tab w:val="right" w:pos="8307"/>
      </w:tabs>
      <w:spacing w:before="120"/>
      <w:rPr>
        <w:i/>
        <w:sz w:val="18"/>
      </w:rPr>
    </w:pPr>
    <w:r w:rsidRPr="00395EBF">
      <w:rPr>
        <w:i/>
        <w:sz w:val="18"/>
      </w:rPr>
      <w:t xml:space="preserve"> </w:t>
    </w:r>
    <w:r w:rsidR="00395EBF" w:rsidRPr="00395EBF">
      <w:rPr>
        <w:i/>
        <w:sz w:val="18"/>
      </w:rPr>
      <w:t>OPC60586 -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BF" w:rsidRDefault="00395EBF" w:rsidP="00395EBF">
    <w:pPr>
      <w:pStyle w:val="Footer"/>
    </w:pPr>
    <w:r w:rsidRPr="00395EBF">
      <w:rPr>
        <w:i/>
        <w:sz w:val="18"/>
      </w:rPr>
      <w:t>OPC60586 -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395EBF" w:rsidRDefault="00576526" w:rsidP="00486382">
    <w:pPr>
      <w:pStyle w:val="Footer"/>
      <w:rPr>
        <w:sz w:val="18"/>
      </w:rPr>
    </w:pPr>
  </w:p>
  <w:p w:rsidR="00576526" w:rsidRPr="00395EBF" w:rsidRDefault="00395EBF" w:rsidP="00395EBF">
    <w:pPr>
      <w:pStyle w:val="Footer"/>
      <w:rPr>
        <w:sz w:val="18"/>
      </w:rPr>
    </w:pPr>
    <w:r w:rsidRPr="00395EBF">
      <w:rPr>
        <w:i/>
        <w:sz w:val="18"/>
      </w:rPr>
      <w:t>OPC60586 -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395EBF" w:rsidRDefault="00576526"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576526" w:rsidRPr="00395EBF" w:rsidTr="00E33C1C">
      <w:tc>
        <w:tcPr>
          <w:tcW w:w="533" w:type="dxa"/>
          <w:tcBorders>
            <w:top w:val="nil"/>
            <w:left w:val="nil"/>
            <w:bottom w:val="nil"/>
            <w:right w:val="nil"/>
          </w:tcBorders>
        </w:tcPr>
        <w:p w:rsidR="00576526" w:rsidRPr="00395EBF" w:rsidRDefault="00576526" w:rsidP="00E33C1C">
          <w:pPr>
            <w:spacing w:line="0" w:lineRule="atLeast"/>
            <w:rPr>
              <w:rFonts w:cs="Times New Roman"/>
              <w:i/>
              <w:sz w:val="18"/>
            </w:rPr>
          </w:pPr>
          <w:r w:rsidRPr="00395EBF">
            <w:rPr>
              <w:rFonts w:cs="Times New Roman"/>
              <w:i/>
              <w:sz w:val="18"/>
            </w:rPr>
            <w:fldChar w:fldCharType="begin"/>
          </w:r>
          <w:r w:rsidRPr="00395EBF">
            <w:rPr>
              <w:rFonts w:cs="Times New Roman"/>
              <w:i/>
              <w:sz w:val="18"/>
            </w:rPr>
            <w:instrText xml:space="preserve"> PAGE </w:instrText>
          </w:r>
          <w:r w:rsidRPr="00395EBF">
            <w:rPr>
              <w:rFonts w:cs="Times New Roman"/>
              <w:i/>
              <w:sz w:val="18"/>
            </w:rPr>
            <w:fldChar w:fldCharType="separate"/>
          </w:r>
          <w:r w:rsidR="00C260EE">
            <w:rPr>
              <w:rFonts w:cs="Times New Roman"/>
              <w:i/>
              <w:noProof/>
              <w:sz w:val="18"/>
            </w:rPr>
            <w:t>ii</w:t>
          </w:r>
          <w:r w:rsidRPr="00395EBF">
            <w:rPr>
              <w:rFonts w:cs="Times New Roman"/>
              <w:i/>
              <w:sz w:val="18"/>
            </w:rPr>
            <w:fldChar w:fldCharType="end"/>
          </w:r>
        </w:p>
      </w:tc>
      <w:tc>
        <w:tcPr>
          <w:tcW w:w="5387" w:type="dxa"/>
          <w:tcBorders>
            <w:top w:val="nil"/>
            <w:left w:val="nil"/>
            <w:bottom w:val="nil"/>
            <w:right w:val="nil"/>
          </w:tcBorders>
        </w:tcPr>
        <w:p w:rsidR="00576526" w:rsidRPr="00395EBF" w:rsidRDefault="00576526" w:rsidP="00E33C1C">
          <w:pPr>
            <w:spacing w:line="0" w:lineRule="atLeast"/>
            <w:jc w:val="center"/>
            <w:rPr>
              <w:rFonts w:cs="Times New Roman"/>
              <w:i/>
              <w:sz w:val="18"/>
            </w:rPr>
          </w:pPr>
          <w:r w:rsidRPr="00395EBF">
            <w:rPr>
              <w:rFonts w:cs="Times New Roman"/>
              <w:i/>
              <w:sz w:val="18"/>
            </w:rPr>
            <w:fldChar w:fldCharType="begin"/>
          </w:r>
          <w:r w:rsidRPr="00395EBF">
            <w:rPr>
              <w:rFonts w:cs="Times New Roman"/>
              <w:i/>
              <w:sz w:val="18"/>
            </w:rPr>
            <w:instrText xml:space="preserve"> DOCPROPERTY ShortT </w:instrText>
          </w:r>
          <w:r w:rsidRPr="00395EBF">
            <w:rPr>
              <w:rFonts w:cs="Times New Roman"/>
              <w:i/>
              <w:sz w:val="18"/>
            </w:rPr>
            <w:fldChar w:fldCharType="separate"/>
          </w:r>
          <w:r w:rsidR="009423D3">
            <w:rPr>
              <w:rFonts w:cs="Times New Roman"/>
              <w:i/>
              <w:sz w:val="18"/>
            </w:rPr>
            <w:t>Financial Management and Accountability Amendment (2014 Measures No. 6) Regulation 2014</w:t>
          </w:r>
          <w:r w:rsidRPr="00395EBF">
            <w:rPr>
              <w:rFonts w:cs="Times New Roman"/>
              <w:i/>
              <w:sz w:val="18"/>
            </w:rPr>
            <w:fldChar w:fldCharType="end"/>
          </w:r>
        </w:p>
      </w:tc>
      <w:tc>
        <w:tcPr>
          <w:tcW w:w="1383" w:type="dxa"/>
          <w:tcBorders>
            <w:top w:val="nil"/>
            <w:left w:val="nil"/>
            <w:bottom w:val="nil"/>
            <w:right w:val="nil"/>
          </w:tcBorders>
        </w:tcPr>
        <w:p w:rsidR="00576526" w:rsidRPr="00395EBF" w:rsidRDefault="00576526" w:rsidP="00E33C1C">
          <w:pPr>
            <w:spacing w:line="0" w:lineRule="atLeast"/>
            <w:jc w:val="right"/>
            <w:rPr>
              <w:rFonts w:cs="Times New Roman"/>
              <w:i/>
              <w:sz w:val="18"/>
            </w:rPr>
          </w:pPr>
          <w:r w:rsidRPr="00395EBF">
            <w:rPr>
              <w:rFonts w:cs="Times New Roman"/>
              <w:i/>
              <w:sz w:val="18"/>
            </w:rPr>
            <w:fldChar w:fldCharType="begin"/>
          </w:r>
          <w:r w:rsidRPr="00395EBF">
            <w:rPr>
              <w:rFonts w:cs="Times New Roman"/>
              <w:i/>
              <w:sz w:val="18"/>
            </w:rPr>
            <w:instrText xml:space="preserve"> DOCPROPERTY ActNo </w:instrText>
          </w:r>
          <w:r w:rsidRPr="00395EBF">
            <w:rPr>
              <w:rFonts w:cs="Times New Roman"/>
              <w:i/>
              <w:sz w:val="18"/>
            </w:rPr>
            <w:fldChar w:fldCharType="separate"/>
          </w:r>
          <w:r w:rsidR="009423D3">
            <w:rPr>
              <w:rFonts w:cs="Times New Roman"/>
              <w:i/>
              <w:sz w:val="18"/>
            </w:rPr>
            <w:t>No. 107, 2014</w:t>
          </w:r>
          <w:r w:rsidRPr="00395EBF">
            <w:rPr>
              <w:rFonts w:cs="Times New Roman"/>
              <w:i/>
              <w:sz w:val="18"/>
            </w:rPr>
            <w:fldChar w:fldCharType="end"/>
          </w:r>
        </w:p>
      </w:tc>
    </w:tr>
  </w:tbl>
  <w:p w:rsidR="00576526" w:rsidRPr="00395EBF" w:rsidRDefault="00395EBF" w:rsidP="00395EBF">
    <w:pPr>
      <w:rPr>
        <w:rFonts w:cs="Times New Roman"/>
        <w:i/>
        <w:sz w:val="18"/>
      </w:rPr>
    </w:pPr>
    <w:r w:rsidRPr="00395EBF">
      <w:rPr>
        <w:rFonts w:cs="Times New Roman"/>
        <w:i/>
        <w:sz w:val="18"/>
      </w:rPr>
      <w:t>OPC60586 -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E33C1C" w:rsidRDefault="00576526"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576526" w:rsidTr="00E33C1C">
      <w:tc>
        <w:tcPr>
          <w:tcW w:w="1383" w:type="dxa"/>
          <w:tcBorders>
            <w:top w:val="nil"/>
            <w:left w:val="nil"/>
            <w:bottom w:val="nil"/>
            <w:right w:val="nil"/>
          </w:tcBorders>
        </w:tcPr>
        <w:p w:rsidR="00576526" w:rsidRDefault="00576526"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423D3">
            <w:rPr>
              <w:i/>
              <w:sz w:val="18"/>
            </w:rPr>
            <w:t>No. 107, 2014</w:t>
          </w:r>
          <w:r w:rsidRPr="007A1328">
            <w:rPr>
              <w:i/>
              <w:sz w:val="18"/>
            </w:rPr>
            <w:fldChar w:fldCharType="end"/>
          </w:r>
        </w:p>
      </w:tc>
      <w:tc>
        <w:tcPr>
          <w:tcW w:w="5387" w:type="dxa"/>
          <w:tcBorders>
            <w:top w:val="nil"/>
            <w:left w:val="nil"/>
            <w:bottom w:val="nil"/>
            <w:right w:val="nil"/>
          </w:tcBorders>
        </w:tcPr>
        <w:p w:rsidR="00576526" w:rsidRDefault="00576526"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23D3">
            <w:rPr>
              <w:i/>
              <w:sz w:val="18"/>
            </w:rPr>
            <w:t>Financial Management and Accountability Amendment (2014 Measures No. 6) Regulation 2014</w:t>
          </w:r>
          <w:r w:rsidRPr="007A1328">
            <w:rPr>
              <w:i/>
              <w:sz w:val="18"/>
            </w:rPr>
            <w:fldChar w:fldCharType="end"/>
          </w:r>
        </w:p>
      </w:tc>
      <w:tc>
        <w:tcPr>
          <w:tcW w:w="533" w:type="dxa"/>
          <w:tcBorders>
            <w:top w:val="nil"/>
            <w:left w:val="nil"/>
            <w:bottom w:val="nil"/>
            <w:right w:val="nil"/>
          </w:tcBorders>
        </w:tcPr>
        <w:p w:rsidR="00576526" w:rsidRDefault="00576526"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32B4">
            <w:rPr>
              <w:i/>
              <w:noProof/>
              <w:sz w:val="18"/>
            </w:rPr>
            <w:t>i</w:t>
          </w:r>
          <w:r w:rsidRPr="00ED79B6">
            <w:rPr>
              <w:i/>
              <w:sz w:val="18"/>
            </w:rPr>
            <w:fldChar w:fldCharType="end"/>
          </w:r>
        </w:p>
      </w:tc>
    </w:tr>
  </w:tbl>
  <w:p w:rsidR="00576526" w:rsidRPr="00ED79B6" w:rsidRDefault="00395EBF" w:rsidP="00395EBF">
    <w:pPr>
      <w:rPr>
        <w:i/>
        <w:sz w:val="18"/>
      </w:rPr>
    </w:pPr>
    <w:r w:rsidRPr="00395EBF">
      <w:rPr>
        <w:rFonts w:cs="Times New Roman"/>
        <w:i/>
        <w:sz w:val="18"/>
      </w:rPr>
      <w:t>OPC60586 -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395EBF" w:rsidRDefault="00576526"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576526" w:rsidRPr="00395EBF" w:rsidTr="00E33C1C">
      <w:tc>
        <w:tcPr>
          <w:tcW w:w="533" w:type="dxa"/>
          <w:tcBorders>
            <w:top w:val="nil"/>
            <w:left w:val="nil"/>
            <w:bottom w:val="nil"/>
            <w:right w:val="nil"/>
          </w:tcBorders>
        </w:tcPr>
        <w:p w:rsidR="00576526" w:rsidRPr="00395EBF" w:rsidRDefault="00576526" w:rsidP="00E33C1C">
          <w:pPr>
            <w:spacing w:line="0" w:lineRule="atLeast"/>
            <w:rPr>
              <w:rFonts w:cs="Times New Roman"/>
              <w:i/>
              <w:sz w:val="18"/>
            </w:rPr>
          </w:pPr>
          <w:r w:rsidRPr="00395EBF">
            <w:rPr>
              <w:rFonts w:cs="Times New Roman"/>
              <w:i/>
              <w:sz w:val="18"/>
            </w:rPr>
            <w:fldChar w:fldCharType="begin"/>
          </w:r>
          <w:r w:rsidRPr="00395EBF">
            <w:rPr>
              <w:rFonts w:cs="Times New Roman"/>
              <w:i/>
              <w:sz w:val="18"/>
            </w:rPr>
            <w:instrText xml:space="preserve"> PAGE </w:instrText>
          </w:r>
          <w:r w:rsidRPr="00395EBF">
            <w:rPr>
              <w:rFonts w:cs="Times New Roman"/>
              <w:i/>
              <w:sz w:val="18"/>
            </w:rPr>
            <w:fldChar w:fldCharType="separate"/>
          </w:r>
          <w:r w:rsidR="0013337C">
            <w:rPr>
              <w:rFonts w:cs="Times New Roman"/>
              <w:i/>
              <w:noProof/>
              <w:sz w:val="18"/>
            </w:rPr>
            <w:t>30</w:t>
          </w:r>
          <w:r w:rsidRPr="00395EBF">
            <w:rPr>
              <w:rFonts w:cs="Times New Roman"/>
              <w:i/>
              <w:sz w:val="18"/>
            </w:rPr>
            <w:fldChar w:fldCharType="end"/>
          </w:r>
        </w:p>
      </w:tc>
      <w:tc>
        <w:tcPr>
          <w:tcW w:w="5387" w:type="dxa"/>
          <w:tcBorders>
            <w:top w:val="nil"/>
            <w:left w:val="nil"/>
            <w:bottom w:val="nil"/>
            <w:right w:val="nil"/>
          </w:tcBorders>
        </w:tcPr>
        <w:p w:rsidR="00576526" w:rsidRPr="00395EBF" w:rsidRDefault="00576526" w:rsidP="00E33C1C">
          <w:pPr>
            <w:spacing w:line="0" w:lineRule="atLeast"/>
            <w:jc w:val="center"/>
            <w:rPr>
              <w:rFonts w:cs="Times New Roman"/>
              <w:i/>
              <w:sz w:val="18"/>
            </w:rPr>
          </w:pPr>
          <w:r w:rsidRPr="00395EBF">
            <w:rPr>
              <w:rFonts w:cs="Times New Roman"/>
              <w:i/>
              <w:sz w:val="18"/>
            </w:rPr>
            <w:fldChar w:fldCharType="begin"/>
          </w:r>
          <w:r w:rsidRPr="00395EBF">
            <w:rPr>
              <w:rFonts w:cs="Times New Roman"/>
              <w:i/>
              <w:sz w:val="18"/>
            </w:rPr>
            <w:instrText xml:space="preserve"> DOCPROPERTY ShortT </w:instrText>
          </w:r>
          <w:r w:rsidRPr="00395EBF">
            <w:rPr>
              <w:rFonts w:cs="Times New Roman"/>
              <w:i/>
              <w:sz w:val="18"/>
            </w:rPr>
            <w:fldChar w:fldCharType="separate"/>
          </w:r>
          <w:r w:rsidR="009423D3">
            <w:rPr>
              <w:rFonts w:cs="Times New Roman"/>
              <w:i/>
              <w:sz w:val="18"/>
            </w:rPr>
            <w:t>Financial Management and Accountability Amendment (2014 Measures No. 6) Regulation 2014</w:t>
          </w:r>
          <w:r w:rsidRPr="00395EBF">
            <w:rPr>
              <w:rFonts w:cs="Times New Roman"/>
              <w:i/>
              <w:sz w:val="18"/>
            </w:rPr>
            <w:fldChar w:fldCharType="end"/>
          </w:r>
        </w:p>
      </w:tc>
      <w:tc>
        <w:tcPr>
          <w:tcW w:w="1383" w:type="dxa"/>
          <w:tcBorders>
            <w:top w:val="nil"/>
            <w:left w:val="nil"/>
            <w:bottom w:val="nil"/>
            <w:right w:val="nil"/>
          </w:tcBorders>
        </w:tcPr>
        <w:p w:rsidR="00576526" w:rsidRPr="00395EBF" w:rsidRDefault="00576526" w:rsidP="00E33C1C">
          <w:pPr>
            <w:spacing w:line="0" w:lineRule="atLeast"/>
            <w:jc w:val="right"/>
            <w:rPr>
              <w:rFonts w:cs="Times New Roman"/>
              <w:i/>
              <w:sz w:val="18"/>
            </w:rPr>
          </w:pPr>
          <w:r w:rsidRPr="00395EBF">
            <w:rPr>
              <w:rFonts w:cs="Times New Roman"/>
              <w:i/>
              <w:sz w:val="18"/>
            </w:rPr>
            <w:fldChar w:fldCharType="begin"/>
          </w:r>
          <w:r w:rsidRPr="00395EBF">
            <w:rPr>
              <w:rFonts w:cs="Times New Roman"/>
              <w:i/>
              <w:sz w:val="18"/>
            </w:rPr>
            <w:instrText xml:space="preserve"> DOCPROPERTY ActNo </w:instrText>
          </w:r>
          <w:r w:rsidRPr="00395EBF">
            <w:rPr>
              <w:rFonts w:cs="Times New Roman"/>
              <w:i/>
              <w:sz w:val="18"/>
            </w:rPr>
            <w:fldChar w:fldCharType="separate"/>
          </w:r>
          <w:r w:rsidR="009423D3">
            <w:rPr>
              <w:rFonts w:cs="Times New Roman"/>
              <w:i/>
              <w:sz w:val="18"/>
            </w:rPr>
            <w:t>No. 107, 2014</w:t>
          </w:r>
          <w:r w:rsidRPr="00395EBF">
            <w:rPr>
              <w:rFonts w:cs="Times New Roman"/>
              <w:i/>
              <w:sz w:val="18"/>
            </w:rPr>
            <w:fldChar w:fldCharType="end"/>
          </w:r>
        </w:p>
      </w:tc>
    </w:tr>
  </w:tbl>
  <w:p w:rsidR="00576526" w:rsidRPr="00395EBF" w:rsidRDefault="00395EBF" w:rsidP="00395EBF">
    <w:pPr>
      <w:rPr>
        <w:rFonts w:cs="Times New Roman"/>
        <w:i/>
        <w:sz w:val="18"/>
      </w:rPr>
    </w:pPr>
    <w:r w:rsidRPr="00395EBF">
      <w:rPr>
        <w:rFonts w:cs="Times New Roman"/>
        <w:i/>
        <w:sz w:val="18"/>
      </w:rPr>
      <w:t>OPC60586 -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E33C1C" w:rsidRDefault="00576526"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576526" w:rsidTr="00E33C1C">
      <w:tc>
        <w:tcPr>
          <w:tcW w:w="1383" w:type="dxa"/>
          <w:tcBorders>
            <w:top w:val="nil"/>
            <w:left w:val="nil"/>
            <w:bottom w:val="nil"/>
            <w:right w:val="nil"/>
          </w:tcBorders>
        </w:tcPr>
        <w:p w:rsidR="00576526" w:rsidRDefault="00576526"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423D3">
            <w:rPr>
              <w:i/>
              <w:sz w:val="18"/>
            </w:rPr>
            <w:t>No. 107, 2014</w:t>
          </w:r>
          <w:r w:rsidRPr="007A1328">
            <w:rPr>
              <w:i/>
              <w:sz w:val="18"/>
            </w:rPr>
            <w:fldChar w:fldCharType="end"/>
          </w:r>
        </w:p>
      </w:tc>
      <w:tc>
        <w:tcPr>
          <w:tcW w:w="5387" w:type="dxa"/>
          <w:tcBorders>
            <w:top w:val="nil"/>
            <w:left w:val="nil"/>
            <w:bottom w:val="nil"/>
            <w:right w:val="nil"/>
          </w:tcBorders>
        </w:tcPr>
        <w:p w:rsidR="00576526" w:rsidRDefault="00576526"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23D3">
            <w:rPr>
              <w:i/>
              <w:sz w:val="18"/>
            </w:rPr>
            <w:t>Financial Management and Accountability Amendment (2014 Measures No. 6) Regulation 2014</w:t>
          </w:r>
          <w:r w:rsidRPr="007A1328">
            <w:rPr>
              <w:i/>
              <w:sz w:val="18"/>
            </w:rPr>
            <w:fldChar w:fldCharType="end"/>
          </w:r>
        </w:p>
      </w:tc>
      <w:tc>
        <w:tcPr>
          <w:tcW w:w="533" w:type="dxa"/>
          <w:tcBorders>
            <w:top w:val="nil"/>
            <w:left w:val="nil"/>
            <w:bottom w:val="nil"/>
            <w:right w:val="nil"/>
          </w:tcBorders>
        </w:tcPr>
        <w:p w:rsidR="00576526" w:rsidRDefault="00576526"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32B4">
            <w:rPr>
              <w:i/>
              <w:noProof/>
              <w:sz w:val="18"/>
            </w:rPr>
            <w:t>1</w:t>
          </w:r>
          <w:r w:rsidRPr="00ED79B6">
            <w:rPr>
              <w:i/>
              <w:sz w:val="18"/>
            </w:rPr>
            <w:fldChar w:fldCharType="end"/>
          </w:r>
        </w:p>
      </w:tc>
    </w:tr>
  </w:tbl>
  <w:p w:rsidR="00576526" w:rsidRPr="00ED79B6" w:rsidRDefault="00395EBF" w:rsidP="00395EBF">
    <w:pPr>
      <w:rPr>
        <w:i/>
        <w:sz w:val="18"/>
      </w:rPr>
    </w:pPr>
    <w:r w:rsidRPr="00395EBF">
      <w:rPr>
        <w:rFonts w:cs="Times New Roman"/>
        <w:i/>
        <w:sz w:val="18"/>
      </w:rPr>
      <w:t>OPC60586 -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E33C1C" w:rsidRDefault="00576526"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576526" w:rsidTr="00870151">
      <w:tc>
        <w:tcPr>
          <w:tcW w:w="1383" w:type="dxa"/>
          <w:tcBorders>
            <w:top w:val="nil"/>
            <w:left w:val="nil"/>
            <w:bottom w:val="nil"/>
            <w:right w:val="nil"/>
          </w:tcBorders>
        </w:tcPr>
        <w:p w:rsidR="00576526" w:rsidRDefault="00576526" w:rsidP="0087015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423D3">
            <w:rPr>
              <w:i/>
              <w:sz w:val="18"/>
            </w:rPr>
            <w:t>No. 107, 2014</w:t>
          </w:r>
          <w:r w:rsidRPr="007A1328">
            <w:rPr>
              <w:i/>
              <w:sz w:val="18"/>
            </w:rPr>
            <w:fldChar w:fldCharType="end"/>
          </w:r>
        </w:p>
      </w:tc>
      <w:tc>
        <w:tcPr>
          <w:tcW w:w="5387" w:type="dxa"/>
          <w:tcBorders>
            <w:top w:val="nil"/>
            <w:left w:val="nil"/>
            <w:bottom w:val="nil"/>
            <w:right w:val="nil"/>
          </w:tcBorders>
        </w:tcPr>
        <w:p w:rsidR="00576526" w:rsidRDefault="00576526" w:rsidP="0087015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23D3">
            <w:rPr>
              <w:i/>
              <w:sz w:val="18"/>
            </w:rPr>
            <w:t>Financial Management and Accountability Amendment (2014 Measures No. 6) Regulation 2014</w:t>
          </w:r>
          <w:r w:rsidRPr="007A1328">
            <w:rPr>
              <w:i/>
              <w:sz w:val="18"/>
            </w:rPr>
            <w:fldChar w:fldCharType="end"/>
          </w:r>
        </w:p>
      </w:tc>
      <w:tc>
        <w:tcPr>
          <w:tcW w:w="533" w:type="dxa"/>
          <w:tcBorders>
            <w:top w:val="nil"/>
            <w:left w:val="nil"/>
            <w:bottom w:val="nil"/>
            <w:right w:val="nil"/>
          </w:tcBorders>
        </w:tcPr>
        <w:p w:rsidR="00576526" w:rsidRDefault="00576526" w:rsidP="0087015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60EE">
            <w:rPr>
              <w:i/>
              <w:noProof/>
              <w:sz w:val="18"/>
            </w:rPr>
            <w:t>2</w:t>
          </w:r>
          <w:r w:rsidRPr="00ED79B6">
            <w:rPr>
              <w:i/>
              <w:sz w:val="18"/>
            </w:rPr>
            <w:fldChar w:fldCharType="end"/>
          </w:r>
        </w:p>
      </w:tc>
    </w:tr>
  </w:tbl>
  <w:p w:rsidR="00576526" w:rsidRPr="00ED79B6" w:rsidRDefault="00576526"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526" w:rsidRDefault="00576526" w:rsidP="0048364F">
      <w:pPr>
        <w:spacing w:line="240" w:lineRule="auto"/>
      </w:pPr>
      <w:r>
        <w:separator/>
      </w:r>
    </w:p>
  </w:footnote>
  <w:footnote w:type="continuationSeparator" w:id="0">
    <w:p w:rsidR="00576526" w:rsidRDefault="0057652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5F1388" w:rsidRDefault="00576526"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5F1388" w:rsidRDefault="00576526"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5F1388" w:rsidRDefault="0057652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ED79B6" w:rsidRDefault="00576526"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ED79B6" w:rsidRDefault="00576526"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ED79B6" w:rsidRDefault="0057652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A961C4" w:rsidRDefault="00576526" w:rsidP="00B63BDE">
    <w:pPr>
      <w:rPr>
        <w:b/>
        <w:sz w:val="20"/>
      </w:rPr>
    </w:pPr>
    <w:r>
      <w:rPr>
        <w:b/>
        <w:sz w:val="20"/>
      </w:rPr>
      <w:fldChar w:fldCharType="begin"/>
    </w:r>
    <w:r>
      <w:rPr>
        <w:b/>
        <w:sz w:val="20"/>
      </w:rPr>
      <w:instrText xml:space="preserve"> STYLEREF CharAmSchNo </w:instrText>
    </w:r>
    <w:r w:rsidR="0013337C">
      <w:rPr>
        <w:b/>
        <w:sz w:val="20"/>
      </w:rPr>
      <w:fldChar w:fldCharType="separate"/>
    </w:r>
    <w:r w:rsidR="0013337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3337C">
      <w:rPr>
        <w:sz w:val="20"/>
      </w:rPr>
      <w:fldChar w:fldCharType="separate"/>
    </w:r>
    <w:r w:rsidR="0013337C">
      <w:rPr>
        <w:noProof/>
        <w:sz w:val="20"/>
      </w:rPr>
      <w:t>Amendments</w:t>
    </w:r>
    <w:r>
      <w:rPr>
        <w:sz w:val="20"/>
      </w:rPr>
      <w:fldChar w:fldCharType="end"/>
    </w:r>
  </w:p>
  <w:p w:rsidR="00576526" w:rsidRPr="00A961C4" w:rsidRDefault="00576526"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76526" w:rsidRPr="00A961C4" w:rsidRDefault="00576526"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A961C4" w:rsidRDefault="00576526"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576526" w:rsidRPr="00A961C4" w:rsidRDefault="00576526"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76526" w:rsidRPr="00A961C4" w:rsidRDefault="00576526"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26" w:rsidRPr="00A961C4" w:rsidRDefault="00576526"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646C34"/>
    <w:lvl w:ilvl="0">
      <w:start w:val="1"/>
      <w:numFmt w:val="decimal"/>
      <w:lvlText w:val="%1."/>
      <w:lvlJc w:val="left"/>
      <w:pPr>
        <w:tabs>
          <w:tab w:val="num" w:pos="1492"/>
        </w:tabs>
        <w:ind w:left="1492" w:hanging="360"/>
      </w:pPr>
    </w:lvl>
  </w:abstractNum>
  <w:abstractNum w:abstractNumId="1">
    <w:nsid w:val="FFFFFF7D"/>
    <w:multiLevelType w:val="singleLevel"/>
    <w:tmpl w:val="F4DE9854"/>
    <w:lvl w:ilvl="0">
      <w:start w:val="1"/>
      <w:numFmt w:val="decimal"/>
      <w:lvlText w:val="%1."/>
      <w:lvlJc w:val="left"/>
      <w:pPr>
        <w:tabs>
          <w:tab w:val="num" w:pos="1209"/>
        </w:tabs>
        <w:ind w:left="1209" w:hanging="360"/>
      </w:pPr>
    </w:lvl>
  </w:abstractNum>
  <w:abstractNum w:abstractNumId="2">
    <w:nsid w:val="FFFFFF7E"/>
    <w:multiLevelType w:val="singleLevel"/>
    <w:tmpl w:val="9C329B50"/>
    <w:lvl w:ilvl="0">
      <w:start w:val="1"/>
      <w:numFmt w:val="decimal"/>
      <w:lvlText w:val="%1."/>
      <w:lvlJc w:val="left"/>
      <w:pPr>
        <w:tabs>
          <w:tab w:val="num" w:pos="926"/>
        </w:tabs>
        <w:ind w:left="926" w:hanging="360"/>
      </w:pPr>
    </w:lvl>
  </w:abstractNum>
  <w:abstractNum w:abstractNumId="3">
    <w:nsid w:val="FFFFFF7F"/>
    <w:multiLevelType w:val="singleLevel"/>
    <w:tmpl w:val="A13C22A0"/>
    <w:lvl w:ilvl="0">
      <w:start w:val="1"/>
      <w:numFmt w:val="decimal"/>
      <w:lvlText w:val="%1."/>
      <w:lvlJc w:val="left"/>
      <w:pPr>
        <w:tabs>
          <w:tab w:val="num" w:pos="643"/>
        </w:tabs>
        <w:ind w:left="643" w:hanging="360"/>
      </w:pPr>
    </w:lvl>
  </w:abstractNum>
  <w:abstractNum w:abstractNumId="4">
    <w:nsid w:val="FFFFFF80"/>
    <w:multiLevelType w:val="singleLevel"/>
    <w:tmpl w:val="2C2AB0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A4E4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844B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9496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128396"/>
    <w:lvl w:ilvl="0">
      <w:start w:val="1"/>
      <w:numFmt w:val="decimal"/>
      <w:lvlText w:val="%1."/>
      <w:lvlJc w:val="left"/>
      <w:pPr>
        <w:tabs>
          <w:tab w:val="num" w:pos="360"/>
        </w:tabs>
        <w:ind w:left="360" w:hanging="360"/>
      </w:pPr>
    </w:lvl>
  </w:abstractNum>
  <w:abstractNum w:abstractNumId="9">
    <w:nsid w:val="FFFFFF89"/>
    <w:multiLevelType w:val="singleLevel"/>
    <w:tmpl w:val="99C256B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04D7C23"/>
    <w:multiLevelType w:val="hybridMultilevel"/>
    <w:tmpl w:val="203E5D9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2">
    <w:nsid w:val="18327664"/>
    <w:multiLevelType w:val="multilevel"/>
    <w:tmpl w:val="D80A9978"/>
    <w:lvl w:ilvl="0">
      <w:start w:val="1"/>
      <w:numFmt w:val="decimal"/>
      <w:lvlText w:val="%1."/>
      <w:lvlJc w:val="left"/>
      <w:pPr>
        <w:tabs>
          <w:tab w:val="num" w:pos="709"/>
        </w:tabs>
        <w:ind w:left="0" w:hanging="709"/>
      </w:pPr>
      <w:rPr>
        <w:rFonts w:hint="default"/>
        <w:b w:val="0"/>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hint="default"/>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13">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37C33D9"/>
    <w:multiLevelType w:val="hybridMultilevel"/>
    <w:tmpl w:val="83805936"/>
    <w:lvl w:ilvl="0" w:tplc="6FF22E52">
      <w:numFmt w:val="bullet"/>
      <w:lvlText w:val=""/>
      <w:lvlJc w:val="left"/>
      <w:pPr>
        <w:ind w:left="1005" w:hanging="645"/>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4516112C"/>
    <w:multiLevelType w:val="hybridMultilevel"/>
    <w:tmpl w:val="1312FB08"/>
    <w:lvl w:ilvl="0" w:tplc="7A047C60">
      <w:start w:val="1"/>
      <w:numFmt w:val="lowerLetter"/>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7">
    <w:nsid w:val="4DD647A0"/>
    <w:multiLevelType w:val="hybridMultilevel"/>
    <w:tmpl w:val="1312FB08"/>
    <w:lvl w:ilvl="0" w:tplc="7A047C60">
      <w:start w:val="1"/>
      <w:numFmt w:val="lowerLetter"/>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8">
    <w:nsid w:val="50813BB7"/>
    <w:multiLevelType w:val="hybridMultilevel"/>
    <w:tmpl w:val="3DE625D4"/>
    <w:lvl w:ilvl="0" w:tplc="6EC29BA0">
      <w:start w:val="1"/>
      <w:numFmt w:val="lowerRoman"/>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9">
    <w:nsid w:val="561B0989"/>
    <w:multiLevelType w:val="hybridMultilevel"/>
    <w:tmpl w:val="1B4698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482512"/>
    <w:multiLevelType w:val="hybridMultilevel"/>
    <w:tmpl w:val="BDF6F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4B70F3"/>
    <w:multiLevelType w:val="hybridMultilevel"/>
    <w:tmpl w:val="3DE625D4"/>
    <w:lvl w:ilvl="0" w:tplc="6EC29BA0">
      <w:start w:val="1"/>
      <w:numFmt w:val="lowerRoman"/>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8"/>
  </w:num>
  <w:num w:numId="14">
    <w:abstractNumId w:val="21"/>
  </w:num>
  <w:num w:numId="15">
    <w:abstractNumId w:val="16"/>
  </w:num>
  <w:num w:numId="16">
    <w:abstractNumId w:val="17"/>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1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A3"/>
    <w:rsid w:val="00001292"/>
    <w:rsid w:val="000041C6"/>
    <w:rsid w:val="000041EC"/>
    <w:rsid w:val="000063E4"/>
    <w:rsid w:val="000113BC"/>
    <w:rsid w:val="000136AF"/>
    <w:rsid w:val="00025060"/>
    <w:rsid w:val="00031F70"/>
    <w:rsid w:val="0004044E"/>
    <w:rsid w:val="000422C2"/>
    <w:rsid w:val="0005063C"/>
    <w:rsid w:val="00052266"/>
    <w:rsid w:val="000614BF"/>
    <w:rsid w:val="00063A40"/>
    <w:rsid w:val="0008162C"/>
    <w:rsid w:val="00094EFE"/>
    <w:rsid w:val="000974A8"/>
    <w:rsid w:val="000B3E88"/>
    <w:rsid w:val="000C32B4"/>
    <w:rsid w:val="000C4DFA"/>
    <w:rsid w:val="000C4E79"/>
    <w:rsid w:val="000D05EF"/>
    <w:rsid w:val="000D2838"/>
    <w:rsid w:val="000F21C1"/>
    <w:rsid w:val="000F7427"/>
    <w:rsid w:val="00102619"/>
    <w:rsid w:val="00105BD2"/>
    <w:rsid w:val="0010745C"/>
    <w:rsid w:val="00116975"/>
    <w:rsid w:val="00120798"/>
    <w:rsid w:val="00123E30"/>
    <w:rsid w:val="0013337C"/>
    <w:rsid w:val="00145E1D"/>
    <w:rsid w:val="00152688"/>
    <w:rsid w:val="00154EAC"/>
    <w:rsid w:val="001643C9"/>
    <w:rsid w:val="00165568"/>
    <w:rsid w:val="00166C2F"/>
    <w:rsid w:val="001678CE"/>
    <w:rsid w:val="001716C9"/>
    <w:rsid w:val="00171EAE"/>
    <w:rsid w:val="001727EF"/>
    <w:rsid w:val="00191859"/>
    <w:rsid w:val="00193461"/>
    <w:rsid w:val="001939E1"/>
    <w:rsid w:val="00195382"/>
    <w:rsid w:val="001A552A"/>
    <w:rsid w:val="001B3097"/>
    <w:rsid w:val="001B738E"/>
    <w:rsid w:val="001B7A5D"/>
    <w:rsid w:val="001C69C4"/>
    <w:rsid w:val="001D4229"/>
    <w:rsid w:val="001D7F83"/>
    <w:rsid w:val="001E16D0"/>
    <w:rsid w:val="001E3590"/>
    <w:rsid w:val="001E562E"/>
    <w:rsid w:val="001E7407"/>
    <w:rsid w:val="001F6924"/>
    <w:rsid w:val="001F7504"/>
    <w:rsid w:val="00201D27"/>
    <w:rsid w:val="00203BB2"/>
    <w:rsid w:val="00206EFA"/>
    <w:rsid w:val="002070AD"/>
    <w:rsid w:val="0020770A"/>
    <w:rsid w:val="00207BCE"/>
    <w:rsid w:val="002115AE"/>
    <w:rsid w:val="00231427"/>
    <w:rsid w:val="00240749"/>
    <w:rsid w:val="002441EC"/>
    <w:rsid w:val="002612D2"/>
    <w:rsid w:val="00265FBC"/>
    <w:rsid w:val="00266D05"/>
    <w:rsid w:val="00275A47"/>
    <w:rsid w:val="00280073"/>
    <w:rsid w:val="00281D98"/>
    <w:rsid w:val="00292157"/>
    <w:rsid w:val="002932B1"/>
    <w:rsid w:val="00295408"/>
    <w:rsid w:val="00297ECB"/>
    <w:rsid w:val="002A0FFD"/>
    <w:rsid w:val="002B2731"/>
    <w:rsid w:val="002B5B89"/>
    <w:rsid w:val="002B7D96"/>
    <w:rsid w:val="002C4121"/>
    <w:rsid w:val="002D043A"/>
    <w:rsid w:val="002D2130"/>
    <w:rsid w:val="002F517B"/>
    <w:rsid w:val="00304E75"/>
    <w:rsid w:val="00305801"/>
    <w:rsid w:val="003072FA"/>
    <w:rsid w:val="0031713F"/>
    <w:rsid w:val="00323551"/>
    <w:rsid w:val="003415D3"/>
    <w:rsid w:val="00352B0F"/>
    <w:rsid w:val="00354A2E"/>
    <w:rsid w:val="00361B83"/>
    <w:rsid w:val="00361BD9"/>
    <w:rsid w:val="00363549"/>
    <w:rsid w:val="0037300D"/>
    <w:rsid w:val="003801D0"/>
    <w:rsid w:val="00383DF8"/>
    <w:rsid w:val="0039228E"/>
    <w:rsid w:val="003926B5"/>
    <w:rsid w:val="00395EBF"/>
    <w:rsid w:val="00396190"/>
    <w:rsid w:val="003B04EC"/>
    <w:rsid w:val="003B44A9"/>
    <w:rsid w:val="003C5F2B"/>
    <w:rsid w:val="003D04C4"/>
    <w:rsid w:val="003D0BFE"/>
    <w:rsid w:val="003D5700"/>
    <w:rsid w:val="003D607A"/>
    <w:rsid w:val="003E5FF5"/>
    <w:rsid w:val="003E6D9E"/>
    <w:rsid w:val="003F4CA9"/>
    <w:rsid w:val="003F567B"/>
    <w:rsid w:val="004010E7"/>
    <w:rsid w:val="00401403"/>
    <w:rsid w:val="0041057C"/>
    <w:rsid w:val="004116CD"/>
    <w:rsid w:val="00412B83"/>
    <w:rsid w:val="00412C80"/>
    <w:rsid w:val="004142F4"/>
    <w:rsid w:val="004230B4"/>
    <w:rsid w:val="00424CA9"/>
    <w:rsid w:val="00433910"/>
    <w:rsid w:val="0044291A"/>
    <w:rsid w:val="004453E9"/>
    <w:rsid w:val="004541B9"/>
    <w:rsid w:val="00456A57"/>
    <w:rsid w:val="004573D1"/>
    <w:rsid w:val="00460499"/>
    <w:rsid w:val="00466502"/>
    <w:rsid w:val="004768CB"/>
    <w:rsid w:val="00480FB9"/>
    <w:rsid w:val="0048364F"/>
    <w:rsid w:val="00486382"/>
    <w:rsid w:val="004908A5"/>
    <w:rsid w:val="0049341C"/>
    <w:rsid w:val="00496F97"/>
    <w:rsid w:val="004A2484"/>
    <w:rsid w:val="004A49C5"/>
    <w:rsid w:val="004C0255"/>
    <w:rsid w:val="004C5B5A"/>
    <w:rsid w:val="004C5F43"/>
    <w:rsid w:val="004C6444"/>
    <w:rsid w:val="004C6DE1"/>
    <w:rsid w:val="004D1289"/>
    <w:rsid w:val="004E254A"/>
    <w:rsid w:val="004F1FAC"/>
    <w:rsid w:val="004F2D70"/>
    <w:rsid w:val="004F3A90"/>
    <w:rsid w:val="004F676E"/>
    <w:rsid w:val="0050333E"/>
    <w:rsid w:val="00507A10"/>
    <w:rsid w:val="00516B8D"/>
    <w:rsid w:val="00516CBE"/>
    <w:rsid w:val="0052298F"/>
    <w:rsid w:val="00527A56"/>
    <w:rsid w:val="00532BCA"/>
    <w:rsid w:val="00537FBC"/>
    <w:rsid w:val="00543469"/>
    <w:rsid w:val="00554512"/>
    <w:rsid w:val="00557C7A"/>
    <w:rsid w:val="0056414B"/>
    <w:rsid w:val="0057073A"/>
    <w:rsid w:val="00576526"/>
    <w:rsid w:val="00584811"/>
    <w:rsid w:val="005851A5"/>
    <w:rsid w:val="0058646E"/>
    <w:rsid w:val="0058665B"/>
    <w:rsid w:val="00591E07"/>
    <w:rsid w:val="00593AA6"/>
    <w:rsid w:val="00594161"/>
    <w:rsid w:val="00594749"/>
    <w:rsid w:val="005B4067"/>
    <w:rsid w:val="005C0128"/>
    <w:rsid w:val="005C12DE"/>
    <w:rsid w:val="005C3F41"/>
    <w:rsid w:val="005C6773"/>
    <w:rsid w:val="005D00FA"/>
    <w:rsid w:val="005D16D2"/>
    <w:rsid w:val="005E552A"/>
    <w:rsid w:val="00600219"/>
    <w:rsid w:val="006054B7"/>
    <w:rsid w:val="006249E6"/>
    <w:rsid w:val="006250F3"/>
    <w:rsid w:val="006275CE"/>
    <w:rsid w:val="00627FD6"/>
    <w:rsid w:val="00630733"/>
    <w:rsid w:val="0064468A"/>
    <w:rsid w:val="00654CCA"/>
    <w:rsid w:val="00656DE9"/>
    <w:rsid w:val="00663BDD"/>
    <w:rsid w:val="00677CC2"/>
    <w:rsid w:val="00680F17"/>
    <w:rsid w:val="00683C24"/>
    <w:rsid w:val="00685F42"/>
    <w:rsid w:val="00690BAC"/>
    <w:rsid w:val="0069207B"/>
    <w:rsid w:val="006937E2"/>
    <w:rsid w:val="00695C5B"/>
    <w:rsid w:val="006977FB"/>
    <w:rsid w:val="006A7E9E"/>
    <w:rsid w:val="006B262A"/>
    <w:rsid w:val="006C2C12"/>
    <w:rsid w:val="006C3FFF"/>
    <w:rsid w:val="006C7F8C"/>
    <w:rsid w:val="006D3667"/>
    <w:rsid w:val="006D4E91"/>
    <w:rsid w:val="006E004B"/>
    <w:rsid w:val="006E7147"/>
    <w:rsid w:val="006F22E0"/>
    <w:rsid w:val="00700B2C"/>
    <w:rsid w:val="00701E6A"/>
    <w:rsid w:val="00705E0B"/>
    <w:rsid w:val="00712866"/>
    <w:rsid w:val="00713084"/>
    <w:rsid w:val="007214FA"/>
    <w:rsid w:val="00722023"/>
    <w:rsid w:val="00730228"/>
    <w:rsid w:val="00731E00"/>
    <w:rsid w:val="007440B7"/>
    <w:rsid w:val="00754C21"/>
    <w:rsid w:val="00760E9E"/>
    <w:rsid w:val="007634AD"/>
    <w:rsid w:val="007715C9"/>
    <w:rsid w:val="00774EDD"/>
    <w:rsid w:val="007757EC"/>
    <w:rsid w:val="007769D4"/>
    <w:rsid w:val="00780169"/>
    <w:rsid w:val="00785AFA"/>
    <w:rsid w:val="00786143"/>
    <w:rsid w:val="007903AC"/>
    <w:rsid w:val="00794206"/>
    <w:rsid w:val="007A7F9F"/>
    <w:rsid w:val="007B22C4"/>
    <w:rsid w:val="007C2AF9"/>
    <w:rsid w:val="007D29FE"/>
    <w:rsid w:val="007D6CC7"/>
    <w:rsid w:val="007E7D4A"/>
    <w:rsid w:val="007F60D6"/>
    <w:rsid w:val="00816FB0"/>
    <w:rsid w:val="00826DA5"/>
    <w:rsid w:val="00833416"/>
    <w:rsid w:val="00834594"/>
    <w:rsid w:val="00851776"/>
    <w:rsid w:val="00856A31"/>
    <w:rsid w:val="008624F0"/>
    <w:rsid w:val="00863C1B"/>
    <w:rsid w:val="008660BB"/>
    <w:rsid w:val="00870151"/>
    <w:rsid w:val="00874B69"/>
    <w:rsid w:val="008754D0"/>
    <w:rsid w:val="00877D48"/>
    <w:rsid w:val="008805D2"/>
    <w:rsid w:val="008808F7"/>
    <w:rsid w:val="00881F08"/>
    <w:rsid w:val="008854EE"/>
    <w:rsid w:val="008910A3"/>
    <w:rsid w:val="0089783B"/>
    <w:rsid w:val="008B5B75"/>
    <w:rsid w:val="008C4341"/>
    <w:rsid w:val="008C6115"/>
    <w:rsid w:val="008D0EE0"/>
    <w:rsid w:val="008F07E3"/>
    <w:rsid w:val="008F232E"/>
    <w:rsid w:val="008F4F1C"/>
    <w:rsid w:val="008F5ED0"/>
    <w:rsid w:val="00902765"/>
    <w:rsid w:val="00907271"/>
    <w:rsid w:val="0091440C"/>
    <w:rsid w:val="00921C23"/>
    <w:rsid w:val="00927FB9"/>
    <w:rsid w:val="00932377"/>
    <w:rsid w:val="00932A33"/>
    <w:rsid w:val="009423D3"/>
    <w:rsid w:val="00957826"/>
    <w:rsid w:val="009824B1"/>
    <w:rsid w:val="009848EC"/>
    <w:rsid w:val="00984BB9"/>
    <w:rsid w:val="00985523"/>
    <w:rsid w:val="009A1619"/>
    <w:rsid w:val="009A6EBE"/>
    <w:rsid w:val="009B3629"/>
    <w:rsid w:val="009C49D8"/>
    <w:rsid w:val="009C64C4"/>
    <w:rsid w:val="009E138B"/>
    <w:rsid w:val="009E3601"/>
    <w:rsid w:val="009E56F0"/>
    <w:rsid w:val="009F2EF1"/>
    <w:rsid w:val="009F727E"/>
    <w:rsid w:val="009F79F0"/>
    <w:rsid w:val="00A06381"/>
    <w:rsid w:val="00A1027A"/>
    <w:rsid w:val="00A15A31"/>
    <w:rsid w:val="00A15CCB"/>
    <w:rsid w:val="00A2057D"/>
    <w:rsid w:val="00A231E2"/>
    <w:rsid w:val="00A2550D"/>
    <w:rsid w:val="00A26DBE"/>
    <w:rsid w:val="00A326A4"/>
    <w:rsid w:val="00A4169B"/>
    <w:rsid w:val="00A4361F"/>
    <w:rsid w:val="00A5197F"/>
    <w:rsid w:val="00A535B1"/>
    <w:rsid w:val="00A64912"/>
    <w:rsid w:val="00A67E95"/>
    <w:rsid w:val="00A70A74"/>
    <w:rsid w:val="00A71C4E"/>
    <w:rsid w:val="00A72567"/>
    <w:rsid w:val="00A83A31"/>
    <w:rsid w:val="00A87AB9"/>
    <w:rsid w:val="00AB3315"/>
    <w:rsid w:val="00AB7B41"/>
    <w:rsid w:val="00AC06B3"/>
    <w:rsid w:val="00AD0ADA"/>
    <w:rsid w:val="00AD5641"/>
    <w:rsid w:val="00AE50A2"/>
    <w:rsid w:val="00AF0336"/>
    <w:rsid w:val="00AF487E"/>
    <w:rsid w:val="00AF6613"/>
    <w:rsid w:val="00B00902"/>
    <w:rsid w:val="00B032D8"/>
    <w:rsid w:val="00B304DF"/>
    <w:rsid w:val="00B3101A"/>
    <w:rsid w:val="00B3179B"/>
    <w:rsid w:val="00B332B8"/>
    <w:rsid w:val="00B33B3C"/>
    <w:rsid w:val="00B361DD"/>
    <w:rsid w:val="00B42902"/>
    <w:rsid w:val="00B612AE"/>
    <w:rsid w:val="00B61D2C"/>
    <w:rsid w:val="00B63BDE"/>
    <w:rsid w:val="00B73911"/>
    <w:rsid w:val="00BA5026"/>
    <w:rsid w:val="00BB6E79"/>
    <w:rsid w:val="00BC4F91"/>
    <w:rsid w:val="00BD60E6"/>
    <w:rsid w:val="00BE253A"/>
    <w:rsid w:val="00BE60C2"/>
    <w:rsid w:val="00BE719A"/>
    <w:rsid w:val="00BE720A"/>
    <w:rsid w:val="00BF4533"/>
    <w:rsid w:val="00BF63A7"/>
    <w:rsid w:val="00BF689C"/>
    <w:rsid w:val="00BF7AB5"/>
    <w:rsid w:val="00C067E5"/>
    <w:rsid w:val="00C115B1"/>
    <w:rsid w:val="00C142F1"/>
    <w:rsid w:val="00C164CA"/>
    <w:rsid w:val="00C21B63"/>
    <w:rsid w:val="00C260EE"/>
    <w:rsid w:val="00C31D1E"/>
    <w:rsid w:val="00C426C4"/>
    <w:rsid w:val="00C42BF8"/>
    <w:rsid w:val="00C460AE"/>
    <w:rsid w:val="00C50043"/>
    <w:rsid w:val="00C7573B"/>
    <w:rsid w:val="00C76CF3"/>
    <w:rsid w:val="00C77E30"/>
    <w:rsid w:val="00C912B3"/>
    <w:rsid w:val="00C930D0"/>
    <w:rsid w:val="00CA6351"/>
    <w:rsid w:val="00CA66FD"/>
    <w:rsid w:val="00CB0180"/>
    <w:rsid w:val="00CB3470"/>
    <w:rsid w:val="00CB4097"/>
    <w:rsid w:val="00CC7F2A"/>
    <w:rsid w:val="00CD1920"/>
    <w:rsid w:val="00CD1A35"/>
    <w:rsid w:val="00CD606E"/>
    <w:rsid w:val="00CD7ECB"/>
    <w:rsid w:val="00CF0632"/>
    <w:rsid w:val="00CF0BB2"/>
    <w:rsid w:val="00CF74FB"/>
    <w:rsid w:val="00D0104A"/>
    <w:rsid w:val="00D01595"/>
    <w:rsid w:val="00D124B2"/>
    <w:rsid w:val="00D13441"/>
    <w:rsid w:val="00D17B17"/>
    <w:rsid w:val="00D2209B"/>
    <w:rsid w:val="00D243A3"/>
    <w:rsid w:val="00D333D9"/>
    <w:rsid w:val="00D33440"/>
    <w:rsid w:val="00D37BED"/>
    <w:rsid w:val="00D40403"/>
    <w:rsid w:val="00D43C2D"/>
    <w:rsid w:val="00D52EFE"/>
    <w:rsid w:val="00D63EF6"/>
    <w:rsid w:val="00D70DFB"/>
    <w:rsid w:val="00D766DF"/>
    <w:rsid w:val="00D76D99"/>
    <w:rsid w:val="00D8396C"/>
    <w:rsid w:val="00D83D21"/>
    <w:rsid w:val="00D84B58"/>
    <w:rsid w:val="00D9102D"/>
    <w:rsid w:val="00D925D1"/>
    <w:rsid w:val="00DA0524"/>
    <w:rsid w:val="00DA26A7"/>
    <w:rsid w:val="00DA325E"/>
    <w:rsid w:val="00DA70E8"/>
    <w:rsid w:val="00DD49BB"/>
    <w:rsid w:val="00DE3BA2"/>
    <w:rsid w:val="00DE4CAB"/>
    <w:rsid w:val="00E05704"/>
    <w:rsid w:val="00E05C46"/>
    <w:rsid w:val="00E20B15"/>
    <w:rsid w:val="00E20B66"/>
    <w:rsid w:val="00E22DEF"/>
    <w:rsid w:val="00E30206"/>
    <w:rsid w:val="00E33C1C"/>
    <w:rsid w:val="00E34ED2"/>
    <w:rsid w:val="00E443FC"/>
    <w:rsid w:val="00E45FE7"/>
    <w:rsid w:val="00E4750E"/>
    <w:rsid w:val="00E476B8"/>
    <w:rsid w:val="00E506A4"/>
    <w:rsid w:val="00E54292"/>
    <w:rsid w:val="00E55BCD"/>
    <w:rsid w:val="00E73EC4"/>
    <w:rsid w:val="00E74DC7"/>
    <w:rsid w:val="00E76FAB"/>
    <w:rsid w:val="00E80432"/>
    <w:rsid w:val="00E83E2E"/>
    <w:rsid w:val="00E84B32"/>
    <w:rsid w:val="00E87699"/>
    <w:rsid w:val="00ED3A7D"/>
    <w:rsid w:val="00EE5411"/>
    <w:rsid w:val="00EF2E3A"/>
    <w:rsid w:val="00EF7A95"/>
    <w:rsid w:val="00F009F7"/>
    <w:rsid w:val="00F047E2"/>
    <w:rsid w:val="00F078DC"/>
    <w:rsid w:val="00F1259F"/>
    <w:rsid w:val="00F13E86"/>
    <w:rsid w:val="00F243E1"/>
    <w:rsid w:val="00F24C35"/>
    <w:rsid w:val="00F42DC8"/>
    <w:rsid w:val="00F56039"/>
    <w:rsid w:val="00F56759"/>
    <w:rsid w:val="00F619C8"/>
    <w:rsid w:val="00F677A9"/>
    <w:rsid w:val="00F84CF5"/>
    <w:rsid w:val="00FA420B"/>
    <w:rsid w:val="00FB03B3"/>
    <w:rsid w:val="00FB192C"/>
    <w:rsid w:val="00FB6C56"/>
    <w:rsid w:val="00FB745C"/>
    <w:rsid w:val="00FD6659"/>
    <w:rsid w:val="00FD7CFE"/>
    <w:rsid w:val="00FE7ED9"/>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22C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422C2"/>
  </w:style>
  <w:style w:type="paragraph" w:customStyle="1" w:styleId="OPCParaBase">
    <w:name w:val="OPCParaBase"/>
    <w:qFormat/>
    <w:rsid w:val="000422C2"/>
    <w:pPr>
      <w:spacing w:line="260" w:lineRule="atLeast"/>
    </w:pPr>
    <w:rPr>
      <w:rFonts w:eastAsia="Times New Roman" w:cs="Times New Roman"/>
      <w:sz w:val="22"/>
      <w:lang w:eastAsia="en-AU"/>
    </w:rPr>
  </w:style>
  <w:style w:type="paragraph" w:customStyle="1" w:styleId="ShortT">
    <w:name w:val="ShortT"/>
    <w:basedOn w:val="OPCParaBase"/>
    <w:next w:val="Normal"/>
    <w:qFormat/>
    <w:rsid w:val="000422C2"/>
    <w:pPr>
      <w:spacing w:line="240" w:lineRule="auto"/>
    </w:pPr>
    <w:rPr>
      <w:b/>
      <w:sz w:val="40"/>
    </w:rPr>
  </w:style>
  <w:style w:type="paragraph" w:customStyle="1" w:styleId="ActHead1">
    <w:name w:val="ActHead 1"/>
    <w:aliases w:val="c"/>
    <w:basedOn w:val="OPCParaBase"/>
    <w:next w:val="Normal"/>
    <w:qFormat/>
    <w:rsid w:val="000422C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422C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422C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422C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422C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422C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22C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22C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422C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422C2"/>
  </w:style>
  <w:style w:type="paragraph" w:customStyle="1" w:styleId="Blocks">
    <w:name w:val="Blocks"/>
    <w:aliases w:val="bb"/>
    <w:basedOn w:val="OPCParaBase"/>
    <w:qFormat/>
    <w:rsid w:val="000422C2"/>
    <w:pPr>
      <w:spacing w:line="240" w:lineRule="auto"/>
    </w:pPr>
    <w:rPr>
      <w:sz w:val="24"/>
    </w:rPr>
  </w:style>
  <w:style w:type="paragraph" w:customStyle="1" w:styleId="BoxText">
    <w:name w:val="BoxText"/>
    <w:aliases w:val="bt"/>
    <w:basedOn w:val="OPCParaBase"/>
    <w:qFormat/>
    <w:rsid w:val="000422C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22C2"/>
    <w:rPr>
      <w:b/>
    </w:rPr>
  </w:style>
  <w:style w:type="paragraph" w:customStyle="1" w:styleId="BoxHeadItalic">
    <w:name w:val="BoxHeadItalic"/>
    <w:aliases w:val="bhi"/>
    <w:basedOn w:val="BoxText"/>
    <w:next w:val="BoxStep"/>
    <w:qFormat/>
    <w:rsid w:val="000422C2"/>
    <w:rPr>
      <w:i/>
    </w:rPr>
  </w:style>
  <w:style w:type="paragraph" w:customStyle="1" w:styleId="BoxList">
    <w:name w:val="BoxList"/>
    <w:aliases w:val="bl"/>
    <w:basedOn w:val="BoxText"/>
    <w:qFormat/>
    <w:rsid w:val="000422C2"/>
    <w:pPr>
      <w:ind w:left="1559" w:hanging="425"/>
    </w:pPr>
  </w:style>
  <w:style w:type="paragraph" w:customStyle="1" w:styleId="BoxNote">
    <w:name w:val="BoxNote"/>
    <w:aliases w:val="bn"/>
    <w:basedOn w:val="BoxText"/>
    <w:qFormat/>
    <w:rsid w:val="000422C2"/>
    <w:pPr>
      <w:tabs>
        <w:tab w:val="left" w:pos="1985"/>
      </w:tabs>
      <w:spacing w:before="122" w:line="198" w:lineRule="exact"/>
      <w:ind w:left="2948" w:hanging="1814"/>
    </w:pPr>
    <w:rPr>
      <w:sz w:val="18"/>
    </w:rPr>
  </w:style>
  <w:style w:type="paragraph" w:customStyle="1" w:styleId="BoxPara">
    <w:name w:val="BoxPara"/>
    <w:aliases w:val="bp"/>
    <w:basedOn w:val="BoxText"/>
    <w:qFormat/>
    <w:rsid w:val="000422C2"/>
    <w:pPr>
      <w:tabs>
        <w:tab w:val="right" w:pos="2268"/>
      </w:tabs>
      <w:ind w:left="2552" w:hanging="1418"/>
    </w:pPr>
  </w:style>
  <w:style w:type="paragraph" w:customStyle="1" w:styleId="BoxStep">
    <w:name w:val="BoxStep"/>
    <w:aliases w:val="bs"/>
    <w:basedOn w:val="BoxText"/>
    <w:qFormat/>
    <w:rsid w:val="000422C2"/>
    <w:pPr>
      <w:ind w:left="1985" w:hanging="851"/>
    </w:pPr>
  </w:style>
  <w:style w:type="character" w:customStyle="1" w:styleId="CharAmPartNo">
    <w:name w:val="CharAmPartNo"/>
    <w:basedOn w:val="OPCCharBase"/>
    <w:qFormat/>
    <w:rsid w:val="000422C2"/>
  </w:style>
  <w:style w:type="character" w:customStyle="1" w:styleId="CharAmPartText">
    <w:name w:val="CharAmPartText"/>
    <w:basedOn w:val="OPCCharBase"/>
    <w:qFormat/>
    <w:rsid w:val="000422C2"/>
  </w:style>
  <w:style w:type="character" w:customStyle="1" w:styleId="CharAmSchNo">
    <w:name w:val="CharAmSchNo"/>
    <w:basedOn w:val="OPCCharBase"/>
    <w:qFormat/>
    <w:rsid w:val="000422C2"/>
  </w:style>
  <w:style w:type="character" w:customStyle="1" w:styleId="CharAmSchText">
    <w:name w:val="CharAmSchText"/>
    <w:basedOn w:val="OPCCharBase"/>
    <w:qFormat/>
    <w:rsid w:val="000422C2"/>
  </w:style>
  <w:style w:type="character" w:customStyle="1" w:styleId="CharBoldItalic">
    <w:name w:val="CharBoldItalic"/>
    <w:basedOn w:val="OPCCharBase"/>
    <w:uiPriority w:val="1"/>
    <w:qFormat/>
    <w:rsid w:val="000422C2"/>
    <w:rPr>
      <w:b/>
      <w:i/>
    </w:rPr>
  </w:style>
  <w:style w:type="character" w:customStyle="1" w:styleId="CharChapNo">
    <w:name w:val="CharChapNo"/>
    <w:basedOn w:val="OPCCharBase"/>
    <w:uiPriority w:val="1"/>
    <w:qFormat/>
    <w:rsid w:val="000422C2"/>
  </w:style>
  <w:style w:type="character" w:customStyle="1" w:styleId="CharChapText">
    <w:name w:val="CharChapText"/>
    <w:basedOn w:val="OPCCharBase"/>
    <w:uiPriority w:val="1"/>
    <w:qFormat/>
    <w:rsid w:val="000422C2"/>
  </w:style>
  <w:style w:type="character" w:customStyle="1" w:styleId="CharDivNo">
    <w:name w:val="CharDivNo"/>
    <w:basedOn w:val="OPCCharBase"/>
    <w:uiPriority w:val="1"/>
    <w:qFormat/>
    <w:rsid w:val="000422C2"/>
  </w:style>
  <w:style w:type="character" w:customStyle="1" w:styleId="CharDivText">
    <w:name w:val="CharDivText"/>
    <w:basedOn w:val="OPCCharBase"/>
    <w:uiPriority w:val="1"/>
    <w:qFormat/>
    <w:rsid w:val="000422C2"/>
  </w:style>
  <w:style w:type="character" w:customStyle="1" w:styleId="CharItalic">
    <w:name w:val="CharItalic"/>
    <w:basedOn w:val="OPCCharBase"/>
    <w:uiPriority w:val="1"/>
    <w:qFormat/>
    <w:rsid w:val="000422C2"/>
    <w:rPr>
      <w:i/>
    </w:rPr>
  </w:style>
  <w:style w:type="character" w:customStyle="1" w:styleId="CharPartNo">
    <w:name w:val="CharPartNo"/>
    <w:basedOn w:val="OPCCharBase"/>
    <w:uiPriority w:val="1"/>
    <w:qFormat/>
    <w:rsid w:val="000422C2"/>
  </w:style>
  <w:style w:type="character" w:customStyle="1" w:styleId="CharPartText">
    <w:name w:val="CharPartText"/>
    <w:basedOn w:val="OPCCharBase"/>
    <w:uiPriority w:val="1"/>
    <w:qFormat/>
    <w:rsid w:val="000422C2"/>
  </w:style>
  <w:style w:type="character" w:customStyle="1" w:styleId="CharSectno">
    <w:name w:val="CharSectno"/>
    <w:basedOn w:val="OPCCharBase"/>
    <w:qFormat/>
    <w:rsid w:val="000422C2"/>
  </w:style>
  <w:style w:type="character" w:customStyle="1" w:styleId="CharSubdNo">
    <w:name w:val="CharSubdNo"/>
    <w:basedOn w:val="OPCCharBase"/>
    <w:uiPriority w:val="1"/>
    <w:qFormat/>
    <w:rsid w:val="000422C2"/>
  </w:style>
  <w:style w:type="character" w:customStyle="1" w:styleId="CharSubdText">
    <w:name w:val="CharSubdText"/>
    <w:basedOn w:val="OPCCharBase"/>
    <w:uiPriority w:val="1"/>
    <w:qFormat/>
    <w:rsid w:val="000422C2"/>
  </w:style>
  <w:style w:type="paragraph" w:customStyle="1" w:styleId="CTA--">
    <w:name w:val="CTA --"/>
    <w:basedOn w:val="OPCParaBase"/>
    <w:next w:val="Normal"/>
    <w:rsid w:val="000422C2"/>
    <w:pPr>
      <w:spacing w:before="60" w:line="240" w:lineRule="atLeast"/>
      <w:ind w:left="142" w:hanging="142"/>
    </w:pPr>
    <w:rPr>
      <w:sz w:val="20"/>
    </w:rPr>
  </w:style>
  <w:style w:type="paragraph" w:customStyle="1" w:styleId="CTA-">
    <w:name w:val="CTA -"/>
    <w:basedOn w:val="OPCParaBase"/>
    <w:rsid w:val="000422C2"/>
    <w:pPr>
      <w:spacing w:before="60" w:line="240" w:lineRule="atLeast"/>
      <w:ind w:left="85" w:hanging="85"/>
    </w:pPr>
    <w:rPr>
      <w:sz w:val="20"/>
    </w:rPr>
  </w:style>
  <w:style w:type="paragraph" w:customStyle="1" w:styleId="CTA---">
    <w:name w:val="CTA ---"/>
    <w:basedOn w:val="OPCParaBase"/>
    <w:next w:val="Normal"/>
    <w:rsid w:val="000422C2"/>
    <w:pPr>
      <w:spacing w:before="60" w:line="240" w:lineRule="atLeast"/>
      <w:ind w:left="198" w:hanging="198"/>
    </w:pPr>
    <w:rPr>
      <w:sz w:val="20"/>
    </w:rPr>
  </w:style>
  <w:style w:type="paragraph" w:customStyle="1" w:styleId="CTA----">
    <w:name w:val="CTA ----"/>
    <w:basedOn w:val="OPCParaBase"/>
    <w:next w:val="Normal"/>
    <w:rsid w:val="000422C2"/>
    <w:pPr>
      <w:spacing w:before="60" w:line="240" w:lineRule="atLeast"/>
      <w:ind w:left="255" w:hanging="255"/>
    </w:pPr>
    <w:rPr>
      <w:sz w:val="20"/>
    </w:rPr>
  </w:style>
  <w:style w:type="paragraph" w:customStyle="1" w:styleId="CTA1a">
    <w:name w:val="CTA 1(a)"/>
    <w:basedOn w:val="OPCParaBase"/>
    <w:rsid w:val="000422C2"/>
    <w:pPr>
      <w:tabs>
        <w:tab w:val="right" w:pos="414"/>
      </w:tabs>
      <w:spacing w:before="40" w:line="240" w:lineRule="atLeast"/>
      <w:ind w:left="675" w:hanging="675"/>
    </w:pPr>
    <w:rPr>
      <w:sz w:val="20"/>
    </w:rPr>
  </w:style>
  <w:style w:type="paragraph" w:customStyle="1" w:styleId="CTA1ai">
    <w:name w:val="CTA 1(a)(i)"/>
    <w:basedOn w:val="OPCParaBase"/>
    <w:rsid w:val="000422C2"/>
    <w:pPr>
      <w:tabs>
        <w:tab w:val="right" w:pos="1004"/>
      </w:tabs>
      <w:spacing w:before="40" w:line="240" w:lineRule="atLeast"/>
      <w:ind w:left="1253" w:hanging="1253"/>
    </w:pPr>
    <w:rPr>
      <w:sz w:val="20"/>
    </w:rPr>
  </w:style>
  <w:style w:type="paragraph" w:customStyle="1" w:styleId="CTA2a">
    <w:name w:val="CTA 2(a)"/>
    <w:basedOn w:val="OPCParaBase"/>
    <w:rsid w:val="000422C2"/>
    <w:pPr>
      <w:tabs>
        <w:tab w:val="right" w:pos="482"/>
      </w:tabs>
      <w:spacing w:before="40" w:line="240" w:lineRule="atLeast"/>
      <w:ind w:left="748" w:hanging="748"/>
    </w:pPr>
    <w:rPr>
      <w:sz w:val="20"/>
    </w:rPr>
  </w:style>
  <w:style w:type="paragraph" w:customStyle="1" w:styleId="CTA2ai">
    <w:name w:val="CTA 2(a)(i)"/>
    <w:basedOn w:val="OPCParaBase"/>
    <w:rsid w:val="000422C2"/>
    <w:pPr>
      <w:tabs>
        <w:tab w:val="right" w:pos="1089"/>
      </w:tabs>
      <w:spacing w:before="40" w:line="240" w:lineRule="atLeast"/>
      <w:ind w:left="1327" w:hanging="1327"/>
    </w:pPr>
    <w:rPr>
      <w:sz w:val="20"/>
    </w:rPr>
  </w:style>
  <w:style w:type="paragraph" w:customStyle="1" w:styleId="CTA3a">
    <w:name w:val="CTA 3(a)"/>
    <w:basedOn w:val="OPCParaBase"/>
    <w:rsid w:val="000422C2"/>
    <w:pPr>
      <w:tabs>
        <w:tab w:val="right" w:pos="556"/>
      </w:tabs>
      <w:spacing w:before="40" w:line="240" w:lineRule="atLeast"/>
      <w:ind w:left="805" w:hanging="805"/>
    </w:pPr>
    <w:rPr>
      <w:sz w:val="20"/>
    </w:rPr>
  </w:style>
  <w:style w:type="paragraph" w:customStyle="1" w:styleId="CTA3ai">
    <w:name w:val="CTA 3(a)(i)"/>
    <w:basedOn w:val="OPCParaBase"/>
    <w:rsid w:val="000422C2"/>
    <w:pPr>
      <w:tabs>
        <w:tab w:val="right" w:pos="1140"/>
      </w:tabs>
      <w:spacing w:before="40" w:line="240" w:lineRule="atLeast"/>
      <w:ind w:left="1361" w:hanging="1361"/>
    </w:pPr>
    <w:rPr>
      <w:sz w:val="20"/>
    </w:rPr>
  </w:style>
  <w:style w:type="paragraph" w:customStyle="1" w:styleId="CTA4a">
    <w:name w:val="CTA 4(a)"/>
    <w:basedOn w:val="OPCParaBase"/>
    <w:rsid w:val="000422C2"/>
    <w:pPr>
      <w:tabs>
        <w:tab w:val="right" w:pos="624"/>
      </w:tabs>
      <w:spacing w:before="40" w:line="240" w:lineRule="atLeast"/>
      <w:ind w:left="873" w:hanging="873"/>
    </w:pPr>
    <w:rPr>
      <w:sz w:val="20"/>
    </w:rPr>
  </w:style>
  <w:style w:type="paragraph" w:customStyle="1" w:styleId="CTA4ai">
    <w:name w:val="CTA 4(a)(i)"/>
    <w:basedOn w:val="OPCParaBase"/>
    <w:rsid w:val="000422C2"/>
    <w:pPr>
      <w:tabs>
        <w:tab w:val="right" w:pos="1213"/>
      </w:tabs>
      <w:spacing w:before="40" w:line="240" w:lineRule="atLeast"/>
      <w:ind w:left="1452" w:hanging="1452"/>
    </w:pPr>
    <w:rPr>
      <w:sz w:val="20"/>
    </w:rPr>
  </w:style>
  <w:style w:type="paragraph" w:customStyle="1" w:styleId="CTACAPS">
    <w:name w:val="CTA CAPS"/>
    <w:basedOn w:val="OPCParaBase"/>
    <w:rsid w:val="000422C2"/>
    <w:pPr>
      <w:spacing w:before="60" w:line="240" w:lineRule="atLeast"/>
    </w:pPr>
    <w:rPr>
      <w:sz w:val="20"/>
    </w:rPr>
  </w:style>
  <w:style w:type="paragraph" w:customStyle="1" w:styleId="CTAright">
    <w:name w:val="CTA right"/>
    <w:basedOn w:val="OPCParaBase"/>
    <w:rsid w:val="000422C2"/>
    <w:pPr>
      <w:spacing w:before="60" w:line="240" w:lineRule="auto"/>
      <w:jc w:val="right"/>
    </w:pPr>
    <w:rPr>
      <w:sz w:val="20"/>
    </w:rPr>
  </w:style>
  <w:style w:type="paragraph" w:customStyle="1" w:styleId="subsection">
    <w:name w:val="subsection"/>
    <w:aliases w:val="ss"/>
    <w:basedOn w:val="OPCParaBase"/>
    <w:rsid w:val="000422C2"/>
    <w:pPr>
      <w:tabs>
        <w:tab w:val="right" w:pos="1021"/>
      </w:tabs>
      <w:spacing w:before="180" w:line="240" w:lineRule="auto"/>
      <w:ind w:left="1134" w:hanging="1134"/>
    </w:pPr>
  </w:style>
  <w:style w:type="paragraph" w:customStyle="1" w:styleId="Definition">
    <w:name w:val="Definition"/>
    <w:aliases w:val="dd"/>
    <w:basedOn w:val="OPCParaBase"/>
    <w:rsid w:val="000422C2"/>
    <w:pPr>
      <w:spacing w:before="180" w:line="240" w:lineRule="auto"/>
      <w:ind w:left="1134"/>
    </w:pPr>
  </w:style>
  <w:style w:type="paragraph" w:customStyle="1" w:styleId="ETAsubitem">
    <w:name w:val="ETA(subitem)"/>
    <w:basedOn w:val="OPCParaBase"/>
    <w:rsid w:val="000422C2"/>
    <w:pPr>
      <w:tabs>
        <w:tab w:val="right" w:pos="340"/>
      </w:tabs>
      <w:spacing w:before="60" w:line="240" w:lineRule="auto"/>
      <w:ind w:left="454" w:hanging="454"/>
    </w:pPr>
    <w:rPr>
      <w:sz w:val="20"/>
    </w:rPr>
  </w:style>
  <w:style w:type="paragraph" w:customStyle="1" w:styleId="ETApara">
    <w:name w:val="ETA(para)"/>
    <w:basedOn w:val="OPCParaBase"/>
    <w:rsid w:val="000422C2"/>
    <w:pPr>
      <w:tabs>
        <w:tab w:val="right" w:pos="754"/>
      </w:tabs>
      <w:spacing w:before="60" w:line="240" w:lineRule="auto"/>
      <w:ind w:left="828" w:hanging="828"/>
    </w:pPr>
    <w:rPr>
      <w:sz w:val="20"/>
    </w:rPr>
  </w:style>
  <w:style w:type="paragraph" w:customStyle="1" w:styleId="ETAsubpara">
    <w:name w:val="ETA(subpara)"/>
    <w:basedOn w:val="OPCParaBase"/>
    <w:rsid w:val="000422C2"/>
    <w:pPr>
      <w:tabs>
        <w:tab w:val="right" w:pos="1083"/>
      </w:tabs>
      <w:spacing w:before="60" w:line="240" w:lineRule="auto"/>
      <w:ind w:left="1191" w:hanging="1191"/>
    </w:pPr>
    <w:rPr>
      <w:sz w:val="20"/>
    </w:rPr>
  </w:style>
  <w:style w:type="paragraph" w:customStyle="1" w:styleId="ETAsub-subpara">
    <w:name w:val="ETA(sub-subpara)"/>
    <w:basedOn w:val="OPCParaBase"/>
    <w:rsid w:val="000422C2"/>
    <w:pPr>
      <w:tabs>
        <w:tab w:val="right" w:pos="1412"/>
      </w:tabs>
      <w:spacing w:before="60" w:line="240" w:lineRule="auto"/>
      <w:ind w:left="1525" w:hanging="1525"/>
    </w:pPr>
    <w:rPr>
      <w:sz w:val="20"/>
    </w:rPr>
  </w:style>
  <w:style w:type="paragraph" w:customStyle="1" w:styleId="Formula">
    <w:name w:val="Formula"/>
    <w:basedOn w:val="OPCParaBase"/>
    <w:rsid w:val="000422C2"/>
    <w:pPr>
      <w:spacing w:line="240" w:lineRule="auto"/>
      <w:ind w:left="1134"/>
    </w:pPr>
    <w:rPr>
      <w:sz w:val="20"/>
    </w:rPr>
  </w:style>
  <w:style w:type="paragraph" w:styleId="Header">
    <w:name w:val="header"/>
    <w:basedOn w:val="OPCParaBase"/>
    <w:link w:val="HeaderChar"/>
    <w:unhideWhenUsed/>
    <w:rsid w:val="000422C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422C2"/>
    <w:rPr>
      <w:rFonts w:eastAsia="Times New Roman" w:cs="Times New Roman"/>
      <w:sz w:val="16"/>
      <w:lang w:eastAsia="en-AU"/>
    </w:rPr>
  </w:style>
  <w:style w:type="paragraph" w:customStyle="1" w:styleId="House">
    <w:name w:val="House"/>
    <w:basedOn w:val="OPCParaBase"/>
    <w:rsid w:val="000422C2"/>
    <w:pPr>
      <w:spacing w:line="240" w:lineRule="auto"/>
    </w:pPr>
    <w:rPr>
      <w:sz w:val="28"/>
    </w:rPr>
  </w:style>
  <w:style w:type="paragraph" w:customStyle="1" w:styleId="Item">
    <w:name w:val="Item"/>
    <w:aliases w:val="i"/>
    <w:basedOn w:val="OPCParaBase"/>
    <w:next w:val="ItemHead"/>
    <w:rsid w:val="000422C2"/>
    <w:pPr>
      <w:keepLines/>
      <w:spacing w:before="80" w:line="240" w:lineRule="auto"/>
      <w:ind w:left="709"/>
    </w:pPr>
  </w:style>
  <w:style w:type="paragraph" w:customStyle="1" w:styleId="ItemHead">
    <w:name w:val="ItemHead"/>
    <w:aliases w:val="ih"/>
    <w:basedOn w:val="OPCParaBase"/>
    <w:next w:val="Item"/>
    <w:rsid w:val="000422C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422C2"/>
    <w:pPr>
      <w:spacing w:line="240" w:lineRule="auto"/>
    </w:pPr>
    <w:rPr>
      <w:b/>
      <w:sz w:val="32"/>
    </w:rPr>
  </w:style>
  <w:style w:type="paragraph" w:customStyle="1" w:styleId="notedraft">
    <w:name w:val="note(draft)"/>
    <w:aliases w:val="nd"/>
    <w:basedOn w:val="OPCParaBase"/>
    <w:rsid w:val="000422C2"/>
    <w:pPr>
      <w:spacing w:before="240" w:line="240" w:lineRule="auto"/>
      <w:ind w:left="284" w:hanging="284"/>
    </w:pPr>
    <w:rPr>
      <w:i/>
      <w:sz w:val="24"/>
    </w:rPr>
  </w:style>
  <w:style w:type="paragraph" w:customStyle="1" w:styleId="notemargin">
    <w:name w:val="note(margin)"/>
    <w:aliases w:val="nm"/>
    <w:basedOn w:val="OPCParaBase"/>
    <w:rsid w:val="000422C2"/>
    <w:pPr>
      <w:tabs>
        <w:tab w:val="left" w:pos="709"/>
      </w:tabs>
      <w:spacing w:before="122" w:line="198" w:lineRule="exact"/>
      <w:ind w:left="709" w:hanging="709"/>
    </w:pPr>
    <w:rPr>
      <w:sz w:val="18"/>
    </w:rPr>
  </w:style>
  <w:style w:type="paragraph" w:customStyle="1" w:styleId="noteToPara">
    <w:name w:val="noteToPara"/>
    <w:aliases w:val="ntp"/>
    <w:basedOn w:val="OPCParaBase"/>
    <w:rsid w:val="000422C2"/>
    <w:pPr>
      <w:spacing w:before="122" w:line="198" w:lineRule="exact"/>
      <w:ind w:left="2353" w:hanging="709"/>
    </w:pPr>
    <w:rPr>
      <w:sz w:val="18"/>
    </w:rPr>
  </w:style>
  <w:style w:type="paragraph" w:customStyle="1" w:styleId="noteParlAmend">
    <w:name w:val="note(ParlAmend)"/>
    <w:aliases w:val="npp"/>
    <w:basedOn w:val="OPCParaBase"/>
    <w:next w:val="ParlAmend"/>
    <w:rsid w:val="000422C2"/>
    <w:pPr>
      <w:spacing w:line="240" w:lineRule="auto"/>
      <w:jc w:val="right"/>
    </w:pPr>
    <w:rPr>
      <w:rFonts w:ascii="Arial" w:hAnsi="Arial"/>
      <w:b/>
      <w:i/>
    </w:rPr>
  </w:style>
  <w:style w:type="paragraph" w:customStyle="1" w:styleId="Page1">
    <w:name w:val="Page1"/>
    <w:basedOn w:val="OPCParaBase"/>
    <w:rsid w:val="000422C2"/>
    <w:pPr>
      <w:spacing w:before="5600" w:line="240" w:lineRule="auto"/>
    </w:pPr>
    <w:rPr>
      <w:b/>
      <w:sz w:val="32"/>
    </w:rPr>
  </w:style>
  <w:style w:type="paragraph" w:customStyle="1" w:styleId="PageBreak">
    <w:name w:val="PageBreak"/>
    <w:aliases w:val="pb"/>
    <w:basedOn w:val="OPCParaBase"/>
    <w:rsid w:val="000422C2"/>
    <w:pPr>
      <w:spacing w:line="240" w:lineRule="auto"/>
    </w:pPr>
    <w:rPr>
      <w:sz w:val="20"/>
    </w:rPr>
  </w:style>
  <w:style w:type="paragraph" w:customStyle="1" w:styleId="paragraphsub">
    <w:name w:val="paragraph(sub)"/>
    <w:aliases w:val="aa"/>
    <w:basedOn w:val="OPCParaBase"/>
    <w:rsid w:val="000422C2"/>
    <w:pPr>
      <w:tabs>
        <w:tab w:val="right" w:pos="1985"/>
      </w:tabs>
      <w:spacing w:before="40" w:line="240" w:lineRule="auto"/>
      <w:ind w:left="2098" w:hanging="2098"/>
    </w:pPr>
  </w:style>
  <w:style w:type="paragraph" w:customStyle="1" w:styleId="paragraphsub-sub">
    <w:name w:val="paragraph(sub-sub)"/>
    <w:aliases w:val="aaa"/>
    <w:basedOn w:val="OPCParaBase"/>
    <w:rsid w:val="000422C2"/>
    <w:pPr>
      <w:tabs>
        <w:tab w:val="right" w:pos="2722"/>
      </w:tabs>
      <w:spacing w:before="40" w:line="240" w:lineRule="auto"/>
      <w:ind w:left="2835" w:hanging="2835"/>
    </w:pPr>
  </w:style>
  <w:style w:type="paragraph" w:customStyle="1" w:styleId="paragraph">
    <w:name w:val="paragraph"/>
    <w:aliases w:val="a"/>
    <w:basedOn w:val="OPCParaBase"/>
    <w:rsid w:val="000422C2"/>
    <w:pPr>
      <w:tabs>
        <w:tab w:val="right" w:pos="1531"/>
      </w:tabs>
      <w:spacing w:before="40" w:line="240" w:lineRule="auto"/>
      <w:ind w:left="1644" w:hanging="1644"/>
    </w:pPr>
  </w:style>
  <w:style w:type="paragraph" w:customStyle="1" w:styleId="ParlAmend">
    <w:name w:val="ParlAmend"/>
    <w:aliases w:val="pp"/>
    <w:basedOn w:val="OPCParaBase"/>
    <w:rsid w:val="000422C2"/>
    <w:pPr>
      <w:spacing w:before="240" w:line="240" w:lineRule="atLeast"/>
      <w:ind w:hanging="567"/>
    </w:pPr>
    <w:rPr>
      <w:sz w:val="24"/>
    </w:rPr>
  </w:style>
  <w:style w:type="paragraph" w:customStyle="1" w:styleId="Penalty">
    <w:name w:val="Penalty"/>
    <w:basedOn w:val="OPCParaBase"/>
    <w:rsid w:val="000422C2"/>
    <w:pPr>
      <w:tabs>
        <w:tab w:val="left" w:pos="2977"/>
      </w:tabs>
      <w:spacing w:before="180" w:line="240" w:lineRule="auto"/>
      <w:ind w:left="1985" w:hanging="851"/>
    </w:pPr>
  </w:style>
  <w:style w:type="paragraph" w:customStyle="1" w:styleId="Portfolio">
    <w:name w:val="Portfolio"/>
    <w:basedOn w:val="OPCParaBase"/>
    <w:rsid w:val="000422C2"/>
    <w:pPr>
      <w:spacing w:line="240" w:lineRule="auto"/>
    </w:pPr>
    <w:rPr>
      <w:i/>
      <w:sz w:val="20"/>
    </w:rPr>
  </w:style>
  <w:style w:type="paragraph" w:customStyle="1" w:styleId="Preamble">
    <w:name w:val="Preamble"/>
    <w:basedOn w:val="OPCParaBase"/>
    <w:next w:val="Normal"/>
    <w:rsid w:val="000422C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422C2"/>
    <w:pPr>
      <w:spacing w:line="240" w:lineRule="auto"/>
    </w:pPr>
    <w:rPr>
      <w:i/>
      <w:sz w:val="20"/>
    </w:rPr>
  </w:style>
  <w:style w:type="paragraph" w:customStyle="1" w:styleId="Session">
    <w:name w:val="Session"/>
    <w:basedOn w:val="OPCParaBase"/>
    <w:rsid w:val="000422C2"/>
    <w:pPr>
      <w:spacing w:line="240" w:lineRule="auto"/>
    </w:pPr>
    <w:rPr>
      <w:sz w:val="28"/>
    </w:rPr>
  </w:style>
  <w:style w:type="paragraph" w:customStyle="1" w:styleId="Sponsor">
    <w:name w:val="Sponsor"/>
    <w:basedOn w:val="OPCParaBase"/>
    <w:rsid w:val="000422C2"/>
    <w:pPr>
      <w:spacing w:line="240" w:lineRule="auto"/>
    </w:pPr>
    <w:rPr>
      <w:i/>
    </w:rPr>
  </w:style>
  <w:style w:type="paragraph" w:customStyle="1" w:styleId="Subitem">
    <w:name w:val="Subitem"/>
    <w:aliases w:val="iss"/>
    <w:basedOn w:val="OPCParaBase"/>
    <w:rsid w:val="000422C2"/>
    <w:pPr>
      <w:spacing w:before="180" w:line="240" w:lineRule="auto"/>
      <w:ind w:left="709" w:hanging="709"/>
    </w:pPr>
  </w:style>
  <w:style w:type="paragraph" w:customStyle="1" w:styleId="SubitemHead">
    <w:name w:val="SubitemHead"/>
    <w:aliases w:val="issh"/>
    <w:basedOn w:val="OPCParaBase"/>
    <w:rsid w:val="000422C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422C2"/>
    <w:pPr>
      <w:spacing w:before="40" w:line="240" w:lineRule="auto"/>
      <w:ind w:left="1134"/>
    </w:pPr>
  </w:style>
  <w:style w:type="paragraph" w:customStyle="1" w:styleId="SubsectionHead">
    <w:name w:val="SubsectionHead"/>
    <w:aliases w:val="ssh"/>
    <w:basedOn w:val="OPCParaBase"/>
    <w:next w:val="subsection"/>
    <w:rsid w:val="000422C2"/>
    <w:pPr>
      <w:keepNext/>
      <w:keepLines/>
      <w:spacing w:before="240" w:line="240" w:lineRule="auto"/>
      <w:ind w:left="1134"/>
    </w:pPr>
    <w:rPr>
      <w:i/>
    </w:rPr>
  </w:style>
  <w:style w:type="paragraph" w:customStyle="1" w:styleId="Tablea">
    <w:name w:val="Table(a)"/>
    <w:aliases w:val="ta"/>
    <w:basedOn w:val="OPCParaBase"/>
    <w:rsid w:val="000422C2"/>
    <w:pPr>
      <w:spacing w:before="60" w:line="240" w:lineRule="auto"/>
      <w:ind w:left="284" w:hanging="284"/>
    </w:pPr>
    <w:rPr>
      <w:sz w:val="20"/>
    </w:rPr>
  </w:style>
  <w:style w:type="paragraph" w:customStyle="1" w:styleId="TableAA">
    <w:name w:val="Table(AA)"/>
    <w:aliases w:val="taaa"/>
    <w:basedOn w:val="OPCParaBase"/>
    <w:rsid w:val="000422C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22C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422C2"/>
    <w:pPr>
      <w:spacing w:before="60" w:line="240" w:lineRule="atLeast"/>
    </w:pPr>
    <w:rPr>
      <w:sz w:val="20"/>
    </w:rPr>
  </w:style>
  <w:style w:type="paragraph" w:customStyle="1" w:styleId="TLPBoxTextnote">
    <w:name w:val="TLPBoxText(note"/>
    <w:aliases w:val="right)"/>
    <w:basedOn w:val="OPCParaBase"/>
    <w:rsid w:val="000422C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22C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422C2"/>
    <w:pPr>
      <w:spacing w:before="122" w:line="198" w:lineRule="exact"/>
      <w:ind w:left="1985" w:hanging="851"/>
      <w:jc w:val="right"/>
    </w:pPr>
    <w:rPr>
      <w:sz w:val="18"/>
    </w:rPr>
  </w:style>
  <w:style w:type="paragraph" w:customStyle="1" w:styleId="TLPTableBullet">
    <w:name w:val="TLPTableBullet"/>
    <w:aliases w:val="ttb"/>
    <w:basedOn w:val="OPCParaBase"/>
    <w:rsid w:val="000422C2"/>
    <w:pPr>
      <w:spacing w:line="240" w:lineRule="exact"/>
      <w:ind w:left="284" w:hanging="284"/>
    </w:pPr>
    <w:rPr>
      <w:sz w:val="20"/>
    </w:rPr>
  </w:style>
  <w:style w:type="paragraph" w:styleId="TOC1">
    <w:name w:val="toc 1"/>
    <w:basedOn w:val="OPCParaBase"/>
    <w:next w:val="Normal"/>
    <w:uiPriority w:val="39"/>
    <w:semiHidden/>
    <w:unhideWhenUsed/>
    <w:rsid w:val="000422C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422C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422C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422C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422C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422C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422C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422C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422C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422C2"/>
    <w:pPr>
      <w:keepLines/>
      <w:spacing w:before="240" w:after="120" w:line="240" w:lineRule="auto"/>
      <w:ind w:left="794"/>
    </w:pPr>
    <w:rPr>
      <w:b/>
      <w:kern w:val="28"/>
      <w:sz w:val="20"/>
    </w:rPr>
  </w:style>
  <w:style w:type="paragraph" w:customStyle="1" w:styleId="TofSectsHeading">
    <w:name w:val="TofSects(Heading)"/>
    <w:basedOn w:val="OPCParaBase"/>
    <w:rsid w:val="000422C2"/>
    <w:pPr>
      <w:spacing w:before="240" w:after="120" w:line="240" w:lineRule="auto"/>
    </w:pPr>
    <w:rPr>
      <w:b/>
      <w:sz w:val="24"/>
    </w:rPr>
  </w:style>
  <w:style w:type="paragraph" w:customStyle="1" w:styleId="TofSectsSection">
    <w:name w:val="TofSects(Section)"/>
    <w:basedOn w:val="OPCParaBase"/>
    <w:rsid w:val="000422C2"/>
    <w:pPr>
      <w:keepLines/>
      <w:spacing w:before="40" w:line="240" w:lineRule="auto"/>
      <w:ind w:left="1588" w:hanging="794"/>
    </w:pPr>
    <w:rPr>
      <w:kern w:val="28"/>
      <w:sz w:val="18"/>
    </w:rPr>
  </w:style>
  <w:style w:type="paragraph" w:customStyle="1" w:styleId="TofSectsSubdiv">
    <w:name w:val="TofSects(Subdiv)"/>
    <w:basedOn w:val="OPCParaBase"/>
    <w:rsid w:val="000422C2"/>
    <w:pPr>
      <w:keepLines/>
      <w:spacing w:before="80" w:line="240" w:lineRule="auto"/>
      <w:ind w:left="1588" w:hanging="794"/>
    </w:pPr>
    <w:rPr>
      <w:kern w:val="28"/>
    </w:rPr>
  </w:style>
  <w:style w:type="paragraph" w:customStyle="1" w:styleId="WRStyle">
    <w:name w:val="WR Style"/>
    <w:aliases w:val="WR"/>
    <w:basedOn w:val="OPCParaBase"/>
    <w:rsid w:val="000422C2"/>
    <w:pPr>
      <w:spacing w:before="240" w:line="240" w:lineRule="auto"/>
      <w:ind w:left="284" w:hanging="284"/>
    </w:pPr>
    <w:rPr>
      <w:b/>
      <w:i/>
      <w:kern w:val="28"/>
      <w:sz w:val="24"/>
    </w:rPr>
  </w:style>
  <w:style w:type="paragraph" w:customStyle="1" w:styleId="notepara">
    <w:name w:val="note(para)"/>
    <w:aliases w:val="na"/>
    <w:basedOn w:val="OPCParaBase"/>
    <w:rsid w:val="000422C2"/>
    <w:pPr>
      <w:spacing w:before="40" w:line="198" w:lineRule="exact"/>
      <w:ind w:left="2354" w:hanging="369"/>
    </w:pPr>
    <w:rPr>
      <w:sz w:val="18"/>
    </w:rPr>
  </w:style>
  <w:style w:type="paragraph" w:styleId="Footer">
    <w:name w:val="footer"/>
    <w:link w:val="FooterChar"/>
    <w:rsid w:val="000422C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422C2"/>
    <w:rPr>
      <w:rFonts w:eastAsia="Times New Roman" w:cs="Times New Roman"/>
      <w:sz w:val="22"/>
      <w:szCs w:val="24"/>
      <w:lang w:eastAsia="en-AU"/>
    </w:rPr>
  </w:style>
  <w:style w:type="character" w:styleId="LineNumber">
    <w:name w:val="line number"/>
    <w:basedOn w:val="OPCCharBase"/>
    <w:uiPriority w:val="99"/>
    <w:semiHidden/>
    <w:unhideWhenUsed/>
    <w:rsid w:val="000422C2"/>
    <w:rPr>
      <w:sz w:val="16"/>
    </w:rPr>
  </w:style>
  <w:style w:type="table" w:customStyle="1" w:styleId="CFlag">
    <w:name w:val="CFlag"/>
    <w:basedOn w:val="TableNormal"/>
    <w:uiPriority w:val="99"/>
    <w:rsid w:val="000422C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22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2C2"/>
    <w:rPr>
      <w:rFonts w:ascii="Tahoma" w:hAnsi="Tahoma" w:cs="Tahoma"/>
      <w:sz w:val="16"/>
      <w:szCs w:val="16"/>
    </w:rPr>
  </w:style>
  <w:style w:type="character" w:styleId="Hyperlink">
    <w:name w:val="Hyperlink"/>
    <w:basedOn w:val="DefaultParagraphFont"/>
    <w:rsid w:val="000422C2"/>
    <w:rPr>
      <w:color w:val="0000FF"/>
      <w:u w:val="single"/>
    </w:rPr>
  </w:style>
  <w:style w:type="table" w:styleId="TableGrid">
    <w:name w:val="Table Grid"/>
    <w:basedOn w:val="TableNormal"/>
    <w:uiPriority w:val="59"/>
    <w:rsid w:val="00042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0422C2"/>
    <w:rPr>
      <w:b/>
      <w:sz w:val="28"/>
      <w:szCs w:val="32"/>
    </w:rPr>
  </w:style>
  <w:style w:type="paragraph" w:customStyle="1" w:styleId="TerritoryT">
    <w:name w:val="TerritoryT"/>
    <w:basedOn w:val="OPCParaBase"/>
    <w:next w:val="Normal"/>
    <w:rsid w:val="000422C2"/>
    <w:rPr>
      <w:b/>
      <w:sz w:val="32"/>
    </w:rPr>
  </w:style>
  <w:style w:type="paragraph" w:customStyle="1" w:styleId="LegislationMadeUnder">
    <w:name w:val="LegislationMadeUnder"/>
    <w:basedOn w:val="OPCParaBase"/>
    <w:next w:val="Normal"/>
    <w:rsid w:val="000422C2"/>
    <w:rPr>
      <w:i/>
      <w:sz w:val="32"/>
      <w:szCs w:val="32"/>
    </w:rPr>
  </w:style>
  <w:style w:type="paragraph" w:customStyle="1" w:styleId="SignCoverPageEnd">
    <w:name w:val="SignCoverPageEnd"/>
    <w:basedOn w:val="OPCParaBase"/>
    <w:next w:val="Normal"/>
    <w:rsid w:val="000422C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422C2"/>
    <w:pPr>
      <w:pBdr>
        <w:top w:val="single" w:sz="4" w:space="1" w:color="auto"/>
      </w:pBdr>
      <w:spacing w:before="360"/>
      <w:ind w:right="397"/>
      <w:jc w:val="both"/>
    </w:pPr>
  </w:style>
  <w:style w:type="paragraph" w:customStyle="1" w:styleId="NotesHeading1">
    <w:name w:val="NotesHeading 1"/>
    <w:basedOn w:val="OPCParaBase"/>
    <w:next w:val="Normal"/>
    <w:rsid w:val="000422C2"/>
    <w:rPr>
      <w:b/>
      <w:sz w:val="28"/>
      <w:szCs w:val="28"/>
    </w:rPr>
  </w:style>
  <w:style w:type="paragraph" w:customStyle="1" w:styleId="NotesHeading2">
    <w:name w:val="NotesHeading 2"/>
    <w:basedOn w:val="OPCParaBase"/>
    <w:next w:val="Normal"/>
    <w:rsid w:val="000422C2"/>
    <w:rPr>
      <w:b/>
      <w:sz w:val="28"/>
      <w:szCs w:val="28"/>
    </w:rPr>
  </w:style>
  <w:style w:type="paragraph" w:customStyle="1" w:styleId="ENotesText">
    <w:name w:val="ENotesText"/>
    <w:basedOn w:val="OPCParaBase"/>
    <w:next w:val="Normal"/>
    <w:rsid w:val="000422C2"/>
  </w:style>
  <w:style w:type="paragraph" w:customStyle="1" w:styleId="CompiledActNo">
    <w:name w:val="CompiledActNo"/>
    <w:basedOn w:val="OPCParaBase"/>
    <w:next w:val="Normal"/>
    <w:rsid w:val="000422C2"/>
    <w:rPr>
      <w:b/>
      <w:sz w:val="24"/>
      <w:szCs w:val="24"/>
    </w:rPr>
  </w:style>
  <w:style w:type="paragraph" w:customStyle="1" w:styleId="CompiledMadeUnder">
    <w:name w:val="CompiledMadeUnder"/>
    <w:basedOn w:val="OPCParaBase"/>
    <w:next w:val="Normal"/>
    <w:rsid w:val="000422C2"/>
    <w:rPr>
      <w:i/>
      <w:sz w:val="24"/>
      <w:szCs w:val="24"/>
    </w:rPr>
  </w:style>
  <w:style w:type="paragraph" w:customStyle="1" w:styleId="Paragraphsub-sub-sub">
    <w:name w:val="Paragraph(sub-sub-sub)"/>
    <w:aliases w:val="aaaa"/>
    <w:basedOn w:val="OPCParaBase"/>
    <w:rsid w:val="000422C2"/>
    <w:pPr>
      <w:tabs>
        <w:tab w:val="right" w:pos="3402"/>
      </w:tabs>
      <w:spacing w:before="40" w:line="240" w:lineRule="auto"/>
      <w:ind w:left="3402" w:hanging="3402"/>
    </w:pPr>
  </w:style>
  <w:style w:type="paragraph" w:customStyle="1" w:styleId="NoteToSubpara">
    <w:name w:val="NoteToSubpara"/>
    <w:aliases w:val="nts"/>
    <w:basedOn w:val="OPCParaBase"/>
    <w:rsid w:val="000422C2"/>
    <w:pPr>
      <w:spacing w:before="40" w:line="198" w:lineRule="exact"/>
      <w:ind w:left="2835" w:hanging="709"/>
    </w:pPr>
    <w:rPr>
      <w:sz w:val="18"/>
    </w:rPr>
  </w:style>
  <w:style w:type="paragraph" w:customStyle="1" w:styleId="EndNotespara">
    <w:name w:val="EndNotes(para)"/>
    <w:aliases w:val="eta"/>
    <w:basedOn w:val="OPCParaBase"/>
    <w:next w:val="Normal"/>
    <w:rsid w:val="000422C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22C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0422C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22C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422C2"/>
    <w:pPr>
      <w:keepNext/>
      <w:spacing w:before="60" w:line="240" w:lineRule="atLeast"/>
    </w:pPr>
    <w:rPr>
      <w:rFonts w:ascii="Arial" w:hAnsi="Arial"/>
      <w:b/>
      <w:sz w:val="16"/>
    </w:rPr>
  </w:style>
  <w:style w:type="paragraph" w:customStyle="1" w:styleId="ENoteTTi">
    <w:name w:val="ENoteTTi"/>
    <w:aliases w:val="entti"/>
    <w:basedOn w:val="OPCParaBase"/>
    <w:rsid w:val="000422C2"/>
    <w:pPr>
      <w:keepNext/>
      <w:spacing w:before="60" w:line="240" w:lineRule="atLeast"/>
      <w:ind w:left="170"/>
    </w:pPr>
    <w:rPr>
      <w:sz w:val="16"/>
    </w:rPr>
  </w:style>
  <w:style w:type="paragraph" w:customStyle="1" w:styleId="ENotesHeading1">
    <w:name w:val="ENotesHeading 1"/>
    <w:aliases w:val="Enh1"/>
    <w:basedOn w:val="OPCParaBase"/>
    <w:next w:val="Normal"/>
    <w:rsid w:val="000422C2"/>
    <w:pPr>
      <w:spacing w:before="120"/>
      <w:outlineLvl w:val="1"/>
    </w:pPr>
    <w:rPr>
      <w:b/>
      <w:sz w:val="28"/>
      <w:szCs w:val="28"/>
    </w:rPr>
  </w:style>
  <w:style w:type="paragraph" w:customStyle="1" w:styleId="ENotesHeading2">
    <w:name w:val="ENotesHeading 2"/>
    <w:aliases w:val="Enh2"/>
    <w:basedOn w:val="OPCParaBase"/>
    <w:next w:val="Normal"/>
    <w:rsid w:val="000422C2"/>
    <w:pPr>
      <w:spacing w:before="120" w:after="120"/>
      <w:outlineLvl w:val="2"/>
    </w:pPr>
    <w:rPr>
      <w:b/>
      <w:sz w:val="24"/>
      <w:szCs w:val="28"/>
    </w:rPr>
  </w:style>
  <w:style w:type="paragraph" w:customStyle="1" w:styleId="ENoteTTIndentHeading">
    <w:name w:val="ENoteTTIndentHeading"/>
    <w:aliases w:val="enTTHi"/>
    <w:basedOn w:val="OPCParaBase"/>
    <w:rsid w:val="000422C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422C2"/>
    <w:pPr>
      <w:spacing w:before="60" w:line="240" w:lineRule="atLeast"/>
    </w:pPr>
    <w:rPr>
      <w:sz w:val="16"/>
    </w:rPr>
  </w:style>
  <w:style w:type="paragraph" w:customStyle="1" w:styleId="MadeunderText">
    <w:name w:val="MadeunderText"/>
    <w:basedOn w:val="OPCParaBase"/>
    <w:next w:val="CompiledMadeUnder"/>
    <w:rsid w:val="000422C2"/>
    <w:pPr>
      <w:spacing w:before="240"/>
    </w:pPr>
    <w:rPr>
      <w:sz w:val="24"/>
      <w:szCs w:val="24"/>
    </w:rPr>
  </w:style>
  <w:style w:type="paragraph" w:customStyle="1" w:styleId="ENotesHeading3">
    <w:name w:val="ENotesHeading 3"/>
    <w:aliases w:val="Enh3"/>
    <w:basedOn w:val="OPCParaBase"/>
    <w:next w:val="Normal"/>
    <w:rsid w:val="000422C2"/>
    <w:pPr>
      <w:keepNext/>
      <w:spacing w:before="120" w:line="240" w:lineRule="auto"/>
      <w:outlineLvl w:val="4"/>
    </w:pPr>
    <w:rPr>
      <w:b/>
      <w:szCs w:val="24"/>
    </w:rPr>
  </w:style>
  <w:style w:type="paragraph" w:customStyle="1" w:styleId="SubPartCASA">
    <w:name w:val="SubPart(CASA)"/>
    <w:aliases w:val="csp"/>
    <w:basedOn w:val="OPCParaBase"/>
    <w:next w:val="ActHead3"/>
    <w:rsid w:val="000422C2"/>
    <w:pPr>
      <w:keepNext/>
      <w:keepLines/>
      <w:spacing w:before="280"/>
      <w:outlineLvl w:val="1"/>
    </w:pPr>
    <w:rPr>
      <w:b/>
      <w:kern w:val="28"/>
      <w:sz w:val="32"/>
    </w:rPr>
  </w:style>
  <w:style w:type="character" w:customStyle="1" w:styleId="CharSubPartTextCASA">
    <w:name w:val="CharSubPartText(CASA)"/>
    <w:basedOn w:val="OPCCharBase"/>
    <w:uiPriority w:val="1"/>
    <w:rsid w:val="000422C2"/>
  </w:style>
  <w:style w:type="character" w:customStyle="1" w:styleId="CharSubPartNoCASA">
    <w:name w:val="CharSubPartNo(CASA)"/>
    <w:basedOn w:val="OPCCharBase"/>
    <w:uiPriority w:val="1"/>
    <w:rsid w:val="000422C2"/>
  </w:style>
  <w:style w:type="paragraph" w:customStyle="1" w:styleId="ENoteTTIndentHeadingSub">
    <w:name w:val="ENoteTTIndentHeadingSub"/>
    <w:aliases w:val="enTTHis"/>
    <w:basedOn w:val="OPCParaBase"/>
    <w:rsid w:val="000422C2"/>
    <w:pPr>
      <w:keepNext/>
      <w:spacing w:before="60" w:line="240" w:lineRule="atLeast"/>
      <w:ind w:left="340"/>
    </w:pPr>
    <w:rPr>
      <w:b/>
      <w:sz w:val="16"/>
    </w:rPr>
  </w:style>
  <w:style w:type="paragraph" w:customStyle="1" w:styleId="ENoteTTiSub">
    <w:name w:val="ENoteTTiSub"/>
    <w:aliases w:val="enttis"/>
    <w:basedOn w:val="OPCParaBase"/>
    <w:rsid w:val="000422C2"/>
    <w:pPr>
      <w:keepNext/>
      <w:spacing w:before="60" w:line="240" w:lineRule="atLeast"/>
      <w:ind w:left="340"/>
    </w:pPr>
    <w:rPr>
      <w:sz w:val="16"/>
    </w:rPr>
  </w:style>
  <w:style w:type="paragraph" w:customStyle="1" w:styleId="SubDivisionMigration">
    <w:name w:val="SubDivisionMigration"/>
    <w:aliases w:val="sdm"/>
    <w:basedOn w:val="OPCParaBase"/>
    <w:rsid w:val="000422C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422C2"/>
    <w:pPr>
      <w:keepNext/>
      <w:keepLines/>
      <w:spacing w:before="240" w:line="240" w:lineRule="auto"/>
      <w:ind w:left="1134" w:hanging="1134"/>
    </w:pPr>
    <w:rPr>
      <w:b/>
      <w:sz w:val="28"/>
    </w:rPr>
  </w:style>
  <w:style w:type="paragraph" w:customStyle="1" w:styleId="notetext">
    <w:name w:val="note(text)"/>
    <w:aliases w:val="n"/>
    <w:basedOn w:val="OPCParaBase"/>
    <w:rsid w:val="000422C2"/>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0422C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422C2"/>
    <w:rPr>
      <w:sz w:val="22"/>
    </w:rPr>
  </w:style>
  <w:style w:type="paragraph" w:customStyle="1" w:styleId="SOTextNote">
    <w:name w:val="SO TextNote"/>
    <w:aliases w:val="sont"/>
    <w:basedOn w:val="SOText"/>
    <w:qFormat/>
    <w:rsid w:val="000422C2"/>
    <w:pPr>
      <w:spacing w:before="122" w:line="198" w:lineRule="exact"/>
      <w:ind w:left="1843" w:hanging="709"/>
    </w:pPr>
    <w:rPr>
      <w:sz w:val="18"/>
    </w:rPr>
  </w:style>
  <w:style w:type="paragraph" w:customStyle="1" w:styleId="SOPara">
    <w:name w:val="SO Para"/>
    <w:aliases w:val="soa"/>
    <w:basedOn w:val="SOText"/>
    <w:link w:val="SOParaChar"/>
    <w:qFormat/>
    <w:rsid w:val="000422C2"/>
    <w:pPr>
      <w:tabs>
        <w:tab w:val="right" w:pos="1786"/>
      </w:tabs>
      <w:spacing w:before="40"/>
      <w:ind w:left="2070" w:hanging="936"/>
    </w:pPr>
  </w:style>
  <w:style w:type="character" w:customStyle="1" w:styleId="SOParaChar">
    <w:name w:val="SO Para Char"/>
    <w:aliases w:val="soa Char"/>
    <w:basedOn w:val="DefaultParagraphFont"/>
    <w:link w:val="SOPara"/>
    <w:rsid w:val="000422C2"/>
    <w:rPr>
      <w:sz w:val="22"/>
    </w:rPr>
  </w:style>
  <w:style w:type="paragraph" w:customStyle="1" w:styleId="FileName">
    <w:name w:val="FileName"/>
    <w:basedOn w:val="Normal"/>
    <w:rsid w:val="000422C2"/>
  </w:style>
  <w:style w:type="paragraph" w:customStyle="1" w:styleId="TableHeading">
    <w:name w:val="TableHeading"/>
    <w:aliases w:val="th"/>
    <w:basedOn w:val="OPCParaBase"/>
    <w:next w:val="Tabletext"/>
    <w:rsid w:val="000422C2"/>
    <w:pPr>
      <w:keepNext/>
      <w:spacing w:before="60" w:line="240" w:lineRule="atLeast"/>
    </w:pPr>
    <w:rPr>
      <w:b/>
      <w:sz w:val="20"/>
    </w:rPr>
  </w:style>
  <w:style w:type="paragraph" w:customStyle="1" w:styleId="SOHeadBold">
    <w:name w:val="SO HeadBold"/>
    <w:aliases w:val="sohb"/>
    <w:basedOn w:val="SOText"/>
    <w:next w:val="SOText"/>
    <w:link w:val="SOHeadBoldChar"/>
    <w:qFormat/>
    <w:rsid w:val="000422C2"/>
    <w:rPr>
      <w:b/>
    </w:rPr>
  </w:style>
  <w:style w:type="character" w:customStyle="1" w:styleId="SOHeadBoldChar">
    <w:name w:val="SO HeadBold Char"/>
    <w:aliases w:val="sohb Char"/>
    <w:basedOn w:val="DefaultParagraphFont"/>
    <w:link w:val="SOHeadBold"/>
    <w:rsid w:val="000422C2"/>
    <w:rPr>
      <w:b/>
      <w:sz w:val="22"/>
    </w:rPr>
  </w:style>
  <w:style w:type="paragraph" w:customStyle="1" w:styleId="SOHeadItalic">
    <w:name w:val="SO HeadItalic"/>
    <w:aliases w:val="sohi"/>
    <w:basedOn w:val="SOText"/>
    <w:next w:val="SOText"/>
    <w:link w:val="SOHeadItalicChar"/>
    <w:qFormat/>
    <w:rsid w:val="000422C2"/>
    <w:rPr>
      <w:i/>
    </w:rPr>
  </w:style>
  <w:style w:type="character" w:customStyle="1" w:styleId="SOHeadItalicChar">
    <w:name w:val="SO HeadItalic Char"/>
    <w:aliases w:val="sohi Char"/>
    <w:basedOn w:val="DefaultParagraphFont"/>
    <w:link w:val="SOHeadItalic"/>
    <w:rsid w:val="000422C2"/>
    <w:rPr>
      <w:i/>
      <w:sz w:val="22"/>
    </w:rPr>
  </w:style>
  <w:style w:type="paragraph" w:customStyle="1" w:styleId="SOBullet">
    <w:name w:val="SO Bullet"/>
    <w:aliases w:val="sotb"/>
    <w:basedOn w:val="SOText"/>
    <w:link w:val="SOBulletChar"/>
    <w:qFormat/>
    <w:rsid w:val="000422C2"/>
    <w:pPr>
      <w:ind w:left="1559" w:hanging="425"/>
    </w:pPr>
  </w:style>
  <w:style w:type="character" w:customStyle="1" w:styleId="SOBulletChar">
    <w:name w:val="SO Bullet Char"/>
    <w:aliases w:val="sotb Char"/>
    <w:basedOn w:val="DefaultParagraphFont"/>
    <w:link w:val="SOBullet"/>
    <w:rsid w:val="000422C2"/>
    <w:rPr>
      <w:sz w:val="22"/>
    </w:rPr>
  </w:style>
  <w:style w:type="paragraph" w:customStyle="1" w:styleId="SOBulletNote">
    <w:name w:val="SO BulletNote"/>
    <w:aliases w:val="sonb"/>
    <w:basedOn w:val="SOTextNote"/>
    <w:link w:val="SOBulletNoteChar"/>
    <w:qFormat/>
    <w:rsid w:val="000422C2"/>
    <w:pPr>
      <w:tabs>
        <w:tab w:val="left" w:pos="1560"/>
      </w:tabs>
      <w:ind w:left="2268" w:hanging="1134"/>
    </w:pPr>
  </w:style>
  <w:style w:type="character" w:customStyle="1" w:styleId="SOBulletNoteChar">
    <w:name w:val="SO BulletNote Char"/>
    <w:aliases w:val="sonb Char"/>
    <w:basedOn w:val="DefaultParagraphFont"/>
    <w:link w:val="SOBulletNote"/>
    <w:rsid w:val="000422C2"/>
    <w:rPr>
      <w:sz w:val="18"/>
    </w:rPr>
  </w:style>
  <w:style w:type="paragraph" w:customStyle="1" w:styleId="SOText2">
    <w:name w:val="SO Text2"/>
    <w:aliases w:val="sot2"/>
    <w:basedOn w:val="Normal"/>
    <w:next w:val="SOText"/>
    <w:link w:val="SOText2Char"/>
    <w:rsid w:val="000422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422C2"/>
    <w:rPr>
      <w:sz w:val="22"/>
    </w:rPr>
  </w:style>
  <w:style w:type="paragraph" w:styleId="PlainText">
    <w:name w:val="Plain Text"/>
    <w:basedOn w:val="Normal"/>
    <w:link w:val="PlainTextChar"/>
    <w:uiPriority w:val="99"/>
    <w:unhideWhenUsed/>
    <w:rsid w:val="000974A8"/>
    <w:pPr>
      <w:spacing w:line="240" w:lineRule="auto"/>
    </w:pPr>
    <w:rPr>
      <w:rFonts w:ascii="Consolas" w:hAnsi="Consolas" w:cs="Consolas"/>
      <w:sz w:val="21"/>
      <w:szCs w:val="21"/>
      <w:lang w:eastAsia="en-AU"/>
    </w:rPr>
  </w:style>
  <w:style w:type="character" w:customStyle="1" w:styleId="PlainTextChar">
    <w:name w:val="Plain Text Char"/>
    <w:basedOn w:val="DefaultParagraphFont"/>
    <w:link w:val="PlainText"/>
    <w:uiPriority w:val="99"/>
    <w:rsid w:val="000974A8"/>
    <w:rPr>
      <w:rFonts w:ascii="Consolas" w:hAnsi="Consolas" w:cs="Consolas"/>
      <w:sz w:val="21"/>
      <w:szCs w:val="21"/>
      <w:lang w:eastAsia="en-AU"/>
    </w:rPr>
  </w:style>
  <w:style w:type="paragraph" w:styleId="ListParagraph">
    <w:name w:val="List Paragraph"/>
    <w:basedOn w:val="Normal"/>
    <w:uiPriority w:val="34"/>
    <w:qFormat/>
    <w:rsid w:val="009A6EBE"/>
    <w:pPr>
      <w:spacing w:after="200" w:line="276" w:lineRule="auto"/>
      <w:ind w:left="720"/>
      <w:contextualSpacing/>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22C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422C2"/>
  </w:style>
  <w:style w:type="paragraph" w:customStyle="1" w:styleId="OPCParaBase">
    <w:name w:val="OPCParaBase"/>
    <w:qFormat/>
    <w:rsid w:val="000422C2"/>
    <w:pPr>
      <w:spacing w:line="260" w:lineRule="atLeast"/>
    </w:pPr>
    <w:rPr>
      <w:rFonts w:eastAsia="Times New Roman" w:cs="Times New Roman"/>
      <w:sz w:val="22"/>
      <w:lang w:eastAsia="en-AU"/>
    </w:rPr>
  </w:style>
  <w:style w:type="paragraph" w:customStyle="1" w:styleId="ShortT">
    <w:name w:val="ShortT"/>
    <w:basedOn w:val="OPCParaBase"/>
    <w:next w:val="Normal"/>
    <w:qFormat/>
    <w:rsid w:val="000422C2"/>
    <w:pPr>
      <w:spacing w:line="240" w:lineRule="auto"/>
    </w:pPr>
    <w:rPr>
      <w:b/>
      <w:sz w:val="40"/>
    </w:rPr>
  </w:style>
  <w:style w:type="paragraph" w:customStyle="1" w:styleId="ActHead1">
    <w:name w:val="ActHead 1"/>
    <w:aliases w:val="c"/>
    <w:basedOn w:val="OPCParaBase"/>
    <w:next w:val="Normal"/>
    <w:qFormat/>
    <w:rsid w:val="000422C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422C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422C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422C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422C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422C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22C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22C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422C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422C2"/>
  </w:style>
  <w:style w:type="paragraph" w:customStyle="1" w:styleId="Blocks">
    <w:name w:val="Blocks"/>
    <w:aliases w:val="bb"/>
    <w:basedOn w:val="OPCParaBase"/>
    <w:qFormat/>
    <w:rsid w:val="000422C2"/>
    <w:pPr>
      <w:spacing w:line="240" w:lineRule="auto"/>
    </w:pPr>
    <w:rPr>
      <w:sz w:val="24"/>
    </w:rPr>
  </w:style>
  <w:style w:type="paragraph" w:customStyle="1" w:styleId="BoxText">
    <w:name w:val="BoxText"/>
    <w:aliases w:val="bt"/>
    <w:basedOn w:val="OPCParaBase"/>
    <w:qFormat/>
    <w:rsid w:val="000422C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22C2"/>
    <w:rPr>
      <w:b/>
    </w:rPr>
  </w:style>
  <w:style w:type="paragraph" w:customStyle="1" w:styleId="BoxHeadItalic">
    <w:name w:val="BoxHeadItalic"/>
    <w:aliases w:val="bhi"/>
    <w:basedOn w:val="BoxText"/>
    <w:next w:val="BoxStep"/>
    <w:qFormat/>
    <w:rsid w:val="000422C2"/>
    <w:rPr>
      <w:i/>
    </w:rPr>
  </w:style>
  <w:style w:type="paragraph" w:customStyle="1" w:styleId="BoxList">
    <w:name w:val="BoxList"/>
    <w:aliases w:val="bl"/>
    <w:basedOn w:val="BoxText"/>
    <w:qFormat/>
    <w:rsid w:val="000422C2"/>
    <w:pPr>
      <w:ind w:left="1559" w:hanging="425"/>
    </w:pPr>
  </w:style>
  <w:style w:type="paragraph" w:customStyle="1" w:styleId="BoxNote">
    <w:name w:val="BoxNote"/>
    <w:aliases w:val="bn"/>
    <w:basedOn w:val="BoxText"/>
    <w:qFormat/>
    <w:rsid w:val="000422C2"/>
    <w:pPr>
      <w:tabs>
        <w:tab w:val="left" w:pos="1985"/>
      </w:tabs>
      <w:spacing w:before="122" w:line="198" w:lineRule="exact"/>
      <w:ind w:left="2948" w:hanging="1814"/>
    </w:pPr>
    <w:rPr>
      <w:sz w:val="18"/>
    </w:rPr>
  </w:style>
  <w:style w:type="paragraph" w:customStyle="1" w:styleId="BoxPara">
    <w:name w:val="BoxPara"/>
    <w:aliases w:val="bp"/>
    <w:basedOn w:val="BoxText"/>
    <w:qFormat/>
    <w:rsid w:val="000422C2"/>
    <w:pPr>
      <w:tabs>
        <w:tab w:val="right" w:pos="2268"/>
      </w:tabs>
      <w:ind w:left="2552" w:hanging="1418"/>
    </w:pPr>
  </w:style>
  <w:style w:type="paragraph" w:customStyle="1" w:styleId="BoxStep">
    <w:name w:val="BoxStep"/>
    <w:aliases w:val="bs"/>
    <w:basedOn w:val="BoxText"/>
    <w:qFormat/>
    <w:rsid w:val="000422C2"/>
    <w:pPr>
      <w:ind w:left="1985" w:hanging="851"/>
    </w:pPr>
  </w:style>
  <w:style w:type="character" w:customStyle="1" w:styleId="CharAmPartNo">
    <w:name w:val="CharAmPartNo"/>
    <w:basedOn w:val="OPCCharBase"/>
    <w:qFormat/>
    <w:rsid w:val="000422C2"/>
  </w:style>
  <w:style w:type="character" w:customStyle="1" w:styleId="CharAmPartText">
    <w:name w:val="CharAmPartText"/>
    <w:basedOn w:val="OPCCharBase"/>
    <w:qFormat/>
    <w:rsid w:val="000422C2"/>
  </w:style>
  <w:style w:type="character" w:customStyle="1" w:styleId="CharAmSchNo">
    <w:name w:val="CharAmSchNo"/>
    <w:basedOn w:val="OPCCharBase"/>
    <w:qFormat/>
    <w:rsid w:val="000422C2"/>
  </w:style>
  <w:style w:type="character" w:customStyle="1" w:styleId="CharAmSchText">
    <w:name w:val="CharAmSchText"/>
    <w:basedOn w:val="OPCCharBase"/>
    <w:qFormat/>
    <w:rsid w:val="000422C2"/>
  </w:style>
  <w:style w:type="character" w:customStyle="1" w:styleId="CharBoldItalic">
    <w:name w:val="CharBoldItalic"/>
    <w:basedOn w:val="OPCCharBase"/>
    <w:uiPriority w:val="1"/>
    <w:qFormat/>
    <w:rsid w:val="000422C2"/>
    <w:rPr>
      <w:b/>
      <w:i/>
    </w:rPr>
  </w:style>
  <w:style w:type="character" w:customStyle="1" w:styleId="CharChapNo">
    <w:name w:val="CharChapNo"/>
    <w:basedOn w:val="OPCCharBase"/>
    <w:uiPriority w:val="1"/>
    <w:qFormat/>
    <w:rsid w:val="000422C2"/>
  </w:style>
  <w:style w:type="character" w:customStyle="1" w:styleId="CharChapText">
    <w:name w:val="CharChapText"/>
    <w:basedOn w:val="OPCCharBase"/>
    <w:uiPriority w:val="1"/>
    <w:qFormat/>
    <w:rsid w:val="000422C2"/>
  </w:style>
  <w:style w:type="character" w:customStyle="1" w:styleId="CharDivNo">
    <w:name w:val="CharDivNo"/>
    <w:basedOn w:val="OPCCharBase"/>
    <w:uiPriority w:val="1"/>
    <w:qFormat/>
    <w:rsid w:val="000422C2"/>
  </w:style>
  <w:style w:type="character" w:customStyle="1" w:styleId="CharDivText">
    <w:name w:val="CharDivText"/>
    <w:basedOn w:val="OPCCharBase"/>
    <w:uiPriority w:val="1"/>
    <w:qFormat/>
    <w:rsid w:val="000422C2"/>
  </w:style>
  <w:style w:type="character" w:customStyle="1" w:styleId="CharItalic">
    <w:name w:val="CharItalic"/>
    <w:basedOn w:val="OPCCharBase"/>
    <w:uiPriority w:val="1"/>
    <w:qFormat/>
    <w:rsid w:val="000422C2"/>
    <w:rPr>
      <w:i/>
    </w:rPr>
  </w:style>
  <w:style w:type="character" w:customStyle="1" w:styleId="CharPartNo">
    <w:name w:val="CharPartNo"/>
    <w:basedOn w:val="OPCCharBase"/>
    <w:uiPriority w:val="1"/>
    <w:qFormat/>
    <w:rsid w:val="000422C2"/>
  </w:style>
  <w:style w:type="character" w:customStyle="1" w:styleId="CharPartText">
    <w:name w:val="CharPartText"/>
    <w:basedOn w:val="OPCCharBase"/>
    <w:uiPriority w:val="1"/>
    <w:qFormat/>
    <w:rsid w:val="000422C2"/>
  </w:style>
  <w:style w:type="character" w:customStyle="1" w:styleId="CharSectno">
    <w:name w:val="CharSectno"/>
    <w:basedOn w:val="OPCCharBase"/>
    <w:qFormat/>
    <w:rsid w:val="000422C2"/>
  </w:style>
  <w:style w:type="character" w:customStyle="1" w:styleId="CharSubdNo">
    <w:name w:val="CharSubdNo"/>
    <w:basedOn w:val="OPCCharBase"/>
    <w:uiPriority w:val="1"/>
    <w:qFormat/>
    <w:rsid w:val="000422C2"/>
  </w:style>
  <w:style w:type="character" w:customStyle="1" w:styleId="CharSubdText">
    <w:name w:val="CharSubdText"/>
    <w:basedOn w:val="OPCCharBase"/>
    <w:uiPriority w:val="1"/>
    <w:qFormat/>
    <w:rsid w:val="000422C2"/>
  </w:style>
  <w:style w:type="paragraph" w:customStyle="1" w:styleId="CTA--">
    <w:name w:val="CTA --"/>
    <w:basedOn w:val="OPCParaBase"/>
    <w:next w:val="Normal"/>
    <w:rsid w:val="000422C2"/>
    <w:pPr>
      <w:spacing w:before="60" w:line="240" w:lineRule="atLeast"/>
      <w:ind w:left="142" w:hanging="142"/>
    </w:pPr>
    <w:rPr>
      <w:sz w:val="20"/>
    </w:rPr>
  </w:style>
  <w:style w:type="paragraph" w:customStyle="1" w:styleId="CTA-">
    <w:name w:val="CTA -"/>
    <w:basedOn w:val="OPCParaBase"/>
    <w:rsid w:val="000422C2"/>
    <w:pPr>
      <w:spacing w:before="60" w:line="240" w:lineRule="atLeast"/>
      <w:ind w:left="85" w:hanging="85"/>
    </w:pPr>
    <w:rPr>
      <w:sz w:val="20"/>
    </w:rPr>
  </w:style>
  <w:style w:type="paragraph" w:customStyle="1" w:styleId="CTA---">
    <w:name w:val="CTA ---"/>
    <w:basedOn w:val="OPCParaBase"/>
    <w:next w:val="Normal"/>
    <w:rsid w:val="000422C2"/>
    <w:pPr>
      <w:spacing w:before="60" w:line="240" w:lineRule="atLeast"/>
      <w:ind w:left="198" w:hanging="198"/>
    </w:pPr>
    <w:rPr>
      <w:sz w:val="20"/>
    </w:rPr>
  </w:style>
  <w:style w:type="paragraph" w:customStyle="1" w:styleId="CTA----">
    <w:name w:val="CTA ----"/>
    <w:basedOn w:val="OPCParaBase"/>
    <w:next w:val="Normal"/>
    <w:rsid w:val="000422C2"/>
    <w:pPr>
      <w:spacing w:before="60" w:line="240" w:lineRule="atLeast"/>
      <w:ind w:left="255" w:hanging="255"/>
    </w:pPr>
    <w:rPr>
      <w:sz w:val="20"/>
    </w:rPr>
  </w:style>
  <w:style w:type="paragraph" w:customStyle="1" w:styleId="CTA1a">
    <w:name w:val="CTA 1(a)"/>
    <w:basedOn w:val="OPCParaBase"/>
    <w:rsid w:val="000422C2"/>
    <w:pPr>
      <w:tabs>
        <w:tab w:val="right" w:pos="414"/>
      </w:tabs>
      <w:spacing w:before="40" w:line="240" w:lineRule="atLeast"/>
      <w:ind w:left="675" w:hanging="675"/>
    </w:pPr>
    <w:rPr>
      <w:sz w:val="20"/>
    </w:rPr>
  </w:style>
  <w:style w:type="paragraph" w:customStyle="1" w:styleId="CTA1ai">
    <w:name w:val="CTA 1(a)(i)"/>
    <w:basedOn w:val="OPCParaBase"/>
    <w:rsid w:val="000422C2"/>
    <w:pPr>
      <w:tabs>
        <w:tab w:val="right" w:pos="1004"/>
      </w:tabs>
      <w:spacing w:before="40" w:line="240" w:lineRule="atLeast"/>
      <w:ind w:left="1253" w:hanging="1253"/>
    </w:pPr>
    <w:rPr>
      <w:sz w:val="20"/>
    </w:rPr>
  </w:style>
  <w:style w:type="paragraph" w:customStyle="1" w:styleId="CTA2a">
    <w:name w:val="CTA 2(a)"/>
    <w:basedOn w:val="OPCParaBase"/>
    <w:rsid w:val="000422C2"/>
    <w:pPr>
      <w:tabs>
        <w:tab w:val="right" w:pos="482"/>
      </w:tabs>
      <w:spacing w:before="40" w:line="240" w:lineRule="atLeast"/>
      <w:ind w:left="748" w:hanging="748"/>
    </w:pPr>
    <w:rPr>
      <w:sz w:val="20"/>
    </w:rPr>
  </w:style>
  <w:style w:type="paragraph" w:customStyle="1" w:styleId="CTA2ai">
    <w:name w:val="CTA 2(a)(i)"/>
    <w:basedOn w:val="OPCParaBase"/>
    <w:rsid w:val="000422C2"/>
    <w:pPr>
      <w:tabs>
        <w:tab w:val="right" w:pos="1089"/>
      </w:tabs>
      <w:spacing w:before="40" w:line="240" w:lineRule="atLeast"/>
      <w:ind w:left="1327" w:hanging="1327"/>
    </w:pPr>
    <w:rPr>
      <w:sz w:val="20"/>
    </w:rPr>
  </w:style>
  <w:style w:type="paragraph" w:customStyle="1" w:styleId="CTA3a">
    <w:name w:val="CTA 3(a)"/>
    <w:basedOn w:val="OPCParaBase"/>
    <w:rsid w:val="000422C2"/>
    <w:pPr>
      <w:tabs>
        <w:tab w:val="right" w:pos="556"/>
      </w:tabs>
      <w:spacing w:before="40" w:line="240" w:lineRule="atLeast"/>
      <w:ind w:left="805" w:hanging="805"/>
    </w:pPr>
    <w:rPr>
      <w:sz w:val="20"/>
    </w:rPr>
  </w:style>
  <w:style w:type="paragraph" w:customStyle="1" w:styleId="CTA3ai">
    <w:name w:val="CTA 3(a)(i)"/>
    <w:basedOn w:val="OPCParaBase"/>
    <w:rsid w:val="000422C2"/>
    <w:pPr>
      <w:tabs>
        <w:tab w:val="right" w:pos="1140"/>
      </w:tabs>
      <w:spacing w:before="40" w:line="240" w:lineRule="atLeast"/>
      <w:ind w:left="1361" w:hanging="1361"/>
    </w:pPr>
    <w:rPr>
      <w:sz w:val="20"/>
    </w:rPr>
  </w:style>
  <w:style w:type="paragraph" w:customStyle="1" w:styleId="CTA4a">
    <w:name w:val="CTA 4(a)"/>
    <w:basedOn w:val="OPCParaBase"/>
    <w:rsid w:val="000422C2"/>
    <w:pPr>
      <w:tabs>
        <w:tab w:val="right" w:pos="624"/>
      </w:tabs>
      <w:spacing w:before="40" w:line="240" w:lineRule="atLeast"/>
      <w:ind w:left="873" w:hanging="873"/>
    </w:pPr>
    <w:rPr>
      <w:sz w:val="20"/>
    </w:rPr>
  </w:style>
  <w:style w:type="paragraph" w:customStyle="1" w:styleId="CTA4ai">
    <w:name w:val="CTA 4(a)(i)"/>
    <w:basedOn w:val="OPCParaBase"/>
    <w:rsid w:val="000422C2"/>
    <w:pPr>
      <w:tabs>
        <w:tab w:val="right" w:pos="1213"/>
      </w:tabs>
      <w:spacing w:before="40" w:line="240" w:lineRule="atLeast"/>
      <w:ind w:left="1452" w:hanging="1452"/>
    </w:pPr>
    <w:rPr>
      <w:sz w:val="20"/>
    </w:rPr>
  </w:style>
  <w:style w:type="paragraph" w:customStyle="1" w:styleId="CTACAPS">
    <w:name w:val="CTA CAPS"/>
    <w:basedOn w:val="OPCParaBase"/>
    <w:rsid w:val="000422C2"/>
    <w:pPr>
      <w:spacing w:before="60" w:line="240" w:lineRule="atLeast"/>
    </w:pPr>
    <w:rPr>
      <w:sz w:val="20"/>
    </w:rPr>
  </w:style>
  <w:style w:type="paragraph" w:customStyle="1" w:styleId="CTAright">
    <w:name w:val="CTA right"/>
    <w:basedOn w:val="OPCParaBase"/>
    <w:rsid w:val="000422C2"/>
    <w:pPr>
      <w:spacing w:before="60" w:line="240" w:lineRule="auto"/>
      <w:jc w:val="right"/>
    </w:pPr>
    <w:rPr>
      <w:sz w:val="20"/>
    </w:rPr>
  </w:style>
  <w:style w:type="paragraph" w:customStyle="1" w:styleId="subsection">
    <w:name w:val="subsection"/>
    <w:aliases w:val="ss"/>
    <w:basedOn w:val="OPCParaBase"/>
    <w:rsid w:val="000422C2"/>
    <w:pPr>
      <w:tabs>
        <w:tab w:val="right" w:pos="1021"/>
      </w:tabs>
      <w:spacing w:before="180" w:line="240" w:lineRule="auto"/>
      <w:ind w:left="1134" w:hanging="1134"/>
    </w:pPr>
  </w:style>
  <w:style w:type="paragraph" w:customStyle="1" w:styleId="Definition">
    <w:name w:val="Definition"/>
    <w:aliases w:val="dd"/>
    <w:basedOn w:val="OPCParaBase"/>
    <w:rsid w:val="000422C2"/>
    <w:pPr>
      <w:spacing w:before="180" w:line="240" w:lineRule="auto"/>
      <w:ind w:left="1134"/>
    </w:pPr>
  </w:style>
  <w:style w:type="paragraph" w:customStyle="1" w:styleId="ETAsubitem">
    <w:name w:val="ETA(subitem)"/>
    <w:basedOn w:val="OPCParaBase"/>
    <w:rsid w:val="000422C2"/>
    <w:pPr>
      <w:tabs>
        <w:tab w:val="right" w:pos="340"/>
      </w:tabs>
      <w:spacing w:before="60" w:line="240" w:lineRule="auto"/>
      <w:ind w:left="454" w:hanging="454"/>
    </w:pPr>
    <w:rPr>
      <w:sz w:val="20"/>
    </w:rPr>
  </w:style>
  <w:style w:type="paragraph" w:customStyle="1" w:styleId="ETApara">
    <w:name w:val="ETA(para)"/>
    <w:basedOn w:val="OPCParaBase"/>
    <w:rsid w:val="000422C2"/>
    <w:pPr>
      <w:tabs>
        <w:tab w:val="right" w:pos="754"/>
      </w:tabs>
      <w:spacing w:before="60" w:line="240" w:lineRule="auto"/>
      <w:ind w:left="828" w:hanging="828"/>
    </w:pPr>
    <w:rPr>
      <w:sz w:val="20"/>
    </w:rPr>
  </w:style>
  <w:style w:type="paragraph" w:customStyle="1" w:styleId="ETAsubpara">
    <w:name w:val="ETA(subpara)"/>
    <w:basedOn w:val="OPCParaBase"/>
    <w:rsid w:val="000422C2"/>
    <w:pPr>
      <w:tabs>
        <w:tab w:val="right" w:pos="1083"/>
      </w:tabs>
      <w:spacing w:before="60" w:line="240" w:lineRule="auto"/>
      <w:ind w:left="1191" w:hanging="1191"/>
    </w:pPr>
    <w:rPr>
      <w:sz w:val="20"/>
    </w:rPr>
  </w:style>
  <w:style w:type="paragraph" w:customStyle="1" w:styleId="ETAsub-subpara">
    <w:name w:val="ETA(sub-subpara)"/>
    <w:basedOn w:val="OPCParaBase"/>
    <w:rsid w:val="000422C2"/>
    <w:pPr>
      <w:tabs>
        <w:tab w:val="right" w:pos="1412"/>
      </w:tabs>
      <w:spacing w:before="60" w:line="240" w:lineRule="auto"/>
      <w:ind w:left="1525" w:hanging="1525"/>
    </w:pPr>
    <w:rPr>
      <w:sz w:val="20"/>
    </w:rPr>
  </w:style>
  <w:style w:type="paragraph" w:customStyle="1" w:styleId="Formula">
    <w:name w:val="Formula"/>
    <w:basedOn w:val="OPCParaBase"/>
    <w:rsid w:val="000422C2"/>
    <w:pPr>
      <w:spacing w:line="240" w:lineRule="auto"/>
      <w:ind w:left="1134"/>
    </w:pPr>
    <w:rPr>
      <w:sz w:val="20"/>
    </w:rPr>
  </w:style>
  <w:style w:type="paragraph" w:styleId="Header">
    <w:name w:val="header"/>
    <w:basedOn w:val="OPCParaBase"/>
    <w:link w:val="HeaderChar"/>
    <w:unhideWhenUsed/>
    <w:rsid w:val="000422C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422C2"/>
    <w:rPr>
      <w:rFonts w:eastAsia="Times New Roman" w:cs="Times New Roman"/>
      <w:sz w:val="16"/>
      <w:lang w:eastAsia="en-AU"/>
    </w:rPr>
  </w:style>
  <w:style w:type="paragraph" w:customStyle="1" w:styleId="House">
    <w:name w:val="House"/>
    <w:basedOn w:val="OPCParaBase"/>
    <w:rsid w:val="000422C2"/>
    <w:pPr>
      <w:spacing w:line="240" w:lineRule="auto"/>
    </w:pPr>
    <w:rPr>
      <w:sz w:val="28"/>
    </w:rPr>
  </w:style>
  <w:style w:type="paragraph" w:customStyle="1" w:styleId="Item">
    <w:name w:val="Item"/>
    <w:aliases w:val="i"/>
    <w:basedOn w:val="OPCParaBase"/>
    <w:next w:val="ItemHead"/>
    <w:rsid w:val="000422C2"/>
    <w:pPr>
      <w:keepLines/>
      <w:spacing w:before="80" w:line="240" w:lineRule="auto"/>
      <w:ind w:left="709"/>
    </w:pPr>
  </w:style>
  <w:style w:type="paragraph" w:customStyle="1" w:styleId="ItemHead">
    <w:name w:val="ItemHead"/>
    <w:aliases w:val="ih"/>
    <w:basedOn w:val="OPCParaBase"/>
    <w:next w:val="Item"/>
    <w:rsid w:val="000422C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422C2"/>
    <w:pPr>
      <w:spacing w:line="240" w:lineRule="auto"/>
    </w:pPr>
    <w:rPr>
      <w:b/>
      <w:sz w:val="32"/>
    </w:rPr>
  </w:style>
  <w:style w:type="paragraph" w:customStyle="1" w:styleId="notedraft">
    <w:name w:val="note(draft)"/>
    <w:aliases w:val="nd"/>
    <w:basedOn w:val="OPCParaBase"/>
    <w:rsid w:val="000422C2"/>
    <w:pPr>
      <w:spacing w:before="240" w:line="240" w:lineRule="auto"/>
      <w:ind w:left="284" w:hanging="284"/>
    </w:pPr>
    <w:rPr>
      <w:i/>
      <w:sz w:val="24"/>
    </w:rPr>
  </w:style>
  <w:style w:type="paragraph" w:customStyle="1" w:styleId="notemargin">
    <w:name w:val="note(margin)"/>
    <w:aliases w:val="nm"/>
    <w:basedOn w:val="OPCParaBase"/>
    <w:rsid w:val="000422C2"/>
    <w:pPr>
      <w:tabs>
        <w:tab w:val="left" w:pos="709"/>
      </w:tabs>
      <w:spacing w:before="122" w:line="198" w:lineRule="exact"/>
      <w:ind w:left="709" w:hanging="709"/>
    </w:pPr>
    <w:rPr>
      <w:sz w:val="18"/>
    </w:rPr>
  </w:style>
  <w:style w:type="paragraph" w:customStyle="1" w:styleId="noteToPara">
    <w:name w:val="noteToPara"/>
    <w:aliases w:val="ntp"/>
    <w:basedOn w:val="OPCParaBase"/>
    <w:rsid w:val="000422C2"/>
    <w:pPr>
      <w:spacing w:before="122" w:line="198" w:lineRule="exact"/>
      <w:ind w:left="2353" w:hanging="709"/>
    </w:pPr>
    <w:rPr>
      <w:sz w:val="18"/>
    </w:rPr>
  </w:style>
  <w:style w:type="paragraph" w:customStyle="1" w:styleId="noteParlAmend">
    <w:name w:val="note(ParlAmend)"/>
    <w:aliases w:val="npp"/>
    <w:basedOn w:val="OPCParaBase"/>
    <w:next w:val="ParlAmend"/>
    <w:rsid w:val="000422C2"/>
    <w:pPr>
      <w:spacing w:line="240" w:lineRule="auto"/>
      <w:jc w:val="right"/>
    </w:pPr>
    <w:rPr>
      <w:rFonts w:ascii="Arial" w:hAnsi="Arial"/>
      <w:b/>
      <w:i/>
    </w:rPr>
  </w:style>
  <w:style w:type="paragraph" w:customStyle="1" w:styleId="Page1">
    <w:name w:val="Page1"/>
    <w:basedOn w:val="OPCParaBase"/>
    <w:rsid w:val="000422C2"/>
    <w:pPr>
      <w:spacing w:before="5600" w:line="240" w:lineRule="auto"/>
    </w:pPr>
    <w:rPr>
      <w:b/>
      <w:sz w:val="32"/>
    </w:rPr>
  </w:style>
  <w:style w:type="paragraph" w:customStyle="1" w:styleId="PageBreak">
    <w:name w:val="PageBreak"/>
    <w:aliases w:val="pb"/>
    <w:basedOn w:val="OPCParaBase"/>
    <w:rsid w:val="000422C2"/>
    <w:pPr>
      <w:spacing w:line="240" w:lineRule="auto"/>
    </w:pPr>
    <w:rPr>
      <w:sz w:val="20"/>
    </w:rPr>
  </w:style>
  <w:style w:type="paragraph" w:customStyle="1" w:styleId="paragraphsub">
    <w:name w:val="paragraph(sub)"/>
    <w:aliases w:val="aa"/>
    <w:basedOn w:val="OPCParaBase"/>
    <w:rsid w:val="000422C2"/>
    <w:pPr>
      <w:tabs>
        <w:tab w:val="right" w:pos="1985"/>
      </w:tabs>
      <w:spacing w:before="40" w:line="240" w:lineRule="auto"/>
      <w:ind w:left="2098" w:hanging="2098"/>
    </w:pPr>
  </w:style>
  <w:style w:type="paragraph" w:customStyle="1" w:styleId="paragraphsub-sub">
    <w:name w:val="paragraph(sub-sub)"/>
    <w:aliases w:val="aaa"/>
    <w:basedOn w:val="OPCParaBase"/>
    <w:rsid w:val="000422C2"/>
    <w:pPr>
      <w:tabs>
        <w:tab w:val="right" w:pos="2722"/>
      </w:tabs>
      <w:spacing w:before="40" w:line="240" w:lineRule="auto"/>
      <w:ind w:left="2835" w:hanging="2835"/>
    </w:pPr>
  </w:style>
  <w:style w:type="paragraph" w:customStyle="1" w:styleId="paragraph">
    <w:name w:val="paragraph"/>
    <w:aliases w:val="a"/>
    <w:basedOn w:val="OPCParaBase"/>
    <w:rsid w:val="000422C2"/>
    <w:pPr>
      <w:tabs>
        <w:tab w:val="right" w:pos="1531"/>
      </w:tabs>
      <w:spacing w:before="40" w:line="240" w:lineRule="auto"/>
      <w:ind w:left="1644" w:hanging="1644"/>
    </w:pPr>
  </w:style>
  <w:style w:type="paragraph" w:customStyle="1" w:styleId="ParlAmend">
    <w:name w:val="ParlAmend"/>
    <w:aliases w:val="pp"/>
    <w:basedOn w:val="OPCParaBase"/>
    <w:rsid w:val="000422C2"/>
    <w:pPr>
      <w:spacing w:before="240" w:line="240" w:lineRule="atLeast"/>
      <w:ind w:hanging="567"/>
    </w:pPr>
    <w:rPr>
      <w:sz w:val="24"/>
    </w:rPr>
  </w:style>
  <w:style w:type="paragraph" w:customStyle="1" w:styleId="Penalty">
    <w:name w:val="Penalty"/>
    <w:basedOn w:val="OPCParaBase"/>
    <w:rsid w:val="000422C2"/>
    <w:pPr>
      <w:tabs>
        <w:tab w:val="left" w:pos="2977"/>
      </w:tabs>
      <w:spacing w:before="180" w:line="240" w:lineRule="auto"/>
      <w:ind w:left="1985" w:hanging="851"/>
    </w:pPr>
  </w:style>
  <w:style w:type="paragraph" w:customStyle="1" w:styleId="Portfolio">
    <w:name w:val="Portfolio"/>
    <w:basedOn w:val="OPCParaBase"/>
    <w:rsid w:val="000422C2"/>
    <w:pPr>
      <w:spacing w:line="240" w:lineRule="auto"/>
    </w:pPr>
    <w:rPr>
      <w:i/>
      <w:sz w:val="20"/>
    </w:rPr>
  </w:style>
  <w:style w:type="paragraph" w:customStyle="1" w:styleId="Preamble">
    <w:name w:val="Preamble"/>
    <w:basedOn w:val="OPCParaBase"/>
    <w:next w:val="Normal"/>
    <w:rsid w:val="000422C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422C2"/>
    <w:pPr>
      <w:spacing w:line="240" w:lineRule="auto"/>
    </w:pPr>
    <w:rPr>
      <w:i/>
      <w:sz w:val="20"/>
    </w:rPr>
  </w:style>
  <w:style w:type="paragraph" w:customStyle="1" w:styleId="Session">
    <w:name w:val="Session"/>
    <w:basedOn w:val="OPCParaBase"/>
    <w:rsid w:val="000422C2"/>
    <w:pPr>
      <w:spacing w:line="240" w:lineRule="auto"/>
    </w:pPr>
    <w:rPr>
      <w:sz w:val="28"/>
    </w:rPr>
  </w:style>
  <w:style w:type="paragraph" w:customStyle="1" w:styleId="Sponsor">
    <w:name w:val="Sponsor"/>
    <w:basedOn w:val="OPCParaBase"/>
    <w:rsid w:val="000422C2"/>
    <w:pPr>
      <w:spacing w:line="240" w:lineRule="auto"/>
    </w:pPr>
    <w:rPr>
      <w:i/>
    </w:rPr>
  </w:style>
  <w:style w:type="paragraph" w:customStyle="1" w:styleId="Subitem">
    <w:name w:val="Subitem"/>
    <w:aliases w:val="iss"/>
    <w:basedOn w:val="OPCParaBase"/>
    <w:rsid w:val="000422C2"/>
    <w:pPr>
      <w:spacing w:before="180" w:line="240" w:lineRule="auto"/>
      <w:ind w:left="709" w:hanging="709"/>
    </w:pPr>
  </w:style>
  <w:style w:type="paragraph" w:customStyle="1" w:styleId="SubitemHead">
    <w:name w:val="SubitemHead"/>
    <w:aliases w:val="issh"/>
    <w:basedOn w:val="OPCParaBase"/>
    <w:rsid w:val="000422C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422C2"/>
    <w:pPr>
      <w:spacing w:before="40" w:line="240" w:lineRule="auto"/>
      <w:ind w:left="1134"/>
    </w:pPr>
  </w:style>
  <w:style w:type="paragraph" w:customStyle="1" w:styleId="SubsectionHead">
    <w:name w:val="SubsectionHead"/>
    <w:aliases w:val="ssh"/>
    <w:basedOn w:val="OPCParaBase"/>
    <w:next w:val="subsection"/>
    <w:rsid w:val="000422C2"/>
    <w:pPr>
      <w:keepNext/>
      <w:keepLines/>
      <w:spacing w:before="240" w:line="240" w:lineRule="auto"/>
      <w:ind w:left="1134"/>
    </w:pPr>
    <w:rPr>
      <w:i/>
    </w:rPr>
  </w:style>
  <w:style w:type="paragraph" w:customStyle="1" w:styleId="Tablea">
    <w:name w:val="Table(a)"/>
    <w:aliases w:val="ta"/>
    <w:basedOn w:val="OPCParaBase"/>
    <w:rsid w:val="000422C2"/>
    <w:pPr>
      <w:spacing w:before="60" w:line="240" w:lineRule="auto"/>
      <w:ind w:left="284" w:hanging="284"/>
    </w:pPr>
    <w:rPr>
      <w:sz w:val="20"/>
    </w:rPr>
  </w:style>
  <w:style w:type="paragraph" w:customStyle="1" w:styleId="TableAA">
    <w:name w:val="Table(AA)"/>
    <w:aliases w:val="taaa"/>
    <w:basedOn w:val="OPCParaBase"/>
    <w:rsid w:val="000422C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22C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422C2"/>
    <w:pPr>
      <w:spacing w:before="60" w:line="240" w:lineRule="atLeast"/>
    </w:pPr>
    <w:rPr>
      <w:sz w:val="20"/>
    </w:rPr>
  </w:style>
  <w:style w:type="paragraph" w:customStyle="1" w:styleId="TLPBoxTextnote">
    <w:name w:val="TLPBoxText(note"/>
    <w:aliases w:val="right)"/>
    <w:basedOn w:val="OPCParaBase"/>
    <w:rsid w:val="000422C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22C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422C2"/>
    <w:pPr>
      <w:spacing w:before="122" w:line="198" w:lineRule="exact"/>
      <w:ind w:left="1985" w:hanging="851"/>
      <w:jc w:val="right"/>
    </w:pPr>
    <w:rPr>
      <w:sz w:val="18"/>
    </w:rPr>
  </w:style>
  <w:style w:type="paragraph" w:customStyle="1" w:styleId="TLPTableBullet">
    <w:name w:val="TLPTableBullet"/>
    <w:aliases w:val="ttb"/>
    <w:basedOn w:val="OPCParaBase"/>
    <w:rsid w:val="000422C2"/>
    <w:pPr>
      <w:spacing w:line="240" w:lineRule="exact"/>
      <w:ind w:left="284" w:hanging="284"/>
    </w:pPr>
    <w:rPr>
      <w:sz w:val="20"/>
    </w:rPr>
  </w:style>
  <w:style w:type="paragraph" w:styleId="TOC1">
    <w:name w:val="toc 1"/>
    <w:basedOn w:val="OPCParaBase"/>
    <w:next w:val="Normal"/>
    <w:uiPriority w:val="39"/>
    <w:semiHidden/>
    <w:unhideWhenUsed/>
    <w:rsid w:val="000422C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422C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422C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422C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422C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422C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422C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422C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422C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422C2"/>
    <w:pPr>
      <w:keepLines/>
      <w:spacing w:before="240" w:after="120" w:line="240" w:lineRule="auto"/>
      <w:ind w:left="794"/>
    </w:pPr>
    <w:rPr>
      <w:b/>
      <w:kern w:val="28"/>
      <w:sz w:val="20"/>
    </w:rPr>
  </w:style>
  <w:style w:type="paragraph" w:customStyle="1" w:styleId="TofSectsHeading">
    <w:name w:val="TofSects(Heading)"/>
    <w:basedOn w:val="OPCParaBase"/>
    <w:rsid w:val="000422C2"/>
    <w:pPr>
      <w:spacing w:before="240" w:after="120" w:line="240" w:lineRule="auto"/>
    </w:pPr>
    <w:rPr>
      <w:b/>
      <w:sz w:val="24"/>
    </w:rPr>
  </w:style>
  <w:style w:type="paragraph" w:customStyle="1" w:styleId="TofSectsSection">
    <w:name w:val="TofSects(Section)"/>
    <w:basedOn w:val="OPCParaBase"/>
    <w:rsid w:val="000422C2"/>
    <w:pPr>
      <w:keepLines/>
      <w:spacing w:before="40" w:line="240" w:lineRule="auto"/>
      <w:ind w:left="1588" w:hanging="794"/>
    </w:pPr>
    <w:rPr>
      <w:kern w:val="28"/>
      <w:sz w:val="18"/>
    </w:rPr>
  </w:style>
  <w:style w:type="paragraph" w:customStyle="1" w:styleId="TofSectsSubdiv">
    <w:name w:val="TofSects(Subdiv)"/>
    <w:basedOn w:val="OPCParaBase"/>
    <w:rsid w:val="000422C2"/>
    <w:pPr>
      <w:keepLines/>
      <w:spacing w:before="80" w:line="240" w:lineRule="auto"/>
      <w:ind w:left="1588" w:hanging="794"/>
    </w:pPr>
    <w:rPr>
      <w:kern w:val="28"/>
    </w:rPr>
  </w:style>
  <w:style w:type="paragraph" w:customStyle="1" w:styleId="WRStyle">
    <w:name w:val="WR Style"/>
    <w:aliases w:val="WR"/>
    <w:basedOn w:val="OPCParaBase"/>
    <w:rsid w:val="000422C2"/>
    <w:pPr>
      <w:spacing w:before="240" w:line="240" w:lineRule="auto"/>
      <w:ind w:left="284" w:hanging="284"/>
    </w:pPr>
    <w:rPr>
      <w:b/>
      <w:i/>
      <w:kern w:val="28"/>
      <w:sz w:val="24"/>
    </w:rPr>
  </w:style>
  <w:style w:type="paragraph" w:customStyle="1" w:styleId="notepara">
    <w:name w:val="note(para)"/>
    <w:aliases w:val="na"/>
    <w:basedOn w:val="OPCParaBase"/>
    <w:rsid w:val="000422C2"/>
    <w:pPr>
      <w:spacing w:before="40" w:line="198" w:lineRule="exact"/>
      <w:ind w:left="2354" w:hanging="369"/>
    </w:pPr>
    <w:rPr>
      <w:sz w:val="18"/>
    </w:rPr>
  </w:style>
  <w:style w:type="paragraph" w:styleId="Footer">
    <w:name w:val="footer"/>
    <w:link w:val="FooterChar"/>
    <w:rsid w:val="000422C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422C2"/>
    <w:rPr>
      <w:rFonts w:eastAsia="Times New Roman" w:cs="Times New Roman"/>
      <w:sz w:val="22"/>
      <w:szCs w:val="24"/>
      <w:lang w:eastAsia="en-AU"/>
    </w:rPr>
  </w:style>
  <w:style w:type="character" w:styleId="LineNumber">
    <w:name w:val="line number"/>
    <w:basedOn w:val="OPCCharBase"/>
    <w:uiPriority w:val="99"/>
    <w:semiHidden/>
    <w:unhideWhenUsed/>
    <w:rsid w:val="000422C2"/>
    <w:rPr>
      <w:sz w:val="16"/>
    </w:rPr>
  </w:style>
  <w:style w:type="table" w:customStyle="1" w:styleId="CFlag">
    <w:name w:val="CFlag"/>
    <w:basedOn w:val="TableNormal"/>
    <w:uiPriority w:val="99"/>
    <w:rsid w:val="000422C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22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2C2"/>
    <w:rPr>
      <w:rFonts w:ascii="Tahoma" w:hAnsi="Tahoma" w:cs="Tahoma"/>
      <w:sz w:val="16"/>
      <w:szCs w:val="16"/>
    </w:rPr>
  </w:style>
  <w:style w:type="character" w:styleId="Hyperlink">
    <w:name w:val="Hyperlink"/>
    <w:basedOn w:val="DefaultParagraphFont"/>
    <w:rsid w:val="000422C2"/>
    <w:rPr>
      <w:color w:val="0000FF"/>
      <w:u w:val="single"/>
    </w:rPr>
  </w:style>
  <w:style w:type="table" w:styleId="TableGrid">
    <w:name w:val="Table Grid"/>
    <w:basedOn w:val="TableNormal"/>
    <w:uiPriority w:val="59"/>
    <w:rsid w:val="00042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0422C2"/>
    <w:rPr>
      <w:b/>
      <w:sz w:val="28"/>
      <w:szCs w:val="32"/>
    </w:rPr>
  </w:style>
  <w:style w:type="paragraph" w:customStyle="1" w:styleId="TerritoryT">
    <w:name w:val="TerritoryT"/>
    <w:basedOn w:val="OPCParaBase"/>
    <w:next w:val="Normal"/>
    <w:rsid w:val="000422C2"/>
    <w:rPr>
      <w:b/>
      <w:sz w:val="32"/>
    </w:rPr>
  </w:style>
  <w:style w:type="paragraph" w:customStyle="1" w:styleId="LegislationMadeUnder">
    <w:name w:val="LegislationMadeUnder"/>
    <w:basedOn w:val="OPCParaBase"/>
    <w:next w:val="Normal"/>
    <w:rsid w:val="000422C2"/>
    <w:rPr>
      <w:i/>
      <w:sz w:val="32"/>
      <w:szCs w:val="32"/>
    </w:rPr>
  </w:style>
  <w:style w:type="paragraph" w:customStyle="1" w:styleId="SignCoverPageEnd">
    <w:name w:val="SignCoverPageEnd"/>
    <w:basedOn w:val="OPCParaBase"/>
    <w:next w:val="Normal"/>
    <w:rsid w:val="000422C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422C2"/>
    <w:pPr>
      <w:pBdr>
        <w:top w:val="single" w:sz="4" w:space="1" w:color="auto"/>
      </w:pBdr>
      <w:spacing w:before="360"/>
      <w:ind w:right="397"/>
      <w:jc w:val="both"/>
    </w:pPr>
  </w:style>
  <w:style w:type="paragraph" w:customStyle="1" w:styleId="NotesHeading1">
    <w:name w:val="NotesHeading 1"/>
    <w:basedOn w:val="OPCParaBase"/>
    <w:next w:val="Normal"/>
    <w:rsid w:val="000422C2"/>
    <w:rPr>
      <w:b/>
      <w:sz w:val="28"/>
      <w:szCs w:val="28"/>
    </w:rPr>
  </w:style>
  <w:style w:type="paragraph" w:customStyle="1" w:styleId="NotesHeading2">
    <w:name w:val="NotesHeading 2"/>
    <w:basedOn w:val="OPCParaBase"/>
    <w:next w:val="Normal"/>
    <w:rsid w:val="000422C2"/>
    <w:rPr>
      <w:b/>
      <w:sz w:val="28"/>
      <w:szCs w:val="28"/>
    </w:rPr>
  </w:style>
  <w:style w:type="paragraph" w:customStyle="1" w:styleId="ENotesText">
    <w:name w:val="ENotesText"/>
    <w:basedOn w:val="OPCParaBase"/>
    <w:next w:val="Normal"/>
    <w:rsid w:val="000422C2"/>
  </w:style>
  <w:style w:type="paragraph" w:customStyle="1" w:styleId="CompiledActNo">
    <w:name w:val="CompiledActNo"/>
    <w:basedOn w:val="OPCParaBase"/>
    <w:next w:val="Normal"/>
    <w:rsid w:val="000422C2"/>
    <w:rPr>
      <w:b/>
      <w:sz w:val="24"/>
      <w:szCs w:val="24"/>
    </w:rPr>
  </w:style>
  <w:style w:type="paragraph" w:customStyle="1" w:styleId="CompiledMadeUnder">
    <w:name w:val="CompiledMadeUnder"/>
    <w:basedOn w:val="OPCParaBase"/>
    <w:next w:val="Normal"/>
    <w:rsid w:val="000422C2"/>
    <w:rPr>
      <w:i/>
      <w:sz w:val="24"/>
      <w:szCs w:val="24"/>
    </w:rPr>
  </w:style>
  <w:style w:type="paragraph" w:customStyle="1" w:styleId="Paragraphsub-sub-sub">
    <w:name w:val="Paragraph(sub-sub-sub)"/>
    <w:aliases w:val="aaaa"/>
    <w:basedOn w:val="OPCParaBase"/>
    <w:rsid w:val="000422C2"/>
    <w:pPr>
      <w:tabs>
        <w:tab w:val="right" w:pos="3402"/>
      </w:tabs>
      <w:spacing w:before="40" w:line="240" w:lineRule="auto"/>
      <w:ind w:left="3402" w:hanging="3402"/>
    </w:pPr>
  </w:style>
  <w:style w:type="paragraph" w:customStyle="1" w:styleId="NoteToSubpara">
    <w:name w:val="NoteToSubpara"/>
    <w:aliases w:val="nts"/>
    <w:basedOn w:val="OPCParaBase"/>
    <w:rsid w:val="000422C2"/>
    <w:pPr>
      <w:spacing w:before="40" w:line="198" w:lineRule="exact"/>
      <w:ind w:left="2835" w:hanging="709"/>
    </w:pPr>
    <w:rPr>
      <w:sz w:val="18"/>
    </w:rPr>
  </w:style>
  <w:style w:type="paragraph" w:customStyle="1" w:styleId="EndNotespara">
    <w:name w:val="EndNotes(para)"/>
    <w:aliases w:val="eta"/>
    <w:basedOn w:val="OPCParaBase"/>
    <w:next w:val="Normal"/>
    <w:rsid w:val="000422C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22C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0422C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22C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422C2"/>
    <w:pPr>
      <w:keepNext/>
      <w:spacing w:before="60" w:line="240" w:lineRule="atLeast"/>
    </w:pPr>
    <w:rPr>
      <w:rFonts w:ascii="Arial" w:hAnsi="Arial"/>
      <w:b/>
      <w:sz w:val="16"/>
    </w:rPr>
  </w:style>
  <w:style w:type="paragraph" w:customStyle="1" w:styleId="ENoteTTi">
    <w:name w:val="ENoteTTi"/>
    <w:aliases w:val="entti"/>
    <w:basedOn w:val="OPCParaBase"/>
    <w:rsid w:val="000422C2"/>
    <w:pPr>
      <w:keepNext/>
      <w:spacing w:before="60" w:line="240" w:lineRule="atLeast"/>
      <w:ind w:left="170"/>
    </w:pPr>
    <w:rPr>
      <w:sz w:val="16"/>
    </w:rPr>
  </w:style>
  <w:style w:type="paragraph" w:customStyle="1" w:styleId="ENotesHeading1">
    <w:name w:val="ENotesHeading 1"/>
    <w:aliases w:val="Enh1"/>
    <w:basedOn w:val="OPCParaBase"/>
    <w:next w:val="Normal"/>
    <w:rsid w:val="000422C2"/>
    <w:pPr>
      <w:spacing w:before="120"/>
      <w:outlineLvl w:val="1"/>
    </w:pPr>
    <w:rPr>
      <w:b/>
      <w:sz w:val="28"/>
      <w:szCs w:val="28"/>
    </w:rPr>
  </w:style>
  <w:style w:type="paragraph" w:customStyle="1" w:styleId="ENotesHeading2">
    <w:name w:val="ENotesHeading 2"/>
    <w:aliases w:val="Enh2"/>
    <w:basedOn w:val="OPCParaBase"/>
    <w:next w:val="Normal"/>
    <w:rsid w:val="000422C2"/>
    <w:pPr>
      <w:spacing w:before="120" w:after="120"/>
      <w:outlineLvl w:val="2"/>
    </w:pPr>
    <w:rPr>
      <w:b/>
      <w:sz w:val="24"/>
      <w:szCs w:val="28"/>
    </w:rPr>
  </w:style>
  <w:style w:type="paragraph" w:customStyle="1" w:styleId="ENoteTTIndentHeading">
    <w:name w:val="ENoteTTIndentHeading"/>
    <w:aliases w:val="enTTHi"/>
    <w:basedOn w:val="OPCParaBase"/>
    <w:rsid w:val="000422C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422C2"/>
    <w:pPr>
      <w:spacing w:before="60" w:line="240" w:lineRule="atLeast"/>
    </w:pPr>
    <w:rPr>
      <w:sz w:val="16"/>
    </w:rPr>
  </w:style>
  <w:style w:type="paragraph" w:customStyle="1" w:styleId="MadeunderText">
    <w:name w:val="MadeunderText"/>
    <w:basedOn w:val="OPCParaBase"/>
    <w:next w:val="CompiledMadeUnder"/>
    <w:rsid w:val="000422C2"/>
    <w:pPr>
      <w:spacing w:before="240"/>
    </w:pPr>
    <w:rPr>
      <w:sz w:val="24"/>
      <w:szCs w:val="24"/>
    </w:rPr>
  </w:style>
  <w:style w:type="paragraph" w:customStyle="1" w:styleId="ENotesHeading3">
    <w:name w:val="ENotesHeading 3"/>
    <w:aliases w:val="Enh3"/>
    <w:basedOn w:val="OPCParaBase"/>
    <w:next w:val="Normal"/>
    <w:rsid w:val="000422C2"/>
    <w:pPr>
      <w:keepNext/>
      <w:spacing w:before="120" w:line="240" w:lineRule="auto"/>
      <w:outlineLvl w:val="4"/>
    </w:pPr>
    <w:rPr>
      <w:b/>
      <w:szCs w:val="24"/>
    </w:rPr>
  </w:style>
  <w:style w:type="paragraph" w:customStyle="1" w:styleId="SubPartCASA">
    <w:name w:val="SubPart(CASA)"/>
    <w:aliases w:val="csp"/>
    <w:basedOn w:val="OPCParaBase"/>
    <w:next w:val="ActHead3"/>
    <w:rsid w:val="000422C2"/>
    <w:pPr>
      <w:keepNext/>
      <w:keepLines/>
      <w:spacing w:before="280"/>
      <w:outlineLvl w:val="1"/>
    </w:pPr>
    <w:rPr>
      <w:b/>
      <w:kern w:val="28"/>
      <w:sz w:val="32"/>
    </w:rPr>
  </w:style>
  <w:style w:type="character" w:customStyle="1" w:styleId="CharSubPartTextCASA">
    <w:name w:val="CharSubPartText(CASA)"/>
    <w:basedOn w:val="OPCCharBase"/>
    <w:uiPriority w:val="1"/>
    <w:rsid w:val="000422C2"/>
  </w:style>
  <w:style w:type="character" w:customStyle="1" w:styleId="CharSubPartNoCASA">
    <w:name w:val="CharSubPartNo(CASA)"/>
    <w:basedOn w:val="OPCCharBase"/>
    <w:uiPriority w:val="1"/>
    <w:rsid w:val="000422C2"/>
  </w:style>
  <w:style w:type="paragraph" w:customStyle="1" w:styleId="ENoteTTIndentHeadingSub">
    <w:name w:val="ENoteTTIndentHeadingSub"/>
    <w:aliases w:val="enTTHis"/>
    <w:basedOn w:val="OPCParaBase"/>
    <w:rsid w:val="000422C2"/>
    <w:pPr>
      <w:keepNext/>
      <w:spacing w:before="60" w:line="240" w:lineRule="atLeast"/>
      <w:ind w:left="340"/>
    </w:pPr>
    <w:rPr>
      <w:b/>
      <w:sz w:val="16"/>
    </w:rPr>
  </w:style>
  <w:style w:type="paragraph" w:customStyle="1" w:styleId="ENoteTTiSub">
    <w:name w:val="ENoteTTiSub"/>
    <w:aliases w:val="enttis"/>
    <w:basedOn w:val="OPCParaBase"/>
    <w:rsid w:val="000422C2"/>
    <w:pPr>
      <w:keepNext/>
      <w:spacing w:before="60" w:line="240" w:lineRule="atLeast"/>
      <w:ind w:left="340"/>
    </w:pPr>
    <w:rPr>
      <w:sz w:val="16"/>
    </w:rPr>
  </w:style>
  <w:style w:type="paragraph" w:customStyle="1" w:styleId="SubDivisionMigration">
    <w:name w:val="SubDivisionMigration"/>
    <w:aliases w:val="sdm"/>
    <w:basedOn w:val="OPCParaBase"/>
    <w:rsid w:val="000422C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422C2"/>
    <w:pPr>
      <w:keepNext/>
      <w:keepLines/>
      <w:spacing w:before="240" w:line="240" w:lineRule="auto"/>
      <w:ind w:left="1134" w:hanging="1134"/>
    </w:pPr>
    <w:rPr>
      <w:b/>
      <w:sz w:val="28"/>
    </w:rPr>
  </w:style>
  <w:style w:type="paragraph" w:customStyle="1" w:styleId="notetext">
    <w:name w:val="note(text)"/>
    <w:aliases w:val="n"/>
    <w:basedOn w:val="OPCParaBase"/>
    <w:rsid w:val="000422C2"/>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0422C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422C2"/>
    <w:rPr>
      <w:sz w:val="22"/>
    </w:rPr>
  </w:style>
  <w:style w:type="paragraph" w:customStyle="1" w:styleId="SOTextNote">
    <w:name w:val="SO TextNote"/>
    <w:aliases w:val="sont"/>
    <w:basedOn w:val="SOText"/>
    <w:qFormat/>
    <w:rsid w:val="000422C2"/>
    <w:pPr>
      <w:spacing w:before="122" w:line="198" w:lineRule="exact"/>
      <w:ind w:left="1843" w:hanging="709"/>
    </w:pPr>
    <w:rPr>
      <w:sz w:val="18"/>
    </w:rPr>
  </w:style>
  <w:style w:type="paragraph" w:customStyle="1" w:styleId="SOPara">
    <w:name w:val="SO Para"/>
    <w:aliases w:val="soa"/>
    <w:basedOn w:val="SOText"/>
    <w:link w:val="SOParaChar"/>
    <w:qFormat/>
    <w:rsid w:val="000422C2"/>
    <w:pPr>
      <w:tabs>
        <w:tab w:val="right" w:pos="1786"/>
      </w:tabs>
      <w:spacing w:before="40"/>
      <w:ind w:left="2070" w:hanging="936"/>
    </w:pPr>
  </w:style>
  <w:style w:type="character" w:customStyle="1" w:styleId="SOParaChar">
    <w:name w:val="SO Para Char"/>
    <w:aliases w:val="soa Char"/>
    <w:basedOn w:val="DefaultParagraphFont"/>
    <w:link w:val="SOPara"/>
    <w:rsid w:val="000422C2"/>
    <w:rPr>
      <w:sz w:val="22"/>
    </w:rPr>
  </w:style>
  <w:style w:type="paragraph" w:customStyle="1" w:styleId="FileName">
    <w:name w:val="FileName"/>
    <w:basedOn w:val="Normal"/>
    <w:rsid w:val="000422C2"/>
  </w:style>
  <w:style w:type="paragraph" w:customStyle="1" w:styleId="TableHeading">
    <w:name w:val="TableHeading"/>
    <w:aliases w:val="th"/>
    <w:basedOn w:val="OPCParaBase"/>
    <w:next w:val="Tabletext"/>
    <w:rsid w:val="000422C2"/>
    <w:pPr>
      <w:keepNext/>
      <w:spacing w:before="60" w:line="240" w:lineRule="atLeast"/>
    </w:pPr>
    <w:rPr>
      <w:b/>
      <w:sz w:val="20"/>
    </w:rPr>
  </w:style>
  <w:style w:type="paragraph" w:customStyle="1" w:styleId="SOHeadBold">
    <w:name w:val="SO HeadBold"/>
    <w:aliases w:val="sohb"/>
    <w:basedOn w:val="SOText"/>
    <w:next w:val="SOText"/>
    <w:link w:val="SOHeadBoldChar"/>
    <w:qFormat/>
    <w:rsid w:val="000422C2"/>
    <w:rPr>
      <w:b/>
    </w:rPr>
  </w:style>
  <w:style w:type="character" w:customStyle="1" w:styleId="SOHeadBoldChar">
    <w:name w:val="SO HeadBold Char"/>
    <w:aliases w:val="sohb Char"/>
    <w:basedOn w:val="DefaultParagraphFont"/>
    <w:link w:val="SOHeadBold"/>
    <w:rsid w:val="000422C2"/>
    <w:rPr>
      <w:b/>
      <w:sz w:val="22"/>
    </w:rPr>
  </w:style>
  <w:style w:type="paragraph" w:customStyle="1" w:styleId="SOHeadItalic">
    <w:name w:val="SO HeadItalic"/>
    <w:aliases w:val="sohi"/>
    <w:basedOn w:val="SOText"/>
    <w:next w:val="SOText"/>
    <w:link w:val="SOHeadItalicChar"/>
    <w:qFormat/>
    <w:rsid w:val="000422C2"/>
    <w:rPr>
      <w:i/>
    </w:rPr>
  </w:style>
  <w:style w:type="character" w:customStyle="1" w:styleId="SOHeadItalicChar">
    <w:name w:val="SO HeadItalic Char"/>
    <w:aliases w:val="sohi Char"/>
    <w:basedOn w:val="DefaultParagraphFont"/>
    <w:link w:val="SOHeadItalic"/>
    <w:rsid w:val="000422C2"/>
    <w:rPr>
      <w:i/>
      <w:sz w:val="22"/>
    </w:rPr>
  </w:style>
  <w:style w:type="paragraph" w:customStyle="1" w:styleId="SOBullet">
    <w:name w:val="SO Bullet"/>
    <w:aliases w:val="sotb"/>
    <w:basedOn w:val="SOText"/>
    <w:link w:val="SOBulletChar"/>
    <w:qFormat/>
    <w:rsid w:val="000422C2"/>
    <w:pPr>
      <w:ind w:left="1559" w:hanging="425"/>
    </w:pPr>
  </w:style>
  <w:style w:type="character" w:customStyle="1" w:styleId="SOBulletChar">
    <w:name w:val="SO Bullet Char"/>
    <w:aliases w:val="sotb Char"/>
    <w:basedOn w:val="DefaultParagraphFont"/>
    <w:link w:val="SOBullet"/>
    <w:rsid w:val="000422C2"/>
    <w:rPr>
      <w:sz w:val="22"/>
    </w:rPr>
  </w:style>
  <w:style w:type="paragraph" w:customStyle="1" w:styleId="SOBulletNote">
    <w:name w:val="SO BulletNote"/>
    <w:aliases w:val="sonb"/>
    <w:basedOn w:val="SOTextNote"/>
    <w:link w:val="SOBulletNoteChar"/>
    <w:qFormat/>
    <w:rsid w:val="000422C2"/>
    <w:pPr>
      <w:tabs>
        <w:tab w:val="left" w:pos="1560"/>
      </w:tabs>
      <w:ind w:left="2268" w:hanging="1134"/>
    </w:pPr>
  </w:style>
  <w:style w:type="character" w:customStyle="1" w:styleId="SOBulletNoteChar">
    <w:name w:val="SO BulletNote Char"/>
    <w:aliases w:val="sonb Char"/>
    <w:basedOn w:val="DefaultParagraphFont"/>
    <w:link w:val="SOBulletNote"/>
    <w:rsid w:val="000422C2"/>
    <w:rPr>
      <w:sz w:val="18"/>
    </w:rPr>
  </w:style>
  <w:style w:type="paragraph" w:customStyle="1" w:styleId="SOText2">
    <w:name w:val="SO Text2"/>
    <w:aliases w:val="sot2"/>
    <w:basedOn w:val="Normal"/>
    <w:next w:val="SOText"/>
    <w:link w:val="SOText2Char"/>
    <w:rsid w:val="000422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422C2"/>
    <w:rPr>
      <w:sz w:val="22"/>
    </w:rPr>
  </w:style>
  <w:style w:type="paragraph" w:styleId="PlainText">
    <w:name w:val="Plain Text"/>
    <w:basedOn w:val="Normal"/>
    <w:link w:val="PlainTextChar"/>
    <w:uiPriority w:val="99"/>
    <w:unhideWhenUsed/>
    <w:rsid w:val="000974A8"/>
    <w:pPr>
      <w:spacing w:line="240" w:lineRule="auto"/>
    </w:pPr>
    <w:rPr>
      <w:rFonts w:ascii="Consolas" w:hAnsi="Consolas" w:cs="Consolas"/>
      <w:sz w:val="21"/>
      <w:szCs w:val="21"/>
      <w:lang w:eastAsia="en-AU"/>
    </w:rPr>
  </w:style>
  <w:style w:type="character" w:customStyle="1" w:styleId="PlainTextChar">
    <w:name w:val="Plain Text Char"/>
    <w:basedOn w:val="DefaultParagraphFont"/>
    <w:link w:val="PlainText"/>
    <w:uiPriority w:val="99"/>
    <w:rsid w:val="000974A8"/>
    <w:rPr>
      <w:rFonts w:ascii="Consolas" w:hAnsi="Consolas" w:cs="Consolas"/>
      <w:sz w:val="21"/>
      <w:szCs w:val="21"/>
      <w:lang w:eastAsia="en-AU"/>
    </w:rPr>
  </w:style>
  <w:style w:type="paragraph" w:styleId="ListParagraph">
    <w:name w:val="List Paragraph"/>
    <w:basedOn w:val="Normal"/>
    <w:uiPriority w:val="34"/>
    <w:qFormat/>
    <w:rsid w:val="009A6EBE"/>
    <w:pPr>
      <w:spacing w:after="200" w:line="276"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8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34</Pages>
  <Words>7449</Words>
  <Characters>42284</Characters>
  <Application>Microsoft Office Word</Application>
  <DocSecurity>0</DocSecurity>
  <PresentationFormat/>
  <Lines>1433</Lines>
  <Paragraphs>558</Paragraphs>
  <ScaleCrop>false</ScaleCrop>
  <HeadingPairs>
    <vt:vector size="2" baseType="variant">
      <vt:variant>
        <vt:lpstr>Title</vt:lpstr>
      </vt:variant>
      <vt:variant>
        <vt:i4>1</vt:i4>
      </vt:variant>
    </vt:vector>
  </HeadingPairs>
  <TitlesOfParts>
    <vt:vector size="1" baseType="lpstr">
      <vt:lpstr>Financial Management and Accountability Amendment (2014 Measures No. 6) Regulation 2014</vt:lpstr>
    </vt:vector>
  </TitlesOfParts>
  <Manager/>
  <Company/>
  <LinksUpToDate>false</LinksUpToDate>
  <CharactersWithSpaces>49182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2014-06-04T03:55:00Z</cp:lastPrinted>
  <dcterms:created xsi:type="dcterms:W3CDTF">2014-06-24T03:32:00Z</dcterms:created>
  <dcterms:modified xsi:type="dcterms:W3CDTF">2014-06-24T03:32:00Z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107, 2014</vt:lpwstr>
  </property>
  <property fmtid="{D5CDD505-2E9C-101B-9397-08002B2CF9AE}" pid="3" name="ShortT">
    <vt:lpwstr>Financial Management and Accountability Amendment (2014 Measures No. 6)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26 June 2014</vt:lpwstr>
  </property>
  <property fmtid="{D5CDD505-2E9C-101B-9397-08002B2CF9AE}" pid="10" name="Authority">
    <vt:lpwstr/>
  </property>
  <property fmtid="{D5CDD505-2E9C-101B-9397-08002B2CF9AE}" pid="11" name="ID">
    <vt:lpwstr>OPC60586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Financial Management and Accountability Act 1997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26 June 2014</vt:lpwstr>
  </property>
</Properties>
</file>