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032F" w:rsidRPr="00FE77E1" w:rsidRDefault="00E4032F" w:rsidP="00E4032F">
      <w:pPr>
        <w:spacing w:after="0" w:line="240" w:lineRule="auto"/>
        <w:jc w:val="center"/>
        <w:rPr>
          <w:rFonts w:ascii="Times New Roman" w:hAnsi="Times New Roman"/>
          <w:b/>
          <w:sz w:val="24"/>
          <w:szCs w:val="24"/>
          <w:u w:val="single"/>
        </w:rPr>
      </w:pPr>
      <w:bookmarkStart w:id="0" w:name="_GoBack"/>
      <w:bookmarkEnd w:id="0"/>
      <w:r w:rsidRPr="00FE77E1">
        <w:rPr>
          <w:rFonts w:ascii="Times New Roman" w:hAnsi="Times New Roman"/>
          <w:b/>
          <w:sz w:val="24"/>
          <w:szCs w:val="24"/>
          <w:u w:val="single"/>
        </w:rPr>
        <w:t>EXPLANATORY STATEMENT</w:t>
      </w:r>
    </w:p>
    <w:p w:rsidR="00E4032F" w:rsidRPr="00FE77E1" w:rsidRDefault="00E4032F" w:rsidP="00E4032F">
      <w:pPr>
        <w:spacing w:after="0" w:line="240" w:lineRule="auto"/>
        <w:jc w:val="center"/>
        <w:rPr>
          <w:rFonts w:ascii="Times New Roman" w:hAnsi="Times New Roman"/>
          <w:sz w:val="24"/>
          <w:szCs w:val="24"/>
          <w:u w:val="single"/>
        </w:rPr>
      </w:pPr>
    </w:p>
    <w:p w:rsidR="00E4032F" w:rsidRPr="00FE77E1" w:rsidRDefault="00E4032F" w:rsidP="00E4032F">
      <w:pPr>
        <w:spacing w:after="0" w:line="240" w:lineRule="auto"/>
        <w:jc w:val="center"/>
        <w:rPr>
          <w:rFonts w:ascii="Times New Roman" w:hAnsi="Times New Roman"/>
          <w:sz w:val="24"/>
          <w:szCs w:val="24"/>
          <w:u w:val="single"/>
        </w:rPr>
      </w:pPr>
      <w:r w:rsidRPr="00FE77E1">
        <w:rPr>
          <w:rFonts w:ascii="Times New Roman" w:hAnsi="Times New Roman"/>
          <w:sz w:val="24"/>
          <w:szCs w:val="24"/>
          <w:u w:val="single"/>
        </w:rPr>
        <w:t>Se</w:t>
      </w:r>
      <w:r>
        <w:rPr>
          <w:rFonts w:ascii="Times New Roman" w:hAnsi="Times New Roman"/>
          <w:sz w:val="24"/>
          <w:szCs w:val="24"/>
          <w:u w:val="single"/>
        </w:rPr>
        <w:t xml:space="preserve">lect Legislative Instrument </w:t>
      </w:r>
      <w:r w:rsidRPr="00FE77E1">
        <w:rPr>
          <w:rFonts w:ascii="Times New Roman" w:hAnsi="Times New Roman"/>
          <w:sz w:val="24"/>
          <w:szCs w:val="24"/>
          <w:u w:val="single"/>
        </w:rPr>
        <w:t>No.</w:t>
      </w:r>
      <w:r w:rsidR="00E74981">
        <w:rPr>
          <w:rFonts w:ascii="Times New Roman" w:hAnsi="Times New Roman"/>
          <w:sz w:val="24"/>
          <w:szCs w:val="24"/>
          <w:u w:val="single"/>
        </w:rPr>
        <w:t xml:space="preserve"> 93, 2014</w:t>
      </w:r>
    </w:p>
    <w:p w:rsidR="00E4032F" w:rsidRPr="00FE77E1" w:rsidRDefault="00E4032F" w:rsidP="00E4032F">
      <w:pPr>
        <w:spacing w:after="0" w:line="240" w:lineRule="auto"/>
        <w:jc w:val="center"/>
        <w:rPr>
          <w:rFonts w:ascii="Times New Roman" w:hAnsi="Times New Roman"/>
          <w:sz w:val="24"/>
          <w:szCs w:val="24"/>
        </w:rPr>
      </w:pPr>
    </w:p>
    <w:p w:rsidR="00E4032F" w:rsidRPr="00FE77E1" w:rsidRDefault="00E4032F" w:rsidP="00E4032F">
      <w:pPr>
        <w:spacing w:after="0" w:line="240" w:lineRule="auto"/>
        <w:jc w:val="center"/>
        <w:rPr>
          <w:rFonts w:ascii="Times New Roman" w:hAnsi="Times New Roman"/>
          <w:sz w:val="24"/>
          <w:szCs w:val="24"/>
        </w:rPr>
      </w:pPr>
      <w:r w:rsidRPr="00FE77E1">
        <w:rPr>
          <w:rFonts w:ascii="Times New Roman" w:hAnsi="Times New Roman"/>
          <w:sz w:val="24"/>
          <w:szCs w:val="24"/>
        </w:rPr>
        <w:t>Issued by the authority of the Attorney-General</w:t>
      </w:r>
    </w:p>
    <w:p w:rsidR="00E4032F" w:rsidRPr="00FE77E1" w:rsidRDefault="00E4032F" w:rsidP="00E4032F">
      <w:pPr>
        <w:pStyle w:val="Paragraph"/>
        <w:spacing w:before="0"/>
        <w:jc w:val="center"/>
        <w:rPr>
          <w:i/>
          <w:szCs w:val="24"/>
        </w:rPr>
      </w:pPr>
    </w:p>
    <w:p w:rsidR="00E4032F" w:rsidRPr="00FE77E1" w:rsidRDefault="00E4032F" w:rsidP="00E4032F">
      <w:pPr>
        <w:pStyle w:val="Paragraph"/>
        <w:spacing w:before="0"/>
        <w:jc w:val="center"/>
        <w:rPr>
          <w:i/>
          <w:szCs w:val="24"/>
        </w:rPr>
      </w:pPr>
      <w:r w:rsidRPr="00FE77E1">
        <w:rPr>
          <w:i/>
          <w:szCs w:val="24"/>
        </w:rPr>
        <w:t>Family Law Act 1975</w:t>
      </w:r>
    </w:p>
    <w:p w:rsidR="00E4032F" w:rsidRPr="00FE77E1" w:rsidRDefault="00E4032F" w:rsidP="00E4032F">
      <w:pPr>
        <w:pStyle w:val="Paragraph"/>
        <w:spacing w:before="0"/>
        <w:jc w:val="center"/>
        <w:rPr>
          <w:szCs w:val="24"/>
          <w:highlight w:val="yellow"/>
        </w:rPr>
      </w:pPr>
    </w:p>
    <w:p w:rsidR="00E4032F" w:rsidRPr="00FE77E1" w:rsidRDefault="00E4032F" w:rsidP="00E4032F">
      <w:pPr>
        <w:pStyle w:val="Paragraph"/>
        <w:spacing w:before="0"/>
        <w:jc w:val="center"/>
        <w:rPr>
          <w:i/>
          <w:szCs w:val="24"/>
        </w:rPr>
      </w:pPr>
      <w:r w:rsidRPr="00FE77E1">
        <w:rPr>
          <w:i/>
          <w:szCs w:val="24"/>
        </w:rPr>
        <w:t>Family Law (Bilateral Arrangements—Interc</w:t>
      </w:r>
      <w:r>
        <w:rPr>
          <w:i/>
          <w:szCs w:val="24"/>
        </w:rPr>
        <w:t>ountry Adoption) Amendment (2014 Measures No. </w:t>
      </w:r>
      <w:r w:rsidR="006C0B4A">
        <w:rPr>
          <w:i/>
          <w:szCs w:val="24"/>
        </w:rPr>
        <w:t>2</w:t>
      </w:r>
      <w:r>
        <w:rPr>
          <w:i/>
          <w:szCs w:val="24"/>
        </w:rPr>
        <w:t>) Regulation 2014</w:t>
      </w:r>
    </w:p>
    <w:p w:rsidR="00E4032F" w:rsidRPr="00FE77E1" w:rsidRDefault="00E4032F" w:rsidP="00E4032F">
      <w:pPr>
        <w:pStyle w:val="Paragraph"/>
        <w:spacing w:before="0"/>
        <w:rPr>
          <w:szCs w:val="24"/>
        </w:rPr>
      </w:pPr>
      <w:bookmarkStart w:id="1" w:name="OLE_LINK2"/>
    </w:p>
    <w:bookmarkEnd w:id="1"/>
    <w:p w:rsidR="00E4032F" w:rsidRPr="00FE77E1" w:rsidRDefault="00E4032F" w:rsidP="00E4032F">
      <w:pPr>
        <w:pStyle w:val="Paragraph"/>
        <w:spacing w:before="0"/>
        <w:ind w:left="1440" w:hanging="1440"/>
        <w:rPr>
          <w:szCs w:val="24"/>
          <w:u w:val="single"/>
        </w:rPr>
      </w:pPr>
    </w:p>
    <w:p w:rsidR="00E4032F" w:rsidRPr="00FE77E1" w:rsidRDefault="00E4032F" w:rsidP="00E4032F">
      <w:pPr>
        <w:pStyle w:val="Paragraph"/>
        <w:spacing w:before="0"/>
        <w:rPr>
          <w:szCs w:val="24"/>
        </w:rPr>
      </w:pPr>
      <w:r w:rsidRPr="00FE77E1">
        <w:rPr>
          <w:szCs w:val="24"/>
        </w:rPr>
        <w:t xml:space="preserve">Subsection 125(1) of the </w:t>
      </w:r>
      <w:r w:rsidRPr="00FE77E1">
        <w:rPr>
          <w:i/>
          <w:szCs w:val="24"/>
        </w:rPr>
        <w:t>Family Law Act 1975</w:t>
      </w:r>
      <w:r w:rsidRPr="00FE77E1">
        <w:rPr>
          <w:szCs w:val="24"/>
        </w:rPr>
        <w:t xml:space="preserve"> (the Act) provides that the Governor-General may make regulations, not inconsistent with the Act, prescribing all matters that the Act requires or permits to be prescribed or are necessary or convenient to be prescribed for carrying out and</w:t>
      </w:r>
      <w:r w:rsidR="00061161">
        <w:rPr>
          <w:szCs w:val="24"/>
        </w:rPr>
        <w:t xml:space="preserve"> giving effect to the Act.  Sub</w:t>
      </w:r>
      <w:r w:rsidRPr="00FE77E1">
        <w:rPr>
          <w:szCs w:val="24"/>
        </w:rPr>
        <w:t>section 111C(3) of the Act permits regulations to be made to make provision as is necessary or convenient to give effect to any bilateral agreement or arrangement on the adoption of children made betwe</w:t>
      </w:r>
      <w:r>
        <w:rPr>
          <w:szCs w:val="24"/>
        </w:rPr>
        <w:t>en Australia, or a state or t</w:t>
      </w:r>
      <w:r w:rsidRPr="00FE77E1">
        <w:rPr>
          <w:szCs w:val="24"/>
        </w:rPr>
        <w:t xml:space="preserve">erritory, and a prescribed overseas jurisdiction. </w:t>
      </w:r>
    </w:p>
    <w:p w:rsidR="00E4032F" w:rsidRPr="00FE77E1" w:rsidRDefault="00E4032F" w:rsidP="00E4032F">
      <w:pPr>
        <w:pStyle w:val="Paragraph"/>
        <w:spacing w:before="0"/>
        <w:ind w:left="1440" w:hanging="1440"/>
        <w:rPr>
          <w:szCs w:val="24"/>
          <w:u w:val="single"/>
        </w:rPr>
      </w:pPr>
    </w:p>
    <w:p w:rsidR="00E4032F" w:rsidRPr="00FE77E1" w:rsidRDefault="00E4032F" w:rsidP="00E4032F">
      <w:pPr>
        <w:pStyle w:val="Paragraph"/>
        <w:spacing w:before="0"/>
        <w:rPr>
          <w:szCs w:val="24"/>
        </w:rPr>
      </w:pPr>
      <w:r w:rsidRPr="00FE77E1">
        <w:rPr>
          <w:szCs w:val="24"/>
        </w:rPr>
        <w:t xml:space="preserve">The purpose of the Regulation is to amend the </w:t>
      </w:r>
      <w:r w:rsidRPr="00FE77E1">
        <w:rPr>
          <w:i/>
          <w:szCs w:val="24"/>
        </w:rPr>
        <w:t>Family Law (Bilateral Arrangements—Intercountry Adoption) Regulations 1998</w:t>
      </w:r>
      <w:r w:rsidRPr="00FE77E1">
        <w:rPr>
          <w:szCs w:val="24"/>
        </w:rPr>
        <w:t xml:space="preserve"> (the Principal Regulations) to </w:t>
      </w:r>
      <w:r w:rsidR="00B4560B">
        <w:rPr>
          <w:szCs w:val="24"/>
        </w:rPr>
        <w:t xml:space="preserve">clarify </w:t>
      </w:r>
      <w:r w:rsidR="00BA76B3">
        <w:rPr>
          <w:szCs w:val="24"/>
        </w:rPr>
        <w:t xml:space="preserve">its operation. The Regulation clarifies </w:t>
      </w:r>
      <w:r w:rsidR="00B4560B">
        <w:rPr>
          <w:szCs w:val="24"/>
        </w:rPr>
        <w:t>that adoptions of children through Australia’s intercountry adoption programs with Taiwan, the Republic of Korea (South Korea) and the Federal Democratic Republic of Ethiopia (Ethiopia) are recognised for the purpose of</w:t>
      </w:r>
      <w:r w:rsidR="00B4560B" w:rsidRPr="00E96588">
        <w:rPr>
          <w:szCs w:val="24"/>
        </w:rPr>
        <w:t xml:space="preserve"> </w:t>
      </w:r>
      <w:r w:rsidR="00BA76B3">
        <w:rPr>
          <w:szCs w:val="24"/>
        </w:rPr>
        <w:t xml:space="preserve">Commonwealth, state and territory </w:t>
      </w:r>
      <w:r w:rsidR="00BA76B3" w:rsidRPr="00E96588">
        <w:rPr>
          <w:szCs w:val="24"/>
        </w:rPr>
        <w:t>law</w:t>
      </w:r>
      <w:r w:rsidR="00BA76B3">
        <w:rPr>
          <w:szCs w:val="24"/>
        </w:rPr>
        <w:t xml:space="preserve">s whether the adoption took effect in the overseas jurisdiction before or after the overseas jurisdiction was prescribed. </w:t>
      </w:r>
      <w:r w:rsidR="00EB26EC">
        <w:rPr>
          <w:szCs w:val="24"/>
        </w:rPr>
        <w:t>The Regulation also clarifies that a</w:t>
      </w:r>
      <w:r w:rsidR="00EB26EC" w:rsidRPr="00C467D3">
        <w:rPr>
          <w:szCs w:val="24"/>
        </w:rPr>
        <w:t xml:space="preserve">doptions that have been already recognised by an Australian court will not be recognised by the Principal Regulations, </w:t>
      </w:r>
      <w:r w:rsidR="00EB26EC" w:rsidRPr="00917D4C">
        <w:rPr>
          <w:szCs w:val="24"/>
        </w:rPr>
        <w:t>as the adoption is already recognised</w:t>
      </w:r>
      <w:r w:rsidR="00EB26EC">
        <w:rPr>
          <w:szCs w:val="24"/>
        </w:rPr>
        <w:t xml:space="preserve"> and given effect</w:t>
      </w:r>
      <w:r w:rsidR="00EB26EC" w:rsidRPr="00917D4C">
        <w:rPr>
          <w:szCs w:val="24"/>
        </w:rPr>
        <w:t xml:space="preserve"> under Commonwealth, state and territory laws.</w:t>
      </w:r>
      <w:r w:rsidR="00BA76B3">
        <w:rPr>
          <w:szCs w:val="24"/>
        </w:rPr>
        <w:t xml:space="preserve"> </w:t>
      </w:r>
      <w:r w:rsidR="00B4560B" w:rsidRPr="00E96588">
        <w:rPr>
          <w:szCs w:val="24"/>
        </w:rPr>
        <w:t xml:space="preserve"> </w:t>
      </w:r>
      <w:r w:rsidR="00B4560B">
        <w:rPr>
          <w:szCs w:val="24"/>
        </w:rPr>
        <w:t xml:space="preserve"> </w:t>
      </w:r>
    </w:p>
    <w:p w:rsidR="00E4032F" w:rsidRPr="00FE77E1" w:rsidRDefault="00E4032F" w:rsidP="00E4032F">
      <w:pPr>
        <w:pStyle w:val="Paragraph"/>
        <w:spacing w:before="0"/>
        <w:rPr>
          <w:szCs w:val="24"/>
        </w:rPr>
      </w:pPr>
    </w:p>
    <w:p w:rsidR="00B4560B" w:rsidRDefault="00B4560B" w:rsidP="00B4560B">
      <w:pPr>
        <w:pStyle w:val="Paragraph"/>
        <w:spacing w:before="0"/>
        <w:rPr>
          <w:szCs w:val="24"/>
        </w:rPr>
      </w:pPr>
      <w:r>
        <w:rPr>
          <w:szCs w:val="24"/>
        </w:rPr>
        <w:t xml:space="preserve">The </w:t>
      </w:r>
      <w:r w:rsidR="003E487B">
        <w:rPr>
          <w:szCs w:val="24"/>
        </w:rPr>
        <w:t>Commonwealth</w:t>
      </w:r>
      <w:r>
        <w:rPr>
          <w:szCs w:val="24"/>
        </w:rPr>
        <w:t xml:space="preserve"> Government has committed to delivering reform on intercountry adoption, including streamlining adoption processes. From 4 March 2014, the intercountry adoptions of children from Taiwan, South Korea and Ethiopia are automatically recognised under </w:t>
      </w:r>
      <w:r w:rsidR="003E487B">
        <w:rPr>
          <w:szCs w:val="24"/>
        </w:rPr>
        <w:t>Commonwealth, state and territory</w:t>
      </w:r>
      <w:r>
        <w:rPr>
          <w:szCs w:val="24"/>
        </w:rPr>
        <w:t xml:space="preserve"> laws, removing the need for families to finalise their adoptions through a state or territory court.  The Regulation clarifies that the intercountry adoptions recognised include those that took place in </w:t>
      </w:r>
      <w:r w:rsidR="00BA76B3">
        <w:rPr>
          <w:szCs w:val="24"/>
        </w:rPr>
        <w:t xml:space="preserve">an </w:t>
      </w:r>
      <w:r>
        <w:rPr>
          <w:szCs w:val="24"/>
        </w:rPr>
        <w:t xml:space="preserve">overseas jurisdiction prior to or after </w:t>
      </w:r>
      <w:r w:rsidR="00BA76B3">
        <w:rPr>
          <w:szCs w:val="24"/>
        </w:rPr>
        <w:t xml:space="preserve">it was prescribed, </w:t>
      </w:r>
      <w:r>
        <w:rPr>
          <w:szCs w:val="24"/>
        </w:rPr>
        <w:t xml:space="preserve">where the adoption has not been </w:t>
      </w:r>
      <w:r w:rsidR="00EB26EC">
        <w:rPr>
          <w:szCs w:val="24"/>
        </w:rPr>
        <w:t xml:space="preserve">already </w:t>
      </w:r>
      <w:r w:rsidR="00BA76B3">
        <w:rPr>
          <w:szCs w:val="24"/>
        </w:rPr>
        <w:t xml:space="preserve">recognised by an Australian </w:t>
      </w:r>
      <w:r>
        <w:rPr>
          <w:szCs w:val="24"/>
        </w:rPr>
        <w:t xml:space="preserve">court.  </w:t>
      </w:r>
      <w:r w:rsidR="00BA76B3" w:rsidRPr="00046A45">
        <w:t>Recognition by an Australian court involves either: the court recognising the adoption order issued by the overseas country as valid; or the court issuing a state or territory adoption order, naming the same child/</w:t>
      </w:r>
      <w:proofErr w:type="spellStart"/>
      <w:r w:rsidR="00BA76B3" w:rsidRPr="00046A45">
        <w:t>ren</w:t>
      </w:r>
      <w:proofErr w:type="spellEnd"/>
      <w:r w:rsidR="00BA76B3" w:rsidRPr="00046A45">
        <w:t xml:space="preserve"> as </w:t>
      </w:r>
      <w:r w:rsidR="006C0B4A">
        <w:t xml:space="preserve">in </w:t>
      </w:r>
      <w:r w:rsidR="00BA76B3" w:rsidRPr="00046A45">
        <w:t>the adoption</w:t>
      </w:r>
      <w:r w:rsidR="00BA76B3">
        <w:t xml:space="preserve"> order issued by the overseas country.  </w:t>
      </w:r>
      <w:r>
        <w:t xml:space="preserve"> </w:t>
      </w:r>
    </w:p>
    <w:p w:rsidR="00B4560B" w:rsidRDefault="00B4560B" w:rsidP="00B4560B">
      <w:pPr>
        <w:pStyle w:val="Paragraph"/>
        <w:spacing w:before="0"/>
        <w:rPr>
          <w:szCs w:val="24"/>
        </w:rPr>
      </w:pPr>
    </w:p>
    <w:p w:rsidR="00B4560B" w:rsidRDefault="00B4560B" w:rsidP="00B4560B">
      <w:pPr>
        <w:pStyle w:val="Paragraph"/>
        <w:spacing w:before="0"/>
      </w:pPr>
      <w:r>
        <w:rPr>
          <w:szCs w:val="24"/>
        </w:rPr>
        <w:t>The Regulation achieves this by: clarifying that adoptions recognised under the Principal Regulations include those that took place in a</w:t>
      </w:r>
      <w:r w:rsidR="00BA76B3">
        <w:rPr>
          <w:szCs w:val="24"/>
        </w:rPr>
        <w:t>n</w:t>
      </w:r>
      <w:r>
        <w:rPr>
          <w:szCs w:val="24"/>
        </w:rPr>
        <w:t xml:space="preserve"> overseas jurisdiction before and after </w:t>
      </w:r>
      <w:r w:rsidR="00BA76B3">
        <w:rPr>
          <w:szCs w:val="24"/>
        </w:rPr>
        <w:t>the overseas jurisdiction was prescribed</w:t>
      </w:r>
      <w:r>
        <w:rPr>
          <w:szCs w:val="24"/>
        </w:rPr>
        <w:t xml:space="preserve">, provided that all of the requirements outlined in subregulation 5(1) are met; and inserting a </w:t>
      </w:r>
      <w:r>
        <w:t xml:space="preserve">new requirement in subregulation 5(1), </w:t>
      </w:r>
      <w:r w:rsidR="00EB26EC">
        <w:t xml:space="preserve">which </w:t>
      </w:r>
      <w:r>
        <w:t>requir</w:t>
      </w:r>
      <w:r w:rsidR="00EB26EC">
        <w:t>es</w:t>
      </w:r>
      <w:r>
        <w:t xml:space="preserve"> that the adoption </w:t>
      </w:r>
      <w:r w:rsidR="00EB26EC">
        <w:t xml:space="preserve">must </w:t>
      </w:r>
      <w:r>
        <w:t xml:space="preserve">not have been </w:t>
      </w:r>
      <w:r w:rsidR="006C0B4A">
        <w:t xml:space="preserve">already </w:t>
      </w:r>
      <w:r w:rsidR="00BA76B3">
        <w:t xml:space="preserve">recognised by an Australian </w:t>
      </w:r>
      <w:r>
        <w:t xml:space="preserve">court. </w:t>
      </w:r>
    </w:p>
    <w:p w:rsidR="00B4560B" w:rsidRDefault="00B4560B" w:rsidP="00B4560B">
      <w:pPr>
        <w:pStyle w:val="Paragraph"/>
        <w:spacing w:before="0"/>
        <w:rPr>
          <w:szCs w:val="24"/>
        </w:rPr>
      </w:pPr>
    </w:p>
    <w:p w:rsidR="00E4032F" w:rsidRPr="00FE77E1" w:rsidRDefault="00E4032F" w:rsidP="00E4032F">
      <w:pPr>
        <w:autoSpaceDE w:val="0"/>
        <w:autoSpaceDN w:val="0"/>
        <w:adjustRightInd w:val="0"/>
        <w:spacing w:after="0" w:line="240" w:lineRule="auto"/>
        <w:rPr>
          <w:szCs w:val="24"/>
        </w:rPr>
      </w:pPr>
      <w:r w:rsidRPr="00EB26EC">
        <w:rPr>
          <w:rFonts w:ascii="Times New Roman" w:hAnsi="Times New Roman"/>
          <w:sz w:val="24"/>
          <w:szCs w:val="24"/>
          <w:lang w:eastAsia="en-AU"/>
        </w:rPr>
        <w:t>The Office of Best Practice Regulation was consulted about the Regulation and advised that a Regulatory Impact Statement is not necessary, as the amendments were likely to have no or low regulatory impacts on business and individuals or on the economy.</w:t>
      </w:r>
    </w:p>
    <w:p w:rsidR="00E4032F" w:rsidRPr="00FE77E1" w:rsidRDefault="00E4032F" w:rsidP="00E4032F">
      <w:pPr>
        <w:pStyle w:val="Paragraph"/>
        <w:spacing w:before="0"/>
        <w:rPr>
          <w:szCs w:val="24"/>
        </w:rPr>
      </w:pPr>
    </w:p>
    <w:p w:rsidR="00E4032F" w:rsidRPr="00FE77E1" w:rsidRDefault="00E4032F" w:rsidP="00E4032F">
      <w:pPr>
        <w:autoSpaceDE w:val="0"/>
        <w:autoSpaceDN w:val="0"/>
        <w:adjustRightInd w:val="0"/>
        <w:spacing w:after="0" w:line="240" w:lineRule="auto"/>
        <w:rPr>
          <w:szCs w:val="24"/>
        </w:rPr>
      </w:pPr>
      <w:r w:rsidRPr="00FE77E1">
        <w:rPr>
          <w:rFonts w:ascii="Times New Roman" w:hAnsi="Times New Roman"/>
          <w:sz w:val="24"/>
          <w:szCs w:val="24"/>
          <w:lang w:eastAsia="en-AU"/>
        </w:rPr>
        <w:lastRenderedPageBreak/>
        <w:t xml:space="preserve">The Regulation is compatible with the human rights and freedoms recognised or declared in the international instruments listed in section 3 of the </w:t>
      </w:r>
      <w:r w:rsidRPr="00FE77E1">
        <w:rPr>
          <w:rFonts w:ascii="Times New Roman" w:hAnsi="Times New Roman"/>
          <w:i/>
          <w:iCs/>
          <w:sz w:val="24"/>
          <w:szCs w:val="24"/>
          <w:lang w:eastAsia="en-AU"/>
        </w:rPr>
        <w:t>Human Rights (Parliamentary Scrutiny) Act 2011</w:t>
      </w:r>
      <w:r w:rsidRPr="00FE77E1">
        <w:rPr>
          <w:rFonts w:ascii="Times New Roman" w:hAnsi="Times New Roman"/>
          <w:sz w:val="24"/>
          <w:szCs w:val="24"/>
          <w:lang w:eastAsia="en-AU"/>
        </w:rPr>
        <w:t xml:space="preserve">.  </w:t>
      </w:r>
    </w:p>
    <w:p w:rsidR="00E4032F" w:rsidRPr="00FE77E1" w:rsidRDefault="00E4032F" w:rsidP="00E4032F">
      <w:pPr>
        <w:pStyle w:val="Paragraph"/>
        <w:spacing w:before="0"/>
        <w:rPr>
          <w:szCs w:val="24"/>
        </w:rPr>
      </w:pPr>
    </w:p>
    <w:p w:rsidR="00E4032F" w:rsidRPr="00FE77E1" w:rsidRDefault="00E4032F" w:rsidP="00E4032F">
      <w:pPr>
        <w:autoSpaceDE w:val="0"/>
        <w:autoSpaceDN w:val="0"/>
        <w:adjustRightInd w:val="0"/>
        <w:spacing w:after="0" w:line="240" w:lineRule="auto"/>
        <w:rPr>
          <w:i/>
          <w:iCs/>
          <w:szCs w:val="24"/>
        </w:rPr>
      </w:pPr>
      <w:r w:rsidRPr="00FE77E1">
        <w:rPr>
          <w:rFonts w:ascii="Times New Roman" w:hAnsi="Times New Roman"/>
          <w:sz w:val="24"/>
          <w:szCs w:val="24"/>
          <w:lang w:eastAsia="en-AU"/>
        </w:rPr>
        <w:t xml:space="preserve">This Regulation is a legislative instrument for the purposes of the </w:t>
      </w:r>
      <w:r w:rsidRPr="00FE77E1">
        <w:rPr>
          <w:rFonts w:ascii="Times New Roman" w:hAnsi="Times New Roman"/>
          <w:i/>
          <w:iCs/>
          <w:sz w:val="24"/>
          <w:szCs w:val="24"/>
          <w:lang w:eastAsia="en-AU"/>
        </w:rPr>
        <w:t>Legislative Instruments Act 2003.</w:t>
      </w:r>
    </w:p>
    <w:p w:rsidR="00E4032F" w:rsidRPr="00FE77E1" w:rsidRDefault="00E4032F" w:rsidP="00E4032F">
      <w:pPr>
        <w:pStyle w:val="Paragraph"/>
        <w:spacing w:before="0"/>
        <w:rPr>
          <w:i/>
          <w:iCs/>
          <w:szCs w:val="24"/>
        </w:rPr>
      </w:pPr>
    </w:p>
    <w:p w:rsidR="00E4032F" w:rsidRPr="00FE77E1" w:rsidRDefault="00E4032F" w:rsidP="00E4032F">
      <w:pPr>
        <w:pStyle w:val="Paragraph"/>
        <w:spacing w:before="0"/>
        <w:rPr>
          <w:szCs w:val="24"/>
        </w:rPr>
      </w:pPr>
      <w:r w:rsidRPr="00FE77E1">
        <w:rPr>
          <w:szCs w:val="24"/>
        </w:rPr>
        <w:t>The Regulation will commence on the day after it is registered.</w:t>
      </w:r>
    </w:p>
    <w:p w:rsidR="00E4032F" w:rsidRPr="00FE77E1" w:rsidRDefault="00E4032F" w:rsidP="00E4032F">
      <w:pPr>
        <w:pStyle w:val="Paragraph"/>
        <w:spacing w:before="0"/>
        <w:ind w:left="1440" w:hanging="1440"/>
        <w:rPr>
          <w:i/>
          <w:szCs w:val="24"/>
        </w:rPr>
      </w:pPr>
    </w:p>
    <w:p w:rsidR="00E4032F" w:rsidRPr="00FE77E1" w:rsidRDefault="00E4032F" w:rsidP="00E4032F">
      <w:pPr>
        <w:pStyle w:val="Paragraph"/>
        <w:spacing w:before="0"/>
        <w:ind w:left="1440" w:hanging="1440"/>
        <w:rPr>
          <w:szCs w:val="24"/>
          <w:u w:val="single"/>
        </w:rPr>
      </w:pPr>
    </w:p>
    <w:p w:rsidR="00E4032F" w:rsidRPr="00FE77E1" w:rsidRDefault="00E4032F" w:rsidP="00E4032F">
      <w:pPr>
        <w:pStyle w:val="Paragraph"/>
        <w:spacing w:before="0"/>
        <w:ind w:left="1440" w:hanging="1440"/>
        <w:rPr>
          <w:i/>
        </w:rPr>
      </w:pPr>
      <w:r w:rsidRPr="00FE77E1">
        <w:rPr>
          <w:szCs w:val="24"/>
          <w:u w:val="single"/>
        </w:rPr>
        <w:t>Authority:</w:t>
      </w:r>
      <w:r w:rsidRPr="00FE77E1">
        <w:rPr>
          <w:szCs w:val="24"/>
        </w:rPr>
        <w:t xml:space="preserve"> </w:t>
      </w:r>
      <w:r w:rsidRPr="00FE77E1">
        <w:rPr>
          <w:szCs w:val="24"/>
        </w:rPr>
        <w:tab/>
        <w:t xml:space="preserve">Subsection 125(1) of the </w:t>
      </w:r>
      <w:r w:rsidRPr="00FE77E1">
        <w:rPr>
          <w:i/>
          <w:szCs w:val="24"/>
        </w:rPr>
        <w:t>Family Law Act 1975.</w:t>
      </w:r>
    </w:p>
    <w:p w:rsidR="00E4032F" w:rsidRPr="00FE77E1" w:rsidRDefault="00E4032F" w:rsidP="00E4032F">
      <w:pPr>
        <w:pStyle w:val="Paragraph"/>
        <w:tabs>
          <w:tab w:val="left" w:pos="5595"/>
        </w:tabs>
        <w:spacing w:before="0"/>
        <w:rPr>
          <w:szCs w:val="24"/>
        </w:rPr>
      </w:pPr>
    </w:p>
    <w:p w:rsidR="00E4032F" w:rsidRPr="00FE77E1" w:rsidRDefault="00E4032F" w:rsidP="00E4032F">
      <w:pPr>
        <w:spacing w:before="240" w:after="0" w:line="240" w:lineRule="auto"/>
        <w:jc w:val="center"/>
        <w:rPr>
          <w:rFonts w:ascii="Times New Roman" w:eastAsia="Times New Roman" w:hAnsi="Times New Roman"/>
          <w:b/>
          <w:sz w:val="24"/>
          <w:szCs w:val="20"/>
          <w:lang w:eastAsia="en-AU"/>
        </w:rPr>
      </w:pPr>
      <w:r w:rsidRPr="00FE77E1">
        <w:rPr>
          <w:rFonts w:ascii="Times New Roman" w:eastAsia="Times New Roman" w:hAnsi="Times New Roman"/>
          <w:b/>
          <w:sz w:val="24"/>
          <w:szCs w:val="20"/>
          <w:lang w:eastAsia="en-AU"/>
        </w:rPr>
        <w:br w:type="page"/>
      </w:r>
      <w:r w:rsidRPr="00FE77E1">
        <w:rPr>
          <w:rFonts w:ascii="Times New Roman" w:eastAsia="Times New Roman" w:hAnsi="Times New Roman"/>
          <w:b/>
          <w:sz w:val="24"/>
          <w:szCs w:val="20"/>
          <w:lang w:eastAsia="en-AU"/>
        </w:rPr>
        <w:lastRenderedPageBreak/>
        <w:t>Statement of Compatibility with Human Rights</w:t>
      </w:r>
    </w:p>
    <w:p w:rsidR="00E4032F" w:rsidRPr="00FE77E1" w:rsidRDefault="00E4032F" w:rsidP="00E4032F">
      <w:pPr>
        <w:spacing w:before="240" w:after="0" w:line="240" w:lineRule="auto"/>
        <w:jc w:val="center"/>
        <w:rPr>
          <w:rFonts w:ascii="Times New Roman" w:eastAsia="Times New Roman" w:hAnsi="Times New Roman"/>
          <w:i/>
          <w:sz w:val="24"/>
          <w:szCs w:val="20"/>
          <w:lang w:eastAsia="en-AU"/>
        </w:rPr>
      </w:pPr>
      <w:r w:rsidRPr="00FE77E1">
        <w:rPr>
          <w:rFonts w:ascii="Times New Roman" w:eastAsia="Times New Roman" w:hAnsi="Times New Roman"/>
          <w:i/>
          <w:sz w:val="24"/>
          <w:szCs w:val="20"/>
          <w:lang w:eastAsia="en-AU"/>
        </w:rPr>
        <w:t>Prepared in accordance with Part 3 of the Human Rights (Parliamentary Scrutiny) Act 2011</w:t>
      </w:r>
    </w:p>
    <w:p w:rsidR="00E4032F" w:rsidRDefault="00E4032F" w:rsidP="00E4032F">
      <w:pPr>
        <w:spacing w:before="120" w:after="120"/>
        <w:jc w:val="center"/>
        <w:rPr>
          <w:rFonts w:ascii="Times New Roman" w:eastAsia="Times New Roman" w:hAnsi="Times New Roman"/>
          <w:b/>
          <w:sz w:val="24"/>
          <w:szCs w:val="20"/>
          <w:lang w:eastAsia="en-AU"/>
        </w:rPr>
      </w:pPr>
      <w:r w:rsidRPr="00FE77E1">
        <w:rPr>
          <w:rFonts w:ascii="Times New Roman" w:eastAsia="Times New Roman" w:hAnsi="Times New Roman"/>
          <w:b/>
          <w:sz w:val="24"/>
          <w:szCs w:val="20"/>
          <w:lang w:eastAsia="en-AU"/>
        </w:rPr>
        <w:t>Family Law (Bilateral Arrangements—Interc</w:t>
      </w:r>
      <w:r>
        <w:rPr>
          <w:rFonts w:ascii="Times New Roman" w:eastAsia="Times New Roman" w:hAnsi="Times New Roman"/>
          <w:b/>
          <w:sz w:val="24"/>
          <w:szCs w:val="20"/>
          <w:lang w:eastAsia="en-AU"/>
        </w:rPr>
        <w:t xml:space="preserve">ountry Adoption) </w:t>
      </w:r>
      <w:r w:rsidR="00EE054C">
        <w:rPr>
          <w:rFonts w:ascii="Times New Roman" w:eastAsia="Times New Roman" w:hAnsi="Times New Roman"/>
          <w:b/>
          <w:sz w:val="24"/>
          <w:szCs w:val="20"/>
          <w:lang w:eastAsia="en-AU"/>
        </w:rPr>
        <w:t>Amendment (2014 Measures No. 2</w:t>
      </w:r>
      <w:r>
        <w:rPr>
          <w:rFonts w:ascii="Times New Roman" w:eastAsia="Times New Roman" w:hAnsi="Times New Roman"/>
          <w:b/>
          <w:sz w:val="24"/>
          <w:szCs w:val="20"/>
          <w:lang w:eastAsia="en-AU"/>
        </w:rPr>
        <w:t>) Regulation 2014</w:t>
      </w:r>
    </w:p>
    <w:p w:rsidR="00E4032F" w:rsidRPr="00FE77E1" w:rsidRDefault="00E4032F" w:rsidP="00E4032F">
      <w:pPr>
        <w:spacing w:before="120" w:after="120"/>
        <w:jc w:val="center"/>
        <w:rPr>
          <w:rFonts w:ascii="Times New Roman" w:hAnsi="Times New Roman"/>
          <w:sz w:val="24"/>
          <w:szCs w:val="24"/>
        </w:rPr>
      </w:pPr>
      <w:r w:rsidRPr="00FE77E1">
        <w:rPr>
          <w:rFonts w:ascii="Times New Roman" w:hAnsi="Times New Roman"/>
          <w:sz w:val="24"/>
          <w:szCs w:val="24"/>
        </w:rPr>
        <w:t xml:space="preserve">This Legislative Instrument is compatible with the human rights and freedoms recognised or declared in the international instruments listed in section 3 of the </w:t>
      </w:r>
      <w:r w:rsidRPr="00FE77E1">
        <w:rPr>
          <w:rFonts w:ascii="Times New Roman" w:hAnsi="Times New Roman"/>
          <w:i/>
          <w:sz w:val="24"/>
          <w:szCs w:val="24"/>
        </w:rPr>
        <w:t>Human Rights (Parliamentary Scrutiny) Act 2011</w:t>
      </w:r>
      <w:r w:rsidRPr="00FE77E1">
        <w:rPr>
          <w:rFonts w:ascii="Times New Roman" w:hAnsi="Times New Roman"/>
          <w:sz w:val="24"/>
          <w:szCs w:val="24"/>
        </w:rPr>
        <w:t>.</w:t>
      </w:r>
    </w:p>
    <w:p w:rsidR="00E4032F" w:rsidRPr="00FE77E1" w:rsidRDefault="00E4032F" w:rsidP="00E4032F">
      <w:pPr>
        <w:spacing w:before="240" w:after="0" w:line="240" w:lineRule="auto"/>
        <w:rPr>
          <w:rFonts w:ascii="Times New Roman" w:eastAsia="Times New Roman" w:hAnsi="Times New Roman"/>
          <w:b/>
          <w:sz w:val="24"/>
          <w:szCs w:val="20"/>
          <w:lang w:eastAsia="en-AU"/>
        </w:rPr>
      </w:pPr>
      <w:r w:rsidRPr="00FE77E1">
        <w:rPr>
          <w:rFonts w:ascii="Times New Roman" w:eastAsia="Times New Roman" w:hAnsi="Times New Roman"/>
          <w:b/>
          <w:sz w:val="24"/>
          <w:szCs w:val="20"/>
          <w:lang w:eastAsia="en-AU"/>
        </w:rPr>
        <w:t>Overview of the Regulation</w:t>
      </w:r>
    </w:p>
    <w:p w:rsidR="00E4032F" w:rsidRPr="00FE77E1" w:rsidRDefault="00E4032F" w:rsidP="00E4032F">
      <w:pPr>
        <w:spacing w:before="240" w:after="0" w:line="240" w:lineRule="auto"/>
        <w:rPr>
          <w:rFonts w:ascii="Times New Roman" w:eastAsia="Times New Roman" w:hAnsi="Times New Roman"/>
          <w:sz w:val="24"/>
          <w:szCs w:val="20"/>
          <w:lang w:eastAsia="en-AU"/>
        </w:rPr>
      </w:pPr>
      <w:r w:rsidRPr="00FE77E1">
        <w:rPr>
          <w:rFonts w:ascii="Times New Roman" w:eastAsia="Times New Roman" w:hAnsi="Times New Roman"/>
          <w:sz w:val="24"/>
          <w:szCs w:val="20"/>
          <w:lang w:eastAsia="en-AU"/>
        </w:rPr>
        <w:t xml:space="preserve">The Regulation </w:t>
      </w:r>
      <w:r w:rsidR="00EE054C">
        <w:rPr>
          <w:rFonts w:ascii="Times New Roman" w:eastAsia="Times New Roman" w:hAnsi="Times New Roman"/>
          <w:sz w:val="24"/>
          <w:szCs w:val="20"/>
          <w:lang w:eastAsia="en-AU"/>
        </w:rPr>
        <w:t>amend</w:t>
      </w:r>
      <w:r w:rsidR="006C0B4A">
        <w:rPr>
          <w:rFonts w:ascii="Times New Roman" w:eastAsia="Times New Roman" w:hAnsi="Times New Roman"/>
          <w:sz w:val="24"/>
          <w:szCs w:val="20"/>
          <w:lang w:eastAsia="en-AU"/>
        </w:rPr>
        <w:t>s</w:t>
      </w:r>
      <w:r w:rsidR="00EE054C">
        <w:rPr>
          <w:rFonts w:ascii="Times New Roman" w:eastAsia="Times New Roman" w:hAnsi="Times New Roman"/>
          <w:sz w:val="24"/>
          <w:szCs w:val="20"/>
          <w:lang w:eastAsia="en-AU"/>
        </w:rPr>
        <w:t xml:space="preserve"> the </w:t>
      </w:r>
      <w:r w:rsidRPr="00FE77E1">
        <w:rPr>
          <w:rFonts w:ascii="Times New Roman" w:eastAsia="Times New Roman" w:hAnsi="Times New Roman"/>
          <w:i/>
          <w:sz w:val="24"/>
          <w:szCs w:val="20"/>
          <w:lang w:eastAsia="en-AU"/>
        </w:rPr>
        <w:t>Family Law (Bilateral Arrangements—Intercountry Adoption) Regulations 1998</w:t>
      </w:r>
      <w:r w:rsidRPr="00FE77E1">
        <w:rPr>
          <w:rFonts w:ascii="Times New Roman" w:eastAsia="Times New Roman" w:hAnsi="Times New Roman"/>
          <w:sz w:val="24"/>
          <w:szCs w:val="20"/>
          <w:lang w:eastAsia="en-AU"/>
        </w:rPr>
        <w:t xml:space="preserve"> (the Principal Regulations) </w:t>
      </w:r>
      <w:r w:rsidR="00EE054C">
        <w:rPr>
          <w:rFonts w:ascii="Times New Roman" w:eastAsia="Times New Roman" w:hAnsi="Times New Roman"/>
          <w:sz w:val="24"/>
          <w:szCs w:val="20"/>
          <w:lang w:eastAsia="en-AU"/>
        </w:rPr>
        <w:t xml:space="preserve">to clarify </w:t>
      </w:r>
      <w:r w:rsidR="00EE054C" w:rsidRPr="00EE054C">
        <w:rPr>
          <w:rFonts w:ascii="Times New Roman" w:eastAsia="Times New Roman" w:hAnsi="Times New Roman"/>
          <w:sz w:val="24"/>
          <w:szCs w:val="20"/>
          <w:lang w:eastAsia="en-AU"/>
        </w:rPr>
        <w:t xml:space="preserve">that intercountry adoptions </w:t>
      </w:r>
      <w:r w:rsidR="00EE054C">
        <w:rPr>
          <w:rFonts w:ascii="Times New Roman" w:eastAsia="Times New Roman" w:hAnsi="Times New Roman"/>
          <w:sz w:val="24"/>
          <w:szCs w:val="20"/>
          <w:lang w:eastAsia="en-AU"/>
        </w:rPr>
        <w:t xml:space="preserve">taking </w:t>
      </w:r>
      <w:r w:rsidR="00EE054C" w:rsidRPr="00EE054C">
        <w:rPr>
          <w:rFonts w:ascii="Times New Roman" w:eastAsia="Times New Roman" w:hAnsi="Times New Roman"/>
          <w:sz w:val="24"/>
          <w:szCs w:val="20"/>
          <w:lang w:eastAsia="en-AU"/>
        </w:rPr>
        <w:t xml:space="preserve">place in </w:t>
      </w:r>
      <w:r w:rsidR="00EE054C">
        <w:rPr>
          <w:rFonts w:ascii="Times New Roman" w:eastAsia="Times New Roman" w:hAnsi="Times New Roman"/>
          <w:sz w:val="24"/>
          <w:szCs w:val="20"/>
          <w:lang w:eastAsia="en-AU"/>
        </w:rPr>
        <w:t>a</w:t>
      </w:r>
      <w:r w:rsidR="00BA76B3">
        <w:rPr>
          <w:rFonts w:ascii="Times New Roman" w:eastAsia="Times New Roman" w:hAnsi="Times New Roman"/>
          <w:sz w:val="24"/>
          <w:szCs w:val="20"/>
          <w:lang w:eastAsia="en-AU"/>
        </w:rPr>
        <w:t>n</w:t>
      </w:r>
      <w:r w:rsidR="00EE054C" w:rsidRPr="00EE054C">
        <w:rPr>
          <w:rFonts w:ascii="Times New Roman" w:eastAsia="Times New Roman" w:hAnsi="Times New Roman"/>
          <w:sz w:val="24"/>
          <w:szCs w:val="20"/>
          <w:lang w:eastAsia="en-AU"/>
        </w:rPr>
        <w:t xml:space="preserve"> overseas jurisdiction prior to </w:t>
      </w:r>
      <w:r w:rsidR="00BA76B3">
        <w:rPr>
          <w:rFonts w:ascii="Times New Roman" w:eastAsia="Times New Roman" w:hAnsi="Times New Roman"/>
          <w:sz w:val="24"/>
          <w:szCs w:val="20"/>
          <w:lang w:eastAsia="en-AU"/>
        </w:rPr>
        <w:t>its being prescribed</w:t>
      </w:r>
      <w:r w:rsidR="00EE054C" w:rsidRPr="00EE054C">
        <w:rPr>
          <w:rFonts w:ascii="Times New Roman" w:eastAsia="Times New Roman" w:hAnsi="Times New Roman"/>
          <w:sz w:val="24"/>
          <w:szCs w:val="20"/>
          <w:lang w:eastAsia="en-AU"/>
        </w:rPr>
        <w:t xml:space="preserve"> </w:t>
      </w:r>
      <w:r w:rsidR="00EE054C">
        <w:rPr>
          <w:rFonts w:ascii="Times New Roman" w:eastAsia="Times New Roman" w:hAnsi="Times New Roman"/>
          <w:sz w:val="24"/>
          <w:szCs w:val="20"/>
          <w:lang w:eastAsia="en-AU"/>
        </w:rPr>
        <w:t xml:space="preserve">are automatically recognised </w:t>
      </w:r>
      <w:r w:rsidR="00EE054C" w:rsidRPr="00EE054C">
        <w:rPr>
          <w:rFonts w:ascii="Times New Roman" w:eastAsia="Times New Roman" w:hAnsi="Times New Roman"/>
          <w:sz w:val="24"/>
          <w:szCs w:val="20"/>
          <w:lang w:eastAsia="en-AU"/>
        </w:rPr>
        <w:t xml:space="preserve">where the adoption has not been </w:t>
      </w:r>
      <w:r w:rsidR="006C0B4A">
        <w:rPr>
          <w:rFonts w:ascii="Times New Roman" w:eastAsia="Times New Roman" w:hAnsi="Times New Roman"/>
          <w:sz w:val="24"/>
          <w:szCs w:val="20"/>
          <w:lang w:eastAsia="en-AU"/>
        </w:rPr>
        <w:t xml:space="preserve">already </w:t>
      </w:r>
      <w:r w:rsidR="00BA76B3">
        <w:rPr>
          <w:rFonts w:ascii="Times New Roman" w:eastAsia="Times New Roman" w:hAnsi="Times New Roman"/>
          <w:sz w:val="24"/>
          <w:szCs w:val="20"/>
          <w:lang w:eastAsia="en-AU"/>
        </w:rPr>
        <w:t>recognised by an Australian</w:t>
      </w:r>
      <w:r w:rsidR="00EE054C" w:rsidRPr="00EE054C">
        <w:rPr>
          <w:rFonts w:ascii="Times New Roman" w:eastAsia="Times New Roman" w:hAnsi="Times New Roman"/>
          <w:sz w:val="24"/>
          <w:szCs w:val="20"/>
          <w:lang w:eastAsia="en-AU"/>
        </w:rPr>
        <w:t xml:space="preserve"> court</w:t>
      </w:r>
      <w:r w:rsidR="00EE054C">
        <w:rPr>
          <w:rFonts w:ascii="Times New Roman" w:eastAsia="Times New Roman" w:hAnsi="Times New Roman"/>
          <w:sz w:val="24"/>
          <w:szCs w:val="20"/>
          <w:lang w:eastAsia="en-AU"/>
        </w:rPr>
        <w:t xml:space="preserve">. </w:t>
      </w:r>
    </w:p>
    <w:p w:rsidR="00E4032F" w:rsidRPr="00FE77E1" w:rsidRDefault="00E4032F" w:rsidP="00E4032F">
      <w:pPr>
        <w:spacing w:before="240" w:after="0" w:line="240" w:lineRule="auto"/>
        <w:rPr>
          <w:rFonts w:ascii="Times New Roman" w:eastAsia="Times New Roman" w:hAnsi="Times New Roman"/>
          <w:b/>
          <w:sz w:val="24"/>
          <w:szCs w:val="20"/>
          <w:lang w:eastAsia="en-AU"/>
        </w:rPr>
      </w:pPr>
      <w:r w:rsidRPr="00FE77E1">
        <w:rPr>
          <w:rFonts w:ascii="Times New Roman" w:eastAsia="Times New Roman" w:hAnsi="Times New Roman"/>
          <w:b/>
          <w:sz w:val="24"/>
          <w:szCs w:val="20"/>
          <w:lang w:eastAsia="en-AU"/>
        </w:rPr>
        <w:t>Human rights implications</w:t>
      </w:r>
    </w:p>
    <w:p w:rsidR="00E4032F" w:rsidRPr="00FE77E1" w:rsidRDefault="00E4032F" w:rsidP="00E4032F">
      <w:pPr>
        <w:spacing w:before="240" w:after="0" w:line="240" w:lineRule="auto"/>
        <w:rPr>
          <w:rFonts w:ascii="Times New Roman" w:hAnsi="Times New Roman"/>
          <w:sz w:val="24"/>
          <w:szCs w:val="24"/>
          <w:lang w:eastAsia="en-AU"/>
        </w:rPr>
      </w:pPr>
      <w:r w:rsidRPr="00FE77E1">
        <w:rPr>
          <w:rFonts w:ascii="Times New Roman" w:hAnsi="Times New Roman"/>
          <w:sz w:val="24"/>
          <w:szCs w:val="24"/>
          <w:lang w:eastAsia="en-AU"/>
        </w:rPr>
        <w:t xml:space="preserve">The Regulation has a positive impact on those rights concerned with upholding the best interests of the child as the paramount consideration and the protection of the institution of family, as outlined in the </w:t>
      </w:r>
      <w:r w:rsidRPr="00FE77E1">
        <w:rPr>
          <w:rFonts w:ascii="Times New Roman" w:hAnsi="Times New Roman"/>
          <w:i/>
          <w:sz w:val="24"/>
          <w:szCs w:val="24"/>
          <w:lang w:eastAsia="en-AU"/>
        </w:rPr>
        <w:t>Convention on the Rights of Child</w:t>
      </w:r>
      <w:r w:rsidRPr="00FE77E1">
        <w:rPr>
          <w:rFonts w:ascii="Times New Roman" w:hAnsi="Times New Roman"/>
          <w:sz w:val="24"/>
          <w:szCs w:val="24"/>
          <w:lang w:eastAsia="en-AU"/>
        </w:rPr>
        <w:t xml:space="preserve"> and the </w:t>
      </w:r>
      <w:r w:rsidRPr="00FE77E1">
        <w:rPr>
          <w:rFonts w:ascii="Times New Roman" w:hAnsi="Times New Roman"/>
          <w:i/>
          <w:sz w:val="24"/>
          <w:szCs w:val="24"/>
          <w:lang w:eastAsia="en-AU"/>
        </w:rPr>
        <w:t>International Covenant on Civil and Political Rights</w:t>
      </w:r>
      <w:r w:rsidRPr="00FE77E1">
        <w:rPr>
          <w:rFonts w:ascii="Times New Roman" w:hAnsi="Times New Roman"/>
          <w:sz w:val="24"/>
          <w:szCs w:val="24"/>
          <w:lang w:eastAsia="en-AU"/>
        </w:rPr>
        <w:t xml:space="preserve">.  </w:t>
      </w:r>
    </w:p>
    <w:p w:rsidR="00E4032F" w:rsidRPr="00FE77E1" w:rsidRDefault="00E4032F" w:rsidP="00E4032F">
      <w:pPr>
        <w:spacing w:before="240" w:after="0" w:line="240" w:lineRule="auto"/>
        <w:rPr>
          <w:rFonts w:ascii="Times New Roman" w:hAnsi="Times New Roman"/>
          <w:sz w:val="24"/>
          <w:szCs w:val="24"/>
          <w:lang w:eastAsia="en-AU"/>
        </w:rPr>
      </w:pPr>
      <w:r w:rsidRPr="00FE77E1">
        <w:rPr>
          <w:rFonts w:ascii="Times New Roman" w:hAnsi="Times New Roman"/>
          <w:sz w:val="24"/>
          <w:szCs w:val="24"/>
          <w:lang w:eastAsia="en-AU"/>
        </w:rPr>
        <w:t xml:space="preserve">The amendments do not limit any human rights, and do not establish any new offences or penalties.  </w:t>
      </w:r>
    </w:p>
    <w:p w:rsidR="00E4032F" w:rsidRPr="00FE77E1" w:rsidRDefault="00E4032F" w:rsidP="00E4032F">
      <w:pPr>
        <w:spacing w:before="240" w:after="0" w:line="240" w:lineRule="auto"/>
        <w:rPr>
          <w:rFonts w:ascii="Times New Roman" w:eastAsia="Times New Roman" w:hAnsi="Times New Roman"/>
          <w:b/>
          <w:sz w:val="24"/>
          <w:szCs w:val="20"/>
          <w:lang w:eastAsia="en-AU"/>
        </w:rPr>
      </w:pPr>
      <w:r w:rsidRPr="00FE77E1">
        <w:rPr>
          <w:rFonts w:ascii="Times New Roman" w:eastAsia="Times New Roman" w:hAnsi="Times New Roman"/>
          <w:b/>
          <w:sz w:val="24"/>
          <w:szCs w:val="20"/>
          <w:lang w:eastAsia="en-AU"/>
        </w:rPr>
        <w:t>Conclusion</w:t>
      </w:r>
    </w:p>
    <w:p w:rsidR="00E4032F" w:rsidRPr="00FE77E1" w:rsidRDefault="00E4032F" w:rsidP="00E4032F">
      <w:pPr>
        <w:spacing w:before="240" w:after="0" w:line="240" w:lineRule="auto"/>
        <w:rPr>
          <w:rFonts w:ascii="Times New Roman" w:eastAsia="Times New Roman" w:hAnsi="Times New Roman"/>
          <w:b/>
          <w:sz w:val="24"/>
          <w:szCs w:val="20"/>
          <w:lang w:eastAsia="en-AU"/>
        </w:rPr>
      </w:pPr>
      <w:r w:rsidRPr="00FE77E1">
        <w:rPr>
          <w:rFonts w:ascii="Times New Roman" w:eastAsia="Times New Roman" w:hAnsi="Times New Roman"/>
          <w:sz w:val="24"/>
          <w:szCs w:val="24"/>
          <w:lang w:eastAsia="en-AU"/>
        </w:rPr>
        <w:t>This Regulation is compatible with human rights</w:t>
      </w:r>
      <w:r w:rsidR="006C0B4A">
        <w:rPr>
          <w:rFonts w:ascii="Times New Roman" w:eastAsia="Times New Roman" w:hAnsi="Times New Roman"/>
          <w:sz w:val="24"/>
          <w:szCs w:val="24"/>
          <w:lang w:eastAsia="en-AU"/>
        </w:rPr>
        <w:t>.</w:t>
      </w:r>
      <w:r w:rsidRPr="00FE77E1">
        <w:rPr>
          <w:rFonts w:ascii="Times New Roman" w:eastAsia="Times New Roman" w:hAnsi="Times New Roman"/>
          <w:sz w:val="24"/>
          <w:szCs w:val="24"/>
          <w:lang w:eastAsia="en-AU"/>
        </w:rPr>
        <w:t xml:space="preserve"> </w:t>
      </w:r>
      <w:r w:rsidR="006C0B4A">
        <w:rPr>
          <w:rFonts w:ascii="Times New Roman" w:eastAsia="Times New Roman" w:hAnsi="Times New Roman"/>
          <w:sz w:val="24"/>
          <w:szCs w:val="24"/>
          <w:lang w:eastAsia="en-AU"/>
        </w:rPr>
        <w:t>I</w:t>
      </w:r>
      <w:r w:rsidRPr="00FE77E1">
        <w:rPr>
          <w:rFonts w:ascii="Times New Roman" w:eastAsia="Times New Roman" w:hAnsi="Times New Roman"/>
          <w:sz w:val="24"/>
          <w:szCs w:val="24"/>
          <w:lang w:eastAsia="en-AU"/>
        </w:rPr>
        <w:t>t does not raise any human rights issues.</w:t>
      </w:r>
    </w:p>
    <w:p w:rsidR="00E4032F" w:rsidRPr="00FE77E1" w:rsidRDefault="00E4032F" w:rsidP="00E4032F">
      <w:pPr>
        <w:spacing w:before="120" w:after="120" w:line="240" w:lineRule="auto"/>
        <w:rPr>
          <w:rFonts w:ascii="Times New Roman" w:eastAsia="Times New Roman" w:hAnsi="Times New Roman"/>
          <w:b/>
          <w:sz w:val="24"/>
          <w:szCs w:val="24"/>
          <w:lang w:eastAsia="en-AU"/>
        </w:rPr>
      </w:pPr>
    </w:p>
    <w:p w:rsidR="00E4032F" w:rsidRPr="00FE77E1" w:rsidRDefault="00E4032F" w:rsidP="00E4032F">
      <w:pPr>
        <w:spacing w:before="120" w:after="120"/>
        <w:jc w:val="center"/>
        <w:rPr>
          <w:rFonts w:ascii="Cambria" w:hAnsi="Cambria"/>
          <w:sz w:val="24"/>
          <w:szCs w:val="24"/>
        </w:rPr>
      </w:pPr>
      <w:r w:rsidRPr="00FE77E1">
        <w:rPr>
          <w:rFonts w:ascii="Times New Roman" w:hAnsi="Times New Roman"/>
          <w:b/>
          <w:sz w:val="24"/>
          <w:szCs w:val="24"/>
        </w:rPr>
        <w:t>Attorney</w:t>
      </w:r>
      <w:r w:rsidRPr="00FE77E1">
        <w:rPr>
          <w:rFonts w:ascii="Times New Roman" w:hAnsi="Times New Roman"/>
          <w:b/>
          <w:sz w:val="24"/>
          <w:szCs w:val="24"/>
        </w:rPr>
        <w:noBreakHyphen/>
        <w:t xml:space="preserve">General </w:t>
      </w:r>
      <w:r>
        <w:rPr>
          <w:rFonts w:ascii="Times New Roman" w:hAnsi="Times New Roman"/>
          <w:b/>
          <w:sz w:val="24"/>
          <w:szCs w:val="24"/>
        </w:rPr>
        <w:t>Senator t</w:t>
      </w:r>
      <w:r w:rsidRPr="00FE77E1">
        <w:rPr>
          <w:rFonts w:ascii="Times New Roman" w:hAnsi="Times New Roman"/>
          <w:b/>
          <w:sz w:val="24"/>
          <w:szCs w:val="24"/>
        </w:rPr>
        <w:t xml:space="preserve">he Hon </w:t>
      </w:r>
      <w:r>
        <w:rPr>
          <w:rFonts w:ascii="Times New Roman" w:hAnsi="Times New Roman"/>
          <w:b/>
          <w:sz w:val="24"/>
          <w:szCs w:val="24"/>
        </w:rPr>
        <w:t xml:space="preserve">George </w:t>
      </w:r>
      <w:proofErr w:type="spellStart"/>
      <w:r>
        <w:rPr>
          <w:rFonts w:ascii="Times New Roman" w:hAnsi="Times New Roman"/>
          <w:b/>
          <w:sz w:val="24"/>
          <w:szCs w:val="24"/>
        </w:rPr>
        <w:t>Brandis</w:t>
      </w:r>
      <w:proofErr w:type="spellEnd"/>
      <w:r w:rsidRPr="00FE77E1">
        <w:rPr>
          <w:rFonts w:ascii="Times New Roman" w:hAnsi="Times New Roman"/>
          <w:b/>
          <w:sz w:val="24"/>
          <w:szCs w:val="24"/>
        </w:rPr>
        <w:t xml:space="preserve"> QC </w:t>
      </w:r>
    </w:p>
    <w:p w:rsidR="00E4032F" w:rsidRPr="00FE77E1" w:rsidRDefault="00E4032F" w:rsidP="00E4032F">
      <w:pPr>
        <w:pStyle w:val="Paragraph"/>
        <w:tabs>
          <w:tab w:val="left" w:pos="5595"/>
        </w:tabs>
        <w:spacing w:before="0"/>
        <w:rPr>
          <w:szCs w:val="24"/>
        </w:rPr>
      </w:pPr>
    </w:p>
    <w:p w:rsidR="00E4032F" w:rsidRPr="003B1798" w:rsidRDefault="00E4032F" w:rsidP="00E4032F"/>
    <w:p w:rsidR="00E4032F" w:rsidRPr="003B1798" w:rsidRDefault="00E4032F" w:rsidP="00E4032F"/>
    <w:p w:rsidR="000E45AC" w:rsidRPr="003B1798" w:rsidRDefault="000E45AC" w:rsidP="003B1798"/>
    <w:sectPr w:rsidR="000E45AC" w:rsidRPr="003B1798" w:rsidSect="004E7792">
      <w:headerReference w:type="default" r:id="rId9"/>
      <w:pgSz w:w="11906" w:h="16838" w:code="9"/>
      <w:pgMar w:top="1134" w:right="1274" w:bottom="1134" w:left="1276"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2D35" w:rsidRDefault="001C2D35" w:rsidP="00590080">
      <w:pPr>
        <w:spacing w:after="0" w:line="240" w:lineRule="auto"/>
      </w:pPr>
      <w:r>
        <w:separator/>
      </w:r>
    </w:p>
  </w:endnote>
  <w:endnote w:type="continuationSeparator" w:id="0">
    <w:p w:rsidR="001C2D35" w:rsidRDefault="001C2D35" w:rsidP="005900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2D35" w:rsidRDefault="001C2D35" w:rsidP="00590080">
      <w:pPr>
        <w:spacing w:after="0" w:line="240" w:lineRule="auto"/>
      </w:pPr>
      <w:r>
        <w:separator/>
      </w:r>
    </w:p>
  </w:footnote>
  <w:footnote w:type="continuationSeparator" w:id="0">
    <w:p w:rsidR="001C2D35" w:rsidRDefault="001C2D35" w:rsidP="005900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792" w:rsidRDefault="004E7792" w:rsidP="004E7792">
    <w:pPr>
      <w:pStyle w:val="Header"/>
      <w:jc w:val="center"/>
    </w:pPr>
    <w:r>
      <w:fldChar w:fldCharType="begin"/>
    </w:r>
    <w:r>
      <w:instrText xml:space="preserve"> PAGE   \* MERGEFORMAT </w:instrText>
    </w:r>
    <w:r>
      <w:fldChar w:fldCharType="separate"/>
    </w:r>
    <w:r w:rsidR="00B72272">
      <w:rPr>
        <w:noProof/>
      </w:rPr>
      <w:t>3</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736C9"/>
    <w:multiLevelType w:val="hybridMultilevel"/>
    <w:tmpl w:val="039247FE"/>
    <w:lvl w:ilvl="0" w:tplc="3E9AF876">
      <w:start w:val="2"/>
      <w:numFmt w:val="decimal"/>
      <w:lvlText w:val="%1."/>
      <w:lvlJc w:val="left"/>
      <w:pPr>
        <w:ind w:left="720" w:hanging="360"/>
      </w:pPr>
      <w:rPr>
        <w:b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nsid w:val="1AB24D37"/>
    <w:multiLevelType w:val="hybridMultilevel"/>
    <w:tmpl w:val="E5E4EF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BF95C4B"/>
    <w:multiLevelType w:val="hybridMultilevel"/>
    <w:tmpl w:val="FC04DF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37447087"/>
    <w:multiLevelType w:val="hybridMultilevel"/>
    <w:tmpl w:val="C2386494"/>
    <w:lvl w:ilvl="0" w:tplc="11C28D1C">
      <w:start w:val="1"/>
      <w:numFmt w:val="bullet"/>
      <w:pStyle w:val="HB-Table-dotpoint"/>
      <w:lvlText w:val=""/>
      <w:lvlJc w:val="left"/>
      <w:pPr>
        <w:tabs>
          <w:tab w:val="num" w:pos="720"/>
        </w:tabs>
        <w:ind w:left="720" w:hanging="360"/>
      </w:pPr>
      <w:rPr>
        <w:rFonts w:ascii="Symbol" w:hAnsi="Symbol" w:hint="default"/>
        <w:sz w:val="22"/>
        <w:szCs w:val="22"/>
      </w:rPr>
    </w:lvl>
    <w:lvl w:ilvl="1" w:tplc="0C090003" w:tentative="1">
      <w:start w:val="1"/>
      <w:numFmt w:val="bullet"/>
      <w:lvlText w:val="o"/>
      <w:lvlJc w:val="left"/>
      <w:pPr>
        <w:tabs>
          <w:tab w:val="num" w:pos="1004"/>
        </w:tabs>
        <w:ind w:left="1004" w:hanging="360"/>
      </w:pPr>
      <w:rPr>
        <w:rFonts w:ascii="Courier New" w:hAnsi="Courier New" w:cs="Courier New" w:hint="default"/>
      </w:rPr>
    </w:lvl>
    <w:lvl w:ilvl="2" w:tplc="0C090005" w:tentative="1">
      <w:start w:val="1"/>
      <w:numFmt w:val="bullet"/>
      <w:lvlText w:val=""/>
      <w:lvlJc w:val="left"/>
      <w:pPr>
        <w:tabs>
          <w:tab w:val="num" w:pos="1724"/>
        </w:tabs>
        <w:ind w:left="1724" w:hanging="360"/>
      </w:pPr>
      <w:rPr>
        <w:rFonts w:ascii="Wingdings" w:hAnsi="Wingdings" w:hint="default"/>
      </w:rPr>
    </w:lvl>
    <w:lvl w:ilvl="3" w:tplc="0C090001" w:tentative="1">
      <w:start w:val="1"/>
      <w:numFmt w:val="bullet"/>
      <w:lvlText w:val=""/>
      <w:lvlJc w:val="left"/>
      <w:pPr>
        <w:tabs>
          <w:tab w:val="num" w:pos="2444"/>
        </w:tabs>
        <w:ind w:left="2444" w:hanging="360"/>
      </w:pPr>
      <w:rPr>
        <w:rFonts w:ascii="Symbol" w:hAnsi="Symbol" w:hint="default"/>
      </w:rPr>
    </w:lvl>
    <w:lvl w:ilvl="4" w:tplc="0C090003" w:tentative="1">
      <w:start w:val="1"/>
      <w:numFmt w:val="bullet"/>
      <w:lvlText w:val="o"/>
      <w:lvlJc w:val="left"/>
      <w:pPr>
        <w:tabs>
          <w:tab w:val="num" w:pos="3164"/>
        </w:tabs>
        <w:ind w:left="3164" w:hanging="360"/>
      </w:pPr>
      <w:rPr>
        <w:rFonts w:ascii="Courier New" w:hAnsi="Courier New" w:cs="Courier New" w:hint="default"/>
      </w:rPr>
    </w:lvl>
    <w:lvl w:ilvl="5" w:tplc="0C090005" w:tentative="1">
      <w:start w:val="1"/>
      <w:numFmt w:val="bullet"/>
      <w:lvlText w:val=""/>
      <w:lvlJc w:val="left"/>
      <w:pPr>
        <w:tabs>
          <w:tab w:val="num" w:pos="3884"/>
        </w:tabs>
        <w:ind w:left="3884" w:hanging="360"/>
      </w:pPr>
      <w:rPr>
        <w:rFonts w:ascii="Wingdings" w:hAnsi="Wingdings" w:hint="default"/>
      </w:rPr>
    </w:lvl>
    <w:lvl w:ilvl="6" w:tplc="0C090001" w:tentative="1">
      <w:start w:val="1"/>
      <w:numFmt w:val="bullet"/>
      <w:lvlText w:val=""/>
      <w:lvlJc w:val="left"/>
      <w:pPr>
        <w:tabs>
          <w:tab w:val="num" w:pos="4604"/>
        </w:tabs>
        <w:ind w:left="4604" w:hanging="360"/>
      </w:pPr>
      <w:rPr>
        <w:rFonts w:ascii="Symbol" w:hAnsi="Symbol" w:hint="default"/>
      </w:rPr>
    </w:lvl>
    <w:lvl w:ilvl="7" w:tplc="0C090003" w:tentative="1">
      <w:start w:val="1"/>
      <w:numFmt w:val="bullet"/>
      <w:lvlText w:val="o"/>
      <w:lvlJc w:val="left"/>
      <w:pPr>
        <w:tabs>
          <w:tab w:val="num" w:pos="5324"/>
        </w:tabs>
        <w:ind w:left="5324" w:hanging="360"/>
      </w:pPr>
      <w:rPr>
        <w:rFonts w:ascii="Courier New" w:hAnsi="Courier New" w:cs="Courier New" w:hint="default"/>
      </w:rPr>
    </w:lvl>
    <w:lvl w:ilvl="8" w:tplc="0C090005" w:tentative="1">
      <w:start w:val="1"/>
      <w:numFmt w:val="bullet"/>
      <w:lvlText w:val=""/>
      <w:lvlJc w:val="left"/>
      <w:pPr>
        <w:tabs>
          <w:tab w:val="num" w:pos="6044"/>
        </w:tabs>
        <w:ind w:left="6044" w:hanging="360"/>
      </w:pPr>
      <w:rPr>
        <w:rFonts w:ascii="Wingdings" w:hAnsi="Wingdings" w:hint="default"/>
      </w:rPr>
    </w:lvl>
  </w:abstractNum>
  <w:abstractNum w:abstractNumId="4">
    <w:nsid w:val="3ABA1F56"/>
    <w:multiLevelType w:val="hybridMultilevel"/>
    <w:tmpl w:val="BD32D4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4D5034F3"/>
    <w:multiLevelType w:val="hybridMultilevel"/>
    <w:tmpl w:val="2F8EDC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4E2E0478"/>
    <w:multiLevelType w:val="singleLevel"/>
    <w:tmpl w:val="63B22CA6"/>
    <w:lvl w:ilvl="0">
      <w:start w:val="1"/>
      <w:numFmt w:val="decimal"/>
      <w:pStyle w:val="Paragraphnumbered"/>
      <w:lvlText w:val="%1."/>
      <w:legacy w:legacy="1" w:legacySpace="0" w:legacyIndent="567"/>
      <w:lvlJc w:val="left"/>
      <w:pPr>
        <w:ind w:left="567" w:hanging="567"/>
      </w:pPr>
    </w:lvl>
  </w:abstractNum>
  <w:num w:numId="1">
    <w:abstractNumId w:val="6"/>
  </w:num>
  <w:num w:numId="2">
    <w:abstractNumId w:val="2"/>
  </w:num>
  <w:num w:numId="3">
    <w:abstractNumId w:val="1"/>
  </w:num>
  <w:num w:numId="4">
    <w:abstractNumId w:val="4"/>
  </w:num>
  <w:num w:numId="5">
    <w:abstractNumId w:val="5"/>
  </w:num>
  <w:num w:numId="6">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4872"/>
    <w:rsid w:val="00005B0F"/>
    <w:rsid w:val="000104C9"/>
    <w:rsid w:val="00010886"/>
    <w:rsid w:val="000131D7"/>
    <w:rsid w:val="000244F5"/>
    <w:rsid w:val="0003152D"/>
    <w:rsid w:val="00061161"/>
    <w:rsid w:val="00071419"/>
    <w:rsid w:val="00083059"/>
    <w:rsid w:val="000875FB"/>
    <w:rsid w:val="00093F83"/>
    <w:rsid w:val="000C1F72"/>
    <w:rsid w:val="000E45AC"/>
    <w:rsid w:val="000F558F"/>
    <w:rsid w:val="0010567F"/>
    <w:rsid w:val="00106BAB"/>
    <w:rsid w:val="00110F89"/>
    <w:rsid w:val="001169CB"/>
    <w:rsid w:val="001176D4"/>
    <w:rsid w:val="001317EB"/>
    <w:rsid w:val="00165115"/>
    <w:rsid w:val="001A103C"/>
    <w:rsid w:val="001C2D35"/>
    <w:rsid w:val="0021240F"/>
    <w:rsid w:val="002374D7"/>
    <w:rsid w:val="0024492C"/>
    <w:rsid w:val="002533DD"/>
    <w:rsid w:val="0027790C"/>
    <w:rsid w:val="00280C30"/>
    <w:rsid w:val="00290717"/>
    <w:rsid w:val="002912AF"/>
    <w:rsid w:val="002A434A"/>
    <w:rsid w:val="002A4F63"/>
    <w:rsid w:val="002A5131"/>
    <w:rsid w:val="002F194B"/>
    <w:rsid w:val="00304501"/>
    <w:rsid w:val="00311991"/>
    <w:rsid w:val="00322D9B"/>
    <w:rsid w:val="003233B4"/>
    <w:rsid w:val="00334A0C"/>
    <w:rsid w:val="00337E66"/>
    <w:rsid w:val="0034657F"/>
    <w:rsid w:val="003563AC"/>
    <w:rsid w:val="003637C9"/>
    <w:rsid w:val="00376CE7"/>
    <w:rsid w:val="00386A50"/>
    <w:rsid w:val="00394BD6"/>
    <w:rsid w:val="003B1798"/>
    <w:rsid w:val="003D440B"/>
    <w:rsid w:val="003E487B"/>
    <w:rsid w:val="004328A0"/>
    <w:rsid w:val="00436448"/>
    <w:rsid w:val="004C343B"/>
    <w:rsid w:val="004D2496"/>
    <w:rsid w:val="004E25D8"/>
    <w:rsid w:val="004E7792"/>
    <w:rsid w:val="004F1091"/>
    <w:rsid w:val="00503031"/>
    <w:rsid w:val="005071CD"/>
    <w:rsid w:val="0052521E"/>
    <w:rsid w:val="00530F48"/>
    <w:rsid w:val="00547E96"/>
    <w:rsid w:val="00576CF1"/>
    <w:rsid w:val="00585D3B"/>
    <w:rsid w:val="00590080"/>
    <w:rsid w:val="00594131"/>
    <w:rsid w:val="005A6354"/>
    <w:rsid w:val="005C1248"/>
    <w:rsid w:val="005D5D2A"/>
    <w:rsid w:val="005D6526"/>
    <w:rsid w:val="005F09B4"/>
    <w:rsid w:val="005F302C"/>
    <w:rsid w:val="006118E0"/>
    <w:rsid w:val="006133CD"/>
    <w:rsid w:val="00646BC8"/>
    <w:rsid w:val="00657A86"/>
    <w:rsid w:val="00675B66"/>
    <w:rsid w:val="00690517"/>
    <w:rsid w:val="00693CAE"/>
    <w:rsid w:val="006B18AD"/>
    <w:rsid w:val="006C0B4A"/>
    <w:rsid w:val="006D4952"/>
    <w:rsid w:val="006E2138"/>
    <w:rsid w:val="006F3DBC"/>
    <w:rsid w:val="00700B10"/>
    <w:rsid w:val="007417C5"/>
    <w:rsid w:val="00760704"/>
    <w:rsid w:val="00791666"/>
    <w:rsid w:val="00794C99"/>
    <w:rsid w:val="007A38C2"/>
    <w:rsid w:val="007C5357"/>
    <w:rsid w:val="007E4D63"/>
    <w:rsid w:val="00807179"/>
    <w:rsid w:val="0083778B"/>
    <w:rsid w:val="00837C5D"/>
    <w:rsid w:val="00875397"/>
    <w:rsid w:val="008C5743"/>
    <w:rsid w:val="008F5DB3"/>
    <w:rsid w:val="0090653A"/>
    <w:rsid w:val="00926459"/>
    <w:rsid w:val="0093684D"/>
    <w:rsid w:val="009408C9"/>
    <w:rsid w:val="009511EF"/>
    <w:rsid w:val="00954612"/>
    <w:rsid w:val="00971581"/>
    <w:rsid w:val="009D08B5"/>
    <w:rsid w:val="009E04B6"/>
    <w:rsid w:val="00A02AFF"/>
    <w:rsid w:val="00A1001E"/>
    <w:rsid w:val="00A16BB4"/>
    <w:rsid w:val="00A2242C"/>
    <w:rsid w:val="00A24081"/>
    <w:rsid w:val="00A270FE"/>
    <w:rsid w:val="00A455E0"/>
    <w:rsid w:val="00A5057C"/>
    <w:rsid w:val="00A506AC"/>
    <w:rsid w:val="00A53FB3"/>
    <w:rsid w:val="00A566A3"/>
    <w:rsid w:val="00A61DB4"/>
    <w:rsid w:val="00A667DB"/>
    <w:rsid w:val="00A76304"/>
    <w:rsid w:val="00A80819"/>
    <w:rsid w:val="00AA4BBB"/>
    <w:rsid w:val="00AB1E9C"/>
    <w:rsid w:val="00AC52B6"/>
    <w:rsid w:val="00AC5A52"/>
    <w:rsid w:val="00AD1D85"/>
    <w:rsid w:val="00AF61E7"/>
    <w:rsid w:val="00B170EC"/>
    <w:rsid w:val="00B27108"/>
    <w:rsid w:val="00B343E8"/>
    <w:rsid w:val="00B4560B"/>
    <w:rsid w:val="00B72272"/>
    <w:rsid w:val="00B72C48"/>
    <w:rsid w:val="00B87602"/>
    <w:rsid w:val="00BA0FF6"/>
    <w:rsid w:val="00BA36EC"/>
    <w:rsid w:val="00BA76B3"/>
    <w:rsid w:val="00BF3E62"/>
    <w:rsid w:val="00C07C96"/>
    <w:rsid w:val="00C14947"/>
    <w:rsid w:val="00C51D64"/>
    <w:rsid w:val="00C54B44"/>
    <w:rsid w:val="00CA14FE"/>
    <w:rsid w:val="00CB556A"/>
    <w:rsid w:val="00CE1771"/>
    <w:rsid w:val="00D010CC"/>
    <w:rsid w:val="00D13654"/>
    <w:rsid w:val="00D44872"/>
    <w:rsid w:val="00D64FE9"/>
    <w:rsid w:val="00D71453"/>
    <w:rsid w:val="00D74B7C"/>
    <w:rsid w:val="00D828AA"/>
    <w:rsid w:val="00DA7EF7"/>
    <w:rsid w:val="00DE621D"/>
    <w:rsid w:val="00E32139"/>
    <w:rsid w:val="00E4032F"/>
    <w:rsid w:val="00E47C86"/>
    <w:rsid w:val="00E5270D"/>
    <w:rsid w:val="00E52E59"/>
    <w:rsid w:val="00E6560F"/>
    <w:rsid w:val="00E74981"/>
    <w:rsid w:val="00E96588"/>
    <w:rsid w:val="00EA4DCC"/>
    <w:rsid w:val="00EB26EC"/>
    <w:rsid w:val="00EB7BA9"/>
    <w:rsid w:val="00EE054C"/>
    <w:rsid w:val="00F26D5C"/>
    <w:rsid w:val="00F27C08"/>
    <w:rsid w:val="00F45C9A"/>
    <w:rsid w:val="00F54846"/>
    <w:rsid w:val="00F60FAE"/>
    <w:rsid w:val="00F654B9"/>
    <w:rsid w:val="00FA0CFC"/>
    <w:rsid w:val="00FA2F38"/>
    <w:rsid w:val="00FC2DD0"/>
    <w:rsid w:val="00FD453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6BB4"/>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RNo">
    <w:name w:val="SRNo"/>
    <w:basedOn w:val="Normal"/>
    <w:next w:val="Normal"/>
    <w:rsid w:val="00D44872"/>
    <w:pPr>
      <w:pBdr>
        <w:bottom w:val="single" w:sz="4" w:space="3" w:color="auto"/>
      </w:pBdr>
      <w:spacing w:before="480" w:after="0" w:line="240" w:lineRule="auto"/>
    </w:pPr>
    <w:rPr>
      <w:rFonts w:ascii="Arial" w:eastAsia="Times New Roman" w:hAnsi="Arial"/>
      <w:b/>
      <w:sz w:val="24"/>
      <w:szCs w:val="24"/>
    </w:rPr>
  </w:style>
  <w:style w:type="paragraph" w:customStyle="1" w:styleId="Paragraph">
    <w:name w:val="Paragraph"/>
    <w:basedOn w:val="Normal"/>
    <w:rsid w:val="00D44872"/>
    <w:pPr>
      <w:numPr>
        <w:ilvl w:val="12"/>
      </w:numPr>
      <w:spacing w:before="240" w:after="0" w:line="240" w:lineRule="auto"/>
    </w:pPr>
    <w:rPr>
      <w:rFonts w:ascii="Times New Roman" w:eastAsia="Times New Roman" w:hAnsi="Times New Roman"/>
      <w:sz w:val="24"/>
      <w:szCs w:val="20"/>
      <w:lang w:eastAsia="en-AU"/>
    </w:rPr>
  </w:style>
  <w:style w:type="paragraph" w:customStyle="1" w:styleId="Paragraphnumbered">
    <w:name w:val="Paragraph (numbered)"/>
    <w:basedOn w:val="Normal"/>
    <w:rsid w:val="00590080"/>
    <w:pPr>
      <w:numPr>
        <w:numId w:val="1"/>
      </w:numPr>
      <w:spacing w:before="240" w:after="0" w:line="240" w:lineRule="auto"/>
      <w:ind w:left="0" w:firstLine="0"/>
    </w:pPr>
    <w:rPr>
      <w:rFonts w:ascii="Times New Roman" w:eastAsia="Times New Roman" w:hAnsi="Times New Roman"/>
      <w:sz w:val="24"/>
      <w:szCs w:val="24"/>
      <w:lang w:eastAsia="en-AU"/>
    </w:rPr>
  </w:style>
  <w:style w:type="paragraph" w:customStyle="1" w:styleId="Celltext">
    <w:name w:val="Cell text"/>
    <w:basedOn w:val="Normal"/>
    <w:rsid w:val="00590080"/>
    <w:pPr>
      <w:spacing w:before="120" w:after="0" w:line="240" w:lineRule="auto"/>
    </w:pPr>
    <w:rPr>
      <w:rFonts w:ascii="Times New Roman" w:eastAsia="Times New Roman" w:hAnsi="Times New Roman"/>
      <w:sz w:val="24"/>
      <w:szCs w:val="20"/>
      <w:lang w:eastAsia="en-AU"/>
    </w:rPr>
  </w:style>
  <w:style w:type="paragraph" w:styleId="FootnoteText">
    <w:name w:val="footnote text"/>
    <w:basedOn w:val="Normal"/>
    <w:link w:val="FootnoteTextChar"/>
    <w:uiPriority w:val="99"/>
    <w:unhideWhenUsed/>
    <w:rsid w:val="00590080"/>
    <w:pPr>
      <w:spacing w:before="240" w:after="0" w:line="240" w:lineRule="auto"/>
    </w:pPr>
    <w:rPr>
      <w:rFonts w:ascii="Times New Roman" w:eastAsia="Times New Roman" w:hAnsi="Times New Roman"/>
      <w:sz w:val="20"/>
      <w:szCs w:val="20"/>
      <w:lang w:eastAsia="en-AU"/>
    </w:rPr>
  </w:style>
  <w:style w:type="character" w:customStyle="1" w:styleId="FootnoteTextChar">
    <w:name w:val="Footnote Text Char"/>
    <w:link w:val="FootnoteText"/>
    <w:uiPriority w:val="99"/>
    <w:rsid w:val="00590080"/>
    <w:rPr>
      <w:rFonts w:ascii="Times New Roman" w:eastAsia="Times New Roman" w:hAnsi="Times New Roman" w:cs="Times New Roman"/>
      <w:sz w:val="20"/>
      <w:szCs w:val="20"/>
      <w:lang w:eastAsia="en-AU"/>
    </w:rPr>
  </w:style>
  <w:style w:type="character" w:styleId="FootnoteReference">
    <w:name w:val="footnote reference"/>
    <w:uiPriority w:val="99"/>
    <w:semiHidden/>
    <w:unhideWhenUsed/>
    <w:rsid w:val="00590080"/>
    <w:rPr>
      <w:vertAlign w:val="superscript"/>
    </w:rPr>
  </w:style>
  <w:style w:type="character" w:styleId="Hyperlink">
    <w:name w:val="Hyperlink"/>
    <w:uiPriority w:val="99"/>
    <w:unhideWhenUsed/>
    <w:rsid w:val="00590080"/>
    <w:rPr>
      <w:color w:val="0000FF"/>
      <w:u w:val="single"/>
    </w:rPr>
  </w:style>
  <w:style w:type="paragraph" w:styleId="BalloonText">
    <w:name w:val="Balloon Text"/>
    <w:basedOn w:val="Normal"/>
    <w:link w:val="BalloonTextChar"/>
    <w:uiPriority w:val="99"/>
    <w:semiHidden/>
    <w:unhideWhenUsed/>
    <w:rsid w:val="002533D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533DD"/>
    <w:rPr>
      <w:rFonts w:ascii="Tahoma" w:hAnsi="Tahoma" w:cs="Tahoma"/>
      <w:sz w:val="16"/>
      <w:szCs w:val="16"/>
    </w:rPr>
  </w:style>
  <w:style w:type="paragraph" w:styleId="Header">
    <w:name w:val="header"/>
    <w:basedOn w:val="Normal"/>
    <w:link w:val="HeaderChar"/>
    <w:uiPriority w:val="99"/>
    <w:rsid w:val="00A61DB4"/>
    <w:pPr>
      <w:tabs>
        <w:tab w:val="center" w:pos="4153"/>
        <w:tab w:val="right" w:pos="8306"/>
      </w:tabs>
      <w:spacing w:before="240" w:after="0" w:line="240" w:lineRule="auto"/>
    </w:pPr>
    <w:rPr>
      <w:rFonts w:ascii="Times New Roman" w:eastAsia="Times New Roman" w:hAnsi="Times New Roman"/>
      <w:sz w:val="24"/>
      <w:szCs w:val="20"/>
      <w:lang w:eastAsia="en-AU"/>
    </w:rPr>
  </w:style>
  <w:style w:type="character" w:customStyle="1" w:styleId="HeaderChar">
    <w:name w:val="Header Char"/>
    <w:link w:val="Header"/>
    <w:uiPriority w:val="99"/>
    <w:rsid w:val="00A61DB4"/>
    <w:rPr>
      <w:rFonts w:ascii="Times New Roman" w:eastAsia="Times New Roman" w:hAnsi="Times New Roman"/>
      <w:sz w:val="24"/>
    </w:rPr>
  </w:style>
  <w:style w:type="paragraph" w:customStyle="1" w:styleId="Classification">
    <w:name w:val="Classification"/>
    <w:basedOn w:val="Normal"/>
    <w:rsid w:val="00A61DB4"/>
    <w:pPr>
      <w:spacing w:before="60" w:after="60" w:line="240" w:lineRule="auto"/>
      <w:jc w:val="center"/>
    </w:pPr>
    <w:rPr>
      <w:rFonts w:ascii="Arial" w:eastAsia="Times New Roman" w:hAnsi="Arial"/>
      <w:b/>
      <w:caps/>
      <w:color w:val="FF0000"/>
      <w:sz w:val="28"/>
      <w:szCs w:val="20"/>
      <w:lang w:eastAsia="en-AU"/>
    </w:rPr>
  </w:style>
  <w:style w:type="character" w:styleId="CommentReference">
    <w:name w:val="annotation reference"/>
    <w:uiPriority w:val="99"/>
    <w:semiHidden/>
    <w:unhideWhenUsed/>
    <w:rsid w:val="000E45AC"/>
    <w:rPr>
      <w:sz w:val="16"/>
      <w:szCs w:val="16"/>
    </w:rPr>
  </w:style>
  <w:style w:type="paragraph" w:styleId="CommentText">
    <w:name w:val="annotation text"/>
    <w:basedOn w:val="Normal"/>
    <w:link w:val="CommentTextChar"/>
    <w:uiPriority w:val="99"/>
    <w:semiHidden/>
    <w:unhideWhenUsed/>
    <w:rsid w:val="000E45AC"/>
    <w:pPr>
      <w:spacing w:before="240" w:after="0" w:line="240" w:lineRule="auto"/>
    </w:pPr>
    <w:rPr>
      <w:rFonts w:ascii="Times New Roman" w:eastAsia="Times New Roman" w:hAnsi="Times New Roman"/>
      <w:sz w:val="20"/>
      <w:szCs w:val="20"/>
      <w:lang w:eastAsia="en-AU"/>
    </w:rPr>
  </w:style>
  <w:style w:type="character" w:customStyle="1" w:styleId="CommentTextChar">
    <w:name w:val="Comment Text Char"/>
    <w:link w:val="CommentText"/>
    <w:uiPriority w:val="99"/>
    <w:semiHidden/>
    <w:rsid w:val="000E45AC"/>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AC52B6"/>
    <w:pPr>
      <w:spacing w:before="0" w:after="200" w:line="276" w:lineRule="auto"/>
    </w:pPr>
    <w:rPr>
      <w:rFonts w:ascii="Calibri" w:eastAsia="Calibri" w:hAnsi="Calibri"/>
      <w:b/>
      <w:bCs/>
      <w:lang w:eastAsia="en-US"/>
    </w:rPr>
  </w:style>
  <w:style w:type="character" w:customStyle="1" w:styleId="CommentSubjectChar">
    <w:name w:val="Comment Subject Char"/>
    <w:link w:val="CommentSubject"/>
    <w:uiPriority w:val="99"/>
    <w:semiHidden/>
    <w:rsid w:val="00AC52B6"/>
    <w:rPr>
      <w:rFonts w:ascii="Times New Roman" w:eastAsia="Times New Roman" w:hAnsi="Times New Roman"/>
      <w:b/>
      <w:bCs/>
      <w:lang w:eastAsia="en-US"/>
    </w:rPr>
  </w:style>
  <w:style w:type="paragraph" w:styleId="Footer">
    <w:name w:val="footer"/>
    <w:basedOn w:val="Normal"/>
    <w:link w:val="FooterChar"/>
    <w:uiPriority w:val="99"/>
    <w:unhideWhenUsed/>
    <w:rsid w:val="001A103C"/>
    <w:pPr>
      <w:tabs>
        <w:tab w:val="center" w:pos="4513"/>
        <w:tab w:val="right" w:pos="9026"/>
      </w:tabs>
    </w:pPr>
  </w:style>
  <w:style w:type="character" w:customStyle="1" w:styleId="FooterChar">
    <w:name w:val="Footer Char"/>
    <w:link w:val="Footer"/>
    <w:uiPriority w:val="99"/>
    <w:rsid w:val="001A103C"/>
    <w:rPr>
      <w:sz w:val="22"/>
      <w:szCs w:val="22"/>
      <w:lang w:eastAsia="en-US"/>
    </w:rPr>
  </w:style>
  <w:style w:type="paragraph" w:customStyle="1" w:styleId="HB-Table-dotpoint">
    <w:name w:val="HB - Table - dot point"/>
    <w:basedOn w:val="Normal"/>
    <w:rsid w:val="00B4560B"/>
    <w:pPr>
      <w:numPr>
        <w:numId w:val="7"/>
      </w:numPr>
      <w:tabs>
        <w:tab w:val="clear" w:pos="720"/>
        <w:tab w:val="num" w:pos="567"/>
      </w:tabs>
      <w:spacing w:before="120" w:after="120" w:line="240" w:lineRule="auto"/>
      <w:ind w:left="567" w:hanging="425"/>
    </w:pPr>
    <w:rPr>
      <w:rFonts w:ascii="Times New Roman" w:eastAsia="Times New Roman" w:hAnsi="Times New Roman"/>
      <w:sz w:val="24"/>
      <w:szCs w:val="20"/>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6BB4"/>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RNo">
    <w:name w:val="SRNo"/>
    <w:basedOn w:val="Normal"/>
    <w:next w:val="Normal"/>
    <w:rsid w:val="00D44872"/>
    <w:pPr>
      <w:pBdr>
        <w:bottom w:val="single" w:sz="4" w:space="3" w:color="auto"/>
      </w:pBdr>
      <w:spacing w:before="480" w:after="0" w:line="240" w:lineRule="auto"/>
    </w:pPr>
    <w:rPr>
      <w:rFonts w:ascii="Arial" w:eastAsia="Times New Roman" w:hAnsi="Arial"/>
      <w:b/>
      <w:sz w:val="24"/>
      <w:szCs w:val="24"/>
    </w:rPr>
  </w:style>
  <w:style w:type="paragraph" w:customStyle="1" w:styleId="Paragraph">
    <w:name w:val="Paragraph"/>
    <w:basedOn w:val="Normal"/>
    <w:rsid w:val="00D44872"/>
    <w:pPr>
      <w:numPr>
        <w:ilvl w:val="12"/>
      </w:numPr>
      <w:spacing w:before="240" w:after="0" w:line="240" w:lineRule="auto"/>
    </w:pPr>
    <w:rPr>
      <w:rFonts w:ascii="Times New Roman" w:eastAsia="Times New Roman" w:hAnsi="Times New Roman"/>
      <w:sz w:val="24"/>
      <w:szCs w:val="20"/>
      <w:lang w:eastAsia="en-AU"/>
    </w:rPr>
  </w:style>
  <w:style w:type="paragraph" w:customStyle="1" w:styleId="Paragraphnumbered">
    <w:name w:val="Paragraph (numbered)"/>
    <w:basedOn w:val="Normal"/>
    <w:rsid w:val="00590080"/>
    <w:pPr>
      <w:numPr>
        <w:numId w:val="1"/>
      </w:numPr>
      <w:spacing w:before="240" w:after="0" w:line="240" w:lineRule="auto"/>
      <w:ind w:left="0" w:firstLine="0"/>
    </w:pPr>
    <w:rPr>
      <w:rFonts w:ascii="Times New Roman" w:eastAsia="Times New Roman" w:hAnsi="Times New Roman"/>
      <w:sz w:val="24"/>
      <w:szCs w:val="24"/>
      <w:lang w:eastAsia="en-AU"/>
    </w:rPr>
  </w:style>
  <w:style w:type="paragraph" w:customStyle="1" w:styleId="Celltext">
    <w:name w:val="Cell text"/>
    <w:basedOn w:val="Normal"/>
    <w:rsid w:val="00590080"/>
    <w:pPr>
      <w:spacing w:before="120" w:after="0" w:line="240" w:lineRule="auto"/>
    </w:pPr>
    <w:rPr>
      <w:rFonts w:ascii="Times New Roman" w:eastAsia="Times New Roman" w:hAnsi="Times New Roman"/>
      <w:sz w:val="24"/>
      <w:szCs w:val="20"/>
      <w:lang w:eastAsia="en-AU"/>
    </w:rPr>
  </w:style>
  <w:style w:type="paragraph" w:styleId="FootnoteText">
    <w:name w:val="footnote text"/>
    <w:basedOn w:val="Normal"/>
    <w:link w:val="FootnoteTextChar"/>
    <w:uiPriority w:val="99"/>
    <w:unhideWhenUsed/>
    <w:rsid w:val="00590080"/>
    <w:pPr>
      <w:spacing w:before="240" w:after="0" w:line="240" w:lineRule="auto"/>
    </w:pPr>
    <w:rPr>
      <w:rFonts w:ascii="Times New Roman" w:eastAsia="Times New Roman" w:hAnsi="Times New Roman"/>
      <w:sz w:val="20"/>
      <w:szCs w:val="20"/>
      <w:lang w:eastAsia="en-AU"/>
    </w:rPr>
  </w:style>
  <w:style w:type="character" w:customStyle="1" w:styleId="FootnoteTextChar">
    <w:name w:val="Footnote Text Char"/>
    <w:link w:val="FootnoteText"/>
    <w:uiPriority w:val="99"/>
    <w:rsid w:val="00590080"/>
    <w:rPr>
      <w:rFonts w:ascii="Times New Roman" w:eastAsia="Times New Roman" w:hAnsi="Times New Roman" w:cs="Times New Roman"/>
      <w:sz w:val="20"/>
      <w:szCs w:val="20"/>
      <w:lang w:eastAsia="en-AU"/>
    </w:rPr>
  </w:style>
  <w:style w:type="character" w:styleId="FootnoteReference">
    <w:name w:val="footnote reference"/>
    <w:uiPriority w:val="99"/>
    <w:semiHidden/>
    <w:unhideWhenUsed/>
    <w:rsid w:val="00590080"/>
    <w:rPr>
      <w:vertAlign w:val="superscript"/>
    </w:rPr>
  </w:style>
  <w:style w:type="character" w:styleId="Hyperlink">
    <w:name w:val="Hyperlink"/>
    <w:uiPriority w:val="99"/>
    <w:unhideWhenUsed/>
    <w:rsid w:val="00590080"/>
    <w:rPr>
      <w:color w:val="0000FF"/>
      <w:u w:val="single"/>
    </w:rPr>
  </w:style>
  <w:style w:type="paragraph" w:styleId="BalloonText">
    <w:name w:val="Balloon Text"/>
    <w:basedOn w:val="Normal"/>
    <w:link w:val="BalloonTextChar"/>
    <w:uiPriority w:val="99"/>
    <w:semiHidden/>
    <w:unhideWhenUsed/>
    <w:rsid w:val="002533D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533DD"/>
    <w:rPr>
      <w:rFonts w:ascii="Tahoma" w:hAnsi="Tahoma" w:cs="Tahoma"/>
      <w:sz w:val="16"/>
      <w:szCs w:val="16"/>
    </w:rPr>
  </w:style>
  <w:style w:type="paragraph" w:styleId="Header">
    <w:name w:val="header"/>
    <w:basedOn w:val="Normal"/>
    <w:link w:val="HeaderChar"/>
    <w:uiPriority w:val="99"/>
    <w:rsid w:val="00A61DB4"/>
    <w:pPr>
      <w:tabs>
        <w:tab w:val="center" w:pos="4153"/>
        <w:tab w:val="right" w:pos="8306"/>
      </w:tabs>
      <w:spacing w:before="240" w:after="0" w:line="240" w:lineRule="auto"/>
    </w:pPr>
    <w:rPr>
      <w:rFonts w:ascii="Times New Roman" w:eastAsia="Times New Roman" w:hAnsi="Times New Roman"/>
      <w:sz w:val="24"/>
      <w:szCs w:val="20"/>
      <w:lang w:eastAsia="en-AU"/>
    </w:rPr>
  </w:style>
  <w:style w:type="character" w:customStyle="1" w:styleId="HeaderChar">
    <w:name w:val="Header Char"/>
    <w:link w:val="Header"/>
    <w:uiPriority w:val="99"/>
    <w:rsid w:val="00A61DB4"/>
    <w:rPr>
      <w:rFonts w:ascii="Times New Roman" w:eastAsia="Times New Roman" w:hAnsi="Times New Roman"/>
      <w:sz w:val="24"/>
    </w:rPr>
  </w:style>
  <w:style w:type="paragraph" w:customStyle="1" w:styleId="Classification">
    <w:name w:val="Classification"/>
    <w:basedOn w:val="Normal"/>
    <w:rsid w:val="00A61DB4"/>
    <w:pPr>
      <w:spacing w:before="60" w:after="60" w:line="240" w:lineRule="auto"/>
      <w:jc w:val="center"/>
    </w:pPr>
    <w:rPr>
      <w:rFonts w:ascii="Arial" w:eastAsia="Times New Roman" w:hAnsi="Arial"/>
      <w:b/>
      <w:caps/>
      <w:color w:val="FF0000"/>
      <w:sz w:val="28"/>
      <w:szCs w:val="20"/>
      <w:lang w:eastAsia="en-AU"/>
    </w:rPr>
  </w:style>
  <w:style w:type="character" w:styleId="CommentReference">
    <w:name w:val="annotation reference"/>
    <w:uiPriority w:val="99"/>
    <w:semiHidden/>
    <w:unhideWhenUsed/>
    <w:rsid w:val="000E45AC"/>
    <w:rPr>
      <w:sz w:val="16"/>
      <w:szCs w:val="16"/>
    </w:rPr>
  </w:style>
  <w:style w:type="paragraph" w:styleId="CommentText">
    <w:name w:val="annotation text"/>
    <w:basedOn w:val="Normal"/>
    <w:link w:val="CommentTextChar"/>
    <w:uiPriority w:val="99"/>
    <w:semiHidden/>
    <w:unhideWhenUsed/>
    <w:rsid w:val="000E45AC"/>
    <w:pPr>
      <w:spacing w:before="240" w:after="0" w:line="240" w:lineRule="auto"/>
    </w:pPr>
    <w:rPr>
      <w:rFonts w:ascii="Times New Roman" w:eastAsia="Times New Roman" w:hAnsi="Times New Roman"/>
      <w:sz w:val="20"/>
      <w:szCs w:val="20"/>
      <w:lang w:eastAsia="en-AU"/>
    </w:rPr>
  </w:style>
  <w:style w:type="character" w:customStyle="1" w:styleId="CommentTextChar">
    <w:name w:val="Comment Text Char"/>
    <w:link w:val="CommentText"/>
    <w:uiPriority w:val="99"/>
    <w:semiHidden/>
    <w:rsid w:val="000E45AC"/>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AC52B6"/>
    <w:pPr>
      <w:spacing w:before="0" w:after="200" w:line="276" w:lineRule="auto"/>
    </w:pPr>
    <w:rPr>
      <w:rFonts w:ascii="Calibri" w:eastAsia="Calibri" w:hAnsi="Calibri"/>
      <w:b/>
      <w:bCs/>
      <w:lang w:eastAsia="en-US"/>
    </w:rPr>
  </w:style>
  <w:style w:type="character" w:customStyle="1" w:styleId="CommentSubjectChar">
    <w:name w:val="Comment Subject Char"/>
    <w:link w:val="CommentSubject"/>
    <w:uiPriority w:val="99"/>
    <w:semiHidden/>
    <w:rsid w:val="00AC52B6"/>
    <w:rPr>
      <w:rFonts w:ascii="Times New Roman" w:eastAsia="Times New Roman" w:hAnsi="Times New Roman"/>
      <w:b/>
      <w:bCs/>
      <w:lang w:eastAsia="en-US"/>
    </w:rPr>
  </w:style>
  <w:style w:type="paragraph" w:styleId="Footer">
    <w:name w:val="footer"/>
    <w:basedOn w:val="Normal"/>
    <w:link w:val="FooterChar"/>
    <w:uiPriority w:val="99"/>
    <w:unhideWhenUsed/>
    <w:rsid w:val="001A103C"/>
    <w:pPr>
      <w:tabs>
        <w:tab w:val="center" w:pos="4513"/>
        <w:tab w:val="right" w:pos="9026"/>
      </w:tabs>
    </w:pPr>
  </w:style>
  <w:style w:type="character" w:customStyle="1" w:styleId="FooterChar">
    <w:name w:val="Footer Char"/>
    <w:link w:val="Footer"/>
    <w:uiPriority w:val="99"/>
    <w:rsid w:val="001A103C"/>
    <w:rPr>
      <w:sz w:val="22"/>
      <w:szCs w:val="22"/>
      <w:lang w:eastAsia="en-US"/>
    </w:rPr>
  </w:style>
  <w:style w:type="paragraph" w:customStyle="1" w:styleId="HB-Table-dotpoint">
    <w:name w:val="HB - Table - dot point"/>
    <w:basedOn w:val="Normal"/>
    <w:rsid w:val="00B4560B"/>
    <w:pPr>
      <w:numPr>
        <w:numId w:val="7"/>
      </w:numPr>
      <w:tabs>
        <w:tab w:val="clear" w:pos="720"/>
        <w:tab w:val="num" w:pos="567"/>
      </w:tabs>
      <w:spacing w:before="120" w:after="120" w:line="240" w:lineRule="auto"/>
      <w:ind w:left="567" w:hanging="425"/>
    </w:pPr>
    <w:rPr>
      <w:rFonts w:ascii="Times New Roman" w:eastAsia="Times New Roman" w:hAnsi="Times New Roman"/>
      <w:sz w:val="24"/>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498B97-9CFD-4E43-869C-CD97E61A2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803</Words>
  <Characters>4338</Characters>
  <Application>Microsoft Office Word</Application>
  <DocSecurity>0</DocSecurity>
  <Lines>188</Lines>
  <Paragraphs>135</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5006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vanzsa</dc:creator>
  <cp:lastModifiedBy>Alabaster, John</cp:lastModifiedBy>
  <cp:revision>2</cp:revision>
  <cp:lastPrinted>2014-06-12T07:15:00Z</cp:lastPrinted>
  <dcterms:created xsi:type="dcterms:W3CDTF">2014-09-25T06:05:00Z</dcterms:created>
  <dcterms:modified xsi:type="dcterms:W3CDTF">2014-09-25T06:05:00Z</dcterms:modified>
</cp:coreProperties>
</file>