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16D13" w:rsidRDefault="00193461" w:rsidP="0048364F">
      <w:pPr>
        <w:rPr>
          <w:sz w:val="28"/>
        </w:rPr>
      </w:pPr>
      <w:r w:rsidRPr="00616D13">
        <w:rPr>
          <w:noProof/>
          <w:lang w:eastAsia="en-AU"/>
        </w:rPr>
        <w:drawing>
          <wp:inline distT="0" distB="0" distL="0" distR="0" wp14:anchorId="73D9F28E" wp14:editId="0B3B205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16D13" w:rsidRDefault="0048364F" w:rsidP="0048364F">
      <w:pPr>
        <w:rPr>
          <w:sz w:val="19"/>
        </w:rPr>
      </w:pPr>
    </w:p>
    <w:p w:rsidR="0048364F" w:rsidRPr="00616D13" w:rsidRDefault="002256A6" w:rsidP="0048364F">
      <w:pPr>
        <w:pStyle w:val="ShortT"/>
      </w:pPr>
      <w:r w:rsidRPr="00616D13">
        <w:t>Family Law (Bilateral Arrangements</w:t>
      </w:r>
      <w:r w:rsidR="0071517B" w:rsidRPr="00616D13">
        <w:t>—</w:t>
      </w:r>
      <w:r w:rsidRPr="00616D13">
        <w:t>Intercountry Adoption) Amendment (2014 Measures No.</w:t>
      </w:r>
      <w:r w:rsidR="00616D13" w:rsidRPr="00616D13">
        <w:t> </w:t>
      </w:r>
      <w:r w:rsidRPr="00616D13">
        <w:t>2) Regulation</w:t>
      </w:r>
      <w:r w:rsidR="00616D13" w:rsidRPr="00616D13">
        <w:t> </w:t>
      </w:r>
      <w:r w:rsidRPr="00616D13">
        <w:t>2014</w:t>
      </w:r>
    </w:p>
    <w:p w:rsidR="0048364F" w:rsidRPr="00616D13" w:rsidRDefault="0048364F" w:rsidP="0048364F"/>
    <w:p w:rsidR="0048364F" w:rsidRPr="00616D13" w:rsidRDefault="00A4361F" w:rsidP="00680F17">
      <w:pPr>
        <w:pStyle w:val="InstNo"/>
      </w:pPr>
      <w:r w:rsidRPr="00616D13">
        <w:t>Select Legislative Instrument</w:t>
      </w:r>
      <w:r w:rsidR="00154EAC" w:rsidRPr="00616D13">
        <w:t xml:space="preserve"> </w:t>
      </w:r>
      <w:bookmarkStart w:id="0" w:name="BKCheck15B_1"/>
      <w:bookmarkEnd w:id="0"/>
      <w:r w:rsidR="00D0104A" w:rsidRPr="00616D13">
        <w:fldChar w:fldCharType="begin"/>
      </w:r>
      <w:r w:rsidR="00D0104A" w:rsidRPr="00616D13">
        <w:instrText xml:space="preserve"> DOCPROPERTY  ActNo </w:instrText>
      </w:r>
      <w:r w:rsidR="00D0104A" w:rsidRPr="00616D13">
        <w:fldChar w:fldCharType="separate"/>
      </w:r>
      <w:r w:rsidR="00607ABD">
        <w:t>No. 93, 2014</w:t>
      </w:r>
      <w:r w:rsidR="00D0104A" w:rsidRPr="00616D13">
        <w:fldChar w:fldCharType="end"/>
      </w:r>
    </w:p>
    <w:p w:rsidR="0071517B" w:rsidRPr="00616D13" w:rsidRDefault="0071517B" w:rsidP="000C5962">
      <w:pPr>
        <w:pStyle w:val="SignCoverPageStart"/>
        <w:spacing w:before="240"/>
        <w:rPr>
          <w:szCs w:val="22"/>
        </w:rPr>
      </w:pPr>
      <w:r w:rsidRPr="00616D13">
        <w:rPr>
          <w:szCs w:val="22"/>
        </w:rPr>
        <w:t xml:space="preserve">I, General the Honourable Sir Peter Cosgrove AK MC (Ret’d), </w:t>
      </w:r>
      <w:r w:rsidR="00616D13" w:rsidRPr="00616D13">
        <w:rPr>
          <w:szCs w:val="22"/>
        </w:rPr>
        <w:t>Governor</w:t>
      </w:r>
      <w:r w:rsidR="00616D13">
        <w:rPr>
          <w:szCs w:val="22"/>
        </w:rPr>
        <w:noBreakHyphen/>
      </w:r>
      <w:r w:rsidR="00616D13" w:rsidRPr="00616D13">
        <w:rPr>
          <w:szCs w:val="22"/>
        </w:rPr>
        <w:t>General</w:t>
      </w:r>
      <w:r w:rsidRPr="00616D13">
        <w:rPr>
          <w:szCs w:val="22"/>
        </w:rPr>
        <w:t xml:space="preserve"> of the Commonwealth of Australia, acting with the advice of the Federal Executive Council, make the following regulation.</w:t>
      </w:r>
    </w:p>
    <w:p w:rsidR="0071517B" w:rsidRPr="00616D13" w:rsidRDefault="0071517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616D13">
        <w:rPr>
          <w:szCs w:val="22"/>
        </w:rPr>
        <w:t xml:space="preserve">Dated </w:t>
      </w:r>
      <w:bookmarkStart w:id="1" w:name="BKCheck15B_2"/>
      <w:bookmarkEnd w:id="1"/>
      <w:r w:rsidRPr="00616D13">
        <w:rPr>
          <w:szCs w:val="22"/>
        </w:rPr>
        <w:fldChar w:fldCharType="begin"/>
      </w:r>
      <w:r w:rsidRPr="00616D13">
        <w:rPr>
          <w:szCs w:val="22"/>
        </w:rPr>
        <w:instrText xml:space="preserve"> DOCPROPERTY  DateMade </w:instrText>
      </w:r>
      <w:r w:rsidRPr="00616D13">
        <w:rPr>
          <w:szCs w:val="22"/>
        </w:rPr>
        <w:fldChar w:fldCharType="separate"/>
      </w:r>
      <w:r w:rsidR="00607ABD">
        <w:rPr>
          <w:szCs w:val="22"/>
        </w:rPr>
        <w:t>26 June 2014</w:t>
      </w:r>
      <w:r w:rsidRPr="00616D13">
        <w:rPr>
          <w:szCs w:val="22"/>
        </w:rPr>
        <w:fldChar w:fldCharType="end"/>
      </w:r>
    </w:p>
    <w:p w:rsidR="0071517B" w:rsidRPr="00616D13" w:rsidRDefault="0071517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16D13">
        <w:rPr>
          <w:szCs w:val="22"/>
        </w:rPr>
        <w:t>Peter Cosgrove</w:t>
      </w:r>
    </w:p>
    <w:p w:rsidR="0071517B" w:rsidRPr="00616D13" w:rsidRDefault="00616D13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16D13">
        <w:rPr>
          <w:szCs w:val="22"/>
        </w:rPr>
        <w:t>Governor</w:t>
      </w:r>
      <w:r>
        <w:rPr>
          <w:szCs w:val="22"/>
        </w:rPr>
        <w:noBreakHyphen/>
      </w:r>
      <w:r w:rsidRPr="00616D13">
        <w:rPr>
          <w:szCs w:val="22"/>
        </w:rPr>
        <w:t>General</w:t>
      </w:r>
    </w:p>
    <w:p w:rsidR="0071517B" w:rsidRPr="00616D13" w:rsidRDefault="0071517B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16D13">
        <w:rPr>
          <w:szCs w:val="22"/>
        </w:rPr>
        <w:t>By His Excellency’s Command</w:t>
      </w:r>
    </w:p>
    <w:p w:rsidR="0071517B" w:rsidRPr="00616D13" w:rsidRDefault="00EE6D75" w:rsidP="00AD3F1D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616D13">
        <w:rPr>
          <w:szCs w:val="22"/>
        </w:rPr>
        <w:t>George Brandis QC</w:t>
      </w:r>
    </w:p>
    <w:p w:rsidR="0071517B" w:rsidRPr="00616D13" w:rsidRDefault="0071517B" w:rsidP="000C5962">
      <w:pPr>
        <w:pStyle w:val="SignCoverPageEnd"/>
        <w:rPr>
          <w:szCs w:val="22"/>
        </w:rPr>
      </w:pPr>
      <w:r w:rsidRPr="00616D13">
        <w:rPr>
          <w:szCs w:val="22"/>
        </w:rPr>
        <w:t>Attorney</w:t>
      </w:r>
      <w:r w:rsidR="00616D13">
        <w:rPr>
          <w:szCs w:val="22"/>
        </w:rPr>
        <w:noBreakHyphen/>
      </w:r>
      <w:r w:rsidRPr="00616D13">
        <w:rPr>
          <w:szCs w:val="22"/>
        </w:rPr>
        <w:t>General</w:t>
      </w:r>
    </w:p>
    <w:p w:rsidR="0048364F" w:rsidRPr="00616D13" w:rsidRDefault="0048364F" w:rsidP="0048364F">
      <w:pPr>
        <w:pStyle w:val="Header"/>
        <w:tabs>
          <w:tab w:val="clear" w:pos="4150"/>
          <w:tab w:val="clear" w:pos="8307"/>
        </w:tabs>
      </w:pPr>
      <w:r w:rsidRPr="00616D13">
        <w:rPr>
          <w:rStyle w:val="CharAmSchNo"/>
        </w:rPr>
        <w:t xml:space="preserve"> </w:t>
      </w:r>
      <w:r w:rsidRPr="00616D13">
        <w:rPr>
          <w:rStyle w:val="CharAmSchText"/>
        </w:rPr>
        <w:t xml:space="preserve"> </w:t>
      </w:r>
    </w:p>
    <w:p w:rsidR="0048364F" w:rsidRPr="00616D13" w:rsidRDefault="0048364F" w:rsidP="0048364F">
      <w:pPr>
        <w:pStyle w:val="Header"/>
        <w:tabs>
          <w:tab w:val="clear" w:pos="4150"/>
          <w:tab w:val="clear" w:pos="8307"/>
        </w:tabs>
      </w:pPr>
      <w:r w:rsidRPr="00616D13">
        <w:rPr>
          <w:rStyle w:val="CharAmPartNo"/>
        </w:rPr>
        <w:t xml:space="preserve"> </w:t>
      </w:r>
      <w:r w:rsidRPr="00616D13">
        <w:rPr>
          <w:rStyle w:val="CharAmPartText"/>
        </w:rPr>
        <w:t xml:space="preserve"> </w:t>
      </w:r>
    </w:p>
    <w:p w:rsidR="0048364F" w:rsidRPr="00616D13" w:rsidRDefault="0048364F" w:rsidP="0048364F">
      <w:pPr>
        <w:sectPr w:rsidR="0048364F" w:rsidRPr="00616D13" w:rsidSect="002C7D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16D13" w:rsidRDefault="0048364F" w:rsidP="003A1BF4">
      <w:pPr>
        <w:rPr>
          <w:sz w:val="36"/>
        </w:rPr>
      </w:pPr>
      <w:r w:rsidRPr="00616D13">
        <w:rPr>
          <w:sz w:val="36"/>
        </w:rPr>
        <w:lastRenderedPageBreak/>
        <w:t>Contents</w:t>
      </w:r>
    </w:p>
    <w:bookmarkStart w:id="2" w:name="BKCheck15B_3"/>
    <w:bookmarkEnd w:id="2"/>
    <w:p w:rsidR="00EE6D75" w:rsidRPr="00616D13" w:rsidRDefault="00EE6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6D13">
        <w:fldChar w:fldCharType="begin"/>
      </w:r>
      <w:r w:rsidRPr="00616D13">
        <w:instrText xml:space="preserve"> TOC \o "1-9" </w:instrText>
      </w:r>
      <w:r w:rsidRPr="00616D13">
        <w:fldChar w:fldCharType="separate"/>
      </w:r>
      <w:r w:rsidRPr="00616D13">
        <w:rPr>
          <w:noProof/>
        </w:rPr>
        <w:t>1</w:t>
      </w:r>
      <w:r w:rsidRPr="00616D13">
        <w:rPr>
          <w:noProof/>
        </w:rPr>
        <w:tab/>
        <w:t>Name of regulation</w:t>
      </w:r>
      <w:r w:rsidRPr="00616D13">
        <w:rPr>
          <w:noProof/>
        </w:rPr>
        <w:tab/>
      </w:r>
      <w:r w:rsidRPr="00616D13">
        <w:rPr>
          <w:noProof/>
        </w:rPr>
        <w:fldChar w:fldCharType="begin"/>
      </w:r>
      <w:r w:rsidRPr="00616D13">
        <w:rPr>
          <w:noProof/>
        </w:rPr>
        <w:instrText xml:space="preserve"> PAGEREF _Toc390682324 \h </w:instrText>
      </w:r>
      <w:r w:rsidRPr="00616D13">
        <w:rPr>
          <w:noProof/>
        </w:rPr>
      </w:r>
      <w:r w:rsidRPr="00616D13">
        <w:rPr>
          <w:noProof/>
        </w:rPr>
        <w:fldChar w:fldCharType="separate"/>
      </w:r>
      <w:r w:rsidR="00607ABD">
        <w:rPr>
          <w:noProof/>
        </w:rPr>
        <w:t>1</w:t>
      </w:r>
      <w:r w:rsidRPr="00616D13">
        <w:rPr>
          <w:noProof/>
        </w:rPr>
        <w:fldChar w:fldCharType="end"/>
      </w:r>
    </w:p>
    <w:p w:rsidR="00EE6D75" w:rsidRPr="00616D13" w:rsidRDefault="00EE6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6D13">
        <w:rPr>
          <w:noProof/>
        </w:rPr>
        <w:t>2</w:t>
      </w:r>
      <w:r w:rsidRPr="00616D13">
        <w:rPr>
          <w:noProof/>
        </w:rPr>
        <w:tab/>
        <w:t>Commencement</w:t>
      </w:r>
      <w:r w:rsidRPr="00616D13">
        <w:rPr>
          <w:noProof/>
        </w:rPr>
        <w:tab/>
      </w:r>
      <w:r w:rsidRPr="00616D13">
        <w:rPr>
          <w:noProof/>
        </w:rPr>
        <w:fldChar w:fldCharType="begin"/>
      </w:r>
      <w:r w:rsidRPr="00616D13">
        <w:rPr>
          <w:noProof/>
        </w:rPr>
        <w:instrText xml:space="preserve"> PAGEREF _Toc390682325 \h </w:instrText>
      </w:r>
      <w:r w:rsidRPr="00616D13">
        <w:rPr>
          <w:noProof/>
        </w:rPr>
      </w:r>
      <w:r w:rsidRPr="00616D13">
        <w:rPr>
          <w:noProof/>
        </w:rPr>
        <w:fldChar w:fldCharType="separate"/>
      </w:r>
      <w:r w:rsidR="00607ABD">
        <w:rPr>
          <w:noProof/>
        </w:rPr>
        <w:t>1</w:t>
      </w:r>
      <w:r w:rsidRPr="00616D13">
        <w:rPr>
          <w:noProof/>
        </w:rPr>
        <w:fldChar w:fldCharType="end"/>
      </w:r>
    </w:p>
    <w:p w:rsidR="00EE6D75" w:rsidRPr="00616D13" w:rsidRDefault="00EE6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6D13">
        <w:rPr>
          <w:noProof/>
        </w:rPr>
        <w:t>3</w:t>
      </w:r>
      <w:r w:rsidRPr="00616D13">
        <w:rPr>
          <w:noProof/>
        </w:rPr>
        <w:tab/>
        <w:t>Authority</w:t>
      </w:r>
      <w:r w:rsidRPr="00616D13">
        <w:rPr>
          <w:noProof/>
        </w:rPr>
        <w:tab/>
      </w:r>
      <w:r w:rsidRPr="00616D13">
        <w:rPr>
          <w:noProof/>
        </w:rPr>
        <w:fldChar w:fldCharType="begin"/>
      </w:r>
      <w:r w:rsidRPr="00616D13">
        <w:rPr>
          <w:noProof/>
        </w:rPr>
        <w:instrText xml:space="preserve"> PAGEREF _Toc390682326 \h </w:instrText>
      </w:r>
      <w:r w:rsidRPr="00616D13">
        <w:rPr>
          <w:noProof/>
        </w:rPr>
      </w:r>
      <w:r w:rsidRPr="00616D13">
        <w:rPr>
          <w:noProof/>
        </w:rPr>
        <w:fldChar w:fldCharType="separate"/>
      </w:r>
      <w:r w:rsidR="00607ABD">
        <w:rPr>
          <w:noProof/>
        </w:rPr>
        <w:t>1</w:t>
      </w:r>
      <w:r w:rsidRPr="00616D13">
        <w:rPr>
          <w:noProof/>
        </w:rPr>
        <w:fldChar w:fldCharType="end"/>
      </w:r>
    </w:p>
    <w:p w:rsidR="00EE6D75" w:rsidRPr="00616D13" w:rsidRDefault="00EE6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6D13">
        <w:rPr>
          <w:noProof/>
        </w:rPr>
        <w:t>4</w:t>
      </w:r>
      <w:r w:rsidRPr="00616D13">
        <w:rPr>
          <w:noProof/>
        </w:rPr>
        <w:tab/>
        <w:t>Schedule(s)</w:t>
      </w:r>
      <w:r w:rsidRPr="00616D13">
        <w:rPr>
          <w:noProof/>
        </w:rPr>
        <w:tab/>
      </w:r>
      <w:r w:rsidRPr="00616D13">
        <w:rPr>
          <w:noProof/>
        </w:rPr>
        <w:fldChar w:fldCharType="begin"/>
      </w:r>
      <w:r w:rsidRPr="00616D13">
        <w:rPr>
          <w:noProof/>
        </w:rPr>
        <w:instrText xml:space="preserve"> PAGEREF _Toc390682327 \h </w:instrText>
      </w:r>
      <w:r w:rsidRPr="00616D13">
        <w:rPr>
          <w:noProof/>
        </w:rPr>
      </w:r>
      <w:r w:rsidRPr="00616D13">
        <w:rPr>
          <w:noProof/>
        </w:rPr>
        <w:fldChar w:fldCharType="separate"/>
      </w:r>
      <w:r w:rsidR="00607ABD">
        <w:rPr>
          <w:noProof/>
        </w:rPr>
        <w:t>1</w:t>
      </w:r>
      <w:r w:rsidRPr="00616D13">
        <w:rPr>
          <w:noProof/>
        </w:rPr>
        <w:fldChar w:fldCharType="end"/>
      </w:r>
    </w:p>
    <w:p w:rsidR="00EE6D75" w:rsidRPr="00616D13" w:rsidRDefault="00EE6D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6D13">
        <w:rPr>
          <w:noProof/>
        </w:rPr>
        <w:t>Schedule</w:t>
      </w:r>
      <w:r w:rsidR="00616D13" w:rsidRPr="00616D13">
        <w:rPr>
          <w:noProof/>
        </w:rPr>
        <w:t> </w:t>
      </w:r>
      <w:r w:rsidRPr="00616D13">
        <w:rPr>
          <w:noProof/>
        </w:rPr>
        <w:t>1—Amendments</w:t>
      </w:r>
      <w:r w:rsidRPr="00616D13">
        <w:rPr>
          <w:b w:val="0"/>
          <w:noProof/>
          <w:sz w:val="18"/>
        </w:rPr>
        <w:tab/>
      </w:r>
      <w:r w:rsidRPr="00616D13">
        <w:rPr>
          <w:b w:val="0"/>
          <w:noProof/>
          <w:sz w:val="18"/>
        </w:rPr>
        <w:fldChar w:fldCharType="begin"/>
      </w:r>
      <w:r w:rsidRPr="00616D13">
        <w:rPr>
          <w:b w:val="0"/>
          <w:noProof/>
          <w:sz w:val="18"/>
        </w:rPr>
        <w:instrText xml:space="preserve"> PAGEREF _Toc390682328 \h </w:instrText>
      </w:r>
      <w:r w:rsidRPr="00616D13">
        <w:rPr>
          <w:b w:val="0"/>
          <w:noProof/>
          <w:sz w:val="18"/>
        </w:rPr>
      </w:r>
      <w:r w:rsidRPr="00616D13">
        <w:rPr>
          <w:b w:val="0"/>
          <w:noProof/>
          <w:sz w:val="18"/>
        </w:rPr>
        <w:fldChar w:fldCharType="separate"/>
      </w:r>
      <w:r w:rsidR="00607ABD">
        <w:rPr>
          <w:b w:val="0"/>
          <w:noProof/>
          <w:sz w:val="18"/>
        </w:rPr>
        <w:t>2</w:t>
      </w:r>
      <w:r w:rsidRPr="00616D13">
        <w:rPr>
          <w:b w:val="0"/>
          <w:noProof/>
          <w:sz w:val="18"/>
        </w:rPr>
        <w:fldChar w:fldCharType="end"/>
      </w:r>
    </w:p>
    <w:p w:rsidR="00EE6D75" w:rsidRPr="00616D13" w:rsidRDefault="00EE6D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6D13">
        <w:rPr>
          <w:noProof/>
        </w:rPr>
        <w:t>Family Law (Bilateral Arrangements—Intercountry Adoption) Regulations</w:t>
      </w:r>
      <w:r w:rsidR="00616D13" w:rsidRPr="00616D13">
        <w:rPr>
          <w:noProof/>
        </w:rPr>
        <w:t> </w:t>
      </w:r>
      <w:r w:rsidRPr="00616D13">
        <w:rPr>
          <w:noProof/>
        </w:rPr>
        <w:t>1998</w:t>
      </w:r>
      <w:r w:rsidRPr="00616D13">
        <w:rPr>
          <w:i w:val="0"/>
          <w:noProof/>
          <w:sz w:val="18"/>
        </w:rPr>
        <w:tab/>
      </w:r>
      <w:r w:rsidRPr="00616D13">
        <w:rPr>
          <w:i w:val="0"/>
          <w:noProof/>
          <w:sz w:val="18"/>
        </w:rPr>
        <w:fldChar w:fldCharType="begin"/>
      </w:r>
      <w:r w:rsidRPr="00616D13">
        <w:rPr>
          <w:i w:val="0"/>
          <w:noProof/>
          <w:sz w:val="18"/>
        </w:rPr>
        <w:instrText xml:space="preserve"> PAGEREF _Toc390682329 \h </w:instrText>
      </w:r>
      <w:r w:rsidRPr="00616D13">
        <w:rPr>
          <w:i w:val="0"/>
          <w:noProof/>
          <w:sz w:val="18"/>
        </w:rPr>
      </w:r>
      <w:r w:rsidRPr="00616D13">
        <w:rPr>
          <w:i w:val="0"/>
          <w:noProof/>
          <w:sz w:val="18"/>
        </w:rPr>
        <w:fldChar w:fldCharType="separate"/>
      </w:r>
      <w:r w:rsidR="00607ABD">
        <w:rPr>
          <w:i w:val="0"/>
          <w:noProof/>
          <w:sz w:val="18"/>
        </w:rPr>
        <w:t>2</w:t>
      </w:r>
      <w:r w:rsidRPr="00616D13">
        <w:rPr>
          <w:i w:val="0"/>
          <w:noProof/>
          <w:sz w:val="18"/>
        </w:rPr>
        <w:fldChar w:fldCharType="end"/>
      </w:r>
    </w:p>
    <w:p w:rsidR="00833416" w:rsidRPr="00616D13" w:rsidRDefault="00EE6D75" w:rsidP="0048364F">
      <w:r w:rsidRPr="00616D13">
        <w:fldChar w:fldCharType="end"/>
      </w:r>
    </w:p>
    <w:p w:rsidR="00722023" w:rsidRPr="00616D13" w:rsidRDefault="00722023" w:rsidP="0048364F">
      <w:pPr>
        <w:sectPr w:rsidR="00722023" w:rsidRPr="00616D13" w:rsidSect="002C7D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16D13" w:rsidRDefault="0048364F" w:rsidP="0048364F">
      <w:pPr>
        <w:pStyle w:val="ActHead5"/>
      </w:pPr>
      <w:bookmarkStart w:id="3" w:name="_Toc390682324"/>
      <w:r w:rsidRPr="00616D13">
        <w:rPr>
          <w:rStyle w:val="CharSectno"/>
        </w:rPr>
        <w:lastRenderedPageBreak/>
        <w:t>1</w:t>
      </w:r>
      <w:r w:rsidRPr="00616D13">
        <w:t xml:space="preserve">  </w:t>
      </w:r>
      <w:r w:rsidR="004F676E" w:rsidRPr="00616D13">
        <w:t xml:space="preserve">Name of </w:t>
      </w:r>
      <w:r w:rsidR="002256A6" w:rsidRPr="00616D13">
        <w:t>regulation</w:t>
      </w:r>
      <w:bookmarkEnd w:id="3"/>
    </w:p>
    <w:p w:rsidR="0048364F" w:rsidRPr="00616D13" w:rsidRDefault="0048364F" w:rsidP="0048364F">
      <w:pPr>
        <w:pStyle w:val="subsection"/>
      </w:pPr>
      <w:r w:rsidRPr="00616D13">
        <w:tab/>
      </w:r>
      <w:r w:rsidRPr="00616D13">
        <w:tab/>
        <w:t>Th</w:t>
      </w:r>
      <w:r w:rsidR="00F24C35" w:rsidRPr="00616D13">
        <w:t>is</w:t>
      </w:r>
      <w:r w:rsidRPr="00616D13">
        <w:t xml:space="preserve"> </w:t>
      </w:r>
      <w:r w:rsidR="002256A6" w:rsidRPr="00616D13">
        <w:t>regulation</w:t>
      </w:r>
      <w:r w:rsidRPr="00616D13">
        <w:t xml:space="preserve"> </w:t>
      </w:r>
      <w:r w:rsidR="00F24C35" w:rsidRPr="00616D13">
        <w:t>is</w:t>
      </w:r>
      <w:r w:rsidR="003801D0" w:rsidRPr="00616D13">
        <w:t xml:space="preserve"> the</w:t>
      </w:r>
      <w:r w:rsidRPr="00616D13">
        <w:t xml:space="preserve"> </w:t>
      </w:r>
      <w:bookmarkStart w:id="4" w:name="BKCheck15B_4"/>
      <w:bookmarkEnd w:id="4"/>
      <w:r w:rsidR="00CB0180" w:rsidRPr="00616D13">
        <w:rPr>
          <w:i/>
        </w:rPr>
        <w:fldChar w:fldCharType="begin"/>
      </w:r>
      <w:r w:rsidR="00CB0180" w:rsidRPr="00616D13">
        <w:rPr>
          <w:i/>
        </w:rPr>
        <w:instrText xml:space="preserve"> STYLEREF  ShortT </w:instrText>
      </w:r>
      <w:r w:rsidR="00CB0180" w:rsidRPr="00616D13">
        <w:rPr>
          <w:i/>
        </w:rPr>
        <w:fldChar w:fldCharType="separate"/>
      </w:r>
      <w:r w:rsidR="00607ABD">
        <w:rPr>
          <w:i/>
          <w:noProof/>
        </w:rPr>
        <w:t>Family Law (Bilateral Arrangements—Intercountry Adoption) Amendment (2014 Measures No. 2) Regulation 2014</w:t>
      </w:r>
      <w:r w:rsidR="00CB0180" w:rsidRPr="00616D13">
        <w:rPr>
          <w:i/>
        </w:rPr>
        <w:fldChar w:fldCharType="end"/>
      </w:r>
      <w:r w:rsidRPr="00616D13">
        <w:t>.</w:t>
      </w:r>
    </w:p>
    <w:p w:rsidR="0048364F" w:rsidRPr="00616D13" w:rsidRDefault="0048364F" w:rsidP="0048364F">
      <w:pPr>
        <w:pStyle w:val="ActHead5"/>
      </w:pPr>
      <w:bookmarkStart w:id="5" w:name="_Toc390682325"/>
      <w:r w:rsidRPr="00616D13">
        <w:rPr>
          <w:rStyle w:val="CharSectno"/>
        </w:rPr>
        <w:t>2</w:t>
      </w:r>
      <w:r w:rsidRPr="00616D13">
        <w:t xml:space="preserve">  Commencement</w:t>
      </w:r>
      <w:bookmarkEnd w:id="5"/>
    </w:p>
    <w:p w:rsidR="004F676E" w:rsidRPr="00616D13" w:rsidRDefault="004F676E" w:rsidP="004F676E">
      <w:pPr>
        <w:pStyle w:val="subsection"/>
      </w:pPr>
      <w:bookmarkStart w:id="6" w:name="_GoBack"/>
      <w:r w:rsidRPr="00616D13">
        <w:tab/>
      </w:r>
      <w:r w:rsidRPr="00616D13">
        <w:tab/>
        <w:t>Th</w:t>
      </w:r>
      <w:r w:rsidR="00F24C35" w:rsidRPr="00616D13">
        <w:t>is</w:t>
      </w:r>
      <w:r w:rsidRPr="00616D13">
        <w:t xml:space="preserve"> </w:t>
      </w:r>
      <w:r w:rsidR="002256A6" w:rsidRPr="00616D13">
        <w:t>regulation</w:t>
      </w:r>
      <w:r w:rsidRPr="00616D13">
        <w:t xml:space="preserve"> commence</w:t>
      </w:r>
      <w:r w:rsidR="00D17B17" w:rsidRPr="00616D13">
        <w:t>s</w:t>
      </w:r>
      <w:r w:rsidRPr="00616D13">
        <w:t xml:space="preserve"> on </w:t>
      </w:r>
      <w:r w:rsidR="00A26DBE" w:rsidRPr="00616D13">
        <w:t xml:space="preserve">the </w:t>
      </w:r>
      <w:r w:rsidR="002256A6" w:rsidRPr="00616D13">
        <w:t>day after it is registered</w:t>
      </w:r>
      <w:r w:rsidRPr="00616D13">
        <w:t>.</w:t>
      </w:r>
      <w:bookmarkEnd w:id="6"/>
    </w:p>
    <w:p w:rsidR="007769D4" w:rsidRPr="00616D13" w:rsidRDefault="007769D4" w:rsidP="007769D4">
      <w:pPr>
        <w:pStyle w:val="ActHead5"/>
      </w:pPr>
      <w:bookmarkStart w:id="7" w:name="_Toc390682326"/>
      <w:r w:rsidRPr="00616D13">
        <w:rPr>
          <w:rStyle w:val="CharSectno"/>
        </w:rPr>
        <w:t>3</w:t>
      </w:r>
      <w:r w:rsidRPr="00616D13">
        <w:t xml:space="preserve">  Authority</w:t>
      </w:r>
      <w:bookmarkEnd w:id="7"/>
    </w:p>
    <w:p w:rsidR="007769D4" w:rsidRPr="00616D13" w:rsidRDefault="007769D4" w:rsidP="007769D4">
      <w:pPr>
        <w:pStyle w:val="subsection"/>
      </w:pPr>
      <w:r w:rsidRPr="00616D13">
        <w:tab/>
      </w:r>
      <w:r w:rsidRPr="00616D13">
        <w:tab/>
      </w:r>
      <w:r w:rsidR="00AF0336" w:rsidRPr="00616D13">
        <w:t xml:space="preserve">This </w:t>
      </w:r>
      <w:r w:rsidR="002256A6" w:rsidRPr="00616D13">
        <w:t>regulation</w:t>
      </w:r>
      <w:r w:rsidR="00AF0336" w:rsidRPr="00616D13">
        <w:t xml:space="preserve"> is made under the </w:t>
      </w:r>
      <w:r w:rsidR="002256A6" w:rsidRPr="00616D13">
        <w:rPr>
          <w:i/>
        </w:rPr>
        <w:t>Family Law Act</w:t>
      </w:r>
      <w:r w:rsidR="00694520" w:rsidRPr="00616D13">
        <w:rPr>
          <w:i/>
        </w:rPr>
        <w:t xml:space="preserve"> 1975</w:t>
      </w:r>
      <w:r w:rsidR="00D83D21" w:rsidRPr="00616D13">
        <w:rPr>
          <w:i/>
        </w:rPr>
        <w:t>.</w:t>
      </w:r>
    </w:p>
    <w:p w:rsidR="00557C7A" w:rsidRPr="00616D13" w:rsidRDefault="007769D4" w:rsidP="00557C7A">
      <w:pPr>
        <w:pStyle w:val="ActHead5"/>
      </w:pPr>
      <w:bookmarkStart w:id="8" w:name="_Toc390682327"/>
      <w:r w:rsidRPr="00616D13">
        <w:rPr>
          <w:rStyle w:val="CharSectno"/>
        </w:rPr>
        <w:t>4</w:t>
      </w:r>
      <w:r w:rsidR="00557C7A" w:rsidRPr="00616D13">
        <w:t xml:space="preserve">  </w:t>
      </w:r>
      <w:r w:rsidR="00B332B8" w:rsidRPr="00616D13">
        <w:t>Schedule(s)</w:t>
      </w:r>
      <w:bookmarkEnd w:id="8"/>
    </w:p>
    <w:p w:rsidR="00557C7A" w:rsidRPr="00616D13" w:rsidRDefault="00557C7A" w:rsidP="00557C7A">
      <w:pPr>
        <w:pStyle w:val="subsection"/>
      </w:pPr>
      <w:r w:rsidRPr="00616D13">
        <w:tab/>
      </w:r>
      <w:r w:rsidRPr="00616D13">
        <w:tab/>
      </w:r>
      <w:r w:rsidR="00CD7ECB" w:rsidRPr="00616D1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616D13" w:rsidRDefault="0048364F" w:rsidP="00FF3089">
      <w:pPr>
        <w:pStyle w:val="ActHead6"/>
        <w:pageBreakBefore/>
      </w:pPr>
      <w:bookmarkStart w:id="9" w:name="_Toc390682328"/>
      <w:bookmarkStart w:id="10" w:name="opcAmSched"/>
      <w:bookmarkStart w:id="11" w:name="opcCurrentFind"/>
      <w:r w:rsidRPr="00616D13">
        <w:rPr>
          <w:rStyle w:val="CharAmSchNo"/>
        </w:rPr>
        <w:t>Schedule</w:t>
      </w:r>
      <w:r w:rsidR="00616D13" w:rsidRPr="00616D13">
        <w:rPr>
          <w:rStyle w:val="CharAmSchNo"/>
        </w:rPr>
        <w:t> </w:t>
      </w:r>
      <w:r w:rsidRPr="00616D13">
        <w:rPr>
          <w:rStyle w:val="CharAmSchNo"/>
        </w:rPr>
        <w:t>1</w:t>
      </w:r>
      <w:r w:rsidRPr="00616D13">
        <w:t>—</w:t>
      </w:r>
      <w:r w:rsidR="00460499" w:rsidRPr="00616D13">
        <w:rPr>
          <w:rStyle w:val="CharAmSchText"/>
        </w:rPr>
        <w:t>Amendments</w:t>
      </w:r>
      <w:bookmarkEnd w:id="9"/>
    </w:p>
    <w:bookmarkEnd w:id="10"/>
    <w:bookmarkEnd w:id="11"/>
    <w:p w:rsidR="00694520" w:rsidRPr="00616D13" w:rsidRDefault="00694520" w:rsidP="00694520">
      <w:pPr>
        <w:pStyle w:val="Header"/>
      </w:pPr>
      <w:r w:rsidRPr="00616D13">
        <w:rPr>
          <w:rStyle w:val="CharAmPartNo"/>
        </w:rPr>
        <w:t xml:space="preserve"> </w:t>
      </w:r>
      <w:r w:rsidRPr="00616D13">
        <w:rPr>
          <w:rStyle w:val="CharAmPartText"/>
        </w:rPr>
        <w:t xml:space="preserve"> </w:t>
      </w:r>
    </w:p>
    <w:p w:rsidR="0004044E" w:rsidRPr="00616D13" w:rsidRDefault="00694520" w:rsidP="00AD3F1D">
      <w:pPr>
        <w:pStyle w:val="ActHead9"/>
      </w:pPr>
      <w:bookmarkStart w:id="12" w:name="_Toc390682329"/>
      <w:r w:rsidRPr="00616D13">
        <w:t>Family Law (Bilateral Arrangements—Intercountry Adoption) Regulations</w:t>
      </w:r>
      <w:r w:rsidR="00616D13" w:rsidRPr="00616D13">
        <w:t> </w:t>
      </w:r>
      <w:r w:rsidRPr="00616D13">
        <w:t>1998</w:t>
      </w:r>
      <w:bookmarkEnd w:id="12"/>
    </w:p>
    <w:p w:rsidR="006D3667" w:rsidRPr="00616D13" w:rsidRDefault="00BB6E79" w:rsidP="006C2C12">
      <w:pPr>
        <w:pStyle w:val="ItemHead"/>
        <w:tabs>
          <w:tab w:val="left" w:pos="6663"/>
        </w:tabs>
      </w:pPr>
      <w:r w:rsidRPr="00616D13">
        <w:t xml:space="preserve">1  </w:t>
      </w:r>
      <w:r w:rsidR="00DF00AA" w:rsidRPr="00616D13">
        <w:t>Regulation</w:t>
      </w:r>
      <w:r w:rsidR="00616D13" w:rsidRPr="00616D13">
        <w:t> </w:t>
      </w:r>
      <w:r w:rsidR="00DF00AA" w:rsidRPr="00616D13">
        <w:t>5</w:t>
      </w:r>
    </w:p>
    <w:p w:rsidR="00694520" w:rsidRPr="00616D13" w:rsidRDefault="00694520" w:rsidP="00694520">
      <w:pPr>
        <w:pStyle w:val="Item"/>
      </w:pPr>
      <w:r w:rsidRPr="00616D13">
        <w:t>Repeal the regulation, substitute:</w:t>
      </w:r>
    </w:p>
    <w:p w:rsidR="00DF00AA" w:rsidRPr="00616D13" w:rsidRDefault="00DF00AA" w:rsidP="00DF00AA">
      <w:pPr>
        <w:pStyle w:val="ActHead5"/>
      </w:pPr>
      <w:bookmarkStart w:id="13" w:name="_Toc390682330"/>
      <w:r w:rsidRPr="00616D13">
        <w:rPr>
          <w:rStyle w:val="CharSectno"/>
        </w:rPr>
        <w:t>5</w:t>
      </w:r>
      <w:r w:rsidRPr="00616D13">
        <w:t xml:space="preserve">  Australian adoption in a prescribed overseas jurisdiction of a child from that overseas jurisdiction</w:t>
      </w:r>
      <w:bookmarkEnd w:id="13"/>
    </w:p>
    <w:p w:rsidR="00694520" w:rsidRPr="00616D13" w:rsidRDefault="00694520" w:rsidP="00694520">
      <w:pPr>
        <w:pStyle w:val="subsection"/>
        <w:rPr>
          <w:sz w:val="20"/>
        </w:rPr>
      </w:pPr>
      <w:r w:rsidRPr="00616D13">
        <w:tab/>
        <w:t>(1)</w:t>
      </w:r>
      <w:r w:rsidRPr="00616D13">
        <w:rPr>
          <w:sz w:val="20"/>
        </w:rPr>
        <w:tab/>
      </w:r>
      <w:r w:rsidRPr="00616D13">
        <w:t xml:space="preserve">This regulation applies to an adoption </w:t>
      </w:r>
      <w:r w:rsidR="00507824" w:rsidRPr="00616D13">
        <w:t xml:space="preserve">of a child in a prescribed overseas jurisdiction </w:t>
      </w:r>
      <w:r w:rsidR="000E28AC" w:rsidRPr="00616D13">
        <w:t>(including an adoption that took place in the overseas jurisdiction before the overseas jurisdiction was prescribed under regulation</w:t>
      </w:r>
      <w:r w:rsidR="00616D13" w:rsidRPr="00616D13">
        <w:t> </w:t>
      </w:r>
      <w:r w:rsidR="000E28AC" w:rsidRPr="00616D13">
        <w:t xml:space="preserve">4) </w:t>
      </w:r>
      <w:r w:rsidRPr="00616D13">
        <w:t>if:</w:t>
      </w:r>
    </w:p>
    <w:p w:rsidR="00694520" w:rsidRPr="00616D13" w:rsidRDefault="00694520" w:rsidP="00694520">
      <w:pPr>
        <w:pStyle w:val="paragraph"/>
      </w:pPr>
      <w:r w:rsidRPr="00616D13">
        <w:tab/>
        <w:t>(a)</w:t>
      </w:r>
      <w:r w:rsidRPr="00616D13">
        <w:tab/>
      </w:r>
      <w:r w:rsidR="003C4BBE" w:rsidRPr="00616D13">
        <w:t>at the time of the adoption, the child was</w:t>
      </w:r>
      <w:r w:rsidRPr="00616D13">
        <w:t xml:space="preserve"> habitually resident in the overseas jurisdiction; and</w:t>
      </w:r>
    </w:p>
    <w:p w:rsidR="00694520" w:rsidRPr="00616D13" w:rsidRDefault="00694520" w:rsidP="00694520">
      <w:pPr>
        <w:pStyle w:val="paragraph"/>
        <w:rPr>
          <w:sz w:val="20"/>
        </w:rPr>
      </w:pPr>
      <w:r w:rsidRPr="00616D13">
        <w:rPr>
          <w:sz w:val="20"/>
        </w:rPr>
        <w:tab/>
      </w:r>
      <w:r w:rsidRPr="00616D13">
        <w:t>(b)</w:t>
      </w:r>
      <w:r w:rsidRPr="00616D13">
        <w:rPr>
          <w:sz w:val="20"/>
        </w:rPr>
        <w:tab/>
      </w:r>
      <w:r w:rsidRPr="00616D13">
        <w:t xml:space="preserve">the adoption </w:t>
      </w:r>
      <w:r w:rsidR="00382A05" w:rsidRPr="00616D13">
        <w:t xml:space="preserve">was </w:t>
      </w:r>
      <w:r w:rsidRPr="00616D13">
        <w:t>by a person habitually resident in a State of Australia; and</w:t>
      </w:r>
    </w:p>
    <w:p w:rsidR="00694520" w:rsidRPr="00616D13" w:rsidRDefault="00694520" w:rsidP="00694520">
      <w:pPr>
        <w:pStyle w:val="paragraph"/>
        <w:rPr>
          <w:sz w:val="20"/>
        </w:rPr>
      </w:pPr>
      <w:r w:rsidRPr="00616D13">
        <w:rPr>
          <w:sz w:val="20"/>
        </w:rPr>
        <w:tab/>
      </w:r>
      <w:r w:rsidRPr="00616D13">
        <w:t>(c)</w:t>
      </w:r>
      <w:r w:rsidRPr="00616D13">
        <w:rPr>
          <w:sz w:val="20"/>
        </w:rPr>
        <w:tab/>
      </w:r>
      <w:r w:rsidRPr="00616D13">
        <w:t xml:space="preserve">the competent authority of that State </w:t>
      </w:r>
      <w:r w:rsidR="000E28AC" w:rsidRPr="00616D13">
        <w:t>has agreed that the adoption may proceed</w:t>
      </w:r>
      <w:r w:rsidRPr="00616D13">
        <w:t>; and</w:t>
      </w:r>
    </w:p>
    <w:p w:rsidR="00694520" w:rsidRPr="00616D13" w:rsidRDefault="00694520" w:rsidP="00694520">
      <w:pPr>
        <w:pStyle w:val="paragraph"/>
      </w:pPr>
      <w:r w:rsidRPr="00616D13">
        <w:rPr>
          <w:sz w:val="20"/>
        </w:rPr>
        <w:tab/>
      </w:r>
      <w:r w:rsidRPr="00616D13">
        <w:t>(d)</w:t>
      </w:r>
      <w:r w:rsidRPr="00616D13">
        <w:rPr>
          <w:sz w:val="20"/>
        </w:rPr>
        <w:tab/>
      </w:r>
      <w:r w:rsidRPr="00616D13">
        <w:t xml:space="preserve">a certificate (an </w:t>
      </w:r>
      <w:r w:rsidRPr="00616D13">
        <w:rPr>
          <w:b/>
          <w:i/>
        </w:rPr>
        <w:t>adoption compliance certificate</w:t>
      </w:r>
      <w:r w:rsidRPr="00616D13">
        <w:t>) is in force in relation to the adoption that:</w:t>
      </w:r>
    </w:p>
    <w:p w:rsidR="00694520" w:rsidRPr="00616D13" w:rsidRDefault="00694520" w:rsidP="00694520">
      <w:pPr>
        <w:pStyle w:val="paragraphsub"/>
      </w:pPr>
      <w:r w:rsidRPr="00616D13">
        <w:tab/>
        <w:t>(i)</w:t>
      </w:r>
      <w:r w:rsidRPr="00616D13">
        <w:tab/>
      </w:r>
      <w:r w:rsidR="00382A05" w:rsidRPr="00616D13">
        <w:t>was</w:t>
      </w:r>
      <w:r w:rsidRPr="00616D13">
        <w:rPr>
          <w:i/>
        </w:rPr>
        <w:t xml:space="preserve"> </w:t>
      </w:r>
      <w:r w:rsidRPr="00616D13">
        <w:t>issued by a competent authority of the overseas jurisdiction; and</w:t>
      </w:r>
    </w:p>
    <w:p w:rsidR="00694520" w:rsidRPr="00616D13" w:rsidRDefault="00694520" w:rsidP="00694520">
      <w:pPr>
        <w:pStyle w:val="paragraphsub"/>
      </w:pPr>
      <w:r w:rsidRPr="00616D13">
        <w:tab/>
        <w:t>(ii)</w:t>
      </w:r>
      <w:r w:rsidRPr="00616D13">
        <w:tab/>
        <w:t>states that the adoption was carried out in accordance with the laws of the overseas jurisdiction; and</w:t>
      </w:r>
    </w:p>
    <w:p w:rsidR="00694520" w:rsidRPr="00616D13" w:rsidRDefault="00694520" w:rsidP="00694520">
      <w:pPr>
        <w:pStyle w:val="paragraph"/>
      </w:pPr>
      <w:r w:rsidRPr="00616D13">
        <w:tab/>
        <w:t>(e)</w:t>
      </w:r>
      <w:r w:rsidRPr="00616D13">
        <w:tab/>
        <w:t>the adoption has the effect of ending the legal relationship between the child and each person who was, immediately before the adoption, the child’s parent; and</w:t>
      </w:r>
    </w:p>
    <w:p w:rsidR="00B53646" w:rsidRPr="00616D13" w:rsidRDefault="00694520" w:rsidP="00694520">
      <w:pPr>
        <w:pStyle w:val="paragraph"/>
      </w:pPr>
      <w:r w:rsidRPr="00616D13">
        <w:tab/>
        <w:t>(f)</w:t>
      </w:r>
      <w:r w:rsidRPr="00616D13">
        <w:tab/>
      </w:r>
      <w:r w:rsidR="00B53646" w:rsidRPr="00616D13">
        <w:t>an Australian court has not made:</w:t>
      </w:r>
    </w:p>
    <w:p w:rsidR="00B53646" w:rsidRPr="00616D13" w:rsidRDefault="00B53646" w:rsidP="00B53646">
      <w:pPr>
        <w:pStyle w:val="paragraphsub"/>
      </w:pPr>
      <w:r w:rsidRPr="00616D13">
        <w:tab/>
      </w:r>
      <w:r w:rsidR="003240BB" w:rsidRPr="00616D13">
        <w:t>(i)</w:t>
      </w:r>
      <w:r w:rsidR="003240BB" w:rsidRPr="00616D13">
        <w:tab/>
      </w:r>
      <w:r w:rsidR="00DB39A7" w:rsidRPr="00616D13">
        <w:t xml:space="preserve">an adoption order </w:t>
      </w:r>
      <w:r w:rsidR="00EC5DD7" w:rsidRPr="00616D13">
        <w:t>in relation to</w:t>
      </w:r>
      <w:r w:rsidR="00DB39A7" w:rsidRPr="00616D13">
        <w:t xml:space="preserve"> the child</w:t>
      </w:r>
      <w:r w:rsidRPr="00616D13">
        <w:t>; or</w:t>
      </w:r>
    </w:p>
    <w:p w:rsidR="00B53646" w:rsidRPr="00616D13" w:rsidRDefault="00B53646" w:rsidP="00B53646">
      <w:pPr>
        <w:pStyle w:val="paragraphsub"/>
      </w:pPr>
      <w:r w:rsidRPr="00616D13">
        <w:tab/>
        <w:t>(ii)</w:t>
      </w:r>
      <w:r w:rsidRPr="00616D13">
        <w:tab/>
      </w:r>
      <w:r w:rsidR="00DB39A7" w:rsidRPr="00616D13">
        <w:t xml:space="preserve">an order </w:t>
      </w:r>
      <w:r w:rsidR="00CC0255" w:rsidRPr="00616D13">
        <w:t xml:space="preserve">recognising or declaring the </w:t>
      </w:r>
      <w:r w:rsidRPr="00616D13">
        <w:t xml:space="preserve">overseas </w:t>
      </w:r>
      <w:r w:rsidR="00CC0255" w:rsidRPr="00616D13">
        <w:t xml:space="preserve">adoption </w:t>
      </w:r>
      <w:r w:rsidR="00DB39A7" w:rsidRPr="00616D13">
        <w:t>to be</w:t>
      </w:r>
      <w:r w:rsidR="00CC0255" w:rsidRPr="00616D13">
        <w:t xml:space="preserve"> valid</w:t>
      </w:r>
      <w:r w:rsidRPr="00616D13">
        <w:t>.</w:t>
      </w:r>
    </w:p>
    <w:p w:rsidR="00DF00AA" w:rsidRPr="00616D13" w:rsidRDefault="00DF00AA" w:rsidP="00B53646">
      <w:pPr>
        <w:pStyle w:val="subsection"/>
      </w:pPr>
      <w:r w:rsidRPr="00616D13">
        <w:tab/>
        <w:t>(2)</w:t>
      </w:r>
      <w:r w:rsidRPr="00616D13">
        <w:tab/>
        <w:t xml:space="preserve">The adoption is recognised and effective, for the laws of the Commonwealth and each State, on and after the date </w:t>
      </w:r>
      <w:r w:rsidR="00382A05" w:rsidRPr="00616D13">
        <w:t xml:space="preserve">of effect of the </w:t>
      </w:r>
      <w:r w:rsidRPr="00616D13">
        <w:t xml:space="preserve">adoption in the </w:t>
      </w:r>
      <w:r w:rsidR="00382A05" w:rsidRPr="00616D13">
        <w:t xml:space="preserve">prescribed </w:t>
      </w:r>
      <w:r w:rsidRPr="00616D13">
        <w:t>overseas jurisdiction.</w:t>
      </w:r>
    </w:p>
    <w:p w:rsidR="00382A05" w:rsidRPr="00616D13" w:rsidRDefault="00382A05" w:rsidP="00DF00AA">
      <w:pPr>
        <w:pStyle w:val="subsection"/>
      </w:pPr>
      <w:r w:rsidRPr="00616D13">
        <w:tab/>
        <w:t>(3)</w:t>
      </w:r>
      <w:r w:rsidRPr="00616D13">
        <w:tab/>
        <w:t xml:space="preserve">If the date of effect of the adoption in the prescribed overseas jurisdiction was before the </w:t>
      </w:r>
      <w:r w:rsidR="00DE17FA" w:rsidRPr="00616D13">
        <w:t>commencement of this regulation</w:t>
      </w:r>
      <w:r w:rsidRPr="00616D13">
        <w:t>, the adoption is taken to have been recognised and effective</w:t>
      </w:r>
      <w:r w:rsidR="00C32038" w:rsidRPr="00616D13">
        <w:t>,</w:t>
      </w:r>
      <w:r w:rsidRPr="00616D13">
        <w:t xml:space="preserve"> for the laws of the Commonwealth and each State</w:t>
      </w:r>
      <w:r w:rsidR="00C32038" w:rsidRPr="00616D13">
        <w:t>,</w:t>
      </w:r>
      <w:r w:rsidRPr="00616D13">
        <w:t xml:space="preserve"> on and after the date of effect of the adoption.</w:t>
      </w:r>
    </w:p>
    <w:p w:rsidR="00DF00AA" w:rsidRPr="00616D13" w:rsidRDefault="00DF00AA" w:rsidP="00654A7D">
      <w:pPr>
        <w:pStyle w:val="notetext"/>
        <w:rPr>
          <w:i/>
        </w:rPr>
      </w:pPr>
      <w:r w:rsidRPr="00616D13">
        <w:rPr>
          <w:iCs/>
        </w:rPr>
        <w:t>Note</w:t>
      </w:r>
      <w:r w:rsidR="00654A7D" w:rsidRPr="00616D13">
        <w:rPr>
          <w:iCs/>
        </w:rPr>
        <w:t>:</w:t>
      </w:r>
      <w:r w:rsidR="00654A7D" w:rsidRPr="00616D13">
        <w:rPr>
          <w:iCs/>
        </w:rPr>
        <w:tab/>
      </w:r>
      <w:r w:rsidRPr="00616D13">
        <w:t>For the application of these Regulations to a State, see regulation</w:t>
      </w:r>
      <w:r w:rsidR="00616D13" w:rsidRPr="00616D13">
        <w:t> </w:t>
      </w:r>
      <w:r w:rsidRPr="00616D13">
        <w:t>8.</w:t>
      </w:r>
    </w:p>
    <w:sectPr w:rsidR="00DF00AA" w:rsidRPr="00616D13" w:rsidSect="002C7D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A6" w:rsidRDefault="002256A6" w:rsidP="0048364F">
      <w:pPr>
        <w:spacing w:line="240" w:lineRule="auto"/>
      </w:pPr>
      <w:r>
        <w:separator/>
      </w:r>
    </w:p>
  </w:endnote>
  <w:endnote w:type="continuationSeparator" w:id="0">
    <w:p w:rsidR="002256A6" w:rsidRDefault="002256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C7D74" w:rsidRDefault="0048364F" w:rsidP="002C7D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7D74">
      <w:rPr>
        <w:i/>
        <w:sz w:val="18"/>
      </w:rPr>
      <w:t xml:space="preserve"> </w:t>
    </w:r>
    <w:r w:rsidR="002C7D74" w:rsidRPr="002C7D74">
      <w:rPr>
        <w:i/>
        <w:sz w:val="18"/>
      </w:rPr>
      <w:t>OPC60612 -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74" w:rsidRDefault="002C7D74" w:rsidP="002C7D74">
    <w:pPr>
      <w:pStyle w:val="Footer"/>
    </w:pPr>
    <w:r w:rsidRPr="002C7D74">
      <w:rPr>
        <w:i/>
        <w:sz w:val="18"/>
      </w:rPr>
      <w:t>OPC60612 -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C7D74" w:rsidRDefault="007A7F9F" w:rsidP="00486382">
    <w:pPr>
      <w:pStyle w:val="Footer"/>
      <w:rPr>
        <w:sz w:val="18"/>
      </w:rPr>
    </w:pPr>
  </w:p>
  <w:p w:rsidR="00486382" w:rsidRPr="002C7D74" w:rsidRDefault="002C7D74" w:rsidP="002C7D74">
    <w:pPr>
      <w:pStyle w:val="Footer"/>
      <w:rPr>
        <w:sz w:val="18"/>
      </w:rPr>
    </w:pPr>
    <w:r w:rsidRPr="002C7D74">
      <w:rPr>
        <w:i/>
        <w:sz w:val="18"/>
      </w:rPr>
      <w:t>OPC60612 -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C7D7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C7D7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C7D7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PAGE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D91C37">
            <w:rPr>
              <w:rFonts w:cs="Times New Roman"/>
              <w:i/>
              <w:noProof/>
              <w:sz w:val="18"/>
            </w:rPr>
            <w:t>ii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C7D7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DOCPROPERTY ShortT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607ABD">
            <w:rPr>
              <w:rFonts w:cs="Times New Roman"/>
              <w:i/>
              <w:sz w:val="18"/>
            </w:rPr>
            <w:t>Family Law (Bilateral Arrangements—Intercountry Adoption) Amendment (2014 Measures No. 2) Regulation 2014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C7D74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DOCPROPERTY ActNo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607ABD">
            <w:rPr>
              <w:rFonts w:cs="Times New Roman"/>
              <w:i/>
              <w:sz w:val="18"/>
            </w:rPr>
            <w:t>No. 93, 2014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C7D74" w:rsidRDefault="002C7D74" w:rsidP="002C7D74">
    <w:pPr>
      <w:rPr>
        <w:rFonts w:cs="Times New Roman"/>
        <w:i/>
        <w:sz w:val="18"/>
      </w:rPr>
    </w:pPr>
    <w:r w:rsidRPr="002C7D74">
      <w:rPr>
        <w:rFonts w:cs="Times New Roman"/>
        <w:i/>
        <w:sz w:val="18"/>
      </w:rPr>
      <w:t>OPC60612 -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No. 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Family Law (Bilateral Arrangements—Intercountry Adoption) Amendment (2014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3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C7D74" w:rsidP="002C7D74">
    <w:pPr>
      <w:rPr>
        <w:i/>
        <w:sz w:val="18"/>
      </w:rPr>
    </w:pPr>
    <w:r w:rsidRPr="002C7D74">
      <w:rPr>
        <w:rFonts w:cs="Times New Roman"/>
        <w:i/>
        <w:sz w:val="18"/>
      </w:rPr>
      <w:t>OPC60612 -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C7D7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C7D7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C7D7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PAGE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D822D9">
            <w:rPr>
              <w:rFonts w:cs="Times New Roman"/>
              <w:i/>
              <w:noProof/>
              <w:sz w:val="18"/>
            </w:rPr>
            <w:t>2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C7D7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DOCPROPERTY ShortT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607ABD">
            <w:rPr>
              <w:rFonts w:cs="Times New Roman"/>
              <w:i/>
              <w:sz w:val="18"/>
            </w:rPr>
            <w:t>Family Law (Bilateral Arrangements—Intercountry Adoption) Amendment (2014 Measures No. 2) Regulation 2014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C7D7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C7D74">
            <w:rPr>
              <w:rFonts w:cs="Times New Roman"/>
              <w:i/>
              <w:sz w:val="18"/>
            </w:rPr>
            <w:fldChar w:fldCharType="begin"/>
          </w:r>
          <w:r w:rsidRPr="002C7D74">
            <w:rPr>
              <w:rFonts w:cs="Times New Roman"/>
              <w:i/>
              <w:sz w:val="18"/>
            </w:rPr>
            <w:instrText xml:space="preserve"> DOCPROPERTY ActNo </w:instrText>
          </w:r>
          <w:r w:rsidRPr="002C7D74">
            <w:rPr>
              <w:rFonts w:cs="Times New Roman"/>
              <w:i/>
              <w:sz w:val="18"/>
            </w:rPr>
            <w:fldChar w:fldCharType="separate"/>
          </w:r>
          <w:r w:rsidR="00607ABD">
            <w:rPr>
              <w:rFonts w:cs="Times New Roman"/>
              <w:i/>
              <w:sz w:val="18"/>
            </w:rPr>
            <w:t>No. 93, 2014</w:t>
          </w:r>
          <w:r w:rsidRPr="002C7D7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C7D74" w:rsidRDefault="002C7D74" w:rsidP="002C7D74">
    <w:pPr>
      <w:rPr>
        <w:rFonts w:cs="Times New Roman"/>
        <w:i/>
        <w:sz w:val="18"/>
      </w:rPr>
    </w:pPr>
    <w:r w:rsidRPr="002C7D74">
      <w:rPr>
        <w:rFonts w:cs="Times New Roman"/>
        <w:i/>
        <w:sz w:val="18"/>
      </w:rPr>
      <w:t>OPC60612 -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No. 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Family Law (Bilateral Arrangements—Intercountry Adoption) Amendment (2014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3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C7D74" w:rsidP="002C7D74">
    <w:pPr>
      <w:rPr>
        <w:i/>
        <w:sz w:val="18"/>
      </w:rPr>
    </w:pPr>
    <w:r w:rsidRPr="002C7D74">
      <w:rPr>
        <w:rFonts w:cs="Times New Roman"/>
        <w:i/>
        <w:sz w:val="18"/>
      </w:rPr>
      <w:t>OPC60612 -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No. 93,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7ABD">
            <w:rPr>
              <w:i/>
              <w:sz w:val="18"/>
            </w:rPr>
            <w:t>Family Law (Bilateral Arrangements—Intercountry Adoption) Amendment (2014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1C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A6" w:rsidRDefault="002256A6" w:rsidP="0048364F">
      <w:pPr>
        <w:spacing w:line="240" w:lineRule="auto"/>
      </w:pPr>
      <w:r>
        <w:separator/>
      </w:r>
    </w:p>
  </w:footnote>
  <w:footnote w:type="continuationSeparator" w:id="0">
    <w:p w:rsidR="002256A6" w:rsidRDefault="002256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822D9">
      <w:rPr>
        <w:b/>
        <w:sz w:val="20"/>
      </w:rPr>
      <w:fldChar w:fldCharType="separate"/>
    </w:r>
    <w:r w:rsidR="00D822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822D9">
      <w:rPr>
        <w:sz w:val="20"/>
      </w:rPr>
      <w:fldChar w:fldCharType="separate"/>
    </w:r>
    <w:r w:rsidR="00D822D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46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DE9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2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C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AB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A4E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844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49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128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C25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E20D2"/>
    <w:multiLevelType w:val="hybridMultilevel"/>
    <w:tmpl w:val="86F01EC4"/>
    <w:lvl w:ilvl="0" w:tplc="0444F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A6"/>
    <w:rsid w:val="000041C6"/>
    <w:rsid w:val="000063E4"/>
    <w:rsid w:val="000113BC"/>
    <w:rsid w:val="000136AF"/>
    <w:rsid w:val="00025060"/>
    <w:rsid w:val="0004044E"/>
    <w:rsid w:val="000614BF"/>
    <w:rsid w:val="00084D0E"/>
    <w:rsid w:val="000C4E79"/>
    <w:rsid w:val="000D05EF"/>
    <w:rsid w:val="000E28AC"/>
    <w:rsid w:val="000F21C1"/>
    <w:rsid w:val="000F7427"/>
    <w:rsid w:val="0010745C"/>
    <w:rsid w:val="00116975"/>
    <w:rsid w:val="001261C9"/>
    <w:rsid w:val="00145891"/>
    <w:rsid w:val="00154EAC"/>
    <w:rsid w:val="001642FE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7B8D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56A6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7D74"/>
    <w:rsid w:val="002D043A"/>
    <w:rsid w:val="00304E75"/>
    <w:rsid w:val="003072FA"/>
    <w:rsid w:val="0031713F"/>
    <w:rsid w:val="003240BB"/>
    <w:rsid w:val="003415D3"/>
    <w:rsid w:val="00352B0F"/>
    <w:rsid w:val="00361BD9"/>
    <w:rsid w:val="00363549"/>
    <w:rsid w:val="003801D0"/>
    <w:rsid w:val="00382A05"/>
    <w:rsid w:val="0039228E"/>
    <w:rsid w:val="003926B5"/>
    <w:rsid w:val="00392B99"/>
    <w:rsid w:val="003A1BF4"/>
    <w:rsid w:val="003B04EC"/>
    <w:rsid w:val="003C4BBE"/>
    <w:rsid w:val="003C5F2B"/>
    <w:rsid w:val="003D0BFE"/>
    <w:rsid w:val="003D5700"/>
    <w:rsid w:val="003E5FF5"/>
    <w:rsid w:val="003F4CA9"/>
    <w:rsid w:val="003F567B"/>
    <w:rsid w:val="004010E7"/>
    <w:rsid w:val="00401403"/>
    <w:rsid w:val="004026D7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4EB4"/>
    <w:rsid w:val="00486382"/>
    <w:rsid w:val="00490F4B"/>
    <w:rsid w:val="00496F97"/>
    <w:rsid w:val="004A2484"/>
    <w:rsid w:val="004A7500"/>
    <w:rsid w:val="004B53D9"/>
    <w:rsid w:val="004C0255"/>
    <w:rsid w:val="004C5B5A"/>
    <w:rsid w:val="004C6444"/>
    <w:rsid w:val="004C6DE1"/>
    <w:rsid w:val="004F1FAC"/>
    <w:rsid w:val="004F3A90"/>
    <w:rsid w:val="004F676E"/>
    <w:rsid w:val="00507053"/>
    <w:rsid w:val="00507824"/>
    <w:rsid w:val="00516B8D"/>
    <w:rsid w:val="00524B80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7ABD"/>
    <w:rsid w:val="00616D13"/>
    <w:rsid w:val="006249E6"/>
    <w:rsid w:val="00630733"/>
    <w:rsid w:val="0064468A"/>
    <w:rsid w:val="00654A7D"/>
    <w:rsid w:val="00654CCA"/>
    <w:rsid w:val="00656DE9"/>
    <w:rsid w:val="00663BDD"/>
    <w:rsid w:val="00677CC2"/>
    <w:rsid w:val="00680F17"/>
    <w:rsid w:val="00684C3C"/>
    <w:rsid w:val="00685F42"/>
    <w:rsid w:val="0069207B"/>
    <w:rsid w:val="006937E2"/>
    <w:rsid w:val="00694520"/>
    <w:rsid w:val="006977FB"/>
    <w:rsid w:val="006B262A"/>
    <w:rsid w:val="006B7E89"/>
    <w:rsid w:val="006C2C12"/>
    <w:rsid w:val="006C3FFF"/>
    <w:rsid w:val="006C7F8C"/>
    <w:rsid w:val="006D3667"/>
    <w:rsid w:val="006D4E91"/>
    <w:rsid w:val="006E004B"/>
    <w:rsid w:val="006E7147"/>
    <w:rsid w:val="006F0335"/>
    <w:rsid w:val="00700B2C"/>
    <w:rsid w:val="00701E6A"/>
    <w:rsid w:val="00713084"/>
    <w:rsid w:val="0071517B"/>
    <w:rsid w:val="00722023"/>
    <w:rsid w:val="00731E00"/>
    <w:rsid w:val="007440B7"/>
    <w:rsid w:val="00761043"/>
    <w:rsid w:val="007634AD"/>
    <w:rsid w:val="007715C9"/>
    <w:rsid w:val="00774EDD"/>
    <w:rsid w:val="007757EC"/>
    <w:rsid w:val="007769D4"/>
    <w:rsid w:val="00785AFA"/>
    <w:rsid w:val="007903AC"/>
    <w:rsid w:val="007A7F9F"/>
    <w:rsid w:val="007C22E7"/>
    <w:rsid w:val="007E7D4A"/>
    <w:rsid w:val="007F16AD"/>
    <w:rsid w:val="00826DA5"/>
    <w:rsid w:val="00833416"/>
    <w:rsid w:val="00856A31"/>
    <w:rsid w:val="00874B69"/>
    <w:rsid w:val="008754D0"/>
    <w:rsid w:val="00877D48"/>
    <w:rsid w:val="0089783B"/>
    <w:rsid w:val="008A1BC6"/>
    <w:rsid w:val="008C276A"/>
    <w:rsid w:val="008D0EE0"/>
    <w:rsid w:val="008F07E3"/>
    <w:rsid w:val="008F4D01"/>
    <w:rsid w:val="008F4F1C"/>
    <w:rsid w:val="00907271"/>
    <w:rsid w:val="00932377"/>
    <w:rsid w:val="00932A33"/>
    <w:rsid w:val="009766FB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3F1D"/>
    <w:rsid w:val="00AD5641"/>
    <w:rsid w:val="00AE50A2"/>
    <w:rsid w:val="00AF0336"/>
    <w:rsid w:val="00AF6613"/>
    <w:rsid w:val="00B00902"/>
    <w:rsid w:val="00B032D8"/>
    <w:rsid w:val="00B30AEA"/>
    <w:rsid w:val="00B332B8"/>
    <w:rsid w:val="00B33B3C"/>
    <w:rsid w:val="00B53646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32038"/>
    <w:rsid w:val="00C42BF8"/>
    <w:rsid w:val="00C460AE"/>
    <w:rsid w:val="00C50043"/>
    <w:rsid w:val="00C7573B"/>
    <w:rsid w:val="00C76CF3"/>
    <w:rsid w:val="00C77E30"/>
    <w:rsid w:val="00CB0180"/>
    <w:rsid w:val="00CB3470"/>
    <w:rsid w:val="00CC0255"/>
    <w:rsid w:val="00CD606E"/>
    <w:rsid w:val="00CD7ECB"/>
    <w:rsid w:val="00CF0BB2"/>
    <w:rsid w:val="00CF6087"/>
    <w:rsid w:val="00D0104A"/>
    <w:rsid w:val="00D13441"/>
    <w:rsid w:val="00D159CF"/>
    <w:rsid w:val="00D17B17"/>
    <w:rsid w:val="00D243A3"/>
    <w:rsid w:val="00D333D9"/>
    <w:rsid w:val="00D33440"/>
    <w:rsid w:val="00D40403"/>
    <w:rsid w:val="00D52EFE"/>
    <w:rsid w:val="00D555A1"/>
    <w:rsid w:val="00D63EF6"/>
    <w:rsid w:val="00D70DFB"/>
    <w:rsid w:val="00D766DF"/>
    <w:rsid w:val="00D822D9"/>
    <w:rsid w:val="00D83D21"/>
    <w:rsid w:val="00D84B58"/>
    <w:rsid w:val="00D91C37"/>
    <w:rsid w:val="00D925D1"/>
    <w:rsid w:val="00DB39A7"/>
    <w:rsid w:val="00DC6423"/>
    <w:rsid w:val="00DE17FA"/>
    <w:rsid w:val="00DF00AA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67D19"/>
    <w:rsid w:val="00E73EC4"/>
    <w:rsid w:val="00E74DC7"/>
    <w:rsid w:val="00E76FAB"/>
    <w:rsid w:val="00E83E2E"/>
    <w:rsid w:val="00E84B32"/>
    <w:rsid w:val="00E853F5"/>
    <w:rsid w:val="00E87699"/>
    <w:rsid w:val="00EC5DD7"/>
    <w:rsid w:val="00ED3A7D"/>
    <w:rsid w:val="00EE6D75"/>
    <w:rsid w:val="00EF2E3A"/>
    <w:rsid w:val="00F047E2"/>
    <w:rsid w:val="00F078DC"/>
    <w:rsid w:val="00F13E86"/>
    <w:rsid w:val="00F24C35"/>
    <w:rsid w:val="00F56759"/>
    <w:rsid w:val="00F60FA1"/>
    <w:rsid w:val="00F677A9"/>
    <w:rsid w:val="00F8173A"/>
    <w:rsid w:val="00F84CF5"/>
    <w:rsid w:val="00FA420B"/>
    <w:rsid w:val="00FB03B3"/>
    <w:rsid w:val="00FB192C"/>
    <w:rsid w:val="00FD7CFE"/>
    <w:rsid w:val="00FF3089"/>
    <w:rsid w:val="00FF3B04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D1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6D13"/>
  </w:style>
  <w:style w:type="paragraph" w:customStyle="1" w:styleId="OPCParaBase">
    <w:name w:val="OPCParaBase"/>
    <w:qFormat/>
    <w:rsid w:val="00616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6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6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6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6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6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6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6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6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6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6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6D13"/>
  </w:style>
  <w:style w:type="paragraph" w:customStyle="1" w:styleId="Blocks">
    <w:name w:val="Blocks"/>
    <w:aliases w:val="bb"/>
    <w:basedOn w:val="OPCParaBase"/>
    <w:qFormat/>
    <w:rsid w:val="00616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6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6D13"/>
    <w:rPr>
      <w:i/>
    </w:rPr>
  </w:style>
  <w:style w:type="paragraph" w:customStyle="1" w:styleId="BoxList">
    <w:name w:val="BoxList"/>
    <w:aliases w:val="bl"/>
    <w:basedOn w:val="BoxText"/>
    <w:qFormat/>
    <w:rsid w:val="00616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6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6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6D13"/>
    <w:pPr>
      <w:ind w:left="1985" w:hanging="851"/>
    </w:pPr>
  </w:style>
  <w:style w:type="character" w:customStyle="1" w:styleId="CharAmPartNo">
    <w:name w:val="CharAmPartNo"/>
    <w:basedOn w:val="OPCCharBase"/>
    <w:qFormat/>
    <w:rsid w:val="00616D13"/>
  </w:style>
  <w:style w:type="character" w:customStyle="1" w:styleId="CharAmPartText">
    <w:name w:val="CharAmPartText"/>
    <w:basedOn w:val="OPCCharBase"/>
    <w:qFormat/>
    <w:rsid w:val="00616D13"/>
  </w:style>
  <w:style w:type="character" w:customStyle="1" w:styleId="CharAmSchNo">
    <w:name w:val="CharAmSchNo"/>
    <w:basedOn w:val="OPCCharBase"/>
    <w:qFormat/>
    <w:rsid w:val="00616D13"/>
  </w:style>
  <w:style w:type="character" w:customStyle="1" w:styleId="CharAmSchText">
    <w:name w:val="CharAmSchText"/>
    <w:basedOn w:val="OPCCharBase"/>
    <w:qFormat/>
    <w:rsid w:val="00616D13"/>
  </w:style>
  <w:style w:type="character" w:customStyle="1" w:styleId="CharBoldItalic">
    <w:name w:val="CharBoldItalic"/>
    <w:basedOn w:val="OPCCharBase"/>
    <w:uiPriority w:val="1"/>
    <w:qFormat/>
    <w:rsid w:val="00616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6D13"/>
  </w:style>
  <w:style w:type="character" w:customStyle="1" w:styleId="CharChapText">
    <w:name w:val="CharChapText"/>
    <w:basedOn w:val="OPCCharBase"/>
    <w:uiPriority w:val="1"/>
    <w:qFormat/>
    <w:rsid w:val="00616D13"/>
  </w:style>
  <w:style w:type="character" w:customStyle="1" w:styleId="CharDivNo">
    <w:name w:val="CharDivNo"/>
    <w:basedOn w:val="OPCCharBase"/>
    <w:uiPriority w:val="1"/>
    <w:qFormat/>
    <w:rsid w:val="00616D13"/>
  </w:style>
  <w:style w:type="character" w:customStyle="1" w:styleId="CharDivText">
    <w:name w:val="CharDivText"/>
    <w:basedOn w:val="OPCCharBase"/>
    <w:uiPriority w:val="1"/>
    <w:qFormat/>
    <w:rsid w:val="00616D13"/>
  </w:style>
  <w:style w:type="character" w:customStyle="1" w:styleId="CharItalic">
    <w:name w:val="CharItalic"/>
    <w:basedOn w:val="OPCCharBase"/>
    <w:uiPriority w:val="1"/>
    <w:qFormat/>
    <w:rsid w:val="00616D13"/>
    <w:rPr>
      <w:i/>
    </w:rPr>
  </w:style>
  <w:style w:type="character" w:customStyle="1" w:styleId="CharPartNo">
    <w:name w:val="CharPartNo"/>
    <w:basedOn w:val="OPCCharBase"/>
    <w:uiPriority w:val="1"/>
    <w:qFormat/>
    <w:rsid w:val="00616D13"/>
  </w:style>
  <w:style w:type="character" w:customStyle="1" w:styleId="CharPartText">
    <w:name w:val="CharPartText"/>
    <w:basedOn w:val="OPCCharBase"/>
    <w:uiPriority w:val="1"/>
    <w:qFormat/>
    <w:rsid w:val="00616D13"/>
  </w:style>
  <w:style w:type="character" w:customStyle="1" w:styleId="CharSectno">
    <w:name w:val="CharSectno"/>
    <w:basedOn w:val="OPCCharBase"/>
    <w:qFormat/>
    <w:rsid w:val="00616D13"/>
  </w:style>
  <w:style w:type="character" w:customStyle="1" w:styleId="CharSubdNo">
    <w:name w:val="CharSubdNo"/>
    <w:basedOn w:val="OPCCharBase"/>
    <w:uiPriority w:val="1"/>
    <w:qFormat/>
    <w:rsid w:val="00616D13"/>
  </w:style>
  <w:style w:type="character" w:customStyle="1" w:styleId="CharSubdText">
    <w:name w:val="CharSubdText"/>
    <w:basedOn w:val="OPCCharBase"/>
    <w:uiPriority w:val="1"/>
    <w:qFormat/>
    <w:rsid w:val="00616D13"/>
  </w:style>
  <w:style w:type="paragraph" w:customStyle="1" w:styleId="CTA--">
    <w:name w:val="CTA --"/>
    <w:basedOn w:val="OPCParaBase"/>
    <w:next w:val="Normal"/>
    <w:rsid w:val="00616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6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6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6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6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6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6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6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6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6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6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6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6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6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6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6D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6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6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6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6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6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6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6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6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6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6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6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6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6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6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6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6D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6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6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6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6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6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6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6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6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6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6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6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6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6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6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6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6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6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6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6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6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6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6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6D1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6D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6D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6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6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6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6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6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6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6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6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6D13"/>
    <w:rPr>
      <w:sz w:val="16"/>
    </w:rPr>
  </w:style>
  <w:style w:type="table" w:customStyle="1" w:styleId="CFlag">
    <w:name w:val="CFlag"/>
    <w:basedOn w:val="TableNormal"/>
    <w:uiPriority w:val="99"/>
    <w:rsid w:val="00616D1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6D13"/>
    <w:rPr>
      <w:color w:val="0000FF"/>
      <w:u w:val="single"/>
    </w:rPr>
  </w:style>
  <w:style w:type="table" w:styleId="TableGrid">
    <w:name w:val="Table Grid"/>
    <w:basedOn w:val="TableNormal"/>
    <w:uiPriority w:val="59"/>
    <w:rsid w:val="0061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16D1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16D1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16D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6D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6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6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6D1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16D13"/>
  </w:style>
  <w:style w:type="paragraph" w:customStyle="1" w:styleId="CompiledActNo">
    <w:name w:val="CompiledActNo"/>
    <w:basedOn w:val="OPCParaBase"/>
    <w:next w:val="Normal"/>
    <w:rsid w:val="00616D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6D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6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16D1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16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6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16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6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16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6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6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6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6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6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6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6D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16D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16D13"/>
  </w:style>
  <w:style w:type="character" w:customStyle="1" w:styleId="CharSubPartNoCASA">
    <w:name w:val="CharSubPartNo(CASA)"/>
    <w:basedOn w:val="OPCCharBase"/>
    <w:uiPriority w:val="1"/>
    <w:rsid w:val="00616D13"/>
  </w:style>
  <w:style w:type="paragraph" w:customStyle="1" w:styleId="ENoteTTIndentHeadingSub">
    <w:name w:val="ENoteTTIndentHeadingSub"/>
    <w:aliases w:val="enTTHis"/>
    <w:basedOn w:val="OPCParaBase"/>
    <w:rsid w:val="00616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6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6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6D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16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6D13"/>
    <w:rPr>
      <w:sz w:val="22"/>
    </w:rPr>
  </w:style>
  <w:style w:type="paragraph" w:customStyle="1" w:styleId="SOTextNote">
    <w:name w:val="SO TextNote"/>
    <w:aliases w:val="sont"/>
    <w:basedOn w:val="SOText"/>
    <w:qFormat/>
    <w:rsid w:val="00616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6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6D13"/>
    <w:rPr>
      <w:sz w:val="22"/>
    </w:rPr>
  </w:style>
  <w:style w:type="paragraph" w:customStyle="1" w:styleId="FileName">
    <w:name w:val="FileName"/>
    <w:basedOn w:val="Normal"/>
    <w:rsid w:val="00616D13"/>
  </w:style>
  <w:style w:type="paragraph" w:customStyle="1" w:styleId="TableHeading">
    <w:name w:val="TableHeading"/>
    <w:aliases w:val="th"/>
    <w:basedOn w:val="OPCParaBase"/>
    <w:next w:val="Tabletext"/>
    <w:rsid w:val="00616D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6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6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6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6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6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6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6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6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6D13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694520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D1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6D13"/>
  </w:style>
  <w:style w:type="paragraph" w:customStyle="1" w:styleId="OPCParaBase">
    <w:name w:val="OPCParaBase"/>
    <w:qFormat/>
    <w:rsid w:val="00616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6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6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6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6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6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6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6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6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6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6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6D13"/>
  </w:style>
  <w:style w:type="paragraph" w:customStyle="1" w:styleId="Blocks">
    <w:name w:val="Blocks"/>
    <w:aliases w:val="bb"/>
    <w:basedOn w:val="OPCParaBase"/>
    <w:qFormat/>
    <w:rsid w:val="00616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6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6D13"/>
    <w:rPr>
      <w:i/>
    </w:rPr>
  </w:style>
  <w:style w:type="paragraph" w:customStyle="1" w:styleId="BoxList">
    <w:name w:val="BoxList"/>
    <w:aliases w:val="bl"/>
    <w:basedOn w:val="BoxText"/>
    <w:qFormat/>
    <w:rsid w:val="00616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6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6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6D13"/>
    <w:pPr>
      <w:ind w:left="1985" w:hanging="851"/>
    </w:pPr>
  </w:style>
  <w:style w:type="character" w:customStyle="1" w:styleId="CharAmPartNo">
    <w:name w:val="CharAmPartNo"/>
    <w:basedOn w:val="OPCCharBase"/>
    <w:qFormat/>
    <w:rsid w:val="00616D13"/>
  </w:style>
  <w:style w:type="character" w:customStyle="1" w:styleId="CharAmPartText">
    <w:name w:val="CharAmPartText"/>
    <w:basedOn w:val="OPCCharBase"/>
    <w:qFormat/>
    <w:rsid w:val="00616D13"/>
  </w:style>
  <w:style w:type="character" w:customStyle="1" w:styleId="CharAmSchNo">
    <w:name w:val="CharAmSchNo"/>
    <w:basedOn w:val="OPCCharBase"/>
    <w:qFormat/>
    <w:rsid w:val="00616D13"/>
  </w:style>
  <w:style w:type="character" w:customStyle="1" w:styleId="CharAmSchText">
    <w:name w:val="CharAmSchText"/>
    <w:basedOn w:val="OPCCharBase"/>
    <w:qFormat/>
    <w:rsid w:val="00616D13"/>
  </w:style>
  <w:style w:type="character" w:customStyle="1" w:styleId="CharBoldItalic">
    <w:name w:val="CharBoldItalic"/>
    <w:basedOn w:val="OPCCharBase"/>
    <w:uiPriority w:val="1"/>
    <w:qFormat/>
    <w:rsid w:val="00616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6D13"/>
  </w:style>
  <w:style w:type="character" w:customStyle="1" w:styleId="CharChapText">
    <w:name w:val="CharChapText"/>
    <w:basedOn w:val="OPCCharBase"/>
    <w:uiPriority w:val="1"/>
    <w:qFormat/>
    <w:rsid w:val="00616D13"/>
  </w:style>
  <w:style w:type="character" w:customStyle="1" w:styleId="CharDivNo">
    <w:name w:val="CharDivNo"/>
    <w:basedOn w:val="OPCCharBase"/>
    <w:uiPriority w:val="1"/>
    <w:qFormat/>
    <w:rsid w:val="00616D13"/>
  </w:style>
  <w:style w:type="character" w:customStyle="1" w:styleId="CharDivText">
    <w:name w:val="CharDivText"/>
    <w:basedOn w:val="OPCCharBase"/>
    <w:uiPriority w:val="1"/>
    <w:qFormat/>
    <w:rsid w:val="00616D13"/>
  </w:style>
  <w:style w:type="character" w:customStyle="1" w:styleId="CharItalic">
    <w:name w:val="CharItalic"/>
    <w:basedOn w:val="OPCCharBase"/>
    <w:uiPriority w:val="1"/>
    <w:qFormat/>
    <w:rsid w:val="00616D13"/>
    <w:rPr>
      <w:i/>
    </w:rPr>
  </w:style>
  <w:style w:type="character" w:customStyle="1" w:styleId="CharPartNo">
    <w:name w:val="CharPartNo"/>
    <w:basedOn w:val="OPCCharBase"/>
    <w:uiPriority w:val="1"/>
    <w:qFormat/>
    <w:rsid w:val="00616D13"/>
  </w:style>
  <w:style w:type="character" w:customStyle="1" w:styleId="CharPartText">
    <w:name w:val="CharPartText"/>
    <w:basedOn w:val="OPCCharBase"/>
    <w:uiPriority w:val="1"/>
    <w:qFormat/>
    <w:rsid w:val="00616D13"/>
  </w:style>
  <w:style w:type="character" w:customStyle="1" w:styleId="CharSectno">
    <w:name w:val="CharSectno"/>
    <w:basedOn w:val="OPCCharBase"/>
    <w:qFormat/>
    <w:rsid w:val="00616D13"/>
  </w:style>
  <w:style w:type="character" w:customStyle="1" w:styleId="CharSubdNo">
    <w:name w:val="CharSubdNo"/>
    <w:basedOn w:val="OPCCharBase"/>
    <w:uiPriority w:val="1"/>
    <w:qFormat/>
    <w:rsid w:val="00616D13"/>
  </w:style>
  <w:style w:type="character" w:customStyle="1" w:styleId="CharSubdText">
    <w:name w:val="CharSubdText"/>
    <w:basedOn w:val="OPCCharBase"/>
    <w:uiPriority w:val="1"/>
    <w:qFormat/>
    <w:rsid w:val="00616D13"/>
  </w:style>
  <w:style w:type="paragraph" w:customStyle="1" w:styleId="CTA--">
    <w:name w:val="CTA --"/>
    <w:basedOn w:val="OPCParaBase"/>
    <w:next w:val="Normal"/>
    <w:rsid w:val="00616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6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6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6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6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6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6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6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6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6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6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6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6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6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16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6D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6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6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6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6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6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6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6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6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6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6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6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6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6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6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6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6D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6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6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6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6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6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6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6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6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6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6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6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6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6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6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6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6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6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6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6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6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6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6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6D1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6D1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6D1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6D1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6D1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6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6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6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6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6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6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6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6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6D13"/>
    <w:rPr>
      <w:sz w:val="16"/>
    </w:rPr>
  </w:style>
  <w:style w:type="table" w:customStyle="1" w:styleId="CFlag">
    <w:name w:val="CFlag"/>
    <w:basedOn w:val="TableNormal"/>
    <w:uiPriority w:val="99"/>
    <w:rsid w:val="00616D1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6D13"/>
    <w:rPr>
      <w:color w:val="0000FF"/>
      <w:u w:val="single"/>
    </w:rPr>
  </w:style>
  <w:style w:type="table" w:styleId="TableGrid">
    <w:name w:val="Table Grid"/>
    <w:basedOn w:val="TableNormal"/>
    <w:uiPriority w:val="59"/>
    <w:rsid w:val="0061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16D1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16D1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16D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6D1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6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6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6D1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16D13"/>
  </w:style>
  <w:style w:type="paragraph" w:customStyle="1" w:styleId="CompiledActNo">
    <w:name w:val="CompiledActNo"/>
    <w:basedOn w:val="OPCParaBase"/>
    <w:next w:val="Normal"/>
    <w:rsid w:val="00616D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6D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6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16D1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16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6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16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6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16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6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6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6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6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6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16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6D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16D1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16D13"/>
  </w:style>
  <w:style w:type="character" w:customStyle="1" w:styleId="CharSubPartNoCASA">
    <w:name w:val="CharSubPartNo(CASA)"/>
    <w:basedOn w:val="OPCCharBase"/>
    <w:uiPriority w:val="1"/>
    <w:rsid w:val="00616D13"/>
  </w:style>
  <w:style w:type="paragraph" w:customStyle="1" w:styleId="ENoteTTIndentHeadingSub">
    <w:name w:val="ENoteTTIndentHeadingSub"/>
    <w:aliases w:val="enTTHis"/>
    <w:basedOn w:val="OPCParaBase"/>
    <w:rsid w:val="00616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6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6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6D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16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6D13"/>
    <w:rPr>
      <w:sz w:val="22"/>
    </w:rPr>
  </w:style>
  <w:style w:type="paragraph" w:customStyle="1" w:styleId="SOTextNote">
    <w:name w:val="SO TextNote"/>
    <w:aliases w:val="sont"/>
    <w:basedOn w:val="SOText"/>
    <w:qFormat/>
    <w:rsid w:val="00616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6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6D13"/>
    <w:rPr>
      <w:sz w:val="22"/>
    </w:rPr>
  </w:style>
  <w:style w:type="paragraph" w:customStyle="1" w:styleId="FileName">
    <w:name w:val="FileName"/>
    <w:basedOn w:val="Normal"/>
    <w:rsid w:val="00616D13"/>
  </w:style>
  <w:style w:type="paragraph" w:customStyle="1" w:styleId="TableHeading">
    <w:name w:val="TableHeading"/>
    <w:aliases w:val="th"/>
    <w:basedOn w:val="OPCParaBase"/>
    <w:next w:val="Tabletext"/>
    <w:rsid w:val="00616D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6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6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6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6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6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6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6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6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6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6D13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69452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491</Words>
  <Characters>2618</Characters>
  <Application>Microsoft Office Word</Application>
  <DocSecurity>0</DocSecurity>
  <PresentationFormat/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(Bilateral Arrangements—Intercountry Adoption) Amendment (2014 Measures No. 2) Regulation 2014</vt:lpstr>
    </vt:vector>
  </TitlesOfParts>
  <Manager/>
  <Company/>
  <LinksUpToDate>false</LinksUpToDate>
  <CharactersWithSpaces>3091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2014-06-13T00:45:00Z</cp:lastPrinted>
  <dcterms:created xsi:type="dcterms:W3CDTF">2014-06-19T05:13:00Z</dcterms:created>
  <dcterms:modified xsi:type="dcterms:W3CDTF">2014-06-19T05:13:00Z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93, 2014</vt:lpwstr>
  </property>
  <property fmtid="{D5CDD505-2E9C-101B-9397-08002B2CF9AE}" pid="3" name="ShortT">
    <vt:lpwstr>Family Law (Bilateral Arrangements—Intercountry Adoption) Amendment (2014 Measures No. 2)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OPC60612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Family Law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