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9A4" w:rsidRPr="005A68BC" w:rsidRDefault="004D59A4" w:rsidP="004D59A4">
      <w:pPr>
        <w:ind w:right="91"/>
        <w:jc w:val="center"/>
        <w:rPr>
          <w:b/>
          <w:szCs w:val="24"/>
          <w:u w:val="single"/>
        </w:rPr>
      </w:pPr>
      <w:r w:rsidRPr="005A68BC">
        <w:rPr>
          <w:b/>
          <w:szCs w:val="24"/>
          <w:u w:val="single"/>
        </w:rPr>
        <w:t>EXPLANATORY STATEMENT</w:t>
      </w:r>
    </w:p>
    <w:p w:rsidR="004D59A4" w:rsidRPr="005A68BC" w:rsidRDefault="004D59A4" w:rsidP="004D59A4">
      <w:pPr>
        <w:ind w:right="91"/>
        <w:jc w:val="center"/>
        <w:rPr>
          <w:b/>
          <w:szCs w:val="24"/>
          <w:u w:val="single"/>
        </w:rPr>
      </w:pPr>
    </w:p>
    <w:p w:rsidR="004D59A4" w:rsidRPr="005A68BC" w:rsidRDefault="004D59A4" w:rsidP="004D59A4">
      <w:pPr>
        <w:ind w:right="91"/>
        <w:jc w:val="center"/>
        <w:rPr>
          <w:szCs w:val="24"/>
          <w:u w:val="single"/>
        </w:rPr>
      </w:pPr>
      <w:r w:rsidRPr="005A68BC">
        <w:rPr>
          <w:b/>
          <w:szCs w:val="24"/>
          <w:u w:val="single"/>
        </w:rPr>
        <w:t xml:space="preserve">Select Legislative Instrument </w:t>
      </w:r>
      <w:r w:rsidR="00C034D6">
        <w:rPr>
          <w:b/>
          <w:szCs w:val="24"/>
          <w:u w:val="single"/>
        </w:rPr>
        <w:t>No. 100, 2014</w:t>
      </w:r>
    </w:p>
    <w:p w:rsidR="004D59A4" w:rsidRPr="005A68BC" w:rsidRDefault="004D59A4" w:rsidP="004D59A4">
      <w:pPr>
        <w:ind w:right="91"/>
        <w:rPr>
          <w:szCs w:val="24"/>
        </w:rPr>
      </w:pPr>
    </w:p>
    <w:p w:rsidR="004D59A4" w:rsidRPr="005A68BC" w:rsidRDefault="004D59A4" w:rsidP="004D59A4">
      <w:pPr>
        <w:pStyle w:val="Default"/>
        <w:ind w:left="273" w:firstLine="720"/>
        <w:jc w:val="center"/>
      </w:pPr>
      <w:r w:rsidRPr="005A68BC">
        <w:rPr>
          <w:i/>
          <w:iCs/>
        </w:rPr>
        <w:t xml:space="preserve">National Measurement Act </w:t>
      </w:r>
      <w:r w:rsidRPr="005A68BC">
        <w:rPr>
          <w:i/>
        </w:rPr>
        <w:t>1960</w:t>
      </w:r>
    </w:p>
    <w:p w:rsidR="004D59A4" w:rsidRPr="005A68BC" w:rsidRDefault="004D59A4" w:rsidP="004D59A4">
      <w:pPr>
        <w:ind w:right="91"/>
        <w:jc w:val="center"/>
        <w:rPr>
          <w:szCs w:val="24"/>
        </w:rPr>
      </w:pPr>
    </w:p>
    <w:p w:rsidR="004D59A4" w:rsidRPr="005A68BC" w:rsidRDefault="004D59A4" w:rsidP="004D59A4">
      <w:pPr>
        <w:tabs>
          <w:tab w:val="left" w:pos="993"/>
        </w:tabs>
        <w:ind w:left="993" w:right="91"/>
        <w:jc w:val="center"/>
        <w:rPr>
          <w:i/>
          <w:szCs w:val="24"/>
        </w:rPr>
      </w:pPr>
      <w:r w:rsidRPr="005A68BC">
        <w:rPr>
          <w:i/>
          <w:szCs w:val="24"/>
        </w:rPr>
        <w:t>National Measurement Amendment (Fees) Regulation 2014</w:t>
      </w:r>
    </w:p>
    <w:p w:rsidR="004D59A4" w:rsidRPr="005A68BC" w:rsidRDefault="004D59A4" w:rsidP="004D59A4">
      <w:pPr>
        <w:tabs>
          <w:tab w:val="left" w:pos="993"/>
        </w:tabs>
        <w:ind w:right="91"/>
        <w:jc w:val="both"/>
        <w:rPr>
          <w:szCs w:val="24"/>
        </w:rPr>
      </w:pPr>
    </w:p>
    <w:p w:rsidR="004D59A4" w:rsidRPr="005A68BC" w:rsidRDefault="004D59A4" w:rsidP="004D59A4">
      <w:pPr>
        <w:rPr>
          <w:b/>
          <w:color w:val="000000" w:themeColor="text1"/>
          <w:szCs w:val="24"/>
        </w:rPr>
      </w:pPr>
      <w:r w:rsidRPr="005A68BC">
        <w:rPr>
          <w:b/>
          <w:color w:val="000000" w:themeColor="text1"/>
          <w:szCs w:val="24"/>
        </w:rPr>
        <w:t>Authority and Background</w:t>
      </w:r>
    </w:p>
    <w:p w:rsidR="004D59A4" w:rsidRPr="005A68BC" w:rsidRDefault="004D59A4" w:rsidP="004D59A4">
      <w:pPr>
        <w:autoSpaceDE w:val="0"/>
        <w:autoSpaceDN w:val="0"/>
        <w:adjustRightInd w:val="0"/>
        <w:rPr>
          <w:rFonts w:eastAsiaTheme="minorHAnsi"/>
          <w:color w:val="000000" w:themeColor="text1"/>
          <w:szCs w:val="24"/>
          <w:lang w:eastAsia="en-US"/>
        </w:rPr>
      </w:pPr>
    </w:p>
    <w:p w:rsidR="004D59A4" w:rsidRPr="005A68BC" w:rsidRDefault="004D59A4" w:rsidP="004D59A4">
      <w:pPr>
        <w:autoSpaceDE w:val="0"/>
        <w:autoSpaceDN w:val="0"/>
        <w:adjustRightInd w:val="0"/>
        <w:rPr>
          <w:rFonts w:eastAsiaTheme="minorHAnsi"/>
          <w:color w:val="000000" w:themeColor="text1"/>
          <w:szCs w:val="24"/>
          <w:lang w:eastAsia="en-US"/>
        </w:rPr>
      </w:pPr>
      <w:r w:rsidRPr="005A68BC">
        <w:rPr>
          <w:rFonts w:eastAsiaTheme="minorHAnsi"/>
          <w:color w:val="000000" w:themeColor="text1"/>
          <w:szCs w:val="24"/>
          <w:lang w:eastAsia="en-US"/>
        </w:rPr>
        <w:t xml:space="preserve">The principal objectives of the </w:t>
      </w:r>
      <w:r w:rsidRPr="005A68BC">
        <w:rPr>
          <w:rFonts w:eastAsiaTheme="minorHAnsi"/>
          <w:i/>
          <w:iCs/>
          <w:color w:val="000000" w:themeColor="text1"/>
          <w:szCs w:val="24"/>
          <w:lang w:eastAsia="en-US"/>
        </w:rPr>
        <w:t xml:space="preserve">National Measurement Act 1960 </w:t>
      </w:r>
      <w:r w:rsidRPr="005A68BC">
        <w:rPr>
          <w:rFonts w:eastAsiaTheme="minorHAnsi"/>
          <w:color w:val="000000" w:themeColor="text1"/>
          <w:szCs w:val="24"/>
          <w:lang w:eastAsia="en-US"/>
        </w:rPr>
        <w:t>(the Act) include to:</w:t>
      </w:r>
    </w:p>
    <w:p w:rsidR="004D59A4" w:rsidRPr="005A68BC" w:rsidRDefault="004D59A4" w:rsidP="004D59A4">
      <w:pPr>
        <w:pStyle w:val="ListParagraph"/>
        <w:numPr>
          <w:ilvl w:val="0"/>
          <w:numId w:val="2"/>
        </w:numPr>
        <w:autoSpaceDE w:val="0"/>
        <w:autoSpaceDN w:val="0"/>
        <w:adjustRightInd w:val="0"/>
        <w:spacing w:after="0" w:line="240" w:lineRule="auto"/>
        <w:rPr>
          <w:rFonts w:ascii="Times New Roman" w:eastAsiaTheme="minorHAnsi" w:hAnsi="Times New Roman"/>
          <w:color w:val="000000" w:themeColor="text1"/>
          <w:sz w:val="24"/>
          <w:szCs w:val="24"/>
        </w:rPr>
      </w:pPr>
      <w:r w:rsidRPr="005A68BC">
        <w:rPr>
          <w:rFonts w:ascii="Times New Roman" w:eastAsiaTheme="minorHAnsi" w:hAnsi="Times New Roman"/>
          <w:color w:val="000000" w:themeColor="text1"/>
          <w:sz w:val="24"/>
          <w:szCs w:val="24"/>
        </w:rPr>
        <w:t>establish a national system of units and standards of measurement of physical quantities;</w:t>
      </w:r>
    </w:p>
    <w:p w:rsidR="004D59A4" w:rsidRPr="005A68BC" w:rsidRDefault="004D59A4" w:rsidP="004D59A4">
      <w:pPr>
        <w:pStyle w:val="ListParagraph"/>
        <w:numPr>
          <w:ilvl w:val="0"/>
          <w:numId w:val="1"/>
        </w:numPr>
        <w:autoSpaceDE w:val="0"/>
        <w:autoSpaceDN w:val="0"/>
        <w:adjustRightInd w:val="0"/>
        <w:spacing w:after="0" w:line="240" w:lineRule="auto"/>
        <w:rPr>
          <w:rFonts w:ascii="Times New Roman" w:eastAsiaTheme="minorHAnsi" w:hAnsi="Times New Roman"/>
          <w:color w:val="000000" w:themeColor="text1"/>
          <w:sz w:val="24"/>
          <w:szCs w:val="24"/>
        </w:rPr>
      </w:pPr>
      <w:r w:rsidRPr="005A68BC">
        <w:rPr>
          <w:rFonts w:ascii="Times New Roman" w:eastAsiaTheme="minorHAnsi" w:hAnsi="Times New Roman"/>
          <w:color w:val="000000" w:themeColor="text1"/>
          <w:sz w:val="24"/>
          <w:szCs w:val="24"/>
        </w:rPr>
        <w:t>provide for the uniform use of those units and standards of measurement throughout Australia;</w:t>
      </w:r>
    </w:p>
    <w:p w:rsidR="004D59A4" w:rsidRPr="005A68BC" w:rsidRDefault="004D59A4" w:rsidP="004D59A4">
      <w:pPr>
        <w:pStyle w:val="ListParagraph"/>
        <w:numPr>
          <w:ilvl w:val="0"/>
          <w:numId w:val="1"/>
        </w:numPr>
        <w:autoSpaceDE w:val="0"/>
        <w:autoSpaceDN w:val="0"/>
        <w:adjustRightInd w:val="0"/>
        <w:spacing w:after="0" w:line="240" w:lineRule="auto"/>
        <w:rPr>
          <w:rFonts w:ascii="Times New Roman" w:eastAsiaTheme="minorHAnsi" w:hAnsi="Times New Roman"/>
          <w:color w:val="000000" w:themeColor="text1"/>
          <w:sz w:val="24"/>
          <w:szCs w:val="24"/>
        </w:rPr>
      </w:pPr>
      <w:r w:rsidRPr="005A68BC">
        <w:rPr>
          <w:rFonts w:ascii="Times New Roman" w:eastAsiaTheme="minorHAnsi" w:hAnsi="Times New Roman"/>
          <w:color w:val="000000" w:themeColor="text1"/>
          <w:sz w:val="24"/>
          <w:szCs w:val="24"/>
        </w:rPr>
        <w:t xml:space="preserve">co-ordinate the operation of the national system of measurement; and </w:t>
      </w:r>
    </w:p>
    <w:p w:rsidR="004D59A4" w:rsidRPr="005A68BC" w:rsidRDefault="004D59A4" w:rsidP="004D59A4">
      <w:pPr>
        <w:pStyle w:val="ListParagraph"/>
        <w:numPr>
          <w:ilvl w:val="0"/>
          <w:numId w:val="1"/>
        </w:numPr>
        <w:autoSpaceDE w:val="0"/>
        <w:autoSpaceDN w:val="0"/>
        <w:adjustRightInd w:val="0"/>
        <w:spacing w:after="0" w:line="240" w:lineRule="auto"/>
        <w:rPr>
          <w:rFonts w:ascii="Times New Roman" w:eastAsiaTheme="minorHAnsi" w:hAnsi="Times New Roman"/>
          <w:color w:val="000000" w:themeColor="text1"/>
          <w:sz w:val="24"/>
          <w:szCs w:val="24"/>
        </w:rPr>
      </w:pPr>
      <w:r w:rsidRPr="005A68BC">
        <w:rPr>
          <w:rFonts w:ascii="Times New Roman" w:eastAsiaTheme="minorHAnsi" w:hAnsi="Times New Roman"/>
          <w:color w:val="000000" w:themeColor="text1"/>
          <w:sz w:val="24"/>
          <w:szCs w:val="24"/>
        </w:rPr>
        <w:t>provide the legal framework for a national system of trade measurement.</w:t>
      </w:r>
    </w:p>
    <w:p w:rsidR="004D59A4" w:rsidRPr="005A68BC" w:rsidRDefault="004D59A4" w:rsidP="004D59A4">
      <w:pPr>
        <w:spacing w:before="100" w:beforeAutospacing="1" w:after="100" w:afterAutospacing="1"/>
        <w:rPr>
          <w:color w:val="000000" w:themeColor="text1"/>
          <w:szCs w:val="24"/>
        </w:rPr>
      </w:pPr>
      <w:r w:rsidRPr="005A68BC">
        <w:rPr>
          <w:color w:val="000000" w:themeColor="text1"/>
          <w:szCs w:val="24"/>
        </w:rPr>
        <w:t>Subsection 20(1) of the Act pr</w:t>
      </w:r>
      <w:bookmarkStart w:id="0" w:name="_GoBack"/>
      <w:bookmarkEnd w:id="0"/>
      <w:r w:rsidRPr="005A68BC">
        <w:rPr>
          <w:color w:val="000000" w:themeColor="text1"/>
          <w:szCs w:val="24"/>
        </w:rPr>
        <w:t xml:space="preserve">ovides, in part, that the Governor-General may make regulations, not inconsistent with the Act, prescribing all matters required or permitted by the Act to be prescribed, or necessary or convenient to be prescribed for carrying out or giving effect to the Act. </w:t>
      </w:r>
      <w:r w:rsidRPr="005A68BC">
        <w:rPr>
          <w:szCs w:val="24"/>
        </w:rPr>
        <w:t xml:space="preserve">The </w:t>
      </w:r>
      <w:r w:rsidRPr="005A68BC">
        <w:rPr>
          <w:i/>
          <w:szCs w:val="24"/>
        </w:rPr>
        <w:t>National Measurement Regulations 1999</w:t>
      </w:r>
      <w:r w:rsidRPr="005A68BC">
        <w:rPr>
          <w:szCs w:val="24"/>
        </w:rPr>
        <w:t xml:space="preserve"> (the Principal Regulations) support the national measurement system.</w:t>
      </w:r>
    </w:p>
    <w:p w:rsidR="004D59A4" w:rsidRPr="005A68BC" w:rsidRDefault="004D59A4" w:rsidP="004D59A4">
      <w:pPr>
        <w:spacing w:before="100" w:beforeAutospacing="1" w:after="100" w:afterAutospacing="1"/>
        <w:rPr>
          <w:color w:val="000000" w:themeColor="text1"/>
          <w:szCs w:val="24"/>
        </w:rPr>
      </w:pPr>
      <w:r w:rsidRPr="005A68BC">
        <w:rPr>
          <w:color w:val="000000" w:themeColor="text1"/>
          <w:szCs w:val="24"/>
        </w:rPr>
        <w:t xml:space="preserve">Section 33(3) of the </w:t>
      </w:r>
      <w:r w:rsidRPr="005A68BC">
        <w:rPr>
          <w:i/>
          <w:color w:val="000000" w:themeColor="text1"/>
          <w:szCs w:val="24"/>
        </w:rPr>
        <w:t>Acts Interpretation Act 1901</w:t>
      </w:r>
      <w:r w:rsidRPr="005A68BC">
        <w:rPr>
          <w:color w:val="000000" w:themeColor="text1"/>
          <w:szCs w:val="24"/>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4D59A4" w:rsidRPr="005A68BC" w:rsidRDefault="004D59A4" w:rsidP="004D59A4">
      <w:pPr>
        <w:rPr>
          <w:color w:val="000000" w:themeColor="text1"/>
          <w:szCs w:val="24"/>
        </w:rPr>
      </w:pPr>
      <w:r w:rsidRPr="005A68BC">
        <w:rPr>
          <w:color w:val="000000" w:themeColor="text1"/>
          <w:szCs w:val="24"/>
        </w:rPr>
        <w:t xml:space="preserve">The </w:t>
      </w:r>
      <w:r w:rsidRPr="005A68BC">
        <w:rPr>
          <w:i/>
          <w:color w:val="000000" w:themeColor="text1"/>
          <w:szCs w:val="24"/>
        </w:rPr>
        <w:t>National Measurement Amendment (Fees) Regulation 2014</w:t>
      </w:r>
      <w:r w:rsidRPr="005A68BC">
        <w:rPr>
          <w:color w:val="000000" w:themeColor="text1"/>
          <w:szCs w:val="24"/>
        </w:rPr>
        <w:t xml:space="preserve"> (the Amending Regulation) is a legislative instrument for the purposes of the </w:t>
      </w:r>
      <w:r w:rsidRPr="005A68BC">
        <w:rPr>
          <w:i/>
          <w:color w:val="000000" w:themeColor="text1"/>
          <w:szCs w:val="24"/>
        </w:rPr>
        <w:t>Legislative Instruments Act 2003</w:t>
      </w:r>
      <w:r w:rsidRPr="005A68BC">
        <w:rPr>
          <w:color w:val="000000" w:themeColor="text1"/>
          <w:szCs w:val="24"/>
        </w:rPr>
        <w:t>.</w:t>
      </w:r>
    </w:p>
    <w:p w:rsidR="004D59A4" w:rsidRPr="005A68BC" w:rsidRDefault="004D59A4" w:rsidP="004D59A4">
      <w:pPr>
        <w:tabs>
          <w:tab w:val="left" w:pos="993"/>
        </w:tabs>
        <w:ind w:right="91"/>
        <w:rPr>
          <w:szCs w:val="24"/>
        </w:rPr>
      </w:pPr>
    </w:p>
    <w:p w:rsidR="004D59A4" w:rsidRPr="005A68BC" w:rsidRDefault="004D59A4" w:rsidP="004D59A4">
      <w:pPr>
        <w:tabs>
          <w:tab w:val="left" w:pos="993"/>
        </w:tabs>
        <w:ind w:right="91"/>
        <w:rPr>
          <w:b/>
          <w:szCs w:val="24"/>
        </w:rPr>
      </w:pPr>
      <w:r w:rsidRPr="005A68BC">
        <w:rPr>
          <w:b/>
          <w:szCs w:val="24"/>
        </w:rPr>
        <w:t>Purpose and operation</w:t>
      </w:r>
    </w:p>
    <w:p w:rsidR="004D59A4" w:rsidRPr="005A68BC" w:rsidRDefault="004D59A4" w:rsidP="004D59A4">
      <w:pPr>
        <w:tabs>
          <w:tab w:val="left" w:pos="993"/>
        </w:tabs>
        <w:ind w:right="91"/>
        <w:rPr>
          <w:szCs w:val="24"/>
        </w:rPr>
      </w:pPr>
    </w:p>
    <w:p w:rsidR="004D59A4" w:rsidRPr="005A68BC" w:rsidRDefault="004D59A4" w:rsidP="004D59A4">
      <w:pPr>
        <w:tabs>
          <w:tab w:val="left" w:pos="993"/>
        </w:tabs>
        <w:ind w:right="91"/>
        <w:rPr>
          <w:szCs w:val="24"/>
        </w:rPr>
      </w:pPr>
      <w:r w:rsidRPr="005A68BC">
        <w:rPr>
          <w:szCs w:val="24"/>
        </w:rPr>
        <w:t xml:space="preserve">The Amending Regulation prescribes an increase of 2.9% (based on the increase in the Consumer Price Index over a 12 month period to March 2014) to fees that the National Measurement Institute may charge for the examination and certification of various measuring instruments (including volume measuring instruments and dimensional measuring instruments). </w:t>
      </w:r>
    </w:p>
    <w:p w:rsidR="004D59A4" w:rsidRPr="005A68BC" w:rsidRDefault="004D59A4" w:rsidP="004D59A4">
      <w:pPr>
        <w:tabs>
          <w:tab w:val="left" w:pos="993"/>
        </w:tabs>
        <w:ind w:right="91"/>
        <w:rPr>
          <w:i/>
          <w:szCs w:val="24"/>
        </w:rPr>
      </w:pPr>
    </w:p>
    <w:p w:rsidR="004D59A4" w:rsidRPr="005A68BC" w:rsidRDefault="004D59A4" w:rsidP="004D59A4">
      <w:pPr>
        <w:tabs>
          <w:tab w:val="left" w:pos="993"/>
        </w:tabs>
        <w:ind w:right="91"/>
        <w:jc w:val="both"/>
        <w:rPr>
          <w:b/>
          <w:szCs w:val="24"/>
          <w:u w:val="single"/>
        </w:rPr>
      </w:pPr>
      <w:r w:rsidRPr="005A68BC">
        <w:rPr>
          <w:b/>
          <w:szCs w:val="24"/>
          <w:u w:val="single"/>
        </w:rPr>
        <w:t xml:space="preserve">Detailed explanation of the Amending Regulation’s provisions </w:t>
      </w:r>
    </w:p>
    <w:p w:rsidR="004D59A4" w:rsidRPr="005A68BC" w:rsidRDefault="004D59A4" w:rsidP="004D59A4">
      <w:pPr>
        <w:tabs>
          <w:tab w:val="left" w:pos="993"/>
        </w:tabs>
        <w:ind w:right="91"/>
        <w:jc w:val="both"/>
        <w:rPr>
          <w:b/>
          <w:szCs w:val="24"/>
          <w:u w:val="single"/>
        </w:rPr>
      </w:pPr>
    </w:p>
    <w:p w:rsidR="004D59A4" w:rsidRPr="005A68BC" w:rsidRDefault="004D59A4" w:rsidP="004D59A4">
      <w:pPr>
        <w:tabs>
          <w:tab w:val="left" w:pos="993"/>
        </w:tabs>
        <w:ind w:right="91"/>
        <w:jc w:val="both"/>
        <w:rPr>
          <w:szCs w:val="24"/>
          <w:u w:val="single"/>
        </w:rPr>
      </w:pPr>
      <w:r w:rsidRPr="005A68BC">
        <w:rPr>
          <w:szCs w:val="24"/>
          <w:u w:val="single"/>
        </w:rPr>
        <w:t xml:space="preserve">Section 1 – Name of Regulation </w:t>
      </w:r>
    </w:p>
    <w:p w:rsidR="004D59A4" w:rsidRPr="005A68BC" w:rsidRDefault="004D59A4" w:rsidP="004D59A4">
      <w:pPr>
        <w:tabs>
          <w:tab w:val="left" w:pos="993"/>
        </w:tabs>
        <w:ind w:right="91"/>
        <w:rPr>
          <w:szCs w:val="24"/>
        </w:rPr>
      </w:pPr>
    </w:p>
    <w:p w:rsidR="004D59A4" w:rsidRPr="005A68BC" w:rsidRDefault="004D59A4" w:rsidP="004D59A4">
      <w:pPr>
        <w:tabs>
          <w:tab w:val="left" w:pos="993"/>
        </w:tabs>
        <w:ind w:right="91"/>
        <w:rPr>
          <w:i/>
          <w:szCs w:val="24"/>
        </w:rPr>
      </w:pPr>
      <w:r w:rsidRPr="005A68BC">
        <w:rPr>
          <w:szCs w:val="24"/>
        </w:rPr>
        <w:t xml:space="preserve">This section provides that the title of the Amending Regulation is the </w:t>
      </w:r>
      <w:r w:rsidRPr="005A68BC">
        <w:rPr>
          <w:i/>
          <w:szCs w:val="24"/>
        </w:rPr>
        <w:t xml:space="preserve">National Measurement Amendment (Fees) Regulation 2014. </w:t>
      </w:r>
    </w:p>
    <w:p w:rsidR="004D59A4" w:rsidRPr="005A68BC" w:rsidRDefault="004D59A4" w:rsidP="004D59A4">
      <w:pPr>
        <w:tabs>
          <w:tab w:val="left" w:pos="993"/>
        </w:tabs>
        <w:ind w:right="91"/>
        <w:rPr>
          <w:szCs w:val="24"/>
        </w:rPr>
      </w:pPr>
    </w:p>
    <w:p w:rsidR="004D59A4" w:rsidRPr="005A68BC" w:rsidRDefault="004D59A4" w:rsidP="004D59A4">
      <w:pPr>
        <w:tabs>
          <w:tab w:val="left" w:pos="993"/>
        </w:tabs>
        <w:ind w:right="91"/>
        <w:rPr>
          <w:szCs w:val="24"/>
        </w:rPr>
      </w:pPr>
    </w:p>
    <w:p w:rsidR="004D59A4" w:rsidRPr="005A68BC" w:rsidRDefault="004D59A4" w:rsidP="004D59A4">
      <w:pPr>
        <w:tabs>
          <w:tab w:val="left" w:pos="993"/>
        </w:tabs>
        <w:ind w:right="91"/>
        <w:rPr>
          <w:szCs w:val="24"/>
          <w:u w:val="single"/>
        </w:rPr>
      </w:pPr>
      <w:r w:rsidRPr="005A68BC">
        <w:rPr>
          <w:szCs w:val="24"/>
          <w:u w:val="single"/>
        </w:rPr>
        <w:t>Section 2 – Commencement</w:t>
      </w:r>
    </w:p>
    <w:p w:rsidR="004D59A4" w:rsidRPr="005A68BC" w:rsidRDefault="004D59A4" w:rsidP="004D59A4">
      <w:pPr>
        <w:tabs>
          <w:tab w:val="left" w:pos="993"/>
        </w:tabs>
        <w:ind w:right="91"/>
        <w:rPr>
          <w:szCs w:val="24"/>
          <w:highlight w:val="yellow"/>
        </w:rPr>
      </w:pPr>
      <w:r w:rsidRPr="005A68BC">
        <w:rPr>
          <w:szCs w:val="24"/>
        </w:rPr>
        <w:lastRenderedPageBreak/>
        <w:t xml:space="preserve">This section provides that the Amending Regulation commences on 1 July 2014. </w:t>
      </w:r>
    </w:p>
    <w:p w:rsidR="004D59A4" w:rsidRPr="005A68BC" w:rsidRDefault="004D59A4" w:rsidP="004D59A4">
      <w:pPr>
        <w:tabs>
          <w:tab w:val="left" w:pos="993"/>
        </w:tabs>
        <w:ind w:right="91"/>
        <w:rPr>
          <w:szCs w:val="24"/>
        </w:rPr>
      </w:pPr>
    </w:p>
    <w:p w:rsidR="004D59A4" w:rsidRPr="005A68BC" w:rsidRDefault="004D59A4" w:rsidP="004D59A4">
      <w:pPr>
        <w:tabs>
          <w:tab w:val="left" w:pos="993"/>
        </w:tabs>
        <w:ind w:right="91"/>
        <w:rPr>
          <w:szCs w:val="24"/>
          <w:u w:val="single"/>
        </w:rPr>
      </w:pPr>
      <w:r w:rsidRPr="005A68BC">
        <w:rPr>
          <w:szCs w:val="24"/>
          <w:u w:val="single"/>
        </w:rPr>
        <w:t>Section 3 – Authority</w:t>
      </w:r>
    </w:p>
    <w:p w:rsidR="004D59A4" w:rsidRPr="005A68BC" w:rsidRDefault="004D59A4" w:rsidP="004D59A4">
      <w:pPr>
        <w:tabs>
          <w:tab w:val="left" w:pos="993"/>
        </w:tabs>
        <w:ind w:right="91"/>
        <w:rPr>
          <w:szCs w:val="24"/>
        </w:rPr>
      </w:pPr>
      <w:r w:rsidRPr="005A68BC">
        <w:rPr>
          <w:szCs w:val="24"/>
        </w:rPr>
        <w:t xml:space="preserve">This section provides that the legislative authority for the making of the Amending Regulation is the </w:t>
      </w:r>
      <w:r w:rsidRPr="005A68BC">
        <w:rPr>
          <w:i/>
          <w:szCs w:val="24"/>
        </w:rPr>
        <w:t xml:space="preserve">National Measurement Act 1960 </w:t>
      </w:r>
      <w:r w:rsidRPr="005A68BC">
        <w:rPr>
          <w:szCs w:val="24"/>
        </w:rPr>
        <w:t>(the Act).</w:t>
      </w:r>
    </w:p>
    <w:p w:rsidR="004D59A4" w:rsidRPr="005A68BC" w:rsidRDefault="004D59A4" w:rsidP="004D59A4">
      <w:pPr>
        <w:tabs>
          <w:tab w:val="left" w:pos="993"/>
        </w:tabs>
        <w:ind w:right="91"/>
        <w:rPr>
          <w:szCs w:val="24"/>
        </w:rPr>
      </w:pPr>
    </w:p>
    <w:p w:rsidR="004D59A4" w:rsidRPr="005A68BC" w:rsidRDefault="004D59A4" w:rsidP="004D59A4">
      <w:pPr>
        <w:tabs>
          <w:tab w:val="left" w:pos="993"/>
        </w:tabs>
        <w:ind w:right="91"/>
        <w:rPr>
          <w:szCs w:val="24"/>
          <w:u w:val="single"/>
        </w:rPr>
      </w:pPr>
      <w:r w:rsidRPr="005A68BC">
        <w:rPr>
          <w:szCs w:val="24"/>
          <w:u w:val="single"/>
        </w:rPr>
        <w:t>Section 4 – Schedule(s)</w:t>
      </w:r>
    </w:p>
    <w:p w:rsidR="004D59A4" w:rsidRPr="005A68BC" w:rsidRDefault="004D59A4" w:rsidP="004D59A4">
      <w:pPr>
        <w:tabs>
          <w:tab w:val="left" w:pos="993"/>
        </w:tabs>
        <w:ind w:right="91"/>
        <w:rPr>
          <w:szCs w:val="24"/>
        </w:rPr>
      </w:pPr>
      <w:r w:rsidRPr="005A68BC">
        <w:rPr>
          <w:szCs w:val="24"/>
        </w:rPr>
        <w:t xml:space="preserve">This section provides that each instrument that is specified in a Schedule is amended or repealed as set out in the applicable items in the Schedule concerned, and any other item in a Schedule has effect according to its terms. </w:t>
      </w:r>
    </w:p>
    <w:p w:rsidR="004D59A4" w:rsidRPr="005A68BC" w:rsidRDefault="004D59A4" w:rsidP="004D59A4">
      <w:pPr>
        <w:spacing w:after="200" w:line="276" w:lineRule="auto"/>
        <w:rPr>
          <w:b/>
          <w:szCs w:val="24"/>
          <w:u w:val="single"/>
        </w:rPr>
      </w:pPr>
    </w:p>
    <w:p w:rsidR="004D59A4" w:rsidRPr="005A68BC" w:rsidRDefault="004D59A4" w:rsidP="004D59A4">
      <w:pPr>
        <w:spacing w:after="200" w:line="276" w:lineRule="auto"/>
        <w:rPr>
          <w:b/>
          <w:szCs w:val="24"/>
          <w:u w:val="single"/>
        </w:rPr>
      </w:pPr>
      <w:r w:rsidRPr="005A68BC">
        <w:rPr>
          <w:b/>
          <w:szCs w:val="24"/>
          <w:u w:val="single"/>
        </w:rPr>
        <w:t xml:space="preserve">Schedule 1 – Amendments </w:t>
      </w:r>
    </w:p>
    <w:p w:rsidR="004D59A4" w:rsidRPr="005A68BC" w:rsidRDefault="004D59A4" w:rsidP="004D59A4">
      <w:pPr>
        <w:rPr>
          <w:szCs w:val="24"/>
          <w:u w:val="single"/>
        </w:rPr>
      </w:pPr>
      <w:r w:rsidRPr="005A68BC">
        <w:rPr>
          <w:szCs w:val="24"/>
          <w:u w:val="single"/>
        </w:rPr>
        <w:t>Item 1 – Subclause 1A.1(2) of Schedule 13</w:t>
      </w:r>
    </w:p>
    <w:p w:rsidR="004D59A4" w:rsidRPr="005A68BC" w:rsidRDefault="004D59A4" w:rsidP="004D59A4">
      <w:pPr>
        <w:rPr>
          <w:szCs w:val="24"/>
        </w:rPr>
      </w:pPr>
      <w:r w:rsidRPr="005A68BC">
        <w:rPr>
          <w:szCs w:val="24"/>
        </w:rPr>
        <w:t xml:space="preserve">Item 1 repeals subclause 1A.1(2) in Schedule 13 of the Principal Regulations and substitutes a new subclause 1A.1(1)(2). </w:t>
      </w:r>
    </w:p>
    <w:p w:rsidR="004D59A4" w:rsidRPr="005A68BC" w:rsidRDefault="004D59A4" w:rsidP="004D59A4">
      <w:pPr>
        <w:rPr>
          <w:szCs w:val="24"/>
        </w:rPr>
      </w:pPr>
    </w:p>
    <w:p w:rsidR="004D59A4" w:rsidRPr="005A68BC" w:rsidRDefault="004D59A4" w:rsidP="004D59A4">
      <w:pPr>
        <w:rPr>
          <w:szCs w:val="24"/>
        </w:rPr>
      </w:pPr>
      <w:r w:rsidRPr="005A68BC">
        <w:rPr>
          <w:szCs w:val="24"/>
        </w:rPr>
        <w:t xml:space="preserve">Item 1 provides that the fees prescribed in item 10 of the table in subclause 1A.1(1) do not apply to instruments mentioned in items 4(b), 4(f), 7(b), 7(d) or 7(e) of the table in subclause 1A.1(1). </w:t>
      </w:r>
    </w:p>
    <w:p w:rsidR="004D59A4" w:rsidRPr="005A68BC" w:rsidRDefault="004D59A4" w:rsidP="004D59A4">
      <w:pPr>
        <w:rPr>
          <w:szCs w:val="24"/>
        </w:rPr>
      </w:pPr>
    </w:p>
    <w:p w:rsidR="004D59A4" w:rsidRPr="005A68BC" w:rsidRDefault="004D59A4" w:rsidP="004D59A4">
      <w:pPr>
        <w:rPr>
          <w:szCs w:val="24"/>
        </w:rPr>
      </w:pPr>
      <w:r w:rsidRPr="005A68BC">
        <w:rPr>
          <w:szCs w:val="24"/>
        </w:rPr>
        <w:t xml:space="preserve">Item 1 also provides that the fee for the activity prescribed in item 10 of the table in Part 1 of Schedule 13 is $226 per hour. </w:t>
      </w:r>
    </w:p>
    <w:p w:rsidR="004D59A4" w:rsidRPr="005A68BC" w:rsidRDefault="004D59A4" w:rsidP="004D59A4">
      <w:pPr>
        <w:rPr>
          <w:szCs w:val="24"/>
        </w:rPr>
      </w:pPr>
    </w:p>
    <w:p w:rsidR="004D59A4" w:rsidRPr="005A68BC" w:rsidRDefault="004D59A4" w:rsidP="004D59A4">
      <w:pPr>
        <w:rPr>
          <w:szCs w:val="24"/>
          <w:u w:val="single"/>
        </w:rPr>
      </w:pPr>
      <w:r w:rsidRPr="005A68BC">
        <w:rPr>
          <w:szCs w:val="24"/>
          <w:u w:val="single"/>
        </w:rPr>
        <w:t>Item 2 – Parts 1 to 6 of Schedule 13</w:t>
      </w:r>
    </w:p>
    <w:p w:rsidR="004D59A4" w:rsidRPr="005A68BC" w:rsidRDefault="004D59A4" w:rsidP="004D59A4">
      <w:pPr>
        <w:rPr>
          <w:szCs w:val="24"/>
        </w:rPr>
      </w:pPr>
      <w:r w:rsidRPr="005A68BC">
        <w:rPr>
          <w:szCs w:val="24"/>
        </w:rPr>
        <w:t xml:space="preserve">Item 2 repeals the fees prescribed in Parts 1 to 6 of Schedule 13.  Item 2 then prescribes new pattern approval fees for the examination and certification of various measuring instruments. </w:t>
      </w:r>
    </w:p>
    <w:p w:rsidR="004D59A4" w:rsidRPr="005A68BC" w:rsidRDefault="004D59A4" w:rsidP="004D59A4">
      <w:pPr>
        <w:rPr>
          <w:szCs w:val="24"/>
        </w:rPr>
      </w:pPr>
    </w:p>
    <w:p w:rsidR="004D59A4" w:rsidRPr="005A68BC" w:rsidRDefault="004D59A4" w:rsidP="004D59A4">
      <w:pPr>
        <w:rPr>
          <w:szCs w:val="24"/>
          <w:u w:val="single"/>
        </w:rPr>
      </w:pPr>
      <w:r w:rsidRPr="005A68BC">
        <w:rPr>
          <w:szCs w:val="24"/>
          <w:u w:val="single"/>
        </w:rPr>
        <w:t>Item 3 – Part 8 of Schedule 13</w:t>
      </w:r>
    </w:p>
    <w:p w:rsidR="004D59A4" w:rsidRPr="005A68BC" w:rsidRDefault="004D59A4" w:rsidP="004D59A4">
      <w:pPr>
        <w:rPr>
          <w:szCs w:val="24"/>
        </w:rPr>
      </w:pPr>
      <w:r w:rsidRPr="005A68BC">
        <w:rPr>
          <w:szCs w:val="24"/>
        </w:rPr>
        <w:t xml:space="preserve">Item 3 repeals the current fees prescribed in Part 8 of Schedule 13. Item 3 then prescribes new additional fees that may be charged for the use of equipment in the examination or instruments. </w:t>
      </w:r>
    </w:p>
    <w:p w:rsidR="004D59A4" w:rsidRPr="005A68BC" w:rsidRDefault="004D59A4" w:rsidP="004D59A4">
      <w:pPr>
        <w:keepNext/>
        <w:spacing w:before="100" w:beforeAutospacing="1" w:after="100" w:afterAutospacing="1"/>
        <w:rPr>
          <w:b/>
          <w:color w:val="000000" w:themeColor="text1"/>
          <w:szCs w:val="24"/>
        </w:rPr>
      </w:pPr>
      <w:r w:rsidRPr="005A68BC">
        <w:rPr>
          <w:b/>
          <w:color w:val="000000" w:themeColor="text1"/>
          <w:szCs w:val="24"/>
        </w:rPr>
        <w:t>Consultation</w:t>
      </w:r>
    </w:p>
    <w:p w:rsidR="004D59A4" w:rsidRPr="005A68BC" w:rsidRDefault="004D59A4" w:rsidP="004D59A4">
      <w:pPr>
        <w:keepNext/>
        <w:spacing w:before="240" w:after="100" w:afterAutospacing="1"/>
        <w:rPr>
          <w:color w:val="0070C0"/>
          <w:szCs w:val="24"/>
        </w:rPr>
      </w:pPr>
      <w:r w:rsidRPr="005A68BC">
        <w:rPr>
          <w:color w:val="000000" w:themeColor="text1"/>
          <w:szCs w:val="24"/>
        </w:rPr>
        <w:t xml:space="preserve">The National Measurement Institute has informed stakeholders and industry of these proposed fee increases by publishing information about the fee increases on its website and providing written notice of the proposed fee increases to all current clients of the affected services.  </w:t>
      </w:r>
    </w:p>
    <w:p w:rsidR="004D59A4" w:rsidRPr="005A68BC" w:rsidRDefault="004D59A4" w:rsidP="004D59A4">
      <w:pPr>
        <w:spacing w:after="200" w:line="276" w:lineRule="auto"/>
        <w:rPr>
          <w:color w:val="000000" w:themeColor="text1"/>
          <w:szCs w:val="24"/>
        </w:rPr>
      </w:pPr>
      <w:r w:rsidRPr="005A68BC">
        <w:rPr>
          <w:color w:val="000000" w:themeColor="text1"/>
          <w:szCs w:val="24"/>
        </w:rPr>
        <w:t xml:space="preserve">The National Measurement Institute has also consulted with the Office of Best Practice Regulation and they have advised that a Regulation Impact Statement was not required (OBPR ID 16934). </w:t>
      </w:r>
      <w:r w:rsidRPr="005A68BC">
        <w:rPr>
          <w:color w:val="000000" w:themeColor="text1"/>
          <w:szCs w:val="24"/>
        </w:rPr>
        <w:br w:type="page"/>
      </w:r>
    </w:p>
    <w:p w:rsidR="004D59A4" w:rsidRPr="005A68BC" w:rsidRDefault="004D59A4" w:rsidP="004D59A4">
      <w:pPr>
        <w:spacing w:after="200" w:line="276" w:lineRule="auto"/>
        <w:jc w:val="center"/>
        <w:rPr>
          <w:rFonts w:eastAsia="Calibri"/>
          <w:color w:val="000000" w:themeColor="text1"/>
          <w:szCs w:val="24"/>
          <w:lang w:eastAsia="en-US"/>
        </w:rPr>
      </w:pPr>
      <w:r w:rsidRPr="005A68BC">
        <w:rPr>
          <w:b/>
          <w:color w:val="000000" w:themeColor="text1"/>
          <w:szCs w:val="24"/>
        </w:rPr>
        <w:lastRenderedPageBreak/>
        <w:t>STATEMENT OF COMPATIBILITY WITH HUMAN RIGHTS</w:t>
      </w:r>
    </w:p>
    <w:p w:rsidR="004D59A4" w:rsidRPr="005A68BC" w:rsidRDefault="004D59A4" w:rsidP="004D59A4">
      <w:pPr>
        <w:contextualSpacing/>
        <w:jc w:val="center"/>
        <w:rPr>
          <w:i/>
          <w:color w:val="000000" w:themeColor="text1"/>
          <w:szCs w:val="24"/>
        </w:rPr>
      </w:pPr>
    </w:p>
    <w:p w:rsidR="004D59A4" w:rsidRPr="005A68BC" w:rsidRDefault="004D59A4" w:rsidP="004D59A4">
      <w:pPr>
        <w:contextualSpacing/>
        <w:jc w:val="center"/>
        <w:rPr>
          <w:color w:val="000000" w:themeColor="text1"/>
          <w:szCs w:val="24"/>
        </w:rPr>
      </w:pPr>
      <w:r w:rsidRPr="005A68BC">
        <w:rPr>
          <w:i/>
          <w:color w:val="000000" w:themeColor="text1"/>
          <w:szCs w:val="24"/>
        </w:rPr>
        <w:t>Prepared in accordance with Part 3 of the Human Rights (Parliamentary Scrutiny) Act 2011</w:t>
      </w:r>
    </w:p>
    <w:p w:rsidR="004D59A4" w:rsidRPr="005A68BC" w:rsidRDefault="004D59A4" w:rsidP="004D59A4">
      <w:pPr>
        <w:contextualSpacing/>
        <w:jc w:val="center"/>
        <w:rPr>
          <w:b/>
          <w:caps/>
          <w:color w:val="000000" w:themeColor="text1"/>
          <w:szCs w:val="24"/>
        </w:rPr>
      </w:pPr>
    </w:p>
    <w:p w:rsidR="004D59A4" w:rsidRPr="005A68BC" w:rsidRDefault="004D59A4" w:rsidP="004D59A4">
      <w:pPr>
        <w:spacing w:before="120" w:after="120"/>
        <w:jc w:val="center"/>
        <w:rPr>
          <w:color w:val="000000" w:themeColor="text1"/>
          <w:szCs w:val="24"/>
        </w:rPr>
      </w:pPr>
      <w:r w:rsidRPr="005A68BC">
        <w:rPr>
          <w:b/>
          <w:i/>
          <w:color w:val="000000" w:themeColor="text1"/>
          <w:szCs w:val="24"/>
        </w:rPr>
        <w:t>National Measurement Amendment (Fees) Regulation 2014</w:t>
      </w:r>
    </w:p>
    <w:p w:rsidR="004D59A4" w:rsidRPr="005A68BC" w:rsidRDefault="004D59A4" w:rsidP="004D59A4">
      <w:pPr>
        <w:spacing w:before="120" w:after="120"/>
        <w:rPr>
          <w:rFonts w:eastAsia="Calibri"/>
          <w:color w:val="000000" w:themeColor="text1"/>
          <w:szCs w:val="24"/>
          <w:lang w:eastAsia="en-US"/>
        </w:rPr>
      </w:pPr>
      <w:r w:rsidRPr="005A68BC">
        <w:rPr>
          <w:rFonts w:eastAsia="Calibri"/>
          <w:color w:val="000000" w:themeColor="text1"/>
          <w:szCs w:val="24"/>
          <w:lang w:eastAsia="en-US"/>
        </w:rPr>
        <w:t xml:space="preserve">This Legislative Instrument is compatible with the human rights and freedoms recognised or declared in the international instruments listed in section 3 of the </w:t>
      </w:r>
      <w:r w:rsidRPr="005A68BC">
        <w:rPr>
          <w:rFonts w:eastAsia="Calibri"/>
          <w:i/>
          <w:color w:val="000000" w:themeColor="text1"/>
          <w:szCs w:val="24"/>
          <w:lang w:eastAsia="en-US"/>
        </w:rPr>
        <w:t>Human Rights (Parliamentary Scrutiny) Act 2011</w:t>
      </w:r>
      <w:r w:rsidRPr="005A68BC">
        <w:rPr>
          <w:rFonts w:eastAsia="Calibri"/>
          <w:color w:val="000000" w:themeColor="text1"/>
          <w:szCs w:val="24"/>
          <w:lang w:eastAsia="en-US"/>
        </w:rPr>
        <w:t>.</w:t>
      </w:r>
    </w:p>
    <w:p w:rsidR="004D59A4" w:rsidRPr="005A68BC" w:rsidRDefault="004D59A4" w:rsidP="004D59A4">
      <w:pPr>
        <w:spacing w:before="120" w:after="120"/>
        <w:jc w:val="both"/>
        <w:rPr>
          <w:b/>
          <w:color w:val="000000" w:themeColor="text1"/>
          <w:szCs w:val="24"/>
        </w:rPr>
      </w:pPr>
      <w:r w:rsidRPr="005A68BC">
        <w:rPr>
          <w:b/>
          <w:color w:val="000000" w:themeColor="text1"/>
          <w:szCs w:val="24"/>
        </w:rPr>
        <w:t>Overview of the Regulation</w:t>
      </w:r>
    </w:p>
    <w:p w:rsidR="004D59A4" w:rsidRPr="005A68BC" w:rsidRDefault="004D59A4" w:rsidP="004D59A4">
      <w:pPr>
        <w:spacing w:before="120" w:after="120"/>
        <w:rPr>
          <w:color w:val="000000" w:themeColor="text1"/>
          <w:szCs w:val="24"/>
        </w:rPr>
      </w:pPr>
      <w:r w:rsidRPr="005A68BC">
        <w:rPr>
          <w:rFonts w:eastAsia="Calibri"/>
          <w:color w:val="000000" w:themeColor="text1"/>
          <w:szCs w:val="24"/>
          <w:lang w:eastAsia="en-US"/>
        </w:rPr>
        <w:t xml:space="preserve">The purpose of the </w:t>
      </w:r>
      <w:r w:rsidRPr="005A68BC">
        <w:rPr>
          <w:rFonts w:eastAsia="Calibri"/>
          <w:i/>
          <w:color w:val="000000" w:themeColor="text1"/>
          <w:szCs w:val="24"/>
          <w:lang w:eastAsia="en-US"/>
        </w:rPr>
        <w:t>N</w:t>
      </w:r>
      <w:r w:rsidRPr="005A68BC">
        <w:rPr>
          <w:i/>
          <w:color w:val="000000" w:themeColor="text1"/>
          <w:szCs w:val="24"/>
        </w:rPr>
        <w:t>ational Measurement Amendment (Fees) Regulation 2014</w:t>
      </w:r>
      <w:r w:rsidRPr="005A68BC">
        <w:rPr>
          <w:rFonts w:eastAsia="Calibri"/>
          <w:i/>
          <w:color w:val="000000" w:themeColor="text1"/>
          <w:szCs w:val="24"/>
          <w:lang w:eastAsia="en-US"/>
        </w:rPr>
        <w:t xml:space="preserve"> </w:t>
      </w:r>
      <w:r w:rsidRPr="005A68BC">
        <w:rPr>
          <w:rFonts w:eastAsia="Calibri"/>
          <w:color w:val="000000" w:themeColor="text1"/>
          <w:szCs w:val="24"/>
          <w:lang w:eastAsia="en-US"/>
        </w:rPr>
        <w:t xml:space="preserve">(Amending Regulation) is to </w:t>
      </w:r>
      <w:r w:rsidRPr="005A68BC">
        <w:rPr>
          <w:color w:val="000000" w:themeColor="text1"/>
          <w:szCs w:val="24"/>
        </w:rPr>
        <w:t xml:space="preserve">amend the </w:t>
      </w:r>
      <w:r w:rsidRPr="005A68BC">
        <w:rPr>
          <w:i/>
          <w:color w:val="000000" w:themeColor="text1"/>
          <w:szCs w:val="24"/>
        </w:rPr>
        <w:t>National Measurement Regulations 1999</w:t>
      </w:r>
      <w:r w:rsidRPr="005A68BC">
        <w:rPr>
          <w:color w:val="000000" w:themeColor="text1"/>
          <w:szCs w:val="24"/>
        </w:rPr>
        <w:t xml:space="preserve"> (Principal Regulations).  The Principal Regulations provide details that allow effective compliance with and administration of the </w:t>
      </w:r>
      <w:r w:rsidRPr="005A68BC">
        <w:rPr>
          <w:i/>
          <w:color w:val="000000" w:themeColor="text1"/>
          <w:szCs w:val="24"/>
        </w:rPr>
        <w:t xml:space="preserve">National Measurement Act 1960 </w:t>
      </w:r>
      <w:r w:rsidRPr="005A68BC">
        <w:rPr>
          <w:color w:val="000000" w:themeColor="text1"/>
          <w:szCs w:val="24"/>
        </w:rPr>
        <w:t xml:space="preserve">(Act).  </w:t>
      </w:r>
    </w:p>
    <w:p w:rsidR="004D59A4" w:rsidRPr="005A68BC" w:rsidRDefault="004D59A4" w:rsidP="004D59A4">
      <w:pPr>
        <w:tabs>
          <w:tab w:val="left" w:pos="993"/>
        </w:tabs>
        <w:ind w:right="91"/>
        <w:jc w:val="both"/>
        <w:rPr>
          <w:color w:val="000000" w:themeColor="text1"/>
          <w:szCs w:val="24"/>
        </w:rPr>
      </w:pPr>
      <w:r w:rsidRPr="005A68BC">
        <w:rPr>
          <w:rFonts w:eastAsia="Calibri"/>
          <w:iCs/>
          <w:color w:val="000000" w:themeColor="text1"/>
          <w:szCs w:val="24"/>
          <w:lang w:eastAsia="en-US"/>
        </w:rPr>
        <w:t>The Act</w:t>
      </w:r>
      <w:r w:rsidRPr="005A68BC">
        <w:rPr>
          <w:rFonts w:eastAsia="Calibri"/>
          <w:i/>
          <w:iCs/>
          <w:color w:val="000000" w:themeColor="text1"/>
          <w:szCs w:val="24"/>
          <w:lang w:eastAsia="en-US"/>
        </w:rPr>
        <w:t xml:space="preserve"> </w:t>
      </w:r>
      <w:r w:rsidRPr="005A68BC">
        <w:rPr>
          <w:rFonts w:eastAsia="Calibri"/>
          <w:iCs/>
          <w:color w:val="000000" w:themeColor="text1"/>
          <w:szCs w:val="24"/>
          <w:lang w:eastAsia="en-US"/>
        </w:rPr>
        <w:t xml:space="preserve">sets out the legislative framework for a </w:t>
      </w:r>
      <w:r w:rsidRPr="005A68BC">
        <w:rPr>
          <w:color w:val="000000" w:themeColor="text1"/>
          <w:szCs w:val="24"/>
        </w:rPr>
        <w:t xml:space="preserve">national system of units and standards of measurement of physical quantities. This system provides a legal framework for the uniform use of units and standards of measurement and co-ordinates the operation of the national system of trade measurement. The Principal Regulations support the national measurement system. </w:t>
      </w:r>
    </w:p>
    <w:p w:rsidR="004D59A4" w:rsidRPr="005A68BC" w:rsidRDefault="004D59A4" w:rsidP="004D59A4">
      <w:pPr>
        <w:spacing w:before="120" w:after="120"/>
        <w:rPr>
          <w:b/>
          <w:color w:val="000000" w:themeColor="text1"/>
          <w:szCs w:val="24"/>
        </w:rPr>
      </w:pPr>
      <w:r w:rsidRPr="005A68BC">
        <w:rPr>
          <w:b/>
          <w:color w:val="000000" w:themeColor="text1"/>
          <w:szCs w:val="24"/>
        </w:rPr>
        <w:t>Human rights implications</w:t>
      </w:r>
    </w:p>
    <w:p w:rsidR="004D59A4" w:rsidRPr="005A68BC" w:rsidRDefault="004D59A4" w:rsidP="004D59A4">
      <w:pPr>
        <w:spacing w:after="200" w:line="30" w:lineRule="atLeast"/>
        <w:rPr>
          <w:color w:val="000000" w:themeColor="text1"/>
          <w:szCs w:val="24"/>
        </w:rPr>
      </w:pPr>
      <w:r w:rsidRPr="005A68BC">
        <w:rPr>
          <w:rFonts w:eastAsia="Calibri"/>
          <w:iCs/>
          <w:color w:val="000000" w:themeColor="text1"/>
          <w:szCs w:val="24"/>
          <w:lang w:eastAsia="en-US"/>
        </w:rPr>
        <w:t xml:space="preserve">There are no human rights implications of the Amending Regulation.  The administration of national measurement system does not engage any of the applicable </w:t>
      </w:r>
      <w:r w:rsidRPr="005A68BC">
        <w:rPr>
          <w:color w:val="000000" w:themeColor="text1"/>
          <w:szCs w:val="24"/>
        </w:rPr>
        <w:t>human rights and freedoms.  The amendment of the Principal Regulations will not affect any of the applicable human rights and freedoms.</w:t>
      </w:r>
    </w:p>
    <w:p w:rsidR="004D59A4" w:rsidRPr="005A68BC" w:rsidRDefault="004D59A4" w:rsidP="004D59A4">
      <w:pPr>
        <w:spacing w:before="120" w:after="120"/>
        <w:rPr>
          <w:b/>
          <w:color w:val="000000" w:themeColor="text1"/>
          <w:szCs w:val="24"/>
        </w:rPr>
      </w:pPr>
      <w:r w:rsidRPr="005A68BC">
        <w:rPr>
          <w:b/>
          <w:color w:val="000000" w:themeColor="text1"/>
          <w:szCs w:val="24"/>
        </w:rPr>
        <w:t xml:space="preserve">Conclusion </w:t>
      </w:r>
    </w:p>
    <w:p w:rsidR="004D59A4" w:rsidRPr="005A68BC" w:rsidRDefault="004D59A4" w:rsidP="004D59A4">
      <w:pPr>
        <w:spacing w:before="120" w:after="120"/>
        <w:rPr>
          <w:color w:val="000000" w:themeColor="text1"/>
          <w:szCs w:val="24"/>
        </w:rPr>
      </w:pPr>
      <w:r w:rsidRPr="005A68BC">
        <w:rPr>
          <w:color w:val="000000" w:themeColor="text1"/>
          <w:szCs w:val="24"/>
        </w:rPr>
        <w:t>The Amending Regulation is compatible with human rights as it does not raise any human rights issues.</w:t>
      </w:r>
    </w:p>
    <w:p w:rsidR="004D59A4" w:rsidRPr="005A68BC" w:rsidRDefault="004D59A4" w:rsidP="004D59A4">
      <w:pPr>
        <w:spacing w:before="120" w:after="120"/>
        <w:rPr>
          <w:color w:val="000000" w:themeColor="text1"/>
          <w:szCs w:val="24"/>
        </w:rPr>
      </w:pPr>
    </w:p>
    <w:p w:rsidR="004D59A4" w:rsidRPr="005A68BC" w:rsidRDefault="004D59A4" w:rsidP="004D59A4">
      <w:pPr>
        <w:spacing w:before="120" w:after="120"/>
        <w:rPr>
          <w:color w:val="000000" w:themeColor="text1"/>
          <w:szCs w:val="24"/>
        </w:rPr>
      </w:pPr>
    </w:p>
    <w:p w:rsidR="004D59A4" w:rsidRPr="005A68BC" w:rsidRDefault="004D59A4" w:rsidP="004D59A4">
      <w:pPr>
        <w:spacing w:before="120" w:after="120"/>
        <w:jc w:val="center"/>
        <w:rPr>
          <w:color w:val="000000" w:themeColor="text1"/>
          <w:szCs w:val="24"/>
        </w:rPr>
      </w:pPr>
      <w:r w:rsidRPr="005A68BC">
        <w:rPr>
          <w:b/>
          <w:color w:val="000000" w:themeColor="text1"/>
          <w:szCs w:val="24"/>
        </w:rPr>
        <w:t>The Minister for Industry, the Honourable Ian Macfarlane MP</w:t>
      </w:r>
    </w:p>
    <w:p w:rsidR="004D59A4" w:rsidRPr="005A68BC" w:rsidRDefault="004D59A4" w:rsidP="004D59A4">
      <w:pPr>
        <w:rPr>
          <w:szCs w:val="24"/>
        </w:rPr>
      </w:pPr>
    </w:p>
    <w:p w:rsidR="004D59A4" w:rsidRPr="005A68BC" w:rsidRDefault="004D59A4" w:rsidP="004D59A4">
      <w:pPr>
        <w:pStyle w:val="Header"/>
        <w:tabs>
          <w:tab w:val="left" w:pos="720"/>
        </w:tabs>
        <w:jc w:val="center"/>
        <w:rPr>
          <w:b/>
          <w:szCs w:val="24"/>
        </w:rPr>
      </w:pPr>
    </w:p>
    <w:p w:rsidR="00334D83" w:rsidRDefault="00334D83"/>
    <w:sectPr w:rsidR="00334D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A430DB"/>
    <w:multiLevelType w:val="hybridMultilevel"/>
    <w:tmpl w:val="F3B62E62"/>
    <w:lvl w:ilvl="0" w:tplc="C71C1964">
      <w:numFmt w:val="bullet"/>
      <w:lvlText w:val=""/>
      <w:lvlJc w:val="left"/>
      <w:pPr>
        <w:ind w:left="720" w:hanging="360"/>
      </w:pPr>
      <w:rPr>
        <w:rFonts w:ascii="Symbol" w:eastAsiaTheme="minorHAnsi" w:hAnsi="Symbol" w:cs="Times New Roman" w:hint="default"/>
      </w:rPr>
    </w:lvl>
    <w:lvl w:ilvl="1" w:tplc="8A2C6348" w:tentative="1">
      <w:start w:val="1"/>
      <w:numFmt w:val="bullet"/>
      <w:lvlText w:val="o"/>
      <w:lvlJc w:val="left"/>
      <w:pPr>
        <w:ind w:left="1440" w:hanging="360"/>
      </w:pPr>
      <w:rPr>
        <w:rFonts w:ascii="Courier New" w:hAnsi="Courier New" w:cs="Courier New" w:hint="default"/>
      </w:rPr>
    </w:lvl>
    <w:lvl w:ilvl="2" w:tplc="37F659C0" w:tentative="1">
      <w:start w:val="1"/>
      <w:numFmt w:val="bullet"/>
      <w:lvlText w:val=""/>
      <w:lvlJc w:val="left"/>
      <w:pPr>
        <w:ind w:left="2160" w:hanging="360"/>
      </w:pPr>
      <w:rPr>
        <w:rFonts w:ascii="Wingdings" w:hAnsi="Wingdings" w:hint="default"/>
      </w:rPr>
    </w:lvl>
    <w:lvl w:ilvl="3" w:tplc="9BBCE060" w:tentative="1">
      <w:start w:val="1"/>
      <w:numFmt w:val="bullet"/>
      <w:lvlText w:val=""/>
      <w:lvlJc w:val="left"/>
      <w:pPr>
        <w:ind w:left="2880" w:hanging="360"/>
      </w:pPr>
      <w:rPr>
        <w:rFonts w:ascii="Symbol" w:hAnsi="Symbol" w:hint="default"/>
      </w:rPr>
    </w:lvl>
    <w:lvl w:ilvl="4" w:tplc="63AE877A" w:tentative="1">
      <w:start w:val="1"/>
      <w:numFmt w:val="bullet"/>
      <w:lvlText w:val="o"/>
      <w:lvlJc w:val="left"/>
      <w:pPr>
        <w:ind w:left="3600" w:hanging="360"/>
      </w:pPr>
      <w:rPr>
        <w:rFonts w:ascii="Courier New" w:hAnsi="Courier New" w:cs="Courier New" w:hint="default"/>
      </w:rPr>
    </w:lvl>
    <w:lvl w:ilvl="5" w:tplc="B8D8C8FC" w:tentative="1">
      <w:start w:val="1"/>
      <w:numFmt w:val="bullet"/>
      <w:lvlText w:val=""/>
      <w:lvlJc w:val="left"/>
      <w:pPr>
        <w:ind w:left="4320" w:hanging="360"/>
      </w:pPr>
      <w:rPr>
        <w:rFonts w:ascii="Wingdings" w:hAnsi="Wingdings" w:hint="default"/>
      </w:rPr>
    </w:lvl>
    <w:lvl w:ilvl="6" w:tplc="F75C24DC" w:tentative="1">
      <w:start w:val="1"/>
      <w:numFmt w:val="bullet"/>
      <w:lvlText w:val=""/>
      <w:lvlJc w:val="left"/>
      <w:pPr>
        <w:ind w:left="5040" w:hanging="360"/>
      </w:pPr>
      <w:rPr>
        <w:rFonts w:ascii="Symbol" w:hAnsi="Symbol" w:hint="default"/>
      </w:rPr>
    </w:lvl>
    <w:lvl w:ilvl="7" w:tplc="64A2FC16" w:tentative="1">
      <w:start w:val="1"/>
      <w:numFmt w:val="bullet"/>
      <w:lvlText w:val="o"/>
      <w:lvlJc w:val="left"/>
      <w:pPr>
        <w:ind w:left="5760" w:hanging="360"/>
      </w:pPr>
      <w:rPr>
        <w:rFonts w:ascii="Courier New" w:hAnsi="Courier New" w:cs="Courier New" w:hint="default"/>
      </w:rPr>
    </w:lvl>
    <w:lvl w:ilvl="8" w:tplc="6CB49C8A" w:tentative="1">
      <w:start w:val="1"/>
      <w:numFmt w:val="bullet"/>
      <w:lvlText w:val=""/>
      <w:lvlJc w:val="left"/>
      <w:pPr>
        <w:ind w:left="6480" w:hanging="360"/>
      </w:pPr>
      <w:rPr>
        <w:rFonts w:ascii="Wingdings" w:hAnsi="Wingdings" w:hint="default"/>
      </w:rPr>
    </w:lvl>
  </w:abstractNum>
  <w:abstractNum w:abstractNumId="1">
    <w:nsid w:val="72A45681"/>
    <w:multiLevelType w:val="hybridMultilevel"/>
    <w:tmpl w:val="0FCEC548"/>
    <w:lvl w:ilvl="0" w:tplc="BE6499EE">
      <w:numFmt w:val="bullet"/>
      <w:lvlText w:val=""/>
      <w:lvlJc w:val="left"/>
      <w:pPr>
        <w:ind w:left="720" w:hanging="360"/>
      </w:pPr>
      <w:rPr>
        <w:rFonts w:ascii="Symbol" w:eastAsiaTheme="minorHAnsi" w:hAnsi="Symbol" w:cs="Times New Roman" w:hint="default"/>
      </w:rPr>
    </w:lvl>
    <w:lvl w:ilvl="1" w:tplc="D8B43458" w:tentative="1">
      <w:start w:val="1"/>
      <w:numFmt w:val="bullet"/>
      <w:lvlText w:val="o"/>
      <w:lvlJc w:val="left"/>
      <w:pPr>
        <w:ind w:left="1440" w:hanging="360"/>
      </w:pPr>
      <w:rPr>
        <w:rFonts w:ascii="Courier New" w:hAnsi="Courier New" w:cs="Courier New" w:hint="default"/>
      </w:rPr>
    </w:lvl>
    <w:lvl w:ilvl="2" w:tplc="7550178C" w:tentative="1">
      <w:start w:val="1"/>
      <w:numFmt w:val="bullet"/>
      <w:lvlText w:val=""/>
      <w:lvlJc w:val="left"/>
      <w:pPr>
        <w:ind w:left="2160" w:hanging="360"/>
      </w:pPr>
      <w:rPr>
        <w:rFonts w:ascii="Wingdings" w:hAnsi="Wingdings" w:hint="default"/>
      </w:rPr>
    </w:lvl>
    <w:lvl w:ilvl="3" w:tplc="C4F6ACAA" w:tentative="1">
      <w:start w:val="1"/>
      <w:numFmt w:val="bullet"/>
      <w:lvlText w:val=""/>
      <w:lvlJc w:val="left"/>
      <w:pPr>
        <w:ind w:left="2880" w:hanging="360"/>
      </w:pPr>
      <w:rPr>
        <w:rFonts w:ascii="Symbol" w:hAnsi="Symbol" w:hint="default"/>
      </w:rPr>
    </w:lvl>
    <w:lvl w:ilvl="4" w:tplc="769E2088" w:tentative="1">
      <w:start w:val="1"/>
      <w:numFmt w:val="bullet"/>
      <w:lvlText w:val="o"/>
      <w:lvlJc w:val="left"/>
      <w:pPr>
        <w:ind w:left="3600" w:hanging="360"/>
      </w:pPr>
      <w:rPr>
        <w:rFonts w:ascii="Courier New" w:hAnsi="Courier New" w:cs="Courier New" w:hint="default"/>
      </w:rPr>
    </w:lvl>
    <w:lvl w:ilvl="5" w:tplc="6B5AF6A2" w:tentative="1">
      <w:start w:val="1"/>
      <w:numFmt w:val="bullet"/>
      <w:lvlText w:val=""/>
      <w:lvlJc w:val="left"/>
      <w:pPr>
        <w:ind w:left="4320" w:hanging="360"/>
      </w:pPr>
      <w:rPr>
        <w:rFonts w:ascii="Wingdings" w:hAnsi="Wingdings" w:hint="default"/>
      </w:rPr>
    </w:lvl>
    <w:lvl w:ilvl="6" w:tplc="58BA5962" w:tentative="1">
      <w:start w:val="1"/>
      <w:numFmt w:val="bullet"/>
      <w:lvlText w:val=""/>
      <w:lvlJc w:val="left"/>
      <w:pPr>
        <w:ind w:left="5040" w:hanging="360"/>
      </w:pPr>
      <w:rPr>
        <w:rFonts w:ascii="Symbol" w:hAnsi="Symbol" w:hint="default"/>
      </w:rPr>
    </w:lvl>
    <w:lvl w:ilvl="7" w:tplc="7CC874BC" w:tentative="1">
      <w:start w:val="1"/>
      <w:numFmt w:val="bullet"/>
      <w:lvlText w:val="o"/>
      <w:lvlJc w:val="left"/>
      <w:pPr>
        <w:ind w:left="5760" w:hanging="360"/>
      </w:pPr>
      <w:rPr>
        <w:rFonts w:ascii="Courier New" w:hAnsi="Courier New" w:cs="Courier New" w:hint="default"/>
      </w:rPr>
    </w:lvl>
    <w:lvl w:ilvl="8" w:tplc="BD444AA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9A4"/>
    <w:rsid w:val="00334D83"/>
    <w:rsid w:val="004D59A4"/>
    <w:rsid w:val="006C414A"/>
    <w:rsid w:val="00C034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9A4"/>
    <w:pPr>
      <w:spacing w:after="0" w:line="240" w:lineRule="auto"/>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59A4"/>
    <w:pPr>
      <w:tabs>
        <w:tab w:val="center" w:pos="4320"/>
        <w:tab w:val="right" w:pos="8640"/>
      </w:tabs>
    </w:pPr>
  </w:style>
  <w:style w:type="character" w:customStyle="1" w:styleId="HeaderChar">
    <w:name w:val="Header Char"/>
    <w:basedOn w:val="DefaultParagraphFont"/>
    <w:link w:val="Header"/>
    <w:rsid w:val="004D59A4"/>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4D59A4"/>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4D59A4"/>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9A4"/>
    <w:pPr>
      <w:spacing w:after="0" w:line="240" w:lineRule="auto"/>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59A4"/>
    <w:pPr>
      <w:tabs>
        <w:tab w:val="center" w:pos="4320"/>
        <w:tab w:val="right" w:pos="8640"/>
      </w:tabs>
    </w:pPr>
  </w:style>
  <w:style w:type="character" w:customStyle="1" w:styleId="HeaderChar">
    <w:name w:val="Header Char"/>
    <w:basedOn w:val="DefaultParagraphFont"/>
    <w:link w:val="Header"/>
    <w:rsid w:val="004D59A4"/>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4D59A4"/>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4D59A4"/>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879</Words>
  <Characters>4888</Characters>
  <Application>Microsoft Office Word</Application>
  <DocSecurity>0</DocSecurity>
  <Lines>376</Lines>
  <Paragraphs>262</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Gillespie, Lisa</dc:creator>
  <cp:lastModifiedBy>Gibson, Vikki</cp:lastModifiedBy>
  <cp:revision>2</cp:revision>
  <dcterms:created xsi:type="dcterms:W3CDTF">2014-06-19T06:58:00Z</dcterms:created>
  <dcterms:modified xsi:type="dcterms:W3CDTF">2014-06-19T06:58:00Z</dcterms:modified>
</cp:coreProperties>
</file>