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64F" w:rsidRPr="00A65BCE" w:rsidRDefault="00193461" w:rsidP="0048364F">
      <w:pPr>
        <w:rPr>
          <w:sz w:val="28"/>
        </w:rPr>
      </w:pPr>
      <w:r w:rsidRPr="00A65BCE">
        <w:rPr>
          <w:noProof/>
          <w:lang w:eastAsia="en-AU"/>
        </w:rPr>
        <w:drawing>
          <wp:inline distT="0" distB="0" distL="0" distR="0" wp14:anchorId="7F7606A5" wp14:editId="6DE9F541">
            <wp:extent cx="1503328" cy="11052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48364F" w:rsidRPr="00A65BCE" w:rsidRDefault="0048364F" w:rsidP="0048364F">
      <w:pPr>
        <w:rPr>
          <w:sz w:val="19"/>
        </w:rPr>
      </w:pPr>
    </w:p>
    <w:p w:rsidR="0048364F" w:rsidRPr="00A65BCE" w:rsidRDefault="00787F18" w:rsidP="0048364F">
      <w:pPr>
        <w:pStyle w:val="ShortT"/>
      </w:pPr>
      <w:r w:rsidRPr="00A65BCE">
        <w:t>Corporations Amendment (</w:t>
      </w:r>
      <w:r w:rsidR="00C93BD3" w:rsidRPr="00A65BCE">
        <w:t xml:space="preserve">Streamlining </w:t>
      </w:r>
      <w:r w:rsidRPr="00A65BCE">
        <w:t>Future of Financial Advice) Regulation</w:t>
      </w:r>
      <w:r w:rsidR="00A65BCE" w:rsidRPr="00A65BCE">
        <w:t> </w:t>
      </w:r>
      <w:r w:rsidRPr="00A65BCE">
        <w:t>2014</w:t>
      </w:r>
    </w:p>
    <w:p w:rsidR="0048364F" w:rsidRPr="00A65BCE" w:rsidRDefault="0048364F" w:rsidP="0048364F"/>
    <w:p w:rsidR="0048364F" w:rsidRPr="00A65BCE" w:rsidRDefault="00A4361F" w:rsidP="00680F17">
      <w:pPr>
        <w:pStyle w:val="InstNo"/>
      </w:pPr>
      <w:r w:rsidRPr="00A65BCE">
        <w:t>Select Legislative Instrument</w:t>
      </w:r>
      <w:r w:rsidR="00154EAC" w:rsidRPr="00A65BCE">
        <w:t xml:space="preserve"> </w:t>
      </w:r>
      <w:bookmarkStart w:id="0" w:name="BKCheck15B_1"/>
      <w:bookmarkEnd w:id="0"/>
      <w:r w:rsidR="00D0104A" w:rsidRPr="00A65BCE">
        <w:fldChar w:fldCharType="begin"/>
      </w:r>
      <w:r w:rsidR="00D0104A" w:rsidRPr="00A65BCE">
        <w:instrText xml:space="preserve"> DOCPROPERTY  ActNo </w:instrText>
      </w:r>
      <w:r w:rsidR="00D0104A" w:rsidRPr="00A65BCE">
        <w:fldChar w:fldCharType="separate"/>
      </w:r>
      <w:r w:rsidR="00622812">
        <w:t>No. 102, 2014</w:t>
      </w:r>
      <w:r w:rsidR="00D0104A" w:rsidRPr="00A65BCE">
        <w:fldChar w:fldCharType="end"/>
      </w:r>
    </w:p>
    <w:p w:rsidR="00BF208A" w:rsidRPr="00A65BCE" w:rsidRDefault="00BF208A" w:rsidP="000C5962">
      <w:pPr>
        <w:pStyle w:val="SignCoverPageStart"/>
        <w:spacing w:before="240"/>
        <w:rPr>
          <w:szCs w:val="22"/>
        </w:rPr>
      </w:pPr>
      <w:r w:rsidRPr="00A65BCE">
        <w:rPr>
          <w:szCs w:val="22"/>
        </w:rPr>
        <w:t xml:space="preserve">I, General the Honourable Sir Peter Cosgrove AK MC (Ret’d), </w:t>
      </w:r>
      <w:r w:rsidR="00A65BCE" w:rsidRPr="00A65BCE">
        <w:rPr>
          <w:szCs w:val="22"/>
        </w:rPr>
        <w:t>Governor</w:t>
      </w:r>
      <w:r w:rsidR="00A65BCE">
        <w:rPr>
          <w:szCs w:val="22"/>
        </w:rPr>
        <w:noBreakHyphen/>
      </w:r>
      <w:r w:rsidR="00A65BCE" w:rsidRPr="00A65BCE">
        <w:rPr>
          <w:szCs w:val="22"/>
        </w:rPr>
        <w:t>General</w:t>
      </w:r>
      <w:r w:rsidRPr="00A65BCE">
        <w:rPr>
          <w:szCs w:val="22"/>
        </w:rPr>
        <w:t xml:space="preserve"> of the Commonwealth of Australia, acting with the advice of the Federal Executive Council, make the following regulation.</w:t>
      </w:r>
    </w:p>
    <w:p w:rsidR="00BF208A" w:rsidRPr="00A65BCE" w:rsidRDefault="00BF208A" w:rsidP="000C5962">
      <w:pPr>
        <w:keepNext/>
        <w:spacing w:before="720" w:line="240" w:lineRule="atLeast"/>
        <w:ind w:right="397"/>
        <w:jc w:val="both"/>
        <w:rPr>
          <w:szCs w:val="22"/>
        </w:rPr>
      </w:pPr>
      <w:r w:rsidRPr="00A65BCE">
        <w:rPr>
          <w:szCs w:val="22"/>
        </w:rPr>
        <w:t xml:space="preserve">Dated </w:t>
      </w:r>
      <w:bookmarkStart w:id="1" w:name="BKCheck15B_2"/>
      <w:bookmarkEnd w:id="1"/>
      <w:r w:rsidRPr="00A65BCE">
        <w:rPr>
          <w:szCs w:val="22"/>
        </w:rPr>
        <w:fldChar w:fldCharType="begin"/>
      </w:r>
      <w:r w:rsidRPr="00A65BCE">
        <w:rPr>
          <w:szCs w:val="22"/>
        </w:rPr>
        <w:instrText xml:space="preserve"> DOCPROPERTY  DateMade </w:instrText>
      </w:r>
      <w:r w:rsidRPr="00A65BCE">
        <w:rPr>
          <w:szCs w:val="22"/>
        </w:rPr>
        <w:fldChar w:fldCharType="separate"/>
      </w:r>
      <w:r w:rsidR="00622812">
        <w:rPr>
          <w:szCs w:val="22"/>
        </w:rPr>
        <w:t>26 June 2014</w:t>
      </w:r>
      <w:r w:rsidRPr="00A65BCE">
        <w:rPr>
          <w:szCs w:val="22"/>
        </w:rPr>
        <w:fldChar w:fldCharType="end"/>
      </w:r>
    </w:p>
    <w:p w:rsidR="00BF208A" w:rsidRPr="00A65BCE" w:rsidRDefault="00BF208A" w:rsidP="000C5962">
      <w:pPr>
        <w:keepNext/>
        <w:tabs>
          <w:tab w:val="left" w:pos="3402"/>
        </w:tabs>
        <w:spacing w:before="1080" w:line="300" w:lineRule="atLeast"/>
        <w:ind w:left="397" w:right="397"/>
        <w:jc w:val="right"/>
        <w:rPr>
          <w:szCs w:val="22"/>
        </w:rPr>
      </w:pPr>
      <w:r w:rsidRPr="00A65BCE">
        <w:rPr>
          <w:szCs w:val="22"/>
        </w:rPr>
        <w:t>Peter Cosgrove</w:t>
      </w:r>
    </w:p>
    <w:p w:rsidR="00BF208A" w:rsidRPr="00A65BCE" w:rsidRDefault="00A65BCE" w:rsidP="000C5962">
      <w:pPr>
        <w:keepNext/>
        <w:tabs>
          <w:tab w:val="left" w:pos="3402"/>
        </w:tabs>
        <w:spacing w:line="300" w:lineRule="atLeast"/>
        <w:ind w:left="397" w:right="397"/>
        <w:jc w:val="right"/>
        <w:rPr>
          <w:szCs w:val="22"/>
        </w:rPr>
      </w:pPr>
      <w:r w:rsidRPr="00A65BCE">
        <w:rPr>
          <w:szCs w:val="22"/>
        </w:rPr>
        <w:t>Governor</w:t>
      </w:r>
      <w:r>
        <w:rPr>
          <w:szCs w:val="22"/>
        </w:rPr>
        <w:noBreakHyphen/>
      </w:r>
      <w:r w:rsidRPr="00A65BCE">
        <w:rPr>
          <w:szCs w:val="22"/>
        </w:rPr>
        <w:t>General</w:t>
      </w:r>
    </w:p>
    <w:p w:rsidR="00BF208A" w:rsidRPr="00A65BCE" w:rsidRDefault="00BF208A" w:rsidP="00A03CC4">
      <w:pPr>
        <w:keepNext/>
        <w:tabs>
          <w:tab w:val="left" w:pos="3402"/>
        </w:tabs>
        <w:spacing w:before="600" w:after="1080" w:line="300" w:lineRule="atLeast"/>
        <w:ind w:right="397"/>
        <w:rPr>
          <w:szCs w:val="22"/>
        </w:rPr>
      </w:pPr>
      <w:r w:rsidRPr="00A65BCE">
        <w:rPr>
          <w:szCs w:val="22"/>
        </w:rPr>
        <w:t>By His Excellency’s Command</w:t>
      </w:r>
    </w:p>
    <w:p w:rsidR="00BF208A" w:rsidRPr="00A65BCE" w:rsidRDefault="00BF208A" w:rsidP="0038257D">
      <w:pPr>
        <w:keepNext/>
        <w:tabs>
          <w:tab w:val="left" w:pos="3402"/>
        </w:tabs>
        <w:spacing w:before="1080" w:line="300" w:lineRule="atLeast"/>
        <w:ind w:right="397"/>
        <w:rPr>
          <w:szCs w:val="22"/>
        </w:rPr>
      </w:pPr>
      <w:r w:rsidRPr="00A65BCE">
        <w:rPr>
          <w:szCs w:val="22"/>
        </w:rPr>
        <w:t>Mathias Cormann</w:t>
      </w:r>
    </w:p>
    <w:p w:rsidR="004019A5" w:rsidRPr="00A65BCE" w:rsidRDefault="00BF208A" w:rsidP="004019A5">
      <w:pPr>
        <w:pStyle w:val="SignCoverPageEnd"/>
        <w:rPr>
          <w:szCs w:val="22"/>
        </w:rPr>
      </w:pPr>
      <w:r w:rsidRPr="00A65BCE">
        <w:rPr>
          <w:szCs w:val="22"/>
        </w:rPr>
        <w:t>Minister for Finance</w:t>
      </w:r>
      <w:r w:rsidR="004019A5" w:rsidRPr="00A65BCE">
        <w:rPr>
          <w:szCs w:val="22"/>
        </w:rPr>
        <w:br/>
        <w:t>for the Treasurer</w:t>
      </w:r>
    </w:p>
    <w:p w:rsidR="0048364F" w:rsidRPr="00A65BCE" w:rsidRDefault="0048364F" w:rsidP="0048364F">
      <w:pPr>
        <w:pStyle w:val="Header"/>
        <w:tabs>
          <w:tab w:val="clear" w:pos="4150"/>
          <w:tab w:val="clear" w:pos="8307"/>
        </w:tabs>
      </w:pPr>
      <w:r w:rsidRPr="00A65BCE">
        <w:rPr>
          <w:rStyle w:val="CharAmSchNo"/>
        </w:rPr>
        <w:t xml:space="preserve"> </w:t>
      </w:r>
      <w:r w:rsidRPr="00A65BCE">
        <w:rPr>
          <w:rStyle w:val="CharAmSchText"/>
        </w:rPr>
        <w:t xml:space="preserve"> </w:t>
      </w:r>
    </w:p>
    <w:p w:rsidR="0048364F" w:rsidRPr="00A65BCE" w:rsidRDefault="0048364F" w:rsidP="0048364F">
      <w:pPr>
        <w:pStyle w:val="Header"/>
        <w:tabs>
          <w:tab w:val="clear" w:pos="4150"/>
          <w:tab w:val="clear" w:pos="8307"/>
        </w:tabs>
      </w:pPr>
      <w:r w:rsidRPr="00A65BCE">
        <w:rPr>
          <w:rStyle w:val="CharAmPartNo"/>
        </w:rPr>
        <w:t xml:space="preserve"> </w:t>
      </w:r>
      <w:r w:rsidRPr="00A65BCE">
        <w:rPr>
          <w:rStyle w:val="CharAmPartText"/>
        </w:rPr>
        <w:t xml:space="preserve"> </w:t>
      </w:r>
    </w:p>
    <w:p w:rsidR="0048364F" w:rsidRPr="00A65BCE" w:rsidRDefault="0048364F" w:rsidP="0048364F">
      <w:pPr>
        <w:sectPr w:rsidR="0048364F" w:rsidRPr="00A65BCE" w:rsidSect="00875CE7">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3" w:left="2410" w:header="720" w:footer="3546" w:gutter="0"/>
          <w:cols w:space="708"/>
          <w:titlePg/>
          <w:docGrid w:linePitch="360"/>
        </w:sectPr>
      </w:pPr>
    </w:p>
    <w:p w:rsidR="0048364F" w:rsidRPr="00A65BCE" w:rsidRDefault="0048364F" w:rsidP="00371AE7">
      <w:pPr>
        <w:rPr>
          <w:sz w:val="36"/>
        </w:rPr>
      </w:pPr>
      <w:r w:rsidRPr="00A65BCE">
        <w:rPr>
          <w:sz w:val="36"/>
        </w:rPr>
        <w:lastRenderedPageBreak/>
        <w:t>Contents</w:t>
      </w:r>
    </w:p>
    <w:p w:rsidR="00274C97" w:rsidRPr="00A65BCE" w:rsidRDefault="00274C97">
      <w:pPr>
        <w:pStyle w:val="TOC5"/>
        <w:rPr>
          <w:rFonts w:asciiTheme="minorHAnsi" w:eastAsiaTheme="minorEastAsia" w:hAnsiTheme="minorHAnsi" w:cstheme="minorBidi"/>
          <w:noProof/>
          <w:kern w:val="0"/>
          <w:sz w:val="22"/>
          <w:szCs w:val="22"/>
        </w:rPr>
      </w:pPr>
      <w:r w:rsidRPr="00A65BCE">
        <w:fldChar w:fldCharType="begin"/>
      </w:r>
      <w:r w:rsidRPr="00A65BCE">
        <w:instrText xml:space="preserve"> TOC \o "1-9" </w:instrText>
      </w:r>
      <w:r w:rsidRPr="00A65BCE">
        <w:fldChar w:fldCharType="separate"/>
      </w:r>
      <w:r w:rsidRPr="00A65BCE">
        <w:rPr>
          <w:noProof/>
        </w:rPr>
        <w:t>1</w:t>
      </w:r>
      <w:r w:rsidRPr="00A65BCE">
        <w:rPr>
          <w:noProof/>
        </w:rPr>
        <w:tab/>
        <w:t>Name of regulation</w:t>
      </w:r>
      <w:r w:rsidRPr="00A65BCE">
        <w:rPr>
          <w:noProof/>
        </w:rPr>
        <w:tab/>
      </w:r>
      <w:r w:rsidRPr="00A65BCE">
        <w:rPr>
          <w:noProof/>
        </w:rPr>
        <w:fldChar w:fldCharType="begin"/>
      </w:r>
      <w:r w:rsidRPr="00A65BCE">
        <w:rPr>
          <w:noProof/>
        </w:rPr>
        <w:instrText xml:space="preserve"> PAGEREF _Toc390763947 \h </w:instrText>
      </w:r>
      <w:r w:rsidRPr="00A65BCE">
        <w:rPr>
          <w:noProof/>
        </w:rPr>
      </w:r>
      <w:r w:rsidRPr="00A65BCE">
        <w:rPr>
          <w:noProof/>
        </w:rPr>
        <w:fldChar w:fldCharType="separate"/>
      </w:r>
      <w:r w:rsidR="00622812">
        <w:rPr>
          <w:noProof/>
        </w:rPr>
        <w:t>1</w:t>
      </w:r>
      <w:r w:rsidRPr="00A65BCE">
        <w:rPr>
          <w:noProof/>
        </w:rPr>
        <w:fldChar w:fldCharType="end"/>
      </w:r>
    </w:p>
    <w:p w:rsidR="00274C97" w:rsidRPr="00A65BCE" w:rsidRDefault="00274C97">
      <w:pPr>
        <w:pStyle w:val="TOC5"/>
        <w:rPr>
          <w:rFonts w:asciiTheme="minorHAnsi" w:eastAsiaTheme="minorEastAsia" w:hAnsiTheme="minorHAnsi" w:cstheme="minorBidi"/>
          <w:noProof/>
          <w:kern w:val="0"/>
          <w:sz w:val="22"/>
          <w:szCs w:val="22"/>
        </w:rPr>
      </w:pPr>
      <w:r w:rsidRPr="00A65BCE">
        <w:rPr>
          <w:noProof/>
        </w:rPr>
        <w:t>2</w:t>
      </w:r>
      <w:r w:rsidRPr="00A65BCE">
        <w:rPr>
          <w:noProof/>
        </w:rPr>
        <w:tab/>
        <w:t>Commencement</w:t>
      </w:r>
      <w:r w:rsidRPr="00A65BCE">
        <w:rPr>
          <w:noProof/>
        </w:rPr>
        <w:tab/>
      </w:r>
      <w:r w:rsidRPr="00A65BCE">
        <w:rPr>
          <w:noProof/>
        </w:rPr>
        <w:fldChar w:fldCharType="begin"/>
      </w:r>
      <w:r w:rsidRPr="00A65BCE">
        <w:rPr>
          <w:noProof/>
        </w:rPr>
        <w:instrText xml:space="preserve"> PAGEREF _Toc390763948 \h </w:instrText>
      </w:r>
      <w:r w:rsidRPr="00A65BCE">
        <w:rPr>
          <w:noProof/>
        </w:rPr>
      </w:r>
      <w:r w:rsidRPr="00A65BCE">
        <w:rPr>
          <w:noProof/>
        </w:rPr>
        <w:fldChar w:fldCharType="separate"/>
      </w:r>
      <w:r w:rsidR="00622812">
        <w:rPr>
          <w:noProof/>
        </w:rPr>
        <w:t>1</w:t>
      </w:r>
      <w:r w:rsidRPr="00A65BCE">
        <w:rPr>
          <w:noProof/>
        </w:rPr>
        <w:fldChar w:fldCharType="end"/>
      </w:r>
    </w:p>
    <w:p w:rsidR="00274C97" w:rsidRPr="00A65BCE" w:rsidRDefault="00274C97">
      <w:pPr>
        <w:pStyle w:val="TOC5"/>
        <w:rPr>
          <w:rFonts w:asciiTheme="minorHAnsi" w:eastAsiaTheme="minorEastAsia" w:hAnsiTheme="minorHAnsi" w:cstheme="minorBidi"/>
          <w:noProof/>
          <w:kern w:val="0"/>
          <w:sz w:val="22"/>
          <w:szCs w:val="22"/>
        </w:rPr>
      </w:pPr>
      <w:r w:rsidRPr="00A65BCE">
        <w:rPr>
          <w:noProof/>
        </w:rPr>
        <w:t>3</w:t>
      </w:r>
      <w:r w:rsidRPr="00A65BCE">
        <w:rPr>
          <w:noProof/>
        </w:rPr>
        <w:tab/>
        <w:t>Authority</w:t>
      </w:r>
      <w:r w:rsidRPr="00A65BCE">
        <w:rPr>
          <w:noProof/>
        </w:rPr>
        <w:tab/>
      </w:r>
      <w:r w:rsidRPr="00A65BCE">
        <w:rPr>
          <w:noProof/>
        </w:rPr>
        <w:fldChar w:fldCharType="begin"/>
      </w:r>
      <w:r w:rsidRPr="00A65BCE">
        <w:rPr>
          <w:noProof/>
        </w:rPr>
        <w:instrText xml:space="preserve"> PAGEREF _Toc390763949 \h </w:instrText>
      </w:r>
      <w:r w:rsidRPr="00A65BCE">
        <w:rPr>
          <w:noProof/>
        </w:rPr>
      </w:r>
      <w:r w:rsidRPr="00A65BCE">
        <w:rPr>
          <w:noProof/>
        </w:rPr>
        <w:fldChar w:fldCharType="separate"/>
      </w:r>
      <w:r w:rsidR="00622812">
        <w:rPr>
          <w:noProof/>
        </w:rPr>
        <w:t>1</w:t>
      </w:r>
      <w:r w:rsidRPr="00A65BCE">
        <w:rPr>
          <w:noProof/>
        </w:rPr>
        <w:fldChar w:fldCharType="end"/>
      </w:r>
    </w:p>
    <w:p w:rsidR="00274C97" w:rsidRPr="00A65BCE" w:rsidRDefault="00274C97">
      <w:pPr>
        <w:pStyle w:val="TOC5"/>
        <w:rPr>
          <w:rFonts w:asciiTheme="minorHAnsi" w:eastAsiaTheme="minorEastAsia" w:hAnsiTheme="minorHAnsi" w:cstheme="minorBidi"/>
          <w:noProof/>
          <w:kern w:val="0"/>
          <w:sz w:val="22"/>
          <w:szCs w:val="22"/>
        </w:rPr>
      </w:pPr>
      <w:r w:rsidRPr="00A65BCE">
        <w:rPr>
          <w:noProof/>
        </w:rPr>
        <w:t>4</w:t>
      </w:r>
      <w:r w:rsidRPr="00A65BCE">
        <w:rPr>
          <w:noProof/>
        </w:rPr>
        <w:tab/>
        <w:t>Schedule(s)</w:t>
      </w:r>
      <w:r w:rsidRPr="00A65BCE">
        <w:rPr>
          <w:noProof/>
        </w:rPr>
        <w:tab/>
      </w:r>
      <w:r w:rsidRPr="00A65BCE">
        <w:rPr>
          <w:noProof/>
        </w:rPr>
        <w:fldChar w:fldCharType="begin"/>
      </w:r>
      <w:r w:rsidRPr="00A65BCE">
        <w:rPr>
          <w:noProof/>
        </w:rPr>
        <w:instrText xml:space="preserve"> PAGEREF _Toc390763950 \h </w:instrText>
      </w:r>
      <w:r w:rsidRPr="00A65BCE">
        <w:rPr>
          <w:noProof/>
        </w:rPr>
      </w:r>
      <w:r w:rsidRPr="00A65BCE">
        <w:rPr>
          <w:noProof/>
        </w:rPr>
        <w:fldChar w:fldCharType="separate"/>
      </w:r>
      <w:r w:rsidR="00622812">
        <w:rPr>
          <w:noProof/>
        </w:rPr>
        <w:t>1</w:t>
      </w:r>
      <w:r w:rsidRPr="00A65BCE">
        <w:rPr>
          <w:noProof/>
        </w:rPr>
        <w:fldChar w:fldCharType="end"/>
      </w:r>
    </w:p>
    <w:p w:rsidR="00274C97" w:rsidRPr="00A65BCE" w:rsidRDefault="00274C97">
      <w:pPr>
        <w:pStyle w:val="TOC6"/>
        <w:rPr>
          <w:rFonts w:asciiTheme="minorHAnsi" w:eastAsiaTheme="minorEastAsia" w:hAnsiTheme="minorHAnsi" w:cstheme="minorBidi"/>
          <w:b w:val="0"/>
          <w:noProof/>
          <w:kern w:val="0"/>
          <w:sz w:val="22"/>
          <w:szCs w:val="22"/>
        </w:rPr>
      </w:pPr>
      <w:r w:rsidRPr="00A65BCE">
        <w:rPr>
          <w:noProof/>
        </w:rPr>
        <w:t>Schedule</w:t>
      </w:r>
      <w:r w:rsidR="00A65BCE" w:rsidRPr="00A65BCE">
        <w:rPr>
          <w:noProof/>
        </w:rPr>
        <w:t> </w:t>
      </w:r>
      <w:r w:rsidRPr="00A65BCE">
        <w:rPr>
          <w:noProof/>
        </w:rPr>
        <w:t>1—Amendments</w:t>
      </w:r>
      <w:r w:rsidRPr="00A65BCE">
        <w:rPr>
          <w:b w:val="0"/>
          <w:noProof/>
          <w:sz w:val="18"/>
        </w:rPr>
        <w:tab/>
      </w:r>
      <w:r w:rsidRPr="00A65BCE">
        <w:rPr>
          <w:b w:val="0"/>
          <w:noProof/>
          <w:sz w:val="18"/>
        </w:rPr>
        <w:fldChar w:fldCharType="begin"/>
      </w:r>
      <w:r w:rsidRPr="00A65BCE">
        <w:rPr>
          <w:b w:val="0"/>
          <w:noProof/>
          <w:sz w:val="18"/>
        </w:rPr>
        <w:instrText xml:space="preserve"> PAGEREF _Toc390763951 \h </w:instrText>
      </w:r>
      <w:r w:rsidRPr="00A65BCE">
        <w:rPr>
          <w:b w:val="0"/>
          <w:noProof/>
          <w:sz w:val="18"/>
        </w:rPr>
      </w:r>
      <w:r w:rsidRPr="00A65BCE">
        <w:rPr>
          <w:b w:val="0"/>
          <w:noProof/>
          <w:sz w:val="18"/>
        </w:rPr>
        <w:fldChar w:fldCharType="separate"/>
      </w:r>
      <w:r w:rsidR="00622812">
        <w:rPr>
          <w:b w:val="0"/>
          <w:noProof/>
          <w:sz w:val="18"/>
        </w:rPr>
        <w:t>2</w:t>
      </w:r>
      <w:r w:rsidRPr="00A65BCE">
        <w:rPr>
          <w:b w:val="0"/>
          <w:noProof/>
          <w:sz w:val="18"/>
        </w:rPr>
        <w:fldChar w:fldCharType="end"/>
      </w:r>
    </w:p>
    <w:p w:rsidR="00274C97" w:rsidRPr="00A65BCE" w:rsidRDefault="00274C97">
      <w:pPr>
        <w:pStyle w:val="TOC9"/>
        <w:rPr>
          <w:rFonts w:asciiTheme="minorHAnsi" w:eastAsiaTheme="minorEastAsia" w:hAnsiTheme="minorHAnsi" w:cstheme="minorBidi"/>
          <w:i w:val="0"/>
          <w:noProof/>
          <w:kern w:val="0"/>
          <w:sz w:val="22"/>
          <w:szCs w:val="22"/>
        </w:rPr>
      </w:pPr>
      <w:r w:rsidRPr="00A65BCE">
        <w:rPr>
          <w:noProof/>
        </w:rPr>
        <w:t>Corporations Regulations</w:t>
      </w:r>
      <w:r w:rsidR="00A65BCE" w:rsidRPr="00A65BCE">
        <w:rPr>
          <w:noProof/>
        </w:rPr>
        <w:t> </w:t>
      </w:r>
      <w:r w:rsidRPr="00A65BCE">
        <w:rPr>
          <w:noProof/>
        </w:rPr>
        <w:t>2001</w:t>
      </w:r>
      <w:r w:rsidRPr="00A65BCE">
        <w:rPr>
          <w:i w:val="0"/>
          <w:noProof/>
          <w:sz w:val="18"/>
        </w:rPr>
        <w:tab/>
      </w:r>
      <w:r w:rsidRPr="00A65BCE">
        <w:rPr>
          <w:i w:val="0"/>
          <w:noProof/>
          <w:sz w:val="18"/>
        </w:rPr>
        <w:fldChar w:fldCharType="begin"/>
      </w:r>
      <w:r w:rsidRPr="00A65BCE">
        <w:rPr>
          <w:i w:val="0"/>
          <w:noProof/>
          <w:sz w:val="18"/>
        </w:rPr>
        <w:instrText xml:space="preserve"> PAGEREF _Toc390763952 \h </w:instrText>
      </w:r>
      <w:r w:rsidRPr="00A65BCE">
        <w:rPr>
          <w:i w:val="0"/>
          <w:noProof/>
          <w:sz w:val="18"/>
        </w:rPr>
      </w:r>
      <w:r w:rsidRPr="00A65BCE">
        <w:rPr>
          <w:i w:val="0"/>
          <w:noProof/>
          <w:sz w:val="18"/>
        </w:rPr>
        <w:fldChar w:fldCharType="separate"/>
      </w:r>
      <w:r w:rsidR="00622812">
        <w:rPr>
          <w:i w:val="0"/>
          <w:noProof/>
          <w:sz w:val="18"/>
        </w:rPr>
        <w:t>2</w:t>
      </w:r>
      <w:r w:rsidRPr="00A65BCE">
        <w:rPr>
          <w:i w:val="0"/>
          <w:noProof/>
          <w:sz w:val="18"/>
        </w:rPr>
        <w:fldChar w:fldCharType="end"/>
      </w:r>
    </w:p>
    <w:p w:rsidR="00833416" w:rsidRPr="00A65BCE" w:rsidRDefault="00274C97" w:rsidP="0048364F">
      <w:r w:rsidRPr="00A65BCE">
        <w:fldChar w:fldCharType="end"/>
      </w:r>
    </w:p>
    <w:p w:rsidR="00722023" w:rsidRPr="00A65BCE" w:rsidRDefault="00722023" w:rsidP="0048364F">
      <w:pPr>
        <w:sectPr w:rsidR="00722023" w:rsidRPr="00A65BCE" w:rsidSect="00875CE7">
          <w:headerReference w:type="even" r:id="rId16"/>
          <w:headerReference w:type="default" r:id="rId17"/>
          <w:footerReference w:type="even" r:id="rId18"/>
          <w:footerReference w:type="default" r:id="rId19"/>
          <w:headerReference w:type="first" r:id="rId20"/>
          <w:pgSz w:w="11907" w:h="16839"/>
          <w:pgMar w:top="2375" w:right="2410" w:bottom="4253" w:left="2410" w:header="720" w:footer="3402" w:gutter="0"/>
          <w:pgNumType w:fmt="lowerRoman" w:start="1"/>
          <w:cols w:space="708"/>
          <w:docGrid w:linePitch="360"/>
        </w:sectPr>
      </w:pPr>
    </w:p>
    <w:p w:rsidR="0048364F" w:rsidRPr="00A65BCE" w:rsidRDefault="0048364F" w:rsidP="0048364F">
      <w:pPr>
        <w:pStyle w:val="ActHead5"/>
      </w:pPr>
      <w:bookmarkStart w:id="2" w:name="_Toc390763947"/>
      <w:r w:rsidRPr="00A65BCE">
        <w:rPr>
          <w:rStyle w:val="CharSectno"/>
        </w:rPr>
        <w:lastRenderedPageBreak/>
        <w:t>1</w:t>
      </w:r>
      <w:r w:rsidRPr="00A65BCE">
        <w:t xml:space="preserve">  </w:t>
      </w:r>
      <w:r w:rsidR="004F676E" w:rsidRPr="00A65BCE">
        <w:t xml:space="preserve">Name of </w:t>
      </w:r>
      <w:r w:rsidR="00787F18" w:rsidRPr="00A65BCE">
        <w:t>regulation</w:t>
      </w:r>
      <w:bookmarkEnd w:id="2"/>
    </w:p>
    <w:p w:rsidR="0048364F" w:rsidRPr="00A65BCE" w:rsidRDefault="0048364F" w:rsidP="0048364F">
      <w:pPr>
        <w:pStyle w:val="subsection"/>
      </w:pPr>
      <w:r w:rsidRPr="00A65BCE">
        <w:tab/>
      </w:r>
      <w:r w:rsidRPr="00A65BCE">
        <w:tab/>
        <w:t>Th</w:t>
      </w:r>
      <w:r w:rsidR="00F24C35" w:rsidRPr="00A65BCE">
        <w:t>is</w:t>
      </w:r>
      <w:r w:rsidRPr="00A65BCE">
        <w:t xml:space="preserve"> </w:t>
      </w:r>
      <w:r w:rsidR="00787F18" w:rsidRPr="00A65BCE">
        <w:t>regulation</w:t>
      </w:r>
      <w:r w:rsidRPr="00A65BCE">
        <w:t xml:space="preserve"> </w:t>
      </w:r>
      <w:r w:rsidR="00F24C35" w:rsidRPr="00A65BCE">
        <w:t>is</w:t>
      </w:r>
      <w:r w:rsidR="003801D0" w:rsidRPr="00A65BCE">
        <w:t xml:space="preserve"> the</w:t>
      </w:r>
      <w:r w:rsidRPr="00A65BCE">
        <w:t xml:space="preserve"> </w:t>
      </w:r>
      <w:bookmarkStart w:id="3" w:name="BKCheck15B_4"/>
      <w:bookmarkEnd w:id="3"/>
      <w:r w:rsidR="00CB0180" w:rsidRPr="00A65BCE">
        <w:rPr>
          <w:i/>
        </w:rPr>
        <w:fldChar w:fldCharType="begin"/>
      </w:r>
      <w:r w:rsidR="00CB0180" w:rsidRPr="00A65BCE">
        <w:rPr>
          <w:i/>
        </w:rPr>
        <w:instrText xml:space="preserve"> STYLEREF  ShortT </w:instrText>
      </w:r>
      <w:r w:rsidR="00CB0180" w:rsidRPr="00A65BCE">
        <w:rPr>
          <w:i/>
        </w:rPr>
        <w:fldChar w:fldCharType="separate"/>
      </w:r>
      <w:r w:rsidR="00622812">
        <w:rPr>
          <w:i/>
          <w:noProof/>
        </w:rPr>
        <w:t>Corporations Amendment (Streamlining Future of Financial Advice) Regulation 2014</w:t>
      </w:r>
      <w:r w:rsidR="00CB0180" w:rsidRPr="00A65BCE">
        <w:rPr>
          <w:i/>
        </w:rPr>
        <w:fldChar w:fldCharType="end"/>
      </w:r>
      <w:r w:rsidRPr="00A65BCE">
        <w:t>.</w:t>
      </w:r>
    </w:p>
    <w:p w:rsidR="0048364F" w:rsidRPr="00A65BCE" w:rsidRDefault="0048364F" w:rsidP="0048364F">
      <w:pPr>
        <w:pStyle w:val="ActHead5"/>
      </w:pPr>
      <w:bookmarkStart w:id="4" w:name="_Toc390763948"/>
      <w:r w:rsidRPr="00A65BCE">
        <w:rPr>
          <w:rStyle w:val="CharSectno"/>
        </w:rPr>
        <w:t>2</w:t>
      </w:r>
      <w:r w:rsidRPr="00A65BCE">
        <w:t xml:space="preserve">  Commencement</w:t>
      </w:r>
      <w:bookmarkEnd w:id="4"/>
    </w:p>
    <w:p w:rsidR="004F676E" w:rsidRPr="00A65BCE" w:rsidRDefault="004F676E" w:rsidP="004F676E">
      <w:pPr>
        <w:pStyle w:val="subsection"/>
      </w:pPr>
      <w:bookmarkStart w:id="5" w:name="_GoBack"/>
      <w:r w:rsidRPr="00A65BCE">
        <w:tab/>
      </w:r>
      <w:r w:rsidRPr="00A65BCE">
        <w:tab/>
        <w:t>Th</w:t>
      </w:r>
      <w:r w:rsidR="00F24C35" w:rsidRPr="00A65BCE">
        <w:t>is</w:t>
      </w:r>
      <w:r w:rsidRPr="00A65BCE">
        <w:t xml:space="preserve"> </w:t>
      </w:r>
      <w:r w:rsidR="00787F18" w:rsidRPr="00A65BCE">
        <w:t>regulation</w:t>
      </w:r>
      <w:r w:rsidRPr="00A65BCE">
        <w:t xml:space="preserve"> commence</w:t>
      </w:r>
      <w:r w:rsidR="00D17B17" w:rsidRPr="00A65BCE">
        <w:t>s</w:t>
      </w:r>
      <w:r w:rsidRPr="00A65BCE">
        <w:t xml:space="preserve"> on </w:t>
      </w:r>
      <w:r w:rsidR="0057186E" w:rsidRPr="00A65BCE">
        <w:t>1</w:t>
      </w:r>
      <w:r w:rsidR="00A65BCE" w:rsidRPr="00A65BCE">
        <w:t> </w:t>
      </w:r>
      <w:r w:rsidR="0057186E" w:rsidRPr="00A65BCE">
        <w:t>July 2014</w:t>
      </w:r>
      <w:r w:rsidRPr="00A65BCE">
        <w:t>.</w:t>
      </w:r>
      <w:bookmarkEnd w:id="5"/>
    </w:p>
    <w:p w:rsidR="007769D4" w:rsidRPr="00A65BCE" w:rsidRDefault="007769D4" w:rsidP="007769D4">
      <w:pPr>
        <w:pStyle w:val="ActHead5"/>
      </w:pPr>
      <w:bookmarkStart w:id="6" w:name="_Toc390763949"/>
      <w:r w:rsidRPr="00A65BCE">
        <w:rPr>
          <w:rStyle w:val="CharSectno"/>
        </w:rPr>
        <w:t>3</w:t>
      </w:r>
      <w:r w:rsidRPr="00A65BCE">
        <w:t xml:space="preserve">  Authority</w:t>
      </w:r>
      <w:bookmarkEnd w:id="6"/>
    </w:p>
    <w:p w:rsidR="007769D4" w:rsidRPr="00A65BCE" w:rsidRDefault="007769D4" w:rsidP="007769D4">
      <w:pPr>
        <w:pStyle w:val="subsection"/>
      </w:pPr>
      <w:r w:rsidRPr="00A65BCE">
        <w:tab/>
      </w:r>
      <w:r w:rsidRPr="00A65BCE">
        <w:tab/>
      </w:r>
      <w:r w:rsidR="00AF0336" w:rsidRPr="00A65BCE">
        <w:t xml:space="preserve">This </w:t>
      </w:r>
      <w:r w:rsidR="00787F18" w:rsidRPr="00A65BCE">
        <w:t>regulation</w:t>
      </w:r>
      <w:r w:rsidR="00AF0336" w:rsidRPr="00A65BCE">
        <w:t xml:space="preserve"> is made under the </w:t>
      </w:r>
      <w:r w:rsidR="00787F18" w:rsidRPr="00A65BCE">
        <w:rPr>
          <w:i/>
        </w:rPr>
        <w:t>Corporations Act 2001</w:t>
      </w:r>
      <w:r w:rsidR="00D83D21" w:rsidRPr="00A65BCE">
        <w:rPr>
          <w:i/>
        </w:rPr>
        <w:t>.</w:t>
      </w:r>
    </w:p>
    <w:p w:rsidR="00557C7A" w:rsidRPr="00A65BCE" w:rsidRDefault="007769D4" w:rsidP="00557C7A">
      <w:pPr>
        <w:pStyle w:val="ActHead5"/>
      </w:pPr>
      <w:bookmarkStart w:id="7" w:name="_Toc390763950"/>
      <w:r w:rsidRPr="00A65BCE">
        <w:rPr>
          <w:rStyle w:val="CharSectno"/>
        </w:rPr>
        <w:t>4</w:t>
      </w:r>
      <w:r w:rsidR="00557C7A" w:rsidRPr="00A65BCE">
        <w:t xml:space="preserve">  </w:t>
      </w:r>
      <w:r w:rsidR="00B332B8" w:rsidRPr="00A65BCE">
        <w:t>Schedule(s)</w:t>
      </w:r>
      <w:bookmarkEnd w:id="7"/>
    </w:p>
    <w:p w:rsidR="00557C7A" w:rsidRPr="00A65BCE" w:rsidRDefault="00557C7A" w:rsidP="00557C7A">
      <w:pPr>
        <w:pStyle w:val="subsection"/>
      </w:pPr>
      <w:r w:rsidRPr="00A65BCE">
        <w:tab/>
      </w:r>
      <w:r w:rsidRPr="00A65BCE">
        <w:tab/>
      </w:r>
      <w:r w:rsidR="00CD7ECB" w:rsidRPr="00A65BCE">
        <w:t>Each instrument that is specified in a Schedule to this instrument is amended or repealed as set out in the applicable items in the Schedule concerned, and any other item in a Schedule to this instrument has effect according to its terms.</w:t>
      </w:r>
    </w:p>
    <w:p w:rsidR="0048364F" w:rsidRPr="00A65BCE" w:rsidRDefault="0048364F" w:rsidP="00FF3089">
      <w:pPr>
        <w:pStyle w:val="ActHead6"/>
        <w:pageBreakBefore/>
      </w:pPr>
      <w:bookmarkStart w:id="8" w:name="_Toc390763951"/>
      <w:bookmarkStart w:id="9" w:name="opcAmSched"/>
      <w:bookmarkStart w:id="10" w:name="opcCurrentFind"/>
      <w:r w:rsidRPr="00A65BCE">
        <w:rPr>
          <w:rStyle w:val="CharAmSchNo"/>
        </w:rPr>
        <w:lastRenderedPageBreak/>
        <w:t>Schedule</w:t>
      </w:r>
      <w:r w:rsidR="00A65BCE" w:rsidRPr="00A65BCE">
        <w:rPr>
          <w:rStyle w:val="CharAmSchNo"/>
        </w:rPr>
        <w:t> </w:t>
      </w:r>
      <w:r w:rsidRPr="00A65BCE">
        <w:rPr>
          <w:rStyle w:val="CharAmSchNo"/>
        </w:rPr>
        <w:t>1</w:t>
      </w:r>
      <w:r w:rsidRPr="00A65BCE">
        <w:t>—</w:t>
      </w:r>
      <w:r w:rsidR="00460499" w:rsidRPr="00A65BCE">
        <w:rPr>
          <w:rStyle w:val="CharAmSchText"/>
        </w:rPr>
        <w:t>Amendments</w:t>
      </w:r>
      <w:bookmarkEnd w:id="8"/>
    </w:p>
    <w:bookmarkEnd w:id="9"/>
    <w:bookmarkEnd w:id="10"/>
    <w:p w:rsidR="0004044E" w:rsidRPr="00A65BCE" w:rsidRDefault="0004044E" w:rsidP="0004044E">
      <w:pPr>
        <w:pStyle w:val="Header"/>
      </w:pPr>
      <w:r w:rsidRPr="00A65BCE">
        <w:rPr>
          <w:rStyle w:val="CharAmPartNo"/>
        </w:rPr>
        <w:t xml:space="preserve"> </w:t>
      </w:r>
      <w:r w:rsidRPr="00A65BCE">
        <w:rPr>
          <w:rStyle w:val="CharAmPartText"/>
        </w:rPr>
        <w:t xml:space="preserve"> </w:t>
      </w:r>
    </w:p>
    <w:p w:rsidR="000F2F2C" w:rsidRPr="00A65BCE" w:rsidRDefault="000F2F2C" w:rsidP="000F2F2C">
      <w:pPr>
        <w:pStyle w:val="ActHead9"/>
      </w:pPr>
      <w:bookmarkStart w:id="11" w:name="_Toc390763952"/>
      <w:r w:rsidRPr="00A65BCE">
        <w:t>Corporation</w:t>
      </w:r>
      <w:r w:rsidR="0026068C" w:rsidRPr="00A65BCE">
        <w:t>s</w:t>
      </w:r>
      <w:r w:rsidRPr="00A65BCE">
        <w:t xml:space="preserve"> Regulations</w:t>
      </w:r>
      <w:r w:rsidR="00A65BCE" w:rsidRPr="00A65BCE">
        <w:t> </w:t>
      </w:r>
      <w:r w:rsidRPr="00A65BCE">
        <w:t>2001</w:t>
      </w:r>
      <w:bookmarkEnd w:id="11"/>
    </w:p>
    <w:p w:rsidR="00892503" w:rsidRPr="00A65BCE" w:rsidRDefault="00850109" w:rsidP="00892503">
      <w:pPr>
        <w:pStyle w:val="ItemHead"/>
        <w:tabs>
          <w:tab w:val="left" w:pos="6663"/>
        </w:tabs>
      </w:pPr>
      <w:r w:rsidRPr="00A65BCE">
        <w:t>1</w:t>
      </w:r>
      <w:r w:rsidR="00892503" w:rsidRPr="00A65BCE">
        <w:t xml:space="preserve">  Regulation</w:t>
      </w:r>
      <w:r w:rsidR="00A65BCE" w:rsidRPr="00A65BCE">
        <w:t> </w:t>
      </w:r>
      <w:r w:rsidR="00892503" w:rsidRPr="00A65BCE">
        <w:t>7.6.02AB (after table item</w:t>
      </w:r>
      <w:r w:rsidR="00A65BCE" w:rsidRPr="00A65BCE">
        <w:t> </w:t>
      </w:r>
      <w:r w:rsidR="00892503" w:rsidRPr="00A65BCE">
        <w:t>2)</w:t>
      </w:r>
    </w:p>
    <w:p w:rsidR="00892503" w:rsidRPr="00A65BCE" w:rsidRDefault="00892503" w:rsidP="00892503">
      <w:pPr>
        <w:pStyle w:val="Item"/>
      </w:pPr>
      <w:r w:rsidRPr="00A65BCE">
        <w:t>Insert:</w:t>
      </w:r>
    </w:p>
    <w:p w:rsidR="00892503" w:rsidRPr="00A65BCE" w:rsidRDefault="00892503" w:rsidP="00892503">
      <w:pPr>
        <w:pStyle w:val="Tabletext"/>
      </w:pPr>
    </w:p>
    <w:tbl>
      <w:tblPr>
        <w:tblW w:w="0" w:type="auto"/>
        <w:tblInd w:w="113" w:type="dxa"/>
        <w:tblLayout w:type="fixed"/>
        <w:tblLook w:val="0000" w:firstRow="0" w:lastRow="0" w:firstColumn="0" w:lastColumn="0" w:noHBand="0" w:noVBand="0"/>
      </w:tblPr>
      <w:tblGrid>
        <w:gridCol w:w="714"/>
        <w:gridCol w:w="3186"/>
        <w:gridCol w:w="3186"/>
      </w:tblGrid>
      <w:tr w:rsidR="00892503" w:rsidRPr="00A65BCE" w:rsidTr="00C01DEA">
        <w:tc>
          <w:tcPr>
            <w:tcW w:w="714" w:type="dxa"/>
            <w:shd w:val="clear" w:color="auto" w:fill="auto"/>
          </w:tcPr>
          <w:p w:rsidR="00892503" w:rsidRPr="00A65BCE" w:rsidRDefault="00892503" w:rsidP="00C01DEA">
            <w:pPr>
              <w:pStyle w:val="Tabletext"/>
            </w:pPr>
            <w:r w:rsidRPr="00A65BCE">
              <w:t>2A</w:t>
            </w:r>
          </w:p>
        </w:tc>
        <w:tc>
          <w:tcPr>
            <w:tcW w:w="3186" w:type="dxa"/>
            <w:shd w:val="clear" w:color="auto" w:fill="auto"/>
          </w:tcPr>
          <w:p w:rsidR="00892503" w:rsidRPr="00A65BCE" w:rsidRDefault="0065414A" w:rsidP="00C01DEA">
            <w:pPr>
              <w:pStyle w:val="Tabletext"/>
            </w:pPr>
            <w:r w:rsidRPr="00A65BCE">
              <w:t>s</w:t>
            </w:r>
            <w:r w:rsidR="00892503" w:rsidRPr="00A65BCE">
              <w:t>ection</w:t>
            </w:r>
            <w:r w:rsidR="00A65BCE" w:rsidRPr="00A65BCE">
              <w:t> </w:t>
            </w:r>
            <w:r w:rsidR="001B2059" w:rsidRPr="00A65BCE">
              <w:t>1368</w:t>
            </w:r>
          </w:p>
        </w:tc>
        <w:tc>
          <w:tcPr>
            <w:tcW w:w="3186" w:type="dxa"/>
            <w:shd w:val="clear" w:color="auto" w:fill="auto"/>
          </w:tcPr>
          <w:p w:rsidR="00892503" w:rsidRPr="00A65BCE" w:rsidRDefault="00892503" w:rsidP="00C01DEA">
            <w:pPr>
              <w:pStyle w:val="Tabletext"/>
            </w:pPr>
            <w:r w:rsidRPr="00A65BCE">
              <w:t>Part</w:t>
            </w:r>
            <w:r w:rsidR="00A65BCE" w:rsidRPr="00A65BCE">
              <w:t> </w:t>
            </w:r>
            <w:r w:rsidRPr="00A65BCE">
              <w:t>7.7A</w:t>
            </w:r>
          </w:p>
        </w:tc>
      </w:tr>
    </w:tbl>
    <w:p w:rsidR="00892503" w:rsidRPr="00A65BCE" w:rsidRDefault="00892503" w:rsidP="00892503">
      <w:pPr>
        <w:pStyle w:val="Tabletext"/>
      </w:pPr>
    </w:p>
    <w:p w:rsidR="00892503" w:rsidRPr="00A65BCE" w:rsidRDefault="00850109" w:rsidP="00892503">
      <w:pPr>
        <w:pStyle w:val="ItemHead"/>
        <w:tabs>
          <w:tab w:val="left" w:pos="6663"/>
        </w:tabs>
      </w:pPr>
      <w:r w:rsidRPr="00A65BCE">
        <w:t>2</w:t>
      </w:r>
      <w:r w:rsidR="00892503" w:rsidRPr="00A65BCE">
        <w:t xml:space="preserve">  Regulation</w:t>
      </w:r>
      <w:r w:rsidR="00A65BCE" w:rsidRPr="00A65BCE">
        <w:t> </w:t>
      </w:r>
      <w:r w:rsidR="00892503" w:rsidRPr="00A65BCE">
        <w:t>7.6.02AC (after table item</w:t>
      </w:r>
      <w:r w:rsidR="00A65BCE" w:rsidRPr="00A65BCE">
        <w:t> </w:t>
      </w:r>
      <w:r w:rsidR="00892503" w:rsidRPr="00A65BCE">
        <w:t>2)</w:t>
      </w:r>
    </w:p>
    <w:p w:rsidR="00892503" w:rsidRPr="00A65BCE" w:rsidRDefault="00892503" w:rsidP="00892503">
      <w:pPr>
        <w:pStyle w:val="Item"/>
      </w:pPr>
      <w:r w:rsidRPr="00A65BCE">
        <w:t>Insert:</w:t>
      </w:r>
    </w:p>
    <w:p w:rsidR="00892503" w:rsidRPr="00A65BCE" w:rsidRDefault="00892503" w:rsidP="00892503">
      <w:pPr>
        <w:pStyle w:val="Tabletext"/>
      </w:pPr>
    </w:p>
    <w:tbl>
      <w:tblPr>
        <w:tblW w:w="0" w:type="auto"/>
        <w:tblInd w:w="113" w:type="dxa"/>
        <w:tblLayout w:type="fixed"/>
        <w:tblLook w:val="0000" w:firstRow="0" w:lastRow="0" w:firstColumn="0" w:lastColumn="0" w:noHBand="0" w:noVBand="0"/>
      </w:tblPr>
      <w:tblGrid>
        <w:gridCol w:w="714"/>
        <w:gridCol w:w="3186"/>
        <w:gridCol w:w="3186"/>
      </w:tblGrid>
      <w:tr w:rsidR="00892503" w:rsidRPr="00A65BCE" w:rsidTr="00C01DEA">
        <w:tc>
          <w:tcPr>
            <w:tcW w:w="714" w:type="dxa"/>
            <w:shd w:val="clear" w:color="auto" w:fill="auto"/>
          </w:tcPr>
          <w:p w:rsidR="00892503" w:rsidRPr="00A65BCE" w:rsidRDefault="00892503" w:rsidP="00C01DEA">
            <w:pPr>
              <w:pStyle w:val="Tabletext"/>
            </w:pPr>
            <w:r w:rsidRPr="00A65BCE">
              <w:t>2A</w:t>
            </w:r>
          </w:p>
        </w:tc>
        <w:tc>
          <w:tcPr>
            <w:tcW w:w="3186" w:type="dxa"/>
            <w:shd w:val="clear" w:color="auto" w:fill="auto"/>
          </w:tcPr>
          <w:p w:rsidR="00892503" w:rsidRPr="00A65BCE" w:rsidRDefault="001B2059" w:rsidP="00C01DEA">
            <w:pPr>
              <w:pStyle w:val="Tabletext"/>
            </w:pPr>
            <w:r w:rsidRPr="00A65BCE">
              <w:t>section</w:t>
            </w:r>
            <w:r w:rsidR="00A65BCE" w:rsidRPr="00A65BCE">
              <w:t> </w:t>
            </w:r>
            <w:r w:rsidRPr="00A65BCE">
              <w:t>1368</w:t>
            </w:r>
          </w:p>
        </w:tc>
        <w:tc>
          <w:tcPr>
            <w:tcW w:w="3186" w:type="dxa"/>
            <w:shd w:val="clear" w:color="auto" w:fill="auto"/>
          </w:tcPr>
          <w:p w:rsidR="00892503" w:rsidRPr="00A65BCE" w:rsidRDefault="00892503" w:rsidP="00C01DEA">
            <w:pPr>
              <w:pStyle w:val="Tabletext"/>
            </w:pPr>
            <w:r w:rsidRPr="00A65BCE">
              <w:t>Part</w:t>
            </w:r>
            <w:r w:rsidR="00A65BCE" w:rsidRPr="00A65BCE">
              <w:t> </w:t>
            </w:r>
            <w:r w:rsidRPr="00A65BCE">
              <w:t>7.7A</w:t>
            </w:r>
          </w:p>
        </w:tc>
      </w:tr>
    </w:tbl>
    <w:p w:rsidR="00892503" w:rsidRPr="00A65BCE" w:rsidRDefault="00892503" w:rsidP="00892503">
      <w:pPr>
        <w:pStyle w:val="Tabletext"/>
      </w:pPr>
    </w:p>
    <w:p w:rsidR="00892503" w:rsidRPr="00A65BCE" w:rsidRDefault="00850109" w:rsidP="00892503">
      <w:pPr>
        <w:pStyle w:val="ItemHead"/>
        <w:tabs>
          <w:tab w:val="left" w:pos="6663"/>
        </w:tabs>
      </w:pPr>
      <w:r w:rsidRPr="00A65BCE">
        <w:t>3</w:t>
      </w:r>
      <w:r w:rsidR="00892503" w:rsidRPr="00A65BCE">
        <w:t xml:space="preserve">  Regulation</w:t>
      </w:r>
      <w:r w:rsidR="00A65BCE" w:rsidRPr="00A65BCE">
        <w:t> </w:t>
      </w:r>
      <w:r w:rsidR="00892503" w:rsidRPr="00A65BCE">
        <w:t>7.6.02AD (after table item</w:t>
      </w:r>
      <w:r w:rsidR="00A65BCE" w:rsidRPr="00A65BCE">
        <w:t> </w:t>
      </w:r>
      <w:r w:rsidR="00892503" w:rsidRPr="00A65BCE">
        <w:t>2)</w:t>
      </w:r>
    </w:p>
    <w:p w:rsidR="00892503" w:rsidRPr="00A65BCE" w:rsidRDefault="00892503" w:rsidP="00892503">
      <w:pPr>
        <w:pStyle w:val="Item"/>
      </w:pPr>
      <w:r w:rsidRPr="00A65BCE">
        <w:t>Insert:</w:t>
      </w:r>
    </w:p>
    <w:p w:rsidR="00892503" w:rsidRPr="00A65BCE" w:rsidRDefault="00892503" w:rsidP="00892503">
      <w:pPr>
        <w:pStyle w:val="Tabletext"/>
      </w:pPr>
    </w:p>
    <w:tbl>
      <w:tblPr>
        <w:tblW w:w="0" w:type="auto"/>
        <w:tblInd w:w="113" w:type="dxa"/>
        <w:tblLayout w:type="fixed"/>
        <w:tblLook w:val="0000" w:firstRow="0" w:lastRow="0" w:firstColumn="0" w:lastColumn="0" w:noHBand="0" w:noVBand="0"/>
      </w:tblPr>
      <w:tblGrid>
        <w:gridCol w:w="714"/>
        <w:gridCol w:w="3186"/>
        <w:gridCol w:w="3186"/>
      </w:tblGrid>
      <w:tr w:rsidR="00892503" w:rsidRPr="00A65BCE" w:rsidTr="00C01DEA">
        <w:tc>
          <w:tcPr>
            <w:tcW w:w="714" w:type="dxa"/>
            <w:shd w:val="clear" w:color="auto" w:fill="auto"/>
          </w:tcPr>
          <w:p w:rsidR="00892503" w:rsidRPr="00A65BCE" w:rsidRDefault="00892503" w:rsidP="00C01DEA">
            <w:pPr>
              <w:pStyle w:val="Tabletext"/>
            </w:pPr>
            <w:r w:rsidRPr="00A65BCE">
              <w:t>2A</w:t>
            </w:r>
          </w:p>
        </w:tc>
        <w:tc>
          <w:tcPr>
            <w:tcW w:w="3186" w:type="dxa"/>
            <w:shd w:val="clear" w:color="auto" w:fill="auto"/>
          </w:tcPr>
          <w:p w:rsidR="00892503" w:rsidRPr="00A65BCE" w:rsidRDefault="001B2059" w:rsidP="00C01DEA">
            <w:pPr>
              <w:pStyle w:val="Tabletext"/>
            </w:pPr>
            <w:r w:rsidRPr="00A65BCE">
              <w:t>section</w:t>
            </w:r>
            <w:r w:rsidR="00A65BCE" w:rsidRPr="00A65BCE">
              <w:t> </w:t>
            </w:r>
            <w:r w:rsidRPr="00A65BCE">
              <w:t>1368</w:t>
            </w:r>
          </w:p>
        </w:tc>
        <w:tc>
          <w:tcPr>
            <w:tcW w:w="3186" w:type="dxa"/>
            <w:shd w:val="clear" w:color="auto" w:fill="auto"/>
          </w:tcPr>
          <w:p w:rsidR="00892503" w:rsidRPr="00A65BCE" w:rsidRDefault="00892503" w:rsidP="00C01DEA">
            <w:pPr>
              <w:pStyle w:val="Tabletext"/>
            </w:pPr>
            <w:r w:rsidRPr="00A65BCE">
              <w:t>Part</w:t>
            </w:r>
            <w:r w:rsidR="00A65BCE" w:rsidRPr="00A65BCE">
              <w:t> </w:t>
            </w:r>
            <w:r w:rsidRPr="00A65BCE">
              <w:t>7.7A</w:t>
            </w:r>
          </w:p>
        </w:tc>
      </w:tr>
    </w:tbl>
    <w:p w:rsidR="00892503" w:rsidRPr="00A65BCE" w:rsidRDefault="00892503" w:rsidP="00892503">
      <w:pPr>
        <w:pStyle w:val="Tabletext"/>
      </w:pPr>
    </w:p>
    <w:p w:rsidR="00892503" w:rsidRPr="00A65BCE" w:rsidRDefault="00850109" w:rsidP="00892503">
      <w:pPr>
        <w:pStyle w:val="ItemHead"/>
        <w:tabs>
          <w:tab w:val="left" w:pos="6663"/>
        </w:tabs>
      </w:pPr>
      <w:r w:rsidRPr="00A65BCE">
        <w:t>4</w:t>
      </w:r>
      <w:r w:rsidR="00892503" w:rsidRPr="00A65BCE">
        <w:t xml:space="preserve">  Regulation</w:t>
      </w:r>
      <w:r w:rsidR="00A65BCE" w:rsidRPr="00A65BCE">
        <w:t> </w:t>
      </w:r>
      <w:r w:rsidR="00892503" w:rsidRPr="00A65BCE">
        <w:t>7.6.02AE (after table item</w:t>
      </w:r>
      <w:r w:rsidR="00A65BCE" w:rsidRPr="00A65BCE">
        <w:t> </w:t>
      </w:r>
      <w:r w:rsidR="00892503" w:rsidRPr="00A65BCE">
        <w:t>2)</w:t>
      </w:r>
    </w:p>
    <w:p w:rsidR="00892503" w:rsidRPr="00A65BCE" w:rsidRDefault="00892503" w:rsidP="00892503">
      <w:pPr>
        <w:pStyle w:val="Item"/>
      </w:pPr>
      <w:r w:rsidRPr="00A65BCE">
        <w:t>Insert:</w:t>
      </w:r>
    </w:p>
    <w:p w:rsidR="00892503" w:rsidRPr="00A65BCE" w:rsidRDefault="00892503" w:rsidP="00892503">
      <w:pPr>
        <w:pStyle w:val="Tabletext"/>
      </w:pPr>
    </w:p>
    <w:tbl>
      <w:tblPr>
        <w:tblW w:w="0" w:type="auto"/>
        <w:tblInd w:w="113" w:type="dxa"/>
        <w:tblLayout w:type="fixed"/>
        <w:tblLook w:val="0000" w:firstRow="0" w:lastRow="0" w:firstColumn="0" w:lastColumn="0" w:noHBand="0" w:noVBand="0"/>
      </w:tblPr>
      <w:tblGrid>
        <w:gridCol w:w="714"/>
        <w:gridCol w:w="3186"/>
        <w:gridCol w:w="3186"/>
      </w:tblGrid>
      <w:tr w:rsidR="00892503" w:rsidRPr="00A65BCE" w:rsidTr="00C01DEA">
        <w:tc>
          <w:tcPr>
            <w:tcW w:w="714" w:type="dxa"/>
            <w:shd w:val="clear" w:color="auto" w:fill="auto"/>
          </w:tcPr>
          <w:p w:rsidR="00892503" w:rsidRPr="00A65BCE" w:rsidRDefault="00892503" w:rsidP="00C01DEA">
            <w:pPr>
              <w:pStyle w:val="Tabletext"/>
            </w:pPr>
            <w:r w:rsidRPr="00A65BCE">
              <w:t>2A</w:t>
            </w:r>
          </w:p>
        </w:tc>
        <w:tc>
          <w:tcPr>
            <w:tcW w:w="3186" w:type="dxa"/>
            <w:shd w:val="clear" w:color="auto" w:fill="auto"/>
          </w:tcPr>
          <w:p w:rsidR="00892503" w:rsidRPr="00A65BCE" w:rsidRDefault="001B2059" w:rsidP="00C01DEA">
            <w:pPr>
              <w:pStyle w:val="Tabletext"/>
            </w:pPr>
            <w:r w:rsidRPr="00A65BCE">
              <w:t>section</w:t>
            </w:r>
            <w:r w:rsidR="00A65BCE" w:rsidRPr="00A65BCE">
              <w:t> </w:t>
            </w:r>
            <w:r w:rsidRPr="00A65BCE">
              <w:t>1368</w:t>
            </w:r>
          </w:p>
        </w:tc>
        <w:tc>
          <w:tcPr>
            <w:tcW w:w="3186" w:type="dxa"/>
            <w:shd w:val="clear" w:color="auto" w:fill="auto"/>
          </w:tcPr>
          <w:p w:rsidR="00892503" w:rsidRPr="00A65BCE" w:rsidRDefault="00892503" w:rsidP="00C01DEA">
            <w:pPr>
              <w:pStyle w:val="Tabletext"/>
            </w:pPr>
            <w:r w:rsidRPr="00A65BCE">
              <w:t>Part</w:t>
            </w:r>
            <w:r w:rsidR="00A65BCE" w:rsidRPr="00A65BCE">
              <w:t> </w:t>
            </w:r>
            <w:r w:rsidRPr="00A65BCE">
              <w:t>7.7A</w:t>
            </w:r>
          </w:p>
        </w:tc>
      </w:tr>
    </w:tbl>
    <w:p w:rsidR="00892503" w:rsidRPr="00A65BCE" w:rsidRDefault="00892503" w:rsidP="00892503">
      <w:pPr>
        <w:pStyle w:val="Tabletext"/>
      </w:pPr>
    </w:p>
    <w:p w:rsidR="00892503" w:rsidRPr="00A65BCE" w:rsidRDefault="00850109" w:rsidP="00892503">
      <w:pPr>
        <w:pStyle w:val="ItemHead"/>
        <w:tabs>
          <w:tab w:val="left" w:pos="6663"/>
        </w:tabs>
      </w:pPr>
      <w:r w:rsidRPr="00A65BCE">
        <w:t>5</w:t>
      </w:r>
      <w:r w:rsidR="00892503" w:rsidRPr="00A65BCE">
        <w:t xml:space="preserve">  Regulation</w:t>
      </w:r>
      <w:r w:rsidR="00A65BCE" w:rsidRPr="00A65BCE">
        <w:t> </w:t>
      </w:r>
      <w:r w:rsidR="00892503" w:rsidRPr="00A65BCE">
        <w:t>7.6.02AF (after table item</w:t>
      </w:r>
      <w:r w:rsidR="00A65BCE" w:rsidRPr="00A65BCE">
        <w:t> </w:t>
      </w:r>
      <w:r w:rsidR="00892503" w:rsidRPr="00A65BCE">
        <w:t>2)</w:t>
      </w:r>
    </w:p>
    <w:p w:rsidR="00892503" w:rsidRPr="00A65BCE" w:rsidRDefault="00892503" w:rsidP="00892503">
      <w:pPr>
        <w:pStyle w:val="Item"/>
      </w:pPr>
      <w:r w:rsidRPr="00A65BCE">
        <w:t>Insert:</w:t>
      </w:r>
    </w:p>
    <w:p w:rsidR="00892503" w:rsidRPr="00A65BCE" w:rsidRDefault="00892503" w:rsidP="00892503">
      <w:pPr>
        <w:pStyle w:val="Tabletext"/>
      </w:pPr>
    </w:p>
    <w:tbl>
      <w:tblPr>
        <w:tblW w:w="0" w:type="auto"/>
        <w:tblInd w:w="113" w:type="dxa"/>
        <w:tblLayout w:type="fixed"/>
        <w:tblLook w:val="0000" w:firstRow="0" w:lastRow="0" w:firstColumn="0" w:lastColumn="0" w:noHBand="0" w:noVBand="0"/>
      </w:tblPr>
      <w:tblGrid>
        <w:gridCol w:w="714"/>
        <w:gridCol w:w="3186"/>
        <w:gridCol w:w="3186"/>
      </w:tblGrid>
      <w:tr w:rsidR="00892503" w:rsidRPr="00A65BCE" w:rsidTr="00C01DEA">
        <w:tc>
          <w:tcPr>
            <w:tcW w:w="714" w:type="dxa"/>
            <w:shd w:val="clear" w:color="auto" w:fill="auto"/>
          </w:tcPr>
          <w:p w:rsidR="00892503" w:rsidRPr="00A65BCE" w:rsidRDefault="00892503" w:rsidP="00C01DEA">
            <w:pPr>
              <w:pStyle w:val="Tabletext"/>
            </w:pPr>
            <w:r w:rsidRPr="00A65BCE">
              <w:t>2A</w:t>
            </w:r>
          </w:p>
        </w:tc>
        <w:tc>
          <w:tcPr>
            <w:tcW w:w="3186" w:type="dxa"/>
            <w:shd w:val="clear" w:color="auto" w:fill="auto"/>
          </w:tcPr>
          <w:p w:rsidR="00892503" w:rsidRPr="00A65BCE" w:rsidRDefault="001B2059" w:rsidP="00C01DEA">
            <w:pPr>
              <w:pStyle w:val="Tabletext"/>
            </w:pPr>
            <w:r w:rsidRPr="00A65BCE">
              <w:t>section</w:t>
            </w:r>
            <w:r w:rsidR="00A65BCE" w:rsidRPr="00A65BCE">
              <w:t> </w:t>
            </w:r>
            <w:r w:rsidRPr="00A65BCE">
              <w:t>1368</w:t>
            </w:r>
          </w:p>
        </w:tc>
        <w:tc>
          <w:tcPr>
            <w:tcW w:w="3186" w:type="dxa"/>
            <w:shd w:val="clear" w:color="auto" w:fill="auto"/>
          </w:tcPr>
          <w:p w:rsidR="00892503" w:rsidRPr="00A65BCE" w:rsidRDefault="00892503" w:rsidP="00C01DEA">
            <w:pPr>
              <w:pStyle w:val="Tabletext"/>
            </w:pPr>
            <w:r w:rsidRPr="00A65BCE">
              <w:t>Part</w:t>
            </w:r>
            <w:r w:rsidR="00A65BCE" w:rsidRPr="00A65BCE">
              <w:t> </w:t>
            </w:r>
            <w:r w:rsidRPr="00A65BCE">
              <w:t>7.7A</w:t>
            </w:r>
          </w:p>
        </w:tc>
      </w:tr>
    </w:tbl>
    <w:p w:rsidR="00E657BA" w:rsidRPr="00A65BCE" w:rsidRDefault="00850109" w:rsidP="00E657BA">
      <w:pPr>
        <w:pStyle w:val="ItemHead"/>
      </w:pPr>
      <w:r w:rsidRPr="00A65BCE">
        <w:t>6</w:t>
      </w:r>
      <w:r w:rsidR="00E657BA" w:rsidRPr="00A65BCE">
        <w:t xml:space="preserve">  Subdivision</w:t>
      </w:r>
      <w:r w:rsidR="00A65BCE" w:rsidRPr="00A65BCE">
        <w:t> </w:t>
      </w:r>
      <w:r w:rsidR="00E657BA" w:rsidRPr="00A65BCE">
        <w:t>1 of Division</w:t>
      </w:r>
      <w:r w:rsidR="00A65BCE" w:rsidRPr="00A65BCE">
        <w:t> </w:t>
      </w:r>
      <w:r w:rsidR="00E657BA" w:rsidRPr="00A65BCE">
        <w:t>2 of Part</w:t>
      </w:r>
      <w:r w:rsidR="00A65BCE" w:rsidRPr="00A65BCE">
        <w:t> </w:t>
      </w:r>
      <w:r w:rsidR="00E657BA" w:rsidRPr="00A65BCE">
        <w:t>7.7A (heading)</w:t>
      </w:r>
    </w:p>
    <w:p w:rsidR="00E657BA" w:rsidRPr="00A65BCE" w:rsidRDefault="00E657BA" w:rsidP="00E657BA">
      <w:pPr>
        <w:pStyle w:val="Item"/>
      </w:pPr>
      <w:r w:rsidRPr="00A65BCE">
        <w:t>Repeal the heading.</w:t>
      </w:r>
    </w:p>
    <w:p w:rsidR="00964020" w:rsidRPr="00A65BCE" w:rsidRDefault="00850109" w:rsidP="00E657BA">
      <w:pPr>
        <w:pStyle w:val="ItemHead"/>
      </w:pPr>
      <w:r w:rsidRPr="00A65BCE">
        <w:lastRenderedPageBreak/>
        <w:t>7</w:t>
      </w:r>
      <w:r w:rsidR="00FF43DF" w:rsidRPr="00A65BCE">
        <w:t xml:space="preserve"> </w:t>
      </w:r>
      <w:r w:rsidR="00964020" w:rsidRPr="00A65BCE">
        <w:t xml:space="preserve"> Regulation</w:t>
      </w:r>
      <w:r w:rsidR="00A65BCE" w:rsidRPr="00A65BCE">
        <w:t> </w:t>
      </w:r>
      <w:r w:rsidR="00964020" w:rsidRPr="00A65BCE">
        <w:t>7.7A.1</w:t>
      </w:r>
    </w:p>
    <w:p w:rsidR="00E657BA" w:rsidRPr="00A65BCE" w:rsidRDefault="00964020" w:rsidP="00E657BA">
      <w:pPr>
        <w:pStyle w:val="Item"/>
      </w:pPr>
      <w:r w:rsidRPr="00A65BCE">
        <w:t>Repeal the regulation, substitute</w:t>
      </w:r>
      <w:r w:rsidR="00E657BA" w:rsidRPr="00A65BCE">
        <w:t>:</w:t>
      </w:r>
    </w:p>
    <w:p w:rsidR="00E657BA" w:rsidRPr="00A65BCE" w:rsidRDefault="00E657BA" w:rsidP="00E657BA">
      <w:pPr>
        <w:pStyle w:val="ActHead5"/>
      </w:pPr>
      <w:bookmarkStart w:id="12" w:name="_Toc390763953"/>
      <w:r w:rsidRPr="00A65BCE">
        <w:rPr>
          <w:rStyle w:val="CharSectno"/>
        </w:rPr>
        <w:t>7.7A.2</w:t>
      </w:r>
      <w:r w:rsidRPr="00A65BCE">
        <w:t xml:space="preserve">  Best interests duty—identifying objectives etc. disclosed</w:t>
      </w:r>
      <w:bookmarkEnd w:id="12"/>
    </w:p>
    <w:p w:rsidR="00E657BA" w:rsidRPr="00A65BCE" w:rsidRDefault="00E657BA" w:rsidP="00E657BA">
      <w:pPr>
        <w:pStyle w:val="subsection"/>
      </w:pPr>
      <w:r w:rsidRPr="00A65BCE">
        <w:tab/>
        <w:t>(1)</w:t>
      </w:r>
      <w:r w:rsidRPr="00A65BCE">
        <w:tab/>
        <w:t>This regulation:</w:t>
      </w:r>
    </w:p>
    <w:p w:rsidR="00E657BA" w:rsidRPr="00A65BCE" w:rsidRDefault="00E657BA" w:rsidP="00E657BA">
      <w:pPr>
        <w:pStyle w:val="paragraph"/>
      </w:pPr>
      <w:r w:rsidRPr="00A65BCE">
        <w:tab/>
        <w:t>(a)</w:t>
      </w:r>
      <w:r w:rsidRPr="00A65BCE">
        <w:tab/>
        <w:t>is made for paragraph</w:t>
      </w:r>
      <w:r w:rsidR="00A65BCE" w:rsidRPr="00A65BCE">
        <w:t> </w:t>
      </w:r>
      <w:r w:rsidRPr="00A65BCE">
        <w:t>961B(5)(a) of the Act; and</w:t>
      </w:r>
    </w:p>
    <w:p w:rsidR="00E657BA" w:rsidRPr="00A65BCE" w:rsidRDefault="00E657BA" w:rsidP="00E657BA">
      <w:pPr>
        <w:pStyle w:val="paragraph"/>
      </w:pPr>
      <w:r w:rsidRPr="00A65BCE">
        <w:tab/>
        <w:t>(b)</w:t>
      </w:r>
      <w:r w:rsidRPr="00A65BCE">
        <w:tab/>
        <w:t xml:space="preserve">prescribes a step (the </w:t>
      </w:r>
      <w:r w:rsidRPr="00A65BCE">
        <w:rPr>
          <w:b/>
          <w:i/>
        </w:rPr>
        <w:t>prescribed step</w:t>
      </w:r>
      <w:r w:rsidRPr="00A65BCE">
        <w:t>) in substitution for the step mentioned in paragraph</w:t>
      </w:r>
      <w:r w:rsidR="00A65BCE" w:rsidRPr="00A65BCE">
        <w:t> </w:t>
      </w:r>
      <w:r w:rsidRPr="00A65BCE">
        <w:t>961B(2)(a) of the Act; and</w:t>
      </w:r>
    </w:p>
    <w:p w:rsidR="00E657BA" w:rsidRPr="00A65BCE" w:rsidRDefault="00E657BA" w:rsidP="00E657BA">
      <w:pPr>
        <w:pStyle w:val="paragraph"/>
      </w:pPr>
      <w:r w:rsidRPr="00A65BCE">
        <w:tab/>
        <w:t>(c)</w:t>
      </w:r>
      <w:r w:rsidRPr="00A65BCE">
        <w:tab/>
        <w:t>prescribes the circumstances in which the provider must prove that he or she has taken the prescribed step.</w:t>
      </w:r>
    </w:p>
    <w:p w:rsidR="00E657BA" w:rsidRPr="00A65BCE" w:rsidRDefault="00E657BA" w:rsidP="00E657BA">
      <w:pPr>
        <w:pStyle w:val="subsection"/>
      </w:pPr>
      <w:r w:rsidRPr="00A65BCE">
        <w:tab/>
        <w:t>(2)</w:t>
      </w:r>
      <w:r w:rsidRPr="00A65BCE">
        <w:tab/>
        <w:t xml:space="preserve">For </w:t>
      </w:r>
      <w:r w:rsidR="00A65BCE" w:rsidRPr="00A65BCE">
        <w:t>paragraph (</w:t>
      </w:r>
      <w:r w:rsidRPr="00A65BCE">
        <w:t>1)(b), the prescribed step is that the provider has identified the objectives, financial situation and needs of the client that are disclosed to the provider by the client.</w:t>
      </w:r>
    </w:p>
    <w:p w:rsidR="00CD0CEE" w:rsidRPr="00A65BCE" w:rsidRDefault="00CD0CEE" w:rsidP="00E657BA">
      <w:pPr>
        <w:pStyle w:val="notetext"/>
      </w:pPr>
      <w:r w:rsidRPr="00A65BCE">
        <w:t>Note 1:</w:t>
      </w:r>
      <w:r w:rsidRPr="00A65BCE">
        <w:tab/>
        <w:t>Nothing in section</w:t>
      </w:r>
      <w:r w:rsidR="00A65BCE" w:rsidRPr="00A65BCE">
        <w:t> </w:t>
      </w:r>
      <w:r w:rsidRPr="00A65BCE">
        <w:t xml:space="preserve">961B </w:t>
      </w:r>
      <w:r w:rsidR="00C51963" w:rsidRPr="00A65BCE">
        <w:t xml:space="preserve">of the Act </w:t>
      </w:r>
      <w:r w:rsidRPr="00A65BCE">
        <w:t>prevents the provider and a client from agreeing the subject matter of the advice sought by the client.</w:t>
      </w:r>
    </w:p>
    <w:p w:rsidR="006231D9" w:rsidRPr="00A65BCE" w:rsidRDefault="000B238C" w:rsidP="00E657BA">
      <w:pPr>
        <w:pStyle w:val="notetext"/>
      </w:pPr>
      <w:r w:rsidRPr="00A65BCE">
        <w:t>Note</w:t>
      </w:r>
      <w:r w:rsidR="00CD0CEE" w:rsidRPr="00A65BCE">
        <w:t xml:space="preserve"> 2</w:t>
      </w:r>
      <w:r w:rsidR="006231D9" w:rsidRPr="00A65BCE">
        <w:t>:</w:t>
      </w:r>
      <w:r w:rsidR="006231D9" w:rsidRPr="00A65BCE">
        <w:tab/>
        <w:t>The provider need not inquire into circumstances that would not reasonably be considered as relevant to the subject matter.</w:t>
      </w:r>
    </w:p>
    <w:p w:rsidR="00E657BA" w:rsidRPr="00A65BCE" w:rsidRDefault="00E657BA" w:rsidP="00E657BA">
      <w:pPr>
        <w:pStyle w:val="subsection"/>
      </w:pPr>
      <w:r w:rsidRPr="00A65BCE">
        <w:tab/>
        <w:t>(3)</w:t>
      </w:r>
      <w:r w:rsidRPr="00A65BCE">
        <w:tab/>
        <w:t xml:space="preserve">For </w:t>
      </w:r>
      <w:r w:rsidR="00A65BCE" w:rsidRPr="00A65BCE">
        <w:t>paragraph (</w:t>
      </w:r>
      <w:r w:rsidRPr="00A65BCE">
        <w:t>1)(c), the provider must prove that he or she has taken the prescribed step if the advice is provided to the client in the period between:</w:t>
      </w:r>
    </w:p>
    <w:p w:rsidR="00E657BA" w:rsidRPr="00A65BCE" w:rsidRDefault="00E657BA" w:rsidP="00E657BA">
      <w:pPr>
        <w:pStyle w:val="paragraph"/>
      </w:pPr>
      <w:r w:rsidRPr="00A65BCE">
        <w:tab/>
        <w:t>(a)</w:t>
      </w:r>
      <w:r w:rsidRPr="00A65BCE">
        <w:tab/>
        <w:t xml:space="preserve">the commencement of the </w:t>
      </w:r>
      <w:r w:rsidRPr="00A65BCE">
        <w:rPr>
          <w:i/>
        </w:rPr>
        <w:t>Corporations Amendment (Streamlining Future of Financial Advice) Regulation</w:t>
      </w:r>
      <w:r w:rsidR="00A65BCE" w:rsidRPr="00A65BCE">
        <w:rPr>
          <w:i/>
        </w:rPr>
        <w:t> </w:t>
      </w:r>
      <w:r w:rsidRPr="00A65BCE">
        <w:rPr>
          <w:i/>
        </w:rPr>
        <w:t>2014</w:t>
      </w:r>
      <w:r w:rsidRPr="00A65BCE">
        <w:t>; and</w:t>
      </w:r>
    </w:p>
    <w:p w:rsidR="00E657BA" w:rsidRPr="00A65BCE" w:rsidRDefault="00E657BA" w:rsidP="00E657BA">
      <w:pPr>
        <w:pStyle w:val="paragraph"/>
      </w:pPr>
      <w:r w:rsidRPr="00A65BCE">
        <w:tab/>
        <w:t>(b)</w:t>
      </w:r>
      <w:r w:rsidRPr="00A65BCE">
        <w:tab/>
        <w:t>the end of 31</w:t>
      </w:r>
      <w:r w:rsidR="00A65BCE" w:rsidRPr="00A65BCE">
        <w:t> </w:t>
      </w:r>
      <w:r w:rsidRPr="00A65BCE">
        <w:t>December 2015.</w:t>
      </w:r>
    </w:p>
    <w:p w:rsidR="000B238C" w:rsidRPr="00A65BCE" w:rsidRDefault="000B238C" w:rsidP="000B238C">
      <w:pPr>
        <w:pStyle w:val="SubsectionHead"/>
      </w:pPr>
      <w:r w:rsidRPr="00A65BCE">
        <w:t>Client seeks scaled advice</w:t>
      </w:r>
    </w:p>
    <w:p w:rsidR="000B238C" w:rsidRPr="00A65BCE" w:rsidRDefault="000B238C" w:rsidP="000B238C">
      <w:pPr>
        <w:pStyle w:val="subsection"/>
      </w:pPr>
      <w:r w:rsidRPr="00A65BCE">
        <w:tab/>
        <w:t>(4)</w:t>
      </w:r>
      <w:r w:rsidRPr="00A65BCE">
        <w:tab/>
        <w:t>To avoid doubt, nothing in this regulation prevents the provider and a client from agreeing the subject matter of the advice sought by the client.</w:t>
      </w:r>
    </w:p>
    <w:p w:rsidR="000B238C" w:rsidRPr="00A65BCE" w:rsidRDefault="000B238C" w:rsidP="000B238C">
      <w:pPr>
        <w:pStyle w:val="notetext"/>
      </w:pPr>
      <w:r w:rsidRPr="00A65BCE">
        <w:t>Example:</w:t>
      </w:r>
      <w:r w:rsidRPr="00A65BCE">
        <w:tab/>
        <w:t>A client approaches the provider intending to seek advice on a particular subject matter. As a result of discussion with the provider, the client decides to instead seek advice on a narrower subject matter. The provider and the client then agree the subject matter of the advice sought by the client. The obligations of Division</w:t>
      </w:r>
      <w:r w:rsidR="00A65BCE" w:rsidRPr="00A65BCE">
        <w:t> </w:t>
      </w:r>
      <w:r w:rsidR="00C51963" w:rsidRPr="00A65BCE">
        <w:t>2 of Part</w:t>
      </w:r>
      <w:r w:rsidR="00A65BCE" w:rsidRPr="00A65BCE">
        <w:t> </w:t>
      </w:r>
      <w:r w:rsidR="00C51963" w:rsidRPr="00A65BCE">
        <w:t xml:space="preserve">7.7A of the Act </w:t>
      </w:r>
      <w:r w:rsidRPr="00A65BCE">
        <w:t>apply to the advice ultimately sought.</w:t>
      </w:r>
    </w:p>
    <w:p w:rsidR="00E657BA" w:rsidRPr="00A65BCE" w:rsidRDefault="00E657BA" w:rsidP="00E657BA">
      <w:pPr>
        <w:pStyle w:val="ActHead5"/>
      </w:pPr>
      <w:bookmarkStart w:id="13" w:name="_Toc390763954"/>
      <w:r w:rsidRPr="00A65BCE">
        <w:rPr>
          <w:rStyle w:val="CharSectno"/>
        </w:rPr>
        <w:lastRenderedPageBreak/>
        <w:t>7.7A.3</w:t>
      </w:r>
      <w:r w:rsidRPr="00A65BCE">
        <w:t xml:space="preserve">  Best interests duty—identifying reasonable objectives etc.</w:t>
      </w:r>
      <w:bookmarkEnd w:id="13"/>
    </w:p>
    <w:p w:rsidR="00E657BA" w:rsidRPr="00A65BCE" w:rsidRDefault="00E657BA" w:rsidP="00E657BA">
      <w:pPr>
        <w:pStyle w:val="subsection"/>
      </w:pPr>
      <w:r w:rsidRPr="00A65BCE">
        <w:tab/>
        <w:t>(1)</w:t>
      </w:r>
      <w:r w:rsidRPr="00A65BCE">
        <w:tab/>
        <w:t>This regulation:</w:t>
      </w:r>
    </w:p>
    <w:p w:rsidR="00E657BA" w:rsidRPr="00A65BCE" w:rsidRDefault="00E657BA" w:rsidP="00E657BA">
      <w:pPr>
        <w:pStyle w:val="paragraph"/>
      </w:pPr>
      <w:r w:rsidRPr="00A65BCE">
        <w:tab/>
        <w:t>(a)</w:t>
      </w:r>
      <w:r w:rsidRPr="00A65BCE">
        <w:tab/>
        <w:t>is made for paragraph</w:t>
      </w:r>
      <w:r w:rsidR="00A65BCE" w:rsidRPr="00A65BCE">
        <w:t> </w:t>
      </w:r>
      <w:r w:rsidRPr="00A65BCE">
        <w:t>961B(5)(b) of the Act; and</w:t>
      </w:r>
    </w:p>
    <w:p w:rsidR="00E657BA" w:rsidRPr="00A65BCE" w:rsidRDefault="00E657BA" w:rsidP="00E657BA">
      <w:pPr>
        <w:pStyle w:val="paragraph"/>
      </w:pPr>
      <w:r w:rsidRPr="00A65BCE">
        <w:tab/>
        <w:t>(b)</w:t>
      </w:r>
      <w:r w:rsidRPr="00A65BCE">
        <w:tab/>
        <w:t xml:space="preserve">prescribes </w:t>
      </w:r>
      <w:r w:rsidR="002A7B00" w:rsidRPr="00A65BCE">
        <w:t>a</w:t>
      </w:r>
      <w:r w:rsidRPr="00A65BCE">
        <w:t xml:space="preserve"> circumstance in which the provider is not required to prove that he or she has taken the step mentioned in paragraph</w:t>
      </w:r>
      <w:r w:rsidR="00A65BCE" w:rsidRPr="00A65BCE">
        <w:t> </w:t>
      </w:r>
      <w:r w:rsidRPr="00A65BCE">
        <w:t>961B(2)(g) of the Act.</w:t>
      </w:r>
    </w:p>
    <w:p w:rsidR="00E657BA" w:rsidRPr="00A65BCE" w:rsidRDefault="00E657BA" w:rsidP="00E657BA">
      <w:pPr>
        <w:pStyle w:val="subsection"/>
      </w:pPr>
      <w:r w:rsidRPr="00A65BCE">
        <w:tab/>
        <w:t>(2)</w:t>
      </w:r>
      <w:r w:rsidRPr="00A65BCE">
        <w:tab/>
        <w:t xml:space="preserve">The provider is not required to prove </w:t>
      </w:r>
      <w:r w:rsidR="0040070B" w:rsidRPr="00A65BCE">
        <w:t xml:space="preserve">that </w:t>
      </w:r>
      <w:r w:rsidRPr="00A65BCE">
        <w:t>he or she has taken the step if the advice is provided to the client in the period between:</w:t>
      </w:r>
    </w:p>
    <w:p w:rsidR="00E657BA" w:rsidRPr="00A65BCE" w:rsidRDefault="00E657BA" w:rsidP="00E657BA">
      <w:pPr>
        <w:pStyle w:val="paragraph"/>
      </w:pPr>
      <w:r w:rsidRPr="00A65BCE">
        <w:tab/>
        <w:t>(a)</w:t>
      </w:r>
      <w:r w:rsidRPr="00A65BCE">
        <w:tab/>
        <w:t xml:space="preserve">the commencement of the </w:t>
      </w:r>
      <w:r w:rsidRPr="00A65BCE">
        <w:rPr>
          <w:i/>
        </w:rPr>
        <w:t>Corporations Amendment (Streamlining Future of Financial Advice) Regulation</w:t>
      </w:r>
      <w:r w:rsidR="00A65BCE" w:rsidRPr="00A65BCE">
        <w:rPr>
          <w:i/>
        </w:rPr>
        <w:t> </w:t>
      </w:r>
      <w:r w:rsidRPr="00A65BCE">
        <w:rPr>
          <w:i/>
        </w:rPr>
        <w:t>2014</w:t>
      </w:r>
      <w:r w:rsidRPr="00A65BCE">
        <w:t>; and</w:t>
      </w:r>
    </w:p>
    <w:p w:rsidR="00E657BA" w:rsidRPr="00A65BCE" w:rsidRDefault="00E657BA" w:rsidP="00E657BA">
      <w:pPr>
        <w:pStyle w:val="paragraph"/>
      </w:pPr>
      <w:r w:rsidRPr="00A65BCE">
        <w:tab/>
        <w:t>(b)</w:t>
      </w:r>
      <w:r w:rsidRPr="00A65BCE">
        <w:tab/>
        <w:t>the end of 31</w:t>
      </w:r>
      <w:r w:rsidR="00A65BCE" w:rsidRPr="00A65BCE">
        <w:t> </w:t>
      </w:r>
      <w:r w:rsidRPr="00A65BCE">
        <w:t>December 2015.</w:t>
      </w:r>
    </w:p>
    <w:p w:rsidR="002A7B00" w:rsidRPr="00A65BCE" w:rsidRDefault="002A7B00" w:rsidP="002A7B00">
      <w:pPr>
        <w:pStyle w:val="ActHead5"/>
      </w:pPr>
      <w:bookmarkStart w:id="14" w:name="_Toc390763955"/>
      <w:r w:rsidRPr="00A65BCE">
        <w:rPr>
          <w:rStyle w:val="CharSectno"/>
        </w:rPr>
        <w:t>7.7A.4</w:t>
      </w:r>
      <w:r w:rsidRPr="00A65BCE">
        <w:t xml:space="preserve">  Best interests duty—basic banking products etc.</w:t>
      </w:r>
      <w:bookmarkEnd w:id="14"/>
    </w:p>
    <w:p w:rsidR="002A7B00" w:rsidRPr="00A65BCE" w:rsidRDefault="002A7B00" w:rsidP="002A7B00">
      <w:pPr>
        <w:pStyle w:val="subsection"/>
      </w:pPr>
      <w:r w:rsidRPr="00A65BCE">
        <w:tab/>
        <w:t>(1)</w:t>
      </w:r>
      <w:r w:rsidRPr="00A65BCE">
        <w:tab/>
        <w:t>This regulation:</w:t>
      </w:r>
    </w:p>
    <w:p w:rsidR="002A7B00" w:rsidRPr="00A65BCE" w:rsidRDefault="002A7B00" w:rsidP="002A7B00">
      <w:pPr>
        <w:pStyle w:val="paragraph"/>
      </w:pPr>
      <w:r w:rsidRPr="00A65BCE">
        <w:tab/>
        <w:t>(a)</w:t>
      </w:r>
      <w:r w:rsidRPr="00A65BCE">
        <w:tab/>
        <w:t>is made for paragraph</w:t>
      </w:r>
      <w:r w:rsidR="00A65BCE" w:rsidRPr="00A65BCE">
        <w:t> </w:t>
      </w:r>
      <w:r w:rsidRPr="00A65BCE">
        <w:t>961B(5)(b) of the Act; and</w:t>
      </w:r>
    </w:p>
    <w:p w:rsidR="002A7B00" w:rsidRPr="00A65BCE" w:rsidRDefault="002A7B00" w:rsidP="002A7B00">
      <w:pPr>
        <w:pStyle w:val="paragraph"/>
      </w:pPr>
      <w:r w:rsidRPr="00A65BCE">
        <w:tab/>
        <w:t>(b)</w:t>
      </w:r>
      <w:r w:rsidRPr="00A65BCE">
        <w:tab/>
        <w:t>prescribes a circumstance in which the provider is not required to prove that he or she has taken the steps mentioned in paragraphs</w:t>
      </w:r>
      <w:r w:rsidR="00F84D76" w:rsidRPr="00A65BCE">
        <w:t xml:space="preserve"> </w:t>
      </w:r>
      <w:r w:rsidRPr="00A65BCE">
        <w:t>961B(2)(d), (e) and (f) of the Act</w:t>
      </w:r>
      <w:r w:rsidR="008E0521" w:rsidRPr="00A65BCE">
        <w:t xml:space="preserve"> in relation to advice that relates to a basic banking product or general insurance product</w:t>
      </w:r>
      <w:r w:rsidRPr="00A65BCE">
        <w:t>.</w:t>
      </w:r>
    </w:p>
    <w:p w:rsidR="0040070B" w:rsidRPr="00A65BCE" w:rsidRDefault="002A7B00" w:rsidP="002A7B00">
      <w:pPr>
        <w:pStyle w:val="subsection"/>
      </w:pPr>
      <w:r w:rsidRPr="00A65BCE">
        <w:tab/>
        <w:t>(2)</w:t>
      </w:r>
      <w:r w:rsidRPr="00A65BCE">
        <w:tab/>
        <w:t xml:space="preserve">The provider is not required to prove </w:t>
      </w:r>
      <w:r w:rsidR="0040070B" w:rsidRPr="00A65BCE">
        <w:t xml:space="preserve">that </w:t>
      </w:r>
      <w:r w:rsidRPr="00A65BCE">
        <w:t xml:space="preserve">he or she has taken the steps </w:t>
      </w:r>
      <w:r w:rsidR="0040070B" w:rsidRPr="00A65BCE">
        <w:t>if:</w:t>
      </w:r>
    </w:p>
    <w:p w:rsidR="002A7B00" w:rsidRPr="00A65BCE" w:rsidRDefault="008E0521" w:rsidP="002A7B00">
      <w:pPr>
        <w:pStyle w:val="paragraph"/>
      </w:pPr>
      <w:r w:rsidRPr="00A65BCE">
        <w:tab/>
        <w:t>(a</w:t>
      </w:r>
      <w:r w:rsidR="002A7B00" w:rsidRPr="00A65BCE">
        <w:t>)</w:t>
      </w:r>
      <w:r w:rsidR="002A7B00" w:rsidRPr="00A65BCE">
        <w:tab/>
        <w:t>the provider is:</w:t>
      </w:r>
    </w:p>
    <w:p w:rsidR="002A7B00" w:rsidRPr="00A65BCE" w:rsidRDefault="002A7B00" w:rsidP="002A7B00">
      <w:pPr>
        <w:pStyle w:val="paragraphsub"/>
      </w:pPr>
      <w:r w:rsidRPr="00A65BCE">
        <w:tab/>
        <w:t>(i)</w:t>
      </w:r>
      <w:r w:rsidRPr="00A65BCE">
        <w:tab/>
        <w:t>an agent or employee of an Australian ADI; or</w:t>
      </w:r>
    </w:p>
    <w:p w:rsidR="002A7B00" w:rsidRPr="00A65BCE" w:rsidRDefault="002A7B00" w:rsidP="002A7B00">
      <w:pPr>
        <w:pStyle w:val="paragraphsub"/>
      </w:pPr>
      <w:r w:rsidRPr="00A65BCE">
        <w:tab/>
        <w:t>(ii)</w:t>
      </w:r>
      <w:r w:rsidRPr="00A65BCE">
        <w:tab/>
        <w:t>otherwise acting by arrangement with an Australian ADI under the name of the Australian ADI; and</w:t>
      </w:r>
    </w:p>
    <w:p w:rsidR="002A7B00" w:rsidRPr="00A65BCE" w:rsidRDefault="008E0521" w:rsidP="002A7B00">
      <w:pPr>
        <w:pStyle w:val="paragraph"/>
      </w:pPr>
      <w:r w:rsidRPr="00A65BCE">
        <w:tab/>
        <w:t>(b</w:t>
      </w:r>
      <w:r w:rsidR="002A7B00" w:rsidRPr="00A65BCE">
        <w:t>)</w:t>
      </w:r>
      <w:r w:rsidR="002A7B00" w:rsidRPr="00A65BCE">
        <w:tab/>
        <w:t>the subject matter of the advice sought by the client relates only to the following:</w:t>
      </w:r>
    </w:p>
    <w:p w:rsidR="002A7B00" w:rsidRPr="00A65BCE" w:rsidRDefault="002A7B00" w:rsidP="002A7B00">
      <w:pPr>
        <w:pStyle w:val="paragraphsub"/>
      </w:pPr>
      <w:r w:rsidRPr="00A65BCE">
        <w:tab/>
        <w:t>(i)</w:t>
      </w:r>
      <w:r w:rsidRPr="00A65BCE">
        <w:tab/>
        <w:t>a basic banking product;</w:t>
      </w:r>
    </w:p>
    <w:p w:rsidR="002A7B00" w:rsidRPr="00A65BCE" w:rsidRDefault="002A7B00" w:rsidP="002A7B00">
      <w:pPr>
        <w:pStyle w:val="paragraphsub"/>
      </w:pPr>
      <w:r w:rsidRPr="00A65BCE">
        <w:tab/>
        <w:t>(ii)</w:t>
      </w:r>
      <w:r w:rsidRPr="00A65BCE">
        <w:tab/>
        <w:t>a general insurance product;</w:t>
      </w:r>
    </w:p>
    <w:p w:rsidR="002A7B00" w:rsidRPr="00A65BCE" w:rsidRDefault="002A7B00" w:rsidP="002A7B00">
      <w:pPr>
        <w:pStyle w:val="paragraphsub"/>
      </w:pPr>
      <w:r w:rsidRPr="00A65BCE">
        <w:tab/>
        <w:t>(iii)</w:t>
      </w:r>
      <w:r w:rsidRPr="00A65BCE">
        <w:tab/>
        <w:t>consumer credit insurance;</w:t>
      </w:r>
    </w:p>
    <w:p w:rsidR="002A7B00" w:rsidRPr="00A65BCE" w:rsidRDefault="002A7B00" w:rsidP="002A7B00">
      <w:pPr>
        <w:pStyle w:val="paragraphsub"/>
      </w:pPr>
      <w:r w:rsidRPr="00A65BCE">
        <w:tab/>
        <w:t>(iv)</w:t>
      </w:r>
      <w:r w:rsidRPr="00A65BCE">
        <w:tab/>
        <w:t>a combination of any of those products.</w:t>
      </w:r>
    </w:p>
    <w:p w:rsidR="002A7B00" w:rsidRPr="00A65BCE" w:rsidRDefault="002A7B00" w:rsidP="0040070B">
      <w:pPr>
        <w:pStyle w:val="ActHead5"/>
      </w:pPr>
      <w:bookmarkStart w:id="15" w:name="_Toc390763956"/>
      <w:r w:rsidRPr="00A65BCE">
        <w:rPr>
          <w:rStyle w:val="CharSectno"/>
        </w:rPr>
        <w:t>7.7A.5</w:t>
      </w:r>
      <w:r w:rsidRPr="00A65BCE">
        <w:t xml:space="preserve">  Best interests duty—</w:t>
      </w:r>
      <w:r w:rsidR="002D495D" w:rsidRPr="00A65BCE">
        <w:t>general insurance products</w:t>
      </w:r>
      <w:bookmarkEnd w:id="15"/>
    </w:p>
    <w:p w:rsidR="002A7B00" w:rsidRPr="00A65BCE" w:rsidRDefault="002A7B00" w:rsidP="002A7B00">
      <w:pPr>
        <w:pStyle w:val="subsection"/>
      </w:pPr>
      <w:r w:rsidRPr="00A65BCE">
        <w:tab/>
        <w:t>(1)</w:t>
      </w:r>
      <w:r w:rsidRPr="00A65BCE">
        <w:tab/>
        <w:t>This regulation:</w:t>
      </w:r>
    </w:p>
    <w:p w:rsidR="002A7B00" w:rsidRPr="00A65BCE" w:rsidRDefault="002A7B00" w:rsidP="002A7B00">
      <w:pPr>
        <w:pStyle w:val="paragraph"/>
      </w:pPr>
      <w:r w:rsidRPr="00A65BCE">
        <w:lastRenderedPageBreak/>
        <w:tab/>
        <w:t>(a)</w:t>
      </w:r>
      <w:r w:rsidRPr="00A65BCE">
        <w:tab/>
        <w:t>is made for paragraph</w:t>
      </w:r>
      <w:r w:rsidR="00A65BCE" w:rsidRPr="00A65BCE">
        <w:t> </w:t>
      </w:r>
      <w:r w:rsidRPr="00A65BCE">
        <w:t>961B(5)(b) of the Act; and</w:t>
      </w:r>
    </w:p>
    <w:p w:rsidR="002A7B00" w:rsidRPr="00A65BCE" w:rsidRDefault="002A7B00" w:rsidP="002A7B00">
      <w:pPr>
        <w:pStyle w:val="paragraph"/>
      </w:pPr>
      <w:r w:rsidRPr="00A65BCE">
        <w:tab/>
        <w:t>(b)</w:t>
      </w:r>
      <w:r w:rsidRPr="00A65BCE">
        <w:tab/>
        <w:t>prescribes a circumstance in which the provider is not required to prove that he or she has taken the steps mentioned in paragraphs</w:t>
      </w:r>
      <w:r w:rsidR="00F84D76" w:rsidRPr="00A65BCE">
        <w:t xml:space="preserve"> </w:t>
      </w:r>
      <w:r w:rsidRPr="00A65BCE">
        <w:t>961B(2)(d), (e) and (f) of the Act.</w:t>
      </w:r>
    </w:p>
    <w:p w:rsidR="002A7B00" w:rsidRPr="00A65BCE" w:rsidRDefault="002A7B00" w:rsidP="002A7B00">
      <w:pPr>
        <w:pStyle w:val="subsection"/>
      </w:pPr>
      <w:r w:rsidRPr="00A65BCE">
        <w:tab/>
        <w:t>(2)</w:t>
      </w:r>
      <w:r w:rsidRPr="00A65BCE">
        <w:tab/>
        <w:t xml:space="preserve">The provider is not required to prove </w:t>
      </w:r>
      <w:r w:rsidR="0040070B" w:rsidRPr="00A65BCE">
        <w:t xml:space="preserve">that </w:t>
      </w:r>
      <w:r w:rsidRPr="00A65BCE">
        <w:t xml:space="preserve">he or she has taken the steps </w:t>
      </w:r>
      <w:r w:rsidR="0040070B" w:rsidRPr="00A65BCE">
        <w:t>to the extent that the subject matter of the advice sought by the client is a general insurance product.</w:t>
      </w:r>
    </w:p>
    <w:p w:rsidR="00167CE7" w:rsidRPr="00A65BCE" w:rsidRDefault="00167CE7" w:rsidP="00E657BA">
      <w:pPr>
        <w:pStyle w:val="ActHead5"/>
      </w:pPr>
      <w:bookmarkStart w:id="16" w:name="_Toc390763957"/>
      <w:r w:rsidRPr="00A65BCE">
        <w:rPr>
          <w:rStyle w:val="CharSectno"/>
        </w:rPr>
        <w:t>7.7A.6</w:t>
      </w:r>
      <w:r w:rsidRPr="00A65BCE">
        <w:t xml:space="preserve">  Best interests duty—basic banking products</w:t>
      </w:r>
      <w:bookmarkEnd w:id="16"/>
    </w:p>
    <w:p w:rsidR="00167CE7" w:rsidRPr="00A65BCE" w:rsidRDefault="00167CE7" w:rsidP="00167CE7">
      <w:pPr>
        <w:pStyle w:val="subsection"/>
      </w:pPr>
      <w:r w:rsidRPr="00A65BCE">
        <w:tab/>
      </w:r>
      <w:r w:rsidRPr="00A65BCE">
        <w:tab/>
        <w:t>For paragraph</w:t>
      </w:r>
      <w:r w:rsidR="00A65BCE" w:rsidRPr="00A65BCE">
        <w:t> </w:t>
      </w:r>
      <w:r w:rsidRPr="00A65BCE">
        <w:t>961F(e) of the Act, a facility for making non</w:t>
      </w:r>
      <w:r w:rsidR="00A65BCE">
        <w:noBreakHyphen/>
      </w:r>
      <w:r w:rsidRPr="00A65BCE">
        <w:t>cash payments (see section</w:t>
      </w:r>
      <w:r w:rsidR="00A65BCE" w:rsidRPr="00A65BCE">
        <w:t> </w:t>
      </w:r>
      <w:r w:rsidRPr="00A65BCE">
        <w:t>763D</w:t>
      </w:r>
      <w:r w:rsidR="00BA1352" w:rsidRPr="00A65BCE">
        <w:t xml:space="preserve"> of the Act</w:t>
      </w:r>
      <w:r w:rsidRPr="00A65BCE">
        <w:t xml:space="preserve">) that is not related to a basic deposit product is a </w:t>
      </w:r>
      <w:r w:rsidRPr="00A65BCE">
        <w:rPr>
          <w:b/>
          <w:i/>
        </w:rPr>
        <w:t>basic banking product</w:t>
      </w:r>
      <w:r w:rsidRPr="00A65BCE">
        <w:t>.</w:t>
      </w:r>
    </w:p>
    <w:p w:rsidR="00E657BA" w:rsidRPr="00A65BCE" w:rsidRDefault="002A7B00" w:rsidP="00E657BA">
      <w:pPr>
        <w:pStyle w:val="ActHead5"/>
      </w:pPr>
      <w:bookmarkStart w:id="17" w:name="_Toc390763958"/>
      <w:r w:rsidRPr="00A65BCE">
        <w:rPr>
          <w:rStyle w:val="CharSectno"/>
        </w:rPr>
        <w:t>7.7A.</w:t>
      </w:r>
      <w:r w:rsidR="00167CE7" w:rsidRPr="00A65BCE">
        <w:rPr>
          <w:rStyle w:val="CharSectno"/>
        </w:rPr>
        <w:t>7</w:t>
      </w:r>
      <w:r w:rsidR="00E657BA" w:rsidRPr="00A65BCE">
        <w:t xml:space="preserve">  Renewal notice</w:t>
      </w:r>
      <w:bookmarkEnd w:id="17"/>
    </w:p>
    <w:p w:rsidR="00E657BA" w:rsidRPr="00A65BCE" w:rsidRDefault="00E657BA" w:rsidP="00E657BA">
      <w:pPr>
        <w:pStyle w:val="subsection"/>
      </w:pPr>
      <w:r w:rsidRPr="00A65BCE">
        <w:tab/>
        <w:t>(1)</w:t>
      </w:r>
      <w:r w:rsidRPr="00A65BCE">
        <w:tab/>
        <w:t>This regulation:</w:t>
      </w:r>
    </w:p>
    <w:p w:rsidR="00E657BA" w:rsidRPr="00A65BCE" w:rsidRDefault="00E657BA" w:rsidP="00E657BA">
      <w:pPr>
        <w:pStyle w:val="paragraph"/>
      </w:pPr>
      <w:r w:rsidRPr="00A65BCE">
        <w:tab/>
        <w:t>(a)</w:t>
      </w:r>
      <w:r w:rsidRPr="00A65BCE">
        <w:tab/>
        <w:t>is made for subsection</w:t>
      </w:r>
      <w:r w:rsidR="00A65BCE" w:rsidRPr="00A65BCE">
        <w:t> </w:t>
      </w:r>
      <w:r w:rsidRPr="00A65BCE">
        <w:t>962K(3) of the Act; and</w:t>
      </w:r>
    </w:p>
    <w:p w:rsidR="00E657BA" w:rsidRPr="00A65BCE" w:rsidRDefault="00E657BA" w:rsidP="00E657BA">
      <w:pPr>
        <w:pStyle w:val="paragraph"/>
      </w:pPr>
      <w:r w:rsidRPr="00A65BCE">
        <w:tab/>
        <w:t>(b)</w:t>
      </w:r>
      <w:r w:rsidRPr="00A65BCE">
        <w:tab/>
        <w:t>provides a situation in which subsection</w:t>
      </w:r>
      <w:r w:rsidR="00A65BCE" w:rsidRPr="00A65BCE">
        <w:t> </w:t>
      </w:r>
      <w:r w:rsidRPr="00A65BCE">
        <w:t>962K(1) of the Act does not apply.</w:t>
      </w:r>
    </w:p>
    <w:p w:rsidR="00E657BA" w:rsidRPr="00A65BCE" w:rsidRDefault="00E657BA" w:rsidP="00E657BA">
      <w:pPr>
        <w:pStyle w:val="subsection"/>
      </w:pPr>
      <w:r w:rsidRPr="00A65BCE">
        <w:tab/>
        <w:t>(2)</w:t>
      </w:r>
      <w:r w:rsidRPr="00A65BCE">
        <w:tab/>
        <w:t>The current fee recipient is not required to give the client a renewal notice in relation to an ongoing fee arrangement if the arrangement is entered into in the period between:</w:t>
      </w:r>
    </w:p>
    <w:p w:rsidR="00E657BA" w:rsidRPr="00A65BCE" w:rsidRDefault="00E657BA" w:rsidP="00E657BA">
      <w:pPr>
        <w:pStyle w:val="paragraph"/>
      </w:pPr>
      <w:r w:rsidRPr="00A65BCE">
        <w:tab/>
        <w:t>(a)</w:t>
      </w:r>
      <w:r w:rsidRPr="00A65BCE">
        <w:tab/>
        <w:t xml:space="preserve">the commencement of the </w:t>
      </w:r>
      <w:r w:rsidRPr="00A65BCE">
        <w:rPr>
          <w:i/>
        </w:rPr>
        <w:t>Corporations Amendment (Streamlining Future of Financial Advice) Regulation</w:t>
      </w:r>
      <w:r w:rsidR="00A65BCE" w:rsidRPr="00A65BCE">
        <w:rPr>
          <w:i/>
        </w:rPr>
        <w:t> </w:t>
      </w:r>
      <w:r w:rsidRPr="00A65BCE">
        <w:rPr>
          <w:i/>
        </w:rPr>
        <w:t>2014</w:t>
      </w:r>
      <w:r w:rsidRPr="00A65BCE">
        <w:t>; and</w:t>
      </w:r>
    </w:p>
    <w:p w:rsidR="00E657BA" w:rsidRPr="00A65BCE" w:rsidRDefault="00E657BA" w:rsidP="00E657BA">
      <w:pPr>
        <w:pStyle w:val="paragraph"/>
      </w:pPr>
      <w:r w:rsidRPr="00A65BCE">
        <w:tab/>
        <w:t>(b)</w:t>
      </w:r>
      <w:r w:rsidRPr="00A65BCE">
        <w:tab/>
        <w:t>the end of 31</w:t>
      </w:r>
      <w:r w:rsidR="00A65BCE" w:rsidRPr="00A65BCE">
        <w:t> </w:t>
      </w:r>
      <w:r w:rsidRPr="00A65BCE">
        <w:t>December 2015.</w:t>
      </w:r>
    </w:p>
    <w:p w:rsidR="00E657BA" w:rsidRPr="00A65BCE" w:rsidRDefault="002A7B00" w:rsidP="00E657BA">
      <w:pPr>
        <w:pStyle w:val="ActHead5"/>
      </w:pPr>
      <w:bookmarkStart w:id="18" w:name="_Toc390763959"/>
      <w:r w:rsidRPr="00A65BCE">
        <w:rPr>
          <w:rStyle w:val="CharSectno"/>
        </w:rPr>
        <w:t>7.7A.</w:t>
      </w:r>
      <w:r w:rsidR="00167CE7" w:rsidRPr="00A65BCE">
        <w:rPr>
          <w:rStyle w:val="CharSectno"/>
        </w:rPr>
        <w:t>8</w:t>
      </w:r>
      <w:r w:rsidR="00E657BA" w:rsidRPr="00A65BCE">
        <w:t xml:space="preserve">  Fee disclosure statement</w:t>
      </w:r>
      <w:bookmarkEnd w:id="18"/>
    </w:p>
    <w:p w:rsidR="00E657BA" w:rsidRPr="00A65BCE" w:rsidRDefault="00E657BA" w:rsidP="00E657BA">
      <w:pPr>
        <w:pStyle w:val="subsection"/>
      </w:pPr>
      <w:r w:rsidRPr="00A65BCE">
        <w:tab/>
        <w:t>(1)</w:t>
      </w:r>
      <w:r w:rsidRPr="00A65BCE">
        <w:tab/>
        <w:t>This regulation:</w:t>
      </w:r>
    </w:p>
    <w:p w:rsidR="00E657BA" w:rsidRPr="00A65BCE" w:rsidRDefault="00E657BA" w:rsidP="00E657BA">
      <w:pPr>
        <w:pStyle w:val="paragraph"/>
      </w:pPr>
      <w:r w:rsidRPr="00A65BCE">
        <w:tab/>
        <w:t>(a)</w:t>
      </w:r>
      <w:r w:rsidRPr="00A65BCE">
        <w:tab/>
        <w:t>is made for subsection</w:t>
      </w:r>
      <w:r w:rsidR="00A65BCE" w:rsidRPr="00A65BCE">
        <w:t> </w:t>
      </w:r>
      <w:r w:rsidRPr="00A65BCE">
        <w:t>962S(2) of the Act; and</w:t>
      </w:r>
    </w:p>
    <w:p w:rsidR="00E657BA" w:rsidRPr="00A65BCE" w:rsidRDefault="00E657BA" w:rsidP="00E657BA">
      <w:pPr>
        <w:pStyle w:val="paragraph"/>
      </w:pPr>
      <w:r w:rsidRPr="00A65BCE">
        <w:tab/>
        <w:t>(b)</w:t>
      </w:r>
      <w:r w:rsidRPr="00A65BCE">
        <w:tab/>
        <w:t>provides a situation in which subsection</w:t>
      </w:r>
      <w:r w:rsidR="00A65BCE" w:rsidRPr="00A65BCE">
        <w:t> </w:t>
      </w:r>
      <w:r w:rsidRPr="00A65BCE">
        <w:t>962S(1) of the Act does not apply.</w:t>
      </w:r>
    </w:p>
    <w:p w:rsidR="00E657BA" w:rsidRPr="00A65BCE" w:rsidRDefault="00E657BA" w:rsidP="00E657BA">
      <w:pPr>
        <w:pStyle w:val="subsection"/>
      </w:pPr>
      <w:r w:rsidRPr="00A65BCE">
        <w:tab/>
        <w:t>(2)</w:t>
      </w:r>
      <w:r w:rsidRPr="00A65BCE">
        <w:tab/>
        <w:t>The current fee recipient is not required to give the client a fee disclosure statement in relation to an ongoing fee arrangement that was entered into before 1</w:t>
      </w:r>
      <w:r w:rsidR="00A65BCE" w:rsidRPr="00A65BCE">
        <w:t> </w:t>
      </w:r>
      <w:r w:rsidRPr="00A65BCE">
        <w:t>July 2013 during the period between:</w:t>
      </w:r>
    </w:p>
    <w:p w:rsidR="00E657BA" w:rsidRPr="00A65BCE" w:rsidRDefault="00E657BA" w:rsidP="00E657BA">
      <w:pPr>
        <w:pStyle w:val="paragraph"/>
      </w:pPr>
      <w:r w:rsidRPr="00A65BCE">
        <w:lastRenderedPageBreak/>
        <w:tab/>
        <w:t>(a)</w:t>
      </w:r>
      <w:r w:rsidRPr="00A65BCE">
        <w:tab/>
        <w:t xml:space="preserve">the commencement of the </w:t>
      </w:r>
      <w:r w:rsidRPr="00A65BCE">
        <w:rPr>
          <w:i/>
        </w:rPr>
        <w:t>Corporations Amendment (Streamlining Future of Financial Advice) Regulation</w:t>
      </w:r>
      <w:r w:rsidR="00A65BCE" w:rsidRPr="00A65BCE">
        <w:rPr>
          <w:i/>
        </w:rPr>
        <w:t> </w:t>
      </w:r>
      <w:r w:rsidRPr="00A65BCE">
        <w:rPr>
          <w:i/>
        </w:rPr>
        <w:t>2014</w:t>
      </w:r>
      <w:r w:rsidRPr="00A65BCE">
        <w:t>;</w:t>
      </w:r>
      <w:r w:rsidRPr="00A65BCE">
        <w:rPr>
          <w:i/>
        </w:rPr>
        <w:t xml:space="preserve"> </w:t>
      </w:r>
      <w:r w:rsidRPr="00A65BCE">
        <w:t>and</w:t>
      </w:r>
    </w:p>
    <w:p w:rsidR="00E657BA" w:rsidRPr="00A65BCE" w:rsidRDefault="00E657BA" w:rsidP="00E657BA">
      <w:pPr>
        <w:pStyle w:val="paragraph"/>
      </w:pPr>
      <w:r w:rsidRPr="00A65BCE">
        <w:tab/>
        <w:t>(b)</w:t>
      </w:r>
      <w:r w:rsidRPr="00A65BCE">
        <w:tab/>
        <w:t>the end of 31</w:t>
      </w:r>
      <w:r w:rsidR="00A65BCE" w:rsidRPr="00A65BCE">
        <w:t> </w:t>
      </w:r>
      <w:r w:rsidRPr="00A65BCE">
        <w:t>December 2015.</w:t>
      </w:r>
    </w:p>
    <w:p w:rsidR="00E657BA" w:rsidRPr="00A65BCE" w:rsidRDefault="00850109" w:rsidP="00E657BA">
      <w:pPr>
        <w:pStyle w:val="ItemHead"/>
      </w:pPr>
      <w:r w:rsidRPr="00A65BCE">
        <w:t>8</w:t>
      </w:r>
      <w:r w:rsidR="00E657BA" w:rsidRPr="00A65BCE">
        <w:t xml:space="preserve">  At the end of regulation</w:t>
      </w:r>
      <w:r w:rsidR="00A65BCE" w:rsidRPr="00A65BCE">
        <w:t> </w:t>
      </w:r>
      <w:r w:rsidR="00E657BA" w:rsidRPr="00A65BCE">
        <w:t>7.7A.10</w:t>
      </w:r>
    </w:p>
    <w:p w:rsidR="00E657BA" w:rsidRPr="00A65BCE" w:rsidRDefault="00E657BA" w:rsidP="00E657BA">
      <w:pPr>
        <w:pStyle w:val="Item"/>
      </w:pPr>
      <w:r w:rsidRPr="00A65BCE">
        <w:t>Add:</w:t>
      </w:r>
    </w:p>
    <w:p w:rsidR="00E657BA" w:rsidRPr="00A65BCE" w:rsidRDefault="00E657BA" w:rsidP="00E657BA">
      <w:pPr>
        <w:pStyle w:val="notetext"/>
      </w:pPr>
      <w:r w:rsidRPr="00A65BCE">
        <w:t>Note:</w:t>
      </w:r>
      <w:r w:rsidRPr="00A65BCE">
        <w:tab/>
      </w:r>
      <w:r w:rsidR="00347D17" w:rsidRPr="00A65BCE">
        <w:t xml:space="preserve">The expression </w:t>
      </w:r>
      <w:r w:rsidR="00347D17" w:rsidRPr="00A65BCE">
        <w:rPr>
          <w:b/>
          <w:i/>
        </w:rPr>
        <w:t>intrafund advice</w:t>
      </w:r>
      <w:r w:rsidR="00347D17" w:rsidRPr="00A65BCE">
        <w:t xml:space="preserve"> is often used to describe financial product advice given by a trustee (or an employee of, or another person acting under arrangement with, the trustee) of a regulated superannuation fund to its members, where that advice is not of a kind to which the prohibition in section</w:t>
      </w:r>
      <w:r w:rsidR="00A65BCE" w:rsidRPr="00A65BCE">
        <w:t> </w:t>
      </w:r>
      <w:r w:rsidR="00347D17" w:rsidRPr="00A65BCE">
        <w:t>99F of</w:t>
      </w:r>
      <w:r w:rsidR="00F84D76" w:rsidRPr="00A65BCE">
        <w:t xml:space="preserve"> the</w:t>
      </w:r>
      <w:r w:rsidR="00347D17" w:rsidRPr="00A65BCE">
        <w:t xml:space="preserve"> </w:t>
      </w:r>
      <w:r w:rsidR="00347D17" w:rsidRPr="00A65BCE">
        <w:rPr>
          <w:i/>
        </w:rPr>
        <w:t>Superannuation Industry (Supervision) Act 1993</w:t>
      </w:r>
      <w:r w:rsidR="00347D17" w:rsidRPr="00A65BCE">
        <w:t xml:space="preserve"> applies. (Section</w:t>
      </w:r>
      <w:r w:rsidR="00A65BCE" w:rsidRPr="00A65BCE">
        <w:t> </w:t>
      </w:r>
      <w:r w:rsidR="00347D17" w:rsidRPr="00A65BCE">
        <w:t>99F of that Act prohibits trustees of regulated superannuation funds from passing on the cost of providing certain kinds of financial product advice in relation to one member of the fund to another.)</w:t>
      </w:r>
    </w:p>
    <w:p w:rsidR="005E679A" w:rsidRPr="00A65BCE" w:rsidRDefault="00850109" w:rsidP="005E679A">
      <w:pPr>
        <w:pStyle w:val="ItemHead"/>
      </w:pPr>
      <w:r w:rsidRPr="00A65BCE">
        <w:t>9</w:t>
      </w:r>
      <w:r w:rsidR="005E679A" w:rsidRPr="00A65BCE">
        <w:t xml:space="preserve">  Regulation</w:t>
      </w:r>
      <w:r w:rsidR="00A65BCE" w:rsidRPr="00A65BCE">
        <w:t> </w:t>
      </w:r>
      <w:r w:rsidR="005E679A" w:rsidRPr="00A65BCE">
        <w:t>7.7A.12 (note)</w:t>
      </w:r>
    </w:p>
    <w:p w:rsidR="005E679A" w:rsidRPr="00A65BCE" w:rsidRDefault="005E679A" w:rsidP="005E679A">
      <w:pPr>
        <w:pStyle w:val="Item"/>
      </w:pPr>
      <w:r w:rsidRPr="00A65BCE">
        <w:t>After “Note”, insert “1”.</w:t>
      </w:r>
    </w:p>
    <w:p w:rsidR="00BA27AA" w:rsidRPr="00A65BCE" w:rsidRDefault="00850109" w:rsidP="00BA27AA">
      <w:pPr>
        <w:pStyle w:val="ItemHead"/>
      </w:pPr>
      <w:r w:rsidRPr="00A65BCE">
        <w:t>10</w:t>
      </w:r>
      <w:r w:rsidR="00BA27AA" w:rsidRPr="00A65BCE">
        <w:t xml:space="preserve">  </w:t>
      </w:r>
      <w:r w:rsidR="005E679A" w:rsidRPr="00A65BCE">
        <w:t>At the end of regulation</w:t>
      </w:r>
      <w:r w:rsidR="00A65BCE" w:rsidRPr="00A65BCE">
        <w:t> </w:t>
      </w:r>
      <w:r w:rsidR="005E679A" w:rsidRPr="00A65BCE">
        <w:t>7.7A.12</w:t>
      </w:r>
    </w:p>
    <w:p w:rsidR="005E679A" w:rsidRPr="00A65BCE" w:rsidRDefault="005E679A" w:rsidP="005E679A">
      <w:pPr>
        <w:pStyle w:val="Item"/>
      </w:pPr>
      <w:r w:rsidRPr="00A65BCE">
        <w:t>Add:</w:t>
      </w:r>
    </w:p>
    <w:p w:rsidR="000C1293" w:rsidRPr="00A65BCE" w:rsidRDefault="000C1293" w:rsidP="000C1293">
      <w:pPr>
        <w:pStyle w:val="notetext"/>
      </w:pPr>
      <w:r w:rsidRPr="00A65BCE">
        <w:t>Note 2:</w:t>
      </w:r>
      <w:r w:rsidRPr="00A65BCE">
        <w:tab/>
        <w:t>A reference in this Division to giving a benefit includes a reference to causing or authorising it to be given (see section</w:t>
      </w:r>
      <w:r w:rsidR="00A65BCE" w:rsidRPr="00A65BCE">
        <w:t> </w:t>
      </w:r>
      <w:r w:rsidRPr="00A65BCE">
        <w:t>52 of the Act).</w:t>
      </w:r>
    </w:p>
    <w:p w:rsidR="001234E9" w:rsidRPr="00A65BCE" w:rsidRDefault="001234E9" w:rsidP="00D713A8">
      <w:pPr>
        <w:pStyle w:val="notetext"/>
      </w:pPr>
      <w:r w:rsidRPr="00A65BCE">
        <w:t>Note 3:</w:t>
      </w:r>
      <w:r w:rsidRPr="00A65BCE">
        <w:tab/>
        <w:t>Under the governing rules of some regulated superannuation funds, a member may seek advice on the basis that the trustee of the fund will pay the licensee or representative for the advice and then recover the amount paid from the assets of the fund attributed to that member. In that case, the member has caused or authorised the amount to be paid to the licensee or representative</w:t>
      </w:r>
      <w:r w:rsidR="009B1460" w:rsidRPr="00A65BCE">
        <w:t xml:space="preserve">. If the operation of </w:t>
      </w:r>
      <w:r w:rsidRPr="00A65BCE">
        <w:t>section</w:t>
      </w:r>
      <w:r w:rsidR="00A65BCE" w:rsidRPr="00A65BCE">
        <w:t> </w:t>
      </w:r>
      <w:r w:rsidRPr="00A65BCE">
        <w:t>52 of the Act and these regulation</w:t>
      </w:r>
      <w:r w:rsidR="009B1460" w:rsidRPr="00A65BCE">
        <w:t xml:space="preserve"> means that the </w:t>
      </w:r>
      <w:r w:rsidRPr="00A65BCE">
        <w:t>payment is not conflicted remuneration</w:t>
      </w:r>
      <w:r w:rsidR="009B1460" w:rsidRPr="00A65BCE">
        <w:t>, the</w:t>
      </w:r>
      <w:r w:rsidRPr="00A65BCE">
        <w:t xml:space="preserve"> trustee’s obligations under section</w:t>
      </w:r>
      <w:r w:rsidR="00A65BCE" w:rsidRPr="00A65BCE">
        <w:t> </w:t>
      </w:r>
      <w:r w:rsidRPr="00A65BCE">
        <w:t xml:space="preserve">62 of the </w:t>
      </w:r>
      <w:r w:rsidRPr="00A65BCE">
        <w:rPr>
          <w:i/>
        </w:rPr>
        <w:t>Superannuation Industry (Supervision) Act 1993</w:t>
      </w:r>
      <w:r w:rsidRPr="00A65BCE">
        <w:t xml:space="preserve"> (which deals with the purposes for which a trustee may act in maintaining a regulated superannuation fund)</w:t>
      </w:r>
      <w:r w:rsidR="009B1460" w:rsidRPr="00A65BCE">
        <w:t xml:space="preserve"> will not be affected</w:t>
      </w:r>
      <w:r w:rsidRPr="00A65BCE">
        <w:t>.</w:t>
      </w:r>
    </w:p>
    <w:p w:rsidR="00E657BA" w:rsidRPr="00A65BCE" w:rsidRDefault="00850109" w:rsidP="00E657BA">
      <w:pPr>
        <w:pStyle w:val="ItemHead"/>
      </w:pPr>
      <w:r w:rsidRPr="00A65BCE">
        <w:t>11</w:t>
      </w:r>
      <w:r w:rsidR="00E657BA" w:rsidRPr="00A65BCE">
        <w:t xml:space="preserve">  Regulation</w:t>
      </w:r>
      <w:r w:rsidR="00A65BCE" w:rsidRPr="00A65BCE">
        <w:t> </w:t>
      </w:r>
      <w:r w:rsidR="00E8278C" w:rsidRPr="00A65BCE">
        <w:t>7.7A.12B</w:t>
      </w:r>
    </w:p>
    <w:p w:rsidR="004B2819" w:rsidRPr="00A65BCE" w:rsidRDefault="00E657BA" w:rsidP="004B2819">
      <w:pPr>
        <w:pStyle w:val="Item"/>
      </w:pPr>
      <w:r w:rsidRPr="00A65BCE">
        <w:t>Repeal the regulation</w:t>
      </w:r>
      <w:r w:rsidR="004B2819" w:rsidRPr="00A65BCE">
        <w:t>, substitute:</w:t>
      </w:r>
    </w:p>
    <w:p w:rsidR="004B2819" w:rsidRPr="00A65BCE" w:rsidRDefault="004B2819" w:rsidP="004B2819">
      <w:pPr>
        <w:pStyle w:val="ActHead5"/>
      </w:pPr>
      <w:bookmarkStart w:id="19" w:name="_Toc390763960"/>
      <w:r w:rsidRPr="00A65BCE">
        <w:rPr>
          <w:rStyle w:val="CharSectno"/>
        </w:rPr>
        <w:t>7.7A.12B</w:t>
      </w:r>
      <w:r w:rsidRPr="00A65BCE">
        <w:t xml:space="preserve">  Stamping fees</w:t>
      </w:r>
      <w:bookmarkEnd w:id="19"/>
    </w:p>
    <w:p w:rsidR="004B2819" w:rsidRPr="00A65BCE" w:rsidRDefault="004B2819" w:rsidP="004B2819">
      <w:pPr>
        <w:pStyle w:val="subsection"/>
      </w:pPr>
      <w:r w:rsidRPr="00A65BCE">
        <w:tab/>
        <w:t>(1)</w:t>
      </w:r>
      <w:r w:rsidRPr="00A65BCE">
        <w:tab/>
        <w:t xml:space="preserve">A monetary benefit is not conflicted remuneration if it is a stamping fee given to </w:t>
      </w:r>
      <w:r w:rsidR="00AF2AE5" w:rsidRPr="00A65BCE">
        <w:t xml:space="preserve">facilitate </w:t>
      </w:r>
      <w:r w:rsidRPr="00A65BCE">
        <w:t>a</w:t>
      </w:r>
      <w:r w:rsidR="001B1A1D" w:rsidRPr="00A65BCE">
        <w:t>n approved</w:t>
      </w:r>
      <w:r w:rsidRPr="00A65BCE">
        <w:t xml:space="preserve"> capital raising.</w:t>
      </w:r>
    </w:p>
    <w:p w:rsidR="004B2819" w:rsidRPr="00A65BCE" w:rsidRDefault="004B2819" w:rsidP="004B2819">
      <w:pPr>
        <w:pStyle w:val="subsection"/>
      </w:pPr>
      <w:r w:rsidRPr="00A65BCE">
        <w:lastRenderedPageBreak/>
        <w:tab/>
        <w:t>(2)</w:t>
      </w:r>
      <w:r w:rsidRPr="00A65BCE">
        <w:tab/>
        <w:t>In this regulation:</w:t>
      </w:r>
    </w:p>
    <w:p w:rsidR="00AF2AE5" w:rsidRPr="00A65BCE" w:rsidRDefault="00AF2AE5" w:rsidP="00AF2AE5">
      <w:pPr>
        <w:pStyle w:val="Definition"/>
      </w:pPr>
      <w:r w:rsidRPr="00A65BCE">
        <w:rPr>
          <w:b/>
          <w:i/>
        </w:rPr>
        <w:t>approved capital raising</w:t>
      </w:r>
      <w:r w:rsidRPr="00A65BCE">
        <w:t xml:space="preserve"> means:</w:t>
      </w:r>
    </w:p>
    <w:p w:rsidR="00AF2AE5" w:rsidRPr="00A65BCE" w:rsidRDefault="00AF2AE5" w:rsidP="00AF2AE5">
      <w:pPr>
        <w:pStyle w:val="paragraph"/>
      </w:pPr>
      <w:r w:rsidRPr="00A65BCE">
        <w:tab/>
        <w:t>(a)</w:t>
      </w:r>
      <w:r w:rsidRPr="00A65BCE">
        <w:tab/>
        <w:t>an offer to issue an approved financial product; or</w:t>
      </w:r>
    </w:p>
    <w:p w:rsidR="00AF2AE5" w:rsidRPr="00A65BCE" w:rsidRDefault="00AF2AE5" w:rsidP="00AF2AE5">
      <w:pPr>
        <w:pStyle w:val="paragraph"/>
      </w:pPr>
      <w:r w:rsidRPr="00A65BCE">
        <w:tab/>
        <w:t>(b)</w:t>
      </w:r>
      <w:r w:rsidRPr="00A65BCE">
        <w:tab/>
        <w:t>an offer to sel</w:t>
      </w:r>
      <w:r w:rsidR="00414039" w:rsidRPr="00A65BCE">
        <w:t>l an approved financial product</w:t>
      </w:r>
      <w:r w:rsidRPr="00A65BCE">
        <w:t>;</w:t>
      </w:r>
    </w:p>
    <w:p w:rsidR="00AF2AE5" w:rsidRPr="00A65BCE" w:rsidRDefault="00AF2AE5" w:rsidP="00AF2AE5">
      <w:pPr>
        <w:pStyle w:val="subsection2"/>
      </w:pPr>
      <w:r w:rsidRPr="00A65BCE">
        <w:t>where the purpose of the offer is to raise</w:t>
      </w:r>
      <w:r w:rsidR="00FD2D5A" w:rsidRPr="00A65BCE">
        <w:t xml:space="preserve"> </w:t>
      </w:r>
      <w:r w:rsidRPr="00A65BCE">
        <w:t xml:space="preserve">funds for the person </w:t>
      </w:r>
      <w:r w:rsidR="00AD0CC8" w:rsidRPr="00A65BCE">
        <w:t>issuing or selling the approved financial product</w:t>
      </w:r>
      <w:r w:rsidRPr="00A65BCE">
        <w:t>.</w:t>
      </w:r>
    </w:p>
    <w:p w:rsidR="001B1A1D" w:rsidRPr="00A65BCE" w:rsidRDefault="001B1A1D" w:rsidP="001B1A1D">
      <w:pPr>
        <w:pStyle w:val="Definition"/>
      </w:pPr>
      <w:r w:rsidRPr="00A65BCE">
        <w:rPr>
          <w:b/>
          <w:i/>
        </w:rPr>
        <w:t xml:space="preserve">approved financial product </w:t>
      </w:r>
      <w:r w:rsidRPr="00A65BCE">
        <w:t>means:</w:t>
      </w:r>
    </w:p>
    <w:p w:rsidR="001B1A1D" w:rsidRPr="00A65BCE" w:rsidRDefault="001B1A1D" w:rsidP="001B1A1D">
      <w:pPr>
        <w:pStyle w:val="paragraph"/>
      </w:pPr>
      <w:r w:rsidRPr="00A65BCE">
        <w:tab/>
        <w:t>(a)</w:t>
      </w:r>
      <w:r w:rsidRPr="00A65BCE">
        <w:tab/>
        <w:t>debentures, stocks or bonds that are, or are proposed to be, issued by a government; or</w:t>
      </w:r>
    </w:p>
    <w:p w:rsidR="001B1A1D" w:rsidRPr="00A65BCE" w:rsidRDefault="001B1A1D" w:rsidP="001B1A1D">
      <w:pPr>
        <w:pStyle w:val="paragraph"/>
      </w:pPr>
      <w:r w:rsidRPr="00A65BCE">
        <w:tab/>
        <w:t>(b)</w:t>
      </w:r>
      <w:r w:rsidRPr="00A65BCE">
        <w:tab/>
        <w:t>shares in, or debentures of, a body that are</w:t>
      </w:r>
      <w:r w:rsidR="00544C05" w:rsidRPr="00A65BCE">
        <w:t>, or are</w:t>
      </w:r>
      <w:r w:rsidRPr="00A65BCE">
        <w:t xml:space="preserve"> proposed to be</w:t>
      </w:r>
      <w:r w:rsidR="00544C05" w:rsidRPr="00A65BCE">
        <w:t>,</w:t>
      </w:r>
      <w:r w:rsidRPr="00A65BCE">
        <w:t xml:space="preserve"> </w:t>
      </w:r>
      <w:r w:rsidR="006B724B" w:rsidRPr="00A65BCE">
        <w:t xml:space="preserve">quoted </w:t>
      </w:r>
      <w:r w:rsidRPr="00A65BCE">
        <w:t>on a prescribed financial market; or</w:t>
      </w:r>
    </w:p>
    <w:p w:rsidR="001B1A1D" w:rsidRPr="00A65BCE" w:rsidRDefault="001B1A1D" w:rsidP="001B1A1D">
      <w:pPr>
        <w:pStyle w:val="paragraph"/>
      </w:pPr>
      <w:r w:rsidRPr="00A65BCE">
        <w:tab/>
        <w:t>(c)</w:t>
      </w:r>
      <w:r w:rsidRPr="00A65BCE">
        <w:tab/>
        <w:t xml:space="preserve">interests in a managed investment scheme that </w:t>
      </w:r>
      <w:r w:rsidR="00544C05" w:rsidRPr="00A65BCE">
        <w:t xml:space="preserve">are, or are proposed </w:t>
      </w:r>
      <w:r w:rsidRPr="00A65BCE">
        <w:t>to be</w:t>
      </w:r>
      <w:r w:rsidR="00544C05" w:rsidRPr="00A65BCE">
        <w:t>,</w:t>
      </w:r>
      <w:r w:rsidRPr="00A65BCE">
        <w:t xml:space="preserve"> </w:t>
      </w:r>
      <w:r w:rsidR="006B724B" w:rsidRPr="00A65BCE">
        <w:t>quoted</w:t>
      </w:r>
      <w:r w:rsidRPr="00A65BCE">
        <w:t xml:space="preserve"> on a prescribed financial market; or</w:t>
      </w:r>
    </w:p>
    <w:p w:rsidR="001B1A1D" w:rsidRPr="00A65BCE" w:rsidRDefault="001B1A1D" w:rsidP="001B1A1D">
      <w:pPr>
        <w:pStyle w:val="paragraph"/>
      </w:pPr>
      <w:r w:rsidRPr="00A65BCE">
        <w:tab/>
        <w:t>(d)</w:t>
      </w:r>
      <w:r w:rsidRPr="00A65BCE">
        <w:tab/>
        <w:t xml:space="preserve">a right to acquire, by way of issue, shares, debentures or interests mentioned in </w:t>
      </w:r>
      <w:r w:rsidR="00A65BCE" w:rsidRPr="00A65BCE">
        <w:t>paragraph (</w:t>
      </w:r>
      <w:r w:rsidRPr="00A65BCE">
        <w:t>b) or (c).</w:t>
      </w:r>
    </w:p>
    <w:p w:rsidR="001B1A1D" w:rsidRPr="00A65BCE" w:rsidRDefault="001B1A1D" w:rsidP="001B1A1D">
      <w:pPr>
        <w:pStyle w:val="Definition"/>
      </w:pPr>
      <w:r w:rsidRPr="00A65BCE">
        <w:rPr>
          <w:b/>
          <w:i/>
        </w:rPr>
        <w:t>stamping fee</w:t>
      </w:r>
      <w:r w:rsidRPr="00A65BCE">
        <w:t xml:space="preserve"> means</w:t>
      </w:r>
      <w:r w:rsidR="00526CAD" w:rsidRPr="00A65BCE">
        <w:t xml:space="preserve"> a fee, or a part of a fee</w:t>
      </w:r>
      <w:r w:rsidRPr="00A65BCE">
        <w:t>:</w:t>
      </w:r>
    </w:p>
    <w:p w:rsidR="00D8062B" w:rsidRPr="00A65BCE" w:rsidRDefault="001B1A1D" w:rsidP="001B1A1D">
      <w:pPr>
        <w:pStyle w:val="paragraph"/>
      </w:pPr>
      <w:r w:rsidRPr="00A65BCE">
        <w:tab/>
        <w:t>(a)</w:t>
      </w:r>
      <w:r w:rsidRPr="00A65BCE">
        <w:tab/>
      </w:r>
      <w:r w:rsidR="0055386B" w:rsidRPr="00A65BCE">
        <w:t xml:space="preserve">that </w:t>
      </w:r>
      <w:r w:rsidR="00475446" w:rsidRPr="00A65BCE">
        <w:t xml:space="preserve">a person, including </w:t>
      </w:r>
      <w:r w:rsidRPr="00A65BCE">
        <w:t>an issuer of a financial product, or a person acting on</w:t>
      </w:r>
      <w:r w:rsidR="00C2028D" w:rsidRPr="00A65BCE">
        <w:t xml:space="preserve"> behalf of the issuer, pays either directly or indirectly to a</w:t>
      </w:r>
      <w:r w:rsidRPr="00A65BCE">
        <w:t xml:space="preserve"> provider in connection with</w:t>
      </w:r>
      <w:r w:rsidR="00D8062B" w:rsidRPr="00A65BCE">
        <w:t>:</w:t>
      </w:r>
    </w:p>
    <w:p w:rsidR="001B1A1D" w:rsidRPr="00A65BCE" w:rsidRDefault="00D8062B" w:rsidP="00D8062B">
      <w:pPr>
        <w:pStyle w:val="paragraphsub"/>
      </w:pPr>
      <w:r w:rsidRPr="00A65BCE">
        <w:tab/>
        <w:t>(i)</w:t>
      </w:r>
      <w:r w:rsidRPr="00A65BCE">
        <w:tab/>
      </w:r>
      <w:r w:rsidR="001B1A1D" w:rsidRPr="00A65BCE">
        <w:t xml:space="preserve">an offer by the issuer to issue the </w:t>
      </w:r>
      <w:r w:rsidR="00526CAD" w:rsidRPr="00A65BCE">
        <w:t xml:space="preserve">financial </w:t>
      </w:r>
      <w:r w:rsidR="001B1A1D" w:rsidRPr="00A65BCE">
        <w:t>product;</w:t>
      </w:r>
      <w:r w:rsidR="00AF2AE5" w:rsidRPr="00A65BCE">
        <w:t xml:space="preserve"> or</w:t>
      </w:r>
    </w:p>
    <w:p w:rsidR="00D8062B" w:rsidRPr="00A65BCE" w:rsidRDefault="00D8062B" w:rsidP="00D8062B">
      <w:pPr>
        <w:pStyle w:val="paragraphsub"/>
      </w:pPr>
      <w:r w:rsidRPr="00A65BCE">
        <w:tab/>
        <w:t>(ii)</w:t>
      </w:r>
      <w:r w:rsidRPr="00A65BCE">
        <w:tab/>
        <w:t xml:space="preserve">an invitation </w:t>
      </w:r>
      <w:r w:rsidR="00544C05" w:rsidRPr="00A65BCE">
        <w:t>by</w:t>
      </w:r>
      <w:r w:rsidRPr="00A65BCE">
        <w:t xml:space="preserve"> the issuer </w:t>
      </w:r>
      <w:r w:rsidR="00544C05" w:rsidRPr="00A65BCE">
        <w:t xml:space="preserve">for an application </w:t>
      </w:r>
      <w:r w:rsidRPr="00A65BCE">
        <w:t>to issue the financial product; or</w:t>
      </w:r>
    </w:p>
    <w:p w:rsidR="00D8062B" w:rsidRPr="00A65BCE" w:rsidRDefault="001B1A1D" w:rsidP="001B1A1D">
      <w:pPr>
        <w:pStyle w:val="paragraph"/>
      </w:pPr>
      <w:r w:rsidRPr="00A65BCE">
        <w:tab/>
        <w:t>(b)</w:t>
      </w:r>
      <w:r w:rsidRPr="00A65BCE">
        <w:tab/>
      </w:r>
      <w:r w:rsidR="0055386B" w:rsidRPr="00A65BCE">
        <w:t xml:space="preserve">that </w:t>
      </w:r>
      <w:r w:rsidR="00475446" w:rsidRPr="00A65BCE">
        <w:t xml:space="preserve">a person, including </w:t>
      </w:r>
      <w:r w:rsidRPr="00A65BCE">
        <w:t xml:space="preserve">a holder of a financial product, or person acting on behalf of the holder, pays </w:t>
      </w:r>
      <w:r w:rsidR="00C2028D" w:rsidRPr="00A65BCE">
        <w:t xml:space="preserve">either directly or indirectly </w:t>
      </w:r>
      <w:r w:rsidRPr="00A65BCE">
        <w:t>to a provider in connection with</w:t>
      </w:r>
      <w:r w:rsidR="00D8062B" w:rsidRPr="00A65BCE">
        <w:t>:</w:t>
      </w:r>
    </w:p>
    <w:p w:rsidR="001B1A1D" w:rsidRPr="00A65BCE" w:rsidRDefault="00D8062B" w:rsidP="00D8062B">
      <w:pPr>
        <w:pStyle w:val="paragraphsub"/>
      </w:pPr>
      <w:r w:rsidRPr="00A65BCE">
        <w:tab/>
        <w:t>(i)</w:t>
      </w:r>
      <w:r w:rsidRPr="00A65BCE">
        <w:tab/>
      </w:r>
      <w:r w:rsidR="001B1A1D" w:rsidRPr="00A65BCE">
        <w:t>an offer by the holde</w:t>
      </w:r>
      <w:r w:rsidRPr="00A65BCE">
        <w:t>r to sell the financial product; or</w:t>
      </w:r>
    </w:p>
    <w:p w:rsidR="00D8062B" w:rsidRPr="00A65BCE" w:rsidRDefault="00D8062B" w:rsidP="00D8062B">
      <w:pPr>
        <w:pStyle w:val="paragraphsub"/>
      </w:pPr>
      <w:r w:rsidRPr="00A65BCE">
        <w:tab/>
        <w:t>(ii)</w:t>
      </w:r>
      <w:r w:rsidRPr="00A65BCE">
        <w:tab/>
        <w:t xml:space="preserve">an invitation </w:t>
      </w:r>
      <w:r w:rsidR="00544C05" w:rsidRPr="00A65BCE">
        <w:t xml:space="preserve">by </w:t>
      </w:r>
      <w:r w:rsidRPr="00A65BCE">
        <w:t xml:space="preserve">the holder </w:t>
      </w:r>
      <w:r w:rsidR="00544C05" w:rsidRPr="00A65BCE">
        <w:t xml:space="preserve">for an application </w:t>
      </w:r>
      <w:r w:rsidRPr="00A65BCE">
        <w:t xml:space="preserve">to </w:t>
      </w:r>
      <w:r w:rsidR="00531A53" w:rsidRPr="00A65BCE">
        <w:t>sell</w:t>
      </w:r>
      <w:r w:rsidRPr="00A65BCE">
        <w:t xml:space="preserve"> the financial product.</w:t>
      </w:r>
    </w:p>
    <w:p w:rsidR="00F05D38" w:rsidRPr="00A65BCE" w:rsidRDefault="00850109" w:rsidP="00F05D38">
      <w:pPr>
        <w:pStyle w:val="ItemHead"/>
      </w:pPr>
      <w:r w:rsidRPr="00A65BCE">
        <w:t>12</w:t>
      </w:r>
      <w:r w:rsidR="00F05D38" w:rsidRPr="00A65BCE">
        <w:t xml:space="preserve">  Paragraph 7.7A.12D(1)(a)</w:t>
      </w:r>
    </w:p>
    <w:p w:rsidR="00F05D38" w:rsidRPr="00A65BCE" w:rsidRDefault="00F05D38" w:rsidP="00F05D38">
      <w:pPr>
        <w:pStyle w:val="Item"/>
      </w:pPr>
      <w:r w:rsidRPr="00A65BCE">
        <w:t>After “financial market”, insert “or the market known as the ASX24”.</w:t>
      </w:r>
    </w:p>
    <w:p w:rsidR="00F05D38" w:rsidRPr="00A65BCE" w:rsidRDefault="00850109" w:rsidP="00F05D38">
      <w:pPr>
        <w:pStyle w:val="ItemHead"/>
      </w:pPr>
      <w:r w:rsidRPr="00A65BCE">
        <w:t>13</w:t>
      </w:r>
      <w:r w:rsidR="00F05D38" w:rsidRPr="00A65BCE">
        <w:t xml:space="preserve">  Subregulation</w:t>
      </w:r>
      <w:r w:rsidR="00A65BCE" w:rsidRPr="00A65BCE">
        <w:t> </w:t>
      </w:r>
      <w:r w:rsidR="00F05D38" w:rsidRPr="00A65BCE">
        <w:t>7.7A.12D(1) (note)</w:t>
      </w:r>
    </w:p>
    <w:p w:rsidR="00F05D38" w:rsidRPr="00A65BCE" w:rsidRDefault="00F05D38" w:rsidP="00F05D38">
      <w:pPr>
        <w:pStyle w:val="Item"/>
      </w:pPr>
      <w:r w:rsidRPr="00A65BCE">
        <w:t>Repeal the note, substitute:</w:t>
      </w:r>
    </w:p>
    <w:p w:rsidR="00F05D38" w:rsidRPr="00A65BCE" w:rsidRDefault="00F05D38" w:rsidP="00F05D38">
      <w:pPr>
        <w:pStyle w:val="notetext"/>
      </w:pPr>
      <w:r w:rsidRPr="00A65BCE">
        <w:t>Note 1:</w:t>
      </w:r>
      <w:r w:rsidRPr="00A65BCE">
        <w:tab/>
      </w:r>
      <w:r w:rsidR="00BA1291" w:rsidRPr="00A65BCE">
        <w:t xml:space="preserve">For </w:t>
      </w:r>
      <w:r w:rsidRPr="00A65BCE">
        <w:rPr>
          <w:b/>
          <w:i/>
        </w:rPr>
        <w:t>prescribed financial market</w:t>
      </w:r>
      <w:r w:rsidR="00BA1291" w:rsidRPr="00A65BCE">
        <w:t>, see</w:t>
      </w:r>
      <w:r w:rsidRPr="00A65BCE">
        <w:t xml:space="preserve"> regulation</w:t>
      </w:r>
      <w:r w:rsidR="00A65BCE" w:rsidRPr="00A65BCE">
        <w:t> </w:t>
      </w:r>
      <w:r w:rsidRPr="00A65BCE">
        <w:t>1.0.02A.</w:t>
      </w:r>
    </w:p>
    <w:p w:rsidR="00F05D38" w:rsidRPr="00A65BCE" w:rsidRDefault="00F05D38" w:rsidP="00F05D38">
      <w:pPr>
        <w:pStyle w:val="notetext"/>
      </w:pPr>
      <w:r w:rsidRPr="00A65BCE">
        <w:lastRenderedPageBreak/>
        <w:t>Note 2:</w:t>
      </w:r>
      <w:r w:rsidRPr="00A65BCE">
        <w:tab/>
        <w:t>The ASX24 is the financial market operated by Australian Securities Exchange Limited that was formerly known as the Sydney Futures Exchange.</w:t>
      </w:r>
    </w:p>
    <w:p w:rsidR="00F05D38" w:rsidRPr="00A65BCE" w:rsidRDefault="00850109" w:rsidP="00F05D38">
      <w:pPr>
        <w:pStyle w:val="ItemHead"/>
      </w:pPr>
      <w:r w:rsidRPr="00A65BCE">
        <w:t>14</w:t>
      </w:r>
      <w:r w:rsidR="006A7030" w:rsidRPr="00A65BCE">
        <w:t xml:space="preserve"> </w:t>
      </w:r>
      <w:r w:rsidR="00F05D38" w:rsidRPr="00A65BCE">
        <w:t xml:space="preserve"> Subregulation</w:t>
      </w:r>
      <w:r w:rsidR="00A65BCE" w:rsidRPr="00A65BCE">
        <w:t> </w:t>
      </w:r>
      <w:r w:rsidR="00F05D38" w:rsidRPr="00A65BCE">
        <w:t xml:space="preserve">7.7A.12D(2) (after </w:t>
      </w:r>
      <w:r w:rsidR="00A65BCE" w:rsidRPr="00A65BCE">
        <w:t>paragraph (</w:t>
      </w:r>
      <w:r w:rsidR="00F05D38" w:rsidRPr="00A65BCE">
        <w:t xml:space="preserve">a) of the definition of </w:t>
      </w:r>
      <w:r w:rsidR="00F05D38" w:rsidRPr="00A65BCE">
        <w:rPr>
          <w:i/>
        </w:rPr>
        <w:t>brokerage fee</w:t>
      </w:r>
      <w:r w:rsidR="00F05D38" w:rsidRPr="00A65BCE">
        <w:t>)</w:t>
      </w:r>
    </w:p>
    <w:p w:rsidR="00F05D38" w:rsidRPr="00A65BCE" w:rsidRDefault="00F05D38" w:rsidP="00F05D38">
      <w:pPr>
        <w:pStyle w:val="Item"/>
      </w:pPr>
      <w:r w:rsidRPr="00A65BCE">
        <w:t>Insert:</w:t>
      </w:r>
    </w:p>
    <w:p w:rsidR="00F05D38" w:rsidRPr="00A65BCE" w:rsidRDefault="00F05D38" w:rsidP="00F05D38">
      <w:pPr>
        <w:pStyle w:val="paragraph"/>
      </w:pPr>
      <w:r w:rsidRPr="00A65BCE">
        <w:tab/>
        <w:t>(aa)</w:t>
      </w:r>
      <w:r w:rsidRPr="00A65BCE">
        <w:tab/>
        <w:t>the market known as the ASX24; or</w:t>
      </w:r>
    </w:p>
    <w:p w:rsidR="00F05D38" w:rsidRPr="00A65BCE" w:rsidRDefault="00850109" w:rsidP="00F05D38">
      <w:pPr>
        <w:pStyle w:val="ItemHead"/>
      </w:pPr>
      <w:r w:rsidRPr="00A65BCE">
        <w:t>15</w:t>
      </w:r>
      <w:r w:rsidR="00F05D38" w:rsidRPr="00A65BCE">
        <w:t xml:space="preserve">  Subregulation</w:t>
      </w:r>
      <w:r w:rsidR="00A65BCE" w:rsidRPr="00A65BCE">
        <w:t> </w:t>
      </w:r>
      <w:r w:rsidR="00F05D38" w:rsidRPr="00A65BCE">
        <w:t xml:space="preserve">7.7A.12D(2) (note at the end of the definition of </w:t>
      </w:r>
      <w:r w:rsidR="00F05D38" w:rsidRPr="00A65BCE">
        <w:rPr>
          <w:i/>
        </w:rPr>
        <w:t>brokerage fee</w:t>
      </w:r>
      <w:r w:rsidR="00F05D38" w:rsidRPr="00A65BCE">
        <w:t>)</w:t>
      </w:r>
    </w:p>
    <w:p w:rsidR="00F05D38" w:rsidRPr="00A65BCE" w:rsidRDefault="00F05D38" w:rsidP="00F05D38">
      <w:pPr>
        <w:pStyle w:val="Item"/>
      </w:pPr>
      <w:r w:rsidRPr="00A65BCE">
        <w:t>Repeal the note, substitute:</w:t>
      </w:r>
    </w:p>
    <w:p w:rsidR="00F05D38" w:rsidRPr="00A65BCE" w:rsidRDefault="00F05D38" w:rsidP="00F05D38">
      <w:pPr>
        <w:pStyle w:val="notetext"/>
      </w:pPr>
      <w:r w:rsidRPr="00A65BCE">
        <w:t>Note 1:</w:t>
      </w:r>
      <w:r w:rsidRPr="00A65BCE">
        <w:tab/>
        <w:t>Regulations</w:t>
      </w:r>
      <w:r w:rsidR="00A65BCE" w:rsidRPr="00A65BCE">
        <w:t> </w:t>
      </w:r>
      <w:r w:rsidRPr="00A65BCE">
        <w:t>7.7A.17 and 7.7A.18 relate to exemptions in relation to the charging of asset</w:t>
      </w:r>
      <w:r w:rsidR="00A65BCE">
        <w:noBreakHyphen/>
      </w:r>
      <w:r w:rsidRPr="00A65BCE">
        <w:t>based fees on borrowed amounts.</w:t>
      </w:r>
    </w:p>
    <w:p w:rsidR="00F05D38" w:rsidRPr="00A65BCE" w:rsidRDefault="00F05D38" w:rsidP="00F05D38">
      <w:pPr>
        <w:pStyle w:val="notetext"/>
      </w:pPr>
      <w:r w:rsidRPr="00A65BCE">
        <w:t>Note 2:</w:t>
      </w:r>
      <w:r w:rsidRPr="00A65BCE">
        <w:tab/>
        <w:t>The ASX24 is the financial market operated by Australian Securities Exchange Limited that was formerly known as the Sydney Futures Exchange.</w:t>
      </w:r>
    </w:p>
    <w:p w:rsidR="00F05D38" w:rsidRPr="00A65BCE" w:rsidRDefault="00850109" w:rsidP="00F05D38">
      <w:pPr>
        <w:pStyle w:val="ItemHead"/>
      </w:pPr>
      <w:r w:rsidRPr="00A65BCE">
        <w:t>16</w:t>
      </w:r>
      <w:r w:rsidR="00F05D38" w:rsidRPr="00A65BCE">
        <w:t xml:space="preserve">  Subregulation</w:t>
      </w:r>
      <w:r w:rsidR="00A65BCE" w:rsidRPr="00A65BCE">
        <w:t> </w:t>
      </w:r>
      <w:r w:rsidR="00F05D38" w:rsidRPr="00A65BCE">
        <w:t xml:space="preserve">7.7A.12D(2) (definition of </w:t>
      </w:r>
      <w:r w:rsidR="00F05D38" w:rsidRPr="00A65BCE">
        <w:rPr>
          <w:i/>
        </w:rPr>
        <w:t>trading participant</w:t>
      </w:r>
      <w:r w:rsidR="00F05D38" w:rsidRPr="00A65BCE">
        <w:t>)</w:t>
      </w:r>
    </w:p>
    <w:p w:rsidR="00F05D38" w:rsidRPr="00A65BCE" w:rsidRDefault="00F05D38" w:rsidP="00F05D38">
      <w:pPr>
        <w:pStyle w:val="Item"/>
      </w:pPr>
      <w:r w:rsidRPr="00A65BCE">
        <w:t>After “financial market”, insert “or the market known as the ASX24”.</w:t>
      </w:r>
    </w:p>
    <w:p w:rsidR="00F05D38" w:rsidRPr="00A65BCE" w:rsidRDefault="00850109" w:rsidP="00F05D38">
      <w:pPr>
        <w:pStyle w:val="ItemHead"/>
      </w:pPr>
      <w:r w:rsidRPr="00A65BCE">
        <w:t>17</w:t>
      </w:r>
      <w:r w:rsidR="00F05D38" w:rsidRPr="00A65BCE">
        <w:t xml:space="preserve">  Subregulation</w:t>
      </w:r>
      <w:r w:rsidR="00A65BCE" w:rsidRPr="00A65BCE">
        <w:t> </w:t>
      </w:r>
      <w:r w:rsidR="00F05D38" w:rsidRPr="00A65BCE">
        <w:t xml:space="preserve">7.7A.12D(2) (at the end of the definition of </w:t>
      </w:r>
      <w:r w:rsidR="00F05D38" w:rsidRPr="00A65BCE">
        <w:rPr>
          <w:i/>
        </w:rPr>
        <w:t>trading participant</w:t>
      </w:r>
      <w:r w:rsidR="00F05D38" w:rsidRPr="00A65BCE">
        <w:t>)</w:t>
      </w:r>
    </w:p>
    <w:p w:rsidR="00F05D38" w:rsidRPr="00A65BCE" w:rsidRDefault="00F05D38" w:rsidP="00F05D38">
      <w:pPr>
        <w:pStyle w:val="Item"/>
      </w:pPr>
      <w:r w:rsidRPr="00A65BCE">
        <w:t>Add:</w:t>
      </w:r>
    </w:p>
    <w:p w:rsidR="00F05D38" w:rsidRPr="00A65BCE" w:rsidRDefault="00F05D38" w:rsidP="00F05D38">
      <w:pPr>
        <w:pStyle w:val="notetext"/>
      </w:pPr>
      <w:r w:rsidRPr="00A65BCE">
        <w:t>Note:</w:t>
      </w:r>
      <w:r w:rsidRPr="00A65BCE">
        <w:tab/>
        <w:t>The ASX24 is the financial market operated by Australian Securities Exchange Limited that was formerly known as the Sydney Futures Exchange.</w:t>
      </w:r>
    </w:p>
    <w:p w:rsidR="00750488" w:rsidRPr="00A65BCE" w:rsidRDefault="00850109" w:rsidP="00750488">
      <w:pPr>
        <w:pStyle w:val="ItemHead"/>
        <w:rPr>
          <w:rFonts w:cs="Arial"/>
        </w:rPr>
      </w:pPr>
      <w:r w:rsidRPr="00A65BCE">
        <w:rPr>
          <w:rFonts w:cs="Arial"/>
        </w:rPr>
        <w:t>18</w:t>
      </w:r>
      <w:r w:rsidR="00750488" w:rsidRPr="00A65BCE">
        <w:rPr>
          <w:rFonts w:cs="Arial"/>
        </w:rPr>
        <w:t xml:space="preserve">  </w:t>
      </w:r>
      <w:r w:rsidR="00CD5D10" w:rsidRPr="00A65BCE">
        <w:rPr>
          <w:rFonts w:cs="Arial"/>
        </w:rPr>
        <w:t xml:space="preserve">At the end of </w:t>
      </w:r>
      <w:r w:rsidR="0026068C" w:rsidRPr="00A65BCE">
        <w:rPr>
          <w:rFonts w:cs="Arial"/>
        </w:rPr>
        <w:t>Subdivision</w:t>
      </w:r>
      <w:r w:rsidR="00A65BCE" w:rsidRPr="00A65BCE">
        <w:rPr>
          <w:rFonts w:cs="Arial"/>
        </w:rPr>
        <w:t> </w:t>
      </w:r>
      <w:r w:rsidR="0026068C" w:rsidRPr="00A65BCE">
        <w:rPr>
          <w:rFonts w:cs="Arial"/>
        </w:rPr>
        <w:t>1 of Division</w:t>
      </w:r>
      <w:r w:rsidR="00A65BCE" w:rsidRPr="00A65BCE">
        <w:rPr>
          <w:rFonts w:cs="Arial"/>
        </w:rPr>
        <w:t> </w:t>
      </w:r>
      <w:r w:rsidR="0026068C" w:rsidRPr="00A65BCE">
        <w:rPr>
          <w:rFonts w:cs="Arial"/>
        </w:rPr>
        <w:t>4 of Part</w:t>
      </w:r>
      <w:r w:rsidR="00A65BCE" w:rsidRPr="00A65BCE">
        <w:rPr>
          <w:rFonts w:cs="Arial"/>
        </w:rPr>
        <w:t> </w:t>
      </w:r>
      <w:r w:rsidR="00750488" w:rsidRPr="00A65BCE">
        <w:rPr>
          <w:rFonts w:cs="Arial"/>
        </w:rPr>
        <w:t>7.7A</w:t>
      </w:r>
    </w:p>
    <w:p w:rsidR="00750488" w:rsidRPr="00A65BCE" w:rsidRDefault="00CD5D10" w:rsidP="00750488">
      <w:pPr>
        <w:pStyle w:val="Item"/>
      </w:pPr>
      <w:r w:rsidRPr="00A65BCE">
        <w:t>Add</w:t>
      </w:r>
      <w:r w:rsidR="004972AF" w:rsidRPr="00A65BCE">
        <w:t>:</w:t>
      </w:r>
    </w:p>
    <w:p w:rsidR="00750488" w:rsidRPr="00A65BCE" w:rsidRDefault="00750488" w:rsidP="00750488">
      <w:pPr>
        <w:pStyle w:val="ActHead5"/>
      </w:pPr>
      <w:bookmarkStart w:id="20" w:name="_Toc390763961"/>
      <w:r w:rsidRPr="00A65BCE">
        <w:rPr>
          <w:rStyle w:val="CharSectno"/>
        </w:rPr>
        <w:t>7.7A.12E</w:t>
      </w:r>
      <w:r w:rsidR="00073BCB" w:rsidRPr="00A65BCE">
        <w:rPr>
          <w:rStyle w:val="CharSectno"/>
        </w:rPr>
        <w:t>B</w:t>
      </w:r>
      <w:r w:rsidRPr="00A65BCE">
        <w:t xml:space="preserve">  Performance bonuses </w:t>
      </w:r>
      <w:r w:rsidR="00950B62" w:rsidRPr="00A65BCE">
        <w:t>for individuals</w:t>
      </w:r>
      <w:bookmarkEnd w:id="20"/>
    </w:p>
    <w:p w:rsidR="00592CC4" w:rsidRPr="00A65BCE" w:rsidRDefault="00592CC4" w:rsidP="00592CC4">
      <w:pPr>
        <w:pStyle w:val="subsection"/>
      </w:pPr>
      <w:r w:rsidRPr="00A65BCE">
        <w:tab/>
        <w:t>(1)</w:t>
      </w:r>
      <w:r w:rsidRPr="00A65BCE">
        <w:tab/>
        <w:t>This regulation applies if:</w:t>
      </w:r>
    </w:p>
    <w:p w:rsidR="00592CC4" w:rsidRPr="00A65BCE" w:rsidRDefault="00592CC4" w:rsidP="00592CC4">
      <w:pPr>
        <w:pStyle w:val="paragraph"/>
      </w:pPr>
      <w:r w:rsidRPr="00A65BCE">
        <w:tab/>
        <w:t>(a)</w:t>
      </w:r>
      <w:r w:rsidRPr="00A65BCE">
        <w:tab/>
        <w:t>a benefit is an element of an individual’s remuneration for work done by the individual:</w:t>
      </w:r>
    </w:p>
    <w:p w:rsidR="00592CC4" w:rsidRPr="00A65BCE" w:rsidRDefault="00592CC4" w:rsidP="00592CC4">
      <w:pPr>
        <w:pStyle w:val="paragraphsub"/>
      </w:pPr>
      <w:r w:rsidRPr="00A65BCE">
        <w:tab/>
        <w:t>(i)</w:t>
      </w:r>
      <w:r w:rsidRPr="00A65BCE">
        <w:tab/>
        <w:t>as an employee or agent of a licensee; or</w:t>
      </w:r>
    </w:p>
    <w:p w:rsidR="00592CC4" w:rsidRPr="00A65BCE" w:rsidRDefault="00592CC4" w:rsidP="00592CC4">
      <w:pPr>
        <w:pStyle w:val="paragraphsub"/>
      </w:pPr>
      <w:r w:rsidRPr="00A65BCE">
        <w:tab/>
        <w:t>(ii)</w:t>
      </w:r>
      <w:r w:rsidRPr="00A65BCE">
        <w:tab/>
        <w:t xml:space="preserve">by arrangement </w:t>
      </w:r>
      <w:r w:rsidR="00B2111B" w:rsidRPr="00A65BCE">
        <w:t>with a licensee under the name of the</w:t>
      </w:r>
      <w:r w:rsidRPr="00A65BCE">
        <w:t xml:space="preserve"> licensee; and</w:t>
      </w:r>
    </w:p>
    <w:p w:rsidR="00592CC4" w:rsidRPr="00A65BCE" w:rsidRDefault="00592CC4" w:rsidP="00592CC4">
      <w:pPr>
        <w:pStyle w:val="paragraph"/>
      </w:pPr>
      <w:r w:rsidRPr="00A65BCE">
        <w:lastRenderedPageBreak/>
        <w:tab/>
        <w:t>(b)</w:t>
      </w:r>
      <w:r w:rsidRPr="00A65BCE">
        <w:tab/>
        <w:t>access to the benefit, or the value of the benefit, or both, is partly dependent on the total value or number of financial products of a particular class, or particular classes, that:</w:t>
      </w:r>
    </w:p>
    <w:p w:rsidR="00592CC4" w:rsidRPr="00A65BCE" w:rsidRDefault="00592CC4" w:rsidP="00592CC4">
      <w:pPr>
        <w:pStyle w:val="paragraphsub"/>
      </w:pPr>
      <w:r w:rsidRPr="00A65BCE">
        <w:tab/>
        <w:t>(i)</w:t>
      </w:r>
      <w:r w:rsidRPr="00A65BCE">
        <w:tab/>
        <w:t>the individual recommends to retail clients or a class of retail clients; or</w:t>
      </w:r>
    </w:p>
    <w:p w:rsidR="00592CC4" w:rsidRPr="00A65BCE" w:rsidRDefault="00592CC4" w:rsidP="00592CC4">
      <w:pPr>
        <w:pStyle w:val="paragraphsub"/>
      </w:pPr>
      <w:r w:rsidRPr="00A65BCE">
        <w:tab/>
        <w:t>(ii)</w:t>
      </w:r>
      <w:r w:rsidRPr="00A65BCE">
        <w:tab/>
        <w:t>are acquired by retail clients, or a class of retail clients, to whom the individual has provided financial product advice.</w:t>
      </w:r>
    </w:p>
    <w:p w:rsidR="00592CC4" w:rsidRPr="00A65BCE" w:rsidRDefault="00592CC4" w:rsidP="00592CC4">
      <w:pPr>
        <w:pStyle w:val="subsection"/>
      </w:pPr>
      <w:r w:rsidRPr="00A65BCE">
        <w:tab/>
        <w:t>(2)</w:t>
      </w:r>
      <w:r w:rsidRPr="00A65BCE">
        <w:tab/>
        <w:t>Any part of the benefit that:</w:t>
      </w:r>
    </w:p>
    <w:p w:rsidR="00592CC4" w:rsidRPr="00A65BCE" w:rsidRDefault="00592CC4" w:rsidP="00592CC4">
      <w:pPr>
        <w:pStyle w:val="paragraph"/>
      </w:pPr>
      <w:r w:rsidRPr="00A65BCE">
        <w:tab/>
        <w:t>(a)</w:t>
      </w:r>
      <w:r w:rsidRPr="00A65BCE">
        <w:tab/>
        <w:t xml:space="preserve">relates to financial products covered by </w:t>
      </w:r>
      <w:r w:rsidR="00A65BCE" w:rsidRPr="00A65BCE">
        <w:t>paragraph (</w:t>
      </w:r>
      <w:r w:rsidRPr="00A65BCE">
        <w:t>1)(b); and</w:t>
      </w:r>
    </w:p>
    <w:p w:rsidR="00592CC4" w:rsidRPr="00A65BCE" w:rsidRDefault="00592CC4" w:rsidP="00592CC4">
      <w:pPr>
        <w:pStyle w:val="paragraph"/>
      </w:pPr>
      <w:r w:rsidRPr="00A65BCE">
        <w:tab/>
        <w:t>(b)</w:t>
      </w:r>
      <w:r w:rsidRPr="00A65BCE">
        <w:tab/>
        <w:t>would, apart from this regulation, be conflicted remuneration;</w:t>
      </w:r>
    </w:p>
    <w:p w:rsidR="00592CC4" w:rsidRPr="00A65BCE" w:rsidRDefault="00592CC4" w:rsidP="00592CC4">
      <w:pPr>
        <w:pStyle w:val="subsection2"/>
      </w:pPr>
      <w:r w:rsidRPr="00A65BCE">
        <w:t>is not conflicted remuneration, so long as:</w:t>
      </w:r>
    </w:p>
    <w:p w:rsidR="00592CC4" w:rsidRPr="00A65BCE" w:rsidRDefault="00592CC4" w:rsidP="00592CC4">
      <w:pPr>
        <w:pStyle w:val="paragraph"/>
      </w:pPr>
      <w:r w:rsidRPr="00A65BCE">
        <w:tab/>
        <w:t>(c)</w:t>
      </w:r>
      <w:r w:rsidRPr="00A65BCE">
        <w:tab/>
        <w:t>the part, together with any other such part that is an element of the individual’s remuneration, is low in proportion to the individual’s total remuneration; and</w:t>
      </w:r>
    </w:p>
    <w:p w:rsidR="00592CC4" w:rsidRPr="00A65BCE" w:rsidRDefault="00592CC4" w:rsidP="00592CC4">
      <w:pPr>
        <w:pStyle w:val="paragraph"/>
      </w:pPr>
      <w:r w:rsidRPr="00A65BCE">
        <w:tab/>
        <w:t>(d)</w:t>
      </w:r>
      <w:r w:rsidRPr="00A65BCE">
        <w:tab/>
        <w:t xml:space="preserve">in calculating the </w:t>
      </w:r>
      <w:r w:rsidR="00F871D0" w:rsidRPr="00A65BCE">
        <w:t>part</w:t>
      </w:r>
      <w:r w:rsidRPr="00A65BCE">
        <w:t>, the weighting attributed to the total value or number of financial products</w:t>
      </w:r>
      <w:r w:rsidR="00B2111B" w:rsidRPr="00A65BCE">
        <w:t xml:space="preserve"> covered by </w:t>
      </w:r>
      <w:r w:rsidR="00A65BCE" w:rsidRPr="00A65BCE">
        <w:t>paragraph (</w:t>
      </w:r>
      <w:r w:rsidR="00B2111B" w:rsidRPr="00A65BCE">
        <w:t>1)(b)</w:t>
      </w:r>
      <w:r w:rsidR="00B544FE" w:rsidRPr="00A65BCE">
        <w:t xml:space="preserve"> and in relation to which the part would, apart from this regulation, be conflicted remuneration</w:t>
      </w:r>
      <w:r w:rsidRPr="00A65BCE">
        <w:t xml:space="preserve"> is outweighed or balanced by the weighting attributed to other matters.</w:t>
      </w:r>
    </w:p>
    <w:p w:rsidR="00592CC4" w:rsidRPr="00A65BCE" w:rsidRDefault="00592CC4" w:rsidP="00592CC4">
      <w:pPr>
        <w:pStyle w:val="subsection"/>
      </w:pPr>
      <w:r w:rsidRPr="00A65BCE">
        <w:tab/>
        <w:t>(3)</w:t>
      </w:r>
      <w:r w:rsidRPr="00A65BCE">
        <w:tab/>
        <w:t>This regulation does not limit, and has effect in addition to:</w:t>
      </w:r>
    </w:p>
    <w:p w:rsidR="00592CC4" w:rsidRPr="00A65BCE" w:rsidRDefault="00592CC4" w:rsidP="00592CC4">
      <w:pPr>
        <w:pStyle w:val="paragraph"/>
      </w:pPr>
      <w:r w:rsidRPr="00A65BCE">
        <w:tab/>
        <w:t>(a)</w:t>
      </w:r>
      <w:r w:rsidRPr="00A65BCE">
        <w:tab/>
        <w:t>any other regulation made for paragraph</w:t>
      </w:r>
      <w:r w:rsidR="00A65BCE" w:rsidRPr="00A65BCE">
        <w:t> </w:t>
      </w:r>
      <w:r w:rsidRPr="00A65BCE">
        <w:t>963B(1)(e) of the Act; and</w:t>
      </w:r>
    </w:p>
    <w:p w:rsidR="00592CC4" w:rsidRPr="00A65BCE" w:rsidRDefault="00592CC4" w:rsidP="00592CC4">
      <w:pPr>
        <w:pStyle w:val="paragraph"/>
      </w:pPr>
      <w:r w:rsidRPr="00A65BCE">
        <w:tab/>
        <w:t>(b)</w:t>
      </w:r>
      <w:r w:rsidRPr="00A65BCE">
        <w:tab/>
        <w:t>any regulation made for subsection</w:t>
      </w:r>
      <w:r w:rsidR="00A65BCE" w:rsidRPr="00A65BCE">
        <w:t> </w:t>
      </w:r>
      <w:r w:rsidRPr="00A65BCE">
        <w:t>1528(2) of the Act.</w:t>
      </w:r>
    </w:p>
    <w:p w:rsidR="00370BB8" w:rsidRPr="00A65BCE" w:rsidRDefault="00370BB8" w:rsidP="00370BB8">
      <w:pPr>
        <w:pStyle w:val="ActHead5"/>
      </w:pPr>
      <w:bookmarkStart w:id="21" w:name="_Toc390763962"/>
      <w:r w:rsidRPr="00A65BCE">
        <w:rPr>
          <w:rStyle w:val="CharSectno"/>
        </w:rPr>
        <w:t>7.7A.12.EC</w:t>
      </w:r>
      <w:r w:rsidRPr="00A65BCE">
        <w:t xml:space="preserve">  Execution</w:t>
      </w:r>
      <w:r w:rsidR="00A65BCE">
        <w:noBreakHyphen/>
      </w:r>
      <w:r w:rsidRPr="00A65BCE">
        <w:t>only services</w:t>
      </w:r>
      <w:bookmarkEnd w:id="21"/>
    </w:p>
    <w:p w:rsidR="00912523" w:rsidRPr="00A65BCE" w:rsidRDefault="00912523" w:rsidP="00912523">
      <w:pPr>
        <w:pStyle w:val="subsection"/>
      </w:pPr>
      <w:r w:rsidRPr="00A65BCE">
        <w:tab/>
        <w:t>(1)</w:t>
      </w:r>
      <w:r w:rsidRPr="00A65BCE">
        <w:tab/>
        <w:t>A monetary benefit given to a financial services licensee who provides financial product advice to persons as retail clients is not conflicted remuneration if:</w:t>
      </w:r>
    </w:p>
    <w:p w:rsidR="00912523" w:rsidRPr="00A65BCE" w:rsidRDefault="00912523" w:rsidP="00912523">
      <w:pPr>
        <w:pStyle w:val="paragraph"/>
      </w:pPr>
      <w:r w:rsidRPr="00A65BCE">
        <w:tab/>
        <w:t>(a)</w:t>
      </w:r>
      <w:r w:rsidRPr="00A65BCE">
        <w:tab/>
        <w:t>the benefit is given to the licensee in relation to the issue or sale of a financial product to a person; and</w:t>
      </w:r>
    </w:p>
    <w:p w:rsidR="00912523" w:rsidRPr="00A65BCE" w:rsidRDefault="00912523" w:rsidP="00912523">
      <w:pPr>
        <w:pStyle w:val="paragraph"/>
      </w:pPr>
      <w:r w:rsidRPr="00A65BCE">
        <w:tab/>
        <w:t>(b)</w:t>
      </w:r>
      <w:r w:rsidRPr="00A65BCE">
        <w:tab/>
        <w:t>financial product advice in relation to the product, or a class of products of which the product is one, has not been given to the person as a retail client by the licensee, or a representative of the licensee, in the 12 months immediately before the benefit is given.</w:t>
      </w:r>
    </w:p>
    <w:p w:rsidR="00912523" w:rsidRPr="00A65BCE" w:rsidRDefault="00912523" w:rsidP="00912523">
      <w:pPr>
        <w:pStyle w:val="subsection"/>
      </w:pPr>
      <w:r w:rsidRPr="00A65BCE">
        <w:lastRenderedPageBreak/>
        <w:tab/>
        <w:t>(2)</w:t>
      </w:r>
      <w:r w:rsidRPr="00A65BCE">
        <w:tab/>
        <w:t>A monetary benefit given to a representative of a financial services licensee who provides financial product advice to persons as retail clients is not conflicted remuneration if:</w:t>
      </w:r>
    </w:p>
    <w:p w:rsidR="00912523" w:rsidRPr="00A65BCE" w:rsidRDefault="00912523" w:rsidP="00912523">
      <w:pPr>
        <w:pStyle w:val="paragraph"/>
      </w:pPr>
      <w:r w:rsidRPr="00A65BCE">
        <w:tab/>
        <w:t>(a)</w:t>
      </w:r>
      <w:r w:rsidRPr="00A65BCE">
        <w:tab/>
        <w:t>the benefit is given to the representative in relation to the issue or sale of a financial product to a person; and</w:t>
      </w:r>
    </w:p>
    <w:p w:rsidR="00912523" w:rsidRPr="00A65BCE" w:rsidRDefault="00912523" w:rsidP="00912523">
      <w:pPr>
        <w:pStyle w:val="paragraph"/>
      </w:pPr>
      <w:r w:rsidRPr="00A65BCE">
        <w:tab/>
        <w:t>(b)</w:t>
      </w:r>
      <w:r w:rsidRPr="00A65BCE">
        <w:tab/>
        <w:t>financial product advice in relation to the product, or a class of products of which the product is one, has not been given to the person as a retail client by the representative in the 12 months immediately before the benefit is given.</w:t>
      </w:r>
    </w:p>
    <w:p w:rsidR="00370BB8" w:rsidRPr="00A65BCE" w:rsidRDefault="00850109" w:rsidP="00370BB8">
      <w:pPr>
        <w:pStyle w:val="ItemHead"/>
      </w:pPr>
      <w:r w:rsidRPr="00A65BCE">
        <w:t>19</w:t>
      </w:r>
      <w:r w:rsidR="00370BB8" w:rsidRPr="00A65BCE">
        <w:t xml:space="preserve">  After regulation</w:t>
      </w:r>
      <w:r w:rsidR="00A65BCE" w:rsidRPr="00A65BCE">
        <w:t> </w:t>
      </w:r>
      <w:r w:rsidR="00370BB8" w:rsidRPr="00A65BCE">
        <w:t>7.7A.12F</w:t>
      </w:r>
    </w:p>
    <w:p w:rsidR="00370BB8" w:rsidRPr="00A65BCE" w:rsidRDefault="00370BB8" w:rsidP="00370BB8">
      <w:pPr>
        <w:pStyle w:val="Item"/>
      </w:pPr>
      <w:r w:rsidRPr="00A65BCE">
        <w:t>Insert:</w:t>
      </w:r>
    </w:p>
    <w:p w:rsidR="00370BB8" w:rsidRPr="00A65BCE" w:rsidRDefault="00370BB8" w:rsidP="00370BB8">
      <w:pPr>
        <w:pStyle w:val="ActHead5"/>
      </w:pPr>
      <w:bookmarkStart w:id="22" w:name="_Toc390763963"/>
      <w:r w:rsidRPr="00A65BCE">
        <w:rPr>
          <w:rStyle w:val="CharSectno"/>
        </w:rPr>
        <w:t>7.7A.12FA</w:t>
      </w:r>
      <w:r w:rsidRPr="00A65BCE">
        <w:t xml:space="preserve">  General advice</w:t>
      </w:r>
      <w:bookmarkEnd w:id="22"/>
    </w:p>
    <w:p w:rsidR="00912523" w:rsidRPr="00A65BCE" w:rsidRDefault="00912523" w:rsidP="00912523">
      <w:pPr>
        <w:pStyle w:val="subsection"/>
      </w:pPr>
      <w:r w:rsidRPr="00A65BCE">
        <w:tab/>
      </w:r>
      <w:r w:rsidR="00BF4FF2" w:rsidRPr="00A65BCE">
        <w:t>(1)</w:t>
      </w:r>
      <w:r w:rsidRPr="00A65BCE">
        <w:tab/>
        <w:t>A monetary benefit given to a person who gives general advice to a retail client on behalf of a financial services licensee is not conflicted remuneration if:</w:t>
      </w:r>
    </w:p>
    <w:p w:rsidR="00912523" w:rsidRPr="00A65BCE" w:rsidRDefault="00912523" w:rsidP="00912523">
      <w:pPr>
        <w:pStyle w:val="paragraph"/>
      </w:pPr>
      <w:r w:rsidRPr="00A65BCE">
        <w:tab/>
        <w:t>(a)</w:t>
      </w:r>
      <w:r w:rsidRPr="00A65BCE">
        <w:tab/>
        <w:t>the person gives the general advice as:</w:t>
      </w:r>
    </w:p>
    <w:p w:rsidR="00912523" w:rsidRPr="00A65BCE" w:rsidRDefault="00912523" w:rsidP="00912523">
      <w:pPr>
        <w:pStyle w:val="paragraphsub"/>
      </w:pPr>
      <w:r w:rsidRPr="00A65BCE">
        <w:tab/>
        <w:t>(i)</w:t>
      </w:r>
      <w:r w:rsidRPr="00A65BCE">
        <w:tab/>
        <w:t>an employee of the licensee, or a related body corporate of the licensee; or</w:t>
      </w:r>
    </w:p>
    <w:p w:rsidR="00912523" w:rsidRPr="00A65BCE" w:rsidRDefault="00912523" w:rsidP="00912523">
      <w:pPr>
        <w:pStyle w:val="paragraphsub"/>
      </w:pPr>
      <w:r w:rsidRPr="00A65BCE">
        <w:tab/>
        <w:t>(ii)</w:t>
      </w:r>
      <w:r w:rsidRPr="00A65BCE">
        <w:tab/>
        <w:t>an employee of an authorised representative of the licensee; or</w:t>
      </w:r>
    </w:p>
    <w:p w:rsidR="00912523" w:rsidRPr="00A65BCE" w:rsidRDefault="00912523" w:rsidP="00912523">
      <w:pPr>
        <w:pStyle w:val="paragraphsub"/>
      </w:pPr>
      <w:r w:rsidRPr="00A65BCE">
        <w:tab/>
        <w:t>(iii)</w:t>
      </w:r>
      <w:r w:rsidRPr="00A65BCE">
        <w:tab/>
        <w:t>an individual who has been sub</w:t>
      </w:r>
      <w:r w:rsidR="00A65BCE">
        <w:noBreakHyphen/>
      </w:r>
      <w:r w:rsidRPr="00A65BCE">
        <w:t>authorised under section</w:t>
      </w:r>
      <w:r w:rsidR="00A65BCE" w:rsidRPr="00A65BCE">
        <w:t> </w:t>
      </w:r>
      <w:r w:rsidRPr="00A65BCE">
        <w:t>916B</w:t>
      </w:r>
      <w:r w:rsidR="00BA1352" w:rsidRPr="00A65BCE">
        <w:t xml:space="preserve"> of the Act</w:t>
      </w:r>
      <w:r w:rsidRPr="00A65BCE">
        <w:t xml:space="preserve"> by an authorised representative of the licensee to give general advice on behalf of the licensee of the kind given; and</w:t>
      </w:r>
    </w:p>
    <w:p w:rsidR="00BF4FF2" w:rsidRPr="00A65BCE" w:rsidRDefault="00BF4FF2" w:rsidP="00BF4FF2">
      <w:pPr>
        <w:pStyle w:val="paragraph"/>
      </w:pPr>
      <w:r w:rsidRPr="00A65BCE">
        <w:tab/>
        <w:t>(b)</w:t>
      </w:r>
      <w:r w:rsidRPr="00A65BCE">
        <w:tab/>
        <w:t>the person gives the general advice under the name of the licensee, a trade mark of the licensee or a business name of the licensee; and</w:t>
      </w:r>
    </w:p>
    <w:p w:rsidR="00BF4FF2" w:rsidRPr="00A65BCE" w:rsidRDefault="00BF4FF2" w:rsidP="00BF4FF2">
      <w:pPr>
        <w:pStyle w:val="paragraph"/>
      </w:pPr>
      <w:r w:rsidRPr="00A65BCE">
        <w:tab/>
        <w:t>(c)</w:t>
      </w:r>
      <w:r w:rsidRPr="00A65BCE">
        <w:tab/>
        <w:t>the benefit is neither:</w:t>
      </w:r>
    </w:p>
    <w:p w:rsidR="00BF4FF2" w:rsidRPr="00A65BCE" w:rsidRDefault="00BF4FF2" w:rsidP="00BF4FF2">
      <w:pPr>
        <w:pStyle w:val="paragraphsub"/>
      </w:pPr>
      <w:r w:rsidRPr="00A65BCE">
        <w:tab/>
        <w:t>(i)</w:t>
      </w:r>
      <w:r w:rsidRPr="00A65BCE">
        <w:tab/>
        <w:t>a recurring payment made because the person has given the general advice; nor</w:t>
      </w:r>
    </w:p>
    <w:p w:rsidR="00BF4FF2" w:rsidRPr="00A65BCE" w:rsidRDefault="00BF4FF2" w:rsidP="00BF4FF2">
      <w:pPr>
        <w:pStyle w:val="paragraphsub"/>
      </w:pPr>
      <w:r w:rsidRPr="00A65BCE">
        <w:tab/>
        <w:t>(ii)</w:t>
      </w:r>
      <w:r w:rsidRPr="00A65BCE">
        <w:tab/>
        <w:t>a payment made solely because a financial product of a class in relation to which the general advice was given has been issued or sold to the client;</w:t>
      </w:r>
    </w:p>
    <w:p w:rsidR="00BF4FF2" w:rsidRPr="00A65BCE" w:rsidRDefault="00BF4FF2" w:rsidP="00BF4FF2">
      <w:pPr>
        <w:pStyle w:val="paragraph"/>
      </w:pPr>
      <w:r w:rsidRPr="00A65BCE">
        <w:tab/>
      </w:r>
      <w:r w:rsidRPr="00A65BCE">
        <w:tab/>
        <w:t>(payments commonly referred to as commissions); and</w:t>
      </w:r>
    </w:p>
    <w:p w:rsidR="00BF4FF2" w:rsidRPr="00A65BCE" w:rsidRDefault="00BF4FF2" w:rsidP="00BF4FF2">
      <w:pPr>
        <w:pStyle w:val="paragraph"/>
      </w:pPr>
      <w:r w:rsidRPr="00A65BCE">
        <w:tab/>
        <w:t>(d)</w:t>
      </w:r>
      <w:r w:rsidRPr="00A65BCE">
        <w:tab/>
        <w:t xml:space="preserve">during the 12 months immediately before the benefit was given, the </w:t>
      </w:r>
      <w:r w:rsidR="007B688A" w:rsidRPr="00A65BCE">
        <w:t>person did not give financial product advice to a retail client, other than</w:t>
      </w:r>
      <w:r w:rsidRPr="00A65BCE">
        <w:t>:</w:t>
      </w:r>
    </w:p>
    <w:p w:rsidR="00BF4FF2" w:rsidRPr="00A65BCE" w:rsidRDefault="00BF4FF2" w:rsidP="00BF4FF2">
      <w:pPr>
        <w:pStyle w:val="paragraphsub"/>
      </w:pPr>
      <w:r w:rsidRPr="00A65BCE">
        <w:lastRenderedPageBreak/>
        <w:tab/>
        <w:t>(i)</w:t>
      </w:r>
      <w:r w:rsidRPr="00A65BCE">
        <w:tab/>
        <w:t>general advice; or</w:t>
      </w:r>
    </w:p>
    <w:p w:rsidR="00BF4FF2" w:rsidRPr="00A65BCE" w:rsidRDefault="00BF4FF2" w:rsidP="00BF4FF2">
      <w:pPr>
        <w:pStyle w:val="paragraphsub"/>
      </w:pPr>
      <w:r w:rsidRPr="00A65BCE">
        <w:tab/>
        <w:t>(ii)</w:t>
      </w:r>
      <w:r w:rsidRPr="00A65BCE">
        <w:tab/>
        <w:t>personal advice in relation to basic banking products, general insurance products, consumer credit insurance or a co</w:t>
      </w:r>
      <w:r w:rsidR="007B688A" w:rsidRPr="00A65BCE">
        <w:t>mbination of those products; or</w:t>
      </w:r>
    </w:p>
    <w:p w:rsidR="007B688A" w:rsidRPr="00A65BCE" w:rsidRDefault="007B688A" w:rsidP="00BF4FF2">
      <w:pPr>
        <w:pStyle w:val="paragraphsub"/>
      </w:pPr>
      <w:r w:rsidRPr="00A65BCE">
        <w:tab/>
        <w:t>(iii)</w:t>
      </w:r>
      <w:r w:rsidRPr="00A65BCE">
        <w:tab/>
        <w:t xml:space="preserve">a combination of the advice mentioned in </w:t>
      </w:r>
      <w:r w:rsidR="00A65BCE" w:rsidRPr="00A65BCE">
        <w:t>subparagraphs (</w:t>
      </w:r>
      <w:r w:rsidRPr="00A65BCE">
        <w:t>i) and (ii); and</w:t>
      </w:r>
    </w:p>
    <w:p w:rsidR="00BF4FF2" w:rsidRPr="00A65BCE" w:rsidRDefault="00BF4FF2" w:rsidP="00BF4FF2">
      <w:pPr>
        <w:pStyle w:val="paragraph"/>
      </w:pPr>
      <w:r w:rsidRPr="00A65BCE">
        <w:tab/>
        <w:t>(e)</w:t>
      </w:r>
      <w:r w:rsidRPr="00A65BCE">
        <w:tab/>
        <w:t>the financial product in relation to which the general advice is given is either:</w:t>
      </w:r>
    </w:p>
    <w:p w:rsidR="00BF4FF2" w:rsidRPr="00A65BCE" w:rsidRDefault="00BF4FF2" w:rsidP="00BF4FF2">
      <w:pPr>
        <w:pStyle w:val="paragraphsub"/>
      </w:pPr>
      <w:r w:rsidRPr="00A65BCE">
        <w:tab/>
        <w:t>(i)</w:t>
      </w:r>
      <w:r w:rsidRPr="00A65BCE">
        <w:tab/>
        <w:t>a product issued or sold by the licensee</w:t>
      </w:r>
      <w:r w:rsidR="007B688A" w:rsidRPr="00A65BCE">
        <w:t xml:space="preserve"> or a related body corporate of the licensee</w:t>
      </w:r>
      <w:r w:rsidRPr="00A65BCE">
        <w:t>; or</w:t>
      </w:r>
    </w:p>
    <w:p w:rsidR="00BF4FF2" w:rsidRPr="00A65BCE" w:rsidRDefault="00BF4FF2" w:rsidP="00BF4FF2">
      <w:pPr>
        <w:pStyle w:val="paragraphsub"/>
      </w:pPr>
      <w:r w:rsidRPr="00A65BCE">
        <w:tab/>
        <w:t>(ii)</w:t>
      </w:r>
      <w:r w:rsidRPr="00A65BCE">
        <w:tab/>
        <w:t>a product issued or sold by another entity under the name of the licensee, a trade mark of the licensee or a business name of the licensee.</w:t>
      </w:r>
    </w:p>
    <w:p w:rsidR="00BF4FF2" w:rsidRPr="00A65BCE" w:rsidRDefault="00BF4FF2" w:rsidP="00BF4FF2">
      <w:pPr>
        <w:pStyle w:val="subsection"/>
      </w:pPr>
      <w:r w:rsidRPr="00A65BCE">
        <w:tab/>
        <w:t>(2)</w:t>
      </w:r>
      <w:r w:rsidRPr="00A65BCE">
        <w:tab/>
        <w:t xml:space="preserve">In this </w:t>
      </w:r>
      <w:r w:rsidR="00C1654F" w:rsidRPr="00A65BCE">
        <w:t>regulation</w:t>
      </w:r>
      <w:r w:rsidRPr="00A65BCE">
        <w:t>:</w:t>
      </w:r>
    </w:p>
    <w:p w:rsidR="00BF4FF2" w:rsidRPr="00A65BCE" w:rsidRDefault="00BF4FF2" w:rsidP="00BF4FF2">
      <w:pPr>
        <w:pStyle w:val="Definition"/>
      </w:pPr>
      <w:r w:rsidRPr="00A65BCE">
        <w:rPr>
          <w:b/>
          <w:i/>
        </w:rPr>
        <w:t>business name of a licensee</w:t>
      </w:r>
      <w:r w:rsidRPr="00A65BCE">
        <w:t xml:space="preserve"> means a business name that is registered to the licensee under the </w:t>
      </w:r>
      <w:r w:rsidRPr="00A65BCE">
        <w:rPr>
          <w:i/>
        </w:rPr>
        <w:t>Business Names Registration Act 2011</w:t>
      </w:r>
      <w:r w:rsidRPr="00A65BCE">
        <w:t>.</w:t>
      </w:r>
    </w:p>
    <w:p w:rsidR="00BF4FF2" w:rsidRPr="00A65BCE" w:rsidRDefault="00BF4FF2" w:rsidP="00BF4FF2">
      <w:pPr>
        <w:pStyle w:val="Definition"/>
      </w:pPr>
      <w:r w:rsidRPr="00A65BCE">
        <w:rPr>
          <w:b/>
          <w:i/>
        </w:rPr>
        <w:t xml:space="preserve">trade mark of a licensee </w:t>
      </w:r>
      <w:r w:rsidRPr="00A65BCE">
        <w:t xml:space="preserve">means a trade mark of which the licensee is the registered owner under the </w:t>
      </w:r>
      <w:r w:rsidRPr="00A65BCE">
        <w:rPr>
          <w:i/>
        </w:rPr>
        <w:t>Trade Marks Act 1995</w:t>
      </w:r>
      <w:r w:rsidRPr="00A65BCE">
        <w:t>.</w:t>
      </w:r>
    </w:p>
    <w:p w:rsidR="00B2111B" w:rsidRPr="00A65BCE" w:rsidRDefault="00850109" w:rsidP="00AF0611">
      <w:pPr>
        <w:pStyle w:val="ItemHead"/>
      </w:pPr>
      <w:r w:rsidRPr="00A65BCE">
        <w:t>20</w:t>
      </w:r>
      <w:r w:rsidR="00B2111B" w:rsidRPr="00A65BCE">
        <w:t xml:space="preserve">  Paragraph 7.7A.12H(a)</w:t>
      </w:r>
    </w:p>
    <w:p w:rsidR="00B2111B" w:rsidRPr="00A65BCE" w:rsidRDefault="00B2111B" w:rsidP="00B2111B">
      <w:pPr>
        <w:pStyle w:val="Item"/>
      </w:pPr>
      <w:r w:rsidRPr="00A65BCE">
        <w:t>Omit “only”.</w:t>
      </w:r>
    </w:p>
    <w:p w:rsidR="00B2111B" w:rsidRPr="00A65BCE" w:rsidRDefault="00850109" w:rsidP="00B2111B">
      <w:pPr>
        <w:pStyle w:val="ItemHead"/>
      </w:pPr>
      <w:r w:rsidRPr="00A65BCE">
        <w:t>21</w:t>
      </w:r>
      <w:r w:rsidR="00B2111B" w:rsidRPr="00A65BCE">
        <w:t xml:space="preserve">  Paragraph 7.7A.12H(b)</w:t>
      </w:r>
    </w:p>
    <w:p w:rsidR="00B2111B" w:rsidRPr="00A65BCE" w:rsidRDefault="00B2111B" w:rsidP="00B2111B">
      <w:pPr>
        <w:pStyle w:val="Item"/>
      </w:pPr>
      <w:r w:rsidRPr="00A65BCE">
        <w:t>Before “advice”, insert “personal”.</w:t>
      </w:r>
    </w:p>
    <w:p w:rsidR="00AF0611" w:rsidRPr="00A65BCE" w:rsidRDefault="00850109" w:rsidP="00AF0611">
      <w:pPr>
        <w:pStyle w:val="ItemHead"/>
      </w:pPr>
      <w:r w:rsidRPr="00A65BCE">
        <w:t>22</w:t>
      </w:r>
      <w:r w:rsidR="00AF0611" w:rsidRPr="00A65BCE">
        <w:t xml:space="preserve">  Subparagraph 7.7A.12H</w:t>
      </w:r>
      <w:r w:rsidR="00E16E6D" w:rsidRPr="00A65BCE">
        <w:t>(a)(iii)</w:t>
      </w:r>
    </w:p>
    <w:p w:rsidR="00E16E6D" w:rsidRPr="00A65BCE" w:rsidRDefault="00E16E6D" w:rsidP="00E16E6D">
      <w:pPr>
        <w:pStyle w:val="Item"/>
      </w:pPr>
      <w:r w:rsidRPr="00A65BCE">
        <w:t>Repeal the subparagraph, substitute:</w:t>
      </w:r>
    </w:p>
    <w:p w:rsidR="00E16E6D" w:rsidRPr="00A65BCE" w:rsidRDefault="00E16E6D" w:rsidP="00E16E6D">
      <w:pPr>
        <w:pStyle w:val="paragraphsub"/>
      </w:pPr>
      <w:r w:rsidRPr="00A65BCE">
        <w:tab/>
        <w:t>(iii)</w:t>
      </w:r>
      <w:r w:rsidRPr="00A65BCE">
        <w:tab/>
        <w:t>consumer credit insurance;</w:t>
      </w:r>
    </w:p>
    <w:p w:rsidR="00E16E6D" w:rsidRPr="00A65BCE" w:rsidRDefault="00E16E6D" w:rsidP="00E16E6D">
      <w:pPr>
        <w:pStyle w:val="paragraphsub"/>
      </w:pPr>
      <w:r w:rsidRPr="00A65BCE">
        <w:tab/>
        <w:t>(iv)</w:t>
      </w:r>
      <w:r w:rsidRPr="00A65BCE">
        <w:tab/>
        <w:t>a combination of any of those products; and</w:t>
      </w:r>
    </w:p>
    <w:p w:rsidR="00DB3459" w:rsidRPr="00A65BCE" w:rsidRDefault="00850109" w:rsidP="007928A6">
      <w:pPr>
        <w:pStyle w:val="ItemHead"/>
        <w:rPr>
          <w:rFonts w:cs="Arial"/>
          <w:noProof/>
        </w:rPr>
      </w:pPr>
      <w:r w:rsidRPr="00A65BCE">
        <w:rPr>
          <w:rFonts w:cs="Arial"/>
          <w:noProof/>
        </w:rPr>
        <w:t>23</w:t>
      </w:r>
      <w:r w:rsidR="00DB3459" w:rsidRPr="00A65BCE">
        <w:rPr>
          <w:rFonts w:cs="Arial"/>
          <w:noProof/>
        </w:rPr>
        <w:t xml:space="preserve">  At the end of subregulation</w:t>
      </w:r>
      <w:r w:rsidR="00A65BCE" w:rsidRPr="00A65BCE">
        <w:rPr>
          <w:rFonts w:cs="Arial"/>
          <w:noProof/>
        </w:rPr>
        <w:t> </w:t>
      </w:r>
      <w:r w:rsidR="00DB3459" w:rsidRPr="00A65BCE">
        <w:rPr>
          <w:rFonts w:cs="Arial"/>
          <w:noProof/>
        </w:rPr>
        <w:t>7.7A.12I(1)</w:t>
      </w:r>
    </w:p>
    <w:p w:rsidR="00DB3459" w:rsidRPr="00A65BCE" w:rsidRDefault="00DB3459" w:rsidP="00DB3459">
      <w:pPr>
        <w:pStyle w:val="Item"/>
      </w:pPr>
      <w:r w:rsidRPr="00A65BCE">
        <w:t>Add:</w:t>
      </w:r>
    </w:p>
    <w:p w:rsidR="00DB3459" w:rsidRPr="00A65BCE" w:rsidRDefault="00DB3459" w:rsidP="00DB3459">
      <w:pPr>
        <w:pStyle w:val="notetext"/>
      </w:pPr>
      <w:r w:rsidRPr="00A65BCE">
        <w:t>Example:</w:t>
      </w:r>
      <w:r w:rsidRPr="00A65BCE">
        <w:tab/>
        <w:t>If a benefit of $2</w:t>
      </w:r>
      <w:r w:rsidR="00A65BCE" w:rsidRPr="00A65BCE">
        <w:t> </w:t>
      </w:r>
      <w:r w:rsidRPr="00A65BCE">
        <w:t>000 is given and paragraph</w:t>
      </w:r>
      <w:r w:rsidR="00A65BCE" w:rsidRPr="00A65BCE">
        <w:t> </w:t>
      </w:r>
      <w:r w:rsidRPr="00A65BCE">
        <w:t>963B(1)(a) of the Act is satisfied in relation to $500 of that benefit, and paragraph</w:t>
      </w:r>
      <w:r w:rsidR="00A65BCE" w:rsidRPr="00A65BCE">
        <w:t> </w:t>
      </w:r>
      <w:r w:rsidRPr="00A65BCE">
        <w:t>963B(1)(b) of the Act is satisfied in relation to the remaining $1</w:t>
      </w:r>
      <w:r w:rsidR="00A65BCE" w:rsidRPr="00A65BCE">
        <w:t> </w:t>
      </w:r>
      <w:r w:rsidRPr="00A65BCE">
        <w:t>500 of that benefit, none of the benefit would be conflicted remuneration.</w:t>
      </w:r>
    </w:p>
    <w:p w:rsidR="00D8062B" w:rsidRPr="00A65BCE" w:rsidRDefault="00850109" w:rsidP="007928A6">
      <w:pPr>
        <w:pStyle w:val="ItemHead"/>
        <w:rPr>
          <w:rFonts w:cs="Arial"/>
          <w:noProof/>
        </w:rPr>
      </w:pPr>
      <w:r w:rsidRPr="00A65BCE">
        <w:rPr>
          <w:rFonts w:cs="Arial"/>
          <w:noProof/>
        </w:rPr>
        <w:lastRenderedPageBreak/>
        <w:t>24</w:t>
      </w:r>
      <w:r w:rsidR="00D8062B" w:rsidRPr="00A65BCE">
        <w:rPr>
          <w:rFonts w:cs="Arial"/>
          <w:noProof/>
        </w:rPr>
        <w:t xml:space="preserve">  Subregulation</w:t>
      </w:r>
      <w:r w:rsidR="00A65BCE" w:rsidRPr="00A65BCE">
        <w:rPr>
          <w:rFonts w:cs="Arial"/>
          <w:noProof/>
        </w:rPr>
        <w:t> </w:t>
      </w:r>
      <w:r w:rsidR="00D8062B" w:rsidRPr="00A65BCE">
        <w:rPr>
          <w:rFonts w:cs="Arial"/>
          <w:noProof/>
        </w:rPr>
        <w:t>7.7A.12I(2)</w:t>
      </w:r>
    </w:p>
    <w:p w:rsidR="00D8062B" w:rsidRPr="00A65BCE" w:rsidRDefault="00D8062B" w:rsidP="00D8062B">
      <w:pPr>
        <w:pStyle w:val="Item"/>
      </w:pPr>
      <w:r w:rsidRPr="00A65BCE">
        <w:t>Repeal the subregulation.</w:t>
      </w:r>
    </w:p>
    <w:p w:rsidR="00D8062B" w:rsidRPr="00A65BCE" w:rsidRDefault="00850109" w:rsidP="00D8062B">
      <w:pPr>
        <w:pStyle w:val="ItemHead"/>
        <w:rPr>
          <w:rFonts w:cs="Arial"/>
          <w:noProof/>
        </w:rPr>
      </w:pPr>
      <w:r w:rsidRPr="00A65BCE">
        <w:t>25</w:t>
      </w:r>
      <w:r w:rsidR="00D8062B" w:rsidRPr="00A65BCE">
        <w:t xml:space="preserve">  </w:t>
      </w:r>
      <w:r w:rsidR="00D8062B" w:rsidRPr="00A65BCE">
        <w:rPr>
          <w:rFonts w:cs="Arial"/>
          <w:noProof/>
        </w:rPr>
        <w:t>Subregulation</w:t>
      </w:r>
      <w:r w:rsidR="00A65BCE" w:rsidRPr="00A65BCE">
        <w:rPr>
          <w:rFonts w:cs="Arial"/>
          <w:noProof/>
        </w:rPr>
        <w:t> </w:t>
      </w:r>
      <w:r w:rsidR="00D8062B" w:rsidRPr="00A65BCE">
        <w:rPr>
          <w:rFonts w:cs="Arial"/>
          <w:noProof/>
        </w:rPr>
        <w:t xml:space="preserve">7.7A.12I(3) (at the end of the definition of </w:t>
      </w:r>
      <w:r w:rsidR="00161D6E" w:rsidRPr="00A65BCE">
        <w:rPr>
          <w:rFonts w:cs="Arial"/>
          <w:i/>
          <w:noProof/>
        </w:rPr>
        <w:t>prescribed provision</w:t>
      </w:r>
      <w:r w:rsidR="00161D6E" w:rsidRPr="00A65BCE">
        <w:rPr>
          <w:rFonts w:cs="Arial"/>
          <w:noProof/>
        </w:rPr>
        <w:t>)</w:t>
      </w:r>
    </w:p>
    <w:p w:rsidR="00161D6E" w:rsidRPr="00A65BCE" w:rsidRDefault="00161D6E" w:rsidP="00161D6E">
      <w:pPr>
        <w:pStyle w:val="Item"/>
      </w:pPr>
      <w:r w:rsidRPr="00A65BCE">
        <w:t>Add:</w:t>
      </w:r>
    </w:p>
    <w:p w:rsidR="00161D6E" w:rsidRPr="00A65BCE" w:rsidRDefault="00161D6E" w:rsidP="00161D6E">
      <w:pPr>
        <w:pStyle w:val="paragraph"/>
      </w:pPr>
      <w:r w:rsidRPr="00A65BCE">
        <w:tab/>
        <w:t>; or (c)</w:t>
      </w:r>
      <w:r w:rsidRPr="00A65BCE">
        <w:tab/>
        <w:t>section</w:t>
      </w:r>
      <w:r w:rsidR="00A65BCE" w:rsidRPr="00A65BCE">
        <w:t> </w:t>
      </w:r>
      <w:r w:rsidRPr="00A65BCE">
        <w:t>963D of the Act.</w:t>
      </w:r>
    </w:p>
    <w:p w:rsidR="007928A6" w:rsidRPr="00A65BCE" w:rsidRDefault="00850109" w:rsidP="007928A6">
      <w:pPr>
        <w:pStyle w:val="ItemHead"/>
        <w:rPr>
          <w:rFonts w:cs="Arial"/>
          <w:noProof/>
        </w:rPr>
      </w:pPr>
      <w:r w:rsidRPr="00A65BCE">
        <w:rPr>
          <w:rFonts w:cs="Arial"/>
          <w:noProof/>
        </w:rPr>
        <w:t>26</w:t>
      </w:r>
      <w:r w:rsidR="007928A6" w:rsidRPr="00A65BCE">
        <w:rPr>
          <w:rFonts w:cs="Arial"/>
          <w:noProof/>
        </w:rPr>
        <w:t xml:space="preserve">  </w:t>
      </w:r>
      <w:r w:rsidR="00D342EB" w:rsidRPr="00A65BCE">
        <w:rPr>
          <w:rFonts w:cs="Arial"/>
          <w:noProof/>
        </w:rPr>
        <w:t>After r</w:t>
      </w:r>
      <w:r w:rsidR="00FA5C54" w:rsidRPr="00A65BCE">
        <w:rPr>
          <w:rFonts w:cs="Arial"/>
          <w:noProof/>
        </w:rPr>
        <w:t>egulation</w:t>
      </w:r>
      <w:r w:rsidR="00A65BCE" w:rsidRPr="00A65BCE">
        <w:rPr>
          <w:rFonts w:cs="Arial"/>
          <w:noProof/>
        </w:rPr>
        <w:t> </w:t>
      </w:r>
      <w:r w:rsidR="007928A6" w:rsidRPr="00A65BCE">
        <w:rPr>
          <w:rFonts w:cs="Arial"/>
          <w:noProof/>
        </w:rPr>
        <w:t>7.7A.12I</w:t>
      </w:r>
    </w:p>
    <w:p w:rsidR="007928A6" w:rsidRPr="00A65BCE" w:rsidRDefault="00D342EB" w:rsidP="007928A6">
      <w:pPr>
        <w:pStyle w:val="Item"/>
      </w:pPr>
      <w:r w:rsidRPr="00A65BCE">
        <w:t>Insert</w:t>
      </w:r>
      <w:r w:rsidR="007928A6" w:rsidRPr="00A65BCE">
        <w:t>:</w:t>
      </w:r>
    </w:p>
    <w:p w:rsidR="009059C6" w:rsidRPr="00A65BCE" w:rsidRDefault="009059C6" w:rsidP="009059C6">
      <w:pPr>
        <w:pStyle w:val="ActHead5"/>
      </w:pPr>
      <w:bookmarkStart w:id="23" w:name="_Toc390763964"/>
      <w:r w:rsidRPr="00A65BCE">
        <w:rPr>
          <w:rStyle w:val="CharSectno"/>
        </w:rPr>
        <w:t>7.7A.12J</w:t>
      </w:r>
      <w:r w:rsidRPr="00A65BCE">
        <w:t xml:space="preserve">  Benefits calculated by reference to another benefit</w:t>
      </w:r>
      <w:bookmarkEnd w:id="23"/>
    </w:p>
    <w:p w:rsidR="009059C6" w:rsidRPr="00A65BCE" w:rsidRDefault="009059C6" w:rsidP="009059C6">
      <w:pPr>
        <w:pStyle w:val="subsection"/>
      </w:pPr>
      <w:r w:rsidRPr="00A65BCE">
        <w:tab/>
      </w:r>
      <w:r w:rsidRPr="00A65BCE">
        <w:tab/>
        <w:t xml:space="preserve">A benefit is not conflicted remuneration </w:t>
      </w:r>
      <w:r w:rsidR="00124F24" w:rsidRPr="00A65BCE">
        <w:t>to the extent that</w:t>
      </w:r>
      <w:r w:rsidRPr="00A65BCE">
        <w:t xml:space="preserve"> the amount or value of the benefit is calculated by reference to another benefit that is not conflicted remuneration because of section</w:t>
      </w:r>
      <w:r w:rsidR="00A65BCE" w:rsidRPr="00A65BCE">
        <w:t> </w:t>
      </w:r>
      <w:r w:rsidR="0024208F" w:rsidRPr="00A65BCE">
        <w:t xml:space="preserve">963B, </w:t>
      </w:r>
      <w:r w:rsidRPr="00A65BCE">
        <w:t>963C</w:t>
      </w:r>
      <w:r w:rsidR="0024208F" w:rsidRPr="00A65BCE">
        <w:t xml:space="preserve"> or 963D</w:t>
      </w:r>
      <w:r w:rsidRPr="00A65BCE">
        <w:t>.</w:t>
      </w:r>
    </w:p>
    <w:p w:rsidR="00370BB8" w:rsidRPr="00A65BCE" w:rsidRDefault="00850109" w:rsidP="00370BB8">
      <w:pPr>
        <w:pStyle w:val="ItemHead"/>
      </w:pPr>
      <w:r w:rsidRPr="00A65BCE">
        <w:t>27</w:t>
      </w:r>
      <w:r w:rsidR="00370BB8" w:rsidRPr="00A65BCE">
        <w:t xml:space="preserve">  After regulation</w:t>
      </w:r>
      <w:r w:rsidR="00A65BCE" w:rsidRPr="00A65BCE">
        <w:t> </w:t>
      </w:r>
      <w:r w:rsidR="00370BB8" w:rsidRPr="00A65BCE">
        <w:t>7.7A.15</w:t>
      </w:r>
    </w:p>
    <w:p w:rsidR="00370BB8" w:rsidRPr="00A65BCE" w:rsidRDefault="00370BB8" w:rsidP="00370BB8">
      <w:pPr>
        <w:pStyle w:val="Item"/>
      </w:pPr>
      <w:r w:rsidRPr="00A65BCE">
        <w:t>Insert:</w:t>
      </w:r>
    </w:p>
    <w:p w:rsidR="00370BB8" w:rsidRPr="00A65BCE" w:rsidRDefault="00370BB8" w:rsidP="00370BB8">
      <w:pPr>
        <w:pStyle w:val="ActHead5"/>
      </w:pPr>
      <w:bookmarkStart w:id="24" w:name="_Toc390763965"/>
      <w:r w:rsidRPr="00A65BCE">
        <w:rPr>
          <w:rStyle w:val="CharSectno"/>
        </w:rPr>
        <w:t>7.7A.15A</w:t>
      </w:r>
      <w:r w:rsidRPr="00A65BCE">
        <w:t xml:space="preserve">  Non</w:t>
      </w:r>
      <w:r w:rsidR="00A65BCE">
        <w:noBreakHyphen/>
      </w:r>
      <w:r w:rsidRPr="00A65BCE">
        <w:t>monetary benefit given in certain circumstances not conflicted remuneration—education and training in conducting a financial services business</w:t>
      </w:r>
      <w:bookmarkEnd w:id="24"/>
    </w:p>
    <w:p w:rsidR="00370BB8" w:rsidRPr="00A65BCE" w:rsidRDefault="00370BB8" w:rsidP="00370BB8">
      <w:pPr>
        <w:pStyle w:val="subsection"/>
      </w:pPr>
      <w:r w:rsidRPr="00A65BCE">
        <w:tab/>
        <w:t>(1)</w:t>
      </w:r>
      <w:r w:rsidRPr="00A65BCE">
        <w:tab/>
        <w:t>This regulation:</w:t>
      </w:r>
    </w:p>
    <w:p w:rsidR="00370BB8" w:rsidRPr="00A65BCE" w:rsidRDefault="00370BB8" w:rsidP="00370BB8">
      <w:pPr>
        <w:pStyle w:val="paragraph"/>
      </w:pPr>
      <w:r w:rsidRPr="00A65BCE">
        <w:tab/>
        <w:t>(a)</w:t>
      </w:r>
      <w:r w:rsidRPr="00A65BCE">
        <w:tab/>
        <w:t>is made for paragraph</w:t>
      </w:r>
      <w:r w:rsidR="00A65BCE" w:rsidRPr="00A65BCE">
        <w:t> </w:t>
      </w:r>
      <w:r w:rsidRPr="00A65BCE">
        <w:t>963C(f) of the Act; and</w:t>
      </w:r>
    </w:p>
    <w:p w:rsidR="00370BB8" w:rsidRPr="00A65BCE" w:rsidRDefault="00370BB8" w:rsidP="00370BB8">
      <w:pPr>
        <w:pStyle w:val="paragraph"/>
      </w:pPr>
      <w:r w:rsidRPr="00A65BCE">
        <w:tab/>
        <w:t>(b)</w:t>
      </w:r>
      <w:r w:rsidRPr="00A65BCE">
        <w:tab/>
        <w:t>prescribes the circumstances in which a non</w:t>
      </w:r>
      <w:r w:rsidR="00A65BCE">
        <w:noBreakHyphen/>
      </w:r>
      <w:r w:rsidRPr="00A65BCE">
        <w:t>monetary benefit given to a financial services licensee, or representative of a financial services licensee, who provides financial product advice to persons as retail clients is not conflicted remuneration.</w:t>
      </w:r>
    </w:p>
    <w:p w:rsidR="00370BB8" w:rsidRPr="00A65BCE" w:rsidRDefault="00370BB8" w:rsidP="00370BB8">
      <w:pPr>
        <w:pStyle w:val="notetext"/>
        <w:rPr>
          <w:b/>
          <w:i/>
        </w:rPr>
      </w:pPr>
      <w:r w:rsidRPr="00A65BCE">
        <w:t>Note:</w:t>
      </w:r>
      <w:r w:rsidRPr="00A65BCE">
        <w:tab/>
      </w:r>
      <w:r w:rsidR="00B12D5E" w:rsidRPr="00A65BCE">
        <w:t>For</w:t>
      </w:r>
      <w:r w:rsidRPr="00A65BCE">
        <w:t xml:space="preserve"> </w:t>
      </w:r>
      <w:r w:rsidRPr="00A65BCE">
        <w:rPr>
          <w:b/>
          <w:i/>
        </w:rPr>
        <w:t>financial product advice</w:t>
      </w:r>
      <w:r w:rsidR="00B12D5E" w:rsidRPr="00A65BCE">
        <w:t>, see</w:t>
      </w:r>
      <w:r w:rsidRPr="00A65BCE">
        <w:t xml:space="preserve"> subsection</w:t>
      </w:r>
      <w:r w:rsidR="00A65BCE" w:rsidRPr="00A65BCE">
        <w:t> </w:t>
      </w:r>
      <w:r w:rsidRPr="00A65BCE">
        <w:t>766B(1) of the Act</w:t>
      </w:r>
      <w:r w:rsidR="00B12D5E" w:rsidRPr="00A65BCE">
        <w:t>.</w:t>
      </w:r>
    </w:p>
    <w:p w:rsidR="00370BB8" w:rsidRPr="00A65BCE" w:rsidRDefault="00370BB8" w:rsidP="00370BB8">
      <w:pPr>
        <w:pStyle w:val="subsection"/>
      </w:pPr>
      <w:r w:rsidRPr="00A65BCE">
        <w:tab/>
        <w:t>(2)</w:t>
      </w:r>
      <w:r w:rsidRPr="00A65BCE">
        <w:tab/>
        <w:t>The benefit is not conflicted remuneration if the benefit:</w:t>
      </w:r>
    </w:p>
    <w:p w:rsidR="00370BB8" w:rsidRPr="00A65BCE" w:rsidRDefault="00370BB8" w:rsidP="00370BB8">
      <w:pPr>
        <w:pStyle w:val="paragraph"/>
      </w:pPr>
      <w:r w:rsidRPr="00A65BCE">
        <w:tab/>
        <w:t>(a)</w:t>
      </w:r>
      <w:r w:rsidRPr="00A65BCE">
        <w:tab/>
        <w:t>has a genuine education or training purpose; and</w:t>
      </w:r>
    </w:p>
    <w:p w:rsidR="00370BB8" w:rsidRPr="00A65BCE" w:rsidRDefault="00370BB8" w:rsidP="00370BB8">
      <w:pPr>
        <w:pStyle w:val="paragraph"/>
      </w:pPr>
      <w:r w:rsidRPr="00A65BCE">
        <w:tab/>
        <w:t>(b)</w:t>
      </w:r>
      <w:r w:rsidRPr="00A65BCE">
        <w:tab/>
        <w:t>is relevant to the carrying on of a financial services business; and</w:t>
      </w:r>
    </w:p>
    <w:p w:rsidR="00370BB8" w:rsidRPr="00A65BCE" w:rsidRDefault="00370BB8" w:rsidP="00370BB8">
      <w:pPr>
        <w:pStyle w:val="paragraph"/>
      </w:pPr>
      <w:r w:rsidRPr="00A65BCE">
        <w:tab/>
        <w:t>(c)</w:t>
      </w:r>
      <w:r w:rsidRPr="00A65BCE">
        <w:tab/>
        <w:t>complies with regulations made for the purposes of subparagraph</w:t>
      </w:r>
      <w:r w:rsidR="00A65BCE" w:rsidRPr="00A65BCE">
        <w:t> </w:t>
      </w:r>
      <w:r w:rsidRPr="00A65BCE">
        <w:t>963C(c)(iii) of the Act.</w:t>
      </w:r>
    </w:p>
    <w:p w:rsidR="003D1115" w:rsidRPr="00A65BCE" w:rsidRDefault="00850109" w:rsidP="003D1115">
      <w:pPr>
        <w:pStyle w:val="ItemHead"/>
      </w:pPr>
      <w:r w:rsidRPr="00A65BCE">
        <w:lastRenderedPageBreak/>
        <w:t>28</w:t>
      </w:r>
      <w:r w:rsidR="003D1115" w:rsidRPr="00A65BCE">
        <w:t xml:space="preserve">  Before regulation</w:t>
      </w:r>
      <w:r w:rsidR="00A65BCE" w:rsidRPr="00A65BCE">
        <w:t> </w:t>
      </w:r>
      <w:r w:rsidR="003D1115" w:rsidRPr="00A65BCE">
        <w:t>7.7A.16</w:t>
      </w:r>
    </w:p>
    <w:p w:rsidR="003D1115" w:rsidRPr="00A65BCE" w:rsidRDefault="003D1115" w:rsidP="003D1115">
      <w:pPr>
        <w:pStyle w:val="Item"/>
      </w:pPr>
      <w:r w:rsidRPr="00A65BCE">
        <w:t>Insert:</w:t>
      </w:r>
    </w:p>
    <w:p w:rsidR="0029542E" w:rsidRPr="00A65BCE" w:rsidRDefault="0029542E" w:rsidP="0029542E">
      <w:pPr>
        <w:pStyle w:val="ActHead5"/>
      </w:pPr>
      <w:bookmarkStart w:id="25" w:name="_Toc390763966"/>
      <w:r w:rsidRPr="00A65BCE">
        <w:rPr>
          <w:rStyle w:val="CharSectno"/>
        </w:rPr>
        <w:t>7.7A.15B</w:t>
      </w:r>
      <w:r w:rsidRPr="00A65BCE">
        <w:t xml:space="preserve">  Application of ban on conflicted remuneration—</w:t>
      </w:r>
      <w:r w:rsidR="00CB2E62" w:rsidRPr="00A65BCE">
        <w:t>non</w:t>
      </w:r>
      <w:r w:rsidR="00A65BCE">
        <w:noBreakHyphen/>
      </w:r>
      <w:r w:rsidRPr="00A65BCE">
        <w:t>platform operator (Division</w:t>
      </w:r>
      <w:r w:rsidR="00A65BCE" w:rsidRPr="00A65BCE">
        <w:t> </w:t>
      </w:r>
      <w:r w:rsidRPr="00A65BCE">
        <w:t>4 of Part</w:t>
      </w:r>
      <w:r w:rsidR="00A65BCE" w:rsidRPr="00A65BCE">
        <w:t> </w:t>
      </w:r>
      <w:r w:rsidRPr="00A65BCE">
        <w:t>7.7A of Chapter</w:t>
      </w:r>
      <w:r w:rsidR="00A65BCE" w:rsidRPr="00A65BCE">
        <w:t> </w:t>
      </w:r>
      <w:r w:rsidRPr="00A65BCE">
        <w:t>7 of the Act does not apply)</w:t>
      </w:r>
      <w:bookmarkEnd w:id="25"/>
    </w:p>
    <w:p w:rsidR="0029542E" w:rsidRPr="00A65BCE" w:rsidRDefault="0029542E" w:rsidP="00CB2E62">
      <w:pPr>
        <w:pStyle w:val="subsection"/>
      </w:pPr>
      <w:r w:rsidRPr="00A65BCE">
        <w:tab/>
        <w:t>(1)</w:t>
      </w:r>
      <w:r w:rsidRPr="00A65BCE">
        <w:tab/>
        <w:t>This regulation:</w:t>
      </w:r>
    </w:p>
    <w:p w:rsidR="0029542E" w:rsidRPr="00A65BCE" w:rsidRDefault="0029542E" w:rsidP="00CB2E62">
      <w:pPr>
        <w:pStyle w:val="paragraph"/>
      </w:pPr>
      <w:r w:rsidRPr="00A65BCE">
        <w:tab/>
        <w:t>(a)</w:t>
      </w:r>
      <w:r w:rsidRPr="00A65BCE">
        <w:tab/>
        <w:t>is made for subsection</w:t>
      </w:r>
      <w:r w:rsidR="00A65BCE" w:rsidRPr="00A65BCE">
        <w:t> </w:t>
      </w:r>
      <w:r w:rsidRPr="00A65BCE">
        <w:t>1528(2) of the Act; and</w:t>
      </w:r>
    </w:p>
    <w:p w:rsidR="0029542E" w:rsidRPr="00A65BCE" w:rsidRDefault="0029542E" w:rsidP="00CB2E62">
      <w:pPr>
        <w:pStyle w:val="paragraph"/>
      </w:pPr>
      <w:r w:rsidRPr="00A65BCE">
        <w:tab/>
        <w:t>(b)</w:t>
      </w:r>
      <w:r w:rsidRPr="00A65BCE">
        <w:tab/>
        <w:t>prescribes a circumstance in which Division</w:t>
      </w:r>
      <w:r w:rsidR="00A65BCE" w:rsidRPr="00A65BCE">
        <w:t> </w:t>
      </w:r>
      <w:r w:rsidRPr="00A65BCE">
        <w:t>4 of Part</w:t>
      </w:r>
      <w:r w:rsidR="00A65BCE" w:rsidRPr="00A65BCE">
        <w:t> </w:t>
      </w:r>
      <w:r w:rsidRPr="00A65BCE">
        <w:t>7.7A of Chapter</w:t>
      </w:r>
      <w:r w:rsidR="00A65BCE" w:rsidRPr="00A65BCE">
        <w:t> </w:t>
      </w:r>
      <w:r w:rsidRPr="00A65BCE">
        <w:t>7 of the Act does not apply to a benefit.</w:t>
      </w:r>
    </w:p>
    <w:p w:rsidR="0029542E" w:rsidRPr="00A65BCE" w:rsidRDefault="0029542E" w:rsidP="00CB2E62">
      <w:pPr>
        <w:pStyle w:val="notetext"/>
      </w:pPr>
      <w:r w:rsidRPr="00A65BCE">
        <w:t>Note:</w:t>
      </w:r>
      <w:r w:rsidRPr="00A65BCE">
        <w:tab/>
        <w:t>Subsection</w:t>
      </w:r>
      <w:r w:rsidR="00A65BCE" w:rsidRPr="00A65BCE">
        <w:t> </w:t>
      </w:r>
      <w:r w:rsidRPr="00A65BCE">
        <w:t>1528(1) of the Act sets out a rule about when Division</w:t>
      </w:r>
      <w:r w:rsidR="00A65BCE" w:rsidRPr="00A65BCE">
        <w:t> </w:t>
      </w:r>
      <w:r w:rsidRPr="00A65BCE">
        <w:t>4 of Part</w:t>
      </w:r>
      <w:r w:rsidR="00A65BCE" w:rsidRPr="00A65BCE">
        <w:t> </w:t>
      </w:r>
      <w:r w:rsidRPr="00A65BCE">
        <w:t>7.7A of Chapter</w:t>
      </w:r>
      <w:r w:rsidR="00A65BCE" w:rsidRPr="00A65BCE">
        <w:t> </w:t>
      </w:r>
      <w:r w:rsidRPr="00A65BCE">
        <w:t>7 of the Act does not apply to a benefit given to a financial services licensee, or a representative of a financial services licensee. Subsection</w:t>
      </w:r>
      <w:r w:rsidR="00A65BCE" w:rsidRPr="00A65BCE">
        <w:t> </w:t>
      </w:r>
      <w:r w:rsidRPr="00A65BCE">
        <w:t>1528(2) of the Act permits regulations to prescribe circumstances in which that Division applies, or does not apply, to a benefit.</w:t>
      </w:r>
    </w:p>
    <w:p w:rsidR="0029542E" w:rsidRPr="00A65BCE" w:rsidRDefault="0029542E" w:rsidP="00CB2E62">
      <w:pPr>
        <w:pStyle w:val="subsection"/>
      </w:pPr>
      <w:r w:rsidRPr="00A65BCE">
        <w:tab/>
        <w:t>(2)</w:t>
      </w:r>
      <w:r w:rsidRPr="00A65BCE">
        <w:tab/>
        <w:t>The circumstance is that</w:t>
      </w:r>
      <w:r w:rsidR="00CB2E62" w:rsidRPr="00A65BCE">
        <w:t xml:space="preserve"> the benefit would have been given as mentioned in subsection</w:t>
      </w:r>
      <w:r w:rsidR="00A65BCE" w:rsidRPr="00A65BCE">
        <w:t> </w:t>
      </w:r>
      <w:r w:rsidR="00CB2E62" w:rsidRPr="00A65BCE">
        <w:t>1528(1) of the Act had it not been redirected under one or more later arrangement</w:t>
      </w:r>
      <w:r w:rsidR="002F3AC4" w:rsidRPr="00A65BCE">
        <w:t>s</w:t>
      </w:r>
      <w:r w:rsidR="00CB2E62" w:rsidRPr="00A65BCE">
        <w:t>.</w:t>
      </w:r>
    </w:p>
    <w:p w:rsidR="0029542E" w:rsidRPr="00A65BCE" w:rsidRDefault="0029542E" w:rsidP="00CB2E62">
      <w:pPr>
        <w:pStyle w:val="subsection"/>
      </w:pPr>
      <w:r w:rsidRPr="00A65BCE">
        <w:tab/>
        <w:t>(3)</w:t>
      </w:r>
      <w:r w:rsidRPr="00A65BCE">
        <w:tab/>
        <w:t>For subregulation</w:t>
      </w:r>
      <w:r w:rsidR="00A65BCE" w:rsidRPr="00A65BCE">
        <w:t> </w:t>
      </w:r>
      <w:r w:rsidRPr="00A65BCE">
        <w:t>(2), if a party to an arrangement changes, the arrangement is taken to have continued in effect, after the change, as the same arrangement.</w:t>
      </w:r>
    </w:p>
    <w:p w:rsidR="004722E6" w:rsidRPr="00A65BCE" w:rsidRDefault="00850109" w:rsidP="004722E6">
      <w:pPr>
        <w:pStyle w:val="ItemHead"/>
      </w:pPr>
      <w:r w:rsidRPr="00A65BCE">
        <w:t>29</w:t>
      </w:r>
      <w:r w:rsidR="004722E6" w:rsidRPr="00A65BCE">
        <w:t xml:space="preserve">  </w:t>
      </w:r>
      <w:r w:rsidR="00831B7D" w:rsidRPr="00A65BCE">
        <w:t>Subregulation</w:t>
      </w:r>
      <w:r w:rsidR="00A65BCE" w:rsidRPr="00A65BCE">
        <w:t> </w:t>
      </w:r>
      <w:r w:rsidR="004722E6" w:rsidRPr="00A65BCE">
        <w:t>7.7A.16</w:t>
      </w:r>
      <w:r w:rsidR="00831B7D" w:rsidRPr="00A65BCE">
        <w:t>(2)</w:t>
      </w:r>
    </w:p>
    <w:p w:rsidR="004722E6" w:rsidRPr="00A65BCE" w:rsidRDefault="004722E6" w:rsidP="004722E6">
      <w:pPr>
        <w:pStyle w:val="Item"/>
      </w:pPr>
      <w:r w:rsidRPr="00A65BCE">
        <w:t xml:space="preserve">Repeal the </w:t>
      </w:r>
      <w:r w:rsidR="00831B7D" w:rsidRPr="00A65BCE">
        <w:t>subregulation</w:t>
      </w:r>
      <w:r w:rsidRPr="00A65BCE">
        <w:t>, substitute:</w:t>
      </w:r>
    </w:p>
    <w:p w:rsidR="00831B7D" w:rsidRPr="00A65BCE" w:rsidRDefault="00831B7D" w:rsidP="00831B7D">
      <w:pPr>
        <w:pStyle w:val="subsection"/>
      </w:pPr>
      <w:r w:rsidRPr="00A65BCE">
        <w:tab/>
        <w:t>(2)</w:t>
      </w:r>
      <w:r w:rsidRPr="00A65BCE">
        <w:tab/>
        <w:t>The circumstance is tha</w:t>
      </w:r>
      <w:r w:rsidR="00582809" w:rsidRPr="00A65BCE">
        <w:t>t:</w:t>
      </w:r>
    </w:p>
    <w:p w:rsidR="00831B7D" w:rsidRPr="00A65BCE" w:rsidRDefault="004722E6" w:rsidP="00831B7D">
      <w:pPr>
        <w:pStyle w:val="paragraph"/>
      </w:pPr>
      <w:r w:rsidRPr="00A65BCE">
        <w:tab/>
      </w:r>
      <w:r w:rsidR="00831B7D" w:rsidRPr="00A65BCE">
        <w:t>(a)</w:t>
      </w:r>
      <w:r w:rsidR="00831B7D" w:rsidRPr="00A65BCE">
        <w:tab/>
      </w:r>
      <w:r w:rsidR="00582809" w:rsidRPr="00A65BCE">
        <w:t xml:space="preserve">the benefit </w:t>
      </w:r>
      <w:r w:rsidR="00831B7D" w:rsidRPr="00A65BCE">
        <w:t>is given by a platform operator; and</w:t>
      </w:r>
    </w:p>
    <w:p w:rsidR="00831B7D" w:rsidRPr="00A65BCE" w:rsidRDefault="00831B7D" w:rsidP="00831B7D">
      <w:pPr>
        <w:pStyle w:val="paragraph"/>
      </w:pPr>
      <w:r w:rsidRPr="00A65BCE">
        <w:tab/>
        <w:t>(b)</w:t>
      </w:r>
      <w:r w:rsidRPr="00A65BCE">
        <w:tab/>
      </w:r>
      <w:r w:rsidR="00582809" w:rsidRPr="00A65BCE">
        <w:t>either</w:t>
      </w:r>
      <w:r w:rsidRPr="00A65BCE">
        <w:t>:</w:t>
      </w:r>
    </w:p>
    <w:p w:rsidR="00831B7D" w:rsidRPr="00A65BCE" w:rsidRDefault="00831B7D" w:rsidP="00831B7D">
      <w:pPr>
        <w:pStyle w:val="paragraphsub"/>
      </w:pPr>
      <w:r w:rsidRPr="00A65BCE">
        <w:tab/>
        <w:t>(i)</w:t>
      </w:r>
      <w:r w:rsidRPr="00A65BCE">
        <w:tab/>
      </w:r>
      <w:r w:rsidR="00582809" w:rsidRPr="00A65BCE">
        <w:t xml:space="preserve">the benefit is given </w:t>
      </w:r>
      <w:r w:rsidRPr="00A65BCE">
        <w:t>under an arrangement that was entered into before the application day, within the meaning of subsection</w:t>
      </w:r>
      <w:r w:rsidR="00A65BCE" w:rsidRPr="00A65BCE">
        <w:t> </w:t>
      </w:r>
      <w:r w:rsidRPr="00A65BCE">
        <w:t>1528(4) of the Act; or</w:t>
      </w:r>
    </w:p>
    <w:p w:rsidR="00831B7D" w:rsidRPr="00A65BCE" w:rsidRDefault="00831B7D" w:rsidP="00831B7D">
      <w:pPr>
        <w:pStyle w:val="paragraphsub"/>
      </w:pPr>
      <w:r w:rsidRPr="00A65BCE">
        <w:tab/>
        <w:t>(ii)</w:t>
      </w:r>
      <w:r w:rsidRPr="00A65BCE">
        <w:tab/>
      </w:r>
      <w:r w:rsidR="00582809" w:rsidRPr="00A65BCE">
        <w:t xml:space="preserve">the benefit </w:t>
      </w:r>
      <w:r w:rsidRPr="00A65BCE">
        <w:t>would</w:t>
      </w:r>
      <w:r w:rsidR="00582809" w:rsidRPr="00A65BCE">
        <w:t xml:space="preserve"> have been given as mentioned in </w:t>
      </w:r>
      <w:r w:rsidR="00A65BCE" w:rsidRPr="00A65BCE">
        <w:t>subparagraph (</w:t>
      </w:r>
      <w:r w:rsidR="00582809" w:rsidRPr="00A65BCE">
        <w:t>i)</w:t>
      </w:r>
      <w:r w:rsidRPr="00A65BCE">
        <w:t xml:space="preserve"> had it not been redirected under </w:t>
      </w:r>
      <w:r w:rsidR="00582809" w:rsidRPr="00A65BCE">
        <w:t>one or more later arrangements</w:t>
      </w:r>
      <w:r w:rsidRPr="00A65BCE">
        <w:t>.</w:t>
      </w:r>
    </w:p>
    <w:p w:rsidR="00117913" w:rsidRPr="00A65BCE" w:rsidRDefault="00850109" w:rsidP="00117913">
      <w:pPr>
        <w:pStyle w:val="ItemHead"/>
      </w:pPr>
      <w:r w:rsidRPr="00A65BCE">
        <w:t>30</w:t>
      </w:r>
      <w:r w:rsidR="00117913" w:rsidRPr="00A65BCE">
        <w:t xml:space="preserve">  After sub</w:t>
      </w:r>
      <w:r w:rsidR="00913C7E" w:rsidRPr="00A65BCE">
        <w:t>regulation</w:t>
      </w:r>
      <w:r w:rsidR="00A65BCE" w:rsidRPr="00A65BCE">
        <w:t> </w:t>
      </w:r>
      <w:r w:rsidR="00117913" w:rsidRPr="00A65BCE">
        <w:t>7.7A.16B(5)</w:t>
      </w:r>
    </w:p>
    <w:p w:rsidR="00117913" w:rsidRPr="00A65BCE" w:rsidRDefault="00117913" w:rsidP="00117913">
      <w:pPr>
        <w:pStyle w:val="Item"/>
      </w:pPr>
      <w:r w:rsidRPr="00A65BCE">
        <w:t>Insert</w:t>
      </w:r>
      <w:r w:rsidR="00913C7E" w:rsidRPr="00A65BCE">
        <w:t>:</w:t>
      </w:r>
    </w:p>
    <w:p w:rsidR="00117913" w:rsidRPr="00A65BCE" w:rsidRDefault="00117913" w:rsidP="00117913">
      <w:pPr>
        <w:pStyle w:val="SubsectionHead"/>
      </w:pPr>
      <w:r w:rsidRPr="00A65BCE">
        <w:lastRenderedPageBreak/>
        <w:t>Pension switches</w:t>
      </w:r>
    </w:p>
    <w:p w:rsidR="00117913" w:rsidRPr="00A65BCE" w:rsidRDefault="00117913" w:rsidP="00117913">
      <w:pPr>
        <w:pStyle w:val="subsection"/>
      </w:pPr>
      <w:r w:rsidRPr="00A65BCE">
        <w:tab/>
        <w:t>(5A)</w:t>
      </w:r>
      <w:r w:rsidRPr="00A65BCE">
        <w:tab/>
        <w:t>For subregulation</w:t>
      </w:r>
      <w:r w:rsidR="00A65BCE" w:rsidRPr="00A65BCE">
        <w:t> </w:t>
      </w:r>
      <w:r w:rsidRPr="00A65BCE">
        <w:t>(2), if a retail client:</w:t>
      </w:r>
    </w:p>
    <w:p w:rsidR="00117913" w:rsidRPr="00A65BCE" w:rsidRDefault="00117913" w:rsidP="00117913">
      <w:pPr>
        <w:pStyle w:val="paragraph"/>
      </w:pPr>
      <w:r w:rsidRPr="00A65BCE">
        <w:tab/>
        <w:t>(a)</w:t>
      </w:r>
      <w:r w:rsidRPr="00A65BCE">
        <w:tab/>
        <w:t>has a superannuation interest in the growth phase before 1</w:t>
      </w:r>
      <w:r w:rsidR="00A65BCE" w:rsidRPr="00A65BCE">
        <w:t> </w:t>
      </w:r>
      <w:r w:rsidRPr="00A65BCE">
        <w:t>July 2014; and</w:t>
      </w:r>
    </w:p>
    <w:p w:rsidR="00117913" w:rsidRPr="00A65BCE" w:rsidRDefault="00117913" w:rsidP="00117913">
      <w:pPr>
        <w:pStyle w:val="paragraph"/>
      </w:pPr>
      <w:r w:rsidRPr="00A65BCE">
        <w:tab/>
        <w:t>(b)</w:t>
      </w:r>
      <w:r w:rsidRPr="00A65BCE">
        <w:tab/>
        <w:t xml:space="preserve">elects to receive a pension </w:t>
      </w:r>
      <w:r w:rsidR="00913C7E" w:rsidRPr="00A65BCE">
        <w:t>from the superannuation interest, or part of the interest</w:t>
      </w:r>
      <w:r w:rsidRPr="00A65BCE">
        <w:t>;</w:t>
      </w:r>
    </w:p>
    <w:p w:rsidR="00117913" w:rsidRPr="00A65BCE" w:rsidRDefault="00117913" w:rsidP="00117913">
      <w:pPr>
        <w:pStyle w:val="subsection2"/>
      </w:pPr>
      <w:r w:rsidRPr="00A65BCE">
        <w:t xml:space="preserve">do not treat the </w:t>
      </w:r>
      <w:r w:rsidR="003D026B" w:rsidRPr="00A65BCE">
        <w:t xml:space="preserve">election or the </w:t>
      </w:r>
      <w:r w:rsidR="00913C7E" w:rsidRPr="00A65BCE">
        <w:t xml:space="preserve">receipt of the </w:t>
      </w:r>
      <w:r w:rsidR="00157484" w:rsidRPr="00A65BCE">
        <w:t>pension</w:t>
      </w:r>
      <w:r w:rsidR="00913C7E" w:rsidRPr="00A65BCE">
        <w:t xml:space="preserve"> as an acquisition occurring on or after </w:t>
      </w:r>
      <w:r w:rsidRPr="00A65BCE">
        <w:t>1</w:t>
      </w:r>
      <w:r w:rsidR="00A65BCE" w:rsidRPr="00A65BCE">
        <w:t> </w:t>
      </w:r>
      <w:r w:rsidRPr="00A65BCE">
        <w:t>July 2014.</w:t>
      </w:r>
    </w:p>
    <w:p w:rsidR="00117913" w:rsidRPr="00A65BCE" w:rsidRDefault="00117913" w:rsidP="00117913">
      <w:pPr>
        <w:pStyle w:val="subsection"/>
      </w:pPr>
      <w:r w:rsidRPr="00A65BCE">
        <w:tab/>
        <w:t>(</w:t>
      </w:r>
      <w:r w:rsidR="00913C7E" w:rsidRPr="00A65BCE">
        <w:t>5B</w:t>
      </w:r>
      <w:r w:rsidRPr="00A65BCE">
        <w:t>)</w:t>
      </w:r>
      <w:r w:rsidRPr="00A65BCE">
        <w:tab/>
      </w:r>
      <w:r w:rsidR="00E8278C" w:rsidRPr="00A65BCE">
        <w:t>In</w:t>
      </w:r>
      <w:r w:rsidRPr="00A65BCE">
        <w:t xml:space="preserve"> </w:t>
      </w:r>
      <w:r w:rsidR="00A65BCE" w:rsidRPr="00A65BCE">
        <w:t>paragraph (</w:t>
      </w:r>
      <w:r w:rsidR="00913C7E" w:rsidRPr="00A65BCE">
        <w:t>5A)(a)</w:t>
      </w:r>
      <w:r w:rsidR="00E8278C" w:rsidRPr="00A65BCE">
        <w:t xml:space="preserve"> </w:t>
      </w:r>
      <w:r w:rsidR="00E8278C" w:rsidRPr="00A65BCE">
        <w:rPr>
          <w:b/>
          <w:i/>
        </w:rPr>
        <w:t xml:space="preserve">growth phase </w:t>
      </w:r>
      <w:r w:rsidR="00E8278C" w:rsidRPr="00A65BCE">
        <w:t>has the meaning given by regulation</w:t>
      </w:r>
      <w:r w:rsidR="00A65BCE" w:rsidRPr="00A65BCE">
        <w:t> </w:t>
      </w:r>
      <w:r w:rsidR="00E8278C" w:rsidRPr="00A65BCE">
        <w:t>1.03AB of the SIS Regulations.</w:t>
      </w:r>
    </w:p>
    <w:p w:rsidR="008B150D" w:rsidRPr="00A65BCE" w:rsidRDefault="00850109" w:rsidP="008B150D">
      <w:pPr>
        <w:pStyle w:val="ItemHead"/>
      </w:pPr>
      <w:r w:rsidRPr="00A65BCE">
        <w:t>31</w:t>
      </w:r>
      <w:r w:rsidR="008B150D" w:rsidRPr="00A65BCE">
        <w:t xml:space="preserve">  After regulation</w:t>
      </w:r>
      <w:r w:rsidR="00A65BCE" w:rsidRPr="00A65BCE">
        <w:t> </w:t>
      </w:r>
      <w:r w:rsidR="008B150D" w:rsidRPr="00A65BCE">
        <w:t>7.7A.16B</w:t>
      </w:r>
    </w:p>
    <w:p w:rsidR="008B150D" w:rsidRPr="00A65BCE" w:rsidRDefault="008B150D" w:rsidP="008B150D">
      <w:pPr>
        <w:pStyle w:val="Item"/>
      </w:pPr>
      <w:r w:rsidRPr="00A65BCE">
        <w:t>Insert:</w:t>
      </w:r>
    </w:p>
    <w:p w:rsidR="008B150D" w:rsidRPr="00A65BCE" w:rsidRDefault="008B150D" w:rsidP="008B150D">
      <w:pPr>
        <w:pStyle w:val="ActHead5"/>
      </w:pPr>
      <w:bookmarkStart w:id="26" w:name="_Toc390763967"/>
      <w:r w:rsidRPr="00A65BCE">
        <w:rPr>
          <w:rStyle w:val="CharSectno"/>
        </w:rPr>
        <w:t>7.7A.16BA</w:t>
      </w:r>
      <w:r w:rsidRPr="00A65BCE">
        <w:t xml:space="preserve">  Sale of business</w:t>
      </w:r>
      <w:bookmarkEnd w:id="26"/>
    </w:p>
    <w:p w:rsidR="008B150D" w:rsidRPr="00A65BCE" w:rsidRDefault="008B150D" w:rsidP="008B150D">
      <w:pPr>
        <w:pStyle w:val="subsection"/>
      </w:pPr>
      <w:r w:rsidRPr="00A65BCE">
        <w:tab/>
      </w:r>
      <w:r w:rsidRPr="00A65BCE">
        <w:tab/>
        <w:t>The application of regulation</w:t>
      </w:r>
      <w:r w:rsidR="00A65BCE" w:rsidRPr="00A65BCE">
        <w:t> </w:t>
      </w:r>
      <w:r w:rsidRPr="00A65BCE">
        <w:t>7.7A.16, 7.7A.16A or 7.7A.16B in relation to a benefit is not affected only because the benefit, or the right to the benefit, is transferred as part of the sale of a business, or a part of a business.</w:t>
      </w:r>
    </w:p>
    <w:p w:rsidR="00876DA3" w:rsidRPr="00A65BCE" w:rsidRDefault="00790387" w:rsidP="00790387">
      <w:pPr>
        <w:pStyle w:val="notetext"/>
      </w:pPr>
      <w:r w:rsidRPr="00A65BCE">
        <w:t>Note:</w:t>
      </w:r>
      <w:r w:rsidRPr="00A65BCE">
        <w:tab/>
        <w:t xml:space="preserve">This means that the buyer of a business will </w:t>
      </w:r>
      <w:r w:rsidR="00876DA3" w:rsidRPr="00A65BCE">
        <w:t>have</w:t>
      </w:r>
      <w:r w:rsidRPr="00A65BCE">
        <w:t xml:space="preserve"> the same protection </w:t>
      </w:r>
      <w:r w:rsidR="005D500A" w:rsidRPr="00A65BCE">
        <w:t>for</w:t>
      </w:r>
      <w:r w:rsidRPr="00A65BCE">
        <w:t xml:space="preserve"> benefits </w:t>
      </w:r>
      <w:r w:rsidR="00876DA3" w:rsidRPr="00A65BCE">
        <w:t>that</w:t>
      </w:r>
      <w:r w:rsidRPr="00A65BCE">
        <w:t xml:space="preserve"> the seller of the busines</w:t>
      </w:r>
      <w:r w:rsidR="00876DA3" w:rsidRPr="00A65BCE">
        <w:t>s had.</w:t>
      </w:r>
    </w:p>
    <w:p w:rsidR="00471B8B" w:rsidRPr="00A65BCE" w:rsidRDefault="00850109" w:rsidP="00471B8B">
      <w:pPr>
        <w:pStyle w:val="ItemHead"/>
      </w:pPr>
      <w:r w:rsidRPr="00A65BCE">
        <w:t>32</w:t>
      </w:r>
      <w:r w:rsidR="00471B8B" w:rsidRPr="00A65BCE">
        <w:t xml:space="preserve">  </w:t>
      </w:r>
      <w:r w:rsidR="00BA1352" w:rsidRPr="00A65BCE">
        <w:t>Subregulation</w:t>
      </w:r>
      <w:r w:rsidR="00A65BCE" w:rsidRPr="00A65BCE">
        <w:t> </w:t>
      </w:r>
      <w:r w:rsidR="00471B8B" w:rsidRPr="00A65BCE">
        <w:t>7.7A.16C(3)</w:t>
      </w:r>
    </w:p>
    <w:p w:rsidR="00471B8B" w:rsidRPr="00A65BCE" w:rsidRDefault="00471B8B" w:rsidP="00471B8B">
      <w:pPr>
        <w:pStyle w:val="Item"/>
      </w:pPr>
      <w:r w:rsidRPr="00A65BCE">
        <w:t>Omit “6 months”, substitute “18 months”.</w:t>
      </w:r>
    </w:p>
    <w:p w:rsidR="00471B8B" w:rsidRPr="00A65BCE" w:rsidRDefault="00850109" w:rsidP="00471B8B">
      <w:pPr>
        <w:pStyle w:val="ItemHead"/>
      </w:pPr>
      <w:r w:rsidRPr="00A65BCE">
        <w:t>33</w:t>
      </w:r>
      <w:r w:rsidR="00471B8B" w:rsidRPr="00A65BCE">
        <w:t xml:space="preserve">  </w:t>
      </w:r>
      <w:r w:rsidR="00BA1352" w:rsidRPr="00A65BCE">
        <w:t>Subregulation</w:t>
      </w:r>
      <w:r w:rsidR="00A65BCE" w:rsidRPr="00A65BCE">
        <w:t> </w:t>
      </w:r>
      <w:r w:rsidR="00BA1352" w:rsidRPr="00A65BCE">
        <w:t>7.7A.16C(4)</w:t>
      </w:r>
    </w:p>
    <w:p w:rsidR="00471B8B" w:rsidRPr="00A65BCE" w:rsidRDefault="00471B8B" w:rsidP="00471B8B">
      <w:pPr>
        <w:pStyle w:val="Item"/>
      </w:pPr>
      <w:r w:rsidRPr="00A65BCE">
        <w:t>Omit “2014”, substitute “2015”.</w:t>
      </w:r>
    </w:p>
    <w:p w:rsidR="00471B8B" w:rsidRPr="00A65BCE" w:rsidRDefault="00850109" w:rsidP="00471B8B">
      <w:pPr>
        <w:pStyle w:val="ItemHead"/>
      </w:pPr>
      <w:r w:rsidRPr="00A65BCE">
        <w:t>34</w:t>
      </w:r>
      <w:r w:rsidR="00471B8B" w:rsidRPr="00A65BCE">
        <w:t xml:space="preserve">  Paragraph 7.7A.16C(5)(c)</w:t>
      </w:r>
    </w:p>
    <w:p w:rsidR="00471B8B" w:rsidRPr="00A65BCE" w:rsidRDefault="00471B8B" w:rsidP="00471B8B">
      <w:pPr>
        <w:pStyle w:val="Item"/>
      </w:pPr>
      <w:r w:rsidRPr="00A65BCE">
        <w:t>Omit “2014”, substitute “2015”.</w:t>
      </w:r>
    </w:p>
    <w:p w:rsidR="00390A9F" w:rsidRPr="00A65BCE" w:rsidRDefault="00850109" w:rsidP="00390A9F">
      <w:pPr>
        <w:pStyle w:val="ItemHead"/>
      </w:pPr>
      <w:r w:rsidRPr="00A65BCE">
        <w:t>35</w:t>
      </w:r>
      <w:r w:rsidR="00390A9F" w:rsidRPr="00A65BCE">
        <w:t xml:space="preserve">  Paragraph 7.7A.16F(b)</w:t>
      </w:r>
    </w:p>
    <w:p w:rsidR="00390A9F" w:rsidRPr="00A65BCE" w:rsidRDefault="00390A9F" w:rsidP="00390A9F">
      <w:pPr>
        <w:pStyle w:val="Item"/>
      </w:pPr>
      <w:r w:rsidRPr="00A65BCE">
        <w:t>Repeal the paragraph, substitute:</w:t>
      </w:r>
    </w:p>
    <w:p w:rsidR="00390A9F" w:rsidRPr="00A65BCE" w:rsidRDefault="00390A9F" w:rsidP="00390A9F">
      <w:pPr>
        <w:pStyle w:val="paragraph"/>
      </w:pPr>
      <w:r w:rsidRPr="00A65BCE">
        <w:rPr>
          <w:bCs/>
          <w:iCs/>
          <w:szCs w:val="22"/>
        </w:rPr>
        <w:tab/>
        <w:t>(b)</w:t>
      </w:r>
      <w:r w:rsidRPr="00A65BCE">
        <w:rPr>
          <w:bCs/>
          <w:iCs/>
          <w:szCs w:val="22"/>
        </w:rPr>
        <w:tab/>
        <w:t xml:space="preserve">the benefit, as passed through, was given </w:t>
      </w:r>
      <w:r w:rsidRPr="00A65BCE">
        <w:t>under an arrangement:</w:t>
      </w:r>
    </w:p>
    <w:p w:rsidR="00390A9F" w:rsidRPr="00A65BCE" w:rsidRDefault="00390A9F" w:rsidP="00390A9F">
      <w:pPr>
        <w:pStyle w:val="paragraphsub"/>
      </w:pPr>
      <w:r w:rsidRPr="00A65BCE">
        <w:tab/>
        <w:t>(i)</w:t>
      </w:r>
      <w:r w:rsidRPr="00A65BCE">
        <w:tab/>
        <w:t>that was entered into before the application day, within the meaning of subsection</w:t>
      </w:r>
      <w:r w:rsidR="00A65BCE" w:rsidRPr="00A65BCE">
        <w:t> </w:t>
      </w:r>
      <w:r w:rsidRPr="00A65BCE">
        <w:t>1528(4) of the Act; or</w:t>
      </w:r>
    </w:p>
    <w:p w:rsidR="00390A9F" w:rsidRPr="00A65BCE" w:rsidRDefault="00390A9F" w:rsidP="00390A9F">
      <w:pPr>
        <w:pStyle w:val="paragraphsub"/>
      </w:pPr>
      <w:r w:rsidRPr="00A65BCE">
        <w:rPr>
          <w:bCs/>
          <w:iCs/>
          <w:szCs w:val="22"/>
        </w:rPr>
        <w:lastRenderedPageBreak/>
        <w:tab/>
        <w:t>(ii)</w:t>
      </w:r>
      <w:r w:rsidRPr="00A65BCE">
        <w:rPr>
          <w:bCs/>
          <w:iCs/>
          <w:szCs w:val="22"/>
        </w:rPr>
        <w:tab/>
      </w:r>
      <w:r w:rsidRPr="00A65BCE">
        <w:t>by which an authorised representative of a financial services licensee became an authorised representative of another financial services licensee; or</w:t>
      </w:r>
    </w:p>
    <w:p w:rsidR="00390A9F" w:rsidRPr="00A65BCE" w:rsidRDefault="00390A9F" w:rsidP="00390A9F">
      <w:pPr>
        <w:pStyle w:val="paragraphsub"/>
        <w:rPr>
          <w:bCs/>
          <w:iCs/>
          <w:szCs w:val="22"/>
        </w:rPr>
      </w:pPr>
      <w:r w:rsidRPr="00A65BCE">
        <w:rPr>
          <w:bCs/>
          <w:iCs/>
          <w:szCs w:val="22"/>
        </w:rPr>
        <w:tab/>
        <w:t>(iii)</w:t>
      </w:r>
      <w:r w:rsidRPr="00A65BCE">
        <w:rPr>
          <w:bCs/>
          <w:iCs/>
          <w:szCs w:val="22"/>
        </w:rPr>
        <w:tab/>
      </w:r>
      <w:r w:rsidRPr="00A65BCE">
        <w:t>by which a representative of a financial services licensee, or an employee of an authorised representative of a financial services licensee, became an authorised representative of the licensee or a related body corporate of the licensee; and</w:t>
      </w:r>
    </w:p>
    <w:sectPr w:rsidR="00390A9F" w:rsidRPr="00A65BCE" w:rsidSect="00875CE7">
      <w:headerReference w:type="even" r:id="rId21"/>
      <w:headerReference w:type="default" r:id="rId22"/>
      <w:footerReference w:type="even" r:id="rId23"/>
      <w:footerReference w:type="default" r:id="rId24"/>
      <w:headerReference w:type="first" r:id="rId25"/>
      <w:footerReference w:type="first" r:id="rId26"/>
      <w:pgSz w:w="11907" w:h="16839"/>
      <w:pgMar w:top="1667" w:right="2410" w:bottom="4253" w:left="2410" w:header="720" w:footer="3402"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61FF" w:rsidRDefault="008A61FF" w:rsidP="0048364F">
      <w:pPr>
        <w:spacing w:line="240" w:lineRule="auto"/>
      </w:pPr>
      <w:r>
        <w:separator/>
      </w:r>
    </w:p>
  </w:endnote>
  <w:endnote w:type="continuationSeparator" w:id="0">
    <w:p w:rsidR="008A61FF" w:rsidRDefault="008A61FF"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61FF" w:rsidRPr="00875CE7" w:rsidRDefault="008A61FF" w:rsidP="00875CE7">
    <w:pPr>
      <w:pStyle w:val="Footer"/>
      <w:tabs>
        <w:tab w:val="clear" w:pos="4153"/>
        <w:tab w:val="clear" w:pos="8306"/>
        <w:tab w:val="center" w:pos="4150"/>
        <w:tab w:val="right" w:pos="8307"/>
      </w:tabs>
      <w:spacing w:before="120"/>
      <w:rPr>
        <w:i/>
        <w:sz w:val="18"/>
      </w:rPr>
    </w:pPr>
    <w:r w:rsidRPr="00875CE7">
      <w:rPr>
        <w:i/>
        <w:sz w:val="18"/>
      </w:rPr>
      <w:t xml:space="preserve"> </w:t>
    </w:r>
    <w:r w:rsidR="00875CE7" w:rsidRPr="00875CE7">
      <w:rPr>
        <w:i/>
        <w:sz w:val="18"/>
      </w:rPr>
      <w:t>OPC60381 - F</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5CE7" w:rsidRDefault="00875CE7" w:rsidP="00875CE7">
    <w:pPr>
      <w:pStyle w:val="Footer"/>
    </w:pPr>
    <w:r w:rsidRPr="00875CE7">
      <w:rPr>
        <w:i/>
        <w:sz w:val="18"/>
      </w:rPr>
      <w:t>OPC60381 - F</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61FF" w:rsidRPr="00875CE7" w:rsidRDefault="008A61FF" w:rsidP="00486382">
    <w:pPr>
      <w:pStyle w:val="Footer"/>
      <w:rPr>
        <w:sz w:val="18"/>
      </w:rPr>
    </w:pPr>
  </w:p>
  <w:p w:rsidR="008A61FF" w:rsidRPr="00875CE7" w:rsidRDefault="00875CE7" w:rsidP="00875CE7">
    <w:pPr>
      <w:pStyle w:val="Footer"/>
      <w:rPr>
        <w:sz w:val="18"/>
      </w:rPr>
    </w:pPr>
    <w:r w:rsidRPr="00875CE7">
      <w:rPr>
        <w:i/>
        <w:sz w:val="18"/>
      </w:rPr>
      <w:t>OPC60381 - F</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61FF" w:rsidRPr="00875CE7" w:rsidRDefault="008A61FF" w:rsidP="002B5B89">
    <w:pPr>
      <w:pBdr>
        <w:top w:val="single" w:sz="6" w:space="1" w:color="auto"/>
      </w:pBdr>
      <w:spacing w:before="120" w:line="0" w:lineRule="atLeast"/>
      <w:rPr>
        <w:rFonts w:cs="Times New Roman"/>
        <w:i/>
        <w:sz w:val="18"/>
        <w:szCs w:val="16"/>
      </w:rPr>
    </w:pPr>
  </w:p>
  <w:tbl>
    <w:tblPr>
      <w:tblStyle w:val="TableGrid"/>
      <w:tblW w:w="0" w:type="auto"/>
      <w:tblLook w:val="04A0" w:firstRow="1" w:lastRow="0" w:firstColumn="1" w:lastColumn="0" w:noHBand="0" w:noVBand="1"/>
    </w:tblPr>
    <w:tblGrid>
      <w:gridCol w:w="533"/>
      <w:gridCol w:w="5387"/>
      <w:gridCol w:w="1383"/>
    </w:tblGrid>
    <w:tr w:rsidR="008A61FF" w:rsidRPr="00875CE7" w:rsidTr="00E33C1C">
      <w:tc>
        <w:tcPr>
          <w:tcW w:w="533" w:type="dxa"/>
          <w:tcBorders>
            <w:top w:val="nil"/>
            <w:left w:val="nil"/>
            <w:bottom w:val="nil"/>
            <w:right w:val="nil"/>
          </w:tcBorders>
        </w:tcPr>
        <w:p w:rsidR="008A61FF" w:rsidRPr="00875CE7" w:rsidRDefault="008A61FF" w:rsidP="00E33C1C">
          <w:pPr>
            <w:spacing w:line="0" w:lineRule="atLeast"/>
            <w:rPr>
              <w:rFonts w:cs="Times New Roman"/>
              <w:i/>
              <w:sz w:val="18"/>
            </w:rPr>
          </w:pPr>
          <w:r w:rsidRPr="00875CE7">
            <w:rPr>
              <w:rFonts w:cs="Times New Roman"/>
              <w:i/>
              <w:sz w:val="18"/>
            </w:rPr>
            <w:fldChar w:fldCharType="begin"/>
          </w:r>
          <w:r w:rsidRPr="00875CE7">
            <w:rPr>
              <w:rFonts w:cs="Times New Roman"/>
              <w:i/>
              <w:sz w:val="18"/>
            </w:rPr>
            <w:instrText xml:space="preserve"> PAGE </w:instrText>
          </w:r>
          <w:r w:rsidRPr="00875CE7">
            <w:rPr>
              <w:rFonts w:cs="Times New Roman"/>
              <w:i/>
              <w:sz w:val="18"/>
            </w:rPr>
            <w:fldChar w:fldCharType="separate"/>
          </w:r>
          <w:r w:rsidR="00224573">
            <w:rPr>
              <w:rFonts w:cs="Times New Roman"/>
              <w:i/>
              <w:noProof/>
              <w:sz w:val="18"/>
            </w:rPr>
            <w:t>ii</w:t>
          </w:r>
          <w:r w:rsidRPr="00875CE7">
            <w:rPr>
              <w:rFonts w:cs="Times New Roman"/>
              <w:i/>
              <w:sz w:val="18"/>
            </w:rPr>
            <w:fldChar w:fldCharType="end"/>
          </w:r>
        </w:p>
      </w:tc>
      <w:tc>
        <w:tcPr>
          <w:tcW w:w="5387" w:type="dxa"/>
          <w:tcBorders>
            <w:top w:val="nil"/>
            <w:left w:val="nil"/>
            <w:bottom w:val="nil"/>
            <w:right w:val="nil"/>
          </w:tcBorders>
        </w:tcPr>
        <w:p w:rsidR="008A61FF" w:rsidRPr="00875CE7" w:rsidRDefault="008A61FF" w:rsidP="00E33C1C">
          <w:pPr>
            <w:spacing w:line="0" w:lineRule="atLeast"/>
            <w:jc w:val="center"/>
            <w:rPr>
              <w:rFonts w:cs="Times New Roman"/>
              <w:i/>
              <w:sz w:val="18"/>
            </w:rPr>
          </w:pPr>
          <w:r w:rsidRPr="00875CE7">
            <w:rPr>
              <w:rFonts w:cs="Times New Roman"/>
              <w:i/>
              <w:sz w:val="18"/>
            </w:rPr>
            <w:fldChar w:fldCharType="begin"/>
          </w:r>
          <w:r w:rsidRPr="00875CE7">
            <w:rPr>
              <w:rFonts w:cs="Times New Roman"/>
              <w:i/>
              <w:sz w:val="18"/>
            </w:rPr>
            <w:instrText xml:space="preserve"> DOCPROPERTY ShortT </w:instrText>
          </w:r>
          <w:r w:rsidRPr="00875CE7">
            <w:rPr>
              <w:rFonts w:cs="Times New Roman"/>
              <w:i/>
              <w:sz w:val="18"/>
            </w:rPr>
            <w:fldChar w:fldCharType="separate"/>
          </w:r>
          <w:r w:rsidR="00622812">
            <w:rPr>
              <w:rFonts w:cs="Times New Roman"/>
              <w:i/>
              <w:sz w:val="18"/>
            </w:rPr>
            <w:t>Corporations Amendment (Streamlining Future of Financial Advice) Regulation 2014</w:t>
          </w:r>
          <w:r w:rsidRPr="00875CE7">
            <w:rPr>
              <w:rFonts w:cs="Times New Roman"/>
              <w:i/>
              <w:sz w:val="18"/>
            </w:rPr>
            <w:fldChar w:fldCharType="end"/>
          </w:r>
        </w:p>
      </w:tc>
      <w:tc>
        <w:tcPr>
          <w:tcW w:w="1383" w:type="dxa"/>
          <w:tcBorders>
            <w:top w:val="nil"/>
            <w:left w:val="nil"/>
            <w:bottom w:val="nil"/>
            <w:right w:val="nil"/>
          </w:tcBorders>
        </w:tcPr>
        <w:p w:rsidR="008A61FF" w:rsidRPr="00875CE7" w:rsidRDefault="008A61FF" w:rsidP="00E33C1C">
          <w:pPr>
            <w:spacing w:line="0" w:lineRule="atLeast"/>
            <w:jc w:val="right"/>
            <w:rPr>
              <w:rFonts w:cs="Times New Roman"/>
              <w:i/>
              <w:sz w:val="18"/>
            </w:rPr>
          </w:pPr>
          <w:r w:rsidRPr="00875CE7">
            <w:rPr>
              <w:rFonts w:cs="Times New Roman"/>
              <w:i/>
              <w:sz w:val="18"/>
            </w:rPr>
            <w:fldChar w:fldCharType="begin"/>
          </w:r>
          <w:r w:rsidRPr="00875CE7">
            <w:rPr>
              <w:rFonts w:cs="Times New Roman"/>
              <w:i/>
              <w:sz w:val="18"/>
            </w:rPr>
            <w:instrText xml:space="preserve"> DOCPROPERTY ActNo </w:instrText>
          </w:r>
          <w:r w:rsidRPr="00875CE7">
            <w:rPr>
              <w:rFonts w:cs="Times New Roman"/>
              <w:i/>
              <w:sz w:val="18"/>
            </w:rPr>
            <w:fldChar w:fldCharType="separate"/>
          </w:r>
          <w:r w:rsidR="00622812">
            <w:rPr>
              <w:rFonts w:cs="Times New Roman"/>
              <w:i/>
              <w:sz w:val="18"/>
            </w:rPr>
            <w:t>No. 102, 2014</w:t>
          </w:r>
          <w:r w:rsidRPr="00875CE7">
            <w:rPr>
              <w:rFonts w:cs="Times New Roman"/>
              <w:i/>
              <w:sz w:val="18"/>
            </w:rPr>
            <w:fldChar w:fldCharType="end"/>
          </w:r>
        </w:p>
      </w:tc>
    </w:tr>
  </w:tbl>
  <w:p w:rsidR="008A61FF" w:rsidRPr="00875CE7" w:rsidRDefault="00875CE7" w:rsidP="00875CE7">
    <w:pPr>
      <w:rPr>
        <w:rFonts w:cs="Times New Roman"/>
        <w:i/>
        <w:sz w:val="18"/>
      </w:rPr>
    </w:pPr>
    <w:r w:rsidRPr="00875CE7">
      <w:rPr>
        <w:rFonts w:cs="Times New Roman"/>
        <w:i/>
        <w:sz w:val="18"/>
      </w:rPr>
      <w:t>OPC60381 - F</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61FF" w:rsidRPr="00E33C1C" w:rsidRDefault="008A61FF" w:rsidP="001F6924">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3"/>
      <w:gridCol w:w="5387"/>
      <w:gridCol w:w="533"/>
    </w:tblGrid>
    <w:tr w:rsidR="008A61FF" w:rsidTr="00E33C1C">
      <w:tc>
        <w:tcPr>
          <w:tcW w:w="1383" w:type="dxa"/>
          <w:tcBorders>
            <w:top w:val="nil"/>
            <w:left w:val="nil"/>
            <w:bottom w:val="nil"/>
            <w:right w:val="nil"/>
          </w:tcBorders>
        </w:tcPr>
        <w:p w:rsidR="008A61FF" w:rsidRDefault="008A61FF" w:rsidP="00E33C1C">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622812">
            <w:rPr>
              <w:i/>
              <w:sz w:val="18"/>
            </w:rPr>
            <w:t>No. 102, 2014</w:t>
          </w:r>
          <w:r w:rsidRPr="007A1328">
            <w:rPr>
              <w:i/>
              <w:sz w:val="18"/>
            </w:rPr>
            <w:fldChar w:fldCharType="end"/>
          </w:r>
        </w:p>
      </w:tc>
      <w:tc>
        <w:tcPr>
          <w:tcW w:w="5387" w:type="dxa"/>
          <w:tcBorders>
            <w:top w:val="nil"/>
            <w:left w:val="nil"/>
            <w:bottom w:val="nil"/>
            <w:right w:val="nil"/>
          </w:tcBorders>
        </w:tcPr>
        <w:p w:rsidR="008A61FF" w:rsidRDefault="008A61FF" w:rsidP="00E33C1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622812">
            <w:rPr>
              <w:i/>
              <w:sz w:val="18"/>
            </w:rPr>
            <w:t>Corporations Amendment (Streamlining Future of Financial Advice) Regulation 2014</w:t>
          </w:r>
          <w:r w:rsidRPr="007A1328">
            <w:rPr>
              <w:i/>
              <w:sz w:val="18"/>
            </w:rPr>
            <w:fldChar w:fldCharType="end"/>
          </w:r>
        </w:p>
      </w:tc>
      <w:tc>
        <w:tcPr>
          <w:tcW w:w="533" w:type="dxa"/>
          <w:tcBorders>
            <w:top w:val="nil"/>
            <w:left w:val="nil"/>
            <w:bottom w:val="nil"/>
            <w:right w:val="nil"/>
          </w:tcBorders>
        </w:tcPr>
        <w:p w:rsidR="008A61FF" w:rsidRDefault="008A61FF" w:rsidP="00E33C1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BD74D0">
            <w:rPr>
              <w:i/>
              <w:noProof/>
              <w:sz w:val="18"/>
            </w:rPr>
            <w:t>i</w:t>
          </w:r>
          <w:r w:rsidRPr="00ED79B6">
            <w:rPr>
              <w:i/>
              <w:sz w:val="18"/>
            </w:rPr>
            <w:fldChar w:fldCharType="end"/>
          </w:r>
        </w:p>
      </w:tc>
    </w:tr>
  </w:tbl>
  <w:p w:rsidR="008A61FF" w:rsidRPr="00ED79B6" w:rsidRDefault="00875CE7" w:rsidP="00875CE7">
    <w:pPr>
      <w:rPr>
        <w:i/>
        <w:sz w:val="18"/>
      </w:rPr>
    </w:pPr>
    <w:r w:rsidRPr="00875CE7">
      <w:rPr>
        <w:rFonts w:cs="Times New Roman"/>
        <w:i/>
        <w:sz w:val="18"/>
      </w:rPr>
      <w:t>OPC60381 - F</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61FF" w:rsidRPr="00875CE7" w:rsidRDefault="008A61FF" w:rsidP="001F6924">
    <w:pPr>
      <w:pBdr>
        <w:top w:val="single" w:sz="6" w:space="1" w:color="auto"/>
      </w:pBdr>
      <w:spacing w:before="120" w:line="0" w:lineRule="atLeast"/>
      <w:rPr>
        <w:rFonts w:cs="Times New Roman"/>
        <w:i/>
        <w:sz w:val="18"/>
        <w:szCs w:val="16"/>
      </w:rPr>
    </w:pPr>
  </w:p>
  <w:tbl>
    <w:tblPr>
      <w:tblStyle w:val="TableGrid"/>
      <w:tblW w:w="0" w:type="auto"/>
      <w:tblLook w:val="04A0" w:firstRow="1" w:lastRow="0" w:firstColumn="1" w:lastColumn="0" w:noHBand="0" w:noVBand="1"/>
    </w:tblPr>
    <w:tblGrid>
      <w:gridCol w:w="533"/>
      <w:gridCol w:w="5387"/>
      <w:gridCol w:w="1383"/>
    </w:tblGrid>
    <w:tr w:rsidR="008A61FF" w:rsidRPr="00875CE7" w:rsidTr="00E33C1C">
      <w:tc>
        <w:tcPr>
          <w:tcW w:w="533" w:type="dxa"/>
          <w:tcBorders>
            <w:top w:val="nil"/>
            <w:left w:val="nil"/>
            <w:bottom w:val="nil"/>
            <w:right w:val="nil"/>
          </w:tcBorders>
        </w:tcPr>
        <w:p w:rsidR="008A61FF" w:rsidRPr="00875CE7" w:rsidRDefault="008A61FF" w:rsidP="00E33C1C">
          <w:pPr>
            <w:spacing w:line="0" w:lineRule="atLeast"/>
            <w:rPr>
              <w:rFonts w:cs="Times New Roman"/>
              <w:i/>
              <w:sz w:val="18"/>
            </w:rPr>
          </w:pPr>
          <w:r w:rsidRPr="00875CE7">
            <w:rPr>
              <w:rFonts w:cs="Times New Roman"/>
              <w:i/>
              <w:sz w:val="18"/>
            </w:rPr>
            <w:fldChar w:fldCharType="begin"/>
          </w:r>
          <w:r w:rsidRPr="00875CE7">
            <w:rPr>
              <w:rFonts w:cs="Times New Roman"/>
              <w:i/>
              <w:sz w:val="18"/>
            </w:rPr>
            <w:instrText xml:space="preserve"> PAGE </w:instrText>
          </w:r>
          <w:r w:rsidRPr="00875CE7">
            <w:rPr>
              <w:rFonts w:cs="Times New Roman"/>
              <w:i/>
              <w:sz w:val="18"/>
            </w:rPr>
            <w:fldChar w:fldCharType="separate"/>
          </w:r>
          <w:r w:rsidR="00BD74D0">
            <w:rPr>
              <w:rFonts w:cs="Times New Roman"/>
              <w:i/>
              <w:noProof/>
              <w:sz w:val="18"/>
            </w:rPr>
            <w:t>14</w:t>
          </w:r>
          <w:r w:rsidRPr="00875CE7">
            <w:rPr>
              <w:rFonts w:cs="Times New Roman"/>
              <w:i/>
              <w:sz w:val="18"/>
            </w:rPr>
            <w:fldChar w:fldCharType="end"/>
          </w:r>
        </w:p>
      </w:tc>
      <w:tc>
        <w:tcPr>
          <w:tcW w:w="5387" w:type="dxa"/>
          <w:tcBorders>
            <w:top w:val="nil"/>
            <w:left w:val="nil"/>
            <w:bottom w:val="nil"/>
            <w:right w:val="nil"/>
          </w:tcBorders>
        </w:tcPr>
        <w:p w:rsidR="008A61FF" w:rsidRPr="00875CE7" w:rsidRDefault="008A61FF" w:rsidP="00E33C1C">
          <w:pPr>
            <w:spacing w:line="0" w:lineRule="atLeast"/>
            <w:jc w:val="center"/>
            <w:rPr>
              <w:rFonts w:cs="Times New Roman"/>
              <w:i/>
              <w:sz w:val="18"/>
            </w:rPr>
          </w:pPr>
          <w:r w:rsidRPr="00875CE7">
            <w:rPr>
              <w:rFonts w:cs="Times New Roman"/>
              <w:i/>
              <w:sz w:val="18"/>
            </w:rPr>
            <w:fldChar w:fldCharType="begin"/>
          </w:r>
          <w:r w:rsidRPr="00875CE7">
            <w:rPr>
              <w:rFonts w:cs="Times New Roman"/>
              <w:i/>
              <w:sz w:val="18"/>
            </w:rPr>
            <w:instrText xml:space="preserve"> DOCPROPERTY ShortT </w:instrText>
          </w:r>
          <w:r w:rsidRPr="00875CE7">
            <w:rPr>
              <w:rFonts w:cs="Times New Roman"/>
              <w:i/>
              <w:sz w:val="18"/>
            </w:rPr>
            <w:fldChar w:fldCharType="separate"/>
          </w:r>
          <w:r w:rsidR="00622812">
            <w:rPr>
              <w:rFonts w:cs="Times New Roman"/>
              <w:i/>
              <w:sz w:val="18"/>
            </w:rPr>
            <w:t>Corporations Amendment (Streamlining Future of Financial Advice) Regulation 2014</w:t>
          </w:r>
          <w:r w:rsidRPr="00875CE7">
            <w:rPr>
              <w:rFonts w:cs="Times New Roman"/>
              <w:i/>
              <w:sz w:val="18"/>
            </w:rPr>
            <w:fldChar w:fldCharType="end"/>
          </w:r>
        </w:p>
      </w:tc>
      <w:tc>
        <w:tcPr>
          <w:tcW w:w="1383" w:type="dxa"/>
          <w:tcBorders>
            <w:top w:val="nil"/>
            <w:left w:val="nil"/>
            <w:bottom w:val="nil"/>
            <w:right w:val="nil"/>
          </w:tcBorders>
        </w:tcPr>
        <w:p w:rsidR="008A61FF" w:rsidRPr="00875CE7" w:rsidRDefault="008A61FF" w:rsidP="00E33C1C">
          <w:pPr>
            <w:spacing w:line="0" w:lineRule="atLeast"/>
            <w:jc w:val="right"/>
            <w:rPr>
              <w:rFonts w:cs="Times New Roman"/>
              <w:i/>
              <w:sz w:val="18"/>
            </w:rPr>
          </w:pPr>
          <w:r w:rsidRPr="00875CE7">
            <w:rPr>
              <w:rFonts w:cs="Times New Roman"/>
              <w:i/>
              <w:sz w:val="18"/>
            </w:rPr>
            <w:fldChar w:fldCharType="begin"/>
          </w:r>
          <w:r w:rsidRPr="00875CE7">
            <w:rPr>
              <w:rFonts w:cs="Times New Roman"/>
              <w:i/>
              <w:sz w:val="18"/>
            </w:rPr>
            <w:instrText xml:space="preserve"> DOCPROPERTY ActNo </w:instrText>
          </w:r>
          <w:r w:rsidRPr="00875CE7">
            <w:rPr>
              <w:rFonts w:cs="Times New Roman"/>
              <w:i/>
              <w:sz w:val="18"/>
            </w:rPr>
            <w:fldChar w:fldCharType="separate"/>
          </w:r>
          <w:r w:rsidR="00622812">
            <w:rPr>
              <w:rFonts w:cs="Times New Roman"/>
              <w:i/>
              <w:sz w:val="18"/>
            </w:rPr>
            <w:t>No. 102, 2014</w:t>
          </w:r>
          <w:r w:rsidRPr="00875CE7">
            <w:rPr>
              <w:rFonts w:cs="Times New Roman"/>
              <w:i/>
              <w:sz w:val="18"/>
            </w:rPr>
            <w:fldChar w:fldCharType="end"/>
          </w:r>
        </w:p>
      </w:tc>
    </w:tr>
  </w:tbl>
  <w:p w:rsidR="008A61FF" w:rsidRPr="00875CE7" w:rsidRDefault="00875CE7" w:rsidP="00875CE7">
    <w:pPr>
      <w:rPr>
        <w:rFonts w:cs="Times New Roman"/>
        <w:i/>
        <w:sz w:val="18"/>
      </w:rPr>
    </w:pPr>
    <w:r w:rsidRPr="00875CE7">
      <w:rPr>
        <w:rFonts w:cs="Times New Roman"/>
        <w:i/>
        <w:sz w:val="18"/>
      </w:rPr>
      <w:t>OPC60381 - F</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61FF" w:rsidRPr="00E33C1C" w:rsidRDefault="008A61FF" w:rsidP="001F6924">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3"/>
      <w:gridCol w:w="5387"/>
      <w:gridCol w:w="533"/>
    </w:tblGrid>
    <w:tr w:rsidR="008A61FF" w:rsidTr="00E33C1C">
      <w:tc>
        <w:tcPr>
          <w:tcW w:w="1383" w:type="dxa"/>
          <w:tcBorders>
            <w:top w:val="nil"/>
            <w:left w:val="nil"/>
            <w:bottom w:val="nil"/>
            <w:right w:val="nil"/>
          </w:tcBorders>
        </w:tcPr>
        <w:p w:rsidR="008A61FF" w:rsidRDefault="008A61FF" w:rsidP="00E33C1C">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622812">
            <w:rPr>
              <w:i/>
              <w:sz w:val="18"/>
            </w:rPr>
            <w:t>No. 102, 2014</w:t>
          </w:r>
          <w:r w:rsidRPr="007A1328">
            <w:rPr>
              <w:i/>
              <w:sz w:val="18"/>
            </w:rPr>
            <w:fldChar w:fldCharType="end"/>
          </w:r>
        </w:p>
      </w:tc>
      <w:tc>
        <w:tcPr>
          <w:tcW w:w="5387" w:type="dxa"/>
          <w:tcBorders>
            <w:top w:val="nil"/>
            <w:left w:val="nil"/>
            <w:bottom w:val="nil"/>
            <w:right w:val="nil"/>
          </w:tcBorders>
        </w:tcPr>
        <w:p w:rsidR="008A61FF" w:rsidRDefault="008A61FF" w:rsidP="00E33C1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622812">
            <w:rPr>
              <w:i/>
              <w:sz w:val="18"/>
            </w:rPr>
            <w:t>Corporations Amendment (Streamlining Future of Financial Advice) Regulation 2014</w:t>
          </w:r>
          <w:r w:rsidRPr="007A1328">
            <w:rPr>
              <w:i/>
              <w:sz w:val="18"/>
            </w:rPr>
            <w:fldChar w:fldCharType="end"/>
          </w:r>
        </w:p>
      </w:tc>
      <w:tc>
        <w:tcPr>
          <w:tcW w:w="533" w:type="dxa"/>
          <w:tcBorders>
            <w:top w:val="nil"/>
            <w:left w:val="nil"/>
            <w:bottom w:val="nil"/>
            <w:right w:val="nil"/>
          </w:tcBorders>
        </w:tcPr>
        <w:p w:rsidR="008A61FF" w:rsidRDefault="008A61FF" w:rsidP="00E33C1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BD74D0">
            <w:rPr>
              <w:i/>
              <w:noProof/>
              <w:sz w:val="18"/>
            </w:rPr>
            <w:t>15</w:t>
          </w:r>
          <w:r w:rsidRPr="00ED79B6">
            <w:rPr>
              <w:i/>
              <w:sz w:val="18"/>
            </w:rPr>
            <w:fldChar w:fldCharType="end"/>
          </w:r>
        </w:p>
      </w:tc>
    </w:tr>
  </w:tbl>
  <w:p w:rsidR="008A61FF" w:rsidRPr="00ED79B6" w:rsidRDefault="00875CE7" w:rsidP="00875CE7">
    <w:pPr>
      <w:rPr>
        <w:i/>
        <w:sz w:val="18"/>
      </w:rPr>
    </w:pPr>
    <w:r w:rsidRPr="00875CE7">
      <w:rPr>
        <w:rFonts w:cs="Times New Roman"/>
        <w:i/>
        <w:sz w:val="18"/>
      </w:rPr>
      <w:t>OPC60381 - F</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61FF" w:rsidRPr="00E33C1C" w:rsidRDefault="008A61FF" w:rsidP="00B63BDE">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3"/>
      <w:gridCol w:w="5387"/>
      <w:gridCol w:w="533"/>
    </w:tblGrid>
    <w:tr w:rsidR="008A61FF" w:rsidTr="00C01DEA">
      <w:tc>
        <w:tcPr>
          <w:tcW w:w="1383" w:type="dxa"/>
          <w:tcBorders>
            <w:top w:val="nil"/>
            <w:left w:val="nil"/>
            <w:bottom w:val="nil"/>
            <w:right w:val="nil"/>
          </w:tcBorders>
        </w:tcPr>
        <w:p w:rsidR="008A61FF" w:rsidRDefault="008A61FF" w:rsidP="00C01DEA">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622812">
            <w:rPr>
              <w:i/>
              <w:sz w:val="18"/>
            </w:rPr>
            <w:t>No. 102, 2014</w:t>
          </w:r>
          <w:r w:rsidRPr="007A1328">
            <w:rPr>
              <w:i/>
              <w:sz w:val="18"/>
            </w:rPr>
            <w:fldChar w:fldCharType="end"/>
          </w:r>
        </w:p>
      </w:tc>
      <w:tc>
        <w:tcPr>
          <w:tcW w:w="5387" w:type="dxa"/>
          <w:tcBorders>
            <w:top w:val="nil"/>
            <w:left w:val="nil"/>
            <w:bottom w:val="nil"/>
            <w:right w:val="nil"/>
          </w:tcBorders>
        </w:tcPr>
        <w:p w:rsidR="008A61FF" w:rsidRDefault="008A61FF" w:rsidP="00C01DEA">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622812">
            <w:rPr>
              <w:i/>
              <w:sz w:val="18"/>
            </w:rPr>
            <w:t>Corporations Amendment (Streamlining Future of Financial Advice) Regulation 2014</w:t>
          </w:r>
          <w:r w:rsidRPr="007A1328">
            <w:rPr>
              <w:i/>
              <w:sz w:val="18"/>
            </w:rPr>
            <w:fldChar w:fldCharType="end"/>
          </w:r>
          <w:bookmarkStart w:id="27" w:name="BKCheck15B_3"/>
          <w:bookmarkEnd w:id="27"/>
        </w:p>
      </w:tc>
      <w:tc>
        <w:tcPr>
          <w:tcW w:w="533" w:type="dxa"/>
          <w:tcBorders>
            <w:top w:val="nil"/>
            <w:left w:val="nil"/>
            <w:bottom w:val="nil"/>
            <w:right w:val="nil"/>
          </w:tcBorders>
        </w:tcPr>
        <w:p w:rsidR="008A61FF" w:rsidRDefault="008A61FF" w:rsidP="00C01DEA">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224573">
            <w:rPr>
              <w:i/>
              <w:noProof/>
              <w:sz w:val="18"/>
            </w:rPr>
            <w:t>2</w:t>
          </w:r>
          <w:r w:rsidRPr="00ED79B6">
            <w:rPr>
              <w:i/>
              <w:sz w:val="18"/>
            </w:rPr>
            <w:fldChar w:fldCharType="end"/>
          </w:r>
        </w:p>
      </w:tc>
    </w:tr>
  </w:tbl>
  <w:p w:rsidR="008A61FF" w:rsidRPr="00ED79B6" w:rsidRDefault="008A61FF" w:rsidP="00B63BDE">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61FF" w:rsidRDefault="008A61FF" w:rsidP="0048364F">
      <w:pPr>
        <w:spacing w:line="240" w:lineRule="auto"/>
      </w:pPr>
      <w:r>
        <w:separator/>
      </w:r>
    </w:p>
  </w:footnote>
  <w:footnote w:type="continuationSeparator" w:id="0">
    <w:p w:rsidR="008A61FF" w:rsidRDefault="008A61FF"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61FF" w:rsidRPr="005F1388" w:rsidRDefault="008A61FF" w:rsidP="0048364F">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61FF" w:rsidRPr="005F1388" w:rsidRDefault="008A61FF" w:rsidP="0048364F">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61FF" w:rsidRPr="005F1388" w:rsidRDefault="008A61FF"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61FF" w:rsidRPr="00ED79B6" w:rsidRDefault="008A61FF" w:rsidP="00833416">
    <w:pPr>
      <w:pBdr>
        <w:bottom w:val="single" w:sz="4"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61FF" w:rsidRPr="00ED79B6" w:rsidRDefault="008A61FF" w:rsidP="00486382">
    <w:pPr>
      <w:pBdr>
        <w:bottom w:val="single" w:sz="4"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61FF" w:rsidRPr="00ED79B6" w:rsidRDefault="008A61FF"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61FF" w:rsidRPr="00A961C4" w:rsidRDefault="008A61FF" w:rsidP="00B63BDE">
    <w:pPr>
      <w:rPr>
        <w:b/>
        <w:sz w:val="20"/>
      </w:rPr>
    </w:pPr>
    <w:r>
      <w:rPr>
        <w:b/>
        <w:sz w:val="20"/>
      </w:rPr>
      <w:fldChar w:fldCharType="begin"/>
    </w:r>
    <w:r>
      <w:rPr>
        <w:b/>
        <w:sz w:val="20"/>
      </w:rPr>
      <w:instrText xml:space="preserve"> STYLEREF CharAmSchNo </w:instrText>
    </w:r>
    <w:r w:rsidR="00BD74D0">
      <w:rPr>
        <w:b/>
        <w:sz w:val="20"/>
      </w:rPr>
      <w:fldChar w:fldCharType="separate"/>
    </w:r>
    <w:r w:rsidR="00BD74D0">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BD74D0">
      <w:rPr>
        <w:sz w:val="20"/>
      </w:rPr>
      <w:fldChar w:fldCharType="separate"/>
    </w:r>
    <w:r w:rsidR="00BD74D0">
      <w:rPr>
        <w:noProof/>
        <w:sz w:val="20"/>
      </w:rPr>
      <w:t>Amendments</w:t>
    </w:r>
    <w:r>
      <w:rPr>
        <w:sz w:val="20"/>
      </w:rPr>
      <w:fldChar w:fldCharType="end"/>
    </w:r>
  </w:p>
  <w:p w:rsidR="008A61FF" w:rsidRPr="00A961C4" w:rsidRDefault="008A61FF" w:rsidP="00B63BDE">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rsidR="008A61FF" w:rsidRPr="00A961C4" w:rsidRDefault="008A61FF" w:rsidP="00486382">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61FF" w:rsidRPr="00A961C4" w:rsidRDefault="008A61FF" w:rsidP="00E443FC">
    <w:pPr>
      <w:jc w:val="right"/>
      <w:rPr>
        <w:sz w:val="20"/>
      </w:rPr>
    </w:pPr>
    <w:r w:rsidRPr="00A961C4">
      <w:rPr>
        <w:sz w:val="20"/>
      </w:rPr>
      <w:fldChar w:fldCharType="begin"/>
    </w:r>
    <w:r w:rsidRPr="00A961C4">
      <w:rPr>
        <w:sz w:val="20"/>
      </w:rPr>
      <w:instrText xml:space="preserve"> STYLEREF CharAmSchText </w:instrText>
    </w:r>
    <w:r w:rsidR="00BD74D0">
      <w:rPr>
        <w:sz w:val="20"/>
      </w:rPr>
      <w:fldChar w:fldCharType="separate"/>
    </w:r>
    <w:r w:rsidR="00BD74D0">
      <w:rPr>
        <w:noProof/>
        <w:sz w:val="20"/>
      </w:rPr>
      <w:t>Amendments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BD74D0">
      <w:rPr>
        <w:b/>
        <w:sz w:val="20"/>
      </w:rPr>
      <w:fldChar w:fldCharType="separate"/>
    </w:r>
    <w:r w:rsidR="00BD74D0">
      <w:rPr>
        <w:b/>
        <w:noProof/>
        <w:sz w:val="20"/>
      </w:rPr>
      <w:t>Schedule 1</w:t>
    </w:r>
    <w:r>
      <w:rPr>
        <w:b/>
        <w:sz w:val="20"/>
      </w:rPr>
      <w:fldChar w:fldCharType="end"/>
    </w:r>
  </w:p>
  <w:p w:rsidR="008A61FF" w:rsidRPr="00A961C4" w:rsidRDefault="008A61FF" w:rsidP="00E443FC">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8A61FF" w:rsidRPr="00A961C4" w:rsidRDefault="008A61FF" w:rsidP="00486382">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61FF" w:rsidRPr="00A961C4" w:rsidRDefault="008A61FF" w:rsidP="0072202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8626B54"/>
    <w:lvl w:ilvl="0">
      <w:start w:val="1"/>
      <w:numFmt w:val="decimal"/>
      <w:lvlText w:val="%1."/>
      <w:lvlJc w:val="left"/>
      <w:pPr>
        <w:tabs>
          <w:tab w:val="num" w:pos="1492"/>
        </w:tabs>
        <w:ind w:left="1492" w:hanging="360"/>
      </w:pPr>
    </w:lvl>
  </w:abstractNum>
  <w:abstractNum w:abstractNumId="1">
    <w:nsid w:val="FFFFFF7D"/>
    <w:multiLevelType w:val="singleLevel"/>
    <w:tmpl w:val="A8BE029A"/>
    <w:lvl w:ilvl="0">
      <w:start w:val="1"/>
      <w:numFmt w:val="decimal"/>
      <w:lvlText w:val="%1."/>
      <w:lvlJc w:val="left"/>
      <w:pPr>
        <w:tabs>
          <w:tab w:val="num" w:pos="1209"/>
        </w:tabs>
        <w:ind w:left="1209" w:hanging="360"/>
      </w:pPr>
    </w:lvl>
  </w:abstractNum>
  <w:abstractNum w:abstractNumId="2">
    <w:nsid w:val="FFFFFF7E"/>
    <w:multiLevelType w:val="singleLevel"/>
    <w:tmpl w:val="BBC0273C"/>
    <w:lvl w:ilvl="0">
      <w:start w:val="1"/>
      <w:numFmt w:val="decimal"/>
      <w:lvlText w:val="%1."/>
      <w:lvlJc w:val="left"/>
      <w:pPr>
        <w:tabs>
          <w:tab w:val="num" w:pos="926"/>
        </w:tabs>
        <w:ind w:left="926" w:hanging="360"/>
      </w:pPr>
    </w:lvl>
  </w:abstractNum>
  <w:abstractNum w:abstractNumId="3">
    <w:nsid w:val="FFFFFF7F"/>
    <w:multiLevelType w:val="singleLevel"/>
    <w:tmpl w:val="766693F6"/>
    <w:lvl w:ilvl="0">
      <w:start w:val="1"/>
      <w:numFmt w:val="decimal"/>
      <w:lvlText w:val="%1."/>
      <w:lvlJc w:val="left"/>
      <w:pPr>
        <w:tabs>
          <w:tab w:val="num" w:pos="643"/>
        </w:tabs>
        <w:ind w:left="643" w:hanging="360"/>
      </w:pPr>
    </w:lvl>
  </w:abstractNum>
  <w:abstractNum w:abstractNumId="4">
    <w:nsid w:val="FFFFFF80"/>
    <w:multiLevelType w:val="singleLevel"/>
    <w:tmpl w:val="2DB6EB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8A4C23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F6A4E3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6F4A0B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ECE8E1E"/>
    <w:lvl w:ilvl="0">
      <w:start w:val="1"/>
      <w:numFmt w:val="decimal"/>
      <w:lvlText w:val="%1."/>
      <w:lvlJc w:val="left"/>
      <w:pPr>
        <w:tabs>
          <w:tab w:val="num" w:pos="360"/>
        </w:tabs>
        <w:ind w:left="360" w:hanging="360"/>
      </w:pPr>
    </w:lvl>
  </w:abstractNum>
  <w:abstractNum w:abstractNumId="9">
    <w:nsid w:val="FFFFFF89"/>
    <w:multiLevelType w:val="singleLevel"/>
    <w:tmpl w:val="24DEA4E4"/>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2">
    <w:nsid w:val="517B18C6"/>
    <w:multiLevelType w:val="hybridMultilevel"/>
    <w:tmpl w:val="38989F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157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7F18"/>
    <w:rsid w:val="000041C6"/>
    <w:rsid w:val="000063E4"/>
    <w:rsid w:val="000113BC"/>
    <w:rsid w:val="000136AF"/>
    <w:rsid w:val="00025060"/>
    <w:rsid w:val="0004044E"/>
    <w:rsid w:val="000409E1"/>
    <w:rsid w:val="000422D3"/>
    <w:rsid w:val="000464EC"/>
    <w:rsid w:val="000614BF"/>
    <w:rsid w:val="00071308"/>
    <w:rsid w:val="00073BCB"/>
    <w:rsid w:val="00076C1E"/>
    <w:rsid w:val="000836C2"/>
    <w:rsid w:val="00090760"/>
    <w:rsid w:val="00092185"/>
    <w:rsid w:val="00095125"/>
    <w:rsid w:val="000A30DA"/>
    <w:rsid w:val="000B238C"/>
    <w:rsid w:val="000C1293"/>
    <w:rsid w:val="000C4E79"/>
    <w:rsid w:val="000D05EF"/>
    <w:rsid w:val="000D1886"/>
    <w:rsid w:val="000E086C"/>
    <w:rsid w:val="000F21C1"/>
    <w:rsid w:val="000F2F2C"/>
    <w:rsid w:val="000F6708"/>
    <w:rsid w:val="000F7427"/>
    <w:rsid w:val="00103AD5"/>
    <w:rsid w:val="00104A62"/>
    <w:rsid w:val="00106E9F"/>
    <w:rsid w:val="0010745C"/>
    <w:rsid w:val="00113440"/>
    <w:rsid w:val="00116975"/>
    <w:rsid w:val="00117913"/>
    <w:rsid w:val="001234E9"/>
    <w:rsid w:val="00124F24"/>
    <w:rsid w:val="00137AB8"/>
    <w:rsid w:val="001462FA"/>
    <w:rsid w:val="00152EF7"/>
    <w:rsid w:val="00154EAC"/>
    <w:rsid w:val="00157484"/>
    <w:rsid w:val="00160EF2"/>
    <w:rsid w:val="00161941"/>
    <w:rsid w:val="00161D6E"/>
    <w:rsid w:val="001643C9"/>
    <w:rsid w:val="00164AB0"/>
    <w:rsid w:val="00165568"/>
    <w:rsid w:val="001663FA"/>
    <w:rsid w:val="00166C2F"/>
    <w:rsid w:val="00167CE7"/>
    <w:rsid w:val="001716C9"/>
    <w:rsid w:val="00171D9A"/>
    <w:rsid w:val="00171EAE"/>
    <w:rsid w:val="00191859"/>
    <w:rsid w:val="00193461"/>
    <w:rsid w:val="001939E1"/>
    <w:rsid w:val="00195382"/>
    <w:rsid w:val="001A0586"/>
    <w:rsid w:val="001A4C3C"/>
    <w:rsid w:val="001B1A1D"/>
    <w:rsid w:val="001B2059"/>
    <w:rsid w:val="001B3097"/>
    <w:rsid w:val="001B7A5D"/>
    <w:rsid w:val="001C69C4"/>
    <w:rsid w:val="001D4229"/>
    <w:rsid w:val="001D7F83"/>
    <w:rsid w:val="001E16D0"/>
    <w:rsid w:val="001E3590"/>
    <w:rsid w:val="001E562E"/>
    <w:rsid w:val="001E7407"/>
    <w:rsid w:val="001F434C"/>
    <w:rsid w:val="001F6924"/>
    <w:rsid w:val="00201D27"/>
    <w:rsid w:val="00205F43"/>
    <w:rsid w:val="00223783"/>
    <w:rsid w:val="00223D3A"/>
    <w:rsid w:val="00224573"/>
    <w:rsid w:val="00231427"/>
    <w:rsid w:val="00235104"/>
    <w:rsid w:val="00240749"/>
    <w:rsid w:val="00240B26"/>
    <w:rsid w:val="0024208F"/>
    <w:rsid w:val="0025364B"/>
    <w:rsid w:val="0025493D"/>
    <w:rsid w:val="0026068C"/>
    <w:rsid w:val="00265FBC"/>
    <w:rsid w:val="00266D05"/>
    <w:rsid w:val="00274C97"/>
    <w:rsid w:val="00291518"/>
    <w:rsid w:val="002932B1"/>
    <w:rsid w:val="0029542E"/>
    <w:rsid w:val="00297ECB"/>
    <w:rsid w:val="002A0FFD"/>
    <w:rsid w:val="002A389F"/>
    <w:rsid w:val="002A7B00"/>
    <w:rsid w:val="002B1244"/>
    <w:rsid w:val="002B2731"/>
    <w:rsid w:val="002B5B89"/>
    <w:rsid w:val="002B7D96"/>
    <w:rsid w:val="002D043A"/>
    <w:rsid w:val="002D495D"/>
    <w:rsid w:val="002F3AC4"/>
    <w:rsid w:val="003034D6"/>
    <w:rsid w:val="00304E75"/>
    <w:rsid w:val="00306649"/>
    <w:rsid w:val="003072FA"/>
    <w:rsid w:val="00307B59"/>
    <w:rsid w:val="003155E8"/>
    <w:rsid w:val="0031713F"/>
    <w:rsid w:val="00322CE3"/>
    <w:rsid w:val="0032595C"/>
    <w:rsid w:val="00325AA1"/>
    <w:rsid w:val="0033129F"/>
    <w:rsid w:val="003415D3"/>
    <w:rsid w:val="00347D17"/>
    <w:rsid w:val="00351808"/>
    <w:rsid w:val="00352B0F"/>
    <w:rsid w:val="00361BD9"/>
    <w:rsid w:val="00363549"/>
    <w:rsid w:val="00363AF2"/>
    <w:rsid w:val="00365ED8"/>
    <w:rsid w:val="00370BB8"/>
    <w:rsid w:val="00371AE7"/>
    <w:rsid w:val="003801D0"/>
    <w:rsid w:val="0038257D"/>
    <w:rsid w:val="00385309"/>
    <w:rsid w:val="00390A9F"/>
    <w:rsid w:val="00392027"/>
    <w:rsid w:val="0039228E"/>
    <w:rsid w:val="003926B5"/>
    <w:rsid w:val="003A5558"/>
    <w:rsid w:val="003A5B24"/>
    <w:rsid w:val="003B04EC"/>
    <w:rsid w:val="003B58F6"/>
    <w:rsid w:val="003B5BD1"/>
    <w:rsid w:val="003B74A5"/>
    <w:rsid w:val="003C5F2B"/>
    <w:rsid w:val="003C7960"/>
    <w:rsid w:val="003D026B"/>
    <w:rsid w:val="003D0BFE"/>
    <w:rsid w:val="003D1115"/>
    <w:rsid w:val="003D40C1"/>
    <w:rsid w:val="003D5700"/>
    <w:rsid w:val="003E5FF5"/>
    <w:rsid w:val="003F410C"/>
    <w:rsid w:val="003F47DC"/>
    <w:rsid w:val="003F4CA9"/>
    <w:rsid w:val="003F567B"/>
    <w:rsid w:val="003F69AE"/>
    <w:rsid w:val="0040070B"/>
    <w:rsid w:val="004010E7"/>
    <w:rsid w:val="00401403"/>
    <w:rsid w:val="004019A5"/>
    <w:rsid w:val="00407389"/>
    <w:rsid w:val="004116CD"/>
    <w:rsid w:val="004117B0"/>
    <w:rsid w:val="00412B83"/>
    <w:rsid w:val="00414039"/>
    <w:rsid w:val="00414EC8"/>
    <w:rsid w:val="00416593"/>
    <w:rsid w:val="00421990"/>
    <w:rsid w:val="00423792"/>
    <w:rsid w:val="00424CA9"/>
    <w:rsid w:val="00433910"/>
    <w:rsid w:val="00435EC2"/>
    <w:rsid w:val="0044291A"/>
    <w:rsid w:val="004541B9"/>
    <w:rsid w:val="00457F84"/>
    <w:rsid w:val="00460499"/>
    <w:rsid w:val="00463C39"/>
    <w:rsid w:val="0046612D"/>
    <w:rsid w:val="004666DF"/>
    <w:rsid w:val="00471B8B"/>
    <w:rsid w:val="004722E6"/>
    <w:rsid w:val="00475446"/>
    <w:rsid w:val="004763D6"/>
    <w:rsid w:val="00480FB9"/>
    <w:rsid w:val="0048364F"/>
    <w:rsid w:val="00486382"/>
    <w:rsid w:val="00496F97"/>
    <w:rsid w:val="004972AF"/>
    <w:rsid w:val="004A2484"/>
    <w:rsid w:val="004B2819"/>
    <w:rsid w:val="004C0255"/>
    <w:rsid w:val="004C5B5A"/>
    <w:rsid w:val="004C6444"/>
    <w:rsid w:val="004C6DE1"/>
    <w:rsid w:val="004D0D46"/>
    <w:rsid w:val="004E09D7"/>
    <w:rsid w:val="004E0F9D"/>
    <w:rsid w:val="004F1FAC"/>
    <w:rsid w:val="004F3A90"/>
    <w:rsid w:val="004F676E"/>
    <w:rsid w:val="00516B8D"/>
    <w:rsid w:val="00526CAD"/>
    <w:rsid w:val="00531A53"/>
    <w:rsid w:val="00532129"/>
    <w:rsid w:val="0053510F"/>
    <w:rsid w:val="00535F6C"/>
    <w:rsid w:val="00537FBC"/>
    <w:rsid w:val="00540BC4"/>
    <w:rsid w:val="00543469"/>
    <w:rsid w:val="00543F4C"/>
    <w:rsid w:val="0054419F"/>
    <w:rsid w:val="00544C05"/>
    <w:rsid w:val="0055386B"/>
    <w:rsid w:val="00554499"/>
    <w:rsid w:val="00557C7A"/>
    <w:rsid w:val="00564FAC"/>
    <w:rsid w:val="0057186E"/>
    <w:rsid w:val="00573D2E"/>
    <w:rsid w:val="00582809"/>
    <w:rsid w:val="00584811"/>
    <w:rsid w:val="005851A5"/>
    <w:rsid w:val="0058646E"/>
    <w:rsid w:val="0059142A"/>
    <w:rsid w:val="00591E07"/>
    <w:rsid w:val="00592CC4"/>
    <w:rsid w:val="00593AA6"/>
    <w:rsid w:val="00594161"/>
    <w:rsid w:val="00594749"/>
    <w:rsid w:val="005A01C7"/>
    <w:rsid w:val="005B4067"/>
    <w:rsid w:val="005C0A47"/>
    <w:rsid w:val="005C12DE"/>
    <w:rsid w:val="005C1412"/>
    <w:rsid w:val="005C3F41"/>
    <w:rsid w:val="005D500A"/>
    <w:rsid w:val="005E4B0F"/>
    <w:rsid w:val="005E552A"/>
    <w:rsid w:val="005E679A"/>
    <w:rsid w:val="005E6A81"/>
    <w:rsid w:val="005F4214"/>
    <w:rsid w:val="005F4269"/>
    <w:rsid w:val="005F7316"/>
    <w:rsid w:val="00600219"/>
    <w:rsid w:val="00622812"/>
    <w:rsid w:val="00622C7C"/>
    <w:rsid w:val="006231D9"/>
    <w:rsid w:val="006249E6"/>
    <w:rsid w:val="00624B04"/>
    <w:rsid w:val="00630733"/>
    <w:rsid w:val="00637340"/>
    <w:rsid w:val="0064468A"/>
    <w:rsid w:val="00653229"/>
    <w:rsid w:val="0065414A"/>
    <w:rsid w:val="00654CCA"/>
    <w:rsid w:val="00656DE9"/>
    <w:rsid w:val="00663BDD"/>
    <w:rsid w:val="006673E9"/>
    <w:rsid w:val="006679E1"/>
    <w:rsid w:val="00677CC2"/>
    <w:rsid w:val="00680F17"/>
    <w:rsid w:val="00685F42"/>
    <w:rsid w:val="0069207B"/>
    <w:rsid w:val="006937E2"/>
    <w:rsid w:val="006977FB"/>
    <w:rsid w:val="006A371F"/>
    <w:rsid w:val="006A430B"/>
    <w:rsid w:val="006A7030"/>
    <w:rsid w:val="006B262A"/>
    <w:rsid w:val="006B724B"/>
    <w:rsid w:val="006C0D3C"/>
    <w:rsid w:val="006C2C12"/>
    <w:rsid w:val="006C3FFF"/>
    <w:rsid w:val="006C54D6"/>
    <w:rsid w:val="006C7F8C"/>
    <w:rsid w:val="006D3667"/>
    <w:rsid w:val="006D4E91"/>
    <w:rsid w:val="006D7661"/>
    <w:rsid w:val="006E004B"/>
    <w:rsid w:val="006E7147"/>
    <w:rsid w:val="00700B2C"/>
    <w:rsid w:val="00701E6A"/>
    <w:rsid w:val="00703E5C"/>
    <w:rsid w:val="0071055E"/>
    <w:rsid w:val="007109A5"/>
    <w:rsid w:val="00713084"/>
    <w:rsid w:val="00722023"/>
    <w:rsid w:val="00722B5E"/>
    <w:rsid w:val="00727412"/>
    <w:rsid w:val="00731E00"/>
    <w:rsid w:val="007440B7"/>
    <w:rsid w:val="00744DFF"/>
    <w:rsid w:val="00746162"/>
    <w:rsid w:val="00750488"/>
    <w:rsid w:val="007634AD"/>
    <w:rsid w:val="007715C9"/>
    <w:rsid w:val="00774EDD"/>
    <w:rsid w:val="007757EC"/>
    <w:rsid w:val="007769D4"/>
    <w:rsid w:val="00785AFA"/>
    <w:rsid w:val="00787F18"/>
    <w:rsid w:val="00790387"/>
    <w:rsid w:val="007903AC"/>
    <w:rsid w:val="007928A6"/>
    <w:rsid w:val="007A2607"/>
    <w:rsid w:val="007A6E2E"/>
    <w:rsid w:val="007A7F9F"/>
    <w:rsid w:val="007B688A"/>
    <w:rsid w:val="007E03FB"/>
    <w:rsid w:val="007E5C93"/>
    <w:rsid w:val="007E7D4A"/>
    <w:rsid w:val="007F6548"/>
    <w:rsid w:val="00802020"/>
    <w:rsid w:val="00810DAE"/>
    <w:rsid w:val="00822586"/>
    <w:rsid w:val="00826DA5"/>
    <w:rsid w:val="00831B7D"/>
    <w:rsid w:val="00833416"/>
    <w:rsid w:val="00834E5B"/>
    <w:rsid w:val="008357EC"/>
    <w:rsid w:val="00845167"/>
    <w:rsid w:val="00850109"/>
    <w:rsid w:val="00853A02"/>
    <w:rsid w:val="00856A31"/>
    <w:rsid w:val="0087460D"/>
    <w:rsid w:val="00874B69"/>
    <w:rsid w:val="00874EB7"/>
    <w:rsid w:val="008754D0"/>
    <w:rsid w:val="00875CE7"/>
    <w:rsid w:val="00876DA3"/>
    <w:rsid w:val="00877D48"/>
    <w:rsid w:val="00892503"/>
    <w:rsid w:val="0089783B"/>
    <w:rsid w:val="008A61FF"/>
    <w:rsid w:val="008B150D"/>
    <w:rsid w:val="008B7148"/>
    <w:rsid w:val="008B71C5"/>
    <w:rsid w:val="008C20FF"/>
    <w:rsid w:val="008C2C52"/>
    <w:rsid w:val="008C48FC"/>
    <w:rsid w:val="008C68F7"/>
    <w:rsid w:val="008D0EE0"/>
    <w:rsid w:val="008D3C3D"/>
    <w:rsid w:val="008E0521"/>
    <w:rsid w:val="008E6564"/>
    <w:rsid w:val="008F07E3"/>
    <w:rsid w:val="008F4F1C"/>
    <w:rsid w:val="009057CD"/>
    <w:rsid w:val="009059C6"/>
    <w:rsid w:val="00907271"/>
    <w:rsid w:val="0091153A"/>
    <w:rsid w:val="00912523"/>
    <w:rsid w:val="00913C7E"/>
    <w:rsid w:val="00932377"/>
    <w:rsid w:val="00932A33"/>
    <w:rsid w:val="00950B62"/>
    <w:rsid w:val="009537BA"/>
    <w:rsid w:val="0095473E"/>
    <w:rsid w:val="00964020"/>
    <w:rsid w:val="00972851"/>
    <w:rsid w:val="00981025"/>
    <w:rsid w:val="009848EC"/>
    <w:rsid w:val="00984EFA"/>
    <w:rsid w:val="00990400"/>
    <w:rsid w:val="009A2C3A"/>
    <w:rsid w:val="009A3EB0"/>
    <w:rsid w:val="009B1460"/>
    <w:rsid w:val="009B3629"/>
    <w:rsid w:val="009C49D8"/>
    <w:rsid w:val="009E3601"/>
    <w:rsid w:val="009E54E3"/>
    <w:rsid w:val="009E64AD"/>
    <w:rsid w:val="009F4D37"/>
    <w:rsid w:val="009F727E"/>
    <w:rsid w:val="00A03CC4"/>
    <w:rsid w:val="00A1027A"/>
    <w:rsid w:val="00A13871"/>
    <w:rsid w:val="00A2057D"/>
    <w:rsid w:val="00A231E2"/>
    <w:rsid w:val="00A2550D"/>
    <w:rsid w:val="00A25C29"/>
    <w:rsid w:val="00A26DBE"/>
    <w:rsid w:val="00A326A4"/>
    <w:rsid w:val="00A34B78"/>
    <w:rsid w:val="00A4169B"/>
    <w:rsid w:val="00A4361F"/>
    <w:rsid w:val="00A44F18"/>
    <w:rsid w:val="00A473B7"/>
    <w:rsid w:val="00A5197F"/>
    <w:rsid w:val="00A64383"/>
    <w:rsid w:val="00A64912"/>
    <w:rsid w:val="00A65BCE"/>
    <w:rsid w:val="00A660DC"/>
    <w:rsid w:val="00A70A74"/>
    <w:rsid w:val="00A71C4E"/>
    <w:rsid w:val="00A726D9"/>
    <w:rsid w:val="00A87AB9"/>
    <w:rsid w:val="00A9366A"/>
    <w:rsid w:val="00AA0F68"/>
    <w:rsid w:val="00AA5962"/>
    <w:rsid w:val="00AB3315"/>
    <w:rsid w:val="00AB7B41"/>
    <w:rsid w:val="00AC06B3"/>
    <w:rsid w:val="00AC0FBE"/>
    <w:rsid w:val="00AC57ED"/>
    <w:rsid w:val="00AD0CC8"/>
    <w:rsid w:val="00AD3811"/>
    <w:rsid w:val="00AD5641"/>
    <w:rsid w:val="00AE50A2"/>
    <w:rsid w:val="00AE5C50"/>
    <w:rsid w:val="00AF0336"/>
    <w:rsid w:val="00AF0611"/>
    <w:rsid w:val="00AF2AE5"/>
    <w:rsid w:val="00AF6613"/>
    <w:rsid w:val="00AF7441"/>
    <w:rsid w:val="00B00902"/>
    <w:rsid w:val="00B032D8"/>
    <w:rsid w:val="00B04152"/>
    <w:rsid w:val="00B12D5E"/>
    <w:rsid w:val="00B2111B"/>
    <w:rsid w:val="00B32755"/>
    <w:rsid w:val="00B332B8"/>
    <w:rsid w:val="00B33B3C"/>
    <w:rsid w:val="00B53620"/>
    <w:rsid w:val="00B53DD8"/>
    <w:rsid w:val="00B544FE"/>
    <w:rsid w:val="00B578CE"/>
    <w:rsid w:val="00B61D2C"/>
    <w:rsid w:val="00B63BDE"/>
    <w:rsid w:val="00B676D2"/>
    <w:rsid w:val="00B71972"/>
    <w:rsid w:val="00B8043F"/>
    <w:rsid w:val="00BA1291"/>
    <w:rsid w:val="00BA1352"/>
    <w:rsid w:val="00BA27AA"/>
    <w:rsid w:val="00BA5026"/>
    <w:rsid w:val="00BB2F9F"/>
    <w:rsid w:val="00BB6E79"/>
    <w:rsid w:val="00BC03BC"/>
    <w:rsid w:val="00BC1D2A"/>
    <w:rsid w:val="00BC4F91"/>
    <w:rsid w:val="00BD2844"/>
    <w:rsid w:val="00BD3A20"/>
    <w:rsid w:val="00BD60E6"/>
    <w:rsid w:val="00BD74D0"/>
    <w:rsid w:val="00BE253A"/>
    <w:rsid w:val="00BE719A"/>
    <w:rsid w:val="00BE720A"/>
    <w:rsid w:val="00BF1B8E"/>
    <w:rsid w:val="00BF208A"/>
    <w:rsid w:val="00BF4533"/>
    <w:rsid w:val="00BF4FF2"/>
    <w:rsid w:val="00C01DEA"/>
    <w:rsid w:val="00C067E5"/>
    <w:rsid w:val="00C07705"/>
    <w:rsid w:val="00C139BA"/>
    <w:rsid w:val="00C164CA"/>
    <w:rsid w:val="00C1654F"/>
    <w:rsid w:val="00C172D2"/>
    <w:rsid w:val="00C20008"/>
    <w:rsid w:val="00C2028D"/>
    <w:rsid w:val="00C21B63"/>
    <w:rsid w:val="00C22815"/>
    <w:rsid w:val="00C31619"/>
    <w:rsid w:val="00C37588"/>
    <w:rsid w:val="00C42BF8"/>
    <w:rsid w:val="00C4323B"/>
    <w:rsid w:val="00C460AE"/>
    <w:rsid w:val="00C50043"/>
    <w:rsid w:val="00C513EE"/>
    <w:rsid w:val="00C51963"/>
    <w:rsid w:val="00C708C4"/>
    <w:rsid w:val="00C71DB5"/>
    <w:rsid w:val="00C7573B"/>
    <w:rsid w:val="00C76CF3"/>
    <w:rsid w:val="00C77E30"/>
    <w:rsid w:val="00C81611"/>
    <w:rsid w:val="00C848FB"/>
    <w:rsid w:val="00C866D5"/>
    <w:rsid w:val="00C93BD3"/>
    <w:rsid w:val="00CA7619"/>
    <w:rsid w:val="00CB0180"/>
    <w:rsid w:val="00CB2E62"/>
    <w:rsid w:val="00CB3470"/>
    <w:rsid w:val="00CB41BB"/>
    <w:rsid w:val="00CC1F13"/>
    <w:rsid w:val="00CC3A4B"/>
    <w:rsid w:val="00CC5D6B"/>
    <w:rsid w:val="00CC60BA"/>
    <w:rsid w:val="00CD019E"/>
    <w:rsid w:val="00CD0CEE"/>
    <w:rsid w:val="00CD348A"/>
    <w:rsid w:val="00CD5D10"/>
    <w:rsid w:val="00CD606E"/>
    <w:rsid w:val="00CD6E0F"/>
    <w:rsid w:val="00CD7ECB"/>
    <w:rsid w:val="00CE4885"/>
    <w:rsid w:val="00CF0BB2"/>
    <w:rsid w:val="00CF2BCA"/>
    <w:rsid w:val="00D0104A"/>
    <w:rsid w:val="00D06273"/>
    <w:rsid w:val="00D13441"/>
    <w:rsid w:val="00D17B17"/>
    <w:rsid w:val="00D2096F"/>
    <w:rsid w:val="00D2222F"/>
    <w:rsid w:val="00D22D8B"/>
    <w:rsid w:val="00D243A3"/>
    <w:rsid w:val="00D30457"/>
    <w:rsid w:val="00D333D9"/>
    <w:rsid w:val="00D33440"/>
    <w:rsid w:val="00D335B8"/>
    <w:rsid w:val="00D342EB"/>
    <w:rsid w:val="00D36397"/>
    <w:rsid w:val="00D40403"/>
    <w:rsid w:val="00D471C3"/>
    <w:rsid w:val="00D52EFE"/>
    <w:rsid w:val="00D57011"/>
    <w:rsid w:val="00D636CF"/>
    <w:rsid w:val="00D63EF6"/>
    <w:rsid w:val="00D64152"/>
    <w:rsid w:val="00D70DFB"/>
    <w:rsid w:val="00D713A8"/>
    <w:rsid w:val="00D766DF"/>
    <w:rsid w:val="00D8062B"/>
    <w:rsid w:val="00D83D21"/>
    <w:rsid w:val="00D84B58"/>
    <w:rsid w:val="00D925D1"/>
    <w:rsid w:val="00DA6DE9"/>
    <w:rsid w:val="00DA79EE"/>
    <w:rsid w:val="00DB3459"/>
    <w:rsid w:val="00DC0AB3"/>
    <w:rsid w:val="00DC46EA"/>
    <w:rsid w:val="00DD55FE"/>
    <w:rsid w:val="00E04290"/>
    <w:rsid w:val="00E05704"/>
    <w:rsid w:val="00E05C46"/>
    <w:rsid w:val="00E1009E"/>
    <w:rsid w:val="00E118F5"/>
    <w:rsid w:val="00E1292E"/>
    <w:rsid w:val="00E158AD"/>
    <w:rsid w:val="00E16E6D"/>
    <w:rsid w:val="00E17255"/>
    <w:rsid w:val="00E17A8A"/>
    <w:rsid w:val="00E2136B"/>
    <w:rsid w:val="00E251B8"/>
    <w:rsid w:val="00E273C1"/>
    <w:rsid w:val="00E30206"/>
    <w:rsid w:val="00E33C1C"/>
    <w:rsid w:val="00E43AE2"/>
    <w:rsid w:val="00E443FC"/>
    <w:rsid w:val="00E45FE7"/>
    <w:rsid w:val="00E476B8"/>
    <w:rsid w:val="00E54292"/>
    <w:rsid w:val="00E55BCD"/>
    <w:rsid w:val="00E63496"/>
    <w:rsid w:val="00E63AE1"/>
    <w:rsid w:val="00E657BA"/>
    <w:rsid w:val="00E6584D"/>
    <w:rsid w:val="00E6654C"/>
    <w:rsid w:val="00E73EC4"/>
    <w:rsid w:val="00E74DC7"/>
    <w:rsid w:val="00E76FAB"/>
    <w:rsid w:val="00E8278C"/>
    <w:rsid w:val="00E84B32"/>
    <w:rsid w:val="00E85D31"/>
    <w:rsid w:val="00E87699"/>
    <w:rsid w:val="00EA7C4A"/>
    <w:rsid w:val="00EB38DE"/>
    <w:rsid w:val="00EC7E8A"/>
    <w:rsid w:val="00ED3A7D"/>
    <w:rsid w:val="00ED4028"/>
    <w:rsid w:val="00ED4F15"/>
    <w:rsid w:val="00EE1400"/>
    <w:rsid w:val="00EE2195"/>
    <w:rsid w:val="00EE3471"/>
    <w:rsid w:val="00EF2E3A"/>
    <w:rsid w:val="00EF3124"/>
    <w:rsid w:val="00EF4096"/>
    <w:rsid w:val="00F047E2"/>
    <w:rsid w:val="00F056FD"/>
    <w:rsid w:val="00F05D38"/>
    <w:rsid w:val="00F078DC"/>
    <w:rsid w:val="00F11DFA"/>
    <w:rsid w:val="00F13E86"/>
    <w:rsid w:val="00F24C35"/>
    <w:rsid w:val="00F53E61"/>
    <w:rsid w:val="00F561F1"/>
    <w:rsid w:val="00F56759"/>
    <w:rsid w:val="00F57035"/>
    <w:rsid w:val="00F677A9"/>
    <w:rsid w:val="00F70188"/>
    <w:rsid w:val="00F80B41"/>
    <w:rsid w:val="00F84CF5"/>
    <w:rsid w:val="00F84D76"/>
    <w:rsid w:val="00F85D6C"/>
    <w:rsid w:val="00F871D0"/>
    <w:rsid w:val="00FA420B"/>
    <w:rsid w:val="00FA5C54"/>
    <w:rsid w:val="00FB03B3"/>
    <w:rsid w:val="00FB192C"/>
    <w:rsid w:val="00FB2396"/>
    <w:rsid w:val="00FB50F9"/>
    <w:rsid w:val="00FC1949"/>
    <w:rsid w:val="00FC5FD9"/>
    <w:rsid w:val="00FD2D5A"/>
    <w:rsid w:val="00FD59C1"/>
    <w:rsid w:val="00FD7CFE"/>
    <w:rsid w:val="00FE35F7"/>
    <w:rsid w:val="00FE3861"/>
    <w:rsid w:val="00FE470B"/>
    <w:rsid w:val="00FF3089"/>
    <w:rsid w:val="00FF3B04"/>
    <w:rsid w:val="00FF43D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157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65BCE"/>
    <w:pPr>
      <w:spacing w:line="260" w:lineRule="atLeast"/>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65BCE"/>
  </w:style>
  <w:style w:type="paragraph" w:customStyle="1" w:styleId="OPCParaBase">
    <w:name w:val="OPCParaBase"/>
    <w:qFormat/>
    <w:rsid w:val="00A65BCE"/>
    <w:pPr>
      <w:spacing w:line="260" w:lineRule="atLeast"/>
    </w:pPr>
    <w:rPr>
      <w:rFonts w:eastAsia="Times New Roman" w:cs="Times New Roman"/>
      <w:sz w:val="22"/>
      <w:lang w:eastAsia="en-AU"/>
    </w:rPr>
  </w:style>
  <w:style w:type="paragraph" w:customStyle="1" w:styleId="ShortT">
    <w:name w:val="ShortT"/>
    <w:basedOn w:val="OPCParaBase"/>
    <w:next w:val="Normal"/>
    <w:qFormat/>
    <w:rsid w:val="00A65BCE"/>
    <w:pPr>
      <w:spacing w:line="240" w:lineRule="auto"/>
    </w:pPr>
    <w:rPr>
      <w:b/>
      <w:sz w:val="40"/>
    </w:rPr>
  </w:style>
  <w:style w:type="paragraph" w:customStyle="1" w:styleId="ActHead1">
    <w:name w:val="ActHead 1"/>
    <w:aliases w:val="c"/>
    <w:basedOn w:val="OPCParaBase"/>
    <w:next w:val="Normal"/>
    <w:qFormat/>
    <w:rsid w:val="00A65BCE"/>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A65BCE"/>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A65BCE"/>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A65BCE"/>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A65BCE"/>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A65BCE"/>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A65BCE"/>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A65BCE"/>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A65BCE"/>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65BCE"/>
  </w:style>
  <w:style w:type="paragraph" w:customStyle="1" w:styleId="Blocks">
    <w:name w:val="Blocks"/>
    <w:aliases w:val="bb"/>
    <w:basedOn w:val="OPCParaBase"/>
    <w:qFormat/>
    <w:rsid w:val="00A65BCE"/>
    <w:pPr>
      <w:spacing w:line="240" w:lineRule="auto"/>
    </w:pPr>
    <w:rPr>
      <w:sz w:val="24"/>
    </w:rPr>
  </w:style>
  <w:style w:type="paragraph" w:customStyle="1" w:styleId="BoxText">
    <w:name w:val="BoxText"/>
    <w:aliases w:val="bt"/>
    <w:basedOn w:val="OPCParaBase"/>
    <w:qFormat/>
    <w:rsid w:val="00A65BCE"/>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65BCE"/>
    <w:rPr>
      <w:b/>
    </w:rPr>
  </w:style>
  <w:style w:type="paragraph" w:customStyle="1" w:styleId="BoxHeadItalic">
    <w:name w:val="BoxHeadItalic"/>
    <w:aliases w:val="bhi"/>
    <w:basedOn w:val="BoxText"/>
    <w:next w:val="BoxStep"/>
    <w:qFormat/>
    <w:rsid w:val="00A65BCE"/>
    <w:rPr>
      <w:i/>
    </w:rPr>
  </w:style>
  <w:style w:type="paragraph" w:customStyle="1" w:styleId="BoxList">
    <w:name w:val="BoxList"/>
    <w:aliases w:val="bl"/>
    <w:basedOn w:val="BoxText"/>
    <w:qFormat/>
    <w:rsid w:val="00A65BCE"/>
    <w:pPr>
      <w:ind w:left="1559" w:hanging="425"/>
    </w:pPr>
  </w:style>
  <w:style w:type="paragraph" w:customStyle="1" w:styleId="BoxNote">
    <w:name w:val="BoxNote"/>
    <w:aliases w:val="bn"/>
    <w:basedOn w:val="BoxText"/>
    <w:qFormat/>
    <w:rsid w:val="00A65BCE"/>
    <w:pPr>
      <w:tabs>
        <w:tab w:val="left" w:pos="1985"/>
      </w:tabs>
      <w:spacing w:before="122" w:line="198" w:lineRule="exact"/>
      <w:ind w:left="2948" w:hanging="1814"/>
    </w:pPr>
    <w:rPr>
      <w:sz w:val="18"/>
    </w:rPr>
  </w:style>
  <w:style w:type="paragraph" w:customStyle="1" w:styleId="BoxPara">
    <w:name w:val="BoxPara"/>
    <w:aliases w:val="bp"/>
    <w:basedOn w:val="BoxText"/>
    <w:qFormat/>
    <w:rsid w:val="00A65BCE"/>
    <w:pPr>
      <w:tabs>
        <w:tab w:val="right" w:pos="2268"/>
      </w:tabs>
      <w:ind w:left="2552" w:hanging="1418"/>
    </w:pPr>
  </w:style>
  <w:style w:type="paragraph" w:customStyle="1" w:styleId="BoxStep">
    <w:name w:val="BoxStep"/>
    <w:aliases w:val="bs"/>
    <w:basedOn w:val="BoxText"/>
    <w:qFormat/>
    <w:rsid w:val="00A65BCE"/>
    <w:pPr>
      <w:ind w:left="1985" w:hanging="851"/>
    </w:pPr>
  </w:style>
  <w:style w:type="character" w:customStyle="1" w:styleId="CharAmPartNo">
    <w:name w:val="CharAmPartNo"/>
    <w:basedOn w:val="OPCCharBase"/>
    <w:qFormat/>
    <w:rsid w:val="00A65BCE"/>
  </w:style>
  <w:style w:type="character" w:customStyle="1" w:styleId="CharAmPartText">
    <w:name w:val="CharAmPartText"/>
    <w:basedOn w:val="OPCCharBase"/>
    <w:qFormat/>
    <w:rsid w:val="00A65BCE"/>
  </w:style>
  <w:style w:type="character" w:customStyle="1" w:styleId="CharAmSchNo">
    <w:name w:val="CharAmSchNo"/>
    <w:basedOn w:val="OPCCharBase"/>
    <w:qFormat/>
    <w:rsid w:val="00A65BCE"/>
  </w:style>
  <w:style w:type="character" w:customStyle="1" w:styleId="CharAmSchText">
    <w:name w:val="CharAmSchText"/>
    <w:basedOn w:val="OPCCharBase"/>
    <w:qFormat/>
    <w:rsid w:val="00A65BCE"/>
  </w:style>
  <w:style w:type="character" w:customStyle="1" w:styleId="CharBoldItalic">
    <w:name w:val="CharBoldItalic"/>
    <w:basedOn w:val="OPCCharBase"/>
    <w:uiPriority w:val="1"/>
    <w:qFormat/>
    <w:rsid w:val="00A65BCE"/>
    <w:rPr>
      <w:b/>
      <w:i/>
    </w:rPr>
  </w:style>
  <w:style w:type="character" w:customStyle="1" w:styleId="CharChapNo">
    <w:name w:val="CharChapNo"/>
    <w:basedOn w:val="OPCCharBase"/>
    <w:uiPriority w:val="1"/>
    <w:qFormat/>
    <w:rsid w:val="00A65BCE"/>
  </w:style>
  <w:style w:type="character" w:customStyle="1" w:styleId="CharChapText">
    <w:name w:val="CharChapText"/>
    <w:basedOn w:val="OPCCharBase"/>
    <w:uiPriority w:val="1"/>
    <w:qFormat/>
    <w:rsid w:val="00A65BCE"/>
  </w:style>
  <w:style w:type="character" w:customStyle="1" w:styleId="CharDivNo">
    <w:name w:val="CharDivNo"/>
    <w:basedOn w:val="OPCCharBase"/>
    <w:uiPriority w:val="1"/>
    <w:qFormat/>
    <w:rsid w:val="00A65BCE"/>
  </w:style>
  <w:style w:type="character" w:customStyle="1" w:styleId="CharDivText">
    <w:name w:val="CharDivText"/>
    <w:basedOn w:val="OPCCharBase"/>
    <w:uiPriority w:val="1"/>
    <w:qFormat/>
    <w:rsid w:val="00A65BCE"/>
  </w:style>
  <w:style w:type="character" w:customStyle="1" w:styleId="CharItalic">
    <w:name w:val="CharItalic"/>
    <w:basedOn w:val="OPCCharBase"/>
    <w:uiPriority w:val="1"/>
    <w:qFormat/>
    <w:rsid w:val="00A65BCE"/>
    <w:rPr>
      <w:i/>
    </w:rPr>
  </w:style>
  <w:style w:type="character" w:customStyle="1" w:styleId="CharPartNo">
    <w:name w:val="CharPartNo"/>
    <w:basedOn w:val="OPCCharBase"/>
    <w:uiPriority w:val="1"/>
    <w:qFormat/>
    <w:rsid w:val="00A65BCE"/>
  </w:style>
  <w:style w:type="character" w:customStyle="1" w:styleId="CharPartText">
    <w:name w:val="CharPartText"/>
    <w:basedOn w:val="OPCCharBase"/>
    <w:uiPriority w:val="1"/>
    <w:qFormat/>
    <w:rsid w:val="00A65BCE"/>
  </w:style>
  <w:style w:type="character" w:customStyle="1" w:styleId="CharSectno">
    <w:name w:val="CharSectno"/>
    <w:basedOn w:val="OPCCharBase"/>
    <w:qFormat/>
    <w:rsid w:val="00A65BCE"/>
  </w:style>
  <w:style w:type="character" w:customStyle="1" w:styleId="CharSubdNo">
    <w:name w:val="CharSubdNo"/>
    <w:basedOn w:val="OPCCharBase"/>
    <w:uiPriority w:val="1"/>
    <w:qFormat/>
    <w:rsid w:val="00A65BCE"/>
  </w:style>
  <w:style w:type="character" w:customStyle="1" w:styleId="CharSubdText">
    <w:name w:val="CharSubdText"/>
    <w:basedOn w:val="OPCCharBase"/>
    <w:uiPriority w:val="1"/>
    <w:qFormat/>
    <w:rsid w:val="00A65BCE"/>
  </w:style>
  <w:style w:type="paragraph" w:customStyle="1" w:styleId="CTA--">
    <w:name w:val="CTA --"/>
    <w:basedOn w:val="OPCParaBase"/>
    <w:next w:val="Normal"/>
    <w:rsid w:val="00A65BCE"/>
    <w:pPr>
      <w:spacing w:before="60" w:line="240" w:lineRule="atLeast"/>
      <w:ind w:left="142" w:hanging="142"/>
    </w:pPr>
    <w:rPr>
      <w:sz w:val="20"/>
    </w:rPr>
  </w:style>
  <w:style w:type="paragraph" w:customStyle="1" w:styleId="CTA-">
    <w:name w:val="CTA -"/>
    <w:basedOn w:val="OPCParaBase"/>
    <w:rsid w:val="00A65BCE"/>
    <w:pPr>
      <w:spacing w:before="60" w:line="240" w:lineRule="atLeast"/>
      <w:ind w:left="85" w:hanging="85"/>
    </w:pPr>
    <w:rPr>
      <w:sz w:val="20"/>
    </w:rPr>
  </w:style>
  <w:style w:type="paragraph" w:customStyle="1" w:styleId="CTA---">
    <w:name w:val="CTA ---"/>
    <w:basedOn w:val="OPCParaBase"/>
    <w:next w:val="Normal"/>
    <w:rsid w:val="00A65BCE"/>
    <w:pPr>
      <w:spacing w:before="60" w:line="240" w:lineRule="atLeast"/>
      <w:ind w:left="198" w:hanging="198"/>
    </w:pPr>
    <w:rPr>
      <w:sz w:val="20"/>
    </w:rPr>
  </w:style>
  <w:style w:type="paragraph" w:customStyle="1" w:styleId="CTA----">
    <w:name w:val="CTA ----"/>
    <w:basedOn w:val="OPCParaBase"/>
    <w:next w:val="Normal"/>
    <w:rsid w:val="00A65BCE"/>
    <w:pPr>
      <w:spacing w:before="60" w:line="240" w:lineRule="atLeast"/>
      <w:ind w:left="255" w:hanging="255"/>
    </w:pPr>
    <w:rPr>
      <w:sz w:val="20"/>
    </w:rPr>
  </w:style>
  <w:style w:type="paragraph" w:customStyle="1" w:styleId="CTA1a">
    <w:name w:val="CTA 1(a)"/>
    <w:basedOn w:val="OPCParaBase"/>
    <w:rsid w:val="00A65BCE"/>
    <w:pPr>
      <w:tabs>
        <w:tab w:val="right" w:pos="414"/>
      </w:tabs>
      <w:spacing w:before="40" w:line="240" w:lineRule="atLeast"/>
      <w:ind w:left="675" w:hanging="675"/>
    </w:pPr>
    <w:rPr>
      <w:sz w:val="20"/>
    </w:rPr>
  </w:style>
  <w:style w:type="paragraph" w:customStyle="1" w:styleId="CTA1ai">
    <w:name w:val="CTA 1(a)(i)"/>
    <w:basedOn w:val="OPCParaBase"/>
    <w:rsid w:val="00A65BCE"/>
    <w:pPr>
      <w:tabs>
        <w:tab w:val="right" w:pos="1004"/>
      </w:tabs>
      <w:spacing w:before="40" w:line="240" w:lineRule="atLeast"/>
      <w:ind w:left="1253" w:hanging="1253"/>
    </w:pPr>
    <w:rPr>
      <w:sz w:val="20"/>
    </w:rPr>
  </w:style>
  <w:style w:type="paragraph" w:customStyle="1" w:styleId="CTA2a">
    <w:name w:val="CTA 2(a)"/>
    <w:basedOn w:val="OPCParaBase"/>
    <w:rsid w:val="00A65BCE"/>
    <w:pPr>
      <w:tabs>
        <w:tab w:val="right" w:pos="482"/>
      </w:tabs>
      <w:spacing w:before="40" w:line="240" w:lineRule="atLeast"/>
      <w:ind w:left="748" w:hanging="748"/>
    </w:pPr>
    <w:rPr>
      <w:sz w:val="20"/>
    </w:rPr>
  </w:style>
  <w:style w:type="paragraph" w:customStyle="1" w:styleId="CTA2ai">
    <w:name w:val="CTA 2(a)(i)"/>
    <w:basedOn w:val="OPCParaBase"/>
    <w:rsid w:val="00A65BCE"/>
    <w:pPr>
      <w:tabs>
        <w:tab w:val="right" w:pos="1089"/>
      </w:tabs>
      <w:spacing w:before="40" w:line="240" w:lineRule="atLeast"/>
      <w:ind w:left="1327" w:hanging="1327"/>
    </w:pPr>
    <w:rPr>
      <w:sz w:val="20"/>
    </w:rPr>
  </w:style>
  <w:style w:type="paragraph" w:customStyle="1" w:styleId="CTA3a">
    <w:name w:val="CTA 3(a)"/>
    <w:basedOn w:val="OPCParaBase"/>
    <w:rsid w:val="00A65BCE"/>
    <w:pPr>
      <w:tabs>
        <w:tab w:val="right" w:pos="556"/>
      </w:tabs>
      <w:spacing w:before="40" w:line="240" w:lineRule="atLeast"/>
      <w:ind w:left="805" w:hanging="805"/>
    </w:pPr>
    <w:rPr>
      <w:sz w:val="20"/>
    </w:rPr>
  </w:style>
  <w:style w:type="paragraph" w:customStyle="1" w:styleId="CTA3ai">
    <w:name w:val="CTA 3(a)(i)"/>
    <w:basedOn w:val="OPCParaBase"/>
    <w:rsid w:val="00A65BCE"/>
    <w:pPr>
      <w:tabs>
        <w:tab w:val="right" w:pos="1140"/>
      </w:tabs>
      <w:spacing w:before="40" w:line="240" w:lineRule="atLeast"/>
      <w:ind w:left="1361" w:hanging="1361"/>
    </w:pPr>
    <w:rPr>
      <w:sz w:val="20"/>
    </w:rPr>
  </w:style>
  <w:style w:type="paragraph" w:customStyle="1" w:styleId="CTA4a">
    <w:name w:val="CTA 4(a)"/>
    <w:basedOn w:val="OPCParaBase"/>
    <w:rsid w:val="00A65BCE"/>
    <w:pPr>
      <w:tabs>
        <w:tab w:val="right" w:pos="624"/>
      </w:tabs>
      <w:spacing w:before="40" w:line="240" w:lineRule="atLeast"/>
      <w:ind w:left="873" w:hanging="873"/>
    </w:pPr>
    <w:rPr>
      <w:sz w:val="20"/>
    </w:rPr>
  </w:style>
  <w:style w:type="paragraph" w:customStyle="1" w:styleId="CTA4ai">
    <w:name w:val="CTA 4(a)(i)"/>
    <w:basedOn w:val="OPCParaBase"/>
    <w:rsid w:val="00A65BCE"/>
    <w:pPr>
      <w:tabs>
        <w:tab w:val="right" w:pos="1213"/>
      </w:tabs>
      <w:spacing w:before="40" w:line="240" w:lineRule="atLeast"/>
      <w:ind w:left="1452" w:hanging="1452"/>
    </w:pPr>
    <w:rPr>
      <w:sz w:val="20"/>
    </w:rPr>
  </w:style>
  <w:style w:type="paragraph" w:customStyle="1" w:styleId="CTACAPS">
    <w:name w:val="CTA CAPS"/>
    <w:basedOn w:val="OPCParaBase"/>
    <w:rsid w:val="00A65BCE"/>
    <w:pPr>
      <w:spacing w:before="60" w:line="240" w:lineRule="atLeast"/>
    </w:pPr>
    <w:rPr>
      <w:sz w:val="20"/>
    </w:rPr>
  </w:style>
  <w:style w:type="paragraph" w:customStyle="1" w:styleId="CTAright">
    <w:name w:val="CTA right"/>
    <w:basedOn w:val="OPCParaBase"/>
    <w:rsid w:val="00A65BCE"/>
    <w:pPr>
      <w:spacing w:before="60" w:line="240" w:lineRule="auto"/>
      <w:jc w:val="right"/>
    </w:pPr>
    <w:rPr>
      <w:sz w:val="20"/>
    </w:rPr>
  </w:style>
  <w:style w:type="paragraph" w:customStyle="1" w:styleId="subsection">
    <w:name w:val="subsection"/>
    <w:aliases w:val="ss"/>
    <w:basedOn w:val="OPCParaBase"/>
    <w:link w:val="subsectionChar"/>
    <w:rsid w:val="00A65BCE"/>
    <w:pPr>
      <w:tabs>
        <w:tab w:val="right" w:pos="1021"/>
      </w:tabs>
      <w:spacing w:before="180" w:line="240" w:lineRule="auto"/>
      <w:ind w:left="1134" w:hanging="1134"/>
    </w:pPr>
  </w:style>
  <w:style w:type="paragraph" w:customStyle="1" w:styleId="Definition">
    <w:name w:val="Definition"/>
    <w:aliases w:val="dd"/>
    <w:basedOn w:val="OPCParaBase"/>
    <w:rsid w:val="00A65BCE"/>
    <w:pPr>
      <w:spacing w:before="180" w:line="240" w:lineRule="auto"/>
      <w:ind w:left="1134"/>
    </w:pPr>
  </w:style>
  <w:style w:type="paragraph" w:customStyle="1" w:styleId="ETAsubitem">
    <w:name w:val="ETA(subitem)"/>
    <w:basedOn w:val="OPCParaBase"/>
    <w:rsid w:val="00A65BCE"/>
    <w:pPr>
      <w:tabs>
        <w:tab w:val="right" w:pos="340"/>
      </w:tabs>
      <w:spacing w:before="60" w:line="240" w:lineRule="auto"/>
      <w:ind w:left="454" w:hanging="454"/>
    </w:pPr>
    <w:rPr>
      <w:sz w:val="20"/>
    </w:rPr>
  </w:style>
  <w:style w:type="paragraph" w:customStyle="1" w:styleId="ETApara">
    <w:name w:val="ETA(para)"/>
    <w:basedOn w:val="OPCParaBase"/>
    <w:rsid w:val="00A65BCE"/>
    <w:pPr>
      <w:tabs>
        <w:tab w:val="right" w:pos="754"/>
      </w:tabs>
      <w:spacing w:before="60" w:line="240" w:lineRule="auto"/>
      <w:ind w:left="828" w:hanging="828"/>
    </w:pPr>
    <w:rPr>
      <w:sz w:val="20"/>
    </w:rPr>
  </w:style>
  <w:style w:type="paragraph" w:customStyle="1" w:styleId="ETAsubpara">
    <w:name w:val="ETA(subpara)"/>
    <w:basedOn w:val="OPCParaBase"/>
    <w:rsid w:val="00A65BCE"/>
    <w:pPr>
      <w:tabs>
        <w:tab w:val="right" w:pos="1083"/>
      </w:tabs>
      <w:spacing w:before="60" w:line="240" w:lineRule="auto"/>
      <w:ind w:left="1191" w:hanging="1191"/>
    </w:pPr>
    <w:rPr>
      <w:sz w:val="20"/>
    </w:rPr>
  </w:style>
  <w:style w:type="paragraph" w:customStyle="1" w:styleId="ETAsub-subpara">
    <w:name w:val="ETA(sub-subpara)"/>
    <w:basedOn w:val="OPCParaBase"/>
    <w:rsid w:val="00A65BCE"/>
    <w:pPr>
      <w:tabs>
        <w:tab w:val="right" w:pos="1412"/>
      </w:tabs>
      <w:spacing w:before="60" w:line="240" w:lineRule="auto"/>
      <w:ind w:left="1525" w:hanging="1525"/>
    </w:pPr>
    <w:rPr>
      <w:sz w:val="20"/>
    </w:rPr>
  </w:style>
  <w:style w:type="paragraph" w:customStyle="1" w:styleId="Formula">
    <w:name w:val="Formula"/>
    <w:basedOn w:val="OPCParaBase"/>
    <w:rsid w:val="00A65BCE"/>
    <w:pPr>
      <w:spacing w:line="240" w:lineRule="auto"/>
      <w:ind w:left="1134"/>
    </w:pPr>
    <w:rPr>
      <w:sz w:val="20"/>
    </w:rPr>
  </w:style>
  <w:style w:type="paragraph" w:styleId="Header">
    <w:name w:val="header"/>
    <w:basedOn w:val="OPCParaBase"/>
    <w:link w:val="HeaderChar"/>
    <w:unhideWhenUsed/>
    <w:rsid w:val="00A65BCE"/>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A65BCE"/>
    <w:rPr>
      <w:rFonts w:eastAsia="Times New Roman" w:cs="Times New Roman"/>
      <w:sz w:val="16"/>
      <w:lang w:eastAsia="en-AU"/>
    </w:rPr>
  </w:style>
  <w:style w:type="paragraph" w:customStyle="1" w:styleId="House">
    <w:name w:val="House"/>
    <w:basedOn w:val="OPCParaBase"/>
    <w:rsid w:val="00A65BCE"/>
    <w:pPr>
      <w:spacing w:line="240" w:lineRule="auto"/>
    </w:pPr>
    <w:rPr>
      <w:sz w:val="28"/>
    </w:rPr>
  </w:style>
  <w:style w:type="paragraph" w:customStyle="1" w:styleId="Item">
    <w:name w:val="Item"/>
    <w:aliases w:val="i"/>
    <w:basedOn w:val="OPCParaBase"/>
    <w:next w:val="ItemHead"/>
    <w:rsid w:val="00A65BCE"/>
    <w:pPr>
      <w:keepLines/>
      <w:spacing w:before="80" w:line="240" w:lineRule="auto"/>
      <w:ind w:left="709"/>
    </w:pPr>
  </w:style>
  <w:style w:type="paragraph" w:customStyle="1" w:styleId="ItemHead">
    <w:name w:val="ItemHead"/>
    <w:aliases w:val="ih"/>
    <w:basedOn w:val="OPCParaBase"/>
    <w:next w:val="Item"/>
    <w:rsid w:val="00A65BCE"/>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A65BCE"/>
    <w:pPr>
      <w:spacing w:line="240" w:lineRule="auto"/>
    </w:pPr>
    <w:rPr>
      <w:b/>
      <w:sz w:val="32"/>
    </w:rPr>
  </w:style>
  <w:style w:type="paragraph" w:customStyle="1" w:styleId="notedraft">
    <w:name w:val="note(draft)"/>
    <w:aliases w:val="nd"/>
    <w:basedOn w:val="OPCParaBase"/>
    <w:rsid w:val="00A65BCE"/>
    <w:pPr>
      <w:spacing w:before="240" w:line="240" w:lineRule="auto"/>
      <w:ind w:left="284" w:hanging="284"/>
    </w:pPr>
    <w:rPr>
      <w:i/>
      <w:sz w:val="24"/>
    </w:rPr>
  </w:style>
  <w:style w:type="paragraph" w:customStyle="1" w:styleId="notemargin">
    <w:name w:val="note(margin)"/>
    <w:aliases w:val="nm"/>
    <w:basedOn w:val="OPCParaBase"/>
    <w:rsid w:val="00A65BCE"/>
    <w:pPr>
      <w:tabs>
        <w:tab w:val="left" w:pos="709"/>
      </w:tabs>
      <w:spacing w:before="122" w:line="198" w:lineRule="exact"/>
      <w:ind w:left="709" w:hanging="709"/>
    </w:pPr>
    <w:rPr>
      <w:sz w:val="18"/>
    </w:rPr>
  </w:style>
  <w:style w:type="paragraph" w:customStyle="1" w:styleId="noteToPara">
    <w:name w:val="noteToPara"/>
    <w:aliases w:val="ntp"/>
    <w:basedOn w:val="OPCParaBase"/>
    <w:rsid w:val="00A65BCE"/>
    <w:pPr>
      <w:spacing w:before="122" w:line="198" w:lineRule="exact"/>
      <w:ind w:left="2353" w:hanging="709"/>
    </w:pPr>
    <w:rPr>
      <w:sz w:val="18"/>
    </w:rPr>
  </w:style>
  <w:style w:type="paragraph" w:customStyle="1" w:styleId="noteParlAmend">
    <w:name w:val="note(ParlAmend)"/>
    <w:aliases w:val="npp"/>
    <w:basedOn w:val="OPCParaBase"/>
    <w:next w:val="ParlAmend"/>
    <w:rsid w:val="00A65BCE"/>
    <w:pPr>
      <w:spacing w:line="240" w:lineRule="auto"/>
      <w:jc w:val="right"/>
    </w:pPr>
    <w:rPr>
      <w:rFonts w:ascii="Arial" w:hAnsi="Arial"/>
      <w:b/>
      <w:i/>
    </w:rPr>
  </w:style>
  <w:style w:type="paragraph" w:customStyle="1" w:styleId="Page1">
    <w:name w:val="Page1"/>
    <w:basedOn w:val="OPCParaBase"/>
    <w:rsid w:val="00A65BCE"/>
    <w:pPr>
      <w:spacing w:before="5600" w:line="240" w:lineRule="auto"/>
    </w:pPr>
    <w:rPr>
      <w:b/>
      <w:sz w:val="32"/>
    </w:rPr>
  </w:style>
  <w:style w:type="paragraph" w:customStyle="1" w:styleId="PageBreak">
    <w:name w:val="PageBreak"/>
    <w:aliases w:val="pb"/>
    <w:basedOn w:val="OPCParaBase"/>
    <w:rsid w:val="00A65BCE"/>
    <w:pPr>
      <w:spacing w:line="240" w:lineRule="auto"/>
    </w:pPr>
    <w:rPr>
      <w:sz w:val="20"/>
    </w:rPr>
  </w:style>
  <w:style w:type="paragraph" w:customStyle="1" w:styleId="paragraphsub">
    <w:name w:val="paragraph(sub)"/>
    <w:aliases w:val="aa"/>
    <w:basedOn w:val="OPCParaBase"/>
    <w:rsid w:val="00A65BCE"/>
    <w:pPr>
      <w:tabs>
        <w:tab w:val="right" w:pos="1985"/>
      </w:tabs>
      <w:spacing w:before="40" w:line="240" w:lineRule="auto"/>
      <w:ind w:left="2098" w:hanging="2098"/>
    </w:pPr>
  </w:style>
  <w:style w:type="paragraph" w:customStyle="1" w:styleId="paragraphsub-sub">
    <w:name w:val="paragraph(sub-sub)"/>
    <w:aliases w:val="aaa"/>
    <w:basedOn w:val="OPCParaBase"/>
    <w:rsid w:val="00A65BCE"/>
    <w:pPr>
      <w:tabs>
        <w:tab w:val="right" w:pos="2722"/>
      </w:tabs>
      <w:spacing w:before="40" w:line="240" w:lineRule="auto"/>
      <w:ind w:left="2835" w:hanging="2835"/>
    </w:pPr>
  </w:style>
  <w:style w:type="paragraph" w:customStyle="1" w:styleId="paragraph">
    <w:name w:val="paragraph"/>
    <w:aliases w:val="a"/>
    <w:basedOn w:val="OPCParaBase"/>
    <w:link w:val="paragraphChar"/>
    <w:rsid w:val="00A65BCE"/>
    <w:pPr>
      <w:tabs>
        <w:tab w:val="right" w:pos="1531"/>
      </w:tabs>
      <w:spacing w:before="40" w:line="240" w:lineRule="auto"/>
      <w:ind w:left="1644" w:hanging="1644"/>
    </w:pPr>
  </w:style>
  <w:style w:type="paragraph" w:customStyle="1" w:styleId="ParlAmend">
    <w:name w:val="ParlAmend"/>
    <w:aliases w:val="pp"/>
    <w:basedOn w:val="OPCParaBase"/>
    <w:rsid w:val="00A65BCE"/>
    <w:pPr>
      <w:spacing w:before="240" w:line="240" w:lineRule="atLeast"/>
      <w:ind w:hanging="567"/>
    </w:pPr>
    <w:rPr>
      <w:sz w:val="24"/>
    </w:rPr>
  </w:style>
  <w:style w:type="paragraph" w:customStyle="1" w:styleId="Penalty">
    <w:name w:val="Penalty"/>
    <w:basedOn w:val="OPCParaBase"/>
    <w:rsid w:val="00A65BCE"/>
    <w:pPr>
      <w:tabs>
        <w:tab w:val="left" w:pos="2977"/>
      </w:tabs>
      <w:spacing w:before="180" w:line="240" w:lineRule="auto"/>
      <w:ind w:left="1985" w:hanging="851"/>
    </w:pPr>
  </w:style>
  <w:style w:type="paragraph" w:customStyle="1" w:styleId="Portfolio">
    <w:name w:val="Portfolio"/>
    <w:basedOn w:val="OPCParaBase"/>
    <w:rsid w:val="00A65BCE"/>
    <w:pPr>
      <w:spacing w:line="240" w:lineRule="auto"/>
    </w:pPr>
    <w:rPr>
      <w:i/>
      <w:sz w:val="20"/>
    </w:rPr>
  </w:style>
  <w:style w:type="paragraph" w:customStyle="1" w:styleId="Preamble">
    <w:name w:val="Preamble"/>
    <w:basedOn w:val="OPCParaBase"/>
    <w:next w:val="Normal"/>
    <w:rsid w:val="00A65BCE"/>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A65BCE"/>
    <w:pPr>
      <w:spacing w:line="240" w:lineRule="auto"/>
    </w:pPr>
    <w:rPr>
      <w:i/>
      <w:sz w:val="20"/>
    </w:rPr>
  </w:style>
  <w:style w:type="paragraph" w:customStyle="1" w:styleId="Session">
    <w:name w:val="Session"/>
    <w:basedOn w:val="OPCParaBase"/>
    <w:rsid w:val="00A65BCE"/>
    <w:pPr>
      <w:spacing w:line="240" w:lineRule="auto"/>
    </w:pPr>
    <w:rPr>
      <w:sz w:val="28"/>
    </w:rPr>
  </w:style>
  <w:style w:type="paragraph" w:customStyle="1" w:styleId="Sponsor">
    <w:name w:val="Sponsor"/>
    <w:basedOn w:val="OPCParaBase"/>
    <w:rsid w:val="00A65BCE"/>
    <w:pPr>
      <w:spacing w:line="240" w:lineRule="auto"/>
    </w:pPr>
    <w:rPr>
      <w:i/>
    </w:rPr>
  </w:style>
  <w:style w:type="paragraph" w:customStyle="1" w:styleId="Subitem">
    <w:name w:val="Subitem"/>
    <w:aliases w:val="iss"/>
    <w:basedOn w:val="OPCParaBase"/>
    <w:rsid w:val="00A65BCE"/>
    <w:pPr>
      <w:spacing w:before="180" w:line="240" w:lineRule="auto"/>
      <w:ind w:left="709" w:hanging="709"/>
    </w:pPr>
  </w:style>
  <w:style w:type="paragraph" w:customStyle="1" w:styleId="SubitemHead">
    <w:name w:val="SubitemHead"/>
    <w:aliases w:val="issh"/>
    <w:basedOn w:val="OPCParaBase"/>
    <w:rsid w:val="00A65BCE"/>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A65BCE"/>
    <w:pPr>
      <w:spacing w:before="40" w:line="240" w:lineRule="auto"/>
      <w:ind w:left="1134"/>
    </w:pPr>
  </w:style>
  <w:style w:type="paragraph" w:customStyle="1" w:styleId="SubsectionHead">
    <w:name w:val="SubsectionHead"/>
    <w:aliases w:val="ssh"/>
    <w:basedOn w:val="OPCParaBase"/>
    <w:next w:val="subsection"/>
    <w:rsid w:val="00A65BCE"/>
    <w:pPr>
      <w:keepNext/>
      <w:keepLines/>
      <w:spacing w:before="240" w:line="240" w:lineRule="auto"/>
      <w:ind w:left="1134"/>
    </w:pPr>
    <w:rPr>
      <w:i/>
    </w:rPr>
  </w:style>
  <w:style w:type="paragraph" w:customStyle="1" w:styleId="Tablea">
    <w:name w:val="Table(a)"/>
    <w:aliases w:val="ta"/>
    <w:basedOn w:val="OPCParaBase"/>
    <w:rsid w:val="00A65BCE"/>
    <w:pPr>
      <w:spacing w:before="60" w:line="240" w:lineRule="auto"/>
      <w:ind w:left="284" w:hanging="284"/>
    </w:pPr>
    <w:rPr>
      <w:sz w:val="20"/>
    </w:rPr>
  </w:style>
  <w:style w:type="paragraph" w:customStyle="1" w:styleId="TableAA">
    <w:name w:val="Table(AA)"/>
    <w:aliases w:val="taaa"/>
    <w:basedOn w:val="OPCParaBase"/>
    <w:rsid w:val="00A65BCE"/>
    <w:pPr>
      <w:tabs>
        <w:tab w:val="left" w:pos="-6543"/>
        <w:tab w:val="left" w:pos="-6260"/>
      </w:tabs>
      <w:spacing w:line="240" w:lineRule="exact"/>
      <w:ind w:left="1055" w:hanging="284"/>
    </w:pPr>
    <w:rPr>
      <w:sz w:val="20"/>
    </w:rPr>
  </w:style>
  <w:style w:type="paragraph" w:customStyle="1" w:styleId="Tablei">
    <w:name w:val="Table(i)"/>
    <w:aliases w:val="taa"/>
    <w:basedOn w:val="OPCParaBase"/>
    <w:rsid w:val="00A65BCE"/>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A65BCE"/>
    <w:pPr>
      <w:spacing w:before="60" w:line="240" w:lineRule="atLeast"/>
    </w:pPr>
    <w:rPr>
      <w:sz w:val="20"/>
    </w:rPr>
  </w:style>
  <w:style w:type="paragraph" w:customStyle="1" w:styleId="TLPBoxTextnote">
    <w:name w:val="TLPBoxText(note"/>
    <w:aliases w:val="right)"/>
    <w:basedOn w:val="OPCParaBase"/>
    <w:rsid w:val="00A65BCE"/>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A65BCE"/>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A65BCE"/>
    <w:pPr>
      <w:spacing w:before="122" w:line="198" w:lineRule="exact"/>
      <w:ind w:left="1985" w:hanging="851"/>
      <w:jc w:val="right"/>
    </w:pPr>
    <w:rPr>
      <w:sz w:val="18"/>
    </w:rPr>
  </w:style>
  <w:style w:type="paragraph" w:customStyle="1" w:styleId="TLPTableBullet">
    <w:name w:val="TLPTableBullet"/>
    <w:aliases w:val="ttb"/>
    <w:basedOn w:val="OPCParaBase"/>
    <w:rsid w:val="00A65BCE"/>
    <w:pPr>
      <w:spacing w:line="240" w:lineRule="exact"/>
      <w:ind w:left="284" w:hanging="284"/>
    </w:pPr>
    <w:rPr>
      <w:sz w:val="20"/>
    </w:rPr>
  </w:style>
  <w:style w:type="paragraph" w:styleId="TOC1">
    <w:name w:val="toc 1"/>
    <w:basedOn w:val="OPCParaBase"/>
    <w:next w:val="Normal"/>
    <w:uiPriority w:val="39"/>
    <w:semiHidden/>
    <w:unhideWhenUsed/>
    <w:rsid w:val="00A65BCE"/>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A65BCE"/>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A65BCE"/>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A65BCE"/>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A65BCE"/>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A65BCE"/>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A65BCE"/>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A65BCE"/>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A65BCE"/>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A65BCE"/>
    <w:pPr>
      <w:keepLines/>
      <w:spacing w:before="240" w:after="120" w:line="240" w:lineRule="auto"/>
      <w:ind w:left="794"/>
    </w:pPr>
    <w:rPr>
      <w:b/>
      <w:kern w:val="28"/>
      <w:sz w:val="20"/>
    </w:rPr>
  </w:style>
  <w:style w:type="paragraph" w:customStyle="1" w:styleId="TofSectsHeading">
    <w:name w:val="TofSects(Heading)"/>
    <w:basedOn w:val="OPCParaBase"/>
    <w:rsid w:val="00A65BCE"/>
    <w:pPr>
      <w:spacing w:before="240" w:after="120" w:line="240" w:lineRule="auto"/>
    </w:pPr>
    <w:rPr>
      <w:b/>
      <w:sz w:val="24"/>
    </w:rPr>
  </w:style>
  <w:style w:type="paragraph" w:customStyle="1" w:styleId="TofSectsSection">
    <w:name w:val="TofSects(Section)"/>
    <w:basedOn w:val="OPCParaBase"/>
    <w:rsid w:val="00A65BCE"/>
    <w:pPr>
      <w:keepLines/>
      <w:spacing w:before="40" w:line="240" w:lineRule="auto"/>
      <w:ind w:left="1588" w:hanging="794"/>
    </w:pPr>
    <w:rPr>
      <w:kern w:val="28"/>
      <w:sz w:val="18"/>
    </w:rPr>
  </w:style>
  <w:style w:type="paragraph" w:customStyle="1" w:styleId="TofSectsSubdiv">
    <w:name w:val="TofSects(Subdiv)"/>
    <w:basedOn w:val="OPCParaBase"/>
    <w:rsid w:val="00A65BCE"/>
    <w:pPr>
      <w:keepLines/>
      <w:spacing w:before="80" w:line="240" w:lineRule="auto"/>
      <w:ind w:left="1588" w:hanging="794"/>
    </w:pPr>
    <w:rPr>
      <w:kern w:val="28"/>
    </w:rPr>
  </w:style>
  <w:style w:type="paragraph" w:customStyle="1" w:styleId="WRStyle">
    <w:name w:val="WR Style"/>
    <w:aliases w:val="WR"/>
    <w:basedOn w:val="OPCParaBase"/>
    <w:rsid w:val="00A65BCE"/>
    <w:pPr>
      <w:spacing w:before="240" w:line="240" w:lineRule="auto"/>
      <w:ind w:left="284" w:hanging="284"/>
    </w:pPr>
    <w:rPr>
      <w:b/>
      <w:i/>
      <w:kern w:val="28"/>
      <w:sz w:val="24"/>
    </w:rPr>
  </w:style>
  <w:style w:type="paragraph" w:customStyle="1" w:styleId="notepara">
    <w:name w:val="note(para)"/>
    <w:aliases w:val="na"/>
    <w:basedOn w:val="OPCParaBase"/>
    <w:rsid w:val="00A65BCE"/>
    <w:pPr>
      <w:spacing w:before="40" w:line="198" w:lineRule="exact"/>
      <w:ind w:left="2354" w:hanging="369"/>
    </w:pPr>
    <w:rPr>
      <w:sz w:val="18"/>
    </w:rPr>
  </w:style>
  <w:style w:type="paragraph" w:styleId="Footer">
    <w:name w:val="footer"/>
    <w:link w:val="FooterChar"/>
    <w:rsid w:val="00A65BCE"/>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A65BCE"/>
    <w:rPr>
      <w:rFonts w:eastAsia="Times New Roman" w:cs="Times New Roman"/>
      <w:sz w:val="22"/>
      <w:szCs w:val="24"/>
      <w:lang w:eastAsia="en-AU"/>
    </w:rPr>
  </w:style>
  <w:style w:type="character" w:styleId="LineNumber">
    <w:name w:val="line number"/>
    <w:basedOn w:val="OPCCharBase"/>
    <w:uiPriority w:val="99"/>
    <w:semiHidden/>
    <w:unhideWhenUsed/>
    <w:rsid w:val="00A65BCE"/>
    <w:rPr>
      <w:sz w:val="16"/>
    </w:rPr>
  </w:style>
  <w:style w:type="table" w:customStyle="1" w:styleId="CFlag">
    <w:name w:val="CFlag"/>
    <w:basedOn w:val="TableNormal"/>
    <w:uiPriority w:val="99"/>
    <w:rsid w:val="00A65BCE"/>
    <w:rPr>
      <w:rFonts w:eastAsia="Times New Roman" w:cs="Times New Roman"/>
      <w:lang w:eastAsia="en-AU"/>
    </w:rPr>
    <w:tblPr>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65BC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5BCE"/>
    <w:rPr>
      <w:rFonts w:ascii="Tahoma" w:hAnsi="Tahoma" w:cs="Tahoma"/>
      <w:sz w:val="16"/>
      <w:szCs w:val="16"/>
    </w:rPr>
  </w:style>
  <w:style w:type="character" w:styleId="Hyperlink">
    <w:name w:val="Hyperlink"/>
    <w:basedOn w:val="DefaultParagraphFont"/>
    <w:rsid w:val="00A65BCE"/>
    <w:rPr>
      <w:color w:val="0000FF"/>
      <w:u w:val="single"/>
    </w:rPr>
  </w:style>
  <w:style w:type="table" w:styleId="TableGrid">
    <w:name w:val="Table Grid"/>
    <w:basedOn w:val="TableNormal"/>
    <w:uiPriority w:val="59"/>
    <w:rsid w:val="00A65B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stNo">
    <w:name w:val="InstNo"/>
    <w:basedOn w:val="OPCParaBase"/>
    <w:next w:val="Normal"/>
    <w:rsid w:val="00A65BCE"/>
    <w:rPr>
      <w:b/>
      <w:sz w:val="28"/>
      <w:szCs w:val="32"/>
    </w:rPr>
  </w:style>
  <w:style w:type="paragraph" w:customStyle="1" w:styleId="TerritoryT">
    <w:name w:val="TerritoryT"/>
    <w:basedOn w:val="OPCParaBase"/>
    <w:next w:val="Normal"/>
    <w:rsid w:val="00A65BCE"/>
    <w:rPr>
      <w:b/>
      <w:sz w:val="32"/>
    </w:rPr>
  </w:style>
  <w:style w:type="paragraph" w:customStyle="1" w:styleId="LegislationMadeUnder">
    <w:name w:val="LegislationMadeUnder"/>
    <w:basedOn w:val="OPCParaBase"/>
    <w:next w:val="Normal"/>
    <w:rsid w:val="00A65BCE"/>
    <w:rPr>
      <w:i/>
      <w:sz w:val="32"/>
      <w:szCs w:val="32"/>
    </w:rPr>
  </w:style>
  <w:style w:type="paragraph" w:customStyle="1" w:styleId="SignCoverPageEnd">
    <w:name w:val="SignCoverPageEnd"/>
    <w:basedOn w:val="OPCParaBase"/>
    <w:next w:val="Normal"/>
    <w:rsid w:val="00A65BCE"/>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A65BCE"/>
    <w:pPr>
      <w:pBdr>
        <w:top w:val="single" w:sz="4" w:space="1" w:color="auto"/>
      </w:pBdr>
      <w:spacing w:before="360"/>
      <w:ind w:right="397"/>
      <w:jc w:val="both"/>
    </w:pPr>
  </w:style>
  <w:style w:type="paragraph" w:customStyle="1" w:styleId="NotesHeading1">
    <w:name w:val="NotesHeading 1"/>
    <w:basedOn w:val="OPCParaBase"/>
    <w:next w:val="Normal"/>
    <w:rsid w:val="00A65BCE"/>
    <w:rPr>
      <w:b/>
      <w:sz w:val="28"/>
      <w:szCs w:val="28"/>
    </w:rPr>
  </w:style>
  <w:style w:type="paragraph" w:customStyle="1" w:styleId="NotesHeading2">
    <w:name w:val="NotesHeading 2"/>
    <w:basedOn w:val="OPCParaBase"/>
    <w:next w:val="Normal"/>
    <w:rsid w:val="00A65BCE"/>
    <w:rPr>
      <w:b/>
      <w:sz w:val="28"/>
      <w:szCs w:val="28"/>
    </w:rPr>
  </w:style>
  <w:style w:type="paragraph" w:customStyle="1" w:styleId="ENotesText">
    <w:name w:val="ENotesText"/>
    <w:basedOn w:val="OPCParaBase"/>
    <w:next w:val="Normal"/>
    <w:rsid w:val="00A65BCE"/>
  </w:style>
  <w:style w:type="paragraph" w:customStyle="1" w:styleId="CompiledActNo">
    <w:name w:val="CompiledActNo"/>
    <w:basedOn w:val="OPCParaBase"/>
    <w:next w:val="Normal"/>
    <w:rsid w:val="00A65BCE"/>
    <w:rPr>
      <w:b/>
      <w:sz w:val="24"/>
      <w:szCs w:val="24"/>
    </w:rPr>
  </w:style>
  <w:style w:type="paragraph" w:customStyle="1" w:styleId="CompiledMadeUnder">
    <w:name w:val="CompiledMadeUnder"/>
    <w:basedOn w:val="OPCParaBase"/>
    <w:next w:val="Normal"/>
    <w:rsid w:val="00A65BCE"/>
    <w:rPr>
      <w:i/>
      <w:sz w:val="24"/>
      <w:szCs w:val="24"/>
    </w:rPr>
  </w:style>
  <w:style w:type="paragraph" w:customStyle="1" w:styleId="Paragraphsub-sub-sub">
    <w:name w:val="Paragraph(sub-sub-sub)"/>
    <w:aliases w:val="aaaa"/>
    <w:basedOn w:val="OPCParaBase"/>
    <w:rsid w:val="00A65BCE"/>
    <w:pPr>
      <w:tabs>
        <w:tab w:val="right" w:pos="3402"/>
      </w:tabs>
      <w:spacing w:before="40" w:line="240" w:lineRule="auto"/>
      <w:ind w:left="3402" w:hanging="3402"/>
    </w:pPr>
  </w:style>
  <w:style w:type="paragraph" w:customStyle="1" w:styleId="NoteToSubpara">
    <w:name w:val="NoteToSubpara"/>
    <w:aliases w:val="nts"/>
    <w:basedOn w:val="OPCParaBase"/>
    <w:rsid w:val="00A65BCE"/>
    <w:pPr>
      <w:spacing w:before="40" w:line="198" w:lineRule="exact"/>
      <w:ind w:left="2835" w:hanging="709"/>
    </w:pPr>
    <w:rPr>
      <w:sz w:val="18"/>
    </w:rPr>
  </w:style>
  <w:style w:type="paragraph" w:customStyle="1" w:styleId="EndNotespara">
    <w:name w:val="EndNotes(para)"/>
    <w:aliases w:val="eta"/>
    <w:basedOn w:val="OPCParaBase"/>
    <w:next w:val="Normal"/>
    <w:rsid w:val="00A65BCE"/>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A65BCE"/>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Normal"/>
    <w:rsid w:val="00A65BCE"/>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A65BCE"/>
    <w:pPr>
      <w:tabs>
        <w:tab w:val="right" w:pos="1412"/>
      </w:tabs>
      <w:spacing w:before="60" w:line="240" w:lineRule="auto"/>
      <w:ind w:left="1525" w:hanging="1525"/>
    </w:pPr>
    <w:rPr>
      <w:sz w:val="20"/>
    </w:rPr>
  </w:style>
  <w:style w:type="paragraph" w:customStyle="1" w:styleId="ENoteTableHeading">
    <w:name w:val="ENoteTableHeading"/>
    <w:aliases w:val="enth"/>
    <w:basedOn w:val="OPCParaBase"/>
    <w:rsid w:val="00A65BCE"/>
    <w:pPr>
      <w:keepNext/>
      <w:spacing w:before="60" w:line="240" w:lineRule="atLeast"/>
    </w:pPr>
    <w:rPr>
      <w:rFonts w:ascii="Arial" w:hAnsi="Arial"/>
      <w:b/>
      <w:sz w:val="16"/>
    </w:rPr>
  </w:style>
  <w:style w:type="paragraph" w:customStyle="1" w:styleId="ENoteTTi">
    <w:name w:val="ENoteTTi"/>
    <w:aliases w:val="entti"/>
    <w:basedOn w:val="OPCParaBase"/>
    <w:rsid w:val="00A65BCE"/>
    <w:pPr>
      <w:keepNext/>
      <w:spacing w:before="60" w:line="240" w:lineRule="atLeast"/>
      <w:ind w:left="170"/>
    </w:pPr>
    <w:rPr>
      <w:sz w:val="16"/>
    </w:rPr>
  </w:style>
  <w:style w:type="paragraph" w:customStyle="1" w:styleId="ENotesHeading1">
    <w:name w:val="ENotesHeading 1"/>
    <w:aliases w:val="Enh1"/>
    <w:basedOn w:val="OPCParaBase"/>
    <w:next w:val="Normal"/>
    <w:rsid w:val="00A65BCE"/>
    <w:pPr>
      <w:spacing w:before="120"/>
      <w:outlineLvl w:val="1"/>
    </w:pPr>
    <w:rPr>
      <w:b/>
      <w:sz w:val="28"/>
      <w:szCs w:val="28"/>
    </w:rPr>
  </w:style>
  <w:style w:type="paragraph" w:customStyle="1" w:styleId="ENotesHeading2">
    <w:name w:val="ENotesHeading 2"/>
    <w:aliases w:val="Enh2"/>
    <w:basedOn w:val="OPCParaBase"/>
    <w:next w:val="Normal"/>
    <w:rsid w:val="00A65BCE"/>
    <w:pPr>
      <w:spacing w:before="120" w:after="120"/>
      <w:outlineLvl w:val="2"/>
    </w:pPr>
    <w:rPr>
      <w:b/>
      <w:sz w:val="24"/>
      <w:szCs w:val="28"/>
    </w:rPr>
  </w:style>
  <w:style w:type="paragraph" w:customStyle="1" w:styleId="ENoteTTIndentHeading">
    <w:name w:val="ENoteTTIndentHeading"/>
    <w:aliases w:val="enTTHi"/>
    <w:basedOn w:val="OPCParaBase"/>
    <w:rsid w:val="00A65BCE"/>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A65BCE"/>
    <w:pPr>
      <w:spacing w:before="60" w:line="240" w:lineRule="atLeast"/>
    </w:pPr>
    <w:rPr>
      <w:sz w:val="16"/>
    </w:rPr>
  </w:style>
  <w:style w:type="paragraph" w:customStyle="1" w:styleId="MadeunderText">
    <w:name w:val="MadeunderText"/>
    <w:basedOn w:val="OPCParaBase"/>
    <w:next w:val="CompiledMadeUnder"/>
    <w:rsid w:val="00A65BCE"/>
    <w:pPr>
      <w:spacing w:before="240"/>
    </w:pPr>
    <w:rPr>
      <w:sz w:val="24"/>
      <w:szCs w:val="24"/>
    </w:rPr>
  </w:style>
  <w:style w:type="paragraph" w:customStyle="1" w:styleId="ENotesHeading3">
    <w:name w:val="ENotesHeading 3"/>
    <w:aliases w:val="Enh3"/>
    <w:basedOn w:val="OPCParaBase"/>
    <w:next w:val="Normal"/>
    <w:rsid w:val="00A65BCE"/>
    <w:pPr>
      <w:keepNext/>
      <w:spacing w:before="120" w:line="240" w:lineRule="auto"/>
      <w:outlineLvl w:val="4"/>
    </w:pPr>
    <w:rPr>
      <w:b/>
      <w:szCs w:val="24"/>
    </w:rPr>
  </w:style>
  <w:style w:type="paragraph" w:customStyle="1" w:styleId="SubPartCASA">
    <w:name w:val="SubPart(CASA)"/>
    <w:aliases w:val="csp"/>
    <w:basedOn w:val="OPCParaBase"/>
    <w:next w:val="ActHead3"/>
    <w:rsid w:val="00A65BCE"/>
    <w:pPr>
      <w:keepNext/>
      <w:keepLines/>
      <w:spacing w:before="280"/>
      <w:outlineLvl w:val="1"/>
    </w:pPr>
    <w:rPr>
      <w:b/>
      <w:kern w:val="28"/>
      <w:sz w:val="32"/>
    </w:rPr>
  </w:style>
  <w:style w:type="character" w:customStyle="1" w:styleId="CharSubPartTextCASA">
    <w:name w:val="CharSubPartText(CASA)"/>
    <w:basedOn w:val="OPCCharBase"/>
    <w:uiPriority w:val="1"/>
    <w:rsid w:val="00A65BCE"/>
  </w:style>
  <w:style w:type="character" w:customStyle="1" w:styleId="CharSubPartNoCASA">
    <w:name w:val="CharSubPartNo(CASA)"/>
    <w:basedOn w:val="OPCCharBase"/>
    <w:uiPriority w:val="1"/>
    <w:rsid w:val="00A65BCE"/>
  </w:style>
  <w:style w:type="paragraph" w:customStyle="1" w:styleId="ENoteTTIndentHeadingSub">
    <w:name w:val="ENoteTTIndentHeadingSub"/>
    <w:aliases w:val="enTTHis"/>
    <w:basedOn w:val="OPCParaBase"/>
    <w:rsid w:val="00A65BCE"/>
    <w:pPr>
      <w:keepNext/>
      <w:spacing w:before="60" w:line="240" w:lineRule="atLeast"/>
      <w:ind w:left="340"/>
    </w:pPr>
    <w:rPr>
      <w:b/>
      <w:sz w:val="16"/>
    </w:rPr>
  </w:style>
  <w:style w:type="paragraph" w:customStyle="1" w:styleId="ENoteTTiSub">
    <w:name w:val="ENoteTTiSub"/>
    <w:aliases w:val="enttis"/>
    <w:basedOn w:val="OPCParaBase"/>
    <w:rsid w:val="00A65BCE"/>
    <w:pPr>
      <w:keepNext/>
      <w:spacing w:before="60" w:line="240" w:lineRule="atLeast"/>
      <w:ind w:left="340"/>
    </w:pPr>
    <w:rPr>
      <w:sz w:val="16"/>
    </w:rPr>
  </w:style>
  <w:style w:type="paragraph" w:customStyle="1" w:styleId="SubDivisionMigration">
    <w:name w:val="SubDivisionMigration"/>
    <w:aliases w:val="sdm"/>
    <w:basedOn w:val="OPCParaBase"/>
    <w:rsid w:val="00A65BCE"/>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A65BCE"/>
    <w:pPr>
      <w:keepNext/>
      <w:keepLines/>
      <w:spacing w:before="240" w:line="240" w:lineRule="auto"/>
      <w:ind w:left="1134" w:hanging="1134"/>
    </w:pPr>
    <w:rPr>
      <w:b/>
      <w:sz w:val="28"/>
    </w:rPr>
  </w:style>
  <w:style w:type="paragraph" w:customStyle="1" w:styleId="notetext">
    <w:name w:val="note(text)"/>
    <w:aliases w:val="n"/>
    <w:basedOn w:val="OPCParaBase"/>
    <w:rsid w:val="00A65BCE"/>
    <w:pPr>
      <w:spacing w:before="122" w:line="240" w:lineRule="auto"/>
      <w:ind w:left="1985" w:hanging="851"/>
    </w:pPr>
    <w:rPr>
      <w:sz w:val="18"/>
    </w:rPr>
  </w:style>
  <w:style w:type="paragraph" w:customStyle="1" w:styleId="FreeForm">
    <w:name w:val="FreeForm"/>
    <w:rsid w:val="00FB192C"/>
    <w:rPr>
      <w:rFonts w:ascii="Arial" w:hAnsi="Arial"/>
      <w:sz w:val="22"/>
    </w:rPr>
  </w:style>
  <w:style w:type="paragraph" w:customStyle="1" w:styleId="SOText">
    <w:name w:val="SO Text"/>
    <w:aliases w:val="sot"/>
    <w:link w:val="SOTextChar"/>
    <w:rsid w:val="00A65BCE"/>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A65BCE"/>
    <w:rPr>
      <w:sz w:val="22"/>
    </w:rPr>
  </w:style>
  <w:style w:type="paragraph" w:customStyle="1" w:styleId="SOTextNote">
    <w:name w:val="SO TextNote"/>
    <w:aliases w:val="sont"/>
    <w:basedOn w:val="SOText"/>
    <w:qFormat/>
    <w:rsid w:val="00A65BCE"/>
    <w:pPr>
      <w:spacing w:before="122" w:line="198" w:lineRule="exact"/>
      <w:ind w:left="1843" w:hanging="709"/>
    </w:pPr>
    <w:rPr>
      <w:sz w:val="18"/>
    </w:rPr>
  </w:style>
  <w:style w:type="paragraph" w:customStyle="1" w:styleId="SOPara">
    <w:name w:val="SO Para"/>
    <w:aliases w:val="soa"/>
    <w:basedOn w:val="SOText"/>
    <w:link w:val="SOParaChar"/>
    <w:qFormat/>
    <w:rsid w:val="00A65BCE"/>
    <w:pPr>
      <w:tabs>
        <w:tab w:val="right" w:pos="1786"/>
      </w:tabs>
      <w:spacing w:before="40"/>
      <w:ind w:left="2070" w:hanging="936"/>
    </w:pPr>
  </w:style>
  <w:style w:type="character" w:customStyle="1" w:styleId="SOParaChar">
    <w:name w:val="SO Para Char"/>
    <w:aliases w:val="soa Char"/>
    <w:basedOn w:val="DefaultParagraphFont"/>
    <w:link w:val="SOPara"/>
    <w:rsid w:val="00A65BCE"/>
    <w:rPr>
      <w:sz w:val="22"/>
    </w:rPr>
  </w:style>
  <w:style w:type="paragraph" w:customStyle="1" w:styleId="FileName">
    <w:name w:val="FileName"/>
    <w:basedOn w:val="Normal"/>
    <w:rsid w:val="00A65BCE"/>
  </w:style>
  <w:style w:type="paragraph" w:customStyle="1" w:styleId="TableHeading">
    <w:name w:val="TableHeading"/>
    <w:aliases w:val="th"/>
    <w:basedOn w:val="OPCParaBase"/>
    <w:next w:val="Tabletext"/>
    <w:rsid w:val="00A65BCE"/>
    <w:pPr>
      <w:keepNext/>
      <w:spacing w:before="60" w:line="240" w:lineRule="atLeast"/>
    </w:pPr>
    <w:rPr>
      <w:b/>
      <w:sz w:val="20"/>
    </w:rPr>
  </w:style>
  <w:style w:type="paragraph" w:customStyle="1" w:styleId="SOHeadBold">
    <w:name w:val="SO HeadBold"/>
    <w:aliases w:val="sohb"/>
    <w:basedOn w:val="SOText"/>
    <w:next w:val="SOText"/>
    <w:link w:val="SOHeadBoldChar"/>
    <w:qFormat/>
    <w:rsid w:val="00A65BCE"/>
    <w:rPr>
      <w:b/>
    </w:rPr>
  </w:style>
  <w:style w:type="character" w:customStyle="1" w:styleId="SOHeadBoldChar">
    <w:name w:val="SO HeadBold Char"/>
    <w:aliases w:val="sohb Char"/>
    <w:basedOn w:val="DefaultParagraphFont"/>
    <w:link w:val="SOHeadBold"/>
    <w:rsid w:val="00A65BCE"/>
    <w:rPr>
      <w:b/>
      <w:sz w:val="22"/>
    </w:rPr>
  </w:style>
  <w:style w:type="paragraph" w:customStyle="1" w:styleId="SOHeadItalic">
    <w:name w:val="SO HeadItalic"/>
    <w:aliases w:val="sohi"/>
    <w:basedOn w:val="SOText"/>
    <w:next w:val="SOText"/>
    <w:link w:val="SOHeadItalicChar"/>
    <w:qFormat/>
    <w:rsid w:val="00A65BCE"/>
    <w:rPr>
      <w:i/>
    </w:rPr>
  </w:style>
  <w:style w:type="character" w:customStyle="1" w:styleId="SOHeadItalicChar">
    <w:name w:val="SO HeadItalic Char"/>
    <w:aliases w:val="sohi Char"/>
    <w:basedOn w:val="DefaultParagraphFont"/>
    <w:link w:val="SOHeadItalic"/>
    <w:rsid w:val="00A65BCE"/>
    <w:rPr>
      <w:i/>
      <w:sz w:val="22"/>
    </w:rPr>
  </w:style>
  <w:style w:type="paragraph" w:customStyle="1" w:styleId="SOBullet">
    <w:name w:val="SO Bullet"/>
    <w:aliases w:val="sotb"/>
    <w:basedOn w:val="SOText"/>
    <w:link w:val="SOBulletChar"/>
    <w:qFormat/>
    <w:rsid w:val="00A65BCE"/>
    <w:pPr>
      <w:ind w:left="1559" w:hanging="425"/>
    </w:pPr>
  </w:style>
  <w:style w:type="character" w:customStyle="1" w:styleId="SOBulletChar">
    <w:name w:val="SO Bullet Char"/>
    <w:aliases w:val="sotb Char"/>
    <w:basedOn w:val="DefaultParagraphFont"/>
    <w:link w:val="SOBullet"/>
    <w:rsid w:val="00A65BCE"/>
    <w:rPr>
      <w:sz w:val="22"/>
    </w:rPr>
  </w:style>
  <w:style w:type="paragraph" w:customStyle="1" w:styleId="SOBulletNote">
    <w:name w:val="SO BulletNote"/>
    <w:aliases w:val="sonb"/>
    <w:basedOn w:val="SOTextNote"/>
    <w:link w:val="SOBulletNoteChar"/>
    <w:qFormat/>
    <w:rsid w:val="00A65BCE"/>
    <w:pPr>
      <w:tabs>
        <w:tab w:val="left" w:pos="1560"/>
      </w:tabs>
      <w:ind w:left="2268" w:hanging="1134"/>
    </w:pPr>
  </w:style>
  <w:style w:type="character" w:customStyle="1" w:styleId="SOBulletNoteChar">
    <w:name w:val="SO BulletNote Char"/>
    <w:aliases w:val="sonb Char"/>
    <w:basedOn w:val="DefaultParagraphFont"/>
    <w:link w:val="SOBulletNote"/>
    <w:rsid w:val="00A65BCE"/>
    <w:rPr>
      <w:sz w:val="18"/>
    </w:rPr>
  </w:style>
  <w:style w:type="character" w:customStyle="1" w:styleId="paragraphChar">
    <w:name w:val="paragraph Char"/>
    <w:aliases w:val="a Char"/>
    <w:basedOn w:val="DefaultParagraphFont"/>
    <w:link w:val="paragraph"/>
    <w:rsid w:val="00750488"/>
    <w:rPr>
      <w:rFonts w:eastAsia="Times New Roman" w:cs="Times New Roman"/>
      <w:sz w:val="22"/>
      <w:lang w:eastAsia="en-AU"/>
    </w:rPr>
  </w:style>
  <w:style w:type="paragraph" w:customStyle="1" w:styleId="SOText2">
    <w:name w:val="SO Text2"/>
    <w:aliases w:val="sot2"/>
    <w:basedOn w:val="Normal"/>
    <w:next w:val="SOText"/>
    <w:link w:val="SOText2Char"/>
    <w:rsid w:val="00A65BCE"/>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A65BCE"/>
    <w:rPr>
      <w:sz w:val="22"/>
    </w:rPr>
  </w:style>
  <w:style w:type="character" w:customStyle="1" w:styleId="subsectionChar">
    <w:name w:val="subsection Char"/>
    <w:aliases w:val="ss Char"/>
    <w:basedOn w:val="DefaultParagraphFont"/>
    <w:link w:val="subsection"/>
    <w:locked/>
    <w:rsid w:val="004B2819"/>
    <w:rPr>
      <w:rFonts w:eastAsia="Times New Roman" w:cs="Times New Roman"/>
      <w:sz w:val="22"/>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65BCE"/>
    <w:pPr>
      <w:spacing w:line="260" w:lineRule="atLeast"/>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65BCE"/>
  </w:style>
  <w:style w:type="paragraph" w:customStyle="1" w:styleId="OPCParaBase">
    <w:name w:val="OPCParaBase"/>
    <w:qFormat/>
    <w:rsid w:val="00A65BCE"/>
    <w:pPr>
      <w:spacing w:line="260" w:lineRule="atLeast"/>
    </w:pPr>
    <w:rPr>
      <w:rFonts w:eastAsia="Times New Roman" w:cs="Times New Roman"/>
      <w:sz w:val="22"/>
      <w:lang w:eastAsia="en-AU"/>
    </w:rPr>
  </w:style>
  <w:style w:type="paragraph" w:customStyle="1" w:styleId="ShortT">
    <w:name w:val="ShortT"/>
    <w:basedOn w:val="OPCParaBase"/>
    <w:next w:val="Normal"/>
    <w:qFormat/>
    <w:rsid w:val="00A65BCE"/>
    <w:pPr>
      <w:spacing w:line="240" w:lineRule="auto"/>
    </w:pPr>
    <w:rPr>
      <w:b/>
      <w:sz w:val="40"/>
    </w:rPr>
  </w:style>
  <w:style w:type="paragraph" w:customStyle="1" w:styleId="ActHead1">
    <w:name w:val="ActHead 1"/>
    <w:aliases w:val="c"/>
    <w:basedOn w:val="OPCParaBase"/>
    <w:next w:val="Normal"/>
    <w:qFormat/>
    <w:rsid w:val="00A65BCE"/>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A65BCE"/>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A65BCE"/>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A65BCE"/>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A65BCE"/>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A65BCE"/>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A65BCE"/>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A65BCE"/>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A65BCE"/>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65BCE"/>
  </w:style>
  <w:style w:type="paragraph" w:customStyle="1" w:styleId="Blocks">
    <w:name w:val="Blocks"/>
    <w:aliases w:val="bb"/>
    <w:basedOn w:val="OPCParaBase"/>
    <w:qFormat/>
    <w:rsid w:val="00A65BCE"/>
    <w:pPr>
      <w:spacing w:line="240" w:lineRule="auto"/>
    </w:pPr>
    <w:rPr>
      <w:sz w:val="24"/>
    </w:rPr>
  </w:style>
  <w:style w:type="paragraph" w:customStyle="1" w:styleId="BoxText">
    <w:name w:val="BoxText"/>
    <w:aliases w:val="bt"/>
    <w:basedOn w:val="OPCParaBase"/>
    <w:qFormat/>
    <w:rsid w:val="00A65BCE"/>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65BCE"/>
    <w:rPr>
      <w:b/>
    </w:rPr>
  </w:style>
  <w:style w:type="paragraph" w:customStyle="1" w:styleId="BoxHeadItalic">
    <w:name w:val="BoxHeadItalic"/>
    <w:aliases w:val="bhi"/>
    <w:basedOn w:val="BoxText"/>
    <w:next w:val="BoxStep"/>
    <w:qFormat/>
    <w:rsid w:val="00A65BCE"/>
    <w:rPr>
      <w:i/>
    </w:rPr>
  </w:style>
  <w:style w:type="paragraph" w:customStyle="1" w:styleId="BoxList">
    <w:name w:val="BoxList"/>
    <w:aliases w:val="bl"/>
    <w:basedOn w:val="BoxText"/>
    <w:qFormat/>
    <w:rsid w:val="00A65BCE"/>
    <w:pPr>
      <w:ind w:left="1559" w:hanging="425"/>
    </w:pPr>
  </w:style>
  <w:style w:type="paragraph" w:customStyle="1" w:styleId="BoxNote">
    <w:name w:val="BoxNote"/>
    <w:aliases w:val="bn"/>
    <w:basedOn w:val="BoxText"/>
    <w:qFormat/>
    <w:rsid w:val="00A65BCE"/>
    <w:pPr>
      <w:tabs>
        <w:tab w:val="left" w:pos="1985"/>
      </w:tabs>
      <w:spacing w:before="122" w:line="198" w:lineRule="exact"/>
      <w:ind w:left="2948" w:hanging="1814"/>
    </w:pPr>
    <w:rPr>
      <w:sz w:val="18"/>
    </w:rPr>
  </w:style>
  <w:style w:type="paragraph" w:customStyle="1" w:styleId="BoxPara">
    <w:name w:val="BoxPara"/>
    <w:aliases w:val="bp"/>
    <w:basedOn w:val="BoxText"/>
    <w:qFormat/>
    <w:rsid w:val="00A65BCE"/>
    <w:pPr>
      <w:tabs>
        <w:tab w:val="right" w:pos="2268"/>
      </w:tabs>
      <w:ind w:left="2552" w:hanging="1418"/>
    </w:pPr>
  </w:style>
  <w:style w:type="paragraph" w:customStyle="1" w:styleId="BoxStep">
    <w:name w:val="BoxStep"/>
    <w:aliases w:val="bs"/>
    <w:basedOn w:val="BoxText"/>
    <w:qFormat/>
    <w:rsid w:val="00A65BCE"/>
    <w:pPr>
      <w:ind w:left="1985" w:hanging="851"/>
    </w:pPr>
  </w:style>
  <w:style w:type="character" w:customStyle="1" w:styleId="CharAmPartNo">
    <w:name w:val="CharAmPartNo"/>
    <w:basedOn w:val="OPCCharBase"/>
    <w:qFormat/>
    <w:rsid w:val="00A65BCE"/>
  </w:style>
  <w:style w:type="character" w:customStyle="1" w:styleId="CharAmPartText">
    <w:name w:val="CharAmPartText"/>
    <w:basedOn w:val="OPCCharBase"/>
    <w:qFormat/>
    <w:rsid w:val="00A65BCE"/>
  </w:style>
  <w:style w:type="character" w:customStyle="1" w:styleId="CharAmSchNo">
    <w:name w:val="CharAmSchNo"/>
    <w:basedOn w:val="OPCCharBase"/>
    <w:qFormat/>
    <w:rsid w:val="00A65BCE"/>
  </w:style>
  <w:style w:type="character" w:customStyle="1" w:styleId="CharAmSchText">
    <w:name w:val="CharAmSchText"/>
    <w:basedOn w:val="OPCCharBase"/>
    <w:qFormat/>
    <w:rsid w:val="00A65BCE"/>
  </w:style>
  <w:style w:type="character" w:customStyle="1" w:styleId="CharBoldItalic">
    <w:name w:val="CharBoldItalic"/>
    <w:basedOn w:val="OPCCharBase"/>
    <w:uiPriority w:val="1"/>
    <w:qFormat/>
    <w:rsid w:val="00A65BCE"/>
    <w:rPr>
      <w:b/>
      <w:i/>
    </w:rPr>
  </w:style>
  <w:style w:type="character" w:customStyle="1" w:styleId="CharChapNo">
    <w:name w:val="CharChapNo"/>
    <w:basedOn w:val="OPCCharBase"/>
    <w:uiPriority w:val="1"/>
    <w:qFormat/>
    <w:rsid w:val="00A65BCE"/>
  </w:style>
  <w:style w:type="character" w:customStyle="1" w:styleId="CharChapText">
    <w:name w:val="CharChapText"/>
    <w:basedOn w:val="OPCCharBase"/>
    <w:uiPriority w:val="1"/>
    <w:qFormat/>
    <w:rsid w:val="00A65BCE"/>
  </w:style>
  <w:style w:type="character" w:customStyle="1" w:styleId="CharDivNo">
    <w:name w:val="CharDivNo"/>
    <w:basedOn w:val="OPCCharBase"/>
    <w:uiPriority w:val="1"/>
    <w:qFormat/>
    <w:rsid w:val="00A65BCE"/>
  </w:style>
  <w:style w:type="character" w:customStyle="1" w:styleId="CharDivText">
    <w:name w:val="CharDivText"/>
    <w:basedOn w:val="OPCCharBase"/>
    <w:uiPriority w:val="1"/>
    <w:qFormat/>
    <w:rsid w:val="00A65BCE"/>
  </w:style>
  <w:style w:type="character" w:customStyle="1" w:styleId="CharItalic">
    <w:name w:val="CharItalic"/>
    <w:basedOn w:val="OPCCharBase"/>
    <w:uiPriority w:val="1"/>
    <w:qFormat/>
    <w:rsid w:val="00A65BCE"/>
    <w:rPr>
      <w:i/>
    </w:rPr>
  </w:style>
  <w:style w:type="character" w:customStyle="1" w:styleId="CharPartNo">
    <w:name w:val="CharPartNo"/>
    <w:basedOn w:val="OPCCharBase"/>
    <w:uiPriority w:val="1"/>
    <w:qFormat/>
    <w:rsid w:val="00A65BCE"/>
  </w:style>
  <w:style w:type="character" w:customStyle="1" w:styleId="CharPartText">
    <w:name w:val="CharPartText"/>
    <w:basedOn w:val="OPCCharBase"/>
    <w:uiPriority w:val="1"/>
    <w:qFormat/>
    <w:rsid w:val="00A65BCE"/>
  </w:style>
  <w:style w:type="character" w:customStyle="1" w:styleId="CharSectno">
    <w:name w:val="CharSectno"/>
    <w:basedOn w:val="OPCCharBase"/>
    <w:qFormat/>
    <w:rsid w:val="00A65BCE"/>
  </w:style>
  <w:style w:type="character" w:customStyle="1" w:styleId="CharSubdNo">
    <w:name w:val="CharSubdNo"/>
    <w:basedOn w:val="OPCCharBase"/>
    <w:uiPriority w:val="1"/>
    <w:qFormat/>
    <w:rsid w:val="00A65BCE"/>
  </w:style>
  <w:style w:type="character" w:customStyle="1" w:styleId="CharSubdText">
    <w:name w:val="CharSubdText"/>
    <w:basedOn w:val="OPCCharBase"/>
    <w:uiPriority w:val="1"/>
    <w:qFormat/>
    <w:rsid w:val="00A65BCE"/>
  </w:style>
  <w:style w:type="paragraph" w:customStyle="1" w:styleId="CTA--">
    <w:name w:val="CTA --"/>
    <w:basedOn w:val="OPCParaBase"/>
    <w:next w:val="Normal"/>
    <w:rsid w:val="00A65BCE"/>
    <w:pPr>
      <w:spacing w:before="60" w:line="240" w:lineRule="atLeast"/>
      <w:ind w:left="142" w:hanging="142"/>
    </w:pPr>
    <w:rPr>
      <w:sz w:val="20"/>
    </w:rPr>
  </w:style>
  <w:style w:type="paragraph" w:customStyle="1" w:styleId="CTA-">
    <w:name w:val="CTA -"/>
    <w:basedOn w:val="OPCParaBase"/>
    <w:rsid w:val="00A65BCE"/>
    <w:pPr>
      <w:spacing w:before="60" w:line="240" w:lineRule="atLeast"/>
      <w:ind w:left="85" w:hanging="85"/>
    </w:pPr>
    <w:rPr>
      <w:sz w:val="20"/>
    </w:rPr>
  </w:style>
  <w:style w:type="paragraph" w:customStyle="1" w:styleId="CTA---">
    <w:name w:val="CTA ---"/>
    <w:basedOn w:val="OPCParaBase"/>
    <w:next w:val="Normal"/>
    <w:rsid w:val="00A65BCE"/>
    <w:pPr>
      <w:spacing w:before="60" w:line="240" w:lineRule="atLeast"/>
      <w:ind w:left="198" w:hanging="198"/>
    </w:pPr>
    <w:rPr>
      <w:sz w:val="20"/>
    </w:rPr>
  </w:style>
  <w:style w:type="paragraph" w:customStyle="1" w:styleId="CTA----">
    <w:name w:val="CTA ----"/>
    <w:basedOn w:val="OPCParaBase"/>
    <w:next w:val="Normal"/>
    <w:rsid w:val="00A65BCE"/>
    <w:pPr>
      <w:spacing w:before="60" w:line="240" w:lineRule="atLeast"/>
      <w:ind w:left="255" w:hanging="255"/>
    </w:pPr>
    <w:rPr>
      <w:sz w:val="20"/>
    </w:rPr>
  </w:style>
  <w:style w:type="paragraph" w:customStyle="1" w:styleId="CTA1a">
    <w:name w:val="CTA 1(a)"/>
    <w:basedOn w:val="OPCParaBase"/>
    <w:rsid w:val="00A65BCE"/>
    <w:pPr>
      <w:tabs>
        <w:tab w:val="right" w:pos="414"/>
      </w:tabs>
      <w:spacing w:before="40" w:line="240" w:lineRule="atLeast"/>
      <w:ind w:left="675" w:hanging="675"/>
    </w:pPr>
    <w:rPr>
      <w:sz w:val="20"/>
    </w:rPr>
  </w:style>
  <w:style w:type="paragraph" w:customStyle="1" w:styleId="CTA1ai">
    <w:name w:val="CTA 1(a)(i)"/>
    <w:basedOn w:val="OPCParaBase"/>
    <w:rsid w:val="00A65BCE"/>
    <w:pPr>
      <w:tabs>
        <w:tab w:val="right" w:pos="1004"/>
      </w:tabs>
      <w:spacing w:before="40" w:line="240" w:lineRule="atLeast"/>
      <w:ind w:left="1253" w:hanging="1253"/>
    </w:pPr>
    <w:rPr>
      <w:sz w:val="20"/>
    </w:rPr>
  </w:style>
  <w:style w:type="paragraph" w:customStyle="1" w:styleId="CTA2a">
    <w:name w:val="CTA 2(a)"/>
    <w:basedOn w:val="OPCParaBase"/>
    <w:rsid w:val="00A65BCE"/>
    <w:pPr>
      <w:tabs>
        <w:tab w:val="right" w:pos="482"/>
      </w:tabs>
      <w:spacing w:before="40" w:line="240" w:lineRule="atLeast"/>
      <w:ind w:left="748" w:hanging="748"/>
    </w:pPr>
    <w:rPr>
      <w:sz w:val="20"/>
    </w:rPr>
  </w:style>
  <w:style w:type="paragraph" w:customStyle="1" w:styleId="CTA2ai">
    <w:name w:val="CTA 2(a)(i)"/>
    <w:basedOn w:val="OPCParaBase"/>
    <w:rsid w:val="00A65BCE"/>
    <w:pPr>
      <w:tabs>
        <w:tab w:val="right" w:pos="1089"/>
      </w:tabs>
      <w:spacing w:before="40" w:line="240" w:lineRule="atLeast"/>
      <w:ind w:left="1327" w:hanging="1327"/>
    </w:pPr>
    <w:rPr>
      <w:sz w:val="20"/>
    </w:rPr>
  </w:style>
  <w:style w:type="paragraph" w:customStyle="1" w:styleId="CTA3a">
    <w:name w:val="CTA 3(a)"/>
    <w:basedOn w:val="OPCParaBase"/>
    <w:rsid w:val="00A65BCE"/>
    <w:pPr>
      <w:tabs>
        <w:tab w:val="right" w:pos="556"/>
      </w:tabs>
      <w:spacing w:before="40" w:line="240" w:lineRule="atLeast"/>
      <w:ind w:left="805" w:hanging="805"/>
    </w:pPr>
    <w:rPr>
      <w:sz w:val="20"/>
    </w:rPr>
  </w:style>
  <w:style w:type="paragraph" w:customStyle="1" w:styleId="CTA3ai">
    <w:name w:val="CTA 3(a)(i)"/>
    <w:basedOn w:val="OPCParaBase"/>
    <w:rsid w:val="00A65BCE"/>
    <w:pPr>
      <w:tabs>
        <w:tab w:val="right" w:pos="1140"/>
      </w:tabs>
      <w:spacing w:before="40" w:line="240" w:lineRule="atLeast"/>
      <w:ind w:left="1361" w:hanging="1361"/>
    </w:pPr>
    <w:rPr>
      <w:sz w:val="20"/>
    </w:rPr>
  </w:style>
  <w:style w:type="paragraph" w:customStyle="1" w:styleId="CTA4a">
    <w:name w:val="CTA 4(a)"/>
    <w:basedOn w:val="OPCParaBase"/>
    <w:rsid w:val="00A65BCE"/>
    <w:pPr>
      <w:tabs>
        <w:tab w:val="right" w:pos="624"/>
      </w:tabs>
      <w:spacing w:before="40" w:line="240" w:lineRule="atLeast"/>
      <w:ind w:left="873" w:hanging="873"/>
    </w:pPr>
    <w:rPr>
      <w:sz w:val="20"/>
    </w:rPr>
  </w:style>
  <w:style w:type="paragraph" w:customStyle="1" w:styleId="CTA4ai">
    <w:name w:val="CTA 4(a)(i)"/>
    <w:basedOn w:val="OPCParaBase"/>
    <w:rsid w:val="00A65BCE"/>
    <w:pPr>
      <w:tabs>
        <w:tab w:val="right" w:pos="1213"/>
      </w:tabs>
      <w:spacing w:before="40" w:line="240" w:lineRule="atLeast"/>
      <w:ind w:left="1452" w:hanging="1452"/>
    </w:pPr>
    <w:rPr>
      <w:sz w:val="20"/>
    </w:rPr>
  </w:style>
  <w:style w:type="paragraph" w:customStyle="1" w:styleId="CTACAPS">
    <w:name w:val="CTA CAPS"/>
    <w:basedOn w:val="OPCParaBase"/>
    <w:rsid w:val="00A65BCE"/>
    <w:pPr>
      <w:spacing w:before="60" w:line="240" w:lineRule="atLeast"/>
    </w:pPr>
    <w:rPr>
      <w:sz w:val="20"/>
    </w:rPr>
  </w:style>
  <w:style w:type="paragraph" w:customStyle="1" w:styleId="CTAright">
    <w:name w:val="CTA right"/>
    <w:basedOn w:val="OPCParaBase"/>
    <w:rsid w:val="00A65BCE"/>
    <w:pPr>
      <w:spacing w:before="60" w:line="240" w:lineRule="auto"/>
      <w:jc w:val="right"/>
    </w:pPr>
    <w:rPr>
      <w:sz w:val="20"/>
    </w:rPr>
  </w:style>
  <w:style w:type="paragraph" w:customStyle="1" w:styleId="subsection">
    <w:name w:val="subsection"/>
    <w:aliases w:val="ss"/>
    <w:basedOn w:val="OPCParaBase"/>
    <w:link w:val="subsectionChar"/>
    <w:rsid w:val="00A65BCE"/>
    <w:pPr>
      <w:tabs>
        <w:tab w:val="right" w:pos="1021"/>
      </w:tabs>
      <w:spacing w:before="180" w:line="240" w:lineRule="auto"/>
      <w:ind w:left="1134" w:hanging="1134"/>
    </w:pPr>
  </w:style>
  <w:style w:type="paragraph" w:customStyle="1" w:styleId="Definition">
    <w:name w:val="Definition"/>
    <w:aliases w:val="dd"/>
    <w:basedOn w:val="OPCParaBase"/>
    <w:rsid w:val="00A65BCE"/>
    <w:pPr>
      <w:spacing w:before="180" w:line="240" w:lineRule="auto"/>
      <w:ind w:left="1134"/>
    </w:pPr>
  </w:style>
  <w:style w:type="paragraph" w:customStyle="1" w:styleId="ETAsubitem">
    <w:name w:val="ETA(subitem)"/>
    <w:basedOn w:val="OPCParaBase"/>
    <w:rsid w:val="00A65BCE"/>
    <w:pPr>
      <w:tabs>
        <w:tab w:val="right" w:pos="340"/>
      </w:tabs>
      <w:spacing w:before="60" w:line="240" w:lineRule="auto"/>
      <w:ind w:left="454" w:hanging="454"/>
    </w:pPr>
    <w:rPr>
      <w:sz w:val="20"/>
    </w:rPr>
  </w:style>
  <w:style w:type="paragraph" w:customStyle="1" w:styleId="ETApara">
    <w:name w:val="ETA(para)"/>
    <w:basedOn w:val="OPCParaBase"/>
    <w:rsid w:val="00A65BCE"/>
    <w:pPr>
      <w:tabs>
        <w:tab w:val="right" w:pos="754"/>
      </w:tabs>
      <w:spacing w:before="60" w:line="240" w:lineRule="auto"/>
      <w:ind w:left="828" w:hanging="828"/>
    </w:pPr>
    <w:rPr>
      <w:sz w:val="20"/>
    </w:rPr>
  </w:style>
  <w:style w:type="paragraph" w:customStyle="1" w:styleId="ETAsubpara">
    <w:name w:val="ETA(subpara)"/>
    <w:basedOn w:val="OPCParaBase"/>
    <w:rsid w:val="00A65BCE"/>
    <w:pPr>
      <w:tabs>
        <w:tab w:val="right" w:pos="1083"/>
      </w:tabs>
      <w:spacing w:before="60" w:line="240" w:lineRule="auto"/>
      <w:ind w:left="1191" w:hanging="1191"/>
    </w:pPr>
    <w:rPr>
      <w:sz w:val="20"/>
    </w:rPr>
  </w:style>
  <w:style w:type="paragraph" w:customStyle="1" w:styleId="ETAsub-subpara">
    <w:name w:val="ETA(sub-subpara)"/>
    <w:basedOn w:val="OPCParaBase"/>
    <w:rsid w:val="00A65BCE"/>
    <w:pPr>
      <w:tabs>
        <w:tab w:val="right" w:pos="1412"/>
      </w:tabs>
      <w:spacing w:before="60" w:line="240" w:lineRule="auto"/>
      <w:ind w:left="1525" w:hanging="1525"/>
    </w:pPr>
    <w:rPr>
      <w:sz w:val="20"/>
    </w:rPr>
  </w:style>
  <w:style w:type="paragraph" w:customStyle="1" w:styleId="Formula">
    <w:name w:val="Formula"/>
    <w:basedOn w:val="OPCParaBase"/>
    <w:rsid w:val="00A65BCE"/>
    <w:pPr>
      <w:spacing w:line="240" w:lineRule="auto"/>
      <w:ind w:left="1134"/>
    </w:pPr>
    <w:rPr>
      <w:sz w:val="20"/>
    </w:rPr>
  </w:style>
  <w:style w:type="paragraph" w:styleId="Header">
    <w:name w:val="header"/>
    <w:basedOn w:val="OPCParaBase"/>
    <w:link w:val="HeaderChar"/>
    <w:unhideWhenUsed/>
    <w:rsid w:val="00A65BCE"/>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A65BCE"/>
    <w:rPr>
      <w:rFonts w:eastAsia="Times New Roman" w:cs="Times New Roman"/>
      <w:sz w:val="16"/>
      <w:lang w:eastAsia="en-AU"/>
    </w:rPr>
  </w:style>
  <w:style w:type="paragraph" w:customStyle="1" w:styleId="House">
    <w:name w:val="House"/>
    <w:basedOn w:val="OPCParaBase"/>
    <w:rsid w:val="00A65BCE"/>
    <w:pPr>
      <w:spacing w:line="240" w:lineRule="auto"/>
    </w:pPr>
    <w:rPr>
      <w:sz w:val="28"/>
    </w:rPr>
  </w:style>
  <w:style w:type="paragraph" w:customStyle="1" w:styleId="Item">
    <w:name w:val="Item"/>
    <w:aliases w:val="i"/>
    <w:basedOn w:val="OPCParaBase"/>
    <w:next w:val="ItemHead"/>
    <w:rsid w:val="00A65BCE"/>
    <w:pPr>
      <w:keepLines/>
      <w:spacing w:before="80" w:line="240" w:lineRule="auto"/>
      <w:ind w:left="709"/>
    </w:pPr>
  </w:style>
  <w:style w:type="paragraph" w:customStyle="1" w:styleId="ItemHead">
    <w:name w:val="ItemHead"/>
    <w:aliases w:val="ih"/>
    <w:basedOn w:val="OPCParaBase"/>
    <w:next w:val="Item"/>
    <w:rsid w:val="00A65BCE"/>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A65BCE"/>
    <w:pPr>
      <w:spacing w:line="240" w:lineRule="auto"/>
    </w:pPr>
    <w:rPr>
      <w:b/>
      <w:sz w:val="32"/>
    </w:rPr>
  </w:style>
  <w:style w:type="paragraph" w:customStyle="1" w:styleId="notedraft">
    <w:name w:val="note(draft)"/>
    <w:aliases w:val="nd"/>
    <w:basedOn w:val="OPCParaBase"/>
    <w:rsid w:val="00A65BCE"/>
    <w:pPr>
      <w:spacing w:before="240" w:line="240" w:lineRule="auto"/>
      <w:ind w:left="284" w:hanging="284"/>
    </w:pPr>
    <w:rPr>
      <w:i/>
      <w:sz w:val="24"/>
    </w:rPr>
  </w:style>
  <w:style w:type="paragraph" w:customStyle="1" w:styleId="notemargin">
    <w:name w:val="note(margin)"/>
    <w:aliases w:val="nm"/>
    <w:basedOn w:val="OPCParaBase"/>
    <w:rsid w:val="00A65BCE"/>
    <w:pPr>
      <w:tabs>
        <w:tab w:val="left" w:pos="709"/>
      </w:tabs>
      <w:spacing w:before="122" w:line="198" w:lineRule="exact"/>
      <w:ind w:left="709" w:hanging="709"/>
    </w:pPr>
    <w:rPr>
      <w:sz w:val="18"/>
    </w:rPr>
  </w:style>
  <w:style w:type="paragraph" w:customStyle="1" w:styleId="noteToPara">
    <w:name w:val="noteToPara"/>
    <w:aliases w:val="ntp"/>
    <w:basedOn w:val="OPCParaBase"/>
    <w:rsid w:val="00A65BCE"/>
    <w:pPr>
      <w:spacing w:before="122" w:line="198" w:lineRule="exact"/>
      <w:ind w:left="2353" w:hanging="709"/>
    </w:pPr>
    <w:rPr>
      <w:sz w:val="18"/>
    </w:rPr>
  </w:style>
  <w:style w:type="paragraph" w:customStyle="1" w:styleId="noteParlAmend">
    <w:name w:val="note(ParlAmend)"/>
    <w:aliases w:val="npp"/>
    <w:basedOn w:val="OPCParaBase"/>
    <w:next w:val="ParlAmend"/>
    <w:rsid w:val="00A65BCE"/>
    <w:pPr>
      <w:spacing w:line="240" w:lineRule="auto"/>
      <w:jc w:val="right"/>
    </w:pPr>
    <w:rPr>
      <w:rFonts w:ascii="Arial" w:hAnsi="Arial"/>
      <w:b/>
      <w:i/>
    </w:rPr>
  </w:style>
  <w:style w:type="paragraph" w:customStyle="1" w:styleId="Page1">
    <w:name w:val="Page1"/>
    <w:basedOn w:val="OPCParaBase"/>
    <w:rsid w:val="00A65BCE"/>
    <w:pPr>
      <w:spacing w:before="5600" w:line="240" w:lineRule="auto"/>
    </w:pPr>
    <w:rPr>
      <w:b/>
      <w:sz w:val="32"/>
    </w:rPr>
  </w:style>
  <w:style w:type="paragraph" w:customStyle="1" w:styleId="PageBreak">
    <w:name w:val="PageBreak"/>
    <w:aliases w:val="pb"/>
    <w:basedOn w:val="OPCParaBase"/>
    <w:rsid w:val="00A65BCE"/>
    <w:pPr>
      <w:spacing w:line="240" w:lineRule="auto"/>
    </w:pPr>
    <w:rPr>
      <w:sz w:val="20"/>
    </w:rPr>
  </w:style>
  <w:style w:type="paragraph" w:customStyle="1" w:styleId="paragraphsub">
    <w:name w:val="paragraph(sub)"/>
    <w:aliases w:val="aa"/>
    <w:basedOn w:val="OPCParaBase"/>
    <w:rsid w:val="00A65BCE"/>
    <w:pPr>
      <w:tabs>
        <w:tab w:val="right" w:pos="1985"/>
      </w:tabs>
      <w:spacing w:before="40" w:line="240" w:lineRule="auto"/>
      <w:ind w:left="2098" w:hanging="2098"/>
    </w:pPr>
  </w:style>
  <w:style w:type="paragraph" w:customStyle="1" w:styleId="paragraphsub-sub">
    <w:name w:val="paragraph(sub-sub)"/>
    <w:aliases w:val="aaa"/>
    <w:basedOn w:val="OPCParaBase"/>
    <w:rsid w:val="00A65BCE"/>
    <w:pPr>
      <w:tabs>
        <w:tab w:val="right" w:pos="2722"/>
      </w:tabs>
      <w:spacing w:before="40" w:line="240" w:lineRule="auto"/>
      <w:ind w:left="2835" w:hanging="2835"/>
    </w:pPr>
  </w:style>
  <w:style w:type="paragraph" w:customStyle="1" w:styleId="paragraph">
    <w:name w:val="paragraph"/>
    <w:aliases w:val="a"/>
    <w:basedOn w:val="OPCParaBase"/>
    <w:link w:val="paragraphChar"/>
    <w:rsid w:val="00A65BCE"/>
    <w:pPr>
      <w:tabs>
        <w:tab w:val="right" w:pos="1531"/>
      </w:tabs>
      <w:spacing w:before="40" w:line="240" w:lineRule="auto"/>
      <w:ind w:left="1644" w:hanging="1644"/>
    </w:pPr>
  </w:style>
  <w:style w:type="paragraph" w:customStyle="1" w:styleId="ParlAmend">
    <w:name w:val="ParlAmend"/>
    <w:aliases w:val="pp"/>
    <w:basedOn w:val="OPCParaBase"/>
    <w:rsid w:val="00A65BCE"/>
    <w:pPr>
      <w:spacing w:before="240" w:line="240" w:lineRule="atLeast"/>
      <w:ind w:hanging="567"/>
    </w:pPr>
    <w:rPr>
      <w:sz w:val="24"/>
    </w:rPr>
  </w:style>
  <w:style w:type="paragraph" w:customStyle="1" w:styleId="Penalty">
    <w:name w:val="Penalty"/>
    <w:basedOn w:val="OPCParaBase"/>
    <w:rsid w:val="00A65BCE"/>
    <w:pPr>
      <w:tabs>
        <w:tab w:val="left" w:pos="2977"/>
      </w:tabs>
      <w:spacing w:before="180" w:line="240" w:lineRule="auto"/>
      <w:ind w:left="1985" w:hanging="851"/>
    </w:pPr>
  </w:style>
  <w:style w:type="paragraph" w:customStyle="1" w:styleId="Portfolio">
    <w:name w:val="Portfolio"/>
    <w:basedOn w:val="OPCParaBase"/>
    <w:rsid w:val="00A65BCE"/>
    <w:pPr>
      <w:spacing w:line="240" w:lineRule="auto"/>
    </w:pPr>
    <w:rPr>
      <w:i/>
      <w:sz w:val="20"/>
    </w:rPr>
  </w:style>
  <w:style w:type="paragraph" w:customStyle="1" w:styleId="Preamble">
    <w:name w:val="Preamble"/>
    <w:basedOn w:val="OPCParaBase"/>
    <w:next w:val="Normal"/>
    <w:rsid w:val="00A65BCE"/>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A65BCE"/>
    <w:pPr>
      <w:spacing w:line="240" w:lineRule="auto"/>
    </w:pPr>
    <w:rPr>
      <w:i/>
      <w:sz w:val="20"/>
    </w:rPr>
  </w:style>
  <w:style w:type="paragraph" w:customStyle="1" w:styleId="Session">
    <w:name w:val="Session"/>
    <w:basedOn w:val="OPCParaBase"/>
    <w:rsid w:val="00A65BCE"/>
    <w:pPr>
      <w:spacing w:line="240" w:lineRule="auto"/>
    </w:pPr>
    <w:rPr>
      <w:sz w:val="28"/>
    </w:rPr>
  </w:style>
  <w:style w:type="paragraph" w:customStyle="1" w:styleId="Sponsor">
    <w:name w:val="Sponsor"/>
    <w:basedOn w:val="OPCParaBase"/>
    <w:rsid w:val="00A65BCE"/>
    <w:pPr>
      <w:spacing w:line="240" w:lineRule="auto"/>
    </w:pPr>
    <w:rPr>
      <w:i/>
    </w:rPr>
  </w:style>
  <w:style w:type="paragraph" w:customStyle="1" w:styleId="Subitem">
    <w:name w:val="Subitem"/>
    <w:aliases w:val="iss"/>
    <w:basedOn w:val="OPCParaBase"/>
    <w:rsid w:val="00A65BCE"/>
    <w:pPr>
      <w:spacing w:before="180" w:line="240" w:lineRule="auto"/>
      <w:ind w:left="709" w:hanging="709"/>
    </w:pPr>
  </w:style>
  <w:style w:type="paragraph" w:customStyle="1" w:styleId="SubitemHead">
    <w:name w:val="SubitemHead"/>
    <w:aliases w:val="issh"/>
    <w:basedOn w:val="OPCParaBase"/>
    <w:rsid w:val="00A65BCE"/>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A65BCE"/>
    <w:pPr>
      <w:spacing w:before="40" w:line="240" w:lineRule="auto"/>
      <w:ind w:left="1134"/>
    </w:pPr>
  </w:style>
  <w:style w:type="paragraph" w:customStyle="1" w:styleId="SubsectionHead">
    <w:name w:val="SubsectionHead"/>
    <w:aliases w:val="ssh"/>
    <w:basedOn w:val="OPCParaBase"/>
    <w:next w:val="subsection"/>
    <w:rsid w:val="00A65BCE"/>
    <w:pPr>
      <w:keepNext/>
      <w:keepLines/>
      <w:spacing w:before="240" w:line="240" w:lineRule="auto"/>
      <w:ind w:left="1134"/>
    </w:pPr>
    <w:rPr>
      <w:i/>
    </w:rPr>
  </w:style>
  <w:style w:type="paragraph" w:customStyle="1" w:styleId="Tablea">
    <w:name w:val="Table(a)"/>
    <w:aliases w:val="ta"/>
    <w:basedOn w:val="OPCParaBase"/>
    <w:rsid w:val="00A65BCE"/>
    <w:pPr>
      <w:spacing w:before="60" w:line="240" w:lineRule="auto"/>
      <w:ind w:left="284" w:hanging="284"/>
    </w:pPr>
    <w:rPr>
      <w:sz w:val="20"/>
    </w:rPr>
  </w:style>
  <w:style w:type="paragraph" w:customStyle="1" w:styleId="TableAA">
    <w:name w:val="Table(AA)"/>
    <w:aliases w:val="taaa"/>
    <w:basedOn w:val="OPCParaBase"/>
    <w:rsid w:val="00A65BCE"/>
    <w:pPr>
      <w:tabs>
        <w:tab w:val="left" w:pos="-6543"/>
        <w:tab w:val="left" w:pos="-6260"/>
      </w:tabs>
      <w:spacing w:line="240" w:lineRule="exact"/>
      <w:ind w:left="1055" w:hanging="284"/>
    </w:pPr>
    <w:rPr>
      <w:sz w:val="20"/>
    </w:rPr>
  </w:style>
  <w:style w:type="paragraph" w:customStyle="1" w:styleId="Tablei">
    <w:name w:val="Table(i)"/>
    <w:aliases w:val="taa"/>
    <w:basedOn w:val="OPCParaBase"/>
    <w:rsid w:val="00A65BCE"/>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A65BCE"/>
    <w:pPr>
      <w:spacing w:before="60" w:line="240" w:lineRule="atLeast"/>
    </w:pPr>
    <w:rPr>
      <w:sz w:val="20"/>
    </w:rPr>
  </w:style>
  <w:style w:type="paragraph" w:customStyle="1" w:styleId="TLPBoxTextnote">
    <w:name w:val="TLPBoxText(note"/>
    <w:aliases w:val="right)"/>
    <w:basedOn w:val="OPCParaBase"/>
    <w:rsid w:val="00A65BCE"/>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A65BCE"/>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A65BCE"/>
    <w:pPr>
      <w:spacing w:before="122" w:line="198" w:lineRule="exact"/>
      <w:ind w:left="1985" w:hanging="851"/>
      <w:jc w:val="right"/>
    </w:pPr>
    <w:rPr>
      <w:sz w:val="18"/>
    </w:rPr>
  </w:style>
  <w:style w:type="paragraph" w:customStyle="1" w:styleId="TLPTableBullet">
    <w:name w:val="TLPTableBullet"/>
    <w:aliases w:val="ttb"/>
    <w:basedOn w:val="OPCParaBase"/>
    <w:rsid w:val="00A65BCE"/>
    <w:pPr>
      <w:spacing w:line="240" w:lineRule="exact"/>
      <w:ind w:left="284" w:hanging="284"/>
    </w:pPr>
    <w:rPr>
      <w:sz w:val="20"/>
    </w:rPr>
  </w:style>
  <w:style w:type="paragraph" w:styleId="TOC1">
    <w:name w:val="toc 1"/>
    <w:basedOn w:val="OPCParaBase"/>
    <w:next w:val="Normal"/>
    <w:uiPriority w:val="39"/>
    <w:semiHidden/>
    <w:unhideWhenUsed/>
    <w:rsid w:val="00A65BCE"/>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A65BCE"/>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A65BCE"/>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A65BCE"/>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A65BCE"/>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A65BCE"/>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A65BCE"/>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A65BCE"/>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A65BCE"/>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A65BCE"/>
    <w:pPr>
      <w:keepLines/>
      <w:spacing w:before="240" w:after="120" w:line="240" w:lineRule="auto"/>
      <w:ind w:left="794"/>
    </w:pPr>
    <w:rPr>
      <w:b/>
      <w:kern w:val="28"/>
      <w:sz w:val="20"/>
    </w:rPr>
  </w:style>
  <w:style w:type="paragraph" w:customStyle="1" w:styleId="TofSectsHeading">
    <w:name w:val="TofSects(Heading)"/>
    <w:basedOn w:val="OPCParaBase"/>
    <w:rsid w:val="00A65BCE"/>
    <w:pPr>
      <w:spacing w:before="240" w:after="120" w:line="240" w:lineRule="auto"/>
    </w:pPr>
    <w:rPr>
      <w:b/>
      <w:sz w:val="24"/>
    </w:rPr>
  </w:style>
  <w:style w:type="paragraph" w:customStyle="1" w:styleId="TofSectsSection">
    <w:name w:val="TofSects(Section)"/>
    <w:basedOn w:val="OPCParaBase"/>
    <w:rsid w:val="00A65BCE"/>
    <w:pPr>
      <w:keepLines/>
      <w:spacing w:before="40" w:line="240" w:lineRule="auto"/>
      <w:ind w:left="1588" w:hanging="794"/>
    </w:pPr>
    <w:rPr>
      <w:kern w:val="28"/>
      <w:sz w:val="18"/>
    </w:rPr>
  </w:style>
  <w:style w:type="paragraph" w:customStyle="1" w:styleId="TofSectsSubdiv">
    <w:name w:val="TofSects(Subdiv)"/>
    <w:basedOn w:val="OPCParaBase"/>
    <w:rsid w:val="00A65BCE"/>
    <w:pPr>
      <w:keepLines/>
      <w:spacing w:before="80" w:line="240" w:lineRule="auto"/>
      <w:ind w:left="1588" w:hanging="794"/>
    </w:pPr>
    <w:rPr>
      <w:kern w:val="28"/>
    </w:rPr>
  </w:style>
  <w:style w:type="paragraph" w:customStyle="1" w:styleId="WRStyle">
    <w:name w:val="WR Style"/>
    <w:aliases w:val="WR"/>
    <w:basedOn w:val="OPCParaBase"/>
    <w:rsid w:val="00A65BCE"/>
    <w:pPr>
      <w:spacing w:before="240" w:line="240" w:lineRule="auto"/>
      <w:ind w:left="284" w:hanging="284"/>
    </w:pPr>
    <w:rPr>
      <w:b/>
      <w:i/>
      <w:kern w:val="28"/>
      <w:sz w:val="24"/>
    </w:rPr>
  </w:style>
  <w:style w:type="paragraph" w:customStyle="1" w:styleId="notepara">
    <w:name w:val="note(para)"/>
    <w:aliases w:val="na"/>
    <w:basedOn w:val="OPCParaBase"/>
    <w:rsid w:val="00A65BCE"/>
    <w:pPr>
      <w:spacing w:before="40" w:line="198" w:lineRule="exact"/>
      <w:ind w:left="2354" w:hanging="369"/>
    </w:pPr>
    <w:rPr>
      <w:sz w:val="18"/>
    </w:rPr>
  </w:style>
  <w:style w:type="paragraph" w:styleId="Footer">
    <w:name w:val="footer"/>
    <w:link w:val="FooterChar"/>
    <w:rsid w:val="00A65BCE"/>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A65BCE"/>
    <w:rPr>
      <w:rFonts w:eastAsia="Times New Roman" w:cs="Times New Roman"/>
      <w:sz w:val="22"/>
      <w:szCs w:val="24"/>
      <w:lang w:eastAsia="en-AU"/>
    </w:rPr>
  </w:style>
  <w:style w:type="character" w:styleId="LineNumber">
    <w:name w:val="line number"/>
    <w:basedOn w:val="OPCCharBase"/>
    <w:uiPriority w:val="99"/>
    <w:semiHidden/>
    <w:unhideWhenUsed/>
    <w:rsid w:val="00A65BCE"/>
    <w:rPr>
      <w:sz w:val="16"/>
    </w:rPr>
  </w:style>
  <w:style w:type="table" w:customStyle="1" w:styleId="CFlag">
    <w:name w:val="CFlag"/>
    <w:basedOn w:val="TableNormal"/>
    <w:uiPriority w:val="99"/>
    <w:rsid w:val="00A65BCE"/>
    <w:rPr>
      <w:rFonts w:eastAsia="Times New Roman" w:cs="Times New Roman"/>
      <w:lang w:eastAsia="en-AU"/>
    </w:rPr>
    <w:tblPr>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65BC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5BCE"/>
    <w:rPr>
      <w:rFonts w:ascii="Tahoma" w:hAnsi="Tahoma" w:cs="Tahoma"/>
      <w:sz w:val="16"/>
      <w:szCs w:val="16"/>
    </w:rPr>
  </w:style>
  <w:style w:type="character" w:styleId="Hyperlink">
    <w:name w:val="Hyperlink"/>
    <w:basedOn w:val="DefaultParagraphFont"/>
    <w:rsid w:val="00A65BCE"/>
    <w:rPr>
      <w:color w:val="0000FF"/>
      <w:u w:val="single"/>
    </w:rPr>
  </w:style>
  <w:style w:type="table" w:styleId="TableGrid">
    <w:name w:val="Table Grid"/>
    <w:basedOn w:val="TableNormal"/>
    <w:uiPriority w:val="59"/>
    <w:rsid w:val="00A65B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stNo">
    <w:name w:val="InstNo"/>
    <w:basedOn w:val="OPCParaBase"/>
    <w:next w:val="Normal"/>
    <w:rsid w:val="00A65BCE"/>
    <w:rPr>
      <w:b/>
      <w:sz w:val="28"/>
      <w:szCs w:val="32"/>
    </w:rPr>
  </w:style>
  <w:style w:type="paragraph" w:customStyle="1" w:styleId="TerritoryT">
    <w:name w:val="TerritoryT"/>
    <w:basedOn w:val="OPCParaBase"/>
    <w:next w:val="Normal"/>
    <w:rsid w:val="00A65BCE"/>
    <w:rPr>
      <w:b/>
      <w:sz w:val="32"/>
    </w:rPr>
  </w:style>
  <w:style w:type="paragraph" w:customStyle="1" w:styleId="LegislationMadeUnder">
    <w:name w:val="LegislationMadeUnder"/>
    <w:basedOn w:val="OPCParaBase"/>
    <w:next w:val="Normal"/>
    <w:rsid w:val="00A65BCE"/>
    <w:rPr>
      <w:i/>
      <w:sz w:val="32"/>
      <w:szCs w:val="32"/>
    </w:rPr>
  </w:style>
  <w:style w:type="paragraph" w:customStyle="1" w:styleId="SignCoverPageEnd">
    <w:name w:val="SignCoverPageEnd"/>
    <w:basedOn w:val="OPCParaBase"/>
    <w:next w:val="Normal"/>
    <w:rsid w:val="00A65BCE"/>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A65BCE"/>
    <w:pPr>
      <w:pBdr>
        <w:top w:val="single" w:sz="4" w:space="1" w:color="auto"/>
      </w:pBdr>
      <w:spacing w:before="360"/>
      <w:ind w:right="397"/>
      <w:jc w:val="both"/>
    </w:pPr>
  </w:style>
  <w:style w:type="paragraph" w:customStyle="1" w:styleId="NotesHeading1">
    <w:name w:val="NotesHeading 1"/>
    <w:basedOn w:val="OPCParaBase"/>
    <w:next w:val="Normal"/>
    <w:rsid w:val="00A65BCE"/>
    <w:rPr>
      <w:b/>
      <w:sz w:val="28"/>
      <w:szCs w:val="28"/>
    </w:rPr>
  </w:style>
  <w:style w:type="paragraph" w:customStyle="1" w:styleId="NotesHeading2">
    <w:name w:val="NotesHeading 2"/>
    <w:basedOn w:val="OPCParaBase"/>
    <w:next w:val="Normal"/>
    <w:rsid w:val="00A65BCE"/>
    <w:rPr>
      <w:b/>
      <w:sz w:val="28"/>
      <w:szCs w:val="28"/>
    </w:rPr>
  </w:style>
  <w:style w:type="paragraph" w:customStyle="1" w:styleId="ENotesText">
    <w:name w:val="ENotesText"/>
    <w:basedOn w:val="OPCParaBase"/>
    <w:next w:val="Normal"/>
    <w:rsid w:val="00A65BCE"/>
  </w:style>
  <w:style w:type="paragraph" w:customStyle="1" w:styleId="CompiledActNo">
    <w:name w:val="CompiledActNo"/>
    <w:basedOn w:val="OPCParaBase"/>
    <w:next w:val="Normal"/>
    <w:rsid w:val="00A65BCE"/>
    <w:rPr>
      <w:b/>
      <w:sz w:val="24"/>
      <w:szCs w:val="24"/>
    </w:rPr>
  </w:style>
  <w:style w:type="paragraph" w:customStyle="1" w:styleId="CompiledMadeUnder">
    <w:name w:val="CompiledMadeUnder"/>
    <w:basedOn w:val="OPCParaBase"/>
    <w:next w:val="Normal"/>
    <w:rsid w:val="00A65BCE"/>
    <w:rPr>
      <w:i/>
      <w:sz w:val="24"/>
      <w:szCs w:val="24"/>
    </w:rPr>
  </w:style>
  <w:style w:type="paragraph" w:customStyle="1" w:styleId="Paragraphsub-sub-sub">
    <w:name w:val="Paragraph(sub-sub-sub)"/>
    <w:aliases w:val="aaaa"/>
    <w:basedOn w:val="OPCParaBase"/>
    <w:rsid w:val="00A65BCE"/>
    <w:pPr>
      <w:tabs>
        <w:tab w:val="right" w:pos="3402"/>
      </w:tabs>
      <w:spacing w:before="40" w:line="240" w:lineRule="auto"/>
      <w:ind w:left="3402" w:hanging="3402"/>
    </w:pPr>
  </w:style>
  <w:style w:type="paragraph" w:customStyle="1" w:styleId="NoteToSubpara">
    <w:name w:val="NoteToSubpara"/>
    <w:aliases w:val="nts"/>
    <w:basedOn w:val="OPCParaBase"/>
    <w:rsid w:val="00A65BCE"/>
    <w:pPr>
      <w:spacing w:before="40" w:line="198" w:lineRule="exact"/>
      <w:ind w:left="2835" w:hanging="709"/>
    </w:pPr>
    <w:rPr>
      <w:sz w:val="18"/>
    </w:rPr>
  </w:style>
  <w:style w:type="paragraph" w:customStyle="1" w:styleId="EndNotespara">
    <w:name w:val="EndNotes(para)"/>
    <w:aliases w:val="eta"/>
    <w:basedOn w:val="OPCParaBase"/>
    <w:next w:val="Normal"/>
    <w:rsid w:val="00A65BCE"/>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A65BCE"/>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Normal"/>
    <w:rsid w:val="00A65BCE"/>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A65BCE"/>
    <w:pPr>
      <w:tabs>
        <w:tab w:val="right" w:pos="1412"/>
      </w:tabs>
      <w:spacing w:before="60" w:line="240" w:lineRule="auto"/>
      <w:ind w:left="1525" w:hanging="1525"/>
    </w:pPr>
    <w:rPr>
      <w:sz w:val="20"/>
    </w:rPr>
  </w:style>
  <w:style w:type="paragraph" w:customStyle="1" w:styleId="ENoteTableHeading">
    <w:name w:val="ENoteTableHeading"/>
    <w:aliases w:val="enth"/>
    <w:basedOn w:val="OPCParaBase"/>
    <w:rsid w:val="00A65BCE"/>
    <w:pPr>
      <w:keepNext/>
      <w:spacing w:before="60" w:line="240" w:lineRule="atLeast"/>
    </w:pPr>
    <w:rPr>
      <w:rFonts w:ascii="Arial" w:hAnsi="Arial"/>
      <w:b/>
      <w:sz w:val="16"/>
    </w:rPr>
  </w:style>
  <w:style w:type="paragraph" w:customStyle="1" w:styleId="ENoteTTi">
    <w:name w:val="ENoteTTi"/>
    <w:aliases w:val="entti"/>
    <w:basedOn w:val="OPCParaBase"/>
    <w:rsid w:val="00A65BCE"/>
    <w:pPr>
      <w:keepNext/>
      <w:spacing w:before="60" w:line="240" w:lineRule="atLeast"/>
      <w:ind w:left="170"/>
    </w:pPr>
    <w:rPr>
      <w:sz w:val="16"/>
    </w:rPr>
  </w:style>
  <w:style w:type="paragraph" w:customStyle="1" w:styleId="ENotesHeading1">
    <w:name w:val="ENotesHeading 1"/>
    <w:aliases w:val="Enh1"/>
    <w:basedOn w:val="OPCParaBase"/>
    <w:next w:val="Normal"/>
    <w:rsid w:val="00A65BCE"/>
    <w:pPr>
      <w:spacing w:before="120"/>
      <w:outlineLvl w:val="1"/>
    </w:pPr>
    <w:rPr>
      <w:b/>
      <w:sz w:val="28"/>
      <w:szCs w:val="28"/>
    </w:rPr>
  </w:style>
  <w:style w:type="paragraph" w:customStyle="1" w:styleId="ENotesHeading2">
    <w:name w:val="ENotesHeading 2"/>
    <w:aliases w:val="Enh2"/>
    <w:basedOn w:val="OPCParaBase"/>
    <w:next w:val="Normal"/>
    <w:rsid w:val="00A65BCE"/>
    <w:pPr>
      <w:spacing w:before="120" w:after="120"/>
      <w:outlineLvl w:val="2"/>
    </w:pPr>
    <w:rPr>
      <w:b/>
      <w:sz w:val="24"/>
      <w:szCs w:val="28"/>
    </w:rPr>
  </w:style>
  <w:style w:type="paragraph" w:customStyle="1" w:styleId="ENoteTTIndentHeading">
    <w:name w:val="ENoteTTIndentHeading"/>
    <w:aliases w:val="enTTHi"/>
    <w:basedOn w:val="OPCParaBase"/>
    <w:rsid w:val="00A65BCE"/>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A65BCE"/>
    <w:pPr>
      <w:spacing w:before="60" w:line="240" w:lineRule="atLeast"/>
    </w:pPr>
    <w:rPr>
      <w:sz w:val="16"/>
    </w:rPr>
  </w:style>
  <w:style w:type="paragraph" w:customStyle="1" w:styleId="MadeunderText">
    <w:name w:val="MadeunderText"/>
    <w:basedOn w:val="OPCParaBase"/>
    <w:next w:val="CompiledMadeUnder"/>
    <w:rsid w:val="00A65BCE"/>
    <w:pPr>
      <w:spacing w:before="240"/>
    </w:pPr>
    <w:rPr>
      <w:sz w:val="24"/>
      <w:szCs w:val="24"/>
    </w:rPr>
  </w:style>
  <w:style w:type="paragraph" w:customStyle="1" w:styleId="ENotesHeading3">
    <w:name w:val="ENotesHeading 3"/>
    <w:aliases w:val="Enh3"/>
    <w:basedOn w:val="OPCParaBase"/>
    <w:next w:val="Normal"/>
    <w:rsid w:val="00A65BCE"/>
    <w:pPr>
      <w:keepNext/>
      <w:spacing w:before="120" w:line="240" w:lineRule="auto"/>
      <w:outlineLvl w:val="4"/>
    </w:pPr>
    <w:rPr>
      <w:b/>
      <w:szCs w:val="24"/>
    </w:rPr>
  </w:style>
  <w:style w:type="paragraph" w:customStyle="1" w:styleId="SubPartCASA">
    <w:name w:val="SubPart(CASA)"/>
    <w:aliases w:val="csp"/>
    <w:basedOn w:val="OPCParaBase"/>
    <w:next w:val="ActHead3"/>
    <w:rsid w:val="00A65BCE"/>
    <w:pPr>
      <w:keepNext/>
      <w:keepLines/>
      <w:spacing w:before="280"/>
      <w:outlineLvl w:val="1"/>
    </w:pPr>
    <w:rPr>
      <w:b/>
      <w:kern w:val="28"/>
      <w:sz w:val="32"/>
    </w:rPr>
  </w:style>
  <w:style w:type="character" w:customStyle="1" w:styleId="CharSubPartTextCASA">
    <w:name w:val="CharSubPartText(CASA)"/>
    <w:basedOn w:val="OPCCharBase"/>
    <w:uiPriority w:val="1"/>
    <w:rsid w:val="00A65BCE"/>
  </w:style>
  <w:style w:type="character" w:customStyle="1" w:styleId="CharSubPartNoCASA">
    <w:name w:val="CharSubPartNo(CASA)"/>
    <w:basedOn w:val="OPCCharBase"/>
    <w:uiPriority w:val="1"/>
    <w:rsid w:val="00A65BCE"/>
  </w:style>
  <w:style w:type="paragraph" w:customStyle="1" w:styleId="ENoteTTIndentHeadingSub">
    <w:name w:val="ENoteTTIndentHeadingSub"/>
    <w:aliases w:val="enTTHis"/>
    <w:basedOn w:val="OPCParaBase"/>
    <w:rsid w:val="00A65BCE"/>
    <w:pPr>
      <w:keepNext/>
      <w:spacing w:before="60" w:line="240" w:lineRule="atLeast"/>
      <w:ind w:left="340"/>
    </w:pPr>
    <w:rPr>
      <w:b/>
      <w:sz w:val="16"/>
    </w:rPr>
  </w:style>
  <w:style w:type="paragraph" w:customStyle="1" w:styleId="ENoteTTiSub">
    <w:name w:val="ENoteTTiSub"/>
    <w:aliases w:val="enttis"/>
    <w:basedOn w:val="OPCParaBase"/>
    <w:rsid w:val="00A65BCE"/>
    <w:pPr>
      <w:keepNext/>
      <w:spacing w:before="60" w:line="240" w:lineRule="atLeast"/>
      <w:ind w:left="340"/>
    </w:pPr>
    <w:rPr>
      <w:sz w:val="16"/>
    </w:rPr>
  </w:style>
  <w:style w:type="paragraph" w:customStyle="1" w:styleId="SubDivisionMigration">
    <w:name w:val="SubDivisionMigration"/>
    <w:aliases w:val="sdm"/>
    <w:basedOn w:val="OPCParaBase"/>
    <w:rsid w:val="00A65BCE"/>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A65BCE"/>
    <w:pPr>
      <w:keepNext/>
      <w:keepLines/>
      <w:spacing w:before="240" w:line="240" w:lineRule="auto"/>
      <w:ind w:left="1134" w:hanging="1134"/>
    </w:pPr>
    <w:rPr>
      <w:b/>
      <w:sz w:val="28"/>
    </w:rPr>
  </w:style>
  <w:style w:type="paragraph" w:customStyle="1" w:styleId="notetext">
    <w:name w:val="note(text)"/>
    <w:aliases w:val="n"/>
    <w:basedOn w:val="OPCParaBase"/>
    <w:rsid w:val="00A65BCE"/>
    <w:pPr>
      <w:spacing w:before="122" w:line="240" w:lineRule="auto"/>
      <w:ind w:left="1985" w:hanging="851"/>
    </w:pPr>
    <w:rPr>
      <w:sz w:val="18"/>
    </w:rPr>
  </w:style>
  <w:style w:type="paragraph" w:customStyle="1" w:styleId="FreeForm">
    <w:name w:val="FreeForm"/>
    <w:rsid w:val="00FB192C"/>
    <w:rPr>
      <w:rFonts w:ascii="Arial" w:hAnsi="Arial"/>
      <w:sz w:val="22"/>
    </w:rPr>
  </w:style>
  <w:style w:type="paragraph" w:customStyle="1" w:styleId="SOText">
    <w:name w:val="SO Text"/>
    <w:aliases w:val="sot"/>
    <w:link w:val="SOTextChar"/>
    <w:rsid w:val="00A65BCE"/>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A65BCE"/>
    <w:rPr>
      <w:sz w:val="22"/>
    </w:rPr>
  </w:style>
  <w:style w:type="paragraph" w:customStyle="1" w:styleId="SOTextNote">
    <w:name w:val="SO TextNote"/>
    <w:aliases w:val="sont"/>
    <w:basedOn w:val="SOText"/>
    <w:qFormat/>
    <w:rsid w:val="00A65BCE"/>
    <w:pPr>
      <w:spacing w:before="122" w:line="198" w:lineRule="exact"/>
      <w:ind w:left="1843" w:hanging="709"/>
    </w:pPr>
    <w:rPr>
      <w:sz w:val="18"/>
    </w:rPr>
  </w:style>
  <w:style w:type="paragraph" w:customStyle="1" w:styleId="SOPara">
    <w:name w:val="SO Para"/>
    <w:aliases w:val="soa"/>
    <w:basedOn w:val="SOText"/>
    <w:link w:val="SOParaChar"/>
    <w:qFormat/>
    <w:rsid w:val="00A65BCE"/>
    <w:pPr>
      <w:tabs>
        <w:tab w:val="right" w:pos="1786"/>
      </w:tabs>
      <w:spacing w:before="40"/>
      <w:ind w:left="2070" w:hanging="936"/>
    </w:pPr>
  </w:style>
  <w:style w:type="character" w:customStyle="1" w:styleId="SOParaChar">
    <w:name w:val="SO Para Char"/>
    <w:aliases w:val="soa Char"/>
    <w:basedOn w:val="DefaultParagraphFont"/>
    <w:link w:val="SOPara"/>
    <w:rsid w:val="00A65BCE"/>
    <w:rPr>
      <w:sz w:val="22"/>
    </w:rPr>
  </w:style>
  <w:style w:type="paragraph" w:customStyle="1" w:styleId="FileName">
    <w:name w:val="FileName"/>
    <w:basedOn w:val="Normal"/>
    <w:rsid w:val="00A65BCE"/>
  </w:style>
  <w:style w:type="paragraph" w:customStyle="1" w:styleId="TableHeading">
    <w:name w:val="TableHeading"/>
    <w:aliases w:val="th"/>
    <w:basedOn w:val="OPCParaBase"/>
    <w:next w:val="Tabletext"/>
    <w:rsid w:val="00A65BCE"/>
    <w:pPr>
      <w:keepNext/>
      <w:spacing w:before="60" w:line="240" w:lineRule="atLeast"/>
    </w:pPr>
    <w:rPr>
      <w:b/>
      <w:sz w:val="20"/>
    </w:rPr>
  </w:style>
  <w:style w:type="paragraph" w:customStyle="1" w:styleId="SOHeadBold">
    <w:name w:val="SO HeadBold"/>
    <w:aliases w:val="sohb"/>
    <w:basedOn w:val="SOText"/>
    <w:next w:val="SOText"/>
    <w:link w:val="SOHeadBoldChar"/>
    <w:qFormat/>
    <w:rsid w:val="00A65BCE"/>
    <w:rPr>
      <w:b/>
    </w:rPr>
  </w:style>
  <w:style w:type="character" w:customStyle="1" w:styleId="SOHeadBoldChar">
    <w:name w:val="SO HeadBold Char"/>
    <w:aliases w:val="sohb Char"/>
    <w:basedOn w:val="DefaultParagraphFont"/>
    <w:link w:val="SOHeadBold"/>
    <w:rsid w:val="00A65BCE"/>
    <w:rPr>
      <w:b/>
      <w:sz w:val="22"/>
    </w:rPr>
  </w:style>
  <w:style w:type="paragraph" w:customStyle="1" w:styleId="SOHeadItalic">
    <w:name w:val="SO HeadItalic"/>
    <w:aliases w:val="sohi"/>
    <w:basedOn w:val="SOText"/>
    <w:next w:val="SOText"/>
    <w:link w:val="SOHeadItalicChar"/>
    <w:qFormat/>
    <w:rsid w:val="00A65BCE"/>
    <w:rPr>
      <w:i/>
    </w:rPr>
  </w:style>
  <w:style w:type="character" w:customStyle="1" w:styleId="SOHeadItalicChar">
    <w:name w:val="SO HeadItalic Char"/>
    <w:aliases w:val="sohi Char"/>
    <w:basedOn w:val="DefaultParagraphFont"/>
    <w:link w:val="SOHeadItalic"/>
    <w:rsid w:val="00A65BCE"/>
    <w:rPr>
      <w:i/>
      <w:sz w:val="22"/>
    </w:rPr>
  </w:style>
  <w:style w:type="paragraph" w:customStyle="1" w:styleId="SOBullet">
    <w:name w:val="SO Bullet"/>
    <w:aliases w:val="sotb"/>
    <w:basedOn w:val="SOText"/>
    <w:link w:val="SOBulletChar"/>
    <w:qFormat/>
    <w:rsid w:val="00A65BCE"/>
    <w:pPr>
      <w:ind w:left="1559" w:hanging="425"/>
    </w:pPr>
  </w:style>
  <w:style w:type="character" w:customStyle="1" w:styleId="SOBulletChar">
    <w:name w:val="SO Bullet Char"/>
    <w:aliases w:val="sotb Char"/>
    <w:basedOn w:val="DefaultParagraphFont"/>
    <w:link w:val="SOBullet"/>
    <w:rsid w:val="00A65BCE"/>
    <w:rPr>
      <w:sz w:val="22"/>
    </w:rPr>
  </w:style>
  <w:style w:type="paragraph" w:customStyle="1" w:styleId="SOBulletNote">
    <w:name w:val="SO BulletNote"/>
    <w:aliases w:val="sonb"/>
    <w:basedOn w:val="SOTextNote"/>
    <w:link w:val="SOBulletNoteChar"/>
    <w:qFormat/>
    <w:rsid w:val="00A65BCE"/>
    <w:pPr>
      <w:tabs>
        <w:tab w:val="left" w:pos="1560"/>
      </w:tabs>
      <w:ind w:left="2268" w:hanging="1134"/>
    </w:pPr>
  </w:style>
  <w:style w:type="character" w:customStyle="1" w:styleId="SOBulletNoteChar">
    <w:name w:val="SO BulletNote Char"/>
    <w:aliases w:val="sonb Char"/>
    <w:basedOn w:val="DefaultParagraphFont"/>
    <w:link w:val="SOBulletNote"/>
    <w:rsid w:val="00A65BCE"/>
    <w:rPr>
      <w:sz w:val="18"/>
    </w:rPr>
  </w:style>
  <w:style w:type="character" w:customStyle="1" w:styleId="paragraphChar">
    <w:name w:val="paragraph Char"/>
    <w:aliases w:val="a Char"/>
    <w:basedOn w:val="DefaultParagraphFont"/>
    <w:link w:val="paragraph"/>
    <w:rsid w:val="00750488"/>
    <w:rPr>
      <w:rFonts w:eastAsia="Times New Roman" w:cs="Times New Roman"/>
      <w:sz w:val="22"/>
      <w:lang w:eastAsia="en-AU"/>
    </w:rPr>
  </w:style>
  <w:style w:type="paragraph" w:customStyle="1" w:styleId="SOText2">
    <w:name w:val="SO Text2"/>
    <w:aliases w:val="sot2"/>
    <w:basedOn w:val="Normal"/>
    <w:next w:val="SOText"/>
    <w:link w:val="SOText2Char"/>
    <w:rsid w:val="00A65BCE"/>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A65BCE"/>
    <w:rPr>
      <w:sz w:val="22"/>
    </w:rPr>
  </w:style>
  <w:style w:type="character" w:customStyle="1" w:styleId="subsectionChar">
    <w:name w:val="subsection Char"/>
    <w:aliases w:val="ss Char"/>
    <w:basedOn w:val="DefaultParagraphFont"/>
    <w:link w:val="subsection"/>
    <w:locked/>
    <w:rsid w:val="004B2819"/>
    <w:rPr>
      <w:rFonts w:eastAsia="Times New Roman" w:cs="Times New Roman"/>
      <w:sz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9769341">
      <w:bodyDiv w:val="1"/>
      <w:marLeft w:val="0"/>
      <w:marRight w:val="0"/>
      <w:marTop w:val="0"/>
      <w:marBottom w:val="0"/>
      <w:divBdr>
        <w:top w:val="none" w:sz="0" w:space="0" w:color="auto"/>
        <w:left w:val="none" w:sz="0" w:space="0" w:color="auto"/>
        <w:bottom w:val="none" w:sz="0" w:space="0" w:color="auto"/>
        <w:right w:val="none" w:sz="0" w:space="0" w:color="auto"/>
      </w:divBdr>
    </w:div>
    <w:div w:id="502085708">
      <w:bodyDiv w:val="1"/>
      <w:marLeft w:val="0"/>
      <w:marRight w:val="0"/>
      <w:marTop w:val="0"/>
      <w:marBottom w:val="0"/>
      <w:divBdr>
        <w:top w:val="none" w:sz="0" w:space="0" w:color="auto"/>
        <w:left w:val="none" w:sz="0" w:space="0" w:color="auto"/>
        <w:bottom w:val="none" w:sz="0" w:space="0" w:color="auto"/>
        <w:right w:val="none" w:sz="0" w:space="0" w:color="auto"/>
      </w:divBdr>
    </w:div>
    <w:div w:id="598756983">
      <w:bodyDiv w:val="1"/>
      <w:marLeft w:val="0"/>
      <w:marRight w:val="0"/>
      <w:marTop w:val="0"/>
      <w:marBottom w:val="0"/>
      <w:divBdr>
        <w:top w:val="none" w:sz="0" w:space="0" w:color="auto"/>
        <w:left w:val="none" w:sz="0" w:space="0" w:color="auto"/>
        <w:bottom w:val="none" w:sz="0" w:space="0" w:color="auto"/>
        <w:right w:val="none" w:sz="0" w:space="0" w:color="auto"/>
      </w:divBdr>
    </w:div>
    <w:div w:id="904414879">
      <w:bodyDiv w:val="1"/>
      <w:marLeft w:val="0"/>
      <w:marRight w:val="0"/>
      <w:marTop w:val="0"/>
      <w:marBottom w:val="0"/>
      <w:divBdr>
        <w:top w:val="none" w:sz="0" w:space="0" w:color="auto"/>
        <w:left w:val="none" w:sz="0" w:space="0" w:color="auto"/>
        <w:bottom w:val="none" w:sz="0" w:space="0" w:color="auto"/>
        <w:right w:val="none" w:sz="0" w:space="0" w:color="auto"/>
      </w:divBdr>
    </w:div>
    <w:div w:id="1129124088">
      <w:bodyDiv w:val="1"/>
      <w:marLeft w:val="0"/>
      <w:marRight w:val="0"/>
      <w:marTop w:val="0"/>
      <w:marBottom w:val="0"/>
      <w:divBdr>
        <w:top w:val="none" w:sz="0" w:space="0" w:color="auto"/>
        <w:left w:val="none" w:sz="0" w:space="0" w:color="auto"/>
        <w:bottom w:val="none" w:sz="0" w:space="0" w:color="auto"/>
        <w:right w:val="none" w:sz="0" w:space="0" w:color="auto"/>
      </w:divBdr>
    </w:div>
    <w:div w:id="1173571629">
      <w:bodyDiv w:val="1"/>
      <w:marLeft w:val="0"/>
      <w:marRight w:val="0"/>
      <w:marTop w:val="0"/>
      <w:marBottom w:val="0"/>
      <w:divBdr>
        <w:top w:val="none" w:sz="0" w:space="0" w:color="auto"/>
        <w:left w:val="none" w:sz="0" w:space="0" w:color="auto"/>
        <w:bottom w:val="none" w:sz="0" w:space="0" w:color="auto"/>
        <w:right w:val="none" w:sz="0" w:space="0" w:color="auto"/>
      </w:divBdr>
    </w:div>
    <w:div w:id="1206140268">
      <w:bodyDiv w:val="1"/>
      <w:marLeft w:val="0"/>
      <w:marRight w:val="0"/>
      <w:marTop w:val="0"/>
      <w:marBottom w:val="0"/>
      <w:divBdr>
        <w:top w:val="none" w:sz="0" w:space="0" w:color="auto"/>
        <w:left w:val="none" w:sz="0" w:space="0" w:color="auto"/>
        <w:bottom w:val="none" w:sz="0" w:space="0" w:color="auto"/>
        <w:right w:val="none" w:sz="0" w:space="0" w:color="auto"/>
      </w:divBdr>
    </w:div>
    <w:div w:id="1284312962">
      <w:bodyDiv w:val="1"/>
      <w:marLeft w:val="0"/>
      <w:marRight w:val="0"/>
      <w:marTop w:val="0"/>
      <w:marBottom w:val="0"/>
      <w:divBdr>
        <w:top w:val="none" w:sz="0" w:space="0" w:color="auto"/>
        <w:left w:val="none" w:sz="0" w:space="0" w:color="auto"/>
        <w:bottom w:val="none" w:sz="0" w:space="0" w:color="auto"/>
        <w:right w:val="none" w:sz="0" w:space="0" w:color="auto"/>
      </w:divBdr>
    </w:div>
    <w:div w:id="1909996825">
      <w:bodyDiv w:val="1"/>
      <w:marLeft w:val="0"/>
      <w:marRight w:val="0"/>
      <w:marTop w:val="0"/>
      <w:marBottom w:val="0"/>
      <w:divBdr>
        <w:top w:val="none" w:sz="0" w:space="0" w:color="auto"/>
        <w:left w:val="none" w:sz="0" w:space="0" w:color="auto"/>
        <w:bottom w:val="none" w:sz="0" w:space="0" w:color="auto"/>
        <w:right w:val="none" w:sz="0" w:space="0" w:color="auto"/>
      </w:divBdr>
    </w:div>
    <w:div w:id="1949966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SLIS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11CA5E-3925-49A3-BAA8-4FCBB53C2A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SLIS_AMD.DOTX</Template>
  <TotalTime>0</TotalTime>
  <Pages>19</Pages>
  <Words>3498</Words>
  <Characters>17689</Characters>
  <Application>Microsoft Office Word</Application>
  <DocSecurity>0</DocSecurity>
  <PresentationFormat/>
  <Lines>493</Lines>
  <Paragraphs>279</Paragraphs>
  <ScaleCrop>false</ScaleCrop>
  <HeadingPairs>
    <vt:vector size="2" baseType="variant">
      <vt:variant>
        <vt:lpstr>Title</vt:lpstr>
      </vt:variant>
      <vt:variant>
        <vt:i4>1</vt:i4>
      </vt:variant>
    </vt:vector>
  </HeadingPairs>
  <TitlesOfParts>
    <vt:vector size="1" baseType="lpstr">
      <vt:lpstr>Corporations Amendment (Streamlining Future of Financial Advice) Regulation 2014</vt:lpstr>
    </vt:vector>
  </TitlesOfParts>
  <Manager/>
  <Company/>
  <LinksUpToDate>false</LinksUpToDate>
  <CharactersWithSpaces>21097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2014-05-05T04:35:00Z</cp:lastPrinted>
  <dcterms:created xsi:type="dcterms:W3CDTF">2014-06-19T05:13:00Z</dcterms:created>
  <dcterms:modified xsi:type="dcterms:W3CDTF">2014-06-19T05:13:00Z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No. 102, 2014</vt:lpwstr>
  </property>
  <property fmtid="{D5CDD505-2E9C-101B-9397-08002B2CF9AE}" pid="3" name="ShortT">
    <vt:lpwstr>Corporations Amendment (Streamlining Future of Financial Advice) Regulation 2014</vt:lpwstr>
  </property>
  <property fmtid="{D5CDD505-2E9C-101B-9397-08002B2CF9AE}" pid="4" name="Class">
    <vt:lpwstr>Regulation</vt:lpwstr>
  </property>
  <property fmtid="{D5CDD505-2E9C-101B-9397-08002B2CF9AE}" pid="5" name="Type">
    <vt:lpwstr>SLI</vt:lpwstr>
  </property>
  <property fmtid="{D5CDD505-2E9C-101B-9397-08002B2CF9AE}" pid="6" name="DocType">
    <vt:lpwstr>AMD</vt:lpwstr>
  </property>
  <property fmtid="{D5CDD505-2E9C-101B-9397-08002B2CF9AE}" pid="7" name="Header">
    <vt:lpwstr>Section</vt:lpwstr>
  </property>
  <property fmtid="{D5CDD505-2E9C-101B-9397-08002B2CF9AE}" pid="8" name="Exco">
    <vt:lpwstr>Yes</vt:lpwstr>
  </property>
  <property fmtid="{D5CDD505-2E9C-101B-9397-08002B2CF9AE}" pid="9" name="DateMade">
    <vt:lpwstr>26 June 2014</vt:lpwstr>
  </property>
  <property fmtid="{D5CDD505-2E9C-101B-9397-08002B2CF9AE}" pid="10" name="Authority">
    <vt:lpwstr>Governor-General of the Commonwealth of Australia</vt:lpwstr>
  </property>
  <property fmtid="{D5CDD505-2E9C-101B-9397-08002B2CF9AE}" pid="11" name="ID">
    <vt:lpwstr>OPC60381</vt:lpwstr>
  </property>
  <property fmtid="{D5CDD505-2E9C-101B-9397-08002B2CF9AE}" pid="12" name="Classification">
    <vt:lpwstr> </vt:lpwstr>
  </property>
  <property fmtid="{D5CDD505-2E9C-101B-9397-08002B2CF9AE}" pid="13" name="DLM">
    <vt:lpwstr> </vt:lpwstr>
  </property>
  <property fmtid="{D5CDD505-2E9C-101B-9397-08002B2CF9AE}" pid="14" name="ActMadeUnder">
    <vt:lpwstr>Corporations Act 2001</vt:lpwstr>
  </property>
  <property fmtid="{D5CDD505-2E9C-101B-9397-08002B2CF9AE}" pid="15" name="NonLegInst">
    <vt:lpwstr>0</vt:lpwstr>
  </property>
  <property fmtid="{D5CDD505-2E9C-101B-9397-08002B2CF9AE}" pid="16" name="DoNotAsk">
    <vt:lpwstr>0</vt:lpwstr>
  </property>
  <property fmtid="{D5CDD505-2E9C-101B-9397-08002B2CF9AE}" pid="17" name="ChangedTitle">
    <vt:lpwstr/>
  </property>
  <property fmtid="{D5CDD505-2E9C-101B-9397-08002B2CF9AE}" pid="18" name="Number">
    <vt:lpwstr>F</vt:lpwstr>
  </property>
  <property fmtid="{D5CDD505-2E9C-101B-9397-08002B2CF9AE}" pid="19" name="CounterSign">
    <vt:lpwstr>Minister for Finance</vt:lpwstr>
  </property>
  <property fmtid="{D5CDD505-2E9C-101B-9397-08002B2CF9AE}" pid="20" name="ExcoDate">
    <vt:lpwstr>26 June 2014</vt:lpwstr>
  </property>
</Properties>
</file>