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3F5239" w:rsidRDefault="00D03A1F" w:rsidP="00FA25AC">
      <w:pPr>
        <w:spacing w:before="240"/>
        <w:rPr>
          <w:b/>
          <w:sz w:val="40"/>
          <w:szCs w:val="40"/>
        </w:rPr>
      </w:pPr>
      <w:r>
        <w:rPr>
          <w:b/>
          <w:sz w:val="40"/>
          <w:szCs w:val="40"/>
        </w:rPr>
        <w:t xml:space="preserve">Statement of </w:t>
      </w:r>
      <w:r w:rsidRPr="003F5239">
        <w:rPr>
          <w:b/>
          <w:sz w:val="40"/>
          <w:szCs w:val="40"/>
        </w:rPr>
        <w:t xml:space="preserve">Principles concerning </w:t>
      </w:r>
      <w:r w:rsidR="0023048D" w:rsidRPr="003F5239">
        <w:rPr>
          <w:b/>
          <w:sz w:val="40"/>
          <w:szCs w:val="40"/>
        </w:rPr>
        <w:t>malignant neoplasm of the stomach</w:t>
      </w:r>
      <w:r w:rsidRPr="003F5239">
        <w:rPr>
          <w:b/>
          <w:sz w:val="40"/>
          <w:szCs w:val="40"/>
        </w:rPr>
        <w:t xml:space="preserve"> No. </w:t>
      </w:r>
      <w:r w:rsidR="0023048D" w:rsidRPr="003F5239">
        <w:rPr>
          <w:b/>
          <w:sz w:val="40"/>
          <w:szCs w:val="40"/>
        </w:rPr>
        <w:t>59</w:t>
      </w:r>
      <w:r w:rsidRPr="003F5239">
        <w:rPr>
          <w:b/>
          <w:sz w:val="40"/>
          <w:szCs w:val="40"/>
        </w:rPr>
        <w:t xml:space="preserve"> of </w:t>
      </w:r>
      <w:r w:rsidR="0023048D" w:rsidRPr="003F5239">
        <w:rPr>
          <w:b/>
          <w:sz w:val="40"/>
          <w:szCs w:val="40"/>
        </w:rPr>
        <w:t>2014</w:t>
      </w:r>
    </w:p>
    <w:p w:rsidR="00307068" w:rsidRPr="003F5239" w:rsidRDefault="00307068" w:rsidP="00307068">
      <w:pPr>
        <w:pStyle w:val="MadeunderText"/>
      </w:pPr>
      <w:r w:rsidRPr="003F5239">
        <w:t xml:space="preserve">made under </w:t>
      </w:r>
      <w:r w:rsidR="00D03A1F" w:rsidRPr="003F5239">
        <w:t>subsection 196B(</w:t>
      </w:r>
      <w:r w:rsidR="00A87E76" w:rsidRPr="003F5239">
        <w:t>3</w:t>
      </w:r>
      <w:r w:rsidR="00D03A1F" w:rsidRPr="003F5239">
        <w:t>)</w:t>
      </w:r>
      <w:r w:rsidRPr="003F5239">
        <w:t xml:space="preserve"> of the</w:t>
      </w:r>
    </w:p>
    <w:p w:rsidR="00D03A1F" w:rsidRPr="003F5239" w:rsidRDefault="00D03A1F" w:rsidP="00D03A1F">
      <w:pPr>
        <w:pStyle w:val="CompiledMadeUnder"/>
        <w:spacing w:before="240"/>
      </w:pPr>
      <w:r w:rsidRPr="003F5239">
        <w:t>Veterans' Entitlements Act 1986</w:t>
      </w:r>
    </w:p>
    <w:p w:rsidR="00D03A1F" w:rsidRPr="003F5239" w:rsidRDefault="00D03A1F" w:rsidP="00D03A1F">
      <w:pPr>
        <w:spacing w:before="1000"/>
        <w:rPr>
          <w:rFonts w:cs="Arial"/>
          <w:sz w:val="24"/>
          <w:szCs w:val="24"/>
        </w:rPr>
      </w:pPr>
      <w:r w:rsidRPr="003F5239">
        <w:rPr>
          <w:rFonts w:cs="Arial"/>
          <w:b/>
          <w:sz w:val="32"/>
          <w:szCs w:val="32"/>
        </w:rPr>
        <w:t xml:space="preserve">Compilation No. </w:t>
      </w:r>
      <w:r w:rsidR="0023048D" w:rsidRPr="003F5239">
        <w:rPr>
          <w:rFonts w:cs="Arial"/>
          <w:b/>
          <w:sz w:val="32"/>
          <w:szCs w:val="32"/>
        </w:rPr>
        <w:t>1</w:t>
      </w:r>
      <w:r w:rsidRPr="003F5239">
        <w:rPr>
          <w:rFonts w:cs="Arial"/>
          <w:b/>
          <w:sz w:val="32"/>
          <w:szCs w:val="32"/>
        </w:rPr>
        <w:tab/>
      </w:r>
      <w:r w:rsidRPr="003F5239">
        <w:rPr>
          <w:rFonts w:cs="Arial"/>
          <w:b/>
          <w:sz w:val="32"/>
          <w:szCs w:val="32"/>
        </w:rPr>
        <w:tab/>
      </w:r>
    </w:p>
    <w:p w:rsidR="00D03A1F" w:rsidRPr="003F5239" w:rsidRDefault="00D03A1F" w:rsidP="00D03A1F">
      <w:pPr>
        <w:spacing w:before="480"/>
        <w:rPr>
          <w:rFonts w:cs="Arial"/>
          <w:sz w:val="24"/>
        </w:rPr>
      </w:pPr>
      <w:r w:rsidRPr="003F5239">
        <w:rPr>
          <w:rFonts w:cs="Arial"/>
          <w:b/>
          <w:sz w:val="24"/>
        </w:rPr>
        <w:t>Compilation date:</w:t>
      </w:r>
      <w:r w:rsidRPr="003F5239">
        <w:rPr>
          <w:rFonts w:cs="Arial"/>
          <w:b/>
          <w:sz w:val="24"/>
        </w:rPr>
        <w:tab/>
      </w:r>
      <w:r w:rsidRPr="003F5239">
        <w:rPr>
          <w:rFonts w:cs="Arial"/>
          <w:b/>
          <w:sz w:val="24"/>
        </w:rPr>
        <w:tab/>
      </w:r>
      <w:r w:rsidRPr="003F5239">
        <w:rPr>
          <w:rFonts w:cs="Arial"/>
          <w:b/>
          <w:sz w:val="24"/>
        </w:rPr>
        <w:tab/>
      </w:r>
      <w:r w:rsidR="003F5239" w:rsidRPr="003F5239">
        <w:rPr>
          <w:rFonts w:cs="Arial"/>
          <w:sz w:val="24"/>
        </w:rPr>
        <w:t>18 September 2017</w:t>
      </w:r>
    </w:p>
    <w:p w:rsidR="003F5239" w:rsidRPr="00330877" w:rsidRDefault="00D03A1F" w:rsidP="003F5239">
      <w:pPr>
        <w:pStyle w:val="Plainheader"/>
        <w:ind w:left="3544" w:hanging="3544"/>
        <w:rPr>
          <w:rFonts w:eastAsiaTheme="minorHAnsi"/>
          <w:color w:val="auto"/>
        </w:rPr>
      </w:pPr>
      <w:r w:rsidRPr="00642BE4">
        <w:rPr>
          <w:b/>
        </w:rPr>
        <w:t>Includes amendments up to:</w:t>
      </w:r>
      <w:r w:rsidRPr="00642BE4">
        <w:rPr>
          <w:b/>
        </w:rPr>
        <w:tab/>
      </w:r>
      <w:r w:rsidR="003F5239" w:rsidRPr="00330877">
        <w:t>Veterans</w:t>
      </w:r>
      <w:r w:rsidR="003F5239" w:rsidRPr="00330877">
        <w:rPr>
          <w:rFonts w:eastAsiaTheme="minorHAnsi"/>
          <w:color w:val="auto"/>
        </w:rPr>
        <w:t>'</w:t>
      </w:r>
      <w:r w:rsidR="003F5239" w:rsidRPr="00330877">
        <w:t xml:space="preserve"> Entitlements (Statements of Principles</w:t>
      </w:r>
      <w:r w:rsidR="003F5239" w:rsidRPr="00330877">
        <w:rPr>
          <w:rFonts w:eastAsiaTheme="minorHAnsi"/>
          <w:color w:val="auto"/>
        </w:rPr>
        <w:t>—Cumulative</w:t>
      </w:r>
      <w:r w:rsidR="003F5239" w:rsidRPr="00330877">
        <w:t xml:space="preserve"> Equivalent Dose) Amendment Determination 2017 (No. 58 of 2017) (</w:t>
      </w:r>
      <w:r w:rsidR="00186AFD">
        <w:t>F2017L01067</w:t>
      </w:r>
      <w:r w:rsidR="003F5239" w:rsidRPr="00330877">
        <w:t>)</w:t>
      </w:r>
    </w:p>
    <w:p w:rsidR="003F5239" w:rsidRPr="00AC0597" w:rsidRDefault="003F5239" w:rsidP="003F5239">
      <w:pPr>
        <w:spacing w:before="240"/>
        <w:rPr>
          <w:rFonts w:cs="Arial"/>
          <w:sz w:val="24"/>
        </w:rPr>
      </w:pPr>
      <w:r w:rsidRPr="00CB3022">
        <w:rPr>
          <w:rFonts w:cs="Times New Roman"/>
          <w:sz w:val="24"/>
        </w:rPr>
        <w:t>The day of commencement of this Amendment Determination is 18 September 2017</w:t>
      </w:r>
      <w:r w:rsidRPr="00AC0597">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3F5239">
        <w:rPr>
          <w:rFonts w:cs="Arial"/>
          <w:i/>
          <w:szCs w:val="22"/>
        </w:rPr>
        <w:t xml:space="preserve">Statement of Principles concerning </w:t>
      </w:r>
      <w:r w:rsidR="0023048D" w:rsidRPr="003F5239">
        <w:rPr>
          <w:rFonts w:cs="Arial"/>
          <w:i/>
          <w:szCs w:val="22"/>
        </w:rPr>
        <w:t>malignant neoplasm of the stomach</w:t>
      </w:r>
      <w:r w:rsidR="00872162" w:rsidRPr="003F5239">
        <w:rPr>
          <w:rFonts w:cs="Arial"/>
          <w:i/>
          <w:szCs w:val="22"/>
        </w:rPr>
        <w:t xml:space="preserve"> No. </w:t>
      </w:r>
      <w:r w:rsidR="0023048D" w:rsidRPr="003F5239">
        <w:rPr>
          <w:rFonts w:cs="Arial"/>
          <w:i/>
          <w:szCs w:val="22"/>
        </w:rPr>
        <w:t>59</w:t>
      </w:r>
      <w:r w:rsidR="00872162" w:rsidRPr="003F5239">
        <w:rPr>
          <w:rFonts w:cs="Arial"/>
          <w:i/>
          <w:szCs w:val="22"/>
        </w:rPr>
        <w:t xml:space="preserve"> of </w:t>
      </w:r>
      <w:r w:rsidR="0023048D" w:rsidRPr="003F5239">
        <w:rPr>
          <w:rFonts w:cs="Arial"/>
          <w:i/>
          <w:szCs w:val="22"/>
        </w:rPr>
        <w:t>2014</w:t>
      </w:r>
      <w:r w:rsidRPr="003F5239">
        <w:rPr>
          <w:rFonts w:cs="Arial"/>
          <w:szCs w:val="22"/>
        </w:rPr>
        <w:t xml:space="preserve"> that shows the text of the law as amended and in force on</w:t>
      </w:r>
      <w:r w:rsidR="003F5239" w:rsidRPr="003F5239">
        <w:rPr>
          <w:rFonts w:cs="Arial"/>
          <w:szCs w:val="22"/>
        </w:rPr>
        <w:t xml:space="preserve"> 18</w:t>
      </w:r>
      <w:r w:rsidR="00A55172">
        <w:rPr>
          <w:rFonts w:cs="Arial"/>
          <w:szCs w:val="22"/>
        </w:rPr>
        <w:t> </w:t>
      </w:r>
      <w:r w:rsidR="003F5239" w:rsidRPr="003F5239">
        <w:rPr>
          <w:rFonts w:cs="Arial"/>
          <w:szCs w:val="22"/>
        </w:rPr>
        <w:t>September 2017.</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352AF0" w:rsidRPr="00352AF0" w:rsidRDefault="00352AF0" w:rsidP="00352AF0">
      <w:pPr>
        <w:spacing w:before="240" w:after="240" w:line="240" w:lineRule="atLeast"/>
        <w:ind w:left="-284" w:firstLine="284"/>
        <w:jc w:val="center"/>
        <w:outlineLvl w:val="0"/>
        <w:rPr>
          <w:rFonts w:ascii="Arial" w:eastAsia="Times New Roman" w:hAnsi="Arial" w:cs="Times New Roman"/>
          <w:b/>
          <w:sz w:val="28"/>
          <w:lang w:val="en-GB" w:eastAsia="en-AU"/>
        </w:rPr>
      </w:pPr>
      <w:r w:rsidRPr="00352AF0">
        <w:rPr>
          <w:rFonts w:ascii="Arial (W1)" w:eastAsia="Times New Roman" w:hAnsi="Arial (W1)" w:cs="Times New Roman"/>
          <w:b/>
          <w:noProof/>
          <w:sz w:val="28"/>
          <w:lang w:eastAsia="en-AU"/>
        </w:rPr>
        <w:lastRenderedPageBreak/>
        <w:drawing>
          <wp:inline distT="0" distB="0" distL="0" distR="0">
            <wp:extent cx="1750060" cy="930275"/>
            <wp:effectExtent l="0" t="0" r="2540" b="3175"/>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0060" cy="930275"/>
                    </a:xfrm>
                    <a:prstGeom prst="rect">
                      <a:avLst/>
                    </a:prstGeom>
                    <a:noFill/>
                    <a:ln>
                      <a:noFill/>
                    </a:ln>
                  </pic:spPr>
                </pic:pic>
              </a:graphicData>
            </a:graphic>
          </wp:inline>
        </w:drawing>
      </w:r>
    </w:p>
    <w:p w:rsidR="00352AF0" w:rsidRPr="00352AF0" w:rsidRDefault="00352AF0" w:rsidP="00352AF0">
      <w:pPr>
        <w:spacing w:before="240" w:after="240" w:line="240" w:lineRule="atLeast"/>
        <w:jc w:val="center"/>
        <w:rPr>
          <w:rFonts w:ascii="Arial" w:eastAsia="Times New Roman" w:hAnsi="Arial" w:cs="Times New Roman"/>
          <w:sz w:val="36"/>
          <w:lang w:val="en-GB" w:eastAsia="en-AU"/>
        </w:rPr>
      </w:pPr>
    </w:p>
    <w:p w:rsidR="00352AF0" w:rsidRPr="00352AF0" w:rsidRDefault="00352AF0" w:rsidP="00352AF0">
      <w:pPr>
        <w:spacing w:line="240" w:lineRule="atLeast"/>
        <w:jc w:val="center"/>
        <w:outlineLvl w:val="0"/>
        <w:rPr>
          <w:rFonts w:ascii="Arial" w:eastAsia="Times New Roman" w:hAnsi="Arial" w:cs="Times New Roman"/>
          <w:sz w:val="40"/>
          <w:lang w:val="en-GB" w:eastAsia="en-AU"/>
        </w:rPr>
      </w:pPr>
      <w:r w:rsidRPr="00352AF0">
        <w:rPr>
          <w:rFonts w:ascii="Arial" w:eastAsia="Times New Roman" w:hAnsi="Arial" w:cs="Times New Roman"/>
          <w:sz w:val="40"/>
          <w:lang w:val="en-GB" w:eastAsia="en-AU"/>
        </w:rPr>
        <w:t>Statement of Principles</w:t>
      </w:r>
    </w:p>
    <w:p w:rsidR="00352AF0" w:rsidRPr="00352AF0" w:rsidRDefault="00352AF0" w:rsidP="00352AF0">
      <w:pPr>
        <w:spacing w:line="240" w:lineRule="atLeast"/>
        <w:jc w:val="center"/>
        <w:outlineLvl w:val="0"/>
        <w:rPr>
          <w:rFonts w:ascii="Arial" w:eastAsia="Times New Roman" w:hAnsi="Arial" w:cs="Times New Roman"/>
          <w:sz w:val="28"/>
          <w:lang w:val="en-GB" w:eastAsia="en-AU"/>
        </w:rPr>
      </w:pPr>
      <w:r w:rsidRPr="00352AF0">
        <w:rPr>
          <w:rFonts w:ascii="Arial" w:eastAsia="Times New Roman" w:hAnsi="Arial" w:cs="Times New Roman"/>
          <w:sz w:val="28"/>
          <w:lang w:val="en-GB" w:eastAsia="en-AU"/>
        </w:rPr>
        <w:t>concerning</w:t>
      </w:r>
    </w:p>
    <w:p w:rsidR="00352AF0" w:rsidRPr="00352AF0" w:rsidRDefault="00352AF0" w:rsidP="00352AF0">
      <w:pPr>
        <w:spacing w:line="240" w:lineRule="atLeast"/>
        <w:jc w:val="center"/>
        <w:rPr>
          <w:rFonts w:ascii="Arial" w:eastAsia="Times New Roman" w:hAnsi="Arial" w:cs="Times New Roman"/>
          <w:sz w:val="28"/>
          <w:lang w:val="en-GB" w:eastAsia="en-AU"/>
        </w:rPr>
      </w:pPr>
    </w:p>
    <w:p w:rsidR="00352AF0" w:rsidRPr="00352AF0" w:rsidRDefault="00352AF0" w:rsidP="00352AF0">
      <w:pPr>
        <w:spacing w:line="240" w:lineRule="atLeast"/>
        <w:jc w:val="center"/>
        <w:outlineLvl w:val="0"/>
        <w:rPr>
          <w:rFonts w:ascii="Arial" w:eastAsia="Times New Roman" w:hAnsi="Arial" w:cs="Times New Roman"/>
          <w:b/>
          <w:sz w:val="40"/>
          <w:lang w:val="en-GB" w:eastAsia="en-AU"/>
        </w:rPr>
      </w:pPr>
      <w:r w:rsidRPr="00352AF0">
        <w:rPr>
          <w:rFonts w:ascii="Arial" w:eastAsia="Times New Roman" w:hAnsi="Arial" w:cs="Times New Roman"/>
          <w:b/>
          <w:sz w:val="40"/>
          <w:lang w:val="en-GB" w:eastAsia="en-AU"/>
        </w:rPr>
        <w:t>MALIGNANT NEOPLASM OF THE STOMACH</w:t>
      </w:r>
    </w:p>
    <w:p w:rsidR="00352AF0" w:rsidRPr="00352AF0" w:rsidRDefault="00352AF0" w:rsidP="00352AF0">
      <w:pPr>
        <w:spacing w:before="240" w:line="240" w:lineRule="atLeast"/>
        <w:jc w:val="center"/>
        <w:outlineLvl w:val="0"/>
        <w:rPr>
          <w:rFonts w:ascii="Arial" w:eastAsia="Times New Roman" w:hAnsi="Arial" w:cs="Times New Roman"/>
          <w:b/>
          <w:sz w:val="40"/>
          <w:lang w:val="en-GB" w:eastAsia="en-AU"/>
        </w:rPr>
      </w:pPr>
      <w:r w:rsidRPr="00352AF0">
        <w:rPr>
          <w:rFonts w:ascii="Arial" w:eastAsia="Times New Roman" w:hAnsi="Arial" w:cs="Times New Roman"/>
          <w:b/>
          <w:sz w:val="40"/>
          <w:lang w:val="en-GB" w:eastAsia="en-AU"/>
        </w:rPr>
        <w:t>No. 59 of 2014</w:t>
      </w:r>
    </w:p>
    <w:p w:rsidR="00352AF0" w:rsidRPr="00352AF0" w:rsidRDefault="00352AF0" w:rsidP="00352AF0">
      <w:pPr>
        <w:spacing w:line="240" w:lineRule="atLeast"/>
        <w:jc w:val="center"/>
        <w:rPr>
          <w:rFonts w:ascii="Arial" w:eastAsia="Times New Roman" w:hAnsi="Arial" w:cs="Times New Roman"/>
          <w:b/>
          <w:sz w:val="24"/>
          <w:lang w:val="en-GB" w:eastAsia="en-AU"/>
        </w:rPr>
      </w:pPr>
    </w:p>
    <w:p w:rsidR="00352AF0" w:rsidRPr="00352AF0" w:rsidRDefault="00352AF0" w:rsidP="00352AF0">
      <w:pPr>
        <w:spacing w:line="240" w:lineRule="atLeast"/>
        <w:jc w:val="center"/>
        <w:rPr>
          <w:rFonts w:ascii="Arial" w:eastAsia="Times New Roman" w:hAnsi="Arial" w:cs="Times New Roman"/>
          <w:sz w:val="28"/>
          <w:lang w:val="en-GB" w:eastAsia="en-AU"/>
        </w:rPr>
      </w:pPr>
      <w:r w:rsidRPr="00352AF0">
        <w:rPr>
          <w:rFonts w:ascii="Arial" w:eastAsia="Times New Roman" w:hAnsi="Arial" w:cs="Times New Roman"/>
          <w:sz w:val="28"/>
          <w:lang w:val="en-GB" w:eastAsia="en-AU"/>
        </w:rPr>
        <w:t>for the purposes of the</w:t>
      </w:r>
    </w:p>
    <w:p w:rsidR="00352AF0" w:rsidRPr="00352AF0" w:rsidRDefault="00352AF0" w:rsidP="00352AF0">
      <w:pPr>
        <w:spacing w:line="240" w:lineRule="atLeast"/>
        <w:jc w:val="center"/>
        <w:rPr>
          <w:rFonts w:ascii="Arial" w:eastAsia="Times New Roman" w:hAnsi="Arial" w:cs="Times New Roman"/>
          <w:b/>
          <w:sz w:val="24"/>
          <w:lang w:val="en-GB" w:eastAsia="en-AU"/>
        </w:rPr>
      </w:pPr>
    </w:p>
    <w:p w:rsidR="00352AF0" w:rsidRPr="00352AF0" w:rsidRDefault="00352AF0" w:rsidP="00352AF0">
      <w:pPr>
        <w:spacing w:line="240" w:lineRule="atLeast"/>
        <w:jc w:val="center"/>
        <w:outlineLvl w:val="0"/>
        <w:rPr>
          <w:rFonts w:ascii="Arial" w:eastAsia="Times New Roman" w:hAnsi="Arial" w:cs="Times New Roman"/>
          <w:i/>
          <w:sz w:val="32"/>
          <w:lang w:val="en-GB" w:eastAsia="en-AU"/>
        </w:rPr>
      </w:pPr>
      <w:r w:rsidRPr="00352AF0">
        <w:rPr>
          <w:rFonts w:ascii="Arial" w:eastAsia="Times New Roman" w:hAnsi="Arial" w:cs="Times New Roman"/>
          <w:i/>
          <w:sz w:val="32"/>
          <w:lang w:val="en-GB" w:eastAsia="en-AU"/>
        </w:rPr>
        <w:t>Veterans’ Entitlements Act 1986</w:t>
      </w:r>
    </w:p>
    <w:p w:rsidR="00352AF0" w:rsidRPr="00352AF0" w:rsidRDefault="00352AF0" w:rsidP="00352AF0">
      <w:pPr>
        <w:spacing w:line="240" w:lineRule="atLeast"/>
        <w:jc w:val="center"/>
        <w:rPr>
          <w:rFonts w:ascii="Arial" w:eastAsia="Times New Roman" w:hAnsi="Arial" w:cs="Times New Roman"/>
          <w:sz w:val="28"/>
          <w:lang w:val="en-GB" w:eastAsia="en-AU"/>
        </w:rPr>
      </w:pPr>
      <w:r w:rsidRPr="00352AF0">
        <w:rPr>
          <w:rFonts w:ascii="Arial" w:eastAsia="Times New Roman" w:hAnsi="Arial" w:cs="Times New Roman"/>
          <w:sz w:val="28"/>
          <w:lang w:val="en-GB" w:eastAsia="en-AU"/>
        </w:rPr>
        <w:t>and</w:t>
      </w:r>
    </w:p>
    <w:p w:rsidR="00352AF0" w:rsidRPr="00352AF0" w:rsidRDefault="00352AF0" w:rsidP="00352AF0">
      <w:pPr>
        <w:spacing w:line="240" w:lineRule="atLeast"/>
        <w:jc w:val="center"/>
        <w:rPr>
          <w:rFonts w:ascii="Arial" w:eastAsia="Times New Roman" w:hAnsi="Arial" w:cs="Times New Roman"/>
          <w:sz w:val="32"/>
          <w:lang w:val="en-GB" w:eastAsia="en-AU"/>
        </w:rPr>
      </w:pPr>
      <w:r w:rsidRPr="00352AF0">
        <w:rPr>
          <w:rFonts w:ascii="Arial" w:eastAsia="Times New Roman" w:hAnsi="Arial" w:cs="Times New Roman"/>
          <w:i/>
          <w:sz w:val="32"/>
          <w:lang w:val="en-GB" w:eastAsia="en-AU"/>
        </w:rPr>
        <w:t>Military Rehabilitation and Compensation Act 2004</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Title</w:t>
      </w:r>
    </w:p>
    <w:p w:rsidR="00352AF0" w:rsidRPr="00352AF0" w:rsidRDefault="00352AF0" w:rsidP="00352AF0">
      <w:pPr>
        <w:spacing w:line="240" w:lineRule="atLeast"/>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1.</w:t>
      </w:r>
      <w:r w:rsidRPr="00352AF0">
        <w:rPr>
          <w:rFonts w:eastAsia="Times New Roman" w:cs="Times New Roman"/>
          <w:sz w:val="24"/>
          <w:szCs w:val="24"/>
          <w:lang w:val="en-GB" w:eastAsia="en-AU"/>
        </w:rPr>
        <w:tab/>
        <w:t>This Instrument may be cited as Statement of Principles concerning malignant neoplasm of the stomach No. 59 of 2014.</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Determination</w:t>
      </w:r>
    </w:p>
    <w:p w:rsidR="00352AF0" w:rsidRPr="00352AF0" w:rsidRDefault="00352AF0" w:rsidP="00352AF0">
      <w:pPr>
        <w:spacing w:after="120" w:line="240" w:lineRule="atLeast"/>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2.</w:t>
      </w:r>
      <w:r w:rsidRPr="00352AF0">
        <w:rPr>
          <w:rFonts w:eastAsia="Times New Roman" w:cs="Times New Roman"/>
          <w:sz w:val="24"/>
          <w:szCs w:val="24"/>
          <w:lang w:val="en-GB" w:eastAsia="en-AU"/>
        </w:rPr>
        <w:tab/>
        <w:t xml:space="preserve">The Repatriation Medical Authority under subsection </w:t>
      </w:r>
      <w:r w:rsidRPr="00352AF0">
        <w:rPr>
          <w:rFonts w:eastAsia="Times New Roman" w:cs="Times New Roman"/>
          <w:b/>
          <w:sz w:val="24"/>
          <w:szCs w:val="24"/>
          <w:lang w:val="en-GB" w:eastAsia="en-AU"/>
        </w:rPr>
        <w:t>196B(3)</w:t>
      </w:r>
      <w:r w:rsidRPr="00352AF0">
        <w:rPr>
          <w:rFonts w:eastAsia="Times New Roman" w:cs="Times New Roman"/>
          <w:sz w:val="24"/>
          <w:szCs w:val="24"/>
          <w:lang w:val="en-GB" w:eastAsia="en-AU"/>
        </w:rPr>
        <w:t xml:space="preserve"> and </w:t>
      </w:r>
      <w:r w:rsidRPr="00352AF0">
        <w:rPr>
          <w:rFonts w:eastAsia="Times New Roman" w:cs="Times New Roman"/>
          <w:b/>
          <w:sz w:val="24"/>
          <w:szCs w:val="24"/>
          <w:lang w:val="en-GB" w:eastAsia="en-AU"/>
        </w:rPr>
        <w:t xml:space="preserve">(8) </w:t>
      </w:r>
      <w:r w:rsidRPr="00352AF0">
        <w:rPr>
          <w:rFonts w:eastAsia="Times New Roman" w:cs="Times New Roman"/>
          <w:sz w:val="24"/>
          <w:szCs w:val="24"/>
          <w:lang w:val="en-GB" w:eastAsia="en-AU"/>
        </w:rPr>
        <w:t xml:space="preserve">of the </w:t>
      </w:r>
      <w:r w:rsidRPr="00352AF0">
        <w:rPr>
          <w:rFonts w:eastAsia="Times New Roman" w:cs="Times New Roman"/>
          <w:i/>
          <w:sz w:val="24"/>
          <w:szCs w:val="24"/>
          <w:lang w:val="en-GB" w:eastAsia="en-AU"/>
        </w:rPr>
        <w:t>Veterans’ Entitlements Act 1986</w:t>
      </w:r>
      <w:r w:rsidRPr="00352AF0">
        <w:rPr>
          <w:rFonts w:eastAsia="Times New Roman" w:cs="Times New Roman"/>
          <w:sz w:val="24"/>
          <w:szCs w:val="24"/>
          <w:lang w:val="en-GB" w:eastAsia="en-AU"/>
        </w:rPr>
        <w:t xml:space="preserve"> (the VEA):</w:t>
      </w:r>
    </w:p>
    <w:p w:rsidR="00352AF0" w:rsidRPr="00352AF0" w:rsidRDefault="00352AF0" w:rsidP="00352AF0">
      <w:pPr>
        <w:spacing w:after="120" w:line="240" w:lineRule="atLeast"/>
        <w:ind w:left="1440" w:hanging="720"/>
        <w:jc w:val="both"/>
        <w:rPr>
          <w:rFonts w:eastAsia="Times New Roman" w:cs="Times New Roman"/>
          <w:sz w:val="24"/>
          <w:szCs w:val="24"/>
          <w:lang w:val="en-GB" w:eastAsia="en-AU"/>
        </w:rPr>
      </w:pPr>
      <w:r w:rsidRPr="00352AF0">
        <w:rPr>
          <w:rFonts w:eastAsia="Times New Roman" w:cs="Times New Roman"/>
          <w:sz w:val="24"/>
          <w:szCs w:val="24"/>
          <w:lang w:val="en-GB" w:eastAsia="en-AU"/>
        </w:rPr>
        <w:t>(a)</w:t>
      </w:r>
      <w:r w:rsidRPr="00352AF0">
        <w:rPr>
          <w:rFonts w:eastAsia="Times New Roman" w:cs="Times New Roman"/>
          <w:sz w:val="24"/>
          <w:szCs w:val="24"/>
          <w:lang w:val="en-GB" w:eastAsia="en-AU"/>
        </w:rPr>
        <w:tab/>
        <w:t>revokes Instrument No. 8 of 2003, as amended by Instrument No. 66 of 2011, concerning malignant neoplasm of the stomach; and</w:t>
      </w:r>
    </w:p>
    <w:p w:rsidR="00352AF0" w:rsidRPr="00352AF0" w:rsidRDefault="00352AF0" w:rsidP="00352AF0">
      <w:pPr>
        <w:spacing w:line="240" w:lineRule="atLeast"/>
        <w:ind w:left="1440" w:hanging="720"/>
        <w:jc w:val="both"/>
        <w:rPr>
          <w:rFonts w:eastAsia="Times New Roman" w:cs="Times New Roman"/>
          <w:sz w:val="24"/>
          <w:szCs w:val="24"/>
          <w:lang w:val="en-GB" w:eastAsia="en-AU"/>
        </w:rPr>
      </w:pPr>
      <w:r w:rsidRPr="00352AF0">
        <w:rPr>
          <w:rFonts w:eastAsia="Times New Roman" w:cs="Times New Roman"/>
          <w:sz w:val="24"/>
          <w:szCs w:val="24"/>
          <w:lang w:val="en-GB" w:eastAsia="en-AU"/>
        </w:rPr>
        <w:t>(b)</w:t>
      </w:r>
      <w:r w:rsidRPr="00352AF0">
        <w:rPr>
          <w:rFonts w:eastAsia="Times New Roman" w:cs="Times New Roman"/>
          <w:sz w:val="24"/>
          <w:szCs w:val="24"/>
          <w:lang w:val="en-GB" w:eastAsia="en-AU"/>
        </w:rPr>
        <w:tab/>
        <w:t>determines in their place this Statement of Principles.</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Kind of injury, disease or death</w:t>
      </w:r>
    </w:p>
    <w:p w:rsidR="00352AF0" w:rsidRPr="00352AF0" w:rsidRDefault="00352AF0" w:rsidP="00352AF0">
      <w:pPr>
        <w:tabs>
          <w:tab w:val="left" w:pos="709"/>
        </w:tabs>
        <w:spacing w:after="120" w:line="240" w:lineRule="auto"/>
        <w:ind w:left="1440" w:hanging="1440"/>
        <w:jc w:val="both"/>
        <w:rPr>
          <w:rFonts w:eastAsia="Times New Roman" w:cs="Times New Roman"/>
          <w:sz w:val="24"/>
          <w:szCs w:val="24"/>
          <w:lang w:val="en-GB" w:eastAsia="en-AU"/>
        </w:rPr>
      </w:pPr>
      <w:r w:rsidRPr="00352AF0">
        <w:rPr>
          <w:rFonts w:eastAsia="Times New Roman" w:cs="Times New Roman"/>
          <w:b/>
          <w:sz w:val="24"/>
          <w:szCs w:val="24"/>
          <w:lang w:val="en-GB" w:eastAsia="en-AU"/>
        </w:rPr>
        <w:t>3.</w:t>
      </w:r>
      <w:r w:rsidRPr="00352AF0">
        <w:rPr>
          <w:rFonts w:eastAsia="Times New Roman" w:cs="Times New Roman"/>
          <w:sz w:val="24"/>
          <w:szCs w:val="24"/>
          <w:lang w:val="en-GB" w:eastAsia="en-AU"/>
        </w:rPr>
        <w:tab/>
        <w:t>(a)</w:t>
      </w:r>
      <w:r w:rsidRPr="00352AF0">
        <w:rPr>
          <w:rFonts w:eastAsia="Times New Roman" w:cs="Times New Roman"/>
          <w:sz w:val="24"/>
          <w:szCs w:val="24"/>
          <w:lang w:val="en-GB" w:eastAsia="en-AU"/>
        </w:rPr>
        <w:tab/>
        <w:t xml:space="preserve">This Statement of Principles is about </w:t>
      </w:r>
      <w:r w:rsidRPr="00352AF0">
        <w:rPr>
          <w:rFonts w:eastAsia="Times New Roman" w:cs="Times New Roman"/>
          <w:b/>
          <w:sz w:val="24"/>
          <w:szCs w:val="24"/>
          <w:lang w:val="en-GB" w:eastAsia="en-AU"/>
        </w:rPr>
        <w:t xml:space="preserve">malignant neoplasm of the stomach </w:t>
      </w:r>
      <w:r w:rsidRPr="00352AF0">
        <w:rPr>
          <w:rFonts w:eastAsia="Times New Roman" w:cs="Times New Roman"/>
          <w:sz w:val="24"/>
          <w:szCs w:val="24"/>
          <w:lang w:val="en-GB" w:eastAsia="en-AU"/>
        </w:rPr>
        <w:t xml:space="preserve">and </w:t>
      </w:r>
      <w:r w:rsidRPr="00352AF0">
        <w:rPr>
          <w:rFonts w:eastAsia="Times New Roman" w:cs="Times New Roman"/>
          <w:b/>
          <w:sz w:val="24"/>
          <w:szCs w:val="24"/>
          <w:lang w:val="en-GB" w:eastAsia="en-AU"/>
        </w:rPr>
        <w:t>death from malignant neoplasm of the stomach</w:t>
      </w:r>
      <w:r w:rsidRPr="00352AF0">
        <w:rPr>
          <w:rFonts w:eastAsia="Times New Roman" w:cs="Times New Roman"/>
          <w:sz w:val="24"/>
          <w:szCs w:val="24"/>
          <w:lang w:val="en-GB" w:eastAsia="en-AU"/>
        </w:rPr>
        <w:t>.</w:t>
      </w:r>
    </w:p>
    <w:p w:rsidR="00352AF0" w:rsidRPr="00352AF0" w:rsidRDefault="00352AF0" w:rsidP="00352AF0">
      <w:pPr>
        <w:numPr>
          <w:ilvl w:val="0"/>
          <w:numId w:val="15"/>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lastRenderedPageBreak/>
        <w:t xml:space="preserve">For the purposes of this Statement of Principles, </w:t>
      </w:r>
      <w:r w:rsidRPr="00352AF0">
        <w:rPr>
          <w:rFonts w:eastAsia="Times New Roman" w:cs="Times New Roman"/>
          <w:b/>
          <w:sz w:val="24"/>
          <w:szCs w:val="24"/>
          <w:lang w:val="en-GB" w:eastAsia="en-AU"/>
        </w:rPr>
        <w:t>"malignant neoplasm of the stomach"</w:t>
      </w:r>
      <w:r w:rsidRPr="00352AF0">
        <w:rPr>
          <w:rFonts w:eastAsia="Times New Roman" w:cs="Times New Roman"/>
          <w:sz w:val="24"/>
          <w:szCs w:val="24"/>
          <w:lang w:val="en-GB" w:eastAsia="en-AU"/>
        </w:rPr>
        <w:t xml:space="preserve"> means a primary malignant neoplasm arising from the epithelial cells of the stomach.  Anatomically the stomach is defined as extending from the lower border of the oesophageal sphincter, to, and including, the pyloric sphincter.  This definition of malignant neoplasm of the stomach excludes soft tissue sarcoma, carcinoid tumour, non-Hodgkin’s lymphoma and Hodgkin’s lymphoma.</w:t>
      </w:r>
    </w:p>
    <w:p w:rsidR="00352AF0" w:rsidRPr="00352AF0" w:rsidRDefault="00352AF0" w:rsidP="00352AF0">
      <w:pPr>
        <w:numPr>
          <w:ilvl w:val="0"/>
          <w:numId w:val="15"/>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Malignant neoplasm of the stomach attracts ICD-10-AM code C16.</w:t>
      </w:r>
    </w:p>
    <w:p w:rsidR="00352AF0" w:rsidRPr="00352AF0" w:rsidRDefault="00352AF0" w:rsidP="00352AF0">
      <w:pPr>
        <w:spacing w:after="120" w:line="240" w:lineRule="auto"/>
        <w:ind w:left="1418" w:hanging="709"/>
        <w:jc w:val="both"/>
        <w:rPr>
          <w:rFonts w:eastAsia="Times New Roman" w:cs="Times New Roman"/>
          <w:sz w:val="24"/>
          <w:szCs w:val="24"/>
          <w:lang w:val="en-GB" w:eastAsia="en-AU"/>
        </w:rPr>
      </w:pPr>
      <w:r w:rsidRPr="00352AF0">
        <w:rPr>
          <w:rFonts w:eastAsia="Times New Roman" w:cs="Times New Roman"/>
          <w:sz w:val="24"/>
          <w:szCs w:val="24"/>
          <w:lang w:val="en-GB" w:eastAsia="en-AU"/>
        </w:rPr>
        <w:t>(d)</w:t>
      </w:r>
      <w:r w:rsidRPr="00352AF0">
        <w:rPr>
          <w:rFonts w:eastAsia="Times New Roman" w:cs="Times New Roman"/>
          <w:sz w:val="24"/>
          <w:szCs w:val="24"/>
          <w:lang w:val="en-GB" w:eastAsia="en-AU"/>
        </w:rPr>
        <w:tab/>
        <w:t xml:space="preserve">In the application of this Statement of Principles, the definition of </w:t>
      </w:r>
      <w:r w:rsidRPr="00352AF0">
        <w:rPr>
          <w:rFonts w:eastAsia="Times New Roman" w:cs="Times New Roman"/>
          <w:b/>
          <w:sz w:val="24"/>
          <w:szCs w:val="24"/>
          <w:lang w:val="en-GB" w:eastAsia="en-AU"/>
        </w:rPr>
        <w:t xml:space="preserve">"malignant neoplasm of the stomach" </w:t>
      </w:r>
      <w:r w:rsidRPr="00352AF0">
        <w:rPr>
          <w:rFonts w:eastAsia="Times New Roman" w:cs="Times New Roman"/>
          <w:sz w:val="24"/>
          <w:szCs w:val="24"/>
          <w:lang w:val="en-GB" w:eastAsia="en-AU"/>
        </w:rPr>
        <w:t>is that given at paragraph 3(b) above.</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Basis for determining the factors</w:t>
      </w:r>
    </w:p>
    <w:p w:rsidR="00352AF0" w:rsidRPr="00352AF0" w:rsidRDefault="00352AF0" w:rsidP="00352AF0">
      <w:pPr>
        <w:spacing w:line="240" w:lineRule="atLeast"/>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4.</w:t>
      </w:r>
      <w:r w:rsidRPr="00352AF0">
        <w:rPr>
          <w:rFonts w:eastAsia="Times New Roman" w:cs="Times New Roman"/>
          <w:sz w:val="24"/>
          <w:szCs w:val="24"/>
          <w:lang w:val="en-GB" w:eastAsia="en-AU"/>
        </w:rPr>
        <w:tab/>
        <w:t xml:space="preserve">On the sound medical-scientific evidence available, the Repatriation Medical Authority is of the view that it is more probable than not that </w:t>
      </w:r>
      <w:r w:rsidRPr="00352AF0">
        <w:rPr>
          <w:rFonts w:eastAsia="Times New Roman" w:cs="Times New Roman"/>
          <w:b/>
          <w:sz w:val="24"/>
          <w:szCs w:val="24"/>
          <w:lang w:val="en-GB" w:eastAsia="en-AU"/>
        </w:rPr>
        <w:t xml:space="preserve">malignant neoplasm of the stomach </w:t>
      </w:r>
      <w:r w:rsidRPr="00352AF0">
        <w:rPr>
          <w:rFonts w:eastAsia="Times New Roman" w:cs="Times New Roman"/>
          <w:sz w:val="24"/>
          <w:szCs w:val="24"/>
          <w:lang w:val="en-GB" w:eastAsia="en-AU"/>
        </w:rPr>
        <w:t>and</w:t>
      </w:r>
      <w:r w:rsidRPr="00352AF0">
        <w:rPr>
          <w:rFonts w:eastAsia="Times New Roman" w:cs="Times New Roman"/>
          <w:b/>
          <w:sz w:val="24"/>
          <w:szCs w:val="24"/>
          <w:lang w:val="en-GB" w:eastAsia="en-AU"/>
        </w:rPr>
        <w:t xml:space="preserve"> death from malignant neoplasm of the stomach </w:t>
      </w:r>
      <w:r w:rsidRPr="00352AF0">
        <w:rPr>
          <w:rFonts w:eastAsia="Times New Roman" w:cs="Times New Roman"/>
          <w:sz w:val="24"/>
          <w:szCs w:val="24"/>
          <w:lang w:val="en-GB" w:eastAsia="en-AU"/>
        </w:rPr>
        <w:t xml:space="preserve">can be related to relevant service rendered by veterans or members of the Forces under the VEA, or members under the </w:t>
      </w:r>
      <w:r w:rsidRPr="00352AF0">
        <w:rPr>
          <w:rFonts w:eastAsia="Times New Roman" w:cs="Times New Roman"/>
          <w:i/>
          <w:sz w:val="24"/>
          <w:szCs w:val="24"/>
          <w:lang w:val="en-GB" w:eastAsia="en-AU"/>
        </w:rPr>
        <w:t>Military Rehabilitation and Compensation Act 2004</w:t>
      </w:r>
      <w:r w:rsidRPr="00352AF0">
        <w:rPr>
          <w:rFonts w:eastAsia="Times New Roman" w:cs="Times New Roman"/>
          <w:sz w:val="24"/>
          <w:szCs w:val="24"/>
          <w:lang w:val="en-GB" w:eastAsia="en-AU"/>
        </w:rPr>
        <w:t xml:space="preserve"> (the MRCA).</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Factors that must be related to service</w:t>
      </w:r>
    </w:p>
    <w:p w:rsidR="00352AF0" w:rsidRPr="00352AF0" w:rsidRDefault="00352AF0" w:rsidP="00352AF0">
      <w:pPr>
        <w:spacing w:line="240" w:lineRule="atLeast"/>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5.</w:t>
      </w:r>
      <w:r w:rsidRPr="00352AF0">
        <w:rPr>
          <w:rFonts w:eastAsia="Times New Roman" w:cs="Times New Roman"/>
          <w:sz w:val="24"/>
          <w:szCs w:val="24"/>
          <w:lang w:val="en-GB" w:eastAsia="en-AU"/>
        </w:rPr>
        <w:tab/>
        <w:t>Subject to clause 7, at least one of the factors set out in clause 6 must be related to the relevant service rendered by the person.</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Factors</w:t>
      </w:r>
    </w:p>
    <w:p w:rsidR="00352AF0" w:rsidRPr="00352AF0" w:rsidRDefault="00352AF0" w:rsidP="00352AF0">
      <w:pPr>
        <w:spacing w:after="120" w:line="240" w:lineRule="auto"/>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6.</w:t>
      </w:r>
      <w:r w:rsidRPr="00352AF0">
        <w:rPr>
          <w:rFonts w:eastAsia="Times New Roman" w:cs="Times New Roman"/>
          <w:sz w:val="24"/>
          <w:szCs w:val="24"/>
          <w:lang w:val="en-GB" w:eastAsia="en-AU"/>
        </w:rPr>
        <w:tab/>
        <w:t xml:space="preserve">The factor that must exist before it can be said that, on the balance of probabilities, </w:t>
      </w:r>
      <w:r w:rsidRPr="00352AF0">
        <w:rPr>
          <w:rFonts w:eastAsia="Times New Roman" w:cs="Times New Roman"/>
          <w:b/>
          <w:sz w:val="24"/>
          <w:szCs w:val="24"/>
          <w:lang w:val="en-GB" w:eastAsia="en-AU"/>
        </w:rPr>
        <w:t>malignant neoplasm of the stomach</w:t>
      </w:r>
      <w:r w:rsidRPr="00352AF0">
        <w:rPr>
          <w:rFonts w:eastAsia="Times New Roman" w:cs="Times New Roman"/>
          <w:sz w:val="24"/>
          <w:szCs w:val="24"/>
          <w:lang w:val="en-GB" w:eastAsia="en-AU"/>
        </w:rPr>
        <w:t xml:space="preserve"> or</w:t>
      </w:r>
      <w:r w:rsidRPr="00352AF0">
        <w:rPr>
          <w:rFonts w:eastAsia="Times New Roman" w:cs="Times New Roman"/>
          <w:b/>
          <w:sz w:val="24"/>
          <w:szCs w:val="24"/>
          <w:lang w:val="en-GB" w:eastAsia="en-AU"/>
        </w:rPr>
        <w:t xml:space="preserve"> death from malignant neoplasm of the stomach </w:t>
      </w:r>
      <w:r w:rsidRPr="00352AF0">
        <w:rPr>
          <w:rFonts w:eastAsia="Times New Roman" w:cs="Times New Roman"/>
          <w:sz w:val="24"/>
          <w:szCs w:val="24"/>
          <w:lang w:val="en-GB" w:eastAsia="en-AU"/>
        </w:rPr>
        <w:t>is connected with the circumstances of a person’s relevant service is:</w:t>
      </w:r>
    </w:p>
    <w:p w:rsidR="00352AF0" w:rsidRPr="00352AF0" w:rsidRDefault="00352AF0" w:rsidP="00352AF0">
      <w:pPr>
        <w:numPr>
          <w:ilvl w:val="0"/>
          <w:numId w:val="18"/>
        </w:numPr>
        <w:spacing w:after="120" w:line="240" w:lineRule="auto"/>
        <w:jc w:val="both"/>
        <w:rPr>
          <w:rFonts w:eastAsia="Times New Roman" w:cs="Times New Roman"/>
          <w:sz w:val="24"/>
          <w:szCs w:val="24"/>
          <w:lang w:val="en-US" w:eastAsia="en-AU"/>
        </w:rPr>
      </w:pPr>
      <w:r w:rsidRPr="00352AF0">
        <w:rPr>
          <w:rFonts w:eastAsia="Times New Roman" w:cs="Times New Roman"/>
          <w:sz w:val="24"/>
          <w:szCs w:val="24"/>
          <w:lang w:val="en-GB" w:eastAsia="en-AU"/>
        </w:rPr>
        <w:t>smoking at least 25 pack-years of cigarettes, or the equivalent thereof in other tobacco products, where smoking commenced at least 20 years before the clinical onset of malignant neoplasm of the stomach, and where smoking has ceased, the clinical onset of malignant neoplasm of the stomach has occurred within 15 years of cessation; or</w:t>
      </w:r>
    </w:p>
    <w:p w:rsidR="00352AF0" w:rsidRPr="00352AF0" w:rsidRDefault="00352AF0" w:rsidP="00352AF0">
      <w:pPr>
        <w:numPr>
          <w:ilvl w:val="0"/>
          <w:numId w:val="18"/>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 xml:space="preserve">having received a cumulative equivalent dose of at least 0.5 </w:t>
      </w:r>
      <w:proofErr w:type="spellStart"/>
      <w:r w:rsidRPr="00352AF0">
        <w:rPr>
          <w:rFonts w:eastAsia="Times New Roman" w:cs="Times New Roman"/>
          <w:sz w:val="24"/>
          <w:szCs w:val="24"/>
          <w:lang w:val="en-GB" w:eastAsia="en-AU"/>
        </w:rPr>
        <w:t>sievert</w:t>
      </w:r>
      <w:proofErr w:type="spellEnd"/>
      <w:r w:rsidRPr="00352AF0">
        <w:rPr>
          <w:rFonts w:eastAsia="Times New Roman" w:cs="Times New Roman"/>
          <w:sz w:val="24"/>
          <w:szCs w:val="24"/>
          <w:lang w:val="en-GB" w:eastAsia="en-AU"/>
        </w:rPr>
        <w:t xml:space="preserve"> of ionising radiation to the stomach at least ten years before the clinical onset of malignant neoplasm of the stomach; or</w:t>
      </w:r>
    </w:p>
    <w:p w:rsidR="00352AF0" w:rsidRPr="00352AF0" w:rsidRDefault="00352AF0" w:rsidP="00352AF0">
      <w:pPr>
        <w:numPr>
          <w:ilvl w:val="0"/>
          <w:numId w:val="18"/>
        </w:numPr>
        <w:spacing w:after="120" w:line="240" w:lineRule="auto"/>
        <w:jc w:val="both"/>
        <w:rPr>
          <w:rFonts w:eastAsia="Times New Roman" w:cs="Times New Roman"/>
          <w:sz w:val="24"/>
          <w:szCs w:val="24"/>
          <w:lang w:val="en-US" w:eastAsia="en-AU"/>
        </w:rPr>
      </w:pPr>
      <w:r w:rsidRPr="00352AF0">
        <w:rPr>
          <w:rFonts w:eastAsia="Times New Roman" w:cs="Times New Roman"/>
          <w:sz w:val="24"/>
          <w:szCs w:val="24"/>
          <w:lang w:val="en-GB" w:eastAsia="en-AU"/>
        </w:rPr>
        <w:t xml:space="preserve">for non-cardia gastric carcinoma only, being infected with </w:t>
      </w:r>
      <w:r w:rsidRPr="00352AF0">
        <w:rPr>
          <w:rFonts w:eastAsia="Times New Roman" w:cs="Times New Roman"/>
          <w:i/>
          <w:iCs/>
          <w:sz w:val="24"/>
          <w:szCs w:val="24"/>
          <w:lang w:val="en-GB" w:eastAsia="en-AU"/>
        </w:rPr>
        <w:t xml:space="preserve">Helicobacter pylori </w:t>
      </w:r>
      <w:r w:rsidRPr="00352AF0">
        <w:rPr>
          <w:rFonts w:eastAsia="Times New Roman" w:cs="Times New Roman"/>
          <w:sz w:val="24"/>
          <w:szCs w:val="24"/>
          <w:lang w:val="en-GB" w:eastAsia="en-AU"/>
        </w:rPr>
        <w:t>at least ten years before the clinical onset of malignant neoplasm of the stomach; or</w:t>
      </w:r>
    </w:p>
    <w:p w:rsidR="00352AF0" w:rsidRPr="00352AF0" w:rsidRDefault="00352AF0" w:rsidP="00352AF0">
      <w:pPr>
        <w:numPr>
          <w:ilvl w:val="0"/>
          <w:numId w:val="18"/>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lastRenderedPageBreak/>
        <w:t>having chronic atrophic gastritis, where the chronic atrophic gastritis commenced at least 15 years before the clinical onset of malignant neoplasm of the stomach; or</w:t>
      </w:r>
    </w:p>
    <w:p w:rsidR="00352AF0" w:rsidRPr="00352AF0" w:rsidRDefault="00352AF0" w:rsidP="00352AF0">
      <w:pPr>
        <w:numPr>
          <w:ilvl w:val="0"/>
          <w:numId w:val="18"/>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inability to obtain appropriate clinical management for malignant neoplasm of the stomach.</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Factors that apply only to material contribution or aggravation</w:t>
      </w:r>
    </w:p>
    <w:p w:rsidR="00352AF0" w:rsidRPr="00352AF0" w:rsidRDefault="00352AF0" w:rsidP="00352AF0">
      <w:pPr>
        <w:spacing w:line="240" w:lineRule="atLeast"/>
        <w:ind w:left="720" w:hanging="720"/>
        <w:jc w:val="both"/>
        <w:rPr>
          <w:rFonts w:eastAsia="Times New Roman" w:cs="Times New Roman"/>
          <w:sz w:val="24"/>
          <w:szCs w:val="24"/>
          <w:lang w:val="en-GB" w:eastAsia="en-AU"/>
        </w:rPr>
      </w:pPr>
      <w:r w:rsidRPr="00352AF0">
        <w:rPr>
          <w:rFonts w:eastAsia="Times New Roman" w:cs="Times New Roman"/>
          <w:b/>
          <w:sz w:val="24"/>
          <w:szCs w:val="24"/>
          <w:lang w:val="en-GB" w:eastAsia="en-AU"/>
        </w:rPr>
        <w:t>7.</w:t>
      </w:r>
      <w:r w:rsidRPr="00352AF0">
        <w:rPr>
          <w:rFonts w:eastAsia="Times New Roman" w:cs="Times New Roman"/>
          <w:sz w:val="24"/>
          <w:szCs w:val="24"/>
          <w:lang w:val="en-GB" w:eastAsia="en-AU"/>
        </w:rPr>
        <w:tab/>
        <w:t xml:space="preserve">Paragraph </w:t>
      </w:r>
      <w:r w:rsidRPr="00352AF0">
        <w:rPr>
          <w:rFonts w:eastAsia="Times New Roman" w:cs="Times New Roman"/>
          <w:b/>
          <w:sz w:val="24"/>
          <w:szCs w:val="24"/>
          <w:lang w:val="en-GB" w:eastAsia="en-AU"/>
        </w:rPr>
        <w:t xml:space="preserve">6(e) </w:t>
      </w:r>
      <w:r w:rsidRPr="00352AF0">
        <w:rPr>
          <w:rFonts w:eastAsia="Times New Roman" w:cs="Times New Roman"/>
          <w:sz w:val="24"/>
          <w:szCs w:val="24"/>
          <w:lang w:val="en-GB" w:eastAsia="en-AU"/>
        </w:rPr>
        <w:t>applies only to material contribution to, or aggravation of, malignant neoplasm of the stomach where the person’s malignant neoplasm of the stomach was suffered or contracted before or during (but not arising out of) the person’s relevant service.</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Inclusion of Statements of Principles</w:t>
      </w:r>
    </w:p>
    <w:p w:rsidR="00352AF0" w:rsidRPr="00352AF0" w:rsidRDefault="00352AF0" w:rsidP="00352AF0">
      <w:pPr>
        <w:numPr>
          <w:ilvl w:val="0"/>
          <w:numId w:val="16"/>
        </w:numPr>
        <w:spacing w:line="240" w:lineRule="atLeast"/>
        <w:jc w:val="both"/>
        <w:rPr>
          <w:rFonts w:eastAsia="Times New Roman" w:cs="Times New Roman"/>
          <w:sz w:val="24"/>
          <w:szCs w:val="24"/>
          <w:lang w:val="en-GB" w:eastAsia="en-AU"/>
        </w:rPr>
      </w:pPr>
      <w:r w:rsidRPr="00352AF0">
        <w:rPr>
          <w:rFonts w:eastAsia="Times New Roman" w:cs="Times New Roman"/>
          <w:sz w:val="24"/>
          <w:szCs w:val="24"/>
          <w:lang w:val="en-GB" w:eastAsia="en-AU"/>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Other definitions</w:t>
      </w:r>
    </w:p>
    <w:p w:rsidR="00352AF0" w:rsidRPr="00352AF0" w:rsidRDefault="00352AF0" w:rsidP="00352AF0">
      <w:pPr>
        <w:numPr>
          <w:ilvl w:val="0"/>
          <w:numId w:val="14"/>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For the purposes of this Statement of Principles:</w:t>
      </w:r>
    </w:p>
    <w:p w:rsidR="00352AF0" w:rsidRPr="00352AF0" w:rsidRDefault="00352AF0" w:rsidP="00352AF0">
      <w:pPr>
        <w:spacing w:after="120" w:line="240" w:lineRule="atLeast"/>
        <w:ind w:left="720"/>
        <w:jc w:val="both"/>
        <w:rPr>
          <w:rFonts w:eastAsia="Times New Roman" w:cs="Times New Roman"/>
          <w:snapToGrid w:val="0"/>
          <w:sz w:val="24"/>
          <w:szCs w:val="24"/>
          <w:lang w:val="en-GB" w:eastAsia="en-AU"/>
        </w:rPr>
      </w:pPr>
      <w:r w:rsidRPr="00352AF0">
        <w:rPr>
          <w:rFonts w:eastAsia="Times New Roman" w:cs="Times New Roman"/>
          <w:b/>
          <w:sz w:val="24"/>
          <w:szCs w:val="24"/>
          <w:lang w:val="en-GB" w:eastAsia="en-AU"/>
        </w:rPr>
        <w:t xml:space="preserve">"chronic atrophic gastritis" </w:t>
      </w:r>
      <w:r w:rsidRPr="00352AF0">
        <w:rPr>
          <w:rFonts w:eastAsia="Times New Roman" w:cs="Times New Roman"/>
          <w:sz w:val="24"/>
          <w:szCs w:val="24"/>
          <w:lang w:val="en-GB" w:eastAsia="en-AU"/>
        </w:rPr>
        <w:t xml:space="preserve">means inflammation of the gastric mucosa characterised by variable gland loss and inflammatory infiltrate extending below the lamina </w:t>
      </w:r>
      <w:proofErr w:type="spellStart"/>
      <w:r w:rsidRPr="00352AF0">
        <w:rPr>
          <w:rFonts w:eastAsia="Times New Roman" w:cs="Times New Roman"/>
          <w:sz w:val="24"/>
          <w:szCs w:val="24"/>
          <w:lang w:val="en-GB" w:eastAsia="en-AU"/>
        </w:rPr>
        <w:t>propria</w:t>
      </w:r>
      <w:proofErr w:type="spellEnd"/>
      <w:r w:rsidRPr="00352AF0">
        <w:rPr>
          <w:rFonts w:eastAsia="Times New Roman" w:cs="Times New Roman"/>
          <w:sz w:val="24"/>
          <w:szCs w:val="24"/>
          <w:lang w:val="en-GB" w:eastAsia="en-AU"/>
        </w:rPr>
        <w:t xml:space="preserve"> with distortion and destruction of the gastric glands;</w:t>
      </w:r>
    </w:p>
    <w:p w:rsidR="008C4AAF" w:rsidRPr="00BD3220" w:rsidRDefault="008C4AAF" w:rsidP="005F06E0">
      <w:pPr>
        <w:pStyle w:val="Definition"/>
        <w:ind w:left="709"/>
        <w:jc w:val="both"/>
        <w:rPr>
          <w:sz w:val="24"/>
          <w:szCs w:val="24"/>
        </w:rPr>
      </w:pPr>
      <w:r w:rsidRPr="00BD3220">
        <w:rPr>
          <w:b/>
          <w:sz w:val="24"/>
          <w:szCs w:val="24"/>
        </w:rPr>
        <w:t>"cumulative equivalent dose"</w:t>
      </w:r>
      <w:r w:rsidRPr="00BD3220">
        <w:rPr>
          <w:sz w:val="24"/>
          <w:szCs w:val="24"/>
        </w:rP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BD3220">
        <w:rPr>
          <w:i/>
          <w:sz w:val="24"/>
          <w:szCs w:val="24"/>
        </w:rPr>
        <w:t>Guide to calculation of 'cumulative equivalent dose' for the purpose of applying ionising radiation factors contained in Statements of Principles determined under Part XIA of the Veterans' Entitlements Act 1986 (</w:t>
      </w:r>
      <w:proofErr w:type="spellStart"/>
      <w:r w:rsidRPr="00BD3220">
        <w:rPr>
          <w:i/>
          <w:sz w:val="24"/>
          <w:szCs w:val="24"/>
        </w:rPr>
        <w:t>Cth</w:t>
      </w:r>
      <w:proofErr w:type="spellEnd"/>
      <w:r w:rsidRPr="00BD3220">
        <w:rPr>
          <w:i/>
          <w:sz w:val="24"/>
          <w:szCs w:val="24"/>
        </w:rPr>
        <w:t>)</w:t>
      </w:r>
      <w:r w:rsidRPr="00BD3220">
        <w:rPr>
          <w:sz w:val="24"/>
          <w:szCs w:val="24"/>
        </w:rPr>
        <w:t>, Australian Radiation Protection and Nuclear Safety Agency</w:t>
      </w:r>
      <w:r w:rsidRPr="00BD3220">
        <w:rPr>
          <w:rFonts w:eastAsia="Calibri"/>
          <w:sz w:val="24"/>
          <w:szCs w:val="24"/>
        </w:rPr>
        <w:t>, as in force on 2 August 2017</w:t>
      </w:r>
      <w:r>
        <w:rPr>
          <w:rFonts w:eastAsia="Calibri"/>
          <w:sz w:val="24"/>
          <w:szCs w:val="24"/>
        </w:rPr>
        <w:t>;</w:t>
      </w:r>
    </w:p>
    <w:p w:rsidR="008C4AAF" w:rsidRPr="00BD3220" w:rsidRDefault="008C4AAF" w:rsidP="005F06E0">
      <w:pPr>
        <w:pStyle w:val="notetext"/>
        <w:ind w:left="1418" w:hanging="709"/>
        <w:jc w:val="both"/>
        <w:rPr>
          <w:sz w:val="20"/>
        </w:rPr>
      </w:pPr>
      <w:r w:rsidRPr="00BD3220">
        <w:rPr>
          <w:sz w:val="20"/>
        </w:rPr>
        <w:t>Note 1:</w:t>
      </w:r>
      <w:r w:rsidRPr="00BD3220">
        <w:rPr>
          <w:sz w:val="20"/>
        </w:rP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8C4AAF" w:rsidRPr="00BD3220" w:rsidRDefault="008C4AAF" w:rsidP="005F06E0">
      <w:pPr>
        <w:pStyle w:val="notetext"/>
        <w:ind w:left="1418" w:hanging="709"/>
        <w:jc w:val="both"/>
        <w:rPr>
          <w:sz w:val="20"/>
        </w:rPr>
      </w:pPr>
      <w:r w:rsidRPr="00BD3220">
        <w:rPr>
          <w:sz w:val="20"/>
        </w:rPr>
        <w:t>Note 2:</w:t>
      </w:r>
      <w:r w:rsidRPr="00BD3220">
        <w:rPr>
          <w:sz w:val="20"/>
        </w:rPr>
        <w:tab/>
        <w:t>For the purpose of dose reconstruction, dose is calculated as an average over the mass of a specific tissue or organ. If a tissue is exposed to multiple sources of ionising radiation, the various dose estimates for each type of radiation must be combined.</w:t>
      </w:r>
    </w:p>
    <w:p w:rsidR="00352AF0" w:rsidRPr="00352AF0" w:rsidRDefault="00352AF0" w:rsidP="00352AF0">
      <w:pPr>
        <w:spacing w:after="120" w:line="240" w:lineRule="atLeast"/>
        <w:ind w:left="720"/>
        <w:jc w:val="both"/>
        <w:rPr>
          <w:rFonts w:eastAsia="Times New Roman" w:cs="Times New Roman"/>
          <w:sz w:val="24"/>
          <w:szCs w:val="24"/>
          <w:lang w:val="en-GB" w:eastAsia="en-AU"/>
        </w:rPr>
      </w:pPr>
    </w:p>
    <w:p w:rsidR="00352AF0" w:rsidRPr="00352AF0" w:rsidRDefault="00352AF0" w:rsidP="00352AF0">
      <w:pPr>
        <w:tabs>
          <w:tab w:val="num" w:pos="709"/>
        </w:tabs>
        <w:spacing w:after="120" w:line="240" w:lineRule="auto"/>
        <w:ind w:left="720"/>
        <w:jc w:val="both"/>
        <w:rPr>
          <w:rFonts w:eastAsia="Times New Roman" w:cs="Times New Roman"/>
          <w:sz w:val="24"/>
          <w:szCs w:val="24"/>
          <w:lang w:val="en-GB" w:eastAsia="en-AU"/>
        </w:rPr>
      </w:pPr>
      <w:r w:rsidRPr="00352AF0">
        <w:rPr>
          <w:rFonts w:eastAsia="Times New Roman" w:cs="Times New Roman"/>
          <w:b/>
          <w:sz w:val="24"/>
          <w:szCs w:val="24"/>
          <w:lang w:val="en-GB" w:eastAsia="en-AU"/>
        </w:rPr>
        <w:lastRenderedPageBreak/>
        <w:t xml:space="preserve">"death from malignant neoplasm of the stomach" </w:t>
      </w:r>
      <w:r w:rsidRPr="00352AF0">
        <w:rPr>
          <w:rFonts w:eastAsia="Times New Roman" w:cs="Times New Roman"/>
          <w:sz w:val="24"/>
          <w:szCs w:val="24"/>
          <w:lang w:val="en-GB" w:eastAsia="en-AU"/>
        </w:rPr>
        <w:t>in relation to a person includes death from a terminal event or condition that was contributed to by the person’s malignant neoplasm of the stomach;</w:t>
      </w:r>
    </w:p>
    <w:p w:rsidR="00352AF0" w:rsidRPr="00352AF0" w:rsidRDefault="00352AF0" w:rsidP="00352AF0">
      <w:pPr>
        <w:tabs>
          <w:tab w:val="num" w:pos="709"/>
        </w:tabs>
        <w:spacing w:after="120" w:line="240" w:lineRule="auto"/>
        <w:ind w:left="709"/>
        <w:jc w:val="both"/>
        <w:rPr>
          <w:rFonts w:eastAsia="Times New Roman" w:cs="Times New Roman"/>
          <w:sz w:val="24"/>
          <w:szCs w:val="24"/>
          <w:lang w:val="en-GB" w:eastAsia="en-AU"/>
        </w:rPr>
      </w:pPr>
      <w:r w:rsidRPr="00352AF0">
        <w:rPr>
          <w:rFonts w:eastAsia="Times New Roman" w:cs="Times New Roman"/>
          <w:b/>
          <w:sz w:val="24"/>
          <w:szCs w:val="24"/>
          <w:lang w:val="en-GB" w:eastAsia="en-AU"/>
        </w:rPr>
        <w:t>"ICD-10-AM code"</w:t>
      </w:r>
      <w:r w:rsidRPr="00352AF0">
        <w:rPr>
          <w:rFonts w:eastAsia="Times New Roman" w:cs="Times New Roman"/>
          <w:sz w:val="24"/>
          <w:szCs w:val="24"/>
          <w:lang w:val="en-GB" w:eastAsia="en-AU"/>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352AF0" w:rsidRPr="00352AF0" w:rsidRDefault="00352AF0" w:rsidP="00352AF0">
      <w:pPr>
        <w:spacing w:after="120" w:line="240" w:lineRule="atLeast"/>
        <w:ind w:left="720"/>
        <w:jc w:val="both"/>
        <w:rPr>
          <w:rFonts w:eastAsia="Times New Roman" w:cs="Times New Roman"/>
          <w:sz w:val="24"/>
          <w:szCs w:val="24"/>
          <w:lang w:val="en-GB" w:eastAsia="en-AU"/>
        </w:rPr>
      </w:pPr>
      <w:r w:rsidRPr="00352AF0">
        <w:rPr>
          <w:rFonts w:eastAsia="Times New Roman" w:cs="Times New Roman"/>
          <w:b/>
          <w:sz w:val="24"/>
          <w:szCs w:val="24"/>
          <w:lang w:val="en-GB" w:eastAsia="en-AU"/>
        </w:rPr>
        <w:t>"non-cardia gastric carcinoma"</w:t>
      </w:r>
      <w:r w:rsidRPr="00352AF0">
        <w:rPr>
          <w:rFonts w:eastAsia="Times New Roman" w:cs="Times New Roman"/>
          <w:sz w:val="24"/>
          <w:szCs w:val="24"/>
          <w:lang w:val="en-GB" w:eastAsia="en-AU"/>
        </w:rPr>
        <w:t xml:space="preserve"> means a carcinoma that has arisen in the mucosa of any part of the stomach, excluding that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352AF0" w:rsidRPr="00352AF0" w:rsidRDefault="00352AF0" w:rsidP="00352AF0">
      <w:pPr>
        <w:spacing w:after="120" w:line="240" w:lineRule="atLeast"/>
        <w:ind w:left="720"/>
        <w:jc w:val="both"/>
        <w:rPr>
          <w:rFonts w:eastAsia="Times New Roman" w:cs="Times New Roman"/>
          <w:sz w:val="24"/>
          <w:szCs w:val="24"/>
          <w:lang w:val="en-GB" w:eastAsia="en-AU"/>
        </w:rPr>
      </w:pPr>
      <w:bookmarkStart w:id="0" w:name="OLE_LINK3"/>
      <w:bookmarkStart w:id="1" w:name="OLE_LINK4"/>
      <w:r w:rsidRPr="00352AF0">
        <w:rPr>
          <w:rFonts w:eastAsia="Times New Roman" w:cs="Times New Roman"/>
          <w:b/>
          <w:sz w:val="24"/>
          <w:szCs w:val="24"/>
          <w:lang w:val="en-GB" w:eastAsia="en-AU"/>
        </w:rPr>
        <w:t>"pack-years of cigarettes, or the equivalent thereof in other tobacco products"</w:t>
      </w:r>
      <w:r w:rsidRPr="00352AF0">
        <w:rPr>
          <w:rFonts w:eastAsia="Times New Roman" w:cs="Times New Roman"/>
          <w:sz w:val="24"/>
          <w:szCs w:val="24"/>
          <w:lang w:val="en-GB" w:eastAsia="en-AU"/>
        </w:rPr>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bookmarkEnd w:id="0"/>
      <w:bookmarkEnd w:id="1"/>
    </w:p>
    <w:p w:rsidR="00352AF0" w:rsidRPr="00352AF0" w:rsidRDefault="00352AF0" w:rsidP="00352AF0">
      <w:pPr>
        <w:tabs>
          <w:tab w:val="num" w:pos="709"/>
        </w:tabs>
        <w:spacing w:after="120" w:line="240" w:lineRule="auto"/>
        <w:ind w:left="720"/>
        <w:jc w:val="both"/>
        <w:rPr>
          <w:rFonts w:eastAsia="Times New Roman" w:cs="Times New Roman"/>
          <w:sz w:val="24"/>
          <w:szCs w:val="24"/>
          <w:lang w:val="en-GB" w:eastAsia="en-AU"/>
        </w:rPr>
      </w:pPr>
      <w:r w:rsidRPr="00352AF0">
        <w:rPr>
          <w:rFonts w:eastAsia="Times New Roman" w:cs="Times New Roman"/>
          <w:b/>
          <w:sz w:val="24"/>
          <w:szCs w:val="24"/>
          <w:lang w:val="en-GB" w:eastAsia="en-AU"/>
        </w:rPr>
        <w:t>"relevant service"</w:t>
      </w:r>
      <w:r w:rsidRPr="00352AF0">
        <w:rPr>
          <w:rFonts w:eastAsia="Times New Roman" w:cs="Times New Roman"/>
          <w:sz w:val="24"/>
          <w:szCs w:val="24"/>
          <w:lang w:val="en-GB" w:eastAsia="en-AU"/>
        </w:rPr>
        <w:t xml:space="preserve"> means:</w:t>
      </w:r>
    </w:p>
    <w:p w:rsidR="00352AF0" w:rsidRPr="00352AF0" w:rsidRDefault="00352AF0" w:rsidP="00352AF0">
      <w:pPr>
        <w:tabs>
          <w:tab w:val="num" w:pos="709"/>
        </w:tabs>
        <w:spacing w:line="240" w:lineRule="auto"/>
        <w:ind w:left="720"/>
        <w:jc w:val="both"/>
        <w:rPr>
          <w:rFonts w:eastAsia="Times New Roman" w:cs="Times New Roman"/>
          <w:sz w:val="24"/>
          <w:szCs w:val="24"/>
          <w:lang w:val="en-GB" w:eastAsia="en-AU"/>
        </w:rPr>
      </w:pPr>
      <w:r w:rsidRPr="00352AF0">
        <w:rPr>
          <w:rFonts w:eastAsia="Times New Roman" w:cs="Times New Roman"/>
          <w:sz w:val="24"/>
          <w:szCs w:val="24"/>
          <w:lang w:val="en-GB" w:eastAsia="en-AU"/>
        </w:rPr>
        <w:t>(a)</w:t>
      </w:r>
      <w:r w:rsidRPr="00352AF0">
        <w:rPr>
          <w:rFonts w:eastAsia="Times New Roman" w:cs="Times New Roman"/>
          <w:sz w:val="24"/>
          <w:szCs w:val="24"/>
          <w:lang w:val="en-GB" w:eastAsia="en-AU"/>
        </w:rPr>
        <w:tab/>
        <w:t xml:space="preserve">eligible war service (other than operational service) under the VEA; </w:t>
      </w:r>
    </w:p>
    <w:p w:rsidR="00352AF0" w:rsidRPr="00352AF0" w:rsidRDefault="00352AF0" w:rsidP="00352AF0">
      <w:pPr>
        <w:tabs>
          <w:tab w:val="num" w:pos="709"/>
        </w:tabs>
        <w:spacing w:line="240" w:lineRule="auto"/>
        <w:ind w:left="1440" w:hanging="720"/>
        <w:jc w:val="both"/>
        <w:rPr>
          <w:rFonts w:eastAsia="Times New Roman" w:cs="Times New Roman"/>
          <w:sz w:val="24"/>
          <w:szCs w:val="24"/>
          <w:lang w:val="en-GB" w:eastAsia="en-AU"/>
        </w:rPr>
      </w:pPr>
      <w:r w:rsidRPr="00352AF0">
        <w:rPr>
          <w:rFonts w:eastAsia="Times New Roman" w:cs="Times New Roman"/>
          <w:sz w:val="24"/>
          <w:szCs w:val="24"/>
          <w:lang w:val="en-GB" w:eastAsia="en-AU"/>
        </w:rPr>
        <w:t>(b)</w:t>
      </w:r>
      <w:r w:rsidRPr="00352AF0">
        <w:rPr>
          <w:rFonts w:eastAsia="Times New Roman" w:cs="Times New Roman"/>
          <w:sz w:val="24"/>
          <w:szCs w:val="24"/>
          <w:lang w:val="en-GB" w:eastAsia="en-AU"/>
        </w:rPr>
        <w:tab/>
        <w:t>defence service (other than hazardous service and British nuclear test defence service) under the VEA; or</w:t>
      </w:r>
    </w:p>
    <w:p w:rsidR="00352AF0" w:rsidRPr="00352AF0" w:rsidRDefault="00352AF0" w:rsidP="00352AF0">
      <w:pPr>
        <w:tabs>
          <w:tab w:val="num" w:pos="709"/>
        </w:tabs>
        <w:spacing w:after="120" w:line="240" w:lineRule="auto"/>
        <w:ind w:left="720"/>
        <w:jc w:val="both"/>
        <w:rPr>
          <w:rFonts w:eastAsia="Times New Roman" w:cs="Times New Roman"/>
          <w:sz w:val="24"/>
          <w:szCs w:val="24"/>
          <w:lang w:val="en-GB" w:eastAsia="en-AU"/>
        </w:rPr>
      </w:pPr>
      <w:r w:rsidRPr="00352AF0">
        <w:rPr>
          <w:rFonts w:eastAsia="Times New Roman" w:cs="Times New Roman"/>
          <w:sz w:val="24"/>
          <w:szCs w:val="24"/>
          <w:lang w:val="en-GB" w:eastAsia="en-AU"/>
        </w:rPr>
        <w:t>(c)</w:t>
      </w:r>
      <w:r w:rsidRPr="00352AF0">
        <w:rPr>
          <w:rFonts w:eastAsia="Times New Roman" w:cs="Times New Roman"/>
          <w:sz w:val="24"/>
          <w:szCs w:val="24"/>
          <w:lang w:val="en-GB" w:eastAsia="en-AU"/>
        </w:rPr>
        <w:tab/>
        <w:t>peacetime service under the MRCA;</w:t>
      </w:r>
    </w:p>
    <w:p w:rsidR="00352AF0" w:rsidRPr="00352AF0" w:rsidRDefault="00352AF0" w:rsidP="00352AF0">
      <w:pPr>
        <w:tabs>
          <w:tab w:val="num" w:pos="709"/>
        </w:tabs>
        <w:spacing w:after="120" w:line="240" w:lineRule="auto"/>
        <w:ind w:left="720"/>
        <w:jc w:val="both"/>
        <w:rPr>
          <w:rFonts w:eastAsia="Times New Roman" w:cs="Times New Roman"/>
          <w:sz w:val="24"/>
          <w:szCs w:val="24"/>
          <w:lang w:val="en-GB" w:eastAsia="en-AU"/>
        </w:rPr>
      </w:pPr>
      <w:r w:rsidRPr="00352AF0">
        <w:rPr>
          <w:rFonts w:eastAsia="Times New Roman" w:cs="Times New Roman"/>
          <w:b/>
          <w:sz w:val="24"/>
          <w:szCs w:val="24"/>
          <w:lang w:val="en-GB" w:eastAsia="en-AU"/>
        </w:rPr>
        <w:t xml:space="preserve">"terminal event" </w:t>
      </w:r>
      <w:r w:rsidRPr="00352AF0">
        <w:rPr>
          <w:rFonts w:eastAsia="Times New Roman" w:cs="Times New Roman"/>
          <w:sz w:val="24"/>
          <w:szCs w:val="24"/>
          <w:lang w:val="en-GB" w:eastAsia="en-AU"/>
        </w:rPr>
        <w:t>means the proximate or ultimate cause of death and includes:</w:t>
      </w:r>
    </w:p>
    <w:p w:rsidR="00352AF0" w:rsidRPr="00352AF0" w:rsidRDefault="00352AF0" w:rsidP="00352AF0">
      <w:pPr>
        <w:numPr>
          <w:ilvl w:val="0"/>
          <w:numId w:val="17"/>
        </w:numPr>
        <w:spacing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pneumonia;</w:t>
      </w:r>
    </w:p>
    <w:p w:rsidR="00352AF0" w:rsidRPr="00352AF0" w:rsidRDefault="00352AF0" w:rsidP="00352AF0">
      <w:pPr>
        <w:numPr>
          <w:ilvl w:val="0"/>
          <w:numId w:val="17"/>
        </w:numPr>
        <w:spacing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respiratory failure;</w:t>
      </w:r>
    </w:p>
    <w:p w:rsidR="00352AF0" w:rsidRPr="00352AF0" w:rsidRDefault="00352AF0" w:rsidP="00352AF0">
      <w:pPr>
        <w:numPr>
          <w:ilvl w:val="0"/>
          <w:numId w:val="17"/>
        </w:numPr>
        <w:spacing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cardiac arrest;</w:t>
      </w:r>
    </w:p>
    <w:p w:rsidR="00352AF0" w:rsidRPr="00352AF0" w:rsidRDefault="00352AF0" w:rsidP="00352AF0">
      <w:pPr>
        <w:numPr>
          <w:ilvl w:val="0"/>
          <w:numId w:val="17"/>
        </w:numPr>
        <w:spacing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circulatory failure; or</w:t>
      </w:r>
    </w:p>
    <w:p w:rsidR="00352AF0" w:rsidRPr="00352AF0" w:rsidRDefault="00352AF0" w:rsidP="00352AF0">
      <w:pPr>
        <w:numPr>
          <w:ilvl w:val="0"/>
          <w:numId w:val="17"/>
        </w:numPr>
        <w:spacing w:after="120" w:line="240" w:lineRule="auto"/>
        <w:jc w:val="both"/>
        <w:rPr>
          <w:rFonts w:eastAsia="Times New Roman" w:cs="Times New Roman"/>
          <w:sz w:val="24"/>
          <w:szCs w:val="24"/>
          <w:lang w:val="en-GB" w:eastAsia="en-AU"/>
        </w:rPr>
      </w:pPr>
      <w:r w:rsidRPr="00352AF0">
        <w:rPr>
          <w:rFonts w:eastAsia="Times New Roman" w:cs="Times New Roman"/>
          <w:sz w:val="24"/>
          <w:szCs w:val="24"/>
          <w:lang w:val="en-GB" w:eastAsia="en-AU"/>
        </w:rPr>
        <w:t>cessation of brain function.</w:t>
      </w:r>
    </w:p>
    <w:p w:rsidR="00352AF0" w:rsidRPr="00352AF0" w:rsidRDefault="00352AF0" w:rsidP="00352AF0">
      <w:pPr>
        <w:keepNext/>
        <w:spacing w:before="240" w:after="120" w:line="240" w:lineRule="auto"/>
        <w:jc w:val="both"/>
        <w:outlineLvl w:val="0"/>
        <w:rPr>
          <w:rFonts w:eastAsia="Times New Roman" w:cs="Times New Roman"/>
          <w:b/>
          <w:sz w:val="24"/>
          <w:szCs w:val="24"/>
          <w:lang w:eastAsia="en-AU"/>
        </w:rPr>
      </w:pPr>
      <w:r w:rsidRPr="00352AF0">
        <w:rPr>
          <w:rFonts w:eastAsia="Times New Roman" w:cs="Times New Roman"/>
          <w:b/>
          <w:sz w:val="24"/>
          <w:szCs w:val="24"/>
          <w:lang w:eastAsia="en-AU"/>
        </w:rPr>
        <w:t>Application</w:t>
      </w:r>
    </w:p>
    <w:p w:rsidR="003A081E" w:rsidRPr="003A081E" w:rsidRDefault="00352AF0" w:rsidP="003A081E">
      <w:pPr>
        <w:pStyle w:val="ListParagraph"/>
        <w:numPr>
          <w:ilvl w:val="0"/>
          <w:numId w:val="14"/>
        </w:numPr>
        <w:spacing w:after="160" w:line="240" w:lineRule="auto"/>
        <w:jc w:val="both"/>
        <w:rPr>
          <w:rFonts w:eastAsia="Times New Roman" w:cs="Times New Roman"/>
          <w:sz w:val="24"/>
          <w:szCs w:val="24"/>
          <w:lang w:val="en-GB" w:eastAsia="en-AU"/>
        </w:rPr>
      </w:pPr>
      <w:r w:rsidRPr="003A081E">
        <w:rPr>
          <w:rFonts w:eastAsia="Times New Roman" w:cs="Times New Roman"/>
          <w:sz w:val="24"/>
          <w:szCs w:val="24"/>
          <w:lang w:val="en-GB" w:eastAsia="en-AU"/>
        </w:rPr>
        <w:t>This Instrument applies to all matters to which section 120B of the VEA or section 339 of the MRCA applies.</w:t>
      </w:r>
    </w:p>
    <w:p w:rsidR="00352AF0" w:rsidRPr="003A081E" w:rsidRDefault="00352AF0" w:rsidP="003A081E">
      <w:pPr>
        <w:spacing w:line="240" w:lineRule="auto"/>
        <w:jc w:val="both"/>
        <w:rPr>
          <w:rFonts w:eastAsia="Times New Roman" w:cs="Times New Roman"/>
          <w:b/>
          <w:sz w:val="24"/>
          <w:szCs w:val="24"/>
          <w:lang w:eastAsia="en-AU"/>
        </w:rPr>
      </w:pPr>
      <w:r w:rsidRPr="003A081E">
        <w:rPr>
          <w:rFonts w:eastAsia="Times New Roman" w:cs="Times New Roman"/>
          <w:b/>
          <w:sz w:val="24"/>
          <w:szCs w:val="24"/>
          <w:lang w:eastAsia="en-AU"/>
        </w:rPr>
        <w:t>Date of effect</w:t>
      </w:r>
    </w:p>
    <w:p w:rsidR="00E61400" w:rsidRDefault="00352AF0" w:rsidP="00352AF0">
      <w:pPr>
        <w:spacing w:line="240" w:lineRule="auto"/>
        <w:ind w:left="720" w:hanging="720"/>
        <w:jc w:val="both"/>
        <w:rPr>
          <w:rFonts w:eastAsia="Times New Roman" w:cs="Times New Roman"/>
          <w:sz w:val="24"/>
          <w:szCs w:val="24"/>
          <w:lang w:val="en-GB" w:eastAsia="en-AU"/>
        </w:rPr>
        <w:sectPr w:rsidR="00E61400" w:rsidSect="001F4156">
          <w:headerReference w:type="even" r:id="rId15"/>
          <w:headerReference w:type="default" r:id="rId16"/>
          <w:footerReference w:type="even" r:id="rId17"/>
          <w:footerReference w:type="default" r:id="rId18"/>
          <w:pgSz w:w="11907" w:h="16839" w:code="9"/>
          <w:pgMar w:top="1440" w:right="1797" w:bottom="1440" w:left="1797" w:header="720" w:footer="709" w:gutter="0"/>
          <w:pgNumType w:start="1"/>
          <w:cols w:space="708"/>
          <w:docGrid w:linePitch="360"/>
        </w:sectPr>
      </w:pPr>
      <w:r w:rsidRPr="00352AF0">
        <w:rPr>
          <w:rFonts w:eastAsia="Times New Roman" w:cs="Times New Roman"/>
          <w:b/>
          <w:sz w:val="24"/>
          <w:szCs w:val="24"/>
          <w:lang w:val="en-GB" w:eastAsia="en-AU"/>
        </w:rPr>
        <w:t>11.</w:t>
      </w:r>
      <w:r w:rsidRPr="00352AF0">
        <w:rPr>
          <w:rFonts w:eastAsia="Times New Roman" w:cs="Times New Roman"/>
          <w:sz w:val="24"/>
          <w:szCs w:val="24"/>
          <w:lang w:val="en-GB" w:eastAsia="en-AU"/>
        </w:rPr>
        <w:tab/>
        <w:t>This Instrument takes effect from 2 July 2014.</w:t>
      </w:r>
    </w:p>
    <w:p w:rsidR="00352AF0" w:rsidRPr="00352AF0" w:rsidRDefault="00352AF0" w:rsidP="00352AF0">
      <w:pPr>
        <w:spacing w:line="240" w:lineRule="auto"/>
        <w:ind w:left="720" w:hanging="720"/>
        <w:jc w:val="both"/>
        <w:rPr>
          <w:rFonts w:eastAsia="Times New Roman" w:cs="Times New Roman"/>
          <w:sz w:val="24"/>
          <w:szCs w:val="24"/>
          <w:lang w:val="en-GB" w:eastAsia="en-AU"/>
        </w:rPr>
      </w:pPr>
    </w:p>
    <w:p w:rsidR="00307068" w:rsidRPr="001778F8" w:rsidRDefault="00307068" w:rsidP="00307068">
      <w:pPr>
        <w:pStyle w:val="ENotesHeading1"/>
      </w:pPr>
      <w:r>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01F76" w:rsidRPr="0098546F" w:rsidTr="007C6773">
        <w:trPr>
          <w:cantSplit/>
          <w:tblHeader/>
        </w:trPr>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Name</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Registration</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Commencement</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rsidRPr="00E117A3">
              <w:t>Application, saving and transitional provisions</w:t>
            </w:r>
          </w:p>
        </w:tc>
      </w:tr>
      <w:tr w:rsidR="007C6773" w:rsidRPr="00E117A3" w:rsidTr="007C6773">
        <w:trPr>
          <w:cantSplit/>
        </w:trPr>
        <w:tc>
          <w:tcPr>
            <w:tcW w:w="1806" w:type="dxa"/>
            <w:tcBorders>
              <w:top w:val="single" w:sz="12" w:space="0" w:color="auto"/>
              <w:bottom w:val="single" w:sz="4" w:space="0" w:color="auto"/>
            </w:tcBorders>
            <w:shd w:val="clear" w:color="auto" w:fill="auto"/>
          </w:tcPr>
          <w:p w:rsidR="00A133FB" w:rsidRPr="003A081E" w:rsidRDefault="00A133FB" w:rsidP="00A133FB">
            <w:pPr>
              <w:pStyle w:val="ENoteTableText"/>
              <w:rPr>
                <w:rFonts w:ascii="Arial" w:hAnsi="Arial" w:cs="Arial"/>
                <w:sz w:val="18"/>
                <w:szCs w:val="18"/>
              </w:rPr>
            </w:pPr>
            <w:r w:rsidRPr="003A081E">
              <w:rPr>
                <w:rFonts w:ascii="Arial" w:hAnsi="Arial" w:cs="Arial"/>
                <w:i/>
                <w:sz w:val="18"/>
                <w:szCs w:val="18"/>
              </w:rPr>
              <w:t>Statement</w:t>
            </w:r>
            <w:r w:rsidR="0023048D" w:rsidRPr="003A081E">
              <w:rPr>
                <w:rFonts w:ascii="Arial" w:hAnsi="Arial" w:cs="Arial"/>
                <w:i/>
                <w:sz w:val="18"/>
                <w:szCs w:val="18"/>
              </w:rPr>
              <w:t xml:space="preserve"> of Principles concerning malignant neoplasm of the stomach</w:t>
            </w:r>
            <w:r w:rsidRPr="003A081E">
              <w:rPr>
                <w:rFonts w:ascii="Arial" w:hAnsi="Arial" w:cs="Arial"/>
                <w:i/>
                <w:sz w:val="18"/>
                <w:szCs w:val="18"/>
              </w:rPr>
              <w:t xml:space="preserve"> No. </w:t>
            </w:r>
            <w:r w:rsidR="0023048D" w:rsidRPr="003A081E">
              <w:rPr>
                <w:rFonts w:ascii="Arial" w:hAnsi="Arial" w:cs="Arial"/>
                <w:i/>
                <w:sz w:val="18"/>
                <w:szCs w:val="18"/>
              </w:rPr>
              <w:t>59</w:t>
            </w:r>
            <w:r w:rsidRPr="003A081E">
              <w:rPr>
                <w:rFonts w:ascii="Arial" w:hAnsi="Arial" w:cs="Arial"/>
                <w:i/>
                <w:sz w:val="18"/>
                <w:szCs w:val="18"/>
              </w:rPr>
              <w:t xml:space="preserve"> of </w:t>
            </w:r>
            <w:r w:rsidR="0023048D" w:rsidRPr="003A081E">
              <w:rPr>
                <w:rFonts w:ascii="Arial" w:hAnsi="Arial" w:cs="Arial"/>
                <w:i/>
                <w:sz w:val="18"/>
                <w:szCs w:val="18"/>
              </w:rPr>
              <w:t>2014</w:t>
            </w:r>
          </w:p>
          <w:p w:rsidR="007C6773" w:rsidRPr="003A081E"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Default="0023048D" w:rsidP="00021F2F">
            <w:pPr>
              <w:pStyle w:val="TableOfStatRules"/>
              <w:rPr>
                <w:rFonts w:cs="Arial"/>
                <w:szCs w:val="18"/>
              </w:rPr>
            </w:pPr>
            <w:r>
              <w:rPr>
                <w:rFonts w:cs="Arial"/>
                <w:szCs w:val="18"/>
              </w:rPr>
              <w:t>2 July 2014</w:t>
            </w:r>
          </w:p>
          <w:p w:rsidR="0023048D" w:rsidRPr="00E85EF4" w:rsidRDefault="0023048D" w:rsidP="00021F2F">
            <w:pPr>
              <w:pStyle w:val="TableOfStatRules"/>
              <w:rPr>
                <w:rFonts w:cs="Arial"/>
                <w:szCs w:val="18"/>
              </w:rPr>
            </w:pPr>
          </w:p>
          <w:p w:rsidR="007C6773" w:rsidRPr="00E85EF4" w:rsidRDefault="007C6773" w:rsidP="0023048D">
            <w:pPr>
              <w:pStyle w:val="ENoteTableText"/>
              <w:rPr>
                <w:rFonts w:ascii="Arial" w:hAnsi="Arial" w:cs="Arial"/>
                <w:sz w:val="18"/>
                <w:szCs w:val="18"/>
              </w:rPr>
            </w:pPr>
            <w:r w:rsidRPr="00E85EF4">
              <w:rPr>
                <w:rFonts w:ascii="Arial" w:hAnsi="Arial" w:cs="Arial"/>
                <w:sz w:val="18"/>
                <w:szCs w:val="18"/>
              </w:rPr>
              <w:t>F201</w:t>
            </w:r>
            <w:r w:rsidR="0023048D">
              <w:rPr>
                <w:rFonts w:ascii="Arial" w:hAnsi="Arial" w:cs="Arial"/>
                <w:sz w:val="18"/>
                <w:szCs w:val="18"/>
              </w:rPr>
              <w:t>4L00938</w:t>
            </w:r>
          </w:p>
        </w:tc>
        <w:tc>
          <w:tcPr>
            <w:tcW w:w="1806" w:type="dxa"/>
            <w:tcBorders>
              <w:top w:val="single" w:sz="12" w:space="0" w:color="auto"/>
              <w:bottom w:val="single" w:sz="4" w:space="0" w:color="auto"/>
            </w:tcBorders>
            <w:shd w:val="clear" w:color="auto" w:fill="auto"/>
          </w:tcPr>
          <w:p w:rsidR="007C6773" w:rsidRPr="00E85EF4" w:rsidRDefault="0023048D" w:rsidP="00021F2F">
            <w:pPr>
              <w:pStyle w:val="TableOfStatRules"/>
              <w:rPr>
                <w:rFonts w:cs="Arial"/>
                <w:szCs w:val="18"/>
              </w:rPr>
            </w:pPr>
            <w:r>
              <w:rPr>
                <w:rFonts w:cs="Arial"/>
                <w:szCs w:val="18"/>
              </w:rPr>
              <w:t>2 July 2014</w:t>
            </w:r>
          </w:p>
          <w:p w:rsidR="007C6773" w:rsidRPr="00E85EF4"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Pr="00E85EF4" w:rsidRDefault="007C6773" w:rsidP="00021F2F">
            <w:pPr>
              <w:pStyle w:val="ENoteTableText"/>
              <w:rPr>
                <w:rFonts w:ascii="Arial" w:hAnsi="Arial" w:cs="Arial"/>
                <w:sz w:val="18"/>
                <w:szCs w:val="18"/>
              </w:rPr>
            </w:pPr>
          </w:p>
        </w:tc>
      </w:tr>
      <w:tr w:rsidR="007C6773" w:rsidTr="007C6773">
        <w:trPr>
          <w:cantSplit/>
        </w:trPr>
        <w:tc>
          <w:tcPr>
            <w:tcW w:w="1806" w:type="dxa"/>
            <w:tcBorders>
              <w:bottom w:val="single" w:sz="12" w:space="0" w:color="auto"/>
            </w:tcBorders>
            <w:shd w:val="clear" w:color="auto" w:fill="auto"/>
          </w:tcPr>
          <w:p w:rsidR="003A081E" w:rsidRPr="003A081E" w:rsidRDefault="003A081E" w:rsidP="003A081E">
            <w:pPr>
              <w:rPr>
                <w:rFonts w:ascii="Arial" w:eastAsia="Times New Roman" w:hAnsi="Arial" w:cs="Arial"/>
                <w:i/>
                <w:sz w:val="18"/>
                <w:szCs w:val="18"/>
                <w:lang w:eastAsia="en-AU"/>
              </w:rPr>
            </w:pPr>
            <w:r w:rsidRPr="003A081E">
              <w:rPr>
                <w:rFonts w:ascii="Arial" w:eastAsia="Times New Roman" w:hAnsi="Arial" w:cs="Arial"/>
                <w:i/>
                <w:sz w:val="18"/>
                <w:szCs w:val="18"/>
                <w:lang w:eastAsia="en-AU"/>
              </w:rPr>
              <w:t>Veterans' Entitlements (Statements of Principles—Cumulative Equivalent Dose) Amendment Determination 2017 (No. 58 of 2017)</w:t>
            </w:r>
          </w:p>
          <w:p w:rsidR="007C6773" w:rsidRPr="003A081E"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5830EA" w:rsidRPr="00E85EF4" w:rsidRDefault="005830EA" w:rsidP="005830EA">
            <w:pPr>
              <w:pStyle w:val="TableOfStatRules"/>
              <w:rPr>
                <w:rFonts w:cs="Arial"/>
                <w:szCs w:val="18"/>
              </w:rPr>
            </w:pPr>
            <w:r>
              <w:rPr>
                <w:rFonts w:cs="Arial"/>
                <w:szCs w:val="18"/>
              </w:rPr>
              <w:t>22 August 2017</w:t>
            </w:r>
          </w:p>
          <w:p w:rsidR="005830EA" w:rsidRPr="00E85EF4" w:rsidRDefault="005830EA" w:rsidP="005830EA">
            <w:pPr>
              <w:pStyle w:val="TableOfStatRules"/>
              <w:rPr>
                <w:rFonts w:cs="Arial"/>
                <w:szCs w:val="18"/>
              </w:rPr>
            </w:pPr>
          </w:p>
          <w:p w:rsidR="005830EA" w:rsidRPr="00E85EF4" w:rsidRDefault="005830EA" w:rsidP="005830EA">
            <w:pPr>
              <w:pStyle w:val="TableOfStatRules"/>
              <w:rPr>
                <w:rFonts w:cs="Arial"/>
                <w:szCs w:val="18"/>
              </w:rPr>
            </w:pPr>
            <w:r w:rsidRPr="00E85EF4">
              <w:rPr>
                <w:rFonts w:cs="Arial"/>
                <w:szCs w:val="18"/>
              </w:rPr>
              <w:t>F201</w:t>
            </w:r>
            <w:r>
              <w:rPr>
                <w:rFonts w:cs="Arial"/>
                <w:szCs w:val="18"/>
              </w:rPr>
              <w:t>7L01067</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3A081E" w:rsidP="00021F2F">
            <w:pPr>
              <w:pStyle w:val="TableOfStatRules"/>
              <w:rPr>
                <w:rFonts w:cs="Arial"/>
                <w:szCs w:val="18"/>
              </w:rPr>
            </w:pPr>
            <w:r>
              <w:rPr>
                <w:rFonts w:cs="Arial"/>
                <w:szCs w:val="18"/>
              </w:rPr>
              <w:t>18 September 2017</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7C6773"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3A081E" w:rsidTr="007C6637">
        <w:trPr>
          <w:cantSplit/>
        </w:trPr>
        <w:tc>
          <w:tcPr>
            <w:tcW w:w="2139" w:type="dxa"/>
            <w:tcBorders>
              <w:bottom w:val="single" w:sz="12" w:space="0" w:color="auto"/>
            </w:tcBorders>
            <w:shd w:val="clear" w:color="auto" w:fill="auto"/>
          </w:tcPr>
          <w:p w:rsidR="003A081E" w:rsidRDefault="003A081E" w:rsidP="003A081E">
            <w:pPr>
              <w:pStyle w:val="TableOfAmend"/>
            </w:pPr>
            <w:r>
              <w:t>Clause 9 – ' "cumulative equivalent dose"……'</w:t>
            </w:r>
          </w:p>
        </w:tc>
        <w:tc>
          <w:tcPr>
            <w:tcW w:w="4943" w:type="dxa"/>
            <w:tcBorders>
              <w:bottom w:val="single" w:sz="12" w:space="0" w:color="auto"/>
            </w:tcBorders>
            <w:shd w:val="clear" w:color="auto" w:fill="auto"/>
          </w:tcPr>
          <w:p w:rsidR="003A081E" w:rsidRDefault="003A081E" w:rsidP="003A081E">
            <w:pPr>
              <w:pStyle w:val="TableOfAmend"/>
            </w:pPr>
            <w:r>
              <w:t>rs. Instrument  No. 58 of 2017</w:t>
            </w:r>
          </w:p>
        </w:tc>
      </w:tr>
    </w:tbl>
    <w:p w:rsidR="00307068" w:rsidRDefault="00307068" w:rsidP="00307068">
      <w:pPr>
        <w:pStyle w:val="Tabletext"/>
      </w:pPr>
    </w:p>
    <w:p w:rsidR="00DF6D7F" w:rsidRDefault="00DF6D7F" w:rsidP="00307068">
      <w:pPr>
        <w:sectPr w:rsidR="00DF6D7F" w:rsidSect="004C79CF">
          <w:headerReference w:type="default" r:id="rId19"/>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0"/>
      <w:footerReference w:type="default" r:id="rId2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983541">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bookmarkStart w:id="2" w:name="_GoBack"/>
    <w:bookmarkEnd w:id="2"/>
  </w:p>
  <w:tbl>
    <w:tblPr>
      <w:tblStyle w:val="TableGrid"/>
      <w:tblW w:w="0" w:type="auto"/>
      <w:tblLook w:val="04A0" w:firstRow="1" w:lastRow="0" w:firstColumn="1" w:lastColumn="0" w:noHBand="0" w:noVBand="1"/>
    </w:tblPr>
    <w:tblGrid>
      <w:gridCol w:w="851"/>
      <w:gridCol w:w="1306"/>
      <w:gridCol w:w="2859"/>
      <w:gridCol w:w="2597"/>
      <w:gridCol w:w="700"/>
    </w:tblGrid>
    <w:tr w:rsidR="009A55F7" w:rsidTr="0034373D">
      <w:tc>
        <w:tcPr>
          <w:tcW w:w="851" w:type="dxa"/>
          <w:tcBorders>
            <w:top w:val="nil"/>
            <w:left w:val="nil"/>
            <w:bottom w:val="nil"/>
            <w:right w:val="nil"/>
          </w:tcBorders>
        </w:tcPr>
        <w:p w:rsidR="009A55F7" w:rsidRDefault="009A55F7" w:rsidP="009A55F7">
          <w:pPr>
            <w:spacing w:line="0" w:lineRule="atLeast"/>
            <w:rPr>
              <w:sz w:val="18"/>
            </w:rPr>
          </w:pPr>
        </w:p>
      </w:tc>
      <w:tc>
        <w:tcPr>
          <w:tcW w:w="6762" w:type="dxa"/>
          <w:gridSpan w:val="3"/>
          <w:tcBorders>
            <w:top w:val="nil"/>
            <w:left w:val="nil"/>
            <w:bottom w:val="nil"/>
            <w:right w:val="nil"/>
          </w:tcBorders>
        </w:tcPr>
        <w:p w:rsidR="009A55F7" w:rsidRPr="00AD2D4B" w:rsidRDefault="009A55F7" w:rsidP="009A55F7">
          <w:pPr>
            <w:spacing w:line="0" w:lineRule="atLeast"/>
            <w:jc w:val="center"/>
            <w:rPr>
              <w:i/>
              <w:sz w:val="18"/>
              <w:szCs w:val="18"/>
            </w:rPr>
          </w:pPr>
          <w:r w:rsidRPr="00AD2D4B">
            <w:rPr>
              <w:i/>
              <w:sz w:val="18"/>
              <w:szCs w:val="18"/>
            </w:rPr>
            <w:t xml:space="preserve">Statement of Principles concerning </w:t>
          </w:r>
          <w:r w:rsidR="00DF3F0B">
            <w:rPr>
              <w:i/>
              <w:sz w:val="18"/>
              <w:szCs w:val="18"/>
            </w:rPr>
            <w:t>Malignant Neoplasm Of The Stomach</w:t>
          </w:r>
        </w:p>
      </w:tc>
      <w:tc>
        <w:tcPr>
          <w:tcW w:w="700" w:type="dxa"/>
          <w:tcBorders>
            <w:top w:val="nil"/>
            <w:left w:val="nil"/>
            <w:bottom w:val="nil"/>
            <w:right w:val="nil"/>
          </w:tcBorders>
        </w:tcPr>
        <w:p w:rsidR="009A55F7" w:rsidRDefault="009A55F7" w:rsidP="009A5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4156">
            <w:rPr>
              <w:i/>
              <w:noProof/>
              <w:sz w:val="18"/>
            </w:rPr>
            <w:t>1</w:t>
          </w:r>
          <w:r w:rsidRPr="00ED79B6">
            <w:rPr>
              <w:i/>
              <w:sz w:val="18"/>
            </w:rPr>
            <w:fldChar w:fldCharType="end"/>
          </w:r>
        </w:p>
      </w:tc>
    </w:tr>
    <w:tr w:rsidR="009A55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A55F7" w:rsidRPr="007E56FF" w:rsidRDefault="009A55F7" w:rsidP="00DF3F0B">
          <w:pPr>
            <w:jc w:val="center"/>
            <w:rPr>
              <w:i/>
              <w:sz w:val="18"/>
            </w:rPr>
          </w:pPr>
          <w:r w:rsidRPr="007E56FF">
            <w:rPr>
              <w:i/>
              <w:sz w:val="18"/>
            </w:rPr>
            <w:t xml:space="preserve"> No. </w:t>
          </w:r>
          <w:r w:rsidR="00DF3F0B">
            <w:rPr>
              <w:i/>
              <w:sz w:val="18"/>
            </w:rPr>
            <w:t>59</w:t>
          </w:r>
          <w:r w:rsidRPr="007E56FF">
            <w:rPr>
              <w:i/>
              <w:sz w:val="18"/>
            </w:rPr>
            <w:t xml:space="preserve"> of </w:t>
          </w:r>
          <w:r w:rsidR="00DF3F0B">
            <w:rPr>
              <w:i/>
              <w:sz w:val="18"/>
            </w:rPr>
            <w:t>2014</w:t>
          </w:r>
        </w:p>
      </w:tc>
    </w:tr>
    <w:tr w:rsidR="009A55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A55F7" w:rsidRPr="007E56FF" w:rsidRDefault="009A55F7" w:rsidP="009A55F7">
          <w:pPr>
            <w:jc w:val="center"/>
            <w:rPr>
              <w:i/>
              <w:sz w:val="18"/>
            </w:rPr>
          </w:pPr>
          <w:r w:rsidRPr="007E56FF">
            <w:rPr>
              <w:i/>
              <w:sz w:val="18"/>
            </w:rPr>
            <w:t>Veterans' Entitlements Act 1986</w:t>
          </w:r>
        </w:p>
      </w:tc>
    </w:tr>
    <w:tr w:rsidR="009A55F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A55F7" w:rsidRPr="00130F37" w:rsidRDefault="009A55F7" w:rsidP="009A55F7">
          <w:pPr>
            <w:spacing w:before="120"/>
            <w:rPr>
              <w:sz w:val="16"/>
              <w:szCs w:val="16"/>
            </w:rPr>
          </w:pPr>
          <w:r w:rsidRPr="00130F37">
            <w:rPr>
              <w:sz w:val="16"/>
              <w:szCs w:val="16"/>
            </w:rPr>
            <w:t xml:space="preserve">Compilation No. </w:t>
          </w:r>
          <w:r w:rsidR="00DF3F0B">
            <w:rPr>
              <w:sz w:val="16"/>
              <w:szCs w:val="16"/>
            </w:rPr>
            <w:t>1</w:t>
          </w:r>
        </w:p>
      </w:tc>
      <w:tc>
        <w:tcPr>
          <w:tcW w:w="2859" w:type="dxa"/>
        </w:tcPr>
        <w:p w:rsidR="009A55F7" w:rsidRPr="00130F37" w:rsidRDefault="009A55F7" w:rsidP="009A55F7">
          <w:pPr>
            <w:spacing w:before="120"/>
            <w:jc w:val="center"/>
            <w:rPr>
              <w:sz w:val="16"/>
              <w:szCs w:val="16"/>
            </w:rPr>
          </w:pPr>
        </w:p>
      </w:tc>
      <w:tc>
        <w:tcPr>
          <w:tcW w:w="3297" w:type="dxa"/>
          <w:gridSpan w:val="2"/>
        </w:tcPr>
        <w:p w:rsidR="009A55F7" w:rsidRPr="00130F37" w:rsidRDefault="009A55F7" w:rsidP="003F5239">
          <w:pPr>
            <w:spacing w:before="120"/>
            <w:jc w:val="right"/>
            <w:rPr>
              <w:sz w:val="16"/>
              <w:szCs w:val="16"/>
            </w:rPr>
          </w:pPr>
          <w:r w:rsidRPr="00130F37">
            <w:rPr>
              <w:sz w:val="16"/>
              <w:szCs w:val="16"/>
            </w:rPr>
            <w:t xml:space="preserve">Compilation date: </w:t>
          </w:r>
          <w:r w:rsidR="003F5239">
            <w:rPr>
              <w:sz w:val="16"/>
              <w:szCs w:val="16"/>
            </w:rPr>
            <w:t>18</w:t>
          </w:r>
          <w:r>
            <w:rPr>
              <w:sz w:val="16"/>
              <w:szCs w:val="16"/>
            </w:rPr>
            <w:t>/</w:t>
          </w:r>
          <w:r w:rsidR="003F5239">
            <w:rPr>
              <w:sz w:val="16"/>
              <w:szCs w:val="16"/>
            </w:rPr>
            <w:t>09/2017</w:t>
          </w:r>
        </w:p>
      </w:tc>
    </w:tr>
  </w:tbl>
  <w:p w:rsidR="00307068" w:rsidRPr="00ED79B6" w:rsidRDefault="00307068" w:rsidP="0075398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31115">
      <w:rPr>
        <w:noProof/>
        <w:szCs w:val="22"/>
      </w:rPr>
      <w:t>Endnote 1—About the endnotes</w:t>
    </w:r>
    <w:r w:rsidRPr="00C4473E">
      <w:rP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jc w:val="right"/>
      <w:rPr>
        <w:sz w:val="26"/>
        <w:szCs w:val="26"/>
      </w:rPr>
    </w:pPr>
  </w:p>
  <w:p w:rsidR="00307068" w:rsidRPr="00965EE7" w:rsidRDefault="00307068" w:rsidP="001A0BEE">
    <w:pPr>
      <w:jc w:val="right"/>
      <w:rPr>
        <w:b/>
        <w:sz w:val="20"/>
      </w:rPr>
    </w:pP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p>
  <w:p w:rsidR="00307068" w:rsidRDefault="0030706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00" w:rsidRPr="00C4473E" w:rsidRDefault="00E61400" w:rsidP="001A0BEE">
    <w:pPr>
      <w:jc w:val="right"/>
      <w:rPr>
        <w:sz w:val="26"/>
        <w:szCs w:val="26"/>
      </w:rPr>
    </w:pPr>
  </w:p>
  <w:p w:rsidR="00E61400" w:rsidRPr="00965EE7" w:rsidRDefault="00E61400" w:rsidP="001A0BEE">
    <w:pPr>
      <w:jc w:val="right"/>
      <w:rPr>
        <w:b/>
        <w:sz w:val="20"/>
      </w:rPr>
    </w:pPr>
    <w:r w:rsidRPr="00965EE7">
      <w:rPr>
        <w:b/>
        <w:sz w:val="20"/>
      </w:rPr>
      <w:t>Endnotes</w:t>
    </w:r>
  </w:p>
  <w:p w:rsidR="00E61400" w:rsidRPr="007A1328" w:rsidRDefault="00E61400" w:rsidP="001A0BEE">
    <w:pPr>
      <w:jc w:val="right"/>
      <w:rPr>
        <w:sz w:val="20"/>
      </w:rPr>
    </w:pPr>
  </w:p>
  <w:p w:rsidR="00E61400" w:rsidRPr="007A1328" w:rsidRDefault="00E61400" w:rsidP="001A0BEE">
    <w:pPr>
      <w:jc w:val="right"/>
      <w:rPr>
        <w:b/>
        <w:sz w:val="24"/>
      </w:rPr>
    </w:pPr>
  </w:p>
  <w:p w:rsidR="00E61400" w:rsidRPr="00C4473E" w:rsidRDefault="00E61400"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F4156">
      <w:rPr>
        <w:noProof/>
        <w:szCs w:val="22"/>
      </w:rPr>
      <w:t>Endnote 4—Amendment history</w:t>
    </w:r>
    <w:r w:rsidRPr="00C4473E">
      <w:rPr>
        <w:szCs w:val="22"/>
      </w:rPr>
      <w:fldChar w:fldCharType="end"/>
    </w:r>
  </w:p>
  <w:p w:rsidR="00E61400" w:rsidRDefault="00E614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0AC37FB"/>
    <w:multiLevelType w:val="multilevel"/>
    <w:tmpl w:val="76947266"/>
    <w:lvl w:ilvl="0">
      <w:start w:val="1"/>
      <w:numFmt w:val="lowerLetter"/>
      <w:lvlText w:val="(%1)"/>
      <w:lvlJc w:val="left"/>
      <w:pPr>
        <w:tabs>
          <w:tab w:val="num" w:pos="1455"/>
        </w:tabs>
        <w:ind w:left="1455" w:hanging="735"/>
      </w:pPr>
      <w:rPr>
        <w:rFonts w:hint="default"/>
        <w:b w:val="0"/>
        <w:i w:val="0"/>
        <w:sz w:val="24"/>
      </w:rPr>
    </w:lvl>
    <w:lvl w:ilvl="1">
      <w:start w:val="1"/>
      <w:numFmt w:val="lowerRoman"/>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C7568DE"/>
    <w:multiLevelType w:val="singleLevel"/>
    <w:tmpl w:val="1B0A8D00"/>
    <w:lvl w:ilvl="0">
      <w:start w:val="2"/>
      <w:numFmt w:val="lowerLetter"/>
      <w:lvlText w:val="(%1)"/>
      <w:lvlJc w:val="left"/>
      <w:pPr>
        <w:tabs>
          <w:tab w:val="num" w:pos="1429"/>
        </w:tabs>
        <w:ind w:left="1429" w:hanging="720"/>
      </w:pPr>
      <w:rPr>
        <w:rFonts w:hint="default"/>
        <w:sz w:val="24"/>
        <w:szCs w:val="24"/>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5B150D9"/>
    <w:multiLevelType w:val="singleLevel"/>
    <w:tmpl w:val="7C30B6C8"/>
    <w:lvl w:ilvl="0">
      <w:start w:val="8"/>
      <w:numFmt w:val="decimal"/>
      <w:lvlText w:val="%1."/>
      <w:lvlJc w:val="left"/>
      <w:pPr>
        <w:tabs>
          <w:tab w:val="num" w:pos="720"/>
        </w:tabs>
        <w:ind w:left="720" w:hanging="72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1"/>
  </w:num>
  <w:num w:numId="15">
    <w:abstractNumId w:val="14"/>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0D7F8C"/>
    <w:rsid w:val="000E5BC2"/>
    <w:rsid w:val="00101F45"/>
    <w:rsid w:val="0010745C"/>
    <w:rsid w:val="00166C2F"/>
    <w:rsid w:val="00186AFD"/>
    <w:rsid w:val="001939E1"/>
    <w:rsid w:val="00195382"/>
    <w:rsid w:val="001C69C4"/>
    <w:rsid w:val="001E3590"/>
    <w:rsid w:val="001E7407"/>
    <w:rsid w:val="001F4156"/>
    <w:rsid w:val="0023048D"/>
    <w:rsid w:val="00253D1B"/>
    <w:rsid w:val="00295FBA"/>
    <w:rsid w:val="002970D7"/>
    <w:rsid w:val="00297ECB"/>
    <w:rsid w:val="002C7668"/>
    <w:rsid w:val="002D043A"/>
    <w:rsid w:val="002D6A8E"/>
    <w:rsid w:val="00307068"/>
    <w:rsid w:val="00311448"/>
    <w:rsid w:val="0032286F"/>
    <w:rsid w:val="00352AF0"/>
    <w:rsid w:val="00352B0F"/>
    <w:rsid w:val="00360FB0"/>
    <w:rsid w:val="00377A00"/>
    <w:rsid w:val="003A081E"/>
    <w:rsid w:val="003B5735"/>
    <w:rsid w:val="003D0BFE"/>
    <w:rsid w:val="003D5700"/>
    <w:rsid w:val="003D6F8A"/>
    <w:rsid w:val="003E4160"/>
    <w:rsid w:val="003F5239"/>
    <w:rsid w:val="004116CD"/>
    <w:rsid w:val="00424CA9"/>
    <w:rsid w:val="0044291A"/>
    <w:rsid w:val="004560FB"/>
    <w:rsid w:val="004653F8"/>
    <w:rsid w:val="00496F97"/>
    <w:rsid w:val="00516B8D"/>
    <w:rsid w:val="005327A0"/>
    <w:rsid w:val="00537FBC"/>
    <w:rsid w:val="005830EA"/>
    <w:rsid w:val="00584811"/>
    <w:rsid w:val="00594161"/>
    <w:rsid w:val="00594749"/>
    <w:rsid w:val="005F06E0"/>
    <w:rsid w:val="00600219"/>
    <w:rsid w:val="00613A55"/>
    <w:rsid w:val="006207A3"/>
    <w:rsid w:val="006279B8"/>
    <w:rsid w:val="00631115"/>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7C6773"/>
    <w:rsid w:val="008006B2"/>
    <w:rsid w:val="00856A31"/>
    <w:rsid w:val="00872162"/>
    <w:rsid w:val="008754D0"/>
    <w:rsid w:val="00893A33"/>
    <w:rsid w:val="008C4AAF"/>
    <w:rsid w:val="008E17F3"/>
    <w:rsid w:val="008E3B8C"/>
    <w:rsid w:val="008E4F16"/>
    <w:rsid w:val="008F0CF0"/>
    <w:rsid w:val="008F20EA"/>
    <w:rsid w:val="00910C7A"/>
    <w:rsid w:val="00917C66"/>
    <w:rsid w:val="0094622F"/>
    <w:rsid w:val="0098638B"/>
    <w:rsid w:val="009A55F7"/>
    <w:rsid w:val="00A01F76"/>
    <w:rsid w:val="00A133FB"/>
    <w:rsid w:val="00A231E2"/>
    <w:rsid w:val="00A55172"/>
    <w:rsid w:val="00A64912"/>
    <w:rsid w:val="00A707C3"/>
    <w:rsid w:val="00A70A74"/>
    <w:rsid w:val="00A87E76"/>
    <w:rsid w:val="00A91B5C"/>
    <w:rsid w:val="00AC07B0"/>
    <w:rsid w:val="00AD5641"/>
    <w:rsid w:val="00B33B3C"/>
    <w:rsid w:val="00BE719A"/>
    <w:rsid w:val="00BE720A"/>
    <w:rsid w:val="00C42BF8"/>
    <w:rsid w:val="00C50043"/>
    <w:rsid w:val="00C544DF"/>
    <w:rsid w:val="00C61CDD"/>
    <w:rsid w:val="00C7573B"/>
    <w:rsid w:val="00C83868"/>
    <w:rsid w:val="00C9377B"/>
    <w:rsid w:val="00CB3D6B"/>
    <w:rsid w:val="00CB48D8"/>
    <w:rsid w:val="00CC0A9E"/>
    <w:rsid w:val="00CD0200"/>
    <w:rsid w:val="00CF0BB2"/>
    <w:rsid w:val="00D03A1F"/>
    <w:rsid w:val="00D108FC"/>
    <w:rsid w:val="00D13441"/>
    <w:rsid w:val="00D70DFB"/>
    <w:rsid w:val="00D766DF"/>
    <w:rsid w:val="00DB3CFE"/>
    <w:rsid w:val="00DB6E60"/>
    <w:rsid w:val="00DC7B41"/>
    <w:rsid w:val="00DE7073"/>
    <w:rsid w:val="00DF1CF5"/>
    <w:rsid w:val="00DF3F0B"/>
    <w:rsid w:val="00DF6D7F"/>
    <w:rsid w:val="00E61400"/>
    <w:rsid w:val="00E74DC7"/>
    <w:rsid w:val="00E76A98"/>
    <w:rsid w:val="00ED0C49"/>
    <w:rsid w:val="00EE0816"/>
    <w:rsid w:val="00EF2E3A"/>
    <w:rsid w:val="00F04811"/>
    <w:rsid w:val="00F078DC"/>
    <w:rsid w:val="00F23E5F"/>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A01F76"/>
    <w:pPr>
      <w:spacing w:before="60" w:line="200" w:lineRule="exact"/>
    </w:pPr>
    <w:rPr>
      <w:rFonts w:ascii="Arial" w:eastAsia="Times New Roman" w:hAnsi="Arial" w:cs="Times New Roman"/>
      <w:noProof/>
      <w:sz w:val="18"/>
      <w:szCs w:val="24"/>
      <w:lang w:eastAsia="en-AU"/>
    </w:rPr>
  </w:style>
  <w:style w:type="paragraph" w:customStyle="1" w:styleId="Plainheader">
    <w:name w:val="Plain header"/>
    <w:autoRedefine/>
    <w:uiPriority w:val="2"/>
    <w:qFormat/>
    <w:rsid w:val="003F5239"/>
    <w:pPr>
      <w:spacing w:before="120" w:after="120" w:line="280" w:lineRule="atLeast"/>
      <w:outlineLvl w:val="0"/>
    </w:pPr>
    <w:rPr>
      <w:rFonts w:eastAsia="Calibri" w:cs="Arial"/>
      <w:color w:val="000000"/>
      <w:sz w:val="24"/>
    </w:rPr>
  </w:style>
  <w:style w:type="character" w:customStyle="1" w:styleId="notetextChar">
    <w:name w:val="note(text) Char"/>
    <w:aliases w:val="n Char"/>
    <w:link w:val="notetext"/>
    <w:rsid w:val="008C4AAF"/>
    <w:rPr>
      <w:rFonts w:eastAsia="Times New Roman" w:cs="Times New Roman"/>
      <w:sz w:val="18"/>
      <w:lang w:eastAsia="en-AU"/>
    </w:rPr>
  </w:style>
  <w:style w:type="paragraph" w:styleId="ListParagraph">
    <w:name w:val="List Paragraph"/>
    <w:basedOn w:val="Normal"/>
    <w:uiPriority w:val="34"/>
    <w:qFormat/>
    <w:rsid w:val="003A081E"/>
    <w:pPr>
      <w:ind w:left="720"/>
      <w:contextualSpacing/>
    </w:pPr>
  </w:style>
  <w:style w:type="paragraph" w:customStyle="1" w:styleId="TableOfAmend">
    <w:name w:val="TableOfAmend"/>
    <w:basedOn w:val="Normal"/>
    <w:rsid w:val="003A081E"/>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15</TotalTime>
  <Pages>10</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15</cp:revision>
  <cp:lastPrinted>2016-11-03T03:57:00Z</cp:lastPrinted>
  <dcterms:created xsi:type="dcterms:W3CDTF">2017-06-07T00:12:00Z</dcterms:created>
  <dcterms:modified xsi:type="dcterms:W3CDTF">2017-09-06T04:42:00Z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