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BE9E" w14:textId="77777777" w:rsidR="0006230E" w:rsidRPr="00E318F7" w:rsidRDefault="0006230E" w:rsidP="0006230E">
      <w:pPr>
        <w:rPr>
          <w:sz w:val="28"/>
        </w:rPr>
      </w:pPr>
      <w:r w:rsidRPr="00E318F7">
        <w:rPr>
          <w:noProof/>
        </w:rPr>
        <w:drawing>
          <wp:inline distT="0" distB="0" distL="0" distR="0" wp14:anchorId="0C0BBDA0" wp14:editId="3976657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A1ABF5" w14:textId="77777777" w:rsidR="0006230E" w:rsidRPr="00E318F7" w:rsidRDefault="0006230E" w:rsidP="0006230E">
      <w:pPr>
        <w:rPr>
          <w:sz w:val="19"/>
        </w:rPr>
      </w:pPr>
    </w:p>
    <w:p w14:paraId="654EB9CE" w14:textId="7CA1B89B" w:rsidR="0006230E" w:rsidRPr="00E318F7" w:rsidRDefault="00FF75D3" w:rsidP="0006230E">
      <w:pPr>
        <w:pStyle w:val="ShortT"/>
      </w:pPr>
      <w:r>
        <w:t>Radiocommunications (Electromagnetic Radiation – Human Exposure) Standard 2014</w:t>
      </w:r>
    </w:p>
    <w:p w14:paraId="183B11F1" w14:textId="77777777" w:rsidR="0006230E" w:rsidRPr="00E318F7" w:rsidRDefault="0006230E" w:rsidP="0006230E">
      <w:pPr>
        <w:pStyle w:val="SignCoverPageStart"/>
        <w:spacing w:before="0" w:line="240" w:lineRule="auto"/>
        <w:rPr>
          <w:szCs w:val="22"/>
        </w:rPr>
      </w:pPr>
    </w:p>
    <w:p w14:paraId="2D2C18ED" w14:textId="58596348" w:rsidR="0006230E" w:rsidRPr="00B81D48" w:rsidRDefault="0006230E" w:rsidP="0006230E">
      <w:pPr>
        <w:pStyle w:val="MadeunderText"/>
      </w:pPr>
      <w:r w:rsidRPr="00B81D48">
        <w:t>made under</w:t>
      </w:r>
      <w:r>
        <w:t xml:space="preserve"> </w:t>
      </w:r>
      <w:r w:rsidR="00624572">
        <w:t>subsection 162(1)</w:t>
      </w:r>
      <w:r>
        <w:t xml:space="preserve"> of</w:t>
      </w:r>
      <w:r w:rsidRPr="00B81D48">
        <w:t xml:space="preserve"> the</w:t>
      </w:r>
    </w:p>
    <w:p w14:paraId="0FC515CA" w14:textId="3173B396" w:rsidR="0006230E" w:rsidRDefault="00624572" w:rsidP="0006230E">
      <w:pPr>
        <w:pStyle w:val="CompiledMadeUnder"/>
        <w:spacing w:before="240"/>
      </w:pPr>
      <w:r>
        <w:t>Radiocommunications Act 1992</w:t>
      </w:r>
    </w:p>
    <w:p w14:paraId="16E1AA1F" w14:textId="77777777" w:rsidR="0006230E" w:rsidRPr="00DF44E2" w:rsidRDefault="0006230E" w:rsidP="0006230E"/>
    <w:p w14:paraId="6A482287" w14:textId="77777777" w:rsidR="0006230E" w:rsidRPr="00DF44E2" w:rsidRDefault="0006230E" w:rsidP="0006230E"/>
    <w:p w14:paraId="6C6188E1" w14:textId="75A50A39" w:rsidR="0006230E" w:rsidRPr="00DF44E2" w:rsidRDefault="0006230E" w:rsidP="0006230E">
      <w:pPr>
        <w:spacing w:before="1000"/>
        <w:rPr>
          <w:b/>
          <w:sz w:val="32"/>
          <w:szCs w:val="32"/>
        </w:rPr>
      </w:pPr>
      <w:r w:rsidRPr="00DF44E2">
        <w:rPr>
          <w:b/>
          <w:sz w:val="32"/>
          <w:szCs w:val="32"/>
        </w:rPr>
        <w:t>Compilation No.</w:t>
      </w:r>
      <w:r>
        <w:rPr>
          <w:b/>
          <w:sz w:val="32"/>
          <w:szCs w:val="32"/>
        </w:rPr>
        <w:t> </w:t>
      </w:r>
      <w:r w:rsidR="00BA32BF">
        <w:rPr>
          <w:b/>
          <w:sz w:val="32"/>
          <w:szCs w:val="32"/>
        </w:rPr>
        <w:t>2</w:t>
      </w:r>
      <w:r w:rsidRPr="00DF44E2">
        <w:rPr>
          <w:b/>
          <w:sz w:val="32"/>
          <w:szCs w:val="32"/>
        </w:rPr>
        <w:t xml:space="preserve"> </w:t>
      </w:r>
    </w:p>
    <w:p w14:paraId="74CD18E5" w14:textId="57862364" w:rsidR="0006230E" w:rsidRPr="00DF44E2" w:rsidRDefault="0006230E" w:rsidP="0006230E">
      <w:pPr>
        <w:spacing w:before="480"/>
      </w:pPr>
      <w:r w:rsidRPr="00DF44E2">
        <w:rPr>
          <w:b/>
        </w:rPr>
        <w:t xml:space="preserve">Compilation date: </w:t>
      </w:r>
      <w:r w:rsidRPr="00DF44E2">
        <w:rPr>
          <w:b/>
        </w:rPr>
        <w:tab/>
      </w:r>
      <w:r w:rsidRPr="00DF44E2">
        <w:rPr>
          <w:b/>
        </w:rPr>
        <w:tab/>
      </w:r>
      <w:r w:rsidRPr="00DF44E2">
        <w:rPr>
          <w:b/>
        </w:rPr>
        <w:tab/>
      </w:r>
      <w:r w:rsidR="00BA32BF">
        <w:t>15 April 2020</w:t>
      </w:r>
    </w:p>
    <w:p w14:paraId="7B40FE73" w14:textId="5008A8BD" w:rsidR="0006230E" w:rsidRPr="00DF44E2" w:rsidRDefault="0006230E" w:rsidP="0006230E">
      <w:pPr>
        <w:spacing w:before="240"/>
      </w:pPr>
      <w:r w:rsidRPr="00DF44E2">
        <w:rPr>
          <w:b/>
        </w:rPr>
        <w:t>Includes amendments up to:</w:t>
      </w:r>
      <w:r w:rsidRPr="00DF44E2">
        <w:rPr>
          <w:b/>
        </w:rPr>
        <w:tab/>
      </w:r>
      <w:r w:rsidR="001A057B">
        <w:rPr>
          <w:b/>
        </w:rPr>
        <w:tab/>
      </w:r>
      <w:r w:rsidR="006E4B43">
        <w:t>F2020L00423</w:t>
      </w:r>
    </w:p>
    <w:p w14:paraId="076E8C53" w14:textId="77777777" w:rsidR="0006230E" w:rsidRPr="00DF44E2" w:rsidRDefault="0006230E" w:rsidP="0006230E"/>
    <w:p w14:paraId="3709FA16" w14:textId="77777777" w:rsidR="0006230E" w:rsidRDefault="0006230E" w:rsidP="0006230E"/>
    <w:p w14:paraId="14CBDEBC" w14:textId="77777777" w:rsidR="0006230E" w:rsidRDefault="0006230E" w:rsidP="0006230E"/>
    <w:p w14:paraId="6C2C835F" w14:textId="77777777" w:rsidR="0006230E" w:rsidRDefault="0006230E" w:rsidP="0006230E"/>
    <w:p w14:paraId="02B8D2BE" w14:textId="77777777" w:rsidR="0006230E" w:rsidRDefault="0006230E" w:rsidP="0006230E"/>
    <w:p w14:paraId="077986FD" w14:textId="77777777" w:rsidR="0006230E" w:rsidRDefault="0006230E" w:rsidP="0006230E"/>
    <w:p w14:paraId="5C3C41B9" w14:textId="77777777" w:rsidR="0006230E" w:rsidRDefault="0006230E" w:rsidP="0006230E"/>
    <w:p w14:paraId="0EB22E51" w14:textId="77777777" w:rsidR="0006230E" w:rsidRDefault="0006230E" w:rsidP="0006230E"/>
    <w:p w14:paraId="64A794FE" w14:textId="014A61F3" w:rsidR="0006230E" w:rsidRPr="00E318F7" w:rsidRDefault="0006230E" w:rsidP="0006230E">
      <w:r>
        <w:t>Prepared by the Australian Communications and Media Authority, Melbourne</w:t>
      </w:r>
    </w:p>
    <w:p w14:paraId="2858BFB8" w14:textId="77777777" w:rsidR="00655E91" w:rsidRDefault="00655E91" w:rsidP="00625BDD">
      <w:pPr>
        <w:rPr>
          <w:b/>
          <w:sz w:val="32"/>
          <w:szCs w:val="32"/>
        </w:rPr>
      </w:pPr>
      <w:r>
        <w:rPr>
          <w:b/>
          <w:sz w:val="32"/>
          <w:szCs w:val="32"/>
        </w:rPr>
        <w:br w:type="page"/>
      </w:r>
    </w:p>
    <w:p w14:paraId="6CE90315" w14:textId="015155E4" w:rsidR="00625BDD" w:rsidRDefault="00625BDD" w:rsidP="00625BDD">
      <w:pPr>
        <w:rPr>
          <w:b/>
          <w:sz w:val="32"/>
          <w:szCs w:val="32"/>
        </w:rPr>
      </w:pPr>
      <w:r w:rsidRPr="00910C86">
        <w:rPr>
          <w:b/>
          <w:sz w:val="32"/>
          <w:szCs w:val="32"/>
        </w:rPr>
        <w:lastRenderedPageBreak/>
        <w:t>About this compilation</w:t>
      </w:r>
    </w:p>
    <w:p w14:paraId="4228357D" w14:textId="77777777" w:rsidR="00625BDD" w:rsidRPr="00633ED4" w:rsidRDefault="00625BDD" w:rsidP="00625BDD">
      <w:pPr>
        <w:spacing w:before="120" w:after="120" w:line="260" w:lineRule="atLeast"/>
      </w:pPr>
    </w:p>
    <w:p w14:paraId="1B98D5CD" w14:textId="77777777" w:rsidR="00625BDD" w:rsidRPr="00633ED4" w:rsidRDefault="00625BDD" w:rsidP="00625BDD">
      <w:pPr>
        <w:spacing w:before="120" w:after="120" w:line="260" w:lineRule="atLeast"/>
        <w:rPr>
          <w:b/>
        </w:rPr>
      </w:pPr>
      <w:r w:rsidRPr="00633ED4">
        <w:rPr>
          <w:b/>
        </w:rPr>
        <w:t>This compilation</w:t>
      </w:r>
    </w:p>
    <w:p w14:paraId="514EE7B2" w14:textId="2C115A67" w:rsidR="00625BDD" w:rsidRPr="00633ED4" w:rsidRDefault="00625BDD" w:rsidP="00625BDD">
      <w:pPr>
        <w:spacing w:before="120" w:after="120"/>
      </w:pPr>
      <w:r w:rsidRPr="00633ED4">
        <w:t>This is a compilation of the</w:t>
      </w:r>
      <w:r>
        <w:t xml:space="preserve"> </w:t>
      </w:r>
      <w:bookmarkStart w:id="0" w:name="_Hlk25143998"/>
      <w:r w:rsidR="00AC4058" w:rsidRPr="00434F21">
        <w:rPr>
          <w:i/>
          <w:iCs/>
        </w:rPr>
        <w:t>Radiocommunications (Electromagnetic Radiation – Human Exposure) Standard 2014</w:t>
      </w:r>
      <w:r w:rsidR="00AC4058" w:rsidRPr="00AC4058" w:rsidDel="00AC4058">
        <w:t xml:space="preserve"> </w:t>
      </w:r>
      <w:bookmarkEnd w:id="0"/>
      <w:r w:rsidRPr="00633ED4">
        <w:t>that shows the text of the law as amended and in force o</w:t>
      </w:r>
      <w:r w:rsidR="00EE62C8">
        <w:t>n 1</w:t>
      </w:r>
      <w:r w:rsidR="006E4B43">
        <w:t>5</w:t>
      </w:r>
      <w:r w:rsidR="00EE62C8">
        <w:t xml:space="preserve"> </w:t>
      </w:r>
      <w:r w:rsidR="006E4B43">
        <w:t>April 2020</w:t>
      </w:r>
      <w:r w:rsidRPr="00633ED4">
        <w:t xml:space="preserve"> (the </w:t>
      </w:r>
      <w:r w:rsidRPr="00633ED4">
        <w:rPr>
          <w:b/>
          <w:i/>
        </w:rPr>
        <w:t>compilation date</w:t>
      </w:r>
      <w:r w:rsidRPr="00633ED4">
        <w:t>).</w:t>
      </w:r>
    </w:p>
    <w:p w14:paraId="5B1B89C7" w14:textId="77777777" w:rsidR="00625BDD" w:rsidRPr="00633ED4" w:rsidRDefault="00625BDD" w:rsidP="00625BDD">
      <w:pPr>
        <w:spacing w:after="120"/>
      </w:pPr>
      <w:r w:rsidRPr="00633ED4">
        <w:t xml:space="preserve">The notes at the end of this compilation (the </w:t>
      </w:r>
      <w:r w:rsidRPr="00633ED4">
        <w:rPr>
          <w:b/>
          <w:i/>
        </w:rPr>
        <w:t>endnotes</w:t>
      </w:r>
      <w:r w:rsidRPr="00633ED4">
        <w:t>) include information about amending laws and the amendment history of provisions of the compiled law.</w:t>
      </w:r>
    </w:p>
    <w:p w14:paraId="4A8189A2" w14:textId="77777777" w:rsidR="00625BDD" w:rsidRPr="00633ED4" w:rsidRDefault="00625BDD" w:rsidP="00625BDD">
      <w:pPr>
        <w:tabs>
          <w:tab w:val="left" w:pos="5640"/>
        </w:tabs>
        <w:spacing w:before="120" w:after="120"/>
        <w:rPr>
          <w:b/>
        </w:rPr>
      </w:pPr>
      <w:proofErr w:type="spellStart"/>
      <w:r w:rsidRPr="00633ED4">
        <w:rPr>
          <w:b/>
        </w:rPr>
        <w:t>Uncommenced</w:t>
      </w:r>
      <w:proofErr w:type="spellEnd"/>
      <w:r w:rsidRPr="00633ED4">
        <w:rPr>
          <w:b/>
        </w:rPr>
        <w:t xml:space="preserve"> amendments</w:t>
      </w:r>
    </w:p>
    <w:p w14:paraId="6689ECBB" w14:textId="77777777" w:rsidR="00625BDD" w:rsidRPr="00633ED4" w:rsidRDefault="00625BDD" w:rsidP="00625BDD">
      <w:pPr>
        <w:spacing w:after="120"/>
      </w:pPr>
      <w:r w:rsidRPr="00633ED4">
        <w:t xml:space="preserve">The effect of </w:t>
      </w:r>
      <w:proofErr w:type="spellStart"/>
      <w:r w:rsidRPr="00633ED4">
        <w:t>uncommenced</w:t>
      </w:r>
      <w:proofErr w:type="spellEnd"/>
      <w:r w:rsidRPr="00633ED4">
        <w:t xml:space="preserve"> amendments is not shown in the text of the compiled law. </w:t>
      </w:r>
      <w:r>
        <w:t xml:space="preserve"> </w:t>
      </w:r>
      <w:r w:rsidRPr="00633ED4">
        <w:t xml:space="preserve">Any </w:t>
      </w:r>
      <w:proofErr w:type="spellStart"/>
      <w:r w:rsidRPr="00633ED4">
        <w:t>uncommenced</w:t>
      </w:r>
      <w:proofErr w:type="spellEnd"/>
      <w:r w:rsidRPr="00633ED4">
        <w:t xml:space="preserve"> amendments affecting the law are accessible on the</w:t>
      </w:r>
      <w:r>
        <w:t xml:space="preserve"> Federal Register of</w:t>
      </w:r>
      <w:r w:rsidRPr="00633ED4">
        <w:t xml:space="preserve"> Legislation (www.legislation.gov.au). </w:t>
      </w:r>
      <w:r>
        <w:t xml:space="preserve"> </w:t>
      </w:r>
      <w:r w:rsidRPr="00633ED4">
        <w:t xml:space="preserve">The details of amendments made up to, but not commenced at, the compilation date </w:t>
      </w:r>
      <w:proofErr w:type="gramStart"/>
      <w:r w:rsidRPr="00633ED4">
        <w:t>are</w:t>
      </w:r>
      <w:proofErr w:type="gramEnd"/>
      <w:r w:rsidRPr="00633ED4">
        <w:t xml:space="preserve"> underlined in the endnotes. </w:t>
      </w:r>
      <w:r>
        <w:t xml:space="preserve"> </w:t>
      </w:r>
      <w:r w:rsidRPr="00633ED4">
        <w:t xml:space="preserve">For more information on any </w:t>
      </w:r>
      <w:proofErr w:type="spellStart"/>
      <w:r w:rsidRPr="00633ED4">
        <w:t>uncommenced</w:t>
      </w:r>
      <w:proofErr w:type="spellEnd"/>
      <w:r w:rsidRPr="00633ED4">
        <w:t xml:space="preserve"> amendments, see the series page on the </w:t>
      </w:r>
      <w:r>
        <w:t xml:space="preserve">Federal Register of </w:t>
      </w:r>
      <w:r w:rsidRPr="00633ED4">
        <w:t>Legislation for the compiled law.</w:t>
      </w:r>
    </w:p>
    <w:p w14:paraId="544BBCD1" w14:textId="77777777" w:rsidR="00625BDD" w:rsidRPr="00633ED4" w:rsidRDefault="00625BDD" w:rsidP="00625BDD">
      <w:pPr>
        <w:spacing w:before="120" w:after="120"/>
        <w:rPr>
          <w:b/>
        </w:rPr>
      </w:pPr>
      <w:r w:rsidRPr="00633ED4">
        <w:rPr>
          <w:b/>
        </w:rPr>
        <w:t>Application, saving and transitional provisions for provisions and amendments</w:t>
      </w:r>
    </w:p>
    <w:p w14:paraId="78977391" w14:textId="77777777" w:rsidR="00625BDD" w:rsidRPr="00633ED4" w:rsidRDefault="00625BDD" w:rsidP="00625BDD">
      <w:pPr>
        <w:spacing w:after="120"/>
      </w:pPr>
      <w:r w:rsidRPr="00633ED4">
        <w:t>If the operation of a provision or amendment of the compiled law is affected by an application, saving or transitional provision that is not included in this compilation, details are included in the endnotes.</w:t>
      </w:r>
    </w:p>
    <w:p w14:paraId="6539731E" w14:textId="77777777" w:rsidR="00625BDD" w:rsidRPr="00633ED4" w:rsidRDefault="00625BDD" w:rsidP="00625BDD">
      <w:pPr>
        <w:spacing w:before="120" w:after="120"/>
        <w:rPr>
          <w:b/>
        </w:rPr>
      </w:pPr>
      <w:r w:rsidRPr="00633ED4">
        <w:rPr>
          <w:b/>
        </w:rPr>
        <w:t>Modifications</w:t>
      </w:r>
    </w:p>
    <w:p w14:paraId="68022009" w14:textId="77777777" w:rsidR="00625BDD" w:rsidRPr="00633ED4" w:rsidRDefault="00625BDD" w:rsidP="00625BDD">
      <w:pPr>
        <w:spacing w:after="120"/>
      </w:pPr>
      <w:r w:rsidRPr="00633ED4">
        <w:t xml:space="preserve">If the compiled law is modified by another law, the compiled law operates as modified but the modification does not amend the text of the law. </w:t>
      </w:r>
      <w:r>
        <w:t xml:space="preserve"> </w:t>
      </w:r>
      <w:r w:rsidRPr="00633ED4">
        <w:t xml:space="preserve">Accordingly, this compilation does not show the text of the compiled law as modified. </w:t>
      </w:r>
      <w:r>
        <w:t xml:space="preserve"> </w:t>
      </w:r>
      <w:r w:rsidRPr="00633ED4">
        <w:t>For more information on any modifications, see the series page on the</w:t>
      </w:r>
      <w:r>
        <w:t xml:space="preserve"> Federal Register of Legislation</w:t>
      </w:r>
      <w:r w:rsidRPr="00633ED4">
        <w:t xml:space="preserve"> for the compiled law.</w:t>
      </w:r>
    </w:p>
    <w:p w14:paraId="3493E6D1" w14:textId="77777777" w:rsidR="00625BDD" w:rsidRPr="00633ED4" w:rsidRDefault="00625BDD" w:rsidP="00625BDD">
      <w:pPr>
        <w:spacing w:before="80" w:after="120"/>
        <w:rPr>
          <w:b/>
        </w:rPr>
      </w:pPr>
      <w:r w:rsidRPr="00633ED4">
        <w:rPr>
          <w:b/>
        </w:rPr>
        <w:t>Self-repealing provisions</w:t>
      </w:r>
    </w:p>
    <w:p w14:paraId="53F7975E" w14:textId="77777777" w:rsidR="008A5521" w:rsidRDefault="00625BDD" w:rsidP="00625BDD">
      <w:pPr>
        <w:spacing w:after="120"/>
      </w:pPr>
      <w:r w:rsidRPr="00633ED4">
        <w:t>If a provision of the compiled law has been repealed in accordance with a provision of the law, details are included in the endnotes.</w:t>
      </w:r>
    </w:p>
    <w:p w14:paraId="6DBA1B88" w14:textId="77777777" w:rsidR="00655E91" w:rsidRDefault="00655E91" w:rsidP="00625BDD">
      <w:pPr>
        <w:spacing w:after="120"/>
      </w:pPr>
    </w:p>
    <w:p w14:paraId="18B670AA" w14:textId="77777777" w:rsidR="00655E91" w:rsidRDefault="00655E91" w:rsidP="00625BDD">
      <w:pPr>
        <w:spacing w:after="120"/>
      </w:pPr>
    </w:p>
    <w:p w14:paraId="5BF899E2" w14:textId="45C713D5" w:rsidR="00655E91" w:rsidRDefault="00655E91" w:rsidP="00A30995">
      <w:pPr>
        <w:pStyle w:val="HR"/>
      </w:pPr>
      <w:r>
        <w:br w:type="page"/>
      </w:r>
    </w:p>
    <w:p w14:paraId="1947DE48" w14:textId="77777777" w:rsidR="00A30995" w:rsidRPr="003910D7" w:rsidRDefault="00A30995" w:rsidP="00A30995">
      <w:pPr>
        <w:pStyle w:val="HR"/>
        <w:rPr>
          <w:b w:val="0"/>
          <w:sz w:val="18"/>
        </w:rPr>
      </w:pPr>
      <w:bookmarkStart w:id="1" w:name="_Toc288485850"/>
      <w:r w:rsidRPr="00C940BA">
        <w:rPr>
          <w:rStyle w:val="CharSectno"/>
        </w:rPr>
        <w:lastRenderedPageBreak/>
        <w:t>1</w:t>
      </w:r>
      <w:r w:rsidR="00FD1106">
        <w:tab/>
        <w:t>Name of Standard</w:t>
      </w:r>
      <w:r>
        <w:rPr>
          <w:b w:val="0"/>
          <w:i/>
          <w:sz w:val="18"/>
        </w:rPr>
        <w:t xml:space="preserve"> </w:t>
      </w:r>
      <w:bookmarkEnd w:id="1"/>
    </w:p>
    <w:p w14:paraId="1947DE49" w14:textId="77777777" w:rsidR="00A30995" w:rsidRDefault="00A30995" w:rsidP="00A30995">
      <w:pPr>
        <w:pStyle w:val="R1"/>
        <w:keepLines w:val="0"/>
      </w:pPr>
      <w:r>
        <w:tab/>
      </w:r>
      <w:r>
        <w:tab/>
        <w:t xml:space="preserve">This Standard is the </w:t>
      </w:r>
      <w:r w:rsidRPr="0012403A">
        <w:rPr>
          <w:i/>
          <w:iCs/>
        </w:rPr>
        <w:t>Radiocommunications (Electromagnetic Radiatio</w:t>
      </w:r>
      <w:r w:rsidR="00FD1106">
        <w:rPr>
          <w:i/>
          <w:iCs/>
        </w:rPr>
        <w:t xml:space="preserve">n — Human Exposure) Standard </w:t>
      </w:r>
      <w:r w:rsidR="00842339">
        <w:rPr>
          <w:i/>
          <w:iCs/>
        </w:rPr>
        <w:t>2014</w:t>
      </w:r>
      <w:r>
        <w:t>.</w:t>
      </w:r>
    </w:p>
    <w:p w14:paraId="1947DE4F" w14:textId="77777777" w:rsidR="00A30995" w:rsidRDefault="00A30995" w:rsidP="00A30995">
      <w:pPr>
        <w:pStyle w:val="HR"/>
        <w:keepNext w:val="0"/>
      </w:pPr>
      <w:bookmarkStart w:id="2" w:name="_Toc288485853"/>
      <w:r w:rsidRPr="00C940BA">
        <w:rPr>
          <w:rStyle w:val="CharSectno"/>
        </w:rPr>
        <w:t>4</w:t>
      </w:r>
      <w:r>
        <w:tab/>
        <w:t>Object of Standard</w:t>
      </w:r>
      <w:bookmarkEnd w:id="2"/>
    </w:p>
    <w:p w14:paraId="1947DE50" w14:textId="77777777" w:rsidR="00BA4F43" w:rsidRPr="00535884" w:rsidRDefault="00A30995" w:rsidP="00EC0462">
      <w:pPr>
        <w:pStyle w:val="R1"/>
        <w:keepLines w:val="0"/>
      </w:pPr>
      <w:r>
        <w:tab/>
      </w:r>
      <w:r>
        <w:tab/>
      </w:r>
      <w:r w:rsidRPr="00B81BAA">
        <w:t xml:space="preserve">This Standard regulates the performance of </w:t>
      </w:r>
      <w:proofErr w:type="gramStart"/>
      <w:r w:rsidRPr="00B81BAA">
        <w:t>particular radiocommunications</w:t>
      </w:r>
      <w:proofErr w:type="gramEnd"/>
      <w:r w:rsidRPr="00B81BAA">
        <w:t xml:space="preserve"> transmitters</w:t>
      </w:r>
      <w:r w:rsidR="00BA4F43" w:rsidRPr="00B81BAA">
        <w:t xml:space="preserve"> </w:t>
      </w:r>
      <w:r w:rsidRPr="00B81BAA">
        <w:t>to protect the health and safety of persons</w:t>
      </w:r>
      <w:r w:rsidR="00535884" w:rsidRPr="00B81BAA">
        <w:t xml:space="preserve"> who</w:t>
      </w:r>
      <w:r w:rsidR="00EC0462" w:rsidRPr="00B81BAA">
        <w:t xml:space="preserve"> may be exposed to electromagnetic radiation from such transmitters.</w:t>
      </w:r>
    </w:p>
    <w:p w14:paraId="1947DE51" w14:textId="77777777" w:rsidR="00A30995" w:rsidRDefault="00A30995" w:rsidP="00A30995">
      <w:pPr>
        <w:pStyle w:val="HR"/>
        <w:keepNext w:val="0"/>
      </w:pPr>
      <w:bookmarkStart w:id="3" w:name="_Toc288485854"/>
      <w:r w:rsidRPr="00C940BA">
        <w:rPr>
          <w:rStyle w:val="CharSectno"/>
        </w:rPr>
        <w:t>5</w:t>
      </w:r>
      <w:r>
        <w:tab/>
        <w:t>Definitions</w:t>
      </w:r>
      <w:bookmarkEnd w:id="3"/>
    </w:p>
    <w:p w14:paraId="1947DE52" w14:textId="77777777" w:rsidR="00A30995" w:rsidRDefault="00A30995" w:rsidP="00BA4F43">
      <w:pPr>
        <w:pStyle w:val="R1"/>
        <w:keepLines w:val="0"/>
      </w:pPr>
      <w:r>
        <w:tab/>
        <w:t>(1)</w:t>
      </w:r>
      <w:r>
        <w:tab/>
        <w:t>In this Standard:</w:t>
      </w:r>
    </w:p>
    <w:p w14:paraId="1947DE53" w14:textId="77777777" w:rsidR="00A30995" w:rsidRDefault="00A30995" w:rsidP="00A30995">
      <w:pPr>
        <w:pStyle w:val="definition"/>
      </w:pPr>
      <w:r>
        <w:rPr>
          <w:b/>
          <w:bCs/>
          <w:i/>
          <w:iCs/>
        </w:rPr>
        <w:t>Act</w:t>
      </w:r>
      <w:r>
        <w:t xml:space="preserve"> means the </w:t>
      </w:r>
      <w:r>
        <w:rPr>
          <w:i/>
          <w:iCs/>
        </w:rPr>
        <w:t>Radiocommunications Act 1992</w:t>
      </w:r>
      <w:r>
        <w:t>.</w:t>
      </w:r>
    </w:p>
    <w:p w14:paraId="0762EC68" w14:textId="77777777" w:rsidR="000E5241" w:rsidRPr="00434F21" w:rsidRDefault="000E5241" w:rsidP="00434F21">
      <w:pPr>
        <w:keepNext/>
        <w:keepLines/>
        <w:spacing w:before="120"/>
        <w:ind w:left="953" w:firstLine="11"/>
      </w:pPr>
      <w:r w:rsidRPr="00434F21">
        <w:rPr>
          <w:b/>
          <w:bCs/>
          <w:i/>
          <w:iCs/>
        </w:rPr>
        <w:t>ARPANSA Standard</w:t>
      </w:r>
      <w:r w:rsidRPr="00434F21">
        <w:rPr>
          <w:b/>
          <w:bCs/>
        </w:rPr>
        <w:t xml:space="preserve"> </w:t>
      </w:r>
      <w:r w:rsidRPr="00434F21">
        <w:t>means:</w:t>
      </w:r>
    </w:p>
    <w:p w14:paraId="79140BC6" w14:textId="77777777" w:rsidR="000E5241" w:rsidRPr="00434F21" w:rsidRDefault="000E5241" w:rsidP="00434F21">
      <w:pPr>
        <w:keepLines/>
        <w:numPr>
          <w:ilvl w:val="0"/>
          <w:numId w:val="18"/>
        </w:numPr>
        <w:spacing w:before="60"/>
        <w:ind w:left="1417" w:hanging="425"/>
      </w:pPr>
      <w:r w:rsidRPr="00434F21">
        <w:t>the </w:t>
      </w:r>
      <w:r w:rsidRPr="00434F21">
        <w:rPr>
          <w:i/>
          <w:iCs/>
        </w:rPr>
        <w:t>Radiation Protection Standard for Maximum Exposure Levels to Radiofrequency Fields – 3 kHz to 300 GHz</w:t>
      </w:r>
      <w:r w:rsidRPr="00434F21">
        <w:t> published by the Australian Radiation Protection and Nuclear Safety Agency; or</w:t>
      </w:r>
    </w:p>
    <w:p w14:paraId="11149B66" w14:textId="77777777" w:rsidR="000E5241" w:rsidRPr="008D349D" w:rsidRDefault="000E5241" w:rsidP="00434F21">
      <w:pPr>
        <w:keepNext/>
        <w:keepLines/>
        <w:numPr>
          <w:ilvl w:val="0"/>
          <w:numId w:val="18"/>
        </w:numPr>
        <w:spacing w:before="60" w:after="160"/>
        <w:ind w:left="1417" w:hanging="425"/>
        <w:rPr>
          <w:rFonts w:ascii="Arial" w:hAnsi="Arial"/>
          <w:b/>
          <w:kern w:val="28"/>
        </w:rPr>
      </w:pPr>
      <w:r w:rsidRPr="00434F21">
        <w:rPr>
          <w:bCs/>
          <w:kern w:val="28"/>
        </w:rPr>
        <w:t>if a later document published by the Australian Radiation Protection and Nuclear Safety Agency is expressed to replace the standard mentioned in paragraph (a) – the later document.</w:t>
      </w:r>
    </w:p>
    <w:p w14:paraId="1947DE55" w14:textId="0B574928" w:rsidR="00A30995" w:rsidRPr="00434F21" w:rsidRDefault="00A30995" w:rsidP="00434F21">
      <w:pPr>
        <w:pStyle w:val="Note"/>
        <w:tabs>
          <w:tab w:val="left" w:pos="1560"/>
        </w:tabs>
        <w:ind w:left="993"/>
        <w:rPr>
          <w:sz w:val="18"/>
          <w:szCs w:val="18"/>
        </w:rPr>
      </w:pPr>
      <w:r w:rsidRPr="00434F21">
        <w:rPr>
          <w:i/>
          <w:iCs/>
          <w:sz w:val="18"/>
          <w:szCs w:val="18"/>
        </w:rPr>
        <w:t>Not</w:t>
      </w:r>
      <w:r w:rsidR="0097798D">
        <w:rPr>
          <w:i/>
          <w:iCs/>
          <w:sz w:val="18"/>
          <w:szCs w:val="18"/>
        </w:rPr>
        <w:t>e</w:t>
      </w:r>
      <w:r w:rsidR="0097798D">
        <w:rPr>
          <w:i/>
          <w:iCs/>
          <w:sz w:val="18"/>
          <w:szCs w:val="18"/>
        </w:rPr>
        <w:tab/>
      </w:r>
      <w:r w:rsidR="00836CA1" w:rsidRPr="00434F21">
        <w:rPr>
          <w:iCs/>
          <w:sz w:val="18"/>
          <w:szCs w:val="18"/>
        </w:rPr>
        <w:t>The ARPANSA Standard</w:t>
      </w:r>
      <w:r w:rsidRPr="00434F21">
        <w:rPr>
          <w:sz w:val="18"/>
          <w:szCs w:val="18"/>
        </w:rPr>
        <w:t xml:space="preserve"> may be obtained from the Australian Radiation Protection and Nuclear Safety Agency we</w:t>
      </w:r>
      <w:r w:rsidR="00EC0462" w:rsidRPr="00434F21">
        <w:rPr>
          <w:sz w:val="18"/>
          <w:szCs w:val="18"/>
        </w:rPr>
        <w:t xml:space="preserve">bsite </w:t>
      </w:r>
      <w:hyperlink r:id="rId14" w:history="1">
        <w:r w:rsidR="00E30FED" w:rsidRPr="00434F21">
          <w:rPr>
            <w:rStyle w:val="Hyperlink"/>
            <w:sz w:val="18"/>
            <w:szCs w:val="18"/>
          </w:rPr>
          <w:t>http://www.arpansa.gov.au</w:t>
        </w:r>
      </w:hyperlink>
      <w:r w:rsidRPr="00434F21">
        <w:rPr>
          <w:sz w:val="18"/>
          <w:szCs w:val="18"/>
        </w:rPr>
        <w:t>.</w:t>
      </w:r>
    </w:p>
    <w:p w14:paraId="0146997B" w14:textId="77777777" w:rsidR="00E95657" w:rsidRPr="00434F21" w:rsidRDefault="00E95657" w:rsidP="00434F21">
      <w:pPr>
        <w:keepLines/>
        <w:spacing w:before="120"/>
        <w:ind w:left="1418" w:hanging="425"/>
        <w:rPr>
          <w:szCs w:val="22"/>
        </w:rPr>
      </w:pPr>
      <w:r w:rsidRPr="00434F21">
        <w:rPr>
          <w:b/>
          <w:bCs/>
          <w:i/>
          <w:iCs/>
          <w:szCs w:val="22"/>
        </w:rPr>
        <w:t xml:space="preserve">AS/NZS 2772.2 </w:t>
      </w:r>
      <w:r w:rsidRPr="00434F21">
        <w:rPr>
          <w:szCs w:val="22"/>
        </w:rPr>
        <w:t>means:</w:t>
      </w:r>
    </w:p>
    <w:p w14:paraId="0C7AB032" w14:textId="77777777" w:rsidR="00E95657" w:rsidRPr="00434F21" w:rsidRDefault="00E95657" w:rsidP="00434F21">
      <w:pPr>
        <w:keepLines/>
        <w:numPr>
          <w:ilvl w:val="0"/>
          <w:numId w:val="19"/>
        </w:numPr>
        <w:spacing w:before="60" w:line="259" w:lineRule="auto"/>
        <w:ind w:left="1418" w:hanging="425"/>
        <w:rPr>
          <w:szCs w:val="22"/>
        </w:rPr>
      </w:pPr>
      <w:r w:rsidRPr="00434F21">
        <w:rPr>
          <w:szCs w:val="22"/>
        </w:rPr>
        <w:t xml:space="preserve">the Australian Standard/New Zealand Standard </w:t>
      </w:r>
      <w:r w:rsidRPr="00434F21">
        <w:rPr>
          <w:i/>
          <w:szCs w:val="22"/>
        </w:rPr>
        <w:t>AS/NZS 2772.2:2016 Radiofrequency fields: Part 2: Principles and methods of measurement and computation – 3 kHz to 300 GHz</w:t>
      </w:r>
      <w:r w:rsidRPr="00434F21">
        <w:rPr>
          <w:szCs w:val="22"/>
        </w:rPr>
        <w:t>, published by Standards Australia; or</w:t>
      </w:r>
    </w:p>
    <w:p w14:paraId="59C61D98" w14:textId="77777777" w:rsidR="00E95657" w:rsidRPr="00434F21" w:rsidRDefault="00E95657" w:rsidP="00434F21">
      <w:pPr>
        <w:keepLines/>
        <w:numPr>
          <w:ilvl w:val="0"/>
          <w:numId w:val="19"/>
        </w:numPr>
        <w:spacing w:before="60" w:after="160" w:line="259" w:lineRule="auto"/>
        <w:ind w:left="1418" w:hanging="425"/>
        <w:rPr>
          <w:szCs w:val="22"/>
        </w:rPr>
      </w:pPr>
      <w:r w:rsidRPr="00434F21">
        <w:rPr>
          <w:szCs w:val="22"/>
        </w:rPr>
        <w:t>if a later document published by Standards Australia is expressed to replace the standard mentioned in paragraph (a) – the later document.</w:t>
      </w:r>
    </w:p>
    <w:p w14:paraId="3D5A4EA2" w14:textId="35B9C2A8" w:rsidR="00747C86" w:rsidRDefault="00E95657" w:rsidP="00434F21">
      <w:pPr>
        <w:tabs>
          <w:tab w:val="left" w:pos="1560"/>
        </w:tabs>
        <w:ind w:left="993"/>
        <w:rPr>
          <w:b/>
          <w:bCs/>
          <w:i/>
          <w:iCs/>
        </w:rPr>
      </w:pPr>
      <w:r w:rsidRPr="008D349D">
        <w:rPr>
          <w:i/>
          <w:iCs/>
          <w:sz w:val="18"/>
          <w:szCs w:val="18"/>
        </w:rPr>
        <w:t>Note</w:t>
      </w:r>
      <w:r w:rsidRPr="00434F21">
        <w:rPr>
          <w:rFonts w:ascii="Arial" w:hAnsi="Arial"/>
          <w:b/>
          <w:i/>
          <w:iCs/>
          <w:kern w:val="28"/>
          <w:sz w:val="18"/>
          <w:szCs w:val="18"/>
        </w:rPr>
        <w:tab/>
      </w:r>
      <w:r w:rsidRPr="00434F21">
        <w:rPr>
          <w:sz w:val="18"/>
          <w:szCs w:val="18"/>
        </w:rPr>
        <w:t xml:space="preserve">AS/NZS 2772.2 may be obtained for a fee from </w:t>
      </w:r>
      <w:bookmarkStart w:id="4" w:name="_Hlk18594729"/>
      <w:r w:rsidRPr="00434F21">
        <w:rPr>
          <w:sz w:val="18"/>
          <w:szCs w:val="18"/>
        </w:rPr>
        <w:t xml:space="preserve">a Standards Australia distributor listed on the Standards Australia website </w:t>
      </w:r>
      <w:bookmarkEnd w:id="4"/>
      <w:r w:rsidRPr="00434F21">
        <w:rPr>
          <w:sz w:val="18"/>
          <w:szCs w:val="18"/>
        </w:rPr>
        <w:t xml:space="preserve"> (</w:t>
      </w:r>
      <w:hyperlink r:id="rId15" w:history="1">
        <w:r w:rsidRPr="00523AE4">
          <w:rPr>
            <w:rFonts w:eastAsia="Calibri"/>
            <w:color w:val="0000FF"/>
            <w:sz w:val="18"/>
            <w:szCs w:val="18"/>
            <w:u w:val="single"/>
            <w:lang w:eastAsia="en-US"/>
          </w:rPr>
          <w:t>https://www.standards.org.au/search-for-a-standard</w:t>
        </w:r>
      </w:hyperlink>
      <w:r w:rsidRPr="00434F21">
        <w:rPr>
          <w:sz w:val="18"/>
          <w:szCs w:val="18"/>
        </w:rPr>
        <w:t xml:space="preserve">) or </w:t>
      </w:r>
      <w:r w:rsidRPr="00434F21">
        <w:rPr>
          <w:sz w:val="18"/>
          <w:szCs w:val="18"/>
          <w:lang w:val="en-US"/>
        </w:rPr>
        <w:t>or can otherwise be made available for viewing on prior request at an ACMA office, subject to licensing conditions.</w:t>
      </w:r>
    </w:p>
    <w:p w14:paraId="1947DE58" w14:textId="69D22174" w:rsidR="00A30995" w:rsidRDefault="00A30995" w:rsidP="00434F21">
      <w:pPr>
        <w:pStyle w:val="definition"/>
        <w:spacing w:before="120"/>
      </w:pPr>
      <w:r>
        <w:rPr>
          <w:b/>
          <w:bCs/>
          <w:i/>
          <w:iCs/>
        </w:rPr>
        <w:t>aware user device</w:t>
      </w:r>
      <w:r w:rsidRPr="003425AF">
        <w:t xml:space="preserve"> means a hand</w:t>
      </w:r>
      <w:r w:rsidR="00D903BE">
        <w:t>-</w:t>
      </w:r>
      <w:r w:rsidRPr="003425AF">
        <w:t>held or body</w:t>
      </w:r>
      <w:r w:rsidR="00D903BE">
        <w:t>-</w:t>
      </w:r>
      <w:r w:rsidRPr="003425AF">
        <w:t>worn radiocommunications</w:t>
      </w:r>
      <w:r>
        <w:t xml:space="preserve"> transmitter that operates on a push</w:t>
      </w:r>
      <w:r w:rsidR="00D903BE">
        <w:t>-</w:t>
      </w:r>
      <w:r>
        <w:t>to</w:t>
      </w:r>
      <w:r w:rsidR="00D903BE">
        <w:t>-</w:t>
      </w:r>
      <w:r>
        <w:t>talk basis and is intended for use as:</w:t>
      </w:r>
    </w:p>
    <w:p w14:paraId="1947DE59" w14:textId="326D7376" w:rsidR="00A30995" w:rsidRDefault="00A30995" w:rsidP="00434F21">
      <w:pPr>
        <w:pStyle w:val="P1"/>
        <w:tabs>
          <w:tab w:val="clear" w:pos="1191"/>
        </w:tabs>
        <w:ind w:hanging="425"/>
      </w:pPr>
      <w:r>
        <w:t>(a)</w:t>
      </w:r>
      <w:r>
        <w:tab/>
        <w:t xml:space="preserve">an ambulatory station; or </w:t>
      </w:r>
    </w:p>
    <w:p w14:paraId="1947DE5A" w14:textId="2BF333D6" w:rsidR="00A30995" w:rsidRDefault="00A30995" w:rsidP="00434F21">
      <w:pPr>
        <w:pStyle w:val="P1"/>
        <w:tabs>
          <w:tab w:val="clear" w:pos="1191"/>
        </w:tabs>
        <w:ind w:hanging="425"/>
      </w:pPr>
      <w:r>
        <w:t>(b)</w:t>
      </w:r>
      <w:r>
        <w:tab/>
        <w:t>a land mobile system station; or</w:t>
      </w:r>
    </w:p>
    <w:p w14:paraId="1947DE5B" w14:textId="2C185489" w:rsidR="00A30995" w:rsidRDefault="00A30995" w:rsidP="00434F21">
      <w:pPr>
        <w:pStyle w:val="P1"/>
        <w:tabs>
          <w:tab w:val="clear" w:pos="1191"/>
        </w:tabs>
        <w:ind w:hanging="425"/>
      </w:pPr>
      <w:r>
        <w:t>(c)</w:t>
      </w:r>
      <w:r>
        <w:tab/>
        <w:t>a maritime ship station; or</w:t>
      </w:r>
    </w:p>
    <w:p w14:paraId="1947DE5C" w14:textId="3C6FE3A9" w:rsidR="00A30995" w:rsidRDefault="00A30995" w:rsidP="00434F21">
      <w:pPr>
        <w:pStyle w:val="P1"/>
        <w:tabs>
          <w:tab w:val="clear" w:pos="1191"/>
        </w:tabs>
        <w:ind w:hanging="425"/>
      </w:pPr>
      <w:r>
        <w:t>(d)</w:t>
      </w:r>
      <w:r>
        <w:tab/>
        <w:t xml:space="preserve">a </w:t>
      </w:r>
      <w:proofErr w:type="gramStart"/>
      <w:r>
        <w:t>citizens</w:t>
      </w:r>
      <w:proofErr w:type="gramEnd"/>
      <w:r>
        <w:t xml:space="preserve"> band radio station; or</w:t>
      </w:r>
    </w:p>
    <w:p w14:paraId="1947DE5D" w14:textId="2B7DA6B5" w:rsidR="00A30995" w:rsidRDefault="00A30995" w:rsidP="00434F21">
      <w:pPr>
        <w:pStyle w:val="P1"/>
        <w:tabs>
          <w:tab w:val="clear" w:pos="1191"/>
        </w:tabs>
        <w:ind w:hanging="425"/>
      </w:pPr>
      <w:r>
        <w:t>(e)</w:t>
      </w:r>
      <w:r>
        <w:tab/>
        <w:t>an amateur station.</w:t>
      </w:r>
    </w:p>
    <w:p w14:paraId="1947DE5E" w14:textId="77777777" w:rsidR="00A30995" w:rsidRDefault="00A30995" w:rsidP="00434F21">
      <w:pPr>
        <w:pStyle w:val="definition"/>
        <w:spacing w:before="120"/>
      </w:pPr>
      <w:r>
        <w:rPr>
          <w:b/>
          <w:bCs/>
          <w:i/>
          <w:iCs/>
        </w:rPr>
        <w:t>basic restrictions</w:t>
      </w:r>
      <w:r>
        <w:t xml:space="preserve"> </w:t>
      </w:r>
      <w:proofErr w:type="gramStart"/>
      <w:r>
        <w:t>means</w:t>
      </w:r>
      <w:proofErr w:type="gramEnd"/>
      <w:r>
        <w:t xml:space="preserve"> the restrictions in Tables 2 and 6, including the notes to Table</w:t>
      </w:r>
      <w:r w:rsidR="00880286">
        <w:t>s</w:t>
      </w:r>
      <w:r>
        <w:t xml:space="preserve"> 2 and 6, of section 2.3 of the ARPANSA </w:t>
      </w:r>
      <w:r w:rsidR="000C02E6">
        <w:t>Standard</w:t>
      </w:r>
      <w:r>
        <w:t>.</w:t>
      </w:r>
    </w:p>
    <w:p w14:paraId="1947DE5F" w14:textId="77777777" w:rsidR="00A30995" w:rsidRPr="0055445F" w:rsidRDefault="00A30995" w:rsidP="00434F21">
      <w:pPr>
        <w:pStyle w:val="definition"/>
        <w:spacing w:before="120"/>
      </w:pPr>
      <w:r w:rsidRPr="00B81BAA">
        <w:rPr>
          <w:b/>
          <w:bCs/>
          <w:i/>
          <w:iCs/>
        </w:rPr>
        <w:t>device</w:t>
      </w:r>
      <w:r w:rsidRPr="00B81BAA">
        <w:t xml:space="preserve"> means a mobile station that section 6 of this Standard appl</w:t>
      </w:r>
      <w:r w:rsidR="0075117D" w:rsidRPr="00B81BAA">
        <w:t>ies</w:t>
      </w:r>
      <w:r w:rsidRPr="00B81BAA">
        <w:t xml:space="preserve"> to.</w:t>
      </w:r>
    </w:p>
    <w:p w14:paraId="271E5F3F" w14:textId="77777777" w:rsidR="00FE0165" w:rsidRPr="00434F21" w:rsidRDefault="00FE0165" w:rsidP="00434F21">
      <w:pPr>
        <w:keepNext/>
        <w:keepLines/>
        <w:spacing w:before="120"/>
        <w:ind w:left="964"/>
      </w:pPr>
      <w:r w:rsidRPr="00434F21">
        <w:rPr>
          <w:b/>
          <w:i/>
        </w:rPr>
        <w:lastRenderedPageBreak/>
        <w:t>EN 62209-1</w:t>
      </w:r>
      <w:r w:rsidRPr="00434F21">
        <w:t xml:space="preserve"> means:</w:t>
      </w:r>
    </w:p>
    <w:p w14:paraId="5338A9AF" w14:textId="77777777" w:rsidR="00FE0165" w:rsidRPr="00434F21" w:rsidRDefault="00FE0165" w:rsidP="00434F21">
      <w:pPr>
        <w:keepLines/>
        <w:numPr>
          <w:ilvl w:val="0"/>
          <w:numId w:val="20"/>
        </w:numPr>
        <w:spacing w:before="60" w:line="259" w:lineRule="auto"/>
        <w:ind w:left="1418" w:hanging="424"/>
      </w:pPr>
      <w:r w:rsidRPr="00434F21">
        <w:t xml:space="preserve">the </w:t>
      </w:r>
      <w:r w:rsidRPr="00434F21">
        <w:rPr>
          <w:i/>
        </w:rPr>
        <w:t>Measurement procedure for the assessment of specific absorption rate of human exposure to radio frequency fields from hand-held and body-mounted wireless communication devices – Part 1: Devices used next to the ear (Frequency range of 300 MHz to 6 GHz)</w:t>
      </w:r>
      <w:r w:rsidRPr="00434F21">
        <w:t>, published by the European Committee for Electrotechnical Standardisation (CENELEC); or</w:t>
      </w:r>
    </w:p>
    <w:p w14:paraId="3FD28873" w14:textId="77777777" w:rsidR="00FE0165" w:rsidRPr="00434F21" w:rsidRDefault="00FE0165" w:rsidP="00434F21">
      <w:pPr>
        <w:keepLines/>
        <w:numPr>
          <w:ilvl w:val="0"/>
          <w:numId w:val="20"/>
        </w:numPr>
        <w:spacing w:before="60" w:line="259" w:lineRule="auto"/>
        <w:ind w:left="1418" w:hanging="424"/>
      </w:pPr>
      <w:r w:rsidRPr="00434F21">
        <w:t xml:space="preserve">if </w:t>
      </w:r>
      <w:bookmarkStart w:id="5" w:name="_Hlk19790317"/>
      <w:r w:rsidRPr="00434F21">
        <w:t>a later document published by the European Committee for Electrotechnical Standardisation (CENELEC) is expressed to replace the document mentioned in paragraph (a) – the later document.</w:t>
      </w:r>
      <w:bookmarkEnd w:id="5"/>
    </w:p>
    <w:p w14:paraId="7A26B6FA" w14:textId="35EF76A4" w:rsidR="00AB6021" w:rsidRDefault="00FE0165" w:rsidP="00434F21">
      <w:pPr>
        <w:tabs>
          <w:tab w:val="left" w:pos="1701"/>
        </w:tabs>
        <w:spacing w:before="120"/>
        <w:ind w:left="993"/>
        <w:rPr>
          <w:b/>
          <w:bCs/>
          <w:i/>
        </w:rPr>
      </w:pPr>
      <w:bookmarkStart w:id="6" w:name="_Hlk10025717"/>
      <w:r w:rsidRPr="008D349D">
        <w:rPr>
          <w:i/>
          <w:iCs/>
          <w:sz w:val="18"/>
          <w:szCs w:val="18"/>
        </w:rPr>
        <w:t>Note</w:t>
      </w:r>
      <w:r w:rsidR="0097798D">
        <w:rPr>
          <w:i/>
          <w:iCs/>
          <w:sz w:val="18"/>
          <w:szCs w:val="18"/>
        </w:rPr>
        <w:tab/>
      </w:r>
      <w:r w:rsidRPr="008D349D">
        <w:rPr>
          <w:sz w:val="18"/>
          <w:szCs w:val="18"/>
        </w:rPr>
        <w:t>EN 62209</w:t>
      </w:r>
      <w:r w:rsidRPr="008D349D">
        <w:rPr>
          <w:sz w:val="18"/>
          <w:szCs w:val="18"/>
        </w:rPr>
        <w:noBreakHyphen/>
        <w:t>1 is a European Union harmonised standard based on IEC 62209</w:t>
      </w:r>
      <w:r w:rsidRPr="008D349D">
        <w:rPr>
          <w:sz w:val="18"/>
          <w:szCs w:val="18"/>
        </w:rPr>
        <w:noBreakHyphen/>
        <w:t xml:space="preserve">1, a standard developed by Technical Committee TC106 of the International Electrotechnical Commission (IEC). Australia has active representation on TC106 through the participation of Standards </w:t>
      </w:r>
      <w:bookmarkEnd w:id="6"/>
      <w:r w:rsidRPr="008D349D">
        <w:rPr>
          <w:sz w:val="18"/>
          <w:szCs w:val="18"/>
        </w:rPr>
        <w:t>Australia (</w:t>
      </w:r>
      <w:hyperlink r:id="rId16" w:history="1">
        <w:r w:rsidRPr="00434F21">
          <w:rPr>
            <w:color w:val="0000FF"/>
            <w:sz w:val="18"/>
            <w:szCs w:val="18"/>
            <w:u w:val="single"/>
          </w:rPr>
          <w:t>http://www.standards.org.au/</w:t>
        </w:r>
      </w:hyperlink>
      <w:r w:rsidRPr="00434F21">
        <w:rPr>
          <w:sz w:val="18"/>
          <w:szCs w:val="18"/>
        </w:rPr>
        <w:t>). EN 62209-1 may be obtained for a fee from a Standards Australia distributor listed on the Standards Australia website </w:t>
      </w:r>
      <w:bookmarkStart w:id="7" w:name="_Hlk9946219"/>
      <w:r w:rsidRPr="00434F21">
        <w:rPr>
          <w:sz w:val="18"/>
          <w:szCs w:val="18"/>
        </w:rPr>
        <w:t>(</w:t>
      </w:r>
      <w:hyperlink r:id="rId17" w:history="1">
        <w:r w:rsidRPr="00FE0165">
          <w:rPr>
            <w:rFonts w:eastAsia="Calibri"/>
            <w:color w:val="0000FF"/>
            <w:sz w:val="18"/>
            <w:szCs w:val="18"/>
            <w:u w:val="single"/>
            <w:lang w:eastAsia="en-US"/>
          </w:rPr>
          <w:t>https://www.standards.org.au/search-for-a-standard</w:t>
        </w:r>
      </w:hyperlink>
      <w:r w:rsidRPr="00434F21">
        <w:rPr>
          <w:sz w:val="18"/>
          <w:szCs w:val="18"/>
        </w:rPr>
        <w:t xml:space="preserve">) </w:t>
      </w:r>
      <w:bookmarkStart w:id="8" w:name="_Hlk10026800"/>
      <w:r w:rsidRPr="00434F21">
        <w:rPr>
          <w:sz w:val="18"/>
          <w:szCs w:val="18"/>
        </w:rPr>
        <w:t>or</w:t>
      </w:r>
      <w:r w:rsidRPr="00434F21">
        <w:rPr>
          <w:sz w:val="18"/>
          <w:szCs w:val="18"/>
          <w:lang w:val="en-US"/>
        </w:rPr>
        <w:t xml:space="preserve"> can otherwise be made available for viewing on prior request at an ACMA office, subject to licensing conditions</w:t>
      </w:r>
      <w:r w:rsidRPr="00434F21">
        <w:rPr>
          <w:sz w:val="18"/>
          <w:szCs w:val="18"/>
        </w:rPr>
        <w:t>.</w:t>
      </w:r>
      <w:bookmarkEnd w:id="7"/>
      <w:bookmarkEnd w:id="8"/>
    </w:p>
    <w:p w14:paraId="4E7BDBE0" w14:textId="77777777" w:rsidR="00BE2A6B" w:rsidRPr="00434F21" w:rsidRDefault="00BE2A6B" w:rsidP="00434F21">
      <w:pPr>
        <w:pStyle w:val="Item"/>
        <w:spacing w:before="120"/>
        <w:ind w:left="993"/>
        <w:rPr>
          <w:sz w:val="24"/>
          <w:szCs w:val="24"/>
        </w:rPr>
      </w:pPr>
      <w:r w:rsidRPr="00434F21">
        <w:rPr>
          <w:b/>
          <w:i/>
          <w:sz w:val="24"/>
          <w:szCs w:val="24"/>
        </w:rPr>
        <w:t>EN 62209-2</w:t>
      </w:r>
      <w:r w:rsidRPr="00434F21">
        <w:rPr>
          <w:sz w:val="24"/>
          <w:szCs w:val="24"/>
        </w:rPr>
        <w:t xml:space="preserve"> means:</w:t>
      </w:r>
    </w:p>
    <w:p w14:paraId="00AF08FB" w14:textId="77777777" w:rsidR="00BE2A6B" w:rsidRPr="00434F21" w:rsidRDefault="00BE2A6B" w:rsidP="00434F21">
      <w:pPr>
        <w:pStyle w:val="Item"/>
        <w:numPr>
          <w:ilvl w:val="0"/>
          <w:numId w:val="21"/>
        </w:numPr>
        <w:spacing w:before="60"/>
        <w:ind w:left="1418" w:hanging="425"/>
        <w:rPr>
          <w:sz w:val="24"/>
          <w:szCs w:val="24"/>
        </w:rPr>
      </w:pPr>
      <w:r w:rsidRPr="00434F21">
        <w:rPr>
          <w:i/>
          <w:iCs/>
          <w:sz w:val="24"/>
          <w:szCs w:val="24"/>
        </w:rPr>
        <w:t>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rsidRPr="00434F21">
        <w:rPr>
          <w:sz w:val="24"/>
          <w:szCs w:val="24"/>
        </w:rPr>
        <w:t>, published by the European Committee for Electrotechnical Standardisation (CENELEC); or</w:t>
      </w:r>
    </w:p>
    <w:p w14:paraId="55F8282D" w14:textId="77777777" w:rsidR="00BE2A6B" w:rsidRPr="00434F21" w:rsidRDefault="00BE2A6B" w:rsidP="00434F21">
      <w:pPr>
        <w:pStyle w:val="Item"/>
        <w:numPr>
          <w:ilvl w:val="0"/>
          <w:numId w:val="21"/>
        </w:numPr>
        <w:spacing w:before="120"/>
        <w:ind w:left="1418" w:hanging="425"/>
        <w:rPr>
          <w:sz w:val="24"/>
          <w:szCs w:val="24"/>
        </w:rPr>
      </w:pPr>
      <w:r w:rsidRPr="00434F21">
        <w:rPr>
          <w:sz w:val="24"/>
          <w:szCs w:val="24"/>
        </w:rPr>
        <w:t>if a later document published by the European Committee for Electrotechnical Standardisation (CENELEC) is expressed to replace the document mentioned in paragraph (a) – the later document.</w:t>
      </w:r>
    </w:p>
    <w:p w14:paraId="2C2A1985" w14:textId="73B5F8FD" w:rsidR="00BE2A6B" w:rsidRPr="00BE2A6B" w:rsidRDefault="00BE2A6B" w:rsidP="00FE31EA">
      <w:pPr>
        <w:pStyle w:val="Item"/>
        <w:tabs>
          <w:tab w:val="left" w:pos="1701"/>
        </w:tabs>
        <w:spacing w:before="120"/>
        <w:ind w:left="993"/>
        <w:rPr>
          <w:sz w:val="18"/>
          <w:szCs w:val="18"/>
        </w:rPr>
      </w:pPr>
      <w:r w:rsidRPr="008D349D">
        <w:rPr>
          <w:i/>
          <w:iCs/>
          <w:sz w:val="18"/>
          <w:szCs w:val="18"/>
        </w:rPr>
        <w:t>Note</w:t>
      </w:r>
      <w:r w:rsidR="00FE31EA">
        <w:rPr>
          <w:i/>
          <w:iCs/>
          <w:sz w:val="18"/>
          <w:szCs w:val="18"/>
        </w:rPr>
        <w:tab/>
      </w:r>
      <w:r w:rsidRPr="008D349D">
        <w:rPr>
          <w:sz w:val="18"/>
          <w:szCs w:val="18"/>
        </w:rPr>
        <w:t>EN 62209</w:t>
      </w:r>
      <w:r w:rsidRPr="008D349D">
        <w:rPr>
          <w:sz w:val="18"/>
          <w:szCs w:val="18"/>
        </w:rPr>
        <w:noBreakHyphen/>
        <w:t>2</w:t>
      </w:r>
      <w:r w:rsidRPr="00920BDC">
        <w:rPr>
          <w:sz w:val="18"/>
          <w:szCs w:val="18"/>
        </w:rPr>
        <w:t xml:space="preserve"> is a European Union harmonised standard based on IEC 62209</w:t>
      </w:r>
      <w:r w:rsidRPr="00920BDC">
        <w:rPr>
          <w:sz w:val="18"/>
          <w:szCs w:val="18"/>
        </w:rPr>
        <w:noBreakHyphen/>
        <w:t>2</w:t>
      </w:r>
      <w:r w:rsidRPr="00BE2A6B">
        <w:rPr>
          <w:sz w:val="18"/>
          <w:szCs w:val="18"/>
        </w:rPr>
        <w:t>, a standard developed by Technical Committee TC106 of the International Electrotechnical Commission (IEC). Australia has active representation on TC106 through the participation of Standards Australia (</w:t>
      </w:r>
      <w:hyperlink r:id="rId18" w:history="1">
        <w:r w:rsidRPr="00BE2A6B">
          <w:rPr>
            <w:rStyle w:val="Hyperlink"/>
            <w:sz w:val="18"/>
            <w:szCs w:val="18"/>
          </w:rPr>
          <w:t>http://www.standards.org.au/</w:t>
        </w:r>
      </w:hyperlink>
      <w:r w:rsidRPr="008D349D">
        <w:rPr>
          <w:sz w:val="18"/>
          <w:szCs w:val="18"/>
        </w:rPr>
        <w:t xml:space="preserve">). EN 62209-2 may be obtained </w:t>
      </w:r>
      <w:r w:rsidRPr="00920BDC">
        <w:rPr>
          <w:sz w:val="18"/>
          <w:szCs w:val="18"/>
        </w:rPr>
        <w:t xml:space="preserve">for a fee from </w:t>
      </w:r>
      <w:r w:rsidRPr="00BE2A6B">
        <w:rPr>
          <w:sz w:val="18"/>
          <w:szCs w:val="18"/>
        </w:rPr>
        <w:t>a Standards Australia distributor listed on the Standards Australia website (</w:t>
      </w:r>
      <w:bookmarkStart w:id="9" w:name="_Hlk18594840"/>
      <w:r w:rsidRPr="008D349D">
        <w:rPr>
          <w:rFonts w:eastAsiaTheme="minorHAnsi"/>
          <w:sz w:val="18"/>
          <w:szCs w:val="18"/>
          <w:lang w:eastAsia="en-US"/>
        </w:rPr>
        <w:fldChar w:fldCharType="begin"/>
      </w:r>
      <w:r w:rsidRPr="00BE2A6B">
        <w:rPr>
          <w:rFonts w:eastAsiaTheme="minorHAnsi"/>
          <w:sz w:val="18"/>
          <w:szCs w:val="18"/>
          <w:lang w:eastAsia="en-US"/>
        </w:rPr>
        <w:instrText xml:space="preserve"> HYPERLINK "https://www.standards.org.au/search-for-a-standard" </w:instrText>
      </w:r>
      <w:r w:rsidRPr="008D349D">
        <w:rPr>
          <w:rFonts w:eastAsiaTheme="minorHAnsi"/>
          <w:sz w:val="18"/>
          <w:szCs w:val="18"/>
          <w:lang w:eastAsia="en-US"/>
        </w:rPr>
        <w:fldChar w:fldCharType="separate"/>
      </w:r>
      <w:r w:rsidRPr="008D349D">
        <w:rPr>
          <w:rFonts w:eastAsiaTheme="minorHAnsi"/>
          <w:color w:val="0000FF"/>
          <w:sz w:val="18"/>
          <w:szCs w:val="18"/>
          <w:u w:val="single"/>
          <w:lang w:eastAsia="en-US"/>
        </w:rPr>
        <w:t>https://www.standards.org.au/search-for-a-standard</w:t>
      </w:r>
      <w:r w:rsidRPr="008D349D">
        <w:rPr>
          <w:rFonts w:eastAsiaTheme="minorHAnsi"/>
          <w:sz w:val="18"/>
          <w:szCs w:val="18"/>
          <w:lang w:eastAsia="en-US"/>
        </w:rPr>
        <w:fldChar w:fldCharType="end"/>
      </w:r>
      <w:bookmarkEnd w:id="9"/>
      <w:r w:rsidRPr="008D349D">
        <w:rPr>
          <w:sz w:val="18"/>
          <w:szCs w:val="18"/>
        </w:rPr>
        <w:t>) or</w:t>
      </w:r>
      <w:r w:rsidRPr="008D349D">
        <w:rPr>
          <w:sz w:val="18"/>
          <w:szCs w:val="18"/>
          <w:lang w:val="en-US"/>
        </w:rPr>
        <w:t xml:space="preserve"> can otherwise be made available for viewing on prior </w:t>
      </w:r>
      <w:r w:rsidRPr="00920BDC">
        <w:rPr>
          <w:sz w:val="18"/>
          <w:szCs w:val="18"/>
          <w:lang w:val="en-US"/>
        </w:rPr>
        <w:t>request at</w:t>
      </w:r>
      <w:r w:rsidRPr="00BE2A6B">
        <w:rPr>
          <w:sz w:val="18"/>
          <w:szCs w:val="18"/>
          <w:lang w:val="en-US"/>
        </w:rPr>
        <w:t xml:space="preserve"> an ACMA office, subject to licensing conditions</w:t>
      </w:r>
      <w:r w:rsidRPr="00BE2A6B">
        <w:rPr>
          <w:sz w:val="18"/>
          <w:szCs w:val="18"/>
        </w:rPr>
        <w:t>.</w:t>
      </w:r>
    </w:p>
    <w:p w14:paraId="1947DE64" w14:textId="3D3EF1C7" w:rsidR="00A30995" w:rsidRDefault="00A30995" w:rsidP="00434F21">
      <w:pPr>
        <w:pStyle w:val="definition"/>
        <w:spacing w:before="120"/>
      </w:pPr>
      <w:r>
        <w:rPr>
          <w:b/>
          <w:bCs/>
          <w:i/>
          <w:iCs/>
        </w:rPr>
        <w:t>human body</w:t>
      </w:r>
      <w:r>
        <w:t xml:space="preserve"> means the head, neck and trunk but not the limbs.</w:t>
      </w:r>
    </w:p>
    <w:p w14:paraId="28A9392B" w14:textId="77777777" w:rsidR="00113932" w:rsidRPr="00434F21" w:rsidRDefault="00113932" w:rsidP="00434F21">
      <w:pPr>
        <w:pStyle w:val="Item"/>
        <w:spacing w:before="60"/>
        <w:ind w:left="1418" w:hanging="425"/>
        <w:rPr>
          <w:sz w:val="24"/>
          <w:szCs w:val="24"/>
        </w:rPr>
      </w:pPr>
      <w:r w:rsidRPr="00434F21">
        <w:rPr>
          <w:b/>
          <w:i/>
          <w:sz w:val="24"/>
          <w:szCs w:val="24"/>
        </w:rPr>
        <w:t>IEC 62209-1</w:t>
      </w:r>
      <w:r w:rsidRPr="00434F21">
        <w:rPr>
          <w:b/>
          <w:sz w:val="24"/>
          <w:szCs w:val="24"/>
        </w:rPr>
        <w:t xml:space="preserve"> </w:t>
      </w:r>
      <w:r w:rsidRPr="00434F21">
        <w:rPr>
          <w:sz w:val="24"/>
          <w:szCs w:val="24"/>
        </w:rPr>
        <w:t>means:</w:t>
      </w:r>
    </w:p>
    <w:p w14:paraId="7F02F870" w14:textId="77777777" w:rsidR="00113932" w:rsidRPr="00434F21" w:rsidRDefault="00113932" w:rsidP="00434F21">
      <w:pPr>
        <w:pStyle w:val="Item"/>
        <w:numPr>
          <w:ilvl w:val="0"/>
          <w:numId w:val="22"/>
        </w:numPr>
        <w:spacing w:before="60"/>
        <w:ind w:left="1418" w:hanging="425"/>
        <w:rPr>
          <w:sz w:val="24"/>
          <w:szCs w:val="24"/>
        </w:rPr>
      </w:pPr>
      <w:r w:rsidRPr="00434F21">
        <w:rPr>
          <w:sz w:val="24"/>
          <w:szCs w:val="24"/>
        </w:rPr>
        <w:t xml:space="preserve">the </w:t>
      </w:r>
      <w:r w:rsidRPr="00434F21">
        <w:rPr>
          <w:i/>
          <w:sz w:val="24"/>
          <w:szCs w:val="24"/>
        </w:rPr>
        <w:t>Measurement procedure for the assessment of specific absorption rate of human exposure to radio frequency fields from hand-held and body-mounted wireless communication devices – Part 1: Devices used next to the ear (Frequency range of 300 MHz to 6 GHz)</w:t>
      </w:r>
      <w:r w:rsidRPr="00434F21">
        <w:rPr>
          <w:sz w:val="24"/>
          <w:szCs w:val="24"/>
        </w:rPr>
        <w:t>, published by the International Electrotechnical Commission (IEC); or</w:t>
      </w:r>
    </w:p>
    <w:p w14:paraId="3001EE61" w14:textId="77777777" w:rsidR="00113932" w:rsidRPr="00434F21" w:rsidRDefault="00113932" w:rsidP="00434F21">
      <w:pPr>
        <w:pStyle w:val="Item"/>
        <w:numPr>
          <w:ilvl w:val="0"/>
          <w:numId w:val="22"/>
        </w:numPr>
        <w:spacing w:before="60"/>
        <w:ind w:left="1418" w:hanging="425"/>
        <w:rPr>
          <w:sz w:val="24"/>
          <w:szCs w:val="24"/>
        </w:rPr>
      </w:pPr>
      <w:r w:rsidRPr="00434F21">
        <w:rPr>
          <w:sz w:val="24"/>
          <w:szCs w:val="24"/>
        </w:rPr>
        <w:t>if</w:t>
      </w:r>
      <w:r w:rsidRPr="00434F21">
        <w:rPr>
          <w:rFonts w:asciiTheme="minorHAnsi" w:eastAsiaTheme="minorHAnsi" w:hAnsiTheme="minorHAnsi" w:cstheme="minorBidi"/>
          <w:sz w:val="24"/>
          <w:szCs w:val="24"/>
          <w:lang w:eastAsia="en-US"/>
        </w:rPr>
        <w:t xml:space="preserve"> </w:t>
      </w:r>
      <w:r w:rsidRPr="00434F21">
        <w:rPr>
          <w:sz w:val="24"/>
          <w:szCs w:val="24"/>
        </w:rPr>
        <w:t>a later document published by the International Electrotechnical Commission (IEC) is expressed to replace the document mentioned in paragraph (a) – the later document.</w:t>
      </w:r>
    </w:p>
    <w:p w14:paraId="1610F23A" w14:textId="5867ED6F" w:rsidR="0091697D" w:rsidRPr="00434F21" w:rsidRDefault="00113932" w:rsidP="00FE31EA">
      <w:pPr>
        <w:pStyle w:val="ItemHead"/>
        <w:tabs>
          <w:tab w:val="left" w:pos="1701"/>
        </w:tabs>
        <w:spacing w:before="0"/>
        <w:ind w:left="993" w:firstLine="0"/>
        <w:rPr>
          <w:rFonts w:ascii="Times New Roman" w:hAnsi="Times New Roman"/>
          <w:b w:val="0"/>
          <w:i/>
          <w:sz w:val="18"/>
          <w:szCs w:val="18"/>
        </w:rPr>
      </w:pPr>
      <w:r w:rsidRPr="00434F21">
        <w:rPr>
          <w:rFonts w:ascii="Times New Roman" w:hAnsi="Times New Roman"/>
          <w:b w:val="0"/>
          <w:i/>
          <w:iCs/>
          <w:sz w:val="18"/>
          <w:szCs w:val="18"/>
        </w:rPr>
        <w:lastRenderedPageBreak/>
        <w:t>Note</w:t>
      </w:r>
      <w:r w:rsidR="00FE31EA">
        <w:rPr>
          <w:rFonts w:ascii="Times New Roman" w:hAnsi="Times New Roman"/>
          <w:b w:val="0"/>
          <w:i/>
          <w:iCs/>
          <w:sz w:val="18"/>
          <w:szCs w:val="18"/>
        </w:rPr>
        <w:tab/>
      </w:r>
      <w:r w:rsidRPr="00434F21">
        <w:rPr>
          <w:rFonts w:ascii="Times New Roman" w:hAnsi="Times New Roman"/>
          <w:b w:val="0"/>
          <w:sz w:val="18"/>
          <w:szCs w:val="18"/>
        </w:rPr>
        <w:t>IEC 62209-1 was developed by Technical Committee TC106 of the International Electrotechnical Commission (IEC). Australia has active representation on TC106 through the participation of Standards Australia (</w:t>
      </w:r>
      <w:hyperlink r:id="rId19" w:history="1">
        <w:r w:rsidRPr="00434F21">
          <w:rPr>
            <w:rStyle w:val="Hyperlink"/>
            <w:rFonts w:ascii="Times New Roman" w:hAnsi="Times New Roman"/>
            <w:b w:val="0"/>
            <w:sz w:val="18"/>
            <w:szCs w:val="18"/>
          </w:rPr>
          <w:t>http://www.standards.org.au/</w:t>
        </w:r>
      </w:hyperlink>
      <w:r w:rsidRPr="00434F21">
        <w:rPr>
          <w:rFonts w:ascii="Times New Roman" w:hAnsi="Times New Roman"/>
          <w:b w:val="0"/>
          <w:sz w:val="18"/>
          <w:szCs w:val="18"/>
        </w:rPr>
        <w:t>). IEC 62209-1 may be obtained for a fee from a Standards Australia distributor listed on the Standards Australia website (</w:t>
      </w:r>
      <w:hyperlink r:id="rId20" w:history="1">
        <w:r w:rsidRPr="00434F21">
          <w:rPr>
            <w:rFonts w:ascii="Times New Roman" w:eastAsiaTheme="minorHAnsi" w:hAnsi="Times New Roman"/>
            <w:b w:val="0"/>
            <w:color w:val="0000FF"/>
            <w:sz w:val="18"/>
            <w:szCs w:val="18"/>
            <w:u w:val="single"/>
            <w:lang w:eastAsia="en-US"/>
          </w:rPr>
          <w:t>https://www.standards.org.au/search-for-a-standard</w:t>
        </w:r>
      </w:hyperlink>
      <w:r w:rsidRPr="00434F21">
        <w:rPr>
          <w:rFonts w:ascii="Times New Roman" w:hAnsi="Times New Roman"/>
          <w:b w:val="0"/>
          <w:sz w:val="18"/>
          <w:szCs w:val="18"/>
        </w:rPr>
        <w:t>) or</w:t>
      </w:r>
      <w:r w:rsidRPr="00434F21">
        <w:rPr>
          <w:rFonts w:ascii="Times New Roman" w:hAnsi="Times New Roman"/>
          <w:b w:val="0"/>
          <w:sz w:val="18"/>
          <w:szCs w:val="18"/>
          <w:lang w:val="en-US"/>
        </w:rPr>
        <w:t xml:space="preserve"> can otherwise be made available for viewing on prior request at an ACMA office, subject to licensing conditions</w:t>
      </w:r>
      <w:r w:rsidRPr="00434F21">
        <w:rPr>
          <w:rFonts w:ascii="Times New Roman" w:hAnsi="Times New Roman"/>
          <w:b w:val="0"/>
          <w:sz w:val="18"/>
          <w:szCs w:val="18"/>
        </w:rPr>
        <w:t>.</w:t>
      </w:r>
    </w:p>
    <w:p w14:paraId="6C20FB72" w14:textId="77777777" w:rsidR="00C320F9" w:rsidRPr="00434F21" w:rsidRDefault="00C320F9" w:rsidP="00434F21">
      <w:pPr>
        <w:pStyle w:val="Item"/>
        <w:spacing w:before="120"/>
        <w:ind w:left="1418" w:hanging="425"/>
        <w:rPr>
          <w:sz w:val="24"/>
          <w:szCs w:val="24"/>
        </w:rPr>
      </w:pPr>
      <w:r w:rsidRPr="00434F21">
        <w:rPr>
          <w:b/>
          <w:i/>
          <w:sz w:val="24"/>
          <w:szCs w:val="24"/>
        </w:rPr>
        <w:t>IEC 62209-2</w:t>
      </w:r>
      <w:r w:rsidRPr="00434F21">
        <w:rPr>
          <w:b/>
          <w:sz w:val="24"/>
          <w:szCs w:val="24"/>
        </w:rPr>
        <w:t xml:space="preserve"> </w:t>
      </w:r>
      <w:r w:rsidRPr="00434F21">
        <w:rPr>
          <w:sz w:val="24"/>
          <w:szCs w:val="24"/>
        </w:rPr>
        <w:t>means:</w:t>
      </w:r>
    </w:p>
    <w:p w14:paraId="485B4537" w14:textId="77777777" w:rsidR="00C320F9" w:rsidRPr="00434F21" w:rsidRDefault="00C320F9" w:rsidP="00434F21">
      <w:pPr>
        <w:pStyle w:val="Item"/>
        <w:numPr>
          <w:ilvl w:val="0"/>
          <w:numId w:val="23"/>
        </w:numPr>
        <w:spacing w:before="60"/>
        <w:ind w:left="1418" w:hanging="425"/>
        <w:rPr>
          <w:sz w:val="24"/>
          <w:szCs w:val="24"/>
        </w:rPr>
      </w:pPr>
      <w:r w:rsidRPr="00434F21">
        <w:rPr>
          <w:i/>
          <w:iCs/>
          <w:sz w:val="24"/>
          <w:szCs w:val="24"/>
        </w:rPr>
        <w:t>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rsidRPr="00434F21">
        <w:rPr>
          <w:sz w:val="24"/>
          <w:szCs w:val="24"/>
        </w:rPr>
        <w:t>, published by the International Electrotechnical Commission (IEC); or</w:t>
      </w:r>
    </w:p>
    <w:p w14:paraId="707B321C" w14:textId="77777777" w:rsidR="00C320F9" w:rsidRPr="00434F21" w:rsidRDefault="00C320F9" w:rsidP="00434F21">
      <w:pPr>
        <w:pStyle w:val="Item"/>
        <w:numPr>
          <w:ilvl w:val="0"/>
          <w:numId w:val="23"/>
        </w:numPr>
        <w:spacing w:before="120"/>
        <w:ind w:left="1418" w:hanging="425"/>
        <w:rPr>
          <w:sz w:val="24"/>
          <w:szCs w:val="22"/>
        </w:rPr>
      </w:pPr>
      <w:r w:rsidRPr="00434F21">
        <w:rPr>
          <w:sz w:val="24"/>
          <w:szCs w:val="22"/>
        </w:rPr>
        <w:t>if</w:t>
      </w:r>
      <w:r w:rsidRPr="00434F21">
        <w:rPr>
          <w:rFonts w:asciiTheme="minorHAnsi" w:eastAsiaTheme="minorHAnsi" w:hAnsiTheme="minorHAnsi" w:cstheme="minorBidi"/>
          <w:sz w:val="24"/>
          <w:szCs w:val="24"/>
          <w:lang w:eastAsia="en-US"/>
        </w:rPr>
        <w:t xml:space="preserve"> </w:t>
      </w:r>
      <w:r w:rsidRPr="00434F21">
        <w:rPr>
          <w:sz w:val="24"/>
          <w:szCs w:val="22"/>
        </w:rPr>
        <w:t>a later document published by the International Electrotechnical Commission (IEC) is expressed to replace the document mentioned in paragraph (a) – the later document.</w:t>
      </w:r>
    </w:p>
    <w:p w14:paraId="298EF385" w14:textId="61D77F17" w:rsidR="00C320F9" w:rsidRDefault="00C320F9" w:rsidP="00FE31EA">
      <w:pPr>
        <w:pStyle w:val="ItemHead"/>
        <w:tabs>
          <w:tab w:val="left" w:pos="1701"/>
        </w:tabs>
        <w:ind w:left="993" w:firstLine="0"/>
        <w:rPr>
          <w:rFonts w:ascii="Times New Roman" w:hAnsi="Times New Roman"/>
          <w:b w:val="0"/>
          <w:kern w:val="0"/>
          <w:sz w:val="18"/>
          <w:szCs w:val="18"/>
        </w:rPr>
      </w:pPr>
      <w:r w:rsidRPr="00B306A0">
        <w:rPr>
          <w:rFonts w:ascii="Times New Roman" w:hAnsi="Times New Roman"/>
          <w:b w:val="0"/>
          <w:i/>
          <w:iCs/>
          <w:kern w:val="0"/>
          <w:sz w:val="18"/>
          <w:szCs w:val="18"/>
        </w:rPr>
        <w:t>Note</w:t>
      </w:r>
      <w:r w:rsidRPr="00775AE8">
        <w:rPr>
          <w:i/>
          <w:iCs/>
          <w:sz w:val="18"/>
          <w:szCs w:val="18"/>
        </w:rPr>
        <w:tab/>
      </w:r>
      <w:r>
        <w:rPr>
          <w:rFonts w:ascii="Times New Roman" w:hAnsi="Times New Roman"/>
          <w:b w:val="0"/>
          <w:kern w:val="0"/>
          <w:sz w:val="18"/>
          <w:szCs w:val="18"/>
        </w:rPr>
        <w:t>I</w:t>
      </w:r>
      <w:r w:rsidRPr="0046060F">
        <w:rPr>
          <w:rFonts w:ascii="Times New Roman" w:hAnsi="Times New Roman"/>
          <w:b w:val="0"/>
          <w:kern w:val="0"/>
          <w:sz w:val="18"/>
          <w:szCs w:val="18"/>
        </w:rPr>
        <w:t>EC 62209-2 was developed by Technical Committee TC106 of the International Electrotechnical Commission (IEC). Australia has active representation on TC106 through the participation of Standards Australia (</w:t>
      </w:r>
      <w:hyperlink r:id="rId21" w:history="1">
        <w:r w:rsidRPr="0046060F">
          <w:rPr>
            <w:rStyle w:val="Hyperlink"/>
            <w:rFonts w:ascii="Times New Roman" w:hAnsi="Times New Roman"/>
            <w:b w:val="0"/>
            <w:kern w:val="0"/>
            <w:sz w:val="18"/>
            <w:szCs w:val="18"/>
          </w:rPr>
          <w:t>http://www.standards.org.au/</w:t>
        </w:r>
      </w:hyperlink>
      <w:r w:rsidRPr="0046060F">
        <w:rPr>
          <w:rFonts w:ascii="Times New Roman" w:hAnsi="Times New Roman"/>
          <w:b w:val="0"/>
          <w:kern w:val="0"/>
          <w:sz w:val="18"/>
          <w:szCs w:val="18"/>
        </w:rPr>
        <w:t>). IEC 62209-2 may be obtained</w:t>
      </w:r>
      <w:r>
        <w:rPr>
          <w:rFonts w:ascii="Times New Roman" w:hAnsi="Times New Roman"/>
          <w:b w:val="0"/>
          <w:kern w:val="0"/>
          <w:sz w:val="18"/>
          <w:szCs w:val="18"/>
        </w:rPr>
        <w:t xml:space="preserve"> for a fee</w:t>
      </w:r>
      <w:r w:rsidRPr="0046060F">
        <w:rPr>
          <w:rFonts w:ascii="Times New Roman" w:hAnsi="Times New Roman"/>
          <w:b w:val="0"/>
          <w:kern w:val="0"/>
          <w:sz w:val="18"/>
          <w:szCs w:val="18"/>
        </w:rPr>
        <w:t xml:space="preserve"> from </w:t>
      </w:r>
      <w:r>
        <w:rPr>
          <w:rFonts w:ascii="Times New Roman" w:hAnsi="Times New Roman"/>
          <w:b w:val="0"/>
          <w:kern w:val="0"/>
          <w:sz w:val="18"/>
          <w:szCs w:val="18"/>
        </w:rPr>
        <w:t>a Standards Australia distributor listed on the Standards Australia</w:t>
      </w:r>
      <w:r w:rsidRPr="0046060F">
        <w:rPr>
          <w:rFonts w:ascii="Times New Roman" w:hAnsi="Times New Roman"/>
          <w:b w:val="0"/>
          <w:kern w:val="0"/>
          <w:sz w:val="18"/>
          <w:szCs w:val="18"/>
        </w:rPr>
        <w:t xml:space="preserve"> website </w:t>
      </w:r>
      <w:r>
        <w:rPr>
          <w:rFonts w:ascii="Times New Roman" w:hAnsi="Times New Roman"/>
          <w:b w:val="0"/>
          <w:kern w:val="0"/>
          <w:sz w:val="18"/>
          <w:szCs w:val="18"/>
        </w:rPr>
        <w:t>(</w:t>
      </w:r>
      <w:hyperlink r:id="rId22" w:history="1">
        <w:r w:rsidRPr="007F1E1A">
          <w:rPr>
            <w:rFonts w:ascii="Times New Roman" w:eastAsiaTheme="minorHAnsi" w:hAnsi="Times New Roman"/>
            <w:b w:val="0"/>
            <w:color w:val="0000FF"/>
            <w:kern w:val="0"/>
            <w:sz w:val="18"/>
            <w:szCs w:val="18"/>
            <w:u w:val="single"/>
            <w:lang w:eastAsia="en-US"/>
          </w:rPr>
          <w:t>https://www.standards.org.au/search-for-a-standard</w:t>
        </w:r>
      </w:hyperlink>
      <w:r>
        <w:rPr>
          <w:rFonts w:ascii="Times New Roman" w:hAnsi="Times New Roman"/>
          <w:b w:val="0"/>
          <w:kern w:val="0"/>
          <w:sz w:val="18"/>
          <w:szCs w:val="18"/>
        </w:rPr>
        <w:t xml:space="preserve">) </w:t>
      </w:r>
      <w:r w:rsidRPr="0046060F">
        <w:rPr>
          <w:rFonts w:ascii="Times New Roman" w:hAnsi="Times New Roman"/>
          <w:b w:val="0"/>
          <w:kern w:val="0"/>
          <w:sz w:val="18"/>
          <w:szCs w:val="18"/>
        </w:rPr>
        <w:t>or</w:t>
      </w:r>
      <w:r w:rsidRPr="0046060F">
        <w:rPr>
          <w:rFonts w:ascii="Times New Roman" w:hAnsi="Times New Roman"/>
          <w:b w:val="0"/>
          <w:kern w:val="0"/>
          <w:sz w:val="18"/>
          <w:szCs w:val="18"/>
          <w:lang w:val="en-US"/>
        </w:rPr>
        <w:t xml:space="preserve"> can otherwise be made available for viewing on </w:t>
      </w:r>
      <w:r>
        <w:rPr>
          <w:rFonts w:ascii="Times New Roman" w:hAnsi="Times New Roman"/>
          <w:b w:val="0"/>
          <w:kern w:val="0"/>
          <w:sz w:val="18"/>
          <w:szCs w:val="18"/>
          <w:lang w:val="en-US"/>
        </w:rPr>
        <w:t xml:space="preserve">prior </w:t>
      </w:r>
      <w:r w:rsidRPr="0046060F">
        <w:rPr>
          <w:rFonts w:ascii="Times New Roman" w:hAnsi="Times New Roman"/>
          <w:b w:val="0"/>
          <w:kern w:val="0"/>
          <w:sz w:val="18"/>
          <w:szCs w:val="18"/>
          <w:lang w:val="en-US"/>
        </w:rPr>
        <w:t xml:space="preserve">request </w:t>
      </w:r>
      <w:r>
        <w:rPr>
          <w:rFonts w:ascii="Times New Roman" w:hAnsi="Times New Roman"/>
          <w:b w:val="0"/>
          <w:kern w:val="0"/>
          <w:sz w:val="18"/>
          <w:szCs w:val="18"/>
          <w:lang w:val="en-US"/>
        </w:rPr>
        <w:t>at</w:t>
      </w:r>
      <w:r w:rsidRPr="0046060F">
        <w:rPr>
          <w:rFonts w:ascii="Times New Roman" w:hAnsi="Times New Roman"/>
          <w:b w:val="0"/>
          <w:kern w:val="0"/>
          <w:sz w:val="18"/>
          <w:szCs w:val="18"/>
          <w:lang w:val="en-US"/>
        </w:rPr>
        <w:t xml:space="preserve"> an ACMA office, subject to licensing conditions</w:t>
      </w:r>
      <w:r w:rsidRPr="0046060F">
        <w:rPr>
          <w:rFonts w:ascii="Times New Roman" w:hAnsi="Times New Roman"/>
          <w:b w:val="0"/>
          <w:kern w:val="0"/>
          <w:sz w:val="18"/>
          <w:szCs w:val="18"/>
        </w:rPr>
        <w:t>.</w:t>
      </w:r>
    </w:p>
    <w:p w14:paraId="10F15C85" w14:textId="77777777" w:rsidR="002E33C2" w:rsidRPr="0002547F" w:rsidRDefault="002E33C2" w:rsidP="0002547F">
      <w:pPr>
        <w:keepNext/>
        <w:keepLines/>
        <w:spacing w:before="120"/>
        <w:ind w:left="993"/>
        <w:rPr>
          <w:szCs w:val="22"/>
        </w:rPr>
      </w:pPr>
      <w:bookmarkStart w:id="10" w:name="_Hlk29370697"/>
      <w:r w:rsidRPr="0002547F">
        <w:rPr>
          <w:b/>
          <w:bCs/>
          <w:i/>
          <w:iCs/>
          <w:szCs w:val="22"/>
        </w:rPr>
        <w:t>IEC TR 63170</w:t>
      </w:r>
      <w:r w:rsidRPr="0002547F">
        <w:rPr>
          <w:b/>
          <w:bCs/>
          <w:szCs w:val="22"/>
        </w:rPr>
        <w:t xml:space="preserve"> </w:t>
      </w:r>
      <w:bookmarkEnd w:id="10"/>
      <w:r w:rsidRPr="0002547F">
        <w:rPr>
          <w:szCs w:val="22"/>
        </w:rPr>
        <w:t>means:</w:t>
      </w:r>
    </w:p>
    <w:p w14:paraId="16770268" w14:textId="77777777" w:rsidR="002E33C2" w:rsidRPr="0002547F" w:rsidRDefault="002E33C2" w:rsidP="0002547F">
      <w:pPr>
        <w:keepNext/>
        <w:keepLines/>
        <w:numPr>
          <w:ilvl w:val="0"/>
          <w:numId w:val="28"/>
        </w:numPr>
        <w:spacing w:before="120" w:after="160" w:line="259" w:lineRule="auto"/>
        <w:ind w:left="1418" w:hanging="425"/>
        <w:rPr>
          <w:rFonts w:cs="Calibri"/>
          <w:lang w:eastAsia="en-US"/>
        </w:rPr>
      </w:pPr>
      <w:r w:rsidRPr="0002547F">
        <w:rPr>
          <w:rFonts w:cs="Calibri"/>
          <w:i/>
          <w:iCs/>
          <w:lang w:eastAsia="en-US"/>
        </w:rPr>
        <w:t>IEC TR 63170:2018 – Measurement procedure for the evaluation of power density related to human exposure to radio frequency fields from wireless communication devices operating between 6 GHz and 100 GHz</w:t>
      </w:r>
      <w:r w:rsidRPr="0002547F">
        <w:rPr>
          <w:rFonts w:cs="Calibri"/>
          <w:lang w:eastAsia="en-US"/>
        </w:rPr>
        <w:t>, published by the International Electrotechnical Commission (IEC)</w:t>
      </w:r>
      <w:r w:rsidRPr="0002547F">
        <w:rPr>
          <w:szCs w:val="22"/>
        </w:rPr>
        <w:t>; or</w:t>
      </w:r>
    </w:p>
    <w:p w14:paraId="6EA40A13" w14:textId="77777777" w:rsidR="002E33C2" w:rsidRPr="0002547F" w:rsidRDefault="002E33C2" w:rsidP="0002547F">
      <w:pPr>
        <w:keepLines/>
        <w:numPr>
          <w:ilvl w:val="0"/>
          <w:numId w:val="28"/>
        </w:numPr>
        <w:spacing w:before="60" w:after="160" w:line="259" w:lineRule="auto"/>
        <w:ind w:left="1418" w:hanging="425"/>
        <w:rPr>
          <w:szCs w:val="22"/>
        </w:rPr>
      </w:pPr>
      <w:r w:rsidRPr="0002547F">
        <w:rPr>
          <w:szCs w:val="22"/>
        </w:rPr>
        <w:t>if a later document published by the International Electrotechnical Commission (IEC) is expressed to replace the document mentioned in paragraph (a) – the later document.</w:t>
      </w:r>
    </w:p>
    <w:p w14:paraId="233385DD" w14:textId="51DA167F" w:rsidR="002E33C2" w:rsidRPr="0002547F" w:rsidRDefault="002E33C2" w:rsidP="0002547F">
      <w:pPr>
        <w:keepNext/>
        <w:keepLines/>
        <w:tabs>
          <w:tab w:val="left" w:pos="1701"/>
        </w:tabs>
        <w:spacing w:before="220"/>
        <w:ind w:left="993"/>
      </w:pPr>
      <w:r w:rsidRPr="002E33C2">
        <w:rPr>
          <w:i/>
          <w:iCs/>
          <w:sz w:val="18"/>
          <w:szCs w:val="18"/>
        </w:rPr>
        <w:t>Note</w:t>
      </w:r>
      <w:r w:rsidRPr="002E33C2">
        <w:rPr>
          <w:rFonts w:ascii="Arial" w:hAnsi="Arial"/>
          <w:b/>
          <w:i/>
          <w:iCs/>
          <w:kern w:val="28"/>
          <w:sz w:val="18"/>
          <w:szCs w:val="18"/>
        </w:rPr>
        <w:tab/>
      </w:r>
      <w:r w:rsidRPr="002E33C2">
        <w:rPr>
          <w:bCs/>
          <w:i/>
          <w:iCs/>
          <w:sz w:val="18"/>
          <w:szCs w:val="18"/>
        </w:rPr>
        <w:t>IEC TR 63170</w:t>
      </w:r>
      <w:r w:rsidRPr="002E33C2">
        <w:rPr>
          <w:bCs/>
          <w:sz w:val="18"/>
          <w:szCs w:val="18"/>
        </w:rPr>
        <w:t xml:space="preserve"> </w:t>
      </w:r>
      <w:r w:rsidRPr="002E33C2">
        <w:rPr>
          <w:sz w:val="18"/>
          <w:szCs w:val="18"/>
        </w:rPr>
        <w:t>may be obtained for a fee from a Standards Australia distributor listed on the Standards Australia website  (</w:t>
      </w:r>
      <w:hyperlink r:id="rId23" w:history="1">
        <w:r w:rsidRPr="002E33C2">
          <w:rPr>
            <w:color w:val="0000FF"/>
            <w:sz w:val="18"/>
            <w:szCs w:val="18"/>
            <w:u w:val="single"/>
          </w:rPr>
          <w:t>https://www.standards.org.au/search-for-a-standard</w:t>
        </w:r>
      </w:hyperlink>
      <w:r w:rsidRPr="002E33C2">
        <w:rPr>
          <w:sz w:val="18"/>
          <w:szCs w:val="18"/>
        </w:rPr>
        <w:t xml:space="preserve">) </w:t>
      </w:r>
      <w:r w:rsidRPr="002E33C2">
        <w:rPr>
          <w:sz w:val="18"/>
          <w:szCs w:val="18"/>
          <w:lang w:val="en-US"/>
        </w:rPr>
        <w:t>or can otherwise be made available for viewing on prior request at an ACMA office, subject to licensing conditions.</w:t>
      </w:r>
    </w:p>
    <w:p w14:paraId="1947DE69" w14:textId="0760D9C4" w:rsidR="00A30995" w:rsidRDefault="00A30995" w:rsidP="00434F21">
      <w:pPr>
        <w:pStyle w:val="definition"/>
        <w:spacing w:before="120"/>
        <w:rPr>
          <w:snapToGrid w:val="0"/>
        </w:rPr>
      </w:pPr>
      <w:r>
        <w:rPr>
          <w:b/>
          <w:bCs/>
          <w:i/>
          <w:iCs/>
          <w:snapToGrid w:val="0"/>
        </w:rPr>
        <w:t>integral antenna</w:t>
      </w:r>
      <w:r>
        <w:rPr>
          <w:snapToGrid w:val="0"/>
        </w:rPr>
        <w:t xml:space="preserve"> means an antenna:</w:t>
      </w:r>
    </w:p>
    <w:p w14:paraId="1947DE6A" w14:textId="77777777" w:rsidR="00A30995" w:rsidRDefault="00A30995" w:rsidP="00F86985">
      <w:pPr>
        <w:pStyle w:val="P1"/>
        <w:rPr>
          <w:snapToGrid w:val="0"/>
        </w:rPr>
      </w:pPr>
      <w:r>
        <w:rPr>
          <w:snapToGrid w:val="0"/>
        </w:rPr>
        <w:tab/>
        <w:t>(a)</w:t>
      </w:r>
      <w:r>
        <w:rPr>
          <w:snapToGrid w:val="0"/>
        </w:rPr>
        <w:tab/>
        <w:t>permanently attached to equipment; or</w:t>
      </w:r>
    </w:p>
    <w:p w14:paraId="1947DE6B" w14:textId="77777777" w:rsidR="00A30995" w:rsidRDefault="00A30995" w:rsidP="00F86985">
      <w:pPr>
        <w:pStyle w:val="P1"/>
        <w:rPr>
          <w:snapToGrid w:val="0"/>
        </w:rPr>
      </w:pPr>
      <w:r>
        <w:rPr>
          <w:snapToGrid w:val="0"/>
        </w:rPr>
        <w:tab/>
        <w:t>(b)</w:t>
      </w:r>
      <w:r>
        <w:rPr>
          <w:snapToGrid w:val="0"/>
        </w:rPr>
        <w:tab/>
        <w:t>intended for direct attachment to a fixed connector on equipment, without the use of an external cable.</w:t>
      </w:r>
    </w:p>
    <w:p w14:paraId="1947DE6C" w14:textId="77777777" w:rsidR="00A30995" w:rsidRDefault="00A30995" w:rsidP="00434F21">
      <w:pPr>
        <w:pStyle w:val="definition"/>
        <w:spacing w:before="120"/>
        <w:rPr>
          <w:snapToGrid w:val="0"/>
        </w:rPr>
      </w:pPr>
      <w:r>
        <w:rPr>
          <w:b/>
          <w:bCs/>
          <w:i/>
          <w:iCs/>
          <w:snapToGrid w:val="0"/>
        </w:rPr>
        <w:t>m</w:t>
      </w:r>
      <w:r w:rsidRPr="00B34AFF">
        <w:rPr>
          <w:b/>
          <w:bCs/>
          <w:i/>
          <w:iCs/>
          <w:snapToGrid w:val="0"/>
        </w:rPr>
        <w:t>obile station</w:t>
      </w:r>
      <w:r w:rsidRPr="00B34AFF">
        <w:rPr>
          <w:snapToGrid w:val="0"/>
        </w:rPr>
        <w:t xml:space="preserve"> </w:t>
      </w:r>
      <w:r>
        <w:rPr>
          <w:snapToGrid w:val="0"/>
        </w:rPr>
        <w:t>means a radiocommunications transmitter that is established for use:</w:t>
      </w:r>
    </w:p>
    <w:p w14:paraId="1947DE6D" w14:textId="77777777" w:rsidR="00A30995" w:rsidRPr="00B81BAA" w:rsidRDefault="00A30995" w:rsidP="00434F21">
      <w:pPr>
        <w:pStyle w:val="P1"/>
        <w:spacing w:before="120"/>
        <w:rPr>
          <w:snapToGrid w:val="0"/>
        </w:rPr>
      </w:pPr>
      <w:r>
        <w:rPr>
          <w:snapToGrid w:val="0"/>
        </w:rPr>
        <w:tab/>
      </w:r>
      <w:r w:rsidRPr="00B81BAA">
        <w:rPr>
          <w:snapToGrid w:val="0"/>
        </w:rPr>
        <w:t>(a)</w:t>
      </w:r>
      <w:r w:rsidRPr="00B81BAA">
        <w:rPr>
          <w:snapToGrid w:val="0"/>
        </w:rPr>
        <w:tab/>
        <w:t xml:space="preserve">in motion, </w:t>
      </w:r>
      <w:r w:rsidR="00C37228" w:rsidRPr="00B81BAA">
        <w:rPr>
          <w:snapToGrid w:val="0"/>
        </w:rPr>
        <w:t xml:space="preserve">whether </w:t>
      </w:r>
      <w:r w:rsidRPr="00B81BAA">
        <w:rPr>
          <w:snapToGrid w:val="0"/>
        </w:rPr>
        <w:t xml:space="preserve">on land, </w:t>
      </w:r>
      <w:r w:rsidR="00C37228" w:rsidRPr="00B81BAA">
        <w:rPr>
          <w:snapToGrid w:val="0"/>
        </w:rPr>
        <w:t xml:space="preserve">on </w:t>
      </w:r>
      <w:r w:rsidRPr="00B81BAA">
        <w:rPr>
          <w:snapToGrid w:val="0"/>
        </w:rPr>
        <w:t>water or in the air; or</w:t>
      </w:r>
    </w:p>
    <w:p w14:paraId="1947DE6E" w14:textId="77777777" w:rsidR="00A30995" w:rsidRDefault="00A30995" w:rsidP="00434F21">
      <w:pPr>
        <w:pStyle w:val="P1"/>
        <w:spacing w:before="120"/>
        <w:rPr>
          <w:snapToGrid w:val="0"/>
        </w:rPr>
      </w:pPr>
      <w:r w:rsidRPr="00B81BAA">
        <w:rPr>
          <w:snapToGrid w:val="0"/>
        </w:rPr>
        <w:tab/>
        <w:t>(b)</w:t>
      </w:r>
      <w:r w:rsidRPr="00B81BAA">
        <w:rPr>
          <w:snapToGrid w:val="0"/>
        </w:rPr>
        <w:tab/>
        <w:t xml:space="preserve">in a stationary position at unspecified points </w:t>
      </w:r>
      <w:r w:rsidR="00C37228" w:rsidRPr="00B81BAA">
        <w:rPr>
          <w:snapToGrid w:val="0"/>
        </w:rPr>
        <w:t xml:space="preserve">whether </w:t>
      </w:r>
      <w:r w:rsidRPr="00B81BAA">
        <w:rPr>
          <w:snapToGrid w:val="0"/>
        </w:rPr>
        <w:t xml:space="preserve">on land, </w:t>
      </w:r>
      <w:r w:rsidR="00C37228" w:rsidRPr="00B81BAA">
        <w:rPr>
          <w:snapToGrid w:val="0"/>
        </w:rPr>
        <w:t xml:space="preserve">on </w:t>
      </w:r>
      <w:r w:rsidRPr="00B81BAA">
        <w:rPr>
          <w:snapToGrid w:val="0"/>
        </w:rPr>
        <w:t>water or in the air.</w:t>
      </w:r>
    </w:p>
    <w:p w14:paraId="1947DE6F" w14:textId="77777777" w:rsidR="00A30995" w:rsidRDefault="00A30995" w:rsidP="00434F21">
      <w:pPr>
        <w:pStyle w:val="HE"/>
        <w:spacing w:before="0"/>
        <w:rPr>
          <w:snapToGrid w:val="0"/>
        </w:rPr>
      </w:pPr>
      <w:r>
        <w:rPr>
          <w:snapToGrid w:val="0"/>
        </w:rPr>
        <w:t>Examples of a mobile station</w:t>
      </w:r>
    </w:p>
    <w:p w14:paraId="1947DE70" w14:textId="77777777" w:rsidR="00A30995" w:rsidRDefault="00A30995" w:rsidP="00434F21">
      <w:pPr>
        <w:pStyle w:val="ExampleBody"/>
        <w:spacing w:before="0"/>
        <w:rPr>
          <w:snapToGrid w:val="0"/>
        </w:rPr>
      </w:pPr>
      <w:r>
        <w:rPr>
          <w:snapToGrid w:val="0"/>
        </w:rPr>
        <w:t>1   A wireless modem operating in a laptop computer.</w:t>
      </w:r>
    </w:p>
    <w:p w14:paraId="1947DE71" w14:textId="77777777" w:rsidR="00A30995" w:rsidRDefault="00A30995" w:rsidP="00434F21">
      <w:pPr>
        <w:pStyle w:val="ExampleBody"/>
        <w:spacing w:before="0"/>
        <w:rPr>
          <w:snapToGrid w:val="0"/>
        </w:rPr>
      </w:pPr>
      <w:r>
        <w:rPr>
          <w:snapToGrid w:val="0"/>
        </w:rPr>
        <w:t>2   A hand–held cellular or PCS telephone with a radiating antenna in the handpiece.</w:t>
      </w:r>
    </w:p>
    <w:p w14:paraId="1947DE72" w14:textId="77777777" w:rsidR="00A30995" w:rsidRDefault="00A30995" w:rsidP="00434F21">
      <w:pPr>
        <w:pStyle w:val="definition"/>
        <w:spacing w:before="120"/>
      </w:pPr>
      <w:r>
        <w:rPr>
          <w:b/>
          <w:bCs/>
          <w:i/>
          <w:iCs/>
        </w:rPr>
        <w:t>non</w:t>
      </w:r>
      <w:r>
        <w:rPr>
          <w:b/>
          <w:bCs/>
          <w:i/>
          <w:iCs/>
        </w:rPr>
        <w:noBreakHyphen/>
        <w:t>aware user device</w:t>
      </w:r>
      <w:r>
        <w:t xml:space="preserve"> means a device other than an aware user device.</w:t>
      </w:r>
    </w:p>
    <w:p w14:paraId="1947DE73" w14:textId="77777777" w:rsidR="00A30995" w:rsidRPr="003E14ED" w:rsidRDefault="00A30995" w:rsidP="00434F21">
      <w:pPr>
        <w:pStyle w:val="definition"/>
        <w:keepNext/>
        <w:spacing w:before="120"/>
      </w:pPr>
      <w:r>
        <w:rPr>
          <w:b/>
          <w:bCs/>
          <w:i/>
          <w:iCs/>
        </w:rPr>
        <w:lastRenderedPageBreak/>
        <w:t>n</w:t>
      </w:r>
      <w:r w:rsidRPr="003E14ED">
        <w:rPr>
          <w:b/>
          <w:bCs/>
          <w:i/>
          <w:iCs/>
        </w:rPr>
        <w:t>ormal position of use</w:t>
      </w:r>
      <w:r w:rsidRPr="003E14ED">
        <w:t>, of a device, means:</w:t>
      </w:r>
    </w:p>
    <w:p w14:paraId="1947DE74" w14:textId="77777777" w:rsidR="00A30995" w:rsidRPr="003E14ED" w:rsidRDefault="00A30995" w:rsidP="00F86985">
      <w:pPr>
        <w:pStyle w:val="P1"/>
      </w:pPr>
      <w:r w:rsidRPr="003E14ED">
        <w:tab/>
        <w:t>(a)</w:t>
      </w:r>
      <w:r w:rsidRPr="003E14ED">
        <w:tab/>
        <w:t>the position specified in the measurement method applicable to the dev</w:t>
      </w:r>
      <w:r w:rsidR="001A0806">
        <w:t>ice under section 9, 10 or 11</w:t>
      </w:r>
      <w:r w:rsidRPr="003E14ED">
        <w:t>; or</w:t>
      </w:r>
    </w:p>
    <w:p w14:paraId="1947DE75" w14:textId="77777777" w:rsidR="00A30995" w:rsidRPr="003E14ED" w:rsidRDefault="00A30995" w:rsidP="00F86985">
      <w:pPr>
        <w:pStyle w:val="P1"/>
      </w:pPr>
      <w:r w:rsidRPr="003E14ED">
        <w:tab/>
        <w:t>(b)</w:t>
      </w:r>
      <w:r w:rsidRPr="003E14ED">
        <w:tab/>
        <w:t xml:space="preserve">if </w:t>
      </w:r>
      <w:r>
        <w:t>paragraph </w:t>
      </w:r>
      <w:r w:rsidRPr="003E14ED">
        <w:t>(a) does not apply, the common use spatial orientation of the device with respect to the user; or</w:t>
      </w:r>
    </w:p>
    <w:p w14:paraId="1947DE76" w14:textId="77777777" w:rsidR="0050407D" w:rsidRPr="0050407D" w:rsidRDefault="00A30995" w:rsidP="00F86985">
      <w:pPr>
        <w:pStyle w:val="P1"/>
        <w:rPr>
          <w:b/>
          <w:i/>
        </w:rPr>
      </w:pPr>
      <w:r w:rsidRPr="003E14ED">
        <w:tab/>
        <w:t>(c)</w:t>
      </w:r>
      <w:r w:rsidRPr="003E14ED">
        <w:tab/>
        <w:t xml:space="preserve">if </w:t>
      </w:r>
      <w:r>
        <w:t>paragraphs </w:t>
      </w:r>
      <w:r w:rsidRPr="003E14ED">
        <w:t xml:space="preserve">(a) and (b) do not apply, the spatial orientation of the device with respect to the user </w:t>
      </w:r>
      <w:r w:rsidR="00B81BAA">
        <w:t>recommended</w:t>
      </w:r>
      <w:r w:rsidRPr="003E14ED">
        <w:t xml:space="preserve"> by the manufacturer.</w:t>
      </w:r>
    </w:p>
    <w:p w14:paraId="1947DE77" w14:textId="77777777" w:rsidR="00A30995" w:rsidRDefault="00A30995" w:rsidP="00434F21">
      <w:pPr>
        <w:pStyle w:val="definition"/>
        <w:spacing w:before="120"/>
      </w:pPr>
      <w:r w:rsidRPr="009D0525">
        <w:rPr>
          <w:b/>
          <w:i/>
        </w:rPr>
        <w:t>old standard</w:t>
      </w:r>
      <w:r w:rsidRPr="009D0525">
        <w:t xml:space="preserve"> means the </w:t>
      </w:r>
      <w:r w:rsidRPr="00074DDD">
        <w:rPr>
          <w:i/>
        </w:rPr>
        <w:t>Radiocommunications (Electromagnetic Radiation</w:t>
      </w:r>
      <w:r>
        <w:rPr>
          <w:i/>
        </w:rPr>
        <w:t> </w:t>
      </w:r>
      <w:r w:rsidRPr="00074DDD">
        <w:rPr>
          <w:i/>
        </w:rPr>
        <w:t>— Human Exposure) Standard 2003</w:t>
      </w:r>
      <w:r w:rsidRPr="009D0525">
        <w:t xml:space="preserve"> as in force immediately before </w:t>
      </w:r>
      <w:r w:rsidR="008E5841">
        <w:t>the commencement of this Standard</w:t>
      </w:r>
      <w:r w:rsidRPr="009D0525">
        <w:t>.</w:t>
      </w:r>
    </w:p>
    <w:p w14:paraId="1947DE78" w14:textId="77777777" w:rsidR="00A30995" w:rsidRDefault="00A30995" w:rsidP="00A30995">
      <w:pPr>
        <w:pStyle w:val="definition"/>
        <w:rPr>
          <w:snapToGrid w:val="0"/>
        </w:rPr>
      </w:pPr>
      <w:r>
        <w:rPr>
          <w:b/>
          <w:bCs/>
          <w:i/>
          <w:iCs/>
        </w:rPr>
        <w:t>reference levels</w:t>
      </w:r>
      <w:r>
        <w:rPr>
          <w:b/>
          <w:bCs/>
          <w:snapToGrid w:val="0"/>
        </w:rPr>
        <w:t xml:space="preserve"> </w:t>
      </w:r>
      <w:proofErr w:type="gramStart"/>
      <w:r>
        <w:rPr>
          <w:snapToGrid w:val="0"/>
        </w:rPr>
        <w:t>means</w:t>
      </w:r>
      <w:proofErr w:type="gramEnd"/>
      <w:r>
        <w:rPr>
          <w:snapToGrid w:val="0"/>
        </w:rPr>
        <w:t xml:space="preserve"> the reference levels in Table</w:t>
      </w:r>
      <w:r w:rsidR="00880286">
        <w:rPr>
          <w:snapToGrid w:val="0"/>
        </w:rPr>
        <w:t>s</w:t>
      </w:r>
      <w:r>
        <w:rPr>
          <w:snapToGrid w:val="0"/>
        </w:rPr>
        <w:t xml:space="preserve"> 7 and 8, </w:t>
      </w:r>
      <w:r>
        <w:t>including the notes to Table</w:t>
      </w:r>
      <w:r w:rsidR="00880286">
        <w:t>s</w:t>
      </w:r>
      <w:r>
        <w:t xml:space="preserve"> 7 and </w:t>
      </w:r>
      <w:r>
        <w:rPr>
          <w:snapToGrid w:val="0"/>
        </w:rPr>
        <w:t xml:space="preserve">8, of section 2.4 of the ARPANSA </w:t>
      </w:r>
      <w:r w:rsidR="000C02E6">
        <w:rPr>
          <w:snapToGrid w:val="0"/>
        </w:rPr>
        <w:t>S</w:t>
      </w:r>
      <w:r>
        <w:rPr>
          <w:snapToGrid w:val="0"/>
        </w:rPr>
        <w:t>tandard.</w:t>
      </w:r>
    </w:p>
    <w:p w14:paraId="1947DE79" w14:textId="77777777" w:rsidR="00A30995" w:rsidRPr="007503E1" w:rsidRDefault="00A30995" w:rsidP="00A30995">
      <w:pPr>
        <w:pStyle w:val="definition"/>
        <w:rPr>
          <w:snapToGrid w:val="0"/>
        </w:rPr>
      </w:pPr>
      <w:r>
        <w:rPr>
          <w:b/>
          <w:bCs/>
          <w:i/>
          <w:iCs/>
          <w:snapToGrid w:val="0"/>
        </w:rPr>
        <w:t>RF field</w:t>
      </w:r>
      <w:r>
        <w:rPr>
          <w:snapToGrid w:val="0"/>
        </w:rPr>
        <w:t xml:space="preserve"> means a physical field that specifies the electric and magnetic states of a medium or free space, quantified by the vectors representing the electric field and the magnetic field.</w:t>
      </w:r>
    </w:p>
    <w:p w14:paraId="1947DE7A" w14:textId="77777777" w:rsidR="0050407D" w:rsidRDefault="0050407D" w:rsidP="00A30995">
      <w:pPr>
        <w:pStyle w:val="definition"/>
      </w:pPr>
      <w:r w:rsidRPr="00177450">
        <w:rPr>
          <w:b/>
          <w:bCs/>
          <w:i/>
          <w:iCs/>
        </w:rPr>
        <w:t>simultaneous multi-band transmission mode</w:t>
      </w:r>
      <w:r w:rsidR="00B81BAA" w:rsidRPr="00177450">
        <w:rPr>
          <w:bCs/>
          <w:iCs/>
        </w:rPr>
        <w:t>, in relation to a device</w:t>
      </w:r>
      <w:r w:rsidRPr="00177450">
        <w:rPr>
          <w:b/>
          <w:bCs/>
          <w:i/>
          <w:iCs/>
        </w:rPr>
        <w:t xml:space="preserve"> </w:t>
      </w:r>
      <w:r w:rsidR="00B34756" w:rsidRPr="00177450">
        <w:rPr>
          <w:bCs/>
          <w:iCs/>
        </w:rPr>
        <w:t xml:space="preserve">means </w:t>
      </w:r>
      <w:r w:rsidR="00B81BAA" w:rsidRPr="00177450">
        <w:rPr>
          <w:bCs/>
          <w:iCs/>
        </w:rPr>
        <w:t xml:space="preserve">an operating mode allowing the device to transmit on more than one frequency band simultaneously. </w:t>
      </w:r>
      <w:r w:rsidR="00B34756">
        <w:rPr>
          <w:bCs/>
          <w:iCs/>
        </w:rPr>
        <w:t xml:space="preserve"> </w:t>
      </w:r>
    </w:p>
    <w:p w14:paraId="627171AD" w14:textId="77777777" w:rsidR="00920BDC" w:rsidRPr="00330E3F" w:rsidRDefault="00920BDC" w:rsidP="00434F21">
      <w:pPr>
        <w:shd w:val="clear" w:color="auto" w:fill="FFFFFF"/>
        <w:spacing w:before="180"/>
        <w:ind w:left="964" w:hanging="397"/>
        <w:rPr>
          <w:color w:val="000000"/>
        </w:rPr>
      </w:pPr>
      <w:r>
        <w:rPr>
          <w:color w:val="000000"/>
        </w:rPr>
        <w:t>(2)</w:t>
      </w:r>
      <w:r>
        <w:rPr>
          <w:color w:val="000000"/>
        </w:rPr>
        <w:tab/>
      </w:r>
      <w:r w:rsidRPr="00330E3F">
        <w:rPr>
          <w:color w:val="000000"/>
        </w:rPr>
        <w:t>In this instrument, unless the contrary intention appears:</w:t>
      </w:r>
    </w:p>
    <w:p w14:paraId="3522DFFA" w14:textId="29DD33DC" w:rsidR="00920BDC" w:rsidRDefault="00920BDC" w:rsidP="00434F21">
      <w:pPr>
        <w:shd w:val="clear" w:color="auto" w:fill="FFFFFF"/>
        <w:spacing w:before="40"/>
        <w:ind w:left="1418" w:hanging="425"/>
        <w:rPr>
          <w:color w:val="000000"/>
        </w:rPr>
      </w:pPr>
      <w:r w:rsidRPr="00330E3F">
        <w:rPr>
          <w:color w:val="000000"/>
        </w:rPr>
        <w:t>(a)</w:t>
      </w:r>
      <w:r>
        <w:rPr>
          <w:color w:val="000000"/>
        </w:rPr>
        <w:tab/>
      </w:r>
      <w:r w:rsidRPr="00330E3F">
        <w:rPr>
          <w:color w:val="000000"/>
        </w:rPr>
        <w:t>a reference to another legislative instrument is a reference to that other legislative instrument as in force from time to time; and</w:t>
      </w:r>
    </w:p>
    <w:p w14:paraId="15F74367" w14:textId="0248A118" w:rsidR="00920BDC" w:rsidRPr="00330E3F" w:rsidRDefault="00920BDC" w:rsidP="00434F21">
      <w:pPr>
        <w:shd w:val="clear" w:color="auto" w:fill="FFFFFF"/>
        <w:spacing w:before="40"/>
        <w:ind w:left="1418" w:hanging="425"/>
        <w:rPr>
          <w:color w:val="000000"/>
        </w:rPr>
      </w:pPr>
      <w:r w:rsidRPr="00330E3F">
        <w:rPr>
          <w:color w:val="000000"/>
        </w:rPr>
        <w:t>(b)</w:t>
      </w:r>
      <w:r>
        <w:rPr>
          <w:color w:val="000000"/>
        </w:rPr>
        <w:tab/>
      </w:r>
      <w:r w:rsidRPr="00330E3F">
        <w:rPr>
          <w:color w:val="000000"/>
        </w:rPr>
        <w:t>a reference to any other kind of instrument</w:t>
      </w:r>
      <w:r>
        <w:rPr>
          <w:color w:val="000000"/>
        </w:rPr>
        <w:t xml:space="preserve"> or writing</w:t>
      </w:r>
      <w:r w:rsidRPr="00330E3F">
        <w:rPr>
          <w:color w:val="000000"/>
        </w:rPr>
        <w:t xml:space="preserve"> is a reference to that other instrument </w:t>
      </w:r>
      <w:r>
        <w:rPr>
          <w:color w:val="000000"/>
        </w:rPr>
        <w:t xml:space="preserve">or writing </w:t>
      </w:r>
      <w:r w:rsidRPr="00330E3F">
        <w:rPr>
          <w:color w:val="000000"/>
        </w:rPr>
        <w:t>as in force or existing from time to time.</w:t>
      </w:r>
    </w:p>
    <w:p w14:paraId="49E18821" w14:textId="77777777" w:rsidR="00920BDC" w:rsidRPr="00330E3F" w:rsidRDefault="00920BDC" w:rsidP="00434F21">
      <w:pPr>
        <w:shd w:val="clear" w:color="auto" w:fill="FFFFFF"/>
        <w:tabs>
          <w:tab w:val="left" w:pos="1701"/>
        </w:tabs>
        <w:spacing w:before="122"/>
        <w:ind w:left="993"/>
        <w:rPr>
          <w:color w:val="000000"/>
          <w:sz w:val="18"/>
          <w:szCs w:val="18"/>
        </w:rPr>
      </w:pPr>
      <w:r w:rsidRPr="00330E3F">
        <w:rPr>
          <w:i/>
          <w:color w:val="000000"/>
          <w:sz w:val="18"/>
          <w:szCs w:val="18"/>
        </w:rPr>
        <w:t>Note</w:t>
      </w:r>
      <w:r>
        <w:rPr>
          <w:i/>
          <w:color w:val="000000"/>
          <w:sz w:val="18"/>
          <w:szCs w:val="18"/>
        </w:rPr>
        <w:t xml:space="preserve"> 1</w:t>
      </w:r>
      <w:r>
        <w:rPr>
          <w:color w:val="000000"/>
          <w:sz w:val="18"/>
          <w:szCs w:val="18"/>
        </w:rPr>
        <w:tab/>
      </w:r>
      <w:r w:rsidRPr="00330E3F">
        <w:rPr>
          <w:color w:val="000000"/>
          <w:sz w:val="18"/>
          <w:szCs w:val="18"/>
        </w:rPr>
        <w:t>For references to Commonwealth Acts, see section 10 of the </w:t>
      </w:r>
      <w:r w:rsidRPr="00330E3F">
        <w:rPr>
          <w:i/>
          <w:iCs/>
          <w:color w:val="000000"/>
          <w:sz w:val="18"/>
          <w:szCs w:val="18"/>
        </w:rPr>
        <w:t>Acts Interpretation Act 1901</w:t>
      </w:r>
      <w:r w:rsidRPr="00330E3F">
        <w:rPr>
          <w:color w:val="000000"/>
          <w:sz w:val="18"/>
          <w:szCs w:val="18"/>
        </w:rPr>
        <w:t>; and see also subsection 13(1) of the </w:t>
      </w:r>
      <w:r w:rsidRPr="00330E3F">
        <w:rPr>
          <w:i/>
          <w:iCs/>
          <w:color w:val="000000"/>
          <w:sz w:val="18"/>
          <w:szCs w:val="18"/>
        </w:rPr>
        <w:t>Legislation Act 2003</w:t>
      </w:r>
      <w:r w:rsidRPr="00330E3F">
        <w:rPr>
          <w:color w:val="000000"/>
          <w:sz w:val="18"/>
          <w:szCs w:val="18"/>
        </w:rPr>
        <w:t> for the application of the </w:t>
      </w:r>
      <w:r w:rsidRPr="00330E3F">
        <w:rPr>
          <w:i/>
          <w:iCs/>
          <w:color w:val="000000"/>
          <w:sz w:val="18"/>
          <w:szCs w:val="18"/>
        </w:rPr>
        <w:t>Acts Interpretation Act 1901</w:t>
      </w:r>
      <w:r w:rsidRPr="00330E3F">
        <w:rPr>
          <w:color w:val="000000"/>
          <w:sz w:val="18"/>
          <w:szCs w:val="18"/>
        </w:rPr>
        <w:t> to legislative instruments.</w:t>
      </w:r>
    </w:p>
    <w:p w14:paraId="6C303F4A" w14:textId="0F0BAE21" w:rsidR="00920BDC" w:rsidRDefault="00920BDC" w:rsidP="00434F21">
      <w:pPr>
        <w:shd w:val="clear" w:color="auto" w:fill="FFFFFF"/>
        <w:tabs>
          <w:tab w:val="left" w:pos="1701"/>
        </w:tabs>
        <w:spacing w:before="122"/>
        <w:ind w:left="993"/>
        <w:rPr>
          <w:color w:val="000000"/>
          <w:sz w:val="18"/>
          <w:szCs w:val="18"/>
        </w:rPr>
      </w:pPr>
      <w:r w:rsidRPr="00330E3F">
        <w:rPr>
          <w:i/>
          <w:color w:val="000000"/>
          <w:sz w:val="18"/>
          <w:szCs w:val="18"/>
        </w:rPr>
        <w:t>Note</w:t>
      </w:r>
      <w:r w:rsidRPr="00FE7AF9">
        <w:rPr>
          <w:i/>
          <w:color w:val="000000"/>
          <w:sz w:val="18"/>
          <w:szCs w:val="18"/>
        </w:rPr>
        <w:t xml:space="preserve"> 2</w:t>
      </w:r>
      <w:r>
        <w:rPr>
          <w:color w:val="000000"/>
          <w:sz w:val="18"/>
          <w:szCs w:val="18"/>
        </w:rPr>
        <w:tab/>
      </w:r>
      <w:r w:rsidRPr="00330E3F">
        <w:rPr>
          <w:color w:val="000000"/>
          <w:sz w:val="18"/>
          <w:szCs w:val="18"/>
        </w:rPr>
        <w:t xml:space="preserve">All </w:t>
      </w:r>
      <w:r w:rsidRPr="00920BDC">
        <w:rPr>
          <w:color w:val="000000"/>
          <w:sz w:val="18"/>
          <w:szCs w:val="18"/>
        </w:rPr>
        <w:t>Commonwealth Acts and legislative instruments are registered on the Federal Register of Legislation.</w:t>
      </w:r>
    </w:p>
    <w:p w14:paraId="206EF41E" w14:textId="11B6432F" w:rsidR="0088450B" w:rsidRDefault="00920BDC" w:rsidP="00434F21">
      <w:pPr>
        <w:tabs>
          <w:tab w:val="left" w:pos="1701"/>
        </w:tabs>
        <w:spacing w:before="120"/>
        <w:ind w:left="993"/>
      </w:pPr>
      <w:r w:rsidRPr="00FE7AF9">
        <w:rPr>
          <w:i/>
          <w:color w:val="000000"/>
          <w:sz w:val="18"/>
          <w:szCs w:val="18"/>
        </w:rPr>
        <w:t>N</w:t>
      </w:r>
      <w:r w:rsidRPr="00330E3F">
        <w:rPr>
          <w:i/>
          <w:color w:val="000000"/>
          <w:sz w:val="18"/>
          <w:szCs w:val="18"/>
        </w:rPr>
        <w:t>ote 3</w:t>
      </w:r>
      <w:r>
        <w:rPr>
          <w:color w:val="000000"/>
          <w:sz w:val="18"/>
          <w:szCs w:val="18"/>
        </w:rPr>
        <w:tab/>
      </w:r>
      <w:r w:rsidRPr="00330E3F">
        <w:rPr>
          <w:color w:val="000000"/>
          <w:sz w:val="18"/>
          <w:szCs w:val="18"/>
        </w:rPr>
        <w:t>See section 314A of the Act.</w:t>
      </w:r>
    </w:p>
    <w:p w14:paraId="1947DE80" w14:textId="5D04E917" w:rsidR="00A30995" w:rsidRDefault="00A30995" w:rsidP="00434F21">
      <w:pPr>
        <w:pStyle w:val="R2"/>
        <w:keepLines w:val="0"/>
        <w:ind w:hanging="397"/>
      </w:pPr>
      <w:r>
        <w:tab/>
        <w:t>(3)</w:t>
      </w:r>
      <w:r>
        <w:tab/>
        <w:t>A term that is:</w:t>
      </w:r>
    </w:p>
    <w:p w14:paraId="1947DE81" w14:textId="183C2F41" w:rsidR="00A30995" w:rsidRDefault="00A30995" w:rsidP="00434F21">
      <w:pPr>
        <w:pStyle w:val="P1"/>
        <w:tabs>
          <w:tab w:val="clear" w:pos="1191"/>
        </w:tabs>
        <w:ind w:hanging="425"/>
      </w:pPr>
      <w:r>
        <w:t>(a)</w:t>
      </w:r>
      <w:r>
        <w:tab/>
        <w:t>used (but not defined) in this Standard; and</w:t>
      </w:r>
    </w:p>
    <w:p w14:paraId="1947DE82" w14:textId="57ED8789" w:rsidR="00A30995" w:rsidRPr="00DC2AD8" w:rsidRDefault="00A30995" w:rsidP="00434F21">
      <w:pPr>
        <w:pStyle w:val="P1"/>
        <w:tabs>
          <w:tab w:val="clear" w:pos="1191"/>
        </w:tabs>
        <w:ind w:hanging="425"/>
        <w:rPr>
          <w:color w:val="000000"/>
        </w:rPr>
      </w:pPr>
      <w:r w:rsidRPr="00DC2AD8">
        <w:rPr>
          <w:color w:val="000000"/>
        </w:rPr>
        <w:t>(b)</w:t>
      </w:r>
      <w:r w:rsidRPr="00DC2AD8">
        <w:rPr>
          <w:color w:val="000000"/>
        </w:rPr>
        <w:tab/>
        <w:t xml:space="preserve">defined in the Glossary of the ARPANSA </w:t>
      </w:r>
      <w:r w:rsidR="00880286">
        <w:rPr>
          <w:color w:val="000000"/>
        </w:rPr>
        <w:t>St</w:t>
      </w:r>
      <w:r w:rsidR="00880286" w:rsidRPr="00DC2AD8">
        <w:rPr>
          <w:color w:val="000000"/>
        </w:rPr>
        <w:t>andard</w:t>
      </w:r>
      <w:r w:rsidRPr="00DC2AD8">
        <w:rPr>
          <w:color w:val="000000"/>
        </w:rPr>
        <w:t>;</w:t>
      </w:r>
    </w:p>
    <w:p w14:paraId="1947DE83" w14:textId="77777777" w:rsidR="00A30995" w:rsidRPr="00DC2AD8" w:rsidRDefault="00A30995" w:rsidP="00A30995">
      <w:pPr>
        <w:pStyle w:val="Rc"/>
        <w:rPr>
          <w:color w:val="000000"/>
        </w:rPr>
      </w:pPr>
      <w:r w:rsidRPr="00DC2AD8">
        <w:rPr>
          <w:color w:val="000000"/>
        </w:rPr>
        <w:t xml:space="preserve">has the meaning given by </w:t>
      </w:r>
      <w:r w:rsidR="00880286">
        <w:rPr>
          <w:color w:val="000000"/>
        </w:rPr>
        <w:t>that</w:t>
      </w:r>
      <w:r w:rsidR="00880286" w:rsidRPr="00DC2AD8">
        <w:rPr>
          <w:color w:val="000000"/>
        </w:rPr>
        <w:t xml:space="preserve"> </w:t>
      </w:r>
      <w:proofErr w:type="gramStart"/>
      <w:r w:rsidRPr="00DC2AD8">
        <w:rPr>
          <w:color w:val="000000"/>
        </w:rPr>
        <w:t>Glossary.</w:t>
      </w:r>
      <w:proofErr w:type="gramEnd"/>
    </w:p>
    <w:p w14:paraId="1947DE84" w14:textId="77777777" w:rsidR="00A30995" w:rsidRPr="00937D12" w:rsidRDefault="00A30995" w:rsidP="00A30995">
      <w:pPr>
        <w:pStyle w:val="HR"/>
        <w:keepNext w:val="0"/>
      </w:pPr>
      <w:bookmarkStart w:id="11" w:name="_Toc288485855"/>
      <w:r w:rsidRPr="001A3D73">
        <w:rPr>
          <w:rStyle w:val="CharSectno"/>
        </w:rPr>
        <w:t>6</w:t>
      </w:r>
      <w:r>
        <w:tab/>
        <w:t>Application of Standard: general</w:t>
      </w:r>
      <w:bookmarkEnd w:id="11"/>
    </w:p>
    <w:p w14:paraId="1947DE85" w14:textId="77777777" w:rsidR="00A30995" w:rsidRPr="00DC2AD8" w:rsidRDefault="00A30995" w:rsidP="00A30995">
      <w:pPr>
        <w:pStyle w:val="R1"/>
        <w:keepLines w:val="0"/>
      </w:pPr>
      <w:r w:rsidRPr="00DC2AD8">
        <w:tab/>
        <w:t>(1)</w:t>
      </w:r>
      <w:r w:rsidRPr="00DC2AD8">
        <w:tab/>
        <w:t>Thi</w:t>
      </w:r>
      <w:r>
        <w:t>s Standard applies to a mobile station</w:t>
      </w:r>
      <w:r w:rsidRPr="00DC2AD8">
        <w:t xml:space="preserve"> that:</w:t>
      </w:r>
    </w:p>
    <w:p w14:paraId="1947DE86" w14:textId="77777777" w:rsidR="00A30995" w:rsidRPr="00DC2AD8" w:rsidRDefault="00A30995" w:rsidP="00A30995">
      <w:pPr>
        <w:pStyle w:val="P1"/>
      </w:pPr>
      <w:r w:rsidRPr="00DC2AD8">
        <w:tab/>
        <w:t>(a)</w:t>
      </w:r>
      <w:r w:rsidRPr="00DC2AD8">
        <w:tab/>
        <w:t xml:space="preserve">on or after </w:t>
      </w:r>
      <w:r w:rsidR="00B81BAA">
        <w:t>the commencement of this Standard</w:t>
      </w:r>
      <w:r>
        <w:t>,</w:t>
      </w:r>
      <w:r w:rsidRPr="00DC2AD8">
        <w:t xml:space="preserve"> is:</w:t>
      </w:r>
    </w:p>
    <w:p w14:paraId="1947DE87" w14:textId="584399D1" w:rsidR="00A30995" w:rsidRPr="00DC2AD8" w:rsidRDefault="00A30995" w:rsidP="00F86985">
      <w:pPr>
        <w:pStyle w:val="P2"/>
        <w:numPr>
          <w:ilvl w:val="0"/>
          <w:numId w:val="37"/>
        </w:numPr>
        <w:rPr>
          <w:color w:val="000000"/>
        </w:rPr>
      </w:pPr>
      <w:r w:rsidRPr="00DC2AD8">
        <w:rPr>
          <w:color w:val="000000"/>
        </w:rPr>
        <w:t>manufactured or imported; or</w:t>
      </w:r>
    </w:p>
    <w:p w14:paraId="1947DE88" w14:textId="44022CE3" w:rsidR="00A30995" w:rsidRPr="00DC2AD8" w:rsidRDefault="00A30995" w:rsidP="00F86985">
      <w:pPr>
        <w:pStyle w:val="P2"/>
        <w:numPr>
          <w:ilvl w:val="0"/>
          <w:numId w:val="37"/>
        </w:numPr>
        <w:rPr>
          <w:color w:val="000000"/>
        </w:rPr>
      </w:pPr>
      <w:r w:rsidRPr="00DC2AD8">
        <w:rPr>
          <w:color w:val="000000"/>
        </w:rPr>
        <w:t>altered or modified in a material respect; and</w:t>
      </w:r>
    </w:p>
    <w:p w14:paraId="1947DE89" w14:textId="77777777" w:rsidR="00A30995" w:rsidRPr="00DC2AD8" w:rsidRDefault="00A30995" w:rsidP="00A30995">
      <w:pPr>
        <w:pStyle w:val="P1"/>
        <w:rPr>
          <w:color w:val="000000"/>
        </w:rPr>
      </w:pPr>
      <w:r w:rsidRPr="00DC2AD8">
        <w:rPr>
          <w:color w:val="000000"/>
        </w:rPr>
        <w:tab/>
        <w:t>(b)</w:t>
      </w:r>
      <w:r w:rsidRPr="00DC2AD8">
        <w:rPr>
          <w:color w:val="000000"/>
        </w:rPr>
        <w:tab/>
      </w:r>
      <w:proofErr w:type="gramStart"/>
      <w:r w:rsidRPr="00DC2AD8">
        <w:rPr>
          <w:color w:val="000000"/>
        </w:rPr>
        <w:t>is capable of operating</w:t>
      </w:r>
      <w:proofErr w:type="gramEnd"/>
      <w:r w:rsidRPr="00DC2AD8">
        <w:rPr>
          <w:color w:val="000000"/>
        </w:rPr>
        <w:t xml:space="preserve"> in the frequency band </w:t>
      </w:r>
      <w:r w:rsidRPr="00F324AC">
        <w:t xml:space="preserve">100kHz to 300GHz </w:t>
      </w:r>
      <w:r w:rsidRPr="00DC2AD8">
        <w:rPr>
          <w:color w:val="000000"/>
        </w:rPr>
        <w:t>(inclusive); and</w:t>
      </w:r>
    </w:p>
    <w:p w14:paraId="1947DE8A" w14:textId="77777777" w:rsidR="00A30995" w:rsidRPr="00DC2AD8" w:rsidRDefault="00A30995" w:rsidP="00A30995">
      <w:pPr>
        <w:pStyle w:val="P1"/>
        <w:rPr>
          <w:color w:val="000000"/>
        </w:rPr>
      </w:pPr>
      <w:r w:rsidRPr="00DC2AD8">
        <w:rPr>
          <w:color w:val="000000"/>
        </w:rPr>
        <w:tab/>
        <w:t>(c)</w:t>
      </w:r>
      <w:r w:rsidRPr="00DC2AD8">
        <w:rPr>
          <w:color w:val="000000"/>
        </w:rPr>
        <w:tab/>
        <w:t>has an integral antenna; and</w:t>
      </w:r>
    </w:p>
    <w:p w14:paraId="1947DE8B" w14:textId="77777777" w:rsidR="00A30995" w:rsidRPr="00DC2AD8" w:rsidRDefault="00A30995" w:rsidP="00A30995">
      <w:pPr>
        <w:pStyle w:val="P1"/>
        <w:rPr>
          <w:color w:val="000000"/>
        </w:rPr>
      </w:pPr>
      <w:r w:rsidRPr="00DC2AD8">
        <w:rPr>
          <w:color w:val="000000"/>
        </w:rPr>
        <w:tab/>
        <w:t>(d)</w:t>
      </w:r>
      <w:r w:rsidRPr="00DC2AD8">
        <w:rPr>
          <w:color w:val="000000"/>
        </w:rPr>
        <w:tab/>
        <w:t>is not intended to be used as an Emergency Position Indicating Radio Beacon (EPIRB) or distress beacon.</w:t>
      </w:r>
    </w:p>
    <w:p w14:paraId="1947DE8C" w14:textId="77777777" w:rsidR="00A30995" w:rsidRPr="00DC2AD8" w:rsidRDefault="00A30995" w:rsidP="00A30995">
      <w:pPr>
        <w:pStyle w:val="R2"/>
        <w:rPr>
          <w:color w:val="000000"/>
        </w:rPr>
      </w:pPr>
      <w:r w:rsidRPr="00DC2AD8">
        <w:rPr>
          <w:color w:val="000000"/>
        </w:rPr>
        <w:tab/>
        <w:t>(2)</w:t>
      </w:r>
      <w:r w:rsidRPr="00DC2AD8">
        <w:rPr>
          <w:color w:val="000000"/>
        </w:rPr>
        <w:tab/>
        <w:t>However, this Standard does not apply to a mobile station that is:</w:t>
      </w:r>
    </w:p>
    <w:p w14:paraId="1947DE8D" w14:textId="77777777" w:rsidR="00A30995" w:rsidRPr="00DC2AD8" w:rsidRDefault="00A30995" w:rsidP="00A30995">
      <w:pPr>
        <w:pStyle w:val="P1"/>
        <w:rPr>
          <w:color w:val="000000"/>
        </w:rPr>
      </w:pPr>
      <w:r w:rsidRPr="00DC2AD8">
        <w:rPr>
          <w:color w:val="000000"/>
        </w:rPr>
        <w:lastRenderedPageBreak/>
        <w:tab/>
        <w:t>(a)</w:t>
      </w:r>
      <w:r w:rsidRPr="00DC2AD8">
        <w:rPr>
          <w:color w:val="000000"/>
        </w:rPr>
        <w:tab/>
        <w:t>used solely as equipment, or as part of a weapons system, used by the Defence Force; or</w:t>
      </w:r>
    </w:p>
    <w:p w14:paraId="1947DE8E" w14:textId="77777777" w:rsidR="00A30995" w:rsidRPr="00DC2AD8" w:rsidRDefault="00A30995" w:rsidP="00A30995">
      <w:pPr>
        <w:pStyle w:val="P1"/>
        <w:rPr>
          <w:color w:val="000000"/>
        </w:rPr>
      </w:pPr>
      <w:r w:rsidRPr="00DC2AD8">
        <w:rPr>
          <w:color w:val="000000"/>
        </w:rPr>
        <w:tab/>
        <w:t>(b)</w:t>
      </w:r>
      <w:r w:rsidRPr="00DC2AD8">
        <w:rPr>
          <w:color w:val="000000"/>
        </w:rPr>
        <w:tab/>
        <w:t>used solely as equipment, or as part of a weapons system, used by the defence force of another country that is conducting operations with the Defence Force; or</w:t>
      </w:r>
    </w:p>
    <w:p w14:paraId="1947DE8F" w14:textId="77777777" w:rsidR="00A30995" w:rsidRPr="00DC2AD8" w:rsidRDefault="00A30995" w:rsidP="00A30995">
      <w:pPr>
        <w:pStyle w:val="P1"/>
        <w:rPr>
          <w:color w:val="000000"/>
        </w:rPr>
      </w:pPr>
      <w:r w:rsidRPr="00DC2AD8">
        <w:rPr>
          <w:color w:val="000000"/>
        </w:rPr>
        <w:tab/>
        <w:t>(c)</w:t>
      </w:r>
      <w:r w:rsidRPr="00DC2AD8">
        <w:rPr>
          <w:color w:val="000000"/>
        </w:rPr>
        <w:tab/>
        <w:t>used solely for law enforcement activities by any of the following bodies:</w:t>
      </w:r>
    </w:p>
    <w:p w14:paraId="1947DE90" w14:textId="77777777" w:rsidR="00A30995" w:rsidRPr="00DC2AD8" w:rsidRDefault="00A30995" w:rsidP="00A30995">
      <w:pPr>
        <w:pStyle w:val="P2"/>
        <w:rPr>
          <w:color w:val="000000"/>
        </w:rPr>
      </w:pPr>
      <w:r w:rsidRPr="00DC2AD8">
        <w:rPr>
          <w:color w:val="000000"/>
        </w:rPr>
        <w:tab/>
        <w:t>(</w:t>
      </w:r>
      <w:proofErr w:type="spellStart"/>
      <w:r w:rsidRPr="00DC2AD8">
        <w:rPr>
          <w:color w:val="000000"/>
        </w:rPr>
        <w:t>i</w:t>
      </w:r>
      <w:proofErr w:type="spellEnd"/>
      <w:r w:rsidRPr="00DC2AD8">
        <w:rPr>
          <w:color w:val="000000"/>
        </w:rPr>
        <w:t>)</w:t>
      </w:r>
      <w:r w:rsidRPr="00DC2AD8">
        <w:rPr>
          <w:color w:val="000000"/>
        </w:rPr>
        <w:tab/>
        <w:t xml:space="preserve">the Australian Federal </w:t>
      </w:r>
      <w:proofErr w:type="gramStart"/>
      <w:r w:rsidRPr="00DC2AD8">
        <w:rPr>
          <w:color w:val="000000"/>
        </w:rPr>
        <w:t>Police;</w:t>
      </w:r>
      <w:proofErr w:type="gramEnd"/>
    </w:p>
    <w:p w14:paraId="1947DE91" w14:textId="77777777" w:rsidR="00A30995" w:rsidRPr="00DC2AD8" w:rsidRDefault="00A30995" w:rsidP="00A30995">
      <w:pPr>
        <w:pStyle w:val="P2"/>
        <w:rPr>
          <w:color w:val="000000"/>
        </w:rPr>
      </w:pPr>
      <w:r w:rsidRPr="00DC2AD8">
        <w:rPr>
          <w:color w:val="000000"/>
        </w:rPr>
        <w:tab/>
        <w:t>(ii)</w:t>
      </w:r>
      <w:r w:rsidRPr="00DC2AD8">
        <w:rPr>
          <w:color w:val="000000"/>
        </w:rPr>
        <w:tab/>
      </w:r>
      <w:r w:rsidRPr="00B81BAA">
        <w:rPr>
          <w:color w:val="000000"/>
        </w:rPr>
        <w:t xml:space="preserve">the </w:t>
      </w:r>
      <w:r w:rsidR="000348CB" w:rsidRPr="00B81BAA">
        <w:rPr>
          <w:color w:val="000000"/>
        </w:rPr>
        <w:t xml:space="preserve">Australian Crime </w:t>
      </w:r>
      <w:proofErr w:type="gramStart"/>
      <w:r w:rsidR="000348CB" w:rsidRPr="00B81BAA">
        <w:rPr>
          <w:color w:val="000000"/>
        </w:rPr>
        <w:t>Commission</w:t>
      </w:r>
      <w:r w:rsidRPr="00B81BAA">
        <w:rPr>
          <w:color w:val="000000"/>
        </w:rPr>
        <w:t>;</w:t>
      </w:r>
      <w:proofErr w:type="gramEnd"/>
    </w:p>
    <w:p w14:paraId="1947DE92" w14:textId="77777777" w:rsidR="00A30995" w:rsidRPr="00DC2AD8" w:rsidRDefault="00A30995" w:rsidP="00A30995">
      <w:pPr>
        <w:pStyle w:val="P2"/>
        <w:rPr>
          <w:color w:val="000000"/>
        </w:rPr>
      </w:pPr>
      <w:r w:rsidRPr="00DC2AD8">
        <w:rPr>
          <w:color w:val="000000"/>
        </w:rPr>
        <w:tab/>
        <w:t>(iii)</w:t>
      </w:r>
      <w:r w:rsidRPr="00DC2AD8">
        <w:rPr>
          <w:color w:val="000000"/>
        </w:rPr>
        <w:tab/>
        <w:t>the New South Wales Crime Commission;</w:t>
      </w:r>
    </w:p>
    <w:p w14:paraId="1947DE93" w14:textId="77777777" w:rsidR="00A30995" w:rsidRPr="00DC2AD8" w:rsidRDefault="00A30995" w:rsidP="00A30995">
      <w:pPr>
        <w:pStyle w:val="P2"/>
        <w:rPr>
          <w:color w:val="000000"/>
        </w:rPr>
      </w:pPr>
      <w:r w:rsidRPr="00DC2AD8">
        <w:rPr>
          <w:color w:val="000000"/>
        </w:rPr>
        <w:tab/>
        <w:t>(iv)</w:t>
      </w:r>
      <w:r w:rsidRPr="00DC2AD8">
        <w:rPr>
          <w:color w:val="000000"/>
        </w:rPr>
        <w:tab/>
        <w:t>the Independent Commission Against Corruption of New South Wales;</w:t>
      </w:r>
    </w:p>
    <w:p w14:paraId="1947DE94" w14:textId="77777777" w:rsidR="00B81BAA" w:rsidRDefault="00A30995" w:rsidP="00A30995">
      <w:pPr>
        <w:pStyle w:val="P2"/>
        <w:rPr>
          <w:color w:val="000000"/>
        </w:rPr>
      </w:pPr>
      <w:r w:rsidRPr="00DC2AD8">
        <w:rPr>
          <w:color w:val="000000"/>
        </w:rPr>
        <w:tab/>
        <w:t>(v)</w:t>
      </w:r>
      <w:r w:rsidRPr="00DC2AD8">
        <w:rPr>
          <w:color w:val="000000"/>
        </w:rPr>
        <w:tab/>
      </w:r>
      <w:r w:rsidR="00B81BAA">
        <w:rPr>
          <w:color w:val="000000"/>
        </w:rPr>
        <w:t>the Police Integrity Commission</w:t>
      </w:r>
      <w:r w:rsidR="008E5841">
        <w:rPr>
          <w:color w:val="000000"/>
        </w:rPr>
        <w:t xml:space="preserve"> of New South Wales</w:t>
      </w:r>
      <w:r w:rsidR="00B81BAA">
        <w:rPr>
          <w:color w:val="000000"/>
        </w:rPr>
        <w:t>;</w:t>
      </w:r>
    </w:p>
    <w:p w14:paraId="1947DE95" w14:textId="77777777" w:rsidR="00B81BAA" w:rsidRDefault="00B81BAA" w:rsidP="00A30995">
      <w:pPr>
        <w:pStyle w:val="P2"/>
        <w:rPr>
          <w:color w:val="000000"/>
        </w:rPr>
      </w:pPr>
      <w:r>
        <w:rPr>
          <w:color w:val="000000"/>
        </w:rPr>
        <w:tab/>
        <w:t>(vi)</w:t>
      </w:r>
      <w:r>
        <w:rPr>
          <w:color w:val="000000"/>
        </w:rPr>
        <w:tab/>
      </w:r>
      <w:r w:rsidR="00A30995" w:rsidRPr="00DC2AD8">
        <w:rPr>
          <w:color w:val="000000"/>
        </w:rPr>
        <w:t xml:space="preserve">the </w:t>
      </w:r>
      <w:r w:rsidR="005E6A5B">
        <w:rPr>
          <w:color w:val="000000"/>
        </w:rPr>
        <w:t>Crime and Misconduct Commission of Queensland</w:t>
      </w:r>
      <w:r w:rsidR="00A30995" w:rsidRPr="00DC2AD8">
        <w:rPr>
          <w:color w:val="000000"/>
        </w:rPr>
        <w:t xml:space="preserve">; </w:t>
      </w:r>
    </w:p>
    <w:p w14:paraId="1947DE96" w14:textId="77777777" w:rsidR="00B81BAA" w:rsidRDefault="00B81BAA" w:rsidP="00A30995">
      <w:pPr>
        <w:pStyle w:val="P2"/>
        <w:rPr>
          <w:color w:val="000000"/>
        </w:rPr>
      </w:pPr>
      <w:r>
        <w:rPr>
          <w:color w:val="000000"/>
        </w:rPr>
        <w:tab/>
        <w:t>(vii)</w:t>
      </w:r>
      <w:r>
        <w:rPr>
          <w:color w:val="000000"/>
        </w:rPr>
        <w:tab/>
        <w:t>the Independent Commissioner Against Corruption of South Australia;</w:t>
      </w:r>
    </w:p>
    <w:p w14:paraId="1947DE97" w14:textId="77777777" w:rsidR="00A30995" w:rsidRPr="00DC2AD8" w:rsidRDefault="00B81BAA" w:rsidP="00A30995">
      <w:pPr>
        <w:pStyle w:val="P2"/>
        <w:rPr>
          <w:color w:val="000000"/>
        </w:rPr>
      </w:pPr>
      <w:r>
        <w:rPr>
          <w:color w:val="000000"/>
        </w:rPr>
        <w:tab/>
        <w:t>(viii)</w:t>
      </w:r>
      <w:r>
        <w:rPr>
          <w:color w:val="000000"/>
        </w:rPr>
        <w:tab/>
        <w:t xml:space="preserve">the Corruption and Crime Commission of Western Australia; </w:t>
      </w:r>
      <w:r w:rsidR="00A30995" w:rsidRPr="00DC2AD8">
        <w:rPr>
          <w:color w:val="000000"/>
        </w:rPr>
        <w:t>or</w:t>
      </w:r>
    </w:p>
    <w:p w14:paraId="1947DE98" w14:textId="77777777" w:rsidR="00A30995" w:rsidRPr="00DC2AD8" w:rsidRDefault="00A30995" w:rsidP="00A30995">
      <w:pPr>
        <w:pStyle w:val="P1"/>
        <w:rPr>
          <w:color w:val="000000"/>
        </w:rPr>
      </w:pPr>
      <w:r w:rsidRPr="00DC2AD8">
        <w:rPr>
          <w:color w:val="000000"/>
        </w:rPr>
        <w:tab/>
        <w:t>(d)</w:t>
      </w:r>
      <w:r w:rsidRPr="00DC2AD8">
        <w:rPr>
          <w:color w:val="000000"/>
        </w:rPr>
        <w:tab/>
        <w:t>used solely for law enforcement activities by a body that:</w:t>
      </w:r>
    </w:p>
    <w:p w14:paraId="1947DE99" w14:textId="77777777" w:rsidR="00A30995" w:rsidRPr="00DC2AD8" w:rsidRDefault="00A30995" w:rsidP="00A30995">
      <w:pPr>
        <w:pStyle w:val="P2"/>
        <w:rPr>
          <w:color w:val="000000"/>
        </w:rPr>
      </w:pPr>
      <w:r w:rsidRPr="00DC2AD8">
        <w:rPr>
          <w:color w:val="000000"/>
        </w:rPr>
        <w:tab/>
        <w:t>(</w:t>
      </w:r>
      <w:proofErr w:type="spellStart"/>
      <w:r w:rsidRPr="00DC2AD8">
        <w:rPr>
          <w:color w:val="000000"/>
        </w:rPr>
        <w:t>i</w:t>
      </w:r>
      <w:proofErr w:type="spellEnd"/>
      <w:r w:rsidRPr="00DC2AD8">
        <w:rPr>
          <w:color w:val="000000"/>
        </w:rPr>
        <w:t>)</w:t>
      </w:r>
      <w:r w:rsidRPr="00DC2AD8">
        <w:rPr>
          <w:color w:val="000000"/>
        </w:rPr>
        <w:tab/>
        <w:t>is not mentioned in paragraph (c); and</w:t>
      </w:r>
    </w:p>
    <w:p w14:paraId="1947DE9A" w14:textId="77777777" w:rsidR="00A30995" w:rsidRPr="00DC2AD8" w:rsidRDefault="00A30995" w:rsidP="00A30995">
      <w:pPr>
        <w:pStyle w:val="P2"/>
        <w:rPr>
          <w:color w:val="000000"/>
        </w:rPr>
      </w:pPr>
      <w:r w:rsidRPr="00DC2AD8">
        <w:rPr>
          <w:color w:val="000000"/>
        </w:rPr>
        <w:tab/>
        <w:t>(ii)</w:t>
      </w:r>
      <w:r w:rsidRPr="00DC2AD8">
        <w:rPr>
          <w:color w:val="000000"/>
        </w:rPr>
        <w:tab/>
        <w:t>is responsible for criminal law enforcement, and established by or under a law of the Commonwealth, a State or a Territory; or</w:t>
      </w:r>
    </w:p>
    <w:p w14:paraId="1947DE9B" w14:textId="77777777" w:rsidR="00A30995" w:rsidRPr="00DC2AD8" w:rsidRDefault="00A30995" w:rsidP="00A30995">
      <w:pPr>
        <w:pStyle w:val="P1"/>
        <w:rPr>
          <w:color w:val="000000"/>
        </w:rPr>
      </w:pPr>
      <w:r w:rsidRPr="00DC2AD8">
        <w:rPr>
          <w:color w:val="000000"/>
        </w:rPr>
        <w:tab/>
        <w:t>(e)</w:t>
      </w:r>
      <w:r w:rsidRPr="00DC2AD8">
        <w:rPr>
          <w:color w:val="000000"/>
        </w:rPr>
        <w:tab/>
        <w:t>used solely for law enforcement activities by a body that:</w:t>
      </w:r>
    </w:p>
    <w:p w14:paraId="1947DE9C" w14:textId="77777777" w:rsidR="00A30995" w:rsidRPr="00DC2AD8" w:rsidRDefault="00A30995" w:rsidP="00A30995">
      <w:pPr>
        <w:pStyle w:val="P2"/>
        <w:rPr>
          <w:color w:val="000000"/>
        </w:rPr>
      </w:pPr>
      <w:r w:rsidRPr="00DC2AD8">
        <w:rPr>
          <w:color w:val="000000"/>
        </w:rPr>
        <w:tab/>
        <w:t>(</w:t>
      </w:r>
      <w:proofErr w:type="spellStart"/>
      <w:r w:rsidRPr="00DC2AD8">
        <w:rPr>
          <w:color w:val="000000"/>
        </w:rPr>
        <w:t>i</w:t>
      </w:r>
      <w:proofErr w:type="spellEnd"/>
      <w:r w:rsidRPr="00DC2AD8">
        <w:rPr>
          <w:color w:val="000000"/>
        </w:rPr>
        <w:t>)</w:t>
      </w:r>
      <w:r w:rsidRPr="00DC2AD8">
        <w:rPr>
          <w:color w:val="000000"/>
        </w:rPr>
        <w:tab/>
        <w:t>is not mentioned in paragraph (c); and</w:t>
      </w:r>
    </w:p>
    <w:p w14:paraId="1947DE9D" w14:textId="77777777" w:rsidR="00A30995" w:rsidRPr="00DC2AD8" w:rsidRDefault="00A30995" w:rsidP="00A30995">
      <w:pPr>
        <w:pStyle w:val="P2"/>
        <w:rPr>
          <w:color w:val="000000"/>
        </w:rPr>
      </w:pPr>
      <w:r w:rsidRPr="00DC2AD8">
        <w:rPr>
          <w:color w:val="000000"/>
        </w:rPr>
        <w:tab/>
        <w:t>(ii)</w:t>
      </w:r>
      <w:r w:rsidRPr="00DC2AD8">
        <w:rPr>
          <w:color w:val="000000"/>
        </w:rPr>
        <w:tab/>
        <w:t>provides support for law enforcement in Australia; and</w:t>
      </w:r>
    </w:p>
    <w:p w14:paraId="1947DE9E" w14:textId="77777777" w:rsidR="00A30995" w:rsidRPr="00ED5B62" w:rsidRDefault="00A30995" w:rsidP="00A30995">
      <w:pPr>
        <w:pStyle w:val="P2"/>
      </w:pPr>
      <w:r w:rsidRPr="00DC2AD8">
        <w:tab/>
        <w:t>(iii)</w:t>
      </w:r>
      <w:r w:rsidRPr="00DC2AD8">
        <w:tab/>
        <w:t xml:space="preserve">is responsible or accountable to the Australian Police Ministers’ </w:t>
      </w:r>
      <w:r w:rsidRPr="00ED5B62">
        <w:t>Council for the performance of that function; or</w:t>
      </w:r>
    </w:p>
    <w:p w14:paraId="1947DE9F" w14:textId="2F0F5FF1" w:rsidR="00A30995" w:rsidRPr="00ED5B62" w:rsidRDefault="00A30995" w:rsidP="00A30995">
      <w:pPr>
        <w:pStyle w:val="P1"/>
      </w:pPr>
      <w:r w:rsidRPr="00ED5B62">
        <w:tab/>
        <w:t>(f)</w:t>
      </w:r>
      <w:r w:rsidRPr="00ED5B62">
        <w:tab/>
        <w:t>an aware user device or non</w:t>
      </w:r>
      <w:r>
        <w:noBreakHyphen/>
      </w:r>
      <w:r w:rsidRPr="00ED5B62">
        <w:t xml:space="preserve">aware user device that is not mentioned in </w:t>
      </w:r>
      <w:r w:rsidR="002C7FDD">
        <w:t>subsections 9(1), 9</w:t>
      </w:r>
      <w:proofErr w:type="gramStart"/>
      <w:r w:rsidR="002C7FDD">
        <w:t>B(</w:t>
      </w:r>
      <w:proofErr w:type="gramEnd"/>
      <w:r w:rsidR="002C7FDD">
        <w:t>1), 10(1), 10A(1) or 11(1)</w:t>
      </w:r>
      <w:r w:rsidRPr="00ED5B62">
        <w:t>.</w:t>
      </w:r>
    </w:p>
    <w:p w14:paraId="1947DEA0" w14:textId="77777777" w:rsidR="00A30995" w:rsidRPr="00DC2AD8" w:rsidRDefault="00A30995" w:rsidP="00A30995">
      <w:pPr>
        <w:pStyle w:val="Note"/>
        <w:rPr>
          <w:color w:val="000000"/>
        </w:rPr>
      </w:pPr>
      <w:r w:rsidRPr="00DC2AD8">
        <w:rPr>
          <w:i/>
          <w:iCs/>
          <w:color w:val="000000"/>
        </w:rPr>
        <w:t>Note 1</w:t>
      </w:r>
      <w:r w:rsidRPr="00DC2AD8">
        <w:rPr>
          <w:color w:val="000000"/>
        </w:rPr>
        <w:t>   Exemptions from the operation of the Act are also provided for in:</w:t>
      </w:r>
    </w:p>
    <w:p w14:paraId="1947DEA1" w14:textId="77777777" w:rsidR="00A30995" w:rsidRPr="00DC2AD8" w:rsidRDefault="00A30995" w:rsidP="00A30995">
      <w:pPr>
        <w:pStyle w:val="Note"/>
        <w:spacing w:before="60"/>
        <w:ind w:left="1440" w:hanging="476"/>
        <w:rPr>
          <w:color w:val="000000"/>
        </w:rPr>
      </w:pPr>
      <w:r w:rsidRPr="00DC2AD8">
        <w:rPr>
          <w:color w:val="000000"/>
        </w:rPr>
        <w:t>(a)</w:t>
      </w:r>
      <w:r w:rsidRPr="00DC2AD8">
        <w:rPr>
          <w:color w:val="000000"/>
        </w:rPr>
        <w:tab/>
        <w:t>the Act (subsection</w:t>
      </w:r>
      <w:r w:rsidR="00F378C8">
        <w:rPr>
          <w:color w:val="000000"/>
        </w:rPr>
        <w:t>s 24 (1) and (2) and section 25</w:t>
      </w:r>
      <w:r w:rsidR="000348CB">
        <w:rPr>
          <w:color w:val="000000"/>
        </w:rPr>
        <w:t>)</w:t>
      </w:r>
      <w:r w:rsidRPr="00DC2AD8">
        <w:rPr>
          <w:color w:val="000000"/>
        </w:rPr>
        <w:t>; and</w:t>
      </w:r>
    </w:p>
    <w:p w14:paraId="1947DEA2" w14:textId="77777777" w:rsidR="00A30995" w:rsidRPr="00DC2AD8" w:rsidRDefault="00A30995" w:rsidP="00A30995">
      <w:pPr>
        <w:pStyle w:val="Note"/>
        <w:spacing w:before="60"/>
        <w:ind w:left="1440" w:hanging="476"/>
        <w:rPr>
          <w:color w:val="000000"/>
        </w:rPr>
      </w:pPr>
      <w:r w:rsidRPr="00DC2AD8">
        <w:rPr>
          <w:color w:val="000000"/>
        </w:rPr>
        <w:t>(b)</w:t>
      </w:r>
      <w:r w:rsidRPr="00DC2AD8">
        <w:rPr>
          <w:color w:val="000000"/>
        </w:rPr>
        <w:tab/>
        <w:t xml:space="preserve">the </w:t>
      </w:r>
      <w:r>
        <w:rPr>
          <w:i/>
          <w:iCs/>
          <w:color w:val="000000"/>
        </w:rPr>
        <w:t>Radiocommunications</w:t>
      </w:r>
      <w:r w:rsidRPr="00DC2AD8">
        <w:rPr>
          <w:i/>
          <w:iCs/>
          <w:color w:val="000000"/>
        </w:rPr>
        <w:t xml:space="preserve"> Regulations 1993</w:t>
      </w:r>
      <w:r w:rsidRPr="00DC2AD8">
        <w:rPr>
          <w:color w:val="000000"/>
        </w:rPr>
        <w:t xml:space="preserve"> (regulation 6).</w:t>
      </w:r>
    </w:p>
    <w:p w14:paraId="1947DEA3" w14:textId="77777777" w:rsidR="00A30995" w:rsidRPr="00DC2AD8" w:rsidRDefault="00A30995" w:rsidP="00A30995">
      <w:pPr>
        <w:pStyle w:val="Note"/>
        <w:spacing w:before="60"/>
        <w:rPr>
          <w:color w:val="000000"/>
        </w:rPr>
      </w:pPr>
      <w:r w:rsidRPr="00DC2AD8">
        <w:rPr>
          <w:color w:val="000000"/>
        </w:rPr>
        <w:t>The exemptions relate to activities of the Defence Force, the Australian Security Intelligence Service and the Australian Security Intelligence Organisation</w:t>
      </w:r>
      <w:r w:rsidRPr="00EB6AC3">
        <w:rPr>
          <w:color w:val="000000"/>
        </w:rPr>
        <w:t>.</w:t>
      </w:r>
      <w:r w:rsidR="000348CB" w:rsidRPr="00EB6AC3">
        <w:rPr>
          <w:color w:val="000000"/>
        </w:rPr>
        <w:t xml:space="preserve">  Section 6 of this Standard is not intended to limit those exemptions.</w:t>
      </w:r>
    </w:p>
    <w:p w14:paraId="1947DEA4" w14:textId="77777777" w:rsidR="00A30995" w:rsidRDefault="00A30995" w:rsidP="00A30995">
      <w:pPr>
        <w:pStyle w:val="Note"/>
        <w:rPr>
          <w:color w:val="000000"/>
        </w:rPr>
      </w:pPr>
      <w:r w:rsidRPr="00DC2AD8">
        <w:rPr>
          <w:i/>
          <w:iCs/>
          <w:color w:val="000000"/>
        </w:rPr>
        <w:t>Note 2</w:t>
      </w:r>
      <w:r w:rsidRPr="00DC2AD8">
        <w:rPr>
          <w:color w:val="000000"/>
        </w:rPr>
        <w:t xml:space="preserve">   The application of this Standard to a device under this section is not relevant to the definition of </w:t>
      </w:r>
      <w:r w:rsidRPr="00DC2AD8">
        <w:rPr>
          <w:b/>
          <w:bCs/>
          <w:i/>
          <w:iCs/>
          <w:color w:val="000000"/>
        </w:rPr>
        <w:t>non</w:t>
      </w:r>
      <w:r>
        <w:rPr>
          <w:b/>
          <w:bCs/>
          <w:i/>
          <w:iCs/>
          <w:color w:val="000000"/>
        </w:rPr>
        <w:noBreakHyphen/>
      </w:r>
      <w:r w:rsidRPr="00DC2AD8">
        <w:rPr>
          <w:b/>
          <w:bCs/>
          <w:i/>
          <w:iCs/>
          <w:color w:val="000000"/>
        </w:rPr>
        <w:t>standard</w:t>
      </w:r>
      <w:r w:rsidRPr="00DC2AD8">
        <w:rPr>
          <w:color w:val="000000"/>
        </w:rPr>
        <w:t xml:space="preserve"> device in section 9 of the Act because the status of the device (as standard or non</w:t>
      </w:r>
      <w:r>
        <w:rPr>
          <w:color w:val="000000"/>
        </w:rPr>
        <w:noBreakHyphen/>
      </w:r>
      <w:r w:rsidRPr="00DC2AD8">
        <w:rPr>
          <w:color w:val="000000"/>
        </w:rPr>
        <w:t>standard) was established when the device was last manufactured, imported, altered or modified.</w:t>
      </w:r>
    </w:p>
    <w:p w14:paraId="1947DEA5" w14:textId="77777777" w:rsidR="00A30995" w:rsidRPr="00937D12" w:rsidRDefault="00A30995" w:rsidP="00A30995">
      <w:pPr>
        <w:pStyle w:val="HR"/>
      </w:pPr>
      <w:bookmarkStart w:id="12" w:name="_Toc288485856"/>
      <w:r w:rsidRPr="001A3D73">
        <w:rPr>
          <w:rStyle w:val="CharSectno"/>
        </w:rPr>
        <w:t>7</w:t>
      </w:r>
      <w:r>
        <w:tab/>
        <w:t xml:space="preserve">Transitional arrangements </w:t>
      </w:r>
      <w:r w:rsidR="00974AF3">
        <w:t>for one year after commencement of the Standard</w:t>
      </w:r>
      <w:bookmarkEnd w:id="12"/>
    </w:p>
    <w:p w14:paraId="1947DEA6" w14:textId="77777777" w:rsidR="00A30995" w:rsidRDefault="00A30995" w:rsidP="00A30995">
      <w:pPr>
        <w:pStyle w:val="ZR1"/>
      </w:pPr>
      <w:r w:rsidRPr="00DC2AD8">
        <w:tab/>
      </w:r>
      <w:r w:rsidR="00974AF3">
        <w:t>(1)</w:t>
      </w:r>
      <w:r w:rsidRPr="00DC2AD8">
        <w:tab/>
      </w:r>
      <w:r w:rsidR="00974AF3">
        <w:t>If a device to which this Standard applies is manufactured or imported not later than 12 months after the commencement of this Standard, the device will be taken to comply with this Standard if it complies with the old standard.</w:t>
      </w:r>
    </w:p>
    <w:p w14:paraId="1947DEA7" w14:textId="77777777" w:rsidR="008E5841" w:rsidRDefault="00974AF3" w:rsidP="008E5841">
      <w:pPr>
        <w:pStyle w:val="ZR1"/>
        <w:rPr>
          <w:color w:val="000000"/>
        </w:rPr>
      </w:pPr>
      <w:r>
        <w:tab/>
        <w:t>(</w:t>
      </w:r>
      <w:r w:rsidR="002D44C5">
        <w:t>2</w:t>
      </w:r>
      <w:r>
        <w:t>)</w:t>
      </w:r>
      <w:r>
        <w:tab/>
        <w:t>If a device to which this Standard applies</w:t>
      </w:r>
      <w:r>
        <w:rPr>
          <w:color w:val="000000"/>
        </w:rPr>
        <w:t xml:space="preserve"> has been altered or modified in a material respect </w:t>
      </w:r>
      <w:r w:rsidR="008E5841">
        <w:rPr>
          <w:color w:val="000000"/>
        </w:rPr>
        <w:t>at a time that is both:</w:t>
      </w:r>
    </w:p>
    <w:p w14:paraId="1947DEA8" w14:textId="77777777" w:rsidR="008E5841" w:rsidRDefault="008E5841" w:rsidP="008E5841">
      <w:pPr>
        <w:pStyle w:val="P1"/>
      </w:pPr>
      <w:r w:rsidRPr="008E5841">
        <w:tab/>
        <w:t>(a)</w:t>
      </w:r>
      <w:r w:rsidRPr="008E5841">
        <w:tab/>
      </w:r>
      <w:r w:rsidR="00974AF3" w:rsidRPr="008E5841">
        <w:t>after its manufacture or, if it has been imported, after its importation;</w:t>
      </w:r>
      <w:r>
        <w:t xml:space="preserve"> and</w:t>
      </w:r>
    </w:p>
    <w:p w14:paraId="1947DEA9" w14:textId="77777777" w:rsidR="00974AF3" w:rsidRPr="008E5841" w:rsidRDefault="008E5841" w:rsidP="008E5841">
      <w:pPr>
        <w:pStyle w:val="P1"/>
      </w:pPr>
      <w:r>
        <w:tab/>
        <w:t>(b)</w:t>
      </w:r>
      <w:r w:rsidRPr="008E5841">
        <w:t xml:space="preserve"> </w:t>
      </w:r>
      <w:r w:rsidRPr="008E5841">
        <w:tab/>
        <w:t>not later than 12 months after the commencement of this Standard</w:t>
      </w:r>
      <w:r>
        <w:t>;</w:t>
      </w:r>
    </w:p>
    <w:p w14:paraId="1947DEAA" w14:textId="77777777" w:rsidR="00974AF3" w:rsidRPr="00974AF3" w:rsidRDefault="00974AF3" w:rsidP="00434F21">
      <w:pPr>
        <w:pStyle w:val="P1"/>
        <w:tabs>
          <w:tab w:val="clear" w:pos="1191"/>
        </w:tabs>
        <w:ind w:left="993" w:firstLine="0"/>
        <w:rPr>
          <w:color w:val="000000"/>
        </w:rPr>
      </w:pPr>
      <w:r>
        <w:rPr>
          <w:color w:val="000000"/>
        </w:rPr>
        <w:lastRenderedPageBreak/>
        <w:t>the device will be taken to comply with this Standard if it complies with the old standard.</w:t>
      </w:r>
    </w:p>
    <w:p w14:paraId="1947DEAB" w14:textId="4E757214" w:rsidR="009F5657" w:rsidRDefault="009F5657" w:rsidP="00434F21">
      <w:pPr>
        <w:pStyle w:val="ZR1"/>
        <w:tabs>
          <w:tab w:val="clear" w:pos="794"/>
        </w:tabs>
        <w:ind w:left="993" w:hanging="539"/>
      </w:pPr>
      <w:r>
        <w:t>(</w:t>
      </w:r>
      <w:r w:rsidR="002D44C5">
        <w:t>3</w:t>
      </w:r>
      <w:r>
        <w:t>)</w:t>
      </w:r>
      <w:r>
        <w:tab/>
        <w:t>Despite the revocation of the old standard, the old standard applies to a device for the purposes of this section as if it had not been revoked.</w:t>
      </w:r>
    </w:p>
    <w:p w14:paraId="1947DEAC" w14:textId="77777777" w:rsidR="00A30995" w:rsidRPr="00974AF3" w:rsidRDefault="00A30995" w:rsidP="00A30995">
      <w:pPr>
        <w:pStyle w:val="Note"/>
        <w:rPr>
          <w:color w:val="000000"/>
        </w:rPr>
      </w:pPr>
      <w:r w:rsidRPr="00974AF3">
        <w:rPr>
          <w:i/>
          <w:iCs/>
          <w:color w:val="000000"/>
        </w:rPr>
        <w:t>Note</w:t>
      </w:r>
      <w:r w:rsidRPr="00974AF3">
        <w:rPr>
          <w:color w:val="000000"/>
        </w:rPr>
        <w:t> </w:t>
      </w:r>
      <w:r w:rsidRPr="00974AF3">
        <w:rPr>
          <w:i/>
          <w:iCs/>
          <w:color w:val="000000"/>
        </w:rPr>
        <w:t>1</w:t>
      </w:r>
      <w:r w:rsidR="00836CA1" w:rsidRPr="00836CA1">
        <w:rPr>
          <w:color w:val="000000"/>
        </w:rPr>
        <w:t xml:space="preserve">   The continued application of this Standard to a device under this section is not relevant to the definition of </w:t>
      </w:r>
      <w:r w:rsidR="00836CA1" w:rsidRPr="00836CA1">
        <w:rPr>
          <w:b/>
          <w:bCs/>
          <w:i/>
          <w:iCs/>
          <w:color w:val="000000"/>
        </w:rPr>
        <w:t>non</w:t>
      </w:r>
      <w:r w:rsidR="00836CA1" w:rsidRPr="00836CA1">
        <w:rPr>
          <w:b/>
          <w:bCs/>
          <w:i/>
          <w:iCs/>
          <w:color w:val="000000"/>
        </w:rPr>
        <w:noBreakHyphen/>
        <w:t>standard device</w:t>
      </w:r>
      <w:r w:rsidR="00836CA1" w:rsidRPr="00836CA1">
        <w:rPr>
          <w:color w:val="000000"/>
        </w:rPr>
        <w:t xml:space="preserve"> in section 9 of the Act because the status </w:t>
      </w:r>
      <w:r w:rsidR="00154234" w:rsidRPr="00154234">
        <w:rPr>
          <w:color w:val="000000"/>
        </w:rPr>
        <w:t>of the device (as standard or non</w:t>
      </w:r>
      <w:r w:rsidR="00154234" w:rsidRPr="00154234">
        <w:rPr>
          <w:color w:val="000000"/>
        </w:rPr>
        <w:noBreakHyphen/>
        <w:t>standard) was established when the device was last manufactured, imported, altered or modified.</w:t>
      </w:r>
    </w:p>
    <w:p w14:paraId="1947DEAD" w14:textId="38F96A66" w:rsidR="00A30995" w:rsidRDefault="00836CA1" w:rsidP="00A30995">
      <w:pPr>
        <w:pStyle w:val="Note"/>
      </w:pPr>
      <w:r w:rsidRPr="00836CA1">
        <w:rPr>
          <w:i/>
          <w:iCs/>
        </w:rPr>
        <w:t>Note</w:t>
      </w:r>
      <w:r w:rsidRPr="00836CA1">
        <w:t> </w:t>
      </w:r>
      <w:r w:rsidRPr="00836CA1">
        <w:rPr>
          <w:i/>
          <w:iCs/>
        </w:rPr>
        <w:t>2</w:t>
      </w:r>
      <w:r w:rsidRPr="00836CA1">
        <w:t>   A device that was manufactured, imported, altered</w:t>
      </w:r>
      <w:r w:rsidR="000C02E6">
        <w:t>,</w:t>
      </w:r>
      <w:r w:rsidRPr="00836CA1">
        <w:t xml:space="preserve"> modified </w:t>
      </w:r>
      <w:r w:rsidR="000C02E6">
        <w:t xml:space="preserve">or first offered for supply </w:t>
      </w:r>
      <w:r w:rsidRPr="00836CA1">
        <w:t>before</w:t>
      </w:r>
      <w:r w:rsidR="00A30995" w:rsidRPr="00974AF3">
        <w:t xml:space="preserve"> </w:t>
      </w:r>
      <w:r w:rsidR="00974AF3" w:rsidRPr="00974AF3">
        <w:t xml:space="preserve">the commencement of this Standard </w:t>
      </w:r>
      <w:r w:rsidR="00A30995" w:rsidRPr="00974AF3">
        <w:t>is equipment to which this</w:t>
      </w:r>
      <w:r w:rsidR="00A30995" w:rsidRPr="00ED5B62">
        <w:t xml:space="preserve"> Standard does not apply under section 6.</w:t>
      </w:r>
    </w:p>
    <w:p w14:paraId="4DE29892" w14:textId="77777777" w:rsidR="00F14EC9" w:rsidRPr="00434F21" w:rsidRDefault="00F14EC9" w:rsidP="00434F21">
      <w:pPr>
        <w:pStyle w:val="ItemHead"/>
        <w:spacing w:before="120"/>
        <w:ind w:left="993" w:hanging="993"/>
        <w:rPr>
          <w:rFonts w:cs="Arial"/>
          <w:i/>
          <w:szCs w:val="24"/>
        </w:rPr>
      </w:pPr>
      <w:r w:rsidRPr="00434F21">
        <w:rPr>
          <w:rFonts w:cs="Arial"/>
          <w:szCs w:val="24"/>
        </w:rPr>
        <w:t>7A</w:t>
      </w:r>
      <w:r w:rsidRPr="00434F21">
        <w:rPr>
          <w:rFonts w:cs="Arial"/>
          <w:szCs w:val="24"/>
        </w:rPr>
        <w:tab/>
        <w:t xml:space="preserve">Transitional arrangements for three months after commencement of the </w:t>
      </w:r>
      <w:r w:rsidRPr="00434F21">
        <w:rPr>
          <w:rFonts w:cs="Arial"/>
          <w:i/>
          <w:szCs w:val="24"/>
        </w:rPr>
        <w:t>Radiocommunications (Electromagnetic Radiation — Human Exposure) Amendment Standard 2019 (No. 1)</w:t>
      </w:r>
    </w:p>
    <w:p w14:paraId="0903FA60" w14:textId="77777777" w:rsidR="00F14EC9" w:rsidRPr="00434F21" w:rsidRDefault="00F14EC9" w:rsidP="00434F21">
      <w:pPr>
        <w:pStyle w:val="Item"/>
        <w:spacing w:before="120"/>
        <w:ind w:left="993" w:hanging="426"/>
        <w:rPr>
          <w:sz w:val="24"/>
          <w:szCs w:val="24"/>
        </w:rPr>
      </w:pPr>
      <w:r w:rsidRPr="00434F21">
        <w:rPr>
          <w:kern w:val="28"/>
          <w:sz w:val="24"/>
          <w:szCs w:val="24"/>
        </w:rPr>
        <w:t>(1)</w:t>
      </w:r>
      <w:r w:rsidRPr="00434F21">
        <w:rPr>
          <w:kern w:val="28"/>
          <w:sz w:val="24"/>
          <w:szCs w:val="24"/>
        </w:rPr>
        <w:tab/>
        <w:t xml:space="preserve">If a device to which this Standard applies is </w:t>
      </w:r>
      <w:bookmarkStart w:id="13" w:name="_Hlk8897900"/>
      <w:r w:rsidRPr="00434F21">
        <w:rPr>
          <w:kern w:val="28"/>
          <w:sz w:val="24"/>
          <w:szCs w:val="24"/>
        </w:rPr>
        <w:t xml:space="preserve">manufactured or imported not later than 3 months after the commencement of the </w:t>
      </w:r>
      <w:bookmarkStart w:id="14" w:name="_Hlk8740408"/>
      <w:r w:rsidRPr="00434F21">
        <w:rPr>
          <w:i/>
          <w:sz w:val="24"/>
          <w:szCs w:val="24"/>
        </w:rPr>
        <w:t>Radiocommunications (Electromagnetic Radiation — Human Exposure) Amendment Standard 2019 (No. 1)</w:t>
      </w:r>
      <w:bookmarkEnd w:id="13"/>
      <w:r w:rsidRPr="00434F21">
        <w:rPr>
          <w:sz w:val="24"/>
          <w:szCs w:val="24"/>
        </w:rPr>
        <w:t xml:space="preserve">, </w:t>
      </w:r>
      <w:bookmarkEnd w:id="14"/>
      <w:r w:rsidRPr="00434F21">
        <w:rPr>
          <w:sz w:val="24"/>
          <w:szCs w:val="24"/>
        </w:rPr>
        <w:t xml:space="preserve">the device will be taken to comply with this Standard if it complies with this Standard as in force immediately before the commencement of the </w:t>
      </w:r>
      <w:r w:rsidRPr="00434F21">
        <w:rPr>
          <w:i/>
          <w:sz w:val="24"/>
          <w:szCs w:val="24"/>
        </w:rPr>
        <w:t>Radiocommunications (Electromagnetic Radiation — Human Exposure) Amendment Standard 2019 (No. 1)</w:t>
      </w:r>
      <w:r w:rsidRPr="00434F21">
        <w:rPr>
          <w:sz w:val="24"/>
          <w:szCs w:val="24"/>
        </w:rPr>
        <w:t>.</w:t>
      </w:r>
    </w:p>
    <w:p w14:paraId="78A8E679" w14:textId="77777777" w:rsidR="00F14EC9" w:rsidRPr="00434F21" w:rsidRDefault="00F14EC9" w:rsidP="00434F21">
      <w:pPr>
        <w:pStyle w:val="Item"/>
        <w:spacing w:before="120"/>
        <w:ind w:left="993" w:hanging="426"/>
        <w:rPr>
          <w:sz w:val="24"/>
          <w:szCs w:val="24"/>
        </w:rPr>
      </w:pPr>
      <w:r w:rsidRPr="00434F21">
        <w:rPr>
          <w:kern w:val="28"/>
          <w:sz w:val="24"/>
          <w:szCs w:val="24"/>
        </w:rPr>
        <w:t>(2)</w:t>
      </w:r>
      <w:r w:rsidRPr="00434F21">
        <w:rPr>
          <w:kern w:val="28"/>
          <w:sz w:val="24"/>
          <w:szCs w:val="24"/>
        </w:rPr>
        <w:tab/>
        <w:t>If a device to which this Standard applies has been altered or modified in a material respect at a time that is both:</w:t>
      </w:r>
    </w:p>
    <w:p w14:paraId="029EB99B" w14:textId="77777777" w:rsidR="00F14EC9" w:rsidRPr="00434F21" w:rsidRDefault="00F14EC9" w:rsidP="00434F21">
      <w:pPr>
        <w:pStyle w:val="Item"/>
        <w:numPr>
          <w:ilvl w:val="0"/>
          <w:numId w:val="24"/>
        </w:numPr>
        <w:ind w:left="1418" w:hanging="426"/>
        <w:rPr>
          <w:sz w:val="24"/>
          <w:szCs w:val="24"/>
        </w:rPr>
      </w:pPr>
      <w:r w:rsidRPr="00434F21">
        <w:rPr>
          <w:kern w:val="28"/>
          <w:sz w:val="24"/>
          <w:szCs w:val="24"/>
        </w:rPr>
        <w:t>after its manufacture or, if it has been imported, after its importation; and</w:t>
      </w:r>
    </w:p>
    <w:p w14:paraId="1E431659" w14:textId="77777777" w:rsidR="00F14EC9" w:rsidRPr="00434F21" w:rsidRDefault="00F14EC9" w:rsidP="00434F21">
      <w:pPr>
        <w:pStyle w:val="Item"/>
        <w:numPr>
          <w:ilvl w:val="0"/>
          <w:numId w:val="24"/>
        </w:numPr>
        <w:ind w:left="1418" w:hanging="426"/>
        <w:rPr>
          <w:sz w:val="24"/>
          <w:szCs w:val="24"/>
        </w:rPr>
      </w:pPr>
      <w:r w:rsidRPr="00434F21">
        <w:rPr>
          <w:kern w:val="28"/>
          <w:sz w:val="24"/>
          <w:szCs w:val="24"/>
        </w:rPr>
        <w:t xml:space="preserve">not later than 3 months after the commencement of the </w:t>
      </w:r>
      <w:r w:rsidRPr="00434F21">
        <w:rPr>
          <w:i/>
          <w:sz w:val="24"/>
          <w:szCs w:val="24"/>
        </w:rPr>
        <w:t>Radiocommunications (Electromagnetic Radiation — Human Exposure) Amendment Standard 2019 (No. 1)</w:t>
      </w:r>
      <w:r w:rsidRPr="00434F21">
        <w:rPr>
          <w:sz w:val="24"/>
          <w:szCs w:val="24"/>
        </w:rPr>
        <w:t>;</w:t>
      </w:r>
    </w:p>
    <w:p w14:paraId="5373A38B" w14:textId="7CA0DEFF" w:rsidR="008646C8" w:rsidRPr="00434F21" w:rsidRDefault="00F14EC9" w:rsidP="00434F21">
      <w:pPr>
        <w:pStyle w:val="Item"/>
        <w:ind w:left="993"/>
        <w:rPr>
          <w:sz w:val="24"/>
        </w:rPr>
      </w:pPr>
      <w:r w:rsidRPr="00434F21">
        <w:rPr>
          <w:sz w:val="24"/>
          <w:szCs w:val="24"/>
        </w:rPr>
        <w:t xml:space="preserve">the device will be taken to comply with this Standard if it complies with this Standard as in force immediately before the commencement of the </w:t>
      </w:r>
      <w:r w:rsidRPr="00434F21">
        <w:rPr>
          <w:i/>
          <w:sz w:val="24"/>
          <w:szCs w:val="24"/>
        </w:rPr>
        <w:t>Radiocommunications (Electromagnetic Radiation — Human Exposure) Amendment Standard 2019 (No. 1)</w:t>
      </w:r>
      <w:r w:rsidRPr="00434F21">
        <w:rPr>
          <w:sz w:val="24"/>
          <w:szCs w:val="24"/>
        </w:rPr>
        <w:t>.</w:t>
      </w:r>
    </w:p>
    <w:p w14:paraId="1947DEAE" w14:textId="77777777" w:rsidR="00A30995" w:rsidRDefault="00161B14" w:rsidP="00A30995">
      <w:pPr>
        <w:pStyle w:val="HR"/>
        <w:keepNext w:val="0"/>
      </w:pPr>
      <w:bookmarkStart w:id="15" w:name="_Toc288485857"/>
      <w:r>
        <w:rPr>
          <w:rStyle w:val="CharSectno"/>
        </w:rPr>
        <w:t>8</w:t>
      </w:r>
      <w:r w:rsidR="00A30995">
        <w:tab/>
        <w:t>Performance standards</w:t>
      </w:r>
      <w:bookmarkEnd w:id="15"/>
    </w:p>
    <w:p w14:paraId="1947DEAF" w14:textId="6B573BEF" w:rsidR="00A30995" w:rsidRPr="00974AF3" w:rsidRDefault="00A30995" w:rsidP="00A30995">
      <w:pPr>
        <w:pStyle w:val="R1"/>
        <w:keepLines w:val="0"/>
      </w:pPr>
      <w:r>
        <w:tab/>
        <w:t>(1)</w:t>
      </w:r>
      <w:r>
        <w:tab/>
        <w:t xml:space="preserve">For paragraph 162 (1) (a) of the </w:t>
      </w:r>
      <w:r w:rsidRPr="00DA23A3">
        <w:rPr>
          <w:iCs/>
        </w:rPr>
        <w:t>Act</w:t>
      </w:r>
      <w:r>
        <w:t>, th</w:t>
      </w:r>
      <w:r w:rsidRPr="00963D6E">
        <w:t>e standard for performance</w:t>
      </w:r>
      <w:r>
        <w:t xml:space="preserve"> for an aware user device to which this Standard applies is that the device must not expose the user to electromagnetic radiation at a level greater than the basic restrictions for occupational exposure when the device is used in its normal position of </w:t>
      </w:r>
      <w:r w:rsidRPr="00974AF3">
        <w:t>use</w:t>
      </w:r>
      <w:r w:rsidR="0050407D" w:rsidRPr="00974AF3">
        <w:t xml:space="preserve"> and in its normal mode of operation</w:t>
      </w:r>
      <w:r w:rsidR="00D8139E" w:rsidRPr="00974AF3">
        <w:t>, measured using the measurement met</w:t>
      </w:r>
      <w:r w:rsidR="00161B14" w:rsidRPr="00974AF3">
        <w:t xml:space="preserve">hods set out in </w:t>
      </w:r>
      <w:r w:rsidR="008D1BB1">
        <w:t>section 9, 9B, 10, 10A or 11</w:t>
      </w:r>
      <w:r w:rsidRPr="00974AF3">
        <w:t>.</w:t>
      </w:r>
    </w:p>
    <w:p w14:paraId="1947DEB0" w14:textId="3730724A" w:rsidR="00A30995" w:rsidRDefault="00A30995" w:rsidP="00A30995">
      <w:pPr>
        <w:pStyle w:val="R2"/>
        <w:keepLines w:val="0"/>
      </w:pPr>
      <w:r w:rsidRPr="00974AF3">
        <w:tab/>
        <w:t>(2)</w:t>
      </w:r>
      <w:r w:rsidRPr="00974AF3">
        <w:tab/>
        <w:t>For paragraph 162 (1) (a) of the</w:t>
      </w:r>
      <w:r w:rsidR="00836CA1" w:rsidRPr="00836CA1">
        <w:t xml:space="preserve"> </w:t>
      </w:r>
      <w:r w:rsidR="00836CA1" w:rsidRPr="00836CA1">
        <w:rPr>
          <w:iCs/>
        </w:rPr>
        <w:t>Act</w:t>
      </w:r>
      <w:r w:rsidR="00836CA1" w:rsidRPr="00836CA1">
        <w:t xml:space="preserve">, the standard for performance for a non–aware user device to which </w:t>
      </w:r>
      <w:r w:rsidR="00224C0E">
        <w:t>t</w:t>
      </w:r>
      <w:r w:rsidR="00836CA1" w:rsidRPr="00836CA1">
        <w:t>his Standard applies is that the</w:t>
      </w:r>
      <w:r w:rsidR="00521CEB">
        <w:t xml:space="preserve"> </w:t>
      </w:r>
      <w:r w:rsidR="00836CA1" w:rsidRPr="00836CA1">
        <w:t xml:space="preserve">device must not expose the user to electromagnetic radiation at a level greater than the basic restrictions for general public exposure when the device is used in its normal position of use </w:t>
      </w:r>
      <w:r w:rsidR="0050407D" w:rsidRPr="00974AF3">
        <w:t>and in its normal mode of operation</w:t>
      </w:r>
      <w:r w:rsidR="00A65B7A" w:rsidRPr="00974AF3">
        <w:t xml:space="preserve">, </w:t>
      </w:r>
      <w:r w:rsidR="00D8139E" w:rsidRPr="00974AF3">
        <w:t>measure</w:t>
      </w:r>
      <w:r w:rsidR="00E95538" w:rsidRPr="00974AF3">
        <w:t>d</w:t>
      </w:r>
      <w:r w:rsidR="00D8139E" w:rsidRPr="00974AF3">
        <w:t xml:space="preserve"> using the measurement methods set</w:t>
      </w:r>
      <w:r w:rsidR="00D8139E">
        <w:t xml:space="preserve"> out in </w:t>
      </w:r>
      <w:r w:rsidR="00DC61F5">
        <w:t>section 9, 9B, 10, 10A or 11</w:t>
      </w:r>
      <w:r>
        <w:t>.</w:t>
      </w:r>
    </w:p>
    <w:p w14:paraId="1947DEB1" w14:textId="77777777" w:rsidR="009F6100" w:rsidRPr="00963D6E" w:rsidRDefault="009F6100" w:rsidP="00A30995">
      <w:pPr>
        <w:pStyle w:val="R2"/>
        <w:keepLines w:val="0"/>
      </w:pPr>
      <w:r>
        <w:lastRenderedPageBreak/>
        <w:tab/>
      </w:r>
      <w:r w:rsidRPr="00974AF3">
        <w:t>(3)</w:t>
      </w:r>
      <w:r w:rsidRPr="00974AF3">
        <w:tab/>
        <w:t xml:space="preserve">For the purpose of subsections (1) and (2), if a device is capable of operation in simultaneous multi-band transmission mode, </w:t>
      </w:r>
      <w:r w:rsidRPr="00974AF3">
        <w:rPr>
          <w:b/>
          <w:i/>
        </w:rPr>
        <w:t>normal mode of operation</w:t>
      </w:r>
      <w:r w:rsidRPr="00974AF3">
        <w:t xml:space="preserve"> means operation in that mode.</w:t>
      </w:r>
    </w:p>
    <w:p w14:paraId="1947DEB2" w14:textId="3EFAA383" w:rsidR="00A30995" w:rsidRPr="007B4611" w:rsidRDefault="008C4733" w:rsidP="004144A9">
      <w:pPr>
        <w:pStyle w:val="HR"/>
        <w:keepLines/>
      </w:pPr>
      <w:bookmarkStart w:id="16" w:name="_Toc288485858"/>
      <w:r>
        <w:rPr>
          <w:rStyle w:val="CharSectno"/>
        </w:rPr>
        <w:t>9</w:t>
      </w:r>
      <w:r w:rsidR="00A30995">
        <w:tab/>
        <w:t xml:space="preserve">Measurement methods for performance standards: </w:t>
      </w:r>
      <w:r w:rsidR="00A30995" w:rsidRPr="003B6BDA">
        <w:t>aware user device or non</w:t>
      </w:r>
      <w:r w:rsidR="00A30995">
        <w:noBreakHyphen/>
      </w:r>
      <w:r w:rsidR="00A30995" w:rsidRPr="003B6BDA">
        <w:t>aware user device</w:t>
      </w:r>
      <w:r w:rsidR="00A30995" w:rsidRPr="00ED5B62">
        <w:t xml:space="preserve"> </w:t>
      </w:r>
      <w:proofErr w:type="gramStart"/>
      <w:r w:rsidR="00A30995" w:rsidRPr="00ED5B62">
        <w:t>in close proximity to</w:t>
      </w:r>
      <w:proofErr w:type="gramEnd"/>
      <w:r w:rsidR="00A30995" w:rsidRPr="00ED5B62">
        <w:t xml:space="preserve"> the human ea</w:t>
      </w:r>
      <w:r w:rsidR="00A30995" w:rsidRPr="007B4611">
        <w:t>r</w:t>
      </w:r>
      <w:bookmarkEnd w:id="16"/>
      <w:r w:rsidR="00A857BE">
        <w:t xml:space="preserve"> </w:t>
      </w:r>
      <w:r w:rsidR="00A857BE">
        <w:rPr>
          <w:kern w:val="28"/>
        </w:rPr>
        <w:t>– 300MHz to 6GHz</w:t>
      </w:r>
    </w:p>
    <w:p w14:paraId="1947DEB3" w14:textId="0AA644E8" w:rsidR="00A30995" w:rsidRPr="00ED5B62" w:rsidRDefault="00A30995" w:rsidP="004144A9">
      <w:pPr>
        <w:pStyle w:val="ZR1"/>
      </w:pPr>
      <w:r>
        <w:tab/>
        <w:t>(1)</w:t>
      </w:r>
      <w:r>
        <w:tab/>
      </w:r>
      <w:r w:rsidR="00C2286A">
        <w:t>Subject to section 9A</w:t>
      </w:r>
      <w:r w:rsidR="00D23AEB">
        <w:t>, this section</w:t>
      </w:r>
      <w:r w:rsidRPr="00B37793">
        <w:t xml:space="preserve"> applies</w:t>
      </w:r>
      <w:r>
        <w:t xml:space="preserve"> to a</w:t>
      </w:r>
      <w:r w:rsidRPr="003B6BDA">
        <w:t xml:space="preserve">n </w:t>
      </w:r>
      <w:r w:rsidRPr="005A41FC">
        <w:t>aware user device or non</w:t>
      </w:r>
      <w:r>
        <w:noBreakHyphen/>
      </w:r>
      <w:r w:rsidRPr="005A41FC">
        <w:t xml:space="preserve">aware user device </w:t>
      </w:r>
      <w:r>
        <w:t xml:space="preserve">to </w:t>
      </w:r>
      <w:r w:rsidRPr="00ED5B62">
        <w:t>which this Standard applies that:</w:t>
      </w:r>
    </w:p>
    <w:p w14:paraId="1947DEB4" w14:textId="77777777" w:rsidR="00A30995" w:rsidRPr="00ED5B62" w:rsidRDefault="00A30995" w:rsidP="00A30995">
      <w:pPr>
        <w:pStyle w:val="P1"/>
      </w:pPr>
      <w:r w:rsidRPr="00ED5B62">
        <w:tab/>
        <w:t>(a)</w:t>
      </w:r>
      <w:r w:rsidRPr="00ED5B62">
        <w:tab/>
        <w:t>is designed to be used or held with the radiating part of the aware user device or non</w:t>
      </w:r>
      <w:r>
        <w:noBreakHyphen/>
      </w:r>
      <w:r w:rsidRPr="00ED5B62">
        <w:t xml:space="preserve">aware user device </w:t>
      </w:r>
      <w:proofErr w:type="gramStart"/>
      <w:r w:rsidRPr="00ED5B62">
        <w:t>in close proximity to</w:t>
      </w:r>
      <w:proofErr w:type="gramEnd"/>
      <w:r w:rsidRPr="00ED5B62">
        <w:t xml:space="preserve"> the human ear; and</w:t>
      </w:r>
    </w:p>
    <w:p w14:paraId="1947DEB5" w14:textId="27AE3161" w:rsidR="00D8139E" w:rsidRPr="00AB3AA5" w:rsidRDefault="00A30995" w:rsidP="00EF0D82">
      <w:pPr>
        <w:pStyle w:val="P1"/>
      </w:pPr>
      <w:r w:rsidRPr="00AB3AA5">
        <w:tab/>
        <w:t>(b)</w:t>
      </w:r>
      <w:r w:rsidRPr="00AB3AA5">
        <w:tab/>
        <w:t xml:space="preserve">transmits on a frequency in the frequency band 300MHz to </w:t>
      </w:r>
      <w:r w:rsidR="0099430E" w:rsidRPr="00AB3AA5">
        <w:t>6</w:t>
      </w:r>
      <w:r w:rsidRPr="00AB3AA5">
        <w:t>GHz (inclusive).</w:t>
      </w:r>
    </w:p>
    <w:p w14:paraId="1947DEB6" w14:textId="77777777" w:rsidR="00A30995" w:rsidRPr="00563273" w:rsidRDefault="00A30995" w:rsidP="001A0806">
      <w:pPr>
        <w:pStyle w:val="R2"/>
      </w:pPr>
      <w:r>
        <w:tab/>
      </w:r>
      <w:r w:rsidRPr="00563273">
        <w:t>(2)</w:t>
      </w:r>
      <w:r w:rsidRPr="00563273">
        <w:tab/>
      </w:r>
      <w:r w:rsidR="00600CF9" w:rsidRPr="00563273">
        <w:t>Subject to subsection (2A), t</w:t>
      </w:r>
      <w:r w:rsidRPr="00563273">
        <w:t>he measurement</w:t>
      </w:r>
      <w:r w:rsidR="0024087B" w:rsidRPr="00563273">
        <w:t xml:space="preserve"> methods </w:t>
      </w:r>
      <w:r w:rsidRPr="00563273">
        <w:t>to determine if the aware user device or non-aware user device meets the standard</w:t>
      </w:r>
      <w:r w:rsidR="00161B14" w:rsidRPr="00563273">
        <w:t xml:space="preserve"> for performance in subsection 8 (1) or 8</w:t>
      </w:r>
      <w:r w:rsidRPr="00563273">
        <w:t> (2) are the measurement</w:t>
      </w:r>
      <w:r w:rsidR="0024087B" w:rsidRPr="00563273">
        <w:t xml:space="preserve"> methods </w:t>
      </w:r>
      <w:r w:rsidRPr="00563273">
        <w:t xml:space="preserve">identified </w:t>
      </w:r>
      <w:r w:rsidR="0050407D" w:rsidRPr="00563273">
        <w:t>in EN 62209-1 or IEC 62209-1</w:t>
      </w:r>
      <w:r w:rsidR="001A0806" w:rsidRPr="00563273">
        <w:t>.</w:t>
      </w:r>
    </w:p>
    <w:p w14:paraId="1947DEB7" w14:textId="77777777" w:rsidR="00600CF9" w:rsidRPr="00563273" w:rsidRDefault="00600CF9" w:rsidP="00A65B7A">
      <w:pPr>
        <w:pStyle w:val="R2"/>
      </w:pPr>
      <w:r w:rsidRPr="00563273">
        <w:tab/>
        <w:t>(2A)</w:t>
      </w:r>
      <w:r w:rsidRPr="00563273">
        <w:tab/>
      </w:r>
      <w:r w:rsidR="003316D6" w:rsidRPr="00563273">
        <w:t xml:space="preserve">If </w:t>
      </w:r>
      <w:r w:rsidR="007911C1" w:rsidRPr="00563273">
        <w:t xml:space="preserve">IEC 62209-1 or EN 62209-1 does not include measurement </w:t>
      </w:r>
      <w:r w:rsidR="00A65B7A" w:rsidRPr="00563273">
        <w:t xml:space="preserve">methods for operation of a device </w:t>
      </w:r>
      <w:r w:rsidR="007911C1" w:rsidRPr="00563273">
        <w:t xml:space="preserve">in </w:t>
      </w:r>
      <w:r w:rsidR="00EF0D82" w:rsidRPr="00563273">
        <w:t xml:space="preserve">simultaneous </w:t>
      </w:r>
      <w:r w:rsidR="007911C1" w:rsidRPr="00563273">
        <w:t xml:space="preserve">multi-band transmission mode, </w:t>
      </w:r>
      <w:r w:rsidR="00EF0D82" w:rsidRPr="00563273">
        <w:t xml:space="preserve">a device to which this section applies that is capable of operation in that mode </w:t>
      </w:r>
      <w:r w:rsidR="007911C1" w:rsidRPr="00563273">
        <w:t xml:space="preserve">must be tested </w:t>
      </w:r>
      <w:r w:rsidR="00EF0D82" w:rsidRPr="00563273">
        <w:t xml:space="preserve">to determine if the device meets the applicable standard for performance in section </w:t>
      </w:r>
      <w:r w:rsidR="00161B14" w:rsidRPr="00563273">
        <w:t>8</w:t>
      </w:r>
      <w:r w:rsidR="00EF0D82" w:rsidRPr="00563273">
        <w:t xml:space="preserve"> </w:t>
      </w:r>
      <w:r w:rsidR="007911C1" w:rsidRPr="00563273">
        <w:t xml:space="preserve">using the </w:t>
      </w:r>
      <w:r w:rsidR="00A65B7A" w:rsidRPr="00563273">
        <w:t>measurement methods</w:t>
      </w:r>
      <w:r w:rsidR="007911C1" w:rsidRPr="00563273">
        <w:t xml:space="preserve"> described in </w:t>
      </w:r>
      <w:r w:rsidR="00663D5A" w:rsidRPr="00563273">
        <w:t>IEC</w:t>
      </w:r>
      <w:r w:rsidR="00663D5A">
        <w:t> </w:t>
      </w:r>
      <w:r w:rsidR="007911C1" w:rsidRPr="00563273">
        <w:t>62209-2</w:t>
      </w:r>
      <w:r w:rsidR="00663D5A">
        <w:t xml:space="preserve"> or EN 62209-2</w:t>
      </w:r>
      <w:r w:rsidR="007911C1" w:rsidRPr="00563273">
        <w:t>.</w:t>
      </w:r>
    </w:p>
    <w:p w14:paraId="1947DEB8" w14:textId="6481A1D7" w:rsidR="00A30995" w:rsidRDefault="00A30995" w:rsidP="00434F21">
      <w:pPr>
        <w:pStyle w:val="R2"/>
        <w:ind w:left="993" w:hanging="426"/>
      </w:pPr>
      <w:r w:rsidRPr="00563273">
        <w:tab/>
        <w:t>(3)</w:t>
      </w:r>
      <w:r w:rsidRPr="00563273">
        <w:tab/>
        <w:t>A test report must comply with the requirements in EN 62209-1</w:t>
      </w:r>
      <w:r w:rsidR="009F6100" w:rsidRPr="00563273">
        <w:t>,</w:t>
      </w:r>
      <w:r w:rsidRPr="00563273">
        <w:t xml:space="preserve"> </w:t>
      </w:r>
      <w:r w:rsidR="00663D5A">
        <w:t xml:space="preserve">EN 62209-2, </w:t>
      </w:r>
      <w:r w:rsidRPr="00563273">
        <w:t>IEC 62209-1</w:t>
      </w:r>
      <w:r w:rsidR="00EF0D82" w:rsidRPr="00563273">
        <w:t xml:space="preserve"> or IEC 62209-2</w:t>
      </w:r>
      <w:r w:rsidRPr="00563273">
        <w:t xml:space="preserve"> which contained the measurement</w:t>
      </w:r>
      <w:r w:rsidR="00BE7C82" w:rsidRPr="00563273">
        <w:t xml:space="preserve"> method</w:t>
      </w:r>
      <w:r w:rsidRPr="00563273">
        <w:t xml:space="preserve">s identified </w:t>
      </w:r>
      <w:r w:rsidR="00BE7C82" w:rsidRPr="00563273">
        <w:t xml:space="preserve">as applicable </w:t>
      </w:r>
      <w:r w:rsidRPr="00563273">
        <w:t>in accordance with subsection (2)</w:t>
      </w:r>
      <w:r w:rsidR="0050407D" w:rsidRPr="00563273">
        <w:t xml:space="preserve"> or (2A</w:t>
      </w:r>
      <w:r w:rsidR="00EF0D82" w:rsidRPr="00563273">
        <w:t>)</w:t>
      </w:r>
      <w:r w:rsidRPr="00563273">
        <w:t>.</w:t>
      </w:r>
    </w:p>
    <w:p w14:paraId="407B3B76" w14:textId="026067C3" w:rsidR="00B23CF8" w:rsidRPr="00434F21" w:rsidRDefault="00B23CF8" w:rsidP="00434F21">
      <w:pPr>
        <w:pStyle w:val="HR"/>
        <w:keepLines/>
        <w:rPr>
          <w:rStyle w:val="CharSectno"/>
        </w:rPr>
      </w:pPr>
      <w:r w:rsidRPr="00434F21">
        <w:rPr>
          <w:rStyle w:val="CharSectno"/>
        </w:rPr>
        <w:t>9A</w:t>
      </w:r>
      <w:r w:rsidRPr="00434F21">
        <w:rPr>
          <w:rStyle w:val="CharSectno"/>
        </w:rPr>
        <w:tab/>
        <w:t>Transitional arrangements for measurement methods for performance standards: aware user device or non</w:t>
      </w:r>
      <w:r w:rsidRPr="00434F21">
        <w:rPr>
          <w:rStyle w:val="CharSectno"/>
        </w:rPr>
        <w:noBreakHyphen/>
        <w:t xml:space="preserve">aware user device </w:t>
      </w:r>
      <w:proofErr w:type="gramStart"/>
      <w:r w:rsidRPr="00434F21">
        <w:rPr>
          <w:rStyle w:val="CharSectno"/>
        </w:rPr>
        <w:t>in close proximity to</w:t>
      </w:r>
      <w:proofErr w:type="gramEnd"/>
      <w:r w:rsidRPr="00434F21">
        <w:rPr>
          <w:rStyle w:val="CharSectno"/>
        </w:rPr>
        <w:t xml:space="preserve"> the human ear</w:t>
      </w:r>
      <w:r w:rsidR="003D72D7">
        <w:t xml:space="preserve"> </w:t>
      </w:r>
      <w:r w:rsidR="003D72D7" w:rsidRPr="00642362">
        <w:rPr>
          <w:kern w:val="28"/>
        </w:rPr>
        <w:t xml:space="preserve">– 300MHz to </w:t>
      </w:r>
      <w:r w:rsidR="003D72D7">
        <w:rPr>
          <w:kern w:val="28"/>
        </w:rPr>
        <w:t>3</w:t>
      </w:r>
      <w:r w:rsidR="003D72D7" w:rsidRPr="00642362">
        <w:rPr>
          <w:kern w:val="28"/>
        </w:rPr>
        <w:t>GHz</w:t>
      </w:r>
    </w:p>
    <w:p w14:paraId="52A50651" w14:textId="77777777" w:rsidR="00B23CF8" w:rsidRPr="00434F21" w:rsidRDefault="00B23CF8" w:rsidP="00434F21">
      <w:pPr>
        <w:pStyle w:val="Item"/>
        <w:spacing w:before="120"/>
        <w:ind w:left="993" w:hanging="426"/>
        <w:rPr>
          <w:sz w:val="24"/>
          <w:szCs w:val="24"/>
          <w:lang w:eastAsia="en-US"/>
        </w:rPr>
      </w:pPr>
      <w:r w:rsidRPr="00434F21">
        <w:rPr>
          <w:sz w:val="24"/>
          <w:szCs w:val="24"/>
          <w:lang w:eastAsia="en-US"/>
        </w:rPr>
        <w:t>(1)</w:t>
      </w:r>
      <w:r w:rsidRPr="00434F21">
        <w:rPr>
          <w:sz w:val="24"/>
          <w:szCs w:val="24"/>
          <w:lang w:eastAsia="en-US"/>
        </w:rPr>
        <w:tab/>
        <w:t>This section applies to an aware user device or non</w:t>
      </w:r>
      <w:r w:rsidRPr="00434F21">
        <w:rPr>
          <w:sz w:val="24"/>
          <w:szCs w:val="24"/>
          <w:lang w:eastAsia="en-US"/>
        </w:rPr>
        <w:noBreakHyphen/>
        <w:t>aware user device to which this Standard applies that:</w:t>
      </w:r>
    </w:p>
    <w:p w14:paraId="1FF03336" w14:textId="77777777" w:rsidR="00B23CF8" w:rsidRPr="00434F21" w:rsidRDefault="00B23CF8" w:rsidP="00434F21">
      <w:pPr>
        <w:pStyle w:val="p10"/>
        <w:numPr>
          <w:ilvl w:val="0"/>
          <w:numId w:val="25"/>
        </w:numPr>
        <w:shd w:val="clear" w:color="auto" w:fill="FFFFFF"/>
        <w:spacing w:before="60" w:beforeAutospacing="0" w:after="0" w:afterAutospacing="0" w:line="260" w:lineRule="atLeast"/>
        <w:ind w:left="1418" w:hanging="425"/>
      </w:pPr>
      <w:r w:rsidRPr="00434F21">
        <w:t>is designed to be used or held with the radiating part of the aware user device or non</w:t>
      </w:r>
      <w:r w:rsidRPr="00434F21">
        <w:noBreakHyphen/>
        <w:t xml:space="preserve">aware user device </w:t>
      </w:r>
      <w:proofErr w:type="gramStart"/>
      <w:r w:rsidRPr="00434F21">
        <w:t>in close proximity to</w:t>
      </w:r>
      <w:proofErr w:type="gramEnd"/>
      <w:r w:rsidRPr="00434F21">
        <w:t xml:space="preserve"> the human ear; and</w:t>
      </w:r>
    </w:p>
    <w:p w14:paraId="5CE953AA" w14:textId="02EC361D" w:rsidR="00B23CF8" w:rsidRPr="00434F21" w:rsidRDefault="00B23CF8" w:rsidP="00434F21">
      <w:pPr>
        <w:pStyle w:val="p10"/>
        <w:numPr>
          <w:ilvl w:val="0"/>
          <w:numId w:val="25"/>
        </w:numPr>
        <w:shd w:val="clear" w:color="auto" w:fill="FFFFFF"/>
        <w:spacing w:before="60" w:beforeAutospacing="0" w:after="0" w:afterAutospacing="0" w:line="260" w:lineRule="atLeast"/>
        <w:ind w:left="1418" w:hanging="425"/>
      </w:pPr>
      <w:r w:rsidRPr="00434F21">
        <w:t xml:space="preserve">transmits on a frequency in the frequency band 300MHz to </w:t>
      </w:r>
      <w:r w:rsidR="0099430E">
        <w:t>3</w:t>
      </w:r>
      <w:r w:rsidRPr="00434F21">
        <w:t>GHz (inclusive); and</w:t>
      </w:r>
    </w:p>
    <w:p w14:paraId="7E3B91AC" w14:textId="77777777" w:rsidR="00B23CF8" w:rsidRPr="00434F21" w:rsidRDefault="00B23CF8" w:rsidP="00434F21">
      <w:pPr>
        <w:pStyle w:val="p10"/>
        <w:numPr>
          <w:ilvl w:val="0"/>
          <w:numId w:val="25"/>
        </w:numPr>
        <w:shd w:val="clear" w:color="auto" w:fill="FFFFFF"/>
        <w:spacing w:before="60" w:beforeAutospacing="0" w:after="0" w:afterAutospacing="0" w:line="260" w:lineRule="atLeast"/>
        <w:ind w:left="1418" w:hanging="425"/>
      </w:pPr>
      <w:r w:rsidRPr="00434F21">
        <w:t>does not transmit on a frequency above 3GHz; and</w:t>
      </w:r>
    </w:p>
    <w:p w14:paraId="4E50696C" w14:textId="77777777" w:rsidR="00B23CF8" w:rsidRPr="00434F21" w:rsidRDefault="00B23CF8" w:rsidP="00434F21">
      <w:pPr>
        <w:pStyle w:val="p10"/>
        <w:numPr>
          <w:ilvl w:val="0"/>
          <w:numId w:val="25"/>
        </w:numPr>
        <w:shd w:val="clear" w:color="auto" w:fill="FFFFFF"/>
        <w:spacing w:before="60" w:beforeAutospacing="0" w:after="0" w:afterAutospacing="0" w:line="260" w:lineRule="atLeast"/>
        <w:ind w:left="1418" w:hanging="425"/>
      </w:pPr>
      <w:r w:rsidRPr="00434F21">
        <w:t>was either:</w:t>
      </w:r>
    </w:p>
    <w:p w14:paraId="7DE92A79" w14:textId="77777777" w:rsidR="00B23CF8" w:rsidRPr="008D349D" w:rsidRDefault="00B23CF8" w:rsidP="00434F21">
      <w:pPr>
        <w:pStyle w:val="p10"/>
        <w:numPr>
          <w:ilvl w:val="0"/>
          <w:numId w:val="27"/>
        </w:numPr>
        <w:shd w:val="clear" w:color="auto" w:fill="FFFFFF"/>
        <w:spacing w:before="60" w:beforeAutospacing="0" w:after="0" w:afterAutospacing="0" w:line="260" w:lineRule="atLeast"/>
        <w:ind w:left="1843" w:hanging="425"/>
      </w:pPr>
      <w:r w:rsidRPr="00434F21">
        <w:t xml:space="preserve">manufactured or imported not later than 3 months after the commencement of the </w:t>
      </w:r>
      <w:r w:rsidRPr="00434F21">
        <w:rPr>
          <w:i/>
        </w:rPr>
        <w:t>Radiocommunications (Electromagnetic Radiation — Human Exposure) Amendment Standard 2019 (No. 1)</w:t>
      </w:r>
      <w:r w:rsidRPr="00434F21">
        <w:t>; or</w:t>
      </w:r>
    </w:p>
    <w:p w14:paraId="750F66C7" w14:textId="77777777" w:rsidR="00B23CF8" w:rsidRPr="00434F21" w:rsidRDefault="00B23CF8" w:rsidP="00434F21">
      <w:pPr>
        <w:pStyle w:val="p10"/>
        <w:numPr>
          <w:ilvl w:val="0"/>
          <w:numId w:val="27"/>
        </w:numPr>
        <w:shd w:val="clear" w:color="auto" w:fill="FFFFFF"/>
        <w:spacing w:before="60" w:beforeAutospacing="0" w:after="0" w:afterAutospacing="0" w:line="260" w:lineRule="atLeast"/>
        <w:ind w:left="1843" w:hanging="425"/>
      </w:pPr>
      <w:r w:rsidRPr="00434F21">
        <w:t xml:space="preserve">altered or modified in a material way not later than 3 months after the commencement of the </w:t>
      </w:r>
      <w:r w:rsidRPr="00434F21">
        <w:rPr>
          <w:i/>
        </w:rPr>
        <w:t>Radiocommunications (Electromagnetic Radiation — Human Exposure) Amendment Standard 2019 (No. 1)</w:t>
      </w:r>
      <w:r w:rsidRPr="00434F21">
        <w:t>.</w:t>
      </w:r>
    </w:p>
    <w:p w14:paraId="6AE6E630" w14:textId="77777777" w:rsidR="00B23CF8" w:rsidRPr="00434F21" w:rsidRDefault="00B23CF8" w:rsidP="00434F21">
      <w:pPr>
        <w:pStyle w:val="Item"/>
        <w:spacing w:before="120"/>
        <w:ind w:left="993" w:hanging="426"/>
        <w:rPr>
          <w:sz w:val="24"/>
          <w:szCs w:val="24"/>
        </w:rPr>
      </w:pPr>
      <w:r w:rsidRPr="00434F21">
        <w:rPr>
          <w:sz w:val="24"/>
          <w:szCs w:val="24"/>
        </w:rPr>
        <w:t>(2)</w:t>
      </w:r>
      <w:r w:rsidRPr="00434F21">
        <w:rPr>
          <w:sz w:val="24"/>
          <w:szCs w:val="24"/>
        </w:rPr>
        <w:tab/>
        <w:t>The measurement methods to determine if the aware user device or non-aware user device meets the standard of performance in subsection 8(1) or 8(2) are those described by:</w:t>
      </w:r>
    </w:p>
    <w:p w14:paraId="3719B00E" w14:textId="77777777" w:rsidR="00B23CF8" w:rsidRPr="00434F21" w:rsidRDefault="00B23CF8" w:rsidP="00434F21">
      <w:pPr>
        <w:pStyle w:val="p10"/>
        <w:numPr>
          <w:ilvl w:val="0"/>
          <w:numId w:val="26"/>
        </w:numPr>
        <w:shd w:val="clear" w:color="auto" w:fill="FFFFFF"/>
        <w:spacing w:before="60" w:beforeAutospacing="0" w:after="0" w:afterAutospacing="0" w:line="260" w:lineRule="atLeast"/>
        <w:ind w:left="1418" w:hanging="425"/>
      </w:pPr>
      <w:r w:rsidRPr="00434F21">
        <w:lastRenderedPageBreak/>
        <w:t xml:space="preserve">section 9 of this Standard as in force immediately before the commencement of the </w:t>
      </w:r>
      <w:r w:rsidRPr="00434F21">
        <w:rPr>
          <w:i/>
        </w:rPr>
        <w:t>Radiocommunications (Electromagnetic Radiation — Human Exposure) Amendment Standard 2019 (No. 1)</w:t>
      </w:r>
      <w:r w:rsidRPr="00434F21">
        <w:t>; or</w:t>
      </w:r>
    </w:p>
    <w:p w14:paraId="5C2A9DDB" w14:textId="393999D8" w:rsidR="00E133E0" w:rsidRDefault="00B23CF8" w:rsidP="00434F21">
      <w:pPr>
        <w:pStyle w:val="p10"/>
        <w:numPr>
          <w:ilvl w:val="0"/>
          <w:numId w:val="26"/>
        </w:numPr>
        <w:shd w:val="clear" w:color="auto" w:fill="FFFFFF"/>
        <w:spacing w:before="60" w:beforeAutospacing="0" w:after="0" w:afterAutospacing="0" w:line="260" w:lineRule="atLeast"/>
        <w:ind w:left="1418" w:hanging="425"/>
      </w:pPr>
      <w:r w:rsidRPr="00434F21">
        <w:t>section 9 of this Standard as in force from time to time.</w:t>
      </w:r>
    </w:p>
    <w:p w14:paraId="5FD914BB" w14:textId="77777777" w:rsidR="00B1527F" w:rsidRPr="0002547F" w:rsidRDefault="00B1527F" w:rsidP="0002547F">
      <w:pPr>
        <w:pStyle w:val="ItemHead"/>
        <w:spacing w:before="120"/>
        <w:ind w:left="993" w:hanging="993"/>
        <w:rPr>
          <w:rFonts w:cs="Arial"/>
          <w:i/>
          <w:szCs w:val="24"/>
        </w:rPr>
      </w:pPr>
      <w:r w:rsidRPr="0002547F">
        <w:rPr>
          <w:rStyle w:val="CharSectno"/>
          <w:kern w:val="0"/>
          <w:szCs w:val="24"/>
          <w:lang w:eastAsia="en-US"/>
        </w:rPr>
        <w:t>9B</w:t>
      </w:r>
      <w:r w:rsidRPr="0002547F">
        <w:rPr>
          <w:rStyle w:val="CharSectno"/>
          <w:kern w:val="0"/>
          <w:szCs w:val="24"/>
          <w:lang w:eastAsia="en-US"/>
        </w:rPr>
        <w:tab/>
        <w:t>Measurement methods for performance standards: aware user device or non</w:t>
      </w:r>
      <w:r w:rsidRPr="0002547F">
        <w:rPr>
          <w:rStyle w:val="CharSectno"/>
          <w:kern w:val="0"/>
          <w:szCs w:val="24"/>
          <w:lang w:eastAsia="en-US"/>
        </w:rPr>
        <w:noBreakHyphen/>
        <w:t xml:space="preserve">aware user device </w:t>
      </w:r>
      <w:proofErr w:type="gramStart"/>
      <w:r w:rsidRPr="0002547F">
        <w:rPr>
          <w:rStyle w:val="CharSectno"/>
          <w:kern w:val="0"/>
          <w:szCs w:val="24"/>
          <w:lang w:eastAsia="en-US"/>
        </w:rPr>
        <w:t>in close proximity to</w:t>
      </w:r>
      <w:proofErr w:type="gramEnd"/>
      <w:r w:rsidRPr="0002547F">
        <w:rPr>
          <w:rStyle w:val="CharSectno"/>
          <w:kern w:val="0"/>
          <w:szCs w:val="24"/>
          <w:lang w:eastAsia="en-US"/>
        </w:rPr>
        <w:t xml:space="preserve"> the human ear – 6GHz to</w:t>
      </w:r>
      <w:r w:rsidRPr="0002547F">
        <w:rPr>
          <w:rFonts w:cs="Arial"/>
          <w:szCs w:val="24"/>
        </w:rPr>
        <w:t xml:space="preserve"> 100GHz</w:t>
      </w:r>
    </w:p>
    <w:p w14:paraId="25FD3B74" w14:textId="77777777" w:rsidR="00B1527F" w:rsidRPr="0002547F" w:rsidRDefault="00B1527F" w:rsidP="0002547F">
      <w:pPr>
        <w:pStyle w:val="Item"/>
        <w:numPr>
          <w:ilvl w:val="0"/>
          <w:numId w:val="29"/>
        </w:numPr>
        <w:spacing w:before="120"/>
        <w:ind w:left="993" w:hanging="426"/>
        <w:rPr>
          <w:sz w:val="24"/>
          <w:szCs w:val="22"/>
        </w:rPr>
      </w:pPr>
      <w:r w:rsidRPr="0002547F">
        <w:rPr>
          <w:kern w:val="28"/>
          <w:sz w:val="24"/>
          <w:szCs w:val="24"/>
        </w:rPr>
        <w:t xml:space="preserve">Subject to section 9C, this section applies to an </w:t>
      </w:r>
      <w:r w:rsidRPr="0002547F">
        <w:rPr>
          <w:sz w:val="24"/>
          <w:szCs w:val="22"/>
        </w:rPr>
        <w:t>aware user device or non</w:t>
      </w:r>
      <w:r w:rsidRPr="0002547F">
        <w:rPr>
          <w:sz w:val="24"/>
          <w:szCs w:val="22"/>
        </w:rPr>
        <w:noBreakHyphen/>
        <w:t xml:space="preserve">aware user device </w:t>
      </w:r>
      <w:r w:rsidRPr="0002547F">
        <w:rPr>
          <w:kern w:val="28"/>
          <w:sz w:val="24"/>
          <w:szCs w:val="24"/>
        </w:rPr>
        <w:t>to which this Standard applies that:</w:t>
      </w:r>
    </w:p>
    <w:p w14:paraId="7EDE8BBB" w14:textId="77777777" w:rsidR="00B1527F" w:rsidRPr="0002547F" w:rsidRDefault="00B1527F" w:rsidP="0002547F">
      <w:pPr>
        <w:pStyle w:val="Item"/>
        <w:numPr>
          <w:ilvl w:val="0"/>
          <w:numId w:val="32"/>
        </w:numPr>
        <w:ind w:left="1418" w:hanging="425"/>
        <w:rPr>
          <w:sz w:val="24"/>
          <w:szCs w:val="22"/>
        </w:rPr>
      </w:pPr>
      <w:r w:rsidRPr="0002547F">
        <w:rPr>
          <w:kern w:val="28"/>
          <w:sz w:val="24"/>
          <w:szCs w:val="24"/>
        </w:rPr>
        <w:t>is designed to be used or held with the radiating part of the aware user device or non</w:t>
      </w:r>
      <w:r w:rsidRPr="0002547F">
        <w:rPr>
          <w:kern w:val="28"/>
          <w:sz w:val="24"/>
          <w:szCs w:val="24"/>
        </w:rPr>
        <w:noBreakHyphen/>
        <w:t xml:space="preserve">aware user device </w:t>
      </w:r>
      <w:proofErr w:type="gramStart"/>
      <w:r w:rsidRPr="0002547F">
        <w:rPr>
          <w:kern w:val="28"/>
          <w:sz w:val="24"/>
          <w:szCs w:val="24"/>
        </w:rPr>
        <w:t>in close proximity to</w:t>
      </w:r>
      <w:proofErr w:type="gramEnd"/>
      <w:r w:rsidRPr="0002547F">
        <w:rPr>
          <w:kern w:val="28"/>
          <w:sz w:val="24"/>
          <w:szCs w:val="24"/>
        </w:rPr>
        <w:t xml:space="preserve"> the human ear; and </w:t>
      </w:r>
    </w:p>
    <w:p w14:paraId="3AA386C9" w14:textId="77777777" w:rsidR="00B1527F" w:rsidRPr="0002547F" w:rsidRDefault="00B1527F" w:rsidP="0002547F">
      <w:pPr>
        <w:pStyle w:val="Item"/>
        <w:numPr>
          <w:ilvl w:val="0"/>
          <w:numId w:val="32"/>
        </w:numPr>
        <w:ind w:left="1418" w:hanging="425"/>
        <w:rPr>
          <w:kern w:val="28"/>
          <w:sz w:val="24"/>
          <w:szCs w:val="24"/>
        </w:rPr>
      </w:pPr>
      <w:r w:rsidRPr="0002547F">
        <w:rPr>
          <w:kern w:val="28"/>
          <w:sz w:val="24"/>
          <w:szCs w:val="24"/>
        </w:rPr>
        <w:t xml:space="preserve">transmits on a frequency </w:t>
      </w:r>
      <w:bookmarkStart w:id="17" w:name="_Hlk29394209"/>
      <w:r w:rsidRPr="0002547F">
        <w:rPr>
          <w:kern w:val="28"/>
          <w:sz w:val="24"/>
          <w:szCs w:val="24"/>
        </w:rPr>
        <w:t>above 6GHz but less than or equal to 100GHz</w:t>
      </w:r>
      <w:bookmarkEnd w:id="17"/>
      <w:r w:rsidRPr="0002547F">
        <w:rPr>
          <w:kern w:val="28"/>
          <w:sz w:val="24"/>
          <w:szCs w:val="24"/>
        </w:rPr>
        <w:t>.</w:t>
      </w:r>
    </w:p>
    <w:p w14:paraId="2E769E9E" w14:textId="77777777" w:rsidR="00B1527F" w:rsidRPr="0002547F" w:rsidRDefault="00B1527F" w:rsidP="0002547F">
      <w:pPr>
        <w:pStyle w:val="ItemHead"/>
        <w:numPr>
          <w:ilvl w:val="0"/>
          <w:numId w:val="29"/>
        </w:numPr>
        <w:spacing w:before="120"/>
        <w:ind w:left="993" w:hanging="426"/>
        <w:rPr>
          <w:rFonts w:ascii="Times New Roman" w:hAnsi="Times New Roman"/>
          <w:b w:val="0"/>
          <w:kern w:val="0"/>
          <w:szCs w:val="24"/>
        </w:rPr>
      </w:pPr>
      <w:r w:rsidRPr="0002547F">
        <w:rPr>
          <w:rFonts w:ascii="Times New Roman" w:hAnsi="Times New Roman"/>
          <w:b w:val="0"/>
          <w:szCs w:val="24"/>
        </w:rPr>
        <w:t xml:space="preserve">The </w:t>
      </w:r>
      <w:r w:rsidRPr="0002547F">
        <w:rPr>
          <w:rFonts w:ascii="Times New Roman" w:hAnsi="Times New Roman"/>
          <w:b w:val="0"/>
          <w:kern w:val="0"/>
          <w:szCs w:val="24"/>
        </w:rPr>
        <w:t xml:space="preserve">measurement methods to determine if the aware user device or non-aware user device meets the standard for performance in subsection 8(1) or 8(2) are the measurement methods identified in </w:t>
      </w:r>
      <w:bookmarkStart w:id="18" w:name="_Hlk29378547"/>
      <w:r w:rsidRPr="0002547F">
        <w:rPr>
          <w:rFonts w:ascii="Times New Roman" w:hAnsi="Times New Roman"/>
          <w:b w:val="0"/>
          <w:kern w:val="0"/>
          <w:szCs w:val="24"/>
        </w:rPr>
        <w:t>IEC TR 63170</w:t>
      </w:r>
      <w:bookmarkEnd w:id="18"/>
      <w:r w:rsidRPr="0002547F">
        <w:rPr>
          <w:rFonts w:ascii="Times New Roman" w:hAnsi="Times New Roman"/>
          <w:b w:val="0"/>
          <w:kern w:val="0"/>
          <w:szCs w:val="24"/>
        </w:rPr>
        <w:t>.</w:t>
      </w:r>
    </w:p>
    <w:p w14:paraId="17AFE5D3" w14:textId="77777777" w:rsidR="00B1527F" w:rsidRPr="0002547F" w:rsidRDefault="00B1527F" w:rsidP="0002547F">
      <w:pPr>
        <w:pStyle w:val="Item"/>
        <w:numPr>
          <w:ilvl w:val="0"/>
          <w:numId w:val="29"/>
        </w:numPr>
        <w:ind w:left="993" w:hanging="426"/>
        <w:rPr>
          <w:sz w:val="24"/>
          <w:szCs w:val="22"/>
        </w:rPr>
      </w:pPr>
      <w:r w:rsidRPr="0002547F">
        <w:rPr>
          <w:sz w:val="24"/>
          <w:szCs w:val="22"/>
        </w:rPr>
        <w:t xml:space="preserve">A test report must comply with the requirements in </w:t>
      </w:r>
      <w:r w:rsidRPr="0002547F">
        <w:rPr>
          <w:sz w:val="24"/>
          <w:szCs w:val="24"/>
        </w:rPr>
        <w:t>IEC TR 63170</w:t>
      </w:r>
      <w:r w:rsidRPr="0002547F">
        <w:rPr>
          <w:b/>
          <w:sz w:val="24"/>
          <w:szCs w:val="24"/>
        </w:rPr>
        <w:t xml:space="preserve"> </w:t>
      </w:r>
      <w:r w:rsidRPr="0002547F">
        <w:rPr>
          <w:sz w:val="24"/>
          <w:szCs w:val="22"/>
        </w:rPr>
        <w:t>which contained the measurement methods identified in accordance with subsection (2).</w:t>
      </w:r>
    </w:p>
    <w:p w14:paraId="52107BA2" w14:textId="77777777" w:rsidR="00B1527F" w:rsidRPr="00403A2F" w:rsidRDefault="00B1527F" w:rsidP="0002547F">
      <w:pPr>
        <w:pStyle w:val="notetext"/>
        <w:tabs>
          <w:tab w:val="left" w:pos="1701"/>
        </w:tabs>
        <w:ind w:left="993" w:firstLine="0"/>
      </w:pPr>
      <w:r w:rsidRPr="009C4357">
        <w:t>Note</w:t>
      </w:r>
      <w:r w:rsidRPr="009C4357">
        <w:tab/>
      </w:r>
      <w:r w:rsidRPr="00F82592">
        <w:t>In circumstances where a device transmits on frequencies between 300MHz to 6GHz (inclusive) and above 6GHz but less than or equal to 100GHz</w:t>
      </w:r>
      <w:r>
        <w:t>,</w:t>
      </w:r>
      <w:r w:rsidRPr="00F82592">
        <w:t xml:space="preserve"> both sections 9</w:t>
      </w:r>
      <w:r>
        <w:t xml:space="preserve"> (subject to section 9A)</w:t>
      </w:r>
      <w:r w:rsidRPr="00F82592">
        <w:t xml:space="preserve"> and 9B may apply. </w:t>
      </w:r>
    </w:p>
    <w:p w14:paraId="5D63E797" w14:textId="77777777" w:rsidR="00B1527F" w:rsidRPr="0002547F" w:rsidRDefault="00B1527F" w:rsidP="0002547F">
      <w:pPr>
        <w:pStyle w:val="ItemHead"/>
        <w:spacing w:before="120"/>
        <w:ind w:left="993" w:hanging="993"/>
        <w:rPr>
          <w:rStyle w:val="CharSectno"/>
          <w:kern w:val="0"/>
          <w:szCs w:val="24"/>
          <w:lang w:eastAsia="en-US"/>
        </w:rPr>
      </w:pPr>
      <w:r w:rsidRPr="0002547F">
        <w:rPr>
          <w:rStyle w:val="CharSectno"/>
          <w:kern w:val="0"/>
          <w:szCs w:val="24"/>
          <w:lang w:eastAsia="en-US"/>
        </w:rPr>
        <w:t>9C</w:t>
      </w:r>
      <w:r w:rsidRPr="0002547F">
        <w:rPr>
          <w:rStyle w:val="CharSectno"/>
          <w:kern w:val="0"/>
          <w:szCs w:val="24"/>
          <w:lang w:eastAsia="en-US"/>
        </w:rPr>
        <w:tab/>
        <w:t>Transitional arrangements for measurement methods for performance standards: aware user device or non</w:t>
      </w:r>
      <w:r w:rsidRPr="0002547F">
        <w:rPr>
          <w:rStyle w:val="CharSectno"/>
          <w:kern w:val="0"/>
          <w:szCs w:val="24"/>
          <w:lang w:eastAsia="en-US"/>
        </w:rPr>
        <w:noBreakHyphen/>
        <w:t xml:space="preserve">aware user device </w:t>
      </w:r>
      <w:proofErr w:type="gramStart"/>
      <w:r w:rsidRPr="0002547F">
        <w:rPr>
          <w:rStyle w:val="CharSectno"/>
          <w:kern w:val="0"/>
          <w:szCs w:val="24"/>
          <w:lang w:eastAsia="en-US"/>
        </w:rPr>
        <w:t>in close proximity to</w:t>
      </w:r>
      <w:proofErr w:type="gramEnd"/>
      <w:r w:rsidRPr="0002547F">
        <w:rPr>
          <w:rStyle w:val="CharSectno"/>
          <w:kern w:val="0"/>
          <w:szCs w:val="24"/>
          <w:lang w:eastAsia="en-US"/>
        </w:rPr>
        <w:t xml:space="preserve"> the human ear – 6GHz to 100GHz</w:t>
      </w:r>
    </w:p>
    <w:p w14:paraId="5CB881B7" w14:textId="77777777" w:rsidR="00B1527F" w:rsidRPr="0002547F" w:rsidRDefault="00B1527F" w:rsidP="0002547F">
      <w:pPr>
        <w:pStyle w:val="Item"/>
        <w:numPr>
          <w:ilvl w:val="0"/>
          <w:numId w:val="30"/>
        </w:numPr>
        <w:spacing w:before="120"/>
        <w:ind w:left="993" w:hanging="426"/>
        <w:rPr>
          <w:sz w:val="24"/>
          <w:szCs w:val="22"/>
        </w:rPr>
      </w:pPr>
      <w:r w:rsidRPr="0002547F">
        <w:rPr>
          <w:kern w:val="28"/>
          <w:sz w:val="24"/>
          <w:szCs w:val="24"/>
        </w:rPr>
        <w:t xml:space="preserve">This section applies to an </w:t>
      </w:r>
      <w:r w:rsidRPr="0002547F">
        <w:rPr>
          <w:sz w:val="24"/>
          <w:szCs w:val="22"/>
        </w:rPr>
        <w:t>aware user device or non</w:t>
      </w:r>
      <w:r w:rsidRPr="0002547F">
        <w:rPr>
          <w:sz w:val="24"/>
          <w:szCs w:val="22"/>
        </w:rPr>
        <w:noBreakHyphen/>
        <w:t xml:space="preserve">aware user device </w:t>
      </w:r>
      <w:r w:rsidRPr="0002547F">
        <w:rPr>
          <w:kern w:val="28"/>
          <w:sz w:val="24"/>
          <w:szCs w:val="24"/>
        </w:rPr>
        <w:t>to which this Standard applies that:</w:t>
      </w:r>
    </w:p>
    <w:p w14:paraId="2D553EF8" w14:textId="77777777" w:rsidR="00B1527F" w:rsidRPr="0002547F" w:rsidRDefault="00B1527F" w:rsidP="0002547F">
      <w:pPr>
        <w:pStyle w:val="Item"/>
        <w:numPr>
          <w:ilvl w:val="0"/>
          <w:numId w:val="31"/>
        </w:numPr>
        <w:ind w:left="1418" w:hanging="426"/>
        <w:rPr>
          <w:sz w:val="24"/>
          <w:szCs w:val="22"/>
        </w:rPr>
      </w:pPr>
      <w:r w:rsidRPr="0002547F">
        <w:rPr>
          <w:kern w:val="28"/>
          <w:sz w:val="24"/>
          <w:szCs w:val="24"/>
        </w:rPr>
        <w:t>is designed to be used or held with the radiating part of the aware user device or non</w:t>
      </w:r>
      <w:r w:rsidRPr="0002547F">
        <w:rPr>
          <w:kern w:val="28"/>
          <w:sz w:val="24"/>
          <w:szCs w:val="24"/>
        </w:rPr>
        <w:noBreakHyphen/>
        <w:t xml:space="preserve">aware user device </w:t>
      </w:r>
      <w:proofErr w:type="gramStart"/>
      <w:r w:rsidRPr="0002547F">
        <w:rPr>
          <w:kern w:val="28"/>
          <w:sz w:val="24"/>
          <w:szCs w:val="24"/>
        </w:rPr>
        <w:t>in close proximity to</w:t>
      </w:r>
      <w:proofErr w:type="gramEnd"/>
      <w:r w:rsidRPr="0002547F">
        <w:rPr>
          <w:kern w:val="28"/>
          <w:sz w:val="24"/>
          <w:szCs w:val="24"/>
        </w:rPr>
        <w:t xml:space="preserve"> the human ear; and </w:t>
      </w:r>
    </w:p>
    <w:p w14:paraId="3A5D82BE" w14:textId="77777777" w:rsidR="00B1527F" w:rsidRPr="0002547F" w:rsidRDefault="00B1527F" w:rsidP="0002547F">
      <w:pPr>
        <w:pStyle w:val="Item"/>
        <w:numPr>
          <w:ilvl w:val="0"/>
          <w:numId w:val="31"/>
        </w:numPr>
        <w:ind w:left="1418" w:hanging="426"/>
        <w:rPr>
          <w:kern w:val="28"/>
          <w:sz w:val="24"/>
          <w:szCs w:val="24"/>
        </w:rPr>
      </w:pPr>
      <w:r w:rsidRPr="0002547F">
        <w:rPr>
          <w:kern w:val="28"/>
          <w:sz w:val="24"/>
          <w:szCs w:val="24"/>
        </w:rPr>
        <w:t>transmits on a frequency above 6GHz but less than or equal to 100GHz; and</w:t>
      </w:r>
    </w:p>
    <w:p w14:paraId="306D73EA" w14:textId="77777777" w:rsidR="00B1527F" w:rsidRPr="0002547F" w:rsidRDefault="00B1527F" w:rsidP="0002547F">
      <w:pPr>
        <w:pStyle w:val="Item"/>
        <w:numPr>
          <w:ilvl w:val="0"/>
          <w:numId w:val="31"/>
        </w:numPr>
        <w:ind w:left="1418" w:hanging="426"/>
        <w:rPr>
          <w:sz w:val="24"/>
          <w:szCs w:val="22"/>
        </w:rPr>
      </w:pPr>
      <w:r w:rsidRPr="0002547F">
        <w:rPr>
          <w:sz w:val="24"/>
          <w:szCs w:val="22"/>
        </w:rPr>
        <w:t>was either:</w:t>
      </w:r>
    </w:p>
    <w:p w14:paraId="72049705" w14:textId="77777777" w:rsidR="00B1527F" w:rsidRPr="0002547F" w:rsidRDefault="00B1527F" w:rsidP="0002547F">
      <w:pPr>
        <w:pStyle w:val="Item"/>
        <w:tabs>
          <w:tab w:val="left" w:pos="2694"/>
        </w:tabs>
        <w:ind w:left="1843" w:hanging="425"/>
        <w:rPr>
          <w:sz w:val="24"/>
          <w:szCs w:val="22"/>
        </w:rPr>
      </w:pPr>
      <w:r w:rsidRPr="0002547F">
        <w:rPr>
          <w:sz w:val="24"/>
          <w:szCs w:val="22"/>
        </w:rPr>
        <w:t>(</w:t>
      </w:r>
      <w:proofErr w:type="spellStart"/>
      <w:r w:rsidRPr="0002547F">
        <w:rPr>
          <w:sz w:val="24"/>
          <w:szCs w:val="22"/>
        </w:rPr>
        <w:t>i</w:t>
      </w:r>
      <w:proofErr w:type="spellEnd"/>
      <w:r w:rsidRPr="0002547F">
        <w:rPr>
          <w:sz w:val="24"/>
          <w:szCs w:val="22"/>
        </w:rPr>
        <w:t>)</w:t>
      </w:r>
      <w:r w:rsidRPr="0002547F">
        <w:rPr>
          <w:sz w:val="24"/>
          <w:szCs w:val="22"/>
        </w:rPr>
        <w:tab/>
        <w:t xml:space="preserve">manufactured or imported not later than 3 months after the commencement of the </w:t>
      </w:r>
      <w:r w:rsidRPr="0002547F">
        <w:rPr>
          <w:i/>
          <w:iCs/>
          <w:sz w:val="24"/>
          <w:szCs w:val="22"/>
        </w:rPr>
        <w:t>Radiocommunications (Electromagnetic Radiation – Human Exposure) Amendment Standard 2020 (No. 1)</w:t>
      </w:r>
      <w:r w:rsidRPr="0002547F">
        <w:rPr>
          <w:sz w:val="24"/>
          <w:szCs w:val="22"/>
        </w:rPr>
        <w:t>; or</w:t>
      </w:r>
    </w:p>
    <w:p w14:paraId="352291CE" w14:textId="77777777" w:rsidR="00B1527F" w:rsidRPr="0002547F" w:rsidRDefault="00B1527F" w:rsidP="0002547F">
      <w:pPr>
        <w:pStyle w:val="Item"/>
        <w:tabs>
          <w:tab w:val="left" w:pos="2694"/>
        </w:tabs>
        <w:ind w:left="1843" w:hanging="425"/>
        <w:rPr>
          <w:sz w:val="24"/>
          <w:szCs w:val="22"/>
        </w:rPr>
      </w:pPr>
      <w:r w:rsidRPr="0002547F">
        <w:rPr>
          <w:sz w:val="24"/>
          <w:szCs w:val="22"/>
        </w:rPr>
        <w:t>(ii)</w:t>
      </w:r>
      <w:r w:rsidRPr="0002547F">
        <w:rPr>
          <w:sz w:val="24"/>
          <w:szCs w:val="22"/>
        </w:rPr>
        <w:tab/>
        <w:t xml:space="preserve">altered or modified in a material way not later than 3 months after the commencement of the </w:t>
      </w:r>
      <w:r w:rsidRPr="0002547F">
        <w:rPr>
          <w:i/>
          <w:iCs/>
          <w:sz w:val="24"/>
          <w:szCs w:val="22"/>
        </w:rPr>
        <w:t>Radiocommunications (Electromagnetic Radiation – Human Exposure) Amendment Standard 2020 (No. 1)</w:t>
      </w:r>
      <w:r w:rsidRPr="0002547F">
        <w:rPr>
          <w:sz w:val="24"/>
          <w:szCs w:val="22"/>
        </w:rPr>
        <w:t>.</w:t>
      </w:r>
    </w:p>
    <w:p w14:paraId="71CFB7CD" w14:textId="0C8D0C02" w:rsidR="00B1527F" w:rsidRPr="00B16BCE" w:rsidRDefault="00B1527F" w:rsidP="0002547F">
      <w:pPr>
        <w:pStyle w:val="ItemHead"/>
        <w:numPr>
          <w:ilvl w:val="0"/>
          <w:numId w:val="30"/>
        </w:numPr>
        <w:spacing w:before="120"/>
        <w:ind w:left="993" w:hanging="426"/>
      </w:pPr>
      <w:r w:rsidRPr="0002547F">
        <w:rPr>
          <w:rFonts w:ascii="Times New Roman" w:hAnsi="Times New Roman"/>
          <w:b w:val="0"/>
          <w:szCs w:val="24"/>
        </w:rPr>
        <w:t>This Standard does not set a measurement method to determine if an aware user device or non-aware user device to which this section applies meets the standard for performance in subsection 8(1) or 8(2)</w:t>
      </w:r>
      <w:r w:rsidRPr="0002547F">
        <w:rPr>
          <w:rFonts w:ascii="Times New Roman" w:hAnsi="Times New Roman"/>
          <w:b w:val="0"/>
          <w:kern w:val="0"/>
          <w:szCs w:val="24"/>
        </w:rPr>
        <w:t>.</w:t>
      </w:r>
    </w:p>
    <w:p w14:paraId="1947DEB9" w14:textId="6D804798" w:rsidR="00A30995" w:rsidRPr="007B4611" w:rsidRDefault="00A65B7A" w:rsidP="0002547F">
      <w:pPr>
        <w:pStyle w:val="HR"/>
        <w:spacing w:before="240"/>
      </w:pPr>
      <w:bookmarkStart w:id="19" w:name="_Toc288485859"/>
      <w:r>
        <w:rPr>
          <w:rStyle w:val="CharSectno"/>
        </w:rPr>
        <w:t>10</w:t>
      </w:r>
      <w:r w:rsidR="00A30995">
        <w:tab/>
        <w:t xml:space="preserve">Measurement methods for performance standards: </w:t>
      </w:r>
      <w:r w:rsidR="00A30995" w:rsidRPr="003B6BDA">
        <w:t xml:space="preserve">aware user </w:t>
      </w:r>
      <w:r w:rsidR="00A30995" w:rsidRPr="0002547F">
        <w:rPr>
          <w:rStyle w:val="CharSectno"/>
        </w:rPr>
        <w:t>device</w:t>
      </w:r>
      <w:r w:rsidR="00A30995" w:rsidRPr="003B6BDA">
        <w:t xml:space="preserve"> or non–aware user device</w:t>
      </w:r>
      <w:r w:rsidR="00A30995">
        <w:rPr>
          <w:i/>
          <w:iCs/>
        </w:rPr>
        <w:t xml:space="preserve"> </w:t>
      </w:r>
      <w:r w:rsidR="00A30995">
        <w:t>20cm or less from the human body</w:t>
      </w:r>
      <w:bookmarkEnd w:id="19"/>
      <w:r w:rsidR="00494A60">
        <w:t xml:space="preserve"> </w:t>
      </w:r>
      <w:r w:rsidR="00494A60" w:rsidRPr="009C4357">
        <w:rPr>
          <w:rFonts w:cs="Arial"/>
          <w:bCs/>
        </w:rPr>
        <w:t>– 30MHz to 6GHz</w:t>
      </w:r>
    </w:p>
    <w:p w14:paraId="1947DEBA" w14:textId="77777777" w:rsidR="00A30995" w:rsidRDefault="00A30995" w:rsidP="00A30995">
      <w:pPr>
        <w:pStyle w:val="R1"/>
      </w:pPr>
      <w:r>
        <w:tab/>
        <w:t>(1)</w:t>
      </w:r>
      <w:r>
        <w:tab/>
        <w:t xml:space="preserve">This section applies to an </w:t>
      </w:r>
      <w:r w:rsidRPr="003B6BDA">
        <w:t>aware user</w:t>
      </w:r>
      <w:r w:rsidRPr="006E5B8C">
        <w:t xml:space="preserve"> device </w:t>
      </w:r>
      <w:r w:rsidRPr="003B6BDA">
        <w:t xml:space="preserve">or </w:t>
      </w:r>
      <w:r>
        <w:t xml:space="preserve">a </w:t>
      </w:r>
      <w:r w:rsidRPr="003B6BDA">
        <w:t xml:space="preserve">non–aware user </w:t>
      </w:r>
      <w:r w:rsidRPr="006E5B8C">
        <w:t>device t</w:t>
      </w:r>
      <w:r>
        <w:t>o which this Standard applies that</w:t>
      </w:r>
      <w:r w:rsidRPr="003B6BDA">
        <w:t>:</w:t>
      </w:r>
    </w:p>
    <w:p w14:paraId="1947DEBB" w14:textId="77777777" w:rsidR="00A30995" w:rsidRPr="00ED5B62" w:rsidRDefault="00A30995" w:rsidP="00A30995">
      <w:pPr>
        <w:pStyle w:val="P1"/>
      </w:pPr>
      <w:r w:rsidRPr="00B573C8">
        <w:lastRenderedPageBreak/>
        <w:tab/>
        <w:t>(a)</w:t>
      </w:r>
      <w:r w:rsidRPr="00B573C8">
        <w:tab/>
        <w:t>is designed to be used or held with the radiating part of the aware user device or non</w:t>
      </w:r>
      <w:r>
        <w:noBreakHyphen/>
      </w:r>
      <w:r w:rsidRPr="00B573C8">
        <w:t>aware user device</w:t>
      </w:r>
      <w:r>
        <w:t xml:space="preserve"> in close proximity to the human body but</w:t>
      </w:r>
      <w:r w:rsidRPr="00ED5B62">
        <w:t xml:space="preserve"> </w:t>
      </w:r>
      <w:r>
        <w:t>not more than 20cm from the human body</w:t>
      </w:r>
      <w:r w:rsidRPr="00ED5B62">
        <w:t>; and</w:t>
      </w:r>
    </w:p>
    <w:p w14:paraId="1947DEBC" w14:textId="60A91973" w:rsidR="00A30995" w:rsidRDefault="00A30995" w:rsidP="00A30995">
      <w:pPr>
        <w:pStyle w:val="P1"/>
      </w:pPr>
      <w:r>
        <w:tab/>
        <w:t>(b)</w:t>
      </w:r>
      <w:r>
        <w:tab/>
        <w:t xml:space="preserve">transmits on a frequency in the frequency band </w:t>
      </w:r>
      <w:r w:rsidR="00A47E25">
        <w:t>30MHz to 6GHz</w:t>
      </w:r>
      <w:r>
        <w:t xml:space="preserve"> (inclusive); and</w:t>
      </w:r>
    </w:p>
    <w:p w14:paraId="1947DEBD" w14:textId="77777777" w:rsidR="00A30995" w:rsidRDefault="00A30995" w:rsidP="00A30995">
      <w:pPr>
        <w:pStyle w:val="P1"/>
      </w:pPr>
      <w:r>
        <w:tab/>
        <w:t>(c)</w:t>
      </w:r>
      <w:r>
        <w:tab/>
        <w:t>i</w:t>
      </w:r>
      <w:r w:rsidR="00161B14">
        <w:t xml:space="preserve">s not mentioned in subsection </w:t>
      </w:r>
      <w:r w:rsidR="00A65B7A">
        <w:t>9</w:t>
      </w:r>
      <w:r>
        <w:t> (1).</w:t>
      </w:r>
    </w:p>
    <w:p w14:paraId="1947DEBE" w14:textId="77777777" w:rsidR="00A30995" w:rsidRDefault="00A30995" w:rsidP="00A30995">
      <w:pPr>
        <w:pStyle w:val="R2"/>
      </w:pPr>
      <w:r>
        <w:tab/>
      </w:r>
      <w:r w:rsidRPr="001636B1">
        <w:t>(2)</w:t>
      </w:r>
      <w:r w:rsidRPr="001636B1">
        <w:tab/>
        <w:t>The measurement</w:t>
      </w:r>
      <w:r w:rsidR="00EA388F" w:rsidRPr="001636B1">
        <w:t xml:space="preserve"> methods </w:t>
      </w:r>
      <w:r w:rsidRPr="001636B1">
        <w:t>to determine if the aware user device or non-aware user device meets the standard</w:t>
      </w:r>
      <w:r w:rsidR="00161B14" w:rsidRPr="001636B1">
        <w:t xml:space="preserve"> for performance in subsection 8</w:t>
      </w:r>
      <w:r w:rsidR="00A65B7A" w:rsidRPr="001636B1">
        <w:t> (1) or 8</w:t>
      </w:r>
      <w:r w:rsidRPr="001636B1">
        <w:t> (2) are the measurement</w:t>
      </w:r>
      <w:r w:rsidR="00EA388F" w:rsidRPr="001636B1">
        <w:t xml:space="preserve"> method</w:t>
      </w:r>
      <w:r w:rsidR="009F6100" w:rsidRPr="001636B1">
        <w:t>s</w:t>
      </w:r>
      <w:r w:rsidR="00EA388F" w:rsidRPr="001636B1">
        <w:t xml:space="preserve"> identified in</w:t>
      </w:r>
      <w:r w:rsidR="008C4733" w:rsidRPr="001636B1">
        <w:t xml:space="preserve"> </w:t>
      </w:r>
      <w:r w:rsidR="00EA388F" w:rsidRPr="001636B1">
        <w:t>EN 62209-2 or IEC 62209-2</w:t>
      </w:r>
      <w:r w:rsidR="008C4733" w:rsidRPr="001636B1">
        <w:t>.</w:t>
      </w:r>
    </w:p>
    <w:p w14:paraId="1947DEBF" w14:textId="2982E5A3" w:rsidR="00A30995" w:rsidRDefault="00A30995" w:rsidP="00A30995">
      <w:pPr>
        <w:pStyle w:val="R2"/>
      </w:pPr>
      <w:r>
        <w:tab/>
        <w:t>(3)</w:t>
      </w:r>
      <w:r>
        <w:tab/>
        <w:t>A test report must comply with the requirements in EN 62209-2 or IEC 62209-2 which contained the measurement</w:t>
      </w:r>
      <w:r w:rsidR="00A74714">
        <w:t xml:space="preserve"> methods</w:t>
      </w:r>
      <w:r>
        <w:t xml:space="preserve"> identified in accordance with subsection (2).</w:t>
      </w:r>
    </w:p>
    <w:p w14:paraId="2B924891" w14:textId="77777777" w:rsidR="009834FA" w:rsidRPr="0002547F" w:rsidRDefault="009834FA" w:rsidP="0002547F">
      <w:pPr>
        <w:pStyle w:val="ItemHead"/>
        <w:spacing w:before="120"/>
        <w:ind w:left="993" w:hanging="993"/>
        <w:rPr>
          <w:rFonts w:cs="Arial"/>
          <w:i/>
          <w:szCs w:val="24"/>
        </w:rPr>
      </w:pPr>
      <w:r w:rsidRPr="0002547F">
        <w:rPr>
          <w:rStyle w:val="CharSectno"/>
          <w:kern w:val="0"/>
          <w:szCs w:val="24"/>
          <w:lang w:eastAsia="en-US"/>
        </w:rPr>
        <w:t>10A</w:t>
      </w:r>
      <w:r w:rsidRPr="0002547F">
        <w:rPr>
          <w:rStyle w:val="CharSectno"/>
          <w:kern w:val="0"/>
          <w:szCs w:val="24"/>
          <w:lang w:eastAsia="en-US"/>
        </w:rPr>
        <w:tab/>
        <w:t>Measurement methods for performance standards: aware user</w:t>
      </w:r>
      <w:r w:rsidRPr="0002547F">
        <w:rPr>
          <w:rStyle w:val="CharSectno"/>
          <w:kern w:val="0"/>
          <w:lang w:eastAsia="en-US"/>
        </w:rPr>
        <w:t xml:space="preserve"> device or non–aware user device 20cm or less from the human</w:t>
      </w:r>
      <w:r w:rsidRPr="0002547F">
        <w:rPr>
          <w:rFonts w:cs="Arial"/>
          <w:bCs/>
          <w:szCs w:val="24"/>
        </w:rPr>
        <w:t xml:space="preserve"> body</w:t>
      </w:r>
      <w:r w:rsidRPr="0002547F">
        <w:rPr>
          <w:rFonts w:cs="Arial"/>
          <w:szCs w:val="24"/>
        </w:rPr>
        <w:t>– 6GHz to 100GHz</w:t>
      </w:r>
    </w:p>
    <w:p w14:paraId="25F6B40D" w14:textId="77777777" w:rsidR="009834FA" w:rsidRPr="0002547F" w:rsidRDefault="009834FA" w:rsidP="0002547F">
      <w:pPr>
        <w:pStyle w:val="Item"/>
        <w:numPr>
          <w:ilvl w:val="0"/>
          <w:numId w:val="33"/>
        </w:numPr>
        <w:tabs>
          <w:tab w:val="left" w:pos="1276"/>
        </w:tabs>
        <w:spacing w:before="120"/>
        <w:ind w:left="993" w:hanging="426"/>
        <w:rPr>
          <w:sz w:val="24"/>
          <w:szCs w:val="24"/>
        </w:rPr>
      </w:pPr>
      <w:r w:rsidRPr="0002547F">
        <w:rPr>
          <w:kern w:val="28"/>
          <w:sz w:val="24"/>
          <w:szCs w:val="24"/>
        </w:rPr>
        <w:t xml:space="preserve">Subject to section 10B, this section applies to an </w:t>
      </w:r>
      <w:r w:rsidRPr="0002547F">
        <w:rPr>
          <w:sz w:val="24"/>
          <w:szCs w:val="24"/>
        </w:rPr>
        <w:t>aware user device or non</w:t>
      </w:r>
      <w:r w:rsidRPr="0002547F">
        <w:rPr>
          <w:sz w:val="24"/>
          <w:szCs w:val="24"/>
        </w:rPr>
        <w:noBreakHyphen/>
        <w:t xml:space="preserve">aware user device </w:t>
      </w:r>
      <w:r w:rsidRPr="0002547F">
        <w:rPr>
          <w:kern w:val="28"/>
          <w:sz w:val="24"/>
          <w:szCs w:val="24"/>
        </w:rPr>
        <w:t>to which this Standard applies that:</w:t>
      </w:r>
    </w:p>
    <w:p w14:paraId="0466143E" w14:textId="77777777" w:rsidR="009834FA" w:rsidRPr="0002547F" w:rsidRDefault="009834FA" w:rsidP="0002547F">
      <w:pPr>
        <w:pStyle w:val="Item"/>
        <w:numPr>
          <w:ilvl w:val="0"/>
          <w:numId w:val="34"/>
        </w:numPr>
        <w:ind w:left="1418" w:hanging="425"/>
        <w:rPr>
          <w:sz w:val="24"/>
          <w:szCs w:val="24"/>
        </w:rPr>
      </w:pPr>
      <w:r w:rsidRPr="0002547F">
        <w:rPr>
          <w:kern w:val="28"/>
          <w:sz w:val="24"/>
          <w:szCs w:val="24"/>
        </w:rPr>
        <w:t xml:space="preserve">is </w:t>
      </w:r>
      <w:r w:rsidRPr="0002547F">
        <w:rPr>
          <w:sz w:val="24"/>
          <w:szCs w:val="24"/>
        </w:rPr>
        <w:t>designed to be used or held with the radiating part of the aware user device or non</w:t>
      </w:r>
      <w:r w:rsidRPr="0002547F">
        <w:rPr>
          <w:sz w:val="24"/>
          <w:szCs w:val="24"/>
        </w:rPr>
        <w:noBreakHyphen/>
        <w:t xml:space="preserve">aware user device </w:t>
      </w:r>
      <w:proofErr w:type="gramStart"/>
      <w:r w:rsidRPr="0002547F">
        <w:rPr>
          <w:sz w:val="24"/>
          <w:szCs w:val="24"/>
        </w:rPr>
        <w:t>in close proximity to</w:t>
      </w:r>
      <w:proofErr w:type="gramEnd"/>
      <w:r w:rsidRPr="0002547F">
        <w:rPr>
          <w:sz w:val="24"/>
          <w:szCs w:val="24"/>
        </w:rPr>
        <w:t xml:space="preserve"> the human body but not more than 20cm from the human body</w:t>
      </w:r>
      <w:r w:rsidRPr="0002547F">
        <w:rPr>
          <w:kern w:val="28"/>
          <w:sz w:val="24"/>
          <w:szCs w:val="24"/>
        </w:rPr>
        <w:t xml:space="preserve">; and </w:t>
      </w:r>
    </w:p>
    <w:p w14:paraId="5B2346DE" w14:textId="77777777" w:rsidR="009834FA" w:rsidRPr="0002547F" w:rsidRDefault="009834FA" w:rsidP="0002547F">
      <w:pPr>
        <w:pStyle w:val="Item"/>
        <w:numPr>
          <w:ilvl w:val="0"/>
          <w:numId w:val="34"/>
        </w:numPr>
        <w:ind w:left="1418" w:hanging="425"/>
        <w:rPr>
          <w:kern w:val="28"/>
          <w:sz w:val="24"/>
          <w:szCs w:val="24"/>
        </w:rPr>
      </w:pPr>
      <w:r w:rsidRPr="0002547F">
        <w:rPr>
          <w:kern w:val="28"/>
          <w:sz w:val="24"/>
          <w:szCs w:val="24"/>
        </w:rPr>
        <w:t>transmits on a frequency above 6GHz but less than or equal to 100GHz; and</w:t>
      </w:r>
    </w:p>
    <w:p w14:paraId="7362A343" w14:textId="77777777" w:rsidR="009834FA" w:rsidRPr="0002547F" w:rsidRDefault="009834FA" w:rsidP="0002547F">
      <w:pPr>
        <w:pStyle w:val="Item"/>
        <w:numPr>
          <w:ilvl w:val="0"/>
          <w:numId w:val="34"/>
        </w:numPr>
        <w:ind w:left="1418" w:hanging="425"/>
        <w:rPr>
          <w:kern w:val="28"/>
          <w:sz w:val="24"/>
          <w:szCs w:val="24"/>
        </w:rPr>
      </w:pPr>
      <w:r w:rsidRPr="0002547F">
        <w:rPr>
          <w:kern w:val="28"/>
          <w:sz w:val="24"/>
          <w:szCs w:val="24"/>
        </w:rPr>
        <w:t>is not mentioned in subsection 9</w:t>
      </w:r>
      <w:proofErr w:type="gramStart"/>
      <w:r w:rsidRPr="0002547F">
        <w:rPr>
          <w:kern w:val="28"/>
          <w:sz w:val="24"/>
          <w:szCs w:val="24"/>
        </w:rPr>
        <w:t>B(</w:t>
      </w:r>
      <w:proofErr w:type="gramEnd"/>
      <w:r w:rsidRPr="0002547F">
        <w:rPr>
          <w:kern w:val="28"/>
          <w:sz w:val="24"/>
          <w:szCs w:val="24"/>
        </w:rPr>
        <w:t>1).</w:t>
      </w:r>
    </w:p>
    <w:p w14:paraId="2A1E41C5" w14:textId="77777777" w:rsidR="009834FA" w:rsidRPr="0002547F" w:rsidRDefault="009834FA" w:rsidP="0002547F">
      <w:pPr>
        <w:pStyle w:val="ItemHead"/>
        <w:numPr>
          <w:ilvl w:val="0"/>
          <w:numId w:val="33"/>
        </w:numPr>
        <w:spacing w:before="120"/>
        <w:ind w:left="993" w:hanging="426"/>
        <w:rPr>
          <w:rFonts w:ascii="Times New Roman" w:hAnsi="Times New Roman"/>
          <w:b w:val="0"/>
          <w:kern w:val="0"/>
          <w:szCs w:val="24"/>
        </w:rPr>
      </w:pPr>
      <w:r w:rsidRPr="0002547F">
        <w:rPr>
          <w:rFonts w:ascii="Times New Roman" w:hAnsi="Times New Roman"/>
          <w:b w:val="0"/>
          <w:szCs w:val="24"/>
        </w:rPr>
        <w:t xml:space="preserve">The </w:t>
      </w:r>
      <w:r w:rsidRPr="0002547F">
        <w:rPr>
          <w:rFonts w:ascii="Times New Roman" w:hAnsi="Times New Roman"/>
          <w:b w:val="0"/>
          <w:kern w:val="0"/>
          <w:szCs w:val="24"/>
        </w:rPr>
        <w:t>measurement methods to determine if the aware user device or non-aware user device meets the standard for performance in subsection 8(1) or 8(2) are the measurement methods identified in IEC TR 63170.</w:t>
      </w:r>
    </w:p>
    <w:p w14:paraId="65CDE2EE" w14:textId="77777777" w:rsidR="009834FA" w:rsidRPr="0002547F" w:rsidRDefault="009834FA" w:rsidP="0002547F">
      <w:pPr>
        <w:pStyle w:val="Item"/>
        <w:numPr>
          <w:ilvl w:val="0"/>
          <w:numId w:val="33"/>
        </w:numPr>
        <w:ind w:left="993" w:hanging="426"/>
        <w:rPr>
          <w:sz w:val="24"/>
          <w:szCs w:val="24"/>
        </w:rPr>
      </w:pPr>
      <w:r w:rsidRPr="0002547F">
        <w:rPr>
          <w:sz w:val="24"/>
          <w:szCs w:val="24"/>
        </w:rPr>
        <w:t>A test report must comply with the requirements in IEC TR 63170</w:t>
      </w:r>
      <w:r w:rsidRPr="0002547F">
        <w:rPr>
          <w:b/>
          <w:sz w:val="24"/>
          <w:szCs w:val="24"/>
        </w:rPr>
        <w:t xml:space="preserve"> </w:t>
      </w:r>
      <w:r w:rsidRPr="0002547F">
        <w:rPr>
          <w:sz w:val="24"/>
          <w:szCs w:val="24"/>
        </w:rPr>
        <w:t>which contained the measurement methods identified in accordance with subsection (2).</w:t>
      </w:r>
    </w:p>
    <w:p w14:paraId="26879F6D" w14:textId="77777777" w:rsidR="009834FA" w:rsidRPr="0002547F" w:rsidRDefault="009834FA" w:rsidP="0002547F">
      <w:pPr>
        <w:pStyle w:val="notetext"/>
        <w:tabs>
          <w:tab w:val="left" w:pos="1843"/>
        </w:tabs>
        <w:ind w:left="993" w:firstLine="0"/>
        <w:rPr>
          <w:sz w:val="20"/>
          <w:szCs w:val="20"/>
        </w:rPr>
      </w:pPr>
      <w:r w:rsidRPr="0002547F">
        <w:rPr>
          <w:sz w:val="20"/>
          <w:szCs w:val="20"/>
        </w:rPr>
        <w:t>Note</w:t>
      </w:r>
      <w:r w:rsidRPr="0002547F">
        <w:rPr>
          <w:sz w:val="20"/>
          <w:szCs w:val="20"/>
        </w:rPr>
        <w:tab/>
        <w:t>In circumstances where a device transmits on frequencies between 30MHz to 6GHz (inclusive) and above 6GHz but less than or equal to 100GHz, both sections 10 and 10A (subject to section 10B) may apply.</w:t>
      </w:r>
    </w:p>
    <w:p w14:paraId="3BFBDFB5" w14:textId="77777777" w:rsidR="009834FA" w:rsidRPr="0002547F" w:rsidRDefault="009834FA" w:rsidP="0002547F">
      <w:pPr>
        <w:pStyle w:val="ItemHead"/>
        <w:spacing w:before="120"/>
        <w:ind w:left="993" w:hanging="993"/>
        <w:rPr>
          <w:rFonts w:cs="Arial"/>
          <w:i/>
          <w:szCs w:val="24"/>
        </w:rPr>
      </w:pPr>
      <w:r w:rsidRPr="0002547F">
        <w:rPr>
          <w:rFonts w:cs="Arial"/>
          <w:szCs w:val="24"/>
        </w:rPr>
        <w:t>10B</w:t>
      </w:r>
      <w:r w:rsidRPr="0002547F">
        <w:rPr>
          <w:rFonts w:cs="Arial"/>
          <w:szCs w:val="24"/>
        </w:rPr>
        <w:tab/>
        <w:t>Transitional arrangements for measurement methods for performance standards: aware user device or non</w:t>
      </w:r>
      <w:r w:rsidRPr="0002547F">
        <w:rPr>
          <w:rFonts w:cs="Arial"/>
          <w:szCs w:val="24"/>
        </w:rPr>
        <w:noBreakHyphen/>
        <w:t>aware user device 20cm or less from the human body – 6GHz to 100GHz</w:t>
      </w:r>
    </w:p>
    <w:p w14:paraId="48C1E4B1" w14:textId="77777777" w:rsidR="009834FA" w:rsidRPr="0002547F" w:rsidRDefault="009834FA" w:rsidP="0002547F">
      <w:pPr>
        <w:pStyle w:val="Item"/>
        <w:numPr>
          <w:ilvl w:val="0"/>
          <w:numId w:val="35"/>
        </w:numPr>
        <w:tabs>
          <w:tab w:val="left" w:pos="1276"/>
        </w:tabs>
        <w:spacing w:before="120"/>
        <w:ind w:left="993" w:hanging="426"/>
        <w:rPr>
          <w:sz w:val="24"/>
          <w:szCs w:val="24"/>
        </w:rPr>
      </w:pPr>
      <w:r w:rsidRPr="0002547F">
        <w:rPr>
          <w:kern w:val="28"/>
          <w:sz w:val="24"/>
          <w:szCs w:val="24"/>
        </w:rPr>
        <w:t xml:space="preserve">This section applies to an </w:t>
      </w:r>
      <w:r w:rsidRPr="0002547F">
        <w:rPr>
          <w:sz w:val="24"/>
          <w:szCs w:val="24"/>
        </w:rPr>
        <w:t>aware user device or non</w:t>
      </w:r>
      <w:r w:rsidRPr="0002547F">
        <w:rPr>
          <w:sz w:val="24"/>
          <w:szCs w:val="24"/>
        </w:rPr>
        <w:noBreakHyphen/>
        <w:t xml:space="preserve">aware user device </w:t>
      </w:r>
      <w:r w:rsidRPr="0002547F">
        <w:rPr>
          <w:kern w:val="28"/>
          <w:sz w:val="24"/>
          <w:szCs w:val="24"/>
        </w:rPr>
        <w:t>to which this Standard applies that:</w:t>
      </w:r>
    </w:p>
    <w:p w14:paraId="516F2E25" w14:textId="77777777" w:rsidR="009834FA" w:rsidRPr="0002547F" w:rsidRDefault="009834FA" w:rsidP="0002547F">
      <w:pPr>
        <w:pStyle w:val="Item"/>
        <w:numPr>
          <w:ilvl w:val="0"/>
          <w:numId w:val="36"/>
        </w:numPr>
        <w:ind w:left="1418" w:hanging="425"/>
        <w:rPr>
          <w:sz w:val="24"/>
          <w:szCs w:val="24"/>
        </w:rPr>
      </w:pPr>
      <w:r w:rsidRPr="0002547F">
        <w:rPr>
          <w:kern w:val="28"/>
          <w:sz w:val="24"/>
          <w:szCs w:val="24"/>
        </w:rPr>
        <w:t>is designed</w:t>
      </w:r>
      <w:r w:rsidRPr="0002547F">
        <w:rPr>
          <w:sz w:val="24"/>
          <w:szCs w:val="24"/>
        </w:rPr>
        <w:t xml:space="preserve"> to be used or held with the radiating part of the aware user device or non</w:t>
      </w:r>
      <w:r w:rsidRPr="0002547F">
        <w:rPr>
          <w:sz w:val="24"/>
          <w:szCs w:val="24"/>
        </w:rPr>
        <w:noBreakHyphen/>
        <w:t xml:space="preserve">aware user device </w:t>
      </w:r>
      <w:proofErr w:type="gramStart"/>
      <w:r w:rsidRPr="0002547F">
        <w:rPr>
          <w:sz w:val="24"/>
          <w:szCs w:val="24"/>
        </w:rPr>
        <w:t>in close proximity to</w:t>
      </w:r>
      <w:proofErr w:type="gramEnd"/>
      <w:r w:rsidRPr="0002547F">
        <w:rPr>
          <w:sz w:val="24"/>
          <w:szCs w:val="24"/>
        </w:rPr>
        <w:t xml:space="preserve"> the human body but not more than 20cm from the human body</w:t>
      </w:r>
      <w:r w:rsidRPr="0002547F">
        <w:rPr>
          <w:kern w:val="28"/>
          <w:sz w:val="24"/>
          <w:szCs w:val="24"/>
        </w:rPr>
        <w:t xml:space="preserve">; and </w:t>
      </w:r>
    </w:p>
    <w:p w14:paraId="314A2519" w14:textId="77777777" w:rsidR="009834FA" w:rsidRPr="0002547F" w:rsidRDefault="009834FA" w:rsidP="0002547F">
      <w:pPr>
        <w:pStyle w:val="Item"/>
        <w:numPr>
          <w:ilvl w:val="0"/>
          <w:numId w:val="36"/>
        </w:numPr>
        <w:ind w:left="1418" w:hanging="425"/>
        <w:rPr>
          <w:kern w:val="28"/>
          <w:sz w:val="24"/>
          <w:szCs w:val="24"/>
        </w:rPr>
      </w:pPr>
      <w:r w:rsidRPr="0002547F">
        <w:rPr>
          <w:kern w:val="28"/>
          <w:sz w:val="24"/>
          <w:szCs w:val="24"/>
        </w:rPr>
        <w:t>transmits on a frequency above 6GHz but less than or equal to 100GHz; and</w:t>
      </w:r>
    </w:p>
    <w:p w14:paraId="047DF9E4" w14:textId="77777777" w:rsidR="009834FA" w:rsidRPr="0002547F" w:rsidRDefault="009834FA" w:rsidP="0002547F">
      <w:pPr>
        <w:pStyle w:val="Item"/>
        <w:numPr>
          <w:ilvl w:val="0"/>
          <w:numId w:val="36"/>
        </w:numPr>
        <w:ind w:left="1418" w:hanging="425"/>
        <w:rPr>
          <w:sz w:val="24"/>
          <w:szCs w:val="24"/>
        </w:rPr>
      </w:pPr>
      <w:r w:rsidRPr="0002547F">
        <w:rPr>
          <w:sz w:val="24"/>
          <w:szCs w:val="24"/>
        </w:rPr>
        <w:t>is not mentioned in subsection 9</w:t>
      </w:r>
      <w:proofErr w:type="gramStart"/>
      <w:r w:rsidRPr="0002547F">
        <w:rPr>
          <w:sz w:val="24"/>
          <w:szCs w:val="24"/>
        </w:rPr>
        <w:t>B(</w:t>
      </w:r>
      <w:proofErr w:type="gramEnd"/>
      <w:r w:rsidRPr="0002547F">
        <w:rPr>
          <w:sz w:val="24"/>
          <w:szCs w:val="24"/>
        </w:rPr>
        <w:t>1); and</w:t>
      </w:r>
    </w:p>
    <w:p w14:paraId="6FE85014" w14:textId="77777777" w:rsidR="009834FA" w:rsidRPr="0002547F" w:rsidRDefault="009834FA" w:rsidP="0002547F">
      <w:pPr>
        <w:pStyle w:val="Item"/>
        <w:numPr>
          <w:ilvl w:val="0"/>
          <w:numId w:val="36"/>
        </w:numPr>
        <w:ind w:left="1418" w:hanging="425"/>
        <w:rPr>
          <w:sz w:val="24"/>
          <w:szCs w:val="24"/>
        </w:rPr>
      </w:pPr>
      <w:r w:rsidRPr="0002547F">
        <w:rPr>
          <w:sz w:val="24"/>
          <w:szCs w:val="24"/>
        </w:rPr>
        <w:t>was either:</w:t>
      </w:r>
    </w:p>
    <w:p w14:paraId="3E550E92" w14:textId="77777777" w:rsidR="009834FA" w:rsidRPr="0002547F" w:rsidRDefault="009834FA" w:rsidP="0002547F">
      <w:pPr>
        <w:pStyle w:val="Item"/>
        <w:ind w:left="1843" w:hanging="425"/>
        <w:rPr>
          <w:sz w:val="24"/>
          <w:szCs w:val="24"/>
        </w:rPr>
      </w:pPr>
      <w:r w:rsidRPr="0002547F">
        <w:rPr>
          <w:sz w:val="24"/>
          <w:szCs w:val="24"/>
        </w:rPr>
        <w:t>(</w:t>
      </w:r>
      <w:proofErr w:type="spellStart"/>
      <w:r w:rsidRPr="0002547F">
        <w:rPr>
          <w:sz w:val="24"/>
          <w:szCs w:val="24"/>
        </w:rPr>
        <w:t>i</w:t>
      </w:r>
      <w:proofErr w:type="spellEnd"/>
      <w:r w:rsidRPr="0002547F">
        <w:rPr>
          <w:sz w:val="24"/>
          <w:szCs w:val="24"/>
        </w:rPr>
        <w:t>)</w:t>
      </w:r>
      <w:r w:rsidRPr="0002547F">
        <w:rPr>
          <w:sz w:val="24"/>
          <w:szCs w:val="24"/>
        </w:rPr>
        <w:tab/>
        <w:t xml:space="preserve">manufactured or imported not later than 3 months after the commencement of the </w:t>
      </w:r>
      <w:r w:rsidRPr="0002547F">
        <w:rPr>
          <w:i/>
          <w:iCs/>
          <w:sz w:val="24"/>
          <w:szCs w:val="24"/>
        </w:rPr>
        <w:t>Radiocommunications (Electromagnetic Radiation – Human Exposure) Amendment Standard 2020 (No. 1)</w:t>
      </w:r>
      <w:r w:rsidRPr="0002547F">
        <w:rPr>
          <w:sz w:val="24"/>
          <w:szCs w:val="24"/>
        </w:rPr>
        <w:t>; or</w:t>
      </w:r>
    </w:p>
    <w:p w14:paraId="601CC1E4" w14:textId="77777777" w:rsidR="009834FA" w:rsidRPr="0002547F" w:rsidRDefault="009834FA" w:rsidP="0002547F">
      <w:pPr>
        <w:pStyle w:val="Item"/>
        <w:ind w:left="1843" w:hanging="425"/>
        <w:rPr>
          <w:sz w:val="24"/>
          <w:szCs w:val="24"/>
        </w:rPr>
      </w:pPr>
      <w:r w:rsidRPr="0002547F">
        <w:rPr>
          <w:sz w:val="24"/>
          <w:szCs w:val="24"/>
        </w:rPr>
        <w:lastRenderedPageBreak/>
        <w:t>(ii)</w:t>
      </w:r>
      <w:r w:rsidRPr="0002547F">
        <w:rPr>
          <w:sz w:val="24"/>
          <w:szCs w:val="24"/>
        </w:rPr>
        <w:tab/>
        <w:t xml:space="preserve">altered or modified in a material way not later than 3 months after the commencement of the </w:t>
      </w:r>
      <w:r w:rsidRPr="0002547F">
        <w:rPr>
          <w:i/>
          <w:iCs/>
          <w:sz w:val="24"/>
          <w:szCs w:val="24"/>
        </w:rPr>
        <w:t>Radiocommunications (Electromagnetic Radiation – Human Exposure) Amendment Standard 2020 (No. 1)</w:t>
      </w:r>
      <w:r w:rsidRPr="0002547F">
        <w:rPr>
          <w:sz w:val="24"/>
          <w:szCs w:val="24"/>
        </w:rPr>
        <w:t>.</w:t>
      </w:r>
    </w:p>
    <w:p w14:paraId="1DB061F4" w14:textId="46AF2F39" w:rsidR="009834FA" w:rsidRPr="0002547F" w:rsidRDefault="009834FA" w:rsidP="0002547F">
      <w:pPr>
        <w:pStyle w:val="ItemHead"/>
        <w:numPr>
          <w:ilvl w:val="0"/>
          <w:numId w:val="35"/>
        </w:numPr>
        <w:spacing w:before="120"/>
        <w:ind w:left="993" w:hanging="426"/>
      </w:pPr>
      <w:r w:rsidRPr="0002547F">
        <w:rPr>
          <w:rFonts w:ascii="Times New Roman" w:hAnsi="Times New Roman"/>
          <w:b w:val="0"/>
          <w:szCs w:val="24"/>
        </w:rPr>
        <w:t>This Standard does not set a measurement method to determine if an aware user device or non-aware user device to which this section applies meets the standard for performance in subsection 8(1) or 8(2)</w:t>
      </w:r>
      <w:r w:rsidRPr="0002547F">
        <w:rPr>
          <w:rFonts w:ascii="Times New Roman" w:hAnsi="Times New Roman"/>
          <w:b w:val="0"/>
          <w:kern w:val="0"/>
          <w:szCs w:val="24"/>
        </w:rPr>
        <w:t>.</w:t>
      </w:r>
    </w:p>
    <w:p w14:paraId="1947DEC0" w14:textId="77777777" w:rsidR="00A30995" w:rsidRDefault="00A65B7A" w:rsidP="0002547F">
      <w:pPr>
        <w:pStyle w:val="HR"/>
        <w:keepNext w:val="0"/>
        <w:spacing w:before="240"/>
      </w:pPr>
      <w:bookmarkStart w:id="20" w:name="_Toc288485860"/>
      <w:r>
        <w:rPr>
          <w:rStyle w:val="CharSectno"/>
        </w:rPr>
        <w:t>11</w:t>
      </w:r>
      <w:r w:rsidR="00A30995">
        <w:tab/>
        <w:t>Assessment methods for performance standards: aware user devices and non</w:t>
      </w:r>
      <w:r w:rsidR="00A30995">
        <w:noBreakHyphen/>
        <w:t>aware user devices more than 20cm from the human body</w:t>
      </w:r>
      <w:bookmarkEnd w:id="20"/>
    </w:p>
    <w:p w14:paraId="1947DEC1" w14:textId="77777777" w:rsidR="00A30995" w:rsidRDefault="00A30995" w:rsidP="00A30995">
      <w:pPr>
        <w:pStyle w:val="ZR1"/>
        <w:keepNext w:val="0"/>
        <w:keepLines w:val="0"/>
      </w:pPr>
      <w:r>
        <w:tab/>
        <w:t>(1)</w:t>
      </w:r>
      <w:r>
        <w:tab/>
        <w:t>This section applies to an aware user device or a non</w:t>
      </w:r>
      <w:r>
        <w:noBreakHyphen/>
        <w:t>aware user device to which this Standard applies that:</w:t>
      </w:r>
    </w:p>
    <w:p w14:paraId="1947DEC2" w14:textId="3E4EA3CE" w:rsidR="00A30995" w:rsidRDefault="00A30995" w:rsidP="0002547F">
      <w:pPr>
        <w:pStyle w:val="P1"/>
        <w:tabs>
          <w:tab w:val="clear" w:pos="1191"/>
        </w:tabs>
        <w:ind w:hanging="425"/>
      </w:pPr>
      <w:r>
        <w:t>(a)</w:t>
      </w:r>
      <w:r>
        <w:tab/>
        <w:t>is designed to be used, or held, more than 20cm from the human body; and</w:t>
      </w:r>
    </w:p>
    <w:p w14:paraId="1947DEC3" w14:textId="69EEE735" w:rsidR="00A30995" w:rsidRDefault="00A30995" w:rsidP="0002547F">
      <w:pPr>
        <w:pStyle w:val="P1"/>
        <w:tabs>
          <w:tab w:val="clear" w:pos="1191"/>
        </w:tabs>
        <w:ind w:hanging="425"/>
      </w:pPr>
      <w:r>
        <w:t>(b)</w:t>
      </w:r>
      <w:r>
        <w:tab/>
        <w:t>transmits in the frequency band 300kHz to 100GHz (inclusive).</w:t>
      </w:r>
    </w:p>
    <w:p w14:paraId="1947DEC4" w14:textId="77777777" w:rsidR="00A30995" w:rsidRDefault="00A30995" w:rsidP="00A30995">
      <w:pPr>
        <w:pStyle w:val="R2"/>
        <w:keepLines w:val="0"/>
      </w:pPr>
      <w:r>
        <w:tab/>
        <w:t>(2)</w:t>
      </w:r>
      <w:r>
        <w:tab/>
        <w:t>The RF field produced by an aware user device or a non</w:t>
      </w:r>
      <w:r>
        <w:noBreakHyphen/>
        <w:t xml:space="preserve">aware user device, </w:t>
      </w:r>
      <w:r w:rsidRPr="007B4611">
        <w:t xml:space="preserve">at the </w:t>
      </w:r>
      <w:r>
        <w:t>position of the user with the device operated at the normal position of use,</w:t>
      </w:r>
      <w:r w:rsidRPr="007B4611">
        <w:t xml:space="preserve"> </w:t>
      </w:r>
      <w:r>
        <w:t>must be assessed in accordance with the requirements in AS</w:t>
      </w:r>
      <w:r w:rsidR="00037CD1">
        <w:t>/NZS</w:t>
      </w:r>
      <w:r>
        <w:t> 2772.2.</w:t>
      </w:r>
    </w:p>
    <w:p w14:paraId="1947DEC5" w14:textId="77777777" w:rsidR="00A30995" w:rsidRDefault="00A30995" w:rsidP="00A30995">
      <w:pPr>
        <w:pStyle w:val="R2"/>
        <w:keepLines w:val="0"/>
      </w:pPr>
      <w:r>
        <w:tab/>
        <w:t>(3)</w:t>
      </w:r>
      <w:r>
        <w:tab/>
        <w:t>An aware user device is taken to meet the standard</w:t>
      </w:r>
      <w:r w:rsidR="00161B14">
        <w:t xml:space="preserve"> for performance of subsection 8</w:t>
      </w:r>
      <w:r>
        <w:t> (1) if the RF field assessed under subsection (2) is less than the relevant reference levels for occupational exposure.</w:t>
      </w:r>
    </w:p>
    <w:p w14:paraId="1947DEC6" w14:textId="77777777" w:rsidR="00A30995" w:rsidRDefault="00A30995" w:rsidP="00A30995">
      <w:pPr>
        <w:pStyle w:val="R2"/>
        <w:keepLines w:val="0"/>
      </w:pPr>
      <w:r>
        <w:tab/>
        <w:t>(4)</w:t>
      </w:r>
      <w:r>
        <w:tab/>
        <w:t>A non</w:t>
      </w:r>
      <w:r>
        <w:noBreakHyphen/>
        <w:t xml:space="preserve">aware user device is taken to meet the standard for performance of subsection </w:t>
      </w:r>
      <w:r w:rsidR="00161B14">
        <w:t>8</w:t>
      </w:r>
      <w:r>
        <w:t> (2) if the RF field assessed is less than the relevant reference levels for general public exposure.</w:t>
      </w:r>
    </w:p>
    <w:p w14:paraId="763089EB" w14:textId="77777777" w:rsidR="00396235" w:rsidRDefault="00396235" w:rsidP="00A30995">
      <w:pPr>
        <w:sectPr w:rsidR="00396235" w:rsidSect="00434F21">
          <w:footerReference w:type="default" r:id="rId24"/>
          <w:headerReference w:type="first" r:id="rId25"/>
          <w:footerReference w:type="first" r:id="rId26"/>
          <w:type w:val="continuous"/>
          <w:pgSz w:w="11907" w:h="16839" w:code="9"/>
          <w:pgMar w:top="1440" w:right="1275" w:bottom="1440" w:left="1797" w:header="720" w:footer="720" w:gutter="0"/>
          <w:cols w:space="708"/>
          <w:titlePg/>
          <w:docGrid w:linePitch="360"/>
        </w:sectPr>
      </w:pPr>
    </w:p>
    <w:p w14:paraId="66B29278" w14:textId="77777777" w:rsidR="00241B30" w:rsidRPr="00D95A71" w:rsidRDefault="00241B30" w:rsidP="00241B30">
      <w:pPr>
        <w:pStyle w:val="ActHead5"/>
        <w:spacing w:before="0"/>
        <w:ind w:left="0" w:firstLine="0"/>
        <w:rPr>
          <w:b w:val="0"/>
          <w:sz w:val="32"/>
          <w:szCs w:val="32"/>
        </w:rPr>
      </w:pPr>
      <w:r w:rsidRPr="00D95A71">
        <w:rPr>
          <w:rStyle w:val="CharSectno"/>
          <w:sz w:val="32"/>
          <w:szCs w:val="32"/>
        </w:rPr>
        <w:lastRenderedPageBreak/>
        <w:t xml:space="preserve">Endnotes </w:t>
      </w:r>
    </w:p>
    <w:p w14:paraId="6BA9EE57" w14:textId="77777777" w:rsidR="00241B30" w:rsidRPr="00D95A71" w:rsidRDefault="00241B30" w:rsidP="00241B30">
      <w:pPr>
        <w:spacing w:before="280" w:after="120" w:line="240" w:lineRule="atLeast"/>
        <w:rPr>
          <w:b/>
          <w:szCs w:val="28"/>
        </w:rPr>
      </w:pPr>
      <w:r w:rsidRPr="00D95A71">
        <w:rPr>
          <w:b/>
          <w:szCs w:val="28"/>
        </w:rPr>
        <w:t xml:space="preserve">Endnote 1 </w:t>
      </w:r>
      <w:r>
        <w:rPr>
          <w:b/>
          <w:szCs w:val="28"/>
        </w:rPr>
        <w:t>–</w:t>
      </w:r>
      <w:r w:rsidRPr="00D95A71">
        <w:rPr>
          <w:b/>
          <w:szCs w:val="28"/>
        </w:rPr>
        <w:t xml:space="preserve"> </w:t>
      </w:r>
      <w:r>
        <w:rPr>
          <w:b/>
          <w:szCs w:val="28"/>
        </w:rPr>
        <w:t>About the endnotes</w:t>
      </w:r>
    </w:p>
    <w:p w14:paraId="71297D42" w14:textId="77777777" w:rsidR="00241B30" w:rsidRDefault="00241B30" w:rsidP="00241B30">
      <w:pPr>
        <w:spacing w:before="120" w:after="120" w:line="260" w:lineRule="atLeast"/>
      </w:pPr>
      <w:r>
        <w:t>The endnotes provide information about this compilation and the compiled law.</w:t>
      </w:r>
    </w:p>
    <w:p w14:paraId="5FB73E57" w14:textId="77777777" w:rsidR="00241B30" w:rsidRPr="00D95A71" w:rsidRDefault="00241B30" w:rsidP="00241B30">
      <w:pPr>
        <w:spacing w:before="120" w:after="120" w:line="260" w:lineRule="atLeast"/>
      </w:pPr>
      <w:r w:rsidRPr="00D95A71">
        <w:t xml:space="preserve">Endnote 2 (Abbreviation key) sets out abbreviations </w:t>
      </w:r>
      <w:r>
        <w:t xml:space="preserve">that may be </w:t>
      </w:r>
      <w:r w:rsidRPr="00D95A71">
        <w:t xml:space="preserve">used in the </w:t>
      </w:r>
      <w:r>
        <w:t>end</w:t>
      </w:r>
      <w:r w:rsidRPr="00D95A71">
        <w:t>notes.</w:t>
      </w:r>
    </w:p>
    <w:p w14:paraId="13DF8911" w14:textId="77777777" w:rsidR="00241B30" w:rsidRPr="00D95A71" w:rsidRDefault="00241B30" w:rsidP="00241B30">
      <w:pPr>
        <w:spacing w:before="120" w:after="120" w:line="260" w:lineRule="atLeast"/>
      </w:pPr>
      <w:r w:rsidRPr="00D95A71">
        <w:t xml:space="preserve">Endnote 3 (Legislation history) provides information about </w:t>
      </w:r>
      <w:r>
        <w:t>each law</w:t>
      </w:r>
      <w:r w:rsidRPr="00D95A71">
        <w:t xml:space="preserve"> that ha</w:t>
      </w:r>
      <w:r>
        <w:t>s</w:t>
      </w:r>
      <w:r w:rsidRPr="00D95A71">
        <w:t xml:space="preserve"> amended (or will amend) the compiled law.</w:t>
      </w:r>
      <w:r>
        <w:t xml:space="preserve">  The information includes commencement details for amending laws and details of any application, saving or transitional provisions that are not included in this compilation.</w:t>
      </w:r>
    </w:p>
    <w:p w14:paraId="019A1584" w14:textId="77777777" w:rsidR="00241B30" w:rsidRDefault="00241B30" w:rsidP="00241B30">
      <w:pPr>
        <w:spacing w:before="120" w:after="120" w:line="260" w:lineRule="atLeast"/>
      </w:pPr>
      <w:r w:rsidRPr="00D95A71">
        <w:t xml:space="preserve">Endnote 4 (Amendment history) provides information about the </w:t>
      </w:r>
      <w:r>
        <w:t>amendments at the provision (generally section or equivalent) level and includes information about any provision</w:t>
      </w:r>
      <w:r w:rsidRPr="00D95A71">
        <w:t xml:space="preserve"> of the compiled law th</w:t>
      </w:r>
      <w:r>
        <w:t>at has</w:t>
      </w:r>
      <w:r w:rsidRPr="00D95A71">
        <w:t xml:space="preserve"> been </w:t>
      </w:r>
      <w:r>
        <w:t xml:space="preserve">repealed in accordance with a provision of the law.  </w:t>
      </w:r>
    </w:p>
    <w:p w14:paraId="0F380F3F" w14:textId="77777777" w:rsidR="00241B30" w:rsidRDefault="00241B30" w:rsidP="00241B30">
      <w:pPr>
        <w:spacing w:before="120" w:after="120" w:line="260" w:lineRule="atLeast"/>
      </w:pPr>
      <w:r>
        <w:t>It also includes information about any misdescribed amendment (that is, an amendment that does not accurately describe the amendment to be made)</w:t>
      </w:r>
      <w:r w:rsidRPr="00F3064A">
        <w:t>.</w:t>
      </w:r>
      <w:r>
        <w:t xml:space="preserve">  If, despite the misdescription, the amendment can be given effect as intended, the amendment is incorporated into the compiled law and the abbreviation “(md)” added to the details of the amendment included in the amendment history.  If a misdescribed amendment cannot be given effect as intended, the abbreviation “(md not </w:t>
      </w:r>
      <w:proofErr w:type="spellStart"/>
      <w:r>
        <w:t>incorp</w:t>
      </w:r>
      <w:proofErr w:type="spellEnd"/>
      <w:r>
        <w:t>)” is added to the details of the amendment included in the amendment history.</w:t>
      </w:r>
    </w:p>
    <w:p w14:paraId="74AD9064" w14:textId="77777777" w:rsidR="00241B30" w:rsidRPr="00241B30" w:rsidRDefault="00241B30" w:rsidP="00241B30">
      <w:pPr>
        <w:spacing w:before="280" w:after="120" w:line="240" w:lineRule="atLeast"/>
      </w:pPr>
      <w:r w:rsidRPr="00241B30">
        <w:rPr>
          <w:b/>
        </w:rPr>
        <w:t>Endnote 2—Abbreviation key</w:t>
      </w:r>
    </w:p>
    <w:tbl>
      <w:tblPr>
        <w:tblW w:w="5000" w:type="pct"/>
        <w:tblLook w:val="0000" w:firstRow="0" w:lastRow="0" w:firstColumn="0" w:lastColumn="0" w:noHBand="0" w:noVBand="0"/>
      </w:tblPr>
      <w:tblGrid>
        <w:gridCol w:w="4836"/>
        <w:gridCol w:w="4190"/>
      </w:tblGrid>
      <w:tr w:rsidR="00241B30" w:rsidRPr="00241B30" w14:paraId="45FC8395" w14:textId="77777777" w:rsidTr="00550DD6">
        <w:tc>
          <w:tcPr>
            <w:tcW w:w="2679" w:type="pct"/>
            <w:shd w:val="clear" w:color="auto" w:fill="auto"/>
          </w:tcPr>
          <w:p w14:paraId="418953FC" w14:textId="77777777" w:rsidR="00241B30" w:rsidRPr="00241B30" w:rsidRDefault="00241B30" w:rsidP="00550DD6">
            <w:pPr>
              <w:spacing w:before="60"/>
              <w:rPr>
                <w:sz w:val="20"/>
              </w:rPr>
            </w:pPr>
            <w:r w:rsidRPr="00241B30">
              <w:rPr>
                <w:sz w:val="20"/>
              </w:rPr>
              <w:t>ad = added or inserted</w:t>
            </w:r>
          </w:p>
        </w:tc>
        <w:tc>
          <w:tcPr>
            <w:tcW w:w="2321" w:type="pct"/>
            <w:shd w:val="clear" w:color="auto" w:fill="auto"/>
          </w:tcPr>
          <w:p w14:paraId="4C67D252" w14:textId="77777777" w:rsidR="00241B30" w:rsidRPr="00241B30" w:rsidRDefault="00241B30" w:rsidP="00550DD6">
            <w:pPr>
              <w:spacing w:before="60"/>
              <w:rPr>
                <w:sz w:val="20"/>
              </w:rPr>
            </w:pPr>
            <w:r w:rsidRPr="00241B30">
              <w:rPr>
                <w:sz w:val="20"/>
              </w:rPr>
              <w:t xml:space="preserve">(md not </w:t>
            </w:r>
            <w:proofErr w:type="spellStart"/>
            <w:r w:rsidRPr="00241B30">
              <w:rPr>
                <w:sz w:val="20"/>
              </w:rPr>
              <w:t>incorp</w:t>
            </w:r>
            <w:proofErr w:type="spellEnd"/>
            <w:r w:rsidRPr="00241B30">
              <w:rPr>
                <w:sz w:val="20"/>
              </w:rPr>
              <w:t xml:space="preserve">) = misdescribed amendment </w:t>
            </w:r>
          </w:p>
        </w:tc>
      </w:tr>
      <w:tr w:rsidR="00241B30" w:rsidRPr="00241B30" w14:paraId="17CBF329" w14:textId="77777777" w:rsidTr="00550DD6">
        <w:tc>
          <w:tcPr>
            <w:tcW w:w="2679" w:type="pct"/>
            <w:shd w:val="clear" w:color="auto" w:fill="auto"/>
          </w:tcPr>
          <w:p w14:paraId="0350C546" w14:textId="77777777" w:rsidR="00241B30" w:rsidRPr="00241B30" w:rsidRDefault="00241B30" w:rsidP="00550DD6">
            <w:pPr>
              <w:spacing w:before="60"/>
              <w:rPr>
                <w:sz w:val="20"/>
              </w:rPr>
            </w:pPr>
            <w:r w:rsidRPr="00241B30">
              <w:rPr>
                <w:sz w:val="20"/>
              </w:rPr>
              <w:t>am = amended</w:t>
            </w:r>
          </w:p>
        </w:tc>
        <w:tc>
          <w:tcPr>
            <w:tcW w:w="2321" w:type="pct"/>
            <w:shd w:val="clear" w:color="auto" w:fill="auto"/>
          </w:tcPr>
          <w:p w14:paraId="4CACAF3F" w14:textId="77777777" w:rsidR="00241B30" w:rsidRPr="00241B30" w:rsidRDefault="00241B30" w:rsidP="00550DD6">
            <w:pPr>
              <w:ind w:left="318" w:hanging="318"/>
              <w:rPr>
                <w:sz w:val="20"/>
              </w:rPr>
            </w:pPr>
            <w:r w:rsidRPr="00241B30">
              <w:rPr>
                <w:sz w:val="20"/>
              </w:rPr>
              <w:t xml:space="preserve">   cannot be given effect</w:t>
            </w:r>
          </w:p>
        </w:tc>
      </w:tr>
      <w:tr w:rsidR="00241B30" w:rsidRPr="00241B30" w14:paraId="786276A8" w14:textId="77777777" w:rsidTr="00550DD6">
        <w:tc>
          <w:tcPr>
            <w:tcW w:w="2679" w:type="pct"/>
            <w:shd w:val="clear" w:color="auto" w:fill="auto"/>
          </w:tcPr>
          <w:p w14:paraId="063C2C43" w14:textId="77777777" w:rsidR="00241B30" w:rsidRPr="00241B30" w:rsidRDefault="00241B30" w:rsidP="00550DD6">
            <w:pPr>
              <w:spacing w:before="60"/>
              <w:rPr>
                <w:sz w:val="20"/>
              </w:rPr>
            </w:pPr>
            <w:proofErr w:type="spellStart"/>
            <w:r w:rsidRPr="00241B30">
              <w:rPr>
                <w:sz w:val="20"/>
              </w:rPr>
              <w:t>amdt</w:t>
            </w:r>
            <w:proofErr w:type="spellEnd"/>
            <w:r w:rsidRPr="00241B30">
              <w:rPr>
                <w:sz w:val="20"/>
              </w:rPr>
              <w:t xml:space="preserve"> = amendment</w:t>
            </w:r>
          </w:p>
        </w:tc>
        <w:tc>
          <w:tcPr>
            <w:tcW w:w="2321" w:type="pct"/>
            <w:shd w:val="clear" w:color="auto" w:fill="auto"/>
          </w:tcPr>
          <w:p w14:paraId="4D7ABAF0" w14:textId="77777777" w:rsidR="00241B30" w:rsidRPr="00241B30" w:rsidRDefault="00241B30" w:rsidP="00550DD6">
            <w:pPr>
              <w:spacing w:before="60"/>
              <w:rPr>
                <w:sz w:val="20"/>
              </w:rPr>
            </w:pPr>
            <w:r w:rsidRPr="00241B30">
              <w:rPr>
                <w:sz w:val="20"/>
              </w:rPr>
              <w:t>mod = modified/modification</w:t>
            </w:r>
          </w:p>
        </w:tc>
      </w:tr>
      <w:tr w:rsidR="00241B30" w:rsidRPr="00241B30" w14:paraId="6055B7EF" w14:textId="77777777" w:rsidTr="00550DD6">
        <w:tc>
          <w:tcPr>
            <w:tcW w:w="2679" w:type="pct"/>
            <w:shd w:val="clear" w:color="auto" w:fill="auto"/>
          </w:tcPr>
          <w:p w14:paraId="746EF354" w14:textId="77777777" w:rsidR="00241B30" w:rsidRPr="00241B30" w:rsidRDefault="00241B30" w:rsidP="00550DD6">
            <w:pPr>
              <w:spacing w:before="60"/>
              <w:rPr>
                <w:sz w:val="20"/>
              </w:rPr>
            </w:pPr>
            <w:r w:rsidRPr="00241B30">
              <w:rPr>
                <w:sz w:val="20"/>
              </w:rPr>
              <w:t>c = clause(s)</w:t>
            </w:r>
          </w:p>
        </w:tc>
        <w:tc>
          <w:tcPr>
            <w:tcW w:w="2321" w:type="pct"/>
            <w:shd w:val="clear" w:color="auto" w:fill="auto"/>
          </w:tcPr>
          <w:p w14:paraId="5F79D7B9" w14:textId="77777777" w:rsidR="00241B30" w:rsidRPr="00241B30" w:rsidRDefault="00241B30" w:rsidP="00550DD6">
            <w:pPr>
              <w:spacing w:before="60"/>
              <w:rPr>
                <w:sz w:val="20"/>
              </w:rPr>
            </w:pPr>
            <w:r w:rsidRPr="00241B30">
              <w:rPr>
                <w:sz w:val="20"/>
              </w:rPr>
              <w:t>No. = Number(s)</w:t>
            </w:r>
          </w:p>
        </w:tc>
      </w:tr>
      <w:tr w:rsidR="00241B30" w:rsidRPr="00241B30" w14:paraId="5F105C99" w14:textId="77777777" w:rsidTr="00550DD6">
        <w:tc>
          <w:tcPr>
            <w:tcW w:w="2679" w:type="pct"/>
            <w:shd w:val="clear" w:color="auto" w:fill="auto"/>
          </w:tcPr>
          <w:p w14:paraId="537E42F6" w14:textId="77777777" w:rsidR="00241B30" w:rsidRPr="00241B30" w:rsidRDefault="00241B30" w:rsidP="00550DD6">
            <w:pPr>
              <w:spacing w:before="60"/>
              <w:rPr>
                <w:sz w:val="20"/>
              </w:rPr>
            </w:pPr>
            <w:r w:rsidRPr="00241B30">
              <w:rPr>
                <w:sz w:val="20"/>
              </w:rPr>
              <w:t>Ch = Chapter(s)</w:t>
            </w:r>
          </w:p>
        </w:tc>
        <w:tc>
          <w:tcPr>
            <w:tcW w:w="2321" w:type="pct"/>
            <w:shd w:val="clear" w:color="auto" w:fill="auto"/>
          </w:tcPr>
          <w:p w14:paraId="2DDBA9DD" w14:textId="77777777" w:rsidR="00241B30" w:rsidRPr="00241B30" w:rsidRDefault="00241B30" w:rsidP="00550DD6">
            <w:pPr>
              <w:spacing w:before="60"/>
              <w:rPr>
                <w:sz w:val="20"/>
              </w:rPr>
            </w:pPr>
            <w:r w:rsidRPr="00241B30">
              <w:rPr>
                <w:sz w:val="20"/>
              </w:rPr>
              <w:t>par = paragraph(s)/subparagraph(s)</w:t>
            </w:r>
          </w:p>
        </w:tc>
      </w:tr>
      <w:tr w:rsidR="00241B30" w:rsidRPr="00241B30" w14:paraId="2489DBCF" w14:textId="77777777" w:rsidTr="00550DD6">
        <w:tc>
          <w:tcPr>
            <w:tcW w:w="2679" w:type="pct"/>
            <w:shd w:val="clear" w:color="auto" w:fill="auto"/>
          </w:tcPr>
          <w:p w14:paraId="11BD4735" w14:textId="77777777" w:rsidR="00241B30" w:rsidRPr="00241B30" w:rsidRDefault="00241B30" w:rsidP="00550DD6">
            <w:pPr>
              <w:spacing w:before="60"/>
              <w:rPr>
                <w:sz w:val="20"/>
              </w:rPr>
            </w:pPr>
            <w:r w:rsidRPr="00241B30">
              <w:rPr>
                <w:sz w:val="20"/>
              </w:rPr>
              <w:t>def = definition(s)</w:t>
            </w:r>
          </w:p>
        </w:tc>
        <w:tc>
          <w:tcPr>
            <w:tcW w:w="2321" w:type="pct"/>
            <w:shd w:val="clear" w:color="auto" w:fill="auto"/>
          </w:tcPr>
          <w:p w14:paraId="256165C4" w14:textId="77777777" w:rsidR="00241B30" w:rsidRPr="00241B30" w:rsidRDefault="00241B30" w:rsidP="00550DD6">
            <w:pPr>
              <w:ind w:left="318" w:hanging="318"/>
              <w:rPr>
                <w:sz w:val="20"/>
              </w:rPr>
            </w:pPr>
            <w:r w:rsidRPr="00241B30">
              <w:rPr>
                <w:sz w:val="20"/>
              </w:rPr>
              <w:t xml:space="preserve">   /sub</w:t>
            </w:r>
            <w:r w:rsidRPr="00241B30">
              <w:rPr>
                <w:sz w:val="20"/>
              </w:rPr>
              <w:noBreakHyphen/>
              <w:t>subparagraph(s)</w:t>
            </w:r>
          </w:p>
        </w:tc>
      </w:tr>
      <w:tr w:rsidR="00241B30" w:rsidRPr="00241B30" w14:paraId="4424DF4A" w14:textId="77777777" w:rsidTr="00550DD6">
        <w:tc>
          <w:tcPr>
            <w:tcW w:w="2679" w:type="pct"/>
            <w:shd w:val="clear" w:color="auto" w:fill="auto"/>
          </w:tcPr>
          <w:p w14:paraId="57C2523D" w14:textId="77777777" w:rsidR="00241B30" w:rsidRPr="00241B30" w:rsidRDefault="00241B30" w:rsidP="00550DD6">
            <w:pPr>
              <w:spacing w:before="60"/>
              <w:rPr>
                <w:sz w:val="20"/>
              </w:rPr>
            </w:pPr>
            <w:proofErr w:type="spellStart"/>
            <w:r w:rsidRPr="00241B30">
              <w:rPr>
                <w:sz w:val="20"/>
              </w:rPr>
              <w:t>Dict</w:t>
            </w:r>
            <w:proofErr w:type="spellEnd"/>
            <w:r w:rsidRPr="00241B30">
              <w:rPr>
                <w:sz w:val="20"/>
              </w:rPr>
              <w:t xml:space="preserve"> = Dictionary</w:t>
            </w:r>
          </w:p>
        </w:tc>
        <w:tc>
          <w:tcPr>
            <w:tcW w:w="2321" w:type="pct"/>
            <w:shd w:val="clear" w:color="auto" w:fill="auto"/>
          </w:tcPr>
          <w:p w14:paraId="54D9D749" w14:textId="77777777" w:rsidR="00241B30" w:rsidRPr="00241B30" w:rsidRDefault="00241B30" w:rsidP="00550DD6">
            <w:pPr>
              <w:spacing w:before="60"/>
              <w:rPr>
                <w:sz w:val="20"/>
              </w:rPr>
            </w:pPr>
            <w:r w:rsidRPr="00241B30">
              <w:rPr>
                <w:sz w:val="20"/>
              </w:rPr>
              <w:t>Pt = Part(s)</w:t>
            </w:r>
          </w:p>
        </w:tc>
      </w:tr>
      <w:tr w:rsidR="00241B30" w:rsidRPr="00241B30" w14:paraId="4DC435F9" w14:textId="77777777" w:rsidTr="00550DD6">
        <w:tc>
          <w:tcPr>
            <w:tcW w:w="2679" w:type="pct"/>
            <w:shd w:val="clear" w:color="auto" w:fill="auto"/>
          </w:tcPr>
          <w:p w14:paraId="5596F691" w14:textId="77777777" w:rsidR="00241B30" w:rsidRPr="00241B30" w:rsidRDefault="00241B30" w:rsidP="00550DD6">
            <w:pPr>
              <w:spacing w:before="60"/>
              <w:rPr>
                <w:sz w:val="20"/>
              </w:rPr>
            </w:pPr>
            <w:r w:rsidRPr="00241B30">
              <w:rPr>
                <w:sz w:val="20"/>
              </w:rPr>
              <w:t>disallowed = disallowed by Parliament</w:t>
            </w:r>
          </w:p>
        </w:tc>
        <w:tc>
          <w:tcPr>
            <w:tcW w:w="2321" w:type="pct"/>
            <w:shd w:val="clear" w:color="auto" w:fill="auto"/>
          </w:tcPr>
          <w:p w14:paraId="1B7E0CF8" w14:textId="77777777" w:rsidR="00241B30" w:rsidRPr="00241B30" w:rsidRDefault="00241B30" w:rsidP="00550DD6">
            <w:pPr>
              <w:spacing w:before="60"/>
              <w:rPr>
                <w:sz w:val="20"/>
              </w:rPr>
            </w:pPr>
            <w:r w:rsidRPr="00241B30">
              <w:rPr>
                <w:sz w:val="20"/>
              </w:rPr>
              <w:t>r = regulation(s)/rule(s)</w:t>
            </w:r>
          </w:p>
        </w:tc>
      </w:tr>
      <w:tr w:rsidR="00241B30" w:rsidRPr="00241B30" w14:paraId="550361CB" w14:textId="77777777" w:rsidTr="00550DD6">
        <w:tc>
          <w:tcPr>
            <w:tcW w:w="2679" w:type="pct"/>
            <w:shd w:val="clear" w:color="auto" w:fill="auto"/>
          </w:tcPr>
          <w:p w14:paraId="7B576DEA" w14:textId="77777777" w:rsidR="00241B30" w:rsidRPr="00241B30" w:rsidRDefault="00241B30" w:rsidP="00550DD6">
            <w:pPr>
              <w:spacing w:before="60"/>
              <w:rPr>
                <w:sz w:val="20"/>
              </w:rPr>
            </w:pPr>
            <w:proofErr w:type="spellStart"/>
            <w:r w:rsidRPr="00241B30">
              <w:rPr>
                <w:sz w:val="20"/>
              </w:rPr>
              <w:t>Div</w:t>
            </w:r>
            <w:proofErr w:type="spellEnd"/>
            <w:r w:rsidRPr="00241B30">
              <w:rPr>
                <w:sz w:val="20"/>
              </w:rPr>
              <w:t xml:space="preserve"> = Division(s)</w:t>
            </w:r>
          </w:p>
        </w:tc>
        <w:tc>
          <w:tcPr>
            <w:tcW w:w="2321" w:type="pct"/>
            <w:shd w:val="clear" w:color="auto" w:fill="auto"/>
          </w:tcPr>
          <w:p w14:paraId="6420AFC1" w14:textId="77777777" w:rsidR="00241B30" w:rsidRPr="00241B30" w:rsidRDefault="00241B30" w:rsidP="00550DD6">
            <w:pPr>
              <w:spacing w:before="60"/>
              <w:rPr>
                <w:sz w:val="20"/>
              </w:rPr>
            </w:pPr>
            <w:r w:rsidRPr="00241B30">
              <w:rPr>
                <w:sz w:val="20"/>
              </w:rPr>
              <w:t>rep = repealed</w:t>
            </w:r>
          </w:p>
        </w:tc>
      </w:tr>
      <w:tr w:rsidR="00241B30" w:rsidRPr="00241B30" w14:paraId="6305905E" w14:textId="77777777" w:rsidTr="00550DD6">
        <w:tc>
          <w:tcPr>
            <w:tcW w:w="2679" w:type="pct"/>
            <w:shd w:val="clear" w:color="auto" w:fill="auto"/>
          </w:tcPr>
          <w:p w14:paraId="7DCB8B0C" w14:textId="77777777" w:rsidR="00241B30" w:rsidRPr="00241B30" w:rsidRDefault="00241B30" w:rsidP="00550DD6">
            <w:pPr>
              <w:spacing w:before="60"/>
              <w:rPr>
                <w:sz w:val="20"/>
              </w:rPr>
            </w:pPr>
            <w:r w:rsidRPr="00241B30">
              <w:rPr>
                <w:sz w:val="20"/>
              </w:rPr>
              <w:t>exp = expires/expired or ceases/ceased to have effect</w:t>
            </w:r>
          </w:p>
        </w:tc>
        <w:tc>
          <w:tcPr>
            <w:tcW w:w="2321" w:type="pct"/>
            <w:shd w:val="clear" w:color="auto" w:fill="auto"/>
          </w:tcPr>
          <w:p w14:paraId="04A2578E" w14:textId="77777777" w:rsidR="00241B30" w:rsidRPr="00241B30" w:rsidRDefault="00241B30" w:rsidP="00550DD6">
            <w:pPr>
              <w:spacing w:before="60"/>
              <w:rPr>
                <w:sz w:val="20"/>
              </w:rPr>
            </w:pPr>
            <w:proofErr w:type="spellStart"/>
            <w:r w:rsidRPr="00241B30">
              <w:rPr>
                <w:sz w:val="20"/>
              </w:rPr>
              <w:t>rs</w:t>
            </w:r>
            <w:proofErr w:type="spellEnd"/>
            <w:r w:rsidRPr="00241B30">
              <w:rPr>
                <w:sz w:val="20"/>
              </w:rPr>
              <w:t xml:space="preserve"> = repealed and substituted</w:t>
            </w:r>
          </w:p>
        </w:tc>
      </w:tr>
      <w:tr w:rsidR="00241B30" w:rsidRPr="00241B30" w14:paraId="170DDA81" w14:textId="77777777" w:rsidTr="00550DD6">
        <w:tc>
          <w:tcPr>
            <w:tcW w:w="2679" w:type="pct"/>
            <w:shd w:val="clear" w:color="auto" w:fill="auto"/>
          </w:tcPr>
          <w:p w14:paraId="67803F50" w14:textId="77777777" w:rsidR="00241B30" w:rsidRPr="00241B30" w:rsidRDefault="00241B30" w:rsidP="00550DD6">
            <w:pPr>
              <w:spacing w:before="60"/>
              <w:rPr>
                <w:sz w:val="20"/>
              </w:rPr>
            </w:pPr>
            <w:r w:rsidRPr="00241B30">
              <w:rPr>
                <w:sz w:val="20"/>
              </w:rPr>
              <w:t>F = Federal Register of Legislation</w:t>
            </w:r>
          </w:p>
        </w:tc>
        <w:tc>
          <w:tcPr>
            <w:tcW w:w="2321" w:type="pct"/>
            <w:shd w:val="clear" w:color="auto" w:fill="auto"/>
          </w:tcPr>
          <w:p w14:paraId="3E09BFBF" w14:textId="77777777" w:rsidR="00241B30" w:rsidRPr="00241B30" w:rsidRDefault="00241B30" w:rsidP="00550DD6">
            <w:pPr>
              <w:spacing w:before="60"/>
              <w:rPr>
                <w:sz w:val="20"/>
              </w:rPr>
            </w:pPr>
            <w:r w:rsidRPr="00241B30">
              <w:rPr>
                <w:sz w:val="20"/>
              </w:rPr>
              <w:t>s = section(s)/subsection(s)</w:t>
            </w:r>
          </w:p>
        </w:tc>
      </w:tr>
      <w:tr w:rsidR="00241B30" w:rsidRPr="00241B30" w14:paraId="0D72A413" w14:textId="77777777" w:rsidTr="00550DD6">
        <w:trPr>
          <w:trHeight w:val="52"/>
        </w:trPr>
        <w:tc>
          <w:tcPr>
            <w:tcW w:w="2679" w:type="pct"/>
            <w:shd w:val="clear" w:color="auto" w:fill="auto"/>
          </w:tcPr>
          <w:p w14:paraId="098451B8" w14:textId="77777777" w:rsidR="00241B30" w:rsidRPr="00241B30" w:rsidRDefault="00241B30" w:rsidP="00550DD6">
            <w:pPr>
              <w:spacing w:before="60"/>
              <w:rPr>
                <w:sz w:val="20"/>
              </w:rPr>
            </w:pPr>
            <w:proofErr w:type="spellStart"/>
            <w:r w:rsidRPr="00241B30">
              <w:rPr>
                <w:sz w:val="20"/>
              </w:rPr>
              <w:t>gaz</w:t>
            </w:r>
            <w:proofErr w:type="spellEnd"/>
            <w:r w:rsidRPr="00241B30">
              <w:rPr>
                <w:sz w:val="20"/>
              </w:rPr>
              <w:t xml:space="preserve"> = gazette</w:t>
            </w:r>
          </w:p>
        </w:tc>
        <w:tc>
          <w:tcPr>
            <w:tcW w:w="2321" w:type="pct"/>
            <w:shd w:val="clear" w:color="auto" w:fill="auto"/>
          </w:tcPr>
          <w:p w14:paraId="343FC4EE" w14:textId="77777777" w:rsidR="00241B30" w:rsidRPr="00241B30" w:rsidRDefault="00241B30" w:rsidP="00550DD6">
            <w:pPr>
              <w:spacing w:before="60"/>
              <w:rPr>
                <w:sz w:val="20"/>
              </w:rPr>
            </w:pPr>
            <w:r w:rsidRPr="00241B30">
              <w:rPr>
                <w:sz w:val="20"/>
              </w:rPr>
              <w:t>Sch = Schedule(s)</w:t>
            </w:r>
          </w:p>
        </w:tc>
      </w:tr>
      <w:tr w:rsidR="00241B30" w:rsidRPr="00241B30" w14:paraId="4261665C" w14:textId="77777777" w:rsidTr="00550DD6">
        <w:trPr>
          <w:trHeight w:val="52"/>
        </w:trPr>
        <w:tc>
          <w:tcPr>
            <w:tcW w:w="2679" w:type="pct"/>
            <w:shd w:val="clear" w:color="auto" w:fill="auto"/>
          </w:tcPr>
          <w:p w14:paraId="020D1691" w14:textId="77777777" w:rsidR="00241B30" w:rsidRPr="00241B30" w:rsidRDefault="00241B30" w:rsidP="00550DD6">
            <w:pPr>
              <w:spacing w:before="60"/>
              <w:rPr>
                <w:sz w:val="20"/>
              </w:rPr>
            </w:pPr>
            <w:r w:rsidRPr="00241B30">
              <w:rPr>
                <w:sz w:val="20"/>
              </w:rPr>
              <w:t xml:space="preserve">LA = </w:t>
            </w:r>
            <w:r w:rsidRPr="00241B30">
              <w:rPr>
                <w:i/>
                <w:sz w:val="20"/>
              </w:rPr>
              <w:t>Legislation Act 2003</w:t>
            </w:r>
          </w:p>
        </w:tc>
        <w:tc>
          <w:tcPr>
            <w:tcW w:w="2321" w:type="pct"/>
            <w:shd w:val="clear" w:color="auto" w:fill="auto"/>
          </w:tcPr>
          <w:p w14:paraId="4B276BDA" w14:textId="77777777" w:rsidR="00241B30" w:rsidRPr="00241B30" w:rsidRDefault="00241B30" w:rsidP="00550DD6">
            <w:pPr>
              <w:spacing w:before="60"/>
              <w:rPr>
                <w:sz w:val="20"/>
              </w:rPr>
            </w:pPr>
            <w:proofErr w:type="spellStart"/>
            <w:r w:rsidRPr="00241B30">
              <w:rPr>
                <w:sz w:val="20"/>
              </w:rPr>
              <w:t>Sdiv</w:t>
            </w:r>
            <w:proofErr w:type="spellEnd"/>
            <w:r w:rsidRPr="00241B30">
              <w:rPr>
                <w:sz w:val="20"/>
              </w:rPr>
              <w:t xml:space="preserve"> = Subdivision(s)</w:t>
            </w:r>
          </w:p>
        </w:tc>
      </w:tr>
      <w:tr w:rsidR="00241B30" w:rsidRPr="00241B30" w14:paraId="3C54EA7F" w14:textId="77777777" w:rsidTr="00550DD6">
        <w:trPr>
          <w:trHeight w:val="52"/>
        </w:trPr>
        <w:tc>
          <w:tcPr>
            <w:tcW w:w="2679" w:type="pct"/>
            <w:shd w:val="clear" w:color="auto" w:fill="auto"/>
          </w:tcPr>
          <w:p w14:paraId="2DA0B1F0" w14:textId="77777777" w:rsidR="00241B30" w:rsidRPr="00241B30" w:rsidRDefault="00241B30" w:rsidP="00550DD6">
            <w:pPr>
              <w:spacing w:before="60"/>
              <w:rPr>
                <w:sz w:val="20"/>
              </w:rPr>
            </w:pPr>
            <w:r w:rsidRPr="00241B30">
              <w:rPr>
                <w:sz w:val="20"/>
              </w:rPr>
              <w:t xml:space="preserve">LIA = </w:t>
            </w:r>
            <w:r w:rsidRPr="00241B30">
              <w:rPr>
                <w:i/>
                <w:sz w:val="20"/>
              </w:rPr>
              <w:t>Legislative Instruments Act 2003</w:t>
            </w:r>
          </w:p>
        </w:tc>
        <w:tc>
          <w:tcPr>
            <w:tcW w:w="2321" w:type="pct"/>
            <w:shd w:val="clear" w:color="auto" w:fill="auto"/>
          </w:tcPr>
          <w:p w14:paraId="08D707DA" w14:textId="77777777" w:rsidR="00241B30" w:rsidRPr="00241B30" w:rsidRDefault="00241B30" w:rsidP="00550DD6">
            <w:pPr>
              <w:spacing w:before="60"/>
              <w:rPr>
                <w:sz w:val="20"/>
              </w:rPr>
            </w:pPr>
            <w:r w:rsidRPr="00241B30">
              <w:rPr>
                <w:sz w:val="20"/>
                <w:u w:val="single"/>
              </w:rPr>
              <w:t>underlining</w:t>
            </w:r>
            <w:r w:rsidRPr="00241B30">
              <w:rPr>
                <w:sz w:val="20"/>
              </w:rPr>
              <w:t xml:space="preserve"> = whole or part not</w:t>
            </w:r>
          </w:p>
        </w:tc>
      </w:tr>
      <w:tr w:rsidR="00241B30" w:rsidRPr="00C36DD1" w14:paraId="276F9E31" w14:textId="77777777" w:rsidTr="00550DD6">
        <w:trPr>
          <w:trHeight w:val="52"/>
        </w:trPr>
        <w:tc>
          <w:tcPr>
            <w:tcW w:w="2679" w:type="pct"/>
            <w:shd w:val="clear" w:color="auto" w:fill="auto"/>
          </w:tcPr>
          <w:p w14:paraId="20B4DBBC" w14:textId="77777777" w:rsidR="00241B30" w:rsidRPr="00241B30" w:rsidRDefault="00241B30" w:rsidP="00550DD6">
            <w:pPr>
              <w:spacing w:before="60"/>
              <w:rPr>
                <w:sz w:val="20"/>
              </w:rPr>
            </w:pPr>
            <w:r w:rsidRPr="00241B30">
              <w:rPr>
                <w:sz w:val="20"/>
              </w:rPr>
              <w:t>(md) = misdescribed amendment can be given effect</w:t>
            </w:r>
          </w:p>
        </w:tc>
        <w:tc>
          <w:tcPr>
            <w:tcW w:w="2321" w:type="pct"/>
            <w:shd w:val="clear" w:color="auto" w:fill="auto"/>
          </w:tcPr>
          <w:p w14:paraId="555E8DB8" w14:textId="77777777" w:rsidR="00241B30" w:rsidRPr="00241B30" w:rsidRDefault="00241B30" w:rsidP="00550DD6">
            <w:pPr>
              <w:ind w:left="318" w:hanging="318"/>
              <w:rPr>
                <w:sz w:val="20"/>
              </w:rPr>
            </w:pPr>
            <w:r w:rsidRPr="00241B30">
              <w:rPr>
                <w:sz w:val="20"/>
              </w:rPr>
              <w:t xml:space="preserve">   commenced or to be commenced</w:t>
            </w:r>
          </w:p>
        </w:tc>
      </w:tr>
    </w:tbl>
    <w:p w14:paraId="0014892F" w14:textId="77777777" w:rsidR="00241B30" w:rsidRPr="00097890" w:rsidRDefault="00241B30" w:rsidP="00241B30"/>
    <w:p w14:paraId="2EDF7936" w14:textId="77777777" w:rsidR="00241B30" w:rsidRDefault="00241B30" w:rsidP="00241B30">
      <w:pPr>
        <w:sectPr w:rsidR="00241B30" w:rsidSect="00957210">
          <w:headerReference w:type="default" r:id="rId27"/>
          <w:pgSz w:w="11906" w:h="16838"/>
          <w:pgMar w:top="1440" w:right="1440" w:bottom="1440" w:left="1440" w:header="708" w:footer="708" w:gutter="0"/>
          <w:cols w:space="708"/>
          <w:docGrid w:linePitch="360"/>
        </w:sectPr>
      </w:pPr>
    </w:p>
    <w:p w14:paraId="4E39DBBE" w14:textId="77777777" w:rsidR="00241B30" w:rsidRPr="00E0410D" w:rsidRDefault="00241B30" w:rsidP="00241B30">
      <w:pPr>
        <w:spacing w:before="280" w:after="120" w:line="240" w:lineRule="atLeast"/>
        <w:rPr>
          <w:b/>
          <w:szCs w:val="28"/>
        </w:rPr>
      </w:pPr>
      <w:r w:rsidRPr="00E0410D">
        <w:rPr>
          <w:b/>
          <w:szCs w:val="28"/>
        </w:rPr>
        <w:lastRenderedPageBreak/>
        <w:t>Endnote 3—Legislation history</w:t>
      </w:r>
    </w:p>
    <w:p w14:paraId="1CAFE84F" w14:textId="77777777" w:rsidR="00241B30" w:rsidRPr="00FC70A7" w:rsidRDefault="00241B30" w:rsidP="00241B30">
      <w:pPr>
        <w:pStyle w:val="ENotesText"/>
        <w:spacing w:before="60" w:line="240" w:lineRule="atLeast"/>
      </w:pPr>
    </w:p>
    <w:tbl>
      <w:tblPr>
        <w:tblW w:w="4945" w:type="pct"/>
        <w:tblBorders>
          <w:top w:val="single" w:sz="4" w:space="0" w:color="auto"/>
          <w:bottom w:val="single" w:sz="2" w:space="0" w:color="auto"/>
          <w:insideH w:val="single" w:sz="4" w:space="0" w:color="auto"/>
        </w:tblBorders>
        <w:tblLook w:val="0000" w:firstRow="0" w:lastRow="0" w:firstColumn="0" w:lastColumn="0" w:noHBand="0" w:noVBand="0"/>
      </w:tblPr>
      <w:tblGrid>
        <w:gridCol w:w="1958"/>
        <w:gridCol w:w="1829"/>
        <w:gridCol w:w="1829"/>
        <w:gridCol w:w="2606"/>
      </w:tblGrid>
      <w:tr w:rsidR="00241B30" w:rsidRPr="00FC70A7" w14:paraId="099ED4A3" w14:textId="77777777" w:rsidTr="00434F21">
        <w:trPr>
          <w:cantSplit/>
          <w:tblHeader/>
        </w:trPr>
        <w:tc>
          <w:tcPr>
            <w:tcW w:w="1191" w:type="pct"/>
            <w:tcBorders>
              <w:top w:val="single" w:sz="12" w:space="0" w:color="auto"/>
              <w:bottom w:val="single" w:sz="12" w:space="0" w:color="auto"/>
            </w:tcBorders>
            <w:shd w:val="clear" w:color="auto" w:fill="auto"/>
          </w:tcPr>
          <w:p w14:paraId="236FE1D6" w14:textId="77777777" w:rsidR="00241B30" w:rsidRPr="00FC70A7" w:rsidRDefault="00241B30" w:rsidP="00550DD6">
            <w:pPr>
              <w:pStyle w:val="ENoteTableHeading"/>
              <w:rPr>
                <w:rFonts w:cs="Arial"/>
              </w:rPr>
            </w:pPr>
            <w:r>
              <w:rPr>
                <w:rFonts w:cs="Arial"/>
              </w:rPr>
              <w:t>Name</w:t>
            </w:r>
          </w:p>
        </w:tc>
        <w:tc>
          <w:tcPr>
            <w:tcW w:w="1112" w:type="pct"/>
            <w:tcBorders>
              <w:top w:val="single" w:sz="12" w:space="0" w:color="auto"/>
              <w:bottom w:val="single" w:sz="12" w:space="0" w:color="auto"/>
            </w:tcBorders>
            <w:shd w:val="clear" w:color="auto" w:fill="auto"/>
          </w:tcPr>
          <w:p w14:paraId="16379EFE" w14:textId="77777777" w:rsidR="00241B30" w:rsidRPr="00FC70A7" w:rsidRDefault="00241B30" w:rsidP="00550DD6">
            <w:pPr>
              <w:pStyle w:val="ENoteTableHeading"/>
              <w:rPr>
                <w:rFonts w:cs="Arial"/>
              </w:rPr>
            </w:pPr>
            <w:r w:rsidRPr="00FC70A7">
              <w:rPr>
                <w:rFonts w:cs="Arial"/>
              </w:rPr>
              <w:t>Registration</w:t>
            </w:r>
          </w:p>
        </w:tc>
        <w:tc>
          <w:tcPr>
            <w:tcW w:w="1112" w:type="pct"/>
            <w:tcBorders>
              <w:top w:val="single" w:sz="12" w:space="0" w:color="auto"/>
              <w:bottom w:val="single" w:sz="12" w:space="0" w:color="auto"/>
            </w:tcBorders>
            <w:shd w:val="clear" w:color="auto" w:fill="auto"/>
          </w:tcPr>
          <w:p w14:paraId="6EDB3E5A" w14:textId="77777777" w:rsidR="00241B30" w:rsidRPr="00FC70A7" w:rsidRDefault="00241B30" w:rsidP="00550DD6">
            <w:pPr>
              <w:pStyle w:val="ENoteTableHeading"/>
              <w:rPr>
                <w:rFonts w:cs="Arial"/>
              </w:rPr>
            </w:pPr>
            <w:r w:rsidRPr="00FC70A7">
              <w:rPr>
                <w:rFonts w:cs="Arial"/>
              </w:rPr>
              <w:t>Commencement</w:t>
            </w:r>
          </w:p>
        </w:tc>
        <w:tc>
          <w:tcPr>
            <w:tcW w:w="1585" w:type="pct"/>
            <w:tcBorders>
              <w:top w:val="single" w:sz="12" w:space="0" w:color="auto"/>
              <w:bottom w:val="single" w:sz="12" w:space="0" w:color="auto"/>
            </w:tcBorders>
            <w:shd w:val="clear" w:color="auto" w:fill="auto"/>
          </w:tcPr>
          <w:p w14:paraId="6BF3F8DB" w14:textId="77777777" w:rsidR="00241B30" w:rsidRPr="00FC70A7" w:rsidRDefault="00241B30" w:rsidP="00550DD6">
            <w:pPr>
              <w:pStyle w:val="ENoteTableHeading"/>
              <w:rPr>
                <w:rFonts w:cs="Arial"/>
              </w:rPr>
            </w:pPr>
            <w:r w:rsidRPr="00FC70A7">
              <w:rPr>
                <w:rFonts w:cs="Arial"/>
              </w:rPr>
              <w:t>Application, saving and transitional provisions</w:t>
            </w:r>
          </w:p>
        </w:tc>
      </w:tr>
      <w:tr w:rsidR="00241B30" w:rsidRPr="00FC70A7" w14:paraId="24AD9628" w14:textId="77777777" w:rsidTr="00434F21">
        <w:trPr>
          <w:cantSplit/>
        </w:trPr>
        <w:tc>
          <w:tcPr>
            <w:tcW w:w="1191" w:type="pct"/>
            <w:shd w:val="clear" w:color="auto" w:fill="auto"/>
          </w:tcPr>
          <w:p w14:paraId="2D50140F" w14:textId="24624094" w:rsidR="00241B30" w:rsidRPr="008D349D" w:rsidRDefault="00AB04F3" w:rsidP="00550DD6">
            <w:pPr>
              <w:pStyle w:val="ENoteTableText"/>
            </w:pPr>
            <w:bookmarkStart w:id="21" w:name="_Toc444596036"/>
            <w:r w:rsidRPr="00434F21">
              <w:rPr>
                <w:i/>
                <w:iCs/>
              </w:rPr>
              <w:t>Radiocommunications (Electromagnetic Radiation — Human Exposure) Standard 2014</w:t>
            </w:r>
            <w:bookmarkEnd w:id="21"/>
          </w:p>
        </w:tc>
        <w:tc>
          <w:tcPr>
            <w:tcW w:w="1112" w:type="pct"/>
            <w:shd w:val="clear" w:color="auto" w:fill="auto"/>
          </w:tcPr>
          <w:p w14:paraId="741E48AE" w14:textId="47C9B189" w:rsidR="00241B30" w:rsidRPr="00FC70A7" w:rsidRDefault="009F7091" w:rsidP="00550DD6">
            <w:pPr>
              <w:pStyle w:val="ENoteTableText"/>
            </w:pPr>
            <w:r>
              <w:t>7 July 2014</w:t>
            </w:r>
            <w:r>
              <w:br/>
              <w:t>(see F2014L00960)</w:t>
            </w:r>
          </w:p>
        </w:tc>
        <w:tc>
          <w:tcPr>
            <w:tcW w:w="1112" w:type="pct"/>
            <w:shd w:val="clear" w:color="auto" w:fill="auto"/>
          </w:tcPr>
          <w:p w14:paraId="48D7351E" w14:textId="36599DF3" w:rsidR="00241B30" w:rsidRPr="00FC70A7" w:rsidRDefault="009F7091" w:rsidP="00550DD6">
            <w:pPr>
              <w:pStyle w:val="ENoteTableText"/>
            </w:pPr>
            <w:r>
              <w:t>8 July 2014</w:t>
            </w:r>
          </w:p>
        </w:tc>
        <w:tc>
          <w:tcPr>
            <w:tcW w:w="1585" w:type="pct"/>
            <w:shd w:val="clear" w:color="auto" w:fill="auto"/>
          </w:tcPr>
          <w:p w14:paraId="031DAE1F" w14:textId="77777777" w:rsidR="00241B30" w:rsidRPr="00FC70A7" w:rsidRDefault="00241B30" w:rsidP="00550DD6">
            <w:pPr>
              <w:pStyle w:val="ENoteTableText"/>
            </w:pPr>
          </w:p>
        </w:tc>
      </w:tr>
      <w:tr w:rsidR="00241B30" w:rsidRPr="00FC70A7" w14:paraId="3C61F40A" w14:textId="77777777" w:rsidTr="00434F21">
        <w:trPr>
          <w:cantSplit/>
        </w:trPr>
        <w:tc>
          <w:tcPr>
            <w:tcW w:w="1191" w:type="pct"/>
            <w:shd w:val="clear" w:color="auto" w:fill="auto"/>
          </w:tcPr>
          <w:p w14:paraId="32664D88" w14:textId="041E2296" w:rsidR="00241B30" w:rsidRPr="00434F21" w:rsidRDefault="00D111DB" w:rsidP="00550DD6">
            <w:pPr>
              <w:pStyle w:val="ENoteTableText"/>
              <w:rPr>
                <w:i/>
                <w:iCs/>
              </w:rPr>
            </w:pPr>
            <w:bookmarkStart w:id="22" w:name="_Hlk6916327"/>
            <w:r w:rsidRPr="00434F21">
              <w:rPr>
                <w:i/>
                <w:iCs/>
              </w:rPr>
              <w:t>Radiocommunications (</w:t>
            </w:r>
            <w:bookmarkStart w:id="23" w:name="Citation"/>
            <w:bookmarkEnd w:id="22"/>
            <w:r w:rsidRPr="00434F21">
              <w:rPr>
                <w:i/>
                <w:iCs/>
              </w:rPr>
              <w:t>Electromagnetic Radiation — Human Exposure</w:t>
            </w:r>
            <w:bookmarkEnd w:id="23"/>
            <w:r w:rsidRPr="00434F21">
              <w:rPr>
                <w:i/>
                <w:iCs/>
              </w:rPr>
              <w:t>) Amendment Standard 2019 (No. 1)</w:t>
            </w:r>
          </w:p>
        </w:tc>
        <w:tc>
          <w:tcPr>
            <w:tcW w:w="1112" w:type="pct"/>
            <w:shd w:val="clear" w:color="auto" w:fill="auto"/>
          </w:tcPr>
          <w:p w14:paraId="19B93273" w14:textId="414E2737" w:rsidR="00241B30" w:rsidRPr="00FC70A7" w:rsidRDefault="00D111DB" w:rsidP="00550DD6">
            <w:pPr>
              <w:pStyle w:val="ENoteTableText"/>
            </w:pPr>
            <w:r>
              <w:t>18 Nov 2019</w:t>
            </w:r>
            <w:r>
              <w:br/>
              <w:t>(see F2019L01477)</w:t>
            </w:r>
          </w:p>
        </w:tc>
        <w:tc>
          <w:tcPr>
            <w:tcW w:w="1112" w:type="pct"/>
            <w:shd w:val="clear" w:color="auto" w:fill="auto"/>
          </w:tcPr>
          <w:p w14:paraId="70D129A9" w14:textId="34A5B41D" w:rsidR="00241B30" w:rsidRPr="00FC70A7" w:rsidRDefault="00D111DB" w:rsidP="00550DD6">
            <w:pPr>
              <w:pStyle w:val="ENoteTableText"/>
            </w:pPr>
            <w:r>
              <w:t>19 Nov 2019</w:t>
            </w:r>
          </w:p>
        </w:tc>
        <w:tc>
          <w:tcPr>
            <w:tcW w:w="1585" w:type="pct"/>
            <w:shd w:val="clear" w:color="auto" w:fill="auto"/>
          </w:tcPr>
          <w:p w14:paraId="233827F7" w14:textId="77777777" w:rsidR="00241B30" w:rsidRPr="00FC70A7" w:rsidRDefault="00241B30" w:rsidP="00550DD6">
            <w:pPr>
              <w:pStyle w:val="ENoteTableText"/>
            </w:pPr>
          </w:p>
        </w:tc>
      </w:tr>
      <w:tr w:rsidR="00241B30" w:rsidRPr="00FC70A7" w14:paraId="2A317FE1" w14:textId="77777777" w:rsidTr="00434F21">
        <w:trPr>
          <w:cantSplit/>
        </w:trPr>
        <w:tc>
          <w:tcPr>
            <w:tcW w:w="1191" w:type="pct"/>
            <w:tcBorders>
              <w:bottom w:val="single" w:sz="12" w:space="0" w:color="auto"/>
            </w:tcBorders>
            <w:shd w:val="clear" w:color="auto" w:fill="auto"/>
          </w:tcPr>
          <w:p w14:paraId="14DBFE26" w14:textId="0F411EEA" w:rsidR="00241B30" w:rsidRPr="0002547F" w:rsidRDefault="00971DFA" w:rsidP="00550DD6">
            <w:pPr>
              <w:pStyle w:val="ENoteTableText"/>
              <w:rPr>
                <w:i/>
                <w:iCs/>
              </w:rPr>
            </w:pPr>
            <w:r w:rsidRPr="0002547F">
              <w:rPr>
                <w:i/>
                <w:iCs/>
              </w:rPr>
              <w:t>Radiocommunications (</w:t>
            </w:r>
            <w:r w:rsidRPr="0002547F">
              <w:rPr>
                <w:bCs/>
                <w:i/>
                <w:iCs/>
              </w:rPr>
              <w:t xml:space="preserve">Electromagnetic Radiation — Human Exposure) </w:t>
            </w:r>
            <w:r w:rsidRPr="0002547F">
              <w:rPr>
                <w:i/>
                <w:iCs/>
              </w:rPr>
              <w:t>Amendment Standard 2020 (No. 1)</w:t>
            </w:r>
          </w:p>
        </w:tc>
        <w:tc>
          <w:tcPr>
            <w:tcW w:w="1112" w:type="pct"/>
            <w:tcBorders>
              <w:bottom w:val="single" w:sz="12" w:space="0" w:color="auto"/>
            </w:tcBorders>
            <w:shd w:val="clear" w:color="auto" w:fill="auto"/>
          </w:tcPr>
          <w:p w14:paraId="56B1BB77" w14:textId="7569D762" w:rsidR="00241B30" w:rsidRPr="00FC70A7" w:rsidRDefault="00971DFA" w:rsidP="00550DD6">
            <w:pPr>
              <w:pStyle w:val="ENoteTableText"/>
            </w:pPr>
            <w:r>
              <w:t>14 April 2020</w:t>
            </w:r>
            <w:r>
              <w:br/>
              <w:t>(see F</w:t>
            </w:r>
            <w:r w:rsidR="00EE2410">
              <w:t>2020L00423)</w:t>
            </w:r>
          </w:p>
        </w:tc>
        <w:tc>
          <w:tcPr>
            <w:tcW w:w="1112" w:type="pct"/>
            <w:tcBorders>
              <w:bottom w:val="single" w:sz="12" w:space="0" w:color="auto"/>
            </w:tcBorders>
            <w:shd w:val="clear" w:color="auto" w:fill="auto"/>
          </w:tcPr>
          <w:p w14:paraId="7B719EE4" w14:textId="2C0AB050" w:rsidR="00241B30" w:rsidRPr="00FC70A7" w:rsidRDefault="00EE2410" w:rsidP="00550DD6">
            <w:pPr>
              <w:pStyle w:val="ENoteTableText"/>
            </w:pPr>
            <w:r>
              <w:t>15 April 2020</w:t>
            </w:r>
          </w:p>
        </w:tc>
        <w:tc>
          <w:tcPr>
            <w:tcW w:w="1585" w:type="pct"/>
            <w:tcBorders>
              <w:bottom w:val="single" w:sz="12" w:space="0" w:color="auto"/>
            </w:tcBorders>
            <w:shd w:val="clear" w:color="auto" w:fill="auto"/>
          </w:tcPr>
          <w:p w14:paraId="50E988CA" w14:textId="77777777" w:rsidR="00241B30" w:rsidRPr="00FC70A7" w:rsidRDefault="00241B30" w:rsidP="00550DD6">
            <w:pPr>
              <w:pStyle w:val="ENoteTableText"/>
            </w:pPr>
          </w:p>
        </w:tc>
      </w:tr>
    </w:tbl>
    <w:p w14:paraId="4803B40D" w14:textId="77777777" w:rsidR="00241B30" w:rsidRPr="00FC70A7" w:rsidRDefault="00241B30" w:rsidP="00241B30">
      <w:pPr>
        <w:pStyle w:val="ENotesHeading2"/>
        <w:spacing w:before="280" w:line="240" w:lineRule="atLeast"/>
        <w:outlineLvl w:val="9"/>
      </w:pPr>
      <w:r>
        <w:t>Endn</w:t>
      </w:r>
      <w:r w:rsidRPr="00FC70A7">
        <w:t>ote 4—Amendment history</w:t>
      </w:r>
    </w:p>
    <w:p w14:paraId="511F4458" w14:textId="77777777" w:rsidR="00241B30" w:rsidRPr="00FC70A7" w:rsidRDefault="00241B30" w:rsidP="00241B30">
      <w:pPr>
        <w:pStyle w:val="Tabletext0"/>
      </w:pPr>
    </w:p>
    <w:tbl>
      <w:tblPr>
        <w:tblW w:w="5000" w:type="pct"/>
        <w:tblLayout w:type="fixed"/>
        <w:tblLook w:val="0000" w:firstRow="0" w:lastRow="0" w:firstColumn="0" w:lastColumn="0" w:noHBand="0" w:noVBand="0"/>
      </w:tblPr>
      <w:tblGrid>
        <w:gridCol w:w="2818"/>
        <w:gridCol w:w="5495"/>
      </w:tblGrid>
      <w:tr w:rsidR="00A17925" w:rsidRPr="00FC70A7" w14:paraId="771C63F1" w14:textId="77777777" w:rsidTr="00434F21">
        <w:trPr>
          <w:cantSplit/>
          <w:tblHeader/>
        </w:trPr>
        <w:tc>
          <w:tcPr>
            <w:tcW w:w="1695" w:type="pct"/>
            <w:tcBorders>
              <w:top w:val="single" w:sz="12" w:space="0" w:color="auto"/>
              <w:bottom w:val="single" w:sz="12" w:space="0" w:color="auto"/>
            </w:tcBorders>
            <w:shd w:val="clear" w:color="auto" w:fill="auto"/>
          </w:tcPr>
          <w:p w14:paraId="378DB3D8" w14:textId="77777777" w:rsidR="00241B30" w:rsidRPr="00FC70A7" w:rsidRDefault="00241B30" w:rsidP="00434F21">
            <w:pPr>
              <w:pStyle w:val="ENoteTableHeading"/>
              <w:keepNext w:val="0"/>
              <w:tabs>
                <w:tab w:val="left" w:leader="dot" w:pos="1956"/>
              </w:tabs>
              <w:rPr>
                <w:rFonts w:cs="Arial"/>
              </w:rPr>
            </w:pPr>
            <w:r w:rsidRPr="00FC70A7">
              <w:rPr>
                <w:rFonts w:cs="Arial"/>
              </w:rPr>
              <w:t>Provision affected</w:t>
            </w:r>
          </w:p>
        </w:tc>
        <w:tc>
          <w:tcPr>
            <w:tcW w:w="3305" w:type="pct"/>
            <w:tcBorders>
              <w:top w:val="single" w:sz="12" w:space="0" w:color="auto"/>
              <w:bottom w:val="single" w:sz="12" w:space="0" w:color="auto"/>
            </w:tcBorders>
            <w:shd w:val="clear" w:color="auto" w:fill="auto"/>
          </w:tcPr>
          <w:p w14:paraId="52393112" w14:textId="77777777" w:rsidR="00241B30" w:rsidRPr="00FC70A7" w:rsidRDefault="00241B30" w:rsidP="00550DD6">
            <w:pPr>
              <w:pStyle w:val="ENoteTableHeading"/>
              <w:rPr>
                <w:rFonts w:cs="Arial"/>
              </w:rPr>
            </w:pPr>
            <w:r w:rsidRPr="00FC70A7">
              <w:rPr>
                <w:rFonts w:cs="Arial"/>
              </w:rPr>
              <w:t>How affected</w:t>
            </w:r>
          </w:p>
        </w:tc>
      </w:tr>
      <w:tr w:rsidR="00A17925" w:rsidRPr="00FC70A7" w14:paraId="578CCEF4" w14:textId="77777777" w:rsidTr="00434F21">
        <w:tc>
          <w:tcPr>
            <w:tcW w:w="1695" w:type="pct"/>
          </w:tcPr>
          <w:p w14:paraId="1732FDAE" w14:textId="55823AFD" w:rsidR="00241B30" w:rsidRPr="00FC70A7" w:rsidRDefault="008D349D" w:rsidP="00434F21">
            <w:pPr>
              <w:pStyle w:val="ENoteTableText"/>
              <w:tabs>
                <w:tab w:val="left" w:leader="dot" w:pos="2447"/>
              </w:tabs>
            </w:pPr>
            <w:r>
              <w:t>s.2</w:t>
            </w:r>
            <w:r w:rsidR="00472FA8">
              <w:tab/>
            </w:r>
          </w:p>
        </w:tc>
        <w:tc>
          <w:tcPr>
            <w:tcW w:w="3305" w:type="pct"/>
          </w:tcPr>
          <w:p w14:paraId="1A3AA9B2" w14:textId="20AFC703" w:rsidR="00241B30" w:rsidRPr="00FC70A7" w:rsidRDefault="004C446A" w:rsidP="00550DD6">
            <w:pPr>
              <w:pStyle w:val="ENoteTableText"/>
            </w:pPr>
            <w:r>
              <w:t xml:space="preserve">rep. </w:t>
            </w:r>
            <w:r w:rsidR="009D315A">
              <w:t xml:space="preserve">s.48D </w:t>
            </w:r>
            <w:r>
              <w:t>LA</w:t>
            </w:r>
          </w:p>
        </w:tc>
      </w:tr>
      <w:tr w:rsidR="00A17925" w:rsidRPr="00FC70A7" w14:paraId="70684CCC" w14:textId="77777777" w:rsidTr="00434F21">
        <w:tc>
          <w:tcPr>
            <w:tcW w:w="1695" w:type="pct"/>
          </w:tcPr>
          <w:p w14:paraId="0439A51D" w14:textId="5D659F16" w:rsidR="008D349D" w:rsidRPr="00434F21" w:rsidRDefault="00C17F00" w:rsidP="00434F21">
            <w:pPr>
              <w:pStyle w:val="ENoteTableText"/>
              <w:tabs>
                <w:tab w:val="left" w:leader="dot" w:pos="2447"/>
              </w:tabs>
            </w:pPr>
            <w:r w:rsidRPr="00434F21">
              <w:t>s.3</w:t>
            </w:r>
            <w:r w:rsidRPr="00434F21">
              <w:tab/>
            </w:r>
          </w:p>
        </w:tc>
        <w:tc>
          <w:tcPr>
            <w:tcW w:w="3305" w:type="pct"/>
          </w:tcPr>
          <w:p w14:paraId="327FEB07" w14:textId="746AC194" w:rsidR="008D349D" w:rsidRPr="00FC70A7" w:rsidRDefault="00D30144" w:rsidP="00550DD6">
            <w:pPr>
              <w:pStyle w:val="ENoteTableText"/>
            </w:pPr>
            <w:r>
              <w:t>rep.</w:t>
            </w:r>
            <w:r w:rsidR="00A004DB">
              <w:t xml:space="preserve"> </w:t>
            </w:r>
            <w:r w:rsidR="009D315A">
              <w:t xml:space="preserve">s.48C </w:t>
            </w:r>
            <w:r>
              <w:t>LA</w:t>
            </w:r>
          </w:p>
        </w:tc>
      </w:tr>
      <w:tr w:rsidR="00A17925" w:rsidRPr="00FC70A7" w14:paraId="063235D6" w14:textId="77777777" w:rsidTr="00434F21">
        <w:tc>
          <w:tcPr>
            <w:tcW w:w="1695" w:type="pct"/>
          </w:tcPr>
          <w:p w14:paraId="454BAEB6" w14:textId="4CE85236" w:rsidR="00241B30" w:rsidRPr="009A1EB8" w:rsidRDefault="00517D01" w:rsidP="00434F21">
            <w:pPr>
              <w:pStyle w:val="ENoteTableText"/>
              <w:tabs>
                <w:tab w:val="left" w:leader="dot" w:pos="2447"/>
              </w:tabs>
            </w:pPr>
            <w:r>
              <w:t>s</w:t>
            </w:r>
            <w:r w:rsidR="00D75D04">
              <w:t>s</w:t>
            </w:r>
            <w:r w:rsidR="002A1D3B">
              <w:t>.5(1)</w:t>
            </w:r>
            <w:r w:rsidR="002A1D3B">
              <w:tab/>
            </w:r>
          </w:p>
        </w:tc>
        <w:tc>
          <w:tcPr>
            <w:tcW w:w="3305" w:type="pct"/>
          </w:tcPr>
          <w:p w14:paraId="037A4EEB" w14:textId="3DE2795A" w:rsidR="00241B30" w:rsidRPr="00FC70A7" w:rsidRDefault="00963E58" w:rsidP="00550DD6">
            <w:pPr>
              <w:pStyle w:val="ENoteTableText"/>
              <w:tabs>
                <w:tab w:val="center" w:leader="dot" w:pos="2268"/>
              </w:tabs>
            </w:pPr>
            <w:r>
              <w:t>am. No.1 of 2019</w:t>
            </w:r>
            <w:r w:rsidR="004D550B">
              <w:t>, am. No.1 of 2020</w:t>
            </w:r>
          </w:p>
        </w:tc>
      </w:tr>
      <w:tr w:rsidR="002A1D3B" w:rsidRPr="002A1D3B" w14:paraId="71DAFA07" w14:textId="77777777" w:rsidTr="00434F21">
        <w:tc>
          <w:tcPr>
            <w:tcW w:w="1695" w:type="pct"/>
          </w:tcPr>
          <w:p w14:paraId="4F480984" w14:textId="7BDF9F1F" w:rsidR="00241B30" w:rsidRPr="00434F21" w:rsidRDefault="00517D01" w:rsidP="00434F21">
            <w:pPr>
              <w:pStyle w:val="ENoteTableText"/>
              <w:tabs>
                <w:tab w:val="left" w:leader="dot" w:pos="2447"/>
              </w:tabs>
            </w:pPr>
            <w:r>
              <w:t>s</w:t>
            </w:r>
            <w:r w:rsidR="00802A3D">
              <w:t>s.</w:t>
            </w:r>
            <w:r w:rsidR="00DE24ED">
              <w:t>5(2)</w:t>
            </w:r>
            <w:r w:rsidR="00DE24ED">
              <w:tab/>
            </w:r>
          </w:p>
        </w:tc>
        <w:tc>
          <w:tcPr>
            <w:tcW w:w="3305" w:type="pct"/>
          </w:tcPr>
          <w:p w14:paraId="19A1DE54" w14:textId="3B48A710" w:rsidR="00241B30" w:rsidRPr="00FC70A7" w:rsidRDefault="00DE24ED" w:rsidP="00434F21">
            <w:pPr>
              <w:pStyle w:val="ENoteTableText"/>
              <w:tabs>
                <w:tab w:val="left" w:leader="dot" w:pos="2447"/>
              </w:tabs>
            </w:pPr>
            <w:proofErr w:type="spellStart"/>
            <w:r>
              <w:t>rs</w:t>
            </w:r>
            <w:proofErr w:type="spellEnd"/>
            <w:r>
              <w:t>. No.1 of 2019</w:t>
            </w:r>
          </w:p>
        </w:tc>
      </w:tr>
      <w:tr w:rsidR="00906D22" w:rsidRPr="002A1D3B" w14:paraId="616A2917" w14:textId="77777777" w:rsidTr="00434F21">
        <w:tc>
          <w:tcPr>
            <w:tcW w:w="1695" w:type="pct"/>
          </w:tcPr>
          <w:p w14:paraId="5C15BC3F" w14:textId="62715B32" w:rsidR="00906D22" w:rsidRDefault="00906D22" w:rsidP="00434F21">
            <w:pPr>
              <w:pStyle w:val="ENoteTableText"/>
              <w:tabs>
                <w:tab w:val="left" w:leader="dot" w:pos="2447"/>
              </w:tabs>
            </w:pPr>
            <w:r>
              <w:t>para.6(2)(f)</w:t>
            </w:r>
            <w:r>
              <w:tab/>
            </w:r>
          </w:p>
        </w:tc>
        <w:tc>
          <w:tcPr>
            <w:tcW w:w="3305" w:type="pct"/>
          </w:tcPr>
          <w:p w14:paraId="48E3ACD4" w14:textId="009D753E" w:rsidR="00906D22" w:rsidRDefault="00906D22" w:rsidP="00434F21">
            <w:pPr>
              <w:pStyle w:val="ENoteTableText"/>
              <w:tabs>
                <w:tab w:val="left" w:leader="dot" w:pos="2447"/>
              </w:tabs>
            </w:pPr>
            <w:r>
              <w:t>am. No.1 of 2020</w:t>
            </w:r>
          </w:p>
        </w:tc>
      </w:tr>
      <w:tr w:rsidR="00DE24ED" w:rsidRPr="002A1D3B" w14:paraId="0A01BB6C" w14:textId="77777777" w:rsidTr="00434F21">
        <w:tc>
          <w:tcPr>
            <w:tcW w:w="1695" w:type="pct"/>
          </w:tcPr>
          <w:p w14:paraId="7BC4DFBE" w14:textId="26347DA7" w:rsidR="00DE24ED" w:rsidRDefault="00105009" w:rsidP="002A1D3B">
            <w:pPr>
              <w:pStyle w:val="ENoteTableText"/>
              <w:tabs>
                <w:tab w:val="left" w:leader="dot" w:pos="2447"/>
              </w:tabs>
            </w:pPr>
            <w:r>
              <w:t>s.7A</w:t>
            </w:r>
            <w:r>
              <w:tab/>
            </w:r>
          </w:p>
        </w:tc>
        <w:tc>
          <w:tcPr>
            <w:tcW w:w="3305" w:type="pct"/>
          </w:tcPr>
          <w:p w14:paraId="4AC88777" w14:textId="25FD8ECA" w:rsidR="000F56A2" w:rsidRDefault="00105009" w:rsidP="002A1D3B">
            <w:pPr>
              <w:pStyle w:val="ENoteTableText"/>
              <w:tabs>
                <w:tab w:val="left" w:leader="dot" w:pos="2447"/>
              </w:tabs>
            </w:pPr>
            <w:r>
              <w:t>ad. No.1 of 2019</w:t>
            </w:r>
          </w:p>
        </w:tc>
      </w:tr>
      <w:tr w:rsidR="000F56A2" w:rsidRPr="002A1D3B" w14:paraId="31D4DF7B" w14:textId="77777777" w:rsidTr="00434F21">
        <w:tc>
          <w:tcPr>
            <w:tcW w:w="1695" w:type="pct"/>
          </w:tcPr>
          <w:p w14:paraId="5E0CA12F" w14:textId="7961BCF7" w:rsidR="000F56A2" w:rsidRDefault="000F56A2" w:rsidP="002A1D3B">
            <w:pPr>
              <w:pStyle w:val="ENoteTableText"/>
              <w:tabs>
                <w:tab w:val="left" w:leader="dot" w:pos="2447"/>
              </w:tabs>
            </w:pPr>
            <w:r>
              <w:t>ss.8(1)</w:t>
            </w:r>
            <w:r>
              <w:tab/>
            </w:r>
          </w:p>
        </w:tc>
        <w:tc>
          <w:tcPr>
            <w:tcW w:w="3305" w:type="pct"/>
          </w:tcPr>
          <w:p w14:paraId="25907493" w14:textId="4EA3DA3C" w:rsidR="000F56A2" w:rsidRDefault="000F56A2" w:rsidP="002A1D3B">
            <w:pPr>
              <w:pStyle w:val="ENoteTableText"/>
              <w:tabs>
                <w:tab w:val="left" w:leader="dot" w:pos="2447"/>
              </w:tabs>
            </w:pPr>
            <w:r>
              <w:t>am. No.1 of 2020</w:t>
            </w:r>
          </w:p>
        </w:tc>
      </w:tr>
      <w:tr w:rsidR="004903AD" w:rsidRPr="002A1D3B" w14:paraId="7D9E306B" w14:textId="77777777" w:rsidTr="00434F21">
        <w:tc>
          <w:tcPr>
            <w:tcW w:w="1695" w:type="pct"/>
          </w:tcPr>
          <w:p w14:paraId="70B01D43" w14:textId="61620046" w:rsidR="004903AD" w:rsidRDefault="004903AD" w:rsidP="002A1D3B">
            <w:pPr>
              <w:pStyle w:val="ENoteTableText"/>
              <w:tabs>
                <w:tab w:val="left" w:leader="dot" w:pos="2447"/>
              </w:tabs>
            </w:pPr>
            <w:r>
              <w:t>ss.8(2)</w:t>
            </w:r>
            <w:r>
              <w:tab/>
            </w:r>
          </w:p>
        </w:tc>
        <w:tc>
          <w:tcPr>
            <w:tcW w:w="3305" w:type="pct"/>
          </w:tcPr>
          <w:p w14:paraId="2F5F7F2A" w14:textId="52B1640D" w:rsidR="004903AD" w:rsidRDefault="004903AD" w:rsidP="002A1D3B">
            <w:pPr>
              <w:pStyle w:val="ENoteTableText"/>
              <w:tabs>
                <w:tab w:val="left" w:leader="dot" w:pos="2447"/>
              </w:tabs>
            </w:pPr>
            <w:r>
              <w:t>am. No.1 of 2020</w:t>
            </w:r>
          </w:p>
        </w:tc>
      </w:tr>
      <w:tr w:rsidR="00B16DDD" w:rsidRPr="002A1D3B" w14:paraId="6DC95677" w14:textId="77777777" w:rsidTr="006E5E76">
        <w:tc>
          <w:tcPr>
            <w:tcW w:w="1695" w:type="pct"/>
          </w:tcPr>
          <w:p w14:paraId="2A97B253" w14:textId="77777777" w:rsidR="00B16DDD" w:rsidRDefault="00B16DDD" w:rsidP="006E5E76">
            <w:pPr>
              <w:pStyle w:val="ENoteTableText"/>
              <w:tabs>
                <w:tab w:val="left" w:leader="dot" w:pos="2447"/>
              </w:tabs>
            </w:pPr>
            <w:r>
              <w:t>s.9 (heading)</w:t>
            </w:r>
            <w:r>
              <w:tab/>
            </w:r>
          </w:p>
        </w:tc>
        <w:tc>
          <w:tcPr>
            <w:tcW w:w="3305" w:type="pct"/>
          </w:tcPr>
          <w:p w14:paraId="18A0D99F" w14:textId="77777777" w:rsidR="00B16DDD" w:rsidRDefault="00B16DDD" w:rsidP="006E5E76">
            <w:pPr>
              <w:pStyle w:val="ENoteTableText"/>
              <w:tabs>
                <w:tab w:val="left" w:leader="dot" w:pos="2447"/>
              </w:tabs>
            </w:pPr>
            <w:r>
              <w:t>am. No.1 of 2020</w:t>
            </w:r>
          </w:p>
        </w:tc>
      </w:tr>
      <w:tr w:rsidR="00105009" w:rsidRPr="002A1D3B" w14:paraId="031CA2F0" w14:textId="77777777" w:rsidTr="00434F21">
        <w:tc>
          <w:tcPr>
            <w:tcW w:w="1695" w:type="pct"/>
          </w:tcPr>
          <w:p w14:paraId="05DFB248" w14:textId="5B62E45D" w:rsidR="00105009" w:rsidRDefault="00517D01" w:rsidP="002A1D3B">
            <w:pPr>
              <w:pStyle w:val="ENoteTableText"/>
              <w:tabs>
                <w:tab w:val="left" w:leader="dot" w:pos="2447"/>
              </w:tabs>
            </w:pPr>
            <w:r>
              <w:t>s</w:t>
            </w:r>
            <w:r w:rsidR="00105009">
              <w:t>s</w:t>
            </w:r>
            <w:r w:rsidR="00986BE5">
              <w:t>.9(1)</w:t>
            </w:r>
            <w:r w:rsidR="00105009">
              <w:tab/>
            </w:r>
          </w:p>
        </w:tc>
        <w:tc>
          <w:tcPr>
            <w:tcW w:w="3305" w:type="pct"/>
          </w:tcPr>
          <w:p w14:paraId="71C73A83" w14:textId="6A3C48BB" w:rsidR="00105009" w:rsidRDefault="00986BE5" w:rsidP="002A1D3B">
            <w:pPr>
              <w:pStyle w:val="ENoteTableText"/>
              <w:tabs>
                <w:tab w:val="left" w:leader="dot" w:pos="2447"/>
              </w:tabs>
            </w:pPr>
            <w:r>
              <w:t>am. No.1 of 2019</w:t>
            </w:r>
          </w:p>
        </w:tc>
      </w:tr>
      <w:tr w:rsidR="00986BE5" w:rsidRPr="002A1D3B" w14:paraId="11893A28" w14:textId="77777777" w:rsidTr="00434F21">
        <w:tc>
          <w:tcPr>
            <w:tcW w:w="1695" w:type="pct"/>
          </w:tcPr>
          <w:p w14:paraId="31A02A35" w14:textId="4E4E33CF" w:rsidR="00986BE5" w:rsidRDefault="00517D01" w:rsidP="002A1D3B">
            <w:pPr>
              <w:pStyle w:val="ENoteTableText"/>
              <w:tabs>
                <w:tab w:val="left" w:leader="dot" w:pos="2447"/>
              </w:tabs>
            </w:pPr>
            <w:r>
              <w:t>para.</w:t>
            </w:r>
            <w:r w:rsidR="00C113AE">
              <w:t>9(1)(b)</w:t>
            </w:r>
            <w:r w:rsidR="00C113AE">
              <w:tab/>
            </w:r>
          </w:p>
        </w:tc>
        <w:tc>
          <w:tcPr>
            <w:tcW w:w="3305" w:type="pct"/>
          </w:tcPr>
          <w:p w14:paraId="687FFFE7" w14:textId="00B6D2DA" w:rsidR="00986BE5" w:rsidRDefault="00AA4578" w:rsidP="002A1D3B">
            <w:pPr>
              <w:pStyle w:val="ENoteTableText"/>
              <w:tabs>
                <w:tab w:val="left" w:leader="dot" w:pos="2447"/>
              </w:tabs>
            </w:pPr>
            <w:r>
              <w:t>am. No.1 of 2019</w:t>
            </w:r>
          </w:p>
        </w:tc>
      </w:tr>
      <w:tr w:rsidR="00B16DDD" w:rsidRPr="002A1D3B" w14:paraId="03710657" w14:textId="77777777" w:rsidTr="00434F21">
        <w:tc>
          <w:tcPr>
            <w:tcW w:w="1695" w:type="pct"/>
          </w:tcPr>
          <w:p w14:paraId="3A14F488" w14:textId="67E05AFC" w:rsidR="00B16DDD" w:rsidRDefault="00B16DDD" w:rsidP="002A1D3B">
            <w:pPr>
              <w:pStyle w:val="ENoteTableText"/>
              <w:tabs>
                <w:tab w:val="left" w:leader="dot" w:pos="2447"/>
              </w:tabs>
            </w:pPr>
            <w:r>
              <w:t>s.9A (heading)</w:t>
            </w:r>
            <w:r>
              <w:tab/>
            </w:r>
          </w:p>
        </w:tc>
        <w:tc>
          <w:tcPr>
            <w:tcW w:w="3305" w:type="pct"/>
          </w:tcPr>
          <w:p w14:paraId="50F5DECC" w14:textId="4D0B6491" w:rsidR="00B16DDD" w:rsidRDefault="00B16DDD" w:rsidP="002A1D3B">
            <w:pPr>
              <w:pStyle w:val="ENoteTableText"/>
              <w:tabs>
                <w:tab w:val="left" w:leader="dot" w:pos="2447"/>
              </w:tabs>
            </w:pPr>
            <w:r>
              <w:t>am. No.1 of 2020</w:t>
            </w:r>
          </w:p>
        </w:tc>
      </w:tr>
      <w:tr w:rsidR="00AA4578" w:rsidRPr="002A1D3B" w14:paraId="23E4E98E" w14:textId="77777777" w:rsidTr="00434F21">
        <w:tc>
          <w:tcPr>
            <w:tcW w:w="1695" w:type="pct"/>
          </w:tcPr>
          <w:p w14:paraId="3CE74DEB" w14:textId="39534361" w:rsidR="00AA4578" w:rsidRDefault="00AA4578" w:rsidP="002A1D3B">
            <w:pPr>
              <w:pStyle w:val="ENoteTableText"/>
              <w:tabs>
                <w:tab w:val="left" w:leader="dot" w:pos="2447"/>
              </w:tabs>
            </w:pPr>
            <w:r>
              <w:t>s.9A</w:t>
            </w:r>
            <w:r>
              <w:tab/>
            </w:r>
          </w:p>
        </w:tc>
        <w:tc>
          <w:tcPr>
            <w:tcW w:w="3305" w:type="pct"/>
          </w:tcPr>
          <w:p w14:paraId="10A4F8AE" w14:textId="72E7F1AD" w:rsidR="00AA4578" w:rsidRDefault="00AA4578" w:rsidP="002A1D3B">
            <w:pPr>
              <w:pStyle w:val="ENoteTableText"/>
              <w:tabs>
                <w:tab w:val="left" w:leader="dot" w:pos="2447"/>
              </w:tabs>
            </w:pPr>
            <w:r>
              <w:t>ad. No.1 of 2019</w:t>
            </w:r>
          </w:p>
        </w:tc>
      </w:tr>
      <w:tr w:rsidR="00F3318F" w:rsidRPr="002A1D3B" w14:paraId="09DE3D76" w14:textId="77777777" w:rsidTr="00434F21">
        <w:tc>
          <w:tcPr>
            <w:tcW w:w="1695" w:type="pct"/>
          </w:tcPr>
          <w:p w14:paraId="4BFEE2E9" w14:textId="26C51495" w:rsidR="00F3318F" w:rsidRDefault="00F3318F" w:rsidP="002A1D3B">
            <w:pPr>
              <w:pStyle w:val="ENoteTableText"/>
              <w:tabs>
                <w:tab w:val="left" w:leader="dot" w:pos="2447"/>
              </w:tabs>
            </w:pPr>
            <w:r>
              <w:t>s.9B</w:t>
            </w:r>
            <w:r>
              <w:tab/>
            </w:r>
          </w:p>
        </w:tc>
        <w:tc>
          <w:tcPr>
            <w:tcW w:w="3305" w:type="pct"/>
          </w:tcPr>
          <w:p w14:paraId="0C53E754" w14:textId="082BCA65" w:rsidR="00F3318F" w:rsidRDefault="00F3318F" w:rsidP="002A1D3B">
            <w:pPr>
              <w:pStyle w:val="ENoteTableText"/>
              <w:tabs>
                <w:tab w:val="left" w:leader="dot" w:pos="2447"/>
              </w:tabs>
            </w:pPr>
            <w:r>
              <w:t>ad. No.1 of 2020</w:t>
            </w:r>
          </w:p>
        </w:tc>
      </w:tr>
      <w:tr w:rsidR="00F3318F" w:rsidRPr="002A1D3B" w14:paraId="42ADC4E1" w14:textId="77777777" w:rsidTr="00434F21">
        <w:tc>
          <w:tcPr>
            <w:tcW w:w="1695" w:type="pct"/>
          </w:tcPr>
          <w:p w14:paraId="62BACC92" w14:textId="54BB66D9" w:rsidR="00F3318F" w:rsidRDefault="00F3318F" w:rsidP="002A1D3B">
            <w:pPr>
              <w:pStyle w:val="ENoteTableText"/>
              <w:tabs>
                <w:tab w:val="left" w:leader="dot" w:pos="2447"/>
              </w:tabs>
            </w:pPr>
            <w:r>
              <w:t>s.9C</w:t>
            </w:r>
            <w:r>
              <w:tab/>
            </w:r>
          </w:p>
        </w:tc>
        <w:tc>
          <w:tcPr>
            <w:tcW w:w="3305" w:type="pct"/>
          </w:tcPr>
          <w:p w14:paraId="3346EAE3" w14:textId="27D327AB" w:rsidR="00F3318F" w:rsidRDefault="00F3318F" w:rsidP="002A1D3B">
            <w:pPr>
              <w:pStyle w:val="ENoteTableText"/>
              <w:tabs>
                <w:tab w:val="left" w:leader="dot" w:pos="2447"/>
              </w:tabs>
            </w:pPr>
            <w:r>
              <w:t>ad. No.1 of 2020</w:t>
            </w:r>
          </w:p>
        </w:tc>
      </w:tr>
      <w:tr w:rsidR="0046180F" w:rsidRPr="002A1D3B" w14:paraId="3134A588" w14:textId="77777777" w:rsidTr="00434F21">
        <w:tc>
          <w:tcPr>
            <w:tcW w:w="1695" w:type="pct"/>
          </w:tcPr>
          <w:p w14:paraId="467E245A" w14:textId="6B1C616E" w:rsidR="0046180F" w:rsidRDefault="0046180F" w:rsidP="002A1D3B">
            <w:pPr>
              <w:pStyle w:val="ENoteTableText"/>
              <w:tabs>
                <w:tab w:val="left" w:leader="dot" w:pos="2447"/>
              </w:tabs>
            </w:pPr>
            <w:r>
              <w:t>s.10 (heading)</w:t>
            </w:r>
            <w:r>
              <w:tab/>
            </w:r>
          </w:p>
        </w:tc>
        <w:tc>
          <w:tcPr>
            <w:tcW w:w="3305" w:type="pct"/>
          </w:tcPr>
          <w:p w14:paraId="704564B0" w14:textId="49DA64E9" w:rsidR="0046180F" w:rsidRDefault="0046180F" w:rsidP="002A1D3B">
            <w:pPr>
              <w:pStyle w:val="ENoteTableText"/>
              <w:tabs>
                <w:tab w:val="left" w:leader="dot" w:pos="2447"/>
              </w:tabs>
            </w:pPr>
            <w:r>
              <w:t>am. No.1 of 2020</w:t>
            </w:r>
          </w:p>
        </w:tc>
      </w:tr>
      <w:tr w:rsidR="0081669B" w:rsidRPr="002A1D3B" w14:paraId="687123D2" w14:textId="77777777" w:rsidTr="0002547F">
        <w:tc>
          <w:tcPr>
            <w:tcW w:w="1695" w:type="pct"/>
          </w:tcPr>
          <w:p w14:paraId="7B92A06B" w14:textId="40B8635D" w:rsidR="0081669B" w:rsidRDefault="0081669B" w:rsidP="002A1D3B">
            <w:pPr>
              <w:pStyle w:val="ENoteTableText"/>
              <w:tabs>
                <w:tab w:val="left" w:leader="dot" w:pos="2447"/>
              </w:tabs>
            </w:pPr>
            <w:r>
              <w:t>para.10(1)(b)</w:t>
            </w:r>
            <w:r>
              <w:tab/>
            </w:r>
          </w:p>
        </w:tc>
        <w:tc>
          <w:tcPr>
            <w:tcW w:w="3305" w:type="pct"/>
          </w:tcPr>
          <w:p w14:paraId="43211D62" w14:textId="1B3758DF" w:rsidR="0081669B" w:rsidRDefault="0081669B" w:rsidP="002A1D3B">
            <w:pPr>
              <w:pStyle w:val="ENoteTableText"/>
              <w:tabs>
                <w:tab w:val="left" w:leader="dot" w:pos="2447"/>
              </w:tabs>
            </w:pPr>
            <w:r>
              <w:t>am</w:t>
            </w:r>
            <w:r w:rsidR="00882D34">
              <w:t>.No.1 of 2019</w:t>
            </w:r>
          </w:p>
        </w:tc>
      </w:tr>
      <w:tr w:rsidR="0046180F" w:rsidRPr="002A1D3B" w14:paraId="225CEA65" w14:textId="77777777" w:rsidTr="0002547F">
        <w:tc>
          <w:tcPr>
            <w:tcW w:w="1695" w:type="pct"/>
          </w:tcPr>
          <w:p w14:paraId="1DD88323" w14:textId="3A2B7A5A" w:rsidR="0046180F" w:rsidRDefault="00C75F58" w:rsidP="002A1D3B">
            <w:pPr>
              <w:pStyle w:val="ENoteTableText"/>
              <w:tabs>
                <w:tab w:val="left" w:leader="dot" w:pos="2447"/>
              </w:tabs>
            </w:pPr>
            <w:r>
              <w:t>s.10</w:t>
            </w:r>
            <w:r w:rsidR="008D52C9">
              <w:t>A</w:t>
            </w:r>
            <w:r w:rsidR="008D52C9">
              <w:tab/>
            </w:r>
          </w:p>
        </w:tc>
        <w:tc>
          <w:tcPr>
            <w:tcW w:w="3305" w:type="pct"/>
          </w:tcPr>
          <w:p w14:paraId="162B9E19" w14:textId="295A4099" w:rsidR="0046180F" w:rsidRDefault="008D52C9" w:rsidP="002A1D3B">
            <w:pPr>
              <w:pStyle w:val="ENoteTableText"/>
              <w:tabs>
                <w:tab w:val="left" w:leader="dot" w:pos="2447"/>
              </w:tabs>
            </w:pPr>
            <w:r>
              <w:t>ad. No.1 of 2020</w:t>
            </w:r>
          </w:p>
        </w:tc>
      </w:tr>
      <w:tr w:rsidR="0046180F" w:rsidRPr="002A1D3B" w14:paraId="2B9DA920" w14:textId="77777777" w:rsidTr="00A17925">
        <w:tc>
          <w:tcPr>
            <w:tcW w:w="1695" w:type="pct"/>
            <w:tcBorders>
              <w:bottom w:val="single" w:sz="12" w:space="0" w:color="auto"/>
            </w:tcBorders>
          </w:tcPr>
          <w:p w14:paraId="4DFCBEA7" w14:textId="6477BBD2" w:rsidR="0046180F" w:rsidRDefault="008D52C9" w:rsidP="002A1D3B">
            <w:pPr>
              <w:pStyle w:val="ENoteTableText"/>
              <w:tabs>
                <w:tab w:val="left" w:leader="dot" w:pos="2447"/>
              </w:tabs>
            </w:pPr>
            <w:r>
              <w:t>s.10B</w:t>
            </w:r>
            <w:r>
              <w:tab/>
            </w:r>
          </w:p>
        </w:tc>
        <w:tc>
          <w:tcPr>
            <w:tcW w:w="3305" w:type="pct"/>
            <w:tcBorders>
              <w:bottom w:val="single" w:sz="12" w:space="0" w:color="auto"/>
            </w:tcBorders>
          </w:tcPr>
          <w:p w14:paraId="742ADE43" w14:textId="1E6C6EB0" w:rsidR="0046180F" w:rsidRDefault="008D52C9" w:rsidP="002A1D3B">
            <w:pPr>
              <w:pStyle w:val="ENoteTableText"/>
              <w:tabs>
                <w:tab w:val="left" w:leader="dot" w:pos="2447"/>
              </w:tabs>
            </w:pPr>
            <w:r>
              <w:t>ad. No.1 of 2020</w:t>
            </w:r>
          </w:p>
        </w:tc>
      </w:tr>
    </w:tbl>
    <w:p w14:paraId="78B6E39D" w14:textId="77777777" w:rsidR="00241B30" w:rsidRPr="00097890" w:rsidRDefault="00241B30" w:rsidP="00241B30"/>
    <w:p w14:paraId="1947DEC8" w14:textId="0E3A85ED" w:rsidR="00A30995" w:rsidRDefault="00A30995" w:rsidP="00A30995"/>
    <w:p w14:paraId="1947DEC9" w14:textId="77777777" w:rsidR="00D512C5" w:rsidRDefault="00D512C5" w:rsidP="00A30995"/>
    <w:sectPr w:rsidR="00D512C5" w:rsidSect="00396235">
      <w:footerReference w:type="first" r:id="rId28"/>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AD7F4" w14:textId="77777777" w:rsidR="00EC2C35" w:rsidRDefault="00EC2C35">
      <w:r>
        <w:separator/>
      </w:r>
    </w:p>
  </w:endnote>
  <w:endnote w:type="continuationSeparator" w:id="0">
    <w:p w14:paraId="7682CD79" w14:textId="77777777" w:rsidR="00EC2C35" w:rsidRDefault="00E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878764"/>
      <w:docPartObj>
        <w:docPartGallery w:val="Page Numbers (Bottom of Page)"/>
        <w:docPartUnique/>
      </w:docPartObj>
    </w:sdtPr>
    <w:sdtEndPr>
      <w:rPr>
        <w:rFonts w:ascii="Times New Roman" w:hAnsi="Times New Roman"/>
        <w:iCs/>
        <w:noProof/>
      </w:rPr>
    </w:sdtEndPr>
    <w:sdtContent>
      <w:sdt>
        <w:sdtPr>
          <w:id w:val="2022127335"/>
          <w:docPartObj>
            <w:docPartGallery w:val="Page Numbers (Bottom of Page)"/>
            <w:docPartUnique/>
          </w:docPartObj>
        </w:sdtPr>
        <w:sdtEndPr>
          <w:rPr>
            <w:rFonts w:ascii="Times New Roman" w:hAnsi="Times New Roman"/>
            <w:noProof/>
            <w:szCs w:val="18"/>
          </w:rPr>
        </w:sdtEndPr>
        <w:sdtContent>
          <w:p w14:paraId="00F06EC4" w14:textId="4A2006D1" w:rsidR="007A7D05" w:rsidRPr="00434F21" w:rsidRDefault="003C0AF2" w:rsidP="003C0AF2">
            <w:pPr>
              <w:pStyle w:val="Footer"/>
              <w:pBdr>
                <w:top w:val="single" w:sz="4" w:space="1" w:color="auto"/>
              </w:pBdr>
              <w:jc w:val="center"/>
              <w:rPr>
                <w:rFonts w:ascii="Times New Roman" w:hAnsi="Times New Roman"/>
                <w:i/>
                <w:szCs w:val="18"/>
              </w:rPr>
            </w:pPr>
            <w:r>
              <w:rPr>
                <w:rFonts w:ascii="Times New Roman" w:hAnsi="Times New Roman"/>
                <w:i/>
                <w:szCs w:val="18"/>
              </w:rPr>
              <w:t>Radiocommunications (Electromagnetic Radiation – Human Exposure) Standard 2014</w:t>
            </w:r>
          </w:p>
          <w:p w14:paraId="49B26BF9" w14:textId="77777777" w:rsidR="003C0AF2" w:rsidRDefault="003C0AF2" w:rsidP="003C0AF2">
            <w:pPr>
              <w:pStyle w:val="Footer"/>
              <w:pBdr>
                <w:top w:val="single" w:sz="4" w:space="1" w:color="auto"/>
              </w:pBdr>
              <w:jc w:val="center"/>
              <w:rPr>
                <w:rFonts w:ascii="Times New Roman" w:hAnsi="Times New Roman"/>
                <w:i/>
                <w:szCs w:val="18"/>
              </w:rPr>
            </w:pPr>
          </w:p>
          <w:p w14:paraId="060124F1" w14:textId="1D94D310" w:rsidR="007A7D05" w:rsidRPr="00434F21" w:rsidRDefault="007A7D05" w:rsidP="00434F21">
            <w:pPr>
              <w:pStyle w:val="Footer"/>
              <w:pBdr>
                <w:top w:val="single" w:sz="4" w:space="1" w:color="auto"/>
              </w:pBdr>
              <w:rPr>
                <w:rFonts w:ascii="Times New Roman" w:hAnsi="Times New Roman"/>
                <w:i/>
                <w:szCs w:val="18"/>
              </w:rPr>
            </w:pPr>
            <w:r>
              <w:rPr>
                <w:rFonts w:ascii="Times New Roman" w:hAnsi="Times New Roman"/>
                <w:i/>
                <w:szCs w:val="18"/>
              </w:rPr>
              <w:t xml:space="preserve">Compilation No. </w:t>
            </w:r>
            <w:proofErr w:type="gramStart"/>
            <w:r w:rsidR="006E4B43">
              <w:rPr>
                <w:rFonts w:ascii="Times New Roman" w:hAnsi="Times New Roman"/>
                <w:i/>
                <w:szCs w:val="18"/>
              </w:rPr>
              <w:t>2</w:t>
            </w:r>
            <w:r>
              <w:rPr>
                <w:rFonts w:ascii="Times New Roman" w:hAnsi="Times New Roman"/>
                <w:i/>
                <w:szCs w:val="18"/>
              </w:rPr>
              <w:t xml:space="preserve">  </w:t>
            </w:r>
            <w:r>
              <w:rPr>
                <w:rFonts w:ascii="Times New Roman" w:hAnsi="Times New Roman"/>
                <w:i/>
                <w:szCs w:val="18"/>
              </w:rPr>
              <w:tab/>
            </w:r>
            <w:proofErr w:type="gramEnd"/>
            <w:r w:rsidRPr="002F27AA">
              <w:rPr>
                <w:rFonts w:ascii="Times New Roman" w:hAnsi="Times New Roman"/>
                <w:i/>
                <w:szCs w:val="18"/>
              </w:rPr>
              <w:t xml:space="preserve">Compilation date: </w:t>
            </w:r>
            <w:r w:rsidR="003C0AF2">
              <w:rPr>
                <w:rFonts w:ascii="Times New Roman" w:hAnsi="Times New Roman"/>
                <w:i/>
                <w:szCs w:val="18"/>
              </w:rPr>
              <w:t>1</w:t>
            </w:r>
            <w:r w:rsidR="006E4B43">
              <w:rPr>
                <w:rFonts w:ascii="Times New Roman" w:hAnsi="Times New Roman"/>
                <w:i/>
                <w:szCs w:val="18"/>
              </w:rPr>
              <w:t>5 April 2020</w:t>
            </w:r>
          </w:p>
        </w:sdtContent>
      </w:sdt>
      <w:p w14:paraId="066AE6FA" w14:textId="759326C3" w:rsidR="007A7D05" w:rsidRPr="00434F21" w:rsidRDefault="007A7D05" w:rsidP="00434F21">
        <w:pPr>
          <w:pStyle w:val="Footer"/>
          <w:jc w:val="right"/>
          <w:rPr>
            <w:rFonts w:ascii="Times New Roman" w:hAnsi="Times New Roman"/>
            <w:iCs/>
            <w:noProof/>
          </w:rPr>
        </w:pPr>
        <w:r w:rsidRPr="00434F21">
          <w:rPr>
            <w:rFonts w:ascii="Times New Roman" w:hAnsi="Times New Roman"/>
            <w:iCs/>
          </w:rPr>
          <w:fldChar w:fldCharType="begin"/>
        </w:r>
        <w:r w:rsidRPr="00434F21">
          <w:rPr>
            <w:rFonts w:ascii="Times New Roman" w:hAnsi="Times New Roman"/>
            <w:iCs/>
          </w:rPr>
          <w:instrText xml:space="preserve"> PAGE   \* MERGEFORMAT </w:instrText>
        </w:r>
        <w:r w:rsidRPr="00434F21">
          <w:rPr>
            <w:rFonts w:ascii="Times New Roman" w:hAnsi="Times New Roman"/>
            <w:iCs/>
          </w:rPr>
          <w:fldChar w:fldCharType="separate"/>
        </w:r>
        <w:r w:rsidRPr="00434F21">
          <w:rPr>
            <w:rFonts w:ascii="Times New Roman" w:hAnsi="Times New Roman"/>
            <w:iCs/>
          </w:rPr>
          <w:t>2</w:t>
        </w:r>
        <w:r w:rsidRPr="00434F21">
          <w:rPr>
            <w:rFonts w:ascii="Times New Roman" w:hAnsi="Times New Roman"/>
            <w:i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DEE8" w14:textId="31C40DC9" w:rsidR="00B5224F" w:rsidRPr="00434F21" w:rsidRDefault="00B5224F" w:rsidP="00434F21">
    <w:pPr>
      <w:pStyle w:val="Footer"/>
      <w:jc w:val="center"/>
      <w:rPr>
        <w:rFonts w:ascii="Times New Roman" w:hAnsi="Times New Roman"/>
        <w:iCs/>
        <w:noProof/>
      </w:rPr>
    </w:pPr>
  </w:p>
  <w:p w14:paraId="1947DEE9" w14:textId="77777777" w:rsidR="00B5224F" w:rsidRPr="00962521" w:rsidRDefault="00B5224F" w:rsidP="00962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911129"/>
      <w:docPartObj>
        <w:docPartGallery w:val="Page Numbers (Bottom of Page)"/>
        <w:docPartUnique/>
      </w:docPartObj>
    </w:sdtPr>
    <w:sdtEndPr>
      <w:rPr>
        <w:rFonts w:ascii="Times New Roman" w:hAnsi="Times New Roman"/>
        <w:iCs/>
        <w:noProof/>
      </w:rPr>
    </w:sdtEndPr>
    <w:sdtContent>
      <w:sdt>
        <w:sdtPr>
          <w:id w:val="-1647051601"/>
          <w:docPartObj>
            <w:docPartGallery w:val="Page Numbers (Bottom of Page)"/>
            <w:docPartUnique/>
          </w:docPartObj>
        </w:sdtPr>
        <w:sdtEndPr>
          <w:rPr>
            <w:rFonts w:ascii="Times New Roman" w:hAnsi="Times New Roman"/>
            <w:noProof/>
            <w:szCs w:val="18"/>
          </w:rPr>
        </w:sdtEndPr>
        <w:sdtContent>
          <w:p w14:paraId="1B7AD059" w14:textId="77777777" w:rsidR="00144051" w:rsidRDefault="00144051" w:rsidP="00144051">
            <w:pPr>
              <w:pStyle w:val="Footer"/>
              <w:pBdr>
                <w:top w:val="single" w:sz="4" w:space="1" w:color="auto"/>
              </w:pBdr>
              <w:jc w:val="center"/>
              <w:rPr>
                <w:rFonts w:ascii="Times New Roman" w:hAnsi="Times New Roman"/>
                <w:i/>
                <w:szCs w:val="18"/>
              </w:rPr>
            </w:pPr>
            <w:r>
              <w:rPr>
                <w:rFonts w:ascii="Times New Roman" w:hAnsi="Times New Roman"/>
                <w:i/>
                <w:szCs w:val="18"/>
              </w:rPr>
              <w:t>Radiocommunications (Electromagnetic Radiation – Human Exposure) Standard 2014</w:t>
            </w:r>
          </w:p>
          <w:p w14:paraId="51979802" w14:textId="77777777" w:rsidR="00144051" w:rsidRDefault="00144051" w:rsidP="00144051">
            <w:pPr>
              <w:pStyle w:val="Footer"/>
              <w:pBdr>
                <w:top w:val="single" w:sz="4" w:space="1" w:color="auto"/>
              </w:pBdr>
              <w:jc w:val="center"/>
              <w:rPr>
                <w:rFonts w:ascii="Times New Roman" w:hAnsi="Times New Roman"/>
                <w:i/>
                <w:szCs w:val="18"/>
              </w:rPr>
            </w:pPr>
          </w:p>
          <w:p w14:paraId="3FAF6EFA" w14:textId="77777777" w:rsidR="00144051" w:rsidRPr="00550DD6" w:rsidRDefault="00144051" w:rsidP="00144051">
            <w:pPr>
              <w:pStyle w:val="Footer"/>
              <w:pBdr>
                <w:top w:val="single" w:sz="4" w:space="1" w:color="auto"/>
              </w:pBdr>
              <w:rPr>
                <w:rFonts w:ascii="Times New Roman" w:hAnsi="Times New Roman"/>
                <w:i/>
                <w:szCs w:val="18"/>
              </w:rPr>
            </w:pPr>
            <w:r>
              <w:rPr>
                <w:rFonts w:ascii="Times New Roman" w:hAnsi="Times New Roman"/>
                <w:i/>
                <w:szCs w:val="18"/>
              </w:rPr>
              <w:t xml:space="preserve">Compilation No. </w:t>
            </w:r>
            <w:proofErr w:type="gramStart"/>
            <w:r>
              <w:rPr>
                <w:rFonts w:ascii="Times New Roman" w:hAnsi="Times New Roman"/>
                <w:i/>
                <w:szCs w:val="18"/>
              </w:rPr>
              <w:t xml:space="preserve">1  </w:t>
            </w:r>
            <w:r>
              <w:rPr>
                <w:rFonts w:ascii="Times New Roman" w:hAnsi="Times New Roman"/>
                <w:i/>
                <w:szCs w:val="18"/>
              </w:rPr>
              <w:tab/>
            </w:r>
            <w:proofErr w:type="gramEnd"/>
            <w:r w:rsidRPr="002F27AA">
              <w:rPr>
                <w:rFonts w:ascii="Times New Roman" w:hAnsi="Times New Roman"/>
                <w:i/>
                <w:szCs w:val="18"/>
              </w:rPr>
              <w:t xml:space="preserve">Compilation date: </w:t>
            </w:r>
            <w:r>
              <w:rPr>
                <w:rFonts w:ascii="Times New Roman" w:hAnsi="Times New Roman"/>
                <w:i/>
                <w:szCs w:val="18"/>
              </w:rPr>
              <w:t>19 November 2019</w:t>
            </w:r>
          </w:p>
        </w:sdtContent>
      </w:sdt>
      <w:p w14:paraId="5F1272DE" w14:textId="0BC517E4" w:rsidR="00144051" w:rsidRPr="00434F21" w:rsidRDefault="00144051" w:rsidP="00434F21">
        <w:pPr>
          <w:pStyle w:val="Footer"/>
          <w:jc w:val="right"/>
          <w:rPr>
            <w:rFonts w:ascii="Times New Roman" w:hAnsi="Times New Roman"/>
            <w:iCs/>
            <w:noProof/>
          </w:rPr>
        </w:pPr>
        <w:r w:rsidRPr="00550DD6">
          <w:rPr>
            <w:rFonts w:ascii="Times New Roman" w:hAnsi="Times New Roman"/>
            <w:iCs/>
          </w:rPr>
          <w:fldChar w:fldCharType="begin"/>
        </w:r>
        <w:r w:rsidRPr="00550DD6">
          <w:rPr>
            <w:rFonts w:ascii="Times New Roman" w:hAnsi="Times New Roman"/>
            <w:iCs/>
          </w:rPr>
          <w:instrText xml:space="preserve"> PAGE   \* MERGEFORMAT </w:instrText>
        </w:r>
        <w:r w:rsidRPr="00550DD6">
          <w:rPr>
            <w:rFonts w:ascii="Times New Roman" w:hAnsi="Times New Roman"/>
            <w:iCs/>
          </w:rPr>
          <w:fldChar w:fldCharType="separate"/>
        </w:r>
        <w:r>
          <w:rPr>
            <w:rFonts w:ascii="Times New Roman" w:hAnsi="Times New Roman"/>
            <w:iCs/>
          </w:rPr>
          <w:t>11</w:t>
        </w:r>
        <w:r w:rsidRPr="00550DD6">
          <w:rPr>
            <w:rFonts w:ascii="Times New Roman" w:hAnsi="Times New Roman"/>
            <w:iCs/>
            <w:noProof/>
          </w:rPr>
          <w:fldChar w:fldCharType="end"/>
        </w:r>
      </w:p>
    </w:sdtContent>
  </w:sdt>
  <w:p w14:paraId="61CD9D9E" w14:textId="77777777" w:rsidR="00144051" w:rsidRPr="00962521" w:rsidRDefault="00144051" w:rsidP="0096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DBB0A" w14:textId="77777777" w:rsidR="00EC2C35" w:rsidRDefault="00EC2C35">
      <w:r>
        <w:separator/>
      </w:r>
    </w:p>
  </w:footnote>
  <w:footnote w:type="continuationSeparator" w:id="0">
    <w:p w14:paraId="04F926E7" w14:textId="77777777" w:rsidR="00EC2C35" w:rsidRDefault="00EC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DEE6" w14:textId="77777777" w:rsidR="00B5224F" w:rsidRDefault="00B5224F" w:rsidP="00962521">
    <w:pPr>
      <w:pStyle w:val="Header"/>
    </w:pPr>
  </w:p>
  <w:p w14:paraId="1947DEE7" w14:textId="77777777" w:rsidR="00B5224F" w:rsidRPr="00962521" w:rsidRDefault="00B5224F" w:rsidP="0096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0A61" w14:textId="462D5B87" w:rsidR="00241B30" w:rsidRPr="00CC64DD" w:rsidRDefault="00241B30" w:rsidP="00892659">
    <w:pPr>
      <w:pStyle w:val="Header"/>
      <w:pBdr>
        <w:bottom w:val="single" w:sz="4" w:space="1" w:color="auto"/>
      </w:pBd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0EB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F1182A"/>
    <w:multiLevelType w:val="hybridMultilevel"/>
    <w:tmpl w:val="50F43040"/>
    <w:lvl w:ilvl="0" w:tplc="953EF10E">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2" w15:restartNumberingAfterBreak="0">
    <w:nsid w:val="0AD36FF8"/>
    <w:multiLevelType w:val="hybridMultilevel"/>
    <w:tmpl w:val="B7C4550E"/>
    <w:lvl w:ilvl="0" w:tplc="51D6EC3C">
      <w:start w:val="1"/>
      <w:numFmt w:val="decimal"/>
      <w:lvlText w:val="(%1)"/>
      <w:lvlJc w:val="left"/>
      <w:pPr>
        <w:ind w:left="1271" w:hanging="420"/>
      </w:pPr>
      <w:rPr>
        <w:rFonts w:ascii="Times New Roman" w:hAnsi="Times New Roman" w:cs="Times New Roman" w:hint="default"/>
        <w:b w:val="0"/>
        <w:bCs/>
        <w:sz w:val="24"/>
        <w:szCs w:val="24"/>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0BC658B0"/>
    <w:multiLevelType w:val="hybridMultilevel"/>
    <w:tmpl w:val="9ADC953A"/>
    <w:lvl w:ilvl="0" w:tplc="79B0EEF4">
      <w:start w:val="1"/>
      <w:numFmt w:val="lowerLetter"/>
      <w:lvlText w:val="(%1)"/>
      <w:lvlJc w:val="left"/>
      <w:pPr>
        <w:ind w:left="1069" w:hanging="360"/>
      </w:pPr>
      <w:rPr>
        <w:rFonts w:ascii="Times New Roman" w:hAnsi="Times New Roman" w:cs="Times New Roman" w:hint="default"/>
        <w:b w:val="0"/>
        <w:bCs/>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6630FC8"/>
    <w:multiLevelType w:val="hybridMultilevel"/>
    <w:tmpl w:val="B3C082E0"/>
    <w:lvl w:ilvl="0" w:tplc="2132F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805110"/>
    <w:multiLevelType w:val="multilevel"/>
    <w:tmpl w:val="E9DAF0E6"/>
    <w:lvl w:ilvl="0">
      <w:start w:val="1"/>
      <w:numFmt w:val="upperLetter"/>
      <w:lvlText w:val="%1."/>
      <w:lvlJc w:val="left"/>
      <w:pPr>
        <w:tabs>
          <w:tab w:val="num" w:pos="1080"/>
        </w:tabs>
        <w:ind w:left="1080" w:hanging="360"/>
      </w:pPr>
    </w:lvl>
    <w:lvl w:ilvl="1">
      <w:start w:val="1"/>
      <w:numFmt w:val="upperRoman"/>
      <w:lvlText w:val="%2."/>
      <w:lvlJc w:val="left"/>
      <w:pPr>
        <w:tabs>
          <w:tab w:val="num" w:pos="1800"/>
        </w:tabs>
        <w:ind w:left="1440" w:hanging="360"/>
      </w:p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 w15:restartNumberingAfterBreak="0">
    <w:nsid w:val="2EC15BDE"/>
    <w:multiLevelType w:val="hybridMultilevel"/>
    <w:tmpl w:val="289419C6"/>
    <w:lvl w:ilvl="0" w:tplc="3D4E6A74">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347067EF"/>
    <w:multiLevelType w:val="hybridMultilevel"/>
    <w:tmpl w:val="00F07610"/>
    <w:lvl w:ilvl="0" w:tplc="9790DCBE">
      <w:start w:val="1"/>
      <w:numFmt w:val="lowerRoman"/>
      <w:lvlText w:val="(%1)"/>
      <w:lvlJc w:val="left"/>
      <w:pPr>
        <w:ind w:left="2243" w:hanging="720"/>
      </w:pPr>
      <w:rPr>
        <w:rFonts w:hint="default"/>
      </w:rPr>
    </w:lvl>
    <w:lvl w:ilvl="1" w:tplc="0C090019" w:tentative="1">
      <w:start w:val="1"/>
      <w:numFmt w:val="lowerLetter"/>
      <w:lvlText w:val="%2."/>
      <w:lvlJc w:val="left"/>
      <w:pPr>
        <w:ind w:left="2603" w:hanging="360"/>
      </w:pPr>
    </w:lvl>
    <w:lvl w:ilvl="2" w:tplc="0C09001B" w:tentative="1">
      <w:start w:val="1"/>
      <w:numFmt w:val="lowerRoman"/>
      <w:lvlText w:val="%3."/>
      <w:lvlJc w:val="right"/>
      <w:pPr>
        <w:ind w:left="3323" w:hanging="180"/>
      </w:pPr>
    </w:lvl>
    <w:lvl w:ilvl="3" w:tplc="0C09000F" w:tentative="1">
      <w:start w:val="1"/>
      <w:numFmt w:val="decimal"/>
      <w:lvlText w:val="%4."/>
      <w:lvlJc w:val="left"/>
      <w:pPr>
        <w:ind w:left="4043" w:hanging="360"/>
      </w:pPr>
    </w:lvl>
    <w:lvl w:ilvl="4" w:tplc="0C090019" w:tentative="1">
      <w:start w:val="1"/>
      <w:numFmt w:val="lowerLetter"/>
      <w:lvlText w:val="%5."/>
      <w:lvlJc w:val="left"/>
      <w:pPr>
        <w:ind w:left="4763" w:hanging="360"/>
      </w:pPr>
    </w:lvl>
    <w:lvl w:ilvl="5" w:tplc="0C09001B" w:tentative="1">
      <w:start w:val="1"/>
      <w:numFmt w:val="lowerRoman"/>
      <w:lvlText w:val="%6."/>
      <w:lvlJc w:val="right"/>
      <w:pPr>
        <w:ind w:left="5483" w:hanging="180"/>
      </w:pPr>
    </w:lvl>
    <w:lvl w:ilvl="6" w:tplc="0C09000F" w:tentative="1">
      <w:start w:val="1"/>
      <w:numFmt w:val="decimal"/>
      <w:lvlText w:val="%7."/>
      <w:lvlJc w:val="left"/>
      <w:pPr>
        <w:ind w:left="6203" w:hanging="360"/>
      </w:pPr>
    </w:lvl>
    <w:lvl w:ilvl="7" w:tplc="0C090019" w:tentative="1">
      <w:start w:val="1"/>
      <w:numFmt w:val="lowerLetter"/>
      <w:lvlText w:val="%8."/>
      <w:lvlJc w:val="left"/>
      <w:pPr>
        <w:ind w:left="6923" w:hanging="360"/>
      </w:pPr>
    </w:lvl>
    <w:lvl w:ilvl="8" w:tplc="0C09001B" w:tentative="1">
      <w:start w:val="1"/>
      <w:numFmt w:val="lowerRoman"/>
      <w:lvlText w:val="%9."/>
      <w:lvlJc w:val="right"/>
      <w:pPr>
        <w:ind w:left="7643" w:hanging="180"/>
      </w:pPr>
    </w:lvl>
  </w:abstractNum>
  <w:abstractNum w:abstractNumId="19" w15:restartNumberingAfterBreak="0">
    <w:nsid w:val="3A6B581C"/>
    <w:multiLevelType w:val="hybridMultilevel"/>
    <w:tmpl w:val="A2729F84"/>
    <w:lvl w:ilvl="0" w:tplc="1696EBF4">
      <w:start w:val="1"/>
      <w:numFmt w:val="lowerLetter"/>
      <w:lvlText w:val="(%1)"/>
      <w:lvlJc w:val="left"/>
      <w:pPr>
        <w:ind w:left="1999" w:hanging="360"/>
      </w:pPr>
      <w:rPr>
        <w:rFonts w:hint="default"/>
      </w:rPr>
    </w:lvl>
    <w:lvl w:ilvl="1" w:tplc="0C090019" w:tentative="1">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20" w15:restartNumberingAfterBreak="0">
    <w:nsid w:val="3A877EE0"/>
    <w:multiLevelType w:val="hybridMultilevel"/>
    <w:tmpl w:val="A2729F84"/>
    <w:lvl w:ilvl="0" w:tplc="1696EBF4">
      <w:start w:val="1"/>
      <w:numFmt w:val="lowerLetter"/>
      <w:lvlText w:val="(%1)"/>
      <w:lvlJc w:val="left"/>
      <w:pPr>
        <w:ind w:left="1999" w:hanging="360"/>
      </w:pPr>
      <w:rPr>
        <w:rFonts w:hint="default"/>
      </w:rPr>
    </w:lvl>
    <w:lvl w:ilvl="1" w:tplc="0C090019" w:tentative="1">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21" w15:restartNumberingAfterBreak="0">
    <w:nsid w:val="3AA4536D"/>
    <w:multiLevelType w:val="hybridMultilevel"/>
    <w:tmpl w:val="704EBBF2"/>
    <w:lvl w:ilvl="0" w:tplc="CDA4C6AE">
      <w:start w:val="1"/>
      <w:numFmt w:val="decimal"/>
      <w:lvlText w:val="(%1)"/>
      <w:lvlJc w:val="left"/>
      <w:pPr>
        <w:ind w:left="1271" w:hanging="420"/>
      </w:pPr>
      <w:rPr>
        <w:rFonts w:ascii="Times New Roman" w:hAnsi="Times New Roman" w:cs="Times New Roman" w:hint="default"/>
        <w:b w:val="0"/>
        <w:bCs/>
        <w:sz w:val="24"/>
        <w:szCs w:val="24"/>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5C4A35"/>
    <w:multiLevelType w:val="multilevel"/>
    <w:tmpl w:val="341228A4"/>
    <w:lvl w:ilvl="0">
      <w:start w:val="1"/>
      <w:numFmt w:val="upperLetter"/>
      <w:lvlText w:val="%1."/>
      <w:lvlJc w:val="left"/>
      <w:pPr>
        <w:tabs>
          <w:tab w:val="num" w:pos="1080"/>
        </w:tabs>
        <w:ind w:left="1080" w:hanging="360"/>
      </w:pPr>
    </w:lvl>
    <w:lvl w:ilvl="1">
      <w:start w:val="1"/>
      <w:numFmt w:val="upperRoman"/>
      <w:lvlText w:val="%2."/>
      <w:lvlJc w:val="left"/>
      <w:pPr>
        <w:tabs>
          <w:tab w:val="num" w:pos="1800"/>
        </w:tabs>
        <w:ind w:left="1440" w:hanging="360"/>
      </w:p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4" w15:restartNumberingAfterBreak="0">
    <w:nsid w:val="40E26A36"/>
    <w:multiLevelType w:val="hybridMultilevel"/>
    <w:tmpl w:val="ADD2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B051C2"/>
    <w:multiLevelType w:val="hybridMultilevel"/>
    <w:tmpl w:val="86746EE2"/>
    <w:lvl w:ilvl="0" w:tplc="D914521C">
      <w:start w:val="1"/>
      <w:numFmt w:val="lowerLetter"/>
      <w:lvlText w:val="(%1)"/>
      <w:lvlJc w:val="left"/>
      <w:pPr>
        <w:ind w:left="2055" w:hanging="360"/>
      </w:pPr>
      <w:rPr>
        <w:rFonts w:hint="default"/>
      </w:rPr>
    </w:lvl>
    <w:lvl w:ilvl="1" w:tplc="0C090019">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26" w15:restartNumberingAfterBreak="0">
    <w:nsid w:val="558B7173"/>
    <w:multiLevelType w:val="hybridMultilevel"/>
    <w:tmpl w:val="A2729F84"/>
    <w:lvl w:ilvl="0" w:tplc="1696EBF4">
      <w:start w:val="1"/>
      <w:numFmt w:val="lowerLetter"/>
      <w:lvlText w:val="(%1)"/>
      <w:lvlJc w:val="left"/>
      <w:pPr>
        <w:ind w:left="1999" w:hanging="360"/>
      </w:pPr>
      <w:rPr>
        <w:rFonts w:hint="default"/>
      </w:rPr>
    </w:lvl>
    <w:lvl w:ilvl="1" w:tplc="0C090019" w:tentative="1">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27" w15:restartNumberingAfterBreak="0">
    <w:nsid w:val="55915E5A"/>
    <w:multiLevelType w:val="hybridMultilevel"/>
    <w:tmpl w:val="9EF00920"/>
    <w:lvl w:ilvl="0" w:tplc="5F5848B6">
      <w:start w:val="1"/>
      <w:numFmt w:val="lowerLetter"/>
      <w:lvlText w:val="(%1)"/>
      <w:lvlJc w:val="left"/>
      <w:pPr>
        <w:ind w:left="1069" w:hanging="360"/>
      </w:pPr>
      <w:rPr>
        <w:rFonts w:hint="default"/>
        <w:b w:val="0"/>
        <w:bCs/>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77202A8"/>
    <w:multiLevelType w:val="hybridMultilevel"/>
    <w:tmpl w:val="2B7816B8"/>
    <w:lvl w:ilvl="0" w:tplc="E7AC49D4">
      <w:start w:val="1"/>
      <w:numFmt w:val="decimal"/>
      <w:lvlText w:val="(%1)"/>
      <w:lvlJc w:val="left"/>
      <w:pPr>
        <w:ind w:left="1271" w:hanging="420"/>
      </w:pPr>
      <w:rPr>
        <w:rFonts w:ascii="Times New Roman" w:hAnsi="Times New Roman" w:cs="Times New Roman" w:hint="default"/>
        <w:b w:val="0"/>
        <w:bCs/>
        <w:sz w:val="24"/>
        <w:szCs w:val="24"/>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65B17B56"/>
    <w:multiLevelType w:val="hybridMultilevel"/>
    <w:tmpl w:val="856AD8C4"/>
    <w:lvl w:ilvl="0" w:tplc="88B63C88">
      <w:start w:val="1"/>
      <w:numFmt w:val="lowerRoman"/>
      <w:lvlText w:val="(%1)"/>
      <w:lvlJc w:val="left"/>
      <w:pPr>
        <w:ind w:left="2847" w:hanging="720"/>
      </w:pPr>
      <w:rPr>
        <w:rFonts w:hint="default"/>
        <w:sz w:val="22"/>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0" w15:restartNumberingAfterBreak="0">
    <w:nsid w:val="66911E1D"/>
    <w:multiLevelType w:val="hybridMultilevel"/>
    <w:tmpl w:val="1C7040D8"/>
    <w:lvl w:ilvl="0" w:tplc="EB76BBB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673B02C8"/>
    <w:multiLevelType w:val="hybridMultilevel"/>
    <w:tmpl w:val="9EF00920"/>
    <w:lvl w:ilvl="0" w:tplc="5F5848B6">
      <w:start w:val="1"/>
      <w:numFmt w:val="lowerLetter"/>
      <w:lvlText w:val="(%1)"/>
      <w:lvlJc w:val="left"/>
      <w:pPr>
        <w:ind w:left="1069" w:hanging="360"/>
      </w:pPr>
      <w:rPr>
        <w:rFonts w:hint="default"/>
        <w:b w:val="0"/>
        <w:bCs/>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6E1C0255"/>
    <w:multiLevelType w:val="hybridMultilevel"/>
    <w:tmpl w:val="98E63106"/>
    <w:lvl w:ilvl="0" w:tplc="18689F5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71E24A02"/>
    <w:multiLevelType w:val="hybridMultilevel"/>
    <w:tmpl w:val="98E63106"/>
    <w:lvl w:ilvl="0" w:tplc="18689F5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2767BBD"/>
    <w:multiLevelType w:val="hybridMultilevel"/>
    <w:tmpl w:val="A2729F84"/>
    <w:lvl w:ilvl="0" w:tplc="1696EBF4">
      <w:start w:val="1"/>
      <w:numFmt w:val="lowerLetter"/>
      <w:lvlText w:val="(%1)"/>
      <w:lvlJc w:val="left"/>
      <w:pPr>
        <w:ind w:left="1999" w:hanging="360"/>
      </w:pPr>
      <w:rPr>
        <w:rFonts w:hint="default"/>
      </w:rPr>
    </w:lvl>
    <w:lvl w:ilvl="1" w:tplc="0C090019" w:tentative="1">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35" w15:restartNumberingAfterBreak="0">
    <w:nsid w:val="72A8798C"/>
    <w:multiLevelType w:val="hybridMultilevel"/>
    <w:tmpl w:val="93640F9E"/>
    <w:lvl w:ilvl="0" w:tplc="7EFAA092">
      <w:start w:val="1"/>
      <w:numFmt w:val="decimal"/>
      <w:lvlText w:val="(%1)"/>
      <w:lvlJc w:val="left"/>
      <w:pPr>
        <w:ind w:left="1271" w:hanging="420"/>
      </w:pPr>
      <w:rPr>
        <w:rFonts w:ascii="Times New Roman" w:hAnsi="Times New Roman" w:cs="Times New Roman" w:hint="default"/>
        <w:b w:val="0"/>
        <w:bCs/>
        <w:sz w:val="24"/>
        <w:szCs w:val="24"/>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743C7618"/>
    <w:multiLevelType w:val="hybridMultilevel"/>
    <w:tmpl w:val="1C7040D8"/>
    <w:lvl w:ilvl="0" w:tplc="EB76BBB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777C244A"/>
    <w:multiLevelType w:val="hybridMultilevel"/>
    <w:tmpl w:val="A2729F84"/>
    <w:lvl w:ilvl="0" w:tplc="1696EBF4">
      <w:start w:val="1"/>
      <w:numFmt w:val="lowerLetter"/>
      <w:lvlText w:val="(%1)"/>
      <w:lvlJc w:val="left"/>
      <w:pPr>
        <w:ind w:left="1999" w:hanging="360"/>
      </w:pPr>
      <w:rPr>
        <w:rFonts w:hint="default"/>
      </w:rPr>
    </w:lvl>
    <w:lvl w:ilvl="1" w:tplc="0C090019" w:tentative="1">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num w:numId="1">
    <w:abstractNumId w:val="10"/>
  </w:num>
  <w:num w:numId="2">
    <w:abstractNumId w:val="15"/>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24"/>
  </w:num>
  <w:num w:numId="17">
    <w:abstractNumId w:val="14"/>
  </w:num>
  <w:num w:numId="18">
    <w:abstractNumId w:val="13"/>
  </w:num>
  <w:num w:numId="19">
    <w:abstractNumId w:val="30"/>
  </w:num>
  <w:num w:numId="20">
    <w:abstractNumId w:val="31"/>
  </w:num>
  <w:num w:numId="21">
    <w:abstractNumId w:val="27"/>
  </w:num>
  <w:num w:numId="22">
    <w:abstractNumId w:val="32"/>
  </w:num>
  <w:num w:numId="23">
    <w:abstractNumId w:val="33"/>
  </w:num>
  <w:num w:numId="24">
    <w:abstractNumId w:val="20"/>
  </w:num>
  <w:num w:numId="25">
    <w:abstractNumId w:val="25"/>
  </w:num>
  <w:num w:numId="26">
    <w:abstractNumId w:val="11"/>
  </w:num>
  <w:num w:numId="27">
    <w:abstractNumId w:val="29"/>
  </w:num>
  <w:num w:numId="28">
    <w:abstractNumId w:val="36"/>
  </w:num>
  <w:num w:numId="29">
    <w:abstractNumId w:val="28"/>
  </w:num>
  <w:num w:numId="30">
    <w:abstractNumId w:val="21"/>
  </w:num>
  <w:num w:numId="31">
    <w:abstractNumId w:val="26"/>
  </w:num>
  <w:num w:numId="32">
    <w:abstractNumId w:val="37"/>
  </w:num>
  <w:num w:numId="33">
    <w:abstractNumId w:val="12"/>
  </w:num>
  <w:num w:numId="34">
    <w:abstractNumId w:val="34"/>
  </w:num>
  <w:num w:numId="35">
    <w:abstractNumId w:val="35"/>
  </w:num>
  <w:num w:numId="36">
    <w:abstractNumId w:val="19"/>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13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BF"/>
    <w:rsid w:val="000056EE"/>
    <w:rsid w:val="00011852"/>
    <w:rsid w:val="00012690"/>
    <w:rsid w:val="00012EF8"/>
    <w:rsid w:val="00013E3A"/>
    <w:rsid w:val="00021676"/>
    <w:rsid w:val="00024697"/>
    <w:rsid w:val="0002547F"/>
    <w:rsid w:val="00027EB9"/>
    <w:rsid w:val="00032756"/>
    <w:rsid w:val="000348CB"/>
    <w:rsid w:val="0003498B"/>
    <w:rsid w:val="00037CD1"/>
    <w:rsid w:val="000533D4"/>
    <w:rsid w:val="0005680C"/>
    <w:rsid w:val="0006230E"/>
    <w:rsid w:val="00070A26"/>
    <w:rsid w:val="00074A4E"/>
    <w:rsid w:val="000821BA"/>
    <w:rsid w:val="000914DF"/>
    <w:rsid w:val="00094A16"/>
    <w:rsid w:val="00097E36"/>
    <w:rsid w:val="000A705B"/>
    <w:rsid w:val="000A7AF2"/>
    <w:rsid w:val="000B52F3"/>
    <w:rsid w:val="000C02E6"/>
    <w:rsid w:val="000C0E9A"/>
    <w:rsid w:val="000C49DC"/>
    <w:rsid w:val="000C55F8"/>
    <w:rsid w:val="000C7EA1"/>
    <w:rsid w:val="000E16F3"/>
    <w:rsid w:val="000E5241"/>
    <w:rsid w:val="000E6727"/>
    <w:rsid w:val="000E7015"/>
    <w:rsid w:val="000F494B"/>
    <w:rsid w:val="000F56A2"/>
    <w:rsid w:val="000F5C9B"/>
    <w:rsid w:val="00105009"/>
    <w:rsid w:val="00110751"/>
    <w:rsid w:val="00113932"/>
    <w:rsid w:val="00114286"/>
    <w:rsid w:val="001241C9"/>
    <w:rsid w:val="001312CF"/>
    <w:rsid w:val="00137445"/>
    <w:rsid w:val="00137655"/>
    <w:rsid w:val="001410A9"/>
    <w:rsid w:val="001415D1"/>
    <w:rsid w:val="00141B4E"/>
    <w:rsid w:val="00142CB2"/>
    <w:rsid w:val="00144051"/>
    <w:rsid w:val="00145C33"/>
    <w:rsid w:val="0014660D"/>
    <w:rsid w:val="00147077"/>
    <w:rsid w:val="0015004C"/>
    <w:rsid w:val="00150F5C"/>
    <w:rsid w:val="001537AD"/>
    <w:rsid w:val="00154234"/>
    <w:rsid w:val="00157674"/>
    <w:rsid w:val="00160DB0"/>
    <w:rsid w:val="00161B14"/>
    <w:rsid w:val="001636B1"/>
    <w:rsid w:val="00165EF5"/>
    <w:rsid w:val="0017099C"/>
    <w:rsid w:val="00173542"/>
    <w:rsid w:val="00174936"/>
    <w:rsid w:val="00177450"/>
    <w:rsid w:val="00183AC8"/>
    <w:rsid w:val="00183FC5"/>
    <w:rsid w:val="00187B15"/>
    <w:rsid w:val="00187EC5"/>
    <w:rsid w:val="00190752"/>
    <w:rsid w:val="0019199A"/>
    <w:rsid w:val="00195BFB"/>
    <w:rsid w:val="001A0471"/>
    <w:rsid w:val="001A057B"/>
    <w:rsid w:val="001A0806"/>
    <w:rsid w:val="001A200E"/>
    <w:rsid w:val="001B2225"/>
    <w:rsid w:val="001B4AE0"/>
    <w:rsid w:val="001B503D"/>
    <w:rsid w:val="001B680B"/>
    <w:rsid w:val="001B7538"/>
    <w:rsid w:val="001D09D3"/>
    <w:rsid w:val="001D217A"/>
    <w:rsid w:val="001D49E7"/>
    <w:rsid w:val="001E049C"/>
    <w:rsid w:val="001F16BA"/>
    <w:rsid w:val="001F3D4C"/>
    <w:rsid w:val="002019B4"/>
    <w:rsid w:val="00204409"/>
    <w:rsid w:val="0020771F"/>
    <w:rsid w:val="002108D2"/>
    <w:rsid w:val="00211F14"/>
    <w:rsid w:val="002125DA"/>
    <w:rsid w:val="00213748"/>
    <w:rsid w:val="00213EC8"/>
    <w:rsid w:val="0021465E"/>
    <w:rsid w:val="00216F39"/>
    <w:rsid w:val="00217C64"/>
    <w:rsid w:val="00220EDA"/>
    <w:rsid w:val="00222DA1"/>
    <w:rsid w:val="0022369F"/>
    <w:rsid w:val="00223A7F"/>
    <w:rsid w:val="002245FC"/>
    <w:rsid w:val="00224C0E"/>
    <w:rsid w:val="00224DA4"/>
    <w:rsid w:val="00234FDE"/>
    <w:rsid w:val="00240030"/>
    <w:rsid w:val="0024087B"/>
    <w:rsid w:val="00241B30"/>
    <w:rsid w:val="00251437"/>
    <w:rsid w:val="00253675"/>
    <w:rsid w:val="00254B2F"/>
    <w:rsid w:val="00256425"/>
    <w:rsid w:val="00263CA6"/>
    <w:rsid w:val="0027113F"/>
    <w:rsid w:val="00275227"/>
    <w:rsid w:val="00281438"/>
    <w:rsid w:val="00284A2C"/>
    <w:rsid w:val="002919EE"/>
    <w:rsid w:val="002929F2"/>
    <w:rsid w:val="00296E69"/>
    <w:rsid w:val="002A1D3B"/>
    <w:rsid w:val="002A57A4"/>
    <w:rsid w:val="002B0FB1"/>
    <w:rsid w:val="002B4431"/>
    <w:rsid w:val="002C2F88"/>
    <w:rsid w:val="002C34B3"/>
    <w:rsid w:val="002C6352"/>
    <w:rsid w:val="002C7FDD"/>
    <w:rsid w:val="002D24DD"/>
    <w:rsid w:val="002D3EED"/>
    <w:rsid w:val="002D44C5"/>
    <w:rsid w:val="002D68AE"/>
    <w:rsid w:val="002E0C9A"/>
    <w:rsid w:val="002E33C2"/>
    <w:rsid w:val="002F5E48"/>
    <w:rsid w:val="002F6E92"/>
    <w:rsid w:val="0030627F"/>
    <w:rsid w:val="00320A40"/>
    <w:rsid w:val="003263DD"/>
    <w:rsid w:val="003316D6"/>
    <w:rsid w:val="00331F91"/>
    <w:rsid w:val="003327E3"/>
    <w:rsid w:val="003408C2"/>
    <w:rsid w:val="00342DD9"/>
    <w:rsid w:val="00347278"/>
    <w:rsid w:val="00347ABE"/>
    <w:rsid w:val="00352893"/>
    <w:rsid w:val="003535E0"/>
    <w:rsid w:val="003570F6"/>
    <w:rsid w:val="00360F57"/>
    <w:rsid w:val="003658E6"/>
    <w:rsid w:val="00366209"/>
    <w:rsid w:val="00376D04"/>
    <w:rsid w:val="0038236C"/>
    <w:rsid w:val="00382EAF"/>
    <w:rsid w:val="00383571"/>
    <w:rsid w:val="00383D0E"/>
    <w:rsid w:val="00384027"/>
    <w:rsid w:val="003843EC"/>
    <w:rsid w:val="00396235"/>
    <w:rsid w:val="00396732"/>
    <w:rsid w:val="003A2BF9"/>
    <w:rsid w:val="003A3291"/>
    <w:rsid w:val="003C0AF2"/>
    <w:rsid w:val="003C3C69"/>
    <w:rsid w:val="003C700C"/>
    <w:rsid w:val="003C7D9A"/>
    <w:rsid w:val="003D20DD"/>
    <w:rsid w:val="003D318F"/>
    <w:rsid w:val="003D39BA"/>
    <w:rsid w:val="003D4FCC"/>
    <w:rsid w:val="003D6610"/>
    <w:rsid w:val="003D72D7"/>
    <w:rsid w:val="003F1A0A"/>
    <w:rsid w:val="003F43C5"/>
    <w:rsid w:val="0040208C"/>
    <w:rsid w:val="00402294"/>
    <w:rsid w:val="00403CA6"/>
    <w:rsid w:val="00405625"/>
    <w:rsid w:val="00410288"/>
    <w:rsid w:val="00411C6B"/>
    <w:rsid w:val="004144A9"/>
    <w:rsid w:val="004162D6"/>
    <w:rsid w:val="004174C2"/>
    <w:rsid w:val="00420A7B"/>
    <w:rsid w:val="0043304C"/>
    <w:rsid w:val="00434F21"/>
    <w:rsid w:val="0043600E"/>
    <w:rsid w:val="00440BE1"/>
    <w:rsid w:val="00447669"/>
    <w:rsid w:val="00454D0B"/>
    <w:rsid w:val="0046180F"/>
    <w:rsid w:val="0046344B"/>
    <w:rsid w:val="00471C7B"/>
    <w:rsid w:val="0047221D"/>
    <w:rsid w:val="00472FA8"/>
    <w:rsid w:val="00473443"/>
    <w:rsid w:val="00482B0A"/>
    <w:rsid w:val="00484DBA"/>
    <w:rsid w:val="004853CC"/>
    <w:rsid w:val="00487822"/>
    <w:rsid w:val="004903AD"/>
    <w:rsid w:val="00490A06"/>
    <w:rsid w:val="00494A60"/>
    <w:rsid w:val="00497857"/>
    <w:rsid w:val="004A28F1"/>
    <w:rsid w:val="004A4722"/>
    <w:rsid w:val="004A4B15"/>
    <w:rsid w:val="004B7844"/>
    <w:rsid w:val="004C0E42"/>
    <w:rsid w:val="004C446A"/>
    <w:rsid w:val="004C4F5D"/>
    <w:rsid w:val="004C52A2"/>
    <w:rsid w:val="004D2CCB"/>
    <w:rsid w:val="004D3B69"/>
    <w:rsid w:val="004D550B"/>
    <w:rsid w:val="004D7964"/>
    <w:rsid w:val="004E01BE"/>
    <w:rsid w:val="004E3605"/>
    <w:rsid w:val="004E3648"/>
    <w:rsid w:val="004E6AFA"/>
    <w:rsid w:val="004F3A0D"/>
    <w:rsid w:val="004F4139"/>
    <w:rsid w:val="004F4E12"/>
    <w:rsid w:val="004F523E"/>
    <w:rsid w:val="004F6457"/>
    <w:rsid w:val="004F66D8"/>
    <w:rsid w:val="004F6DDA"/>
    <w:rsid w:val="004F7DD7"/>
    <w:rsid w:val="0050017F"/>
    <w:rsid w:val="00500459"/>
    <w:rsid w:val="00501675"/>
    <w:rsid w:val="0050407D"/>
    <w:rsid w:val="00505817"/>
    <w:rsid w:val="00515DE3"/>
    <w:rsid w:val="00516F09"/>
    <w:rsid w:val="00517D01"/>
    <w:rsid w:val="00520641"/>
    <w:rsid w:val="00521CEB"/>
    <w:rsid w:val="005228C1"/>
    <w:rsid w:val="00522941"/>
    <w:rsid w:val="00523AE4"/>
    <w:rsid w:val="00524D7C"/>
    <w:rsid w:val="00526A68"/>
    <w:rsid w:val="00530A4B"/>
    <w:rsid w:val="00533AB5"/>
    <w:rsid w:val="00535884"/>
    <w:rsid w:val="00551FD3"/>
    <w:rsid w:val="00552309"/>
    <w:rsid w:val="00563273"/>
    <w:rsid w:val="00564001"/>
    <w:rsid w:val="00564A57"/>
    <w:rsid w:val="0056737D"/>
    <w:rsid w:val="005719CF"/>
    <w:rsid w:val="00575576"/>
    <w:rsid w:val="00584A71"/>
    <w:rsid w:val="00590B66"/>
    <w:rsid w:val="00593C41"/>
    <w:rsid w:val="005944CF"/>
    <w:rsid w:val="00596122"/>
    <w:rsid w:val="00596F0D"/>
    <w:rsid w:val="005971A1"/>
    <w:rsid w:val="005A0F53"/>
    <w:rsid w:val="005A2A56"/>
    <w:rsid w:val="005A45DD"/>
    <w:rsid w:val="005B6D02"/>
    <w:rsid w:val="005C00F6"/>
    <w:rsid w:val="005C1E35"/>
    <w:rsid w:val="005C3646"/>
    <w:rsid w:val="005D0E13"/>
    <w:rsid w:val="005D2A38"/>
    <w:rsid w:val="005D3C76"/>
    <w:rsid w:val="005D6F22"/>
    <w:rsid w:val="005D7FE4"/>
    <w:rsid w:val="005E0960"/>
    <w:rsid w:val="005E5309"/>
    <w:rsid w:val="005E5395"/>
    <w:rsid w:val="005E6A5B"/>
    <w:rsid w:val="005F0786"/>
    <w:rsid w:val="005F5365"/>
    <w:rsid w:val="00600CF9"/>
    <w:rsid w:val="00606FC9"/>
    <w:rsid w:val="006133D2"/>
    <w:rsid w:val="006136E1"/>
    <w:rsid w:val="0061472F"/>
    <w:rsid w:val="006165B3"/>
    <w:rsid w:val="00616FD6"/>
    <w:rsid w:val="00617061"/>
    <w:rsid w:val="00623919"/>
    <w:rsid w:val="00624572"/>
    <w:rsid w:val="00625BDD"/>
    <w:rsid w:val="0062619F"/>
    <w:rsid w:val="00636345"/>
    <w:rsid w:val="006378C3"/>
    <w:rsid w:val="00644B8D"/>
    <w:rsid w:val="00645B40"/>
    <w:rsid w:val="0064691F"/>
    <w:rsid w:val="00646DC2"/>
    <w:rsid w:val="006503AC"/>
    <w:rsid w:val="00655E91"/>
    <w:rsid w:val="00657047"/>
    <w:rsid w:val="00663D5A"/>
    <w:rsid w:val="00672003"/>
    <w:rsid w:val="00686231"/>
    <w:rsid w:val="006903B0"/>
    <w:rsid w:val="00693D62"/>
    <w:rsid w:val="006A0473"/>
    <w:rsid w:val="006B27F1"/>
    <w:rsid w:val="006B28EE"/>
    <w:rsid w:val="006C2F02"/>
    <w:rsid w:val="006C42CE"/>
    <w:rsid w:val="006C4BED"/>
    <w:rsid w:val="006C53D2"/>
    <w:rsid w:val="006D173D"/>
    <w:rsid w:val="006D1971"/>
    <w:rsid w:val="006D35D5"/>
    <w:rsid w:val="006D41A0"/>
    <w:rsid w:val="006D4B7F"/>
    <w:rsid w:val="006D6872"/>
    <w:rsid w:val="006E06EA"/>
    <w:rsid w:val="006E4B43"/>
    <w:rsid w:val="006E69DC"/>
    <w:rsid w:val="006F061C"/>
    <w:rsid w:val="006F3964"/>
    <w:rsid w:val="006F5607"/>
    <w:rsid w:val="00701D36"/>
    <w:rsid w:val="007037DD"/>
    <w:rsid w:val="00703B38"/>
    <w:rsid w:val="00710DC7"/>
    <w:rsid w:val="00717563"/>
    <w:rsid w:val="007208FA"/>
    <w:rsid w:val="00720E12"/>
    <w:rsid w:val="00722943"/>
    <w:rsid w:val="00724886"/>
    <w:rsid w:val="00727EE7"/>
    <w:rsid w:val="00735B24"/>
    <w:rsid w:val="00740564"/>
    <w:rsid w:val="00742BE4"/>
    <w:rsid w:val="007436B9"/>
    <w:rsid w:val="00747C86"/>
    <w:rsid w:val="00750F54"/>
    <w:rsid w:val="0075117D"/>
    <w:rsid w:val="0075789A"/>
    <w:rsid w:val="00761759"/>
    <w:rsid w:val="00771B1D"/>
    <w:rsid w:val="00772B91"/>
    <w:rsid w:val="007757A0"/>
    <w:rsid w:val="0078269A"/>
    <w:rsid w:val="00787D5F"/>
    <w:rsid w:val="007911C1"/>
    <w:rsid w:val="007A1349"/>
    <w:rsid w:val="007A3567"/>
    <w:rsid w:val="007A56B8"/>
    <w:rsid w:val="007A5876"/>
    <w:rsid w:val="007A7D05"/>
    <w:rsid w:val="007C0378"/>
    <w:rsid w:val="007D2042"/>
    <w:rsid w:val="007D2FBB"/>
    <w:rsid w:val="007E21C3"/>
    <w:rsid w:val="007E2AB6"/>
    <w:rsid w:val="007E4DC1"/>
    <w:rsid w:val="007E6801"/>
    <w:rsid w:val="007F3913"/>
    <w:rsid w:val="00802693"/>
    <w:rsid w:val="00802A3D"/>
    <w:rsid w:val="00802C50"/>
    <w:rsid w:val="0080309D"/>
    <w:rsid w:val="00804233"/>
    <w:rsid w:val="00805665"/>
    <w:rsid w:val="00806B35"/>
    <w:rsid w:val="00812C6A"/>
    <w:rsid w:val="00814437"/>
    <w:rsid w:val="0081669B"/>
    <w:rsid w:val="008200F1"/>
    <w:rsid w:val="00820E6A"/>
    <w:rsid w:val="00821F9F"/>
    <w:rsid w:val="0082241C"/>
    <w:rsid w:val="00827C9C"/>
    <w:rsid w:val="00833587"/>
    <w:rsid w:val="00833F72"/>
    <w:rsid w:val="00836CA1"/>
    <w:rsid w:val="00842339"/>
    <w:rsid w:val="00851BB2"/>
    <w:rsid w:val="00853492"/>
    <w:rsid w:val="008536D8"/>
    <w:rsid w:val="00855B7C"/>
    <w:rsid w:val="008567A7"/>
    <w:rsid w:val="00856AC8"/>
    <w:rsid w:val="008621D6"/>
    <w:rsid w:val="008646C8"/>
    <w:rsid w:val="00870B97"/>
    <w:rsid w:val="00880286"/>
    <w:rsid w:val="00882D34"/>
    <w:rsid w:val="0088450B"/>
    <w:rsid w:val="0088486E"/>
    <w:rsid w:val="00886E8F"/>
    <w:rsid w:val="00890A16"/>
    <w:rsid w:val="00890A7F"/>
    <w:rsid w:val="00891412"/>
    <w:rsid w:val="008949D1"/>
    <w:rsid w:val="0089764D"/>
    <w:rsid w:val="008A0372"/>
    <w:rsid w:val="008A0D3A"/>
    <w:rsid w:val="008A483B"/>
    <w:rsid w:val="008A5521"/>
    <w:rsid w:val="008A5870"/>
    <w:rsid w:val="008A73B2"/>
    <w:rsid w:val="008B0732"/>
    <w:rsid w:val="008C4733"/>
    <w:rsid w:val="008C5BD2"/>
    <w:rsid w:val="008D1BB1"/>
    <w:rsid w:val="008D349D"/>
    <w:rsid w:val="008D52C9"/>
    <w:rsid w:val="008D68C0"/>
    <w:rsid w:val="008E02E5"/>
    <w:rsid w:val="008E3156"/>
    <w:rsid w:val="008E5537"/>
    <w:rsid w:val="008E5841"/>
    <w:rsid w:val="008E74ED"/>
    <w:rsid w:val="008F003F"/>
    <w:rsid w:val="008F5EC2"/>
    <w:rsid w:val="00900781"/>
    <w:rsid w:val="00901865"/>
    <w:rsid w:val="00902BA7"/>
    <w:rsid w:val="00906D22"/>
    <w:rsid w:val="009070F5"/>
    <w:rsid w:val="00914CC9"/>
    <w:rsid w:val="00915B19"/>
    <w:rsid w:val="0091697D"/>
    <w:rsid w:val="00920BDC"/>
    <w:rsid w:val="0093033C"/>
    <w:rsid w:val="009356C5"/>
    <w:rsid w:val="009553F5"/>
    <w:rsid w:val="00962521"/>
    <w:rsid w:val="009625BC"/>
    <w:rsid w:val="00963E58"/>
    <w:rsid w:val="00964CE0"/>
    <w:rsid w:val="00966024"/>
    <w:rsid w:val="0096686E"/>
    <w:rsid w:val="0096767F"/>
    <w:rsid w:val="00971DFA"/>
    <w:rsid w:val="0097307E"/>
    <w:rsid w:val="00974AF3"/>
    <w:rsid w:val="00977116"/>
    <w:rsid w:val="0097798D"/>
    <w:rsid w:val="00982FFF"/>
    <w:rsid w:val="009830DC"/>
    <w:rsid w:val="009834FA"/>
    <w:rsid w:val="00986BE5"/>
    <w:rsid w:val="00992710"/>
    <w:rsid w:val="00992CEC"/>
    <w:rsid w:val="0099430E"/>
    <w:rsid w:val="00994BF2"/>
    <w:rsid w:val="009A0DED"/>
    <w:rsid w:val="009A43F4"/>
    <w:rsid w:val="009A595E"/>
    <w:rsid w:val="009B34EA"/>
    <w:rsid w:val="009B68AD"/>
    <w:rsid w:val="009C0DE1"/>
    <w:rsid w:val="009C1C01"/>
    <w:rsid w:val="009C27D7"/>
    <w:rsid w:val="009C7B2F"/>
    <w:rsid w:val="009D058E"/>
    <w:rsid w:val="009D13E9"/>
    <w:rsid w:val="009D17D3"/>
    <w:rsid w:val="009D315A"/>
    <w:rsid w:val="009E08B8"/>
    <w:rsid w:val="009E3171"/>
    <w:rsid w:val="009E329C"/>
    <w:rsid w:val="009F00B3"/>
    <w:rsid w:val="009F47BC"/>
    <w:rsid w:val="009F5657"/>
    <w:rsid w:val="009F6100"/>
    <w:rsid w:val="009F7091"/>
    <w:rsid w:val="00A004DB"/>
    <w:rsid w:val="00A00812"/>
    <w:rsid w:val="00A112BB"/>
    <w:rsid w:val="00A1281A"/>
    <w:rsid w:val="00A15EA3"/>
    <w:rsid w:val="00A17925"/>
    <w:rsid w:val="00A208AB"/>
    <w:rsid w:val="00A232BF"/>
    <w:rsid w:val="00A30353"/>
    <w:rsid w:val="00A30995"/>
    <w:rsid w:val="00A31BE9"/>
    <w:rsid w:val="00A32AFB"/>
    <w:rsid w:val="00A37AC5"/>
    <w:rsid w:val="00A40923"/>
    <w:rsid w:val="00A40D7D"/>
    <w:rsid w:val="00A429A5"/>
    <w:rsid w:val="00A453B8"/>
    <w:rsid w:val="00A45D09"/>
    <w:rsid w:val="00A47E25"/>
    <w:rsid w:val="00A518E6"/>
    <w:rsid w:val="00A6199B"/>
    <w:rsid w:val="00A64F24"/>
    <w:rsid w:val="00A65B7A"/>
    <w:rsid w:val="00A7238F"/>
    <w:rsid w:val="00A72A46"/>
    <w:rsid w:val="00A742C6"/>
    <w:rsid w:val="00A74570"/>
    <w:rsid w:val="00A74714"/>
    <w:rsid w:val="00A74A29"/>
    <w:rsid w:val="00A778BF"/>
    <w:rsid w:val="00A82D4B"/>
    <w:rsid w:val="00A857BE"/>
    <w:rsid w:val="00A867B2"/>
    <w:rsid w:val="00A87051"/>
    <w:rsid w:val="00A93472"/>
    <w:rsid w:val="00A93484"/>
    <w:rsid w:val="00A9523D"/>
    <w:rsid w:val="00A96E0C"/>
    <w:rsid w:val="00AA1CA9"/>
    <w:rsid w:val="00AA2C0E"/>
    <w:rsid w:val="00AA31CC"/>
    <w:rsid w:val="00AA4578"/>
    <w:rsid w:val="00AB04F3"/>
    <w:rsid w:val="00AB3AA5"/>
    <w:rsid w:val="00AB6021"/>
    <w:rsid w:val="00AC1914"/>
    <w:rsid w:val="00AC4058"/>
    <w:rsid w:val="00AD3815"/>
    <w:rsid w:val="00AD4C82"/>
    <w:rsid w:val="00AE2AE8"/>
    <w:rsid w:val="00AE6EF9"/>
    <w:rsid w:val="00AF3C0B"/>
    <w:rsid w:val="00B02301"/>
    <w:rsid w:val="00B056E2"/>
    <w:rsid w:val="00B06605"/>
    <w:rsid w:val="00B117D1"/>
    <w:rsid w:val="00B11FF4"/>
    <w:rsid w:val="00B1490D"/>
    <w:rsid w:val="00B1527F"/>
    <w:rsid w:val="00B16BCE"/>
    <w:rsid w:val="00B16DDD"/>
    <w:rsid w:val="00B23CF8"/>
    <w:rsid w:val="00B27130"/>
    <w:rsid w:val="00B27402"/>
    <w:rsid w:val="00B34756"/>
    <w:rsid w:val="00B41A08"/>
    <w:rsid w:val="00B4372D"/>
    <w:rsid w:val="00B440EB"/>
    <w:rsid w:val="00B50B2D"/>
    <w:rsid w:val="00B5224F"/>
    <w:rsid w:val="00B564FE"/>
    <w:rsid w:val="00B61AED"/>
    <w:rsid w:val="00B61BD7"/>
    <w:rsid w:val="00B64D46"/>
    <w:rsid w:val="00B65355"/>
    <w:rsid w:val="00B65B18"/>
    <w:rsid w:val="00B71C99"/>
    <w:rsid w:val="00B7226E"/>
    <w:rsid w:val="00B73ED2"/>
    <w:rsid w:val="00B74AE5"/>
    <w:rsid w:val="00B7758C"/>
    <w:rsid w:val="00B8004D"/>
    <w:rsid w:val="00B8110F"/>
    <w:rsid w:val="00B81BAA"/>
    <w:rsid w:val="00B82564"/>
    <w:rsid w:val="00B82B9D"/>
    <w:rsid w:val="00B82EAA"/>
    <w:rsid w:val="00B93121"/>
    <w:rsid w:val="00B97B95"/>
    <w:rsid w:val="00BA10F1"/>
    <w:rsid w:val="00BA1E28"/>
    <w:rsid w:val="00BA32BF"/>
    <w:rsid w:val="00BA46A3"/>
    <w:rsid w:val="00BA4F43"/>
    <w:rsid w:val="00BA5A4E"/>
    <w:rsid w:val="00BA61EE"/>
    <w:rsid w:val="00BB2781"/>
    <w:rsid w:val="00BB5CE5"/>
    <w:rsid w:val="00BB726C"/>
    <w:rsid w:val="00BC053C"/>
    <w:rsid w:val="00BD2512"/>
    <w:rsid w:val="00BE2947"/>
    <w:rsid w:val="00BE2A6B"/>
    <w:rsid w:val="00BE33E7"/>
    <w:rsid w:val="00BE3D22"/>
    <w:rsid w:val="00BE6504"/>
    <w:rsid w:val="00BE7C82"/>
    <w:rsid w:val="00BF25FA"/>
    <w:rsid w:val="00BF365C"/>
    <w:rsid w:val="00BF6656"/>
    <w:rsid w:val="00BF7E18"/>
    <w:rsid w:val="00C00813"/>
    <w:rsid w:val="00C02DBF"/>
    <w:rsid w:val="00C03332"/>
    <w:rsid w:val="00C10C31"/>
    <w:rsid w:val="00C113AE"/>
    <w:rsid w:val="00C12CA3"/>
    <w:rsid w:val="00C143E8"/>
    <w:rsid w:val="00C144DF"/>
    <w:rsid w:val="00C15633"/>
    <w:rsid w:val="00C17F00"/>
    <w:rsid w:val="00C21C3D"/>
    <w:rsid w:val="00C2286A"/>
    <w:rsid w:val="00C24593"/>
    <w:rsid w:val="00C25519"/>
    <w:rsid w:val="00C320F9"/>
    <w:rsid w:val="00C354E3"/>
    <w:rsid w:val="00C37228"/>
    <w:rsid w:val="00C4697F"/>
    <w:rsid w:val="00C54350"/>
    <w:rsid w:val="00C56466"/>
    <w:rsid w:val="00C62CF6"/>
    <w:rsid w:val="00C63448"/>
    <w:rsid w:val="00C63F35"/>
    <w:rsid w:val="00C65018"/>
    <w:rsid w:val="00C7037E"/>
    <w:rsid w:val="00C71889"/>
    <w:rsid w:val="00C71A74"/>
    <w:rsid w:val="00C7214E"/>
    <w:rsid w:val="00C73541"/>
    <w:rsid w:val="00C74ABA"/>
    <w:rsid w:val="00C75F58"/>
    <w:rsid w:val="00C7648E"/>
    <w:rsid w:val="00C8165C"/>
    <w:rsid w:val="00C82D38"/>
    <w:rsid w:val="00C849ED"/>
    <w:rsid w:val="00C85D0E"/>
    <w:rsid w:val="00C86D30"/>
    <w:rsid w:val="00C92281"/>
    <w:rsid w:val="00C9472B"/>
    <w:rsid w:val="00C95A4E"/>
    <w:rsid w:val="00C97166"/>
    <w:rsid w:val="00C97A82"/>
    <w:rsid w:val="00CA0CFF"/>
    <w:rsid w:val="00CA5580"/>
    <w:rsid w:val="00CB5013"/>
    <w:rsid w:val="00CB50B4"/>
    <w:rsid w:val="00CB5EDC"/>
    <w:rsid w:val="00CC03EF"/>
    <w:rsid w:val="00CC4EF4"/>
    <w:rsid w:val="00CC7753"/>
    <w:rsid w:val="00CD2F61"/>
    <w:rsid w:val="00CD3F29"/>
    <w:rsid w:val="00CF0EB3"/>
    <w:rsid w:val="00CF6B79"/>
    <w:rsid w:val="00CF7042"/>
    <w:rsid w:val="00D00741"/>
    <w:rsid w:val="00D02CCC"/>
    <w:rsid w:val="00D064C9"/>
    <w:rsid w:val="00D10226"/>
    <w:rsid w:val="00D10555"/>
    <w:rsid w:val="00D108FD"/>
    <w:rsid w:val="00D111DB"/>
    <w:rsid w:val="00D12ACA"/>
    <w:rsid w:val="00D22684"/>
    <w:rsid w:val="00D23AEB"/>
    <w:rsid w:val="00D30144"/>
    <w:rsid w:val="00D305D7"/>
    <w:rsid w:val="00D3264B"/>
    <w:rsid w:val="00D405C2"/>
    <w:rsid w:val="00D411A0"/>
    <w:rsid w:val="00D42B02"/>
    <w:rsid w:val="00D4341A"/>
    <w:rsid w:val="00D449AE"/>
    <w:rsid w:val="00D50ABE"/>
    <w:rsid w:val="00D512C5"/>
    <w:rsid w:val="00D53085"/>
    <w:rsid w:val="00D558BA"/>
    <w:rsid w:val="00D55BBF"/>
    <w:rsid w:val="00D5643B"/>
    <w:rsid w:val="00D62BA7"/>
    <w:rsid w:val="00D62C81"/>
    <w:rsid w:val="00D632AF"/>
    <w:rsid w:val="00D74293"/>
    <w:rsid w:val="00D74843"/>
    <w:rsid w:val="00D75D04"/>
    <w:rsid w:val="00D771D4"/>
    <w:rsid w:val="00D779B3"/>
    <w:rsid w:val="00D8139E"/>
    <w:rsid w:val="00D86301"/>
    <w:rsid w:val="00D903BE"/>
    <w:rsid w:val="00D90FBC"/>
    <w:rsid w:val="00D9415C"/>
    <w:rsid w:val="00D96401"/>
    <w:rsid w:val="00D96FAA"/>
    <w:rsid w:val="00DA23A3"/>
    <w:rsid w:val="00DA270C"/>
    <w:rsid w:val="00DB3C97"/>
    <w:rsid w:val="00DB78AA"/>
    <w:rsid w:val="00DC1628"/>
    <w:rsid w:val="00DC413A"/>
    <w:rsid w:val="00DC442A"/>
    <w:rsid w:val="00DC61F5"/>
    <w:rsid w:val="00DD0812"/>
    <w:rsid w:val="00DD3616"/>
    <w:rsid w:val="00DD4B9E"/>
    <w:rsid w:val="00DD7F49"/>
    <w:rsid w:val="00DE0A50"/>
    <w:rsid w:val="00DE24ED"/>
    <w:rsid w:val="00DE4D4D"/>
    <w:rsid w:val="00DE4F37"/>
    <w:rsid w:val="00DF49CD"/>
    <w:rsid w:val="00E01F26"/>
    <w:rsid w:val="00E0273C"/>
    <w:rsid w:val="00E07150"/>
    <w:rsid w:val="00E133E0"/>
    <w:rsid w:val="00E1575D"/>
    <w:rsid w:val="00E16795"/>
    <w:rsid w:val="00E236B6"/>
    <w:rsid w:val="00E30FED"/>
    <w:rsid w:val="00E371BB"/>
    <w:rsid w:val="00E56B25"/>
    <w:rsid w:val="00E654E4"/>
    <w:rsid w:val="00E72770"/>
    <w:rsid w:val="00E759B1"/>
    <w:rsid w:val="00E77EFF"/>
    <w:rsid w:val="00E84625"/>
    <w:rsid w:val="00E92EA3"/>
    <w:rsid w:val="00E95538"/>
    <w:rsid w:val="00E955F5"/>
    <w:rsid w:val="00E95657"/>
    <w:rsid w:val="00E96D8A"/>
    <w:rsid w:val="00EA388F"/>
    <w:rsid w:val="00EA3E08"/>
    <w:rsid w:val="00EA50AA"/>
    <w:rsid w:val="00EA521A"/>
    <w:rsid w:val="00EB160C"/>
    <w:rsid w:val="00EB4EA0"/>
    <w:rsid w:val="00EB6AC3"/>
    <w:rsid w:val="00EC0462"/>
    <w:rsid w:val="00EC2C35"/>
    <w:rsid w:val="00EC4EB5"/>
    <w:rsid w:val="00EC533B"/>
    <w:rsid w:val="00EC6938"/>
    <w:rsid w:val="00ED07E0"/>
    <w:rsid w:val="00ED2990"/>
    <w:rsid w:val="00ED3960"/>
    <w:rsid w:val="00EE2410"/>
    <w:rsid w:val="00EE62C8"/>
    <w:rsid w:val="00EE7D3C"/>
    <w:rsid w:val="00EF0D82"/>
    <w:rsid w:val="00EF2854"/>
    <w:rsid w:val="00EF4189"/>
    <w:rsid w:val="00EF4628"/>
    <w:rsid w:val="00F014EB"/>
    <w:rsid w:val="00F14EC9"/>
    <w:rsid w:val="00F166A3"/>
    <w:rsid w:val="00F253A0"/>
    <w:rsid w:val="00F25838"/>
    <w:rsid w:val="00F325AA"/>
    <w:rsid w:val="00F32A42"/>
    <w:rsid w:val="00F3318F"/>
    <w:rsid w:val="00F3607A"/>
    <w:rsid w:val="00F378C8"/>
    <w:rsid w:val="00F47C2F"/>
    <w:rsid w:val="00F532FC"/>
    <w:rsid w:val="00F63A79"/>
    <w:rsid w:val="00F72662"/>
    <w:rsid w:val="00F72C5B"/>
    <w:rsid w:val="00F74980"/>
    <w:rsid w:val="00F74DBD"/>
    <w:rsid w:val="00F83E23"/>
    <w:rsid w:val="00F86985"/>
    <w:rsid w:val="00F86AD1"/>
    <w:rsid w:val="00F9390A"/>
    <w:rsid w:val="00F974D5"/>
    <w:rsid w:val="00FA108D"/>
    <w:rsid w:val="00FA6EF6"/>
    <w:rsid w:val="00FB2A3E"/>
    <w:rsid w:val="00FB515C"/>
    <w:rsid w:val="00FB522F"/>
    <w:rsid w:val="00FB68C5"/>
    <w:rsid w:val="00FC1CF1"/>
    <w:rsid w:val="00FC45BD"/>
    <w:rsid w:val="00FD1106"/>
    <w:rsid w:val="00FD212A"/>
    <w:rsid w:val="00FD4B3A"/>
    <w:rsid w:val="00FD5552"/>
    <w:rsid w:val="00FE0165"/>
    <w:rsid w:val="00FE2C6B"/>
    <w:rsid w:val="00FE31EA"/>
    <w:rsid w:val="00FE3FC6"/>
    <w:rsid w:val="00FE6EEA"/>
    <w:rsid w:val="00FF20D1"/>
    <w:rsid w:val="00FF7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47DE3E"/>
  <w15:docId w15:val="{1DD87787-BB8F-421E-9F6C-F4FADB9E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uiPriority w:val="99"/>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uiPriority w:val="99"/>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qForma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uiPriority w:val="99"/>
    <w:rsid w:val="008A483B"/>
    <w:rPr>
      <w:sz w:val="16"/>
      <w:szCs w:val="16"/>
    </w:rPr>
  </w:style>
  <w:style w:type="paragraph" w:styleId="CommentText">
    <w:name w:val="annotation text"/>
    <w:basedOn w:val="Normal"/>
    <w:link w:val="CommentTextChar"/>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link w:val="notetextChar"/>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CHS">
    <w:name w:val="CHS"/>
    <w:aliases w:val="CASA Subdivision Heading"/>
    <w:basedOn w:val="HS"/>
    <w:next w:val="HR"/>
    <w:rsid w:val="00F74DBD"/>
    <w:rPr>
      <w:b w:val="0"/>
      <w:i/>
    </w:rPr>
  </w:style>
  <w:style w:type="paragraph" w:customStyle="1" w:styleId="FooterInfo0">
    <w:name w:val="FooterInfo"/>
    <w:basedOn w:val="Normal"/>
    <w:semiHidden/>
    <w:rsid w:val="00A30995"/>
    <w:rPr>
      <w:rFonts w:ascii="Arial" w:hAnsi="Arial" w:cs="Arial"/>
      <w:sz w:val="12"/>
      <w:szCs w:val="12"/>
    </w:rPr>
  </w:style>
  <w:style w:type="paragraph" w:customStyle="1" w:styleId="Scheduleheading0">
    <w:name w:val="Schedule heading"/>
    <w:basedOn w:val="Normal"/>
    <w:next w:val="R1"/>
    <w:rsid w:val="00A30995"/>
    <w:pPr>
      <w:keepNext/>
      <w:tabs>
        <w:tab w:val="left" w:pos="1985"/>
      </w:tabs>
      <w:autoSpaceDE w:val="0"/>
      <w:autoSpaceDN w:val="0"/>
      <w:spacing w:before="360"/>
      <w:ind w:left="964" w:hanging="964"/>
    </w:pPr>
    <w:rPr>
      <w:rFonts w:ascii="Arial" w:hAnsi="Arial" w:cs="Arial"/>
      <w:b/>
      <w:bCs/>
    </w:rPr>
  </w:style>
  <w:style w:type="paragraph" w:customStyle="1" w:styleId="Firstpage-Bar">
    <w:name w:val="First page - Bar"/>
    <w:basedOn w:val="Normal"/>
    <w:rsid w:val="00A30995"/>
    <w:pPr>
      <w:tabs>
        <w:tab w:val="bar" w:pos="2700"/>
      </w:tabs>
      <w:autoSpaceDE w:val="0"/>
      <w:autoSpaceDN w:val="0"/>
      <w:ind w:left="3060"/>
    </w:pPr>
    <w:rPr>
      <w:rFonts w:ascii="Times" w:hAnsi="Times" w:cs="Times"/>
    </w:rPr>
  </w:style>
  <w:style w:type="paragraph" w:customStyle="1" w:styleId="Firstpagetitle">
    <w:name w:val="First page title"/>
    <w:basedOn w:val="Normal"/>
    <w:rsid w:val="00A30995"/>
    <w:pPr>
      <w:tabs>
        <w:tab w:val="bar" w:pos="2700"/>
      </w:tabs>
      <w:autoSpaceDE w:val="0"/>
      <w:autoSpaceDN w:val="0"/>
      <w:spacing w:line="240" w:lineRule="atLeast"/>
      <w:ind w:left="2880"/>
      <w:jc w:val="center"/>
    </w:pPr>
    <w:rPr>
      <w:rFonts w:ascii="Times" w:hAnsi="Times" w:cs="Times"/>
      <w:b/>
      <w:bCs/>
      <w:sz w:val="44"/>
      <w:szCs w:val="44"/>
    </w:rPr>
  </w:style>
  <w:style w:type="paragraph" w:customStyle="1" w:styleId="FirstpagedescnBar">
    <w:name w:val="First page descn Bar"/>
    <w:basedOn w:val="Normal"/>
    <w:rsid w:val="00A30995"/>
    <w:pPr>
      <w:tabs>
        <w:tab w:val="bar" w:pos="2699"/>
        <w:tab w:val="right" w:pos="9356"/>
      </w:tabs>
      <w:autoSpaceDE w:val="0"/>
      <w:autoSpaceDN w:val="0"/>
      <w:spacing w:line="240" w:lineRule="atLeast"/>
      <w:ind w:left="2880"/>
    </w:pPr>
    <w:rPr>
      <w:rFonts w:ascii="Times" w:hAnsi="Times" w:cs="Times"/>
      <w:b/>
      <w:bCs/>
      <w:sz w:val="36"/>
      <w:szCs w:val="36"/>
    </w:rPr>
  </w:style>
  <w:style w:type="paragraph" w:customStyle="1" w:styleId="Paratextnonumber">
    <w:name w:val="Para text (no number)"/>
    <w:basedOn w:val="Normal"/>
    <w:rsid w:val="00A30995"/>
    <w:pPr>
      <w:autoSpaceDE w:val="0"/>
      <w:autoSpaceDN w:val="0"/>
      <w:spacing w:before="240" w:line="240" w:lineRule="atLeast"/>
      <w:ind w:left="1440"/>
    </w:pPr>
    <w:rPr>
      <w:rFonts w:ascii="Times" w:hAnsi="Times" w:cs="Times"/>
    </w:rPr>
  </w:style>
  <w:style w:type="paragraph" w:customStyle="1" w:styleId="Referencestext">
    <w:name w:val="References text"/>
    <w:basedOn w:val="Normal"/>
    <w:rsid w:val="00A30995"/>
    <w:pPr>
      <w:tabs>
        <w:tab w:val="left" w:pos="720"/>
      </w:tabs>
      <w:autoSpaceDE w:val="0"/>
      <w:autoSpaceDN w:val="0"/>
      <w:spacing w:before="480"/>
      <w:ind w:left="4962" w:hanging="4962"/>
    </w:pPr>
    <w:rPr>
      <w:rFonts w:ascii="Times" w:hAnsi="Times" w:cs="Times"/>
    </w:rPr>
  </w:style>
  <w:style w:type="paragraph" w:customStyle="1" w:styleId="Paratextnumbered">
    <w:name w:val="Para text (numbered)"/>
    <w:basedOn w:val="Paratextnonumber"/>
    <w:rsid w:val="00A30995"/>
    <w:pPr>
      <w:spacing w:line="240" w:lineRule="auto"/>
      <w:ind w:hanging="1440"/>
    </w:pPr>
  </w:style>
  <w:style w:type="paragraph" w:customStyle="1" w:styleId="ParaTextNote">
    <w:name w:val="Para Text Note"/>
    <w:basedOn w:val="Normal"/>
    <w:rsid w:val="00A30995"/>
    <w:pPr>
      <w:keepNext/>
      <w:keepLines/>
      <w:autoSpaceDE w:val="0"/>
      <w:autoSpaceDN w:val="0"/>
      <w:spacing w:before="120" w:after="120"/>
      <w:ind w:left="2342" w:hanging="902"/>
    </w:pPr>
    <w:rPr>
      <w:rFonts w:ascii="Times" w:hAnsi="Times" w:cs="Times"/>
      <w:sz w:val="20"/>
      <w:szCs w:val="20"/>
    </w:rPr>
  </w:style>
  <w:style w:type="paragraph" w:customStyle="1" w:styleId="Referece">
    <w:name w:val="Referece"/>
    <w:basedOn w:val="Normal"/>
    <w:autoRedefine/>
    <w:rsid w:val="00A30995"/>
    <w:pPr>
      <w:suppressAutoHyphens/>
      <w:spacing w:before="120" w:after="120"/>
    </w:pPr>
    <w:rPr>
      <w:lang w:val="en-US"/>
    </w:rPr>
  </w:style>
  <w:style w:type="paragraph" w:customStyle="1" w:styleId="NormalArial">
    <w:name w:val="Normal + Arial"/>
    <w:basedOn w:val="Normal"/>
    <w:rsid w:val="00A30995"/>
    <w:rPr>
      <w:rFonts w:ascii="Arial" w:hAnsi="Arial" w:cs="Arial"/>
      <w:b/>
      <w:bCs/>
      <w:sz w:val="32"/>
      <w:szCs w:val="32"/>
    </w:rPr>
  </w:style>
  <w:style w:type="table" w:customStyle="1" w:styleId="TableGeneral">
    <w:name w:val="TableGeneral"/>
    <w:rsid w:val="00A30995"/>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character" w:customStyle="1" w:styleId="CommentTextChar">
    <w:name w:val="Comment Text Char"/>
    <w:basedOn w:val="DefaultParagraphFont"/>
    <w:link w:val="CommentText"/>
    <w:uiPriority w:val="99"/>
    <w:rsid w:val="009F6100"/>
  </w:style>
  <w:style w:type="paragraph" w:styleId="Revision">
    <w:name w:val="Revision"/>
    <w:hidden/>
    <w:uiPriority w:val="99"/>
    <w:semiHidden/>
    <w:rsid w:val="003D6610"/>
    <w:rPr>
      <w:sz w:val="24"/>
      <w:szCs w:val="24"/>
    </w:rPr>
  </w:style>
  <w:style w:type="character" w:customStyle="1" w:styleId="FooterChar">
    <w:name w:val="Footer Char"/>
    <w:basedOn w:val="DefaultParagraphFont"/>
    <w:link w:val="Footer"/>
    <w:uiPriority w:val="99"/>
    <w:rsid w:val="006D173D"/>
    <w:rPr>
      <w:rFonts w:ascii="Arial" w:hAnsi="Arial"/>
      <w:sz w:val="18"/>
      <w:szCs w:val="24"/>
    </w:rPr>
  </w:style>
  <w:style w:type="paragraph" w:customStyle="1" w:styleId="ShortT">
    <w:name w:val="ShortT"/>
    <w:basedOn w:val="Normal"/>
    <w:next w:val="Normal"/>
    <w:qFormat/>
    <w:rsid w:val="0006230E"/>
    <w:rPr>
      <w:b/>
      <w:sz w:val="40"/>
      <w:szCs w:val="20"/>
    </w:rPr>
  </w:style>
  <w:style w:type="paragraph" w:customStyle="1" w:styleId="SignCoverPageStart">
    <w:name w:val="SignCoverPageStart"/>
    <w:basedOn w:val="Normal"/>
    <w:next w:val="Normal"/>
    <w:rsid w:val="0006230E"/>
    <w:pPr>
      <w:pBdr>
        <w:top w:val="single" w:sz="4" w:space="1" w:color="auto"/>
      </w:pBdr>
      <w:spacing w:before="360" w:line="260" w:lineRule="atLeast"/>
      <w:ind w:right="397"/>
      <w:jc w:val="both"/>
    </w:pPr>
    <w:rPr>
      <w:sz w:val="22"/>
      <w:szCs w:val="20"/>
    </w:rPr>
  </w:style>
  <w:style w:type="paragraph" w:customStyle="1" w:styleId="CompiledMadeUnder">
    <w:name w:val="CompiledMadeUnder"/>
    <w:basedOn w:val="Normal"/>
    <w:next w:val="Normal"/>
    <w:rsid w:val="0006230E"/>
    <w:pPr>
      <w:spacing w:line="260" w:lineRule="atLeast"/>
    </w:pPr>
    <w:rPr>
      <w:i/>
    </w:rPr>
  </w:style>
  <w:style w:type="paragraph" w:customStyle="1" w:styleId="MadeunderText">
    <w:name w:val="MadeunderText"/>
    <w:basedOn w:val="Normal"/>
    <w:next w:val="CompiledMadeUnder"/>
    <w:rsid w:val="0006230E"/>
    <w:pPr>
      <w:spacing w:before="240" w:line="260" w:lineRule="atLeast"/>
    </w:pPr>
  </w:style>
  <w:style w:type="character" w:customStyle="1" w:styleId="HeaderChar">
    <w:name w:val="Header Char"/>
    <w:basedOn w:val="DefaultParagraphFont"/>
    <w:link w:val="Header"/>
    <w:uiPriority w:val="99"/>
    <w:rsid w:val="00241B30"/>
    <w:rPr>
      <w:rFonts w:ascii="Arial" w:hAnsi="Arial"/>
      <w:sz w:val="16"/>
      <w:szCs w:val="24"/>
    </w:rPr>
  </w:style>
  <w:style w:type="paragraph" w:customStyle="1" w:styleId="ActHead5">
    <w:name w:val="ActHead 5"/>
    <w:aliases w:val="s"/>
    <w:basedOn w:val="Normal"/>
    <w:next w:val="Normal"/>
    <w:qFormat/>
    <w:rsid w:val="00241B30"/>
    <w:pPr>
      <w:keepNext/>
      <w:keepLines/>
      <w:spacing w:before="280"/>
      <w:ind w:left="1134" w:hanging="1134"/>
      <w:outlineLvl w:val="4"/>
    </w:pPr>
    <w:rPr>
      <w:b/>
      <w:kern w:val="28"/>
      <w:szCs w:val="20"/>
    </w:rPr>
  </w:style>
  <w:style w:type="paragraph" w:customStyle="1" w:styleId="ENotesText">
    <w:name w:val="ENotesText"/>
    <w:aliases w:val="Ent"/>
    <w:basedOn w:val="Normal"/>
    <w:next w:val="Normal"/>
    <w:rsid w:val="00241B30"/>
    <w:pPr>
      <w:spacing w:before="120" w:line="260" w:lineRule="atLeast"/>
    </w:pPr>
    <w:rPr>
      <w:sz w:val="22"/>
      <w:szCs w:val="20"/>
    </w:rPr>
  </w:style>
  <w:style w:type="paragraph" w:customStyle="1" w:styleId="ENoteTableHeading">
    <w:name w:val="ENoteTableHeading"/>
    <w:aliases w:val="enth"/>
    <w:basedOn w:val="Normal"/>
    <w:rsid w:val="00241B30"/>
    <w:pPr>
      <w:keepNext/>
      <w:spacing w:before="60" w:line="240" w:lineRule="atLeast"/>
    </w:pPr>
    <w:rPr>
      <w:rFonts w:ascii="Arial" w:hAnsi="Arial"/>
      <w:b/>
      <w:sz w:val="16"/>
      <w:szCs w:val="20"/>
    </w:rPr>
  </w:style>
  <w:style w:type="paragraph" w:customStyle="1" w:styleId="ENoteTableText">
    <w:name w:val="ENoteTableText"/>
    <w:aliases w:val="entt"/>
    <w:basedOn w:val="Normal"/>
    <w:rsid w:val="00241B30"/>
    <w:pPr>
      <w:spacing w:before="60" w:line="240" w:lineRule="atLeast"/>
    </w:pPr>
    <w:rPr>
      <w:sz w:val="16"/>
      <w:szCs w:val="20"/>
    </w:rPr>
  </w:style>
  <w:style w:type="paragraph" w:customStyle="1" w:styleId="Tabletext0">
    <w:name w:val="Tabletext"/>
    <w:aliases w:val="tt"/>
    <w:basedOn w:val="Normal"/>
    <w:rsid w:val="00241B30"/>
    <w:pPr>
      <w:spacing w:before="60" w:line="240" w:lineRule="atLeast"/>
    </w:pPr>
    <w:rPr>
      <w:sz w:val="20"/>
      <w:szCs w:val="20"/>
    </w:rPr>
  </w:style>
  <w:style w:type="paragraph" w:customStyle="1" w:styleId="ENotesHeading2">
    <w:name w:val="ENotesHeading 2"/>
    <w:aliases w:val="Enh2"/>
    <w:basedOn w:val="Normal"/>
    <w:next w:val="Normal"/>
    <w:rsid w:val="00241B30"/>
    <w:pPr>
      <w:spacing w:before="120" w:after="120" w:line="260" w:lineRule="atLeast"/>
      <w:outlineLvl w:val="2"/>
    </w:pPr>
    <w:rPr>
      <w:b/>
      <w:szCs w:val="28"/>
    </w:rPr>
  </w:style>
  <w:style w:type="paragraph" w:customStyle="1" w:styleId="Item">
    <w:name w:val="Item"/>
    <w:aliases w:val="i"/>
    <w:basedOn w:val="Normal"/>
    <w:next w:val="Normal"/>
    <w:rsid w:val="00BE2A6B"/>
    <w:pPr>
      <w:keepLines/>
      <w:spacing w:before="80"/>
      <w:ind w:left="709"/>
    </w:pPr>
    <w:rPr>
      <w:sz w:val="22"/>
      <w:szCs w:val="20"/>
    </w:rPr>
  </w:style>
  <w:style w:type="paragraph" w:customStyle="1" w:styleId="ItemHead">
    <w:name w:val="ItemHead"/>
    <w:aliases w:val="ih"/>
    <w:basedOn w:val="Normal"/>
    <w:next w:val="Item"/>
    <w:rsid w:val="00113932"/>
    <w:pPr>
      <w:keepNext/>
      <w:keepLines/>
      <w:spacing w:before="220"/>
      <w:ind w:left="709" w:hanging="709"/>
    </w:pPr>
    <w:rPr>
      <w:rFonts w:ascii="Arial" w:hAnsi="Arial"/>
      <w:b/>
      <w:kern w:val="28"/>
      <w:szCs w:val="20"/>
    </w:rPr>
  </w:style>
  <w:style w:type="paragraph" w:customStyle="1" w:styleId="p10">
    <w:name w:val="p1"/>
    <w:basedOn w:val="Normal"/>
    <w:rsid w:val="00B23CF8"/>
    <w:pPr>
      <w:spacing w:before="100" w:beforeAutospacing="1" w:after="100" w:afterAutospacing="1"/>
    </w:pPr>
  </w:style>
  <w:style w:type="character" w:customStyle="1" w:styleId="notetextChar">
    <w:name w:val="note(text) Char"/>
    <w:aliases w:val="n Char"/>
    <w:basedOn w:val="DefaultParagraphFont"/>
    <w:link w:val="notetext"/>
    <w:rsid w:val="00B1527F"/>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standards.org.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tandards.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tandards.org.au/search-for-a-standar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andards.org.au/" TargetMode="External"/><Relationship Id="rId20" Type="http://schemas.openxmlformats.org/officeDocument/2006/relationships/hyperlink" Target="https://www.standards.org.au/search-for-a-stand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tandards.org.au/search-for-a-standard" TargetMode="External"/><Relationship Id="rId23" Type="http://schemas.openxmlformats.org/officeDocument/2006/relationships/hyperlink" Target="https://www.standards.org.au/search-for-a-standard"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standards.org.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pansa.gov.au" TargetMode="External"/><Relationship Id="rId22" Type="http://schemas.openxmlformats.org/officeDocument/2006/relationships/hyperlink" Target="https://www.standards.org.au/search-for-a-standard"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KNAH4PPFC442-2667-508</_dlc_DocId>
    <_dlc_DocIdUrl xmlns="6db8f3c6-01a1-4322-b043-a3b2a190f7a8">
      <Url>http://collaboration/organisation/Auth/Chair/Auth/_layouts/DocIdRedir.aspx?ID=KNAH4PPFC442-2667-508</Url>
      <Description>KNAH4PPFC442-2667-508</Description>
    </_dlc_DocIdUrl>
    <Record_x0020_Number xmlns="83630db1-6fc2-4dfd-b3fe-d61d34e1440c">ER2014/072143</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4BD0-31D5-4564-90DE-EE2CB3282E94}">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2.xml><?xml version="1.0" encoding="utf-8"?>
<ds:datastoreItem xmlns:ds="http://schemas.openxmlformats.org/officeDocument/2006/customXml" ds:itemID="{082495CA-3626-4BB8-95D8-F634B0C28CB2}">
  <ds:schemaRefs>
    <ds:schemaRef ds:uri="Microsoft.SharePoint.Taxonomy.ContentTypeSync"/>
  </ds:schemaRefs>
</ds:datastoreItem>
</file>

<file path=customXml/itemProps3.xml><?xml version="1.0" encoding="utf-8"?>
<ds:datastoreItem xmlns:ds="http://schemas.openxmlformats.org/officeDocument/2006/customXml" ds:itemID="{33EF253A-72F6-4229-AB08-050E8F3EE99B}">
  <ds:schemaRefs>
    <ds:schemaRef ds:uri="http://schemas.microsoft.com/sharepoint/events"/>
  </ds:schemaRefs>
</ds:datastoreItem>
</file>

<file path=customXml/itemProps4.xml><?xml version="1.0" encoding="utf-8"?>
<ds:datastoreItem xmlns:ds="http://schemas.openxmlformats.org/officeDocument/2006/customXml" ds:itemID="{6B15BF12-8888-419C-87F8-1F4817F00121}">
  <ds:schemaRefs>
    <ds:schemaRef ds:uri="http://schemas.microsoft.com/sharepoint/v3/contenttype/forms"/>
  </ds:schemaRefs>
</ds:datastoreItem>
</file>

<file path=customXml/itemProps5.xml><?xml version="1.0" encoding="utf-8"?>
<ds:datastoreItem xmlns:ds="http://schemas.openxmlformats.org/officeDocument/2006/customXml" ds:itemID="{EDEED437-F61C-4A46-A2F0-3542105A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97C6F7-B02D-48B6-AED3-57DC005D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Template>
  <TotalTime>37</TotalTime>
  <Pages>14</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31593</CharactersWithSpaces>
  <SharedDoc>false</SharedDoc>
  <HLinks>
    <vt:vector size="60" baseType="variant">
      <vt:variant>
        <vt:i4>6094875</vt:i4>
      </vt:variant>
      <vt:variant>
        <vt:i4>27</vt:i4>
      </vt:variant>
      <vt:variant>
        <vt:i4>0</vt:i4>
      </vt:variant>
      <vt:variant>
        <vt:i4>5</vt:i4>
      </vt:variant>
      <vt:variant>
        <vt:lpwstr>http://www,saiglobal.com/</vt:lpwstr>
      </vt:variant>
      <vt:variant>
        <vt:lpwstr/>
      </vt:variant>
      <vt:variant>
        <vt:i4>1704008</vt:i4>
      </vt:variant>
      <vt:variant>
        <vt:i4>24</vt:i4>
      </vt:variant>
      <vt:variant>
        <vt:i4>0</vt:i4>
      </vt:variant>
      <vt:variant>
        <vt:i4>5</vt:i4>
      </vt:variant>
      <vt:variant>
        <vt:lpwstr>http://www.standards.org.au/</vt:lpwstr>
      </vt:variant>
      <vt:variant>
        <vt:lpwstr/>
      </vt:variant>
      <vt:variant>
        <vt:i4>6094873</vt:i4>
      </vt:variant>
      <vt:variant>
        <vt:i4>21</vt:i4>
      </vt:variant>
      <vt:variant>
        <vt:i4>0</vt:i4>
      </vt:variant>
      <vt:variant>
        <vt:i4>5</vt:i4>
      </vt:variant>
      <vt:variant>
        <vt:lpwstr>http://www.saiglobal.com/</vt:lpwstr>
      </vt:variant>
      <vt:variant>
        <vt:lpwstr/>
      </vt:variant>
      <vt:variant>
        <vt:i4>1704008</vt:i4>
      </vt:variant>
      <vt:variant>
        <vt:i4>18</vt:i4>
      </vt:variant>
      <vt:variant>
        <vt:i4>0</vt:i4>
      </vt:variant>
      <vt:variant>
        <vt:i4>5</vt:i4>
      </vt:variant>
      <vt:variant>
        <vt:lpwstr>http://www.standards.org.au/</vt:lpwstr>
      </vt:variant>
      <vt:variant>
        <vt:lpwstr/>
      </vt:variant>
      <vt:variant>
        <vt:i4>6094875</vt:i4>
      </vt:variant>
      <vt:variant>
        <vt:i4>15</vt:i4>
      </vt:variant>
      <vt:variant>
        <vt:i4>0</vt:i4>
      </vt:variant>
      <vt:variant>
        <vt:i4>5</vt:i4>
      </vt:variant>
      <vt:variant>
        <vt:lpwstr>http://www,saiglobal.com/</vt:lpwstr>
      </vt:variant>
      <vt:variant>
        <vt:lpwstr/>
      </vt:variant>
      <vt:variant>
        <vt:i4>1704008</vt:i4>
      </vt:variant>
      <vt:variant>
        <vt:i4>12</vt:i4>
      </vt:variant>
      <vt:variant>
        <vt:i4>0</vt:i4>
      </vt:variant>
      <vt:variant>
        <vt:i4>5</vt:i4>
      </vt:variant>
      <vt:variant>
        <vt:lpwstr>http://www.standards.org.au/</vt:lpwstr>
      </vt:variant>
      <vt:variant>
        <vt:lpwstr/>
      </vt:variant>
      <vt:variant>
        <vt:i4>6094875</vt:i4>
      </vt:variant>
      <vt:variant>
        <vt:i4>9</vt:i4>
      </vt:variant>
      <vt:variant>
        <vt:i4>0</vt:i4>
      </vt:variant>
      <vt:variant>
        <vt:i4>5</vt:i4>
      </vt:variant>
      <vt:variant>
        <vt:lpwstr>http://www,saiglobal.com/</vt:lpwstr>
      </vt:variant>
      <vt:variant>
        <vt:lpwstr/>
      </vt:variant>
      <vt:variant>
        <vt:i4>1704008</vt:i4>
      </vt:variant>
      <vt:variant>
        <vt:i4>6</vt:i4>
      </vt:variant>
      <vt:variant>
        <vt:i4>0</vt:i4>
      </vt:variant>
      <vt:variant>
        <vt:i4>5</vt:i4>
      </vt:variant>
      <vt:variant>
        <vt:lpwstr>http://www.standards.org.au/</vt:lpwstr>
      </vt:variant>
      <vt:variant>
        <vt:lpwstr/>
      </vt:variant>
      <vt:variant>
        <vt:i4>6094873</vt:i4>
      </vt:variant>
      <vt:variant>
        <vt:i4>3</vt:i4>
      </vt:variant>
      <vt:variant>
        <vt:i4>0</vt:i4>
      </vt:variant>
      <vt:variant>
        <vt:i4>5</vt:i4>
      </vt:variant>
      <vt:variant>
        <vt:lpwstr>http://www.saiglobal.com/</vt:lpwstr>
      </vt:variant>
      <vt:variant>
        <vt:lpwstr/>
      </vt:variant>
      <vt:variant>
        <vt:i4>6946858</vt:i4>
      </vt:variant>
      <vt:variant>
        <vt:i4>0</vt:i4>
      </vt:variant>
      <vt:variant>
        <vt:i4>0</vt:i4>
      </vt:variant>
      <vt:variant>
        <vt:i4>5</vt:i4>
      </vt:variant>
      <vt:variant>
        <vt:lpwstr>http://www.arpansa.gov.au/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imb1jo</dc:creator>
  <cp:lastModifiedBy>Morgan Vaudrey</cp:lastModifiedBy>
  <cp:revision>38</cp:revision>
  <cp:lastPrinted>2014-01-13T23:24:00Z</cp:lastPrinted>
  <dcterms:created xsi:type="dcterms:W3CDTF">2020-04-27T04:16:00Z</dcterms:created>
  <dcterms:modified xsi:type="dcterms:W3CDTF">2020-05-04T04:08:00Z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3a90b8e1-1b07-4946-9542-486f901d330a</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{3a90b8e1-1b07-4946-9542-486f901d330a}</vt:lpwstr>
  </property>
  <property fmtid="{D5CDD505-2E9C-101B-9397-08002B2CF9AE}" pid="9" name="RecordPoint_SubmissionCompleted">
    <vt:lpwstr>2014-06-18T13:55:56.1779623+10:00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