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377035">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FD4084" w:rsidRPr="00993194" w:rsidRDefault="002F190B">
      <w:pPr>
        <w:spacing w:before="80" w:after="120" w:line="280" w:lineRule="atLeast"/>
        <w:jc w:val="center"/>
        <w:rPr>
          <w:rFonts w:ascii="Arial" w:hAnsi="Arial" w:cs="Arial"/>
          <w:b/>
          <w:i/>
          <w:sz w:val="20"/>
          <w:szCs w:val="20"/>
        </w:rPr>
      </w:pPr>
      <w:bookmarkStart w:id="0" w:name="OLE_LINK1"/>
      <w:bookmarkStart w:id="1" w:name="OLE_LINK2"/>
      <w:r w:rsidRPr="002F190B">
        <w:rPr>
          <w:rFonts w:ascii="Arial" w:hAnsi="Arial" w:cs="Arial"/>
          <w:b/>
          <w:i/>
          <w:sz w:val="20"/>
          <w:szCs w:val="20"/>
        </w:rPr>
        <w:t xml:space="preserve">Radiocommunications (Compliance Labelling – Electromagnetic Radiation) </w:t>
      </w:r>
      <w:r w:rsidR="003B126B">
        <w:rPr>
          <w:rFonts w:ascii="Arial" w:hAnsi="Arial" w:cs="Arial"/>
          <w:b/>
          <w:i/>
          <w:sz w:val="20"/>
          <w:szCs w:val="20"/>
        </w:rPr>
        <w:t>Notice 2014</w:t>
      </w:r>
    </w:p>
    <w:bookmarkEnd w:id="0"/>
    <w:bookmarkEnd w:id="1"/>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652721" w:rsidRDefault="006F2DF1" w:rsidP="00993194">
      <w:pPr>
        <w:spacing w:before="80" w:after="120" w:line="280" w:lineRule="atLeast"/>
        <w:jc w:val="both"/>
        <w:rPr>
          <w:rFonts w:ascii="Arial" w:hAnsi="Arial" w:cs="Arial"/>
          <w:sz w:val="20"/>
          <w:szCs w:val="20"/>
        </w:rPr>
      </w:pPr>
      <w:r>
        <w:rPr>
          <w:rFonts w:ascii="Arial" w:hAnsi="Arial" w:cs="Arial"/>
          <w:sz w:val="20"/>
          <w:szCs w:val="20"/>
        </w:rPr>
        <w:t>T</w:t>
      </w:r>
      <w:r w:rsidR="00652721" w:rsidRPr="00652721">
        <w:rPr>
          <w:rFonts w:ascii="Arial" w:hAnsi="Arial" w:cs="Arial"/>
          <w:sz w:val="20"/>
          <w:szCs w:val="20"/>
        </w:rPr>
        <w:t xml:space="preserve">he Australian Communications and Media Authority (the ACMA) </w:t>
      </w:r>
      <w:r>
        <w:rPr>
          <w:rFonts w:ascii="Arial" w:hAnsi="Arial" w:cs="Arial"/>
          <w:sz w:val="20"/>
          <w:szCs w:val="20"/>
        </w:rPr>
        <w:t xml:space="preserve">has </w:t>
      </w:r>
      <w:r w:rsidR="00652721" w:rsidRPr="00652721">
        <w:rPr>
          <w:rFonts w:ascii="Arial" w:hAnsi="Arial" w:cs="Arial"/>
          <w:sz w:val="20"/>
          <w:szCs w:val="20"/>
        </w:rPr>
        <w:t xml:space="preserve">made the </w:t>
      </w:r>
      <w:r w:rsidR="00652721" w:rsidRPr="00652721">
        <w:rPr>
          <w:rFonts w:ascii="Arial" w:hAnsi="Arial" w:cs="Arial"/>
          <w:i/>
          <w:sz w:val="20"/>
          <w:szCs w:val="20"/>
        </w:rPr>
        <w:t>Radiocommunications (Compliance Labelling – Electromagnetic Radiation) Notice 2014</w:t>
      </w:r>
      <w:r w:rsidR="00652721">
        <w:rPr>
          <w:rFonts w:ascii="Arial" w:hAnsi="Arial" w:cs="Arial"/>
          <w:sz w:val="20"/>
          <w:szCs w:val="20"/>
        </w:rPr>
        <w:t xml:space="preserve"> (the Instrument).</w:t>
      </w:r>
      <w:r w:rsidR="00E64133">
        <w:rPr>
          <w:rFonts w:ascii="Arial" w:hAnsi="Arial" w:cs="Arial"/>
          <w:sz w:val="20"/>
          <w:szCs w:val="20"/>
        </w:rPr>
        <w:t xml:space="preserve"> </w:t>
      </w:r>
      <w:r w:rsidR="00652721" w:rsidRPr="00652721">
        <w:rPr>
          <w:rFonts w:ascii="Arial" w:hAnsi="Arial" w:cs="Arial"/>
          <w:sz w:val="20"/>
          <w:szCs w:val="20"/>
        </w:rPr>
        <w:t xml:space="preserve">The Instrument </w:t>
      </w:r>
      <w:r w:rsidR="009A0B8E">
        <w:rPr>
          <w:rFonts w:ascii="Arial" w:hAnsi="Arial" w:cs="Arial"/>
          <w:sz w:val="20"/>
          <w:szCs w:val="20"/>
        </w:rPr>
        <w:t>replaces</w:t>
      </w:r>
      <w:r w:rsidR="009A0B8E" w:rsidRPr="00652721">
        <w:rPr>
          <w:rFonts w:ascii="Arial" w:hAnsi="Arial" w:cs="Arial"/>
          <w:sz w:val="20"/>
          <w:szCs w:val="20"/>
        </w:rPr>
        <w:t xml:space="preserve"> </w:t>
      </w:r>
      <w:r w:rsidR="00652721" w:rsidRPr="00652721">
        <w:rPr>
          <w:rFonts w:ascii="Arial" w:hAnsi="Arial" w:cs="Arial"/>
          <w:sz w:val="20"/>
          <w:szCs w:val="20"/>
        </w:rPr>
        <w:t xml:space="preserve">the </w:t>
      </w:r>
      <w:r w:rsidR="00DD7EC8" w:rsidRPr="00DD7EC8">
        <w:rPr>
          <w:rFonts w:ascii="Arial" w:hAnsi="Arial" w:cs="Arial"/>
          <w:i/>
          <w:sz w:val="20"/>
          <w:szCs w:val="20"/>
        </w:rPr>
        <w:t>Radiocommunications (Compliance Labelling – Electromagnetic Radiation) Notice 2003</w:t>
      </w:r>
      <w:r w:rsidR="00652721" w:rsidRPr="00652721">
        <w:rPr>
          <w:rFonts w:ascii="Arial" w:hAnsi="Arial" w:cs="Arial"/>
          <w:sz w:val="20"/>
          <w:szCs w:val="20"/>
        </w:rPr>
        <w:t xml:space="preserve"> (the 2003 </w:t>
      </w:r>
      <w:r w:rsidR="00652721">
        <w:rPr>
          <w:rFonts w:ascii="Arial" w:hAnsi="Arial" w:cs="Arial"/>
          <w:sz w:val="20"/>
          <w:szCs w:val="20"/>
        </w:rPr>
        <w:t>Labelling Notice</w:t>
      </w:r>
      <w:r w:rsidR="00652721" w:rsidRPr="00652721">
        <w:rPr>
          <w:rFonts w:ascii="Arial" w:hAnsi="Arial" w:cs="Arial"/>
          <w:sz w:val="20"/>
          <w:szCs w:val="20"/>
        </w:rPr>
        <w:t xml:space="preserve">) without making any significant changes to the regulatory arrangements created by the 2003 </w:t>
      </w:r>
      <w:r w:rsidR="00652721">
        <w:rPr>
          <w:rFonts w:ascii="Arial" w:hAnsi="Arial" w:cs="Arial"/>
          <w:sz w:val="20"/>
          <w:szCs w:val="20"/>
        </w:rPr>
        <w:t>Labelling Notice</w:t>
      </w:r>
      <w:r w:rsidR="00652721" w:rsidRPr="00652721">
        <w:rPr>
          <w:rFonts w:ascii="Arial" w:hAnsi="Arial" w:cs="Arial"/>
          <w:sz w:val="20"/>
          <w:szCs w:val="20"/>
        </w:rPr>
        <w:t>.</w:t>
      </w:r>
    </w:p>
    <w:p w:rsidR="00652721" w:rsidRDefault="00652721" w:rsidP="00993194">
      <w:pPr>
        <w:spacing w:before="80" w:after="120" w:line="280" w:lineRule="atLeast"/>
        <w:jc w:val="both"/>
        <w:rPr>
          <w:rFonts w:ascii="Arial" w:hAnsi="Arial" w:cs="Arial"/>
          <w:sz w:val="20"/>
          <w:szCs w:val="20"/>
        </w:rPr>
      </w:pPr>
      <w:r w:rsidRPr="00652721">
        <w:rPr>
          <w:rFonts w:ascii="Arial" w:hAnsi="Arial" w:cs="Arial"/>
          <w:sz w:val="20"/>
          <w:szCs w:val="20"/>
        </w:rPr>
        <w:t xml:space="preserve">The ACMA has made the Instrument as the 2003 </w:t>
      </w:r>
      <w:r>
        <w:rPr>
          <w:rFonts w:ascii="Arial" w:hAnsi="Arial" w:cs="Arial"/>
          <w:sz w:val="20"/>
          <w:szCs w:val="20"/>
        </w:rPr>
        <w:t>Labelling Notice</w:t>
      </w:r>
      <w:r w:rsidRPr="00652721">
        <w:rPr>
          <w:rFonts w:ascii="Arial" w:hAnsi="Arial" w:cs="Arial"/>
          <w:sz w:val="20"/>
          <w:szCs w:val="20"/>
        </w:rPr>
        <w:t xml:space="preserve"> was due to “sunset” (i.e. be automatically repealed) on 1 </w:t>
      </w:r>
      <w:r>
        <w:rPr>
          <w:rFonts w:ascii="Arial" w:hAnsi="Arial" w:cs="Arial"/>
          <w:sz w:val="20"/>
          <w:szCs w:val="20"/>
        </w:rPr>
        <w:t>October</w:t>
      </w:r>
      <w:r w:rsidRPr="00652721">
        <w:rPr>
          <w:rFonts w:ascii="Arial" w:hAnsi="Arial" w:cs="Arial"/>
          <w:sz w:val="20"/>
          <w:szCs w:val="20"/>
        </w:rPr>
        <w:t xml:space="preserve"> 2015, in accordance with Part 6 of the </w:t>
      </w:r>
      <w:r w:rsidRPr="00652721">
        <w:rPr>
          <w:rFonts w:ascii="Arial" w:hAnsi="Arial" w:cs="Arial"/>
          <w:i/>
          <w:sz w:val="20"/>
          <w:szCs w:val="20"/>
        </w:rPr>
        <w:t>Legislative Instruments Act 2003</w:t>
      </w:r>
      <w:r w:rsidRPr="00652721">
        <w:rPr>
          <w:rFonts w:ascii="Arial" w:hAnsi="Arial" w:cs="Arial"/>
          <w:sz w:val="20"/>
          <w:szCs w:val="20"/>
        </w:rPr>
        <w:t xml:space="preserve"> (the LIA). </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FD4084" w:rsidRPr="00993194" w:rsidRDefault="009A0B8E" w:rsidP="00993194">
      <w:pPr>
        <w:spacing w:before="80" w:after="120" w:line="280" w:lineRule="atLeast"/>
        <w:jc w:val="both"/>
        <w:rPr>
          <w:rFonts w:ascii="Arial" w:hAnsi="Arial" w:cs="Arial"/>
          <w:sz w:val="20"/>
          <w:szCs w:val="20"/>
        </w:rPr>
      </w:pPr>
      <w:r>
        <w:rPr>
          <w:rFonts w:ascii="Arial" w:hAnsi="Arial" w:cs="Arial"/>
          <w:sz w:val="20"/>
          <w:szCs w:val="20"/>
        </w:rPr>
        <w:t xml:space="preserve">The ACMA made the </w:t>
      </w:r>
      <w:r w:rsidR="006F2DF1">
        <w:rPr>
          <w:rFonts w:ascii="Arial" w:hAnsi="Arial" w:cs="Arial"/>
          <w:sz w:val="20"/>
          <w:szCs w:val="20"/>
        </w:rPr>
        <w:t xml:space="preserve">Instrument </w:t>
      </w:r>
      <w:r>
        <w:rPr>
          <w:rFonts w:ascii="Arial" w:hAnsi="Arial" w:cs="Arial"/>
          <w:sz w:val="20"/>
          <w:szCs w:val="20"/>
        </w:rPr>
        <w:t>under s</w:t>
      </w:r>
      <w:r w:rsidRPr="00993194">
        <w:rPr>
          <w:rFonts w:ascii="Arial" w:hAnsi="Arial" w:cs="Arial"/>
          <w:sz w:val="20"/>
          <w:szCs w:val="20"/>
        </w:rPr>
        <w:t xml:space="preserve">ubsection </w:t>
      </w:r>
      <w:r w:rsidR="00FD4084" w:rsidRPr="00FA0C10">
        <w:rPr>
          <w:rFonts w:ascii="Arial" w:hAnsi="Arial" w:cs="Arial"/>
          <w:sz w:val="20"/>
          <w:szCs w:val="20"/>
        </w:rPr>
        <w:t>182(1)</w:t>
      </w:r>
      <w:r w:rsidR="00FD4084" w:rsidRPr="00993194">
        <w:rPr>
          <w:rFonts w:ascii="Arial" w:hAnsi="Arial" w:cs="Arial"/>
          <w:sz w:val="20"/>
          <w:szCs w:val="20"/>
        </w:rPr>
        <w:t xml:space="preserve"> of the </w:t>
      </w:r>
      <w:r w:rsidR="00FD4084" w:rsidRPr="00993194">
        <w:rPr>
          <w:rFonts w:ascii="Arial" w:hAnsi="Arial" w:cs="Arial"/>
          <w:i/>
          <w:sz w:val="20"/>
          <w:szCs w:val="20"/>
        </w:rPr>
        <w:t>Radiocommunications Act 1992</w:t>
      </w:r>
      <w:r w:rsidR="00FD4084" w:rsidRPr="00993194">
        <w:rPr>
          <w:rFonts w:ascii="Arial" w:hAnsi="Arial" w:cs="Arial"/>
          <w:sz w:val="20"/>
          <w:szCs w:val="20"/>
        </w:rPr>
        <w:t xml:space="preserve"> (the Act) </w:t>
      </w:r>
      <w:r>
        <w:rPr>
          <w:rFonts w:ascii="Arial" w:hAnsi="Arial" w:cs="Arial"/>
          <w:sz w:val="20"/>
          <w:szCs w:val="20"/>
        </w:rPr>
        <w:t xml:space="preserve">which </w:t>
      </w:r>
      <w:r w:rsidR="00FD4084" w:rsidRPr="00993194">
        <w:rPr>
          <w:rFonts w:ascii="Arial" w:hAnsi="Arial" w:cs="Arial"/>
          <w:sz w:val="20"/>
          <w:szCs w:val="20"/>
        </w:rPr>
        <w:t xml:space="preserve">provides that the </w:t>
      </w:r>
      <w:r w:rsidR="00652721">
        <w:rPr>
          <w:rFonts w:ascii="Arial" w:hAnsi="Arial" w:cs="Arial"/>
          <w:sz w:val="20"/>
          <w:szCs w:val="20"/>
        </w:rPr>
        <w:t>ACMA</w:t>
      </w:r>
      <w:r w:rsidR="00FD4084" w:rsidRPr="00993194">
        <w:rPr>
          <w:rFonts w:ascii="Arial" w:hAnsi="Arial" w:cs="Arial"/>
          <w:sz w:val="20"/>
          <w:szCs w:val="20"/>
        </w:rPr>
        <w:t xml:space="preserve"> may</w:t>
      </w:r>
      <w:r>
        <w:rPr>
          <w:rFonts w:ascii="Arial" w:hAnsi="Arial" w:cs="Arial"/>
          <w:sz w:val="20"/>
          <w:szCs w:val="20"/>
        </w:rPr>
        <w:t>,</w:t>
      </w:r>
      <w:r w:rsidR="00FD4084" w:rsidRPr="00993194">
        <w:rPr>
          <w:rFonts w:ascii="Arial" w:hAnsi="Arial" w:cs="Arial"/>
          <w:sz w:val="20"/>
          <w:szCs w:val="20"/>
        </w:rPr>
        <w:t xml:space="preserve"> by notice</w:t>
      </w:r>
      <w:r w:rsidR="006F2DF1">
        <w:rPr>
          <w:rFonts w:ascii="Arial" w:hAnsi="Arial" w:cs="Arial"/>
          <w:sz w:val="20"/>
          <w:szCs w:val="20"/>
        </w:rPr>
        <w:t xml:space="preserve"> published in the </w:t>
      </w:r>
      <w:r w:rsidR="00DD7EC8" w:rsidRPr="00DD7EC8">
        <w:rPr>
          <w:rFonts w:ascii="Arial" w:hAnsi="Arial" w:cs="Arial"/>
          <w:i/>
          <w:sz w:val="20"/>
          <w:szCs w:val="20"/>
        </w:rPr>
        <w:t>Gazette</w:t>
      </w:r>
      <w:r>
        <w:rPr>
          <w:rFonts w:ascii="Arial" w:hAnsi="Arial" w:cs="Arial"/>
          <w:sz w:val="20"/>
          <w:szCs w:val="20"/>
        </w:rPr>
        <w:t>,</w:t>
      </w:r>
      <w:r w:rsidR="00FD4084" w:rsidRPr="00993194">
        <w:rPr>
          <w:rFonts w:ascii="Arial" w:hAnsi="Arial" w:cs="Arial"/>
          <w:sz w:val="20"/>
          <w:szCs w:val="20"/>
        </w:rPr>
        <w:t xml:space="preserve"> require any person who </w:t>
      </w:r>
      <w:r w:rsidR="002A6597">
        <w:rPr>
          <w:rFonts w:ascii="Arial" w:hAnsi="Arial" w:cs="Arial"/>
          <w:sz w:val="20"/>
          <w:szCs w:val="20"/>
        </w:rPr>
        <w:t>manufactures</w:t>
      </w:r>
      <w:r w:rsidR="002A6597" w:rsidRPr="00993194">
        <w:rPr>
          <w:rFonts w:ascii="Arial" w:hAnsi="Arial" w:cs="Arial"/>
          <w:sz w:val="20"/>
          <w:szCs w:val="20"/>
        </w:rPr>
        <w:t xml:space="preserve"> </w:t>
      </w:r>
      <w:r w:rsidR="00FD4084" w:rsidRPr="00993194">
        <w:rPr>
          <w:rFonts w:ascii="Arial" w:hAnsi="Arial" w:cs="Arial"/>
          <w:sz w:val="20"/>
          <w:szCs w:val="20"/>
        </w:rPr>
        <w:t xml:space="preserve">or imports a device included in a specified class of devices to apply a label to the device to indicate whether the device complies with </w:t>
      </w:r>
      <w:r w:rsidR="00B76409">
        <w:rPr>
          <w:rFonts w:ascii="Arial" w:hAnsi="Arial" w:cs="Arial"/>
          <w:sz w:val="20"/>
          <w:szCs w:val="20"/>
        </w:rPr>
        <w:t xml:space="preserve">the </w:t>
      </w:r>
      <w:r w:rsidR="00B76409">
        <w:rPr>
          <w:rFonts w:ascii="Arial" w:hAnsi="Arial" w:cs="Arial"/>
          <w:i/>
          <w:sz w:val="20"/>
          <w:szCs w:val="20"/>
        </w:rPr>
        <w:t>Radiocommunications (Electromagnetic Radiation – Human Exposure) Standard 2014</w:t>
      </w:r>
      <w:r w:rsidR="00B76409">
        <w:rPr>
          <w:rFonts w:ascii="Arial" w:hAnsi="Arial" w:cs="Arial"/>
          <w:sz w:val="20"/>
          <w:szCs w:val="20"/>
        </w:rPr>
        <w:t xml:space="preserve"> (Human Exposure Standard), made</w:t>
      </w:r>
      <w:r w:rsidR="00B76409" w:rsidRPr="00993194">
        <w:rPr>
          <w:rFonts w:ascii="Arial" w:hAnsi="Arial" w:cs="Arial"/>
          <w:sz w:val="20"/>
          <w:szCs w:val="20"/>
        </w:rPr>
        <w:t xml:space="preserve"> </w:t>
      </w:r>
      <w:r w:rsidR="00FD4084" w:rsidRPr="00993194">
        <w:rPr>
          <w:rFonts w:ascii="Arial" w:hAnsi="Arial" w:cs="Arial"/>
          <w:sz w:val="20"/>
          <w:szCs w:val="20"/>
        </w:rPr>
        <w:t xml:space="preserve">by the ACMA under </w:t>
      </w:r>
      <w:r w:rsidR="00446991">
        <w:rPr>
          <w:rFonts w:ascii="Arial" w:hAnsi="Arial" w:cs="Arial"/>
          <w:sz w:val="20"/>
          <w:szCs w:val="20"/>
        </w:rPr>
        <w:t>s</w:t>
      </w:r>
      <w:r w:rsidR="00FD4084" w:rsidRPr="00993194">
        <w:rPr>
          <w:rFonts w:ascii="Arial" w:hAnsi="Arial" w:cs="Arial"/>
          <w:sz w:val="20"/>
          <w:szCs w:val="20"/>
        </w:rPr>
        <w:t xml:space="preserve">ection </w:t>
      </w:r>
      <w:r w:rsidR="00FD4084" w:rsidRPr="00FA0C10">
        <w:rPr>
          <w:rFonts w:ascii="Arial" w:hAnsi="Arial" w:cs="Arial"/>
          <w:sz w:val="20"/>
          <w:szCs w:val="20"/>
        </w:rPr>
        <w:t>162</w:t>
      </w:r>
      <w:r w:rsidR="00FD4084" w:rsidRPr="00993194">
        <w:rPr>
          <w:rFonts w:ascii="Arial" w:hAnsi="Arial" w:cs="Arial"/>
          <w:sz w:val="20"/>
          <w:szCs w:val="20"/>
        </w:rPr>
        <w:t xml:space="preserve"> of the Act.</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A notice made under </w:t>
      </w:r>
      <w:r w:rsidR="00446991">
        <w:rPr>
          <w:rFonts w:ascii="Arial" w:hAnsi="Arial" w:cs="Arial"/>
          <w:sz w:val="20"/>
          <w:szCs w:val="20"/>
        </w:rPr>
        <w:t>s</w:t>
      </w:r>
      <w:r w:rsidRPr="00993194">
        <w:rPr>
          <w:rFonts w:ascii="Arial" w:hAnsi="Arial" w:cs="Arial"/>
          <w:sz w:val="20"/>
          <w:szCs w:val="20"/>
        </w:rPr>
        <w:t xml:space="preserve">ection 182 of the Act is a legislative instrument for the purposes of the </w:t>
      </w:r>
      <w:r w:rsidR="00E64133" w:rsidRPr="00E64133">
        <w:rPr>
          <w:rFonts w:ascii="Arial" w:hAnsi="Arial" w:cs="Arial"/>
          <w:sz w:val="20"/>
          <w:szCs w:val="20"/>
        </w:rPr>
        <w:t>LIA</w:t>
      </w:r>
      <w:r w:rsidRPr="00993194">
        <w:rPr>
          <w:rFonts w:ascii="Arial" w:hAnsi="Arial" w:cs="Arial"/>
          <w:sz w:val="20"/>
          <w:szCs w:val="20"/>
        </w:rPr>
        <w:t>.</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b/>
          <w:sz w:val="20"/>
          <w:szCs w:val="20"/>
        </w:rPr>
        <w:t>Background</w:t>
      </w:r>
    </w:p>
    <w:p w:rsidR="009A0B8E" w:rsidRDefault="009A0B8E" w:rsidP="00670A9A">
      <w:pPr>
        <w:spacing w:before="80" w:after="120" w:line="280" w:lineRule="atLeast"/>
        <w:jc w:val="both"/>
        <w:rPr>
          <w:rFonts w:ascii="Arial" w:hAnsi="Arial" w:cs="Arial"/>
          <w:sz w:val="20"/>
          <w:szCs w:val="20"/>
        </w:rPr>
      </w:pPr>
      <w:r>
        <w:rPr>
          <w:rFonts w:ascii="Arial" w:hAnsi="Arial" w:cs="Arial"/>
          <w:sz w:val="20"/>
          <w:szCs w:val="20"/>
        </w:rPr>
        <w:t xml:space="preserve">The 2003 Labelling Notice, made under </w:t>
      </w:r>
      <w:r w:rsidRPr="00572914">
        <w:rPr>
          <w:rFonts w:ascii="Arial" w:hAnsi="Arial" w:cs="Arial"/>
          <w:sz w:val="20"/>
          <w:szCs w:val="20"/>
        </w:rPr>
        <w:t>subsection 182(1) of the</w:t>
      </w:r>
      <w:r>
        <w:rPr>
          <w:rFonts w:ascii="Arial" w:hAnsi="Arial" w:cs="Arial"/>
          <w:sz w:val="20"/>
          <w:szCs w:val="20"/>
        </w:rPr>
        <w:t xml:space="preserve"> Act, </w:t>
      </w:r>
      <w:r w:rsidRPr="00572914">
        <w:rPr>
          <w:rFonts w:ascii="Arial" w:hAnsi="Arial" w:cs="Arial"/>
          <w:sz w:val="20"/>
          <w:szCs w:val="20"/>
        </w:rPr>
        <w:t>was due to be automatically repealed under section 50 of the LIA on 1 October 2015.</w:t>
      </w:r>
    </w:p>
    <w:p w:rsidR="009A0B8E" w:rsidRDefault="009A0B8E" w:rsidP="00670A9A">
      <w:pPr>
        <w:spacing w:before="80" w:after="120" w:line="280" w:lineRule="atLeast"/>
        <w:jc w:val="both"/>
        <w:rPr>
          <w:rFonts w:ascii="Arial" w:hAnsi="Arial" w:cs="Arial"/>
          <w:sz w:val="20"/>
          <w:szCs w:val="20"/>
        </w:rPr>
      </w:pPr>
      <w:r w:rsidRPr="00652721">
        <w:rPr>
          <w:rFonts w:ascii="Arial" w:hAnsi="Arial" w:cs="Arial"/>
          <w:sz w:val="20"/>
          <w:szCs w:val="20"/>
        </w:rPr>
        <w:t xml:space="preserve">Following review, and consultation as outlined below, the ACMA formed the view that the 2003 </w:t>
      </w:r>
      <w:r>
        <w:rPr>
          <w:rFonts w:ascii="Arial" w:hAnsi="Arial" w:cs="Arial"/>
          <w:sz w:val="20"/>
          <w:szCs w:val="20"/>
        </w:rPr>
        <w:t>Labelling Notice</w:t>
      </w:r>
      <w:r w:rsidRPr="00652721">
        <w:rPr>
          <w:rFonts w:ascii="Arial" w:hAnsi="Arial" w:cs="Arial"/>
          <w:sz w:val="20"/>
          <w:szCs w:val="20"/>
        </w:rPr>
        <w:t xml:space="preserve"> was operating effectively and efficiently, and continued to form a necessary and useful part of the legislative framework. Accordingly, the ACMA has remade the 2003 </w:t>
      </w:r>
      <w:r>
        <w:rPr>
          <w:rFonts w:ascii="Arial" w:hAnsi="Arial" w:cs="Arial"/>
          <w:sz w:val="20"/>
          <w:szCs w:val="20"/>
        </w:rPr>
        <w:t>Labelling Notice</w:t>
      </w:r>
      <w:r w:rsidRPr="00652721">
        <w:rPr>
          <w:rFonts w:ascii="Arial" w:hAnsi="Arial" w:cs="Arial"/>
          <w:sz w:val="20"/>
          <w:szCs w:val="20"/>
        </w:rPr>
        <w:t xml:space="preserve"> by making the Instrument without any significant changes so that its ongoing effect is preserved.</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9A0B8E" w:rsidRPr="00993194" w:rsidRDefault="009A0B8E" w:rsidP="009A0B8E">
      <w:pPr>
        <w:spacing w:before="80" w:after="120" w:line="280" w:lineRule="atLeast"/>
        <w:jc w:val="both"/>
        <w:rPr>
          <w:rFonts w:ascii="Arial" w:hAnsi="Arial" w:cs="Arial"/>
          <w:sz w:val="20"/>
          <w:szCs w:val="20"/>
        </w:rPr>
      </w:pPr>
      <w:r w:rsidRPr="00993194">
        <w:rPr>
          <w:rFonts w:ascii="Arial" w:hAnsi="Arial" w:cs="Arial"/>
          <w:sz w:val="20"/>
          <w:szCs w:val="20"/>
        </w:rPr>
        <w:t>The ACMA has respo</w:t>
      </w:r>
      <w:bookmarkStart w:id="2" w:name="_GoBack"/>
      <w:bookmarkEnd w:id="2"/>
      <w:r w:rsidRPr="00993194">
        <w:rPr>
          <w:rFonts w:ascii="Arial" w:hAnsi="Arial" w:cs="Arial"/>
          <w:sz w:val="20"/>
          <w:szCs w:val="20"/>
        </w:rPr>
        <w:t xml:space="preserve">nsibility for the regulation of customer equipment, customer cabling and specified devices in Australia under the </w:t>
      </w:r>
      <w:r>
        <w:rPr>
          <w:rFonts w:ascii="Arial" w:hAnsi="Arial" w:cs="Arial"/>
          <w:sz w:val="20"/>
          <w:szCs w:val="20"/>
        </w:rPr>
        <w:t xml:space="preserve">Act and the </w:t>
      </w:r>
      <w:r w:rsidRPr="00993194">
        <w:rPr>
          <w:rFonts w:ascii="Arial" w:hAnsi="Arial" w:cs="Arial"/>
          <w:i/>
          <w:sz w:val="20"/>
          <w:szCs w:val="20"/>
        </w:rPr>
        <w:t>Telecommunications Act 1997</w:t>
      </w:r>
      <w:r w:rsidRPr="00993194">
        <w:rPr>
          <w:rFonts w:ascii="Arial" w:hAnsi="Arial" w:cs="Arial"/>
          <w:sz w:val="20"/>
          <w:szCs w:val="20"/>
        </w:rPr>
        <w:t>. These regimes cover aspects of devices related to the radiocommuni</w:t>
      </w:r>
      <w:r>
        <w:rPr>
          <w:rFonts w:ascii="Arial" w:hAnsi="Arial" w:cs="Arial"/>
          <w:sz w:val="20"/>
          <w:szCs w:val="20"/>
        </w:rPr>
        <w:t xml:space="preserve">cations, </w:t>
      </w:r>
      <w:r w:rsidR="0040535F">
        <w:rPr>
          <w:rFonts w:ascii="Arial" w:hAnsi="Arial" w:cs="Arial"/>
          <w:sz w:val="20"/>
          <w:szCs w:val="20"/>
        </w:rPr>
        <w:t>electromagnetic energy (</w:t>
      </w:r>
      <w:r>
        <w:rPr>
          <w:rFonts w:ascii="Arial" w:hAnsi="Arial" w:cs="Arial"/>
          <w:sz w:val="20"/>
          <w:szCs w:val="20"/>
        </w:rPr>
        <w:t>EME</w:t>
      </w:r>
      <w:r w:rsidR="0040535F">
        <w:rPr>
          <w:rFonts w:ascii="Arial" w:hAnsi="Arial" w:cs="Arial"/>
          <w:sz w:val="20"/>
          <w:szCs w:val="20"/>
        </w:rPr>
        <w:t>)</w:t>
      </w:r>
      <w:r w:rsidR="00436D09">
        <w:rPr>
          <w:rFonts w:ascii="Arial" w:hAnsi="Arial" w:cs="Arial"/>
          <w:sz w:val="20"/>
          <w:szCs w:val="20"/>
        </w:rPr>
        <w:t xml:space="preserve"> </w:t>
      </w:r>
      <w:r w:rsidR="00436D09" w:rsidRPr="00436D09">
        <w:rPr>
          <w:rFonts w:ascii="Arial" w:hAnsi="Arial" w:cs="Arial"/>
          <w:sz w:val="20"/>
          <w:szCs w:val="20"/>
        </w:rPr>
        <w:t>(also known as electromagnetic radiation (EMR)</w:t>
      </w:r>
      <w:r w:rsidR="00436D09">
        <w:rPr>
          <w:rFonts w:ascii="Arial" w:hAnsi="Arial" w:cs="Arial"/>
          <w:sz w:val="20"/>
          <w:szCs w:val="20"/>
        </w:rPr>
        <w:t>)</w:t>
      </w:r>
      <w:r>
        <w:rPr>
          <w:rFonts w:ascii="Arial" w:hAnsi="Arial" w:cs="Arial"/>
          <w:sz w:val="20"/>
          <w:szCs w:val="20"/>
        </w:rPr>
        <w:t xml:space="preserve">, </w:t>
      </w:r>
      <w:r w:rsidRPr="00993194">
        <w:rPr>
          <w:rFonts w:ascii="Arial" w:hAnsi="Arial" w:cs="Arial"/>
          <w:sz w:val="20"/>
          <w:szCs w:val="20"/>
        </w:rPr>
        <w:t xml:space="preserve">electromagnetic compatibility </w:t>
      </w:r>
      <w:r>
        <w:rPr>
          <w:rFonts w:ascii="Arial" w:hAnsi="Arial" w:cs="Arial"/>
          <w:sz w:val="20"/>
          <w:szCs w:val="20"/>
        </w:rPr>
        <w:t xml:space="preserve">(EMC) and telecommunications </w:t>
      </w:r>
      <w:r w:rsidRPr="00993194">
        <w:rPr>
          <w:rFonts w:ascii="Arial" w:hAnsi="Arial" w:cs="Arial"/>
          <w:sz w:val="20"/>
          <w:szCs w:val="20"/>
        </w:rPr>
        <w:t xml:space="preserve">functions of </w:t>
      </w:r>
      <w:r>
        <w:rPr>
          <w:rFonts w:ascii="Arial" w:hAnsi="Arial" w:cs="Arial"/>
          <w:sz w:val="20"/>
          <w:szCs w:val="20"/>
        </w:rPr>
        <w:t>a</w:t>
      </w:r>
      <w:r w:rsidRPr="00993194">
        <w:rPr>
          <w:rFonts w:ascii="Arial" w:hAnsi="Arial" w:cs="Arial"/>
          <w:sz w:val="20"/>
          <w:szCs w:val="20"/>
        </w:rPr>
        <w:t xml:space="preserve"> device.</w:t>
      </w:r>
    </w:p>
    <w:p w:rsidR="009A0B8E" w:rsidRDefault="009A0B8E" w:rsidP="009A0B8E">
      <w:pPr>
        <w:spacing w:before="80" w:after="120" w:line="280" w:lineRule="atLeast"/>
        <w:jc w:val="both"/>
        <w:rPr>
          <w:rFonts w:ascii="Arial" w:hAnsi="Arial" w:cs="Arial"/>
          <w:sz w:val="20"/>
          <w:szCs w:val="20"/>
        </w:rPr>
      </w:pPr>
      <w:r w:rsidRPr="002F190B">
        <w:rPr>
          <w:rFonts w:ascii="Arial" w:hAnsi="Arial" w:cs="Arial"/>
          <w:sz w:val="20"/>
          <w:szCs w:val="20"/>
        </w:rPr>
        <w:t xml:space="preserve">Through the use of mandatory technical standards, the EME arrangements set out protection levels that limit the exposure </w:t>
      </w:r>
      <w:r>
        <w:rPr>
          <w:rFonts w:ascii="Arial" w:hAnsi="Arial" w:cs="Arial"/>
          <w:sz w:val="20"/>
          <w:szCs w:val="20"/>
        </w:rPr>
        <w:t xml:space="preserve">to </w:t>
      </w:r>
      <w:r w:rsidRPr="002F190B">
        <w:rPr>
          <w:rFonts w:ascii="Arial" w:hAnsi="Arial" w:cs="Arial"/>
          <w:sz w:val="20"/>
          <w:szCs w:val="20"/>
        </w:rPr>
        <w:t xml:space="preserve">EME from radiocommunications transmitters. By imposing requirements on </w:t>
      </w:r>
      <w:r w:rsidR="00B76409">
        <w:rPr>
          <w:rFonts w:ascii="Arial" w:hAnsi="Arial" w:cs="Arial"/>
          <w:sz w:val="20"/>
          <w:szCs w:val="20"/>
        </w:rPr>
        <w:t>manufacturers and importers (</w:t>
      </w:r>
      <w:r w:rsidRPr="002F190B">
        <w:rPr>
          <w:rFonts w:ascii="Arial" w:hAnsi="Arial" w:cs="Arial"/>
          <w:sz w:val="20"/>
          <w:szCs w:val="20"/>
        </w:rPr>
        <w:t>suppliers</w:t>
      </w:r>
      <w:r w:rsidR="00B76409">
        <w:rPr>
          <w:rFonts w:ascii="Arial" w:hAnsi="Arial" w:cs="Arial"/>
          <w:sz w:val="20"/>
          <w:szCs w:val="20"/>
        </w:rPr>
        <w:t>)</w:t>
      </w:r>
      <w:r w:rsidRPr="002F190B">
        <w:rPr>
          <w:rFonts w:ascii="Arial" w:hAnsi="Arial" w:cs="Arial"/>
          <w:sz w:val="20"/>
          <w:szCs w:val="20"/>
        </w:rPr>
        <w:t xml:space="preserve"> of devices </w:t>
      </w:r>
      <w:r>
        <w:rPr>
          <w:rFonts w:ascii="Arial" w:hAnsi="Arial" w:cs="Arial"/>
          <w:sz w:val="20"/>
          <w:szCs w:val="20"/>
        </w:rPr>
        <w:t xml:space="preserve">that are </w:t>
      </w:r>
      <w:r w:rsidRPr="002F190B">
        <w:rPr>
          <w:rFonts w:ascii="Arial" w:hAnsi="Arial" w:cs="Arial"/>
          <w:sz w:val="20"/>
          <w:szCs w:val="20"/>
        </w:rPr>
        <w:t xml:space="preserve">capable of producing EME, the regulatory arrangements </w:t>
      </w:r>
      <w:r w:rsidR="005567ED">
        <w:rPr>
          <w:rFonts w:ascii="Arial" w:hAnsi="Arial" w:cs="Arial"/>
          <w:sz w:val="20"/>
          <w:szCs w:val="20"/>
        </w:rPr>
        <w:t xml:space="preserve">are intended to </w:t>
      </w:r>
      <w:r w:rsidRPr="002F190B">
        <w:rPr>
          <w:rFonts w:ascii="Arial" w:hAnsi="Arial" w:cs="Arial"/>
          <w:sz w:val="20"/>
          <w:szCs w:val="20"/>
        </w:rPr>
        <w:t xml:space="preserve">protect the health and safety of people who operate, work on, use, or are likely to be affected by the operation of such devices. </w:t>
      </w:r>
    </w:p>
    <w:p w:rsidR="009A0B8E" w:rsidRDefault="009A0B8E" w:rsidP="009A0B8E">
      <w:pPr>
        <w:spacing w:before="80" w:after="120" w:line="280" w:lineRule="atLeast"/>
        <w:jc w:val="both"/>
        <w:rPr>
          <w:rFonts w:ascii="Arial" w:hAnsi="Arial" w:cs="Arial"/>
          <w:sz w:val="20"/>
          <w:szCs w:val="20"/>
        </w:rPr>
      </w:pPr>
      <w:r w:rsidRPr="00670A9A">
        <w:rPr>
          <w:rFonts w:ascii="Arial" w:hAnsi="Arial" w:cs="Arial"/>
          <w:sz w:val="20"/>
          <w:szCs w:val="20"/>
        </w:rPr>
        <w:t xml:space="preserve">The </w:t>
      </w:r>
      <w:r w:rsidR="00B76409">
        <w:rPr>
          <w:rFonts w:ascii="Arial" w:hAnsi="Arial" w:cs="Arial"/>
          <w:sz w:val="20"/>
          <w:szCs w:val="20"/>
        </w:rPr>
        <w:t>Instrument</w:t>
      </w:r>
      <w:r w:rsidR="00B76409" w:rsidRPr="00670A9A">
        <w:rPr>
          <w:rFonts w:ascii="Arial" w:hAnsi="Arial" w:cs="Arial"/>
          <w:sz w:val="20"/>
          <w:szCs w:val="20"/>
        </w:rPr>
        <w:t xml:space="preserve"> </w:t>
      </w:r>
      <w:r w:rsidRPr="00670A9A">
        <w:rPr>
          <w:rFonts w:ascii="Arial" w:hAnsi="Arial" w:cs="Arial"/>
          <w:sz w:val="20"/>
          <w:szCs w:val="20"/>
        </w:rPr>
        <w:t xml:space="preserve">sets testing, labelling and record-keeping requirements for suppliers of specified radiocommunications transmitters. These transmitters are mobile and portable </w:t>
      </w:r>
      <w:r w:rsidRPr="00670A9A">
        <w:rPr>
          <w:rFonts w:ascii="Arial" w:hAnsi="Arial" w:cs="Arial"/>
          <w:sz w:val="20"/>
          <w:szCs w:val="20"/>
        </w:rPr>
        <w:lastRenderedPageBreak/>
        <w:t xml:space="preserve">radiocommunications transmitters supplied with an integral antenna and operating on a frequency between 100 kHz and 300 GHz. These devices must comply with </w:t>
      </w:r>
      <w:r>
        <w:rPr>
          <w:rFonts w:ascii="Arial" w:hAnsi="Arial" w:cs="Arial"/>
          <w:sz w:val="20"/>
          <w:szCs w:val="20"/>
        </w:rPr>
        <w:t xml:space="preserve">the Human Exposure Standard. </w:t>
      </w:r>
      <w:r w:rsidRPr="00670A9A">
        <w:rPr>
          <w:rFonts w:ascii="Arial" w:hAnsi="Arial" w:cs="Arial"/>
          <w:sz w:val="20"/>
          <w:szCs w:val="20"/>
        </w:rPr>
        <w:t xml:space="preserve">The Human Exposure Standard specifies </w:t>
      </w:r>
      <w:r>
        <w:rPr>
          <w:rFonts w:ascii="Arial" w:hAnsi="Arial" w:cs="Arial"/>
          <w:sz w:val="20"/>
          <w:szCs w:val="20"/>
        </w:rPr>
        <w:t>EME</w:t>
      </w:r>
      <w:r w:rsidRPr="00670A9A">
        <w:rPr>
          <w:rFonts w:ascii="Arial" w:hAnsi="Arial" w:cs="Arial"/>
          <w:sz w:val="20"/>
          <w:szCs w:val="20"/>
        </w:rPr>
        <w:t xml:space="preserve"> exposure limits for mobile and portable radiocommunications transmitters and the test method a supplier must follow to determine the specific absorption rate (SAR) for a device.</w:t>
      </w:r>
    </w:p>
    <w:p w:rsidR="009A0B8E" w:rsidRPr="00993194" w:rsidRDefault="009A0B8E" w:rsidP="009A0B8E">
      <w:pPr>
        <w:spacing w:before="80" w:after="120" w:line="280" w:lineRule="atLeast"/>
        <w:jc w:val="both"/>
        <w:rPr>
          <w:rFonts w:ascii="Arial" w:hAnsi="Arial" w:cs="Arial"/>
          <w:sz w:val="20"/>
          <w:szCs w:val="20"/>
        </w:rPr>
      </w:pPr>
      <w:r>
        <w:rPr>
          <w:rFonts w:ascii="Arial" w:hAnsi="Arial" w:cs="Arial"/>
          <w:sz w:val="20"/>
          <w:szCs w:val="20"/>
        </w:rPr>
        <w:t>The</w:t>
      </w:r>
      <w:r w:rsidRPr="00993194">
        <w:rPr>
          <w:rFonts w:ascii="Arial" w:hAnsi="Arial" w:cs="Arial"/>
          <w:sz w:val="20"/>
          <w:szCs w:val="20"/>
        </w:rPr>
        <w:t xml:space="preserve"> </w:t>
      </w:r>
      <w:r w:rsidRPr="00652721">
        <w:rPr>
          <w:rFonts w:ascii="Arial" w:hAnsi="Arial" w:cs="Arial"/>
          <w:sz w:val="20"/>
          <w:szCs w:val="20"/>
        </w:rPr>
        <w:t>Instrument i</w:t>
      </w:r>
      <w:r w:rsidRPr="000C5ABC">
        <w:rPr>
          <w:rFonts w:ascii="Arial" w:hAnsi="Arial" w:cs="Arial"/>
          <w:sz w:val="20"/>
          <w:szCs w:val="20"/>
        </w:rPr>
        <w:t xml:space="preserve">mposes requirements on suppliers of </w:t>
      </w:r>
      <w:r w:rsidR="00D70712">
        <w:rPr>
          <w:rFonts w:ascii="Arial" w:hAnsi="Arial" w:cs="Arial"/>
          <w:sz w:val="20"/>
          <w:szCs w:val="20"/>
        </w:rPr>
        <w:t>the relevant devices</w:t>
      </w:r>
      <w:r w:rsidRPr="000C5ABC">
        <w:rPr>
          <w:rFonts w:ascii="Arial" w:hAnsi="Arial" w:cs="Arial"/>
          <w:sz w:val="20"/>
          <w:szCs w:val="20"/>
        </w:rPr>
        <w:t xml:space="preserve"> to ensure such devices comply with the</w:t>
      </w:r>
      <w:r w:rsidR="006F76D2">
        <w:rPr>
          <w:rFonts w:ascii="Arial" w:hAnsi="Arial" w:cs="Arial"/>
          <w:sz w:val="20"/>
          <w:szCs w:val="20"/>
        </w:rPr>
        <w:t xml:space="preserve"> Human Exposure Standard</w:t>
      </w:r>
      <w:r>
        <w:rPr>
          <w:rFonts w:ascii="Arial" w:hAnsi="Arial" w:cs="Arial"/>
          <w:sz w:val="20"/>
          <w:szCs w:val="20"/>
        </w:rPr>
        <w:t xml:space="preserve"> </w:t>
      </w:r>
      <w:r w:rsidRPr="000C5ABC">
        <w:rPr>
          <w:rFonts w:ascii="Arial" w:hAnsi="Arial" w:cs="Arial"/>
          <w:sz w:val="20"/>
          <w:szCs w:val="20"/>
        </w:rPr>
        <w:t>and label their product with a compliance mark.</w:t>
      </w:r>
    </w:p>
    <w:p w:rsidR="009A0B8E" w:rsidRDefault="009A0B8E" w:rsidP="009A0B8E">
      <w:pPr>
        <w:spacing w:before="80" w:after="120" w:line="280" w:lineRule="atLeast"/>
        <w:jc w:val="both"/>
        <w:rPr>
          <w:rFonts w:ascii="Arial" w:hAnsi="Arial" w:cs="Arial"/>
          <w:sz w:val="20"/>
          <w:szCs w:val="20"/>
        </w:rPr>
      </w:pPr>
      <w:r w:rsidRPr="00670A9A">
        <w:rPr>
          <w:rFonts w:ascii="Arial" w:hAnsi="Arial" w:cs="Arial"/>
          <w:sz w:val="20"/>
          <w:szCs w:val="20"/>
        </w:rPr>
        <w:t xml:space="preserve">The </w:t>
      </w:r>
      <w:r>
        <w:rPr>
          <w:rFonts w:ascii="Arial" w:hAnsi="Arial" w:cs="Arial"/>
          <w:sz w:val="20"/>
          <w:szCs w:val="20"/>
        </w:rPr>
        <w:t>Instrument</w:t>
      </w:r>
      <w:r w:rsidRPr="00670A9A">
        <w:rPr>
          <w:rFonts w:ascii="Arial" w:hAnsi="Arial" w:cs="Arial"/>
          <w:sz w:val="20"/>
          <w:szCs w:val="20"/>
        </w:rPr>
        <w:t xml:space="preserve"> and the Human Exposure Standard operate together to specify the Australian regulatory arrangements for EME for relevant devices under the </w:t>
      </w:r>
      <w:r>
        <w:rPr>
          <w:rFonts w:ascii="Arial" w:hAnsi="Arial" w:cs="Arial"/>
          <w:sz w:val="20"/>
          <w:szCs w:val="20"/>
        </w:rPr>
        <w:t>Act.</w:t>
      </w:r>
    </w:p>
    <w:p w:rsidR="00FD4084" w:rsidRPr="00993194" w:rsidRDefault="00FD4084" w:rsidP="00993194">
      <w:pPr>
        <w:spacing w:before="80" w:after="120" w:line="280" w:lineRule="atLeast"/>
        <w:jc w:val="both"/>
        <w:rPr>
          <w:rFonts w:ascii="Arial" w:hAnsi="Arial" w:cs="Arial"/>
          <w:sz w:val="20"/>
          <w:szCs w:val="20"/>
        </w:rPr>
      </w:pPr>
      <w:bookmarkStart w:id="3" w:name="OLE_LINK8"/>
      <w:bookmarkStart w:id="4" w:name="OLE_LINK9"/>
      <w:r w:rsidRPr="00993194">
        <w:rPr>
          <w:rFonts w:ascii="Arial" w:hAnsi="Arial" w:cs="Arial"/>
          <w:b/>
          <w:sz w:val="20"/>
          <w:szCs w:val="20"/>
        </w:rPr>
        <w:t>Consultation</w:t>
      </w:r>
    </w:p>
    <w:p w:rsidR="009A0B8E" w:rsidRPr="006511C7" w:rsidRDefault="009A0B8E" w:rsidP="006511C7">
      <w:pPr>
        <w:spacing w:before="80" w:after="120" w:line="280" w:lineRule="atLeast"/>
        <w:jc w:val="both"/>
        <w:rPr>
          <w:rFonts w:ascii="Arial" w:hAnsi="Arial" w:cs="Arial"/>
          <w:sz w:val="20"/>
          <w:szCs w:val="20"/>
        </w:rPr>
      </w:pPr>
      <w:r w:rsidRPr="006511C7">
        <w:rPr>
          <w:rFonts w:ascii="Arial" w:hAnsi="Arial" w:cs="Arial"/>
          <w:sz w:val="20"/>
          <w:szCs w:val="20"/>
        </w:rPr>
        <w:t xml:space="preserve">Subsection 17(1) of the LIA requires that, before the ACMA makes a legislative instrument, it must be satisfied that any consultation that the ACMA considers is appropriate and reasonably practicable to undertake, has been undertaken. </w:t>
      </w:r>
    </w:p>
    <w:p w:rsidR="009A0B8E" w:rsidRPr="000C5ABC" w:rsidRDefault="009A0B8E" w:rsidP="009A0B8E">
      <w:pPr>
        <w:spacing w:before="80" w:after="120" w:line="280" w:lineRule="atLeast"/>
        <w:jc w:val="both"/>
        <w:rPr>
          <w:rFonts w:ascii="Arial" w:hAnsi="Arial" w:cs="Arial"/>
          <w:sz w:val="20"/>
          <w:szCs w:val="20"/>
          <w:highlight w:val="yellow"/>
        </w:rPr>
      </w:pPr>
      <w:r>
        <w:rPr>
          <w:rFonts w:ascii="Arial" w:hAnsi="Arial" w:cs="Arial"/>
          <w:sz w:val="20"/>
          <w:szCs w:val="20"/>
        </w:rPr>
        <w:t>Between 20 March and 2 May 2014, t</w:t>
      </w:r>
      <w:r w:rsidRPr="00F64A16">
        <w:rPr>
          <w:rFonts w:ascii="Arial" w:hAnsi="Arial" w:cs="Arial"/>
          <w:sz w:val="20"/>
          <w:szCs w:val="20"/>
        </w:rPr>
        <w:t xml:space="preserve">he ACMA conducted </w:t>
      </w:r>
      <w:r>
        <w:rPr>
          <w:rFonts w:ascii="Arial" w:hAnsi="Arial" w:cs="Arial"/>
          <w:sz w:val="20"/>
          <w:szCs w:val="20"/>
        </w:rPr>
        <w:t>a</w:t>
      </w:r>
      <w:r w:rsidRPr="00F64A16">
        <w:rPr>
          <w:rFonts w:ascii="Arial" w:hAnsi="Arial" w:cs="Arial"/>
          <w:sz w:val="20"/>
          <w:szCs w:val="20"/>
        </w:rPr>
        <w:t xml:space="preserve"> public consultation </w:t>
      </w:r>
      <w:r>
        <w:rPr>
          <w:rFonts w:ascii="Arial" w:hAnsi="Arial" w:cs="Arial"/>
          <w:sz w:val="20"/>
          <w:szCs w:val="20"/>
        </w:rPr>
        <w:t xml:space="preserve">process and made </w:t>
      </w:r>
      <w:r w:rsidR="00951B5D">
        <w:rPr>
          <w:rFonts w:ascii="Arial" w:hAnsi="Arial" w:cs="Arial"/>
          <w:sz w:val="20"/>
          <w:szCs w:val="20"/>
        </w:rPr>
        <w:t xml:space="preserve">a draft of </w:t>
      </w:r>
      <w:r>
        <w:rPr>
          <w:rFonts w:ascii="Arial" w:hAnsi="Arial" w:cs="Arial"/>
          <w:sz w:val="20"/>
          <w:szCs w:val="20"/>
        </w:rPr>
        <w:t xml:space="preserve">the </w:t>
      </w:r>
      <w:r w:rsidR="00951B5D">
        <w:rPr>
          <w:rFonts w:ascii="Arial" w:hAnsi="Arial" w:cs="Arial"/>
          <w:sz w:val="20"/>
          <w:szCs w:val="20"/>
        </w:rPr>
        <w:t xml:space="preserve">Instrument </w:t>
      </w:r>
      <w:r>
        <w:rPr>
          <w:rFonts w:ascii="Arial" w:hAnsi="Arial" w:cs="Arial"/>
          <w:sz w:val="20"/>
          <w:szCs w:val="20"/>
        </w:rPr>
        <w:t xml:space="preserve">available on the ACMA website. </w:t>
      </w:r>
      <w:r w:rsidRPr="00A7075A">
        <w:rPr>
          <w:rFonts w:ascii="Arial" w:hAnsi="Arial" w:cs="Arial"/>
          <w:sz w:val="20"/>
          <w:szCs w:val="20"/>
        </w:rPr>
        <w:t xml:space="preserve">A consultation paper was also published on the ACMA website and explained the sunsetting process and the ACMA’s preliminary view that the existing arrangements should be </w:t>
      </w:r>
      <w:r w:rsidR="00951B5D">
        <w:rPr>
          <w:rFonts w:ascii="Arial" w:hAnsi="Arial" w:cs="Arial"/>
          <w:sz w:val="20"/>
          <w:szCs w:val="20"/>
        </w:rPr>
        <w:t xml:space="preserve">continued </w:t>
      </w:r>
      <w:r w:rsidRPr="00A7075A">
        <w:rPr>
          <w:rFonts w:ascii="Arial" w:hAnsi="Arial" w:cs="Arial"/>
          <w:sz w:val="20"/>
          <w:szCs w:val="20"/>
        </w:rPr>
        <w:t>and be remade without any significant changes. Interested parties were notified of the release of the consultation paper and invited to comment.</w:t>
      </w:r>
    </w:p>
    <w:p w:rsidR="005F6A84" w:rsidRPr="004E65B1" w:rsidRDefault="009A0B8E" w:rsidP="005F6A84">
      <w:pPr>
        <w:spacing w:before="80" w:after="120" w:line="280" w:lineRule="atLeast"/>
        <w:jc w:val="both"/>
        <w:rPr>
          <w:rFonts w:ascii="Arial" w:hAnsi="Arial" w:cs="Arial"/>
          <w:color w:val="FF0000"/>
          <w:sz w:val="20"/>
          <w:szCs w:val="20"/>
        </w:rPr>
      </w:pPr>
      <w:r w:rsidRPr="009A0B8E">
        <w:rPr>
          <w:rFonts w:ascii="Arial" w:hAnsi="Arial" w:cs="Arial"/>
          <w:sz w:val="20"/>
          <w:szCs w:val="20"/>
        </w:rPr>
        <w:t xml:space="preserve">The ACMA received </w:t>
      </w:r>
      <w:r w:rsidRPr="00DD4B71">
        <w:rPr>
          <w:rFonts w:ascii="Arial" w:hAnsi="Arial" w:cs="Arial"/>
          <w:sz w:val="20"/>
          <w:szCs w:val="20"/>
        </w:rPr>
        <w:t>2</w:t>
      </w:r>
      <w:r w:rsidR="005426FE" w:rsidRPr="00DD4B71">
        <w:rPr>
          <w:rFonts w:ascii="Arial" w:hAnsi="Arial" w:cs="Arial"/>
          <w:sz w:val="20"/>
          <w:szCs w:val="20"/>
        </w:rPr>
        <w:t>2</w:t>
      </w:r>
      <w:r w:rsidRPr="009A0B8E">
        <w:rPr>
          <w:rFonts w:ascii="Arial" w:hAnsi="Arial" w:cs="Arial"/>
          <w:sz w:val="20"/>
          <w:szCs w:val="20"/>
        </w:rPr>
        <w:t xml:space="preserve"> submissions in response to the consultation paper and </w:t>
      </w:r>
      <w:r>
        <w:rPr>
          <w:rFonts w:ascii="Arial" w:hAnsi="Arial" w:cs="Arial"/>
          <w:sz w:val="20"/>
          <w:szCs w:val="20"/>
        </w:rPr>
        <w:t xml:space="preserve">these </w:t>
      </w:r>
      <w:r w:rsidRPr="009A0B8E">
        <w:rPr>
          <w:rFonts w:ascii="Arial" w:hAnsi="Arial" w:cs="Arial"/>
          <w:sz w:val="20"/>
          <w:szCs w:val="20"/>
        </w:rPr>
        <w:t>were considered when making the Instrument.</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9A0B8E" w:rsidP="00993194">
      <w:pPr>
        <w:spacing w:before="80" w:after="120" w:line="280" w:lineRule="atLeast"/>
        <w:jc w:val="both"/>
        <w:rPr>
          <w:rFonts w:ascii="Arial" w:hAnsi="Arial" w:cs="Arial"/>
          <w:sz w:val="20"/>
          <w:szCs w:val="20"/>
        </w:rPr>
      </w:pPr>
      <w:r w:rsidRPr="009A0B8E">
        <w:rPr>
          <w:rFonts w:ascii="Arial" w:hAnsi="Arial" w:cs="Arial"/>
          <w:sz w:val="20"/>
          <w:szCs w:val="20"/>
        </w:rPr>
        <w:t xml:space="preserve">The Office of Best Practice Regulation (OBPR) has considered the matter and formed the opinion that making the Instrument is minor or machinery in nature.  Accordingly, OBPR advised that no further analysis (in the form of a Regulation Impact Statement) was required.  </w:t>
      </w:r>
      <w:r w:rsidR="006C6500" w:rsidRPr="00D7586E">
        <w:rPr>
          <w:rFonts w:ascii="Arial" w:hAnsi="Arial" w:cs="Arial"/>
          <w:sz w:val="20"/>
          <w:szCs w:val="20"/>
        </w:rPr>
        <w:t xml:space="preserve">The </w:t>
      </w:r>
      <w:r w:rsidR="00D7586E">
        <w:rPr>
          <w:rFonts w:ascii="Arial" w:hAnsi="Arial" w:cs="Arial"/>
          <w:sz w:val="20"/>
          <w:szCs w:val="20"/>
        </w:rPr>
        <w:t xml:space="preserve">OBPR </w:t>
      </w:r>
      <w:r w:rsidR="004B4201">
        <w:rPr>
          <w:rFonts w:ascii="Arial" w:hAnsi="Arial" w:cs="Arial"/>
          <w:sz w:val="20"/>
          <w:szCs w:val="20"/>
        </w:rPr>
        <w:t>exemption</w:t>
      </w:r>
      <w:r w:rsidR="006C6500" w:rsidRPr="00D7586E">
        <w:rPr>
          <w:rFonts w:ascii="Arial" w:hAnsi="Arial" w:cs="Arial"/>
          <w:sz w:val="20"/>
          <w:szCs w:val="20"/>
        </w:rPr>
        <w:t xml:space="preserve"> number is </w:t>
      </w:r>
      <w:r w:rsidR="00D7586E" w:rsidRPr="00D7586E">
        <w:rPr>
          <w:rFonts w:ascii="Arial" w:hAnsi="Arial" w:cs="Arial"/>
          <w:sz w:val="20"/>
          <w:szCs w:val="20"/>
        </w:rPr>
        <w:t>16157</w:t>
      </w:r>
      <w:r w:rsidR="006C6500" w:rsidRPr="00D7586E">
        <w:rPr>
          <w:rFonts w:ascii="Arial" w:hAnsi="Arial" w:cs="Arial"/>
          <w:sz w:val="20"/>
          <w:szCs w:val="20"/>
        </w:rPr>
        <w:t>.</w:t>
      </w:r>
    </w:p>
    <w:p w:rsidR="007D4F64" w:rsidRPr="00E230F2" w:rsidRDefault="007D4F64" w:rsidP="007D4F64">
      <w:pPr>
        <w:pStyle w:val="ACMAHeading3"/>
        <w:rPr>
          <w:rFonts w:cs="Arial"/>
          <w:sz w:val="20"/>
        </w:rPr>
      </w:pPr>
      <w:r w:rsidRPr="00E230F2">
        <w:rPr>
          <w:rFonts w:cs="Arial"/>
          <w:sz w:val="20"/>
        </w:rPr>
        <w:t xml:space="preserve">Detailed </w:t>
      </w:r>
      <w:r w:rsidR="007F19E8">
        <w:rPr>
          <w:rFonts w:cs="Arial"/>
          <w:sz w:val="20"/>
        </w:rPr>
        <w:t>d</w:t>
      </w:r>
      <w:r w:rsidRPr="00E230F2">
        <w:rPr>
          <w:rFonts w:cs="Arial"/>
          <w:sz w:val="20"/>
        </w:rPr>
        <w:t>escription of the Instrument</w:t>
      </w:r>
    </w:p>
    <w:p w:rsidR="007D4F64" w:rsidRDefault="009A0B8E" w:rsidP="007D4F64">
      <w:pPr>
        <w:pStyle w:val="ACMABodyText"/>
        <w:rPr>
          <w:rFonts w:ascii="Arial" w:hAnsi="Arial" w:cs="Arial"/>
          <w:sz w:val="20"/>
          <w:lang w:val="en-US"/>
        </w:rPr>
      </w:pPr>
      <w:r w:rsidRPr="009A0B8E">
        <w:rPr>
          <w:rFonts w:ascii="Arial" w:hAnsi="Arial" w:cs="Arial"/>
          <w:sz w:val="20"/>
          <w:lang w:val="en-US"/>
        </w:rPr>
        <w:t xml:space="preserve">Details of the </w:t>
      </w:r>
      <w:r w:rsidR="00E64133">
        <w:rPr>
          <w:rFonts w:ascii="Arial" w:hAnsi="Arial" w:cs="Arial"/>
          <w:sz w:val="20"/>
          <w:lang w:val="en-US"/>
        </w:rPr>
        <w:t>I</w:t>
      </w:r>
      <w:r w:rsidRPr="009A0B8E">
        <w:rPr>
          <w:rFonts w:ascii="Arial" w:hAnsi="Arial" w:cs="Arial"/>
          <w:sz w:val="20"/>
          <w:lang w:val="en-US"/>
        </w:rPr>
        <w:t>nstrument are in Attachment A</w:t>
      </w:r>
      <w:r w:rsidR="007D4F64">
        <w:rPr>
          <w:rFonts w:ascii="Arial" w:hAnsi="Arial" w:cs="Arial"/>
          <w:sz w:val="20"/>
          <w:lang w:val="en-US"/>
        </w:rPr>
        <w:t>.</w:t>
      </w:r>
    </w:p>
    <w:p w:rsidR="004B4201" w:rsidRPr="004B4201" w:rsidRDefault="004B4201" w:rsidP="004B4201">
      <w:pPr>
        <w:pStyle w:val="ACMAHeading3"/>
        <w:rPr>
          <w:rFonts w:cs="Arial"/>
          <w:sz w:val="20"/>
        </w:rPr>
      </w:pPr>
      <w:r w:rsidRPr="004B4201">
        <w:rPr>
          <w:rFonts w:cs="Arial"/>
          <w:sz w:val="20"/>
        </w:rPr>
        <w:t xml:space="preserve">Documents Incorporated in this Instrument by Reference </w:t>
      </w:r>
    </w:p>
    <w:p w:rsidR="004B4201" w:rsidRDefault="009A0B8E" w:rsidP="002C247E">
      <w:pPr>
        <w:pStyle w:val="ACMABodyText"/>
        <w:jc w:val="both"/>
        <w:rPr>
          <w:rFonts w:ascii="Arial" w:hAnsi="Arial" w:cs="Arial"/>
          <w:sz w:val="20"/>
          <w:lang w:val="en-US"/>
        </w:rPr>
      </w:pPr>
      <w:r w:rsidRPr="009A0B8E">
        <w:rPr>
          <w:rFonts w:ascii="Arial" w:hAnsi="Arial" w:cs="Arial"/>
          <w:sz w:val="20"/>
          <w:lang w:val="en-US"/>
        </w:rPr>
        <w:t>The Instrument incorporates the following documents by reference, or otherwise refers to them</w:t>
      </w:r>
      <w:r w:rsidR="004B4201" w:rsidRPr="004B4201">
        <w:rPr>
          <w:rFonts w:ascii="Arial" w:hAnsi="Arial" w:cs="Arial"/>
          <w:sz w:val="20"/>
          <w:lang w:val="en-US"/>
        </w:rPr>
        <w:t>:</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Radiocommunications Act 1992</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Telecommunications Act 1997</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Business Names Registration Act 2011</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Corporations Act 2001</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Radiocommunications (Compliance Labelling—Electromagnetic Radiation) Notice 2003</w:t>
      </w:r>
    </w:p>
    <w:p w:rsidR="00E64133" w:rsidRPr="00E64133" w:rsidRDefault="00C06328" w:rsidP="006F76D2">
      <w:pPr>
        <w:pStyle w:val="ACMABodyText"/>
        <w:numPr>
          <w:ilvl w:val="0"/>
          <w:numId w:val="10"/>
        </w:numPr>
        <w:rPr>
          <w:rFonts w:ascii="Arial" w:hAnsi="Arial" w:cs="Arial"/>
          <w:i/>
          <w:sz w:val="20"/>
          <w:lang w:val="en-US"/>
        </w:rPr>
      </w:pPr>
      <w:r>
        <w:rPr>
          <w:rFonts w:ascii="Arial" w:hAnsi="Arial" w:cs="Arial"/>
          <w:i/>
          <w:sz w:val="20"/>
        </w:rPr>
        <w:t>Radiocommunications (Electromagnetic Radiation – Human Exposure) Standard 2014</w:t>
      </w:r>
      <w:r>
        <w:rPr>
          <w:rFonts w:ascii="Arial" w:hAnsi="Arial" w:cs="Arial"/>
          <w:sz w:val="20"/>
        </w:rPr>
        <w:t xml:space="preserve"> </w:t>
      </w:r>
    </w:p>
    <w:p w:rsidR="006F76D2" w:rsidRP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t>Protected Symbols Determination 2013</w:t>
      </w:r>
    </w:p>
    <w:p w:rsidR="006F76D2" w:rsidRDefault="006F76D2" w:rsidP="006F76D2">
      <w:pPr>
        <w:pStyle w:val="ACMABodyText"/>
        <w:numPr>
          <w:ilvl w:val="0"/>
          <w:numId w:val="10"/>
        </w:numPr>
        <w:rPr>
          <w:rFonts w:ascii="Arial" w:hAnsi="Arial" w:cs="Arial"/>
          <w:i/>
          <w:sz w:val="20"/>
          <w:lang w:val="en-US"/>
        </w:rPr>
      </w:pPr>
      <w:r w:rsidRPr="006F76D2">
        <w:rPr>
          <w:rFonts w:ascii="Arial" w:hAnsi="Arial" w:cs="Arial"/>
          <w:i/>
          <w:sz w:val="20"/>
          <w:lang w:val="en-US"/>
        </w:rPr>
        <w:lastRenderedPageBreak/>
        <w:t>Radiation Protection Standard for Maximum Exposure Levels to Radiofrequency Fields—3 kHz to 300 GHz</w:t>
      </w:r>
      <w:r>
        <w:rPr>
          <w:rFonts w:ascii="Arial" w:hAnsi="Arial" w:cs="Arial"/>
          <w:i/>
          <w:sz w:val="20"/>
          <w:lang w:val="en-US"/>
        </w:rPr>
        <w:t xml:space="preserve"> </w:t>
      </w:r>
      <w:r w:rsidRPr="006F76D2">
        <w:rPr>
          <w:rFonts w:ascii="Arial" w:hAnsi="Arial" w:cs="Arial"/>
          <w:sz w:val="20"/>
          <w:lang w:val="en-US"/>
        </w:rPr>
        <w:t>(the ARPANSA Standard)</w:t>
      </w:r>
    </w:p>
    <w:p w:rsidR="006F76D2" w:rsidRPr="006F76D2" w:rsidRDefault="006F76D2" w:rsidP="006F76D2">
      <w:pPr>
        <w:pStyle w:val="ACMABodyText"/>
        <w:numPr>
          <w:ilvl w:val="0"/>
          <w:numId w:val="10"/>
        </w:numPr>
        <w:rPr>
          <w:rFonts w:ascii="Arial" w:hAnsi="Arial" w:cs="Arial"/>
          <w:i/>
          <w:sz w:val="20"/>
          <w:lang w:val="en-US"/>
        </w:rPr>
      </w:pPr>
      <w:r>
        <w:rPr>
          <w:rFonts w:ascii="Arial" w:hAnsi="Arial" w:cs="Arial"/>
          <w:i/>
          <w:sz w:val="20"/>
          <w:lang w:val="en-US"/>
        </w:rPr>
        <w:t xml:space="preserve">AS/NZS 4417.1 </w:t>
      </w:r>
      <w:r w:rsidRPr="006F76D2">
        <w:rPr>
          <w:rFonts w:ascii="Arial" w:hAnsi="Arial" w:cs="Arial"/>
          <w:i/>
          <w:sz w:val="20"/>
          <w:lang w:val="en-US"/>
        </w:rPr>
        <w:t>Regulatory compliance mark for electrical and electronic equipment – Use of the mark</w:t>
      </w:r>
    </w:p>
    <w:p w:rsidR="006F76D2" w:rsidRPr="006F76D2" w:rsidRDefault="006F76D2" w:rsidP="002C247E">
      <w:pPr>
        <w:pStyle w:val="ACMABodyText"/>
        <w:jc w:val="both"/>
        <w:rPr>
          <w:rFonts w:ascii="Arial" w:hAnsi="Arial" w:cs="Arial"/>
          <w:sz w:val="20"/>
          <w:lang w:val="en-US"/>
        </w:rPr>
      </w:pPr>
      <w:r w:rsidRPr="006F76D2">
        <w:rPr>
          <w:rFonts w:ascii="Arial" w:hAnsi="Arial" w:cs="Arial"/>
          <w:sz w:val="20"/>
          <w:lang w:val="en-US"/>
        </w:rPr>
        <w:t xml:space="preserve">The Acts </w:t>
      </w:r>
      <w:r w:rsidR="00951B5D">
        <w:rPr>
          <w:rFonts w:ascii="Arial" w:hAnsi="Arial" w:cs="Arial"/>
          <w:sz w:val="20"/>
          <w:lang w:val="en-US"/>
        </w:rPr>
        <w:t xml:space="preserve">and legislative instruments mentioned above </w:t>
      </w:r>
      <w:r w:rsidRPr="006F76D2">
        <w:rPr>
          <w:rFonts w:ascii="Arial" w:hAnsi="Arial" w:cs="Arial"/>
          <w:sz w:val="20"/>
          <w:lang w:val="en-US"/>
        </w:rPr>
        <w:t>can be found on the Australian Government’s ComLaw website (</w:t>
      </w:r>
      <w:hyperlink r:id="rId13" w:history="1">
        <w:r w:rsidRPr="00FB0D16">
          <w:rPr>
            <w:rStyle w:val="Hyperlink"/>
            <w:rFonts w:ascii="Arial" w:hAnsi="Arial" w:cs="Arial"/>
            <w:sz w:val="20"/>
            <w:lang w:val="en-US"/>
          </w:rPr>
          <w:t>http://www.comlaw.gov.au/</w:t>
        </w:r>
      </w:hyperlink>
      <w:r w:rsidRPr="006F76D2">
        <w:rPr>
          <w:rFonts w:ascii="Arial" w:hAnsi="Arial" w:cs="Arial"/>
          <w:sz w:val="20"/>
          <w:lang w:val="en-US"/>
        </w:rPr>
        <w:t>).</w:t>
      </w:r>
    </w:p>
    <w:p w:rsidR="006F76D2" w:rsidRPr="006F76D2" w:rsidRDefault="006F76D2" w:rsidP="002C247E">
      <w:pPr>
        <w:pStyle w:val="ACMABodyText"/>
        <w:jc w:val="both"/>
        <w:rPr>
          <w:rFonts w:ascii="Arial" w:hAnsi="Arial" w:cs="Arial"/>
          <w:sz w:val="20"/>
          <w:lang w:val="en-US"/>
        </w:rPr>
      </w:pPr>
      <w:r w:rsidRPr="006F76D2">
        <w:rPr>
          <w:rFonts w:ascii="Arial" w:hAnsi="Arial" w:cs="Arial"/>
          <w:sz w:val="20"/>
          <w:lang w:val="en-US"/>
        </w:rPr>
        <w:t>The ARPANSA Standard can be obtained from the Australian Radiation Protection and Nuclear Safety Agency website (</w:t>
      </w:r>
      <w:hyperlink r:id="rId14" w:history="1">
        <w:r w:rsidRPr="00FB0D16">
          <w:rPr>
            <w:rStyle w:val="Hyperlink"/>
            <w:rFonts w:ascii="Arial" w:hAnsi="Arial" w:cs="Arial"/>
            <w:sz w:val="20"/>
            <w:lang w:val="en-US"/>
          </w:rPr>
          <w:t>http://www.arpansa.gov.au</w:t>
        </w:r>
      </w:hyperlink>
      <w:r w:rsidRPr="006F76D2">
        <w:rPr>
          <w:rFonts w:ascii="Arial" w:hAnsi="Arial" w:cs="Arial"/>
          <w:sz w:val="20"/>
          <w:lang w:val="en-US"/>
        </w:rPr>
        <w:t>).</w:t>
      </w:r>
    </w:p>
    <w:p w:rsidR="006F76D2" w:rsidRDefault="006F76D2" w:rsidP="002C247E">
      <w:pPr>
        <w:pStyle w:val="ACMABodyText"/>
        <w:jc w:val="both"/>
        <w:rPr>
          <w:rFonts w:ascii="Arial" w:hAnsi="Arial" w:cs="Arial"/>
          <w:sz w:val="20"/>
          <w:lang w:val="en-US"/>
        </w:rPr>
      </w:pPr>
      <w:r w:rsidRPr="006F76D2">
        <w:rPr>
          <w:rFonts w:ascii="Arial" w:hAnsi="Arial" w:cs="Arial"/>
          <w:sz w:val="20"/>
          <w:lang w:val="en-US"/>
        </w:rPr>
        <w:t xml:space="preserve">Copies of the </w:t>
      </w:r>
      <w:r w:rsidR="00951B5D">
        <w:rPr>
          <w:rFonts w:ascii="Arial" w:hAnsi="Arial" w:cs="Arial"/>
          <w:sz w:val="20"/>
          <w:lang w:val="en-US"/>
        </w:rPr>
        <w:t>s</w:t>
      </w:r>
      <w:r w:rsidRPr="006F76D2">
        <w:rPr>
          <w:rFonts w:ascii="Arial" w:hAnsi="Arial" w:cs="Arial"/>
          <w:sz w:val="20"/>
          <w:lang w:val="en-US"/>
        </w:rPr>
        <w:t>tandard</w:t>
      </w:r>
      <w:r w:rsidR="00951B5D">
        <w:rPr>
          <w:rFonts w:ascii="Arial" w:hAnsi="Arial" w:cs="Arial"/>
          <w:sz w:val="20"/>
          <w:lang w:val="en-US"/>
        </w:rPr>
        <w:t xml:space="preserve"> mentioned above</w:t>
      </w:r>
      <w:r w:rsidRPr="006F76D2">
        <w:rPr>
          <w:rFonts w:ascii="Arial" w:hAnsi="Arial" w:cs="Arial"/>
          <w:sz w:val="20"/>
          <w:lang w:val="en-US"/>
        </w:rPr>
        <w:t xml:space="preserve"> can be obtained from the SAI Global Limited website (</w:t>
      </w:r>
      <w:hyperlink r:id="rId15" w:history="1">
        <w:r w:rsidRPr="00FB0D16">
          <w:rPr>
            <w:rStyle w:val="Hyperlink"/>
            <w:rFonts w:ascii="Arial" w:hAnsi="Arial" w:cs="Arial"/>
            <w:sz w:val="20"/>
            <w:lang w:val="en-US"/>
          </w:rPr>
          <w:t>http://www.saiglobal.com</w:t>
        </w:r>
      </w:hyperlink>
      <w:r w:rsidRPr="006F76D2">
        <w:rPr>
          <w:rFonts w:ascii="Arial" w:hAnsi="Arial" w:cs="Arial"/>
          <w:sz w:val="20"/>
          <w:lang w:val="en-US"/>
        </w:rPr>
        <w:t>).</w:t>
      </w:r>
    </w:p>
    <w:p w:rsidR="007D4F64" w:rsidRPr="008E730A" w:rsidRDefault="007D4F64" w:rsidP="002C247E">
      <w:pPr>
        <w:pStyle w:val="ACMAHeading3"/>
        <w:jc w:val="both"/>
        <w:rPr>
          <w:rFonts w:cs="Arial"/>
          <w:sz w:val="20"/>
        </w:rPr>
      </w:pPr>
      <w:r w:rsidRPr="008E730A">
        <w:rPr>
          <w:rFonts w:cs="Arial"/>
          <w:sz w:val="20"/>
        </w:rPr>
        <w:t>Statement of compatibility with human rights</w:t>
      </w:r>
    </w:p>
    <w:p w:rsidR="004B4201" w:rsidRPr="008964DD" w:rsidRDefault="009A0B8E" w:rsidP="002C247E">
      <w:pPr>
        <w:pStyle w:val="ACMABodyText"/>
        <w:jc w:val="both"/>
        <w:rPr>
          <w:rFonts w:ascii="Arial" w:hAnsi="Arial" w:cs="Arial"/>
          <w:sz w:val="20"/>
          <w:lang w:val="en-US"/>
        </w:rPr>
      </w:pPr>
      <w:r w:rsidRPr="009A0B8E">
        <w:rPr>
          <w:rFonts w:ascii="Arial" w:hAnsi="Arial" w:cs="Arial"/>
          <w:sz w:val="20"/>
        </w:rPr>
        <w:t xml:space="preserve">In accordance with Part 3 of the </w:t>
      </w:r>
      <w:r w:rsidRPr="006E6879">
        <w:rPr>
          <w:rFonts w:ascii="Arial" w:hAnsi="Arial" w:cs="Arial"/>
          <w:i/>
          <w:sz w:val="20"/>
        </w:rPr>
        <w:t>Human Rights (Parliamentary Scrutiny) Act 2011</w:t>
      </w:r>
      <w:r w:rsidRPr="009A0B8E">
        <w:rPr>
          <w:rFonts w:ascii="Arial" w:hAnsi="Arial" w:cs="Arial"/>
          <w:sz w:val="20"/>
        </w:rPr>
        <w:t xml:space="preserve">, the ACMA has prepared a Statement of Compatibility with Human Rights (the Statement of Compatibility) to consider the human rights implications of the Instrument. The Statement of Compatibility prepared for </w:t>
      </w:r>
      <w:r w:rsidR="00E64133">
        <w:rPr>
          <w:rFonts w:ascii="Arial" w:hAnsi="Arial" w:cs="Arial"/>
          <w:sz w:val="20"/>
        </w:rPr>
        <w:t xml:space="preserve">the Instrument </w:t>
      </w:r>
      <w:r w:rsidRPr="009A0B8E">
        <w:rPr>
          <w:rFonts w:ascii="Arial" w:hAnsi="Arial" w:cs="Arial"/>
          <w:sz w:val="20"/>
        </w:rPr>
        <w:t>is provided in Attachment B.</w:t>
      </w:r>
    </w:p>
    <w:p w:rsidR="00B40BBD" w:rsidRPr="00661B18" w:rsidRDefault="00FD4084" w:rsidP="003C411F">
      <w:pPr>
        <w:spacing w:beforeLines="80" w:before="192" w:afterLines="120" w:after="288" w:line="280" w:lineRule="atLeast"/>
        <w:rPr>
          <w:rFonts w:ascii="Arial" w:hAnsi="Arial" w:cs="Arial"/>
          <w:b/>
        </w:rPr>
      </w:pPr>
      <w:r w:rsidRPr="004A73DD">
        <w:rPr>
          <w:rFonts w:ascii="Arial" w:hAnsi="Arial" w:cs="Arial"/>
          <w:sz w:val="20"/>
          <w:szCs w:val="20"/>
        </w:rPr>
        <w:br w:type="page"/>
      </w:r>
      <w:bookmarkEnd w:id="3"/>
      <w:bookmarkEnd w:id="4"/>
      <w:r w:rsidR="00B40BBD" w:rsidRPr="00661B18">
        <w:rPr>
          <w:rFonts w:ascii="Arial" w:hAnsi="Arial" w:cs="Arial"/>
          <w:b/>
        </w:rPr>
        <w:lastRenderedPageBreak/>
        <w:t>Attachment A</w:t>
      </w:r>
    </w:p>
    <w:p w:rsidR="00FD4084" w:rsidRPr="00490C58" w:rsidRDefault="009A0B8E" w:rsidP="003C411F">
      <w:pPr>
        <w:spacing w:beforeLines="80" w:before="192" w:afterLines="120" w:after="288" w:line="280" w:lineRule="atLeast"/>
        <w:rPr>
          <w:rFonts w:ascii="Arial" w:hAnsi="Arial" w:cs="Arial"/>
          <w:b/>
          <w:szCs w:val="20"/>
        </w:rPr>
      </w:pPr>
      <w:r>
        <w:rPr>
          <w:rFonts w:ascii="Arial" w:hAnsi="Arial" w:cs="Arial"/>
          <w:b/>
          <w:szCs w:val="20"/>
        </w:rPr>
        <w:t>Detailed description of the Instrument</w:t>
      </w:r>
    </w:p>
    <w:p w:rsidR="00A941DA" w:rsidRPr="00A941DA" w:rsidRDefault="00A941DA" w:rsidP="00993194">
      <w:pPr>
        <w:spacing w:before="80" w:after="120" w:line="280" w:lineRule="atLeast"/>
        <w:rPr>
          <w:rFonts w:ascii="Arial" w:hAnsi="Arial" w:cs="Arial"/>
          <w:b/>
          <w:sz w:val="22"/>
          <w:szCs w:val="22"/>
        </w:rPr>
      </w:pPr>
      <w:r w:rsidRPr="00A941DA">
        <w:rPr>
          <w:rFonts w:ascii="Arial" w:hAnsi="Arial" w:cs="Arial"/>
          <w:b/>
          <w:sz w:val="22"/>
          <w:szCs w:val="22"/>
        </w:rPr>
        <w:t>Part 1 - Preliminary</w:t>
      </w:r>
    </w:p>
    <w:p w:rsidR="006511C7" w:rsidRDefault="00FD4084" w:rsidP="006511C7">
      <w:pPr>
        <w:rPr>
          <w:rFonts w:ascii="Arial" w:hAnsi="Arial" w:cs="Arial"/>
          <w:b/>
          <w:sz w:val="20"/>
          <w:szCs w:val="20"/>
        </w:rPr>
      </w:pPr>
      <w:r w:rsidRPr="00993194">
        <w:rPr>
          <w:rFonts w:ascii="Arial" w:hAnsi="Arial" w:cs="Arial"/>
          <w:b/>
          <w:sz w:val="20"/>
          <w:szCs w:val="20"/>
        </w:rPr>
        <w:t>Section 1</w:t>
      </w:r>
      <w:r w:rsidRPr="004A73DD">
        <w:rPr>
          <w:rFonts w:ascii="Arial" w:hAnsi="Arial" w:cs="Arial"/>
          <w:b/>
          <w:sz w:val="20"/>
          <w:szCs w:val="20"/>
        </w:rPr>
        <w:tab/>
      </w:r>
      <w:r w:rsidRPr="00993194">
        <w:rPr>
          <w:rFonts w:ascii="Arial" w:hAnsi="Arial" w:cs="Arial"/>
          <w:b/>
          <w:sz w:val="20"/>
          <w:szCs w:val="20"/>
        </w:rPr>
        <w:t>Name of Notice</w:t>
      </w:r>
    </w:p>
    <w:p w:rsidR="00FD4084" w:rsidRDefault="00FD4084" w:rsidP="00F84165">
      <w:pPr>
        <w:rPr>
          <w:rFonts w:ascii="Arial" w:hAnsi="Arial" w:cs="Arial"/>
          <w:i/>
          <w:sz w:val="20"/>
          <w:szCs w:val="20"/>
        </w:rPr>
      </w:pPr>
      <w:r w:rsidRPr="00F84165">
        <w:rPr>
          <w:rFonts w:ascii="Arial" w:hAnsi="Arial" w:cs="Arial"/>
          <w:sz w:val="20"/>
          <w:szCs w:val="20"/>
        </w:rPr>
        <w:t xml:space="preserve">Section 1 provides that the name of the </w:t>
      </w:r>
      <w:r w:rsidR="009B15DD" w:rsidRPr="00F84165">
        <w:rPr>
          <w:rFonts w:ascii="Arial" w:hAnsi="Arial" w:cs="Arial"/>
          <w:sz w:val="20"/>
          <w:szCs w:val="20"/>
        </w:rPr>
        <w:t>I</w:t>
      </w:r>
      <w:r w:rsidR="004B4201" w:rsidRPr="00F84165">
        <w:rPr>
          <w:rFonts w:ascii="Arial" w:hAnsi="Arial" w:cs="Arial"/>
          <w:sz w:val="20"/>
          <w:szCs w:val="20"/>
        </w:rPr>
        <w:t>nstrument</w:t>
      </w:r>
      <w:r w:rsidRPr="00F84165">
        <w:rPr>
          <w:rFonts w:ascii="Arial" w:hAnsi="Arial" w:cs="Arial"/>
          <w:sz w:val="20"/>
          <w:szCs w:val="20"/>
        </w:rPr>
        <w:t xml:space="preserve"> is </w:t>
      </w:r>
      <w:r w:rsidR="007F19E8" w:rsidRPr="00F84165">
        <w:rPr>
          <w:rFonts w:ascii="Arial" w:hAnsi="Arial" w:cs="Arial"/>
          <w:sz w:val="20"/>
          <w:szCs w:val="20"/>
        </w:rPr>
        <w:t xml:space="preserve">the </w:t>
      </w:r>
      <w:r w:rsidR="004B4201" w:rsidRPr="00E64133">
        <w:rPr>
          <w:rFonts w:ascii="Arial" w:hAnsi="Arial" w:cs="Arial"/>
          <w:i/>
          <w:sz w:val="20"/>
          <w:szCs w:val="20"/>
        </w:rPr>
        <w:t>Radiocommunications (Compliance</w:t>
      </w:r>
      <w:r w:rsidR="004B4201" w:rsidRPr="004B4201">
        <w:rPr>
          <w:rFonts w:ascii="Arial" w:hAnsi="Arial" w:cs="Arial"/>
          <w:i/>
          <w:sz w:val="20"/>
          <w:szCs w:val="20"/>
        </w:rPr>
        <w:t xml:space="preserve"> Labelling – Electromagnetic Radiation) Notice 2014</w:t>
      </w:r>
      <w:r w:rsidR="004B4201">
        <w:rPr>
          <w:rFonts w:ascii="Arial" w:hAnsi="Arial" w:cs="Arial"/>
          <w:i/>
          <w:sz w:val="20"/>
          <w:szCs w:val="20"/>
        </w:rPr>
        <w:t>.</w:t>
      </w:r>
    </w:p>
    <w:p w:rsidR="00F84165" w:rsidRPr="006511C7" w:rsidRDefault="00F84165" w:rsidP="00F84165">
      <w:pPr>
        <w:rPr>
          <w:rFonts w:ascii="Arial" w:hAnsi="Arial" w:cs="Arial"/>
          <w:b/>
          <w:sz w:val="20"/>
          <w:szCs w:val="20"/>
        </w:rPr>
      </w:pPr>
    </w:p>
    <w:p w:rsidR="00FD4084" w:rsidRPr="00F84165" w:rsidRDefault="00FD4084" w:rsidP="00F84165">
      <w:pPr>
        <w:rPr>
          <w:rFonts w:ascii="Arial" w:hAnsi="Arial" w:cs="Arial"/>
          <w:b/>
          <w:sz w:val="20"/>
          <w:szCs w:val="20"/>
        </w:rPr>
      </w:pPr>
      <w:r w:rsidRPr="00993194">
        <w:rPr>
          <w:rFonts w:ascii="Arial" w:hAnsi="Arial" w:cs="Arial"/>
          <w:b/>
          <w:sz w:val="20"/>
          <w:szCs w:val="20"/>
        </w:rPr>
        <w:t>Section 2</w:t>
      </w:r>
      <w:r w:rsidRPr="00F84165">
        <w:rPr>
          <w:rFonts w:ascii="Arial" w:hAnsi="Arial" w:cs="Arial"/>
          <w:b/>
          <w:sz w:val="20"/>
          <w:szCs w:val="20"/>
        </w:rPr>
        <w:tab/>
      </w:r>
      <w:r w:rsidRPr="00993194">
        <w:rPr>
          <w:rFonts w:ascii="Arial" w:hAnsi="Arial" w:cs="Arial"/>
          <w:b/>
          <w:sz w:val="20"/>
          <w:szCs w:val="20"/>
        </w:rPr>
        <w:t>Commencement</w:t>
      </w:r>
    </w:p>
    <w:p w:rsidR="00FD4084" w:rsidRDefault="00FD4084" w:rsidP="00F84165">
      <w:pPr>
        <w:rPr>
          <w:rFonts w:ascii="Arial" w:hAnsi="Arial" w:cs="Arial"/>
          <w:sz w:val="20"/>
          <w:szCs w:val="20"/>
        </w:rPr>
      </w:pPr>
      <w:r w:rsidRPr="00F84165">
        <w:rPr>
          <w:rFonts w:ascii="Arial" w:hAnsi="Arial" w:cs="Arial"/>
          <w:sz w:val="20"/>
          <w:szCs w:val="20"/>
        </w:rPr>
        <w:t xml:space="preserve">Section 2 provides that the </w:t>
      </w:r>
      <w:r w:rsidR="004B4201" w:rsidRPr="00F84165">
        <w:rPr>
          <w:rFonts w:ascii="Arial" w:hAnsi="Arial" w:cs="Arial"/>
          <w:sz w:val="20"/>
          <w:szCs w:val="20"/>
        </w:rPr>
        <w:t>Instrument</w:t>
      </w:r>
      <w:r w:rsidRPr="00F84165">
        <w:rPr>
          <w:rFonts w:ascii="Arial" w:hAnsi="Arial" w:cs="Arial"/>
          <w:sz w:val="20"/>
          <w:szCs w:val="20"/>
        </w:rPr>
        <w:t xml:space="preserve"> commences </w:t>
      </w:r>
      <w:r w:rsidR="00D37F42">
        <w:rPr>
          <w:rFonts w:ascii="Arial" w:hAnsi="Arial" w:cs="Arial"/>
          <w:sz w:val="20"/>
          <w:szCs w:val="20"/>
        </w:rPr>
        <w:t xml:space="preserve">on the </w:t>
      </w:r>
      <w:r w:rsidR="00C06328">
        <w:rPr>
          <w:rFonts w:ascii="Arial" w:hAnsi="Arial" w:cs="Arial"/>
          <w:sz w:val="20"/>
          <w:szCs w:val="20"/>
        </w:rPr>
        <w:t xml:space="preserve">later of the </w:t>
      </w:r>
      <w:r w:rsidR="00D37F42">
        <w:rPr>
          <w:rFonts w:ascii="Arial" w:hAnsi="Arial" w:cs="Arial"/>
          <w:sz w:val="20"/>
          <w:szCs w:val="20"/>
        </w:rPr>
        <w:t>day after it is registered on the Federal Register of Legislative Instruments</w:t>
      </w:r>
      <w:r w:rsidR="00C06328">
        <w:rPr>
          <w:rFonts w:ascii="Arial" w:hAnsi="Arial" w:cs="Arial"/>
          <w:sz w:val="20"/>
          <w:szCs w:val="20"/>
        </w:rPr>
        <w:t xml:space="preserve"> and the day on which it is published in the Gazette. </w:t>
      </w:r>
      <w:r w:rsidR="00E64133">
        <w:rPr>
          <w:rFonts w:ascii="Arial" w:hAnsi="Arial" w:cs="Arial"/>
          <w:sz w:val="20"/>
          <w:szCs w:val="20"/>
        </w:rPr>
        <w:t>B</w:t>
      </w:r>
      <w:r w:rsidR="00C06328">
        <w:rPr>
          <w:rFonts w:ascii="Arial" w:hAnsi="Arial" w:cs="Arial"/>
          <w:sz w:val="20"/>
          <w:szCs w:val="20"/>
        </w:rPr>
        <w:t>oth of these events must occur before th</w:t>
      </w:r>
      <w:r w:rsidR="00E64133">
        <w:rPr>
          <w:rFonts w:ascii="Arial" w:hAnsi="Arial" w:cs="Arial"/>
          <w:sz w:val="20"/>
          <w:szCs w:val="20"/>
        </w:rPr>
        <w:t xml:space="preserve">e Instrument </w:t>
      </w:r>
      <w:r w:rsidR="00C06328">
        <w:rPr>
          <w:rFonts w:ascii="Arial" w:hAnsi="Arial" w:cs="Arial"/>
          <w:sz w:val="20"/>
          <w:szCs w:val="20"/>
        </w:rPr>
        <w:t>commences</w:t>
      </w:r>
      <w:r w:rsidR="00DD4B71">
        <w:rPr>
          <w:rFonts w:ascii="Arial" w:hAnsi="Arial" w:cs="Arial"/>
          <w:sz w:val="20"/>
          <w:szCs w:val="20"/>
        </w:rPr>
        <w:t>.</w:t>
      </w:r>
      <w:r w:rsidR="004B4201" w:rsidRPr="00F84165">
        <w:rPr>
          <w:rFonts w:ascii="Arial" w:hAnsi="Arial" w:cs="Arial"/>
          <w:sz w:val="20"/>
          <w:szCs w:val="20"/>
        </w:rPr>
        <w:t xml:space="preserve"> </w:t>
      </w:r>
    </w:p>
    <w:p w:rsidR="00F84165" w:rsidRPr="00F84165" w:rsidRDefault="00F84165" w:rsidP="00F84165">
      <w:pPr>
        <w:rPr>
          <w:rFonts w:ascii="Arial" w:hAnsi="Arial" w:cs="Arial"/>
          <w:sz w:val="20"/>
          <w:szCs w:val="20"/>
        </w:rPr>
      </w:pPr>
    </w:p>
    <w:p w:rsidR="0013730A" w:rsidRPr="00F84165" w:rsidRDefault="00FD4084" w:rsidP="00F84165">
      <w:pPr>
        <w:rPr>
          <w:rFonts w:ascii="Arial" w:hAnsi="Arial" w:cs="Arial"/>
          <w:b/>
          <w:sz w:val="20"/>
          <w:szCs w:val="20"/>
        </w:rPr>
      </w:pPr>
      <w:r w:rsidRPr="00993194">
        <w:rPr>
          <w:rFonts w:ascii="Arial" w:hAnsi="Arial" w:cs="Arial"/>
          <w:b/>
          <w:sz w:val="20"/>
          <w:szCs w:val="20"/>
        </w:rPr>
        <w:t>Section 3</w:t>
      </w:r>
      <w:r w:rsidRPr="00F84165">
        <w:rPr>
          <w:rFonts w:ascii="Arial" w:hAnsi="Arial" w:cs="Arial"/>
          <w:b/>
          <w:sz w:val="20"/>
          <w:szCs w:val="20"/>
        </w:rPr>
        <w:tab/>
      </w:r>
      <w:r w:rsidR="004B4201">
        <w:rPr>
          <w:rFonts w:ascii="Arial" w:hAnsi="Arial" w:cs="Arial"/>
          <w:b/>
          <w:sz w:val="20"/>
          <w:szCs w:val="20"/>
        </w:rPr>
        <w:t>Revocation</w:t>
      </w:r>
      <w:r w:rsidR="007C6AA7" w:rsidRPr="007C6AA7">
        <w:rPr>
          <w:rFonts w:ascii="Arial" w:hAnsi="Arial" w:cs="Arial"/>
          <w:b/>
          <w:sz w:val="20"/>
          <w:szCs w:val="20"/>
        </w:rPr>
        <w:t xml:space="preserve"> </w:t>
      </w:r>
    </w:p>
    <w:p w:rsidR="00FD4084" w:rsidRDefault="00FD4084" w:rsidP="00F84165">
      <w:pPr>
        <w:rPr>
          <w:rFonts w:ascii="Arial" w:hAnsi="Arial" w:cs="Arial"/>
          <w:i/>
          <w:sz w:val="20"/>
          <w:szCs w:val="20"/>
        </w:rPr>
      </w:pPr>
      <w:r w:rsidRPr="00F84165">
        <w:rPr>
          <w:rFonts w:ascii="Arial" w:hAnsi="Arial" w:cs="Arial"/>
          <w:sz w:val="20"/>
          <w:szCs w:val="20"/>
        </w:rPr>
        <w:t xml:space="preserve">Section 3 </w:t>
      </w:r>
      <w:r w:rsidR="004B4201" w:rsidRPr="00F84165">
        <w:rPr>
          <w:rFonts w:ascii="Arial" w:hAnsi="Arial" w:cs="Arial"/>
          <w:sz w:val="20"/>
          <w:szCs w:val="20"/>
        </w:rPr>
        <w:t>revokes</w:t>
      </w:r>
      <w:r w:rsidRPr="00F84165">
        <w:rPr>
          <w:rFonts w:ascii="Arial" w:hAnsi="Arial" w:cs="Arial"/>
          <w:sz w:val="20"/>
          <w:szCs w:val="20"/>
        </w:rPr>
        <w:t xml:space="preserve"> the </w:t>
      </w:r>
      <w:r w:rsidR="00DD7EC8" w:rsidRPr="00DD7EC8">
        <w:rPr>
          <w:rFonts w:ascii="Arial" w:hAnsi="Arial" w:cs="Arial"/>
          <w:i/>
          <w:sz w:val="20"/>
          <w:szCs w:val="20"/>
        </w:rPr>
        <w:t>Radiocommunications (Compliance Labelling – Electromagnetic</w:t>
      </w:r>
      <w:r w:rsidR="007C6AA7" w:rsidRPr="007C6AA7">
        <w:rPr>
          <w:rFonts w:ascii="Arial" w:hAnsi="Arial" w:cs="Arial"/>
          <w:i/>
          <w:sz w:val="20"/>
          <w:szCs w:val="20"/>
        </w:rPr>
        <w:t xml:space="preserve"> Radiation) Notice 2003</w:t>
      </w:r>
      <w:r w:rsidR="004B4201">
        <w:rPr>
          <w:rFonts w:ascii="Arial" w:hAnsi="Arial" w:cs="Arial"/>
          <w:i/>
          <w:sz w:val="20"/>
          <w:szCs w:val="20"/>
        </w:rPr>
        <w:t xml:space="preserve"> </w:t>
      </w:r>
      <w:r w:rsidR="00DD7EC8" w:rsidRPr="00DD7EC8">
        <w:rPr>
          <w:rFonts w:ascii="Arial" w:hAnsi="Arial" w:cs="Arial"/>
          <w:sz w:val="20"/>
          <w:szCs w:val="20"/>
        </w:rPr>
        <w:t>(the 2003 Labelling Notice).</w:t>
      </w:r>
    </w:p>
    <w:p w:rsidR="00F84165" w:rsidRPr="00993194" w:rsidRDefault="00F84165" w:rsidP="00F84165">
      <w:pPr>
        <w:rPr>
          <w:rFonts w:ascii="Arial" w:hAnsi="Arial" w:cs="Arial"/>
          <w:sz w:val="20"/>
          <w:szCs w:val="20"/>
        </w:rPr>
      </w:pPr>
    </w:p>
    <w:p w:rsidR="004B4201" w:rsidRDefault="004B4201" w:rsidP="00F84165">
      <w:pPr>
        <w:rPr>
          <w:rFonts w:ascii="Arial" w:hAnsi="Arial" w:cs="Arial"/>
          <w:b/>
          <w:sz w:val="20"/>
          <w:szCs w:val="20"/>
        </w:rPr>
      </w:pPr>
      <w:r>
        <w:rPr>
          <w:rFonts w:ascii="Arial" w:hAnsi="Arial" w:cs="Arial"/>
          <w:b/>
          <w:sz w:val="20"/>
          <w:szCs w:val="20"/>
        </w:rPr>
        <w:t>Section 4</w:t>
      </w:r>
      <w:r>
        <w:rPr>
          <w:rFonts w:ascii="Arial" w:hAnsi="Arial" w:cs="Arial"/>
          <w:b/>
          <w:sz w:val="20"/>
          <w:szCs w:val="20"/>
        </w:rPr>
        <w:tab/>
        <w:t>Definitions</w:t>
      </w:r>
    </w:p>
    <w:p w:rsidR="004B4201" w:rsidRPr="00F84165" w:rsidRDefault="004B4201" w:rsidP="00F84165">
      <w:pPr>
        <w:rPr>
          <w:rFonts w:ascii="Arial" w:hAnsi="Arial" w:cs="Arial"/>
          <w:sz w:val="20"/>
          <w:szCs w:val="20"/>
        </w:rPr>
      </w:pPr>
      <w:r w:rsidRPr="00F84165">
        <w:rPr>
          <w:rFonts w:ascii="Arial" w:hAnsi="Arial" w:cs="Arial"/>
          <w:sz w:val="20"/>
          <w:szCs w:val="20"/>
        </w:rPr>
        <w:t xml:space="preserve">Section 4 defines terms used throughout the Instrument. </w:t>
      </w:r>
    </w:p>
    <w:p w:rsidR="004B4201" w:rsidRDefault="004B4201">
      <w:pPr>
        <w:rPr>
          <w:rFonts w:ascii="Arial" w:hAnsi="Arial" w:cs="Arial"/>
          <w:sz w:val="20"/>
          <w:szCs w:val="20"/>
        </w:rPr>
      </w:pPr>
    </w:p>
    <w:p w:rsidR="004B4201" w:rsidRDefault="004B4201">
      <w:pPr>
        <w:rPr>
          <w:rFonts w:ascii="Arial" w:hAnsi="Arial" w:cs="Arial"/>
          <w:b/>
          <w:sz w:val="20"/>
          <w:szCs w:val="20"/>
        </w:rPr>
      </w:pPr>
      <w:r w:rsidRPr="004B4201">
        <w:rPr>
          <w:rFonts w:ascii="Arial" w:hAnsi="Arial" w:cs="Arial"/>
          <w:b/>
          <w:sz w:val="20"/>
          <w:szCs w:val="20"/>
        </w:rPr>
        <w:t>Section 4A</w:t>
      </w:r>
      <w:r w:rsidRPr="004B4201">
        <w:rPr>
          <w:rFonts w:ascii="Arial" w:hAnsi="Arial" w:cs="Arial"/>
          <w:b/>
          <w:sz w:val="20"/>
          <w:szCs w:val="20"/>
        </w:rPr>
        <w:tab/>
        <w:t>Definition of a variant</w:t>
      </w:r>
    </w:p>
    <w:p w:rsidR="0013730A" w:rsidRPr="00814375" w:rsidRDefault="00814375">
      <w:pPr>
        <w:rPr>
          <w:rFonts w:ascii="Arial" w:hAnsi="Arial" w:cs="Arial"/>
          <w:sz w:val="20"/>
          <w:szCs w:val="20"/>
        </w:rPr>
      </w:pPr>
      <w:r w:rsidRPr="00814375">
        <w:rPr>
          <w:rFonts w:ascii="Arial" w:hAnsi="Arial" w:cs="Arial"/>
          <w:sz w:val="20"/>
          <w:szCs w:val="20"/>
        </w:rPr>
        <w:t xml:space="preserve">Section 4A </w:t>
      </w:r>
      <w:r>
        <w:rPr>
          <w:rFonts w:ascii="Arial" w:hAnsi="Arial" w:cs="Arial"/>
          <w:sz w:val="20"/>
          <w:szCs w:val="20"/>
        </w:rPr>
        <w:t xml:space="preserve">sets out a method to determine if a device is a variant of another device. </w:t>
      </w:r>
      <w:r w:rsidR="00D37F42">
        <w:rPr>
          <w:rFonts w:ascii="Arial" w:hAnsi="Arial" w:cs="Arial"/>
          <w:sz w:val="20"/>
          <w:szCs w:val="20"/>
        </w:rPr>
        <w:t xml:space="preserve">A variant of a device is a device that is sufficiently similar to the first device such that the Human Exposure Standard operates </w:t>
      </w:r>
      <w:r w:rsidR="00FF48E3">
        <w:rPr>
          <w:rFonts w:ascii="Arial" w:hAnsi="Arial" w:cs="Arial"/>
          <w:sz w:val="20"/>
          <w:szCs w:val="20"/>
        </w:rPr>
        <w:t xml:space="preserve">in the same way to both devices. </w:t>
      </w:r>
      <w:r w:rsidR="00D37F42">
        <w:rPr>
          <w:rFonts w:ascii="Arial" w:hAnsi="Arial" w:cs="Arial"/>
          <w:sz w:val="20"/>
          <w:szCs w:val="20"/>
        </w:rPr>
        <w:t xml:space="preserve"> Part 2 of the Instrument (which sets out requirements that must be met before a label is applied to a device) does not apply in relation to a variant of a device if the </w:t>
      </w:r>
      <w:r w:rsidR="00665F4A">
        <w:rPr>
          <w:rFonts w:ascii="Arial" w:hAnsi="Arial" w:cs="Arial"/>
          <w:sz w:val="20"/>
          <w:szCs w:val="20"/>
        </w:rPr>
        <w:t>EME</w:t>
      </w:r>
      <w:r w:rsidR="00FF48E3">
        <w:rPr>
          <w:rFonts w:ascii="Arial" w:hAnsi="Arial" w:cs="Arial"/>
          <w:sz w:val="20"/>
          <w:szCs w:val="20"/>
        </w:rPr>
        <w:t xml:space="preserve"> of the variant would not exceed th</w:t>
      </w:r>
      <w:r w:rsidR="00E64133">
        <w:rPr>
          <w:rFonts w:ascii="Arial" w:hAnsi="Arial" w:cs="Arial"/>
          <w:sz w:val="20"/>
          <w:szCs w:val="20"/>
        </w:rPr>
        <w:t>at</w:t>
      </w:r>
      <w:r w:rsidR="00FF48E3">
        <w:rPr>
          <w:rFonts w:ascii="Arial" w:hAnsi="Arial" w:cs="Arial"/>
          <w:sz w:val="20"/>
          <w:szCs w:val="20"/>
        </w:rPr>
        <w:t xml:space="preserve"> of the first device</w:t>
      </w:r>
      <w:r w:rsidR="00E64133">
        <w:rPr>
          <w:rFonts w:ascii="Arial" w:hAnsi="Arial" w:cs="Arial"/>
          <w:sz w:val="20"/>
          <w:szCs w:val="20"/>
        </w:rPr>
        <w:t>.</w:t>
      </w:r>
    </w:p>
    <w:p w:rsidR="004B4201" w:rsidRDefault="004B4201">
      <w:pPr>
        <w:rPr>
          <w:rFonts w:ascii="Arial" w:hAnsi="Arial" w:cs="Arial"/>
          <w:sz w:val="20"/>
          <w:szCs w:val="20"/>
        </w:rPr>
      </w:pPr>
    </w:p>
    <w:p w:rsidR="004B4201" w:rsidRPr="00D3608C" w:rsidRDefault="004B4201">
      <w:pPr>
        <w:rPr>
          <w:rFonts w:ascii="Arial" w:hAnsi="Arial" w:cs="Arial"/>
          <w:b/>
          <w:sz w:val="20"/>
          <w:szCs w:val="20"/>
        </w:rPr>
      </w:pPr>
      <w:r w:rsidRPr="00D3608C">
        <w:rPr>
          <w:rFonts w:ascii="Arial" w:hAnsi="Arial" w:cs="Arial"/>
          <w:b/>
          <w:sz w:val="20"/>
          <w:szCs w:val="20"/>
        </w:rPr>
        <w:t>Section 5</w:t>
      </w:r>
      <w:r w:rsidRPr="00D3608C">
        <w:rPr>
          <w:rFonts w:ascii="Arial" w:hAnsi="Arial" w:cs="Arial"/>
          <w:b/>
          <w:sz w:val="20"/>
          <w:szCs w:val="20"/>
        </w:rPr>
        <w:tab/>
        <w:t>Category A devices</w:t>
      </w:r>
    </w:p>
    <w:p w:rsidR="004B4201" w:rsidRDefault="00612BC3">
      <w:pPr>
        <w:rPr>
          <w:rFonts w:ascii="Arial" w:hAnsi="Arial" w:cs="Arial"/>
          <w:sz w:val="20"/>
          <w:szCs w:val="20"/>
        </w:rPr>
      </w:pPr>
      <w:r w:rsidRPr="00612BC3">
        <w:rPr>
          <w:rFonts w:ascii="Arial" w:hAnsi="Arial" w:cs="Arial"/>
          <w:sz w:val="20"/>
          <w:szCs w:val="20"/>
        </w:rPr>
        <w:t xml:space="preserve">Section 5 defines ‘Category A devices’ which do not require testing for compliance with the applicable standard before placement on the market.  Such devices are ‘aware user devices’ that are not required to evaluated under section 5.2 of Schedule 5 to the ARPANSA standard and ‘non-aware user devices’ that are not required to be evaluated under section 5.3 of Schedule 5 to the ARPANSA </w:t>
      </w:r>
      <w:r w:rsidR="00E64133">
        <w:rPr>
          <w:rFonts w:ascii="Arial" w:hAnsi="Arial" w:cs="Arial"/>
          <w:sz w:val="20"/>
          <w:szCs w:val="20"/>
        </w:rPr>
        <w:t>S</w:t>
      </w:r>
      <w:r w:rsidRPr="00612BC3">
        <w:rPr>
          <w:rFonts w:ascii="Arial" w:hAnsi="Arial" w:cs="Arial"/>
          <w:sz w:val="20"/>
          <w:szCs w:val="20"/>
        </w:rPr>
        <w:t>tandard.</w:t>
      </w:r>
    </w:p>
    <w:p w:rsidR="00D3608C" w:rsidRDefault="00D3608C">
      <w:pPr>
        <w:rPr>
          <w:rFonts w:ascii="Arial" w:hAnsi="Arial" w:cs="Arial"/>
          <w:sz w:val="20"/>
          <w:szCs w:val="20"/>
        </w:rPr>
      </w:pPr>
    </w:p>
    <w:p w:rsidR="004B4201" w:rsidRPr="00D3608C" w:rsidRDefault="004B4201">
      <w:pPr>
        <w:rPr>
          <w:rFonts w:ascii="Arial" w:hAnsi="Arial" w:cs="Arial"/>
          <w:b/>
          <w:sz w:val="20"/>
          <w:szCs w:val="20"/>
        </w:rPr>
      </w:pPr>
      <w:r w:rsidRPr="00D3608C">
        <w:rPr>
          <w:rFonts w:ascii="Arial" w:hAnsi="Arial" w:cs="Arial"/>
          <w:b/>
          <w:sz w:val="20"/>
          <w:szCs w:val="20"/>
        </w:rPr>
        <w:t>Section 6</w:t>
      </w:r>
      <w:r w:rsidRPr="00D3608C">
        <w:rPr>
          <w:rFonts w:ascii="Arial" w:hAnsi="Arial" w:cs="Arial"/>
          <w:b/>
          <w:sz w:val="20"/>
          <w:szCs w:val="20"/>
        </w:rPr>
        <w:tab/>
        <w:t>Transitional</w:t>
      </w:r>
    </w:p>
    <w:p w:rsidR="004B4201" w:rsidRDefault="003E6531">
      <w:pPr>
        <w:rPr>
          <w:rFonts w:ascii="Arial" w:hAnsi="Arial" w:cs="Arial"/>
          <w:sz w:val="20"/>
          <w:szCs w:val="20"/>
        </w:rPr>
      </w:pPr>
      <w:r>
        <w:rPr>
          <w:rFonts w:ascii="Arial" w:hAnsi="Arial" w:cs="Arial"/>
          <w:sz w:val="20"/>
          <w:szCs w:val="20"/>
        </w:rPr>
        <w:t>Section 6 provides that if a supplier of a device complied with the 2003 Labelling Notice in relation to the device</w:t>
      </w:r>
      <w:r w:rsidR="00E64133">
        <w:rPr>
          <w:rFonts w:ascii="Arial" w:hAnsi="Arial" w:cs="Arial"/>
          <w:sz w:val="20"/>
          <w:szCs w:val="20"/>
        </w:rPr>
        <w:t>,</w:t>
      </w:r>
      <w:r>
        <w:rPr>
          <w:rFonts w:ascii="Arial" w:hAnsi="Arial" w:cs="Arial"/>
          <w:sz w:val="20"/>
          <w:szCs w:val="20"/>
        </w:rPr>
        <w:t xml:space="preserve"> the supplier is taken to comply with the Instrument in relation to that device. This arrangement ceases to apply </w:t>
      </w:r>
      <w:r w:rsidR="00FF48E3">
        <w:rPr>
          <w:rFonts w:ascii="Arial" w:hAnsi="Arial" w:cs="Arial"/>
          <w:sz w:val="20"/>
          <w:szCs w:val="20"/>
        </w:rPr>
        <w:t>12 months after the commencement of the Instrument</w:t>
      </w:r>
      <w:r>
        <w:rPr>
          <w:rFonts w:ascii="Arial" w:hAnsi="Arial" w:cs="Arial"/>
          <w:sz w:val="20"/>
          <w:szCs w:val="20"/>
        </w:rPr>
        <w:t>.</w:t>
      </w:r>
    </w:p>
    <w:p w:rsidR="00D3608C" w:rsidRDefault="00D3608C">
      <w:pPr>
        <w:rPr>
          <w:rFonts w:ascii="Arial" w:hAnsi="Arial" w:cs="Arial"/>
          <w:sz w:val="20"/>
          <w:szCs w:val="20"/>
        </w:rPr>
      </w:pPr>
    </w:p>
    <w:p w:rsidR="004B4201" w:rsidRPr="00D3608C" w:rsidRDefault="004B4201">
      <w:pPr>
        <w:rPr>
          <w:rFonts w:ascii="Arial" w:hAnsi="Arial" w:cs="Arial"/>
          <w:b/>
          <w:sz w:val="20"/>
          <w:szCs w:val="20"/>
        </w:rPr>
      </w:pPr>
      <w:r w:rsidRPr="00D3608C">
        <w:rPr>
          <w:rFonts w:ascii="Arial" w:hAnsi="Arial" w:cs="Arial"/>
          <w:b/>
          <w:sz w:val="20"/>
          <w:szCs w:val="20"/>
        </w:rPr>
        <w:t>Section 7</w:t>
      </w:r>
      <w:r w:rsidRPr="00D3608C">
        <w:rPr>
          <w:rFonts w:ascii="Arial" w:hAnsi="Arial" w:cs="Arial"/>
          <w:b/>
          <w:sz w:val="20"/>
          <w:szCs w:val="20"/>
        </w:rPr>
        <w:tab/>
        <w:t>Application of this Notice to devices</w:t>
      </w:r>
    </w:p>
    <w:p w:rsidR="004B4201" w:rsidRDefault="00612BC3">
      <w:pPr>
        <w:rPr>
          <w:rFonts w:ascii="Arial" w:hAnsi="Arial" w:cs="Arial"/>
          <w:sz w:val="20"/>
          <w:szCs w:val="20"/>
        </w:rPr>
      </w:pPr>
      <w:r w:rsidRPr="00612BC3">
        <w:rPr>
          <w:rFonts w:ascii="Arial" w:hAnsi="Arial" w:cs="Arial"/>
          <w:sz w:val="20"/>
          <w:szCs w:val="20"/>
        </w:rPr>
        <w:t xml:space="preserve">Section 7 specifies the scope of </w:t>
      </w:r>
      <w:r w:rsidR="009B15DD">
        <w:rPr>
          <w:rFonts w:ascii="Arial" w:hAnsi="Arial" w:cs="Arial"/>
          <w:sz w:val="20"/>
          <w:szCs w:val="20"/>
        </w:rPr>
        <w:t>the Instrument</w:t>
      </w:r>
      <w:r w:rsidRPr="00612BC3">
        <w:rPr>
          <w:rFonts w:ascii="Arial" w:hAnsi="Arial" w:cs="Arial"/>
          <w:sz w:val="20"/>
          <w:szCs w:val="20"/>
        </w:rPr>
        <w:t xml:space="preserve">.  All mobile transmitters covered by the </w:t>
      </w:r>
      <w:r w:rsidR="00FF48E3">
        <w:rPr>
          <w:rFonts w:ascii="Arial" w:hAnsi="Arial" w:cs="Arial"/>
          <w:sz w:val="20"/>
          <w:szCs w:val="20"/>
        </w:rPr>
        <w:t>Human Exposure</w:t>
      </w:r>
      <w:r>
        <w:rPr>
          <w:rFonts w:ascii="Arial" w:hAnsi="Arial" w:cs="Arial"/>
          <w:sz w:val="20"/>
          <w:szCs w:val="20"/>
        </w:rPr>
        <w:t xml:space="preserve"> </w:t>
      </w:r>
      <w:r w:rsidRPr="00612BC3">
        <w:rPr>
          <w:rFonts w:ascii="Arial" w:hAnsi="Arial" w:cs="Arial"/>
          <w:sz w:val="20"/>
          <w:szCs w:val="20"/>
        </w:rPr>
        <w:t>Standard that are manufactured in Australia, or imported for supply are subject to the labell</w:t>
      </w:r>
      <w:r w:rsidR="009B15DD">
        <w:rPr>
          <w:rFonts w:ascii="Arial" w:hAnsi="Arial" w:cs="Arial"/>
          <w:sz w:val="20"/>
          <w:szCs w:val="20"/>
        </w:rPr>
        <w:t xml:space="preserve">ing provisions in the Instrument. </w:t>
      </w:r>
      <w:r w:rsidRPr="00612BC3">
        <w:rPr>
          <w:rFonts w:ascii="Arial" w:hAnsi="Arial" w:cs="Arial"/>
          <w:sz w:val="20"/>
          <w:szCs w:val="20"/>
        </w:rPr>
        <w:t xml:space="preserve">The </w:t>
      </w:r>
      <w:r w:rsidR="009B15DD">
        <w:rPr>
          <w:rFonts w:ascii="Arial" w:hAnsi="Arial" w:cs="Arial"/>
          <w:sz w:val="20"/>
          <w:szCs w:val="20"/>
        </w:rPr>
        <w:t>Instrument</w:t>
      </w:r>
      <w:r w:rsidRPr="00612BC3">
        <w:rPr>
          <w:rFonts w:ascii="Arial" w:hAnsi="Arial" w:cs="Arial"/>
          <w:sz w:val="20"/>
          <w:szCs w:val="20"/>
        </w:rPr>
        <w:t xml:space="preserve"> does not apply to devices that are imported or manufactured otherwise than for supply in Australia or to Category B devices for which there is no applicable measurement method under the Human Exposure Standard</w:t>
      </w:r>
      <w:r w:rsidRPr="00FF48E3">
        <w:rPr>
          <w:rFonts w:ascii="Arial" w:hAnsi="Arial" w:cs="Arial"/>
          <w:sz w:val="20"/>
          <w:szCs w:val="20"/>
        </w:rPr>
        <w:t>.</w:t>
      </w:r>
    </w:p>
    <w:p w:rsidR="00D3608C" w:rsidRDefault="00D3608C">
      <w:pPr>
        <w:rPr>
          <w:rFonts w:ascii="Arial" w:hAnsi="Arial" w:cs="Arial"/>
          <w:sz w:val="20"/>
          <w:szCs w:val="20"/>
        </w:rPr>
      </w:pPr>
    </w:p>
    <w:p w:rsidR="004B4201" w:rsidRPr="00D3608C" w:rsidRDefault="004B4201" w:rsidP="004B4201">
      <w:pPr>
        <w:ind w:left="1440" w:hanging="1440"/>
        <w:rPr>
          <w:rFonts w:ascii="Arial" w:hAnsi="Arial" w:cs="Arial"/>
          <w:b/>
          <w:sz w:val="20"/>
          <w:szCs w:val="20"/>
        </w:rPr>
      </w:pPr>
      <w:r w:rsidRPr="00D3608C">
        <w:rPr>
          <w:rFonts w:ascii="Arial" w:hAnsi="Arial" w:cs="Arial"/>
          <w:b/>
          <w:sz w:val="20"/>
          <w:szCs w:val="20"/>
        </w:rPr>
        <w:t>Section 8</w:t>
      </w:r>
      <w:r w:rsidRPr="00D3608C">
        <w:rPr>
          <w:rFonts w:ascii="Arial" w:hAnsi="Arial" w:cs="Arial"/>
          <w:b/>
          <w:sz w:val="20"/>
          <w:szCs w:val="20"/>
        </w:rPr>
        <w:tab/>
        <w:t xml:space="preserve">Relationship between this Notice and a labelling instrument made under the </w:t>
      </w:r>
      <w:r w:rsidRPr="00D3608C">
        <w:rPr>
          <w:rFonts w:ascii="Arial" w:hAnsi="Arial" w:cs="Arial"/>
          <w:b/>
          <w:i/>
          <w:sz w:val="20"/>
          <w:szCs w:val="20"/>
        </w:rPr>
        <w:t>Telecommunications Act 1997</w:t>
      </w:r>
    </w:p>
    <w:p w:rsidR="00D3608C" w:rsidRDefault="009E17BC" w:rsidP="006D00BB">
      <w:pPr>
        <w:rPr>
          <w:rFonts w:ascii="Arial" w:hAnsi="Arial" w:cs="Arial"/>
          <w:sz w:val="20"/>
          <w:szCs w:val="20"/>
        </w:rPr>
      </w:pPr>
      <w:r w:rsidRPr="009E17BC">
        <w:rPr>
          <w:rFonts w:ascii="Arial" w:hAnsi="Arial" w:cs="Arial"/>
          <w:sz w:val="20"/>
          <w:szCs w:val="20"/>
        </w:rPr>
        <w:t xml:space="preserve">Section 8 </w:t>
      </w:r>
      <w:r w:rsidR="006D00BB">
        <w:rPr>
          <w:rFonts w:ascii="Arial" w:hAnsi="Arial" w:cs="Arial"/>
          <w:sz w:val="20"/>
          <w:szCs w:val="20"/>
        </w:rPr>
        <w:t>has the effect that</w:t>
      </w:r>
      <w:r w:rsidRPr="009E17BC">
        <w:rPr>
          <w:rFonts w:ascii="Arial" w:hAnsi="Arial" w:cs="Arial"/>
          <w:sz w:val="20"/>
          <w:szCs w:val="20"/>
        </w:rPr>
        <w:t xml:space="preserve"> </w:t>
      </w:r>
      <w:r w:rsidR="006D00BB" w:rsidRPr="006D00BB">
        <w:rPr>
          <w:rFonts w:ascii="Arial" w:hAnsi="Arial" w:cs="Arial"/>
          <w:sz w:val="20"/>
          <w:szCs w:val="20"/>
        </w:rPr>
        <w:t xml:space="preserve">a compliance label can only be applied to a device that complies with both the requirements of the Instrument and </w:t>
      </w:r>
      <w:r w:rsidR="006D00BB">
        <w:rPr>
          <w:rFonts w:ascii="Arial" w:hAnsi="Arial" w:cs="Arial"/>
          <w:sz w:val="20"/>
          <w:szCs w:val="20"/>
        </w:rPr>
        <w:t xml:space="preserve">the </w:t>
      </w:r>
      <w:r w:rsidR="006D00BB" w:rsidRPr="006D00BB">
        <w:rPr>
          <w:rFonts w:ascii="Arial" w:hAnsi="Arial" w:cs="Arial"/>
          <w:sz w:val="20"/>
          <w:szCs w:val="20"/>
        </w:rPr>
        <w:t xml:space="preserve">requirements </w:t>
      </w:r>
      <w:r w:rsidR="006D00BB">
        <w:rPr>
          <w:rFonts w:ascii="Arial" w:hAnsi="Arial" w:cs="Arial"/>
          <w:sz w:val="20"/>
          <w:szCs w:val="20"/>
        </w:rPr>
        <w:t xml:space="preserve">of an applicable instrument made under the </w:t>
      </w:r>
      <w:r w:rsidR="00DD7EC8" w:rsidRPr="00DD7EC8">
        <w:rPr>
          <w:rFonts w:ascii="Arial" w:hAnsi="Arial" w:cs="Arial"/>
          <w:i/>
          <w:sz w:val="20"/>
          <w:szCs w:val="20"/>
        </w:rPr>
        <w:t>Telecommunications Act 1997</w:t>
      </w:r>
      <w:r w:rsidR="006D00BB">
        <w:rPr>
          <w:rFonts w:ascii="Arial" w:hAnsi="Arial" w:cs="Arial"/>
          <w:sz w:val="20"/>
          <w:szCs w:val="20"/>
        </w:rPr>
        <w:t xml:space="preserve">.   </w:t>
      </w:r>
    </w:p>
    <w:p w:rsidR="00D3608C" w:rsidRDefault="00D3608C" w:rsidP="004B4201">
      <w:pPr>
        <w:ind w:left="1440" w:hanging="1440"/>
        <w:rPr>
          <w:rFonts w:ascii="Arial" w:hAnsi="Arial" w:cs="Arial"/>
          <w:sz w:val="20"/>
          <w:szCs w:val="20"/>
        </w:rPr>
      </w:pPr>
    </w:p>
    <w:p w:rsidR="00980018" w:rsidRDefault="004B4201">
      <w:pPr>
        <w:keepNext/>
        <w:ind w:left="1440" w:hanging="1440"/>
        <w:rPr>
          <w:rFonts w:ascii="Arial" w:hAnsi="Arial" w:cs="Arial"/>
          <w:b/>
          <w:sz w:val="20"/>
          <w:szCs w:val="20"/>
        </w:rPr>
      </w:pPr>
      <w:r w:rsidRPr="00D3608C">
        <w:rPr>
          <w:rFonts w:ascii="Arial" w:hAnsi="Arial" w:cs="Arial"/>
          <w:b/>
          <w:sz w:val="20"/>
          <w:szCs w:val="20"/>
        </w:rPr>
        <w:lastRenderedPageBreak/>
        <w:t>Section 8A</w:t>
      </w:r>
      <w:r w:rsidRPr="00D3608C">
        <w:rPr>
          <w:rFonts w:ascii="Arial" w:hAnsi="Arial" w:cs="Arial"/>
          <w:b/>
          <w:sz w:val="20"/>
          <w:szCs w:val="20"/>
        </w:rPr>
        <w:tab/>
        <w:t xml:space="preserve">Relationship between this Notice and another labelling notice made under the </w:t>
      </w:r>
      <w:r w:rsidRPr="00D3608C">
        <w:rPr>
          <w:rFonts w:ascii="Arial" w:hAnsi="Arial" w:cs="Arial"/>
          <w:b/>
          <w:i/>
          <w:sz w:val="20"/>
          <w:szCs w:val="20"/>
        </w:rPr>
        <w:t>Radiocommunications Act 1992</w:t>
      </w:r>
    </w:p>
    <w:p w:rsidR="004B4201" w:rsidRDefault="0013730A" w:rsidP="004B4201">
      <w:pPr>
        <w:rPr>
          <w:rFonts w:ascii="Arial" w:hAnsi="Arial" w:cs="Arial"/>
          <w:sz w:val="20"/>
          <w:szCs w:val="20"/>
        </w:rPr>
      </w:pPr>
      <w:r>
        <w:rPr>
          <w:rFonts w:ascii="Arial" w:hAnsi="Arial" w:cs="Arial"/>
          <w:sz w:val="20"/>
          <w:szCs w:val="20"/>
        </w:rPr>
        <w:t>S</w:t>
      </w:r>
      <w:r w:rsidRPr="0013730A">
        <w:rPr>
          <w:rFonts w:ascii="Arial" w:hAnsi="Arial" w:cs="Arial"/>
          <w:sz w:val="20"/>
          <w:szCs w:val="20"/>
        </w:rPr>
        <w:t xml:space="preserve">ection 8A has the effect that </w:t>
      </w:r>
      <w:r w:rsidR="006D00BB">
        <w:rPr>
          <w:rFonts w:ascii="Arial" w:hAnsi="Arial" w:cs="Arial"/>
          <w:sz w:val="20"/>
          <w:szCs w:val="20"/>
        </w:rPr>
        <w:t>a compliance label</w:t>
      </w:r>
      <w:r w:rsidRPr="0013730A">
        <w:rPr>
          <w:rFonts w:ascii="Arial" w:hAnsi="Arial" w:cs="Arial"/>
          <w:sz w:val="20"/>
          <w:szCs w:val="20"/>
        </w:rPr>
        <w:t xml:space="preserve"> can only be applied to a device that complies with both the requirements of the </w:t>
      </w:r>
      <w:r>
        <w:rPr>
          <w:rFonts w:ascii="Arial" w:hAnsi="Arial" w:cs="Arial"/>
          <w:sz w:val="20"/>
          <w:szCs w:val="20"/>
        </w:rPr>
        <w:t>Instrument</w:t>
      </w:r>
      <w:r w:rsidRPr="0013730A">
        <w:rPr>
          <w:rFonts w:ascii="Arial" w:hAnsi="Arial" w:cs="Arial"/>
          <w:sz w:val="20"/>
          <w:szCs w:val="20"/>
        </w:rPr>
        <w:t xml:space="preserve"> and the requirements of the </w:t>
      </w:r>
      <w:r w:rsidR="00DD7EC8" w:rsidRPr="00DD7EC8">
        <w:rPr>
          <w:rFonts w:ascii="Arial" w:hAnsi="Arial" w:cs="Arial"/>
          <w:i/>
          <w:sz w:val="20"/>
          <w:szCs w:val="20"/>
        </w:rPr>
        <w:t>Radiocommunications Devices (Compliance Labelling) Notice 2003</w:t>
      </w:r>
      <w:r w:rsidR="007654B9">
        <w:rPr>
          <w:rFonts w:ascii="Arial" w:hAnsi="Arial" w:cs="Arial"/>
          <w:i/>
          <w:sz w:val="20"/>
          <w:szCs w:val="20"/>
        </w:rPr>
        <w:t xml:space="preserve">, the </w:t>
      </w:r>
      <w:r w:rsidR="007654B9" w:rsidRPr="007654B9">
        <w:rPr>
          <w:rFonts w:ascii="Arial" w:hAnsi="Arial" w:cs="Arial"/>
          <w:i/>
          <w:sz w:val="20"/>
          <w:szCs w:val="20"/>
        </w:rPr>
        <w:t>Radiocommunications (Labelling) Notice 2013 and the Radiocommunications (Electromagnetic Compatibility) Notice 2008</w:t>
      </w:r>
      <w:r w:rsidRPr="00BE506F">
        <w:rPr>
          <w:rFonts w:ascii="Arial" w:hAnsi="Arial" w:cs="Arial"/>
          <w:sz w:val="20"/>
          <w:szCs w:val="20"/>
        </w:rPr>
        <w:t>.</w:t>
      </w:r>
    </w:p>
    <w:p w:rsidR="00D3608C" w:rsidRDefault="00D3608C" w:rsidP="004B4201">
      <w:pPr>
        <w:rPr>
          <w:rFonts w:ascii="Arial" w:hAnsi="Arial" w:cs="Arial"/>
          <w:sz w:val="20"/>
          <w:szCs w:val="20"/>
        </w:rPr>
      </w:pPr>
    </w:p>
    <w:p w:rsidR="00D3608C" w:rsidRDefault="00D3608C" w:rsidP="004B4201">
      <w:pPr>
        <w:rPr>
          <w:rFonts w:ascii="Arial" w:hAnsi="Arial" w:cs="Arial"/>
          <w:sz w:val="20"/>
          <w:szCs w:val="20"/>
        </w:rPr>
      </w:pPr>
    </w:p>
    <w:p w:rsidR="00A941DA" w:rsidRPr="00A941DA" w:rsidRDefault="00A941DA" w:rsidP="004B4201">
      <w:pPr>
        <w:rPr>
          <w:rFonts w:ascii="Arial" w:hAnsi="Arial" w:cs="Arial"/>
          <w:b/>
          <w:sz w:val="22"/>
          <w:szCs w:val="22"/>
        </w:rPr>
      </w:pPr>
      <w:r w:rsidRPr="00A941DA">
        <w:rPr>
          <w:rFonts w:ascii="Arial" w:hAnsi="Arial" w:cs="Arial"/>
          <w:b/>
          <w:sz w:val="22"/>
          <w:szCs w:val="22"/>
        </w:rPr>
        <w:t>Part 2 – Requirements to be met before a label may be applied</w:t>
      </w:r>
    </w:p>
    <w:p w:rsidR="00A941DA" w:rsidRDefault="00A941DA" w:rsidP="004B4201">
      <w:pPr>
        <w:rPr>
          <w:rFonts w:ascii="Arial" w:hAnsi="Arial" w:cs="Arial"/>
          <w:b/>
          <w:sz w:val="20"/>
          <w:szCs w:val="20"/>
        </w:rPr>
      </w:pPr>
    </w:p>
    <w:p w:rsidR="00A941DA" w:rsidRPr="00A941DA" w:rsidRDefault="00A941DA" w:rsidP="004B4201">
      <w:pPr>
        <w:rPr>
          <w:rFonts w:ascii="Arial" w:hAnsi="Arial" w:cs="Arial"/>
          <w:b/>
          <w:sz w:val="22"/>
          <w:szCs w:val="22"/>
        </w:rPr>
      </w:pPr>
      <w:r w:rsidRPr="00A941DA">
        <w:rPr>
          <w:rFonts w:ascii="Arial" w:hAnsi="Arial" w:cs="Arial"/>
          <w:b/>
          <w:sz w:val="22"/>
          <w:szCs w:val="22"/>
        </w:rPr>
        <w:t>Division 2.1 – Application of Part 2</w:t>
      </w:r>
    </w:p>
    <w:p w:rsidR="00A941DA" w:rsidRDefault="00A941DA" w:rsidP="004B4201">
      <w:pPr>
        <w:rPr>
          <w:rFonts w:ascii="Arial" w:hAnsi="Arial" w:cs="Arial"/>
          <w:b/>
          <w:sz w:val="20"/>
          <w:szCs w:val="20"/>
        </w:rPr>
      </w:pPr>
    </w:p>
    <w:p w:rsidR="00C33412" w:rsidRPr="00D3608C" w:rsidRDefault="00C33412" w:rsidP="004B4201">
      <w:pPr>
        <w:rPr>
          <w:rFonts w:ascii="Arial" w:hAnsi="Arial" w:cs="Arial"/>
          <w:b/>
          <w:sz w:val="20"/>
          <w:szCs w:val="20"/>
        </w:rPr>
      </w:pPr>
      <w:r w:rsidRPr="00D3608C">
        <w:rPr>
          <w:rFonts w:ascii="Arial" w:hAnsi="Arial" w:cs="Arial"/>
          <w:b/>
          <w:sz w:val="20"/>
          <w:szCs w:val="20"/>
        </w:rPr>
        <w:t>Section 9</w:t>
      </w:r>
      <w:r w:rsidRPr="00D3608C">
        <w:rPr>
          <w:rFonts w:ascii="Arial" w:hAnsi="Arial" w:cs="Arial"/>
          <w:b/>
          <w:sz w:val="20"/>
          <w:szCs w:val="20"/>
        </w:rPr>
        <w:tab/>
        <w:t xml:space="preserve">No application to variants of a device </w:t>
      </w:r>
    </w:p>
    <w:p w:rsidR="00D3608C" w:rsidRDefault="009E17BC" w:rsidP="004B4201">
      <w:pPr>
        <w:rPr>
          <w:rFonts w:ascii="Arial" w:hAnsi="Arial" w:cs="Arial"/>
          <w:sz w:val="20"/>
          <w:szCs w:val="20"/>
        </w:rPr>
      </w:pPr>
      <w:r w:rsidRPr="009E17BC">
        <w:rPr>
          <w:rFonts w:ascii="Arial" w:hAnsi="Arial" w:cs="Arial"/>
          <w:sz w:val="20"/>
          <w:szCs w:val="20"/>
        </w:rPr>
        <w:t xml:space="preserve">Section 9 provides that, if all relevant requirements of Part 2 have been met in relation to a device, Part 2 does not apply to a variant of that device if the variant is not likely to expose the user to more </w:t>
      </w:r>
      <w:r w:rsidR="00436D09">
        <w:rPr>
          <w:rFonts w:ascii="Arial" w:hAnsi="Arial" w:cs="Arial"/>
          <w:sz w:val="20"/>
          <w:szCs w:val="20"/>
        </w:rPr>
        <w:t>EME</w:t>
      </w:r>
      <w:r w:rsidR="00436D09" w:rsidRPr="009E17BC">
        <w:rPr>
          <w:rFonts w:ascii="Arial" w:hAnsi="Arial" w:cs="Arial"/>
          <w:sz w:val="20"/>
          <w:szCs w:val="20"/>
        </w:rPr>
        <w:t xml:space="preserve"> </w:t>
      </w:r>
      <w:r w:rsidRPr="009E17BC">
        <w:rPr>
          <w:rFonts w:ascii="Arial" w:hAnsi="Arial" w:cs="Arial"/>
          <w:sz w:val="20"/>
          <w:szCs w:val="20"/>
        </w:rPr>
        <w:t>than the original device.</w:t>
      </w:r>
    </w:p>
    <w:p w:rsidR="00D3608C" w:rsidRDefault="00D3608C" w:rsidP="004B4201">
      <w:pPr>
        <w:rPr>
          <w:rFonts w:ascii="Arial" w:hAnsi="Arial" w:cs="Arial"/>
          <w:sz w:val="20"/>
          <w:szCs w:val="20"/>
        </w:rPr>
      </w:pPr>
    </w:p>
    <w:p w:rsidR="00A941DA" w:rsidRDefault="00A941DA" w:rsidP="004B4201">
      <w:pPr>
        <w:rPr>
          <w:rFonts w:ascii="Arial" w:hAnsi="Arial" w:cs="Arial"/>
          <w:b/>
          <w:sz w:val="20"/>
          <w:szCs w:val="20"/>
        </w:rPr>
      </w:pPr>
    </w:p>
    <w:p w:rsidR="00A941DA" w:rsidRPr="00A941DA" w:rsidRDefault="00A941DA" w:rsidP="004B4201">
      <w:pPr>
        <w:rPr>
          <w:rFonts w:ascii="Arial" w:hAnsi="Arial" w:cs="Arial"/>
          <w:b/>
          <w:sz w:val="22"/>
          <w:szCs w:val="22"/>
        </w:rPr>
      </w:pPr>
      <w:r w:rsidRPr="00A941DA">
        <w:rPr>
          <w:rFonts w:ascii="Arial" w:hAnsi="Arial" w:cs="Arial"/>
          <w:b/>
          <w:sz w:val="22"/>
          <w:szCs w:val="22"/>
        </w:rPr>
        <w:t>Division 2.2 – Registration on national database and issue of supplier code numbers</w:t>
      </w:r>
    </w:p>
    <w:p w:rsidR="00A941DA" w:rsidRDefault="00A941DA" w:rsidP="00C33412">
      <w:pPr>
        <w:ind w:left="1440" w:hanging="1440"/>
        <w:rPr>
          <w:rFonts w:ascii="Arial" w:hAnsi="Arial" w:cs="Arial"/>
          <w:b/>
          <w:sz w:val="20"/>
          <w:szCs w:val="20"/>
        </w:rPr>
      </w:pPr>
    </w:p>
    <w:p w:rsidR="00C33412" w:rsidRPr="00D3608C" w:rsidRDefault="00C33412" w:rsidP="00C33412">
      <w:pPr>
        <w:ind w:left="1440" w:hanging="1440"/>
        <w:rPr>
          <w:rFonts w:ascii="Arial" w:hAnsi="Arial" w:cs="Arial"/>
          <w:b/>
          <w:sz w:val="20"/>
          <w:szCs w:val="20"/>
        </w:rPr>
      </w:pPr>
      <w:r w:rsidRPr="00D3608C">
        <w:rPr>
          <w:rFonts w:ascii="Arial" w:hAnsi="Arial" w:cs="Arial"/>
          <w:b/>
          <w:sz w:val="20"/>
          <w:szCs w:val="20"/>
        </w:rPr>
        <w:t>Section 10</w:t>
      </w:r>
      <w:r w:rsidRPr="00D3608C">
        <w:rPr>
          <w:rFonts w:ascii="Arial" w:hAnsi="Arial" w:cs="Arial"/>
          <w:b/>
          <w:sz w:val="20"/>
          <w:szCs w:val="20"/>
        </w:rPr>
        <w:tab/>
        <w:t xml:space="preserve">Use of RCM subject to registration on national database or issue of supplier code number </w:t>
      </w:r>
    </w:p>
    <w:p w:rsidR="00D3608C" w:rsidRDefault="0013730A" w:rsidP="00C33412">
      <w:pPr>
        <w:rPr>
          <w:rFonts w:ascii="Arial" w:hAnsi="Arial" w:cs="Arial"/>
          <w:sz w:val="20"/>
          <w:szCs w:val="20"/>
        </w:rPr>
      </w:pPr>
      <w:r>
        <w:rPr>
          <w:rFonts w:ascii="Arial" w:hAnsi="Arial" w:cs="Arial"/>
          <w:sz w:val="20"/>
          <w:szCs w:val="20"/>
        </w:rPr>
        <w:t xml:space="preserve">Section 10 requires </w:t>
      </w:r>
      <w:r w:rsidRPr="0013730A">
        <w:rPr>
          <w:rFonts w:ascii="Arial" w:hAnsi="Arial" w:cs="Arial"/>
          <w:sz w:val="20"/>
          <w:szCs w:val="20"/>
        </w:rPr>
        <w:t>a supplier to be registered on the national database prior to applying the RCM to a device.</w:t>
      </w:r>
    </w:p>
    <w:p w:rsidR="007A2FC4" w:rsidRDefault="007A2FC4" w:rsidP="00C33412">
      <w:pPr>
        <w:rPr>
          <w:rFonts w:ascii="Arial" w:hAnsi="Arial" w:cs="Arial"/>
          <w:sz w:val="20"/>
          <w:szCs w:val="20"/>
        </w:rPr>
      </w:pPr>
    </w:p>
    <w:p w:rsidR="007A2FC4" w:rsidRDefault="007A2FC4" w:rsidP="00C33412">
      <w:pPr>
        <w:rPr>
          <w:rFonts w:ascii="Arial" w:hAnsi="Arial" w:cs="Arial"/>
          <w:sz w:val="20"/>
          <w:szCs w:val="20"/>
        </w:rPr>
      </w:pPr>
      <w:r>
        <w:rPr>
          <w:rFonts w:ascii="Arial" w:hAnsi="Arial" w:cs="Arial"/>
          <w:sz w:val="20"/>
          <w:szCs w:val="20"/>
        </w:rPr>
        <w:t>I</w:t>
      </w:r>
      <w:r w:rsidRPr="007A2FC4">
        <w:rPr>
          <w:rFonts w:ascii="Arial" w:hAnsi="Arial" w:cs="Arial"/>
          <w:sz w:val="20"/>
          <w:szCs w:val="20"/>
        </w:rPr>
        <w:t>f the ACMA has not designated a national database, a supplier may apply the RCM to a device if the supplier has been issued with a supplier code number.</w:t>
      </w:r>
      <w:r w:rsidR="008316D3">
        <w:rPr>
          <w:rFonts w:ascii="Arial" w:hAnsi="Arial" w:cs="Arial"/>
          <w:sz w:val="20"/>
          <w:szCs w:val="20"/>
        </w:rPr>
        <w:t xml:space="preserve">  The national database the ACMA designated under the 2003 Labelling Notice continues to be the designated national database for the Instrument.</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10A</w:t>
      </w:r>
      <w:r w:rsidRPr="00D3608C">
        <w:rPr>
          <w:rFonts w:ascii="Arial" w:hAnsi="Arial" w:cs="Arial"/>
          <w:b/>
          <w:sz w:val="20"/>
          <w:szCs w:val="20"/>
        </w:rPr>
        <w:tab/>
        <w:t xml:space="preserve">Registration on national database </w:t>
      </w:r>
    </w:p>
    <w:p w:rsidR="00D3608C" w:rsidRDefault="0013730A" w:rsidP="00C33412">
      <w:pPr>
        <w:rPr>
          <w:rFonts w:ascii="Arial" w:hAnsi="Arial" w:cs="Arial"/>
          <w:sz w:val="20"/>
          <w:szCs w:val="20"/>
        </w:rPr>
      </w:pPr>
      <w:r>
        <w:rPr>
          <w:rFonts w:ascii="Arial" w:hAnsi="Arial" w:cs="Arial"/>
          <w:sz w:val="20"/>
          <w:szCs w:val="20"/>
        </w:rPr>
        <w:t>S</w:t>
      </w:r>
      <w:r w:rsidRPr="0013730A">
        <w:rPr>
          <w:rFonts w:ascii="Arial" w:hAnsi="Arial" w:cs="Arial"/>
          <w:sz w:val="20"/>
          <w:szCs w:val="20"/>
        </w:rPr>
        <w:t>ection 10A sets out the requirements for supplier registra</w:t>
      </w:r>
      <w:r>
        <w:rPr>
          <w:rFonts w:ascii="Arial" w:hAnsi="Arial" w:cs="Arial"/>
          <w:sz w:val="20"/>
          <w:szCs w:val="20"/>
        </w:rPr>
        <w:t xml:space="preserve">tion on the national database. </w:t>
      </w:r>
      <w:r w:rsidRPr="0013730A">
        <w:rPr>
          <w:rFonts w:ascii="Arial" w:hAnsi="Arial" w:cs="Arial"/>
          <w:sz w:val="20"/>
          <w:szCs w:val="20"/>
        </w:rPr>
        <w:t xml:space="preserve">The national database </w:t>
      </w:r>
      <w:r>
        <w:rPr>
          <w:rFonts w:ascii="Arial" w:hAnsi="Arial" w:cs="Arial"/>
          <w:sz w:val="20"/>
          <w:szCs w:val="20"/>
        </w:rPr>
        <w:t>is</w:t>
      </w:r>
      <w:r w:rsidRPr="0013730A">
        <w:rPr>
          <w:rFonts w:ascii="Arial" w:hAnsi="Arial" w:cs="Arial"/>
          <w:sz w:val="20"/>
          <w:szCs w:val="20"/>
        </w:rPr>
        <w:t xml:space="preserve"> an online database that </w:t>
      </w:r>
      <w:r>
        <w:rPr>
          <w:rFonts w:ascii="Arial" w:hAnsi="Arial" w:cs="Arial"/>
          <w:sz w:val="20"/>
          <w:szCs w:val="20"/>
        </w:rPr>
        <w:t>requires</w:t>
      </w:r>
      <w:r w:rsidRPr="0013730A">
        <w:rPr>
          <w:rFonts w:ascii="Arial" w:hAnsi="Arial" w:cs="Arial"/>
          <w:sz w:val="20"/>
          <w:szCs w:val="20"/>
        </w:rPr>
        <w:t xml:space="preserve"> suppliers to register certain details onto the database via the internet.  For the ACMA’s purposes, a supplier </w:t>
      </w:r>
      <w:r>
        <w:rPr>
          <w:rFonts w:ascii="Arial" w:hAnsi="Arial" w:cs="Arial"/>
          <w:sz w:val="20"/>
          <w:szCs w:val="20"/>
        </w:rPr>
        <w:t>needs</w:t>
      </w:r>
      <w:r w:rsidRPr="0013730A">
        <w:rPr>
          <w:rFonts w:ascii="Arial" w:hAnsi="Arial" w:cs="Arial"/>
          <w:sz w:val="20"/>
          <w:szCs w:val="20"/>
        </w:rPr>
        <w:t xml:space="preserve"> to include </w:t>
      </w:r>
      <w:r w:rsidR="002C3EA7">
        <w:rPr>
          <w:rFonts w:ascii="Arial" w:hAnsi="Arial" w:cs="Arial"/>
          <w:sz w:val="20"/>
          <w:szCs w:val="20"/>
        </w:rPr>
        <w:t>sufficient</w:t>
      </w:r>
      <w:r w:rsidR="002C3EA7" w:rsidRPr="0013730A">
        <w:rPr>
          <w:rFonts w:ascii="Arial" w:hAnsi="Arial" w:cs="Arial"/>
          <w:sz w:val="20"/>
          <w:szCs w:val="20"/>
        </w:rPr>
        <w:t xml:space="preserve"> </w:t>
      </w:r>
      <w:r w:rsidRPr="0013730A">
        <w:rPr>
          <w:rFonts w:ascii="Arial" w:hAnsi="Arial" w:cs="Arial"/>
          <w:sz w:val="20"/>
          <w:szCs w:val="20"/>
        </w:rPr>
        <w:t xml:space="preserve">information on the national database to enable the ACMA to identify and contact the supplier.  The national database </w:t>
      </w:r>
      <w:r>
        <w:rPr>
          <w:rFonts w:ascii="Arial" w:hAnsi="Arial" w:cs="Arial"/>
          <w:sz w:val="20"/>
          <w:szCs w:val="20"/>
        </w:rPr>
        <w:t>contains</w:t>
      </w:r>
      <w:r w:rsidRPr="0013730A">
        <w:rPr>
          <w:rFonts w:ascii="Arial" w:hAnsi="Arial" w:cs="Arial"/>
          <w:sz w:val="20"/>
          <w:szCs w:val="20"/>
        </w:rPr>
        <w:t xml:space="preserve"> prompts and/or fields for a supplier to insert the required information.</w:t>
      </w:r>
    </w:p>
    <w:p w:rsidR="0013730A" w:rsidRDefault="0013730A" w:rsidP="00C33412">
      <w:pPr>
        <w:rPr>
          <w:rFonts w:ascii="Arial" w:hAnsi="Arial" w:cs="Arial"/>
          <w:sz w:val="20"/>
          <w:szCs w:val="20"/>
        </w:rPr>
      </w:pPr>
    </w:p>
    <w:p w:rsidR="0013730A" w:rsidRDefault="0013730A" w:rsidP="00C33412">
      <w:pPr>
        <w:rPr>
          <w:rFonts w:ascii="Arial" w:hAnsi="Arial" w:cs="Arial"/>
          <w:sz w:val="20"/>
          <w:szCs w:val="20"/>
        </w:rPr>
      </w:pPr>
      <w:r w:rsidRPr="0013730A">
        <w:rPr>
          <w:rFonts w:ascii="Arial" w:hAnsi="Arial" w:cs="Arial"/>
          <w:sz w:val="20"/>
          <w:szCs w:val="20"/>
        </w:rPr>
        <w:t xml:space="preserve">If any information that has been provided by a supplier on the national database changes, the supplier </w:t>
      </w:r>
      <w:r w:rsidR="007A2FC4">
        <w:rPr>
          <w:rFonts w:ascii="Arial" w:hAnsi="Arial" w:cs="Arial"/>
          <w:sz w:val="20"/>
          <w:szCs w:val="20"/>
        </w:rPr>
        <w:t xml:space="preserve">is required </w:t>
      </w:r>
      <w:r w:rsidRPr="0013730A">
        <w:rPr>
          <w:rFonts w:ascii="Arial" w:hAnsi="Arial" w:cs="Arial"/>
          <w:sz w:val="20"/>
          <w:szCs w:val="20"/>
        </w:rPr>
        <w:t>to update this information on the national database within 30 days of the change occurring.  Suppliers that do not update changed information may be subject to pecuniary penalties.</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10B</w:t>
      </w:r>
      <w:r w:rsidRPr="00D3608C">
        <w:rPr>
          <w:rFonts w:ascii="Arial" w:hAnsi="Arial" w:cs="Arial"/>
          <w:b/>
          <w:sz w:val="20"/>
          <w:szCs w:val="20"/>
        </w:rPr>
        <w:tab/>
        <w:t>Use of C</w:t>
      </w:r>
      <w:r w:rsidR="00E64133">
        <w:rPr>
          <w:rFonts w:ascii="Arial" w:hAnsi="Arial" w:cs="Arial"/>
          <w:b/>
          <w:sz w:val="20"/>
          <w:szCs w:val="20"/>
        </w:rPr>
        <w:t xml:space="preserve"> </w:t>
      </w:r>
      <w:r w:rsidR="00E64133" w:rsidRPr="00E64133">
        <w:rPr>
          <w:rFonts w:ascii="Arial" w:hAnsi="Arial" w:cs="Arial"/>
          <w:b/>
          <w:sz w:val="20"/>
          <w:szCs w:val="20"/>
        </w:rPr>
        <w:t>-</w:t>
      </w:r>
      <w:r w:rsidRPr="00D3608C">
        <w:rPr>
          <w:rFonts w:ascii="Arial" w:hAnsi="Arial" w:cs="Arial"/>
          <w:b/>
          <w:sz w:val="20"/>
          <w:szCs w:val="20"/>
        </w:rPr>
        <w:t xml:space="preserve"> Tick mark </w:t>
      </w:r>
    </w:p>
    <w:p w:rsidR="00D3608C" w:rsidRDefault="007A2FC4" w:rsidP="00C33412">
      <w:pPr>
        <w:rPr>
          <w:rFonts w:ascii="Arial" w:hAnsi="Arial" w:cs="Arial"/>
          <w:sz w:val="20"/>
          <w:szCs w:val="20"/>
        </w:rPr>
      </w:pPr>
      <w:r>
        <w:rPr>
          <w:rFonts w:ascii="Arial" w:hAnsi="Arial" w:cs="Arial"/>
          <w:sz w:val="20"/>
          <w:szCs w:val="20"/>
        </w:rPr>
        <w:t>S</w:t>
      </w:r>
      <w:r w:rsidRPr="007A2FC4">
        <w:rPr>
          <w:rFonts w:ascii="Arial" w:hAnsi="Arial" w:cs="Arial"/>
          <w:sz w:val="20"/>
          <w:szCs w:val="20"/>
        </w:rPr>
        <w:t>ection 10B provides that a supplier must not apply the C-Tick mark to a device unless the supplier has been issued a supplier code number by the ACMA.</w:t>
      </w:r>
      <w:r w:rsidR="008316D3">
        <w:rPr>
          <w:rFonts w:ascii="Arial" w:hAnsi="Arial" w:cs="Arial"/>
          <w:sz w:val="20"/>
          <w:szCs w:val="20"/>
        </w:rPr>
        <w:t xml:space="preserve">  </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10C</w:t>
      </w:r>
      <w:r w:rsidRPr="00D3608C">
        <w:rPr>
          <w:rFonts w:ascii="Arial" w:hAnsi="Arial" w:cs="Arial"/>
          <w:b/>
          <w:sz w:val="20"/>
          <w:szCs w:val="20"/>
        </w:rPr>
        <w:tab/>
        <w:t xml:space="preserve">Issue of supplier code number </w:t>
      </w:r>
    </w:p>
    <w:p w:rsidR="00C33412" w:rsidRDefault="008316D3" w:rsidP="00C33412">
      <w:pPr>
        <w:rPr>
          <w:rFonts w:ascii="Arial" w:hAnsi="Arial" w:cs="Arial"/>
          <w:sz w:val="20"/>
          <w:szCs w:val="20"/>
        </w:rPr>
      </w:pPr>
      <w:r>
        <w:rPr>
          <w:rFonts w:ascii="Arial" w:hAnsi="Arial" w:cs="Arial"/>
          <w:sz w:val="20"/>
          <w:szCs w:val="20"/>
        </w:rPr>
        <w:t xml:space="preserve">As long as there is a designated national database, the ACMA will not be issuing any supplier code numbers.  This means that no new manufacturers or importers will be able to be issued a supplier code number. </w:t>
      </w:r>
      <w:r w:rsidR="004778A0">
        <w:rPr>
          <w:rFonts w:ascii="Arial" w:hAnsi="Arial" w:cs="Arial"/>
          <w:sz w:val="20"/>
          <w:szCs w:val="20"/>
        </w:rPr>
        <w:t xml:space="preserve"> However, in the event that the designation of a national database is revoked, section 10C allows for the prospect of the ACMA issuing supplier code numbers.</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11</w:t>
      </w:r>
      <w:r w:rsidRPr="00D3608C">
        <w:rPr>
          <w:rFonts w:ascii="Arial" w:hAnsi="Arial" w:cs="Arial"/>
          <w:b/>
          <w:sz w:val="20"/>
          <w:szCs w:val="20"/>
        </w:rPr>
        <w:tab/>
        <w:t xml:space="preserve">Declaration of conformity </w:t>
      </w:r>
    </w:p>
    <w:p w:rsidR="00C33412" w:rsidRDefault="009E17BC" w:rsidP="00C33412">
      <w:pPr>
        <w:rPr>
          <w:rFonts w:ascii="Arial" w:hAnsi="Arial" w:cs="Arial"/>
          <w:sz w:val="20"/>
          <w:szCs w:val="20"/>
        </w:rPr>
      </w:pPr>
      <w:r w:rsidRPr="009E17BC">
        <w:rPr>
          <w:rFonts w:ascii="Arial" w:hAnsi="Arial" w:cs="Arial"/>
          <w:sz w:val="20"/>
          <w:szCs w:val="20"/>
        </w:rPr>
        <w:t xml:space="preserve">Section 11 </w:t>
      </w:r>
      <w:r w:rsidR="00B643B8">
        <w:rPr>
          <w:rFonts w:ascii="Arial" w:hAnsi="Arial" w:cs="Arial"/>
          <w:sz w:val="20"/>
          <w:szCs w:val="20"/>
        </w:rPr>
        <w:t>provides</w:t>
      </w:r>
      <w:r w:rsidR="00B643B8" w:rsidRPr="009E17BC">
        <w:rPr>
          <w:rFonts w:ascii="Arial" w:hAnsi="Arial" w:cs="Arial"/>
          <w:sz w:val="20"/>
          <w:szCs w:val="20"/>
        </w:rPr>
        <w:t xml:space="preserve"> </w:t>
      </w:r>
      <w:r w:rsidRPr="009E17BC">
        <w:rPr>
          <w:rFonts w:ascii="Arial" w:hAnsi="Arial" w:cs="Arial"/>
          <w:sz w:val="20"/>
          <w:szCs w:val="20"/>
        </w:rPr>
        <w:t xml:space="preserve">that before a supplier of a device applies a compliance label to that device, the supplier must make a declaration of conformity stating that the device conforms with the </w:t>
      </w:r>
      <w:r w:rsidR="00B643B8">
        <w:rPr>
          <w:rFonts w:ascii="Arial" w:hAnsi="Arial" w:cs="Arial"/>
          <w:sz w:val="20"/>
          <w:szCs w:val="20"/>
        </w:rPr>
        <w:t>Human Exposure Standard</w:t>
      </w:r>
      <w:r w:rsidRPr="009E17BC">
        <w:rPr>
          <w:rFonts w:ascii="Arial" w:hAnsi="Arial" w:cs="Arial"/>
          <w:sz w:val="20"/>
          <w:szCs w:val="20"/>
        </w:rPr>
        <w:t xml:space="preserve">.  However, where an importer </w:t>
      </w:r>
      <w:r>
        <w:rPr>
          <w:rFonts w:ascii="Arial" w:hAnsi="Arial" w:cs="Arial"/>
          <w:sz w:val="20"/>
          <w:szCs w:val="20"/>
        </w:rPr>
        <w:t xml:space="preserve">(or the agent of an importer) </w:t>
      </w:r>
      <w:r w:rsidRPr="009E17BC">
        <w:rPr>
          <w:rFonts w:ascii="Arial" w:hAnsi="Arial" w:cs="Arial"/>
          <w:sz w:val="20"/>
          <w:szCs w:val="20"/>
        </w:rPr>
        <w:t xml:space="preserve">of a device </w:t>
      </w:r>
      <w:r>
        <w:rPr>
          <w:rFonts w:ascii="Arial" w:hAnsi="Arial" w:cs="Arial"/>
          <w:sz w:val="20"/>
          <w:szCs w:val="20"/>
        </w:rPr>
        <w:t xml:space="preserve"> </w:t>
      </w:r>
      <w:r w:rsidRPr="009E17BC">
        <w:rPr>
          <w:rFonts w:ascii="Arial" w:hAnsi="Arial" w:cs="Arial"/>
          <w:sz w:val="20"/>
          <w:szCs w:val="20"/>
        </w:rPr>
        <w:t xml:space="preserve">that complies with an applicable standard obtains a declaration of </w:t>
      </w:r>
      <w:r w:rsidRPr="009E17BC">
        <w:rPr>
          <w:rFonts w:ascii="Arial" w:hAnsi="Arial" w:cs="Arial"/>
          <w:sz w:val="20"/>
          <w:szCs w:val="20"/>
        </w:rPr>
        <w:lastRenderedPageBreak/>
        <w:t xml:space="preserve">conformity from the overseas manufacturer, subsection 11(2) states that the importer has met the requirements of subsection 11(1) </w:t>
      </w:r>
      <w:r w:rsidR="00E64133">
        <w:rPr>
          <w:rFonts w:ascii="Arial" w:hAnsi="Arial" w:cs="Arial"/>
          <w:sz w:val="20"/>
          <w:szCs w:val="20"/>
        </w:rPr>
        <w:t>for</w:t>
      </w:r>
      <w:r w:rsidRPr="009E17BC">
        <w:rPr>
          <w:rFonts w:ascii="Arial" w:hAnsi="Arial" w:cs="Arial"/>
          <w:sz w:val="20"/>
          <w:szCs w:val="20"/>
        </w:rPr>
        <w:t xml:space="preserve"> making a declaration of conformity.</w:t>
      </w:r>
    </w:p>
    <w:p w:rsidR="00D3608C" w:rsidRDefault="00D3608C" w:rsidP="00C33412">
      <w:pPr>
        <w:rPr>
          <w:rFonts w:ascii="Arial" w:hAnsi="Arial" w:cs="Arial"/>
          <w:sz w:val="20"/>
          <w:szCs w:val="20"/>
        </w:rPr>
      </w:pPr>
    </w:p>
    <w:p w:rsidR="00A941DA" w:rsidRDefault="00A941DA" w:rsidP="00C33412">
      <w:pPr>
        <w:rPr>
          <w:rFonts w:ascii="Arial" w:hAnsi="Arial" w:cs="Arial"/>
          <w:b/>
          <w:sz w:val="22"/>
          <w:szCs w:val="22"/>
        </w:rPr>
      </w:pPr>
    </w:p>
    <w:p w:rsidR="00A941DA" w:rsidRPr="00A941DA" w:rsidRDefault="00A941DA" w:rsidP="00C33412">
      <w:pPr>
        <w:rPr>
          <w:rFonts w:ascii="Arial" w:hAnsi="Arial" w:cs="Arial"/>
          <w:b/>
          <w:sz w:val="22"/>
          <w:szCs w:val="22"/>
        </w:rPr>
      </w:pPr>
      <w:r w:rsidRPr="00A941DA">
        <w:rPr>
          <w:rFonts w:ascii="Arial" w:hAnsi="Arial" w:cs="Arial"/>
          <w:b/>
          <w:sz w:val="22"/>
          <w:szCs w:val="22"/>
        </w:rPr>
        <w:t>Division 2.3 – Compliance levels</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12</w:t>
      </w:r>
      <w:r w:rsidRPr="00D3608C">
        <w:rPr>
          <w:rFonts w:ascii="Arial" w:hAnsi="Arial" w:cs="Arial"/>
          <w:b/>
          <w:sz w:val="20"/>
          <w:szCs w:val="20"/>
        </w:rPr>
        <w:tab/>
        <w:t>Compliance levels</w:t>
      </w:r>
    </w:p>
    <w:p w:rsidR="00D3608C" w:rsidRDefault="009E17BC" w:rsidP="00C33412">
      <w:pPr>
        <w:rPr>
          <w:rFonts w:ascii="Arial" w:hAnsi="Arial" w:cs="Arial"/>
          <w:sz w:val="20"/>
          <w:szCs w:val="20"/>
        </w:rPr>
      </w:pPr>
      <w:r w:rsidRPr="009E17BC">
        <w:rPr>
          <w:rFonts w:ascii="Arial" w:hAnsi="Arial" w:cs="Arial"/>
          <w:sz w:val="20"/>
          <w:szCs w:val="20"/>
        </w:rPr>
        <w:t>Section 12 requires a supplier, before applying a label to a device, to comply with the requirements of the specified compliance level for that device.  This section also characterises three compliance levels for a device as ‘compliance level 1’, ‘compliance level 2’ and ‘compliance level 3’.   Compliance level 1 applies to category A devices, compliance level 2 applies to category B devices whose normal position of use is more than 20cm from the human body and compliance level 3 is for devices whose normal position of use i</w:t>
      </w:r>
      <w:r w:rsidR="00E64133">
        <w:rPr>
          <w:rFonts w:ascii="Arial" w:hAnsi="Arial" w:cs="Arial"/>
          <w:sz w:val="20"/>
          <w:szCs w:val="20"/>
        </w:rPr>
        <w:t>s</w:t>
      </w:r>
      <w:r w:rsidRPr="009E17BC">
        <w:rPr>
          <w:rFonts w:ascii="Arial" w:hAnsi="Arial" w:cs="Arial"/>
          <w:sz w:val="20"/>
          <w:szCs w:val="20"/>
        </w:rPr>
        <w:t xml:space="preserve"> not more than 20 cm from the human body.</w:t>
      </w:r>
    </w:p>
    <w:p w:rsidR="00D3608C" w:rsidRDefault="00D3608C" w:rsidP="00C33412">
      <w:pPr>
        <w:rPr>
          <w:rFonts w:ascii="Arial" w:hAnsi="Arial" w:cs="Arial"/>
          <w:sz w:val="20"/>
          <w:szCs w:val="20"/>
        </w:rPr>
      </w:pPr>
    </w:p>
    <w:p w:rsidR="006511C7" w:rsidRPr="006511C7" w:rsidRDefault="00C33412" w:rsidP="00C33412">
      <w:pPr>
        <w:rPr>
          <w:rFonts w:ascii="Arial" w:hAnsi="Arial" w:cs="Arial"/>
          <w:b/>
          <w:sz w:val="20"/>
          <w:szCs w:val="20"/>
        </w:rPr>
      </w:pPr>
      <w:r w:rsidRPr="00D3608C">
        <w:rPr>
          <w:rFonts w:ascii="Arial" w:hAnsi="Arial" w:cs="Arial"/>
          <w:b/>
          <w:sz w:val="20"/>
          <w:szCs w:val="20"/>
        </w:rPr>
        <w:t>Section 13</w:t>
      </w:r>
      <w:r w:rsidRPr="00D3608C">
        <w:rPr>
          <w:rFonts w:ascii="Arial" w:hAnsi="Arial" w:cs="Arial"/>
          <w:b/>
          <w:sz w:val="20"/>
          <w:szCs w:val="20"/>
        </w:rPr>
        <w:tab/>
        <w:t>Compliance level 1</w:t>
      </w:r>
      <w:r w:rsidRPr="00D3608C">
        <w:rPr>
          <w:rFonts w:ascii="Arial" w:hAnsi="Arial" w:cs="Arial"/>
          <w:b/>
          <w:sz w:val="20"/>
          <w:szCs w:val="20"/>
        </w:rPr>
        <w:tab/>
      </w:r>
    </w:p>
    <w:p w:rsidR="00D3608C" w:rsidRDefault="009E17BC" w:rsidP="00C33412">
      <w:pPr>
        <w:rPr>
          <w:rFonts w:ascii="Arial" w:hAnsi="Arial" w:cs="Arial"/>
          <w:sz w:val="20"/>
          <w:szCs w:val="20"/>
        </w:rPr>
      </w:pPr>
      <w:r w:rsidRPr="009E17BC">
        <w:rPr>
          <w:rFonts w:ascii="Arial" w:hAnsi="Arial" w:cs="Arial"/>
          <w:sz w:val="20"/>
          <w:szCs w:val="20"/>
        </w:rPr>
        <w:t>Section 13 specifies the requirements of compliance level 1 that must be met by a supplier.  The supplier must prepare a description of the device and make a declaration of conformity for the device.</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14</w:t>
      </w:r>
      <w:r w:rsidRPr="00D3608C">
        <w:rPr>
          <w:rFonts w:ascii="Arial" w:hAnsi="Arial" w:cs="Arial"/>
          <w:b/>
          <w:sz w:val="20"/>
          <w:szCs w:val="20"/>
        </w:rPr>
        <w:tab/>
        <w:t>Compliance level 2</w:t>
      </w:r>
    </w:p>
    <w:p w:rsidR="00C33412" w:rsidRDefault="009E17BC" w:rsidP="00C33412">
      <w:pPr>
        <w:rPr>
          <w:rFonts w:ascii="Arial" w:hAnsi="Arial" w:cs="Arial"/>
          <w:sz w:val="20"/>
          <w:szCs w:val="20"/>
        </w:rPr>
      </w:pPr>
      <w:r w:rsidRPr="009E17BC">
        <w:rPr>
          <w:rFonts w:ascii="Arial" w:hAnsi="Arial" w:cs="Arial"/>
          <w:sz w:val="20"/>
          <w:szCs w:val="20"/>
        </w:rPr>
        <w:t>Section 14 specifies the requirements of compliance level 2 that must be met by a supplier.  The supplier must comply with compliance level 1 and show the device complies with the applicable standard by obtaining a report of the results of an assessment under section 16.</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15</w:t>
      </w:r>
      <w:r w:rsidRPr="00D3608C">
        <w:rPr>
          <w:rFonts w:ascii="Arial" w:hAnsi="Arial" w:cs="Arial"/>
          <w:b/>
          <w:sz w:val="20"/>
          <w:szCs w:val="20"/>
        </w:rPr>
        <w:tab/>
        <w:t>Compliance level 3</w:t>
      </w:r>
    </w:p>
    <w:p w:rsidR="009E17BC" w:rsidRPr="009E17BC" w:rsidRDefault="009E17BC" w:rsidP="009E17BC">
      <w:pPr>
        <w:rPr>
          <w:rFonts w:ascii="Arial" w:hAnsi="Arial" w:cs="Arial"/>
          <w:sz w:val="20"/>
          <w:szCs w:val="20"/>
        </w:rPr>
      </w:pPr>
      <w:r w:rsidRPr="009E17BC">
        <w:rPr>
          <w:rFonts w:ascii="Arial" w:hAnsi="Arial" w:cs="Arial"/>
          <w:sz w:val="20"/>
          <w:szCs w:val="20"/>
        </w:rPr>
        <w:t xml:space="preserve">Section 15 specifies the requirements of compliance level 3 that must be met by a supplier.  The supplier must comply with compliance level 1 and show that the device complies with the applicable standard by obtaining a report of the results of </w:t>
      </w:r>
      <w:r w:rsidR="00E64133">
        <w:rPr>
          <w:rFonts w:ascii="Arial" w:hAnsi="Arial" w:cs="Arial"/>
          <w:sz w:val="20"/>
          <w:szCs w:val="20"/>
        </w:rPr>
        <w:t xml:space="preserve">an </w:t>
      </w:r>
      <w:r w:rsidRPr="009E17BC">
        <w:rPr>
          <w:rFonts w:ascii="Arial" w:hAnsi="Arial" w:cs="Arial"/>
          <w:sz w:val="20"/>
          <w:szCs w:val="20"/>
        </w:rPr>
        <w:t xml:space="preserve">assessment under section 16 from an accredited testing authority. </w:t>
      </w:r>
    </w:p>
    <w:p w:rsidR="00D3608C" w:rsidRDefault="00D3608C" w:rsidP="00C33412">
      <w:pPr>
        <w:rPr>
          <w:rFonts w:ascii="Arial" w:hAnsi="Arial" w:cs="Arial"/>
          <w:sz w:val="20"/>
          <w:szCs w:val="20"/>
        </w:rPr>
      </w:pPr>
    </w:p>
    <w:p w:rsidR="00A941DA" w:rsidRDefault="00A941DA" w:rsidP="00C33412">
      <w:pPr>
        <w:rPr>
          <w:rFonts w:ascii="Arial" w:hAnsi="Arial" w:cs="Arial"/>
          <w:b/>
          <w:sz w:val="20"/>
          <w:szCs w:val="20"/>
        </w:rPr>
      </w:pPr>
    </w:p>
    <w:p w:rsidR="00A941DA" w:rsidRPr="00A941DA" w:rsidRDefault="00A941DA" w:rsidP="00C33412">
      <w:pPr>
        <w:rPr>
          <w:rFonts w:ascii="Arial" w:hAnsi="Arial" w:cs="Arial"/>
          <w:b/>
          <w:sz w:val="22"/>
          <w:szCs w:val="22"/>
        </w:rPr>
      </w:pPr>
      <w:r w:rsidRPr="00A941DA">
        <w:rPr>
          <w:rFonts w:ascii="Arial" w:hAnsi="Arial" w:cs="Arial"/>
          <w:b/>
          <w:sz w:val="22"/>
          <w:szCs w:val="22"/>
        </w:rPr>
        <w:t>Division 2.4 – Assessment of devices</w:t>
      </w:r>
    </w:p>
    <w:p w:rsidR="00A941DA" w:rsidRDefault="00A941DA" w:rsidP="00C33412">
      <w:pPr>
        <w:rPr>
          <w:rFonts w:ascii="Arial" w:hAnsi="Arial" w:cs="Arial"/>
          <w:b/>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16</w:t>
      </w:r>
      <w:r w:rsidRPr="00D3608C">
        <w:rPr>
          <w:rFonts w:ascii="Arial" w:hAnsi="Arial" w:cs="Arial"/>
          <w:b/>
          <w:sz w:val="20"/>
          <w:szCs w:val="20"/>
        </w:rPr>
        <w:tab/>
        <w:t>Assessment</w:t>
      </w:r>
    </w:p>
    <w:p w:rsidR="000C722E" w:rsidRPr="000C722E" w:rsidRDefault="000C722E" w:rsidP="000C722E">
      <w:pPr>
        <w:rPr>
          <w:rFonts w:ascii="Arial" w:hAnsi="Arial" w:cs="Arial"/>
          <w:sz w:val="20"/>
          <w:szCs w:val="20"/>
        </w:rPr>
      </w:pPr>
      <w:r w:rsidRPr="000C722E">
        <w:rPr>
          <w:rFonts w:ascii="Arial" w:hAnsi="Arial" w:cs="Arial"/>
          <w:sz w:val="20"/>
          <w:szCs w:val="20"/>
        </w:rPr>
        <w:t xml:space="preserve">Section 16 outlines the information that the supplier must obtain from the person testing the device.  The report establishing conformity with the </w:t>
      </w:r>
      <w:r w:rsidR="00F909A3">
        <w:rPr>
          <w:rFonts w:ascii="Arial" w:hAnsi="Arial" w:cs="Arial"/>
          <w:sz w:val="20"/>
          <w:szCs w:val="20"/>
        </w:rPr>
        <w:t>Human Exposur</w:t>
      </w:r>
      <w:r w:rsidR="00F909A3" w:rsidRPr="000C722E">
        <w:rPr>
          <w:rFonts w:ascii="Arial" w:hAnsi="Arial" w:cs="Arial"/>
          <w:sz w:val="20"/>
          <w:szCs w:val="20"/>
        </w:rPr>
        <w:t xml:space="preserve">e </w:t>
      </w:r>
      <w:r w:rsidR="00F909A3">
        <w:rPr>
          <w:rFonts w:ascii="Arial" w:hAnsi="Arial" w:cs="Arial"/>
          <w:sz w:val="20"/>
          <w:szCs w:val="20"/>
        </w:rPr>
        <w:t>S</w:t>
      </w:r>
      <w:r w:rsidR="00F909A3" w:rsidRPr="000C722E">
        <w:rPr>
          <w:rFonts w:ascii="Arial" w:hAnsi="Arial" w:cs="Arial"/>
          <w:sz w:val="20"/>
          <w:szCs w:val="20"/>
        </w:rPr>
        <w:t xml:space="preserve">tandard </w:t>
      </w:r>
      <w:r w:rsidRPr="000C722E">
        <w:rPr>
          <w:rFonts w:ascii="Arial" w:hAnsi="Arial" w:cs="Arial"/>
          <w:sz w:val="20"/>
          <w:szCs w:val="20"/>
        </w:rPr>
        <w:t>must address:</w:t>
      </w:r>
    </w:p>
    <w:p w:rsidR="000C722E" w:rsidRPr="000C722E" w:rsidRDefault="000C722E" w:rsidP="000C722E">
      <w:pPr>
        <w:pStyle w:val="ListParagraph"/>
        <w:numPr>
          <w:ilvl w:val="0"/>
          <w:numId w:val="9"/>
        </w:numPr>
        <w:rPr>
          <w:rFonts w:ascii="Arial" w:hAnsi="Arial" w:cs="Arial"/>
          <w:sz w:val="20"/>
          <w:szCs w:val="20"/>
        </w:rPr>
      </w:pPr>
      <w:r>
        <w:rPr>
          <w:rFonts w:ascii="Arial" w:hAnsi="Arial" w:cs="Arial"/>
          <w:sz w:val="20"/>
          <w:szCs w:val="20"/>
        </w:rPr>
        <w:t>t</w:t>
      </w:r>
      <w:r w:rsidRPr="000C722E">
        <w:rPr>
          <w:rFonts w:ascii="Arial" w:hAnsi="Arial" w:cs="Arial"/>
          <w:sz w:val="20"/>
          <w:szCs w:val="20"/>
        </w:rPr>
        <w:t>he measurements or evaluation methods that were used;</w:t>
      </w:r>
    </w:p>
    <w:p w:rsidR="000C722E" w:rsidRPr="000C722E" w:rsidRDefault="000C722E" w:rsidP="000C722E">
      <w:pPr>
        <w:pStyle w:val="ListParagraph"/>
        <w:numPr>
          <w:ilvl w:val="0"/>
          <w:numId w:val="9"/>
        </w:numPr>
        <w:rPr>
          <w:rFonts w:ascii="Arial" w:hAnsi="Arial" w:cs="Arial"/>
          <w:sz w:val="20"/>
          <w:szCs w:val="20"/>
        </w:rPr>
      </w:pPr>
      <w:r>
        <w:rPr>
          <w:rFonts w:ascii="Arial" w:hAnsi="Arial" w:cs="Arial"/>
          <w:sz w:val="20"/>
          <w:szCs w:val="20"/>
        </w:rPr>
        <w:t>t</w:t>
      </w:r>
      <w:r w:rsidRPr="000C722E">
        <w:rPr>
          <w:rFonts w:ascii="Arial" w:hAnsi="Arial" w:cs="Arial"/>
          <w:sz w:val="20"/>
          <w:szCs w:val="20"/>
        </w:rPr>
        <w:t>he results of the measurements or evaluations, including any measurement or evaluation data; and</w:t>
      </w:r>
    </w:p>
    <w:p w:rsidR="000C722E" w:rsidRPr="000C722E" w:rsidRDefault="000C722E" w:rsidP="000C722E">
      <w:pPr>
        <w:pStyle w:val="ListParagraph"/>
        <w:numPr>
          <w:ilvl w:val="0"/>
          <w:numId w:val="9"/>
        </w:numPr>
        <w:rPr>
          <w:rFonts w:ascii="Arial" w:hAnsi="Arial" w:cs="Arial"/>
          <w:sz w:val="20"/>
          <w:szCs w:val="20"/>
        </w:rPr>
      </w:pPr>
      <w:r>
        <w:rPr>
          <w:rFonts w:ascii="Arial" w:hAnsi="Arial" w:cs="Arial"/>
          <w:sz w:val="20"/>
          <w:szCs w:val="20"/>
        </w:rPr>
        <w:t>w</w:t>
      </w:r>
      <w:r w:rsidRPr="000C722E">
        <w:rPr>
          <w:rFonts w:ascii="Arial" w:hAnsi="Arial" w:cs="Arial"/>
          <w:sz w:val="20"/>
          <w:szCs w:val="20"/>
        </w:rPr>
        <w:t>hether the results of the measurements or evaluations show that the device meets the applicable standard.</w:t>
      </w:r>
    </w:p>
    <w:p w:rsidR="00A941DA" w:rsidRDefault="00A941DA" w:rsidP="00C33412">
      <w:pPr>
        <w:rPr>
          <w:rFonts w:ascii="Arial" w:hAnsi="Arial" w:cs="Arial"/>
          <w:sz w:val="20"/>
          <w:szCs w:val="20"/>
        </w:rPr>
      </w:pPr>
    </w:p>
    <w:p w:rsidR="00A941DA" w:rsidRDefault="00A941DA" w:rsidP="00C33412">
      <w:pPr>
        <w:rPr>
          <w:rFonts w:ascii="Arial" w:hAnsi="Arial" w:cs="Arial"/>
          <w:b/>
          <w:sz w:val="20"/>
          <w:szCs w:val="20"/>
        </w:rPr>
      </w:pPr>
    </w:p>
    <w:p w:rsidR="00D3608C" w:rsidRPr="00A941DA" w:rsidRDefault="00A941DA" w:rsidP="00C33412">
      <w:pPr>
        <w:rPr>
          <w:rFonts w:ascii="Arial" w:hAnsi="Arial" w:cs="Arial"/>
          <w:b/>
          <w:sz w:val="22"/>
          <w:szCs w:val="22"/>
        </w:rPr>
      </w:pPr>
      <w:r w:rsidRPr="00A941DA">
        <w:rPr>
          <w:rFonts w:ascii="Arial" w:hAnsi="Arial" w:cs="Arial"/>
          <w:b/>
          <w:sz w:val="22"/>
          <w:szCs w:val="22"/>
        </w:rPr>
        <w:t>Part 3 – Form and placement of a compliance label</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17</w:t>
      </w:r>
      <w:r w:rsidRPr="00D3608C">
        <w:rPr>
          <w:rFonts w:ascii="Arial" w:hAnsi="Arial" w:cs="Arial"/>
          <w:b/>
          <w:sz w:val="20"/>
          <w:szCs w:val="20"/>
        </w:rPr>
        <w:tab/>
        <w:t>Application of Part 3</w:t>
      </w:r>
    </w:p>
    <w:p w:rsidR="000C722E" w:rsidRDefault="000C722E" w:rsidP="00C33412">
      <w:pPr>
        <w:rPr>
          <w:rFonts w:ascii="Arial" w:hAnsi="Arial" w:cs="Arial"/>
          <w:sz w:val="20"/>
          <w:szCs w:val="20"/>
        </w:rPr>
      </w:pPr>
      <w:r w:rsidRPr="000C722E">
        <w:rPr>
          <w:rFonts w:ascii="Arial" w:hAnsi="Arial" w:cs="Arial"/>
          <w:sz w:val="20"/>
          <w:szCs w:val="20"/>
        </w:rPr>
        <w:t xml:space="preserve">Section 17 establishes that Part 3 of the </w:t>
      </w:r>
      <w:r w:rsidR="009B15DD">
        <w:rPr>
          <w:rFonts w:ascii="Arial" w:hAnsi="Arial" w:cs="Arial"/>
          <w:sz w:val="20"/>
          <w:szCs w:val="20"/>
        </w:rPr>
        <w:t>Instrument</w:t>
      </w:r>
      <w:r w:rsidRPr="000C722E">
        <w:rPr>
          <w:rFonts w:ascii="Arial" w:hAnsi="Arial" w:cs="Arial"/>
          <w:sz w:val="20"/>
          <w:szCs w:val="20"/>
        </w:rPr>
        <w:t xml:space="preserve"> applies to suppliers of devices that have complied with the compliance level under Part 2.  The Part also applies to variants.</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18</w:t>
      </w:r>
      <w:r w:rsidRPr="00D3608C">
        <w:rPr>
          <w:rFonts w:ascii="Arial" w:hAnsi="Arial" w:cs="Arial"/>
          <w:b/>
          <w:sz w:val="20"/>
          <w:szCs w:val="20"/>
        </w:rPr>
        <w:tab/>
        <w:t>Who must apply a compliance label to a device</w:t>
      </w:r>
    </w:p>
    <w:p w:rsidR="00D3608C" w:rsidRDefault="00584021" w:rsidP="00C33412">
      <w:pPr>
        <w:rPr>
          <w:rFonts w:ascii="Arial" w:hAnsi="Arial" w:cs="Arial"/>
          <w:sz w:val="20"/>
          <w:szCs w:val="20"/>
        </w:rPr>
      </w:pPr>
      <w:r w:rsidRPr="00584021">
        <w:rPr>
          <w:rFonts w:ascii="Arial" w:hAnsi="Arial" w:cs="Arial"/>
          <w:sz w:val="20"/>
          <w:szCs w:val="20"/>
        </w:rPr>
        <w:t>Section 18 specifies the persons who must apply the compliance label to devices manufactured in Australia or devices manufactured outside Australia.   For devices manufactured in Australia the person is the manufacturer, the agent of the manufacturer o</w:t>
      </w:r>
      <w:r w:rsidR="00E64133">
        <w:rPr>
          <w:rFonts w:ascii="Arial" w:hAnsi="Arial" w:cs="Arial"/>
          <w:sz w:val="20"/>
          <w:szCs w:val="20"/>
        </w:rPr>
        <w:t>r</w:t>
      </w:r>
      <w:r w:rsidRPr="00584021">
        <w:rPr>
          <w:rFonts w:ascii="Arial" w:hAnsi="Arial" w:cs="Arial"/>
          <w:sz w:val="20"/>
          <w:szCs w:val="20"/>
        </w:rPr>
        <w:t xml:space="preserve"> another person authorised by the manufacturer or agent to apply labels on behalf of the manufacturer or agent.  For device</w:t>
      </w:r>
      <w:r w:rsidR="00E64133">
        <w:rPr>
          <w:rFonts w:ascii="Arial" w:hAnsi="Arial" w:cs="Arial"/>
          <w:sz w:val="20"/>
          <w:szCs w:val="20"/>
        </w:rPr>
        <w:t>s</w:t>
      </w:r>
      <w:r w:rsidRPr="00584021">
        <w:rPr>
          <w:rFonts w:ascii="Arial" w:hAnsi="Arial" w:cs="Arial"/>
          <w:sz w:val="20"/>
          <w:szCs w:val="20"/>
        </w:rPr>
        <w:t xml:space="preserve"> manufactured overseas the label must be applied by the importer, the agent of the importer or by a person authorised by the importer or agent.</w:t>
      </w:r>
    </w:p>
    <w:p w:rsidR="00D3608C" w:rsidRDefault="00D3608C" w:rsidP="00C33412">
      <w:pPr>
        <w:rPr>
          <w:rFonts w:ascii="Arial" w:hAnsi="Arial" w:cs="Arial"/>
          <w:sz w:val="20"/>
          <w:szCs w:val="20"/>
        </w:rPr>
      </w:pPr>
    </w:p>
    <w:p w:rsidR="00C33412" w:rsidRPr="00D3608C" w:rsidRDefault="00C33412" w:rsidP="00E64133">
      <w:pPr>
        <w:keepNext/>
        <w:keepLines/>
        <w:rPr>
          <w:rFonts w:ascii="Arial" w:hAnsi="Arial" w:cs="Arial"/>
          <w:b/>
          <w:sz w:val="20"/>
          <w:szCs w:val="20"/>
        </w:rPr>
      </w:pPr>
      <w:r w:rsidRPr="00567459">
        <w:rPr>
          <w:rFonts w:ascii="Arial" w:hAnsi="Arial" w:cs="Arial"/>
          <w:b/>
          <w:sz w:val="20"/>
          <w:szCs w:val="20"/>
        </w:rPr>
        <w:lastRenderedPageBreak/>
        <w:t>Section 19</w:t>
      </w:r>
      <w:r w:rsidRPr="00D3608C">
        <w:rPr>
          <w:rFonts w:ascii="Arial" w:hAnsi="Arial" w:cs="Arial"/>
          <w:b/>
          <w:sz w:val="20"/>
          <w:szCs w:val="20"/>
        </w:rPr>
        <w:tab/>
        <w:t>What is a compliance label</w:t>
      </w:r>
    </w:p>
    <w:p w:rsidR="00C33412" w:rsidRDefault="007A2FC4" w:rsidP="00E64133">
      <w:pPr>
        <w:keepNext/>
        <w:keepLines/>
        <w:rPr>
          <w:rFonts w:ascii="Arial" w:hAnsi="Arial" w:cs="Arial"/>
          <w:sz w:val="20"/>
          <w:szCs w:val="20"/>
        </w:rPr>
      </w:pPr>
      <w:r>
        <w:rPr>
          <w:rFonts w:ascii="Arial" w:hAnsi="Arial" w:cs="Arial"/>
          <w:sz w:val="20"/>
          <w:szCs w:val="20"/>
        </w:rPr>
        <w:t>S</w:t>
      </w:r>
      <w:r w:rsidRPr="007A2FC4">
        <w:rPr>
          <w:rFonts w:ascii="Arial" w:hAnsi="Arial" w:cs="Arial"/>
          <w:sz w:val="20"/>
          <w:szCs w:val="20"/>
        </w:rPr>
        <w:t>ection 19 specif</w:t>
      </w:r>
      <w:r>
        <w:rPr>
          <w:rFonts w:ascii="Arial" w:hAnsi="Arial" w:cs="Arial"/>
          <w:sz w:val="20"/>
          <w:szCs w:val="20"/>
        </w:rPr>
        <w:t>ies</w:t>
      </w:r>
      <w:r w:rsidRPr="007A2FC4">
        <w:rPr>
          <w:rFonts w:ascii="Arial" w:hAnsi="Arial" w:cs="Arial"/>
          <w:sz w:val="20"/>
          <w:szCs w:val="20"/>
        </w:rPr>
        <w:t xml:space="preserve"> that a compliance label must meet the requirements of section 19 and sections 19A to 19D. The compliance label must consist of the RCM or, if the label is applied before 1 March 2016, the RCM or the C-Tick mark. </w:t>
      </w:r>
      <w:r>
        <w:rPr>
          <w:rFonts w:ascii="Arial" w:hAnsi="Arial" w:cs="Arial"/>
          <w:sz w:val="20"/>
          <w:szCs w:val="20"/>
        </w:rPr>
        <w:t xml:space="preserve">The </w:t>
      </w:r>
      <w:r w:rsidR="00F909A3">
        <w:rPr>
          <w:rFonts w:ascii="Arial" w:hAnsi="Arial" w:cs="Arial"/>
          <w:sz w:val="20"/>
          <w:szCs w:val="20"/>
        </w:rPr>
        <w:t>s</w:t>
      </w:r>
      <w:r>
        <w:rPr>
          <w:rFonts w:ascii="Arial" w:hAnsi="Arial" w:cs="Arial"/>
          <w:sz w:val="20"/>
          <w:szCs w:val="20"/>
        </w:rPr>
        <w:t>ection specifies the</w:t>
      </w:r>
      <w:r w:rsidRPr="007A2FC4">
        <w:rPr>
          <w:rFonts w:ascii="Arial" w:hAnsi="Arial" w:cs="Arial"/>
          <w:sz w:val="20"/>
          <w:szCs w:val="20"/>
        </w:rPr>
        <w:t xml:space="preserve"> requirement that compliance labels be accessible and provides that a label is not accessible if it is necessary to use a specialised tool to gain access to it.</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19A</w:t>
      </w:r>
      <w:r w:rsidRPr="00D3608C">
        <w:rPr>
          <w:rFonts w:ascii="Arial" w:hAnsi="Arial" w:cs="Arial"/>
          <w:b/>
          <w:sz w:val="20"/>
          <w:szCs w:val="20"/>
        </w:rPr>
        <w:tab/>
        <w:t>Durability of compliance label</w:t>
      </w:r>
    </w:p>
    <w:p w:rsidR="00C33412" w:rsidRDefault="00DF3A1F" w:rsidP="00C33412">
      <w:pPr>
        <w:rPr>
          <w:rFonts w:ascii="Arial" w:hAnsi="Arial" w:cs="Arial"/>
          <w:sz w:val="20"/>
          <w:szCs w:val="20"/>
        </w:rPr>
      </w:pPr>
      <w:r>
        <w:rPr>
          <w:rFonts w:ascii="Arial" w:hAnsi="Arial" w:cs="Arial"/>
          <w:sz w:val="20"/>
          <w:szCs w:val="20"/>
        </w:rPr>
        <w:t xml:space="preserve">Section 19A specifies that the compliance label must be applied in a durable manner and must not be able to be </w:t>
      </w:r>
      <w:r w:rsidR="00E64133">
        <w:rPr>
          <w:rFonts w:ascii="Arial" w:hAnsi="Arial" w:cs="Arial"/>
          <w:sz w:val="20"/>
          <w:szCs w:val="20"/>
        </w:rPr>
        <w:t xml:space="preserve">easily </w:t>
      </w:r>
      <w:r>
        <w:rPr>
          <w:rFonts w:ascii="Arial" w:hAnsi="Arial" w:cs="Arial"/>
          <w:sz w:val="20"/>
          <w:szCs w:val="20"/>
        </w:rPr>
        <w:t>removed or obliterated.</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19B</w:t>
      </w:r>
      <w:r w:rsidRPr="00D3608C">
        <w:rPr>
          <w:rFonts w:ascii="Arial" w:hAnsi="Arial" w:cs="Arial"/>
          <w:b/>
          <w:sz w:val="20"/>
          <w:szCs w:val="20"/>
        </w:rPr>
        <w:tab/>
        <w:t>Format of compliance label</w:t>
      </w:r>
    </w:p>
    <w:p w:rsidR="00D3608C" w:rsidRDefault="007A2FC4" w:rsidP="00C33412">
      <w:pPr>
        <w:rPr>
          <w:rFonts w:ascii="Arial" w:hAnsi="Arial" w:cs="Arial"/>
          <w:sz w:val="20"/>
          <w:szCs w:val="20"/>
        </w:rPr>
      </w:pPr>
      <w:r>
        <w:rPr>
          <w:rFonts w:ascii="Arial" w:hAnsi="Arial" w:cs="Arial"/>
          <w:sz w:val="20"/>
          <w:szCs w:val="20"/>
        </w:rPr>
        <w:t xml:space="preserve">Section 19B </w:t>
      </w:r>
      <w:r w:rsidR="00F909A3">
        <w:rPr>
          <w:rFonts w:ascii="Arial" w:hAnsi="Arial" w:cs="Arial"/>
          <w:sz w:val="20"/>
          <w:szCs w:val="20"/>
        </w:rPr>
        <w:t xml:space="preserve">describes </w:t>
      </w:r>
      <w:r>
        <w:rPr>
          <w:rFonts w:ascii="Arial" w:hAnsi="Arial" w:cs="Arial"/>
          <w:sz w:val="20"/>
          <w:szCs w:val="20"/>
        </w:rPr>
        <w:t xml:space="preserve">the required </w:t>
      </w:r>
      <w:r w:rsidR="00F909A3">
        <w:rPr>
          <w:rFonts w:ascii="Arial" w:hAnsi="Arial" w:cs="Arial"/>
          <w:sz w:val="20"/>
          <w:szCs w:val="20"/>
        </w:rPr>
        <w:t xml:space="preserve">size </w:t>
      </w:r>
      <w:r>
        <w:rPr>
          <w:rFonts w:ascii="Arial" w:hAnsi="Arial" w:cs="Arial"/>
          <w:sz w:val="20"/>
          <w:szCs w:val="20"/>
        </w:rPr>
        <w:t xml:space="preserve">of the compliance label </w:t>
      </w:r>
      <w:r w:rsidRPr="007A2FC4">
        <w:rPr>
          <w:rFonts w:ascii="Arial" w:hAnsi="Arial" w:cs="Arial"/>
          <w:sz w:val="20"/>
          <w:szCs w:val="20"/>
        </w:rPr>
        <w:t xml:space="preserve">and </w:t>
      </w:r>
      <w:r>
        <w:rPr>
          <w:rFonts w:ascii="Arial" w:hAnsi="Arial" w:cs="Arial"/>
          <w:sz w:val="20"/>
          <w:szCs w:val="20"/>
        </w:rPr>
        <w:t>includes</w:t>
      </w:r>
      <w:r w:rsidRPr="007A2FC4">
        <w:rPr>
          <w:rFonts w:ascii="Arial" w:hAnsi="Arial" w:cs="Arial"/>
          <w:sz w:val="20"/>
          <w:szCs w:val="20"/>
        </w:rPr>
        <w:t xml:space="preserve"> a note clarifying that a supplier may voluntarily apply its own supplier identification details to a device.</w:t>
      </w:r>
      <w:r>
        <w:rPr>
          <w:rFonts w:ascii="Arial" w:hAnsi="Arial" w:cs="Arial"/>
          <w:sz w:val="20"/>
          <w:szCs w:val="20"/>
        </w:rPr>
        <w:t xml:space="preserve"> </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19C</w:t>
      </w:r>
      <w:r w:rsidRPr="00D3608C">
        <w:rPr>
          <w:rFonts w:ascii="Arial" w:hAnsi="Arial" w:cs="Arial"/>
          <w:b/>
          <w:sz w:val="20"/>
          <w:szCs w:val="20"/>
        </w:rPr>
        <w:tab/>
        <w:t>Placement of compliance label</w:t>
      </w:r>
    </w:p>
    <w:p w:rsidR="005436C8" w:rsidRDefault="005436C8" w:rsidP="005436C8">
      <w:pPr>
        <w:rPr>
          <w:rFonts w:ascii="Arial" w:hAnsi="Arial" w:cs="Arial"/>
          <w:sz w:val="20"/>
          <w:szCs w:val="20"/>
        </w:rPr>
      </w:pPr>
      <w:r>
        <w:rPr>
          <w:rFonts w:ascii="Arial" w:hAnsi="Arial" w:cs="Arial"/>
          <w:sz w:val="20"/>
          <w:szCs w:val="20"/>
        </w:rPr>
        <w:t xml:space="preserve">Section 19C </w:t>
      </w:r>
      <w:r w:rsidR="005A0807">
        <w:rPr>
          <w:rFonts w:ascii="Arial" w:hAnsi="Arial" w:cs="Arial"/>
          <w:sz w:val="20"/>
          <w:szCs w:val="20"/>
        </w:rPr>
        <w:t xml:space="preserve">allows a label to be placed on packaging if it is not possible or practical to apply the label directly to the device.  It </w:t>
      </w:r>
      <w:r>
        <w:rPr>
          <w:rFonts w:ascii="Arial" w:hAnsi="Arial" w:cs="Arial"/>
          <w:sz w:val="20"/>
          <w:szCs w:val="20"/>
        </w:rPr>
        <w:t>requires s</w:t>
      </w:r>
      <w:r w:rsidRPr="005436C8">
        <w:rPr>
          <w:rFonts w:ascii="Arial" w:hAnsi="Arial" w:cs="Arial"/>
          <w:sz w:val="20"/>
          <w:szCs w:val="20"/>
        </w:rPr>
        <w:t xml:space="preserve">uppliers to keep records detailing why it </w:t>
      </w:r>
      <w:r>
        <w:rPr>
          <w:rFonts w:ascii="Arial" w:hAnsi="Arial" w:cs="Arial"/>
          <w:sz w:val="20"/>
          <w:szCs w:val="20"/>
        </w:rPr>
        <w:t>is</w:t>
      </w:r>
      <w:r w:rsidRPr="005436C8">
        <w:rPr>
          <w:rFonts w:ascii="Arial" w:hAnsi="Arial" w:cs="Arial"/>
          <w:sz w:val="20"/>
          <w:szCs w:val="20"/>
        </w:rPr>
        <w:t xml:space="preserve"> not possible or practical to label the surface of the device and record where</w:t>
      </w:r>
      <w:r w:rsidR="005A0807">
        <w:rPr>
          <w:rFonts w:ascii="Arial" w:hAnsi="Arial" w:cs="Arial"/>
          <w:sz w:val="20"/>
          <w:szCs w:val="20"/>
        </w:rPr>
        <w:t xml:space="preserve"> on the packaging</w:t>
      </w:r>
      <w:r w:rsidRPr="005436C8">
        <w:rPr>
          <w:rFonts w:ascii="Arial" w:hAnsi="Arial" w:cs="Arial"/>
          <w:sz w:val="20"/>
          <w:szCs w:val="20"/>
        </w:rPr>
        <w:t xml:space="preserve"> the compliance label was subsequently applied. The provision allowing alternative labelling is intended to be used only where there are physical or practical impediments to applying a label to the surface of a device and not as a general alternative to device labelling. There is no </w:t>
      </w:r>
      <w:r w:rsidR="005A0807">
        <w:rPr>
          <w:rFonts w:ascii="Arial" w:hAnsi="Arial" w:cs="Arial"/>
          <w:sz w:val="20"/>
          <w:szCs w:val="20"/>
        </w:rPr>
        <w:t xml:space="preserve">ability </w:t>
      </w:r>
      <w:r w:rsidRPr="005436C8">
        <w:rPr>
          <w:rFonts w:ascii="Arial" w:hAnsi="Arial" w:cs="Arial"/>
          <w:sz w:val="20"/>
          <w:szCs w:val="20"/>
        </w:rPr>
        <w:t>for suppliers to apply to the ACMA for approval to alternatively label.</w:t>
      </w:r>
    </w:p>
    <w:p w:rsidR="005436C8" w:rsidRPr="005436C8" w:rsidRDefault="005436C8" w:rsidP="005436C8">
      <w:pPr>
        <w:rPr>
          <w:rFonts w:ascii="Arial" w:hAnsi="Arial" w:cs="Arial"/>
          <w:sz w:val="20"/>
          <w:szCs w:val="20"/>
        </w:rPr>
      </w:pPr>
    </w:p>
    <w:p w:rsidR="005436C8" w:rsidRDefault="005436C8" w:rsidP="005436C8">
      <w:pPr>
        <w:rPr>
          <w:rFonts w:ascii="Arial" w:hAnsi="Arial" w:cs="Arial"/>
          <w:sz w:val="20"/>
          <w:szCs w:val="20"/>
        </w:rPr>
      </w:pPr>
      <w:r w:rsidRPr="005436C8">
        <w:rPr>
          <w:rFonts w:ascii="Arial" w:hAnsi="Arial" w:cs="Arial"/>
          <w:sz w:val="20"/>
          <w:szCs w:val="20"/>
        </w:rPr>
        <w:t>Physical impediments that may affect the capacity to apply a label may include that:</w:t>
      </w:r>
    </w:p>
    <w:p w:rsidR="005436C8" w:rsidRDefault="005436C8" w:rsidP="005436C8">
      <w:pPr>
        <w:rPr>
          <w:rFonts w:ascii="Arial" w:hAnsi="Arial" w:cs="Arial"/>
          <w:sz w:val="20"/>
          <w:szCs w:val="20"/>
        </w:rPr>
      </w:pPr>
    </w:p>
    <w:p w:rsidR="005436C8" w:rsidRPr="005436C8"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the device is too small to affix a label; or</w:t>
      </w:r>
    </w:p>
    <w:p w:rsidR="005436C8" w:rsidRPr="005436C8"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the external surface of the device resists any adhesion or imprinting of the label; or</w:t>
      </w:r>
    </w:p>
    <w:p w:rsidR="005436C8" w:rsidRPr="005436C8"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the surface of the device is corrugated; or</w:t>
      </w:r>
    </w:p>
    <w:p w:rsidR="005436C8" w:rsidRPr="005436C8"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 xml:space="preserve">the surface is exposed to the elements </w:t>
      </w:r>
      <w:r w:rsidR="00E64133">
        <w:rPr>
          <w:rFonts w:ascii="Arial" w:hAnsi="Arial" w:cs="Arial"/>
          <w:sz w:val="20"/>
          <w:szCs w:val="20"/>
        </w:rPr>
        <w:t xml:space="preserve">in such a way as to </w:t>
      </w:r>
      <w:r w:rsidRPr="005436C8">
        <w:rPr>
          <w:rFonts w:ascii="Arial" w:hAnsi="Arial" w:cs="Arial"/>
          <w:sz w:val="20"/>
          <w:szCs w:val="20"/>
        </w:rPr>
        <w:t>defeat the adhesi</w:t>
      </w:r>
      <w:r w:rsidR="00E64133">
        <w:rPr>
          <w:rFonts w:ascii="Arial" w:hAnsi="Arial" w:cs="Arial"/>
          <w:sz w:val="20"/>
          <w:szCs w:val="20"/>
        </w:rPr>
        <w:t>ve</w:t>
      </w:r>
      <w:r w:rsidRPr="005436C8">
        <w:rPr>
          <w:rFonts w:ascii="Arial" w:hAnsi="Arial" w:cs="Arial"/>
          <w:sz w:val="20"/>
          <w:szCs w:val="20"/>
        </w:rPr>
        <w:t xml:space="preserve"> or durable properties of the label.</w:t>
      </w:r>
    </w:p>
    <w:p w:rsidR="005436C8" w:rsidRDefault="005436C8" w:rsidP="005436C8">
      <w:pPr>
        <w:rPr>
          <w:rFonts w:ascii="Arial" w:hAnsi="Arial" w:cs="Arial"/>
          <w:sz w:val="20"/>
          <w:szCs w:val="20"/>
        </w:rPr>
      </w:pPr>
    </w:p>
    <w:p w:rsidR="005436C8" w:rsidRPr="005436C8" w:rsidRDefault="005436C8" w:rsidP="005436C8">
      <w:pPr>
        <w:rPr>
          <w:rFonts w:ascii="Arial" w:hAnsi="Arial" w:cs="Arial"/>
          <w:sz w:val="20"/>
          <w:szCs w:val="20"/>
        </w:rPr>
      </w:pPr>
      <w:r w:rsidRPr="005436C8">
        <w:rPr>
          <w:rFonts w:ascii="Arial" w:hAnsi="Arial" w:cs="Arial"/>
          <w:sz w:val="20"/>
          <w:szCs w:val="20"/>
        </w:rPr>
        <w:t>Examples of when it may not be practical to label the device include:</w:t>
      </w:r>
    </w:p>
    <w:p w:rsidR="005436C8" w:rsidRPr="005436C8"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the supplier cannot arrange for the device to be labelled at the point of manufacture and removing the packaging to affix the label affects the supply  of the device; or</w:t>
      </w:r>
    </w:p>
    <w:p w:rsidR="00C33412" w:rsidRDefault="005436C8" w:rsidP="005436C8">
      <w:pPr>
        <w:pStyle w:val="ListParagraph"/>
        <w:numPr>
          <w:ilvl w:val="0"/>
          <w:numId w:val="9"/>
        </w:numPr>
        <w:rPr>
          <w:rFonts w:ascii="Arial" w:hAnsi="Arial" w:cs="Arial"/>
          <w:sz w:val="20"/>
          <w:szCs w:val="20"/>
        </w:rPr>
      </w:pPr>
      <w:r w:rsidRPr="005436C8">
        <w:rPr>
          <w:rFonts w:ascii="Arial" w:hAnsi="Arial" w:cs="Arial"/>
          <w:sz w:val="20"/>
          <w:szCs w:val="20"/>
        </w:rPr>
        <w:t>where there is a technical or engineering difficulty that impedes the labelling of the device.</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19D</w:t>
      </w:r>
      <w:r w:rsidRPr="00D3608C">
        <w:rPr>
          <w:rFonts w:ascii="Arial" w:hAnsi="Arial" w:cs="Arial"/>
          <w:b/>
          <w:sz w:val="20"/>
          <w:szCs w:val="20"/>
        </w:rPr>
        <w:tab/>
        <w:t>Electronic labelling</w:t>
      </w:r>
    </w:p>
    <w:p w:rsidR="00C33412" w:rsidRDefault="005436C8" w:rsidP="00C33412">
      <w:pPr>
        <w:rPr>
          <w:rFonts w:ascii="Arial" w:hAnsi="Arial" w:cs="Arial"/>
          <w:sz w:val="20"/>
          <w:szCs w:val="20"/>
        </w:rPr>
      </w:pPr>
      <w:r w:rsidRPr="005436C8">
        <w:rPr>
          <w:rFonts w:ascii="Arial" w:hAnsi="Arial" w:cs="Arial"/>
          <w:sz w:val="20"/>
          <w:szCs w:val="20"/>
        </w:rPr>
        <w:t>Section 19D expressly allows for the use of electronic labelling. It specifies that documentation accompanying the device must set out the method for displaying the compliance label. The compliance label must be applied to the device in a way that would make it difficult to prevent the display of the label when the method stated in the documentation accompanying the device is used.</w:t>
      </w:r>
    </w:p>
    <w:p w:rsidR="00A941DA" w:rsidRDefault="00A941DA" w:rsidP="00C33412">
      <w:pPr>
        <w:rPr>
          <w:rFonts w:ascii="Arial" w:hAnsi="Arial" w:cs="Arial"/>
          <w:b/>
          <w:sz w:val="20"/>
          <w:szCs w:val="20"/>
        </w:rPr>
      </w:pPr>
    </w:p>
    <w:p w:rsidR="00D3608C" w:rsidRPr="00A941DA" w:rsidRDefault="00A941DA" w:rsidP="00C33412">
      <w:pPr>
        <w:rPr>
          <w:rFonts w:ascii="Arial" w:hAnsi="Arial" w:cs="Arial"/>
          <w:b/>
          <w:sz w:val="22"/>
          <w:szCs w:val="22"/>
        </w:rPr>
      </w:pPr>
      <w:r w:rsidRPr="00A941DA">
        <w:rPr>
          <w:rFonts w:ascii="Arial" w:hAnsi="Arial" w:cs="Arial"/>
          <w:b/>
          <w:sz w:val="22"/>
          <w:szCs w:val="22"/>
        </w:rPr>
        <w:t>Part 4 – Requirements to be met after labels applied</w:t>
      </w:r>
    </w:p>
    <w:p w:rsidR="00A941DA" w:rsidRDefault="00A941DA" w:rsidP="00C33412">
      <w:pPr>
        <w:rPr>
          <w:rFonts w:ascii="Arial" w:hAnsi="Arial" w:cs="Arial"/>
          <w:sz w:val="20"/>
          <w:szCs w:val="20"/>
        </w:rPr>
      </w:pPr>
    </w:p>
    <w:p w:rsidR="00A941DA" w:rsidRPr="00A941DA" w:rsidRDefault="00A941DA" w:rsidP="00C33412">
      <w:pPr>
        <w:rPr>
          <w:rFonts w:ascii="Arial" w:hAnsi="Arial" w:cs="Arial"/>
          <w:b/>
          <w:sz w:val="22"/>
          <w:szCs w:val="22"/>
        </w:rPr>
      </w:pPr>
      <w:r w:rsidRPr="00A941DA">
        <w:rPr>
          <w:rFonts w:ascii="Arial" w:hAnsi="Arial" w:cs="Arial"/>
          <w:b/>
          <w:sz w:val="22"/>
          <w:szCs w:val="22"/>
        </w:rPr>
        <w:t>Division 4.1 – Keeping of records</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20</w:t>
      </w:r>
      <w:r w:rsidRPr="00D3608C">
        <w:rPr>
          <w:rFonts w:ascii="Arial" w:hAnsi="Arial" w:cs="Arial"/>
          <w:b/>
          <w:sz w:val="20"/>
          <w:szCs w:val="20"/>
        </w:rPr>
        <w:tab/>
        <w:t>Compliance records</w:t>
      </w:r>
    </w:p>
    <w:p w:rsidR="00D3608C" w:rsidRDefault="00733E87" w:rsidP="00C33412">
      <w:pPr>
        <w:rPr>
          <w:rFonts w:ascii="Arial" w:hAnsi="Arial" w:cs="Arial"/>
          <w:sz w:val="20"/>
          <w:szCs w:val="20"/>
        </w:rPr>
      </w:pPr>
      <w:r w:rsidRPr="00733E87">
        <w:rPr>
          <w:rFonts w:ascii="Arial" w:hAnsi="Arial" w:cs="Arial"/>
          <w:sz w:val="20"/>
          <w:szCs w:val="20"/>
        </w:rPr>
        <w:t xml:space="preserve">Section 20 defines ‘compliance record’ </w:t>
      </w:r>
      <w:r>
        <w:rPr>
          <w:rFonts w:ascii="Arial" w:hAnsi="Arial" w:cs="Arial"/>
          <w:sz w:val="20"/>
          <w:szCs w:val="20"/>
        </w:rPr>
        <w:t>as being a</w:t>
      </w:r>
      <w:r w:rsidRPr="00733E87">
        <w:rPr>
          <w:rFonts w:ascii="Arial" w:hAnsi="Arial" w:cs="Arial"/>
          <w:sz w:val="20"/>
          <w:szCs w:val="20"/>
        </w:rPr>
        <w:t xml:space="preserve"> record that must be kept under </w:t>
      </w:r>
      <w:r>
        <w:rPr>
          <w:rFonts w:ascii="Arial" w:hAnsi="Arial" w:cs="Arial"/>
          <w:sz w:val="20"/>
          <w:szCs w:val="20"/>
        </w:rPr>
        <w:t>s</w:t>
      </w:r>
      <w:r w:rsidRPr="00733E87">
        <w:rPr>
          <w:rFonts w:ascii="Arial" w:hAnsi="Arial" w:cs="Arial"/>
          <w:sz w:val="20"/>
          <w:szCs w:val="20"/>
        </w:rPr>
        <w:t>ection 21.</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21</w:t>
      </w:r>
      <w:r w:rsidRPr="00D3608C">
        <w:rPr>
          <w:rFonts w:ascii="Arial" w:hAnsi="Arial" w:cs="Arial"/>
          <w:b/>
          <w:sz w:val="20"/>
          <w:szCs w:val="20"/>
        </w:rPr>
        <w:tab/>
        <w:t>Keeping of records—general requirements</w:t>
      </w:r>
    </w:p>
    <w:p w:rsidR="00C33412" w:rsidRDefault="005E252C" w:rsidP="00C33412">
      <w:pPr>
        <w:rPr>
          <w:rFonts w:ascii="Arial" w:hAnsi="Arial" w:cs="Arial"/>
          <w:sz w:val="20"/>
          <w:szCs w:val="20"/>
        </w:rPr>
      </w:pPr>
      <w:r w:rsidRPr="005E252C">
        <w:rPr>
          <w:rFonts w:ascii="Arial" w:hAnsi="Arial" w:cs="Arial"/>
          <w:sz w:val="20"/>
          <w:szCs w:val="20"/>
        </w:rPr>
        <w:t>Section 21 lists the compliance records a supplier must keep for 5 years after the device has cease</w:t>
      </w:r>
      <w:r>
        <w:rPr>
          <w:rFonts w:ascii="Arial" w:hAnsi="Arial" w:cs="Arial"/>
          <w:sz w:val="20"/>
          <w:szCs w:val="20"/>
        </w:rPr>
        <w:t xml:space="preserve">d to be supplied in Australia. </w:t>
      </w:r>
      <w:r w:rsidRPr="005E252C">
        <w:rPr>
          <w:rFonts w:ascii="Arial" w:hAnsi="Arial" w:cs="Arial"/>
          <w:sz w:val="20"/>
          <w:szCs w:val="20"/>
        </w:rPr>
        <w:t>These include the declaration of conformity and the description of the device.  Subsection 21(2) requires an agent who keeps records on behalf of a supplier to also keep a copy of the agency agreement.  Subsection 21(3) provides that a compliance record must be in English, may be a copy of the original record, and may be kept in electronic form</w:t>
      </w:r>
      <w:r w:rsidR="00E64133">
        <w:rPr>
          <w:rFonts w:ascii="Arial" w:hAnsi="Arial" w:cs="Arial"/>
          <w:sz w:val="20"/>
          <w:szCs w:val="20"/>
        </w:rPr>
        <w:t>.</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lastRenderedPageBreak/>
        <w:t>Section 22</w:t>
      </w:r>
      <w:r w:rsidRPr="00D3608C">
        <w:rPr>
          <w:rFonts w:ascii="Arial" w:hAnsi="Arial" w:cs="Arial"/>
          <w:b/>
          <w:sz w:val="20"/>
          <w:szCs w:val="20"/>
        </w:rPr>
        <w:tab/>
        <w:t>Records of testing for category B devices</w:t>
      </w:r>
    </w:p>
    <w:p w:rsidR="00C33412" w:rsidRDefault="00E66DA6" w:rsidP="00C33412">
      <w:pPr>
        <w:rPr>
          <w:rFonts w:ascii="Arial" w:hAnsi="Arial" w:cs="Arial"/>
          <w:sz w:val="20"/>
          <w:szCs w:val="20"/>
        </w:rPr>
      </w:pPr>
      <w:r w:rsidRPr="00E66DA6">
        <w:rPr>
          <w:rFonts w:ascii="Arial" w:hAnsi="Arial" w:cs="Arial"/>
          <w:sz w:val="20"/>
          <w:szCs w:val="20"/>
        </w:rPr>
        <w:t>Section 22 describes what records must be kept relating to the testing of a category B device for compliance with the applicable standard and lists the requirements for variants.</w:t>
      </w:r>
    </w:p>
    <w:p w:rsidR="00A941DA" w:rsidRDefault="00A941DA" w:rsidP="00C33412">
      <w:pPr>
        <w:rPr>
          <w:rFonts w:ascii="Arial" w:hAnsi="Arial" w:cs="Arial"/>
          <w:sz w:val="20"/>
          <w:szCs w:val="20"/>
        </w:rPr>
      </w:pPr>
    </w:p>
    <w:p w:rsidR="00D3608C" w:rsidRPr="00A941DA" w:rsidRDefault="00A941DA" w:rsidP="00C33412">
      <w:pPr>
        <w:rPr>
          <w:rFonts w:ascii="Arial" w:hAnsi="Arial" w:cs="Arial"/>
          <w:b/>
          <w:sz w:val="22"/>
          <w:szCs w:val="22"/>
        </w:rPr>
      </w:pPr>
      <w:r w:rsidRPr="00A941DA">
        <w:rPr>
          <w:rFonts w:ascii="Arial" w:hAnsi="Arial" w:cs="Arial"/>
          <w:b/>
          <w:sz w:val="22"/>
          <w:szCs w:val="22"/>
        </w:rPr>
        <w:t>Division 4.2 – Availability of compliance records for inspection</w:t>
      </w:r>
    </w:p>
    <w:p w:rsidR="00D3608C" w:rsidRDefault="00D3608C" w:rsidP="00C33412">
      <w:pPr>
        <w:rPr>
          <w:rFonts w:ascii="Arial" w:hAnsi="Arial" w:cs="Arial"/>
          <w:sz w:val="20"/>
          <w:szCs w:val="20"/>
        </w:rPr>
      </w:pPr>
    </w:p>
    <w:p w:rsidR="00C33412" w:rsidRPr="00D3608C" w:rsidRDefault="00C33412" w:rsidP="00C33412">
      <w:pPr>
        <w:rPr>
          <w:rFonts w:ascii="Arial" w:hAnsi="Arial" w:cs="Arial"/>
          <w:b/>
          <w:sz w:val="20"/>
          <w:szCs w:val="20"/>
        </w:rPr>
      </w:pPr>
      <w:r w:rsidRPr="00D3608C">
        <w:rPr>
          <w:rFonts w:ascii="Arial" w:hAnsi="Arial" w:cs="Arial"/>
          <w:b/>
          <w:sz w:val="20"/>
          <w:szCs w:val="20"/>
        </w:rPr>
        <w:t>Section 23</w:t>
      </w:r>
      <w:r w:rsidRPr="00D3608C">
        <w:rPr>
          <w:rFonts w:ascii="Arial" w:hAnsi="Arial" w:cs="Arial"/>
          <w:b/>
          <w:sz w:val="20"/>
          <w:szCs w:val="20"/>
        </w:rPr>
        <w:tab/>
        <w:t>Where compliance records are to be available</w:t>
      </w:r>
    </w:p>
    <w:p w:rsidR="00C33412" w:rsidRDefault="00E66DA6" w:rsidP="00C33412">
      <w:pPr>
        <w:rPr>
          <w:rFonts w:ascii="Arial" w:hAnsi="Arial" w:cs="Arial"/>
          <w:sz w:val="20"/>
          <w:szCs w:val="20"/>
        </w:rPr>
      </w:pPr>
      <w:r w:rsidRPr="00E66DA6">
        <w:rPr>
          <w:rFonts w:ascii="Arial" w:hAnsi="Arial" w:cs="Arial"/>
          <w:sz w:val="20"/>
          <w:szCs w:val="20"/>
        </w:rPr>
        <w:t>Section 23 specifies that a supplier of a device must ensure that the compliance records for the device are available at the principal business address in Australia of the supplier.</w:t>
      </w:r>
    </w:p>
    <w:p w:rsidR="00D3608C" w:rsidRDefault="00D3608C" w:rsidP="00C33412">
      <w:pPr>
        <w:rPr>
          <w:rFonts w:ascii="Arial" w:hAnsi="Arial" w:cs="Arial"/>
          <w:sz w:val="20"/>
          <w:szCs w:val="20"/>
        </w:rPr>
      </w:pPr>
    </w:p>
    <w:p w:rsidR="00C33412" w:rsidRPr="00D3608C" w:rsidRDefault="00D3608C" w:rsidP="00C33412">
      <w:pPr>
        <w:rPr>
          <w:rFonts w:ascii="Arial" w:hAnsi="Arial" w:cs="Arial"/>
          <w:b/>
          <w:sz w:val="20"/>
          <w:szCs w:val="20"/>
        </w:rPr>
      </w:pPr>
      <w:r w:rsidRPr="00D3608C">
        <w:rPr>
          <w:rFonts w:ascii="Arial" w:hAnsi="Arial" w:cs="Arial"/>
          <w:b/>
          <w:sz w:val="20"/>
          <w:szCs w:val="20"/>
        </w:rPr>
        <w:t>Section 24</w:t>
      </w:r>
      <w:r w:rsidRPr="00D3608C">
        <w:rPr>
          <w:rFonts w:ascii="Arial" w:hAnsi="Arial" w:cs="Arial"/>
          <w:b/>
          <w:sz w:val="20"/>
          <w:szCs w:val="20"/>
        </w:rPr>
        <w:tab/>
        <w:t>Provision of information to authorised officer</w:t>
      </w:r>
    </w:p>
    <w:p w:rsidR="00D3608C" w:rsidRDefault="00E66DA6" w:rsidP="00E66DA6">
      <w:pPr>
        <w:rPr>
          <w:rFonts w:ascii="Arial" w:hAnsi="Arial" w:cs="Arial"/>
          <w:sz w:val="20"/>
          <w:szCs w:val="20"/>
        </w:rPr>
      </w:pPr>
      <w:r w:rsidRPr="00E66DA6">
        <w:rPr>
          <w:rFonts w:ascii="Arial" w:hAnsi="Arial" w:cs="Arial"/>
          <w:sz w:val="20"/>
          <w:szCs w:val="20"/>
        </w:rPr>
        <w:t>Section 24 provides that, upon a request from an authorised officer, the supplier must give the officer records about the device as specified in the request within the specified time periods.  It also describes the circumstances in which an officer may take and copy records and requires a supplier to give the officer, upon request, a test report from an accredited laboratory showing that the device complies with the applicable standard if the officer believes the records kept by the supplier do not establish the compliance of the device.</w:t>
      </w:r>
      <w:r w:rsidR="00810134">
        <w:rPr>
          <w:rFonts w:ascii="Arial" w:hAnsi="Arial" w:cs="Arial"/>
          <w:sz w:val="20"/>
          <w:szCs w:val="20"/>
        </w:rPr>
        <w:t xml:space="preserve">  Section 187A of the Act makes it an offence not to comply with requirements in the Instrument that are to be met after a label has been applied.</w:t>
      </w:r>
    </w:p>
    <w:p w:rsidR="00D3608C" w:rsidRDefault="00D3608C" w:rsidP="00C33412">
      <w:pPr>
        <w:rPr>
          <w:rFonts w:ascii="Arial" w:hAnsi="Arial" w:cs="Arial"/>
          <w:sz w:val="20"/>
          <w:szCs w:val="20"/>
        </w:rPr>
      </w:pPr>
    </w:p>
    <w:p w:rsidR="00D3608C" w:rsidRPr="00D3608C" w:rsidRDefault="00D3608C" w:rsidP="00C33412">
      <w:pPr>
        <w:rPr>
          <w:rFonts w:ascii="Arial" w:hAnsi="Arial" w:cs="Arial"/>
          <w:b/>
          <w:sz w:val="20"/>
          <w:szCs w:val="20"/>
        </w:rPr>
      </w:pPr>
      <w:r w:rsidRPr="00D3608C">
        <w:rPr>
          <w:rFonts w:ascii="Arial" w:hAnsi="Arial" w:cs="Arial"/>
          <w:b/>
          <w:sz w:val="20"/>
          <w:szCs w:val="20"/>
        </w:rPr>
        <w:t>Section 25</w:t>
      </w:r>
      <w:r w:rsidRPr="00D3608C">
        <w:rPr>
          <w:rFonts w:ascii="Arial" w:hAnsi="Arial" w:cs="Arial"/>
          <w:b/>
          <w:sz w:val="20"/>
          <w:szCs w:val="20"/>
        </w:rPr>
        <w:tab/>
        <w:t>Testing of items by testing body</w:t>
      </w:r>
    </w:p>
    <w:p w:rsidR="00E66DA6" w:rsidRDefault="00E66DA6" w:rsidP="00E66DA6">
      <w:pPr>
        <w:rPr>
          <w:rFonts w:ascii="Arial" w:hAnsi="Arial" w:cs="Arial"/>
          <w:sz w:val="20"/>
          <w:szCs w:val="20"/>
        </w:rPr>
      </w:pPr>
      <w:r w:rsidRPr="00E66DA6">
        <w:rPr>
          <w:rFonts w:ascii="Arial" w:hAnsi="Arial" w:cs="Arial"/>
          <w:sz w:val="20"/>
          <w:szCs w:val="20"/>
        </w:rPr>
        <w:t>Section 25 provides that an authorised officer may request a supplier to supply up to three samples of a device to an accredited laboratory for testing to show whether the device complies with the applicable standard.</w:t>
      </w:r>
    </w:p>
    <w:p w:rsidR="00E66DA6" w:rsidRPr="00E66DA6" w:rsidRDefault="00E66DA6" w:rsidP="00E66DA6">
      <w:pPr>
        <w:rPr>
          <w:rFonts w:ascii="Arial" w:hAnsi="Arial" w:cs="Arial"/>
          <w:sz w:val="20"/>
          <w:szCs w:val="20"/>
        </w:rPr>
      </w:pPr>
    </w:p>
    <w:p w:rsidR="00D3608C" w:rsidRDefault="00E66DA6" w:rsidP="00E66DA6">
      <w:pPr>
        <w:rPr>
          <w:rFonts w:ascii="Arial" w:hAnsi="Arial" w:cs="Arial"/>
          <w:sz w:val="20"/>
          <w:szCs w:val="20"/>
        </w:rPr>
      </w:pPr>
      <w:r w:rsidRPr="00E66DA6">
        <w:rPr>
          <w:rFonts w:ascii="Arial" w:hAnsi="Arial" w:cs="Arial"/>
          <w:sz w:val="20"/>
          <w:szCs w:val="20"/>
        </w:rPr>
        <w:t>Section 25 also prescribes the time period for supplying samples, the provision of evidence that samples have been supplied, and who is responsible for paying for testing.</w:t>
      </w:r>
    </w:p>
    <w:p w:rsidR="00D3608C" w:rsidRDefault="00D3608C" w:rsidP="00C33412">
      <w:pPr>
        <w:rPr>
          <w:rFonts w:ascii="Arial" w:hAnsi="Arial" w:cs="Arial"/>
          <w:sz w:val="20"/>
          <w:szCs w:val="20"/>
        </w:rPr>
      </w:pPr>
    </w:p>
    <w:p w:rsidR="00D3608C" w:rsidRPr="00A941DA" w:rsidRDefault="00D3608C" w:rsidP="00C33412">
      <w:pPr>
        <w:rPr>
          <w:rFonts w:ascii="Arial" w:hAnsi="Arial" w:cs="Arial"/>
          <w:b/>
          <w:sz w:val="20"/>
          <w:szCs w:val="20"/>
        </w:rPr>
      </w:pPr>
      <w:r w:rsidRPr="00A941DA">
        <w:rPr>
          <w:rFonts w:ascii="Arial" w:hAnsi="Arial" w:cs="Arial"/>
          <w:b/>
          <w:sz w:val="20"/>
          <w:szCs w:val="20"/>
        </w:rPr>
        <w:t>Schedule 1</w:t>
      </w:r>
      <w:r w:rsidRPr="00A941DA">
        <w:rPr>
          <w:rFonts w:ascii="Arial" w:hAnsi="Arial" w:cs="Arial"/>
          <w:b/>
          <w:sz w:val="20"/>
          <w:szCs w:val="20"/>
        </w:rPr>
        <w:tab/>
        <w:t>Compliance marks</w:t>
      </w:r>
      <w:r w:rsidRPr="00A941DA">
        <w:rPr>
          <w:rFonts w:ascii="Arial" w:hAnsi="Arial" w:cs="Arial"/>
          <w:b/>
          <w:sz w:val="20"/>
          <w:szCs w:val="20"/>
        </w:rPr>
        <w:tab/>
      </w:r>
    </w:p>
    <w:p w:rsidR="00D3608C" w:rsidRDefault="007A2FC4" w:rsidP="00C33412">
      <w:pPr>
        <w:rPr>
          <w:rFonts w:ascii="Arial" w:hAnsi="Arial" w:cs="Arial"/>
          <w:sz w:val="20"/>
          <w:szCs w:val="20"/>
        </w:rPr>
      </w:pPr>
      <w:r>
        <w:rPr>
          <w:rFonts w:ascii="Arial" w:hAnsi="Arial" w:cs="Arial"/>
          <w:sz w:val="20"/>
          <w:szCs w:val="20"/>
        </w:rPr>
        <w:t>Schedule 1 includes</w:t>
      </w:r>
      <w:r w:rsidRPr="007A2FC4">
        <w:rPr>
          <w:rFonts w:ascii="Arial" w:hAnsi="Arial" w:cs="Arial"/>
          <w:sz w:val="20"/>
          <w:szCs w:val="20"/>
        </w:rPr>
        <w:t xml:space="preserve"> the design of the RCM and C-Tick mark.  Notes </w:t>
      </w:r>
      <w:r>
        <w:rPr>
          <w:rFonts w:ascii="Arial" w:hAnsi="Arial" w:cs="Arial"/>
          <w:sz w:val="20"/>
          <w:szCs w:val="20"/>
        </w:rPr>
        <w:t>are</w:t>
      </w:r>
      <w:r w:rsidRPr="007A2FC4">
        <w:rPr>
          <w:rFonts w:ascii="Arial" w:hAnsi="Arial" w:cs="Arial"/>
          <w:sz w:val="20"/>
          <w:szCs w:val="20"/>
        </w:rPr>
        <w:t xml:space="preserve"> inserted to show that the RCM and C-Tick mark are protected symbols for section 188A of the Act.  </w:t>
      </w:r>
    </w:p>
    <w:p w:rsidR="00D3608C" w:rsidRDefault="00D3608C" w:rsidP="00C33412">
      <w:pPr>
        <w:rPr>
          <w:rFonts w:ascii="Arial" w:hAnsi="Arial" w:cs="Arial"/>
          <w:sz w:val="20"/>
          <w:szCs w:val="20"/>
        </w:rPr>
      </w:pPr>
    </w:p>
    <w:p w:rsidR="00B40BBD" w:rsidRPr="00661B18" w:rsidRDefault="00A45D78" w:rsidP="00B40BBD">
      <w:pPr>
        <w:pStyle w:val="Heading1"/>
        <w:ind w:left="1701" w:right="-1333" w:hanging="1701"/>
        <w:rPr>
          <w:rFonts w:ascii="Arial" w:hAnsi="Arial" w:cs="Arial"/>
          <w:bCs w:val="0"/>
          <w:kern w:val="0"/>
          <w:sz w:val="24"/>
          <w:szCs w:val="24"/>
          <w:lang w:eastAsia="en-AU"/>
        </w:rPr>
      </w:pPr>
      <w:r>
        <w:rPr>
          <w:rFonts w:ascii="Arial" w:hAnsi="Arial" w:cs="Arial"/>
          <w:sz w:val="20"/>
          <w:szCs w:val="20"/>
        </w:rPr>
        <w:br w:type="page"/>
      </w:r>
      <w:r w:rsidR="00B40BBD" w:rsidRPr="00661B18">
        <w:rPr>
          <w:rFonts w:ascii="Arial" w:hAnsi="Arial" w:cs="Arial"/>
          <w:bCs w:val="0"/>
          <w:kern w:val="0"/>
          <w:sz w:val="24"/>
          <w:szCs w:val="24"/>
          <w:lang w:eastAsia="en-AU"/>
        </w:rPr>
        <w:lastRenderedPageBreak/>
        <w:t xml:space="preserve">Attachment </w:t>
      </w:r>
      <w:r w:rsidR="00B40BBD" w:rsidRPr="0042022C">
        <w:rPr>
          <w:rFonts w:ascii="Arial" w:hAnsi="Arial" w:cs="Arial"/>
          <w:bCs w:val="0"/>
          <w:kern w:val="0"/>
          <w:sz w:val="24"/>
          <w:szCs w:val="24"/>
          <w:lang w:eastAsia="en-AU"/>
        </w:rPr>
        <w:t>B</w:t>
      </w:r>
    </w:p>
    <w:p w:rsidR="00A45D78" w:rsidRDefault="000D69A4" w:rsidP="00A45D78">
      <w:pPr>
        <w:ind w:left="720" w:hanging="720"/>
      </w:pPr>
      <w:r>
        <w:rPr>
          <w:rFonts w:ascii="Cambria" w:hAnsi="Cambria"/>
          <w:noProof/>
          <w:sz w:val="32"/>
          <w:szCs w:val="32"/>
        </w:rPr>
        <mc:AlternateContent>
          <mc:Choice Requires="wps">
            <w:drawing>
              <wp:anchor distT="0" distB="0" distL="114300" distR="114300" simplePos="0" relativeHeight="251660288" behindDoc="0" locked="0" layoutInCell="1" allowOverlap="1" wp14:anchorId="1DAD0596">
                <wp:simplePos x="0" y="0"/>
                <wp:positionH relativeFrom="column">
                  <wp:posOffset>10795</wp:posOffset>
                </wp:positionH>
                <wp:positionV relativeFrom="paragraph">
                  <wp:posOffset>179705</wp:posOffset>
                </wp:positionV>
                <wp:extent cx="5567680" cy="7003415"/>
                <wp:effectExtent l="39370" t="46355" r="41275" b="463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7003415"/>
                        </a:xfrm>
                        <a:prstGeom prst="rect">
                          <a:avLst/>
                        </a:prstGeom>
                        <a:solidFill>
                          <a:srgbClr val="FFFFFF"/>
                        </a:solidFill>
                        <a:ln w="76200" cmpd="tri">
                          <a:solidFill>
                            <a:srgbClr val="000000"/>
                          </a:solidFill>
                          <a:miter lim="800000"/>
                          <a:headEnd/>
                          <a:tailEnd/>
                        </a:ln>
                      </wps:spPr>
                      <wps:txbx>
                        <w:txbxContent>
                          <w:p w:rsidR="002C247E" w:rsidRPr="00E4135E" w:rsidRDefault="002C247E" w:rsidP="00A45D78">
                            <w:pPr>
                              <w:spacing w:before="360" w:after="120"/>
                              <w:jc w:val="center"/>
                              <w:rPr>
                                <w:b/>
                                <w:sz w:val="28"/>
                                <w:szCs w:val="28"/>
                              </w:rPr>
                            </w:pPr>
                            <w:r w:rsidRPr="00E4135E">
                              <w:rPr>
                                <w:b/>
                                <w:sz w:val="28"/>
                                <w:szCs w:val="28"/>
                              </w:rPr>
                              <w:t>Statement of Compatibility with Human Rights</w:t>
                            </w:r>
                          </w:p>
                          <w:p w:rsidR="002C247E" w:rsidRPr="00E4135E" w:rsidRDefault="002C247E" w:rsidP="00A45D78">
                            <w:pPr>
                              <w:spacing w:before="120" w:after="120"/>
                              <w:jc w:val="center"/>
                            </w:pPr>
                            <w:r w:rsidRPr="00E4135E">
                              <w:rPr>
                                <w:i/>
                              </w:rPr>
                              <w:t>Prepared in accordance with Part 3 of the Human Rights (Parliamentary Scrutiny) Act 2011</w:t>
                            </w:r>
                          </w:p>
                          <w:p w:rsidR="002C247E" w:rsidRPr="00E4135E" w:rsidRDefault="002C247E" w:rsidP="00A45D78">
                            <w:pPr>
                              <w:spacing w:before="120" w:after="120"/>
                              <w:jc w:val="center"/>
                            </w:pPr>
                          </w:p>
                          <w:p w:rsidR="002C247E" w:rsidRPr="00E4135E" w:rsidRDefault="002C247E" w:rsidP="00A45D78">
                            <w:pPr>
                              <w:spacing w:before="120" w:after="120"/>
                              <w:jc w:val="center"/>
                            </w:pPr>
                            <w:r w:rsidRPr="00513D8E">
                              <w:rPr>
                                <w:b/>
                                <w:i/>
                              </w:rPr>
                              <w:t>Radiocommunications (Compliance Labelling – Electromagnetic Radiation) Notice 2014</w:t>
                            </w:r>
                          </w:p>
                          <w:p w:rsidR="002C247E" w:rsidRDefault="002C247E" w:rsidP="00A45D78">
                            <w:pPr>
                              <w:spacing w:before="120" w:after="120"/>
                              <w:jc w:val="center"/>
                            </w:pPr>
                          </w:p>
                          <w:p w:rsidR="002C247E" w:rsidRPr="00E4135E" w:rsidRDefault="002C247E" w:rsidP="00A45D78">
                            <w:pPr>
                              <w:spacing w:before="120" w:after="12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2C247E" w:rsidRPr="00E4135E" w:rsidRDefault="002C247E" w:rsidP="00A45D78">
                            <w:pPr>
                              <w:spacing w:before="120" w:after="120"/>
                              <w:jc w:val="center"/>
                            </w:pPr>
                          </w:p>
                          <w:p w:rsidR="002C247E" w:rsidRPr="00E4135E" w:rsidRDefault="002C247E" w:rsidP="00A45D78">
                            <w:pPr>
                              <w:spacing w:before="120" w:after="120"/>
                              <w:jc w:val="center"/>
                            </w:pPr>
                          </w:p>
                          <w:p w:rsidR="002C247E" w:rsidRPr="00E4135E" w:rsidRDefault="002C247E" w:rsidP="00A45D78">
                            <w:pPr>
                              <w:spacing w:before="120" w:after="120"/>
                              <w:jc w:val="both"/>
                              <w:rPr>
                                <w:b/>
                              </w:rPr>
                            </w:pPr>
                            <w:r w:rsidRPr="00E4135E">
                              <w:rPr>
                                <w:b/>
                              </w:rPr>
                              <w:t>Overview of the Legislative Instrument</w:t>
                            </w:r>
                          </w:p>
                          <w:p w:rsidR="002C247E" w:rsidRPr="00D84C56" w:rsidRDefault="002C247E" w:rsidP="00A45D78">
                            <w:pPr>
                              <w:spacing w:before="120" w:after="120"/>
                            </w:pPr>
                            <w:r>
                              <w:t>The</w:t>
                            </w:r>
                            <w:r w:rsidRPr="00513D8E">
                              <w:t xml:space="preserve"> </w:t>
                            </w:r>
                            <w:r w:rsidRPr="00513D8E">
                              <w:rPr>
                                <w:i/>
                              </w:rPr>
                              <w:t xml:space="preserve">Radiocommunications (Compliance Labelling – Electromagnetic Radiation) Notice 2014 </w:t>
                            </w:r>
                            <w:r>
                              <w:t xml:space="preserve">replaces the </w:t>
                            </w:r>
                            <w:r w:rsidRPr="00513D8E">
                              <w:rPr>
                                <w:i/>
                              </w:rPr>
                              <w:t>Radiocommunications (Compliance Labelling – Electromagnetic Radiation) Notice 20</w:t>
                            </w:r>
                            <w:r>
                              <w:rPr>
                                <w:i/>
                              </w:rPr>
                              <w:t xml:space="preserve">03 </w:t>
                            </w:r>
                            <w:r w:rsidRPr="009927D6">
                              <w:t>made under subsection 182(1) of the</w:t>
                            </w:r>
                            <w:r w:rsidRPr="00FC0876">
                              <w:rPr>
                                <w:i/>
                              </w:rPr>
                              <w:t xml:space="preserve"> Radiocommunications Act 1992</w:t>
                            </w:r>
                            <w:r w:rsidR="00D84C56">
                              <w:t xml:space="preserve">.  The Notice requires manufacturers and importers of particular radiocommunications devices to comply with particular requirements </w:t>
                            </w:r>
                            <w:r w:rsidR="00E64133">
                              <w:t xml:space="preserve">relating to compliance labelling both </w:t>
                            </w:r>
                            <w:r w:rsidR="00D84C56">
                              <w:t>before and after supplying those devices.</w:t>
                            </w:r>
                          </w:p>
                          <w:p w:rsidR="002C247E" w:rsidRPr="00E4135E" w:rsidRDefault="002C247E" w:rsidP="00A45D78">
                            <w:pPr>
                              <w:spacing w:before="120" w:after="120"/>
                            </w:pPr>
                          </w:p>
                          <w:p w:rsidR="002C247E" w:rsidRPr="00E4135E" w:rsidRDefault="002C247E" w:rsidP="00A45D78">
                            <w:pPr>
                              <w:spacing w:before="120" w:after="120"/>
                              <w:rPr>
                                <w:b/>
                              </w:rPr>
                            </w:pPr>
                            <w:r w:rsidRPr="00E4135E">
                              <w:rPr>
                                <w:b/>
                              </w:rPr>
                              <w:t>Human rights implications</w:t>
                            </w:r>
                          </w:p>
                          <w:p w:rsidR="002C247E" w:rsidRPr="00E4135E" w:rsidRDefault="002C247E" w:rsidP="00A45D78">
                            <w:pPr>
                              <w:spacing w:before="120" w:after="120"/>
                            </w:pPr>
                            <w:r>
                              <w:t xml:space="preserve">The </w:t>
                            </w:r>
                            <w:r w:rsidRPr="009927D6">
                              <w:t>Instrument</w:t>
                            </w:r>
                            <w:r w:rsidRPr="00E4135E">
                              <w:t xml:space="preserve"> does not engage any of the applicable rights or freedoms.</w:t>
                            </w:r>
                          </w:p>
                          <w:p w:rsidR="002C247E" w:rsidRPr="00E4135E" w:rsidRDefault="002C247E" w:rsidP="00A45D78">
                            <w:pPr>
                              <w:spacing w:before="120" w:after="120"/>
                            </w:pPr>
                          </w:p>
                          <w:p w:rsidR="002C247E" w:rsidRPr="00E4135E" w:rsidRDefault="002C247E" w:rsidP="00A45D78">
                            <w:pPr>
                              <w:spacing w:before="120" w:after="120"/>
                              <w:rPr>
                                <w:b/>
                              </w:rPr>
                            </w:pPr>
                            <w:r w:rsidRPr="00E4135E">
                              <w:rPr>
                                <w:b/>
                              </w:rPr>
                              <w:t>Conclusion</w:t>
                            </w:r>
                          </w:p>
                          <w:p w:rsidR="002C247E" w:rsidRPr="00E4135E" w:rsidRDefault="002C247E" w:rsidP="00A45D78">
                            <w:pPr>
                              <w:spacing w:before="120" w:after="120"/>
                            </w:pPr>
                            <w:r>
                              <w:t xml:space="preserve">The </w:t>
                            </w:r>
                            <w:r w:rsidRPr="009927D6">
                              <w:t>Instrument</w:t>
                            </w:r>
                            <w:r w:rsidRPr="00E4135E">
                              <w:t xml:space="preserve"> is compatible with human rights as it does not raise any human rights issues.</w:t>
                            </w:r>
                          </w:p>
                          <w:p w:rsidR="002C247E" w:rsidRPr="00E4135E" w:rsidRDefault="002C247E" w:rsidP="00A45D78">
                            <w:pPr>
                              <w:spacing w:before="120" w:after="120"/>
                              <w:jc w:val="center"/>
                            </w:pPr>
                          </w:p>
                          <w:p w:rsidR="002C247E" w:rsidRPr="00E4135E" w:rsidRDefault="002C247E" w:rsidP="00A45D78">
                            <w:pPr>
                              <w:spacing w:before="120" w:after="120"/>
                              <w:jc w:val="center"/>
                            </w:pPr>
                          </w:p>
                          <w:p w:rsidR="002C247E" w:rsidRPr="00E4135E" w:rsidRDefault="002C247E" w:rsidP="0076039D">
                            <w:pPr>
                              <w:spacing w:before="120" w:after="120"/>
                              <w:jc w:val="center"/>
                            </w:pPr>
                            <w:r>
                              <w:rPr>
                                <w:b/>
                              </w:rPr>
                              <w:t>Australian Communications and Media Authority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0596" id="Rectangle 2" o:spid="_x0000_s1026" style="position:absolute;left:0;text-align:left;margin-left:.85pt;margin-top:14.15pt;width:438.4pt;height:5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" strokeweight="6pt">
                <v:stroke linestyle="thickBetweenThin"/>
                <v:textbox inset="5mm,,5mm">
                  <w:txbxContent>
                    <w:p w:rsidR="002C247E" w:rsidRPr="00E4135E" w:rsidRDefault="002C247E" w:rsidP="00A45D78">
                      <w:pPr>
                        <w:spacing w:before="360" w:after="120"/>
                        <w:jc w:val="center"/>
                        <w:rPr>
                          <w:b/>
                          <w:sz w:val="28"/>
                          <w:szCs w:val="28"/>
                        </w:rPr>
                      </w:pPr>
                      <w:r w:rsidRPr="00E4135E">
                        <w:rPr>
                          <w:b/>
                          <w:sz w:val="28"/>
                          <w:szCs w:val="28"/>
                        </w:rPr>
                        <w:t>Statement of Compatibility with Human Rights</w:t>
                      </w:r>
                    </w:p>
                    <w:p w:rsidR="002C247E" w:rsidRPr="00E4135E" w:rsidRDefault="002C247E" w:rsidP="00A45D78">
                      <w:pPr>
                        <w:spacing w:before="120" w:after="120"/>
                        <w:jc w:val="center"/>
                      </w:pPr>
                      <w:r w:rsidRPr="00E4135E">
                        <w:rPr>
                          <w:i/>
                        </w:rPr>
                        <w:t>Prepared in accordance with Part 3 of the Human Rights (Parliamentary Scrutiny) Act 2011</w:t>
                      </w:r>
                    </w:p>
                    <w:p w:rsidR="002C247E" w:rsidRPr="00E4135E" w:rsidRDefault="002C247E" w:rsidP="00A45D78">
                      <w:pPr>
                        <w:spacing w:before="120" w:after="120"/>
                        <w:jc w:val="center"/>
                      </w:pPr>
                    </w:p>
                    <w:p w:rsidR="002C247E" w:rsidRPr="00E4135E" w:rsidRDefault="002C247E" w:rsidP="00A45D78">
                      <w:pPr>
                        <w:spacing w:before="120" w:after="120"/>
                        <w:jc w:val="center"/>
                      </w:pPr>
                      <w:proofErr w:type="spellStart"/>
                      <w:r w:rsidRPr="00513D8E">
                        <w:rPr>
                          <w:b/>
                          <w:i/>
                        </w:rPr>
                        <w:t>Radiocommunications</w:t>
                      </w:r>
                      <w:proofErr w:type="spellEnd"/>
                      <w:r w:rsidRPr="00513D8E">
                        <w:rPr>
                          <w:b/>
                          <w:i/>
                        </w:rPr>
                        <w:t xml:space="preserve"> (Compliance Labelling – Electromagnetic Radiation) Notice 2014</w:t>
                      </w:r>
                    </w:p>
                    <w:p w:rsidR="002C247E" w:rsidRDefault="002C247E" w:rsidP="00A45D78">
                      <w:pPr>
                        <w:spacing w:before="120" w:after="120"/>
                        <w:jc w:val="center"/>
                      </w:pPr>
                    </w:p>
                    <w:p w:rsidR="002C247E" w:rsidRPr="00E4135E" w:rsidRDefault="002C247E" w:rsidP="00A45D78">
                      <w:pPr>
                        <w:spacing w:before="120" w:after="12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2C247E" w:rsidRPr="00E4135E" w:rsidRDefault="002C247E" w:rsidP="00A45D78">
                      <w:pPr>
                        <w:spacing w:before="120" w:after="120"/>
                        <w:jc w:val="center"/>
                      </w:pPr>
                    </w:p>
                    <w:p w:rsidR="002C247E" w:rsidRPr="00E4135E" w:rsidRDefault="002C247E" w:rsidP="00A45D78">
                      <w:pPr>
                        <w:spacing w:before="120" w:after="120"/>
                        <w:jc w:val="center"/>
                      </w:pPr>
                    </w:p>
                    <w:p w:rsidR="002C247E" w:rsidRPr="00E4135E" w:rsidRDefault="002C247E" w:rsidP="00A45D78">
                      <w:pPr>
                        <w:spacing w:before="120" w:after="120"/>
                        <w:jc w:val="both"/>
                        <w:rPr>
                          <w:b/>
                        </w:rPr>
                      </w:pPr>
                      <w:r w:rsidRPr="00E4135E">
                        <w:rPr>
                          <w:b/>
                        </w:rPr>
                        <w:t>Overview of the Legislative Instrument</w:t>
                      </w:r>
                    </w:p>
                    <w:p w:rsidR="002C247E" w:rsidRPr="00D84C56" w:rsidRDefault="002C247E" w:rsidP="00A45D78">
                      <w:pPr>
                        <w:spacing w:before="120" w:after="120"/>
                      </w:pPr>
                      <w:r>
                        <w:t>The</w:t>
                      </w:r>
                      <w:r w:rsidRPr="00513D8E">
                        <w:t xml:space="preserve"> </w:t>
                      </w:r>
                      <w:proofErr w:type="spellStart"/>
                      <w:r w:rsidRPr="00513D8E">
                        <w:rPr>
                          <w:i/>
                        </w:rPr>
                        <w:t>Radiocommunications</w:t>
                      </w:r>
                      <w:proofErr w:type="spellEnd"/>
                      <w:r w:rsidRPr="00513D8E">
                        <w:rPr>
                          <w:i/>
                        </w:rPr>
                        <w:t xml:space="preserve"> (Compliance Labelling – Electromagnetic Radiation) Notice 2014 </w:t>
                      </w:r>
                      <w:r>
                        <w:t xml:space="preserve">replaces the </w:t>
                      </w:r>
                      <w:proofErr w:type="spellStart"/>
                      <w:r w:rsidRPr="00513D8E">
                        <w:rPr>
                          <w:i/>
                        </w:rPr>
                        <w:t>Radiocommunications</w:t>
                      </w:r>
                      <w:proofErr w:type="spellEnd"/>
                      <w:r w:rsidRPr="00513D8E">
                        <w:rPr>
                          <w:i/>
                        </w:rPr>
                        <w:t xml:space="preserve"> (Compliance Labelling – Electromagnetic Radiation) Notice 20</w:t>
                      </w:r>
                      <w:r>
                        <w:rPr>
                          <w:i/>
                        </w:rPr>
                        <w:t xml:space="preserve">03 </w:t>
                      </w:r>
                      <w:r w:rsidRPr="009927D6">
                        <w:t>made under subsection 182(1) of the</w:t>
                      </w:r>
                      <w:r w:rsidRPr="00FC0876">
                        <w:rPr>
                          <w:i/>
                        </w:rPr>
                        <w:t xml:space="preserve"> </w:t>
                      </w:r>
                      <w:proofErr w:type="spellStart"/>
                      <w:r w:rsidRPr="00FC0876">
                        <w:rPr>
                          <w:i/>
                        </w:rPr>
                        <w:t>Radiocommunications</w:t>
                      </w:r>
                      <w:proofErr w:type="spellEnd"/>
                      <w:r w:rsidRPr="00FC0876">
                        <w:rPr>
                          <w:i/>
                        </w:rPr>
                        <w:t xml:space="preserve"> Act 1992</w:t>
                      </w:r>
                      <w:r w:rsidR="00D84C56">
                        <w:t xml:space="preserve">.  The Notice requires manufacturers and importers of particular </w:t>
                      </w:r>
                      <w:proofErr w:type="spellStart"/>
                      <w:r w:rsidR="00D84C56">
                        <w:t>radiocommunications</w:t>
                      </w:r>
                      <w:proofErr w:type="spellEnd"/>
                      <w:r w:rsidR="00D84C56">
                        <w:t xml:space="preserve"> devices to comply with particular requirements </w:t>
                      </w:r>
                      <w:r w:rsidR="00E64133">
                        <w:t xml:space="preserve">relating to compliance labelling both </w:t>
                      </w:r>
                      <w:r w:rsidR="00D84C56">
                        <w:t>before and after</w:t>
                      </w:r>
                      <w:bookmarkStart w:id="5" w:name="_GoBack"/>
                      <w:bookmarkEnd w:id="5"/>
                      <w:r w:rsidR="00D84C56">
                        <w:t xml:space="preserve"> supplying those devices.</w:t>
                      </w:r>
                    </w:p>
                    <w:p w:rsidR="002C247E" w:rsidRPr="00E4135E" w:rsidRDefault="002C247E" w:rsidP="00A45D78">
                      <w:pPr>
                        <w:spacing w:before="120" w:after="120"/>
                      </w:pPr>
                    </w:p>
                    <w:p w:rsidR="002C247E" w:rsidRPr="00E4135E" w:rsidRDefault="002C247E" w:rsidP="00A45D78">
                      <w:pPr>
                        <w:spacing w:before="120" w:after="120"/>
                        <w:rPr>
                          <w:b/>
                        </w:rPr>
                      </w:pPr>
                      <w:r w:rsidRPr="00E4135E">
                        <w:rPr>
                          <w:b/>
                        </w:rPr>
                        <w:t>Human rights implications</w:t>
                      </w:r>
                    </w:p>
                    <w:p w:rsidR="002C247E" w:rsidRPr="00E4135E" w:rsidRDefault="002C247E" w:rsidP="00A45D78">
                      <w:pPr>
                        <w:spacing w:before="120" w:after="120"/>
                      </w:pPr>
                      <w:r>
                        <w:t xml:space="preserve">The </w:t>
                      </w:r>
                      <w:r w:rsidRPr="009927D6">
                        <w:t>Instrument</w:t>
                      </w:r>
                      <w:r w:rsidRPr="00E4135E">
                        <w:t xml:space="preserve"> does not engage any of the applicable rights or freedoms.</w:t>
                      </w:r>
                    </w:p>
                    <w:p w:rsidR="002C247E" w:rsidRPr="00E4135E" w:rsidRDefault="002C247E" w:rsidP="00A45D78">
                      <w:pPr>
                        <w:spacing w:before="120" w:after="120"/>
                      </w:pPr>
                    </w:p>
                    <w:p w:rsidR="002C247E" w:rsidRPr="00E4135E" w:rsidRDefault="002C247E" w:rsidP="00A45D78">
                      <w:pPr>
                        <w:spacing w:before="120" w:after="120"/>
                        <w:rPr>
                          <w:b/>
                        </w:rPr>
                      </w:pPr>
                      <w:r w:rsidRPr="00E4135E">
                        <w:rPr>
                          <w:b/>
                        </w:rPr>
                        <w:t>Conclusion</w:t>
                      </w:r>
                    </w:p>
                    <w:p w:rsidR="002C247E" w:rsidRPr="00E4135E" w:rsidRDefault="002C247E" w:rsidP="00A45D78">
                      <w:pPr>
                        <w:spacing w:before="120" w:after="120"/>
                      </w:pPr>
                      <w:r>
                        <w:t xml:space="preserve">The </w:t>
                      </w:r>
                      <w:r w:rsidRPr="009927D6">
                        <w:t>Instrument</w:t>
                      </w:r>
                      <w:r w:rsidRPr="00E4135E">
                        <w:t xml:space="preserve"> is compatible with human rights as it does not raise any human rights issues.</w:t>
                      </w:r>
                    </w:p>
                    <w:p w:rsidR="002C247E" w:rsidRPr="00E4135E" w:rsidRDefault="002C247E" w:rsidP="00A45D78">
                      <w:pPr>
                        <w:spacing w:before="120" w:after="120"/>
                        <w:jc w:val="center"/>
                      </w:pPr>
                    </w:p>
                    <w:p w:rsidR="002C247E" w:rsidRPr="00E4135E" w:rsidRDefault="002C247E" w:rsidP="00A45D78">
                      <w:pPr>
                        <w:spacing w:before="120" w:after="120"/>
                        <w:jc w:val="center"/>
                      </w:pPr>
                    </w:p>
                    <w:p w:rsidR="002C247E" w:rsidRPr="00E4135E" w:rsidRDefault="002C247E" w:rsidP="0076039D">
                      <w:pPr>
                        <w:spacing w:before="120" w:after="120"/>
                        <w:jc w:val="center"/>
                      </w:pPr>
                      <w:r>
                        <w:rPr>
                          <w:b/>
                        </w:rPr>
                        <w:t>Australian Communications and Media Authority</w:t>
                      </w:r>
                    </w:p>
                  </w:txbxContent>
                </v:textbox>
              </v:rect>
            </w:pict>
          </mc:Fallback>
        </mc:AlternateContent>
      </w: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Pr="00E372FA" w:rsidRDefault="00A45D78" w:rsidP="00993194">
      <w:pPr>
        <w:spacing w:before="80" w:after="120" w:line="280" w:lineRule="atLeast"/>
        <w:rPr>
          <w:rFonts w:ascii="Arial" w:hAnsi="Arial" w:cs="Arial"/>
          <w:sz w:val="20"/>
          <w:szCs w:val="20"/>
        </w:rPr>
      </w:pPr>
    </w:p>
    <w:sectPr w:rsidR="00A45D78" w:rsidRPr="00E372FA" w:rsidSect="004A73DD">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DB" w:rsidRDefault="00224ADB" w:rsidP="009E4497">
      <w:r>
        <w:separator/>
      </w:r>
    </w:p>
  </w:endnote>
  <w:endnote w:type="continuationSeparator" w:id="0">
    <w:p w:rsidR="00224ADB" w:rsidRDefault="00224ADB" w:rsidP="009E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7E" w:rsidRDefault="00980018">
    <w:pPr>
      <w:pStyle w:val="Footer"/>
      <w:jc w:val="right"/>
    </w:pPr>
    <w:r>
      <w:fldChar w:fldCharType="begin"/>
    </w:r>
    <w:r w:rsidR="009B73D6">
      <w:instrText xml:space="preserve"> PAGE   \* MERGEFORMAT </w:instrText>
    </w:r>
    <w:r>
      <w:fldChar w:fldCharType="separate"/>
    </w:r>
    <w:r w:rsidR="003D3835">
      <w:rPr>
        <w:noProof/>
      </w:rPr>
      <w:t>3</w:t>
    </w:r>
    <w:r>
      <w:rPr>
        <w:noProof/>
      </w:rPr>
      <w:fldChar w:fldCharType="end"/>
    </w:r>
  </w:p>
  <w:p w:rsidR="002C247E" w:rsidRDefault="002C2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DB" w:rsidRDefault="00224ADB" w:rsidP="009E4497">
      <w:r>
        <w:separator/>
      </w:r>
    </w:p>
  </w:footnote>
  <w:footnote w:type="continuationSeparator" w:id="0">
    <w:p w:rsidR="00224ADB" w:rsidRDefault="00224ADB" w:rsidP="009E4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648B"/>
    <w:multiLevelType w:val="hybridMultilevel"/>
    <w:tmpl w:val="EF76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226751"/>
    <w:multiLevelType w:val="hybridMultilevel"/>
    <w:tmpl w:val="91F0361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A2561D"/>
    <w:multiLevelType w:val="hybridMultilevel"/>
    <w:tmpl w:val="A5649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2"/>
  </w:num>
  <w:num w:numId="6">
    <w:abstractNumId w:val="6"/>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FF"/>
    <w:rsid w:val="0000050F"/>
    <w:rsid w:val="000065D7"/>
    <w:rsid w:val="0001357B"/>
    <w:rsid w:val="00013B19"/>
    <w:rsid w:val="00014FC8"/>
    <w:rsid w:val="000174D0"/>
    <w:rsid w:val="000252DB"/>
    <w:rsid w:val="00025F7B"/>
    <w:rsid w:val="00032F11"/>
    <w:rsid w:val="0003400B"/>
    <w:rsid w:val="000513B9"/>
    <w:rsid w:val="000515C5"/>
    <w:rsid w:val="00061D3E"/>
    <w:rsid w:val="0006281C"/>
    <w:rsid w:val="00073EA7"/>
    <w:rsid w:val="00080493"/>
    <w:rsid w:val="000843E0"/>
    <w:rsid w:val="00091887"/>
    <w:rsid w:val="00092C4C"/>
    <w:rsid w:val="00093662"/>
    <w:rsid w:val="00095524"/>
    <w:rsid w:val="00097C68"/>
    <w:rsid w:val="000A0B9F"/>
    <w:rsid w:val="000A0E46"/>
    <w:rsid w:val="000A19BA"/>
    <w:rsid w:val="000A2C68"/>
    <w:rsid w:val="000A7A43"/>
    <w:rsid w:val="000C5ABC"/>
    <w:rsid w:val="000C722E"/>
    <w:rsid w:val="000D08AE"/>
    <w:rsid w:val="000D3932"/>
    <w:rsid w:val="000D636F"/>
    <w:rsid w:val="000D69A4"/>
    <w:rsid w:val="000E43B8"/>
    <w:rsid w:val="000F4255"/>
    <w:rsid w:val="000F5F7B"/>
    <w:rsid w:val="00102911"/>
    <w:rsid w:val="00103138"/>
    <w:rsid w:val="00103B2A"/>
    <w:rsid w:val="00106E24"/>
    <w:rsid w:val="00110D52"/>
    <w:rsid w:val="00117606"/>
    <w:rsid w:val="00120CE6"/>
    <w:rsid w:val="00122D99"/>
    <w:rsid w:val="00131D4A"/>
    <w:rsid w:val="0013489D"/>
    <w:rsid w:val="00135927"/>
    <w:rsid w:val="00136F79"/>
    <w:rsid w:val="0013730A"/>
    <w:rsid w:val="001408C3"/>
    <w:rsid w:val="001451F6"/>
    <w:rsid w:val="001452BA"/>
    <w:rsid w:val="00145C41"/>
    <w:rsid w:val="00151C30"/>
    <w:rsid w:val="00154CEA"/>
    <w:rsid w:val="001645B0"/>
    <w:rsid w:val="0016526B"/>
    <w:rsid w:val="00170377"/>
    <w:rsid w:val="00170D39"/>
    <w:rsid w:val="00171AE6"/>
    <w:rsid w:val="001816A8"/>
    <w:rsid w:val="00184D60"/>
    <w:rsid w:val="00193CE2"/>
    <w:rsid w:val="001A018D"/>
    <w:rsid w:val="001A6743"/>
    <w:rsid w:val="001A6AC1"/>
    <w:rsid w:val="001C0D7D"/>
    <w:rsid w:val="001C210D"/>
    <w:rsid w:val="001D7008"/>
    <w:rsid w:val="001E7ECE"/>
    <w:rsid w:val="001F079C"/>
    <w:rsid w:val="001F4899"/>
    <w:rsid w:val="00201ED4"/>
    <w:rsid w:val="00204306"/>
    <w:rsid w:val="002045DA"/>
    <w:rsid w:val="00205521"/>
    <w:rsid w:val="00211480"/>
    <w:rsid w:val="002151F1"/>
    <w:rsid w:val="00217128"/>
    <w:rsid w:val="00224ADB"/>
    <w:rsid w:val="002371D9"/>
    <w:rsid w:val="002446B8"/>
    <w:rsid w:val="00253866"/>
    <w:rsid w:val="00262228"/>
    <w:rsid w:val="00262F58"/>
    <w:rsid w:val="002641E3"/>
    <w:rsid w:val="00275275"/>
    <w:rsid w:val="002773CC"/>
    <w:rsid w:val="00286E48"/>
    <w:rsid w:val="0029344A"/>
    <w:rsid w:val="002A26CC"/>
    <w:rsid w:val="002A39BD"/>
    <w:rsid w:val="002A5EBD"/>
    <w:rsid w:val="002A6597"/>
    <w:rsid w:val="002B5F65"/>
    <w:rsid w:val="002C247E"/>
    <w:rsid w:val="002C2F74"/>
    <w:rsid w:val="002C3EA7"/>
    <w:rsid w:val="002C48F2"/>
    <w:rsid w:val="002C69E8"/>
    <w:rsid w:val="002C72B7"/>
    <w:rsid w:val="002C74D1"/>
    <w:rsid w:val="002D0EE5"/>
    <w:rsid w:val="002D6C1C"/>
    <w:rsid w:val="002D6DED"/>
    <w:rsid w:val="002E0BDF"/>
    <w:rsid w:val="002F1329"/>
    <w:rsid w:val="002F190B"/>
    <w:rsid w:val="0030124D"/>
    <w:rsid w:val="003145AE"/>
    <w:rsid w:val="003146F9"/>
    <w:rsid w:val="00315A5D"/>
    <w:rsid w:val="003206D6"/>
    <w:rsid w:val="00324423"/>
    <w:rsid w:val="0033645F"/>
    <w:rsid w:val="003414FA"/>
    <w:rsid w:val="003436FF"/>
    <w:rsid w:val="00344C1B"/>
    <w:rsid w:val="0034523F"/>
    <w:rsid w:val="003571C5"/>
    <w:rsid w:val="00360FCB"/>
    <w:rsid w:val="00364D35"/>
    <w:rsid w:val="0036783C"/>
    <w:rsid w:val="003732EE"/>
    <w:rsid w:val="00377035"/>
    <w:rsid w:val="003806A5"/>
    <w:rsid w:val="0038530B"/>
    <w:rsid w:val="003A13EB"/>
    <w:rsid w:val="003A358C"/>
    <w:rsid w:val="003B126B"/>
    <w:rsid w:val="003C411F"/>
    <w:rsid w:val="003C6835"/>
    <w:rsid w:val="003C77BE"/>
    <w:rsid w:val="003D00A4"/>
    <w:rsid w:val="003D0AAC"/>
    <w:rsid w:val="003D3835"/>
    <w:rsid w:val="003D54FD"/>
    <w:rsid w:val="003D7B28"/>
    <w:rsid w:val="003E6531"/>
    <w:rsid w:val="003F3BBA"/>
    <w:rsid w:val="00402512"/>
    <w:rsid w:val="004025BD"/>
    <w:rsid w:val="0040535F"/>
    <w:rsid w:val="00407145"/>
    <w:rsid w:val="0041373F"/>
    <w:rsid w:val="00416744"/>
    <w:rsid w:val="0042022C"/>
    <w:rsid w:val="00436874"/>
    <w:rsid w:val="00436D09"/>
    <w:rsid w:val="004379AC"/>
    <w:rsid w:val="00440E62"/>
    <w:rsid w:val="00442B45"/>
    <w:rsid w:val="00446991"/>
    <w:rsid w:val="004573F2"/>
    <w:rsid w:val="004600B6"/>
    <w:rsid w:val="00466364"/>
    <w:rsid w:val="00466CC0"/>
    <w:rsid w:val="00466FEB"/>
    <w:rsid w:val="0047456D"/>
    <w:rsid w:val="00476BF4"/>
    <w:rsid w:val="004778A0"/>
    <w:rsid w:val="00482E35"/>
    <w:rsid w:val="004836AB"/>
    <w:rsid w:val="0048390A"/>
    <w:rsid w:val="00490C58"/>
    <w:rsid w:val="00493CB2"/>
    <w:rsid w:val="00495648"/>
    <w:rsid w:val="004A2233"/>
    <w:rsid w:val="004A7318"/>
    <w:rsid w:val="004A73DD"/>
    <w:rsid w:val="004B0C8E"/>
    <w:rsid w:val="004B4201"/>
    <w:rsid w:val="004C0E21"/>
    <w:rsid w:val="004C255E"/>
    <w:rsid w:val="004D166F"/>
    <w:rsid w:val="004D2F95"/>
    <w:rsid w:val="004D67F1"/>
    <w:rsid w:val="004D79F9"/>
    <w:rsid w:val="004E1E6C"/>
    <w:rsid w:val="004E65B1"/>
    <w:rsid w:val="004E69E6"/>
    <w:rsid w:val="004F6306"/>
    <w:rsid w:val="00501F1E"/>
    <w:rsid w:val="0050579B"/>
    <w:rsid w:val="00510804"/>
    <w:rsid w:val="005110BE"/>
    <w:rsid w:val="0051241C"/>
    <w:rsid w:val="00513317"/>
    <w:rsid w:val="00513D8E"/>
    <w:rsid w:val="00517D63"/>
    <w:rsid w:val="0052044F"/>
    <w:rsid w:val="00521BC6"/>
    <w:rsid w:val="00532AF0"/>
    <w:rsid w:val="005426FE"/>
    <w:rsid w:val="005436C8"/>
    <w:rsid w:val="00550045"/>
    <w:rsid w:val="00553720"/>
    <w:rsid w:val="0055575E"/>
    <w:rsid w:val="005567ED"/>
    <w:rsid w:val="00563A17"/>
    <w:rsid w:val="005646BB"/>
    <w:rsid w:val="00565541"/>
    <w:rsid w:val="00567459"/>
    <w:rsid w:val="00584021"/>
    <w:rsid w:val="00586DE7"/>
    <w:rsid w:val="00590B9E"/>
    <w:rsid w:val="00593FFF"/>
    <w:rsid w:val="005A0807"/>
    <w:rsid w:val="005A60BC"/>
    <w:rsid w:val="005B75FE"/>
    <w:rsid w:val="005C1275"/>
    <w:rsid w:val="005C3FB2"/>
    <w:rsid w:val="005D677F"/>
    <w:rsid w:val="005D6CD7"/>
    <w:rsid w:val="005E252C"/>
    <w:rsid w:val="005E5D80"/>
    <w:rsid w:val="005F13EF"/>
    <w:rsid w:val="005F6A84"/>
    <w:rsid w:val="00604625"/>
    <w:rsid w:val="00605414"/>
    <w:rsid w:val="00612BC3"/>
    <w:rsid w:val="006224D9"/>
    <w:rsid w:val="00625A2A"/>
    <w:rsid w:val="0063014A"/>
    <w:rsid w:val="00632A61"/>
    <w:rsid w:val="00640898"/>
    <w:rsid w:val="00641076"/>
    <w:rsid w:val="00645E9D"/>
    <w:rsid w:val="00646BAE"/>
    <w:rsid w:val="006511C7"/>
    <w:rsid w:val="00652721"/>
    <w:rsid w:val="0065419D"/>
    <w:rsid w:val="00662752"/>
    <w:rsid w:val="00665F4A"/>
    <w:rsid w:val="00670A9A"/>
    <w:rsid w:val="00680928"/>
    <w:rsid w:val="006809E5"/>
    <w:rsid w:val="006847F6"/>
    <w:rsid w:val="00693BC6"/>
    <w:rsid w:val="006A6A71"/>
    <w:rsid w:val="006A6B9A"/>
    <w:rsid w:val="006B596F"/>
    <w:rsid w:val="006C1AE0"/>
    <w:rsid w:val="006C2709"/>
    <w:rsid w:val="006C6500"/>
    <w:rsid w:val="006D00BB"/>
    <w:rsid w:val="006D1619"/>
    <w:rsid w:val="006D1BAB"/>
    <w:rsid w:val="006D6C18"/>
    <w:rsid w:val="006E6879"/>
    <w:rsid w:val="006F2DF1"/>
    <w:rsid w:val="006F3C32"/>
    <w:rsid w:val="006F5237"/>
    <w:rsid w:val="006F76D2"/>
    <w:rsid w:val="007077F7"/>
    <w:rsid w:val="0071190A"/>
    <w:rsid w:val="00712700"/>
    <w:rsid w:val="00715191"/>
    <w:rsid w:val="00715FDE"/>
    <w:rsid w:val="0072548D"/>
    <w:rsid w:val="00733E87"/>
    <w:rsid w:val="007449BD"/>
    <w:rsid w:val="00746A1D"/>
    <w:rsid w:val="0076039D"/>
    <w:rsid w:val="007654B9"/>
    <w:rsid w:val="00780D43"/>
    <w:rsid w:val="0078369A"/>
    <w:rsid w:val="0079118F"/>
    <w:rsid w:val="00797838"/>
    <w:rsid w:val="00797B7A"/>
    <w:rsid w:val="007A2FC4"/>
    <w:rsid w:val="007A66A9"/>
    <w:rsid w:val="007B4CDB"/>
    <w:rsid w:val="007C1A70"/>
    <w:rsid w:val="007C3063"/>
    <w:rsid w:val="007C6AA7"/>
    <w:rsid w:val="007D158E"/>
    <w:rsid w:val="007D2A65"/>
    <w:rsid w:val="007D4F64"/>
    <w:rsid w:val="007E03F4"/>
    <w:rsid w:val="007F04C6"/>
    <w:rsid w:val="007F19E8"/>
    <w:rsid w:val="007F44E5"/>
    <w:rsid w:val="00803B06"/>
    <w:rsid w:val="008062E5"/>
    <w:rsid w:val="00806EA0"/>
    <w:rsid w:val="00810134"/>
    <w:rsid w:val="00814375"/>
    <w:rsid w:val="00815926"/>
    <w:rsid w:val="00822D41"/>
    <w:rsid w:val="00824CC7"/>
    <w:rsid w:val="00826933"/>
    <w:rsid w:val="008316D3"/>
    <w:rsid w:val="00836C45"/>
    <w:rsid w:val="0084096D"/>
    <w:rsid w:val="00854FF8"/>
    <w:rsid w:val="008571FE"/>
    <w:rsid w:val="00860043"/>
    <w:rsid w:val="0086545E"/>
    <w:rsid w:val="00866E35"/>
    <w:rsid w:val="00873B3A"/>
    <w:rsid w:val="008774DE"/>
    <w:rsid w:val="008A03A4"/>
    <w:rsid w:val="008A7EBA"/>
    <w:rsid w:val="008B5345"/>
    <w:rsid w:val="008B6B93"/>
    <w:rsid w:val="008B7A46"/>
    <w:rsid w:val="008C6A73"/>
    <w:rsid w:val="008D7451"/>
    <w:rsid w:val="008E76E3"/>
    <w:rsid w:val="008F1882"/>
    <w:rsid w:val="008F3F64"/>
    <w:rsid w:val="00901E34"/>
    <w:rsid w:val="00901E38"/>
    <w:rsid w:val="009053E8"/>
    <w:rsid w:val="00905BE0"/>
    <w:rsid w:val="0091611C"/>
    <w:rsid w:val="00916D42"/>
    <w:rsid w:val="00925CB7"/>
    <w:rsid w:val="0093595E"/>
    <w:rsid w:val="00940CF3"/>
    <w:rsid w:val="009451DF"/>
    <w:rsid w:val="00945BE0"/>
    <w:rsid w:val="0095018C"/>
    <w:rsid w:val="009518D7"/>
    <w:rsid w:val="00951B5D"/>
    <w:rsid w:val="00960C8E"/>
    <w:rsid w:val="00965297"/>
    <w:rsid w:val="00976823"/>
    <w:rsid w:val="00980018"/>
    <w:rsid w:val="009927D6"/>
    <w:rsid w:val="00993194"/>
    <w:rsid w:val="00993667"/>
    <w:rsid w:val="009A065D"/>
    <w:rsid w:val="009A0B8E"/>
    <w:rsid w:val="009B15DD"/>
    <w:rsid w:val="009B3215"/>
    <w:rsid w:val="009B4F60"/>
    <w:rsid w:val="009B73D6"/>
    <w:rsid w:val="009B755A"/>
    <w:rsid w:val="009B7649"/>
    <w:rsid w:val="009C6BB3"/>
    <w:rsid w:val="009C7B71"/>
    <w:rsid w:val="009D4A6B"/>
    <w:rsid w:val="009D58B4"/>
    <w:rsid w:val="009D591D"/>
    <w:rsid w:val="009E02FF"/>
    <w:rsid w:val="009E17BC"/>
    <w:rsid w:val="009E4497"/>
    <w:rsid w:val="009E717E"/>
    <w:rsid w:val="009E7A9B"/>
    <w:rsid w:val="00A023FA"/>
    <w:rsid w:val="00A02532"/>
    <w:rsid w:val="00A10095"/>
    <w:rsid w:val="00A10115"/>
    <w:rsid w:val="00A11ACC"/>
    <w:rsid w:val="00A22F9E"/>
    <w:rsid w:val="00A25182"/>
    <w:rsid w:val="00A33379"/>
    <w:rsid w:val="00A347E8"/>
    <w:rsid w:val="00A434A2"/>
    <w:rsid w:val="00A45D78"/>
    <w:rsid w:val="00A47F7E"/>
    <w:rsid w:val="00A51FDD"/>
    <w:rsid w:val="00A60370"/>
    <w:rsid w:val="00A60911"/>
    <w:rsid w:val="00A6279E"/>
    <w:rsid w:val="00A75620"/>
    <w:rsid w:val="00A77EDE"/>
    <w:rsid w:val="00A9144C"/>
    <w:rsid w:val="00A941DA"/>
    <w:rsid w:val="00A96A57"/>
    <w:rsid w:val="00A96E73"/>
    <w:rsid w:val="00A9781D"/>
    <w:rsid w:val="00AA4377"/>
    <w:rsid w:val="00AC1FA6"/>
    <w:rsid w:val="00AC7241"/>
    <w:rsid w:val="00AC7D8F"/>
    <w:rsid w:val="00AD6245"/>
    <w:rsid w:val="00AE4A9B"/>
    <w:rsid w:val="00AE4BE1"/>
    <w:rsid w:val="00AE5479"/>
    <w:rsid w:val="00AE5BE9"/>
    <w:rsid w:val="00AF7B00"/>
    <w:rsid w:val="00B00AF1"/>
    <w:rsid w:val="00B22709"/>
    <w:rsid w:val="00B2371F"/>
    <w:rsid w:val="00B2670A"/>
    <w:rsid w:val="00B314D7"/>
    <w:rsid w:val="00B37F85"/>
    <w:rsid w:val="00B40BBD"/>
    <w:rsid w:val="00B41F86"/>
    <w:rsid w:val="00B45DF1"/>
    <w:rsid w:val="00B519E1"/>
    <w:rsid w:val="00B524F2"/>
    <w:rsid w:val="00B643B8"/>
    <w:rsid w:val="00B669C6"/>
    <w:rsid w:val="00B67C73"/>
    <w:rsid w:val="00B73843"/>
    <w:rsid w:val="00B7456F"/>
    <w:rsid w:val="00B76409"/>
    <w:rsid w:val="00B76D16"/>
    <w:rsid w:val="00B777D4"/>
    <w:rsid w:val="00B84087"/>
    <w:rsid w:val="00B87799"/>
    <w:rsid w:val="00B94A1C"/>
    <w:rsid w:val="00BA29CE"/>
    <w:rsid w:val="00BA4C77"/>
    <w:rsid w:val="00BA6EC5"/>
    <w:rsid w:val="00BB62E5"/>
    <w:rsid w:val="00BD356E"/>
    <w:rsid w:val="00BD52E5"/>
    <w:rsid w:val="00BE1FAB"/>
    <w:rsid w:val="00BE45AE"/>
    <w:rsid w:val="00BE506F"/>
    <w:rsid w:val="00BF3170"/>
    <w:rsid w:val="00C05C47"/>
    <w:rsid w:val="00C06328"/>
    <w:rsid w:val="00C13ACE"/>
    <w:rsid w:val="00C1570F"/>
    <w:rsid w:val="00C2187E"/>
    <w:rsid w:val="00C239B5"/>
    <w:rsid w:val="00C240FA"/>
    <w:rsid w:val="00C33412"/>
    <w:rsid w:val="00C37878"/>
    <w:rsid w:val="00C41EBB"/>
    <w:rsid w:val="00C4288C"/>
    <w:rsid w:val="00C44992"/>
    <w:rsid w:val="00C46FCD"/>
    <w:rsid w:val="00C6020B"/>
    <w:rsid w:val="00C83E8F"/>
    <w:rsid w:val="00C8596B"/>
    <w:rsid w:val="00C8622A"/>
    <w:rsid w:val="00CA24D3"/>
    <w:rsid w:val="00CB3B33"/>
    <w:rsid w:val="00CB73E9"/>
    <w:rsid w:val="00CC0BFE"/>
    <w:rsid w:val="00CD1CDA"/>
    <w:rsid w:val="00CD6B43"/>
    <w:rsid w:val="00CE5429"/>
    <w:rsid w:val="00CF6AA7"/>
    <w:rsid w:val="00D126A8"/>
    <w:rsid w:val="00D135AE"/>
    <w:rsid w:val="00D22306"/>
    <w:rsid w:val="00D2336B"/>
    <w:rsid w:val="00D306D7"/>
    <w:rsid w:val="00D3593B"/>
    <w:rsid w:val="00D3608C"/>
    <w:rsid w:val="00D37F42"/>
    <w:rsid w:val="00D40120"/>
    <w:rsid w:val="00D4166A"/>
    <w:rsid w:val="00D448FA"/>
    <w:rsid w:val="00D4621B"/>
    <w:rsid w:val="00D5099E"/>
    <w:rsid w:val="00D52441"/>
    <w:rsid w:val="00D52D7E"/>
    <w:rsid w:val="00D556BB"/>
    <w:rsid w:val="00D612D8"/>
    <w:rsid w:val="00D61744"/>
    <w:rsid w:val="00D66706"/>
    <w:rsid w:val="00D70712"/>
    <w:rsid w:val="00D72661"/>
    <w:rsid w:val="00D72DE8"/>
    <w:rsid w:val="00D75685"/>
    <w:rsid w:val="00D7586E"/>
    <w:rsid w:val="00D84C56"/>
    <w:rsid w:val="00D91557"/>
    <w:rsid w:val="00DB4BF7"/>
    <w:rsid w:val="00DB75E0"/>
    <w:rsid w:val="00DD1339"/>
    <w:rsid w:val="00DD4B71"/>
    <w:rsid w:val="00DD572F"/>
    <w:rsid w:val="00DD7962"/>
    <w:rsid w:val="00DD7EC8"/>
    <w:rsid w:val="00DE4119"/>
    <w:rsid w:val="00DE5E89"/>
    <w:rsid w:val="00DF3A1F"/>
    <w:rsid w:val="00DF518F"/>
    <w:rsid w:val="00DF6CFD"/>
    <w:rsid w:val="00E10A07"/>
    <w:rsid w:val="00E12476"/>
    <w:rsid w:val="00E17FE2"/>
    <w:rsid w:val="00E21400"/>
    <w:rsid w:val="00E23047"/>
    <w:rsid w:val="00E2497F"/>
    <w:rsid w:val="00E25B07"/>
    <w:rsid w:val="00E372FA"/>
    <w:rsid w:val="00E41707"/>
    <w:rsid w:val="00E453AF"/>
    <w:rsid w:val="00E4790B"/>
    <w:rsid w:val="00E50689"/>
    <w:rsid w:val="00E50C71"/>
    <w:rsid w:val="00E558DB"/>
    <w:rsid w:val="00E56F07"/>
    <w:rsid w:val="00E64133"/>
    <w:rsid w:val="00E651C9"/>
    <w:rsid w:val="00E66DA6"/>
    <w:rsid w:val="00E73767"/>
    <w:rsid w:val="00E74CDA"/>
    <w:rsid w:val="00E761C8"/>
    <w:rsid w:val="00E76527"/>
    <w:rsid w:val="00E83ACC"/>
    <w:rsid w:val="00E8483D"/>
    <w:rsid w:val="00E84E96"/>
    <w:rsid w:val="00E92EE6"/>
    <w:rsid w:val="00E96675"/>
    <w:rsid w:val="00E96C65"/>
    <w:rsid w:val="00EA12CB"/>
    <w:rsid w:val="00EA3A8E"/>
    <w:rsid w:val="00EB35D9"/>
    <w:rsid w:val="00EB377A"/>
    <w:rsid w:val="00EB4C5A"/>
    <w:rsid w:val="00EB7ADB"/>
    <w:rsid w:val="00EC1D90"/>
    <w:rsid w:val="00EC4B55"/>
    <w:rsid w:val="00EC6897"/>
    <w:rsid w:val="00ED006E"/>
    <w:rsid w:val="00ED3E51"/>
    <w:rsid w:val="00ED63C7"/>
    <w:rsid w:val="00ED6C9C"/>
    <w:rsid w:val="00EE345F"/>
    <w:rsid w:val="00EE5718"/>
    <w:rsid w:val="00EE708C"/>
    <w:rsid w:val="00EF6A64"/>
    <w:rsid w:val="00F0369B"/>
    <w:rsid w:val="00F06405"/>
    <w:rsid w:val="00F10E02"/>
    <w:rsid w:val="00F15598"/>
    <w:rsid w:val="00F26EEE"/>
    <w:rsid w:val="00F31B75"/>
    <w:rsid w:val="00F411B0"/>
    <w:rsid w:val="00F41498"/>
    <w:rsid w:val="00F453E6"/>
    <w:rsid w:val="00F55535"/>
    <w:rsid w:val="00F5771A"/>
    <w:rsid w:val="00F64A16"/>
    <w:rsid w:val="00F66EC5"/>
    <w:rsid w:val="00F72A5B"/>
    <w:rsid w:val="00F72F71"/>
    <w:rsid w:val="00F81E6B"/>
    <w:rsid w:val="00F82C25"/>
    <w:rsid w:val="00F84165"/>
    <w:rsid w:val="00F85454"/>
    <w:rsid w:val="00F909A3"/>
    <w:rsid w:val="00F92CDC"/>
    <w:rsid w:val="00FA0C10"/>
    <w:rsid w:val="00FA3888"/>
    <w:rsid w:val="00FA5852"/>
    <w:rsid w:val="00FA71AF"/>
    <w:rsid w:val="00FA7556"/>
    <w:rsid w:val="00FB489A"/>
    <w:rsid w:val="00FC0876"/>
    <w:rsid w:val="00FC311F"/>
    <w:rsid w:val="00FC74F1"/>
    <w:rsid w:val="00FD001F"/>
    <w:rsid w:val="00FD4084"/>
    <w:rsid w:val="00FF2229"/>
    <w:rsid w:val="00FF3ACA"/>
    <w:rsid w:val="00FF4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128F4B-426D-4BA3-AB2D-37B5C05A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A45D78"/>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rFonts w:cs="Times New Roman"/>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9E4497"/>
    <w:rPr>
      <w:sz w:val="20"/>
      <w:szCs w:val="20"/>
    </w:rPr>
  </w:style>
  <w:style w:type="character" w:customStyle="1" w:styleId="FootnoteTextChar">
    <w:name w:val="Footnote Text Char"/>
    <w:basedOn w:val="DefaultParagraphFont"/>
    <w:link w:val="FootnoteText"/>
    <w:uiPriority w:val="99"/>
    <w:semiHidden/>
    <w:rsid w:val="009E4497"/>
    <w:rPr>
      <w:sz w:val="20"/>
      <w:szCs w:val="20"/>
    </w:rPr>
  </w:style>
  <w:style w:type="character" w:styleId="FootnoteReference">
    <w:name w:val="footnote reference"/>
    <w:basedOn w:val="DefaultParagraphFont"/>
    <w:uiPriority w:val="99"/>
    <w:semiHidden/>
    <w:unhideWhenUsed/>
    <w:rsid w:val="009E4497"/>
    <w:rPr>
      <w:vertAlign w:val="superscript"/>
    </w:rPr>
  </w:style>
  <w:style w:type="character" w:customStyle="1" w:styleId="Heading1Char">
    <w:name w:val="Heading 1 Char"/>
    <w:basedOn w:val="DefaultParagraphFont"/>
    <w:link w:val="Heading1"/>
    <w:uiPriority w:val="9"/>
    <w:rsid w:val="00A45D78"/>
    <w:rPr>
      <w:rFonts w:ascii="Cambria" w:hAnsi="Cambria"/>
      <w:b/>
      <w:bCs/>
      <w:kern w:val="32"/>
      <w:sz w:val="32"/>
      <w:szCs w:val="32"/>
      <w:lang w:eastAsia="en-US"/>
    </w:rPr>
  </w:style>
  <w:style w:type="paragraph" w:customStyle="1" w:styleId="ACMABodyText">
    <w:name w:val="ACMA Body Text"/>
    <w:link w:val="ACMABodyTextChar1"/>
    <w:uiPriority w:val="99"/>
    <w:rsid w:val="007D4F64"/>
    <w:pPr>
      <w:suppressAutoHyphens/>
      <w:spacing w:before="80" w:after="120" w:line="280" w:lineRule="atLeast"/>
    </w:pPr>
    <w:rPr>
      <w:snapToGrid w:val="0"/>
      <w:sz w:val="24"/>
      <w:lang w:eastAsia="en-US"/>
    </w:rPr>
  </w:style>
  <w:style w:type="paragraph" w:customStyle="1" w:styleId="ACMAHeading3">
    <w:name w:val="ACMA Heading 3"/>
    <w:next w:val="ACMABodyText"/>
    <w:rsid w:val="007D4F64"/>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7D4F64"/>
    <w:rPr>
      <w:snapToGrid w:val="0"/>
      <w:sz w:val="24"/>
      <w:lang w:val="en-AU" w:eastAsia="en-US" w:bidi="ar-SA"/>
    </w:rPr>
  </w:style>
  <w:style w:type="paragraph" w:styleId="Header">
    <w:name w:val="header"/>
    <w:basedOn w:val="Normal"/>
    <w:link w:val="HeaderChar"/>
    <w:uiPriority w:val="99"/>
    <w:semiHidden/>
    <w:unhideWhenUsed/>
    <w:rsid w:val="00217128"/>
    <w:pPr>
      <w:tabs>
        <w:tab w:val="center" w:pos="4513"/>
        <w:tab w:val="right" w:pos="9026"/>
      </w:tabs>
    </w:pPr>
  </w:style>
  <w:style w:type="character" w:customStyle="1" w:styleId="HeaderChar">
    <w:name w:val="Header Char"/>
    <w:basedOn w:val="DefaultParagraphFont"/>
    <w:link w:val="Header"/>
    <w:uiPriority w:val="99"/>
    <w:semiHidden/>
    <w:rsid w:val="00217128"/>
    <w:rPr>
      <w:sz w:val="24"/>
      <w:szCs w:val="24"/>
    </w:rPr>
  </w:style>
  <w:style w:type="paragraph" w:styleId="Footer">
    <w:name w:val="footer"/>
    <w:basedOn w:val="Normal"/>
    <w:link w:val="FooterChar"/>
    <w:uiPriority w:val="99"/>
    <w:unhideWhenUsed/>
    <w:rsid w:val="00217128"/>
    <w:pPr>
      <w:tabs>
        <w:tab w:val="center" w:pos="4513"/>
        <w:tab w:val="right" w:pos="9026"/>
      </w:tabs>
    </w:pPr>
  </w:style>
  <w:style w:type="character" w:customStyle="1" w:styleId="FooterChar">
    <w:name w:val="Footer Char"/>
    <w:basedOn w:val="DefaultParagraphFont"/>
    <w:link w:val="Footer"/>
    <w:uiPriority w:val="99"/>
    <w:rsid w:val="00217128"/>
    <w:rPr>
      <w:sz w:val="24"/>
      <w:szCs w:val="24"/>
    </w:rPr>
  </w:style>
  <w:style w:type="paragraph" w:styleId="ListParagraph">
    <w:name w:val="List Paragraph"/>
    <w:basedOn w:val="Normal"/>
    <w:uiPriority w:val="34"/>
    <w:qFormat/>
    <w:rsid w:val="000C5ABC"/>
    <w:pPr>
      <w:ind w:left="720"/>
      <w:contextualSpacing/>
    </w:pPr>
  </w:style>
  <w:style w:type="character" w:styleId="Hyperlink">
    <w:name w:val="Hyperlink"/>
    <w:basedOn w:val="DefaultParagraphFont"/>
    <w:uiPriority w:val="99"/>
    <w:unhideWhenUsed/>
    <w:rsid w:val="006F7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aiglobal.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p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KNAH4PPFC442-2667-511</_dlc_DocId>
    <_dlc_DocIdUrl xmlns="6db8f3c6-01a1-4322-b043-a3b2a190f7a8">
      <Url>http://collaboration/organisation/Auth/Chair/Auth/_layouts/DocIdRedir.aspx?ID=KNAH4PPFC442-2667-511</Url>
      <Description>KNAH4PPFC442-2667-511</Description>
    </_dlc_DocIdUrl>
    <Record_x0020_Number xmlns="83630db1-6fc2-4dfd-b3fe-d61d34e1440c">ER2014/072146</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6FE0-5C84-48EF-B2FB-035855B02269}">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2.xml><?xml version="1.0" encoding="utf-8"?>
<ds:datastoreItem xmlns:ds="http://schemas.openxmlformats.org/officeDocument/2006/customXml" ds:itemID="{E57F8A2A-F70F-4447-A59A-751E9FBB43C9}">
  <ds:schemaRefs>
    <ds:schemaRef ds:uri="http://schemas.microsoft.com/sharepoint/v3/contenttype/forms"/>
  </ds:schemaRefs>
</ds:datastoreItem>
</file>

<file path=customXml/itemProps3.xml><?xml version="1.0" encoding="utf-8"?>
<ds:datastoreItem xmlns:ds="http://schemas.openxmlformats.org/officeDocument/2006/customXml" ds:itemID="{B75D0621-D53B-4951-91E5-4DD345DAE916}">
  <ds:schemaRefs>
    <ds:schemaRef ds:uri="http://schemas.microsoft.com/sharepoint/events"/>
  </ds:schemaRefs>
</ds:datastoreItem>
</file>

<file path=customXml/itemProps4.xml><?xml version="1.0" encoding="utf-8"?>
<ds:datastoreItem xmlns:ds="http://schemas.openxmlformats.org/officeDocument/2006/customXml" ds:itemID="{02E1E572-B079-4EF0-9159-F227731B534D}">
  <ds:schemaRefs>
    <ds:schemaRef ds:uri="Microsoft.SharePoint.Taxonomy.ContentTypeSync"/>
  </ds:schemaRefs>
</ds:datastoreItem>
</file>

<file path=customXml/itemProps5.xml><?xml version="1.0" encoding="utf-8"?>
<ds:datastoreItem xmlns:ds="http://schemas.openxmlformats.org/officeDocument/2006/customXml" ds:itemID="{2C90376F-0894-4FC3-9C99-D859B2BB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DEBEC3-AC64-4FB4-80CB-8CFDB556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Alison Jermey</cp:lastModifiedBy>
  <cp:revision>2</cp:revision>
  <cp:lastPrinted>2010-02-22T23:59:00Z</cp:lastPrinted>
  <dcterms:created xsi:type="dcterms:W3CDTF">2014-07-01T06:52:00Z</dcterms:created>
  <dcterms:modified xsi:type="dcterms:W3CDTF">2014-07-01T06:52:00Z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7a6fca89-5ae7-4c09-be2e-211267ba96ba</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{7a6fca89-5ae7-4c09-be2e-211267ba96ba}</vt:lpwstr>
  </property>
  <property fmtid="{D5CDD505-2E9C-101B-9397-08002B2CF9AE}" pid="9" name="RecordPoint_SubmissionCompleted">
    <vt:lpwstr>2014-06-18T13:56:28.2675737+10:00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