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F5" w:rsidRPr="00D87EF9" w:rsidRDefault="00AE5A42" w:rsidP="00CE6026">
      <w:r>
        <w:rPr>
          <w:noProof/>
          <w:lang w:eastAsia="en-AU"/>
        </w:rPr>
        <w:drawing>
          <wp:inline distT="0" distB="0" distL="0" distR="0">
            <wp:extent cx="1419225" cy="1104900"/>
            <wp:effectExtent l="0" t="0" r="0" b="0"/>
            <wp:docPr id="1"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1728F5" w:rsidRPr="00C2038B" w:rsidRDefault="001728F5" w:rsidP="00CE6026">
      <w:pPr>
        <w:pStyle w:val="ShortT"/>
        <w:spacing w:before="120"/>
        <w:rPr>
          <w:rFonts w:ascii="Arial" w:hAnsi="Arial" w:cs="Arial"/>
        </w:rPr>
      </w:pPr>
      <w:proofErr w:type="spellStart"/>
      <w:r w:rsidRPr="00C2038B">
        <w:rPr>
          <w:rFonts w:ascii="Arial" w:hAnsi="Arial" w:cs="Arial"/>
        </w:rPr>
        <w:t>Radiocommunications</w:t>
      </w:r>
      <w:proofErr w:type="spellEnd"/>
      <w:r w:rsidRPr="00C2038B">
        <w:rPr>
          <w:rFonts w:ascii="Arial" w:hAnsi="Arial" w:cs="Arial"/>
        </w:rPr>
        <w:t xml:space="preserve"> (Compliance Labelling—Electromagnetic Radiation) Notice</w:t>
      </w:r>
      <w:r w:rsidR="00D87EF9" w:rsidRPr="00C2038B">
        <w:rPr>
          <w:rFonts w:ascii="Arial" w:hAnsi="Arial" w:cs="Arial"/>
        </w:rPr>
        <w:t> </w:t>
      </w:r>
      <w:r w:rsidR="00A862E1">
        <w:rPr>
          <w:rFonts w:ascii="Arial" w:hAnsi="Arial" w:cs="Arial"/>
        </w:rPr>
        <w:t>2014</w:t>
      </w:r>
    </w:p>
    <w:p w:rsidR="000E7C8E" w:rsidRDefault="000E7C8E" w:rsidP="000E7C8E">
      <w:pPr>
        <w:pStyle w:val="CoverAct"/>
        <w:rPr>
          <w:lang w:val="en-US"/>
        </w:rPr>
      </w:pPr>
      <w:bookmarkStart w:id="0" w:name="Act"/>
      <w:proofErr w:type="spellStart"/>
      <w:r>
        <w:t>Radiocommunications</w:t>
      </w:r>
      <w:proofErr w:type="spellEnd"/>
      <w:r>
        <w:t xml:space="preserve"> Act 1992</w:t>
      </w:r>
      <w:bookmarkEnd w:id="0"/>
      <w:r>
        <w:t xml:space="preserve"> </w:t>
      </w:r>
    </w:p>
    <w:p w:rsidR="00C2038B" w:rsidRPr="006F3538" w:rsidRDefault="00C2038B" w:rsidP="00C2038B">
      <w:pPr>
        <w:spacing w:before="360"/>
        <w:jc w:val="both"/>
        <w:rPr>
          <w:sz w:val="24"/>
          <w:szCs w:val="24"/>
        </w:rPr>
      </w:pPr>
      <w:r w:rsidRPr="006F3538">
        <w:rPr>
          <w:sz w:val="24"/>
          <w:szCs w:val="24"/>
        </w:rPr>
        <w:t xml:space="preserve">The AUSTRALIAN COMMUNICATIONS AND MEDIA AUTHORITY makes this </w:t>
      </w:r>
      <w:r w:rsidR="00970D33" w:rsidRPr="006F3538">
        <w:rPr>
          <w:sz w:val="24"/>
          <w:szCs w:val="24"/>
        </w:rPr>
        <w:t>Notice</w:t>
      </w:r>
      <w:r w:rsidRPr="006F3538">
        <w:rPr>
          <w:sz w:val="24"/>
          <w:szCs w:val="24"/>
        </w:rPr>
        <w:t xml:space="preserve"> under subsection 182 of the </w:t>
      </w:r>
      <w:proofErr w:type="spellStart"/>
      <w:r w:rsidRPr="006F3538">
        <w:rPr>
          <w:i/>
          <w:sz w:val="24"/>
          <w:szCs w:val="24"/>
        </w:rPr>
        <w:t>Radiocommunications</w:t>
      </w:r>
      <w:proofErr w:type="spellEnd"/>
      <w:r w:rsidRPr="006F3538">
        <w:rPr>
          <w:i/>
          <w:sz w:val="24"/>
          <w:szCs w:val="24"/>
        </w:rPr>
        <w:t xml:space="preserve"> Act 1992</w:t>
      </w:r>
      <w:r w:rsidRPr="006F3538">
        <w:rPr>
          <w:sz w:val="24"/>
          <w:szCs w:val="24"/>
        </w:rPr>
        <w:t>.</w:t>
      </w:r>
    </w:p>
    <w:p w:rsidR="00C2038B" w:rsidRPr="006F3538" w:rsidRDefault="00C2038B" w:rsidP="00970D33">
      <w:pPr>
        <w:tabs>
          <w:tab w:val="right" w:pos="3686"/>
        </w:tabs>
        <w:spacing w:before="300" w:line="300" w:lineRule="exact"/>
        <w:rPr>
          <w:sz w:val="24"/>
          <w:szCs w:val="24"/>
        </w:rPr>
      </w:pPr>
      <w:r w:rsidRPr="006F3538">
        <w:rPr>
          <w:sz w:val="24"/>
          <w:szCs w:val="24"/>
        </w:rPr>
        <w:t xml:space="preserve">Dated </w:t>
      </w:r>
      <w:bookmarkStart w:id="1" w:name="MadeDate"/>
      <w:bookmarkEnd w:id="1"/>
      <w:r w:rsidR="0001021C" w:rsidRPr="00B46C16">
        <w:rPr>
          <w:i/>
          <w:sz w:val="24"/>
          <w:szCs w:val="24"/>
        </w:rPr>
        <w:t>30</w:t>
      </w:r>
      <w:r w:rsidR="0001021C" w:rsidRPr="00B46C16">
        <w:rPr>
          <w:i/>
          <w:sz w:val="24"/>
          <w:szCs w:val="24"/>
          <w:vertAlign w:val="superscript"/>
        </w:rPr>
        <w:t>th</w:t>
      </w:r>
      <w:r w:rsidR="0001021C" w:rsidRPr="00B46C16">
        <w:rPr>
          <w:i/>
          <w:sz w:val="24"/>
          <w:szCs w:val="24"/>
        </w:rPr>
        <w:t xml:space="preserve"> June 2014</w:t>
      </w:r>
    </w:p>
    <w:p w:rsidR="00C2038B" w:rsidRPr="006F3538" w:rsidRDefault="0001021C" w:rsidP="00B46C16">
      <w:pPr>
        <w:tabs>
          <w:tab w:val="right" w:pos="3686"/>
        </w:tabs>
        <w:spacing w:before="240" w:after="120" w:line="300" w:lineRule="exact"/>
        <w:jc w:val="right"/>
        <w:rPr>
          <w:sz w:val="24"/>
          <w:szCs w:val="24"/>
        </w:rPr>
      </w:pPr>
      <w:r w:rsidRPr="00B46C16">
        <w:rPr>
          <w:i/>
          <w:sz w:val="24"/>
          <w:szCs w:val="24"/>
        </w:rPr>
        <w:t>Chris Chapman</w:t>
      </w:r>
      <w:r>
        <w:rPr>
          <w:sz w:val="24"/>
          <w:szCs w:val="24"/>
        </w:rPr>
        <w:t xml:space="preserve"> </w:t>
      </w:r>
      <w:r w:rsidR="00B46C16">
        <w:rPr>
          <w:sz w:val="24"/>
          <w:szCs w:val="24"/>
        </w:rPr>
        <w:br/>
      </w:r>
      <w:r>
        <w:rPr>
          <w:sz w:val="24"/>
          <w:szCs w:val="24"/>
        </w:rPr>
        <w:t xml:space="preserve">[signed] </w:t>
      </w:r>
      <w:r w:rsidR="00B46C16">
        <w:rPr>
          <w:sz w:val="24"/>
          <w:szCs w:val="24"/>
        </w:rPr>
        <w:br/>
      </w:r>
      <w:r w:rsidR="00C2038B" w:rsidRPr="006F3538">
        <w:rPr>
          <w:sz w:val="24"/>
          <w:szCs w:val="24"/>
        </w:rPr>
        <w:t>Member</w:t>
      </w:r>
    </w:p>
    <w:p w:rsidR="00C2038B" w:rsidRDefault="0001021C" w:rsidP="00C2038B">
      <w:pPr>
        <w:tabs>
          <w:tab w:val="right" w:pos="3686"/>
        </w:tabs>
        <w:spacing w:before="600"/>
        <w:jc w:val="right"/>
        <w:rPr>
          <w:strike/>
          <w:sz w:val="24"/>
          <w:szCs w:val="24"/>
        </w:rPr>
      </w:pPr>
      <w:r w:rsidRPr="00B46C16">
        <w:rPr>
          <w:i/>
          <w:sz w:val="24"/>
          <w:szCs w:val="24"/>
        </w:rPr>
        <w:t>Richard Bean</w:t>
      </w:r>
      <w:r>
        <w:rPr>
          <w:sz w:val="24"/>
          <w:szCs w:val="24"/>
        </w:rPr>
        <w:t xml:space="preserve"> </w:t>
      </w:r>
      <w:r w:rsidR="00B46C16">
        <w:rPr>
          <w:sz w:val="24"/>
          <w:szCs w:val="24"/>
        </w:rPr>
        <w:br/>
      </w:r>
      <w:r>
        <w:rPr>
          <w:sz w:val="24"/>
          <w:szCs w:val="24"/>
        </w:rPr>
        <w:t xml:space="preserve">[signed] </w:t>
      </w:r>
      <w:r w:rsidR="00B46C16">
        <w:rPr>
          <w:sz w:val="24"/>
          <w:szCs w:val="24"/>
        </w:rPr>
        <w:br/>
      </w:r>
      <w:r w:rsidR="00C2038B" w:rsidRPr="006F3538">
        <w:rPr>
          <w:sz w:val="24"/>
          <w:szCs w:val="24"/>
        </w:rPr>
        <w:t>Member/</w:t>
      </w:r>
      <w:r w:rsidR="00C2038B" w:rsidRPr="0001021C">
        <w:rPr>
          <w:strike/>
          <w:sz w:val="24"/>
          <w:szCs w:val="24"/>
        </w:rPr>
        <w:t>General Manager</w:t>
      </w:r>
    </w:p>
    <w:p w:rsidR="00C2038B" w:rsidRPr="006F3538" w:rsidRDefault="00C2038B" w:rsidP="00C2038B">
      <w:pPr>
        <w:pBdr>
          <w:bottom w:val="single" w:sz="4" w:space="12" w:color="auto"/>
        </w:pBdr>
        <w:spacing w:line="240" w:lineRule="exact"/>
        <w:rPr>
          <w:sz w:val="24"/>
          <w:szCs w:val="24"/>
        </w:rPr>
      </w:pPr>
      <w:bookmarkStart w:id="2" w:name="MinisterSign"/>
      <w:bookmarkEnd w:id="2"/>
      <w:r w:rsidRPr="006F3538">
        <w:rPr>
          <w:sz w:val="24"/>
          <w:szCs w:val="24"/>
        </w:rPr>
        <w:t>Australian Communications and Media Authority</w:t>
      </w:r>
      <w:r w:rsidRPr="006F3538">
        <w:rPr>
          <w:rStyle w:val="CharPartText"/>
          <w:sz w:val="24"/>
          <w:szCs w:val="24"/>
        </w:rPr>
        <w:t xml:space="preserve"> </w:t>
      </w:r>
    </w:p>
    <w:p w:rsidR="0035109E" w:rsidRPr="006F3538" w:rsidRDefault="001728F5" w:rsidP="001728F5">
      <w:pPr>
        <w:pStyle w:val="ActHead2"/>
        <w:rPr>
          <w:rFonts w:ascii="Arial" w:hAnsi="Arial" w:cs="Arial"/>
        </w:rPr>
      </w:pPr>
      <w:bookmarkStart w:id="3" w:name="_Toc350862617"/>
      <w:r w:rsidRPr="006F3538">
        <w:rPr>
          <w:rStyle w:val="CharPartNo"/>
          <w:rFonts w:ascii="Arial" w:hAnsi="Arial" w:cs="Arial"/>
        </w:rPr>
        <w:t>Part</w:t>
      </w:r>
      <w:r w:rsidR="00D87EF9" w:rsidRPr="006F3538">
        <w:rPr>
          <w:rStyle w:val="CharPartNo"/>
          <w:rFonts w:ascii="Arial" w:hAnsi="Arial" w:cs="Arial"/>
        </w:rPr>
        <w:t> </w:t>
      </w:r>
      <w:r w:rsidR="0035109E" w:rsidRPr="006F3538">
        <w:rPr>
          <w:rStyle w:val="CharPartNo"/>
          <w:rFonts w:ascii="Arial" w:hAnsi="Arial" w:cs="Arial"/>
        </w:rPr>
        <w:t>1</w:t>
      </w:r>
      <w:r w:rsidRPr="006F3538">
        <w:rPr>
          <w:rFonts w:ascii="Arial" w:hAnsi="Arial" w:cs="Arial"/>
        </w:rPr>
        <w:t>—</w:t>
      </w:r>
      <w:r w:rsidR="0035109E" w:rsidRPr="006F3538">
        <w:rPr>
          <w:rStyle w:val="CharPartText"/>
          <w:rFonts w:ascii="Arial" w:hAnsi="Arial" w:cs="Arial"/>
        </w:rPr>
        <w:t>Preliminary</w:t>
      </w:r>
      <w:bookmarkEnd w:id="3"/>
    </w:p>
    <w:p w:rsidR="0035109E" w:rsidRPr="00D87EF9" w:rsidRDefault="001728F5" w:rsidP="0035109E">
      <w:pPr>
        <w:pStyle w:val="Header"/>
      </w:pPr>
      <w:r w:rsidRPr="00D87EF9">
        <w:rPr>
          <w:rStyle w:val="CharDivNo"/>
        </w:rPr>
        <w:t xml:space="preserve"> </w:t>
      </w:r>
      <w:r w:rsidRPr="00D87EF9">
        <w:rPr>
          <w:rStyle w:val="CharDivText"/>
        </w:rPr>
        <w:t xml:space="preserve"> </w:t>
      </w:r>
    </w:p>
    <w:p w:rsidR="0035109E" w:rsidRPr="006F3538" w:rsidRDefault="0035109E" w:rsidP="006F3538">
      <w:pPr>
        <w:pStyle w:val="HR"/>
        <w:rPr>
          <w:rStyle w:val="CharSectno"/>
        </w:rPr>
      </w:pPr>
      <w:bookmarkStart w:id="4" w:name="_Toc350862618"/>
      <w:r w:rsidRPr="00D87EF9">
        <w:rPr>
          <w:rStyle w:val="CharSectno"/>
        </w:rPr>
        <w:t>1</w:t>
      </w:r>
      <w:r w:rsidR="001728F5" w:rsidRPr="006F3538">
        <w:rPr>
          <w:rStyle w:val="CharSectno"/>
        </w:rPr>
        <w:t xml:space="preserve">  </w:t>
      </w:r>
      <w:r w:rsidR="006F3538">
        <w:rPr>
          <w:rStyle w:val="CharSectno"/>
        </w:rPr>
        <w:tab/>
      </w:r>
      <w:r w:rsidRPr="006F3538">
        <w:rPr>
          <w:rStyle w:val="CharSectno"/>
        </w:rPr>
        <w:t>Name of Notice</w:t>
      </w:r>
      <w:bookmarkEnd w:id="4"/>
      <w:r w:rsidR="008D6EED" w:rsidRPr="006F3538">
        <w:rPr>
          <w:rStyle w:val="CharSectno"/>
        </w:rPr>
        <w:t xml:space="preserve"> </w:t>
      </w:r>
    </w:p>
    <w:p w:rsidR="0035109E" w:rsidRPr="00D87EF9" w:rsidRDefault="0035109E" w:rsidP="002F3B55">
      <w:pPr>
        <w:pStyle w:val="R1"/>
        <w:keepLines w:val="0"/>
        <w:ind w:left="993" w:hanging="517"/>
      </w:pPr>
      <w:r w:rsidRPr="00D87EF9">
        <w:tab/>
      </w:r>
      <w:r w:rsidRPr="00D87EF9">
        <w:tab/>
        <w:t xml:space="preserve">This Notice is the </w:t>
      </w:r>
      <w:proofErr w:type="spellStart"/>
      <w:r w:rsidR="00CE2609" w:rsidRPr="006F3538">
        <w:rPr>
          <w:i/>
        </w:rPr>
        <w:t>Radiocommunications</w:t>
      </w:r>
      <w:proofErr w:type="spellEnd"/>
      <w:r w:rsidR="00CE2609" w:rsidRPr="006F3538">
        <w:rPr>
          <w:i/>
        </w:rPr>
        <w:t xml:space="preserve"> (Compliance Labelling</w:t>
      </w:r>
      <w:r w:rsidR="001728F5" w:rsidRPr="006F3538">
        <w:rPr>
          <w:i/>
        </w:rPr>
        <w:t>—</w:t>
      </w:r>
      <w:r w:rsidR="00CE2609" w:rsidRPr="006F3538">
        <w:rPr>
          <w:i/>
        </w:rPr>
        <w:t>Electromagnetic Radiation) Notice</w:t>
      </w:r>
      <w:r w:rsidR="00D87EF9" w:rsidRPr="006F3538">
        <w:rPr>
          <w:i/>
        </w:rPr>
        <w:t> </w:t>
      </w:r>
      <w:r w:rsidR="00A862E1" w:rsidRPr="006F3538">
        <w:rPr>
          <w:i/>
        </w:rPr>
        <w:t>2014</w:t>
      </w:r>
      <w:r w:rsidRPr="00D87EF9">
        <w:t>.</w:t>
      </w:r>
    </w:p>
    <w:p w:rsidR="0035109E" w:rsidRPr="006F3538" w:rsidRDefault="0035109E" w:rsidP="006F3538">
      <w:pPr>
        <w:pStyle w:val="HR"/>
        <w:rPr>
          <w:rStyle w:val="CharSectno"/>
        </w:rPr>
      </w:pPr>
      <w:bookmarkStart w:id="5" w:name="_Toc350862619"/>
      <w:r w:rsidRPr="00D87EF9">
        <w:rPr>
          <w:rStyle w:val="CharSectno"/>
        </w:rPr>
        <w:t>2</w:t>
      </w:r>
      <w:r w:rsidR="001728F5" w:rsidRPr="006F3538">
        <w:rPr>
          <w:rStyle w:val="CharSectno"/>
        </w:rPr>
        <w:t xml:space="preserve">  </w:t>
      </w:r>
      <w:r w:rsidR="006F3538">
        <w:rPr>
          <w:rStyle w:val="CharSectno"/>
        </w:rPr>
        <w:tab/>
      </w:r>
      <w:r w:rsidRPr="006F3538">
        <w:rPr>
          <w:rStyle w:val="CharSectno"/>
        </w:rPr>
        <w:t>Commencement</w:t>
      </w:r>
      <w:bookmarkEnd w:id="5"/>
    </w:p>
    <w:p w:rsidR="0035109E" w:rsidRDefault="0035109E" w:rsidP="002F3B55">
      <w:pPr>
        <w:pStyle w:val="R1"/>
        <w:keepLines w:val="0"/>
        <w:ind w:left="993" w:hanging="517"/>
      </w:pPr>
      <w:r w:rsidRPr="00D87EF9">
        <w:tab/>
      </w:r>
      <w:r w:rsidR="002F3B55">
        <w:tab/>
      </w:r>
      <w:bookmarkStart w:id="6" w:name="_GoBack"/>
      <w:r w:rsidRPr="00D87EF9">
        <w:t xml:space="preserve">This Notice commences on </w:t>
      </w:r>
      <w:r w:rsidR="000E7C8E">
        <w:t>the later of</w:t>
      </w:r>
      <w:r w:rsidR="00387EF6">
        <w:t>:</w:t>
      </w:r>
    </w:p>
    <w:p w:rsidR="000E7C8E" w:rsidRDefault="000E7C8E" w:rsidP="000E7C8E">
      <w:pPr>
        <w:pStyle w:val="ACMABodyText"/>
        <w:spacing w:before="120" w:after="0"/>
        <w:ind w:left="1560" w:hanging="567"/>
        <w:rPr>
          <w:szCs w:val="21"/>
        </w:rPr>
      </w:pPr>
      <w:r>
        <w:rPr>
          <w:szCs w:val="21"/>
        </w:rPr>
        <w:t>(a)</w:t>
      </w:r>
      <w:r>
        <w:rPr>
          <w:szCs w:val="21"/>
        </w:rPr>
        <w:tab/>
      </w:r>
      <w:proofErr w:type="gramStart"/>
      <w:r>
        <w:rPr>
          <w:szCs w:val="21"/>
        </w:rPr>
        <w:t>the</w:t>
      </w:r>
      <w:proofErr w:type="gramEnd"/>
      <w:r>
        <w:rPr>
          <w:szCs w:val="21"/>
        </w:rPr>
        <w:t xml:space="preserve"> day after it is registered; and</w:t>
      </w:r>
    </w:p>
    <w:p w:rsidR="000E7C8E" w:rsidRDefault="000E7C8E" w:rsidP="000E7C8E">
      <w:pPr>
        <w:pStyle w:val="ACMABodyText"/>
        <w:spacing w:before="120" w:after="0"/>
        <w:ind w:left="1560" w:hanging="567"/>
        <w:rPr>
          <w:szCs w:val="21"/>
        </w:rPr>
      </w:pPr>
      <w:r>
        <w:rPr>
          <w:szCs w:val="21"/>
        </w:rPr>
        <w:t>(b)</w:t>
      </w:r>
      <w:r>
        <w:rPr>
          <w:szCs w:val="21"/>
        </w:rPr>
        <w:tab/>
      </w:r>
      <w:proofErr w:type="gramStart"/>
      <w:r>
        <w:rPr>
          <w:szCs w:val="21"/>
        </w:rPr>
        <w:t>the</w:t>
      </w:r>
      <w:proofErr w:type="gramEnd"/>
      <w:r>
        <w:rPr>
          <w:szCs w:val="21"/>
        </w:rPr>
        <w:t xml:space="preserve"> day on which it is published in the </w:t>
      </w:r>
      <w:r w:rsidRPr="001A38FD">
        <w:rPr>
          <w:i/>
          <w:szCs w:val="21"/>
        </w:rPr>
        <w:t>Gazette</w:t>
      </w:r>
      <w:r>
        <w:rPr>
          <w:szCs w:val="21"/>
        </w:rPr>
        <w:t>.</w:t>
      </w:r>
    </w:p>
    <w:bookmarkEnd w:id="6"/>
    <w:p w:rsidR="000E7C8E" w:rsidRPr="00387EF6" w:rsidRDefault="000E7C8E" w:rsidP="00387EF6">
      <w:pPr>
        <w:pStyle w:val="Note"/>
        <w:rPr>
          <w:iCs/>
          <w:szCs w:val="20"/>
        </w:rPr>
      </w:pPr>
      <w:r w:rsidRPr="00387EF6">
        <w:rPr>
          <w:i/>
          <w:iCs/>
          <w:szCs w:val="20"/>
        </w:rPr>
        <w:t xml:space="preserve">Note 1 </w:t>
      </w:r>
      <w:r w:rsidRPr="00387EF6">
        <w:rPr>
          <w:iCs/>
          <w:szCs w:val="20"/>
        </w:rPr>
        <w:t xml:space="preserve">All legislative instruments and compilations are registered on the Federal Register of Legislative Instruments kept under the </w:t>
      </w:r>
      <w:r w:rsidRPr="00387EF6">
        <w:rPr>
          <w:i/>
          <w:iCs/>
          <w:szCs w:val="20"/>
        </w:rPr>
        <w:t>Legislative Instruments Act 2003</w:t>
      </w:r>
      <w:r w:rsidRPr="00387EF6">
        <w:rPr>
          <w:iCs/>
          <w:szCs w:val="20"/>
        </w:rPr>
        <w:t>. See http://www.frli.gov.au.</w:t>
      </w:r>
    </w:p>
    <w:p w:rsidR="000E7C8E" w:rsidRPr="00387EF6" w:rsidRDefault="000E7C8E" w:rsidP="00387EF6">
      <w:pPr>
        <w:pStyle w:val="Note"/>
        <w:rPr>
          <w:i/>
          <w:iCs/>
          <w:szCs w:val="20"/>
        </w:rPr>
      </w:pPr>
      <w:r w:rsidRPr="00387EF6">
        <w:rPr>
          <w:i/>
          <w:iCs/>
          <w:szCs w:val="20"/>
        </w:rPr>
        <w:t>Note 2</w:t>
      </w:r>
      <w:r w:rsidR="00387EF6">
        <w:rPr>
          <w:i/>
          <w:iCs/>
          <w:szCs w:val="20"/>
        </w:rPr>
        <w:t xml:space="preserve"> </w:t>
      </w:r>
      <w:r w:rsidRPr="00387EF6">
        <w:rPr>
          <w:iCs/>
          <w:szCs w:val="20"/>
        </w:rPr>
        <w:t xml:space="preserve">Both of these events must occur before this </w:t>
      </w:r>
      <w:r w:rsidR="00387EF6">
        <w:rPr>
          <w:iCs/>
          <w:szCs w:val="20"/>
        </w:rPr>
        <w:t>Notice</w:t>
      </w:r>
      <w:r w:rsidRPr="00387EF6">
        <w:rPr>
          <w:iCs/>
          <w:szCs w:val="20"/>
        </w:rPr>
        <w:t xml:space="preserve"> commences. </w:t>
      </w:r>
    </w:p>
    <w:p w:rsidR="000E7C8E" w:rsidRPr="000E7C8E" w:rsidRDefault="000E7C8E" w:rsidP="000E7C8E"/>
    <w:p w:rsidR="0035109E" w:rsidRPr="002F3B55" w:rsidRDefault="0035109E" w:rsidP="002F3B55">
      <w:pPr>
        <w:pStyle w:val="HR"/>
        <w:rPr>
          <w:rStyle w:val="CharSectno"/>
        </w:rPr>
      </w:pPr>
      <w:bookmarkStart w:id="7" w:name="_Toc350862620"/>
      <w:r w:rsidRPr="00D87EF9">
        <w:rPr>
          <w:rStyle w:val="CharSectno"/>
        </w:rPr>
        <w:lastRenderedPageBreak/>
        <w:t>3</w:t>
      </w:r>
      <w:r w:rsidR="001728F5" w:rsidRPr="002F3B55">
        <w:rPr>
          <w:rStyle w:val="CharSectno"/>
        </w:rPr>
        <w:t xml:space="preserve">  </w:t>
      </w:r>
      <w:r w:rsidR="002F3B55">
        <w:rPr>
          <w:rStyle w:val="CharSectno"/>
        </w:rPr>
        <w:tab/>
      </w:r>
      <w:r w:rsidRPr="002F3B55">
        <w:rPr>
          <w:rStyle w:val="CharSectno"/>
        </w:rPr>
        <w:t>Revocation</w:t>
      </w:r>
      <w:bookmarkEnd w:id="7"/>
    </w:p>
    <w:p w:rsidR="0035109E" w:rsidRPr="00D87EF9" w:rsidRDefault="002F3B55" w:rsidP="002F3B55">
      <w:pPr>
        <w:pStyle w:val="R1"/>
        <w:keepLines w:val="0"/>
        <w:ind w:left="993" w:hanging="517"/>
      </w:pPr>
      <w:r>
        <w:tab/>
      </w:r>
      <w:r w:rsidR="0035109E" w:rsidRPr="00D87EF9">
        <w:tab/>
        <w:t xml:space="preserve">The </w:t>
      </w:r>
      <w:proofErr w:type="spellStart"/>
      <w:r w:rsidR="0035109E" w:rsidRPr="002F3B55">
        <w:rPr>
          <w:i/>
        </w:rPr>
        <w:t>Radiocommunications</w:t>
      </w:r>
      <w:proofErr w:type="spellEnd"/>
      <w:r w:rsidR="0035109E" w:rsidRPr="002F3B55">
        <w:rPr>
          <w:i/>
        </w:rPr>
        <w:t xml:space="preserve"> (Compliance Labelling</w:t>
      </w:r>
      <w:r w:rsidR="001728F5" w:rsidRPr="002F3B55">
        <w:rPr>
          <w:i/>
        </w:rPr>
        <w:t>—</w:t>
      </w:r>
      <w:r w:rsidR="0035109E" w:rsidRPr="002F3B55">
        <w:rPr>
          <w:i/>
        </w:rPr>
        <w:t>Electromagnetic Radiation) Notice</w:t>
      </w:r>
      <w:r w:rsidR="00D87EF9" w:rsidRPr="002F3B55">
        <w:rPr>
          <w:i/>
        </w:rPr>
        <w:t> </w:t>
      </w:r>
      <w:r w:rsidR="0035109E" w:rsidRPr="002F3B55">
        <w:rPr>
          <w:i/>
        </w:rPr>
        <w:t>200</w:t>
      </w:r>
      <w:r w:rsidR="00970D33" w:rsidRPr="002F3B55">
        <w:rPr>
          <w:i/>
        </w:rPr>
        <w:t>3</w:t>
      </w:r>
      <w:r w:rsidR="0035109E" w:rsidRPr="002F3B55">
        <w:rPr>
          <w:i/>
        </w:rPr>
        <w:t xml:space="preserve"> </w:t>
      </w:r>
      <w:r w:rsidR="00616E49">
        <w:t xml:space="preserve">[F2005B00259] </w:t>
      </w:r>
      <w:r w:rsidR="0035109E" w:rsidRPr="002D250B">
        <w:t>is revoked.</w:t>
      </w:r>
    </w:p>
    <w:p w:rsidR="0035109E" w:rsidRPr="002F3B55" w:rsidRDefault="0035109E" w:rsidP="00616E49">
      <w:pPr>
        <w:pStyle w:val="HR"/>
        <w:rPr>
          <w:rStyle w:val="CharSectno"/>
        </w:rPr>
      </w:pPr>
      <w:bookmarkStart w:id="8" w:name="_Toc350862621"/>
      <w:r w:rsidRPr="00D87EF9">
        <w:rPr>
          <w:rStyle w:val="CharSectno"/>
        </w:rPr>
        <w:t>4</w:t>
      </w:r>
      <w:r w:rsidR="001728F5" w:rsidRPr="002F3B55">
        <w:rPr>
          <w:rStyle w:val="CharSectno"/>
        </w:rPr>
        <w:t xml:space="preserve">  </w:t>
      </w:r>
      <w:r w:rsidR="002F3B55">
        <w:rPr>
          <w:rStyle w:val="CharSectno"/>
        </w:rPr>
        <w:tab/>
      </w:r>
      <w:r w:rsidRPr="002F3B55">
        <w:rPr>
          <w:rStyle w:val="CharSectno"/>
        </w:rPr>
        <w:t>Definitions</w:t>
      </w:r>
      <w:bookmarkEnd w:id="8"/>
    </w:p>
    <w:p w:rsidR="0035109E" w:rsidRPr="00D87EF9" w:rsidRDefault="0035109E" w:rsidP="00616E49">
      <w:pPr>
        <w:pStyle w:val="R1"/>
        <w:keepNext/>
        <w:keepLines w:val="0"/>
      </w:pPr>
      <w:r w:rsidRPr="00D87EF9">
        <w:tab/>
        <w:t>(1)</w:t>
      </w:r>
      <w:r w:rsidRPr="00D87EF9">
        <w:tab/>
        <w:t>In this Notice:</w:t>
      </w:r>
    </w:p>
    <w:p w:rsidR="003E13F3" w:rsidRPr="002F3B55" w:rsidRDefault="003E13F3" w:rsidP="00E46747">
      <w:pPr>
        <w:pStyle w:val="Definition"/>
        <w:spacing w:before="120"/>
        <w:ind w:left="993"/>
        <w:rPr>
          <w:sz w:val="24"/>
          <w:szCs w:val="24"/>
        </w:rPr>
      </w:pPr>
      <w:r w:rsidRPr="002F3B55">
        <w:rPr>
          <w:b/>
          <w:i/>
          <w:sz w:val="24"/>
          <w:szCs w:val="24"/>
        </w:rPr>
        <w:t>ABN</w:t>
      </w:r>
      <w:r w:rsidRPr="002F3B55">
        <w:rPr>
          <w:sz w:val="24"/>
          <w:szCs w:val="24"/>
        </w:rPr>
        <w:t xml:space="preserve"> has the same meaning as in the </w:t>
      </w:r>
      <w:r w:rsidRPr="002F3B55">
        <w:rPr>
          <w:i/>
          <w:sz w:val="24"/>
          <w:szCs w:val="24"/>
        </w:rPr>
        <w:t>A New Tax System (Australian Business Number) Act 1999</w:t>
      </w:r>
      <w:r w:rsidRPr="002F3B55">
        <w:rPr>
          <w:sz w:val="24"/>
          <w:szCs w:val="24"/>
        </w:rPr>
        <w:t>.</w:t>
      </w:r>
    </w:p>
    <w:p w:rsidR="0035109E" w:rsidRPr="002F3B55" w:rsidRDefault="0035109E" w:rsidP="00E46747">
      <w:pPr>
        <w:pStyle w:val="Definition"/>
        <w:spacing w:before="120"/>
        <w:ind w:left="993"/>
        <w:rPr>
          <w:sz w:val="24"/>
          <w:szCs w:val="24"/>
        </w:rPr>
      </w:pPr>
      <w:proofErr w:type="gramStart"/>
      <w:r w:rsidRPr="002F3B55">
        <w:rPr>
          <w:b/>
          <w:bCs/>
          <w:i/>
          <w:iCs/>
          <w:sz w:val="24"/>
          <w:szCs w:val="24"/>
        </w:rPr>
        <w:t>accredited</w:t>
      </w:r>
      <w:proofErr w:type="gramEnd"/>
      <w:r w:rsidRPr="002F3B55">
        <w:rPr>
          <w:b/>
          <w:bCs/>
          <w:i/>
          <w:iCs/>
          <w:sz w:val="24"/>
          <w:szCs w:val="24"/>
        </w:rPr>
        <w:t xml:space="preserve"> testing body</w:t>
      </w:r>
      <w:r w:rsidRPr="002F3B55">
        <w:rPr>
          <w:sz w:val="24"/>
          <w:szCs w:val="24"/>
        </w:rPr>
        <w:t xml:space="preserve"> means a laboratory that is described in </w:t>
      </w:r>
      <w:r w:rsidR="00D87EF9" w:rsidRPr="002F3B55">
        <w:rPr>
          <w:sz w:val="24"/>
          <w:szCs w:val="24"/>
        </w:rPr>
        <w:t>subsection (</w:t>
      </w:r>
      <w:r w:rsidRPr="002F3B55">
        <w:rPr>
          <w:sz w:val="24"/>
          <w:szCs w:val="24"/>
        </w:rPr>
        <w:t>2).</w:t>
      </w:r>
    </w:p>
    <w:p w:rsidR="0035109E" w:rsidRPr="002F3B55" w:rsidRDefault="0035109E" w:rsidP="00AE4A35">
      <w:pPr>
        <w:pStyle w:val="Definition"/>
        <w:spacing w:before="120"/>
        <w:ind w:left="993"/>
        <w:rPr>
          <w:sz w:val="24"/>
          <w:szCs w:val="24"/>
        </w:rPr>
      </w:pPr>
      <w:r w:rsidRPr="002F3B55">
        <w:rPr>
          <w:b/>
          <w:bCs/>
          <w:i/>
          <w:iCs/>
          <w:sz w:val="24"/>
          <w:szCs w:val="24"/>
        </w:rPr>
        <w:t>Act</w:t>
      </w:r>
      <w:r w:rsidRPr="002F3B55">
        <w:rPr>
          <w:sz w:val="24"/>
          <w:szCs w:val="24"/>
        </w:rPr>
        <w:t xml:space="preserve"> means the </w:t>
      </w:r>
      <w:proofErr w:type="spellStart"/>
      <w:r w:rsidRPr="002F3B55">
        <w:rPr>
          <w:i/>
          <w:iCs/>
          <w:sz w:val="24"/>
          <w:szCs w:val="24"/>
        </w:rPr>
        <w:t>Radiocommunications</w:t>
      </w:r>
      <w:proofErr w:type="spellEnd"/>
      <w:r w:rsidRPr="002F3B55">
        <w:rPr>
          <w:i/>
          <w:iCs/>
          <w:sz w:val="24"/>
          <w:szCs w:val="24"/>
        </w:rPr>
        <w:t xml:space="preserve"> Act 1992</w:t>
      </w:r>
      <w:r w:rsidRPr="002F3B55">
        <w:rPr>
          <w:sz w:val="24"/>
          <w:szCs w:val="24"/>
        </w:rPr>
        <w:t>.</w:t>
      </w:r>
    </w:p>
    <w:p w:rsidR="0035109E" w:rsidRPr="002F3B55" w:rsidRDefault="0035109E" w:rsidP="00AE4A35">
      <w:pPr>
        <w:pStyle w:val="Definition"/>
        <w:spacing w:before="120"/>
        <w:ind w:left="993"/>
        <w:rPr>
          <w:sz w:val="24"/>
          <w:szCs w:val="24"/>
        </w:rPr>
      </w:pPr>
      <w:proofErr w:type="gramStart"/>
      <w:r w:rsidRPr="002F3B55">
        <w:rPr>
          <w:b/>
          <w:bCs/>
          <w:i/>
          <w:iCs/>
          <w:sz w:val="24"/>
          <w:szCs w:val="24"/>
        </w:rPr>
        <w:t>agent</w:t>
      </w:r>
      <w:proofErr w:type="gramEnd"/>
      <w:r w:rsidRPr="002F3B55">
        <w:rPr>
          <w:sz w:val="24"/>
          <w:szCs w:val="24"/>
        </w:rPr>
        <w:t xml:space="preserve">, of a manufacturer or importer, means a person who is authorised in writing by the manufacturer or importer to act in Australia as an agent of the manufacturer or importer for </w:t>
      </w:r>
      <w:r w:rsidR="001728F5" w:rsidRPr="002F3B55">
        <w:rPr>
          <w:sz w:val="24"/>
          <w:szCs w:val="24"/>
        </w:rPr>
        <w:t>Division</w:t>
      </w:r>
      <w:r w:rsidR="00D87EF9" w:rsidRPr="002F3B55">
        <w:rPr>
          <w:sz w:val="24"/>
          <w:szCs w:val="24"/>
        </w:rPr>
        <w:t> </w:t>
      </w:r>
      <w:r w:rsidRPr="002F3B55">
        <w:rPr>
          <w:sz w:val="24"/>
          <w:szCs w:val="24"/>
        </w:rPr>
        <w:t xml:space="preserve">7 of </w:t>
      </w:r>
      <w:r w:rsidR="001728F5" w:rsidRPr="002F3B55">
        <w:rPr>
          <w:sz w:val="24"/>
          <w:szCs w:val="24"/>
        </w:rPr>
        <w:t>Part</w:t>
      </w:r>
      <w:r w:rsidR="00D87EF9" w:rsidRPr="002F3B55">
        <w:rPr>
          <w:sz w:val="24"/>
          <w:szCs w:val="24"/>
        </w:rPr>
        <w:t> </w:t>
      </w:r>
      <w:r w:rsidRPr="002F3B55">
        <w:rPr>
          <w:sz w:val="24"/>
          <w:szCs w:val="24"/>
        </w:rPr>
        <w:t>4.1 of the Act.</w:t>
      </w:r>
    </w:p>
    <w:p w:rsidR="0035109E" w:rsidRPr="002F3B55" w:rsidRDefault="0035109E" w:rsidP="00E46747">
      <w:pPr>
        <w:pStyle w:val="Definition"/>
        <w:spacing w:before="120"/>
        <w:ind w:left="993"/>
        <w:rPr>
          <w:sz w:val="24"/>
          <w:szCs w:val="24"/>
        </w:rPr>
      </w:pPr>
      <w:proofErr w:type="gramStart"/>
      <w:r w:rsidRPr="002F3B55">
        <w:rPr>
          <w:b/>
          <w:bCs/>
          <w:i/>
          <w:iCs/>
          <w:sz w:val="24"/>
          <w:szCs w:val="24"/>
        </w:rPr>
        <w:t>applicable</w:t>
      </w:r>
      <w:proofErr w:type="gramEnd"/>
      <w:r w:rsidRPr="002F3B55">
        <w:rPr>
          <w:b/>
          <w:bCs/>
          <w:i/>
          <w:iCs/>
          <w:sz w:val="24"/>
          <w:szCs w:val="24"/>
        </w:rPr>
        <w:t xml:space="preserve"> standard</w:t>
      </w:r>
      <w:r w:rsidRPr="002F3B55">
        <w:rPr>
          <w:sz w:val="24"/>
          <w:szCs w:val="24"/>
        </w:rPr>
        <w:t xml:space="preserve"> means the </w:t>
      </w:r>
      <w:proofErr w:type="spellStart"/>
      <w:r w:rsidRPr="002F3B55">
        <w:rPr>
          <w:i/>
          <w:iCs/>
          <w:sz w:val="24"/>
          <w:szCs w:val="24"/>
        </w:rPr>
        <w:t>Radiocommunications</w:t>
      </w:r>
      <w:proofErr w:type="spellEnd"/>
      <w:r w:rsidRPr="002F3B55">
        <w:rPr>
          <w:i/>
          <w:iCs/>
          <w:sz w:val="24"/>
          <w:szCs w:val="24"/>
        </w:rPr>
        <w:t xml:space="preserve"> (Electromagnetic Radiation</w:t>
      </w:r>
      <w:r w:rsidR="001728F5" w:rsidRPr="002F3B55">
        <w:rPr>
          <w:i/>
          <w:iCs/>
          <w:sz w:val="24"/>
          <w:szCs w:val="24"/>
        </w:rPr>
        <w:t>—</w:t>
      </w:r>
      <w:r w:rsidRPr="002F3B55">
        <w:rPr>
          <w:i/>
          <w:iCs/>
          <w:sz w:val="24"/>
          <w:szCs w:val="24"/>
        </w:rPr>
        <w:t xml:space="preserve">Human Exposure) Standard </w:t>
      </w:r>
      <w:r w:rsidR="00A862E1" w:rsidRPr="002F3B55">
        <w:rPr>
          <w:i/>
          <w:iCs/>
          <w:sz w:val="24"/>
          <w:szCs w:val="24"/>
        </w:rPr>
        <w:t>2014</w:t>
      </w:r>
      <w:r w:rsidRPr="002F3B55">
        <w:rPr>
          <w:sz w:val="24"/>
          <w:szCs w:val="24"/>
        </w:rPr>
        <w:t>, as in force from time to time.</w:t>
      </w:r>
    </w:p>
    <w:p w:rsidR="0035109E" w:rsidRPr="002F3B55" w:rsidRDefault="0035109E" w:rsidP="00E46747">
      <w:pPr>
        <w:pStyle w:val="Definition"/>
        <w:spacing w:before="120"/>
        <w:ind w:left="993"/>
        <w:rPr>
          <w:sz w:val="24"/>
          <w:szCs w:val="24"/>
        </w:rPr>
      </w:pPr>
      <w:r w:rsidRPr="002F3B55">
        <w:rPr>
          <w:b/>
          <w:bCs/>
          <w:i/>
          <w:iCs/>
          <w:sz w:val="24"/>
          <w:szCs w:val="24"/>
        </w:rPr>
        <w:t>ARPANSA standard</w:t>
      </w:r>
      <w:r w:rsidRPr="002F3B55">
        <w:rPr>
          <w:b/>
          <w:bCs/>
          <w:sz w:val="24"/>
          <w:szCs w:val="24"/>
        </w:rPr>
        <w:t xml:space="preserve"> </w:t>
      </w:r>
      <w:r w:rsidRPr="002F3B55">
        <w:rPr>
          <w:sz w:val="24"/>
          <w:szCs w:val="24"/>
        </w:rPr>
        <w:t xml:space="preserve">means the </w:t>
      </w:r>
      <w:r w:rsidRPr="002F3B55">
        <w:rPr>
          <w:i/>
          <w:iCs/>
          <w:sz w:val="24"/>
          <w:szCs w:val="24"/>
        </w:rPr>
        <w:t>Radiation Protection Standard for Maximum Exposure Levels to Radiofrequency Fields</w:t>
      </w:r>
      <w:r w:rsidR="004370B9" w:rsidRPr="002F3B55">
        <w:rPr>
          <w:i/>
          <w:iCs/>
          <w:sz w:val="24"/>
          <w:szCs w:val="24"/>
        </w:rPr>
        <w:t>—</w:t>
      </w:r>
      <w:r w:rsidRPr="002F3B55">
        <w:rPr>
          <w:i/>
          <w:iCs/>
          <w:sz w:val="24"/>
          <w:szCs w:val="24"/>
        </w:rPr>
        <w:t>3</w:t>
      </w:r>
      <w:r w:rsidR="004370B9" w:rsidRPr="002F3B55">
        <w:rPr>
          <w:i/>
          <w:iCs/>
          <w:sz w:val="24"/>
          <w:szCs w:val="24"/>
        </w:rPr>
        <w:t xml:space="preserve"> </w:t>
      </w:r>
      <w:r w:rsidRPr="002F3B55">
        <w:rPr>
          <w:i/>
          <w:iCs/>
          <w:sz w:val="24"/>
          <w:szCs w:val="24"/>
        </w:rPr>
        <w:t>kHz</w:t>
      </w:r>
      <w:r w:rsidR="004370B9" w:rsidRPr="002F3B55">
        <w:rPr>
          <w:i/>
          <w:iCs/>
          <w:sz w:val="24"/>
          <w:szCs w:val="24"/>
        </w:rPr>
        <w:t xml:space="preserve"> </w:t>
      </w:r>
      <w:r w:rsidRPr="002F3B55">
        <w:rPr>
          <w:i/>
          <w:iCs/>
          <w:sz w:val="24"/>
          <w:szCs w:val="24"/>
        </w:rPr>
        <w:t>to 300</w:t>
      </w:r>
      <w:r w:rsidR="004370B9" w:rsidRPr="002F3B55">
        <w:rPr>
          <w:i/>
          <w:iCs/>
          <w:sz w:val="24"/>
          <w:szCs w:val="24"/>
        </w:rPr>
        <w:t xml:space="preserve"> </w:t>
      </w:r>
      <w:r w:rsidRPr="002F3B55">
        <w:rPr>
          <w:i/>
          <w:iCs/>
          <w:sz w:val="24"/>
          <w:szCs w:val="24"/>
        </w:rPr>
        <w:t>GHz</w:t>
      </w:r>
      <w:r w:rsidRPr="002F3B55">
        <w:rPr>
          <w:sz w:val="24"/>
          <w:szCs w:val="24"/>
        </w:rPr>
        <w:t xml:space="preserve"> published by the Australian Radiation Protection and Nuclear Safety Agency.</w:t>
      </w:r>
    </w:p>
    <w:p w:rsidR="0035109E" w:rsidRPr="002F3B55" w:rsidRDefault="001728F5" w:rsidP="002F3B55">
      <w:pPr>
        <w:pStyle w:val="Note"/>
        <w:rPr>
          <w:i/>
          <w:iCs/>
          <w:szCs w:val="20"/>
        </w:rPr>
      </w:pPr>
      <w:r w:rsidRPr="002F3B55">
        <w:rPr>
          <w:i/>
          <w:iCs/>
          <w:szCs w:val="20"/>
        </w:rPr>
        <w:t>Note</w:t>
      </w:r>
      <w:r w:rsidR="002F3B55" w:rsidRPr="002F3B55">
        <w:rPr>
          <w:i/>
          <w:iCs/>
          <w:szCs w:val="20"/>
        </w:rPr>
        <w:tab/>
      </w:r>
      <w:r w:rsidR="0035109E" w:rsidRPr="002F3B55">
        <w:rPr>
          <w:iCs/>
          <w:szCs w:val="20"/>
        </w:rPr>
        <w:t xml:space="preserve">The ARPANSA standard may be obtained from the Australian Radiation Protection and Nuclear Safety Agency website </w:t>
      </w:r>
      <w:hyperlink r:id="rId14" w:history="1"/>
      <w:hyperlink r:id="rId15" w:history="1">
        <w:r w:rsidR="002F3B55" w:rsidRPr="002F3B55">
          <w:rPr>
            <w:rStyle w:val="Hyperlink"/>
            <w:iCs/>
            <w:szCs w:val="20"/>
          </w:rPr>
          <w:t>http://www.arpansa.gov.au</w:t>
        </w:r>
      </w:hyperlink>
      <w:r w:rsidR="0035109E" w:rsidRPr="002F3B55">
        <w:rPr>
          <w:iCs/>
          <w:szCs w:val="20"/>
        </w:rPr>
        <w:t>.</w:t>
      </w:r>
    </w:p>
    <w:p w:rsidR="009D5A17" w:rsidRPr="002F3B55" w:rsidRDefault="009D5A17" w:rsidP="00E46747">
      <w:pPr>
        <w:pStyle w:val="Definition"/>
        <w:spacing w:before="120"/>
        <w:ind w:left="993"/>
        <w:rPr>
          <w:sz w:val="24"/>
          <w:szCs w:val="24"/>
        </w:rPr>
      </w:pPr>
      <w:r w:rsidRPr="002F3B55">
        <w:rPr>
          <w:b/>
          <w:i/>
          <w:sz w:val="24"/>
          <w:szCs w:val="24"/>
        </w:rPr>
        <w:t>AS/NZS 4417.1</w:t>
      </w:r>
      <w:r w:rsidRPr="002F3B55">
        <w:rPr>
          <w:sz w:val="24"/>
          <w:szCs w:val="24"/>
        </w:rPr>
        <w:t xml:space="preserve"> means the Australian/New Zealand Standard </w:t>
      </w:r>
      <w:r w:rsidR="00472C22">
        <w:rPr>
          <w:i/>
          <w:sz w:val="24"/>
          <w:szCs w:val="24"/>
        </w:rPr>
        <w:t xml:space="preserve">Regulatory compliance </w:t>
      </w:r>
      <w:r w:rsidR="00472C22" w:rsidRPr="00AD2D96">
        <w:rPr>
          <w:i/>
          <w:sz w:val="24"/>
          <w:szCs w:val="24"/>
        </w:rPr>
        <w:t>mark</w:t>
      </w:r>
      <w:r w:rsidRPr="00AD2D96">
        <w:rPr>
          <w:i/>
          <w:sz w:val="24"/>
          <w:szCs w:val="24"/>
        </w:rPr>
        <w:t xml:space="preserve"> </w:t>
      </w:r>
      <w:r w:rsidR="00472C22" w:rsidRPr="00AD2D96">
        <w:rPr>
          <w:i/>
          <w:sz w:val="24"/>
          <w:szCs w:val="24"/>
        </w:rPr>
        <w:t>for electrical and electronic equipment – Use of the mark</w:t>
      </w:r>
      <w:r w:rsidR="00472C22">
        <w:rPr>
          <w:sz w:val="24"/>
          <w:szCs w:val="24"/>
        </w:rPr>
        <w:t xml:space="preserve"> </w:t>
      </w:r>
      <w:r w:rsidRPr="002F3B55">
        <w:rPr>
          <w:sz w:val="24"/>
          <w:szCs w:val="24"/>
        </w:rPr>
        <w:t>published by Standards Australia</w:t>
      </w:r>
      <w:r w:rsidR="000601AC">
        <w:rPr>
          <w:sz w:val="24"/>
          <w:szCs w:val="24"/>
        </w:rPr>
        <w:t xml:space="preserve"> Limited</w:t>
      </w:r>
      <w:r w:rsidRPr="002F3B55">
        <w:rPr>
          <w:sz w:val="24"/>
          <w:szCs w:val="24"/>
        </w:rPr>
        <w:t>.</w:t>
      </w:r>
    </w:p>
    <w:p w:rsidR="00920C52" w:rsidRPr="002F3B55" w:rsidRDefault="00920C52" w:rsidP="002F3B55">
      <w:pPr>
        <w:pStyle w:val="notetext"/>
        <w:ind w:left="993" w:firstLine="0"/>
        <w:rPr>
          <w:sz w:val="20"/>
        </w:rPr>
      </w:pPr>
      <w:r w:rsidRPr="002F3B55">
        <w:rPr>
          <w:i/>
          <w:iCs/>
          <w:sz w:val="20"/>
        </w:rPr>
        <w:t>Note</w:t>
      </w:r>
      <w:r w:rsidRPr="002F3B55">
        <w:rPr>
          <w:iCs/>
          <w:sz w:val="20"/>
        </w:rPr>
        <w:tab/>
        <w:t xml:space="preserve">The </w:t>
      </w:r>
      <w:r w:rsidRPr="002F3B55">
        <w:rPr>
          <w:i/>
          <w:iCs/>
          <w:sz w:val="20"/>
        </w:rPr>
        <w:t>AS/NZ</w:t>
      </w:r>
      <w:r w:rsidR="00571239" w:rsidRPr="002F3B55">
        <w:rPr>
          <w:i/>
          <w:iCs/>
          <w:sz w:val="20"/>
        </w:rPr>
        <w:t>S</w:t>
      </w:r>
      <w:r w:rsidRPr="002F3B55">
        <w:rPr>
          <w:i/>
          <w:iCs/>
          <w:sz w:val="20"/>
        </w:rPr>
        <w:t xml:space="preserve"> 4417.1 </w:t>
      </w:r>
      <w:r w:rsidRPr="002F3B55">
        <w:rPr>
          <w:sz w:val="20"/>
        </w:rPr>
        <w:t xml:space="preserve">may be obtained from </w:t>
      </w:r>
      <w:r w:rsidR="000321C0" w:rsidRPr="002F3B55">
        <w:rPr>
          <w:sz w:val="20"/>
        </w:rPr>
        <w:t>SAI Global Ltd</w:t>
      </w:r>
      <w:r w:rsidRPr="002F3B55">
        <w:rPr>
          <w:sz w:val="20"/>
        </w:rPr>
        <w:t xml:space="preserve"> through its website </w:t>
      </w:r>
      <w:hyperlink r:id="rId16" w:history="1">
        <w:r w:rsidR="00F028BF" w:rsidRPr="002F3B55">
          <w:rPr>
            <w:rStyle w:val="Hyperlink"/>
            <w:sz w:val="20"/>
          </w:rPr>
          <w:t>http://www.saiglobal.com</w:t>
        </w:r>
      </w:hyperlink>
    </w:p>
    <w:p w:rsidR="0035109E" w:rsidRPr="002F3B55" w:rsidRDefault="0035109E" w:rsidP="00E46747">
      <w:pPr>
        <w:pStyle w:val="Definition"/>
        <w:spacing w:before="120"/>
        <w:ind w:left="993"/>
        <w:rPr>
          <w:sz w:val="24"/>
          <w:szCs w:val="24"/>
        </w:rPr>
      </w:pPr>
      <w:proofErr w:type="gramStart"/>
      <w:r w:rsidRPr="002F3B55">
        <w:rPr>
          <w:b/>
          <w:bCs/>
          <w:i/>
          <w:iCs/>
          <w:sz w:val="24"/>
          <w:szCs w:val="24"/>
        </w:rPr>
        <w:t>authorised</w:t>
      </w:r>
      <w:proofErr w:type="gramEnd"/>
      <w:r w:rsidRPr="002F3B55">
        <w:rPr>
          <w:b/>
          <w:bCs/>
          <w:i/>
          <w:iCs/>
          <w:sz w:val="24"/>
          <w:szCs w:val="24"/>
        </w:rPr>
        <w:t xml:space="preserve"> officer</w:t>
      </w:r>
      <w:r w:rsidRPr="002F3B55">
        <w:rPr>
          <w:sz w:val="24"/>
          <w:szCs w:val="24"/>
        </w:rPr>
        <w:t xml:space="preserve"> means:</w:t>
      </w:r>
    </w:p>
    <w:p w:rsidR="0035109E" w:rsidRPr="002F3B55" w:rsidRDefault="0035109E" w:rsidP="002F3B55">
      <w:pPr>
        <w:pStyle w:val="P1"/>
      </w:pPr>
      <w:r w:rsidRPr="002F3B55">
        <w:tab/>
        <w:t>(a)</w:t>
      </w:r>
      <w:r w:rsidRPr="002F3B55">
        <w:tab/>
      </w:r>
      <w:proofErr w:type="gramStart"/>
      <w:r w:rsidRPr="002F3B55">
        <w:t>an</w:t>
      </w:r>
      <w:proofErr w:type="gramEnd"/>
      <w:r w:rsidRPr="002F3B55">
        <w:t xml:space="preserve"> inspector under subsection</w:t>
      </w:r>
      <w:r w:rsidR="00D87EF9" w:rsidRPr="002F3B55">
        <w:t> </w:t>
      </w:r>
      <w:r w:rsidRPr="002F3B55">
        <w:t>267(1) of the Act; or</w:t>
      </w:r>
    </w:p>
    <w:p w:rsidR="0035109E" w:rsidRPr="002F3B55" w:rsidRDefault="0035109E" w:rsidP="002F3B55">
      <w:pPr>
        <w:pStyle w:val="P1"/>
      </w:pPr>
      <w:r w:rsidRPr="002F3B55">
        <w:tab/>
        <w:t>(b)</w:t>
      </w:r>
      <w:r w:rsidRPr="002F3B55">
        <w:tab/>
      </w:r>
      <w:proofErr w:type="gramStart"/>
      <w:r w:rsidRPr="002F3B55">
        <w:t>a</w:t>
      </w:r>
      <w:proofErr w:type="gramEnd"/>
      <w:r w:rsidRPr="002F3B55">
        <w:t xml:space="preserve"> person authorised in writing by the </w:t>
      </w:r>
      <w:r w:rsidR="00E305A5" w:rsidRPr="002F3B55">
        <w:t>ACMA</w:t>
      </w:r>
      <w:r w:rsidRPr="002F3B55">
        <w:t xml:space="preserve"> </w:t>
      </w:r>
      <w:r w:rsidR="00A338DE" w:rsidRPr="002F3B55">
        <w:t>to act as an authorised officer for the purposes of this Notice</w:t>
      </w:r>
      <w:r w:rsidRPr="002F3B55">
        <w:t>.</w:t>
      </w:r>
    </w:p>
    <w:p w:rsidR="00CE2609" w:rsidRPr="002F3B55" w:rsidRDefault="00CE2609" w:rsidP="00E46747">
      <w:pPr>
        <w:pStyle w:val="Definition"/>
        <w:spacing w:before="120"/>
        <w:ind w:left="993"/>
        <w:rPr>
          <w:sz w:val="24"/>
          <w:szCs w:val="24"/>
        </w:rPr>
      </w:pPr>
      <w:proofErr w:type="gramStart"/>
      <w:r w:rsidRPr="002F3B55">
        <w:rPr>
          <w:b/>
          <w:bCs/>
          <w:i/>
          <w:iCs/>
          <w:sz w:val="24"/>
          <w:szCs w:val="24"/>
        </w:rPr>
        <w:t>aware</w:t>
      </w:r>
      <w:proofErr w:type="gramEnd"/>
      <w:r w:rsidRPr="002F3B55">
        <w:rPr>
          <w:b/>
          <w:bCs/>
          <w:i/>
          <w:iCs/>
          <w:sz w:val="24"/>
          <w:szCs w:val="24"/>
        </w:rPr>
        <w:t xml:space="preserve"> user device</w:t>
      </w:r>
      <w:r w:rsidRPr="002F3B55">
        <w:rPr>
          <w:sz w:val="24"/>
          <w:szCs w:val="24"/>
        </w:rPr>
        <w:t xml:space="preserve"> means a hand</w:t>
      </w:r>
      <w:r w:rsidR="00D87EF9" w:rsidRPr="002F3B55">
        <w:rPr>
          <w:sz w:val="24"/>
          <w:szCs w:val="24"/>
        </w:rPr>
        <w:noBreakHyphen/>
      </w:r>
      <w:r w:rsidRPr="002F3B55">
        <w:rPr>
          <w:sz w:val="24"/>
          <w:szCs w:val="24"/>
        </w:rPr>
        <w:t>held or body</w:t>
      </w:r>
      <w:r w:rsidR="00D87EF9" w:rsidRPr="002F3B55">
        <w:rPr>
          <w:sz w:val="24"/>
          <w:szCs w:val="24"/>
        </w:rPr>
        <w:noBreakHyphen/>
      </w:r>
      <w:r w:rsidRPr="002F3B55">
        <w:rPr>
          <w:sz w:val="24"/>
          <w:szCs w:val="24"/>
        </w:rPr>
        <w:t xml:space="preserve">worn </w:t>
      </w:r>
      <w:proofErr w:type="spellStart"/>
      <w:r w:rsidRPr="002F3B55">
        <w:rPr>
          <w:sz w:val="24"/>
          <w:szCs w:val="24"/>
        </w:rPr>
        <w:t>radiocommunications</w:t>
      </w:r>
      <w:proofErr w:type="spellEnd"/>
      <w:r w:rsidRPr="002F3B55">
        <w:rPr>
          <w:sz w:val="24"/>
          <w:szCs w:val="24"/>
        </w:rPr>
        <w:t xml:space="preserve"> transmitter that operates on a push</w:t>
      </w:r>
      <w:r w:rsidR="00D87EF9" w:rsidRPr="002F3B55">
        <w:rPr>
          <w:sz w:val="24"/>
          <w:szCs w:val="24"/>
        </w:rPr>
        <w:noBreakHyphen/>
      </w:r>
      <w:r w:rsidRPr="002F3B55">
        <w:rPr>
          <w:sz w:val="24"/>
          <w:szCs w:val="24"/>
        </w:rPr>
        <w:t>to</w:t>
      </w:r>
      <w:r w:rsidR="00D87EF9" w:rsidRPr="002F3B55">
        <w:rPr>
          <w:sz w:val="24"/>
          <w:szCs w:val="24"/>
        </w:rPr>
        <w:noBreakHyphen/>
      </w:r>
      <w:r w:rsidRPr="002F3B55">
        <w:rPr>
          <w:sz w:val="24"/>
          <w:szCs w:val="24"/>
        </w:rPr>
        <w:t>talk basis and is intended for use as:</w:t>
      </w:r>
    </w:p>
    <w:p w:rsidR="00CE2609" w:rsidRPr="002F3B55" w:rsidRDefault="00CE2609" w:rsidP="002F3B55">
      <w:pPr>
        <w:pStyle w:val="P1"/>
      </w:pPr>
      <w:r w:rsidRPr="002F3B55">
        <w:tab/>
        <w:t>(a)</w:t>
      </w:r>
      <w:r w:rsidRPr="002F3B55">
        <w:tab/>
      </w:r>
      <w:proofErr w:type="gramStart"/>
      <w:r w:rsidRPr="002F3B55">
        <w:t>an</w:t>
      </w:r>
      <w:proofErr w:type="gramEnd"/>
      <w:r w:rsidRPr="002F3B55">
        <w:t xml:space="preserve"> ambulatory station; or</w:t>
      </w:r>
    </w:p>
    <w:p w:rsidR="00CE2609" w:rsidRPr="002F3B55" w:rsidRDefault="00CE2609" w:rsidP="002F3B55">
      <w:pPr>
        <w:pStyle w:val="P1"/>
      </w:pPr>
      <w:r w:rsidRPr="002F3B55">
        <w:tab/>
        <w:t>(b)</w:t>
      </w:r>
      <w:r w:rsidRPr="002F3B55">
        <w:tab/>
      </w:r>
      <w:proofErr w:type="gramStart"/>
      <w:r w:rsidRPr="002F3B55">
        <w:t>a</w:t>
      </w:r>
      <w:proofErr w:type="gramEnd"/>
      <w:r w:rsidRPr="002F3B55">
        <w:t xml:space="preserve"> land mobile system station; or</w:t>
      </w:r>
    </w:p>
    <w:p w:rsidR="00CE2609" w:rsidRPr="002F3B55" w:rsidRDefault="00CE2609" w:rsidP="002F3B55">
      <w:pPr>
        <w:pStyle w:val="P1"/>
      </w:pPr>
      <w:r w:rsidRPr="002F3B55">
        <w:tab/>
        <w:t>(c)</w:t>
      </w:r>
      <w:r w:rsidRPr="002F3B55">
        <w:tab/>
      </w:r>
      <w:proofErr w:type="gramStart"/>
      <w:r w:rsidRPr="002F3B55">
        <w:t>a</w:t>
      </w:r>
      <w:proofErr w:type="gramEnd"/>
      <w:r w:rsidRPr="002F3B55">
        <w:t xml:space="preserve"> maritime ship station; or</w:t>
      </w:r>
    </w:p>
    <w:p w:rsidR="00CE2609" w:rsidRPr="002F3B55" w:rsidRDefault="00CE2609" w:rsidP="002F3B55">
      <w:pPr>
        <w:pStyle w:val="P1"/>
      </w:pPr>
      <w:r w:rsidRPr="002F3B55">
        <w:tab/>
        <w:t>(d)</w:t>
      </w:r>
      <w:r w:rsidRPr="002F3B55">
        <w:tab/>
      </w:r>
      <w:proofErr w:type="gramStart"/>
      <w:r w:rsidRPr="002F3B55">
        <w:t>a</w:t>
      </w:r>
      <w:proofErr w:type="gramEnd"/>
      <w:r w:rsidRPr="002F3B55">
        <w:t xml:space="preserve"> citizens band radio station; or</w:t>
      </w:r>
    </w:p>
    <w:p w:rsidR="00CE2609" w:rsidRPr="002F3B55" w:rsidRDefault="00CE2609" w:rsidP="002F3B55">
      <w:pPr>
        <w:pStyle w:val="P1"/>
      </w:pPr>
      <w:r w:rsidRPr="002F3B55">
        <w:tab/>
        <w:t>(e)</w:t>
      </w:r>
      <w:r w:rsidRPr="002F3B55">
        <w:tab/>
      </w:r>
      <w:proofErr w:type="gramStart"/>
      <w:r w:rsidRPr="002F3B55">
        <w:t>an</w:t>
      </w:r>
      <w:proofErr w:type="gramEnd"/>
      <w:r w:rsidRPr="002F3B55">
        <w:t xml:space="preserve"> amateur station.</w:t>
      </w:r>
    </w:p>
    <w:p w:rsidR="00CE2609" w:rsidRPr="002F3B55" w:rsidRDefault="00CE2609" w:rsidP="00E46747">
      <w:pPr>
        <w:pStyle w:val="Definition"/>
        <w:spacing w:before="120"/>
        <w:ind w:left="993"/>
        <w:rPr>
          <w:sz w:val="24"/>
          <w:szCs w:val="24"/>
        </w:rPr>
      </w:pPr>
      <w:proofErr w:type="gramStart"/>
      <w:r w:rsidRPr="002F3B55">
        <w:rPr>
          <w:b/>
          <w:i/>
          <w:sz w:val="24"/>
          <w:szCs w:val="24"/>
        </w:rPr>
        <w:t>built</w:t>
      </w:r>
      <w:r w:rsidR="00D87EF9" w:rsidRPr="002F3B55">
        <w:rPr>
          <w:b/>
          <w:i/>
          <w:sz w:val="24"/>
          <w:szCs w:val="24"/>
        </w:rPr>
        <w:noBreakHyphen/>
      </w:r>
      <w:r w:rsidRPr="002F3B55">
        <w:rPr>
          <w:b/>
          <w:i/>
          <w:sz w:val="24"/>
          <w:szCs w:val="24"/>
        </w:rPr>
        <w:t>in</w:t>
      </w:r>
      <w:proofErr w:type="gramEnd"/>
      <w:r w:rsidRPr="002F3B55">
        <w:rPr>
          <w:b/>
          <w:i/>
          <w:sz w:val="24"/>
          <w:szCs w:val="24"/>
        </w:rPr>
        <w:t xml:space="preserve"> display</w:t>
      </w:r>
      <w:r w:rsidRPr="002F3B55">
        <w:rPr>
          <w:sz w:val="24"/>
          <w:szCs w:val="24"/>
        </w:rPr>
        <w:t>, for a device, means an electronic display or screen integral to the device, and does not include a display or screen that can be used independently of the device.</w:t>
      </w:r>
    </w:p>
    <w:p w:rsidR="0035109E" w:rsidRPr="002F3B55" w:rsidRDefault="0035109E" w:rsidP="00E46747">
      <w:pPr>
        <w:pStyle w:val="Definition"/>
        <w:spacing w:before="120"/>
        <w:ind w:left="993"/>
        <w:rPr>
          <w:sz w:val="24"/>
          <w:szCs w:val="24"/>
        </w:rPr>
      </w:pPr>
      <w:proofErr w:type="gramStart"/>
      <w:r w:rsidRPr="002F3B55">
        <w:rPr>
          <w:b/>
          <w:bCs/>
          <w:i/>
          <w:iCs/>
          <w:sz w:val="24"/>
          <w:szCs w:val="24"/>
        </w:rPr>
        <w:t>category</w:t>
      </w:r>
      <w:proofErr w:type="gramEnd"/>
      <w:r w:rsidRPr="002F3B55">
        <w:rPr>
          <w:b/>
          <w:bCs/>
          <w:i/>
          <w:iCs/>
          <w:sz w:val="24"/>
          <w:szCs w:val="24"/>
        </w:rPr>
        <w:t xml:space="preserve"> A device</w:t>
      </w:r>
      <w:r w:rsidRPr="002F3B55">
        <w:rPr>
          <w:sz w:val="24"/>
          <w:szCs w:val="24"/>
        </w:rPr>
        <w:t xml:space="preserve"> has the meaning given by section</w:t>
      </w:r>
      <w:r w:rsidR="00D87EF9" w:rsidRPr="002F3B55">
        <w:rPr>
          <w:sz w:val="24"/>
          <w:szCs w:val="24"/>
        </w:rPr>
        <w:t> </w:t>
      </w:r>
      <w:r w:rsidRPr="002F3B55">
        <w:rPr>
          <w:sz w:val="24"/>
          <w:szCs w:val="24"/>
        </w:rPr>
        <w:t>5.</w:t>
      </w:r>
    </w:p>
    <w:p w:rsidR="0035109E" w:rsidRPr="002F3B55" w:rsidRDefault="0035109E" w:rsidP="00E46747">
      <w:pPr>
        <w:pStyle w:val="Definition"/>
        <w:spacing w:before="120"/>
        <w:ind w:left="993"/>
        <w:rPr>
          <w:sz w:val="24"/>
          <w:szCs w:val="24"/>
        </w:rPr>
      </w:pPr>
      <w:proofErr w:type="gramStart"/>
      <w:r w:rsidRPr="002F3B55">
        <w:rPr>
          <w:b/>
          <w:bCs/>
          <w:i/>
          <w:iCs/>
          <w:sz w:val="24"/>
          <w:szCs w:val="24"/>
        </w:rPr>
        <w:lastRenderedPageBreak/>
        <w:t>category</w:t>
      </w:r>
      <w:proofErr w:type="gramEnd"/>
      <w:r w:rsidRPr="002F3B55">
        <w:rPr>
          <w:b/>
          <w:bCs/>
          <w:i/>
          <w:iCs/>
          <w:sz w:val="24"/>
          <w:szCs w:val="24"/>
        </w:rPr>
        <w:t xml:space="preserve"> B device</w:t>
      </w:r>
      <w:r w:rsidRPr="002F3B55">
        <w:rPr>
          <w:sz w:val="24"/>
          <w:szCs w:val="24"/>
        </w:rPr>
        <w:t xml:space="preserve"> means a device that is not a category A device.</w:t>
      </w:r>
    </w:p>
    <w:p w:rsidR="0035109E" w:rsidRPr="002F3B55" w:rsidRDefault="0035109E" w:rsidP="00E46747">
      <w:pPr>
        <w:pStyle w:val="Definition"/>
        <w:keepNext/>
        <w:spacing w:before="120"/>
        <w:ind w:left="993"/>
        <w:rPr>
          <w:sz w:val="24"/>
          <w:szCs w:val="24"/>
        </w:rPr>
      </w:pPr>
      <w:proofErr w:type="gramStart"/>
      <w:r w:rsidRPr="002F3B55">
        <w:rPr>
          <w:b/>
          <w:bCs/>
          <w:i/>
          <w:iCs/>
          <w:sz w:val="24"/>
          <w:szCs w:val="24"/>
        </w:rPr>
        <w:t>compliance</w:t>
      </w:r>
      <w:proofErr w:type="gramEnd"/>
      <w:r w:rsidRPr="002F3B55">
        <w:rPr>
          <w:b/>
          <w:bCs/>
          <w:i/>
          <w:iCs/>
          <w:sz w:val="24"/>
          <w:szCs w:val="24"/>
        </w:rPr>
        <w:t xml:space="preserve"> label</w:t>
      </w:r>
      <w:r w:rsidRPr="002F3B55">
        <w:rPr>
          <w:sz w:val="24"/>
          <w:szCs w:val="24"/>
        </w:rPr>
        <w:t xml:space="preserve"> has the meaning given by subsection</w:t>
      </w:r>
      <w:r w:rsidR="00D87EF9" w:rsidRPr="002F3B55">
        <w:rPr>
          <w:sz w:val="24"/>
          <w:szCs w:val="24"/>
        </w:rPr>
        <w:t> </w:t>
      </w:r>
      <w:r w:rsidRPr="002F3B55">
        <w:rPr>
          <w:sz w:val="24"/>
          <w:szCs w:val="24"/>
        </w:rPr>
        <w:t>19(1).</w:t>
      </w:r>
    </w:p>
    <w:p w:rsidR="003E13F3" w:rsidRPr="002F3B55" w:rsidRDefault="003E13F3" w:rsidP="00E46747">
      <w:pPr>
        <w:pStyle w:val="Definition"/>
        <w:spacing w:before="120"/>
        <w:ind w:left="993"/>
        <w:rPr>
          <w:sz w:val="24"/>
          <w:szCs w:val="24"/>
        </w:rPr>
      </w:pPr>
      <w:proofErr w:type="gramStart"/>
      <w:r w:rsidRPr="002F3B55">
        <w:rPr>
          <w:b/>
          <w:bCs/>
          <w:i/>
          <w:iCs/>
          <w:sz w:val="24"/>
          <w:szCs w:val="24"/>
        </w:rPr>
        <w:t>compliance</w:t>
      </w:r>
      <w:proofErr w:type="gramEnd"/>
      <w:r w:rsidRPr="002F3B55">
        <w:rPr>
          <w:b/>
          <w:bCs/>
          <w:i/>
          <w:iCs/>
          <w:sz w:val="24"/>
          <w:szCs w:val="24"/>
        </w:rPr>
        <w:t xml:space="preserve"> mark</w:t>
      </w:r>
      <w:r w:rsidRPr="002F3B55">
        <w:rPr>
          <w:sz w:val="24"/>
          <w:szCs w:val="24"/>
        </w:rPr>
        <w:t xml:space="preserve"> means the C</w:t>
      </w:r>
      <w:r w:rsidR="00D87EF9" w:rsidRPr="002F3B55">
        <w:rPr>
          <w:sz w:val="24"/>
          <w:szCs w:val="24"/>
        </w:rPr>
        <w:noBreakHyphen/>
      </w:r>
      <w:r w:rsidRPr="002F3B55">
        <w:rPr>
          <w:sz w:val="24"/>
          <w:szCs w:val="24"/>
        </w:rPr>
        <w:t>Tick mark or the RCM.</w:t>
      </w:r>
    </w:p>
    <w:p w:rsidR="0035109E" w:rsidRPr="002F3B55" w:rsidRDefault="0035109E" w:rsidP="00E46747">
      <w:pPr>
        <w:pStyle w:val="Definition"/>
        <w:spacing w:before="120"/>
        <w:ind w:left="993"/>
        <w:rPr>
          <w:sz w:val="24"/>
          <w:szCs w:val="24"/>
        </w:rPr>
      </w:pPr>
      <w:proofErr w:type="gramStart"/>
      <w:r w:rsidRPr="002F3B55">
        <w:rPr>
          <w:b/>
          <w:bCs/>
          <w:i/>
          <w:iCs/>
          <w:sz w:val="24"/>
          <w:szCs w:val="24"/>
        </w:rPr>
        <w:t>compliance</w:t>
      </w:r>
      <w:proofErr w:type="gramEnd"/>
      <w:r w:rsidRPr="002F3B55">
        <w:rPr>
          <w:b/>
          <w:bCs/>
          <w:i/>
          <w:iCs/>
          <w:sz w:val="24"/>
          <w:szCs w:val="24"/>
        </w:rPr>
        <w:t xml:space="preserve"> record </w:t>
      </w:r>
      <w:r w:rsidRPr="002F3B55">
        <w:rPr>
          <w:sz w:val="24"/>
          <w:szCs w:val="24"/>
        </w:rPr>
        <w:t>has the meaning given by section</w:t>
      </w:r>
      <w:r w:rsidR="00D87EF9" w:rsidRPr="002F3B55">
        <w:rPr>
          <w:sz w:val="24"/>
          <w:szCs w:val="24"/>
        </w:rPr>
        <w:t> </w:t>
      </w:r>
      <w:r w:rsidRPr="002F3B55">
        <w:rPr>
          <w:sz w:val="24"/>
          <w:szCs w:val="24"/>
        </w:rPr>
        <w:t>20.</w:t>
      </w:r>
    </w:p>
    <w:p w:rsidR="003E13F3" w:rsidRPr="002F3B55" w:rsidRDefault="003E13F3" w:rsidP="00E46747">
      <w:pPr>
        <w:pStyle w:val="Definition"/>
        <w:spacing w:before="120"/>
        <w:ind w:left="993"/>
        <w:rPr>
          <w:sz w:val="24"/>
          <w:szCs w:val="24"/>
        </w:rPr>
      </w:pPr>
      <w:r w:rsidRPr="002F3B55">
        <w:rPr>
          <w:b/>
          <w:i/>
          <w:sz w:val="24"/>
          <w:szCs w:val="24"/>
        </w:rPr>
        <w:t>C</w:t>
      </w:r>
      <w:r w:rsidR="00D87EF9" w:rsidRPr="002F3B55">
        <w:rPr>
          <w:b/>
          <w:i/>
          <w:sz w:val="24"/>
          <w:szCs w:val="24"/>
        </w:rPr>
        <w:noBreakHyphen/>
      </w:r>
      <w:r w:rsidRPr="002F3B55">
        <w:rPr>
          <w:b/>
          <w:i/>
          <w:sz w:val="24"/>
          <w:szCs w:val="24"/>
        </w:rPr>
        <w:t>Tick mark</w:t>
      </w:r>
      <w:r w:rsidRPr="002F3B55">
        <w:rPr>
          <w:sz w:val="24"/>
          <w:szCs w:val="24"/>
        </w:rPr>
        <w:t xml:space="preserve"> means the mark set out in Part</w:t>
      </w:r>
      <w:r w:rsidR="00D87EF9" w:rsidRPr="002F3B55">
        <w:rPr>
          <w:sz w:val="24"/>
          <w:szCs w:val="24"/>
        </w:rPr>
        <w:t> </w:t>
      </w:r>
      <w:r w:rsidRPr="002F3B55">
        <w:rPr>
          <w:sz w:val="24"/>
          <w:szCs w:val="24"/>
        </w:rPr>
        <w:t>1 of Schedule</w:t>
      </w:r>
      <w:r w:rsidR="00D87EF9" w:rsidRPr="002F3B55">
        <w:rPr>
          <w:sz w:val="24"/>
          <w:szCs w:val="24"/>
        </w:rPr>
        <w:t> </w:t>
      </w:r>
      <w:r w:rsidRPr="002F3B55">
        <w:rPr>
          <w:sz w:val="24"/>
          <w:szCs w:val="24"/>
        </w:rPr>
        <w:t>1.</w:t>
      </w:r>
    </w:p>
    <w:p w:rsidR="00CE2609" w:rsidRPr="002F3B55" w:rsidRDefault="00CE2609" w:rsidP="00E46747">
      <w:pPr>
        <w:pStyle w:val="Definition"/>
        <w:spacing w:before="120"/>
        <w:ind w:left="993"/>
        <w:rPr>
          <w:sz w:val="24"/>
          <w:szCs w:val="24"/>
        </w:rPr>
      </w:pPr>
      <w:proofErr w:type="gramStart"/>
      <w:r w:rsidRPr="002F3B55">
        <w:rPr>
          <w:b/>
          <w:i/>
          <w:sz w:val="24"/>
          <w:szCs w:val="24"/>
        </w:rPr>
        <w:t>declaration</w:t>
      </w:r>
      <w:proofErr w:type="gramEnd"/>
      <w:r w:rsidRPr="002F3B55">
        <w:rPr>
          <w:b/>
          <w:i/>
          <w:sz w:val="24"/>
          <w:szCs w:val="24"/>
        </w:rPr>
        <w:t xml:space="preserve"> of conformity</w:t>
      </w:r>
      <w:r w:rsidRPr="002F3B55">
        <w:rPr>
          <w:sz w:val="24"/>
          <w:szCs w:val="24"/>
        </w:rPr>
        <w:t xml:space="preserve"> means a declaration that:</w:t>
      </w:r>
    </w:p>
    <w:p w:rsidR="00CE2609" w:rsidRPr="002F3B55" w:rsidRDefault="00CE2609" w:rsidP="002F3B55">
      <w:pPr>
        <w:pStyle w:val="P1"/>
      </w:pPr>
      <w:r w:rsidRPr="002F3B55">
        <w:tab/>
        <w:t>(a)</w:t>
      </w:r>
      <w:r w:rsidRPr="002F3B55">
        <w:tab/>
      </w:r>
      <w:proofErr w:type="gramStart"/>
      <w:r w:rsidRPr="002F3B55">
        <w:t>is</w:t>
      </w:r>
      <w:proofErr w:type="gramEnd"/>
      <w:r w:rsidRPr="002F3B55">
        <w:t xml:space="preserve"> in a form approved by the ACMA; or</w:t>
      </w:r>
    </w:p>
    <w:p w:rsidR="00CE2609" w:rsidRPr="002F3B55" w:rsidRDefault="00CE2609" w:rsidP="002F3B55">
      <w:pPr>
        <w:pStyle w:val="P1"/>
      </w:pPr>
      <w:r w:rsidRPr="002F3B55">
        <w:tab/>
        <w:t>(b)</w:t>
      </w:r>
      <w:r w:rsidRPr="002F3B55">
        <w:tab/>
      </w:r>
      <w:proofErr w:type="gramStart"/>
      <w:r w:rsidRPr="002F3B55">
        <w:t>contains</w:t>
      </w:r>
      <w:proofErr w:type="gramEnd"/>
      <w:r w:rsidRPr="002F3B55">
        <w:t xml:space="preserve"> the information required in that approved form, whether or not the declaration is accompanied by other material.</w:t>
      </w:r>
    </w:p>
    <w:p w:rsidR="00CE2609" w:rsidRPr="002F3B55" w:rsidRDefault="001728F5" w:rsidP="002F3B55">
      <w:pPr>
        <w:pStyle w:val="notetext"/>
        <w:ind w:left="993" w:firstLine="0"/>
        <w:rPr>
          <w:sz w:val="20"/>
        </w:rPr>
      </w:pPr>
      <w:r w:rsidRPr="002F3B55">
        <w:rPr>
          <w:i/>
          <w:sz w:val="20"/>
        </w:rPr>
        <w:t>Note</w:t>
      </w:r>
      <w:r w:rsidRPr="002F3B55">
        <w:rPr>
          <w:sz w:val="20"/>
        </w:rPr>
        <w:tab/>
      </w:r>
      <w:r w:rsidR="00CE2609" w:rsidRPr="002F3B55">
        <w:rPr>
          <w:sz w:val="20"/>
        </w:rPr>
        <w:t xml:space="preserve">The ACMA makes approved forms available on its website at </w:t>
      </w:r>
      <w:hyperlink r:id="rId17" w:history="1">
        <w:r w:rsidR="00DF132F" w:rsidRPr="002F3B55">
          <w:rPr>
            <w:rStyle w:val="Hyperlink"/>
            <w:sz w:val="20"/>
            <w:u w:val="none"/>
          </w:rPr>
          <w:t>http://www.acma.gov.au</w:t>
        </w:r>
      </w:hyperlink>
      <w:r w:rsidR="00CE2609" w:rsidRPr="002F3B55">
        <w:rPr>
          <w:sz w:val="20"/>
        </w:rPr>
        <w:t>.</w:t>
      </w:r>
    </w:p>
    <w:p w:rsidR="0035109E" w:rsidRPr="002F3B55" w:rsidRDefault="0035109E" w:rsidP="00E46747">
      <w:pPr>
        <w:pStyle w:val="Definition"/>
        <w:spacing w:before="120"/>
        <w:ind w:left="993"/>
        <w:rPr>
          <w:sz w:val="24"/>
          <w:szCs w:val="24"/>
        </w:rPr>
      </w:pPr>
      <w:proofErr w:type="gramStart"/>
      <w:r w:rsidRPr="002F3B55">
        <w:rPr>
          <w:b/>
          <w:bCs/>
          <w:i/>
          <w:iCs/>
          <w:sz w:val="24"/>
          <w:szCs w:val="24"/>
        </w:rPr>
        <w:t>description</w:t>
      </w:r>
      <w:proofErr w:type="gramEnd"/>
      <w:r w:rsidRPr="002F3B55">
        <w:rPr>
          <w:b/>
          <w:bCs/>
          <w:i/>
          <w:iCs/>
          <w:sz w:val="24"/>
          <w:szCs w:val="24"/>
        </w:rPr>
        <w:t xml:space="preserve"> of the device</w:t>
      </w:r>
      <w:r w:rsidRPr="002F3B55">
        <w:rPr>
          <w:sz w:val="24"/>
          <w:szCs w:val="24"/>
        </w:rPr>
        <w:t xml:space="preserve"> means sufficient information for a person to determine whether the device is the same as a device for which a declaration of conformity, test report or assessment against the applicable standard was prepared.</w:t>
      </w:r>
    </w:p>
    <w:p w:rsidR="0035109E" w:rsidRPr="002F3B55" w:rsidRDefault="001728F5" w:rsidP="002F3B55">
      <w:pPr>
        <w:pStyle w:val="notetext"/>
        <w:ind w:left="993" w:firstLine="0"/>
        <w:rPr>
          <w:sz w:val="20"/>
        </w:rPr>
      </w:pPr>
      <w:r w:rsidRPr="002F3B55">
        <w:rPr>
          <w:i/>
          <w:iCs/>
          <w:sz w:val="20"/>
        </w:rPr>
        <w:t>Not</w:t>
      </w:r>
      <w:r w:rsidR="002F3B55" w:rsidRPr="002F3B55">
        <w:rPr>
          <w:i/>
          <w:iCs/>
          <w:sz w:val="20"/>
        </w:rPr>
        <w:t>e</w:t>
      </w:r>
      <w:r w:rsidRPr="002F3B55">
        <w:rPr>
          <w:iCs/>
          <w:sz w:val="20"/>
        </w:rPr>
        <w:tab/>
      </w:r>
      <w:r w:rsidR="0035109E" w:rsidRPr="002F3B55">
        <w:rPr>
          <w:sz w:val="20"/>
        </w:rPr>
        <w:t>The description of a device may include a photograph or sketch or other pictorial representation of the device illustrating its internal and external aspects (including printed circuit boards).</w:t>
      </w:r>
    </w:p>
    <w:p w:rsidR="0035109E" w:rsidRPr="002F3B55" w:rsidRDefault="0035109E" w:rsidP="00E46747">
      <w:pPr>
        <w:pStyle w:val="Definition"/>
        <w:spacing w:before="120"/>
        <w:ind w:left="993"/>
        <w:rPr>
          <w:sz w:val="24"/>
          <w:szCs w:val="24"/>
        </w:rPr>
      </w:pPr>
      <w:proofErr w:type="gramStart"/>
      <w:r w:rsidRPr="002F3B55">
        <w:rPr>
          <w:b/>
          <w:bCs/>
          <w:i/>
          <w:iCs/>
          <w:sz w:val="24"/>
          <w:szCs w:val="24"/>
        </w:rPr>
        <w:t>device</w:t>
      </w:r>
      <w:proofErr w:type="gramEnd"/>
      <w:r w:rsidRPr="002F3B55">
        <w:rPr>
          <w:sz w:val="24"/>
          <w:szCs w:val="24"/>
        </w:rPr>
        <w:t xml:space="preserve"> means a mobile station to which the applicable standard applies.</w:t>
      </w:r>
    </w:p>
    <w:p w:rsidR="0035109E" w:rsidRPr="002F3B55" w:rsidRDefault="0035109E" w:rsidP="00E46747">
      <w:pPr>
        <w:pStyle w:val="Definition"/>
        <w:spacing w:before="120"/>
        <w:ind w:left="993"/>
        <w:rPr>
          <w:sz w:val="24"/>
          <w:szCs w:val="24"/>
        </w:rPr>
      </w:pPr>
      <w:proofErr w:type="gramStart"/>
      <w:r w:rsidRPr="002F3B55">
        <w:rPr>
          <w:b/>
          <w:bCs/>
          <w:i/>
          <w:iCs/>
          <w:sz w:val="24"/>
          <w:szCs w:val="24"/>
        </w:rPr>
        <w:t>human</w:t>
      </w:r>
      <w:proofErr w:type="gramEnd"/>
      <w:r w:rsidRPr="002F3B55">
        <w:rPr>
          <w:b/>
          <w:bCs/>
          <w:i/>
          <w:iCs/>
          <w:sz w:val="24"/>
          <w:szCs w:val="24"/>
        </w:rPr>
        <w:t xml:space="preserve"> body</w:t>
      </w:r>
      <w:r w:rsidRPr="002F3B55">
        <w:rPr>
          <w:sz w:val="24"/>
          <w:szCs w:val="24"/>
        </w:rPr>
        <w:t xml:space="preserve"> means the head, neck and trunk but not the limbs.</w:t>
      </w:r>
    </w:p>
    <w:p w:rsidR="0035109E" w:rsidRPr="002F3B55" w:rsidRDefault="0035109E" w:rsidP="00E46747">
      <w:pPr>
        <w:pStyle w:val="Definition"/>
        <w:spacing w:before="120"/>
        <w:ind w:left="993"/>
        <w:rPr>
          <w:sz w:val="24"/>
          <w:szCs w:val="24"/>
        </w:rPr>
      </w:pPr>
      <w:proofErr w:type="gramStart"/>
      <w:r w:rsidRPr="002F3B55">
        <w:rPr>
          <w:b/>
          <w:bCs/>
          <w:i/>
          <w:iCs/>
          <w:sz w:val="24"/>
          <w:szCs w:val="24"/>
        </w:rPr>
        <w:t>mobile</w:t>
      </w:r>
      <w:proofErr w:type="gramEnd"/>
      <w:r w:rsidRPr="002F3B55">
        <w:rPr>
          <w:b/>
          <w:bCs/>
          <w:i/>
          <w:iCs/>
          <w:sz w:val="24"/>
          <w:szCs w:val="24"/>
        </w:rPr>
        <w:t xml:space="preserve"> station</w:t>
      </w:r>
      <w:r w:rsidRPr="002F3B55">
        <w:rPr>
          <w:sz w:val="24"/>
          <w:szCs w:val="24"/>
        </w:rPr>
        <w:t xml:space="preserve"> means a transmitter that is established for use:</w:t>
      </w:r>
    </w:p>
    <w:p w:rsidR="0035109E" w:rsidRPr="002F3B55" w:rsidRDefault="0035109E" w:rsidP="002F3B55">
      <w:pPr>
        <w:pStyle w:val="P1"/>
      </w:pPr>
      <w:r w:rsidRPr="002F3B55">
        <w:tab/>
        <w:t>(a)</w:t>
      </w:r>
      <w:r w:rsidRPr="002F3B55">
        <w:tab/>
      </w:r>
      <w:proofErr w:type="gramStart"/>
      <w:r w:rsidRPr="002F3B55">
        <w:t>in</w:t>
      </w:r>
      <w:proofErr w:type="gramEnd"/>
      <w:r w:rsidRPr="002F3B55">
        <w:t xml:space="preserve"> motion, </w:t>
      </w:r>
      <w:r w:rsidR="000321BC" w:rsidRPr="002F3B55">
        <w:t xml:space="preserve">whether </w:t>
      </w:r>
      <w:r w:rsidRPr="002F3B55">
        <w:t xml:space="preserve">on land, </w:t>
      </w:r>
      <w:r w:rsidR="000321BC" w:rsidRPr="002F3B55">
        <w:t xml:space="preserve">on </w:t>
      </w:r>
      <w:r w:rsidRPr="002F3B55">
        <w:t>water or in the air; or</w:t>
      </w:r>
    </w:p>
    <w:p w:rsidR="0035109E" w:rsidRPr="002F3B55" w:rsidRDefault="0035109E" w:rsidP="002F3B55">
      <w:pPr>
        <w:pStyle w:val="P1"/>
      </w:pPr>
      <w:r w:rsidRPr="002F3B55">
        <w:tab/>
        <w:t>(b)</w:t>
      </w:r>
      <w:r w:rsidRPr="002F3B55">
        <w:tab/>
      </w:r>
      <w:proofErr w:type="gramStart"/>
      <w:r w:rsidRPr="002F3B55">
        <w:t>in</w:t>
      </w:r>
      <w:proofErr w:type="gramEnd"/>
      <w:r w:rsidRPr="002F3B55">
        <w:t xml:space="preserve"> a stationary position at unspecified points</w:t>
      </w:r>
      <w:r w:rsidR="000321BC" w:rsidRPr="002F3B55">
        <w:t xml:space="preserve"> whether</w:t>
      </w:r>
      <w:r w:rsidRPr="002F3B55">
        <w:t xml:space="preserve"> on land, </w:t>
      </w:r>
      <w:r w:rsidR="000321BC" w:rsidRPr="002F3B55">
        <w:t xml:space="preserve">on </w:t>
      </w:r>
      <w:r w:rsidRPr="002F3B55">
        <w:t>water or in the air.</w:t>
      </w:r>
    </w:p>
    <w:p w:rsidR="0035109E" w:rsidRPr="002F3B55" w:rsidRDefault="0035109E" w:rsidP="002D250B">
      <w:pPr>
        <w:pStyle w:val="notetext"/>
        <w:ind w:hanging="992"/>
        <w:rPr>
          <w:i/>
          <w:sz w:val="20"/>
        </w:rPr>
      </w:pPr>
      <w:r w:rsidRPr="002F3B55">
        <w:rPr>
          <w:i/>
          <w:sz w:val="20"/>
        </w:rPr>
        <w:t>Examples of a mobile station</w:t>
      </w:r>
    </w:p>
    <w:p w:rsidR="0035109E" w:rsidRPr="002F3B55" w:rsidRDefault="0035109E" w:rsidP="002D250B">
      <w:pPr>
        <w:pStyle w:val="notetext"/>
        <w:ind w:hanging="992"/>
        <w:rPr>
          <w:sz w:val="20"/>
        </w:rPr>
      </w:pPr>
      <w:r w:rsidRPr="002F3B55">
        <w:rPr>
          <w:sz w:val="20"/>
        </w:rPr>
        <w:t>1</w:t>
      </w:r>
      <w:r w:rsidR="004370B9" w:rsidRPr="002F3B55">
        <w:rPr>
          <w:sz w:val="20"/>
        </w:rPr>
        <w:t xml:space="preserve">   </w:t>
      </w:r>
      <w:r w:rsidRPr="002F3B55">
        <w:rPr>
          <w:sz w:val="20"/>
        </w:rPr>
        <w:t>A wireless modem operating in a laptop computer.</w:t>
      </w:r>
    </w:p>
    <w:p w:rsidR="0035109E" w:rsidRPr="002F3B55" w:rsidRDefault="0035109E" w:rsidP="002D250B">
      <w:pPr>
        <w:pStyle w:val="notetext"/>
        <w:ind w:hanging="992"/>
        <w:rPr>
          <w:sz w:val="20"/>
        </w:rPr>
      </w:pPr>
      <w:r w:rsidRPr="002F3B55">
        <w:rPr>
          <w:sz w:val="20"/>
        </w:rPr>
        <w:t>2</w:t>
      </w:r>
      <w:r w:rsidR="004370B9" w:rsidRPr="002F3B55">
        <w:rPr>
          <w:sz w:val="20"/>
        </w:rPr>
        <w:t xml:space="preserve">   </w:t>
      </w:r>
      <w:r w:rsidRPr="002F3B55">
        <w:rPr>
          <w:sz w:val="20"/>
        </w:rPr>
        <w:t>A hand</w:t>
      </w:r>
      <w:r w:rsidR="00D87EF9" w:rsidRPr="002F3B55">
        <w:rPr>
          <w:sz w:val="20"/>
        </w:rPr>
        <w:noBreakHyphen/>
      </w:r>
      <w:r w:rsidRPr="002F3B55">
        <w:rPr>
          <w:sz w:val="20"/>
        </w:rPr>
        <w:t>held cellular or PCS telephone with a radiating antenna in the handpiece.</w:t>
      </w:r>
    </w:p>
    <w:p w:rsidR="0035109E" w:rsidRPr="008929BB" w:rsidRDefault="0035109E" w:rsidP="00E46747">
      <w:pPr>
        <w:pStyle w:val="Definition"/>
        <w:spacing w:before="120"/>
        <w:ind w:left="993"/>
        <w:rPr>
          <w:sz w:val="24"/>
          <w:szCs w:val="24"/>
        </w:rPr>
      </w:pPr>
      <w:r w:rsidRPr="008929BB">
        <w:rPr>
          <w:b/>
          <w:bCs/>
          <w:i/>
          <w:iCs/>
          <w:sz w:val="24"/>
          <w:szCs w:val="24"/>
        </w:rPr>
        <w:t>NATA</w:t>
      </w:r>
      <w:r w:rsidRPr="008929BB">
        <w:rPr>
          <w:sz w:val="24"/>
          <w:szCs w:val="24"/>
        </w:rPr>
        <w:t xml:space="preserve"> means the National Association of Testing Authorities, Australia (ACN 004 379 748).</w:t>
      </w:r>
    </w:p>
    <w:p w:rsidR="003E13F3" w:rsidRPr="008929BB" w:rsidRDefault="003E13F3" w:rsidP="00E46747">
      <w:pPr>
        <w:pStyle w:val="Definition"/>
        <w:spacing w:before="120"/>
        <w:ind w:left="993"/>
        <w:rPr>
          <w:sz w:val="24"/>
          <w:szCs w:val="24"/>
        </w:rPr>
      </w:pPr>
      <w:proofErr w:type="gramStart"/>
      <w:r w:rsidRPr="008929BB">
        <w:rPr>
          <w:b/>
          <w:i/>
          <w:sz w:val="24"/>
          <w:szCs w:val="24"/>
        </w:rPr>
        <w:t>national</w:t>
      </w:r>
      <w:proofErr w:type="gramEnd"/>
      <w:r w:rsidRPr="008929BB">
        <w:rPr>
          <w:b/>
          <w:i/>
          <w:sz w:val="24"/>
          <w:szCs w:val="24"/>
        </w:rPr>
        <w:t xml:space="preserve"> database</w:t>
      </w:r>
      <w:r w:rsidRPr="008929BB">
        <w:rPr>
          <w:sz w:val="24"/>
          <w:szCs w:val="24"/>
        </w:rPr>
        <w:t xml:space="preserve"> means a database designated in writing by the ACMA for the purposes of Division</w:t>
      </w:r>
      <w:r w:rsidR="00D87EF9" w:rsidRPr="008929BB">
        <w:rPr>
          <w:sz w:val="24"/>
          <w:szCs w:val="24"/>
        </w:rPr>
        <w:t> </w:t>
      </w:r>
      <w:r w:rsidRPr="008929BB">
        <w:rPr>
          <w:sz w:val="24"/>
          <w:szCs w:val="24"/>
        </w:rPr>
        <w:t>2.2.</w:t>
      </w:r>
    </w:p>
    <w:p w:rsidR="003E13F3" w:rsidRPr="008929BB" w:rsidRDefault="008929BB" w:rsidP="008929BB">
      <w:pPr>
        <w:pStyle w:val="notetext"/>
        <w:ind w:left="993" w:firstLine="0"/>
        <w:rPr>
          <w:sz w:val="20"/>
        </w:rPr>
      </w:pPr>
      <w:r w:rsidRPr="008929BB">
        <w:rPr>
          <w:i/>
          <w:sz w:val="20"/>
        </w:rPr>
        <w:t>Note</w:t>
      </w:r>
      <w:r w:rsidR="00110007" w:rsidRPr="008929BB">
        <w:rPr>
          <w:sz w:val="20"/>
        </w:rPr>
        <w:tab/>
      </w:r>
      <w:r w:rsidR="003E13F3" w:rsidRPr="008929BB">
        <w:rPr>
          <w:sz w:val="20"/>
        </w:rPr>
        <w:t>A database may be designated by the ACMA for the purposes of Division</w:t>
      </w:r>
      <w:r w:rsidR="00D87EF9" w:rsidRPr="008929BB">
        <w:rPr>
          <w:sz w:val="20"/>
        </w:rPr>
        <w:t> </w:t>
      </w:r>
      <w:r w:rsidR="003E13F3" w:rsidRPr="008929BB">
        <w:rPr>
          <w:sz w:val="20"/>
        </w:rPr>
        <w:t>2.2 even if it forms part of another database or also serves purposes other than purposes provided for in this Notice.</w:t>
      </w:r>
    </w:p>
    <w:p w:rsidR="0035109E" w:rsidRPr="008929BB" w:rsidRDefault="0035109E" w:rsidP="00E46747">
      <w:pPr>
        <w:pStyle w:val="Definition"/>
        <w:spacing w:before="120"/>
        <w:ind w:left="993"/>
        <w:rPr>
          <w:sz w:val="24"/>
          <w:szCs w:val="24"/>
        </w:rPr>
      </w:pPr>
      <w:proofErr w:type="gramStart"/>
      <w:r w:rsidRPr="008929BB">
        <w:rPr>
          <w:b/>
          <w:bCs/>
          <w:i/>
          <w:iCs/>
          <w:sz w:val="24"/>
          <w:szCs w:val="24"/>
        </w:rPr>
        <w:t>non</w:t>
      </w:r>
      <w:r w:rsidR="00D87EF9" w:rsidRPr="008929BB">
        <w:rPr>
          <w:b/>
          <w:bCs/>
          <w:i/>
          <w:iCs/>
          <w:sz w:val="24"/>
          <w:szCs w:val="24"/>
        </w:rPr>
        <w:noBreakHyphen/>
      </w:r>
      <w:r w:rsidRPr="008929BB">
        <w:rPr>
          <w:b/>
          <w:bCs/>
          <w:i/>
          <w:iCs/>
          <w:sz w:val="24"/>
          <w:szCs w:val="24"/>
        </w:rPr>
        <w:t>aware</w:t>
      </w:r>
      <w:proofErr w:type="gramEnd"/>
      <w:r w:rsidRPr="008929BB">
        <w:rPr>
          <w:b/>
          <w:bCs/>
          <w:i/>
          <w:iCs/>
          <w:sz w:val="24"/>
          <w:szCs w:val="24"/>
        </w:rPr>
        <w:t xml:space="preserve"> user device</w:t>
      </w:r>
      <w:r w:rsidRPr="008929BB">
        <w:rPr>
          <w:sz w:val="24"/>
          <w:szCs w:val="24"/>
        </w:rPr>
        <w:t xml:space="preserve"> means a device other than an aware user device.</w:t>
      </w:r>
    </w:p>
    <w:p w:rsidR="0035109E" w:rsidRPr="008929BB" w:rsidRDefault="0035109E" w:rsidP="00E46747">
      <w:pPr>
        <w:pStyle w:val="Definition"/>
        <w:keepNext/>
        <w:spacing w:before="120"/>
        <w:ind w:left="993"/>
        <w:rPr>
          <w:sz w:val="24"/>
          <w:szCs w:val="24"/>
        </w:rPr>
      </w:pPr>
      <w:proofErr w:type="gramStart"/>
      <w:r w:rsidRPr="008929BB">
        <w:rPr>
          <w:b/>
          <w:bCs/>
          <w:i/>
          <w:iCs/>
          <w:sz w:val="24"/>
          <w:szCs w:val="24"/>
        </w:rPr>
        <w:t>normal</w:t>
      </w:r>
      <w:proofErr w:type="gramEnd"/>
      <w:r w:rsidRPr="008929BB">
        <w:rPr>
          <w:b/>
          <w:bCs/>
          <w:i/>
          <w:iCs/>
          <w:sz w:val="24"/>
          <w:szCs w:val="24"/>
        </w:rPr>
        <w:t xml:space="preserve"> position of use</w:t>
      </w:r>
      <w:r w:rsidRPr="008929BB">
        <w:rPr>
          <w:sz w:val="24"/>
          <w:szCs w:val="24"/>
        </w:rPr>
        <w:t>, of a device, means:</w:t>
      </w:r>
    </w:p>
    <w:p w:rsidR="0035109E" w:rsidRPr="008929BB" w:rsidRDefault="0035109E" w:rsidP="00616E49">
      <w:pPr>
        <w:pStyle w:val="P1"/>
        <w:keepNext/>
      </w:pPr>
      <w:r w:rsidRPr="008929BB">
        <w:tab/>
        <w:t>(a)</w:t>
      </w:r>
      <w:r w:rsidRPr="008929BB">
        <w:tab/>
      </w:r>
      <w:proofErr w:type="gramStart"/>
      <w:r w:rsidRPr="008929BB">
        <w:t>the</w:t>
      </w:r>
      <w:proofErr w:type="gramEnd"/>
      <w:r w:rsidRPr="008929BB">
        <w:t xml:space="preserve"> position specified in the measurement method applicable to the device in section</w:t>
      </w:r>
      <w:r w:rsidR="00D87EF9" w:rsidRPr="008929BB">
        <w:t> </w:t>
      </w:r>
      <w:r w:rsidR="00853176" w:rsidRPr="008929BB">
        <w:t>9</w:t>
      </w:r>
      <w:r w:rsidRPr="008929BB">
        <w:t>, 1</w:t>
      </w:r>
      <w:r w:rsidR="00853176" w:rsidRPr="008929BB">
        <w:t>0</w:t>
      </w:r>
      <w:r w:rsidRPr="008929BB">
        <w:t xml:space="preserve"> or 1</w:t>
      </w:r>
      <w:r w:rsidR="00853176" w:rsidRPr="008929BB">
        <w:t>1</w:t>
      </w:r>
      <w:r w:rsidRPr="008929BB">
        <w:t xml:space="preserve"> of the applicable standard; or</w:t>
      </w:r>
    </w:p>
    <w:p w:rsidR="0035109E" w:rsidRPr="008929BB" w:rsidRDefault="0035109E" w:rsidP="008929BB">
      <w:pPr>
        <w:pStyle w:val="P1"/>
      </w:pPr>
      <w:r w:rsidRPr="008929BB">
        <w:tab/>
        <w:t>(b)</w:t>
      </w:r>
      <w:r w:rsidRPr="008929BB">
        <w:tab/>
      </w:r>
      <w:proofErr w:type="gramStart"/>
      <w:r w:rsidRPr="008929BB">
        <w:t>if</w:t>
      </w:r>
      <w:proofErr w:type="gramEnd"/>
      <w:r w:rsidRPr="008929BB">
        <w:t xml:space="preserve"> </w:t>
      </w:r>
      <w:r w:rsidR="00D87EF9" w:rsidRPr="008929BB">
        <w:t>paragraph (</w:t>
      </w:r>
      <w:r w:rsidRPr="008929BB">
        <w:t>a) does not apply, the common use spatial orientation of the device with respect to the user; or</w:t>
      </w:r>
    </w:p>
    <w:p w:rsidR="0035109E" w:rsidRPr="008929BB" w:rsidRDefault="0035109E" w:rsidP="008929BB">
      <w:pPr>
        <w:pStyle w:val="P1"/>
      </w:pPr>
      <w:r w:rsidRPr="008929BB">
        <w:tab/>
        <w:t>(c)</w:t>
      </w:r>
      <w:r w:rsidRPr="008929BB">
        <w:tab/>
      </w:r>
      <w:proofErr w:type="gramStart"/>
      <w:r w:rsidRPr="008929BB">
        <w:t>if</w:t>
      </w:r>
      <w:proofErr w:type="gramEnd"/>
      <w:r w:rsidRPr="008929BB">
        <w:t xml:space="preserve"> </w:t>
      </w:r>
      <w:r w:rsidR="00D87EF9" w:rsidRPr="008929BB">
        <w:t>paragraphs (</w:t>
      </w:r>
      <w:r w:rsidRPr="008929BB">
        <w:t xml:space="preserve">a) and (b) do not apply, the spatial orientation of the device with respect to the user </w:t>
      </w:r>
      <w:r w:rsidR="000601AC">
        <w:t>recommended</w:t>
      </w:r>
      <w:r w:rsidR="000601AC" w:rsidRPr="008929BB">
        <w:t xml:space="preserve"> </w:t>
      </w:r>
      <w:r w:rsidRPr="008929BB">
        <w:t>by the manufacturer.</w:t>
      </w:r>
    </w:p>
    <w:p w:rsidR="004D137E" w:rsidRPr="008929BB" w:rsidRDefault="004D137E" w:rsidP="00E46747">
      <w:pPr>
        <w:pStyle w:val="Definition"/>
        <w:spacing w:before="120"/>
        <w:ind w:left="993"/>
        <w:rPr>
          <w:bCs/>
          <w:iCs/>
          <w:sz w:val="24"/>
          <w:szCs w:val="24"/>
        </w:rPr>
      </w:pPr>
      <w:proofErr w:type="gramStart"/>
      <w:r w:rsidRPr="008929BB">
        <w:rPr>
          <w:b/>
          <w:bCs/>
          <w:i/>
          <w:iCs/>
          <w:sz w:val="24"/>
          <w:szCs w:val="24"/>
        </w:rPr>
        <w:lastRenderedPageBreak/>
        <w:t>old</w:t>
      </w:r>
      <w:proofErr w:type="gramEnd"/>
      <w:r w:rsidRPr="008929BB">
        <w:rPr>
          <w:b/>
          <w:bCs/>
          <w:i/>
          <w:iCs/>
          <w:sz w:val="24"/>
          <w:szCs w:val="24"/>
        </w:rPr>
        <w:t xml:space="preserve"> standard </w:t>
      </w:r>
      <w:r w:rsidRPr="008929BB">
        <w:rPr>
          <w:bCs/>
          <w:iCs/>
          <w:sz w:val="24"/>
          <w:szCs w:val="24"/>
        </w:rPr>
        <w:t xml:space="preserve">means the </w:t>
      </w:r>
      <w:proofErr w:type="spellStart"/>
      <w:r w:rsidRPr="008929BB">
        <w:rPr>
          <w:bCs/>
          <w:i/>
          <w:iCs/>
          <w:sz w:val="24"/>
          <w:szCs w:val="24"/>
        </w:rPr>
        <w:t>Radiocommunications</w:t>
      </w:r>
      <w:proofErr w:type="spellEnd"/>
      <w:r w:rsidRPr="008929BB">
        <w:rPr>
          <w:bCs/>
          <w:i/>
          <w:iCs/>
          <w:sz w:val="24"/>
          <w:szCs w:val="24"/>
        </w:rPr>
        <w:t xml:space="preserve"> (Electromagnetic Radiation – Human Exposure) Standard 2003</w:t>
      </w:r>
      <w:r w:rsidRPr="008929BB">
        <w:rPr>
          <w:bCs/>
          <w:iCs/>
          <w:sz w:val="24"/>
          <w:szCs w:val="24"/>
        </w:rPr>
        <w:t>.</w:t>
      </w:r>
    </w:p>
    <w:p w:rsidR="0035109E" w:rsidRPr="008929BB" w:rsidRDefault="0035109E" w:rsidP="00E46747">
      <w:pPr>
        <w:pStyle w:val="Definition"/>
        <w:spacing w:before="120"/>
        <w:ind w:left="993"/>
        <w:rPr>
          <w:sz w:val="24"/>
          <w:szCs w:val="24"/>
        </w:rPr>
      </w:pPr>
      <w:proofErr w:type="gramStart"/>
      <w:r w:rsidRPr="008929BB">
        <w:rPr>
          <w:b/>
          <w:bCs/>
          <w:i/>
          <w:iCs/>
          <w:sz w:val="24"/>
          <w:szCs w:val="24"/>
        </w:rPr>
        <w:t>product</w:t>
      </w:r>
      <w:proofErr w:type="gramEnd"/>
      <w:r w:rsidRPr="008929BB">
        <w:rPr>
          <w:b/>
          <w:bCs/>
          <w:i/>
          <w:iCs/>
          <w:sz w:val="24"/>
          <w:szCs w:val="24"/>
        </w:rPr>
        <w:t xml:space="preserve"> identification code</w:t>
      </w:r>
      <w:r w:rsidRPr="008929BB">
        <w:rPr>
          <w:sz w:val="24"/>
          <w:szCs w:val="24"/>
        </w:rPr>
        <w:t>, for a device, means the written information used by the supplier of the device to identify the device.</w:t>
      </w:r>
    </w:p>
    <w:p w:rsidR="0035109E" w:rsidRPr="008929BB" w:rsidRDefault="0035109E" w:rsidP="00E46747">
      <w:pPr>
        <w:pStyle w:val="Definition"/>
        <w:spacing w:before="120"/>
        <w:ind w:left="993"/>
        <w:rPr>
          <w:sz w:val="24"/>
          <w:szCs w:val="24"/>
        </w:rPr>
      </w:pPr>
      <w:r w:rsidRPr="008929BB">
        <w:rPr>
          <w:b/>
          <w:bCs/>
          <w:i/>
          <w:iCs/>
          <w:sz w:val="24"/>
          <w:szCs w:val="24"/>
        </w:rPr>
        <w:t>RCM</w:t>
      </w:r>
      <w:r w:rsidRPr="008929BB">
        <w:rPr>
          <w:sz w:val="24"/>
          <w:szCs w:val="24"/>
        </w:rPr>
        <w:t xml:space="preserve"> means the Regulatory Compliance Mark set out in Part</w:t>
      </w:r>
      <w:r w:rsidR="00D87EF9" w:rsidRPr="008929BB">
        <w:rPr>
          <w:sz w:val="24"/>
          <w:szCs w:val="24"/>
        </w:rPr>
        <w:t> </w:t>
      </w:r>
      <w:r w:rsidRPr="008929BB">
        <w:rPr>
          <w:sz w:val="24"/>
          <w:szCs w:val="24"/>
        </w:rPr>
        <w:t>2 of Schedule</w:t>
      </w:r>
      <w:r w:rsidR="00D87EF9" w:rsidRPr="008929BB">
        <w:rPr>
          <w:sz w:val="24"/>
          <w:szCs w:val="24"/>
        </w:rPr>
        <w:t> </w:t>
      </w:r>
      <w:r w:rsidRPr="008929BB">
        <w:rPr>
          <w:sz w:val="24"/>
          <w:szCs w:val="24"/>
        </w:rPr>
        <w:t>1.</w:t>
      </w:r>
    </w:p>
    <w:p w:rsidR="0035109E" w:rsidRPr="008929BB" w:rsidRDefault="0035109E" w:rsidP="00E46747">
      <w:pPr>
        <w:pStyle w:val="Definition"/>
        <w:spacing w:before="120"/>
        <w:ind w:left="993"/>
        <w:rPr>
          <w:sz w:val="24"/>
          <w:szCs w:val="24"/>
        </w:rPr>
      </w:pPr>
      <w:r w:rsidRPr="008929BB">
        <w:rPr>
          <w:b/>
          <w:bCs/>
          <w:i/>
          <w:iCs/>
          <w:sz w:val="24"/>
          <w:szCs w:val="24"/>
        </w:rPr>
        <w:t>Specific Absorption Rate</w:t>
      </w:r>
      <w:r w:rsidRPr="008929BB">
        <w:rPr>
          <w:sz w:val="24"/>
          <w:szCs w:val="24"/>
        </w:rPr>
        <w:t>, or</w:t>
      </w:r>
      <w:r w:rsidRPr="008929BB">
        <w:rPr>
          <w:b/>
          <w:bCs/>
          <w:i/>
          <w:iCs/>
          <w:sz w:val="24"/>
          <w:szCs w:val="24"/>
        </w:rPr>
        <w:t xml:space="preserve"> SAR</w:t>
      </w:r>
      <w:r w:rsidRPr="008929BB">
        <w:rPr>
          <w:sz w:val="24"/>
          <w:szCs w:val="24"/>
        </w:rPr>
        <w:t>, means the rate at which RF energy is absorbed in body tissues, expressed as watts per kilogram (‘W/kg’).</w:t>
      </w:r>
    </w:p>
    <w:p w:rsidR="0035109E" w:rsidRPr="008929BB" w:rsidRDefault="0035109E" w:rsidP="00E46747">
      <w:pPr>
        <w:pStyle w:val="Definition"/>
        <w:spacing w:before="120"/>
        <w:ind w:left="993"/>
        <w:rPr>
          <w:sz w:val="24"/>
          <w:szCs w:val="24"/>
        </w:rPr>
      </w:pPr>
      <w:proofErr w:type="gramStart"/>
      <w:r w:rsidRPr="008929BB">
        <w:rPr>
          <w:b/>
          <w:bCs/>
          <w:i/>
          <w:iCs/>
          <w:sz w:val="24"/>
          <w:szCs w:val="24"/>
        </w:rPr>
        <w:t>supplier</w:t>
      </w:r>
      <w:proofErr w:type="gramEnd"/>
      <w:r w:rsidRPr="008929BB">
        <w:rPr>
          <w:sz w:val="24"/>
          <w:szCs w:val="24"/>
        </w:rPr>
        <w:t xml:space="preserve"> means:</w:t>
      </w:r>
    </w:p>
    <w:p w:rsidR="0035109E" w:rsidRPr="008929BB" w:rsidRDefault="0035109E" w:rsidP="008929BB">
      <w:pPr>
        <w:pStyle w:val="P1"/>
      </w:pPr>
      <w:r w:rsidRPr="008929BB">
        <w:tab/>
        <w:t>(a)</w:t>
      </w:r>
      <w:r w:rsidRPr="008929BB">
        <w:tab/>
      </w:r>
      <w:proofErr w:type="gramStart"/>
      <w:r w:rsidRPr="008929BB">
        <w:t>in</w:t>
      </w:r>
      <w:proofErr w:type="gramEnd"/>
      <w:r w:rsidRPr="008929BB">
        <w:t xml:space="preserve"> relation to an imported device</w:t>
      </w:r>
      <w:r w:rsidR="001728F5" w:rsidRPr="008929BB">
        <w:t>—</w:t>
      </w:r>
      <w:r w:rsidRPr="008929BB">
        <w:t>the importer or agent of the importer; and</w:t>
      </w:r>
    </w:p>
    <w:p w:rsidR="0035109E" w:rsidRPr="008929BB" w:rsidRDefault="0035109E" w:rsidP="008929BB">
      <w:pPr>
        <w:pStyle w:val="P1"/>
      </w:pPr>
      <w:r w:rsidRPr="008929BB">
        <w:tab/>
        <w:t>(b)</w:t>
      </w:r>
      <w:r w:rsidRPr="008929BB">
        <w:tab/>
      </w:r>
      <w:proofErr w:type="gramStart"/>
      <w:r w:rsidRPr="008929BB">
        <w:t>in</w:t>
      </w:r>
      <w:proofErr w:type="gramEnd"/>
      <w:r w:rsidRPr="008929BB">
        <w:t xml:space="preserve"> relation to a device manufactured in Australia</w:t>
      </w:r>
      <w:r w:rsidR="001728F5" w:rsidRPr="008929BB">
        <w:t>—</w:t>
      </w:r>
      <w:r w:rsidRPr="008929BB">
        <w:t>the manufacturer or the agent of the manufacturer.</w:t>
      </w:r>
    </w:p>
    <w:p w:rsidR="0035109E" w:rsidRPr="008929BB" w:rsidRDefault="0035109E" w:rsidP="00E46747">
      <w:pPr>
        <w:pStyle w:val="Definition"/>
        <w:spacing w:before="120"/>
        <w:ind w:left="993"/>
        <w:rPr>
          <w:sz w:val="24"/>
          <w:szCs w:val="24"/>
        </w:rPr>
      </w:pPr>
      <w:proofErr w:type="gramStart"/>
      <w:r w:rsidRPr="008929BB">
        <w:rPr>
          <w:b/>
          <w:bCs/>
          <w:i/>
          <w:iCs/>
          <w:sz w:val="24"/>
          <w:szCs w:val="24"/>
        </w:rPr>
        <w:t>supplier</w:t>
      </w:r>
      <w:proofErr w:type="gramEnd"/>
      <w:r w:rsidRPr="008929BB">
        <w:rPr>
          <w:b/>
          <w:bCs/>
          <w:i/>
          <w:iCs/>
          <w:sz w:val="24"/>
          <w:szCs w:val="24"/>
        </w:rPr>
        <w:t xml:space="preserve"> code number</w:t>
      </w:r>
      <w:r w:rsidRPr="008929BB">
        <w:rPr>
          <w:sz w:val="24"/>
          <w:szCs w:val="24"/>
        </w:rPr>
        <w:t xml:space="preserve"> means a code number issued to a person: </w:t>
      </w:r>
    </w:p>
    <w:p w:rsidR="0035109E" w:rsidRPr="008929BB" w:rsidRDefault="0035109E" w:rsidP="008929BB">
      <w:pPr>
        <w:pStyle w:val="P1"/>
      </w:pPr>
      <w:r w:rsidRPr="008929BB">
        <w:tab/>
        <w:t>(a)</w:t>
      </w:r>
      <w:r w:rsidRPr="008929BB">
        <w:tab/>
      </w:r>
      <w:proofErr w:type="gramStart"/>
      <w:r w:rsidRPr="008929BB">
        <w:t>in</w:t>
      </w:r>
      <w:proofErr w:type="gramEnd"/>
      <w:r w:rsidRPr="008929BB">
        <w:t xml:space="preserve"> accordance with a</w:t>
      </w:r>
      <w:r w:rsidR="009C319B">
        <w:t>n instrument</w:t>
      </w:r>
      <w:r w:rsidRPr="008929BB">
        <w:t xml:space="preserve"> made by the </w:t>
      </w:r>
      <w:r w:rsidR="00E305A5" w:rsidRPr="008929BB">
        <w:t>ACMA</w:t>
      </w:r>
      <w:r w:rsidRPr="008929BB">
        <w:t xml:space="preserve"> under section</w:t>
      </w:r>
      <w:r w:rsidR="00D87EF9" w:rsidRPr="008929BB">
        <w:t> </w:t>
      </w:r>
      <w:r w:rsidRPr="008929BB">
        <w:t xml:space="preserve">407 of the </w:t>
      </w:r>
      <w:r w:rsidRPr="008929BB">
        <w:rPr>
          <w:i/>
        </w:rPr>
        <w:t>Telecommunications Act 1997</w:t>
      </w:r>
      <w:r w:rsidRPr="008929BB">
        <w:t>; or</w:t>
      </w:r>
    </w:p>
    <w:p w:rsidR="0035109E" w:rsidRPr="008929BB" w:rsidRDefault="0035109E" w:rsidP="008929BB">
      <w:pPr>
        <w:pStyle w:val="P1"/>
      </w:pPr>
      <w:r w:rsidRPr="008929BB">
        <w:tab/>
        <w:t>(b)</w:t>
      </w:r>
      <w:r w:rsidRPr="008929BB">
        <w:tab/>
      </w:r>
      <w:proofErr w:type="gramStart"/>
      <w:r w:rsidRPr="008929BB">
        <w:t>in</w:t>
      </w:r>
      <w:proofErr w:type="gramEnd"/>
      <w:r w:rsidRPr="008929BB">
        <w:t xml:space="preserve"> accordance with a notice made by the </w:t>
      </w:r>
      <w:r w:rsidR="00E305A5" w:rsidRPr="008929BB">
        <w:t>ACMA</w:t>
      </w:r>
      <w:r w:rsidRPr="008929BB">
        <w:t xml:space="preserve"> under section</w:t>
      </w:r>
      <w:r w:rsidR="00D87EF9" w:rsidRPr="008929BB">
        <w:t> </w:t>
      </w:r>
      <w:r w:rsidRPr="008929BB">
        <w:t>182 of the Act; or</w:t>
      </w:r>
    </w:p>
    <w:p w:rsidR="0035109E" w:rsidRPr="008929BB" w:rsidRDefault="0035109E" w:rsidP="008929BB">
      <w:pPr>
        <w:pStyle w:val="P1"/>
      </w:pPr>
      <w:r w:rsidRPr="008929BB">
        <w:tab/>
        <w:t>(c)</w:t>
      </w:r>
      <w:r w:rsidRPr="008929BB">
        <w:tab/>
      </w:r>
      <w:proofErr w:type="gramStart"/>
      <w:r w:rsidRPr="008929BB">
        <w:t>by</w:t>
      </w:r>
      <w:proofErr w:type="gramEnd"/>
      <w:r w:rsidRPr="008929BB">
        <w:t xml:space="preserve"> Standards Australia Limited under AS/NZS 4417</w:t>
      </w:r>
      <w:r w:rsidR="000601AC">
        <w:t>.1</w:t>
      </w:r>
      <w:r w:rsidRPr="008929BB">
        <w:t>.</w:t>
      </w:r>
    </w:p>
    <w:p w:rsidR="0035109E" w:rsidRPr="008929BB" w:rsidRDefault="0035109E" w:rsidP="00E46747">
      <w:pPr>
        <w:pStyle w:val="Definition"/>
        <w:spacing w:before="120"/>
        <w:ind w:left="993"/>
        <w:rPr>
          <w:sz w:val="24"/>
          <w:szCs w:val="24"/>
        </w:rPr>
      </w:pPr>
      <w:proofErr w:type="gramStart"/>
      <w:r w:rsidRPr="008929BB">
        <w:rPr>
          <w:b/>
          <w:bCs/>
          <w:i/>
          <w:iCs/>
          <w:sz w:val="24"/>
          <w:szCs w:val="24"/>
        </w:rPr>
        <w:t>variant</w:t>
      </w:r>
      <w:proofErr w:type="gramEnd"/>
      <w:r w:rsidRPr="008929BB">
        <w:rPr>
          <w:sz w:val="24"/>
          <w:szCs w:val="24"/>
        </w:rPr>
        <w:t xml:space="preserve"> </w:t>
      </w:r>
      <w:r w:rsidR="008A4221">
        <w:rPr>
          <w:sz w:val="24"/>
          <w:szCs w:val="24"/>
        </w:rPr>
        <w:t>has the meaning given by section 4A</w:t>
      </w:r>
      <w:r w:rsidRPr="008929BB">
        <w:rPr>
          <w:sz w:val="24"/>
          <w:szCs w:val="24"/>
        </w:rPr>
        <w:t>.</w:t>
      </w:r>
    </w:p>
    <w:p w:rsidR="0035109E" w:rsidRPr="008929BB" w:rsidRDefault="0035109E" w:rsidP="00E46747">
      <w:pPr>
        <w:pStyle w:val="Definition"/>
        <w:spacing w:before="120"/>
        <w:ind w:left="993"/>
        <w:rPr>
          <w:sz w:val="24"/>
          <w:szCs w:val="24"/>
        </w:rPr>
      </w:pPr>
      <w:proofErr w:type="gramStart"/>
      <w:r w:rsidRPr="008929BB">
        <w:rPr>
          <w:b/>
          <w:bCs/>
          <w:i/>
          <w:iCs/>
          <w:sz w:val="24"/>
          <w:szCs w:val="24"/>
        </w:rPr>
        <w:t>working</w:t>
      </w:r>
      <w:proofErr w:type="gramEnd"/>
      <w:r w:rsidRPr="008929BB">
        <w:rPr>
          <w:b/>
          <w:bCs/>
          <w:i/>
          <w:iCs/>
          <w:sz w:val="24"/>
          <w:szCs w:val="24"/>
        </w:rPr>
        <w:t xml:space="preserve"> day</w:t>
      </w:r>
      <w:r w:rsidRPr="008929BB">
        <w:rPr>
          <w:sz w:val="24"/>
          <w:szCs w:val="24"/>
        </w:rPr>
        <w:t>, in relation to a request, means a day other than:</w:t>
      </w:r>
    </w:p>
    <w:p w:rsidR="0035109E" w:rsidRPr="008929BB" w:rsidRDefault="0035109E" w:rsidP="008929BB">
      <w:pPr>
        <w:pStyle w:val="P1"/>
      </w:pPr>
      <w:r w:rsidRPr="008929BB">
        <w:tab/>
        <w:t>(a)</w:t>
      </w:r>
      <w:r w:rsidRPr="008929BB">
        <w:tab/>
      </w:r>
      <w:proofErr w:type="gramStart"/>
      <w:r w:rsidRPr="008929BB">
        <w:t>a</w:t>
      </w:r>
      <w:proofErr w:type="gramEnd"/>
      <w:r w:rsidRPr="008929BB">
        <w:t xml:space="preserve"> Saturday or a Sunday; or</w:t>
      </w:r>
    </w:p>
    <w:p w:rsidR="0035109E" w:rsidRPr="00D87EF9" w:rsidRDefault="0035109E" w:rsidP="00616E49">
      <w:pPr>
        <w:pStyle w:val="P1"/>
      </w:pPr>
      <w:r w:rsidRPr="008929BB">
        <w:tab/>
        <w:t>(b)</w:t>
      </w:r>
      <w:r w:rsidRPr="008929BB">
        <w:tab/>
      </w:r>
      <w:proofErr w:type="gramStart"/>
      <w:r w:rsidRPr="008929BB">
        <w:t>a</w:t>
      </w:r>
      <w:proofErr w:type="gramEnd"/>
      <w:r w:rsidRPr="008929BB">
        <w:t xml:space="preserve"> day that is a public holiday in the place where the request is made.</w:t>
      </w:r>
    </w:p>
    <w:p w:rsidR="0035109E" w:rsidRPr="002D250B" w:rsidRDefault="0035109E" w:rsidP="002D250B">
      <w:pPr>
        <w:pStyle w:val="R1"/>
        <w:keepLines w:val="0"/>
      </w:pPr>
      <w:r w:rsidRPr="002D250B">
        <w:tab/>
        <w:t>(</w:t>
      </w:r>
      <w:r w:rsidR="00DF132F" w:rsidRPr="002D250B">
        <w:t>2</w:t>
      </w:r>
      <w:r w:rsidRPr="002D250B">
        <w:t>)</w:t>
      </w:r>
      <w:r w:rsidRPr="002D250B">
        <w:tab/>
      </w:r>
      <w:r w:rsidR="000321BC" w:rsidRPr="002D250B">
        <w:t>A</w:t>
      </w:r>
      <w:r w:rsidR="002D250B">
        <w:t>n</w:t>
      </w:r>
      <w:r w:rsidRPr="002D250B">
        <w:t xml:space="preserve"> </w:t>
      </w:r>
      <w:r w:rsidRPr="002D250B">
        <w:rPr>
          <w:b/>
          <w:i/>
        </w:rPr>
        <w:t>accredited testing body</w:t>
      </w:r>
      <w:r w:rsidRPr="002D250B">
        <w:t xml:space="preserve"> is a laboratory that is accredited by:</w:t>
      </w:r>
    </w:p>
    <w:p w:rsidR="0035109E" w:rsidRPr="002D250B" w:rsidRDefault="0035109E" w:rsidP="002D250B">
      <w:pPr>
        <w:pStyle w:val="P1"/>
        <w:rPr>
          <w:color w:val="000000"/>
        </w:rPr>
      </w:pPr>
      <w:r w:rsidRPr="002D250B">
        <w:rPr>
          <w:color w:val="000000"/>
        </w:rPr>
        <w:tab/>
        <w:t>(a)</w:t>
      </w:r>
      <w:r w:rsidRPr="002D250B">
        <w:rPr>
          <w:color w:val="000000"/>
        </w:rPr>
        <w:tab/>
        <w:t>NATA; or</w:t>
      </w:r>
    </w:p>
    <w:p w:rsidR="0035109E" w:rsidRPr="002D250B" w:rsidRDefault="0035109E" w:rsidP="002D250B">
      <w:pPr>
        <w:pStyle w:val="P1"/>
        <w:rPr>
          <w:color w:val="000000"/>
        </w:rPr>
      </w:pPr>
      <w:r w:rsidRPr="002D250B">
        <w:rPr>
          <w:color w:val="000000"/>
        </w:rPr>
        <w:tab/>
        <w:t>(b)</w:t>
      </w:r>
      <w:r w:rsidRPr="002D250B">
        <w:rPr>
          <w:color w:val="000000"/>
        </w:rPr>
        <w:tab/>
      </w:r>
      <w:proofErr w:type="gramStart"/>
      <w:r w:rsidRPr="002D250B">
        <w:rPr>
          <w:color w:val="000000"/>
        </w:rPr>
        <w:t>an</w:t>
      </w:r>
      <w:proofErr w:type="gramEnd"/>
      <w:r w:rsidRPr="002D250B">
        <w:rPr>
          <w:color w:val="000000"/>
        </w:rPr>
        <w:t xml:space="preserve"> accreditation body of a foreign country, being a body with whom NATA has a mutual recognition arrangement or agreement; </w:t>
      </w:r>
    </w:p>
    <w:p w:rsidR="0035109E" w:rsidRPr="002D250B" w:rsidRDefault="0035109E" w:rsidP="002D250B">
      <w:pPr>
        <w:pStyle w:val="subsection2"/>
        <w:ind w:left="993"/>
        <w:rPr>
          <w:sz w:val="24"/>
          <w:szCs w:val="24"/>
        </w:rPr>
      </w:pPr>
      <w:proofErr w:type="gramStart"/>
      <w:r w:rsidRPr="002D250B">
        <w:rPr>
          <w:sz w:val="24"/>
          <w:szCs w:val="24"/>
        </w:rPr>
        <w:t>to</w:t>
      </w:r>
      <w:proofErr w:type="gramEnd"/>
      <w:r w:rsidRPr="002D250B">
        <w:rPr>
          <w:sz w:val="24"/>
          <w:szCs w:val="24"/>
        </w:rPr>
        <w:t xml:space="preserve"> conduct tests for </w:t>
      </w:r>
      <w:r w:rsidR="00691D8F" w:rsidRPr="002D250B">
        <w:rPr>
          <w:sz w:val="24"/>
          <w:szCs w:val="24"/>
        </w:rPr>
        <w:t>SAR</w:t>
      </w:r>
      <w:r w:rsidRPr="002D250B">
        <w:rPr>
          <w:sz w:val="24"/>
          <w:szCs w:val="24"/>
        </w:rPr>
        <w:t>.</w:t>
      </w:r>
    </w:p>
    <w:p w:rsidR="0035109E" w:rsidRPr="002D250B" w:rsidRDefault="002D250B" w:rsidP="002D250B">
      <w:pPr>
        <w:pStyle w:val="notetext"/>
        <w:ind w:left="993" w:firstLine="0"/>
        <w:rPr>
          <w:sz w:val="20"/>
        </w:rPr>
      </w:pPr>
      <w:r w:rsidRPr="002D250B">
        <w:rPr>
          <w:i/>
          <w:iCs/>
          <w:sz w:val="20"/>
        </w:rPr>
        <w:t>Note</w:t>
      </w:r>
      <w:r w:rsidR="001728F5" w:rsidRPr="002D250B">
        <w:rPr>
          <w:iCs/>
          <w:sz w:val="20"/>
        </w:rPr>
        <w:tab/>
      </w:r>
      <w:r w:rsidR="00DF132F" w:rsidRPr="002D250B">
        <w:rPr>
          <w:sz w:val="20"/>
        </w:rPr>
        <w:t>C</w:t>
      </w:r>
      <w:r w:rsidR="0035109E" w:rsidRPr="002D250B">
        <w:rPr>
          <w:sz w:val="20"/>
        </w:rPr>
        <w:t xml:space="preserve">ategory B devices whose normal position of use is not more than 20cm from the human body must have tests for </w:t>
      </w:r>
      <w:r w:rsidR="00A862E1" w:rsidRPr="002D250B">
        <w:rPr>
          <w:sz w:val="20"/>
        </w:rPr>
        <w:t xml:space="preserve">SAR </w:t>
      </w:r>
      <w:r w:rsidR="0035109E" w:rsidRPr="002D250B">
        <w:rPr>
          <w:sz w:val="20"/>
        </w:rPr>
        <w:t>conducted</w:t>
      </w:r>
      <w:r w:rsidR="000601AC" w:rsidRPr="000601AC">
        <w:rPr>
          <w:sz w:val="20"/>
        </w:rPr>
        <w:t xml:space="preserve"> only by an accredited testing body, see paragraphs 12(2)(c) and 15(b)</w:t>
      </w:r>
      <w:r w:rsidR="0035109E" w:rsidRPr="002D250B">
        <w:rPr>
          <w:sz w:val="20"/>
        </w:rPr>
        <w:t>.</w:t>
      </w:r>
    </w:p>
    <w:p w:rsidR="0035109E" w:rsidRPr="00D87EF9" w:rsidRDefault="0035109E" w:rsidP="00616E49">
      <w:pPr>
        <w:pStyle w:val="R1"/>
      </w:pPr>
      <w:r w:rsidRPr="00D87EF9">
        <w:tab/>
        <w:t>(</w:t>
      </w:r>
      <w:r w:rsidR="00DF132F">
        <w:t>3</w:t>
      </w:r>
      <w:r w:rsidRPr="00D87EF9">
        <w:t>)</w:t>
      </w:r>
      <w:r w:rsidRPr="00D87EF9">
        <w:tab/>
        <w:t>A reference in this Notice to a document with the prefix ‘AS/NZS’ is a reference to a document that is a joint Australian and New Zealand Standard approved for publication on behalf of the Standards organisations of those countries, as in force from time to time.</w:t>
      </w:r>
    </w:p>
    <w:p w:rsidR="0035109E" w:rsidRPr="00D87EF9" w:rsidRDefault="0035109E" w:rsidP="002D250B">
      <w:pPr>
        <w:pStyle w:val="R1"/>
        <w:keepLines w:val="0"/>
      </w:pPr>
      <w:r w:rsidRPr="00D87EF9">
        <w:tab/>
        <w:t>(</w:t>
      </w:r>
      <w:r w:rsidR="00DF132F">
        <w:t>4</w:t>
      </w:r>
      <w:r w:rsidRPr="00D87EF9">
        <w:t>)</w:t>
      </w:r>
      <w:r w:rsidRPr="00D87EF9">
        <w:tab/>
        <w:t>Reference may be made in this Notice to an Australian and New Zealand Standard by number alone without inclusion of the edition or year of publication of the standard.</w:t>
      </w:r>
    </w:p>
    <w:p w:rsidR="0035109E" w:rsidRPr="002D250B" w:rsidRDefault="0035109E" w:rsidP="002D250B">
      <w:pPr>
        <w:pStyle w:val="notetext"/>
        <w:ind w:hanging="992"/>
        <w:rPr>
          <w:i/>
          <w:sz w:val="20"/>
        </w:rPr>
      </w:pPr>
      <w:r w:rsidRPr="002D250B">
        <w:rPr>
          <w:i/>
          <w:sz w:val="20"/>
        </w:rPr>
        <w:t>Example</w:t>
      </w:r>
    </w:p>
    <w:p w:rsidR="0035109E" w:rsidRPr="002D250B" w:rsidRDefault="00497CD5" w:rsidP="002D250B">
      <w:pPr>
        <w:pStyle w:val="notetext"/>
        <w:ind w:hanging="992"/>
        <w:rPr>
          <w:sz w:val="20"/>
        </w:rPr>
      </w:pPr>
      <w:r>
        <w:rPr>
          <w:sz w:val="20"/>
        </w:rPr>
        <w:t>AS/NZS 4417.1:2012</w:t>
      </w:r>
      <w:r w:rsidR="0035109E" w:rsidRPr="002D250B">
        <w:rPr>
          <w:sz w:val="20"/>
        </w:rPr>
        <w:t xml:space="preserve"> may be referred to as AS/NZS 4417.1.</w:t>
      </w:r>
    </w:p>
    <w:p w:rsidR="0035109E" w:rsidRPr="002D250B" w:rsidRDefault="0035109E" w:rsidP="002D250B">
      <w:pPr>
        <w:pStyle w:val="R1"/>
        <w:keepLines w:val="0"/>
      </w:pPr>
      <w:r w:rsidRPr="00D87EF9">
        <w:tab/>
      </w:r>
      <w:r w:rsidRPr="002D250B">
        <w:t>(</w:t>
      </w:r>
      <w:r w:rsidR="00DF132F" w:rsidRPr="002D250B">
        <w:t>5</w:t>
      </w:r>
      <w:r w:rsidRPr="002D250B">
        <w:t>)</w:t>
      </w:r>
      <w:r w:rsidRPr="002D250B">
        <w:tab/>
        <w:t>A term that is:</w:t>
      </w:r>
    </w:p>
    <w:p w:rsidR="0035109E" w:rsidRPr="002D250B" w:rsidRDefault="0035109E" w:rsidP="002D250B">
      <w:pPr>
        <w:pStyle w:val="P1"/>
        <w:rPr>
          <w:color w:val="000000"/>
        </w:rPr>
      </w:pPr>
      <w:r w:rsidRPr="002D250B">
        <w:rPr>
          <w:color w:val="000000"/>
        </w:rPr>
        <w:tab/>
        <w:t>(a)</w:t>
      </w:r>
      <w:r w:rsidRPr="002D250B">
        <w:rPr>
          <w:color w:val="000000"/>
        </w:rPr>
        <w:tab/>
      </w:r>
      <w:proofErr w:type="gramStart"/>
      <w:r w:rsidRPr="002D250B">
        <w:rPr>
          <w:color w:val="000000"/>
        </w:rPr>
        <w:t>used</w:t>
      </w:r>
      <w:proofErr w:type="gramEnd"/>
      <w:r w:rsidRPr="002D250B">
        <w:rPr>
          <w:color w:val="000000"/>
        </w:rPr>
        <w:t xml:space="preserve"> (but not defined) in this Notice; and</w:t>
      </w:r>
    </w:p>
    <w:p w:rsidR="0035109E" w:rsidRPr="002D250B" w:rsidRDefault="0035109E" w:rsidP="002D250B">
      <w:pPr>
        <w:pStyle w:val="P1"/>
        <w:rPr>
          <w:color w:val="000000"/>
        </w:rPr>
      </w:pPr>
      <w:r w:rsidRPr="002D250B">
        <w:rPr>
          <w:color w:val="000000"/>
        </w:rPr>
        <w:tab/>
        <w:t>(</w:t>
      </w:r>
      <w:proofErr w:type="gramStart"/>
      <w:r w:rsidRPr="002D250B">
        <w:rPr>
          <w:color w:val="000000"/>
        </w:rPr>
        <w:t>b</w:t>
      </w:r>
      <w:proofErr w:type="gramEnd"/>
      <w:r w:rsidRPr="002D250B">
        <w:rPr>
          <w:color w:val="000000"/>
        </w:rPr>
        <w:t>)</w:t>
      </w:r>
      <w:r w:rsidRPr="002D250B">
        <w:rPr>
          <w:color w:val="000000"/>
        </w:rPr>
        <w:tab/>
        <w:t>defined in the Glossary of the ARPANSA standard;</w:t>
      </w:r>
    </w:p>
    <w:p w:rsidR="0035109E" w:rsidRPr="002D250B" w:rsidRDefault="0035109E" w:rsidP="002D250B">
      <w:pPr>
        <w:pStyle w:val="subsection2"/>
        <w:ind w:left="993"/>
        <w:rPr>
          <w:sz w:val="24"/>
          <w:szCs w:val="24"/>
        </w:rPr>
      </w:pPr>
      <w:proofErr w:type="gramStart"/>
      <w:r w:rsidRPr="002D250B">
        <w:rPr>
          <w:color w:val="000000"/>
          <w:sz w:val="24"/>
          <w:szCs w:val="24"/>
        </w:rPr>
        <w:lastRenderedPageBreak/>
        <w:t>has</w:t>
      </w:r>
      <w:proofErr w:type="gramEnd"/>
      <w:r w:rsidRPr="002D250B">
        <w:rPr>
          <w:color w:val="000000"/>
          <w:sz w:val="24"/>
          <w:szCs w:val="24"/>
        </w:rPr>
        <w:t xml:space="preserve"> the meaning given by </w:t>
      </w:r>
      <w:r w:rsidR="000601AC">
        <w:rPr>
          <w:color w:val="000000"/>
          <w:sz w:val="24"/>
          <w:szCs w:val="24"/>
        </w:rPr>
        <w:t>that</w:t>
      </w:r>
      <w:r w:rsidR="000601AC" w:rsidRPr="002D250B">
        <w:rPr>
          <w:color w:val="000000"/>
          <w:sz w:val="24"/>
          <w:szCs w:val="24"/>
        </w:rPr>
        <w:t xml:space="preserve"> </w:t>
      </w:r>
      <w:r w:rsidRPr="002D250B">
        <w:rPr>
          <w:color w:val="000000"/>
          <w:sz w:val="24"/>
          <w:szCs w:val="24"/>
        </w:rPr>
        <w:t>Glossary.</w:t>
      </w:r>
    </w:p>
    <w:p w:rsidR="008A4221" w:rsidRDefault="008A4221" w:rsidP="002D250B">
      <w:pPr>
        <w:pStyle w:val="HR"/>
        <w:rPr>
          <w:rStyle w:val="CharSectno"/>
          <w:i/>
        </w:rPr>
      </w:pPr>
      <w:bookmarkStart w:id="9" w:name="_Toc350862622"/>
      <w:r>
        <w:rPr>
          <w:rStyle w:val="CharSectno"/>
        </w:rPr>
        <w:t>4A</w:t>
      </w:r>
      <w:r>
        <w:rPr>
          <w:rStyle w:val="CharSectno"/>
        </w:rPr>
        <w:tab/>
        <w:t xml:space="preserve">Definition of </w:t>
      </w:r>
      <w:r w:rsidRPr="008A4221">
        <w:rPr>
          <w:rStyle w:val="CharSectno"/>
          <w:i/>
        </w:rPr>
        <w:t>variant</w:t>
      </w:r>
    </w:p>
    <w:p w:rsidR="008A4221" w:rsidRDefault="008A4221" w:rsidP="008A4221">
      <w:pPr>
        <w:pStyle w:val="R1"/>
        <w:keepLines w:val="0"/>
        <w:numPr>
          <w:ilvl w:val="0"/>
          <w:numId w:val="28"/>
        </w:numPr>
      </w:pPr>
      <w:r>
        <w:t xml:space="preserve">This section sets out when a device is a </w:t>
      </w:r>
      <w:r>
        <w:rPr>
          <w:b/>
          <w:i/>
        </w:rPr>
        <w:t>variant</w:t>
      </w:r>
      <w:r w:rsidRPr="00D87EF9">
        <w:t xml:space="preserve"> </w:t>
      </w:r>
      <w:r>
        <w:t>of</w:t>
      </w:r>
      <w:r w:rsidRPr="00D87EF9">
        <w:t xml:space="preserve"> a</w:t>
      </w:r>
      <w:r>
        <w:t>nother</w:t>
      </w:r>
      <w:r w:rsidRPr="00D87EF9">
        <w:t xml:space="preserve"> device.</w:t>
      </w:r>
    </w:p>
    <w:p w:rsidR="008A4221" w:rsidRPr="008A4221" w:rsidRDefault="008A4221" w:rsidP="008A4221">
      <w:pPr>
        <w:pStyle w:val="R1"/>
        <w:keepLines w:val="0"/>
        <w:numPr>
          <w:ilvl w:val="0"/>
          <w:numId w:val="28"/>
        </w:numPr>
      </w:pPr>
      <w:r>
        <w:t>If, in relation to a device (</w:t>
      </w:r>
      <w:r>
        <w:rPr>
          <w:b/>
          <w:i/>
        </w:rPr>
        <w:t>the first device</w:t>
      </w:r>
      <w:r>
        <w:t>), the applicable standard requires that a particular method be used for assessing whether the first device meets the applicable standard, then another device (</w:t>
      </w:r>
      <w:r>
        <w:rPr>
          <w:b/>
          <w:i/>
        </w:rPr>
        <w:t>the second device</w:t>
      </w:r>
      <w:r>
        <w:t xml:space="preserve">) is a </w:t>
      </w:r>
      <w:r>
        <w:rPr>
          <w:b/>
          <w:i/>
        </w:rPr>
        <w:t xml:space="preserve">variant </w:t>
      </w:r>
      <w:r>
        <w:t>of the first device if:</w:t>
      </w:r>
    </w:p>
    <w:p w:rsidR="008A4221" w:rsidRPr="002D250B" w:rsidRDefault="008A4221" w:rsidP="008A4221">
      <w:pPr>
        <w:pStyle w:val="P1"/>
        <w:rPr>
          <w:color w:val="000000"/>
        </w:rPr>
      </w:pPr>
      <w:r>
        <w:rPr>
          <w:color w:val="000000"/>
        </w:rPr>
        <w:tab/>
      </w:r>
      <w:r w:rsidRPr="002D250B">
        <w:rPr>
          <w:color w:val="000000"/>
        </w:rPr>
        <w:t>(a)</w:t>
      </w:r>
      <w:r w:rsidRPr="002D250B">
        <w:rPr>
          <w:color w:val="000000"/>
        </w:rPr>
        <w:tab/>
      </w:r>
      <w:proofErr w:type="gramStart"/>
      <w:r>
        <w:rPr>
          <w:color w:val="000000"/>
        </w:rPr>
        <w:t>the</w:t>
      </w:r>
      <w:proofErr w:type="gramEnd"/>
      <w:r>
        <w:rPr>
          <w:color w:val="000000"/>
        </w:rPr>
        <w:t xml:space="preserve"> second device is not identical to the first device; and</w:t>
      </w:r>
    </w:p>
    <w:p w:rsidR="008A4221" w:rsidRDefault="008A4221" w:rsidP="008A4221">
      <w:pPr>
        <w:pStyle w:val="P1"/>
        <w:rPr>
          <w:color w:val="000000"/>
        </w:rPr>
      </w:pPr>
      <w:r>
        <w:rPr>
          <w:color w:val="000000"/>
        </w:rPr>
        <w:tab/>
      </w:r>
      <w:r w:rsidRPr="002D250B">
        <w:rPr>
          <w:color w:val="000000"/>
        </w:rPr>
        <w:t>(b)</w:t>
      </w:r>
      <w:r w:rsidRPr="002D250B">
        <w:rPr>
          <w:color w:val="000000"/>
        </w:rPr>
        <w:tab/>
      </w:r>
      <w:proofErr w:type="gramStart"/>
      <w:r>
        <w:rPr>
          <w:color w:val="000000"/>
        </w:rPr>
        <w:t>the</w:t>
      </w:r>
      <w:proofErr w:type="gramEnd"/>
      <w:r>
        <w:rPr>
          <w:color w:val="000000"/>
        </w:rPr>
        <w:t xml:space="preserve"> method required by the applicable standard to be used for assessing whether the first device meets the applicable standard:</w:t>
      </w:r>
    </w:p>
    <w:p w:rsidR="008A4221" w:rsidRPr="00322D64" w:rsidRDefault="008A4221" w:rsidP="008A4221">
      <w:pPr>
        <w:pStyle w:val="P2"/>
        <w:rPr>
          <w:color w:val="000000"/>
        </w:rPr>
      </w:pPr>
      <w:r w:rsidRPr="00322D64">
        <w:rPr>
          <w:color w:val="000000"/>
        </w:rPr>
        <w:tab/>
        <w:t>(</w:t>
      </w:r>
      <w:proofErr w:type="spellStart"/>
      <w:r w:rsidRPr="00322D64">
        <w:rPr>
          <w:color w:val="000000"/>
        </w:rPr>
        <w:t>i</w:t>
      </w:r>
      <w:proofErr w:type="spellEnd"/>
      <w:r w:rsidRPr="00322D64">
        <w:rPr>
          <w:color w:val="000000"/>
        </w:rPr>
        <w:t>)</w:t>
      </w:r>
      <w:r w:rsidRPr="00322D64">
        <w:rPr>
          <w:color w:val="000000"/>
        </w:rPr>
        <w:tab/>
      </w:r>
      <w:proofErr w:type="gramStart"/>
      <w:r>
        <w:rPr>
          <w:color w:val="000000"/>
        </w:rPr>
        <w:t>is</w:t>
      </w:r>
      <w:proofErr w:type="gramEnd"/>
      <w:r>
        <w:rPr>
          <w:color w:val="000000"/>
        </w:rPr>
        <w:t xml:space="preserve"> the same method required by the standard to be used for assessing whether the second device meets the standard; and</w:t>
      </w:r>
    </w:p>
    <w:p w:rsidR="008A4221" w:rsidRPr="00322D64" w:rsidRDefault="008A4221" w:rsidP="008A4221">
      <w:pPr>
        <w:pStyle w:val="P2"/>
        <w:rPr>
          <w:color w:val="000000"/>
        </w:rPr>
      </w:pPr>
      <w:r w:rsidRPr="00322D64">
        <w:rPr>
          <w:color w:val="000000"/>
        </w:rPr>
        <w:tab/>
        <w:t>(ii)</w:t>
      </w:r>
      <w:r w:rsidRPr="00322D64">
        <w:rPr>
          <w:color w:val="000000"/>
        </w:rPr>
        <w:tab/>
      </w:r>
      <w:proofErr w:type="gramStart"/>
      <w:r>
        <w:rPr>
          <w:color w:val="000000"/>
        </w:rPr>
        <w:t>when</w:t>
      </w:r>
      <w:proofErr w:type="gramEnd"/>
      <w:r>
        <w:rPr>
          <w:color w:val="000000"/>
        </w:rPr>
        <w:t xml:space="preserve"> used to assess whether the second device meets the standard, is used in the same manner as when used to assess whether the first device meets the standard.</w:t>
      </w:r>
    </w:p>
    <w:p w:rsidR="0035109E" w:rsidRPr="002D250B" w:rsidRDefault="0035109E" w:rsidP="002D250B">
      <w:pPr>
        <w:pStyle w:val="HR"/>
        <w:rPr>
          <w:rStyle w:val="CharSectno"/>
        </w:rPr>
      </w:pPr>
      <w:r w:rsidRPr="00D87EF9">
        <w:rPr>
          <w:rStyle w:val="CharSectno"/>
        </w:rPr>
        <w:t>5</w:t>
      </w:r>
      <w:r w:rsidR="001728F5" w:rsidRPr="002D250B">
        <w:rPr>
          <w:rStyle w:val="CharSectno"/>
        </w:rPr>
        <w:t xml:space="preserve">  </w:t>
      </w:r>
      <w:r w:rsidR="002D250B">
        <w:rPr>
          <w:rStyle w:val="CharSectno"/>
        </w:rPr>
        <w:tab/>
      </w:r>
      <w:r w:rsidRPr="002D250B">
        <w:rPr>
          <w:rStyle w:val="CharSectno"/>
        </w:rPr>
        <w:t>Category A devices</w:t>
      </w:r>
      <w:bookmarkEnd w:id="9"/>
    </w:p>
    <w:p w:rsidR="0035109E" w:rsidRPr="00D87EF9" w:rsidRDefault="0035109E" w:rsidP="002D250B">
      <w:pPr>
        <w:pStyle w:val="R1"/>
        <w:keepLines w:val="0"/>
      </w:pPr>
      <w:r w:rsidRPr="00D87EF9">
        <w:tab/>
        <w:t>(1)</w:t>
      </w:r>
      <w:r w:rsidRPr="00D87EF9">
        <w:tab/>
        <w:t xml:space="preserve">A </w:t>
      </w:r>
      <w:r w:rsidRPr="002D250B">
        <w:rPr>
          <w:b/>
          <w:i/>
        </w:rPr>
        <w:t xml:space="preserve">category </w:t>
      </w:r>
      <w:proofErr w:type="gramStart"/>
      <w:r w:rsidRPr="002D250B">
        <w:rPr>
          <w:b/>
          <w:i/>
        </w:rPr>
        <w:t>A</w:t>
      </w:r>
      <w:proofErr w:type="gramEnd"/>
      <w:r w:rsidRPr="002D250B">
        <w:rPr>
          <w:b/>
          <w:i/>
        </w:rPr>
        <w:t xml:space="preserve"> device</w:t>
      </w:r>
      <w:r w:rsidRPr="00D87EF9">
        <w:t xml:space="preserve"> is a device that meets the criteria in </w:t>
      </w:r>
      <w:r w:rsidR="00D87EF9" w:rsidRPr="00D87EF9">
        <w:t>subsection (</w:t>
      </w:r>
      <w:r w:rsidRPr="00D87EF9">
        <w:t>2) or</w:t>
      </w:r>
      <w:r w:rsidR="004370B9" w:rsidRPr="00D87EF9">
        <w:t xml:space="preserve"> </w:t>
      </w:r>
      <w:r w:rsidRPr="00D87EF9">
        <w:t>(3).</w:t>
      </w:r>
    </w:p>
    <w:p w:rsidR="0035109E" w:rsidRPr="00D87EF9" w:rsidRDefault="0035109E" w:rsidP="002D250B">
      <w:pPr>
        <w:pStyle w:val="R1"/>
        <w:keepLines w:val="0"/>
      </w:pPr>
      <w:r w:rsidRPr="00D87EF9">
        <w:tab/>
        <w:t>(2)</w:t>
      </w:r>
      <w:r w:rsidRPr="00D87EF9">
        <w:tab/>
        <w:t>The criteria in this subsection are that the device:</w:t>
      </w:r>
    </w:p>
    <w:p w:rsidR="0035109E" w:rsidRPr="002D250B" w:rsidRDefault="0035109E" w:rsidP="002D250B">
      <w:pPr>
        <w:pStyle w:val="P1"/>
        <w:rPr>
          <w:color w:val="000000"/>
        </w:rPr>
      </w:pPr>
      <w:r w:rsidRPr="002D250B">
        <w:rPr>
          <w:color w:val="000000"/>
        </w:rPr>
        <w:tab/>
        <w:t>(a)</w:t>
      </w:r>
      <w:r w:rsidRPr="002D250B">
        <w:rPr>
          <w:color w:val="000000"/>
        </w:rPr>
        <w:tab/>
      </w:r>
      <w:proofErr w:type="gramStart"/>
      <w:r w:rsidRPr="002D250B">
        <w:rPr>
          <w:color w:val="000000"/>
        </w:rPr>
        <w:t>is</w:t>
      </w:r>
      <w:proofErr w:type="gramEnd"/>
      <w:r w:rsidRPr="002D250B">
        <w:rPr>
          <w:color w:val="000000"/>
        </w:rPr>
        <w:t xml:space="preserve"> an aware user device; and</w:t>
      </w:r>
    </w:p>
    <w:p w:rsidR="0035109E" w:rsidRPr="002D250B" w:rsidRDefault="0035109E" w:rsidP="002D250B">
      <w:pPr>
        <w:pStyle w:val="P1"/>
        <w:rPr>
          <w:color w:val="000000"/>
        </w:rPr>
      </w:pPr>
      <w:r w:rsidRPr="002D250B">
        <w:rPr>
          <w:color w:val="000000"/>
        </w:rPr>
        <w:tab/>
        <w:t>(b)</w:t>
      </w:r>
      <w:r w:rsidRPr="002D250B">
        <w:rPr>
          <w:color w:val="000000"/>
        </w:rPr>
        <w:tab/>
      </w:r>
      <w:proofErr w:type="gramStart"/>
      <w:r w:rsidRPr="002D250B">
        <w:rPr>
          <w:color w:val="000000"/>
        </w:rPr>
        <w:t>is</w:t>
      </w:r>
      <w:proofErr w:type="gramEnd"/>
      <w:r w:rsidRPr="002D250B">
        <w:rPr>
          <w:color w:val="000000"/>
        </w:rPr>
        <w:t xml:space="preserve"> not required to be evaluated under section</w:t>
      </w:r>
      <w:r w:rsidR="00D87EF9" w:rsidRPr="002D250B">
        <w:rPr>
          <w:color w:val="000000"/>
        </w:rPr>
        <w:t> </w:t>
      </w:r>
      <w:r w:rsidRPr="002D250B">
        <w:rPr>
          <w:color w:val="000000"/>
        </w:rPr>
        <w:t xml:space="preserve">5.2 of </w:t>
      </w:r>
      <w:r w:rsidR="001728F5" w:rsidRPr="002D250B">
        <w:rPr>
          <w:color w:val="000000"/>
        </w:rPr>
        <w:t>Schedule</w:t>
      </w:r>
      <w:r w:rsidR="00D87EF9" w:rsidRPr="002D250B">
        <w:rPr>
          <w:color w:val="000000"/>
        </w:rPr>
        <w:t> </w:t>
      </w:r>
      <w:r w:rsidRPr="002D250B">
        <w:rPr>
          <w:color w:val="000000"/>
        </w:rPr>
        <w:t xml:space="preserve">5 to the ARPANSA </w:t>
      </w:r>
      <w:r w:rsidR="000601AC">
        <w:rPr>
          <w:color w:val="000000"/>
        </w:rPr>
        <w:t>s</w:t>
      </w:r>
      <w:r w:rsidR="000601AC" w:rsidRPr="002D250B">
        <w:rPr>
          <w:color w:val="000000"/>
        </w:rPr>
        <w:t>tandard</w:t>
      </w:r>
      <w:r w:rsidRPr="002D250B">
        <w:rPr>
          <w:color w:val="000000"/>
        </w:rPr>
        <w:t>.</w:t>
      </w:r>
    </w:p>
    <w:p w:rsidR="0035109E" w:rsidRPr="00D87EF9" w:rsidRDefault="0035109E" w:rsidP="002D250B">
      <w:pPr>
        <w:pStyle w:val="R1"/>
        <w:keepLines w:val="0"/>
      </w:pPr>
      <w:r w:rsidRPr="00D87EF9">
        <w:tab/>
        <w:t>(3)</w:t>
      </w:r>
      <w:r w:rsidRPr="00D87EF9">
        <w:tab/>
        <w:t>The criteria in this subsection are that the device:</w:t>
      </w:r>
    </w:p>
    <w:p w:rsidR="0035109E" w:rsidRPr="002D250B" w:rsidRDefault="0035109E" w:rsidP="002D250B">
      <w:pPr>
        <w:pStyle w:val="P1"/>
        <w:rPr>
          <w:color w:val="000000"/>
        </w:rPr>
      </w:pPr>
      <w:r w:rsidRPr="002D250B">
        <w:rPr>
          <w:color w:val="000000"/>
        </w:rPr>
        <w:tab/>
        <w:t>(a)</w:t>
      </w:r>
      <w:r w:rsidRPr="002D250B">
        <w:rPr>
          <w:color w:val="000000"/>
        </w:rPr>
        <w:tab/>
      </w:r>
      <w:proofErr w:type="gramStart"/>
      <w:r w:rsidRPr="002D250B">
        <w:rPr>
          <w:color w:val="000000"/>
        </w:rPr>
        <w:t>is</w:t>
      </w:r>
      <w:proofErr w:type="gramEnd"/>
      <w:r w:rsidRPr="002D250B">
        <w:rPr>
          <w:color w:val="000000"/>
        </w:rPr>
        <w:t xml:space="preserve"> a non</w:t>
      </w:r>
      <w:r w:rsidR="00D87EF9" w:rsidRPr="002D250B">
        <w:rPr>
          <w:color w:val="000000"/>
        </w:rPr>
        <w:noBreakHyphen/>
      </w:r>
      <w:r w:rsidRPr="002D250B">
        <w:rPr>
          <w:color w:val="000000"/>
        </w:rPr>
        <w:t>aware user device; and</w:t>
      </w:r>
    </w:p>
    <w:p w:rsidR="0035109E" w:rsidRPr="002D250B" w:rsidRDefault="0035109E" w:rsidP="002D250B">
      <w:pPr>
        <w:pStyle w:val="P1"/>
        <w:rPr>
          <w:color w:val="000000"/>
        </w:rPr>
      </w:pPr>
      <w:r w:rsidRPr="002D250B">
        <w:rPr>
          <w:color w:val="000000"/>
        </w:rPr>
        <w:tab/>
        <w:t>(b)</w:t>
      </w:r>
      <w:r w:rsidRPr="002D250B">
        <w:rPr>
          <w:color w:val="000000"/>
        </w:rPr>
        <w:tab/>
      </w:r>
      <w:proofErr w:type="gramStart"/>
      <w:r w:rsidRPr="002D250B">
        <w:rPr>
          <w:color w:val="000000"/>
        </w:rPr>
        <w:t>is</w:t>
      </w:r>
      <w:proofErr w:type="gramEnd"/>
      <w:r w:rsidRPr="002D250B">
        <w:rPr>
          <w:color w:val="000000"/>
        </w:rPr>
        <w:t xml:space="preserve"> not required to be evaluated under section</w:t>
      </w:r>
      <w:r w:rsidR="00D87EF9" w:rsidRPr="002D250B">
        <w:rPr>
          <w:color w:val="000000"/>
        </w:rPr>
        <w:t> </w:t>
      </w:r>
      <w:r w:rsidRPr="002D250B">
        <w:rPr>
          <w:color w:val="000000"/>
        </w:rPr>
        <w:t xml:space="preserve">5.3 of </w:t>
      </w:r>
      <w:r w:rsidR="001728F5" w:rsidRPr="002D250B">
        <w:rPr>
          <w:color w:val="000000"/>
        </w:rPr>
        <w:t>Schedule</w:t>
      </w:r>
      <w:r w:rsidR="00D87EF9" w:rsidRPr="002D250B">
        <w:rPr>
          <w:color w:val="000000"/>
        </w:rPr>
        <w:t> </w:t>
      </w:r>
      <w:r w:rsidRPr="002D250B">
        <w:rPr>
          <w:color w:val="000000"/>
        </w:rPr>
        <w:t>5 to the ARPANSA standard.</w:t>
      </w:r>
    </w:p>
    <w:p w:rsidR="0035109E" w:rsidRPr="002D250B" w:rsidRDefault="0035109E" w:rsidP="00616E49">
      <w:pPr>
        <w:pStyle w:val="HR"/>
        <w:keepLines/>
        <w:rPr>
          <w:rStyle w:val="CharSectno"/>
        </w:rPr>
      </w:pPr>
      <w:bookmarkStart w:id="10" w:name="_Toc350862623"/>
      <w:r w:rsidRPr="00D87EF9">
        <w:rPr>
          <w:rStyle w:val="CharSectno"/>
        </w:rPr>
        <w:t>6</w:t>
      </w:r>
      <w:r w:rsidR="001728F5" w:rsidRPr="002D250B">
        <w:rPr>
          <w:rStyle w:val="CharSectno"/>
        </w:rPr>
        <w:t xml:space="preserve">  </w:t>
      </w:r>
      <w:r w:rsidR="002D250B">
        <w:rPr>
          <w:rStyle w:val="CharSectno"/>
        </w:rPr>
        <w:tab/>
      </w:r>
      <w:r w:rsidRPr="002D250B">
        <w:rPr>
          <w:rStyle w:val="CharSectno"/>
        </w:rPr>
        <w:t>Transitional</w:t>
      </w:r>
      <w:bookmarkEnd w:id="10"/>
    </w:p>
    <w:p w:rsidR="00F70C3B" w:rsidRDefault="00634E3F" w:rsidP="00616E49">
      <w:pPr>
        <w:pStyle w:val="R1"/>
        <w:keepNext/>
      </w:pPr>
      <w:r>
        <w:tab/>
      </w:r>
      <w:r w:rsidR="003F5D98">
        <w:t>(1)</w:t>
      </w:r>
      <w:r w:rsidR="003F5D98">
        <w:tab/>
      </w:r>
      <w:r w:rsidR="00F70C3B">
        <w:t>If:</w:t>
      </w:r>
    </w:p>
    <w:p w:rsidR="00F70C3B" w:rsidRPr="002D250B" w:rsidRDefault="00F70C3B" w:rsidP="00F70C3B">
      <w:pPr>
        <w:pStyle w:val="P1"/>
        <w:rPr>
          <w:color w:val="000000"/>
        </w:rPr>
      </w:pPr>
      <w:r w:rsidRPr="002D250B">
        <w:rPr>
          <w:color w:val="000000"/>
        </w:rPr>
        <w:tab/>
        <w:t>(a)</w:t>
      </w:r>
      <w:r w:rsidRPr="002D250B">
        <w:rPr>
          <w:color w:val="000000"/>
        </w:rPr>
        <w:tab/>
      </w:r>
      <w:proofErr w:type="gramStart"/>
      <w:r w:rsidRPr="002D250B">
        <w:rPr>
          <w:color w:val="000000"/>
        </w:rPr>
        <w:t>the</w:t>
      </w:r>
      <w:proofErr w:type="gramEnd"/>
      <w:r w:rsidRPr="002D250B">
        <w:rPr>
          <w:color w:val="000000"/>
        </w:rPr>
        <w:t xml:space="preserve"> applicable standard applies to </w:t>
      </w:r>
      <w:r>
        <w:rPr>
          <w:color w:val="000000"/>
        </w:rPr>
        <w:t>a</w:t>
      </w:r>
      <w:r w:rsidRPr="002D250B">
        <w:rPr>
          <w:color w:val="000000"/>
        </w:rPr>
        <w:t xml:space="preserve"> device; </w:t>
      </w:r>
    </w:p>
    <w:p w:rsidR="00F70C3B" w:rsidRDefault="00F70C3B" w:rsidP="00F70C3B">
      <w:pPr>
        <w:pStyle w:val="P1"/>
        <w:rPr>
          <w:color w:val="000000"/>
        </w:rPr>
      </w:pPr>
      <w:r w:rsidRPr="002D250B">
        <w:rPr>
          <w:color w:val="000000"/>
        </w:rPr>
        <w:tab/>
        <w:t>(b)</w:t>
      </w:r>
      <w:r w:rsidRPr="002D250B">
        <w:rPr>
          <w:color w:val="000000"/>
        </w:rPr>
        <w:tab/>
      </w:r>
      <w:proofErr w:type="gramStart"/>
      <w:r w:rsidRPr="002D250B">
        <w:rPr>
          <w:color w:val="000000"/>
        </w:rPr>
        <w:t>the</w:t>
      </w:r>
      <w:proofErr w:type="gramEnd"/>
      <w:r w:rsidRPr="002D250B">
        <w:rPr>
          <w:color w:val="000000"/>
        </w:rPr>
        <w:t xml:space="preserve"> device is taken to comply with the applicable standard because </w:t>
      </w:r>
      <w:r w:rsidR="00622AAC">
        <w:rPr>
          <w:color w:val="000000"/>
        </w:rPr>
        <w:t>the device complies</w:t>
      </w:r>
      <w:r w:rsidRPr="002D250B">
        <w:rPr>
          <w:color w:val="000000"/>
        </w:rPr>
        <w:t xml:space="preserve"> with the old standard; and</w:t>
      </w:r>
    </w:p>
    <w:p w:rsidR="00F70C3B" w:rsidRDefault="00F70C3B" w:rsidP="00F70C3B">
      <w:pPr>
        <w:pStyle w:val="P1"/>
        <w:rPr>
          <w:i/>
          <w:color w:val="000000"/>
        </w:rPr>
      </w:pPr>
      <w:r>
        <w:rPr>
          <w:color w:val="000000"/>
        </w:rPr>
        <w:tab/>
        <w:t>(c)</w:t>
      </w:r>
      <w:r>
        <w:rPr>
          <w:color w:val="000000"/>
        </w:rPr>
        <w:tab/>
      </w:r>
      <w:proofErr w:type="gramStart"/>
      <w:r>
        <w:t>the</w:t>
      </w:r>
      <w:proofErr w:type="gramEnd"/>
      <w:r>
        <w:t xml:space="preserve"> supplier of the device complied with the </w:t>
      </w:r>
      <w:proofErr w:type="spellStart"/>
      <w:r w:rsidRPr="002D250B">
        <w:rPr>
          <w:i/>
          <w:color w:val="000000"/>
        </w:rPr>
        <w:t>Radiocommunications</w:t>
      </w:r>
      <w:proofErr w:type="spellEnd"/>
      <w:r w:rsidRPr="002D250B">
        <w:rPr>
          <w:i/>
          <w:color w:val="000000"/>
        </w:rPr>
        <w:t xml:space="preserve"> (Compliance Labelling—Electromagnetic Radiation) Notice 2003</w:t>
      </w:r>
      <w:r>
        <w:rPr>
          <w:color w:val="000000"/>
        </w:rPr>
        <w:t xml:space="preserve"> in relation to the device</w:t>
      </w:r>
      <w:r w:rsidRPr="00F70C3B">
        <w:rPr>
          <w:color w:val="000000"/>
        </w:rPr>
        <w:t>;</w:t>
      </w:r>
    </w:p>
    <w:p w:rsidR="00F70C3B" w:rsidRDefault="00F70C3B" w:rsidP="002D250B">
      <w:pPr>
        <w:pStyle w:val="R1"/>
        <w:keepLines w:val="0"/>
      </w:pPr>
      <w:r>
        <w:tab/>
      </w:r>
      <w:r w:rsidRPr="00D87EF9">
        <w:tab/>
      </w:r>
      <w:proofErr w:type="gramStart"/>
      <w:r>
        <w:t>the</w:t>
      </w:r>
      <w:proofErr w:type="gramEnd"/>
      <w:r>
        <w:t xml:space="preserve"> supplier is taken to comply with this Notice in relation to that device.</w:t>
      </w:r>
    </w:p>
    <w:p w:rsidR="003F5D98" w:rsidRPr="00F70C3B" w:rsidRDefault="00F70C3B" w:rsidP="002D250B">
      <w:pPr>
        <w:pStyle w:val="R1"/>
        <w:keepLines w:val="0"/>
      </w:pPr>
      <w:r>
        <w:tab/>
        <w:t>(2)</w:t>
      </w:r>
      <w:r>
        <w:tab/>
        <w:t xml:space="preserve">Despite the revocation of the </w:t>
      </w:r>
      <w:proofErr w:type="spellStart"/>
      <w:r w:rsidRPr="002D250B">
        <w:rPr>
          <w:i/>
          <w:color w:val="000000"/>
        </w:rPr>
        <w:t>Radiocommunications</w:t>
      </w:r>
      <w:proofErr w:type="spellEnd"/>
      <w:r w:rsidRPr="002D250B">
        <w:rPr>
          <w:i/>
          <w:color w:val="000000"/>
        </w:rPr>
        <w:t xml:space="preserve"> (Compliance Labelling—Electromagnetic Radiation) Notice 2003</w:t>
      </w:r>
      <w:r>
        <w:rPr>
          <w:color w:val="000000"/>
        </w:rPr>
        <w:t>, that notice applies to a device or supplier for the purposes of this section as if the notice had not been revoked.</w:t>
      </w:r>
    </w:p>
    <w:p w:rsidR="00616E49" w:rsidRDefault="0035109E" w:rsidP="00616E49">
      <w:pPr>
        <w:pStyle w:val="R1"/>
        <w:keepLines w:val="0"/>
      </w:pPr>
      <w:r w:rsidRPr="00D87EF9">
        <w:tab/>
        <w:t>(</w:t>
      </w:r>
      <w:r w:rsidR="00622AAC">
        <w:t>3</w:t>
      </w:r>
      <w:r w:rsidRPr="00D87EF9">
        <w:t>)</w:t>
      </w:r>
      <w:r w:rsidRPr="00D87EF9">
        <w:tab/>
      </w:r>
      <w:r w:rsidR="00D87EF9" w:rsidRPr="00D87EF9">
        <w:t>Subsection</w:t>
      </w:r>
      <w:r w:rsidR="000601AC">
        <w:t>s</w:t>
      </w:r>
      <w:r w:rsidR="00D87EF9" w:rsidRPr="00D87EF9">
        <w:t> (</w:t>
      </w:r>
      <w:r w:rsidRPr="00D87EF9">
        <w:t xml:space="preserve">1) </w:t>
      </w:r>
      <w:r w:rsidR="000601AC">
        <w:t xml:space="preserve">and (2) </w:t>
      </w:r>
      <w:r w:rsidRPr="00D87EF9">
        <w:t xml:space="preserve">cease to apply </w:t>
      </w:r>
      <w:r w:rsidR="0066034E">
        <w:t>12 months after the commencement of this Notice</w:t>
      </w:r>
      <w:r w:rsidR="00634E3F" w:rsidRPr="00A36E0A">
        <w:t>.</w:t>
      </w:r>
      <w:bookmarkStart w:id="11" w:name="_Toc350862624"/>
    </w:p>
    <w:p w:rsidR="0035109E" w:rsidRPr="002D250B" w:rsidRDefault="0035109E" w:rsidP="002D250B">
      <w:pPr>
        <w:pStyle w:val="HR"/>
        <w:rPr>
          <w:rStyle w:val="CharSectno"/>
        </w:rPr>
      </w:pPr>
      <w:r w:rsidRPr="00D87EF9">
        <w:rPr>
          <w:rStyle w:val="CharSectno"/>
        </w:rPr>
        <w:lastRenderedPageBreak/>
        <w:t>7</w:t>
      </w:r>
      <w:r w:rsidR="001728F5" w:rsidRPr="002D250B">
        <w:rPr>
          <w:rStyle w:val="CharSectno"/>
        </w:rPr>
        <w:t xml:space="preserve">  </w:t>
      </w:r>
      <w:r w:rsidR="002D250B">
        <w:rPr>
          <w:rStyle w:val="CharSectno"/>
        </w:rPr>
        <w:tab/>
      </w:r>
      <w:r w:rsidRPr="002D250B">
        <w:rPr>
          <w:rStyle w:val="CharSectno"/>
        </w:rPr>
        <w:t>Application of this Notice to devices</w:t>
      </w:r>
      <w:bookmarkEnd w:id="11"/>
    </w:p>
    <w:p w:rsidR="0035109E" w:rsidRPr="00D87EF9" w:rsidRDefault="0035109E" w:rsidP="002D250B">
      <w:pPr>
        <w:pStyle w:val="R1"/>
        <w:keepLines w:val="0"/>
      </w:pPr>
      <w:r w:rsidRPr="00D87EF9">
        <w:tab/>
        <w:t>(1)</w:t>
      </w:r>
      <w:r w:rsidRPr="00D87EF9">
        <w:tab/>
        <w:t>This Notice applies to a device if:</w:t>
      </w:r>
    </w:p>
    <w:p w:rsidR="0035109E" w:rsidRPr="002D250B" w:rsidRDefault="0035109E" w:rsidP="002D250B">
      <w:pPr>
        <w:pStyle w:val="P1"/>
        <w:rPr>
          <w:color w:val="000000"/>
        </w:rPr>
      </w:pPr>
      <w:r w:rsidRPr="002D250B">
        <w:rPr>
          <w:color w:val="000000"/>
        </w:rPr>
        <w:tab/>
        <w:t>(a)</w:t>
      </w:r>
      <w:r w:rsidRPr="002D250B">
        <w:rPr>
          <w:color w:val="000000"/>
        </w:rPr>
        <w:tab/>
      </w:r>
      <w:proofErr w:type="gramStart"/>
      <w:r w:rsidRPr="002D250B">
        <w:rPr>
          <w:color w:val="000000"/>
        </w:rPr>
        <w:t>the</w:t>
      </w:r>
      <w:proofErr w:type="gramEnd"/>
      <w:r w:rsidRPr="002D250B">
        <w:rPr>
          <w:color w:val="000000"/>
        </w:rPr>
        <w:t xml:space="preserve"> device is manufactured in Australia, or imported, for supply; and</w:t>
      </w:r>
    </w:p>
    <w:p w:rsidR="0035109E" w:rsidRPr="002D250B" w:rsidRDefault="0035109E" w:rsidP="002D250B">
      <w:pPr>
        <w:pStyle w:val="P1"/>
        <w:rPr>
          <w:color w:val="000000"/>
        </w:rPr>
      </w:pPr>
      <w:r w:rsidRPr="002D250B">
        <w:rPr>
          <w:color w:val="000000"/>
        </w:rPr>
        <w:tab/>
        <w:t>(b)</w:t>
      </w:r>
      <w:r w:rsidRPr="002D250B">
        <w:rPr>
          <w:color w:val="000000"/>
        </w:rPr>
        <w:tab/>
      </w:r>
      <w:proofErr w:type="gramStart"/>
      <w:r w:rsidRPr="002D250B">
        <w:rPr>
          <w:color w:val="000000"/>
        </w:rPr>
        <w:t>the</w:t>
      </w:r>
      <w:proofErr w:type="gramEnd"/>
      <w:r w:rsidRPr="002D250B">
        <w:rPr>
          <w:color w:val="000000"/>
        </w:rPr>
        <w:t xml:space="preserve"> applicable standard applies to it.</w:t>
      </w:r>
    </w:p>
    <w:p w:rsidR="0035109E" w:rsidRPr="00D87EF9" w:rsidRDefault="0035109E" w:rsidP="002D250B">
      <w:pPr>
        <w:pStyle w:val="R1"/>
        <w:keepLines w:val="0"/>
      </w:pPr>
      <w:r w:rsidRPr="00D87EF9">
        <w:tab/>
        <w:t>(2)</w:t>
      </w:r>
      <w:r w:rsidRPr="00D87EF9">
        <w:tab/>
        <w:t>This Notice does not apply to a device that is imported or manufactured otherwise than for supply in Australia.</w:t>
      </w:r>
    </w:p>
    <w:p w:rsidR="0035109E" w:rsidRPr="00D87EF9" w:rsidRDefault="0035109E" w:rsidP="002D250B">
      <w:pPr>
        <w:pStyle w:val="R1"/>
        <w:keepLines w:val="0"/>
      </w:pPr>
      <w:r w:rsidRPr="00D87EF9">
        <w:tab/>
        <w:t>(3)</w:t>
      </w:r>
      <w:r w:rsidRPr="00D87EF9">
        <w:tab/>
        <w:t>This Notice does not apply to a category B device for which there is no applicable measurement method under the applicable standard.</w:t>
      </w:r>
    </w:p>
    <w:p w:rsidR="0035109E" w:rsidRPr="002D250B" w:rsidRDefault="0035109E" w:rsidP="002D250B">
      <w:pPr>
        <w:pStyle w:val="HR"/>
        <w:rPr>
          <w:rStyle w:val="CharSectno"/>
        </w:rPr>
      </w:pPr>
      <w:bookmarkStart w:id="12" w:name="_Toc350862625"/>
      <w:r w:rsidRPr="00D87EF9">
        <w:rPr>
          <w:rStyle w:val="CharSectno"/>
        </w:rPr>
        <w:t>8</w:t>
      </w:r>
      <w:r w:rsidR="001728F5" w:rsidRPr="002D250B">
        <w:rPr>
          <w:rStyle w:val="CharSectno"/>
        </w:rPr>
        <w:t xml:space="preserve">  </w:t>
      </w:r>
      <w:r w:rsidR="007A4EA0">
        <w:rPr>
          <w:rStyle w:val="CharSectno"/>
        </w:rPr>
        <w:tab/>
      </w:r>
      <w:r w:rsidRPr="002D250B">
        <w:rPr>
          <w:rStyle w:val="CharSectno"/>
        </w:rPr>
        <w:t xml:space="preserve">Relationship between this Notice and </w:t>
      </w:r>
      <w:bookmarkEnd w:id="12"/>
      <w:r w:rsidR="00E05D31" w:rsidRPr="002D250B">
        <w:rPr>
          <w:rStyle w:val="CharSectno"/>
        </w:rPr>
        <w:t xml:space="preserve">a labelling </w:t>
      </w:r>
      <w:r w:rsidR="004D137E" w:rsidRPr="002D250B">
        <w:rPr>
          <w:rStyle w:val="CharSectno"/>
        </w:rPr>
        <w:t xml:space="preserve">instrument </w:t>
      </w:r>
      <w:r w:rsidR="00E05D31" w:rsidRPr="002D250B">
        <w:rPr>
          <w:rStyle w:val="CharSectno"/>
        </w:rPr>
        <w:t xml:space="preserve">made under the </w:t>
      </w:r>
      <w:r w:rsidR="00E05D31" w:rsidRPr="002D250B">
        <w:rPr>
          <w:rStyle w:val="CharSectno"/>
          <w:i/>
        </w:rPr>
        <w:t>Telecommunications Act 1997</w:t>
      </w:r>
    </w:p>
    <w:p w:rsidR="0035109E" w:rsidRPr="002D250B" w:rsidRDefault="0035109E" w:rsidP="002D250B">
      <w:pPr>
        <w:pStyle w:val="R1"/>
        <w:keepLines w:val="0"/>
        <w:ind w:left="993" w:hanging="517"/>
      </w:pPr>
      <w:r w:rsidRPr="002D250B">
        <w:tab/>
      </w:r>
      <w:r w:rsidRPr="002D250B">
        <w:tab/>
        <w:t xml:space="preserve">If a device to which this Notice applies is also customer equipment or customer cabling to which </w:t>
      </w:r>
      <w:r w:rsidR="00E05D31" w:rsidRPr="002D250B">
        <w:t xml:space="preserve">an instrument made under subsection 407(1) of the </w:t>
      </w:r>
      <w:r w:rsidR="00E05D31" w:rsidRPr="002D250B">
        <w:rPr>
          <w:i/>
        </w:rPr>
        <w:t>Telecommunications Act 1997</w:t>
      </w:r>
      <w:r w:rsidRPr="002D250B">
        <w:t>, as in force from time to time, applies:</w:t>
      </w:r>
    </w:p>
    <w:p w:rsidR="0035109E" w:rsidRPr="002D250B" w:rsidRDefault="0035109E" w:rsidP="002D250B">
      <w:pPr>
        <w:pStyle w:val="P1"/>
        <w:rPr>
          <w:color w:val="000000"/>
        </w:rPr>
      </w:pPr>
      <w:r w:rsidRPr="002D250B">
        <w:rPr>
          <w:color w:val="000000"/>
        </w:rPr>
        <w:tab/>
        <w:t>(a)</w:t>
      </w:r>
      <w:r w:rsidRPr="002D250B">
        <w:rPr>
          <w:color w:val="000000"/>
        </w:rPr>
        <w:tab/>
      </w:r>
      <w:proofErr w:type="gramStart"/>
      <w:r w:rsidRPr="002D250B">
        <w:rPr>
          <w:color w:val="000000"/>
        </w:rPr>
        <w:t>the</w:t>
      </w:r>
      <w:proofErr w:type="gramEnd"/>
      <w:r w:rsidRPr="002D250B">
        <w:rPr>
          <w:color w:val="000000"/>
        </w:rPr>
        <w:t xml:space="preserve"> requirements in this Notice are additional to the requirements under that </w:t>
      </w:r>
      <w:r w:rsidR="00776208" w:rsidRPr="002D250B">
        <w:rPr>
          <w:color w:val="000000"/>
        </w:rPr>
        <w:t>instrument</w:t>
      </w:r>
      <w:r w:rsidRPr="002D250B">
        <w:rPr>
          <w:color w:val="000000"/>
        </w:rPr>
        <w:t>; and</w:t>
      </w:r>
    </w:p>
    <w:p w:rsidR="0035109E" w:rsidRPr="002D250B" w:rsidRDefault="0035109E" w:rsidP="002D250B">
      <w:pPr>
        <w:pStyle w:val="P1"/>
        <w:rPr>
          <w:color w:val="000000"/>
        </w:rPr>
      </w:pPr>
      <w:r w:rsidRPr="002D250B">
        <w:rPr>
          <w:color w:val="000000"/>
        </w:rPr>
        <w:tab/>
        <w:t>(b)</w:t>
      </w:r>
      <w:r w:rsidRPr="002D250B">
        <w:rPr>
          <w:color w:val="000000"/>
        </w:rPr>
        <w:tab/>
      </w:r>
      <w:r w:rsidR="001728F5" w:rsidRPr="002D250B">
        <w:rPr>
          <w:color w:val="000000"/>
        </w:rPr>
        <w:t>Part</w:t>
      </w:r>
      <w:r w:rsidR="00D87EF9" w:rsidRPr="002D250B">
        <w:rPr>
          <w:color w:val="000000"/>
        </w:rPr>
        <w:t> </w:t>
      </w:r>
      <w:r w:rsidRPr="002D250B">
        <w:rPr>
          <w:color w:val="000000"/>
        </w:rPr>
        <w:t>3 of this Notice does not apply in relation to the device; and</w:t>
      </w:r>
    </w:p>
    <w:p w:rsidR="0035109E" w:rsidRPr="002D250B" w:rsidRDefault="0035109E" w:rsidP="002D250B">
      <w:pPr>
        <w:pStyle w:val="P1"/>
        <w:rPr>
          <w:color w:val="000000"/>
        </w:rPr>
      </w:pPr>
      <w:r w:rsidRPr="002D250B">
        <w:rPr>
          <w:color w:val="000000"/>
        </w:rPr>
        <w:tab/>
        <w:t>(c)</w:t>
      </w:r>
      <w:r w:rsidRPr="002D250B">
        <w:rPr>
          <w:color w:val="000000"/>
        </w:rPr>
        <w:tab/>
      </w:r>
      <w:proofErr w:type="gramStart"/>
      <w:r w:rsidRPr="002D250B">
        <w:rPr>
          <w:color w:val="000000"/>
        </w:rPr>
        <w:t>a</w:t>
      </w:r>
      <w:proofErr w:type="gramEnd"/>
      <w:r w:rsidRPr="002D250B">
        <w:rPr>
          <w:color w:val="000000"/>
        </w:rPr>
        <w:t xml:space="preserve"> reference in this Notice (except subsection</w:t>
      </w:r>
      <w:r w:rsidR="00D87EF9" w:rsidRPr="002D250B">
        <w:rPr>
          <w:color w:val="000000"/>
        </w:rPr>
        <w:t> </w:t>
      </w:r>
      <w:r w:rsidRPr="002D250B">
        <w:rPr>
          <w:color w:val="000000"/>
        </w:rPr>
        <w:t xml:space="preserve">4(1)) to a compliance label includes a reference to a compliance label under that </w:t>
      </w:r>
      <w:r w:rsidR="00776208" w:rsidRPr="002D250B">
        <w:rPr>
          <w:color w:val="000000"/>
        </w:rPr>
        <w:t>instrument</w:t>
      </w:r>
      <w:r w:rsidRPr="002D250B">
        <w:rPr>
          <w:color w:val="000000"/>
        </w:rPr>
        <w:t>.</w:t>
      </w:r>
    </w:p>
    <w:p w:rsidR="003E13F3" w:rsidRPr="007A4EA0" w:rsidRDefault="003E13F3" w:rsidP="007A4EA0">
      <w:pPr>
        <w:pStyle w:val="HR"/>
        <w:rPr>
          <w:rStyle w:val="CharSectno"/>
          <w:i/>
        </w:rPr>
      </w:pPr>
      <w:bookmarkStart w:id="13" w:name="_Toc350862626"/>
      <w:r w:rsidRPr="00D87EF9">
        <w:rPr>
          <w:rStyle w:val="CharSectno"/>
        </w:rPr>
        <w:t>8A</w:t>
      </w:r>
      <w:r w:rsidRPr="007A4EA0">
        <w:rPr>
          <w:rStyle w:val="CharSectno"/>
        </w:rPr>
        <w:t xml:space="preserve">  </w:t>
      </w:r>
      <w:r w:rsidR="007A4EA0">
        <w:rPr>
          <w:rStyle w:val="CharSectno"/>
        </w:rPr>
        <w:tab/>
      </w:r>
      <w:r w:rsidRPr="007A4EA0">
        <w:rPr>
          <w:rStyle w:val="CharSectno"/>
        </w:rPr>
        <w:t xml:space="preserve">Relationship between this Notice and </w:t>
      </w:r>
      <w:r w:rsidR="0068171E" w:rsidRPr="007A4EA0">
        <w:rPr>
          <w:rStyle w:val="CharSectno"/>
        </w:rPr>
        <w:t xml:space="preserve">another labelling notice made under the </w:t>
      </w:r>
      <w:proofErr w:type="spellStart"/>
      <w:r w:rsidR="0068171E" w:rsidRPr="007A4EA0">
        <w:rPr>
          <w:rStyle w:val="CharSectno"/>
          <w:i/>
        </w:rPr>
        <w:t>Radiocommunications</w:t>
      </w:r>
      <w:proofErr w:type="spellEnd"/>
      <w:r w:rsidR="0068171E" w:rsidRPr="007A4EA0">
        <w:rPr>
          <w:rStyle w:val="CharSectno"/>
          <w:i/>
        </w:rPr>
        <w:t xml:space="preserve"> Act 1992</w:t>
      </w:r>
      <w:bookmarkEnd w:id="13"/>
    </w:p>
    <w:p w:rsidR="003E13F3" w:rsidRPr="00D87EF9" w:rsidRDefault="003E13F3" w:rsidP="007A4EA0">
      <w:pPr>
        <w:pStyle w:val="R1"/>
        <w:keepLines w:val="0"/>
        <w:ind w:left="993" w:hanging="517"/>
      </w:pPr>
      <w:r w:rsidRPr="00D87EF9">
        <w:tab/>
      </w:r>
      <w:r w:rsidRPr="00D87EF9">
        <w:tab/>
        <w:t xml:space="preserve">If a device to which this Notice applies is also a device to which </w:t>
      </w:r>
      <w:r w:rsidR="0068171E" w:rsidRPr="000B0EAE">
        <w:t xml:space="preserve">another </w:t>
      </w:r>
      <w:r w:rsidR="007E19D1">
        <w:t>notice</w:t>
      </w:r>
      <w:r w:rsidR="007E19D1" w:rsidRPr="000B0EAE">
        <w:t xml:space="preserve"> </w:t>
      </w:r>
      <w:r w:rsidR="0068171E" w:rsidRPr="000B0EAE">
        <w:t>made under subsection 182(1) of the Act</w:t>
      </w:r>
      <w:r w:rsidRPr="000B0EAE">
        <w:t>,</w:t>
      </w:r>
      <w:r w:rsidRPr="00D87EF9">
        <w:t xml:space="preserve"> as in force from time to time, applies, the requirements in this Notice are additional to the requirements under that </w:t>
      </w:r>
      <w:r w:rsidR="007E19D1">
        <w:t>notice</w:t>
      </w:r>
      <w:r w:rsidRPr="000B0EAE">
        <w:t>.</w:t>
      </w:r>
    </w:p>
    <w:p w:rsidR="003E13F3" w:rsidRPr="007A4EA0" w:rsidRDefault="003E13F3" w:rsidP="007A4EA0">
      <w:pPr>
        <w:pStyle w:val="notetext"/>
        <w:ind w:left="993" w:firstLine="0"/>
        <w:rPr>
          <w:sz w:val="20"/>
        </w:rPr>
      </w:pPr>
      <w:r w:rsidRPr="007A4EA0">
        <w:rPr>
          <w:i/>
          <w:sz w:val="20"/>
        </w:rPr>
        <w:t>Note</w:t>
      </w:r>
      <w:r w:rsidR="00110007" w:rsidRPr="007A4EA0">
        <w:rPr>
          <w:sz w:val="20"/>
        </w:rPr>
        <w:tab/>
      </w:r>
      <w:r w:rsidRPr="007A4EA0">
        <w:rPr>
          <w:sz w:val="20"/>
        </w:rPr>
        <w:t xml:space="preserve">An effect of </w:t>
      </w:r>
      <w:r w:rsidR="000601AC">
        <w:rPr>
          <w:sz w:val="20"/>
        </w:rPr>
        <w:t xml:space="preserve">this </w:t>
      </w:r>
      <w:r w:rsidRPr="007A4EA0">
        <w:rPr>
          <w:sz w:val="20"/>
        </w:rPr>
        <w:t xml:space="preserve">section is that a compliance mark can only be applied to a device if it complies with the applicable requirements of this Notice and </w:t>
      </w:r>
      <w:r w:rsidR="00776208" w:rsidRPr="007A4EA0">
        <w:rPr>
          <w:sz w:val="20"/>
        </w:rPr>
        <w:t xml:space="preserve">any other </w:t>
      </w:r>
      <w:r w:rsidR="007E19D1">
        <w:rPr>
          <w:sz w:val="20"/>
        </w:rPr>
        <w:t>notice</w:t>
      </w:r>
      <w:r w:rsidR="007E19D1" w:rsidRPr="007A4EA0">
        <w:rPr>
          <w:sz w:val="20"/>
        </w:rPr>
        <w:t xml:space="preserve"> </w:t>
      </w:r>
      <w:r w:rsidR="00776208" w:rsidRPr="007A4EA0">
        <w:rPr>
          <w:sz w:val="20"/>
        </w:rPr>
        <w:t>made under subsection 182(1) of the Act</w:t>
      </w:r>
      <w:r w:rsidRPr="007A4EA0">
        <w:rPr>
          <w:sz w:val="20"/>
        </w:rPr>
        <w:t>.</w:t>
      </w:r>
    </w:p>
    <w:p w:rsidR="0035109E" w:rsidRPr="007A4EA0" w:rsidRDefault="001728F5" w:rsidP="007A4EA0">
      <w:pPr>
        <w:pStyle w:val="ActHead2"/>
        <w:rPr>
          <w:rStyle w:val="CharPartNo"/>
          <w:rFonts w:ascii="Arial" w:hAnsi="Arial" w:cs="Arial"/>
        </w:rPr>
      </w:pPr>
      <w:bookmarkStart w:id="14" w:name="_Toc350862627"/>
      <w:r w:rsidRPr="007A4EA0">
        <w:rPr>
          <w:rStyle w:val="CharPartNo"/>
          <w:rFonts w:ascii="Arial" w:hAnsi="Arial" w:cs="Arial"/>
        </w:rPr>
        <w:t>Part</w:t>
      </w:r>
      <w:r w:rsidR="00D87EF9" w:rsidRPr="007A4EA0">
        <w:rPr>
          <w:rStyle w:val="CharPartNo"/>
          <w:rFonts w:ascii="Arial" w:hAnsi="Arial" w:cs="Arial"/>
        </w:rPr>
        <w:t> </w:t>
      </w:r>
      <w:r w:rsidR="0035109E" w:rsidRPr="007A4EA0">
        <w:rPr>
          <w:rStyle w:val="CharPartNo"/>
          <w:rFonts w:ascii="Arial" w:hAnsi="Arial" w:cs="Arial"/>
        </w:rPr>
        <w:t>2</w:t>
      </w:r>
      <w:r w:rsidRPr="007A4EA0">
        <w:rPr>
          <w:rStyle w:val="CharPartNo"/>
          <w:rFonts w:ascii="Arial" w:hAnsi="Arial" w:cs="Arial"/>
        </w:rPr>
        <w:t>—</w:t>
      </w:r>
      <w:r w:rsidR="0035109E" w:rsidRPr="007A4EA0">
        <w:rPr>
          <w:rStyle w:val="CharPartNo"/>
          <w:rFonts w:ascii="Arial" w:hAnsi="Arial" w:cs="Arial"/>
        </w:rPr>
        <w:t>Requirements to be met before a label may be applied</w:t>
      </w:r>
      <w:bookmarkEnd w:id="14"/>
    </w:p>
    <w:p w:rsidR="0035109E" w:rsidRPr="007A4EA0" w:rsidRDefault="0035109E" w:rsidP="001728F5">
      <w:pPr>
        <w:pStyle w:val="ActHead3"/>
        <w:rPr>
          <w:rFonts w:ascii="Arial" w:hAnsi="Arial" w:cs="Arial"/>
        </w:rPr>
      </w:pPr>
      <w:bookmarkStart w:id="15" w:name="_Toc350862628"/>
      <w:r w:rsidRPr="007A4EA0">
        <w:rPr>
          <w:rStyle w:val="CharDivNo"/>
          <w:rFonts w:ascii="Arial" w:hAnsi="Arial" w:cs="Arial"/>
        </w:rPr>
        <w:t>Division</w:t>
      </w:r>
      <w:r w:rsidR="00D87EF9" w:rsidRPr="007A4EA0">
        <w:rPr>
          <w:rStyle w:val="CharDivNo"/>
          <w:rFonts w:ascii="Arial" w:hAnsi="Arial" w:cs="Arial"/>
        </w:rPr>
        <w:t> </w:t>
      </w:r>
      <w:r w:rsidRPr="007A4EA0">
        <w:rPr>
          <w:rStyle w:val="CharDivNo"/>
          <w:rFonts w:ascii="Arial" w:hAnsi="Arial" w:cs="Arial"/>
        </w:rPr>
        <w:t>2.1</w:t>
      </w:r>
      <w:r w:rsidR="001728F5" w:rsidRPr="007A4EA0">
        <w:rPr>
          <w:rFonts w:ascii="Arial" w:hAnsi="Arial" w:cs="Arial"/>
        </w:rPr>
        <w:t>—</w:t>
      </w:r>
      <w:r w:rsidRPr="007A4EA0">
        <w:rPr>
          <w:rStyle w:val="CharDivText"/>
          <w:rFonts w:ascii="Arial" w:hAnsi="Arial" w:cs="Arial"/>
        </w:rPr>
        <w:t xml:space="preserve">Application of </w:t>
      </w:r>
      <w:r w:rsidR="001728F5" w:rsidRPr="007A4EA0">
        <w:rPr>
          <w:rStyle w:val="CharDivText"/>
          <w:rFonts w:ascii="Arial" w:hAnsi="Arial" w:cs="Arial"/>
        </w:rPr>
        <w:t>Part</w:t>
      </w:r>
      <w:r w:rsidR="00D87EF9" w:rsidRPr="007A4EA0">
        <w:rPr>
          <w:rStyle w:val="CharDivText"/>
          <w:rFonts w:ascii="Arial" w:hAnsi="Arial" w:cs="Arial"/>
        </w:rPr>
        <w:t> </w:t>
      </w:r>
      <w:r w:rsidRPr="007A4EA0">
        <w:rPr>
          <w:rStyle w:val="CharDivText"/>
          <w:rFonts w:ascii="Arial" w:hAnsi="Arial" w:cs="Arial"/>
        </w:rPr>
        <w:t>2</w:t>
      </w:r>
      <w:bookmarkEnd w:id="15"/>
    </w:p>
    <w:p w:rsidR="0035109E" w:rsidRPr="007A4EA0" w:rsidRDefault="0035109E" w:rsidP="007A4EA0">
      <w:pPr>
        <w:pStyle w:val="HR"/>
        <w:rPr>
          <w:rStyle w:val="CharSectno"/>
        </w:rPr>
      </w:pPr>
      <w:bookmarkStart w:id="16" w:name="_Toc350862629"/>
      <w:r w:rsidRPr="00D87EF9">
        <w:rPr>
          <w:rStyle w:val="CharSectno"/>
        </w:rPr>
        <w:t>9</w:t>
      </w:r>
      <w:r w:rsidR="007A4EA0">
        <w:rPr>
          <w:rStyle w:val="CharSectno"/>
        </w:rPr>
        <w:tab/>
      </w:r>
      <w:r w:rsidR="001728F5" w:rsidRPr="007A4EA0">
        <w:rPr>
          <w:rStyle w:val="CharSectno"/>
        </w:rPr>
        <w:t xml:space="preserve">  </w:t>
      </w:r>
      <w:r w:rsidRPr="007A4EA0">
        <w:rPr>
          <w:rStyle w:val="CharSectno"/>
        </w:rPr>
        <w:t>No application to variants of a device</w:t>
      </w:r>
      <w:bookmarkEnd w:id="16"/>
    </w:p>
    <w:p w:rsidR="0035109E" w:rsidRPr="00D87EF9" w:rsidRDefault="0035109E" w:rsidP="007A4EA0">
      <w:pPr>
        <w:pStyle w:val="R1"/>
        <w:keepLines w:val="0"/>
        <w:ind w:left="993" w:hanging="517"/>
      </w:pPr>
      <w:r w:rsidRPr="00D87EF9">
        <w:tab/>
      </w:r>
      <w:r w:rsidRPr="00D87EF9">
        <w:tab/>
        <w:t xml:space="preserve">This </w:t>
      </w:r>
      <w:r w:rsidR="001728F5" w:rsidRPr="00D87EF9">
        <w:t>Part</w:t>
      </w:r>
      <w:r w:rsidR="004370B9" w:rsidRPr="00D87EF9">
        <w:t xml:space="preserve"> </w:t>
      </w:r>
      <w:r w:rsidRPr="00D87EF9">
        <w:t>does not apply in relation to a variant of a device if:</w:t>
      </w:r>
    </w:p>
    <w:p w:rsidR="0035109E" w:rsidRPr="007A4EA0" w:rsidRDefault="0035109E" w:rsidP="007A4EA0">
      <w:pPr>
        <w:pStyle w:val="P1"/>
        <w:rPr>
          <w:color w:val="000000"/>
        </w:rPr>
      </w:pPr>
      <w:r w:rsidRPr="007A4EA0">
        <w:rPr>
          <w:color w:val="000000"/>
        </w:rPr>
        <w:tab/>
        <w:t>(a)</w:t>
      </w:r>
      <w:r w:rsidRPr="007A4EA0">
        <w:rPr>
          <w:color w:val="000000"/>
        </w:rPr>
        <w:tab/>
      </w:r>
      <w:proofErr w:type="gramStart"/>
      <w:r w:rsidRPr="007A4EA0">
        <w:rPr>
          <w:color w:val="000000"/>
        </w:rPr>
        <w:t>the</w:t>
      </w:r>
      <w:proofErr w:type="gramEnd"/>
      <w:r w:rsidRPr="007A4EA0">
        <w:rPr>
          <w:color w:val="000000"/>
        </w:rPr>
        <w:t xml:space="preserve"> relevant requirements of this </w:t>
      </w:r>
      <w:r w:rsidR="001728F5" w:rsidRPr="007A4EA0">
        <w:rPr>
          <w:color w:val="000000"/>
        </w:rPr>
        <w:t>Part</w:t>
      </w:r>
      <w:r w:rsidR="004370B9" w:rsidRPr="007A4EA0">
        <w:rPr>
          <w:color w:val="000000"/>
        </w:rPr>
        <w:t xml:space="preserve"> </w:t>
      </w:r>
      <w:r w:rsidRPr="007A4EA0">
        <w:rPr>
          <w:color w:val="000000"/>
        </w:rPr>
        <w:t>have been met in relation to the device; and</w:t>
      </w:r>
    </w:p>
    <w:p w:rsidR="0035109E" w:rsidRPr="007A4EA0" w:rsidRDefault="0035109E" w:rsidP="007A4EA0">
      <w:pPr>
        <w:pStyle w:val="P1"/>
        <w:rPr>
          <w:color w:val="000000"/>
        </w:rPr>
      </w:pPr>
      <w:r w:rsidRPr="007A4EA0">
        <w:rPr>
          <w:color w:val="000000"/>
        </w:rPr>
        <w:tab/>
        <w:t>(b)</w:t>
      </w:r>
      <w:r w:rsidRPr="007A4EA0">
        <w:rPr>
          <w:color w:val="000000"/>
        </w:rPr>
        <w:tab/>
      </w:r>
      <w:proofErr w:type="gramStart"/>
      <w:r w:rsidRPr="007A4EA0">
        <w:rPr>
          <w:color w:val="000000"/>
        </w:rPr>
        <w:t>the</w:t>
      </w:r>
      <w:proofErr w:type="gramEnd"/>
      <w:r w:rsidRPr="007A4EA0">
        <w:rPr>
          <w:color w:val="000000"/>
        </w:rPr>
        <w:t xml:space="preserve"> electromagnetic radiation exposure in relation to the variant is not likely to exceed that of the device.</w:t>
      </w:r>
      <w:r w:rsidR="00746A73" w:rsidRPr="007A4EA0">
        <w:rPr>
          <w:color w:val="000000"/>
        </w:rPr>
        <w:t xml:space="preserve"> </w:t>
      </w:r>
    </w:p>
    <w:p w:rsidR="003E13F3" w:rsidRPr="007A4EA0" w:rsidRDefault="003E13F3" w:rsidP="007A4EA0">
      <w:pPr>
        <w:pStyle w:val="ActHead3"/>
        <w:rPr>
          <w:rStyle w:val="CharDivNo"/>
          <w:rFonts w:ascii="Arial" w:hAnsi="Arial" w:cs="Arial"/>
        </w:rPr>
      </w:pPr>
      <w:bookmarkStart w:id="17" w:name="_Toc350862630"/>
      <w:r w:rsidRPr="007A4EA0">
        <w:rPr>
          <w:rStyle w:val="CharDivNo"/>
          <w:rFonts w:ascii="Arial" w:hAnsi="Arial" w:cs="Arial"/>
        </w:rPr>
        <w:lastRenderedPageBreak/>
        <w:t>Division</w:t>
      </w:r>
      <w:r w:rsidR="00D87EF9" w:rsidRPr="007A4EA0">
        <w:rPr>
          <w:rStyle w:val="CharDivNo"/>
          <w:rFonts w:ascii="Arial" w:hAnsi="Arial" w:cs="Arial"/>
        </w:rPr>
        <w:t> </w:t>
      </w:r>
      <w:r w:rsidRPr="007A4EA0">
        <w:rPr>
          <w:rStyle w:val="CharDivNo"/>
          <w:rFonts w:ascii="Arial" w:hAnsi="Arial" w:cs="Arial"/>
        </w:rPr>
        <w:t>2.2—Registration on national database and issue of supplier code numbers</w:t>
      </w:r>
      <w:bookmarkEnd w:id="17"/>
      <w:r w:rsidRPr="007A4EA0">
        <w:rPr>
          <w:rStyle w:val="CharDivNo"/>
          <w:rFonts w:ascii="Arial" w:hAnsi="Arial" w:cs="Arial"/>
        </w:rPr>
        <w:t xml:space="preserve"> </w:t>
      </w:r>
    </w:p>
    <w:p w:rsidR="00614915" w:rsidRPr="007A4EA0" w:rsidRDefault="00614915" w:rsidP="007A4EA0">
      <w:pPr>
        <w:pStyle w:val="HR"/>
        <w:rPr>
          <w:rStyle w:val="CharSectno"/>
        </w:rPr>
      </w:pPr>
      <w:bookmarkStart w:id="18" w:name="_Toc350862631"/>
      <w:r w:rsidRPr="00D87EF9">
        <w:rPr>
          <w:rStyle w:val="CharSectno"/>
        </w:rPr>
        <w:t>10</w:t>
      </w:r>
      <w:r w:rsidRPr="007A4EA0">
        <w:rPr>
          <w:rStyle w:val="CharSectno"/>
        </w:rPr>
        <w:t xml:space="preserve">  </w:t>
      </w:r>
      <w:r w:rsidR="007A4EA0">
        <w:rPr>
          <w:rStyle w:val="CharSectno"/>
        </w:rPr>
        <w:tab/>
      </w:r>
      <w:r w:rsidRPr="007A4EA0">
        <w:rPr>
          <w:rStyle w:val="CharSectno"/>
        </w:rPr>
        <w:t>Use of RCM subject to registration on national database or issue of supplier code number</w:t>
      </w:r>
      <w:bookmarkEnd w:id="18"/>
    </w:p>
    <w:p w:rsidR="00614915" w:rsidRPr="00D87EF9" w:rsidRDefault="00614915" w:rsidP="007A4EA0">
      <w:pPr>
        <w:pStyle w:val="R1"/>
        <w:keepLines w:val="0"/>
        <w:ind w:left="993" w:hanging="517"/>
      </w:pPr>
      <w:r w:rsidRPr="00D87EF9">
        <w:tab/>
      </w:r>
      <w:r w:rsidR="002B632D">
        <w:t>(1)</w:t>
      </w:r>
      <w:r w:rsidRPr="00D87EF9">
        <w:tab/>
        <w:t xml:space="preserve">Before a supplier applies a compliance label consisting of the RCM to a device, the supplier must: </w:t>
      </w:r>
    </w:p>
    <w:p w:rsidR="00614915" w:rsidRPr="007A4EA0" w:rsidRDefault="00110007" w:rsidP="007A4EA0">
      <w:pPr>
        <w:pStyle w:val="P1"/>
        <w:rPr>
          <w:color w:val="000000"/>
        </w:rPr>
      </w:pPr>
      <w:r w:rsidRPr="007A4EA0">
        <w:rPr>
          <w:color w:val="000000"/>
        </w:rPr>
        <w:tab/>
        <w:t>(a)</w:t>
      </w:r>
      <w:r w:rsidRPr="007A4EA0">
        <w:rPr>
          <w:color w:val="000000"/>
        </w:rPr>
        <w:tab/>
      </w:r>
      <w:proofErr w:type="gramStart"/>
      <w:r w:rsidR="00614915" w:rsidRPr="007A4EA0">
        <w:rPr>
          <w:color w:val="000000"/>
        </w:rPr>
        <w:t>be</w:t>
      </w:r>
      <w:proofErr w:type="gramEnd"/>
      <w:r w:rsidR="00614915" w:rsidRPr="007A4EA0">
        <w:rPr>
          <w:color w:val="000000"/>
        </w:rPr>
        <w:t xml:space="preserve"> registered on the national database; or</w:t>
      </w:r>
    </w:p>
    <w:p w:rsidR="00614915" w:rsidRPr="007A4EA0" w:rsidRDefault="00110007" w:rsidP="007A4EA0">
      <w:pPr>
        <w:pStyle w:val="P1"/>
        <w:rPr>
          <w:color w:val="000000"/>
        </w:rPr>
      </w:pPr>
      <w:r w:rsidRPr="007A4EA0">
        <w:rPr>
          <w:color w:val="000000"/>
        </w:rPr>
        <w:tab/>
        <w:t>(b)</w:t>
      </w:r>
      <w:r w:rsidRPr="007A4EA0">
        <w:rPr>
          <w:color w:val="000000"/>
        </w:rPr>
        <w:tab/>
      </w:r>
      <w:r w:rsidR="00614915" w:rsidRPr="007A4EA0">
        <w:rPr>
          <w:color w:val="000000"/>
        </w:rPr>
        <w:t xml:space="preserve">if the ACMA has not designated in writing a national database for </w:t>
      </w:r>
      <w:r w:rsidR="00660668" w:rsidRPr="007A4EA0">
        <w:rPr>
          <w:color w:val="000000"/>
        </w:rPr>
        <w:t>the purposes of this Division—</w:t>
      </w:r>
      <w:r w:rsidR="00614915" w:rsidRPr="007A4EA0">
        <w:rPr>
          <w:color w:val="000000"/>
        </w:rPr>
        <w:t xml:space="preserve">have been issued a supplier code number. </w:t>
      </w:r>
    </w:p>
    <w:p w:rsidR="00614915" w:rsidRPr="007A4EA0" w:rsidRDefault="00614915" w:rsidP="007A4EA0">
      <w:pPr>
        <w:pStyle w:val="notetext"/>
        <w:ind w:left="993" w:firstLine="0"/>
        <w:rPr>
          <w:sz w:val="20"/>
        </w:rPr>
      </w:pPr>
      <w:r w:rsidRPr="007A4EA0">
        <w:rPr>
          <w:i/>
          <w:sz w:val="20"/>
        </w:rPr>
        <w:t>Note</w:t>
      </w:r>
      <w:r w:rsidRPr="007A4EA0">
        <w:rPr>
          <w:sz w:val="20"/>
        </w:rPr>
        <w:tab/>
        <w:t>Under section</w:t>
      </w:r>
      <w:r w:rsidR="00D87EF9" w:rsidRPr="007A4EA0">
        <w:rPr>
          <w:sz w:val="20"/>
        </w:rPr>
        <w:t> </w:t>
      </w:r>
      <w:r w:rsidRPr="007A4EA0">
        <w:rPr>
          <w:sz w:val="20"/>
        </w:rPr>
        <w:t>187 of the Act, a supplier that fails to comply with requirements that must be met before a label has been applied to a device may be subject to a pecuniary penalty.</w:t>
      </w:r>
    </w:p>
    <w:p w:rsidR="002B632D" w:rsidRPr="00D87EF9" w:rsidRDefault="002B632D" w:rsidP="002B632D">
      <w:pPr>
        <w:pStyle w:val="R1"/>
        <w:keepLines w:val="0"/>
        <w:ind w:left="993" w:hanging="517"/>
      </w:pPr>
      <w:bookmarkStart w:id="19" w:name="_Toc350862632"/>
      <w:r w:rsidRPr="00D87EF9">
        <w:tab/>
      </w:r>
      <w:r>
        <w:t>(2)</w:t>
      </w:r>
      <w:r w:rsidRPr="00D87EF9">
        <w:tab/>
      </w:r>
      <w:r>
        <w:t xml:space="preserve">If the ACMA designated in writing a national database for the purposes of Division 2.2 of the </w:t>
      </w:r>
      <w:proofErr w:type="spellStart"/>
      <w:r>
        <w:rPr>
          <w:i/>
        </w:rPr>
        <w:t>Radiocommunications</w:t>
      </w:r>
      <w:proofErr w:type="spellEnd"/>
      <w:r>
        <w:rPr>
          <w:i/>
        </w:rPr>
        <w:t xml:space="preserve"> (Compliance Labelling – Electromagnetic Radiation) Notice 2003</w:t>
      </w:r>
      <w:r>
        <w:t>, that database is taken to have been designated in writing by the ACMA for the purposes of this Division.</w:t>
      </w:r>
      <w:r w:rsidRPr="00D87EF9">
        <w:t xml:space="preserve"> </w:t>
      </w:r>
    </w:p>
    <w:p w:rsidR="00614915" w:rsidRPr="007A4EA0" w:rsidRDefault="00614915" w:rsidP="007A4EA0">
      <w:pPr>
        <w:pStyle w:val="HR"/>
        <w:rPr>
          <w:rStyle w:val="CharSectno"/>
        </w:rPr>
      </w:pPr>
      <w:r w:rsidRPr="00D87EF9">
        <w:rPr>
          <w:rStyle w:val="CharSectno"/>
        </w:rPr>
        <w:t>10A</w:t>
      </w:r>
      <w:r w:rsidRPr="007A4EA0">
        <w:rPr>
          <w:rStyle w:val="CharSectno"/>
        </w:rPr>
        <w:t xml:space="preserve">  </w:t>
      </w:r>
      <w:r w:rsidR="007A4EA0">
        <w:rPr>
          <w:rStyle w:val="CharSectno"/>
        </w:rPr>
        <w:tab/>
      </w:r>
      <w:r w:rsidRPr="007A4EA0">
        <w:rPr>
          <w:rStyle w:val="CharSectno"/>
        </w:rPr>
        <w:t>Registration on national database</w:t>
      </w:r>
      <w:bookmarkEnd w:id="19"/>
    </w:p>
    <w:p w:rsidR="00614915" w:rsidRPr="00D87EF9" w:rsidRDefault="00614915" w:rsidP="007A4EA0">
      <w:pPr>
        <w:pStyle w:val="R1"/>
        <w:keepLines w:val="0"/>
      </w:pPr>
      <w:r w:rsidRPr="007A4EA0">
        <w:tab/>
      </w:r>
      <w:r w:rsidRPr="00D87EF9">
        <w:t>(1)</w:t>
      </w:r>
      <w:r w:rsidRPr="00D87EF9">
        <w:tab/>
        <w:t>To be registered on the national database a supplier must, using a method which the database indicates is a method for including information on the database, provide:</w:t>
      </w:r>
    </w:p>
    <w:p w:rsidR="00614915" w:rsidRPr="007A4EA0" w:rsidRDefault="00614915" w:rsidP="007A4EA0">
      <w:pPr>
        <w:pStyle w:val="P1"/>
        <w:rPr>
          <w:color w:val="000000"/>
        </w:rPr>
      </w:pPr>
      <w:r w:rsidRPr="007A4EA0">
        <w:rPr>
          <w:color w:val="000000"/>
        </w:rPr>
        <w:tab/>
        <w:t>(a)</w:t>
      </w:r>
      <w:r w:rsidRPr="007A4EA0">
        <w:rPr>
          <w:color w:val="000000"/>
        </w:rPr>
        <w:tab/>
      </w:r>
      <w:proofErr w:type="gramStart"/>
      <w:r w:rsidRPr="007A4EA0">
        <w:rPr>
          <w:color w:val="000000"/>
        </w:rPr>
        <w:t>information</w:t>
      </w:r>
      <w:proofErr w:type="gramEnd"/>
      <w:r w:rsidRPr="007A4EA0">
        <w:rPr>
          <w:color w:val="000000"/>
        </w:rPr>
        <w:t xml:space="preserve"> identifying the supplier;</w:t>
      </w:r>
    </w:p>
    <w:p w:rsidR="00614915" w:rsidRPr="007A4EA0" w:rsidRDefault="00614915" w:rsidP="007A4EA0">
      <w:pPr>
        <w:pStyle w:val="P1"/>
        <w:rPr>
          <w:color w:val="000000"/>
        </w:rPr>
      </w:pPr>
      <w:r w:rsidRPr="007A4EA0">
        <w:rPr>
          <w:color w:val="000000"/>
        </w:rPr>
        <w:tab/>
        <w:t>(b)</w:t>
      </w:r>
      <w:r w:rsidRPr="007A4EA0">
        <w:rPr>
          <w:color w:val="000000"/>
        </w:rPr>
        <w:tab/>
      </w:r>
      <w:proofErr w:type="gramStart"/>
      <w:r w:rsidRPr="007A4EA0">
        <w:rPr>
          <w:color w:val="000000"/>
        </w:rPr>
        <w:t>the</w:t>
      </w:r>
      <w:proofErr w:type="gramEnd"/>
      <w:r w:rsidRPr="007A4EA0">
        <w:rPr>
          <w:color w:val="000000"/>
        </w:rPr>
        <w:t xml:space="preserve"> supplier’s address in Australia; and</w:t>
      </w:r>
    </w:p>
    <w:p w:rsidR="00614915" w:rsidRPr="00D87EF9" w:rsidRDefault="00614915" w:rsidP="007A4EA0">
      <w:pPr>
        <w:pStyle w:val="P1"/>
        <w:rPr>
          <w:color w:val="000000"/>
        </w:rPr>
      </w:pPr>
      <w:r w:rsidRPr="007A4EA0">
        <w:rPr>
          <w:color w:val="000000"/>
        </w:rPr>
        <w:tab/>
        <w:t>(c)</w:t>
      </w:r>
      <w:r w:rsidRPr="007A4EA0">
        <w:rPr>
          <w:color w:val="000000"/>
        </w:rPr>
        <w:tab/>
      </w:r>
      <w:proofErr w:type="gramStart"/>
      <w:r w:rsidRPr="007A4EA0">
        <w:rPr>
          <w:color w:val="000000"/>
        </w:rPr>
        <w:t>the</w:t>
      </w:r>
      <w:proofErr w:type="gramEnd"/>
      <w:r w:rsidRPr="007A4EA0">
        <w:rPr>
          <w:color w:val="000000"/>
        </w:rPr>
        <w:t xml:space="preserve"> name and contact details of a representative of the supplier.</w:t>
      </w:r>
    </w:p>
    <w:p w:rsidR="00614915" w:rsidRPr="00D87EF9" w:rsidRDefault="00614915" w:rsidP="007A4EA0">
      <w:pPr>
        <w:pStyle w:val="R1"/>
        <w:keepLines w:val="0"/>
      </w:pPr>
      <w:r w:rsidRPr="00D87EF9">
        <w:tab/>
        <w:t>(2)</w:t>
      </w:r>
      <w:r w:rsidRPr="00D87EF9">
        <w:tab/>
        <w:t xml:space="preserve">For </w:t>
      </w:r>
      <w:r w:rsidR="00D87EF9" w:rsidRPr="00D87EF9">
        <w:t>paragraph (</w:t>
      </w:r>
      <w:r w:rsidRPr="00D87EF9">
        <w:t>1</w:t>
      </w:r>
      <w:proofErr w:type="gramStart"/>
      <w:r w:rsidRPr="00D87EF9">
        <w:t>)(</w:t>
      </w:r>
      <w:proofErr w:type="gramEnd"/>
      <w:r w:rsidRPr="00D87EF9">
        <w:t xml:space="preserve">a), information identifying a supplier consists of the supplier’s ABN and 1 of the following pieces of information in relation to the supplier: </w:t>
      </w:r>
    </w:p>
    <w:p w:rsidR="00614915" w:rsidRPr="007A4EA0" w:rsidRDefault="00614915" w:rsidP="007A4EA0">
      <w:pPr>
        <w:pStyle w:val="P1"/>
        <w:rPr>
          <w:color w:val="000000"/>
        </w:rPr>
      </w:pPr>
      <w:r w:rsidRPr="007A4EA0">
        <w:rPr>
          <w:color w:val="000000"/>
        </w:rPr>
        <w:tab/>
        <w:t>(a)</w:t>
      </w:r>
      <w:r w:rsidRPr="007A4EA0">
        <w:rPr>
          <w:color w:val="000000"/>
        </w:rPr>
        <w:tab/>
      </w:r>
      <w:proofErr w:type="gramStart"/>
      <w:r w:rsidRPr="007A4EA0">
        <w:rPr>
          <w:color w:val="000000"/>
        </w:rPr>
        <w:t>if</w:t>
      </w:r>
      <w:proofErr w:type="gramEnd"/>
      <w:r w:rsidRPr="007A4EA0">
        <w:rPr>
          <w:color w:val="000000"/>
        </w:rPr>
        <w:t xml:space="preserve"> the supplier is a body corporate, the name of the body corporate;</w:t>
      </w:r>
    </w:p>
    <w:p w:rsidR="00614915" w:rsidRPr="007A4EA0" w:rsidRDefault="00614915" w:rsidP="007A4EA0">
      <w:pPr>
        <w:pStyle w:val="P1"/>
        <w:rPr>
          <w:color w:val="000000"/>
        </w:rPr>
      </w:pPr>
      <w:r w:rsidRPr="007A4EA0">
        <w:rPr>
          <w:color w:val="000000"/>
        </w:rPr>
        <w:tab/>
        <w:t>(b)</w:t>
      </w:r>
      <w:r w:rsidRPr="007A4EA0">
        <w:rPr>
          <w:color w:val="000000"/>
        </w:rPr>
        <w:tab/>
      </w:r>
      <w:proofErr w:type="gramStart"/>
      <w:r w:rsidRPr="007A4EA0">
        <w:rPr>
          <w:color w:val="000000"/>
        </w:rPr>
        <w:t>if</w:t>
      </w:r>
      <w:proofErr w:type="gramEnd"/>
      <w:r w:rsidRPr="007A4EA0">
        <w:rPr>
          <w:color w:val="000000"/>
        </w:rPr>
        <w:t xml:space="preserve"> the supplier is an individual, the name of the individual; </w:t>
      </w:r>
    </w:p>
    <w:p w:rsidR="00614915" w:rsidRPr="007A4EA0" w:rsidRDefault="00614915" w:rsidP="007A4EA0">
      <w:pPr>
        <w:pStyle w:val="P1"/>
        <w:rPr>
          <w:color w:val="000000"/>
        </w:rPr>
      </w:pPr>
      <w:r w:rsidRPr="007A4EA0">
        <w:rPr>
          <w:color w:val="000000"/>
        </w:rPr>
        <w:tab/>
        <w:t>(c)</w:t>
      </w:r>
      <w:r w:rsidRPr="007A4EA0">
        <w:rPr>
          <w:color w:val="000000"/>
        </w:rPr>
        <w:tab/>
      </w:r>
      <w:proofErr w:type="gramStart"/>
      <w:r w:rsidRPr="007A4EA0">
        <w:rPr>
          <w:color w:val="000000"/>
        </w:rPr>
        <w:t>a</w:t>
      </w:r>
      <w:proofErr w:type="gramEnd"/>
      <w:r w:rsidRPr="007A4EA0">
        <w:rPr>
          <w:color w:val="000000"/>
        </w:rPr>
        <w:t xml:space="preserve"> business name used by the supplier in connection with its business as a supplier and registered as a business name under the </w:t>
      </w:r>
      <w:r w:rsidRPr="007A4EA0">
        <w:rPr>
          <w:i/>
          <w:color w:val="000000"/>
        </w:rPr>
        <w:t>Business Names Registration Act 2011</w:t>
      </w:r>
      <w:r w:rsidRPr="007A4EA0">
        <w:rPr>
          <w:color w:val="000000"/>
        </w:rPr>
        <w:t xml:space="preserve">. </w:t>
      </w:r>
    </w:p>
    <w:p w:rsidR="00614915" w:rsidRPr="00D87EF9" w:rsidRDefault="002C0477" w:rsidP="00616E49">
      <w:pPr>
        <w:pStyle w:val="R1"/>
      </w:pPr>
      <w:r w:rsidRPr="00D87EF9">
        <w:tab/>
      </w:r>
      <w:r w:rsidR="00614915" w:rsidRPr="00D87EF9">
        <w:t>(3)</w:t>
      </w:r>
      <w:r w:rsidR="00614915" w:rsidRPr="00D87EF9">
        <w:tab/>
        <w:t>If the information provided by a supplier for inclusion in the national database subsequently changes, the supplier must, within 30 days after the change occurs, update the national database with the changed information using a method which the database indicates is a method for updating information on the database.</w:t>
      </w:r>
    </w:p>
    <w:p w:rsidR="00614915" w:rsidRPr="00D87EF9" w:rsidRDefault="00614915" w:rsidP="007A4EA0">
      <w:pPr>
        <w:pStyle w:val="R1"/>
        <w:keepLines w:val="0"/>
      </w:pPr>
      <w:r w:rsidRPr="00D87EF9">
        <w:tab/>
        <w:t>(4)</w:t>
      </w:r>
      <w:r w:rsidRPr="00D87EF9">
        <w:tab/>
        <w:t xml:space="preserve">In this section: </w:t>
      </w:r>
    </w:p>
    <w:p w:rsidR="00614915" w:rsidRPr="00470CE9" w:rsidRDefault="00614915" w:rsidP="007A4EA0">
      <w:pPr>
        <w:pStyle w:val="Definition"/>
        <w:ind w:left="993"/>
        <w:rPr>
          <w:sz w:val="24"/>
          <w:szCs w:val="24"/>
        </w:rPr>
      </w:pPr>
      <w:proofErr w:type="gramStart"/>
      <w:r w:rsidRPr="00470CE9">
        <w:rPr>
          <w:b/>
          <w:i/>
          <w:sz w:val="24"/>
          <w:szCs w:val="24"/>
        </w:rPr>
        <w:t>representative</w:t>
      </w:r>
      <w:proofErr w:type="gramEnd"/>
      <w:r w:rsidRPr="00470CE9">
        <w:rPr>
          <w:b/>
          <w:i/>
          <w:sz w:val="24"/>
          <w:szCs w:val="24"/>
        </w:rPr>
        <w:t xml:space="preserve"> of the supplier</w:t>
      </w:r>
      <w:r w:rsidRPr="00470CE9">
        <w:rPr>
          <w:sz w:val="24"/>
          <w:szCs w:val="24"/>
        </w:rPr>
        <w:t xml:space="preserve"> means:</w:t>
      </w:r>
    </w:p>
    <w:p w:rsidR="00614915" w:rsidRPr="00470CE9" w:rsidRDefault="002C0477" w:rsidP="007A4EA0">
      <w:pPr>
        <w:pStyle w:val="P1"/>
        <w:rPr>
          <w:color w:val="000000"/>
        </w:rPr>
      </w:pPr>
      <w:r w:rsidRPr="00470CE9">
        <w:rPr>
          <w:color w:val="000000"/>
        </w:rPr>
        <w:tab/>
        <w:t>(a)</w:t>
      </w:r>
      <w:r w:rsidRPr="00470CE9">
        <w:rPr>
          <w:color w:val="000000"/>
        </w:rPr>
        <w:tab/>
      </w:r>
      <w:proofErr w:type="gramStart"/>
      <w:r w:rsidR="00614915" w:rsidRPr="00470CE9">
        <w:rPr>
          <w:color w:val="000000"/>
        </w:rPr>
        <w:t>an</w:t>
      </w:r>
      <w:proofErr w:type="gramEnd"/>
      <w:r w:rsidR="00614915" w:rsidRPr="00470CE9">
        <w:rPr>
          <w:color w:val="000000"/>
        </w:rPr>
        <w:t xml:space="preserve"> employee of the supplier; </w:t>
      </w:r>
    </w:p>
    <w:p w:rsidR="00614915" w:rsidRPr="00470CE9" w:rsidRDefault="002C0477" w:rsidP="007A4EA0">
      <w:pPr>
        <w:pStyle w:val="P1"/>
        <w:rPr>
          <w:color w:val="000000"/>
        </w:rPr>
      </w:pPr>
      <w:r w:rsidRPr="00470CE9">
        <w:rPr>
          <w:color w:val="000000"/>
        </w:rPr>
        <w:tab/>
        <w:t>(b)</w:t>
      </w:r>
      <w:r w:rsidRPr="00470CE9">
        <w:rPr>
          <w:color w:val="000000"/>
        </w:rPr>
        <w:tab/>
      </w:r>
      <w:proofErr w:type="gramStart"/>
      <w:r w:rsidR="00614915" w:rsidRPr="00470CE9">
        <w:rPr>
          <w:color w:val="000000"/>
        </w:rPr>
        <w:t>an</w:t>
      </w:r>
      <w:proofErr w:type="gramEnd"/>
      <w:r w:rsidR="00614915" w:rsidRPr="00470CE9">
        <w:rPr>
          <w:color w:val="000000"/>
        </w:rPr>
        <w:t xml:space="preserve"> officer of the supplier; or</w:t>
      </w:r>
    </w:p>
    <w:p w:rsidR="00614915" w:rsidRPr="00470CE9" w:rsidRDefault="002C0477" w:rsidP="007A4EA0">
      <w:pPr>
        <w:pStyle w:val="P1"/>
        <w:rPr>
          <w:color w:val="000000"/>
        </w:rPr>
      </w:pPr>
      <w:r w:rsidRPr="00470CE9">
        <w:rPr>
          <w:color w:val="000000"/>
        </w:rPr>
        <w:tab/>
        <w:t>(c)</w:t>
      </w:r>
      <w:r w:rsidRPr="00470CE9">
        <w:rPr>
          <w:color w:val="000000"/>
        </w:rPr>
        <w:tab/>
      </w:r>
      <w:proofErr w:type="gramStart"/>
      <w:r w:rsidR="00614915" w:rsidRPr="00470CE9">
        <w:rPr>
          <w:color w:val="000000"/>
        </w:rPr>
        <w:t>a</w:t>
      </w:r>
      <w:proofErr w:type="gramEnd"/>
      <w:r w:rsidR="00614915" w:rsidRPr="00470CE9">
        <w:rPr>
          <w:color w:val="000000"/>
        </w:rPr>
        <w:t xml:space="preserve"> person authorised in writing for the purposes of this section by the supplier or an employee or officer of the supplier.  </w:t>
      </w:r>
    </w:p>
    <w:p w:rsidR="00614915" w:rsidRPr="00470CE9" w:rsidRDefault="00614915" w:rsidP="00470CE9">
      <w:pPr>
        <w:pStyle w:val="Definition"/>
        <w:ind w:left="993"/>
        <w:rPr>
          <w:sz w:val="24"/>
          <w:szCs w:val="24"/>
        </w:rPr>
      </w:pPr>
      <w:proofErr w:type="gramStart"/>
      <w:r w:rsidRPr="00470CE9">
        <w:rPr>
          <w:b/>
          <w:i/>
          <w:sz w:val="24"/>
          <w:szCs w:val="24"/>
        </w:rPr>
        <w:lastRenderedPageBreak/>
        <w:t>officer</w:t>
      </w:r>
      <w:proofErr w:type="gramEnd"/>
      <w:r w:rsidRPr="00470CE9">
        <w:rPr>
          <w:b/>
          <w:i/>
          <w:sz w:val="24"/>
          <w:szCs w:val="24"/>
        </w:rPr>
        <w:t xml:space="preserve"> of the supplier</w:t>
      </w:r>
      <w:r w:rsidRPr="00470CE9">
        <w:rPr>
          <w:sz w:val="24"/>
          <w:szCs w:val="24"/>
        </w:rPr>
        <w:t xml:space="preserve"> means:</w:t>
      </w:r>
    </w:p>
    <w:p w:rsidR="00614915" w:rsidRPr="007A4EA0" w:rsidRDefault="002C0477" w:rsidP="007A4EA0">
      <w:pPr>
        <w:pStyle w:val="P1"/>
        <w:rPr>
          <w:color w:val="000000"/>
        </w:rPr>
      </w:pPr>
      <w:r w:rsidRPr="007A4EA0">
        <w:rPr>
          <w:color w:val="000000"/>
        </w:rPr>
        <w:tab/>
        <w:t>(a)</w:t>
      </w:r>
      <w:r w:rsidRPr="007A4EA0">
        <w:rPr>
          <w:color w:val="000000"/>
        </w:rPr>
        <w:tab/>
      </w:r>
      <w:r w:rsidR="00614915" w:rsidRPr="007A4EA0">
        <w:rPr>
          <w:color w:val="000000"/>
        </w:rPr>
        <w:t xml:space="preserve">if the supplier is a corporation for the purposes of the </w:t>
      </w:r>
      <w:r w:rsidR="00614915" w:rsidRPr="007A4EA0">
        <w:rPr>
          <w:i/>
          <w:color w:val="000000"/>
        </w:rPr>
        <w:t>Corporations Act 2001</w:t>
      </w:r>
      <w:r w:rsidR="00614915" w:rsidRPr="007A4EA0">
        <w:rPr>
          <w:color w:val="000000"/>
        </w:rPr>
        <w:t>, an officer of a corporation as that term is defined in section</w:t>
      </w:r>
      <w:r w:rsidR="00D87EF9" w:rsidRPr="007A4EA0">
        <w:rPr>
          <w:color w:val="000000"/>
        </w:rPr>
        <w:t> </w:t>
      </w:r>
      <w:r w:rsidR="00614915" w:rsidRPr="007A4EA0">
        <w:rPr>
          <w:color w:val="000000"/>
        </w:rPr>
        <w:t xml:space="preserve">9 of the </w:t>
      </w:r>
      <w:r w:rsidR="00614915" w:rsidRPr="007A4EA0">
        <w:rPr>
          <w:i/>
          <w:color w:val="000000"/>
        </w:rPr>
        <w:t>Corporations Act 2001</w:t>
      </w:r>
      <w:r w:rsidR="00614915" w:rsidRPr="007A4EA0">
        <w:rPr>
          <w:color w:val="000000"/>
        </w:rPr>
        <w:t>; or</w:t>
      </w:r>
    </w:p>
    <w:p w:rsidR="00614915" w:rsidRPr="007A4EA0" w:rsidRDefault="002C0477" w:rsidP="007A4EA0">
      <w:pPr>
        <w:pStyle w:val="P1"/>
        <w:rPr>
          <w:color w:val="000000"/>
        </w:rPr>
      </w:pPr>
      <w:r w:rsidRPr="007A4EA0">
        <w:rPr>
          <w:color w:val="000000"/>
        </w:rPr>
        <w:tab/>
        <w:t>(b)</w:t>
      </w:r>
      <w:r w:rsidRPr="007A4EA0">
        <w:rPr>
          <w:color w:val="000000"/>
        </w:rPr>
        <w:tab/>
      </w:r>
      <w:proofErr w:type="gramStart"/>
      <w:r w:rsidR="00614915" w:rsidRPr="007A4EA0">
        <w:rPr>
          <w:color w:val="000000"/>
        </w:rPr>
        <w:t>if</w:t>
      </w:r>
      <w:proofErr w:type="gramEnd"/>
      <w:r w:rsidR="00614915" w:rsidRPr="007A4EA0">
        <w:rPr>
          <w:color w:val="000000"/>
        </w:rPr>
        <w:t xml:space="preserve"> the supplier is an entity that is neither an individual nor a corporation for the purposes of the </w:t>
      </w:r>
      <w:r w:rsidR="00614915" w:rsidRPr="007A4EA0">
        <w:rPr>
          <w:i/>
          <w:color w:val="000000"/>
        </w:rPr>
        <w:t>Corporations Act 2001</w:t>
      </w:r>
      <w:r w:rsidR="00614915" w:rsidRPr="007A4EA0">
        <w:rPr>
          <w:color w:val="000000"/>
        </w:rPr>
        <w:t>, an officer of that entity as defined in section</w:t>
      </w:r>
      <w:r w:rsidR="00D87EF9" w:rsidRPr="007A4EA0">
        <w:rPr>
          <w:color w:val="000000"/>
        </w:rPr>
        <w:t> </w:t>
      </w:r>
      <w:r w:rsidR="00614915" w:rsidRPr="007A4EA0">
        <w:rPr>
          <w:color w:val="000000"/>
        </w:rPr>
        <w:t xml:space="preserve">9 of the </w:t>
      </w:r>
      <w:r w:rsidR="00614915" w:rsidRPr="007A4EA0">
        <w:rPr>
          <w:i/>
          <w:color w:val="000000"/>
        </w:rPr>
        <w:t>Corporations Act 2001</w:t>
      </w:r>
      <w:r w:rsidR="00614915" w:rsidRPr="007A4EA0">
        <w:rPr>
          <w:color w:val="000000"/>
        </w:rPr>
        <w:t xml:space="preserve">.  </w:t>
      </w:r>
    </w:p>
    <w:p w:rsidR="00614915" w:rsidRPr="00470CE9" w:rsidRDefault="00470CE9" w:rsidP="00470CE9">
      <w:pPr>
        <w:pStyle w:val="notetext"/>
        <w:ind w:left="993" w:firstLine="0"/>
        <w:rPr>
          <w:sz w:val="20"/>
        </w:rPr>
      </w:pPr>
      <w:r w:rsidRPr="00470CE9">
        <w:rPr>
          <w:i/>
          <w:sz w:val="20"/>
        </w:rPr>
        <w:t>Note</w:t>
      </w:r>
      <w:r w:rsidR="00497CD5">
        <w:rPr>
          <w:i/>
          <w:sz w:val="20"/>
        </w:rPr>
        <w:t xml:space="preserve"> 1</w:t>
      </w:r>
      <w:r w:rsidRPr="00470CE9">
        <w:rPr>
          <w:sz w:val="20"/>
        </w:rPr>
        <w:t xml:space="preserve"> </w:t>
      </w:r>
      <w:r w:rsidR="00614915" w:rsidRPr="00470CE9">
        <w:rPr>
          <w:sz w:val="20"/>
        </w:rPr>
        <w:t>The requirement for a supplier to update the information provided by it for inclusion in the national database imposed under subsection</w:t>
      </w:r>
      <w:r w:rsidR="00D87EF9" w:rsidRPr="00470CE9">
        <w:rPr>
          <w:sz w:val="20"/>
        </w:rPr>
        <w:t> </w:t>
      </w:r>
      <w:proofErr w:type="gramStart"/>
      <w:r w:rsidR="00614915" w:rsidRPr="00470CE9">
        <w:rPr>
          <w:sz w:val="20"/>
        </w:rPr>
        <w:t>10A(</w:t>
      </w:r>
      <w:proofErr w:type="gramEnd"/>
      <w:r w:rsidR="00614915" w:rsidRPr="00470CE9">
        <w:rPr>
          <w:sz w:val="20"/>
        </w:rPr>
        <w:t>3) is an ongoing requirement.  Under section</w:t>
      </w:r>
      <w:r w:rsidR="00D87EF9" w:rsidRPr="00470CE9">
        <w:rPr>
          <w:sz w:val="20"/>
        </w:rPr>
        <w:t> </w:t>
      </w:r>
      <w:r w:rsidR="00614915" w:rsidRPr="00470CE9">
        <w:rPr>
          <w:sz w:val="20"/>
        </w:rPr>
        <w:t xml:space="preserve">187A of the Act, a supplier that fails to comply with a specific requirement that must be met after a label has been applied to a device may be subject to a pecuniary penalty. </w:t>
      </w:r>
    </w:p>
    <w:p w:rsidR="00614915" w:rsidRPr="00470CE9" w:rsidRDefault="00614915" w:rsidP="00470CE9">
      <w:pPr>
        <w:pStyle w:val="notetext"/>
        <w:ind w:left="993" w:firstLine="0"/>
        <w:rPr>
          <w:sz w:val="20"/>
        </w:rPr>
      </w:pPr>
      <w:r w:rsidRPr="00470CE9">
        <w:rPr>
          <w:i/>
          <w:sz w:val="20"/>
        </w:rPr>
        <w:t>Note</w:t>
      </w:r>
      <w:r w:rsidR="00497CD5">
        <w:rPr>
          <w:i/>
          <w:sz w:val="20"/>
        </w:rPr>
        <w:t xml:space="preserve"> 2 </w:t>
      </w:r>
      <w:r w:rsidRPr="00470CE9">
        <w:rPr>
          <w:sz w:val="20"/>
        </w:rPr>
        <w:t>Information provided by a supplier for inclusion on the national database for the purposes of this Notice will be made publicly available.</w:t>
      </w:r>
    </w:p>
    <w:p w:rsidR="00614915" w:rsidRPr="007A4EA0" w:rsidRDefault="00614915" w:rsidP="007A4EA0">
      <w:pPr>
        <w:pStyle w:val="HR"/>
        <w:rPr>
          <w:rStyle w:val="CharSectno"/>
        </w:rPr>
      </w:pPr>
      <w:bookmarkStart w:id="20" w:name="_Toc350862633"/>
      <w:r w:rsidRPr="00D87EF9">
        <w:rPr>
          <w:rStyle w:val="CharSectno"/>
        </w:rPr>
        <w:t>10B</w:t>
      </w:r>
      <w:r w:rsidRPr="007A4EA0">
        <w:rPr>
          <w:rStyle w:val="CharSectno"/>
        </w:rPr>
        <w:t xml:space="preserve">  </w:t>
      </w:r>
      <w:r w:rsidR="007A4EA0">
        <w:rPr>
          <w:rStyle w:val="CharSectno"/>
        </w:rPr>
        <w:tab/>
      </w:r>
      <w:r w:rsidRPr="007A4EA0">
        <w:rPr>
          <w:rStyle w:val="CharSectno"/>
        </w:rPr>
        <w:t>Use of C</w:t>
      </w:r>
      <w:r w:rsidR="00D87EF9" w:rsidRPr="007A4EA0">
        <w:rPr>
          <w:rStyle w:val="CharSectno"/>
        </w:rPr>
        <w:noBreakHyphen/>
      </w:r>
      <w:r w:rsidRPr="007A4EA0">
        <w:rPr>
          <w:rStyle w:val="CharSectno"/>
        </w:rPr>
        <w:t>Tick mark</w:t>
      </w:r>
      <w:bookmarkEnd w:id="20"/>
    </w:p>
    <w:p w:rsidR="00614915" w:rsidRPr="00D87EF9" w:rsidRDefault="00614915" w:rsidP="00470CE9">
      <w:pPr>
        <w:pStyle w:val="R1"/>
        <w:keepLines w:val="0"/>
        <w:ind w:left="993" w:hanging="517"/>
      </w:pPr>
      <w:r w:rsidRPr="00D87EF9">
        <w:tab/>
      </w:r>
      <w:r w:rsidRPr="00D87EF9">
        <w:tab/>
        <w:t>Before a supplier applies a compliance label consisting of the C</w:t>
      </w:r>
      <w:r w:rsidR="00D87EF9" w:rsidRPr="00D87EF9">
        <w:noBreakHyphen/>
      </w:r>
      <w:r w:rsidRPr="00D87EF9">
        <w:t xml:space="preserve">Tick mark to a device, the supplier must have been issued a supplier code number by the ACMA.  </w:t>
      </w:r>
    </w:p>
    <w:p w:rsidR="00614915" w:rsidRPr="007A4EA0" w:rsidRDefault="00614915" w:rsidP="007A4EA0">
      <w:pPr>
        <w:pStyle w:val="HR"/>
        <w:rPr>
          <w:rStyle w:val="CharSectno"/>
        </w:rPr>
      </w:pPr>
      <w:bookmarkStart w:id="21" w:name="_Toc350862634"/>
      <w:r w:rsidRPr="00D87EF9">
        <w:rPr>
          <w:rStyle w:val="CharSectno"/>
        </w:rPr>
        <w:t>10C</w:t>
      </w:r>
      <w:r w:rsidRPr="007A4EA0">
        <w:rPr>
          <w:rStyle w:val="CharSectno"/>
        </w:rPr>
        <w:t xml:space="preserve">  </w:t>
      </w:r>
      <w:r w:rsidR="007A4EA0">
        <w:rPr>
          <w:rStyle w:val="CharSectno"/>
        </w:rPr>
        <w:tab/>
      </w:r>
      <w:r w:rsidRPr="007A4EA0">
        <w:rPr>
          <w:rStyle w:val="CharSectno"/>
        </w:rPr>
        <w:t>Issue of supplier code number</w:t>
      </w:r>
      <w:bookmarkEnd w:id="21"/>
    </w:p>
    <w:p w:rsidR="00614915" w:rsidRPr="00D87EF9" w:rsidRDefault="00614915" w:rsidP="00470CE9">
      <w:pPr>
        <w:pStyle w:val="R1"/>
        <w:keepLines w:val="0"/>
      </w:pPr>
      <w:r w:rsidRPr="00D87EF9">
        <w:tab/>
        <w:t>(1)</w:t>
      </w:r>
      <w:r w:rsidRPr="00D87EF9">
        <w:tab/>
        <w:t xml:space="preserve">This section applies </w:t>
      </w:r>
      <w:r w:rsidR="00497CD5">
        <w:t xml:space="preserve">only if </w:t>
      </w:r>
      <w:r w:rsidRPr="00D87EF9">
        <w:t xml:space="preserve">the ACMA has </w:t>
      </w:r>
      <w:r w:rsidR="00497CD5">
        <w:t xml:space="preserve">not </w:t>
      </w:r>
      <w:r w:rsidRPr="00D87EF9">
        <w:t>designated in writing a national database for the purposes of this Division.</w:t>
      </w:r>
    </w:p>
    <w:p w:rsidR="00614915" w:rsidRPr="00D87EF9" w:rsidRDefault="00614915" w:rsidP="00470CE9">
      <w:pPr>
        <w:pStyle w:val="R1"/>
        <w:keepLines w:val="0"/>
      </w:pPr>
      <w:r w:rsidRPr="00D87EF9">
        <w:tab/>
        <w:t>(2)</w:t>
      </w:r>
      <w:r w:rsidRPr="00D87EF9">
        <w:tab/>
        <w:t xml:space="preserve">A supplier may apply in writing to the ACMA for a supplier code number. </w:t>
      </w:r>
    </w:p>
    <w:p w:rsidR="00614915" w:rsidRPr="00D87EF9" w:rsidRDefault="00614915" w:rsidP="00470CE9">
      <w:pPr>
        <w:pStyle w:val="R1"/>
        <w:keepLines w:val="0"/>
      </w:pPr>
      <w:r w:rsidRPr="00D87EF9">
        <w:tab/>
        <w:t>(3)</w:t>
      </w:r>
      <w:r w:rsidRPr="00D87EF9">
        <w:tab/>
        <w:t xml:space="preserve">The application must be in a form approved by the ACMA. </w:t>
      </w:r>
    </w:p>
    <w:p w:rsidR="00EE22E2" w:rsidRPr="00470CE9" w:rsidRDefault="00614915" w:rsidP="00470CE9">
      <w:pPr>
        <w:pStyle w:val="notetext"/>
        <w:ind w:left="993" w:firstLine="0"/>
        <w:rPr>
          <w:sz w:val="20"/>
        </w:rPr>
      </w:pPr>
      <w:r w:rsidRPr="00470CE9">
        <w:rPr>
          <w:i/>
          <w:sz w:val="20"/>
        </w:rPr>
        <w:t>Note</w:t>
      </w:r>
      <w:r w:rsidRPr="00470CE9">
        <w:rPr>
          <w:sz w:val="20"/>
        </w:rPr>
        <w:tab/>
        <w:t>The ACMA makes approved forms available on its website</w:t>
      </w:r>
      <w:r w:rsidR="00EE22E2" w:rsidRPr="00470CE9">
        <w:rPr>
          <w:sz w:val="20"/>
        </w:rPr>
        <w:t xml:space="preserve"> at </w:t>
      </w:r>
      <w:hyperlink r:id="rId18" w:history="1">
        <w:r w:rsidR="00470CE9" w:rsidRPr="00470CE9">
          <w:rPr>
            <w:rStyle w:val="Hyperlink"/>
            <w:sz w:val="20"/>
          </w:rPr>
          <w:t>http://www.acma.gov.au</w:t>
        </w:r>
      </w:hyperlink>
      <w:r w:rsidR="00EE22E2" w:rsidRPr="00470CE9">
        <w:rPr>
          <w:sz w:val="20"/>
        </w:rPr>
        <w:t>.</w:t>
      </w:r>
    </w:p>
    <w:p w:rsidR="00614915" w:rsidRPr="00D87EF9" w:rsidRDefault="00614915" w:rsidP="00470CE9">
      <w:pPr>
        <w:pStyle w:val="R1"/>
        <w:keepLines w:val="0"/>
      </w:pPr>
      <w:r w:rsidRPr="00D87EF9">
        <w:tab/>
        <w:t>(4)</w:t>
      </w:r>
      <w:r w:rsidRPr="00D87EF9">
        <w:tab/>
        <w:t xml:space="preserve">Upon such application being made, the ACMA may issue to the supplier a supplier code number. </w:t>
      </w:r>
    </w:p>
    <w:p w:rsidR="0035109E" w:rsidRPr="007A4EA0" w:rsidRDefault="0035109E" w:rsidP="007A4EA0">
      <w:pPr>
        <w:pStyle w:val="HR"/>
        <w:rPr>
          <w:rStyle w:val="CharSectno"/>
        </w:rPr>
      </w:pPr>
      <w:bookmarkStart w:id="22" w:name="_Toc350862635"/>
      <w:r w:rsidRPr="00D87EF9">
        <w:rPr>
          <w:rStyle w:val="CharSectno"/>
        </w:rPr>
        <w:t>11</w:t>
      </w:r>
      <w:r w:rsidR="001728F5" w:rsidRPr="007A4EA0">
        <w:rPr>
          <w:rStyle w:val="CharSectno"/>
        </w:rPr>
        <w:t xml:space="preserve">  </w:t>
      </w:r>
      <w:r w:rsidR="007A4EA0">
        <w:rPr>
          <w:rStyle w:val="CharSectno"/>
        </w:rPr>
        <w:tab/>
      </w:r>
      <w:r w:rsidRPr="007A4EA0">
        <w:rPr>
          <w:rStyle w:val="CharSectno"/>
        </w:rPr>
        <w:t>Declaration of conformity</w:t>
      </w:r>
      <w:bookmarkEnd w:id="22"/>
    </w:p>
    <w:p w:rsidR="00C84498" w:rsidRPr="00C84498" w:rsidRDefault="00C84498" w:rsidP="00470CE9">
      <w:pPr>
        <w:pStyle w:val="R1"/>
        <w:keepLines w:val="0"/>
      </w:pPr>
      <w:r>
        <w:tab/>
        <w:t>(1)</w:t>
      </w:r>
      <w:r>
        <w:tab/>
      </w:r>
      <w:r w:rsidRPr="00C84498">
        <w:t>Before a supplier of a device applies a label to the device as a compliance label, the supplier must make a declaration of conformity for the device.</w:t>
      </w:r>
      <w:r>
        <w:t xml:space="preserve"> </w:t>
      </w:r>
    </w:p>
    <w:p w:rsidR="0035109E" w:rsidRPr="00D87EF9" w:rsidRDefault="0035109E" w:rsidP="00470CE9">
      <w:pPr>
        <w:pStyle w:val="R1"/>
        <w:keepLines w:val="0"/>
      </w:pPr>
      <w:r w:rsidRPr="00D87EF9">
        <w:tab/>
        <w:t>(2)</w:t>
      </w:r>
      <w:r w:rsidRPr="00D87EF9">
        <w:tab/>
      </w:r>
      <w:r w:rsidR="00D87EF9" w:rsidRPr="00D87EF9">
        <w:t>Subsection (</w:t>
      </w:r>
      <w:r w:rsidRPr="00D87EF9">
        <w:t>1) is taken to be satisfied by an importer of a device, or an agent of the importer, who applies a label to the device as a compliance label without making a declaration of conformity for the device if:</w:t>
      </w:r>
    </w:p>
    <w:p w:rsidR="0035109E" w:rsidRPr="00470CE9" w:rsidRDefault="0035109E" w:rsidP="00470CE9">
      <w:pPr>
        <w:pStyle w:val="P1"/>
        <w:rPr>
          <w:color w:val="000000"/>
        </w:rPr>
      </w:pPr>
      <w:r w:rsidRPr="00470CE9">
        <w:rPr>
          <w:color w:val="000000"/>
        </w:rPr>
        <w:tab/>
        <w:t>(a)</w:t>
      </w:r>
      <w:r w:rsidRPr="00470CE9">
        <w:rPr>
          <w:color w:val="000000"/>
        </w:rPr>
        <w:tab/>
      </w:r>
      <w:proofErr w:type="gramStart"/>
      <w:r w:rsidRPr="00470CE9">
        <w:rPr>
          <w:color w:val="000000"/>
        </w:rPr>
        <w:t>the</w:t>
      </w:r>
      <w:proofErr w:type="gramEnd"/>
      <w:r w:rsidRPr="00470CE9">
        <w:rPr>
          <w:color w:val="000000"/>
        </w:rPr>
        <w:t xml:space="preserve"> device complies with the applicable standard; and</w:t>
      </w:r>
    </w:p>
    <w:p w:rsidR="0035109E" w:rsidRPr="00470CE9" w:rsidRDefault="0035109E" w:rsidP="00470CE9">
      <w:pPr>
        <w:pStyle w:val="P1"/>
        <w:rPr>
          <w:color w:val="000000"/>
        </w:rPr>
      </w:pPr>
      <w:r w:rsidRPr="00470CE9">
        <w:rPr>
          <w:color w:val="000000"/>
        </w:rPr>
        <w:tab/>
        <w:t>(b)</w:t>
      </w:r>
      <w:r w:rsidRPr="00470CE9">
        <w:rPr>
          <w:color w:val="000000"/>
        </w:rPr>
        <w:tab/>
      </w:r>
      <w:proofErr w:type="gramStart"/>
      <w:r w:rsidRPr="00470CE9">
        <w:rPr>
          <w:color w:val="000000"/>
        </w:rPr>
        <w:t>the</w:t>
      </w:r>
      <w:proofErr w:type="gramEnd"/>
      <w:r w:rsidRPr="00470CE9">
        <w:rPr>
          <w:color w:val="000000"/>
        </w:rPr>
        <w:t xml:space="preserve"> device was manufactured outside Australia; and</w:t>
      </w:r>
    </w:p>
    <w:p w:rsidR="0035109E" w:rsidRPr="00470CE9" w:rsidRDefault="0035109E" w:rsidP="00470CE9">
      <w:pPr>
        <w:pStyle w:val="P1"/>
        <w:rPr>
          <w:color w:val="000000"/>
        </w:rPr>
      </w:pPr>
      <w:r w:rsidRPr="00470CE9">
        <w:rPr>
          <w:color w:val="000000"/>
        </w:rPr>
        <w:tab/>
        <w:t>(c)</w:t>
      </w:r>
      <w:r w:rsidRPr="00470CE9">
        <w:rPr>
          <w:color w:val="000000"/>
        </w:rPr>
        <w:tab/>
      </w:r>
      <w:proofErr w:type="gramStart"/>
      <w:r w:rsidRPr="00470CE9">
        <w:rPr>
          <w:color w:val="000000"/>
        </w:rPr>
        <w:t>the</w:t>
      </w:r>
      <w:proofErr w:type="gramEnd"/>
      <w:r w:rsidRPr="00470CE9">
        <w:rPr>
          <w:color w:val="000000"/>
        </w:rPr>
        <w:t xml:space="preserve"> manufacturer of the device made a declaration of conformity for the device before the label was applied to the device.</w:t>
      </w:r>
    </w:p>
    <w:p w:rsidR="0035109E" w:rsidRPr="00D87EF9" w:rsidRDefault="0035109E" w:rsidP="00470CE9">
      <w:pPr>
        <w:pStyle w:val="R1"/>
        <w:keepLines w:val="0"/>
      </w:pPr>
      <w:r w:rsidRPr="00D87EF9">
        <w:tab/>
        <w:t>(3)</w:t>
      </w:r>
      <w:r w:rsidRPr="00D87EF9">
        <w:tab/>
        <w:t xml:space="preserve">A reference to manufacturer in a declaration of conformity made in accordance with </w:t>
      </w:r>
      <w:r w:rsidR="00D87EF9" w:rsidRPr="00D87EF9">
        <w:t>paragraph (</w:t>
      </w:r>
      <w:r w:rsidRPr="00D87EF9">
        <w:t>2</w:t>
      </w:r>
      <w:proofErr w:type="gramStart"/>
      <w:r w:rsidR="001728F5" w:rsidRPr="00D87EF9">
        <w:t>)(</w:t>
      </w:r>
      <w:proofErr w:type="gramEnd"/>
      <w:r w:rsidRPr="00D87EF9">
        <w:t>c) is taken to include a reference to a person who manufactures a device outside Australia.</w:t>
      </w:r>
    </w:p>
    <w:p w:rsidR="0035109E" w:rsidRPr="00D87EF9" w:rsidRDefault="0035109E" w:rsidP="00C6202D">
      <w:pPr>
        <w:pStyle w:val="R1"/>
        <w:keepNext/>
        <w:keepLines w:val="0"/>
      </w:pPr>
      <w:r w:rsidRPr="00D87EF9">
        <w:lastRenderedPageBreak/>
        <w:tab/>
        <w:t>(4)</w:t>
      </w:r>
      <w:r w:rsidRPr="00D87EF9">
        <w:tab/>
      </w:r>
      <w:r w:rsidR="000601AC" w:rsidRPr="000601AC">
        <w:t>A declaration of conformity made by a manufacturer that manufactures a device outside Australia in accordance with paragraph (2</w:t>
      </w:r>
      <w:proofErr w:type="gramStart"/>
      <w:r w:rsidR="000601AC" w:rsidRPr="000601AC">
        <w:t>)(</w:t>
      </w:r>
      <w:proofErr w:type="gramEnd"/>
      <w:r w:rsidR="000601AC" w:rsidRPr="000601AC">
        <w:t>c) need not include</w:t>
      </w:r>
      <w:r w:rsidRPr="00D87EF9">
        <w:t>:</w:t>
      </w:r>
    </w:p>
    <w:p w:rsidR="002C0477" w:rsidRPr="00470CE9" w:rsidRDefault="002C0477" w:rsidP="00470CE9">
      <w:pPr>
        <w:pStyle w:val="P1"/>
        <w:rPr>
          <w:color w:val="000000"/>
        </w:rPr>
      </w:pPr>
      <w:r w:rsidRPr="00470CE9">
        <w:rPr>
          <w:color w:val="000000"/>
        </w:rPr>
        <w:tab/>
        <w:t>(a)</w:t>
      </w:r>
      <w:r w:rsidRPr="00470CE9">
        <w:rPr>
          <w:color w:val="000000"/>
        </w:rPr>
        <w:tab/>
      </w:r>
      <w:proofErr w:type="gramStart"/>
      <w:r w:rsidRPr="00470CE9">
        <w:rPr>
          <w:color w:val="000000"/>
        </w:rPr>
        <w:t>an</w:t>
      </w:r>
      <w:proofErr w:type="gramEnd"/>
      <w:r w:rsidRPr="00470CE9">
        <w:rPr>
          <w:color w:val="000000"/>
        </w:rPr>
        <w:t xml:space="preserve"> ABN; or</w:t>
      </w:r>
    </w:p>
    <w:p w:rsidR="002C0477" w:rsidRPr="00470CE9" w:rsidRDefault="002C0477" w:rsidP="00470CE9">
      <w:pPr>
        <w:pStyle w:val="P1"/>
        <w:rPr>
          <w:color w:val="000000"/>
        </w:rPr>
      </w:pPr>
      <w:r w:rsidRPr="00470CE9">
        <w:rPr>
          <w:color w:val="000000"/>
        </w:rPr>
        <w:tab/>
        <w:t>(b)</w:t>
      </w:r>
      <w:r w:rsidRPr="00470CE9">
        <w:rPr>
          <w:color w:val="000000"/>
        </w:rPr>
        <w:tab/>
      </w:r>
      <w:proofErr w:type="gramStart"/>
      <w:r w:rsidRPr="00470CE9">
        <w:rPr>
          <w:color w:val="000000"/>
        </w:rPr>
        <w:t>an</w:t>
      </w:r>
      <w:proofErr w:type="gramEnd"/>
      <w:r w:rsidRPr="00470CE9">
        <w:rPr>
          <w:color w:val="000000"/>
        </w:rPr>
        <w:t xml:space="preserve"> Australian Company Number (ACN); or</w:t>
      </w:r>
    </w:p>
    <w:p w:rsidR="00616E49" w:rsidRDefault="002C0477" w:rsidP="00616E49">
      <w:pPr>
        <w:pStyle w:val="P1"/>
        <w:rPr>
          <w:color w:val="000000"/>
        </w:rPr>
      </w:pPr>
      <w:r w:rsidRPr="00470CE9">
        <w:rPr>
          <w:color w:val="000000"/>
        </w:rPr>
        <w:tab/>
        <w:t>(c)</w:t>
      </w:r>
      <w:r w:rsidRPr="00470CE9">
        <w:rPr>
          <w:color w:val="000000"/>
        </w:rPr>
        <w:tab/>
      </w:r>
      <w:proofErr w:type="gramStart"/>
      <w:r w:rsidRPr="00470CE9">
        <w:rPr>
          <w:color w:val="000000"/>
        </w:rPr>
        <w:t>an</w:t>
      </w:r>
      <w:proofErr w:type="gramEnd"/>
      <w:r w:rsidRPr="00470CE9">
        <w:rPr>
          <w:color w:val="000000"/>
        </w:rPr>
        <w:t xml:space="preserve"> Australian Registered Body Number (ARBN).</w:t>
      </w:r>
      <w:bookmarkStart w:id="23" w:name="_Toc350862636"/>
    </w:p>
    <w:p w:rsidR="0035109E" w:rsidRPr="007A4EA0" w:rsidRDefault="0035109E" w:rsidP="007A4EA0">
      <w:pPr>
        <w:pStyle w:val="ActHead3"/>
        <w:rPr>
          <w:rStyle w:val="CharDivNo"/>
          <w:rFonts w:ascii="Arial" w:hAnsi="Arial" w:cs="Arial"/>
        </w:rPr>
      </w:pPr>
      <w:r w:rsidRPr="007A4EA0">
        <w:rPr>
          <w:rStyle w:val="CharDivNo"/>
          <w:rFonts w:ascii="Arial" w:hAnsi="Arial" w:cs="Arial"/>
        </w:rPr>
        <w:t>Division</w:t>
      </w:r>
      <w:r w:rsidR="00D87EF9" w:rsidRPr="007A4EA0">
        <w:rPr>
          <w:rStyle w:val="CharDivNo"/>
          <w:rFonts w:ascii="Arial" w:hAnsi="Arial" w:cs="Arial"/>
        </w:rPr>
        <w:t> </w:t>
      </w:r>
      <w:r w:rsidRPr="007A4EA0">
        <w:rPr>
          <w:rStyle w:val="CharDivNo"/>
          <w:rFonts w:ascii="Arial" w:hAnsi="Arial" w:cs="Arial"/>
        </w:rPr>
        <w:t>2.3</w:t>
      </w:r>
      <w:r w:rsidR="001728F5" w:rsidRPr="007A4EA0">
        <w:rPr>
          <w:rStyle w:val="CharDivNo"/>
          <w:rFonts w:ascii="Arial" w:hAnsi="Arial" w:cs="Arial"/>
        </w:rPr>
        <w:t>—</w:t>
      </w:r>
      <w:r w:rsidRPr="007A4EA0">
        <w:rPr>
          <w:rStyle w:val="CharDivNo"/>
          <w:rFonts w:ascii="Arial" w:hAnsi="Arial" w:cs="Arial"/>
        </w:rPr>
        <w:t>Compliance levels</w:t>
      </w:r>
      <w:bookmarkEnd w:id="23"/>
    </w:p>
    <w:p w:rsidR="0035109E" w:rsidRPr="007A4EA0" w:rsidRDefault="0035109E" w:rsidP="007A4EA0">
      <w:pPr>
        <w:pStyle w:val="HR"/>
        <w:rPr>
          <w:rStyle w:val="CharSectno"/>
        </w:rPr>
      </w:pPr>
      <w:bookmarkStart w:id="24" w:name="_Toc350862637"/>
      <w:r w:rsidRPr="00D87EF9">
        <w:rPr>
          <w:rStyle w:val="CharSectno"/>
        </w:rPr>
        <w:t>12</w:t>
      </w:r>
      <w:r w:rsidR="001728F5" w:rsidRPr="007A4EA0">
        <w:rPr>
          <w:rStyle w:val="CharSectno"/>
        </w:rPr>
        <w:t xml:space="preserve">  </w:t>
      </w:r>
      <w:r w:rsidR="007A4EA0">
        <w:rPr>
          <w:rStyle w:val="CharSectno"/>
        </w:rPr>
        <w:tab/>
      </w:r>
      <w:r w:rsidRPr="007A4EA0">
        <w:rPr>
          <w:rStyle w:val="CharSectno"/>
        </w:rPr>
        <w:t>Compliance levels</w:t>
      </w:r>
      <w:bookmarkEnd w:id="24"/>
    </w:p>
    <w:p w:rsidR="0035109E" w:rsidRPr="00D87EF9" w:rsidRDefault="0035109E" w:rsidP="00470CE9">
      <w:pPr>
        <w:pStyle w:val="R1"/>
        <w:keepLines w:val="0"/>
      </w:pPr>
      <w:r w:rsidRPr="00D87EF9">
        <w:tab/>
        <w:t>(1)</w:t>
      </w:r>
      <w:r w:rsidRPr="00D87EF9">
        <w:tab/>
        <w:t>Before a supplier applies a compliance label to a device, the supplier must comply with the compliance level for the device.</w:t>
      </w:r>
    </w:p>
    <w:p w:rsidR="0035109E" w:rsidRPr="00D87EF9" w:rsidRDefault="0035109E" w:rsidP="00470CE9">
      <w:pPr>
        <w:pStyle w:val="R1"/>
        <w:keepLines w:val="0"/>
      </w:pPr>
      <w:r w:rsidRPr="00D87EF9">
        <w:tab/>
        <w:t>(2)</w:t>
      </w:r>
      <w:r w:rsidRPr="00D87EF9">
        <w:tab/>
        <w:t>The compliance level for a device is:</w:t>
      </w:r>
    </w:p>
    <w:p w:rsidR="0035109E" w:rsidRPr="00470CE9" w:rsidRDefault="0035109E" w:rsidP="00470CE9">
      <w:pPr>
        <w:pStyle w:val="P1"/>
        <w:rPr>
          <w:color w:val="000000"/>
        </w:rPr>
      </w:pPr>
      <w:r w:rsidRPr="00470CE9">
        <w:rPr>
          <w:color w:val="000000"/>
        </w:rPr>
        <w:tab/>
        <w:t>(a)</w:t>
      </w:r>
      <w:r w:rsidRPr="00470CE9">
        <w:rPr>
          <w:color w:val="000000"/>
        </w:rPr>
        <w:tab/>
      </w:r>
      <w:proofErr w:type="gramStart"/>
      <w:r w:rsidRPr="00470CE9">
        <w:rPr>
          <w:color w:val="000000"/>
        </w:rPr>
        <w:t>for</w:t>
      </w:r>
      <w:proofErr w:type="gramEnd"/>
      <w:r w:rsidRPr="00470CE9">
        <w:rPr>
          <w:color w:val="000000"/>
        </w:rPr>
        <w:t xml:space="preserve"> a category A device</w:t>
      </w:r>
      <w:r w:rsidR="001728F5" w:rsidRPr="00470CE9">
        <w:rPr>
          <w:color w:val="000000"/>
        </w:rPr>
        <w:t>—</w:t>
      </w:r>
      <w:r w:rsidRPr="00470CE9">
        <w:rPr>
          <w:color w:val="000000"/>
        </w:rPr>
        <w:t>compliance level 1; and</w:t>
      </w:r>
    </w:p>
    <w:p w:rsidR="0035109E" w:rsidRPr="00470CE9" w:rsidRDefault="0035109E" w:rsidP="00470CE9">
      <w:pPr>
        <w:pStyle w:val="P1"/>
        <w:rPr>
          <w:color w:val="000000"/>
        </w:rPr>
      </w:pPr>
      <w:r w:rsidRPr="00470CE9">
        <w:rPr>
          <w:color w:val="000000"/>
        </w:rPr>
        <w:tab/>
        <w:t>(b)</w:t>
      </w:r>
      <w:r w:rsidRPr="00470CE9">
        <w:rPr>
          <w:color w:val="000000"/>
        </w:rPr>
        <w:tab/>
      </w:r>
      <w:proofErr w:type="gramStart"/>
      <w:r w:rsidRPr="00470CE9">
        <w:rPr>
          <w:color w:val="000000"/>
        </w:rPr>
        <w:t>for</w:t>
      </w:r>
      <w:proofErr w:type="gramEnd"/>
      <w:r w:rsidRPr="00470CE9">
        <w:rPr>
          <w:color w:val="000000"/>
        </w:rPr>
        <w:t xml:space="preserve"> a category B device for which the normal position of use is more than 20cm from the human body</w:t>
      </w:r>
      <w:r w:rsidR="001728F5" w:rsidRPr="00470CE9">
        <w:rPr>
          <w:color w:val="000000"/>
        </w:rPr>
        <w:t>—</w:t>
      </w:r>
      <w:r w:rsidRPr="00470CE9">
        <w:rPr>
          <w:color w:val="000000"/>
        </w:rPr>
        <w:t>compliance level 2; and</w:t>
      </w:r>
    </w:p>
    <w:p w:rsidR="0035109E" w:rsidRPr="00470CE9" w:rsidRDefault="0035109E" w:rsidP="00470CE9">
      <w:pPr>
        <w:pStyle w:val="P1"/>
        <w:rPr>
          <w:color w:val="000000"/>
        </w:rPr>
      </w:pPr>
      <w:r w:rsidRPr="00470CE9">
        <w:rPr>
          <w:color w:val="000000"/>
        </w:rPr>
        <w:tab/>
        <w:t>(c)</w:t>
      </w:r>
      <w:r w:rsidRPr="00470CE9">
        <w:rPr>
          <w:color w:val="000000"/>
        </w:rPr>
        <w:tab/>
      </w:r>
      <w:proofErr w:type="gramStart"/>
      <w:r w:rsidRPr="00470CE9">
        <w:rPr>
          <w:color w:val="000000"/>
        </w:rPr>
        <w:t>for</w:t>
      </w:r>
      <w:proofErr w:type="gramEnd"/>
      <w:r w:rsidRPr="00470CE9">
        <w:rPr>
          <w:color w:val="000000"/>
        </w:rPr>
        <w:t xml:space="preserve"> a category B device for which the normal position of use is not more than 20cm from the human body</w:t>
      </w:r>
      <w:r w:rsidR="001728F5" w:rsidRPr="00470CE9">
        <w:rPr>
          <w:color w:val="000000"/>
        </w:rPr>
        <w:t>—</w:t>
      </w:r>
      <w:r w:rsidRPr="00470CE9">
        <w:rPr>
          <w:color w:val="000000"/>
        </w:rPr>
        <w:t>compliance level 3.</w:t>
      </w:r>
    </w:p>
    <w:p w:rsidR="0035109E" w:rsidRPr="007A4EA0" w:rsidRDefault="0035109E" w:rsidP="007A4EA0">
      <w:pPr>
        <w:pStyle w:val="HR"/>
        <w:rPr>
          <w:rStyle w:val="CharSectno"/>
        </w:rPr>
      </w:pPr>
      <w:bookmarkStart w:id="25" w:name="_Toc350862638"/>
      <w:r w:rsidRPr="00D87EF9">
        <w:rPr>
          <w:rStyle w:val="CharSectno"/>
        </w:rPr>
        <w:t>13</w:t>
      </w:r>
      <w:r w:rsidR="001728F5" w:rsidRPr="007A4EA0">
        <w:rPr>
          <w:rStyle w:val="CharSectno"/>
        </w:rPr>
        <w:t xml:space="preserve">  </w:t>
      </w:r>
      <w:r w:rsidR="007A4EA0">
        <w:rPr>
          <w:rStyle w:val="CharSectno"/>
        </w:rPr>
        <w:tab/>
      </w:r>
      <w:r w:rsidRPr="007A4EA0">
        <w:rPr>
          <w:rStyle w:val="CharSectno"/>
        </w:rPr>
        <w:t>Compliance level 1</w:t>
      </w:r>
      <w:bookmarkEnd w:id="25"/>
    </w:p>
    <w:p w:rsidR="0035109E" w:rsidRPr="00D87EF9" w:rsidRDefault="0035109E" w:rsidP="00470CE9">
      <w:pPr>
        <w:pStyle w:val="R1"/>
        <w:keepLines w:val="0"/>
        <w:ind w:left="993" w:hanging="517"/>
      </w:pPr>
      <w:r w:rsidRPr="00D87EF9">
        <w:tab/>
      </w:r>
      <w:r w:rsidRPr="00D87EF9">
        <w:tab/>
        <w:t>To comply with compliance level 1, the supplier of a device must:</w:t>
      </w:r>
    </w:p>
    <w:p w:rsidR="0035109E" w:rsidRPr="00470CE9" w:rsidRDefault="0035109E" w:rsidP="00470CE9">
      <w:pPr>
        <w:pStyle w:val="P1"/>
        <w:rPr>
          <w:color w:val="000000"/>
        </w:rPr>
      </w:pPr>
      <w:r w:rsidRPr="00470CE9">
        <w:rPr>
          <w:color w:val="000000"/>
        </w:rPr>
        <w:tab/>
        <w:t>(a)</w:t>
      </w:r>
      <w:r w:rsidRPr="00470CE9">
        <w:rPr>
          <w:color w:val="000000"/>
        </w:rPr>
        <w:tab/>
      </w:r>
      <w:proofErr w:type="gramStart"/>
      <w:r w:rsidRPr="00470CE9">
        <w:rPr>
          <w:color w:val="000000"/>
        </w:rPr>
        <w:t>prepare</w:t>
      </w:r>
      <w:proofErr w:type="gramEnd"/>
      <w:r w:rsidRPr="00470CE9">
        <w:rPr>
          <w:color w:val="000000"/>
        </w:rPr>
        <w:t xml:space="preserve"> a description of the device; and</w:t>
      </w:r>
    </w:p>
    <w:p w:rsidR="0035109E" w:rsidRPr="00470CE9" w:rsidRDefault="0035109E" w:rsidP="00470CE9">
      <w:pPr>
        <w:pStyle w:val="P1"/>
        <w:rPr>
          <w:color w:val="000000"/>
        </w:rPr>
      </w:pPr>
      <w:r w:rsidRPr="00470CE9">
        <w:rPr>
          <w:color w:val="000000"/>
        </w:rPr>
        <w:tab/>
        <w:t>(b)</w:t>
      </w:r>
      <w:r w:rsidRPr="00470CE9">
        <w:rPr>
          <w:color w:val="000000"/>
        </w:rPr>
        <w:tab/>
      </w:r>
      <w:proofErr w:type="gramStart"/>
      <w:r w:rsidRPr="00470CE9">
        <w:rPr>
          <w:color w:val="000000"/>
        </w:rPr>
        <w:t>make</w:t>
      </w:r>
      <w:proofErr w:type="gramEnd"/>
      <w:r w:rsidRPr="00470CE9">
        <w:rPr>
          <w:color w:val="000000"/>
        </w:rPr>
        <w:t xml:space="preserve"> a declaration of conformity for the device in accordance with section</w:t>
      </w:r>
      <w:r w:rsidR="00D87EF9" w:rsidRPr="00470CE9">
        <w:rPr>
          <w:color w:val="000000"/>
        </w:rPr>
        <w:t> </w:t>
      </w:r>
      <w:r w:rsidRPr="00470CE9">
        <w:rPr>
          <w:color w:val="000000"/>
        </w:rPr>
        <w:t>11.</w:t>
      </w:r>
    </w:p>
    <w:p w:rsidR="0035109E" w:rsidRPr="00470CE9" w:rsidRDefault="001728F5" w:rsidP="00470CE9">
      <w:pPr>
        <w:pStyle w:val="notetext"/>
        <w:ind w:left="993" w:firstLine="0"/>
        <w:rPr>
          <w:sz w:val="20"/>
        </w:rPr>
      </w:pPr>
      <w:r w:rsidRPr="00470CE9">
        <w:rPr>
          <w:i/>
          <w:iCs/>
          <w:sz w:val="20"/>
        </w:rPr>
        <w:t>Note</w:t>
      </w:r>
      <w:r w:rsidR="00470CE9" w:rsidRPr="00470CE9">
        <w:rPr>
          <w:i/>
          <w:iCs/>
          <w:sz w:val="20"/>
        </w:rPr>
        <w:tab/>
      </w:r>
      <w:r w:rsidR="0035109E" w:rsidRPr="00470CE9">
        <w:rPr>
          <w:sz w:val="20"/>
        </w:rPr>
        <w:t>Subsection</w:t>
      </w:r>
      <w:r w:rsidR="00D87EF9" w:rsidRPr="00470CE9">
        <w:rPr>
          <w:sz w:val="20"/>
        </w:rPr>
        <w:t> </w:t>
      </w:r>
      <w:r w:rsidR="0035109E" w:rsidRPr="00470CE9">
        <w:rPr>
          <w:sz w:val="20"/>
        </w:rPr>
        <w:t>11(2) sets out the circumstances in which the requirement for a supplier of a device to make a declaration of conformity is taken to be satisfied by the overseas manufacturer of the device making the declaration.</w:t>
      </w:r>
    </w:p>
    <w:p w:rsidR="0035109E" w:rsidRPr="007A4EA0" w:rsidRDefault="0035109E" w:rsidP="007A4EA0">
      <w:pPr>
        <w:pStyle w:val="HR"/>
        <w:rPr>
          <w:rStyle w:val="CharSectno"/>
        </w:rPr>
      </w:pPr>
      <w:bookmarkStart w:id="26" w:name="_Toc350862639"/>
      <w:r w:rsidRPr="00D87EF9">
        <w:rPr>
          <w:rStyle w:val="CharSectno"/>
        </w:rPr>
        <w:t>14</w:t>
      </w:r>
      <w:r w:rsidR="001728F5" w:rsidRPr="007A4EA0">
        <w:rPr>
          <w:rStyle w:val="CharSectno"/>
        </w:rPr>
        <w:t xml:space="preserve"> </w:t>
      </w:r>
      <w:r w:rsidR="007A4EA0">
        <w:rPr>
          <w:rStyle w:val="CharSectno"/>
        </w:rPr>
        <w:tab/>
      </w:r>
      <w:r w:rsidR="001728F5" w:rsidRPr="007A4EA0">
        <w:rPr>
          <w:rStyle w:val="CharSectno"/>
        </w:rPr>
        <w:t xml:space="preserve"> </w:t>
      </w:r>
      <w:r w:rsidRPr="007A4EA0">
        <w:rPr>
          <w:rStyle w:val="CharSectno"/>
        </w:rPr>
        <w:t>Compliance level 2</w:t>
      </w:r>
      <w:bookmarkEnd w:id="26"/>
    </w:p>
    <w:p w:rsidR="0035109E" w:rsidRPr="00D87EF9" w:rsidRDefault="0035109E" w:rsidP="00470CE9">
      <w:pPr>
        <w:pStyle w:val="R1"/>
        <w:keepLines w:val="0"/>
        <w:ind w:left="993" w:hanging="517"/>
      </w:pPr>
      <w:r w:rsidRPr="00D87EF9">
        <w:tab/>
      </w:r>
      <w:r w:rsidRPr="00D87EF9">
        <w:tab/>
        <w:t>To comply with compliance level 2, the supplier of a device must:</w:t>
      </w:r>
    </w:p>
    <w:p w:rsidR="0035109E" w:rsidRPr="00470CE9" w:rsidRDefault="0035109E" w:rsidP="00470CE9">
      <w:pPr>
        <w:pStyle w:val="P1"/>
        <w:rPr>
          <w:color w:val="000000"/>
        </w:rPr>
      </w:pPr>
      <w:r w:rsidRPr="00470CE9">
        <w:rPr>
          <w:color w:val="000000"/>
        </w:rPr>
        <w:tab/>
        <w:t>(a)</w:t>
      </w:r>
      <w:r w:rsidRPr="00470CE9">
        <w:rPr>
          <w:color w:val="000000"/>
        </w:rPr>
        <w:tab/>
      </w:r>
      <w:proofErr w:type="gramStart"/>
      <w:r w:rsidRPr="00470CE9">
        <w:rPr>
          <w:color w:val="000000"/>
        </w:rPr>
        <w:t>comply</w:t>
      </w:r>
      <w:proofErr w:type="gramEnd"/>
      <w:r w:rsidRPr="00470CE9">
        <w:rPr>
          <w:color w:val="000000"/>
        </w:rPr>
        <w:t xml:space="preserve"> with compliance level 1; and</w:t>
      </w:r>
    </w:p>
    <w:p w:rsidR="0035109E" w:rsidRPr="00470CE9" w:rsidRDefault="0035109E" w:rsidP="00470CE9">
      <w:pPr>
        <w:pStyle w:val="P1"/>
        <w:rPr>
          <w:color w:val="000000"/>
        </w:rPr>
      </w:pPr>
      <w:r w:rsidRPr="00470CE9">
        <w:rPr>
          <w:color w:val="000000"/>
        </w:rPr>
        <w:tab/>
        <w:t>(b)</w:t>
      </w:r>
      <w:r w:rsidRPr="00470CE9">
        <w:rPr>
          <w:color w:val="000000"/>
        </w:rPr>
        <w:tab/>
      </w:r>
      <w:proofErr w:type="gramStart"/>
      <w:r w:rsidRPr="00470CE9">
        <w:rPr>
          <w:color w:val="000000"/>
        </w:rPr>
        <w:t>show</w:t>
      </w:r>
      <w:proofErr w:type="gramEnd"/>
      <w:r w:rsidRPr="00470CE9">
        <w:rPr>
          <w:color w:val="000000"/>
        </w:rPr>
        <w:t xml:space="preserve"> conformity with the applicable standard by a report of the results of assessment under section</w:t>
      </w:r>
      <w:r w:rsidR="00D87EF9" w:rsidRPr="00470CE9">
        <w:rPr>
          <w:color w:val="000000"/>
        </w:rPr>
        <w:t> </w:t>
      </w:r>
      <w:r w:rsidRPr="00470CE9">
        <w:rPr>
          <w:color w:val="000000"/>
        </w:rPr>
        <w:t>16.</w:t>
      </w:r>
    </w:p>
    <w:p w:rsidR="0035109E" w:rsidRPr="007A4EA0" w:rsidRDefault="0035109E" w:rsidP="007A4EA0">
      <w:pPr>
        <w:pStyle w:val="HR"/>
        <w:rPr>
          <w:rStyle w:val="CharSectno"/>
        </w:rPr>
      </w:pPr>
      <w:bookmarkStart w:id="27" w:name="_Toc350862640"/>
      <w:r w:rsidRPr="00D87EF9">
        <w:rPr>
          <w:rStyle w:val="CharSectno"/>
        </w:rPr>
        <w:t>15</w:t>
      </w:r>
      <w:r w:rsidR="001728F5" w:rsidRPr="007A4EA0">
        <w:rPr>
          <w:rStyle w:val="CharSectno"/>
        </w:rPr>
        <w:t xml:space="preserve">  </w:t>
      </w:r>
      <w:r w:rsidR="007A4EA0">
        <w:rPr>
          <w:rStyle w:val="CharSectno"/>
        </w:rPr>
        <w:tab/>
      </w:r>
      <w:r w:rsidRPr="007A4EA0">
        <w:rPr>
          <w:rStyle w:val="CharSectno"/>
        </w:rPr>
        <w:t>Compliance level 3</w:t>
      </w:r>
      <w:bookmarkEnd w:id="27"/>
    </w:p>
    <w:p w:rsidR="0035109E" w:rsidRPr="00D87EF9" w:rsidRDefault="0035109E" w:rsidP="00470CE9">
      <w:pPr>
        <w:pStyle w:val="R1"/>
        <w:keepLines w:val="0"/>
        <w:ind w:left="993" w:hanging="517"/>
      </w:pPr>
      <w:r w:rsidRPr="00D87EF9">
        <w:tab/>
      </w:r>
      <w:r w:rsidRPr="00D87EF9">
        <w:tab/>
        <w:t>To comply with compliance level 3, the supplier of a device must:</w:t>
      </w:r>
    </w:p>
    <w:p w:rsidR="0035109E" w:rsidRPr="00470CE9" w:rsidRDefault="0035109E" w:rsidP="00470CE9">
      <w:pPr>
        <w:pStyle w:val="P1"/>
        <w:rPr>
          <w:color w:val="000000"/>
        </w:rPr>
      </w:pPr>
      <w:r w:rsidRPr="00470CE9">
        <w:rPr>
          <w:color w:val="000000"/>
        </w:rPr>
        <w:tab/>
        <w:t>(a)</w:t>
      </w:r>
      <w:r w:rsidRPr="00470CE9">
        <w:rPr>
          <w:color w:val="000000"/>
        </w:rPr>
        <w:tab/>
      </w:r>
      <w:proofErr w:type="gramStart"/>
      <w:r w:rsidRPr="00470CE9">
        <w:rPr>
          <w:color w:val="000000"/>
        </w:rPr>
        <w:t>comply</w:t>
      </w:r>
      <w:proofErr w:type="gramEnd"/>
      <w:r w:rsidRPr="00470CE9">
        <w:rPr>
          <w:color w:val="000000"/>
        </w:rPr>
        <w:t xml:space="preserve"> with compliance level 1; and</w:t>
      </w:r>
    </w:p>
    <w:p w:rsidR="00616E49" w:rsidRDefault="0035109E" w:rsidP="00616E49">
      <w:pPr>
        <w:pStyle w:val="P1"/>
        <w:rPr>
          <w:color w:val="000000"/>
        </w:rPr>
      </w:pPr>
      <w:r w:rsidRPr="00470CE9">
        <w:rPr>
          <w:color w:val="000000"/>
        </w:rPr>
        <w:tab/>
        <w:t>(b)</w:t>
      </w:r>
      <w:r w:rsidRPr="00470CE9">
        <w:rPr>
          <w:color w:val="000000"/>
        </w:rPr>
        <w:tab/>
      </w:r>
      <w:proofErr w:type="gramStart"/>
      <w:r w:rsidRPr="00470CE9">
        <w:rPr>
          <w:color w:val="000000"/>
        </w:rPr>
        <w:t>show</w:t>
      </w:r>
      <w:proofErr w:type="gramEnd"/>
      <w:r w:rsidRPr="00470CE9">
        <w:rPr>
          <w:color w:val="000000"/>
        </w:rPr>
        <w:t xml:space="preserve"> conformity with the applicable standard by a report of the results of </w:t>
      </w:r>
      <w:r w:rsidR="00497CD5">
        <w:rPr>
          <w:color w:val="000000"/>
        </w:rPr>
        <w:t>an assessment</w:t>
      </w:r>
      <w:r w:rsidRPr="00470CE9">
        <w:rPr>
          <w:color w:val="000000"/>
        </w:rPr>
        <w:t xml:space="preserve"> under section</w:t>
      </w:r>
      <w:r w:rsidR="00D87EF9" w:rsidRPr="00470CE9">
        <w:rPr>
          <w:color w:val="000000"/>
        </w:rPr>
        <w:t> </w:t>
      </w:r>
      <w:r w:rsidRPr="00470CE9">
        <w:rPr>
          <w:color w:val="000000"/>
        </w:rPr>
        <w:t xml:space="preserve">16 by an </w:t>
      </w:r>
      <w:r w:rsidR="007B5042" w:rsidRPr="00470CE9">
        <w:rPr>
          <w:color w:val="000000"/>
        </w:rPr>
        <w:t>accredited testing body.</w:t>
      </w:r>
      <w:r w:rsidR="00F76DE0" w:rsidRPr="00470CE9">
        <w:rPr>
          <w:color w:val="000000"/>
        </w:rPr>
        <w:t xml:space="preserve"> </w:t>
      </w:r>
      <w:bookmarkStart w:id="28" w:name="_Toc350862641"/>
    </w:p>
    <w:p w:rsidR="0035109E" w:rsidRPr="007A4EA0" w:rsidRDefault="0035109E" w:rsidP="007A4EA0">
      <w:pPr>
        <w:pStyle w:val="ActHead3"/>
        <w:rPr>
          <w:rStyle w:val="CharDivNo"/>
          <w:rFonts w:ascii="Arial" w:hAnsi="Arial" w:cs="Arial"/>
        </w:rPr>
      </w:pPr>
      <w:r w:rsidRPr="007A4EA0">
        <w:rPr>
          <w:rStyle w:val="CharDivNo"/>
          <w:rFonts w:ascii="Arial" w:hAnsi="Arial" w:cs="Arial"/>
        </w:rPr>
        <w:lastRenderedPageBreak/>
        <w:t>Division</w:t>
      </w:r>
      <w:r w:rsidR="00D87EF9" w:rsidRPr="007A4EA0">
        <w:rPr>
          <w:rStyle w:val="CharDivNo"/>
          <w:rFonts w:ascii="Arial" w:hAnsi="Arial" w:cs="Arial"/>
        </w:rPr>
        <w:t> </w:t>
      </w:r>
      <w:r w:rsidRPr="007A4EA0">
        <w:rPr>
          <w:rStyle w:val="CharDivNo"/>
          <w:rFonts w:ascii="Arial" w:hAnsi="Arial" w:cs="Arial"/>
        </w:rPr>
        <w:t>2.4</w:t>
      </w:r>
      <w:r w:rsidR="001728F5" w:rsidRPr="007A4EA0">
        <w:rPr>
          <w:rStyle w:val="CharDivNo"/>
          <w:rFonts w:ascii="Arial" w:hAnsi="Arial" w:cs="Arial"/>
        </w:rPr>
        <w:t>—</w:t>
      </w:r>
      <w:r w:rsidRPr="007A4EA0">
        <w:rPr>
          <w:rStyle w:val="CharDivNo"/>
          <w:rFonts w:ascii="Arial" w:hAnsi="Arial" w:cs="Arial"/>
        </w:rPr>
        <w:t>Assessment of devices</w:t>
      </w:r>
      <w:bookmarkEnd w:id="28"/>
    </w:p>
    <w:p w:rsidR="0035109E" w:rsidRPr="007A4EA0" w:rsidRDefault="0035109E" w:rsidP="007A4EA0">
      <w:pPr>
        <w:pStyle w:val="HR"/>
        <w:rPr>
          <w:rStyle w:val="CharSectno"/>
        </w:rPr>
      </w:pPr>
      <w:bookmarkStart w:id="29" w:name="_Toc350862642"/>
      <w:r w:rsidRPr="00D87EF9">
        <w:rPr>
          <w:rStyle w:val="CharSectno"/>
        </w:rPr>
        <w:t>16</w:t>
      </w:r>
      <w:r w:rsidR="001728F5" w:rsidRPr="007A4EA0">
        <w:rPr>
          <w:rStyle w:val="CharSectno"/>
        </w:rPr>
        <w:t xml:space="preserve">  </w:t>
      </w:r>
      <w:r w:rsidR="007A4EA0">
        <w:rPr>
          <w:rStyle w:val="CharSectno"/>
        </w:rPr>
        <w:tab/>
      </w:r>
      <w:r w:rsidRPr="007A4EA0">
        <w:rPr>
          <w:rStyle w:val="CharSectno"/>
        </w:rPr>
        <w:t>Assessment</w:t>
      </w:r>
      <w:bookmarkEnd w:id="29"/>
      <w:r w:rsidRPr="007A4EA0">
        <w:rPr>
          <w:rStyle w:val="CharSectno"/>
        </w:rPr>
        <w:t xml:space="preserve"> </w:t>
      </w:r>
    </w:p>
    <w:p w:rsidR="0035109E" w:rsidRPr="00D87EF9" w:rsidRDefault="0035109E" w:rsidP="00D56818">
      <w:pPr>
        <w:pStyle w:val="R1"/>
        <w:keepLines w:val="0"/>
        <w:ind w:left="993" w:hanging="517"/>
      </w:pPr>
      <w:r w:rsidRPr="00D87EF9">
        <w:tab/>
      </w:r>
      <w:r w:rsidRPr="00D87EF9">
        <w:tab/>
        <w:t>If a device is assessed for conformity with the applicable standard, the supplier of the device must obtain from the person that assessed the device a report addressing:</w:t>
      </w:r>
    </w:p>
    <w:p w:rsidR="0035109E" w:rsidRPr="00D56818" w:rsidRDefault="0035109E" w:rsidP="00D56818">
      <w:pPr>
        <w:pStyle w:val="P1"/>
        <w:rPr>
          <w:color w:val="000000"/>
        </w:rPr>
      </w:pPr>
      <w:r w:rsidRPr="00D56818">
        <w:rPr>
          <w:color w:val="000000"/>
        </w:rPr>
        <w:tab/>
        <w:t>(a)</w:t>
      </w:r>
      <w:r w:rsidRPr="00D56818">
        <w:rPr>
          <w:color w:val="000000"/>
        </w:rPr>
        <w:tab/>
      </w:r>
      <w:proofErr w:type="gramStart"/>
      <w:r w:rsidRPr="00D56818">
        <w:rPr>
          <w:color w:val="000000"/>
        </w:rPr>
        <w:t>the</w:t>
      </w:r>
      <w:proofErr w:type="gramEnd"/>
      <w:r w:rsidRPr="00D56818">
        <w:rPr>
          <w:color w:val="000000"/>
        </w:rPr>
        <w:t xml:space="preserve"> measurements or evaluation methods that were used; and</w:t>
      </w:r>
    </w:p>
    <w:p w:rsidR="0035109E" w:rsidRPr="00D56818" w:rsidRDefault="0035109E" w:rsidP="00D56818">
      <w:pPr>
        <w:pStyle w:val="P1"/>
        <w:rPr>
          <w:color w:val="000000"/>
        </w:rPr>
      </w:pPr>
      <w:r w:rsidRPr="00D56818">
        <w:rPr>
          <w:color w:val="000000"/>
        </w:rPr>
        <w:tab/>
        <w:t>(b)</w:t>
      </w:r>
      <w:r w:rsidRPr="00D56818">
        <w:rPr>
          <w:color w:val="000000"/>
        </w:rPr>
        <w:tab/>
      </w:r>
      <w:proofErr w:type="gramStart"/>
      <w:r w:rsidRPr="00D56818">
        <w:rPr>
          <w:color w:val="000000"/>
        </w:rPr>
        <w:t>the</w:t>
      </w:r>
      <w:proofErr w:type="gramEnd"/>
      <w:r w:rsidRPr="00D56818">
        <w:rPr>
          <w:color w:val="000000"/>
        </w:rPr>
        <w:t xml:space="preserve"> results of the measurements or evaluations, including any measurement or evaluation data; and</w:t>
      </w:r>
    </w:p>
    <w:p w:rsidR="00616E49" w:rsidRDefault="0035109E" w:rsidP="00616E49">
      <w:pPr>
        <w:pStyle w:val="P1"/>
        <w:rPr>
          <w:color w:val="000000"/>
        </w:rPr>
      </w:pPr>
      <w:r w:rsidRPr="00D56818">
        <w:rPr>
          <w:color w:val="000000"/>
        </w:rPr>
        <w:tab/>
        <w:t>(c)</w:t>
      </w:r>
      <w:r w:rsidRPr="00D56818">
        <w:rPr>
          <w:color w:val="000000"/>
        </w:rPr>
        <w:tab/>
      </w:r>
      <w:proofErr w:type="gramStart"/>
      <w:r w:rsidRPr="00D56818">
        <w:rPr>
          <w:color w:val="000000"/>
        </w:rPr>
        <w:t>whether</w:t>
      </w:r>
      <w:proofErr w:type="gramEnd"/>
      <w:r w:rsidRPr="00D56818">
        <w:rPr>
          <w:color w:val="000000"/>
        </w:rPr>
        <w:t xml:space="preserve"> the results of the measurements or evaluations show that the device meets the applicable standard.</w:t>
      </w:r>
      <w:r w:rsidR="008E1956" w:rsidRPr="00D56818">
        <w:rPr>
          <w:color w:val="000000"/>
        </w:rPr>
        <w:t xml:space="preserve"> </w:t>
      </w:r>
      <w:bookmarkStart w:id="30" w:name="_Toc350862643"/>
    </w:p>
    <w:p w:rsidR="0035109E" w:rsidRPr="007A4EA0" w:rsidRDefault="001728F5" w:rsidP="007A4EA0">
      <w:pPr>
        <w:pStyle w:val="ActHead2"/>
        <w:rPr>
          <w:rStyle w:val="CharPartNo"/>
          <w:rFonts w:ascii="Arial" w:hAnsi="Arial" w:cs="Arial"/>
        </w:rPr>
      </w:pPr>
      <w:r w:rsidRPr="007A4EA0">
        <w:rPr>
          <w:rStyle w:val="CharPartNo"/>
          <w:rFonts w:ascii="Arial" w:hAnsi="Arial" w:cs="Arial"/>
        </w:rPr>
        <w:t>Part</w:t>
      </w:r>
      <w:r w:rsidR="00D87EF9" w:rsidRPr="007A4EA0">
        <w:rPr>
          <w:rStyle w:val="CharPartNo"/>
          <w:rFonts w:ascii="Arial" w:hAnsi="Arial" w:cs="Arial"/>
        </w:rPr>
        <w:t> </w:t>
      </w:r>
      <w:r w:rsidR="0035109E" w:rsidRPr="007A4EA0">
        <w:rPr>
          <w:rStyle w:val="CharPartNo"/>
          <w:rFonts w:ascii="Arial" w:hAnsi="Arial" w:cs="Arial"/>
        </w:rPr>
        <w:t>3</w:t>
      </w:r>
      <w:r w:rsidRPr="007A4EA0">
        <w:rPr>
          <w:rStyle w:val="CharPartNo"/>
          <w:rFonts w:ascii="Arial" w:hAnsi="Arial" w:cs="Arial"/>
        </w:rPr>
        <w:t>—</w:t>
      </w:r>
      <w:r w:rsidR="0035109E" w:rsidRPr="007A4EA0">
        <w:rPr>
          <w:rStyle w:val="CharPartNo"/>
          <w:rFonts w:ascii="Arial" w:hAnsi="Arial" w:cs="Arial"/>
        </w:rPr>
        <w:t>Form and placement of a compliance label</w:t>
      </w:r>
      <w:bookmarkEnd w:id="30"/>
    </w:p>
    <w:p w:rsidR="0035109E" w:rsidRPr="00D87EF9" w:rsidRDefault="001728F5" w:rsidP="0035109E">
      <w:pPr>
        <w:pStyle w:val="Header"/>
      </w:pPr>
      <w:r w:rsidRPr="00D87EF9">
        <w:rPr>
          <w:rStyle w:val="CharDivNo"/>
        </w:rPr>
        <w:t xml:space="preserve"> </w:t>
      </w:r>
      <w:r w:rsidRPr="00D87EF9">
        <w:rPr>
          <w:rStyle w:val="CharDivText"/>
        </w:rPr>
        <w:t xml:space="preserve"> </w:t>
      </w:r>
    </w:p>
    <w:p w:rsidR="0035109E" w:rsidRPr="007A4EA0" w:rsidRDefault="0035109E" w:rsidP="007A4EA0">
      <w:pPr>
        <w:pStyle w:val="HR"/>
        <w:rPr>
          <w:rStyle w:val="CharSectno"/>
        </w:rPr>
      </w:pPr>
      <w:bookmarkStart w:id="31" w:name="_Toc350862644"/>
      <w:r w:rsidRPr="00D87EF9">
        <w:rPr>
          <w:rStyle w:val="CharSectno"/>
        </w:rPr>
        <w:t>17</w:t>
      </w:r>
      <w:r w:rsidR="001728F5" w:rsidRPr="007A4EA0">
        <w:rPr>
          <w:rStyle w:val="CharSectno"/>
        </w:rPr>
        <w:t xml:space="preserve">  </w:t>
      </w:r>
      <w:r w:rsidR="007A4EA0">
        <w:rPr>
          <w:rStyle w:val="CharSectno"/>
        </w:rPr>
        <w:tab/>
      </w:r>
      <w:r w:rsidRPr="007A4EA0">
        <w:rPr>
          <w:rStyle w:val="CharSectno"/>
        </w:rPr>
        <w:t xml:space="preserve">Application of </w:t>
      </w:r>
      <w:r w:rsidR="001728F5" w:rsidRPr="007A4EA0">
        <w:rPr>
          <w:rStyle w:val="CharSectno"/>
        </w:rPr>
        <w:t>Part</w:t>
      </w:r>
      <w:r w:rsidR="00D87EF9" w:rsidRPr="007A4EA0">
        <w:rPr>
          <w:rStyle w:val="CharSectno"/>
        </w:rPr>
        <w:t> </w:t>
      </w:r>
      <w:r w:rsidRPr="007A4EA0">
        <w:rPr>
          <w:rStyle w:val="CharSectno"/>
        </w:rPr>
        <w:t>3</w:t>
      </w:r>
      <w:bookmarkEnd w:id="31"/>
    </w:p>
    <w:p w:rsidR="0035109E" w:rsidRPr="00D87EF9" w:rsidRDefault="0035109E" w:rsidP="00D56818">
      <w:pPr>
        <w:pStyle w:val="R1"/>
        <w:keepLines w:val="0"/>
      </w:pPr>
      <w:r w:rsidRPr="00D87EF9">
        <w:tab/>
        <w:t>(1)</w:t>
      </w:r>
      <w:r w:rsidRPr="00D87EF9">
        <w:tab/>
        <w:t xml:space="preserve">This </w:t>
      </w:r>
      <w:r w:rsidR="001728F5" w:rsidRPr="00D87EF9">
        <w:t>Part</w:t>
      </w:r>
      <w:r w:rsidR="004370B9" w:rsidRPr="00D87EF9">
        <w:t xml:space="preserve"> </w:t>
      </w:r>
      <w:r w:rsidRPr="00D87EF9">
        <w:t xml:space="preserve">applies to a device if the supplier for the device has complied with the compliance level for the device under </w:t>
      </w:r>
      <w:r w:rsidR="001728F5" w:rsidRPr="00D87EF9">
        <w:t>Part</w:t>
      </w:r>
      <w:r w:rsidR="00D87EF9" w:rsidRPr="00D87EF9">
        <w:t> </w:t>
      </w:r>
      <w:r w:rsidRPr="00D87EF9">
        <w:t>2.</w:t>
      </w:r>
    </w:p>
    <w:p w:rsidR="0035109E" w:rsidRDefault="0035109E" w:rsidP="00D56818">
      <w:pPr>
        <w:pStyle w:val="R1"/>
        <w:keepLines w:val="0"/>
      </w:pPr>
      <w:r w:rsidRPr="00D87EF9">
        <w:tab/>
        <w:t>(2)</w:t>
      </w:r>
      <w:r w:rsidRPr="00D87EF9">
        <w:tab/>
        <w:t xml:space="preserve">This </w:t>
      </w:r>
      <w:r w:rsidR="001728F5" w:rsidRPr="00D87EF9">
        <w:t>Part</w:t>
      </w:r>
      <w:r w:rsidR="004370B9" w:rsidRPr="00D87EF9">
        <w:t xml:space="preserve"> </w:t>
      </w:r>
      <w:r w:rsidRPr="00D87EF9">
        <w:t>also applies to a variant of the device.</w:t>
      </w:r>
    </w:p>
    <w:p w:rsidR="009E0C96" w:rsidRPr="009E0C96" w:rsidRDefault="009E0C96" w:rsidP="009E0C96">
      <w:pPr>
        <w:ind w:left="720"/>
      </w:pPr>
      <w:r w:rsidRPr="00470CE9">
        <w:rPr>
          <w:i/>
          <w:iCs/>
          <w:sz w:val="20"/>
        </w:rPr>
        <w:t>Note</w:t>
      </w:r>
      <w:r w:rsidRPr="00470CE9">
        <w:rPr>
          <w:i/>
          <w:iCs/>
          <w:sz w:val="20"/>
        </w:rPr>
        <w:tab/>
      </w:r>
      <w:r w:rsidRPr="009E0C96">
        <w:rPr>
          <w:sz w:val="20"/>
        </w:rPr>
        <w:t>This Part does not apply to a device that is also customer equipment or customer cabling to which an instrument made under subsection 407</w:t>
      </w:r>
      <w:r w:rsidR="00AD2D96">
        <w:rPr>
          <w:sz w:val="20"/>
        </w:rPr>
        <w:t>(</w:t>
      </w:r>
      <w:r w:rsidRPr="009E0C96">
        <w:rPr>
          <w:sz w:val="20"/>
        </w:rPr>
        <w:t xml:space="preserve">1) of the </w:t>
      </w:r>
      <w:r w:rsidRPr="00AD2D96">
        <w:rPr>
          <w:i/>
          <w:sz w:val="20"/>
        </w:rPr>
        <w:t>Telecommunications Act 1997</w:t>
      </w:r>
      <w:r w:rsidRPr="009E0C96">
        <w:rPr>
          <w:sz w:val="20"/>
        </w:rPr>
        <w:t>, as in force from time to time, applies</w:t>
      </w:r>
      <w:r w:rsidR="000F762E">
        <w:rPr>
          <w:sz w:val="20"/>
        </w:rPr>
        <w:t>;</w:t>
      </w:r>
      <w:r w:rsidRPr="009E0C96">
        <w:rPr>
          <w:sz w:val="20"/>
        </w:rPr>
        <w:t xml:space="preserve"> see paragraph 8(b).</w:t>
      </w:r>
      <w:r w:rsidRPr="00470CE9">
        <w:rPr>
          <w:sz w:val="20"/>
        </w:rPr>
        <w:t> </w:t>
      </w:r>
    </w:p>
    <w:p w:rsidR="0035109E" w:rsidRPr="007A4EA0" w:rsidRDefault="0035109E" w:rsidP="007A4EA0">
      <w:pPr>
        <w:pStyle w:val="HR"/>
        <w:rPr>
          <w:rStyle w:val="CharSectno"/>
        </w:rPr>
      </w:pPr>
      <w:bookmarkStart w:id="32" w:name="_Toc350862645"/>
      <w:r w:rsidRPr="00D87EF9">
        <w:rPr>
          <w:rStyle w:val="CharSectno"/>
        </w:rPr>
        <w:t>18</w:t>
      </w:r>
      <w:r w:rsidR="001728F5" w:rsidRPr="007A4EA0">
        <w:rPr>
          <w:rStyle w:val="CharSectno"/>
        </w:rPr>
        <w:t xml:space="preserve">  </w:t>
      </w:r>
      <w:r w:rsidR="007A4EA0">
        <w:rPr>
          <w:rStyle w:val="CharSectno"/>
        </w:rPr>
        <w:tab/>
      </w:r>
      <w:r w:rsidRPr="007A4EA0">
        <w:rPr>
          <w:rStyle w:val="CharSectno"/>
        </w:rPr>
        <w:t xml:space="preserve">Who must apply a compliance label to a </w:t>
      </w:r>
      <w:proofErr w:type="gramStart"/>
      <w:r w:rsidRPr="007A4EA0">
        <w:rPr>
          <w:rStyle w:val="CharSectno"/>
        </w:rPr>
        <w:t>device</w:t>
      </w:r>
      <w:bookmarkEnd w:id="32"/>
      <w:proofErr w:type="gramEnd"/>
    </w:p>
    <w:p w:rsidR="0035109E" w:rsidRPr="00D87EF9" w:rsidRDefault="0035109E" w:rsidP="00D56818">
      <w:pPr>
        <w:pStyle w:val="R1"/>
        <w:keepLines w:val="0"/>
      </w:pPr>
      <w:r w:rsidRPr="00D87EF9">
        <w:tab/>
        <w:t>(1)</w:t>
      </w:r>
      <w:r w:rsidRPr="00D87EF9">
        <w:tab/>
        <w:t>If a device is manufactured in Australia, a label must be applied to the device as a compliance label by 1 of the following persons:</w:t>
      </w:r>
    </w:p>
    <w:p w:rsidR="0035109E" w:rsidRPr="00D56818" w:rsidRDefault="0035109E" w:rsidP="00D56818">
      <w:pPr>
        <w:pStyle w:val="P1"/>
        <w:rPr>
          <w:color w:val="000000"/>
        </w:rPr>
      </w:pPr>
      <w:r w:rsidRPr="00D87EF9">
        <w:rPr>
          <w:color w:val="000000"/>
        </w:rPr>
        <w:tab/>
        <w:t>(a)</w:t>
      </w:r>
      <w:r w:rsidRPr="00D87EF9">
        <w:rPr>
          <w:color w:val="000000"/>
        </w:rPr>
        <w:tab/>
      </w:r>
      <w:proofErr w:type="gramStart"/>
      <w:r w:rsidRPr="00D87EF9">
        <w:rPr>
          <w:color w:val="000000"/>
        </w:rPr>
        <w:t>the</w:t>
      </w:r>
      <w:proofErr w:type="gramEnd"/>
      <w:r w:rsidRPr="00D87EF9">
        <w:rPr>
          <w:color w:val="000000"/>
        </w:rPr>
        <w:t xml:space="preserve"> manufacturer; </w:t>
      </w:r>
    </w:p>
    <w:p w:rsidR="0035109E" w:rsidRPr="00D56818" w:rsidRDefault="0035109E" w:rsidP="00D56818">
      <w:pPr>
        <w:pStyle w:val="P1"/>
        <w:rPr>
          <w:color w:val="000000"/>
        </w:rPr>
      </w:pPr>
      <w:r w:rsidRPr="00D56818">
        <w:rPr>
          <w:color w:val="000000"/>
        </w:rPr>
        <w:tab/>
        <w:t>(b)</w:t>
      </w:r>
      <w:r w:rsidRPr="00D56818">
        <w:rPr>
          <w:color w:val="000000"/>
        </w:rPr>
        <w:tab/>
      </w:r>
      <w:proofErr w:type="gramStart"/>
      <w:r w:rsidRPr="00D56818">
        <w:rPr>
          <w:color w:val="000000"/>
        </w:rPr>
        <w:t>an</w:t>
      </w:r>
      <w:proofErr w:type="gramEnd"/>
      <w:r w:rsidRPr="00D56818">
        <w:rPr>
          <w:color w:val="000000"/>
        </w:rPr>
        <w:t xml:space="preserve"> agent of the manufacturer; </w:t>
      </w:r>
    </w:p>
    <w:p w:rsidR="0035109E" w:rsidRPr="00D56818" w:rsidRDefault="0035109E" w:rsidP="00D56818">
      <w:pPr>
        <w:pStyle w:val="P1"/>
        <w:rPr>
          <w:color w:val="000000"/>
        </w:rPr>
      </w:pPr>
      <w:r w:rsidRPr="00D56818">
        <w:rPr>
          <w:color w:val="000000"/>
        </w:rPr>
        <w:tab/>
        <w:t>(c)</w:t>
      </w:r>
      <w:r w:rsidRPr="00D56818">
        <w:rPr>
          <w:color w:val="000000"/>
        </w:rPr>
        <w:tab/>
      </w:r>
      <w:proofErr w:type="gramStart"/>
      <w:r w:rsidRPr="00D56818">
        <w:rPr>
          <w:color w:val="000000"/>
        </w:rPr>
        <w:t>a</w:t>
      </w:r>
      <w:proofErr w:type="gramEnd"/>
      <w:r w:rsidRPr="00D56818">
        <w:rPr>
          <w:color w:val="000000"/>
        </w:rPr>
        <w:t xml:space="preserve"> person who is authorised by the manufacturer, or an agent of the manufacturer, to apply labels on behalf of the manufacturer or agent.</w:t>
      </w:r>
    </w:p>
    <w:p w:rsidR="0035109E" w:rsidRPr="00D56818" w:rsidRDefault="001728F5" w:rsidP="00D56818">
      <w:pPr>
        <w:pStyle w:val="notetext"/>
        <w:ind w:left="993" w:firstLine="0"/>
        <w:rPr>
          <w:sz w:val="20"/>
        </w:rPr>
      </w:pPr>
      <w:r w:rsidRPr="00D56818">
        <w:rPr>
          <w:i/>
          <w:iCs/>
          <w:sz w:val="20"/>
        </w:rPr>
        <w:t>Note</w:t>
      </w:r>
      <w:r w:rsidRPr="00D56818">
        <w:rPr>
          <w:iCs/>
          <w:sz w:val="20"/>
        </w:rPr>
        <w:tab/>
      </w:r>
      <w:r w:rsidR="0035109E" w:rsidRPr="00D56818">
        <w:rPr>
          <w:sz w:val="20"/>
        </w:rPr>
        <w:t>A compliance label is described in subsection</w:t>
      </w:r>
      <w:r w:rsidR="00D87EF9" w:rsidRPr="00D56818">
        <w:rPr>
          <w:sz w:val="20"/>
        </w:rPr>
        <w:t> </w:t>
      </w:r>
      <w:r w:rsidR="0035109E" w:rsidRPr="00D56818">
        <w:rPr>
          <w:sz w:val="20"/>
        </w:rPr>
        <w:t>19(1).</w:t>
      </w:r>
    </w:p>
    <w:p w:rsidR="0035109E" w:rsidRPr="00D87EF9" w:rsidRDefault="0035109E" w:rsidP="00227FE0">
      <w:pPr>
        <w:pStyle w:val="R1"/>
        <w:keepNext/>
        <w:keepLines w:val="0"/>
      </w:pPr>
      <w:r w:rsidRPr="00D87EF9">
        <w:tab/>
        <w:t>(2)</w:t>
      </w:r>
      <w:r w:rsidRPr="00D87EF9">
        <w:tab/>
        <w:t>If a device is manufactured outside Australia, a label must be applied to the device as a compliance label by 1 of the following persons:</w:t>
      </w:r>
    </w:p>
    <w:p w:rsidR="0035109E" w:rsidRPr="00D56818" w:rsidRDefault="0035109E" w:rsidP="00D56818">
      <w:pPr>
        <w:pStyle w:val="P1"/>
        <w:rPr>
          <w:color w:val="000000"/>
        </w:rPr>
      </w:pPr>
      <w:r w:rsidRPr="00D87EF9">
        <w:rPr>
          <w:color w:val="000000"/>
        </w:rPr>
        <w:tab/>
        <w:t>(a)</w:t>
      </w:r>
      <w:r w:rsidRPr="00D87EF9">
        <w:rPr>
          <w:color w:val="000000"/>
        </w:rPr>
        <w:tab/>
      </w:r>
      <w:proofErr w:type="gramStart"/>
      <w:r w:rsidRPr="00D87EF9">
        <w:rPr>
          <w:color w:val="000000"/>
        </w:rPr>
        <w:t>the</w:t>
      </w:r>
      <w:proofErr w:type="gramEnd"/>
      <w:r w:rsidRPr="00D87EF9">
        <w:rPr>
          <w:color w:val="000000"/>
        </w:rPr>
        <w:t xml:space="preserve"> importer; </w:t>
      </w:r>
    </w:p>
    <w:p w:rsidR="0035109E" w:rsidRPr="00D56818" w:rsidRDefault="0035109E" w:rsidP="00D56818">
      <w:pPr>
        <w:pStyle w:val="P1"/>
        <w:rPr>
          <w:color w:val="000000"/>
        </w:rPr>
      </w:pPr>
      <w:r w:rsidRPr="00D56818">
        <w:rPr>
          <w:color w:val="000000"/>
        </w:rPr>
        <w:tab/>
        <w:t>(b)</w:t>
      </w:r>
      <w:r w:rsidRPr="00D56818">
        <w:rPr>
          <w:color w:val="000000"/>
        </w:rPr>
        <w:tab/>
      </w:r>
      <w:proofErr w:type="gramStart"/>
      <w:r w:rsidRPr="00D56818">
        <w:rPr>
          <w:color w:val="000000"/>
        </w:rPr>
        <w:t>an</w:t>
      </w:r>
      <w:proofErr w:type="gramEnd"/>
      <w:r w:rsidRPr="00D56818">
        <w:rPr>
          <w:color w:val="000000"/>
        </w:rPr>
        <w:t xml:space="preserve"> agent of the importer; </w:t>
      </w:r>
    </w:p>
    <w:p w:rsidR="0035109E" w:rsidRPr="00D56818" w:rsidRDefault="0035109E" w:rsidP="00D56818">
      <w:pPr>
        <w:pStyle w:val="P1"/>
        <w:rPr>
          <w:color w:val="000000"/>
        </w:rPr>
      </w:pPr>
      <w:r w:rsidRPr="00D56818">
        <w:rPr>
          <w:color w:val="000000"/>
        </w:rPr>
        <w:tab/>
        <w:t>(c)</w:t>
      </w:r>
      <w:r w:rsidRPr="00D56818">
        <w:rPr>
          <w:color w:val="000000"/>
        </w:rPr>
        <w:tab/>
      </w:r>
      <w:proofErr w:type="gramStart"/>
      <w:r w:rsidRPr="00D56818">
        <w:rPr>
          <w:color w:val="000000"/>
        </w:rPr>
        <w:t>a</w:t>
      </w:r>
      <w:proofErr w:type="gramEnd"/>
      <w:r w:rsidRPr="00D56818">
        <w:rPr>
          <w:color w:val="000000"/>
        </w:rPr>
        <w:t xml:space="preserve"> person outside Australia who is authorised by the importer or agent to apply labels on behalf of the importer or agent.</w:t>
      </w:r>
    </w:p>
    <w:p w:rsidR="007F4282" w:rsidRPr="007A4EA0" w:rsidRDefault="007F4282" w:rsidP="007A4EA0">
      <w:pPr>
        <w:pStyle w:val="HR"/>
        <w:rPr>
          <w:rStyle w:val="CharSectno"/>
        </w:rPr>
      </w:pPr>
      <w:bookmarkStart w:id="33" w:name="_Toc350862646"/>
      <w:r w:rsidRPr="00D87EF9">
        <w:rPr>
          <w:rStyle w:val="CharSectno"/>
        </w:rPr>
        <w:t>19</w:t>
      </w:r>
      <w:r w:rsidRPr="007A4EA0">
        <w:rPr>
          <w:rStyle w:val="CharSectno"/>
        </w:rPr>
        <w:t xml:space="preserve">  </w:t>
      </w:r>
      <w:r w:rsidR="007A4EA0">
        <w:rPr>
          <w:rStyle w:val="CharSectno"/>
        </w:rPr>
        <w:tab/>
      </w:r>
      <w:r w:rsidRPr="007A4EA0">
        <w:rPr>
          <w:rStyle w:val="CharSectno"/>
        </w:rPr>
        <w:t xml:space="preserve">What is a compliance </w:t>
      </w:r>
      <w:proofErr w:type="gramStart"/>
      <w:r w:rsidRPr="007A4EA0">
        <w:rPr>
          <w:rStyle w:val="CharSectno"/>
        </w:rPr>
        <w:t>label</w:t>
      </w:r>
      <w:bookmarkEnd w:id="33"/>
      <w:proofErr w:type="gramEnd"/>
    </w:p>
    <w:p w:rsidR="007F4282" w:rsidRPr="00D87EF9" w:rsidRDefault="007F4282" w:rsidP="00D56818">
      <w:pPr>
        <w:pStyle w:val="R1"/>
        <w:keepLines w:val="0"/>
      </w:pPr>
      <w:r w:rsidRPr="00D87EF9">
        <w:tab/>
        <w:t>(1)</w:t>
      </w:r>
      <w:r w:rsidRPr="00D87EF9">
        <w:tab/>
        <w:t xml:space="preserve">A </w:t>
      </w:r>
      <w:r w:rsidRPr="00D56818">
        <w:rPr>
          <w:b/>
          <w:i/>
        </w:rPr>
        <w:t>compliance label</w:t>
      </w:r>
      <w:r w:rsidRPr="00D87EF9">
        <w:t xml:space="preserve"> for a device is a label that meets the requirements of this section and sections</w:t>
      </w:r>
      <w:r w:rsidR="00D87EF9" w:rsidRPr="00D87EF9">
        <w:t> </w:t>
      </w:r>
      <w:r w:rsidRPr="00D87EF9">
        <w:t>19A to 19D.</w:t>
      </w:r>
    </w:p>
    <w:p w:rsidR="007F4282" w:rsidRPr="00D56818" w:rsidRDefault="007F4282" w:rsidP="00D56818">
      <w:pPr>
        <w:pStyle w:val="R1"/>
        <w:keepLines w:val="0"/>
        <w:rPr>
          <w:color w:val="000000"/>
        </w:rPr>
      </w:pPr>
      <w:r w:rsidRPr="00D56818">
        <w:rPr>
          <w:color w:val="000000"/>
        </w:rPr>
        <w:tab/>
        <w:t>(2)</w:t>
      </w:r>
      <w:r w:rsidRPr="00D56818">
        <w:rPr>
          <w:color w:val="000000"/>
        </w:rPr>
        <w:tab/>
        <w:t>The label must consist of:</w:t>
      </w:r>
    </w:p>
    <w:p w:rsidR="007F4282" w:rsidRPr="00D56818" w:rsidRDefault="007F4282" w:rsidP="00227FE0">
      <w:pPr>
        <w:pStyle w:val="P1"/>
        <w:rPr>
          <w:color w:val="000000"/>
        </w:rPr>
      </w:pPr>
      <w:r w:rsidRPr="00D56818">
        <w:rPr>
          <w:color w:val="000000"/>
        </w:rPr>
        <w:tab/>
        <w:t>(a)</w:t>
      </w:r>
      <w:r w:rsidRPr="00D56818">
        <w:rPr>
          <w:color w:val="000000"/>
        </w:rPr>
        <w:tab/>
      </w:r>
      <w:proofErr w:type="gramStart"/>
      <w:r w:rsidRPr="00D56818">
        <w:rPr>
          <w:color w:val="000000"/>
        </w:rPr>
        <w:t>the</w:t>
      </w:r>
      <w:proofErr w:type="gramEnd"/>
      <w:r w:rsidRPr="00D56818">
        <w:rPr>
          <w:color w:val="000000"/>
        </w:rPr>
        <w:t xml:space="preserve"> RCM; or</w:t>
      </w:r>
    </w:p>
    <w:p w:rsidR="007F4282" w:rsidRPr="00D56818" w:rsidRDefault="007F4282" w:rsidP="00227FE0">
      <w:pPr>
        <w:pStyle w:val="P1"/>
        <w:rPr>
          <w:color w:val="000000"/>
        </w:rPr>
      </w:pPr>
      <w:r w:rsidRPr="00D56818">
        <w:rPr>
          <w:color w:val="000000"/>
        </w:rPr>
        <w:lastRenderedPageBreak/>
        <w:tab/>
        <w:t>(b)</w:t>
      </w:r>
      <w:r w:rsidRPr="00D56818">
        <w:rPr>
          <w:color w:val="000000"/>
        </w:rPr>
        <w:tab/>
      </w:r>
      <w:proofErr w:type="gramStart"/>
      <w:r w:rsidRPr="00D56818">
        <w:rPr>
          <w:color w:val="000000"/>
        </w:rPr>
        <w:t>if</w:t>
      </w:r>
      <w:proofErr w:type="gramEnd"/>
      <w:r w:rsidRPr="00D56818">
        <w:rPr>
          <w:color w:val="000000"/>
        </w:rPr>
        <w:t xml:space="preserve"> the label is applied before 1</w:t>
      </w:r>
      <w:r w:rsidR="00D87EF9" w:rsidRPr="00D56818">
        <w:rPr>
          <w:color w:val="000000"/>
        </w:rPr>
        <w:t> </w:t>
      </w:r>
      <w:r w:rsidRPr="00D56818">
        <w:rPr>
          <w:color w:val="000000"/>
        </w:rPr>
        <w:t>March 2016</w:t>
      </w:r>
      <w:r w:rsidR="009E4100" w:rsidRPr="00D56818">
        <w:rPr>
          <w:color w:val="000000"/>
        </w:rPr>
        <w:t>—</w:t>
      </w:r>
      <w:r w:rsidRPr="00D56818">
        <w:rPr>
          <w:color w:val="000000"/>
        </w:rPr>
        <w:t>either of the compliance marks.</w:t>
      </w:r>
    </w:p>
    <w:p w:rsidR="007F4282" w:rsidRPr="008450D9" w:rsidRDefault="007F4282" w:rsidP="0079039B">
      <w:pPr>
        <w:pStyle w:val="SubitemHead"/>
        <w:rPr>
          <w:rFonts w:ascii="Times New Roman" w:hAnsi="Times New Roman"/>
        </w:rPr>
      </w:pPr>
      <w:r w:rsidRPr="008450D9">
        <w:rPr>
          <w:rFonts w:ascii="Times New Roman" w:hAnsi="Times New Roman"/>
        </w:rPr>
        <w:t>Location of compliance label</w:t>
      </w:r>
    </w:p>
    <w:p w:rsidR="007F4282" w:rsidRPr="00D56818" w:rsidRDefault="007F4282" w:rsidP="00D56818">
      <w:pPr>
        <w:pStyle w:val="R1"/>
        <w:keepLines w:val="0"/>
        <w:rPr>
          <w:color w:val="000000"/>
        </w:rPr>
      </w:pPr>
      <w:r w:rsidRPr="00D56818">
        <w:rPr>
          <w:color w:val="000000"/>
        </w:rPr>
        <w:tab/>
        <w:t>(3)</w:t>
      </w:r>
      <w:r w:rsidRPr="00D56818">
        <w:rPr>
          <w:color w:val="000000"/>
        </w:rPr>
        <w:tab/>
        <w:t>Subject to sections</w:t>
      </w:r>
      <w:r w:rsidR="00D87EF9" w:rsidRPr="00D56818">
        <w:rPr>
          <w:color w:val="000000"/>
        </w:rPr>
        <w:t> </w:t>
      </w:r>
      <w:r w:rsidRPr="00D56818">
        <w:rPr>
          <w:color w:val="000000"/>
        </w:rPr>
        <w:t>19C and 19D, the label must be placed on the device on a place that is accessible by the user.</w:t>
      </w:r>
    </w:p>
    <w:p w:rsidR="007F4282" w:rsidRPr="00D56818" w:rsidRDefault="007F4282" w:rsidP="00D56818">
      <w:pPr>
        <w:pStyle w:val="notetext"/>
        <w:ind w:left="993" w:firstLine="0"/>
        <w:rPr>
          <w:sz w:val="20"/>
        </w:rPr>
      </w:pPr>
      <w:r w:rsidRPr="00D56818">
        <w:rPr>
          <w:i/>
          <w:sz w:val="20"/>
        </w:rPr>
        <w:t>Note</w:t>
      </w:r>
      <w:r w:rsidRPr="00D56818">
        <w:rPr>
          <w:sz w:val="20"/>
        </w:rPr>
        <w:tab/>
        <w:t>Section</w:t>
      </w:r>
      <w:r w:rsidR="00D87EF9" w:rsidRPr="00D56818">
        <w:rPr>
          <w:sz w:val="20"/>
        </w:rPr>
        <w:t> </w:t>
      </w:r>
      <w:r w:rsidRPr="00D56818">
        <w:rPr>
          <w:sz w:val="20"/>
        </w:rPr>
        <w:t>19C deals with situations where applying a label to the surface of a device is not possible or practical. Section</w:t>
      </w:r>
      <w:r w:rsidR="00D87EF9" w:rsidRPr="00D56818">
        <w:rPr>
          <w:sz w:val="20"/>
        </w:rPr>
        <w:t> </w:t>
      </w:r>
      <w:r w:rsidRPr="00D56818">
        <w:rPr>
          <w:sz w:val="20"/>
        </w:rPr>
        <w:t>19D gives a supplier the option of labelling some types of device electronically.</w:t>
      </w:r>
    </w:p>
    <w:p w:rsidR="007F4282" w:rsidRPr="00D56818" w:rsidRDefault="007F4282" w:rsidP="00D56818">
      <w:pPr>
        <w:pStyle w:val="R1"/>
        <w:keepLines w:val="0"/>
        <w:rPr>
          <w:color w:val="000000"/>
        </w:rPr>
      </w:pPr>
      <w:r w:rsidRPr="00D56818">
        <w:rPr>
          <w:color w:val="000000"/>
        </w:rPr>
        <w:tab/>
        <w:t>(4)</w:t>
      </w:r>
      <w:r w:rsidRPr="00D56818">
        <w:rPr>
          <w:color w:val="000000"/>
        </w:rPr>
        <w:tab/>
        <w:t>A label is not accessible if it is necessary to use a specialised tool to gain access to it.</w:t>
      </w:r>
    </w:p>
    <w:p w:rsidR="00E305A5" w:rsidRPr="007A4EA0" w:rsidRDefault="00E305A5" w:rsidP="007A4EA0">
      <w:pPr>
        <w:pStyle w:val="HR"/>
        <w:rPr>
          <w:rStyle w:val="CharSectno"/>
        </w:rPr>
      </w:pPr>
      <w:bookmarkStart w:id="34" w:name="_Toc350862647"/>
      <w:r w:rsidRPr="00D87EF9">
        <w:rPr>
          <w:rStyle w:val="CharSectno"/>
        </w:rPr>
        <w:t>19A</w:t>
      </w:r>
      <w:r w:rsidR="001728F5" w:rsidRPr="007A4EA0">
        <w:rPr>
          <w:rStyle w:val="CharSectno"/>
        </w:rPr>
        <w:t xml:space="preserve">  </w:t>
      </w:r>
      <w:r w:rsidR="007A4EA0">
        <w:rPr>
          <w:rStyle w:val="CharSectno"/>
        </w:rPr>
        <w:tab/>
      </w:r>
      <w:r w:rsidRPr="007A4EA0">
        <w:rPr>
          <w:rStyle w:val="CharSectno"/>
        </w:rPr>
        <w:t>Durability of compliance label</w:t>
      </w:r>
      <w:bookmarkEnd w:id="34"/>
    </w:p>
    <w:p w:rsidR="00E305A5" w:rsidRPr="00227FE0" w:rsidRDefault="00E305A5" w:rsidP="00227FE0">
      <w:pPr>
        <w:pStyle w:val="R1"/>
        <w:keepLines w:val="0"/>
        <w:rPr>
          <w:color w:val="000000"/>
        </w:rPr>
      </w:pPr>
      <w:r w:rsidRPr="00227FE0">
        <w:rPr>
          <w:color w:val="000000"/>
        </w:rPr>
        <w:tab/>
        <w:t>(1)</w:t>
      </w:r>
      <w:r w:rsidRPr="00227FE0">
        <w:rPr>
          <w:color w:val="000000"/>
        </w:rPr>
        <w:tab/>
        <w:t>A compliance label must be durable.</w:t>
      </w:r>
    </w:p>
    <w:p w:rsidR="00E305A5" w:rsidRPr="00227FE0" w:rsidRDefault="00E305A5" w:rsidP="00227FE0">
      <w:pPr>
        <w:pStyle w:val="R1"/>
        <w:keepLines w:val="0"/>
        <w:tabs>
          <w:tab w:val="left" w:pos="1440"/>
          <w:tab w:val="left" w:pos="2160"/>
          <w:tab w:val="left" w:pos="2880"/>
          <w:tab w:val="left" w:pos="3600"/>
          <w:tab w:val="left" w:pos="4320"/>
          <w:tab w:val="left" w:pos="5040"/>
          <w:tab w:val="left" w:pos="5955"/>
        </w:tabs>
        <w:rPr>
          <w:color w:val="000000"/>
        </w:rPr>
      </w:pPr>
      <w:r w:rsidRPr="00227FE0">
        <w:rPr>
          <w:color w:val="000000"/>
        </w:rPr>
        <w:tab/>
        <w:t>(2)</w:t>
      </w:r>
      <w:r w:rsidRPr="00227FE0">
        <w:rPr>
          <w:color w:val="000000"/>
        </w:rPr>
        <w:tab/>
        <w:t>A compliance label must be applied to a device:</w:t>
      </w:r>
      <w:r w:rsidR="00227FE0">
        <w:rPr>
          <w:color w:val="000000"/>
        </w:rPr>
        <w:tab/>
      </w:r>
    </w:p>
    <w:p w:rsidR="00E305A5" w:rsidRPr="00227FE0" w:rsidRDefault="00E305A5" w:rsidP="00227FE0">
      <w:pPr>
        <w:pStyle w:val="P1"/>
        <w:rPr>
          <w:color w:val="000000"/>
        </w:rPr>
      </w:pPr>
      <w:r w:rsidRPr="00227FE0">
        <w:rPr>
          <w:color w:val="000000"/>
        </w:rPr>
        <w:tab/>
        <w:t>(a)</w:t>
      </w:r>
      <w:r w:rsidRPr="00227FE0">
        <w:rPr>
          <w:color w:val="000000"/>
        </w:rPr>
        <w:tab/>
      </w:r>
      <w:proofErr w:type="gramStart"/>
      <w:r w:rsidRPr="00227FE0">
        <w:rPr>
          <w:color w:val="000000"/>
        </w:rPr>
        <w:t>permanently</w:t>
      </w:r>
      <w:proofErr w:type="gramEnd"/>
      <w:r w:rsidRPr="00227FE0">
        <w:rPr>
          <w:color w:val="000000"/>
        </w:rPr>
        <w:t>; or</w:t>
      </w:r>
    </w:p>
    <w:p w:rsidR="00E305A5" w:rsidRPr="00227FE0" w:rsidRDefault="00E305A5" w:rsidP="00227FE0">
      <w:pPr>
        <w:pStyle w:val="P1"/>
        <w:rPr>
          <w:color w:val="000000"/>
        </w:rPr>
      </w:pPr>
      <w:r w:rsidRPr="00227FE0">
        <w:rPr>
          <w:color w:val="000000"/>
        </w:rPr>
        <w:tab/>
        <w:t>(b)</w:t>
      </w:r>
      <w:r w:rsidRPr="00227FE0">
        <w:rPr>
          <w:color w:val="000000"/>
        </w:rPr>
        <w:tab/>
      </w:r>
      <w:proofErr w:type="gramStart"/>
      <w:r w:rsidRPr="00227FE0">
        <w:rPr>
          <w:color w:val="000000"/>
        </w:rPr>
        <w:t>in</w:t>
      </w:r>
      <w:proofErr w:type="gramEnd"/>
      <w:r w:rsidRPr="00227FE0">
        <w:rPr>
          <w:color w:val="000000"/>
        </w:rPr>
        <w:t xml:space="preserve"> a way that makes removal or obliteration difficult.</w:t>
      </w:r>
    </w:p>
    <w:p w:rsidR="0079039B" w:rsidRPr="007A4EA0" w:rsidRDefault="0079039B" w:rsidP="007A4EA0">
      <w:pPr>
        <w:pStyle w:val="HR"/>
        <w:rPr>
          <w:rStyle w:val="CharSectno"/>
        </w:rPr>
      </w:pPr>
      <w:bookmarkStart w:id="35" w:name="_Toc350862648"/>
      <w:r w:rsidRPr="007A4EA0">
        <w:rPr>
          <w:rStyle w:val="CharSectno"/>
        </w:rPr>
        <w:t xml:space="preserve">19B  </w:t>
      </w:r>
      <w:r w:rsidR="007A4EA0">
        <w:rPr>
          <w:rStyle w:val="CharSectno"/>
        </w:rPr>
        <w:tab/>
      </w:r>
      <w:r w:rsidRPr="007A4EA0">
        <w:rPr>
          <w:rStyle w:val="CharSectno"/>
        </w:rPr>
        <w:t>Format of compliance label</w:t>
      </w:r>
      <w:bookmarkEnd w:id="35"/>
    </w:p>
    <w:p w:rsidR="0079039B" w:rsidRPr="00D87EF9" w:rsidRDefault="0079039B" w:rsidP="00227FE0">
      <w:pPr>
        <w:pStyle w:val="R1"/>
        <w:keepLines w:val="0"/>
        <w:ind w:left="993" w:hanging="517"/>
      </w:pPr>
      <w:r w:rsidRPr="00D87EF9">
        <w:tab/>
      </w:r>
      <w:r w:rsidRPr="00D87EF9">
        <w:tab/>
        <w:t xml:space="preserve">A compliance mark must be at least 3 mm high. </w:t>
      </w:r>
    </w:p>
    <w:p w:rsidR="0079039B" w:rsidRPr="00227FE0" w:rsidRDefault="0079039B" w:rsidP="00227FE0">
      <w:pPr>
        <w:pStyle w:val="notetext"/>
        <w:ind w:left="993" w:firstLine="0"/>
        <w:rPr>
          <w:sz w:val="20"/>
        </w:rPr>
      </w:pPr>
      <w:r w:rsidRPr="00227FE0">
        <w:rPr>
          <w:i/>
          <w:sz w:val="20"/>
        </w:rPr>
        <w:t>Note</w:t>
      </w:r>
      <w:r w:rsidRPr="00227FE0">
        <w:rPr>
          <w:sz w:val="20"/>
        </w:rPr>
        <w:tab/>
        <w:t>This Notice does not prevent a supplier from applying its own additional supplier identification details onto a device.</w:t>
      </w:r>
    </w:p>
    <w:p w:rsidR="00E305A5" w:rsidRPr="00D57982" w:rsidRDefault="00E305A5" w:rsidP="00D57982">
      <w:pPr>
        <w:pStyle w:val="HR"/>
        <w:rPr>
          <w:rStyle w:val="CharSectno"/>
        </w:rPr>
      </w:pPr>
      <w:bookmarkStart w:id="36" w:name="_Toc350862649"/>
      <w:r w:rsidRPr="00D87EF9">
        <w:rPr>
          <w:rStyle w:val="CharSectno"/>
        </w:rPr>
        <w:t>19C</w:t>
      </w:r>
      <w:r w:rsidR="001728F5" w:rsidRPr="00D57982">
        <w:rPr>
          <w:rStyle w:val="CharSectno"/>
        </w:rPr>
        <w:t xml:space="preserve"> </w:t>
      </w:r>
      <w:r w:rsidR="00D57982">
        <w:rPr>
          <w:rStyle w:val="CharSectno"/>
        </w:rPr>
        <w:tab/>
      </w:r>
      <w:r w:rsidR="001728F5" w:rsidRPr="00D57982">
        <w:rPr>
          <w:rStyle w:val="CharSectno"/>
        </w:rPr>
        <w:t xml:space="preserve"> </w:t>
      </w:r>
      <w:r w:rsidRPr="00D57982">
        <w:rPr>
          <w:rStyle w:val="CharSectno"/>
        </w:rPr>
        <w:t>Placement of compliance label</w:t>
      </w:r>
      <w:bookmarkEnd w:id="36"/>
    </w:p>
    <w:p w:rsidR="00E305A5" w:rsidRPr="00227FE0" w:rsidRDefault="00E305A5" w:rsidP="00227FE0">
      <w:pPr>
        <w:pStyle w:val="R1"/>
        <w:keepLines w:val="0"/>
        <w:rPr>
          <w:color w:val="000000"/>
        </w:rPr>
      </w:pPr>
      <w:r w:rsidRPr="00227FE0">
        <w:rPr>
          <w:color w:val="000000"/>
        </w:rPr>
        <w:tab/>
        <w:t>(1)</w:t>
      </w:r>
      <w:r w:rsidRPr="00227FE0">
        <w:rPr>
          <w:color w:val="000000"/>
        </w:rPr>
        <w:tab/>
        <w:t>If it is not possible to apply a compliance label to the surface of a device because of the size or physical nature of the device, or it is not practical to apply a compliance label to the surface of a device, the compliance label must be applied to:</w:t>
      </w:r>
    </w:p>
    <w:p w:rsidR="00E305A5" w:rsidRPr="00227FE0" w:rsidRDefault="00E305A5" w:rsidP="00227FE0">
      <w:pPr>
        <w:pStyle w:val="P1"/>
        <w:rPr>
          <w:color w:val="000000"/>
        </w:rPr>
      </w:pPr>
      <w:r w:rsidRPr="00227FE0">
        <w:rPr>
          <w:color w:val="000000"/>
        </w:rPr>
        <w:tab/>
        <w:t>(a)</w:t>
      </w:r>
      <w:r w:rsidRPr="00227FE0">
        <w:rPr>
          <w:color w:val="000000"/>
        </w:rPr>
        <w:tab/>
      </w:r>
      <w:proofErr w:type="gramStart"/>
      <w:r w:rsidRPr="00227FE0">
        <w:rPr>
          <w:color w:val="000000"/>
        </w:rPr>
        <w:t>the</w:t>
      </w:r>
      <w:proofErr w:type="gramEnd"/>
      <w:r w:rsidRPr="00227FE0">
        <w:rPr>
          <w:color w:val="000000"/>
        </w:rPr>
        <w:t xml:space="preserve"> external surface of the packaging used for the device; and</w:t>
      </w:r>
    </w:p>
    <w:p w:rsidR="00E305A5" w:rsidRPr="00227FE0" w:rsidRDefault="00E305A5" w:rsidP="00227FE0">
      <w:pPr>
        <w:pStyle w:val="P1"/>
        <w:rPr>
          <w:color w:val="000000"/>
        </w:rPr>
      </w:pPr>
      <w:r w:rsidRPr="00227FE0">
        <w:rPr>
          <w:color w:val="000000"/>
        </w:rPr>
        <w:tab/>
        <w:t>(b)</w:t>
      </w:r>
      <w:r w:rsidRPr="00227FE0">
        <w:rPr>
          <w:color w:val="000000"/>
        </w:rPr>
        <w:tab/>
      </w:r>
      <w:proofErr w:type="gramStart"/>
      <w:r w:rsidRPr="00227FE0">
        <w:rPr>
          <w:color w:val="000000"/>
        </w:rPr>
        <w:t>the</w:t>
      </w:r>
      <w:proofErr w:type="gramEnd"/>
      <w:r w:rsidRPr="00227FE0">
        <w:rPr>
          <w:color w:val="000000"/>
        </w:rPr>
        <w:t xml:space="preserve"> documentation (including any warranty or guarantee certificates) that accompanies the device when it is </w:t>
      </w:r>
      <w:r w:rsidR="004D09F2" w:rsidRPr="00227FE0">
        <w:rPr>
          <w:color w:val="000000"/>
        </w:rPr>
        <w:t>offered for supply</w:t>
      </w:r>
      <w:r w:rsidRPr="00227FE0">
        <w:rPr>
          <w:color w:val="000000"/>
        </w:rPr>
        <w:t>.</w:t>
      </w:r>
    </w:p>
    <w:p w:rsidR="00E305A5" w:rsidRPr="00227FE0" w:rsidRDefault="00E305A5" w:rsidP="00227FE0">
      <w:pPr>
        <w:pStyle w:val="R1"/>
        <w:keepLines w:val="0"/>
        <w:rPr>
          <w:color w:val="000000"/>
        </w:rPr>
      </w:pPr>
      <w:r w:rsidRPr="00227FE0">
        <w:rPr>
          <w:color w:val="000000"/>
        </w:rPr>
        <w:tab/>
        <w:t>(2)</w:t>
      </w:r>
      <w:r w:rsidRPr="00227FE0">
        <w:rPr>
          <w:color w:val="000000"/>
        </w:rPr>
        <w:tab/>
        <w:t>The compliance label applied to the external surface of the packaging used for the device must:</w:t>
      </w:r>
    </w:p>
    <w:p w:rsidR="00E305A5" w:rsidRPr="00227FE0" w:rsidRDefault="00E305A5" w:rsidP="00227FE0">
      <w:pPr>
        <w:pStyle w:val="P1"/>
        <w:rPr>
          <w:color w:val="000000"/>
        </w:rPr>
      </w:pPr>
      <w:r w:rsidRPr="00227FE0">
        <w:rPr>
          <w:color w:val="000000"/>
        </w:rPr>
        <w:tab/>
        <w:t>(a)</w:t>
      </w:r>
      <w:r w:rsidRPr="00227FE0">
        <w:rPr>
          <w:color w:val="000000"/>
        </w:rPr>
        <w:tab/>
      </w:r>
      <w:proofErr w:type="gramStart"/>
      <w:r w:rsidRPr="00227FE0">
        <w:rPr>
          <w:color w:val="000000"/>
        </w:rPr>
        <w:t>occupy</w:t>
      </w:r>
      <w:proofErr w:type="gramEnd"/>
      <w:r w:rsidRPr="00227FE0">
        <w:rPr>
          <w:color w:val="000000"/>
        </w:rPr>
        <w:t xml:space="preserve"> an area that is greater than 1% of that external surface; and</w:t>
      </w:r>
    </w:p>
    <w:p w:rsidR="00E305A5" w:rsidRPr="00227FE0" w:rsidRDefault="00E305A5" w:rsidP="00227FE0">
      <w:pPr>
        <w:pStyle w:val="P1"/>
        <w:rPr>
          <w:color w:val="000000"/>
        </w:rPr>
      </w:pPr>
      <w:r w:rsidRPr="00227FE0">
        <w:rPr>
          <w:color w:val="000000"/>
        </w:rPr>
        <w:tab/>
        <w:t>(b)</w:t>
      </w:r>
      <w:r w:rsidRPr="00227FE0">
        <w:rPr>
          <w:color w:val="000000"/>
        </w:rPr>
        <w:tab/>
      </w:r>
      <w:proofErr w:type="gramStart"/>
      <w:r w:rsidRPr="00227FE0">
        <w:rPr>
          <w:color w:val="000000"/>
        </w:rPr>
        <w:t>be</w:t>
      </w:r>
      <w:proofErr w:type="gramEnd"/>
      <w:r w:rsidRPr="00227FE0">
        <w:rPr>
          <w:color w:val="000000"/>
        </w:rPr>
        <w:t xml:space="preserve"> clearly visible.</w:t>
      </w:r>
    </w:p>
    <w:p w:rsidR="00E305A5" w:rsidRPr="00227FE0" w:rsidRDefault="00E305A5" w:rsidP="00227FE0">
      <w:pPr>
        <w:pStyle w:val="R1"/>
        <w:keepLines w:val="0"/>
        <w:rPr>
          <w:color w:val="000000"/>
        </w:rPr>
      </w:pPr>
      <w:r w:rsidRPr="00227FE0">
        <w:rPr>
          <w:color w:val="000000"/>
        </w:rPr>
        <w:tab/>
        <w:t>(3)</w:t>
      </w:r>
      <w:r w:rsidRPr="00227FE0">
        <w:rPr>
          <w:color w:val="000000"/>
        </w:rPr>
        <w:tab/>
        <w:t>The supplier must make and keep a record of:</w:t>
      </w:r>
    </w:p>
    <w:p w:rsidR="00E305A5" w:rsidRPr="00227FE0" w:rsidRDefault="00E305A5" w:rsidP="00227FE0">
      <w:pPr>
        <w:pStyle w:val="P1"/>
        <w:rPr>
          <w:color w:val="000000"/>
        </w:rPr>
      </w:pPr>
      <w:r w:rsidRPr="00227FE0">
        <w:rPr>
          <w:color w:val="000000"/>
        </w:rPr>
        <w:tab/>
        <w:t>(a)</w:t>
      </w:r>
      <w:r w:rsidRPr="00227FE0">
        <w:rPr>
          <w:color w:val="000000"/>
        </w:rPr>
        <w:tab/>
      </w:r>
      <w:proofErr w:type="gramStart"/>
      <w:r w:rsidRPr="00227FE0">
        <w:rPr>
          <w:color w:val="000000"/>
        </w:rPr>
        <w:t>the</w:t>
      </w:r>
      <w:proofErr w:type="gramEnd"/>
      <w:r w:rsidRPr="00227FE0">
        <w:rPr>
          <w:color w:val="000000"/>
        </w:rPr>
        <w:t xml:space="preserve"> reasons why </w:t>
      </w:r>
      <w:r w:rsidR="00D87EF9" w:rsidRPr="00227FE0">
        <w:rPr>
          <w:color w:val="000000"/>
        </w:rPr>
        <w:t>subsection (</w:t>
      </w:r>
      <w:r w:rsidRPr="00227FE0">
        <w:rPr>
          <w:color w:val="000000"/>
        </w:rPr>
        <w:t>1) applies to the device; and</w:t>
      </w:r>
    </w:p>
    <w:p w:rsidR="00E305A5" w:rsidRPr="00227FE0" w:rsidRDefault="00E305A5" w:rsidP="00227FE0">
      <w:pPr>
        <w:pStyle w:val="P1"/>
        <w:rPr>
          <w:color w:val="000000"/>
        </w:rPr>
      </w:pPr>
      <w:r w:rsidRPr="00227FE0">
        <w:rPr>
          <w:color w:val="000000"/>
        </w:rPr>
        <w:tab/>
        <w:t>(b)</w:t>
      </w:r>
      <w:r w:rsidRPr="00227FE0">
        <w:rPr>
          <w:color w:val="000000"/>
        </w:rPr>
        <w:tab/>
      </w:r>
      <w:proofErr w:type="gramStart"/>
      <w:r w:rsidRPr="00227FE0">
        <w:rPr>
          <w:color w:val="000000"/>
        </w:rPr>
        <w:t>where</w:t>
      </w:r>
      <w:proofErr w:type="gramEnd"/>
      <w:r w:rsidRPr="00227FE0">
        <w:rPr>
          <w:color w:val="000000"/>
        </w:rPr>
        <w:t xml:space="preserve"> each compliance label is applied.</w:t>
      </w:r>
    </w:p>
    <w:p w:rsidR="00E305A5" w:rsidRPr="007A4EA0" w:rsidRDefault="00E305A5" w:rsidP="007A4EA0">
      <w:pPr>
        <w:pStyle w:val="HR"/>
        <w:rPr>
          <w:rStyle w:val="CharSectno"/>
        </w:rPr>
      </w:pPr>
      <w:bookmarkStart w:id="37" w:name="_Toc350862650"/>
      <w:r w:rsidRPr="00D87EF9">
        <w:rPr>
          <w:rStyle w:val="CharSectno"/>
        </w:rPr>
        <w:t>19D</w:t>
      </w:r>
      <w:r w:rsidR="001728F5" w:rsidRPr="007A4EA0">
        <w:rPr>
          <w:rStyle w:val="CharSectno"/>
        </w:rPr>
        <w:t xml:space="preserve">  </w:t>
      </w:r>
      <w:r w:rsidR="007A4EA0">
        <w:rPr>
          <w:rStyle w:val="CharSectno"/>
        </w:rPr>
        <w:tab/>
      </w:r>
      <w:r w:rsidRPr="007A4EA0">
        <w:rPr>
          <w:rStyle w:val="CharSectno"/>
        </w:rPr>
        <w:t>Electronic labelling</w:t>
      </w:r>
      <w:bookmarkEnd w:id="37"/>
    </w:p>
    <w:p w:rsidR="00E305A5" w:rsidRPr="00227FE0" w:rsidRDefault="00E305A5" w:rsidP="00227FE0">
      <w:pPr>
        <w:pStyle w:val="R1"/>
        <w:keepLines w:val="0"/>
        <w:rPr>
          <w:color w:val="000000"/>
        </w:rPr>
      </w:pPr>
      <w:r w:rsidRPr="00227FE0">
        <w:rPr>
          <w:color w:val="000000"/>
        </w:rPr>
        <w:tab/>
        <w:t>(1)</w:t>
      </w:r>
      <w:r w:rsidRPr="00227FE0">
        <w:rPr>
          <w:color w:val="000000"/>
        </w:rPr>
        <w:tab/>
        <w:t>A supplier may apply a compliance label to a device using the built</w:t>
      </w:r>
      <w:r w:rsidR="00D87EF9" w:rsidRPr="00227FE0">
        <w:rPr>
          <w:color w:val="000000"/>
        </w:rPr>
        <w:noBreakHyphen/>
      </w:r>
      <w:r w:rsidRPr="00227FE0">
        <w:rPr>
          <w:color w:val="000000"/>
        </w:rPr>
        <w:t>in display of the device.</w:t>
      </w:r>
    </w:p>
    <w:p w:rsidR="00E305A5" w:rsidRPr="00227FE0" w:rsidRDefault="00E305A5" w:rsidP="00227FE0">
      <w:pPr>
        <w:pStyle w:val="R1"/>
        <w:keepLines w:val="0"/>
        <w:rPr>
          <w:color w:val="000000"/>
        </w:rPr>
      </w:pPr>
      <w:r w:rsidRPr="00227FE0">
        <w:rPr>
          <w:color w:val="000000"/>
        </w:rPr>
        <w:lastRenderedPageBreak/>
        <w:tab/>
        <w:t>(2)</w:t>
      </w:r>
      <w:r w:rsidRPr="00227FE0">
        <w:rPr>
          <w:color w:val="000000"/>
        </w:rPr>
        <w:tab/>
        <w:t xml:space="preserve">The supplier must ensure that the documentation that accompanies the device when it is </w:t>
      </w:r>
      <w:r w:rsidR="004D09F2" w:rsidRPr="00227FE0">
        <w:rPr>
          <w:color w:val="000000"/>
        </w:rPr>
        <w:t>offered for supply</w:t>
      </w:r>
      <w:r w:rsidRPr="00227FE0">
        <w:rPr>
          <w:color w:val="000000"/>
        </w:rPr>
        <w:t xml:space="preserve"> sets out a method for displaying the compliance label.</w:t>
      </w:r>
    </w:p>
    <w:p w:rsidR="00E305A5" w:rsidRPr="00227FE0" w:rsidRDefault="00E305A5" w:rsidP="00227FE0">
      <w:pPr>
        <w:pStyle w:val="R1"/>
        <w:keepLines w:val="0"/>
        <w:rPr>
          <w:color w:val="000000"/>
        </w:rPr>
      </w:pPr>
      <w:r w:rsidRPr="00227FE0">
        <w:rPr>
          <w:color w:val="000000"/>
        </w:rPr>
        <w:tab/>
        <w:t>(3)</w:t>
      </w:r>
      <w:r w:rsidRPr="00227FE0">
        <w:rPr>
          <w:color w:val="000000"/>
        </w:rPr>
        <w:tab/>
        <w:t>The compliance label must be applied to the device in a way that would make it difficult to prevent the display of the label when the method set out in the documentation is used.</w:t>
      </w:r>
    </w:p>
    <w:p w:rsidR="008450D9" w:rsidRPr="00227FE0" w:rsidRDefault="00E305A5" w:rsidP="00227FE0">
      <w:pPr>
        <w:pStyle w:val="R1"/>
        <w:keepLines w:val="0"/>
        <w:rPr>
          <w:color w:val="000000"/>
        </w:rPr>
      </w:pPr>
      <w:r w:rsidRPr="00227FE0">
        <w:rPr>
          <w:color w:val="000000"/>
        </w:rPr>
        <w:tab/>
        <w:t>(4)</w:t>
      </w:r>
      <w:r w:rsidRPr="00227FE0">
        <w:rPr>
          <w:color w:val="000000"/>
        </w:rPr>
        <w:tab/>
      </w:r>
      <w:r w:rsidR="0079039B" w:rsidRPr="00227FE0">
        <w:rPr>
          <w:color w:val="000000"/>
        </w:rPr>
        <w:t>Subsection</w:t>
      </w:r>
      <w:r w:rsidR="00D87EF9" w:rsidRPr="00227FE0">
        <w:rPr>
          <w:color w:val="000000"/>
        </w:rPr>
        <w:t> </w:t>
      </w:r>
      <w:r w:rsidR="0079039B" w:rsidRPr="00227FE0">
        <w:rPr>
          <w:color w:val="000000"/>
        </w:rPr>
        <w:t>19(3)</w:t>
      </w:r>
      <w:r w:rsidRPr="00227FE0">
        <w:rPr>
          <w:color w:val="000000"/>
        </w:rPr>
        <w:t xml:space="preserve"> and sections</w:t>
      </w:r>
      <w:r w:rsidR="00D87EF9" w:rsidRPr="00227FE0">
        <w:rPr>
          <w:color w:val="000000"/>
        </w:rPr>
        <w:t> </w:t>
      </w:r>
      <w:r w:rsidRPr="00227FE0">
        <w:rPr>
          <w:color w:val="000000"/>
        </w:rPr>
        <w:t>19A and 19C do not apply to a label applied under this section.</w:t>
      </w:r>
      <w:r w:rsidR="00191927" w:rsidRPr="00227FE0">
        <w:rPr>
          <w:color w:val="000000"/>
        </w:rPr>
        <w:t xml:space="preserve"> </w:t>
      </w:r>
      <w:bookmarkStart w:id="38" w:name="_Toc350862651"/>
    </w:p>
    <w:p w:rsidR="0035109E" w:rsidRPr="007A4EA0" w:rsidRDefault="001728F5" w:rsidP="007A4EA0">
      <w:pPr>
        <w:pStyle w:val="ActHead2"/>
        <w:rPr>
          <w:rStyle w:val="CharPartNo"/>
          <w:rFonts w:ascii="Arial" w:hAnsi="Arial" w:cs="Arial"/>
        </w:rPr>
      </w:pPr>
      <w:r w:rsidRPr="007A4EA0">
        <w:rPr>
          <w:rStyle w:val="CharPartNo"/>
          <w:rFonts w:ascii="Arial" w:hAnsi="Arial" w:cs="Arial"/>
        </w:rPr>
        <w:t>Part</w:t>
      </w:r>
      <w:r w:rsidR="00D87EF9" w:rsidRPr="007A4EA0">
        <w:rPr>
          <w:rStyle w:val="CharPartNo"/>
          <w:rFonts w:ascii="Arial" w:hAnsi="Arial" w:cs="Arial"/>
        </w:rPr>
        <w:t> </w:t>
      </w:r>
      <w:r w:rsidR="0035109E" w:rsidRPr="007A4EA0">
        <w:rPr>
          <w:rStyle w:val="CharPartNo"/>
          <w:rFonts w:ascii="Arial" w:hAnsi="Arial" w:cs="Arial"/>
        </w:rPr>
        <w:t>4</w:t>
      </w:r>
      <w:r w:rsidRPr="007A4EA0">
        <w:rPr>
          <w:rStyle w:val="CharPartNo"/>
          <w:rFonts w:ascii="Arial" w:hAnsi="Arial" w:cs="Arial"/>
        </w:rPr>
        <w:t>—</w:t>
      </w:r>
      <w:r w:rsidR="0035109E" w:rsidRPr="007A4EA0">
        <w:rPr>
          <w:rStyle w:val="CharPartNo"/>
          <w:rFonts w:ascii="Arial" w:hAnsi="Arial" w:cs="Arial"/>
        </w:rPr>
        <w:t>Requirements to be met after labels applied</w:t>
      </w:r>
      <w:bookmarkEnd w:id="38"/>
    </w:p>
    <w:p w:rsidR="0035109E" w:rsidRPr="007A4EA0" w:rsidRDefault="001728F5" w:rsidP="001728F5">
      <w:pPr>
        <w:pStyle w:val="ActHead3"/>
        <w:rPr>
          <w:rStyle w:val="CharDivNo"/>
          <w:rFonts w:ascii="Arial" w:hAnsi="Arial" w:cs="Arial"/>
        </w:rPr>
      </w:pPr>
      <w:bookmarkStart w:id="39" w:name="_Toc350862652"/>
      <w:r w:rsidRPr="007A4EA0">
        <w:rPr>
          <w:rStyle w:val="CharDivNo"/>
          <w:rFonts w:ascii="Arial" w:hAnsi="Arial" w:cs="Arial"/>
        </w:rPr>
        <w:t>Division</w:t>
      </w:r>
      <w:r w:rsidR="00D87EF9" w:rsidRPr="007A4EA0">
        <w:rPr>
          <w:rStyle w:val="CharDivNo"/>
          <w:rFonts w:ascii="Arial" w:hAnsi="Arial" w:cs="Arial"/>
        </w:rPr>
        <w:t> </w:t>
      </w:r>
      <w:r w:rsidR="0035109E" w:rsidRPr="007A4EA0">
        <w:rPr>
          <w:rStyle w:val="CharDivNo"/>
          <w:rFonts w:ascii="Arial" w:hAnsi="Arial" w:cs="Arial"/>
        </w:rPr>
        <w:t>4.1</w:t>
      </w:r>
      <w:r w:rsidRPr="007A4EA0">
        <w:rPr>
          <w:rStyle w:val="CharDivNo"/>
          <w:rFonts w:ascii="Arial" w:hAnsi="Arial" w:cs="Arial"/>
        </w:rPr>
        <w:t>—</w:t>
      </w:r>
      <w:r w:rsidR="0035109E" w:rsidRPr="007A4EA0">
        <w:rPr>
          <w:rStyle w:val="CharDivNo"/>
          <w:rFonts w:ascii="Arial" w:hAnsi="Arial" w:cs="Arial"/>
        </w:rPr>
        <w:t>Keeping of records</w:t>
      </w:r>
      <w:bookmarkEnd w:id="39"/>
    </w:p>
    <w:p w:rsidR="0035109E" w:rsidRPr="007A4EA0" w:rsidRDefault="0035109E" w:rsidP="007A4EA0">
      <w:pPr>
        <w:pStyle w:val="HR"/>
        <w:rPr>
          <w:rStyle w:val="CharSectno"/>
        </w:rPr>
      </w:pPr>
      <w:bookmarkStart w:id="40" w:name="_Toc350862653"/>
      <w:r w:rsidRPr="00D87EF9">
        <w:rPr>
          <w:rStyle w:val="CharSectno"/>
        </w:rPr>
        <w:t>20</w:t>
      </w:r>
      <w:r w:rsidR="001728F5" w:rsidRPr="007A4EA0">
        <w:rPr>
          <w:rStyle w:val="CharSectno"/>
        </w:rPr>
        <w:t xml:space="preserve">  </w:t>
      </w:r>
      <w:r w:rsidR="007A4EA0">
        <w:rPr>
          <w:rStyle w:val="CharSectno"/>
        </w:rPr>
        <w:tab/>
      </w:r>
      <w:r w:rsidRPr="007A4EA0">
        <w:rPr>
          <w:rStyle w:val="CharSectno"/>
        </w:rPr>
        <w:t>Compliance records</w:t>
      </w:r>
      <w:bookmarkEnd w:id="40"/>
    </w:p>
    <w:p w:rsidR="0035109E" w:rsidRPr="00D87EF9" w:rsidRDefault="0035109E" w:rsidP="00227FE0">
      <w:pPr>
        <w:pStyle w:val="R1"/>
        <w:keepLines w:val="0"/>
        <w:ind w:left="993" w:hanging="517"/>
      </w:pPr>
      <w:r w:rsidRPr="00D87EF9">
        <w:tab/>
      </w:r>
      <w:r w:rsidRPr="00D87EF9">
        <w:tab/>
        <w:t xml:space="preserve">A </w:t>
      </w:r>
      <w:r w:rsidRPr="00227FE0">
        <w:rPr>
          <w:b/>
          <w:i/>
        </w:rPr>
        <w:t>compliance record</w:t>
      </w:r>
      <w:r w:rsidRPr="00D87EF9">
        <w:t xml:space="preserve"> is a record that must be kept under section</w:t>
      </w:r>
      <w:r w:rsidR="00D87EF9" w:rsidRPr="00D87EF9">
        <w:t> </w:t>
      </w:r>
      <w:r w:rsidRPr="00D87EF9">
        <w:t>21.</w:t>
      </w:r>
    </w:p>
    <w:p w:rsidR="0035109E" w:rsidRPr="007A4EA0" w:rsidRDefault="0035109E" w:rsidP="007A4EA0">
      <w:pPr>
        <w:pStyle w:val="HR"/>
        <w:rPr>
          <w:rStyle w:val="CharSectno"/>
        </w:rPr>
      </w:pPr>
      <w:bookmarkStart w:id="41" w:name="_Toc350862654"/>
      <w:r w:rsidRPr="00D87EF9">
        <w:rPr>
          <w:rStyle w:val="CharSectno"/>
        </w:rPr>
        <w:t>21</w:t>
      </w:r>
      <w:r w:rsidR="001728F5" w:rsidRPr="007A4EA0">
        <w:rPr>
          <w:rStyle w:val="CharSectno"/>
        </w:rPr>
        <w:t xml:space="preserve">  </w:t>
      </w:r>
      <w:r w:rsidR="007A4EA0">
        <w:rPr>
          <w:rStyle w:val="CharSectno"/>
        </w:rPr>
        <w:tab/>
      </w:r>
      <w:r w:rsidRPr="007A4EA0">
        <w:rPr>
          <w:rStyle w:val="CharSectno"/>
        </w:rPr>
        <w:t>Keeping of records</w:t>
      </w:r>
      <w:r w:rsidR="001728F5" w:rsidRPr="007A4EA0">
        <w:rPr>
          <w:rStyle w:val="CharSectno"/>
        </w:rPr>
        <w:t>—</w:t>
      </w:r>
      <w:r w:rsidRPr="007A4EA0">
        <w:rPr>
          <w:rStyle w:val="CharSectno"/>
        </w:rPr>
        <w:t>general requirements</w:t>
      </w:r>
      <w:bookmarkEnd w:id="41"/>
    </w:p>
    <w:p w:rsidR="0035109E" w:rsidRPr="00227FE0" w:rsidRDefault="0035109E" w:rsidP="00227FE0">
      <w:pPr>
        <w:pStyle w:val="R1"/>
        <w:keepLines w:val="0"/>
        <w:rPr>
          <w:color w:val="000000"/>
        </w:rPr>
      </w:pPr>
      <w:r w:rsidRPr="00227FE0">
        <w:rPr>
          <w:color w:val="000000"/>
        </w:rPr>
        <w:tab/>
        <w:t>(1)</w:t>
      </w:r>
      <w:r w:rsidRPr="00227FE0">
        <w:rPr>
          <w:color w:val="000000"/>
        </w:rPr>
        <w:tab/>
        <w:t>If a supplier of a device applies a label to the device as a compliance label, the supplier must keep, for 5</w:t>
      </w:r>
      <w:r w:rsidR="004370B9" w:rsidRPr="00227FE0">
        <w:rPr>
          <w:color w:val="000000"/>
        </w:rPr>
        <w:t xml:space="preserve"> </w:t>
      </w:r>
      <w:r w:rsidRPr="00227FE0">
        <w:rPr>
          <w:color w:val="000000"/>
        </w:rPr>
        <w:t>years after the device has ceased to be supplied in Australia:</w:t>
      </w:r>
    </w:p>
    <w:p w:rsidR="0035109E" w:rsidRPr="00227FE0" w:rsidRDefault="0035109E" w:rsidP="00227FE0">
      <w:pPr>
        <w:pStyle w:val="P1"/>
        <w:rPr>
          <w:color w:val="000000"/>
        </w:rPr>
      </w:pPr>
      <w:r w:rsidRPr="00227FE0">
        <w:rPr>
          <w:color w:val="000000"/>
        </w:rPr>
        <w:tab/>
        <w:t>(a)</w:t>
      </w:r>
      <w:r w:rsidRPr="00227FE0">
        <w:rPr>
          <w:color w:val="000000"/>
        </w:rPr>
        <w:tab/>
      </w:r>
      <w:proofErr w:type="gramStart"/>
      <w:r w:rsidRPr="00227FE0">
        <w:rPr>
          <w:color w:val="000000"/>
        </w:rPr>
        <w:t>the</w:t>
      </w:r>
      <w:proofErr w:type="gramEnd"/>
      <w:r w:rsidRPr="00227FE0">
        <w:rPr>
          <w:color w:val="000000"/>
        </w:rPr>
        <w:t xml:space="preserve"> declaration of conformity relating to the device; and</w:t>
      </w:r>
    </w:p>
    <w:p w:rsidR="0035109E" w:rsidRPr="00227FE0" w:rsidRDefault="0035109E" w:rsidP="00227FE0">
      <w:pPr>
        <w:pStyle w:val="P1"/>
        <w:rPr>
          <w:color w:val="000000"/>
        </w:rPr>
      </w:pPr>
      <w:r w:rsidRPr="00227FE0">
        <w:rPr>
          <w:color w:val="000000"/>
        </w:rPr>
        <w:tab/>
        <w:t>(b)</w:t>
      </w:r>
      <w:r w:rsidRPr="00227FE0">
        <w:rPr>
          <w:color w:val="000000"/>
        </w:rPr>
        <w:tab/>
      </w:r>
      <w:proofErr w:type="gramStart"/>
      <w:r w:rsidRPr="00227FE0">
        <w:rPr>
          <w:color w:val="000000"/>
        </w:rPr>
        <w:t>the</w:t>
      </w:r>
      <w:proofErr w:type="gramEnd"/>
      <w:r w:rsidRPr="00227FE0">
        <w:rPr>
          <w:color w:val="000000"/>
        </w:rPr>
        <w:t xml:space="preserve"> description of the device; and</w:t>
      </w:r>
    </w:p>
    <w:p w:rsidR="0035109E" w:rsidRPr="00227FE0" w:rsidRDefault="0035109E" w:rsidP="00227FE0">
      <w:pPr>
        <w:pStyle w:val="P1"/>
        <w:rPr>
          <w:color w:val="000000"/>
        </w:rPr>
      </w:pPr>
      <w:r w:rsidRPr="00227FE0">
        <w:rPr>
          <w:color w:val="000000"/>
        </w:rPr>
        <w:tab/>
        <w:t>(c)</w:t>
      </w:r>
      <w:r w:rsidRPr="00227FE0">
        <w:rPr>
          <w:color w:val="000000"/>
        </w:rPr>
        <w:tab/>
      </w:r>
      <w:proofErr w:type="gramStart"/>
      <w:r w:rsidRPr="00227FE0">
        <w:rPr>
          <w:color w:val="000000"/>
        </w:rPr>
        <w:t>for</w:t>
      </w:r>
      <w:proofErr w:type="gramEnd"/>
      <w:r w:rsidRPr="00227FE0">
        <w:rPr>
          <w:color w:val="000000"/>
        </w:rPr>
        <w:t xml:space="preserve"> a category B device</w:t>
      </w:r>
      <w:r w:rsidR="001728F5" w:rsidRPr="00227FE0">
        <w:rPr>
          <w:color w:val="000000"/>
        </w:rPr>
        <w:t>—</w:t>
      </w:r>
      <w:r w:rsidRPr="00227FE0">
        <w:rPr>
          <w:color w:val="000000"/>
        </w:rPr>
        <w:t>the records mentioned in section</w:t>
      </w:r>
      <w:r w:rsidR="00D87EF9" w:rsidRPr="00227FE0">
        <w:rPr>
          <w:color w:val="000000"/>
        </w:rPr>
        <w:t> </w:t>
      </w:r>
      <w:r w:rsidRPr="00227FE0">
        <w:rPr>
          <w:color w:val="000000"/>
        </w:rPr>
        <w:t>22; and</w:t>
      </w:r>
    </w:p>
    <w:p w:rsidR="00E305A5" w:rsidRPr="00227FE0" w:rsidRDefault="00E305A5" w:rsidP="00227FE0">
      <w:pPr>
        <w:pStyle w:val="P1"/>
        <w:rPr>
          <w:color w:val="000000"/>
        </w:rPr>
      </w:pPr>
      <w:r w:rsidRPr="00227FE0">
        <w:rPr>
          <w:color w:val="000000"/>
        </w:rPr>
        <w:tab/>
        <w:t>(d)</w:t>
      </w:r>
      <w:r w:rsidRPr="00227FE0">
        <w:rPr>
          <w:color w:val="000000"/>
        </w:rPr>
        <w:tab/>
      </w:r>
      <w:proofErr w:type="gramStart"/>
      <w:r w:rsidRPr="00227FE0">
        <w:rPr>
          <w:color w:val="000000"/>
        </w:rPr>
        <w:t>for</w:t>
      </w:r>
      <w:proofErr w:type="gramEnd"/>
      <w:r w:rsidRPr="00227FE0">
        <w:rPr>
          <w:color w:val="000000"/>
        </w:rPr>
        <w:t xml:space="preserve"> a device to which a compliance label is not applied because of section</w:t>
      </w:r>
      <w:r w:rsidR="00D87EF9" w:rsidRPr="00227FE0">
        <w:rPr>
          <w:color w:val="000000"/>
        </w:rPr>
        <w:t> </w:t>
      </w:r>
      <w:r w:rsidRPr="00227FE0">
        <w:rPr>
          <w:color w:val="000000"/>
        </w:rPr>
        <w:t>19C</w:t>
      </w:r>
      <w:r w:rsidR="001728F5" w:rsidRPr="00227FE0">
        <w:rPr>
          <w:color w:val="000000"/>
        </w:rPr>
        <w:t>—</w:t>
      </w:r>
      <w:r w:rsidRPr="00227FE0">
        <w:rPr>
          <w:color w:val="000000"/>
        </w:rPr>
        <w:t>the records mentioned in subsection</w:t>
      </w:r>
      <w:r w:rsidR="00D87EF9" w:rsidRPr="00227FE0">
        <w:rPr>
          <w:color w:val="000000"/>
        </w:rPr>
        <w:t> </w:t>
      </w:r>
      <w:r w:rsidRPr="00227FE0">
        <w:rPr>
          <w:color w:val="000000"/>
        </w:rPr>
        <w:t>19C(3).</w:t>
      </w:r>
    </w:p>
    <w:p w:rsidR="0035109E" w:rsidRPr="00227FE0" w:rsidRDefault="0035109E" w:rsidP="00227FE0">
      <w:pPr>
        <w:pStyle w:val="R1"/>
        <w:keepLines w:val="0"/>
        <w:rPr>
          <w:color w:val="000000"/>
        </w:rPr>
      </w:pPr>
      <w:r w:rsidRPr="00D87EF9">
        <w:rPr>
          <w:color w:val="000000"/>
        </w:rPr>
        <w:tab/>
        <w:t>(2)</w:t>
      </w:r>
      <w:r w:rsidRPr="00D87EF9">
        <w:rPr>
          <w:color w:val="000000"/>
        </w:rPr>
        <w:tab/>
        <w:t xml:space="preserve">If an agent of a manufacturer or importer keeps records for the manufacturer or importer that must be kept under </w:t>
      </w:r>
      <w:r w:rsidR="00D87EF9" w:rsidRPr="00D87EF9">
        <w:rPr>
          <w:color w:val="000000"/>
        </w:rPr>
        <w:t>subsection (</w:t>
      </w:r>
      <w:r w:rsidRPr="00D87EF9">
        <w:rPr>
          <w:color w:val="000000"/>
        </w:rPr>
        <w:t>1), the agent must also keep a copy of its agency agreement with the manufacturer or importer for the same period as those records are kept.</w:t>
      </w:r>
    </w:p>
    <w:p w:rsidR="0035109E" w:rsidRPr="00227FE0" w:rsidRDefault="0035109E" w:rsidP="00227FE0">
      <w:pPr>
        <w:pStyle w:val="R1"/>
        <w:keepLines w:val="0"/>
        <w:rPr>
          <w:color w:val="000000"/>
        </w:rPr>
      </w:pPr>
      <w:r w:rsidRPr="00227FE0">
        <w:rPr>
          <w:color w:val="000000"/>
        </w:rPr>
        <w:tab/>
        <w:t>(3)</w:t>
      </w:r>
      <w:r w:rsidRPr="00227FE0">
        <w:rPr>
          <w:color w:val="000000"/>
        </w:rPr>
        <w:tab/>
        <w:t>A compliance record:</w:t>
      </w:r>
    </w:p>
    <w:p w:rsidR="0035109E" w:rsidRPr="00227FE0" w:rsidRDefault="0035109E" w:rsidP="00227FE0">
      <w:pPr>
        <w:pStyle w:val="P1"/>
        <w:rPr>
          <w:color w:val="000000"/>
        </w:rPr>
      </w:pPr>
      <w:r w:rsidRPr="00D87EF9">
        <w:rPr>
          <w:color w:val="000000"/>
        </w:rPr>
        <w:tab/>
        <w:t>(a)</w:t>
      </w:r>
      <w:r w:rsidRPr="00D87EF9">
        <w:rPr>
          <w:color w:val="000000"/>
        </w:rPr>
        <w:tab/>
      </w:r>
      <w:proofErr w:type="gramStart"/>
      <w:r w:rsidRPr="00D87EF9">
        <w:rPr>
          <w:color w:val="000000"/>
        </w:rPr>
        <w:t>must</w:t>
      </w:r>
      <w:proofErr w:type="gramEnd"/>
      <w:r w:rsidRPr="00D87EF9">
        <w:rPr>
          <w:color w:val="000000"/>
        </w:rPr>
        <w:t xml:space="preserve"> be in English; and</w:t>
      </w:r>
    </w:p>
    <w:p w:rsidR="0035109E" w:rsidRPr="00227FE0" w:rsidRDefault="0035109E" w:rsidP="00227FE0">
      <w:pPr>
        <w:pStyle w:val="P1"/>
        <w:rPr>
          <w:color w:val="000000"/>
        </w:rPr>
      </w:pPr>
      <w:r w:rsidRPr="00227FE0">
        <w:rPr>
          <w:color w:val="000000"/>
        </w:rPr>
        <w:tab/>
        <w:t>(b)</w:t>
      </w:r>
      <w:r w:rsidRPr="00227FE0">
        <w:rPr>
          <w:color w:val="000000"/>
        </w:rPr>
        <w:tab/>
      </w:r>
      <w:proofErr w:type="gramStart"/>
      <w:r w:rsidRPr="00227FE0">
        <w:rPr>
          <w:color w:val="000000"/>
        </w:rPr>
        <w:t>may</w:t>
      </w:r>
      <w:proofErr w:type="gramEnd"/>
      <w:r w:rsidRPr="00227FE0">
        <w:rPr>
          <w:color w:val="000000"/>
        </w:rPr>
        <w:t xml:space="preserve"> be a copy of an original record; and</w:t>
      </w:r>
    </w:p>
    <w:p w:rsidR="0035109E" w:rsidRPr="00227FE0" w:rsidRDefault="0035109E" w:rsidP="00227FE0">
      <w:pPr>
        <w:pStyle w:val="P1"/>
        <w:rPr>
          <w:color w:val="000000"/>
        </w:rPr>
      </w:pPr>
      <w:r w:rsidRPr="00227FE0">
        <w:rPr>
          <w:color w:val="000000"/>
        </w:rPr>
        <w:tab/>
        <w:t>(c)</w:t>
      </w:r>
      <w:r w:rsidRPr="00227FE0">
        <w:rPr>
          <w:color w:val="000000"/>
        </w:rPr>
        <w:tab/>
      </w:r>
      <w:proofErr w:type="gramStart"/>
      <w:r w:rsidRPr="00227FE0">
        <w:rPr>
          <w:color w:val="000000"/>
        </w:rPr>
        <w:t>may</w:t>
      </w:r>
      <w:proofErr w:type="gramEnd"/>
      <w:r w:rsidRPr="00227FE0">
        <w:rPr>
          <w:color w:val="000000"/>
        </w:rPr>
        <w:t xml:space="preserve"> be kept in electronic form.</w:t>
      </w:r>
    </w:p>
    <w:p w:rsidR="0035109E" w:rsidRPr="007A4EA0" w:rsidRDefault="0035109E" w:rsidP="007A4EA0">
      <w:pPr>
        <w:pStyle w:val="HR"/>
        <w:rPr>
          <w:rStyle w:val="CharSectno"/>
        </w:rPr>
      </w:pPr>
      <w:bookmarkStart w:id="42" w:name="_Toc350862655"/>
      <w:r w:rsidRPr="00D87EF9">
        <w:rPr>
          <w:rStyle w:val="CharSectno"/>
        </w:rPr>
        <w:t>22</w:t>
      </w:r>
      <w:r w:rsidR="001728F5" w:rsidRPr="007A4EA0">
        <w:rPr>
          <w:rStyle w:val="CharSectno"/>
        </w:rPr>
        <w:t xml:space="preserve">  </w:t>
      </w:r>
      <w:r w:rsidR="007A4EA0">
        <w:rPr>
          <w:rStyle w:val="CharSectno"/>
        </w:rPr>
        <w:tab/>
      </w:r>
      <w:r w:rsidRPr="007A4EA0">
        <w:rPr>
          <w:rStyle w:val="CharSectno"/>
        </w:rPr>
        <w:t>Records of testing for category B devices</w:t>
      </w:r>
      <w:bookmarkEnd w:id="42"/>
    </w:p>
    <w:p w:rsidR="0035109E" w:rsidRPr="00D87EF9" w:rsidRDefault="0035109E" w:rsidP="00227FE0">
      <w:pPr>
        <w:pStyle w:val="R1"/>
        <w:keepLines w:val="0"/>
        <w:ind w:left="993" w:hanging="517"/>
      </w:pPr>
      <w:r w:rsidRPr="00D87EF9">
        <w:tab/>
      </w:r>
      <w:r w:rsidRPr="00D87EF9">
        <w:tab/>
        <w:t>For paragraph</w:t>
      </w:r>
      <w:r w:rsidR="00D87EF9" w:rsidRPr="00D87EF9">
        <w:t> </w:t>
      </w:r>
      <w:r w:rsidRPr="00D87EF9">
        <w:t>21(1</w:t>
      </w:r>
      <w:proofErr w:type="gramStart"/>
      <w:r w:rsidR="001728F5" w:rsidRPr="00D87EF9">
        <w:t>)(</w:t>
      </w:r>
      <w:proofErr w:type="gramEnd"/>
      <w:r w:rsidRPr="00D87EF9">
        <w:t>c), the records are:</w:t>
      </w:r>
    </w:p>
    <w:p w:rsidR="0035109E" w:rsidRPr="00227FE0" w:rsidRDefault="0035109E" w:rsidP="00227FE0">
      <w:pPr>
        <w:pStyle w:val="P1"/>
        <w:rPr>
          <w:color w:val="000000"/>
        </w:rPr>
      </w:pPr>
      <w:r w:rsidRPr="00227FE0">
        <w:rPr>
          <w:color w:val="000000"/>
        </w:rPr>
        <w:tab/>
        <w:t>(a)</w:t>
      </w:r>
      <w:r w:rsidRPr="00227FE0">
        <w:rPr>
          <w:color w:val="000000"/>
        </w:rPr>
        <w:tab/>
      </w:r>
      <w:proofErr w:type="gramStart"/>
      <w:r w:rsidRPr="00227FE0">
        <w:rPr>
          <w:color w:val="000000"/>
        </w:rPr>
        <w:t>the</w:t>
      </w:r>
      <w:proofErr w:type="gramEnd"/>
      <w:r w:rsidRPr="00227FE0">
        <w:rPr>
          <w:color w:val="000000"/>
        </w:rPr>
        <w:t xml:space="preserve"> report issued under section</w:t>
      </w:r>
      <w:r w:rsidR="00D87EF9" w:rsidRPr="00227FE0">
        <w:rPr>
          <w:color w:val="000000"/>
        </w:rPr>
        <w:t> </w:t>
      </w:r>
      <w:r w:rsidRPr="00227FE0">
        <w:rPr>
          <w:color w:val="000000"/>
        </w:rPr>
        <w:t>16 showing that the device meets the applicable standard; and</w:t>
      </w:r>
    </w:p>
    <w:p w:rsidR="0035109E" w:rsidRPr="00227FE0" w:rsidRDefault="0035109E" w:rsidP="00D57982">
      <w:pPr>
        <w:pStyle w:val="P1"/>
        <w:keepNext/>
        <w:keepLines/>
        <w:rPr>
          <w:color w:val="000000"/>
        </w:rPr>
      </w:pPr>
      <w:r w:rsidRPr="00227FE0">
        <w:rPr>
          <w:color w:val="000000"/>
        </w:rPr>
        <w:tab/>
        <w:t>(b)</w:t>
      </w:r>
      <w:r w:rsidRPr="00227FE0">
        <w:rPr>
          <w:color w:val="000000"/>
        </w:rPr>
        <w:tab/>
      </w:r>
      <w:proofErr w:type="gramStart"/>
      <w:r w:rsidRPr="00227FE0">
        <w:rPr>
          <w:color w:val="000000"/>
        </w:rPr>
        <w:t>for</w:t>
      </w:r>
      <w:proofErr w:type="gramEnd"/>
      <w:r w:rsidRPr="00227FE0">
        <w:rPr>
          <w:color w:val="000000"/>
        </w:rPr>
        <w:t xml:space="preserve"> a variant</w:t>
      </w:r>
      <w:r w:rsidR="001728F5" w:rsidRPr="00227FE0">
        <w:rPr>
          <w:color w:val="000000"/>
        </w:rPr>
        <w:t>—</w:t>
      </w:r>
      <w:r w:rsidRPr="00227FE0">
        <w:rPr>
          <w:color w:val="000000"/>
        </w:rPr>
        <w:t>a statement by the supplier that:</w:t>
      </w:r>
    </w:p>
    <w:p w:rsidR="0035109E" w:rsidRPr="00322D64" w:rsidRDefault="0035109E" w:rsidP="00D57982">
      <w:pPr>
        <w:pStyle w:val="P2"/>
        <w:keepNext/>
        <w:keepLines/>
        <w:rPr>
          <w:color w:val="000000"/>
        </w:rPr>
      </w:pPr>
      <w:r w:rsidRPr="00322D64">
        <w:rPr>
          <w:color w:val="000000"/>
        </w:rPr>
        <w:tab/>
        <w:t>(</w:t>
      </w:r>
      <w:proofErr w:type="spellStart"/>
      <w:r w:rsidRPr="00322D64">
        <w:rPr>
          <w:color w:val="000000"/>
        </w:rPr>
        <w:t>i</w:t>
      </w:r>
      <w:proofErr w:type="spellEnd"/>
      <w:r w:rsidRPr="00322D64">
        <w:rPr>
          <w:color w:val="000000"/>
        </w:rPr>
        <w:t>)</w:t>
      </w:r>
      <w:r w:rsidRPr="00322D64">
        <w:rPr>
          <w:color w:val="000000"/>
        </w:rPr>
        <w:tab/>
      </w:r>
      <w:proofErr w:type="gramStart"/>
      <w:r w:rsidRPr="00322D64">
        <w:rPr>
          <w:color w:val="000000"/>
        </w:rPr>
        <w:t>identifies</w:t>
      </w:r>
      <w:proofErr w:type="gramEnd"/>
      <w:r w:rsidRPr="00322D64">
        <w:rPr>
          <w:color w:val="000000"/>
        </w:rPr>
        <w:t xml:space="preserve"> the device and its variant; and</w:t>
      </w:r>
    </w:p>
    <w:p w:rsidR="0035109E" w:rsidRPr="00322D64" w:rsidRDefault="0035109E" w:rsidP="00322D64">
      <w:pPr>
        <w:pStyle w:val="P2"/>
        <w:rPr>
          <w:color w:val="000000"/>
        </w:rPr>
      </w:pPr>
      <w:r w:rsidRPr="00322D64">
        <w:rPr>
          <w:color w:val="000000"/>
        </w:rPr>
        <w:tab/>
        <w:t>(ii)</w:t>
      </w:r>
      <w:r w:rsidRPr="00322D64">
        <w:rPr>
          <w:color w:val="000000"/>
        </w:rPr>
        <w:tab/>
      </w:r>
      <w:proofErr w:type="gramStart"/>
      <w:r w:rsidRPr="00322D64">
        <w:rPr>
          <w:color w:val="000000"/>
        </w:rPr>
        <w:t>describes</w:t>
      </w:r>
      <w:proofErr w:type="gramEnd"/>
      <w:r w:rsidRPr="00322D64">
        <w:rPr>
          <w:color w:val="000000"/>
        </w:rPr>
        <w:t xml:space="preserve"> the differences between the device and its variant; and</w:t>
      </w:r>
    </w:p>
    <w:p w:rsidR="0035109E" w:rsidRPr="00322D64" w:rsidRDefault="0035109E" w:rsidP="00322D64">
      <w:pPr>
        <w:pStyle w:val="P2"/>
        <w:rPr>
          <w:color w:val="000000"/>
        </w:rPr>
      </w:pPr>
      <w:r w:rsidRPr="00322D64">
        <w:rPr>
          <w:color w:val="000000"/>
        </w:rPr>
        <w:tab/>
        <w:t>(iii)</w:t>
      </w:r>
      <w:r w:rsidRPr="00322D64">
        <w:rPr>
          <w:color w:val="000000"/>
        </w:rPr>
        <w:tab/>
      </w:r>
      <w:proofErr w:type="gramStart"/>
      <w:r w:rsidRPr="00322D64">
        <w:rPr>
          <w:color w:val="000000"/>
        </w:rPr>
        <w:t>provides</w:t>
      </w:r>
      <w:proofErr w:type="gramEnd"/>
      <w:r w:rsidRPr="00322D64">
        <w:rPr>
          <w:color w:val="000000"/>
        </w:rPr>
        <w:t xml:space="preserve"> a technical rationale for the conformity of the variant; and</w:t>
      </w:r>
    </w:p>
    <w:p w:rsidR="0035109E" w:rsidRPr="00322D64" w:rsidRDefault="0035109E" w:rsidP="00322D64">
      <w:pPr>
        <w:pStyle w:val="P2"/>
        <w:rPr>
          <w:color w:val="000000"/>
        </w:rPr>
      </w:pPr>
      <w:r w:rsidRPr="00322D64">
        <w:rPr>
          <w:color w:val="000000"/>
        </w:rPr>
        <w:tab/>
        <w:t>(iv)</w:t>
      </w:r>
      <w:r w:rsidRPr="00322D64">
        <w:rPr>
          <w:color w:val="000000"/>
        </w:rPr>
        <w:tab/>
      </w:r>
      <w:proofErr w:type="gramStart"/>
      <w:r w:rsidRPr="00322D64">
        <w:rPr>
          <w:color w:val="000000"/>
        </w:rPr>
        <w:t>includes</w:t>
      </w:r>
      <w:proofErr w:type="gramEnd"/>
      <w:r w:rsidRPr="00322D64">
        <w:rPr>
          <w:color w:val="000000"/>
        </w:rPr>
        <w:t xml:space="preserve"> evidence that the electromagnetic radiation exposure in relation to the variant is not likely to exceed that of the device.</w:t>
      </w:r>
      <w:r w:rsidR="00116E13" w:rsidRPr="00322D64">
        <w:rPr>
          <w:color w:val="000000"/>
        </w:rPr>
        <w:t xml:space="preserve"> </w:t>
      </w:r>
    </w:p>
    <w:p w:rsidR="0035109E" w:rsidRPr="007A4EA0" w:rsidRDefault="001728F5" w:rsidP="007A4EA0">
      <w:pPr>
        <w:pStyle w:val="ActHead3"/>
        <w:rPr>
          <w:rStyle w:val="CharDivNo"/>
          <w:rFonts w:ascii="Arial" w:hAnsi="Arial" w:cs="Arial"/>
        </w:rPr>
      </w:pPr>
      <w:bookmarkStart w:id="43" w:name="_Toc350862656"/>
      <w:r w:rsidRPr="007A4EA0">
        <w:rPr>
          <w:rStyle w:val="CharDivNo"/>
          <w:rFonts w:ascii="Arial" w:hAnsi="Arial" w:cs="Arial"/>
        </w:rPr>
        <w:lastRenderedPageBreak/>
        <w:t>Division</w:t>
      </w:r>
      <w:r w:rsidR="00D87EF9" w:rsidRPr="007A4EA0">
        <w:rPr>
          <w:rStyle w:val="CharDivNo"/>
          <w:rFonts w:ascii="Arial" w:hAnsi="Arial" w:cs="Arial"/>
        </w:rPr>
        <w:t> </w:t>
      </w:r>
      <w:r w:rsidR="0035109E" w:rsidRPr="007A4EA0">
        <w:rPr>
          <w:rStyle w:val="CharDivNo"/>
          <w:rFonts w:ascii="Arial" w:hAnsi="Arial" w:cs="Arial"/>
        </w:rPr>
        <w:t>4.2</w:t>
      </w:r>
      <w:r w:rsidRPr="007A4EA0">
        <w:rPr>
          <w:rStyle w:val="CharDivNo"/>
          <w:rFonts w:ascii="Arial" w:hAnsi="Arial" w:cs="Arial"/>
        </w:rPr>
        <w:t>—</w:t>
      </w:r>
      <w:r w:rsidR="0035109E" w:rsidRPr="007A4EA0">
        <w:rPr>
          <w:rStyle w:val="CharDivNo"/>
          <w:rFonts w:ascii="Arial" w:hAnsi="Arial" w:cs="Arial"/>
        </w:rPr>
        <w:t>Availability of compliance records for inspection</w:t>
      </w:r>
      <w:bookmarkEnd w:id="43"/>
    </w:p>
    <w:p w:rsidR="0035109E" w:rsidRPr="007A4EA0" w:rsidRDefault="0035109E" w:rsidP="007A4EA0">
      <w:pPr>
        <w:pStyle w:val="HR"/>
        <w:rPr>
          <w:rStyle w:val="CharSectno"/>
        </w:rPr>
      </w:pPr>
      <w:bookmarkStart w:id="44" w:name="_Toc350862657"/>
      <w:r w:rsidRPr="00D87EF9">
        <w:rPr>
          <w:rStyle w:val="CharSectno"/>
        </w:rPr>
        <w:t>23</w:t>
      </w:r>
      <w:r w:rsidR="001728F5" w:rsidRPr="007A4EA0">
        <w:rPr>
          <w:rStyle w:val="CharSectno"/>
        </w:rPr>
        <w:t xml:space="preserve">  </w:t>
      </w:r>
      <w:r w:rsidR="007A4EA0">
        <w:rPr>
          <w:rStyle w:val="CharSectno"/>
        </w:rPr>
        <w:tab/>
      </w:r>
      <w:r w:rsidRPr="007A4EA0">
        <w:rPr>
          <w:rStyle w:val="CharSectno"/>
        </w:rPr>
        <w:t>Where compliance records are to be available</w:t>
      </w:r>
      <w:bookmarkEnd w:id="44"/>
    </w:p>
    <w:p w:rsidR="0035109E" w:rsidRPr="00D87EF9" w:rsidRDefault="0035109E" w:rsidP="00227FE0">
      <w:pPr>
        <w:pStyle w:val="R1"/>
        <w:keepLines w:val="0"/>
        <w:ind w:left="993" w:hanging="517"/>
      </w:pPr>
      <w:r w:rsidRPr="00D87EF9">
        <w:tab/>
      </w:r>
      <w:r w:rsidRPr="00D87EF9">
        <w:tab/>
        <w:t>If a supplier of a device applies a label to the device as a compliance label, the supplier must ensure that the compliance records for the device are available at the principal business address in Australia of the supplier.</w:t>
      </w:r>
    </w:p>
    <w:p w:rsidR="0035109E" w:rsidRPr="007A4EA0" w:rsidRDefault="0035109E" w:rsidP="007A4EA0">
      <w:pPr>
        <w:pStyle w:val="HR"/>
        <w:rPr>
          <w:rStyle w:val="CharSectno"/>
        </w:rPr>
      </w:pPr>
      <w:bookmarkStart w:id="45" w:name="_Toc350862658"/>
      <w:r w:rsidRPr="00D87EF9">
        <w:rPr>
          <w:rStyle w:val="CharSectno"/>
        </w:rPr>
        <w:t>24</w:t>
      </w:r>
      <w:r w:rsidR="001728F5" w:rsidRPr="007A4EA0">
        <w:rPr>
          <w:rStyle w:val="CharSectno"/>
        </w:rPr>
        <w:t xml:space="preserve"> </w:t>
      </w:r>
      <w:r w:rsidR="007A4EA0">
        <w:rPr>
          <w:rStyle w:val="CharSectno"/>
        </w:rPr>
        <w:tab/>
      </w:r>
      <w:r w:rsidR="001728F5" w:rsidRPr="007A4EA0">
        <w:rPr>
          <w:rStyle w:val="CharSectno"/>
        </w:rPr>
        <w:t xml:space="preserve"> </w:t>
      </w:r>
      <w:r w:rsidRPr="007A4EA0">
        <w:rPr>
          <w:rStyle w:val="CharSectno"/>
        </w:rPr>
        <w:t>Provision of information to authorised officer</w:t>
      </w:r>
      <w:bookmarkEnd w:id="45"/>
    </w:p>
    <w:p w:rsidR="0035109E" w:rsidRPr="00227FE0" w:rsidRDefault="0035109E" w:rsidP="00227FE0">
      <w:pPr>
        <w:pStyle w:val="R1"/>
        <w:keepLines w:val="0"/>
        <w:rPr>
          <w:color w:val="000000"/>
        </w:rPr>
      </w:pPr>
      <w:r w:rsidRPr="00227FE0">
        <w:rPr>
          <w:color w:val="000000"/>
        </w:rPr>
        <w:tab/>
        <w:t>(1)</w:t>
      </w:r>
      <w:r w:rsidRPr="00227FE0">
        <w:rPr>
          <w:color w:val="000000"/>
        </w:rPr>
        <w:tab/>
        <w:t>If a supplier of a device applies a label to the device as a compliance label, an authorised officer may</w:t>
      </w:r>
      <w:r w:rsidR="00497CD5">
        <w:rPr>
          <w:color w:val="000000"/>
        </w:rPr>
        <w:t>,</w:t>
      </w:r>
      <w:r w:rsidRPr="00227FE0">
        <w:rPr>
          <w:color w:val="000000"/>
        </w:rPr>
        <w:t xml:space="preserve"> in writing, require the supplier to give to the officer specified compliance records.</w:t>
      </w:r>
    </w:p>
    <w:p w:rsidR="0035109E" w:rsidRPr="00227FE0" w:rsidRDefault="0035109E" w:rsidP="00227FE0">
      <w:pPr>
        <w:pStyle w:val="R1"/>
        <w:keepLines w:val="0"/>
        <w:rPr>
          <w:color w:val="000000"/>
        </w:rPr>
      </w:pPr>
      <w:r w:rsidRPr="00227FE0">
        <w:rPr>
          <w:color w:val="000000"/>
        </w:rPr>
        <w:tab/>
        <w:t>(2)</w:t>
      </w:r>
      <w:r w:rsidRPr="00227FE0">
        <w:rPr>
          <w:color w:val="000000"/>
        </w:rPr>
        <w:tab/>
        <w:t>If the request is for a specified record, the supplier must produce the record within 10 working days after the day specified in the request.</w:t>
      </w:r>
    </w:p>
    <w:p w:rsidR="0035109E" w:rsidRPr="00227FE0" w:rsidRDefault="0035109E" w:rsidP="00227FE0">
      <w:pPr>
        <w:pStyle w:val="R1"/>
        <w:keepLines w:val="0"/>
        <w:rPr>
          <w:color w:val="000000"/>
        </w:rPr>
      </w:pPr>
      <w:r w:rsidRPr="00227FE0">
        <w:rPr>
          <w:color w:val="000000"/>
        </w:rPr>
        <w:tab/>
        <w:t>(3)</w:t>
      </w:r>
      <w:r w:rsidRPr="00227FE0">
        <w:rPr>
          <w:color w:val="000000"/>
        </w:rPr>
        <w:tab/>
        <w:t>If the request is for a specified circuit diagram or manual for the device, the supplier must produce the document within 30 working days after the day specified in the request.</w:t>
      </w:r>
    </w:p>
    <w:p w:rsidR="0035109E" w:rsidRPr="00227FE0" w:rsidRDefault="0035109E" w:rsidP="00227FE0">
      <w:pPr>
        <w:pStyle w:val="R1"/>
        <w:keepLines w:val="0"/>
        <w:rPr>
          <w:color w:val="000000"/>
        </w:rPr>
      </w:pPr>
      <w:r w:rsidRPr="00227FE0">
        <w:rPr>
          <w:color w:val="000000"/>
        </w:rPr>
        <w:tab/>
        <w:t>(4)</w:t>
      </w:r>
      <w:r w:rsidRPr="00227FE0">
        <w:rPr>
          <w:color w:val="000000"/>
        </w:rPr>
        <w:tab/>
        <w:t>After receiving the information from the supplier, the authorised officer must give the supplier a receipt for the information supplied.</w:t>
      </w:r>
    </w:p>
    <w:p w:rsidR="0035109E" w:rsidRPr="00227FE0" w:rsidRDefault="0035109E" w:rsidP="00227FE0">
      <w:pPr>
        <w:pStyle w:val="R1"/>
        <w:keepLines w:val="0"/>
        <w:rPr>
          <w:color w:val="000000"/>
        </w:rPr>
      </w:pPr>
      <w:r w:rsidRPr="00227FE0">
        <w:rPr>
          <w:color w:val="000000"/>
        </w:rPr>
        <w:tab/>
        <w:t>(5)</w:t>
      </w:r>
      <w:r w:rsidRPr="00227FE0">
        <w:rPr>
          <w:color w:val="000000"/>
        </w:rPr>
        <w:tab/>
        <w:t>The authorised officer:</w:t>
      </w:r>
    </w:p>
    <w:p w:rsidR="0035109E" w:rsidRPr="00227FE0" w:rsidRDefault="0035109E" w:rsidP="00227FE0">
      <w:pPr>
        <w:pStyle w:val="P1"/>
        <w:rPr>
          <w:color w:val="000000"/>
        </w:rPr>
      </w:pPr>
      <w:r w:rsidRPr="00227FE0">
        <w:rPr>
          <w:color w:val="000000"/>
        </w:rPr>
        <w:tab/>
        <w:t>(a)</w:t>
      </w:r>
      <w:r w:rsidRPr="00227FE0">
        <w:rPr>
          <w:color w:val="000000"/>
        </w:rPr>
        <w:tab/>
      </w:r>
      <w:proofErr w:type="gramStart"/>
      <w:r w:rsidRPr="00227FE0">
        <w:rPr>
          <w:color w:val="000000"/>
        </w:rPr>
        <w:t>may</w:t>
      </w:r>
      <w:proofErr w:type="gramEnd"/>
      <w:r w:rsidRPr="00227FE0">
        <w:rPr>
          <w:color w:val="000000"/>
        </w:rPr>
        <w:t xml:space="preserve"> make copies of the records; and</w:t>
      </w:r>
    </w:p>
    <w:p w:rsidR="0035109E" w:rsidRPr="00227FE0" w:rsidRDefault="0035109E" w:rsidP="00227FE0">
      <w:pPr>
        <w:pStyle w:val="P1"/>
        <w:rPr>
          <w:color w:val="000000"/>
        </w:rPr>
      </w:pPr>
      <w:r w:rsidRPr="00227FE0">
        <w:rPr>
          <w:color w:val="000000"/>
        </w:rPr>
        <w:tab/>
        <w:t>(b)</w:t>
      </w:r>
      <w:r w:rsidRPr="00227FE0">
        <w:rPr>
          <w:color w:val="000000"/>
        </w:rPr>
        <w:tab/>
      </w:r>
      <w:proofErr w:type="gramStart"/>
      <w:r w:rsidRPr="00227FE0">
        <w:rPr>
          <w:color w:val="000000"/>
        </w:rPr>
        <w:t>must</w:t>
      </w:r>
      <w:proofErr w:type="gramEnd"/>
      <w:r w:rsidRPr="00227FE0">
        <w:rPr>
          <w:color w:val="000000"/>
        </w:rPr>
        <w:t xml:space="preserve"> return the records given by the supplier as soon as practicable and, in any case, not more than 60 days after receiving the records.</w:t>
      </w:r>
    </w:p>
    <w:p w:rsidR="0035109E" w:rsidRPr="00227FE0" w:rsidRDefault="0035109E" w:rsidP="00227FE0">
      <w:pPr>
        <w:pStyle w:val="R1"/>
        <w:keepLines w:val="0"/>
        <w:rPr>
          <w:color w:val="000000"/>
        </w:rPr>
      </w:pPr>
      <w:r w:rsidRPr="00227FE0">
        <w:rPr>
          <w:color w:val="000000"/>
        </w:rPr>
        <w:tab/>
        <w:t>(6)</w:t>
      </w:r>
      <w:r w:rsidRPr="00227FE0">
        <w:rPr>
          <w:color w:val="000000"/>
        </w:rPr>
        <w:tab/>
        <w:t>If an authorised officer believes that the records kept by the supplier do not provide sufficient evidence that the device complies with the applicable standard, the officer may, in writing, require the supplier to give to the officer a test report from an accredited testing body showing that the device either complies or does not comply with the applicable standard.</w:t>
      </w:r>
    </w:p>
    <w:p w:rsidR="0035109E" w:rsidRPr="007A4EA0" w:rsidRDefault="0035109E" w:rsidP="007A4EA0">
      <w:pPr>
        <w:pStyle w:val="HR"/>
        <w:rPr>
          <w:rStyle w:val="CharSectno"/>
        </w:rPr>
      </w:pPr>
      <w:bookmarkStart w:id="46" w:name="_Toc350862659"/>
      <w:r w:rsidRPr="00D87EF9">
        <w:rPr>
          <w:rStyle w:val="CharSectno"/>
        </w:rPr>
        <w:t>25</w:t>
      </w:r>
      <w:r w:rsidR="001728F5" w:rsidRPr="007A4EA0">
        <w:rPr>
          <w:rStyle w:val="CharSectno"/>
        </w:rPr>
        <w:t xml:space="preserve">  </w:t>
      </w:r>
      <w:r w:rsidR="007A4EA0">
        <w:rPr>
          <w:rStyle w:val="CharSectno"/>
        </w:rPr>
        <w:tab/>
      </w:r>
      <w:r w:rsidRPr="007A4EA0">
        <w:rPr>
          <w:rStyle w:val="CharSectno"/>
        </w:rPr>
        <w:t>Testing of items by testing body</w:t>
      </w:r>
      <w:bookmarkEnd w:id="46"/>
    </w:p>
    <w:p w:rsidR="0035109E" w:rsidRPr="00227FE0" w:rsidRDefault="0035109E" w:rsidP="00227FE0">
      <w:pPr>
        <w:pStyle w:val="R1"/>
        <w:keepLines w:val="0"/>
        <w:rPr>
          <w:color w:val="000000"/>
        </w:rPr>
      </w:pPr>
      <w:r w:rsidRPr="00227FE0">
        <w:rPr>
          <w:color w:val="000000"/>
        </w:rPr>
        <w:tab/>
        <w:t>(1)</w:t>
      </w:r>
      <w:r w:rsidRPr="00227FE0">
        <w:rPr>
          <w:color w:val="000000"/>
        </w:rPr>
        <w:tab/>
        <w:t>If a supplier of a device applies a label to the device as a compliance label, an authorised officer may, in writing, require the supplier of a device to give up to 3 samples of the device to a laboratory accredited by NATA and specified by the officer, for testing whether the device complies with an applicable standard.</w:t>
      </w:r>
    </w:p>
    <w:p w:rsidR="0035109E" w:rsidRPr="00227FE0" w:rsidRDefault="0035109E" w:rsidP="00227FE0">
      <w:pPr>
        <w:pStyle w:val="R1"/>
        <w:keepLines w:val="0"/>
        <w:rPr>
          <w:color w:val="000000"/>
        </w:rPr>
      </w:pPr>
      <w:r w:rsidRPr="00227FE0">
        <w:rPr>
          <w:color w:val="000000"/>
        </w:rPr>
        <w:tab/>
        <w:t>(2)</w:t>
      </w:r>
      <w:r w:rsidRPr="00227FE0">
        <w:rPr>
          <w:color w:val="000000"/>
        </w:rPr>
        <w:tab/>
        <w:t>The supplier must comply with the request within 10 working days after the day specified in the request.</w:t>
      </w:r>
    </w:p>
    <w:p w:rsidR="0035109E" w:rsidRPr="00227FE0" w:rsidRDefault="0035109E" w:rsidP="00227FE0">
      <w:pPr>
        <w:pStyle w:val="R1"/>
        <w:keepLines w:val="0"/>
        <w:rPr>
          <w:color w:val="000000"/>
        </w:rPr>
      </w:pPr>
      <w:r w:rsidRPr="00227FE0">
        <w:rPr>
          <w:color w:val="000000"/>
        </w:rPr>
        <w:tab/>
        <w:t>(3)</w:t>
      </w:r>
      <w:r w:rsidRPr="00227FE0">
        <w:rPr>
          <w:color w:val="000000"/>
        </w:rPr>
        <w:tab/>
        <w:t>The supplier must attempt to obtain from the laboratory a receipt that specifies the samples have been received and the date when they were received.</w:t>
      </w:r>
    </w:p>
    <w:p w:rsidR="0035109E" w:rsidRPr="00227FE0" w:rsidRDefault="0035109E" w:rsidP="00227FE0">
      <w:pPr>
        <w:pStyle w:val="R1"/>
        <w:keepLines w:val="0"/>
        <w:rPr>
          <w:color w:val="000000"/>
        </w:rPr>
      </w:pPr>
      <w:r w:rsidRPr="00227FE0">
        <w:rPr>
          <w:color w:val="000000"/>
        </w:rPr>
        <w:tab/>
        <w:t>(4)</w:t>
      </w:r>
      <w:r w:rsidRPr="00227FE0">
        <w:rPr>
          <w:color w:val="000000"/>
        </w:rPr>
        <w:tab/>
        <w:t xml:space="preserve">On receiving a request from the </w:t>
      </w:r>
      <w:r w:rsidR="00CF48F9" w:rsidRPr="00227FE0">
        <w:rPr>
          <w:color w:val="000000"/>
        </w:rPr>
        <w:t>ACMA</w:t>
      </w:r>
      <w:r w:rsidRPr="00227FE0">
        <w:rPr>
          <w:color w:val="000000"/>
        </w:rPr>
        <w:t>, the supplier must:</w:t>
      </w:r>
    </w:p>
    <w:p w:rsidR="0035109E" w:rsidRPr="00227FE0" w:rsidRDefault="0035109E" w:rsidP="00227FE0">
      <w:pPr>
        <w:pStyle w:val="P1"/>
        <w:rPr>
          <w:color w:val="000000"/>
        </w:rPr>
      </w:pPr>
      <w:r w:rsidRPr="00227FE0">
        <w:rPr>
          <w:color w:val="000000"/>
        </w:rPr>
        <w:tab/>
        <w:t>(a)</w:t>
      </w:r>
      <w:r w:rsidRPr="00227FE0">
        <w:rPr>
          <w:color w:val="000000"/>
        </w:rPr>
        <w:tab/>
      </w:r>
      <w:proofErr w:type="gramStart"/>
      <w:r w:rsidRPr="00227FE0">
        <w:rPr>
          <w:color w:val="000000"/>
        </w:rPr>
        <w:t>give</w:t>
      </w:r>
      <w:proofErr w:type="gramEnd"/>
      <w:r w:rsidRPr="00227FE0">
        <w:rPr>
          <w:color w:val="000000"/>
        </w:rPr>
        <w:t xml:space="preserve"> the receipt to the </w:t>
      </w:r>
      <w:r w:rsidR="00CF48F9" w:rsidRPr="00227FE0">
        <w:rPr>
          <w:color w:val="000000"/>
        </w:rPr>
        <w:t>ACMA</w:t>
      </w:r>
      <w:r w:rsidRPr="00227FE0">
        <w:rPr>
          <w:color w:val="000000"/>
        </w:rPr>
        <w:t>; or</w:t>
      </w:r>
    </w:p>
    <w:p w:rsidR="0035109E" w:rsidRPr="00227FE0" w:rsidRDefault="0035109E" w:rsidP="00227FE0">
      <w:pPr>
        <w:pStyle w:val="P1"/>
        <w:rPr>
          <w:color w:val="000000"/>
        </w:rPr>
      </w:pPr>
      <w:r w:rsidRPr="00227FE0">
        <w:rPr>
          <w:color w:val="000000"/>
        </w:rPr>
        <w:tab/>
        <w:t>(b)</w:t>
      </w:r>
      <w:r w:rsidRPr="00227FE0">
        <w:rPr>
          <w:color w:val="000000"/>
        </w:rPr>
        <w:tab/>
      </w:r>
      <w:proofErr w:type="gramStart"/>
      <w:r w:rsidRPr="00227FE0">
        <w:rPr>
          <w:color w:val="000000"/>
        </w:rPr>
        <w:t>if</w:t>
      </w:r>
      <w:proofErr w:type="gramEnd"/>
      <w:r w:rsidRPr="00227FE0">
        <w:rPr>
          <w:color w:val="000000"/>
        </w:rPr>
        <w:t xml:space="preserve"> the supplier is unable to obtain a receipt</w:t>
      </w:r>
      <w:r w:rsidR="001728F5" w:rsidRPr="00227FE0">
        <w:rPr>
          <w:color w:val="000000"/>
        </w:rPr>
        <w:t>—</w:t>
      </w:r>
      <w:r w:rsidRPr="00227FE0">
        <w:rPr>
          <w:color w:val="000000"/>
        </w:rPr>
        <w:t xml:space="preserve">satisfy the </w:t>
      </w:r>
      <w:r w:rsidR="00CF48F9" w:rsidRPr="00227FE0">
        <w:rPr>
          <w:color w:val="000000"/>
        </w:rPr>
        <w:t>ACMA</w:t>
      </w:r>
      <w:r w:rsidRPr="00227FE0">
        <w:rPr>
          <w:color w:val="000000"/>
        </w:rPr>
        <w:t xml:space="preserve"> that the supplier made reasonable attempts to obtain a receipt.</w:t>
      </w:r>
    </w:p>
    <w:p w:rsidR="0035109E" w:rsidRPr="00227FE0" w:rsidRDefault="0035109E" w:rsidP="00227FE0">
      <w:pPr>
        <w:pStyle w:val="R1"/>
        <w:keepLines w:val="0"/>
        <w:rPr>
          <w:color w:val="000000"/>
        </w:rPr>
      </w:pPr>
      <w:r w:rsidRPr="00227FE0">
        <w:rPr>
          <w:color w:val="000000"/>
        </w:rPr>
        <w:lastRenderedPageBreak/>
        <w:tab/>
        <w:t>(5)</w:t>
      </w:r>
      <w:r w:rsidRPr="00227FE0">
        <w:rPr>
          <w:color w:val="000000"/>
        </w:rPr>
        <w:tab/>
        <w:t xml:space="preserve">The </w:t>
      </w:r>
      <w:r w:rsidR="00CF48F9" w:rsidRPr="00227FE0">
        <w:rPr>
          <w:color w:val="000000"/>
        </w:rPr>
        <w:t>ACMA</w:t>
      </w:r>
      <w:r w:rsidRPr="00227FE0">
        <w:rPr>
          <w:color w:val="000000"/>
        </w:rPr>
        <w:t xml:space="preserve"> must make arrangements to ensure that the samples are returned to the supplier within a reasonable period after they have been tested.</w:t>
      </w:r>
    </w:p>
    <w:p w:rsidR="0035109E" w:rsidRPr="00227FE0" w:rsidRDefault="0035109E" w:rsidP="00227FE0">
      <w:pPr>
        <w:pStyle w:val="R1"/>
        <w:keepLines w:val="0"/>
        <w:rPr>
          <w:color w:val="000000"/>
        </w:rPr>
      </w:pPr>
      <w:r w:rsidRPr="00227FE0">
        <w:rPr>
          <w:color w:val="000000"/>
        </w:rPr>
        <w:tab/>
        <w:t>(6)</w:t>
      </w:r>
      <w:r w:rsidRPr="00227FE0">
        <w:rPr>
          <w:color w:val="000000"/>
        </w:rPr>
        <w:tab/>
        <w:t xml:space="preserve">If testing required under </w:t>
      </w:r>
      <w:r w:rsidR="009E0C96">
        <w:rPr>
          <w:color w:val="000000"/>
        </w:rPr>
        <w:t xml:space="preserve">this </w:t>
      </w:r>
      <w:r w:rsidRPr="00227FE0">
        <w:rPr>
          <w:color w:val="000000"/>
        </w:rPr>
        <w:t>section</w:t>
      </w:r>
      <w:r w:rsidR="00D87EF9" w:rsidRPr="00227FE0">
        <w:rPr>
          <w:color w:val="000000"/>
        </w:rPr>
        <w:t> </w:t>
      </w:r>
      <w:r w:rsidRPr="00227FE0">
        <w:rPr>
          <w:color w:val="000000"/>
        </w:rPr>
        <w:t>shows that the device does not comply with the standard, the supplier must meet the costs of the testing.</w:t>
      </w:r>
    </w:p>
    <w:p w:rsidR="0035109E" w:rsidRPr="00227FE0" w:rsidRDefault="0035109E" w:rsidP="00227FE0">
      <w:pPr>
        <w:pStyle w:val="R1"/>
        <w:keepLines w:val="0"/>
        <w:rPr>
          <w:color w:val="000000"/>
        </w:rPr>
      </w:pPr>
      <w:r w:rsidRPr="00227FE0">
        <w:rPr>
          <w:color w:val="000000"/>
        </w:rPr>
        <w:tab/>
        <w:t>(7)</w:t>
      </w:r>
      <w:r w:rsidRPr="00227FE0">
        <w:rPr>
          <w:color w:val="000000"/>
        </w:rPr>
        <w:tab/>
        <w:t xml:space="preserve">If testing required under </w:t>
      </w:r>
      <w:r w:rsidR="009E0C96">
        <w:rPr>
          <w:color w:val="000000"/>
        </w:rPr>
        <w:t xml:space="preserve">this </w:t>
      </w:r>
      <w:r w:rsidRPr="00227FE0">
        <w:rPr>
          <w:color w:val="000000"/>
        </w:rPr>
        <w:t>section</w:t>
      </w:r>
      <w:r w:rsidR="00D87EF9" w:rsidRPr="00227FE0">
        <w:rPr>
          <w:color w:val="000000"/>
        </w:rPr>
        <w:t> </w:t>
      </w:r>
      <w:r w:rsidRPr="00227FE0">
        <w:rPr>
          <w:color w:val="000000"/>
        </w:rPr>
        <w:t xml:space="preserve">shows that the device complies with the standard, the </w:t>
      </w:r>
      <w:r w:rsidR="00CF48F9" w:rsidRPr="00227FE0">
        <w:rPr>
          <w:color w:val="000000"/>
        </w:rPr>
        <w:t>ACMA</w:t>
      </w:r>
      <w:r w:rsidRPr="00227FE0">
        <w:rPr>
          <w:color w:val="000000"/>
        </w:rPr>
        <w:t xml:space="preserve"> must meet the costs of the testing.</w:t>
      </w:r>
    </w:p>
    <w:p w:rsidR="0035109E" w:rsidRPr="00227FE0" w:rsidRDefault="0035109E" w:rsidP="000F762E">
      <w:pPr>
        <w:pStyle w:val="R1"/>
        <w:keepNext/>
        <w:keepLines w:val="0"/>
        <w:rPr>
          <w:color w:val="000000"/>
        </w:rPr>
      </w:pPr>
      <w:r w:rsidRPr="00227FE0">
        <w:rPr>
          <w:color w:val="000000"/>
        </w:rPr>
        <w:tab/>
        <w:t>(8)</w:t>
      </w:r>
      <w:r w:rsidRPr="00227FE0">
        <w:rPr>
          <w:color w:val="000000"/>
        </w:rPr>
        <w:tab/>
        <w:t>In this section:</w:t>
      </w:r>
    </w:p>
    <w:p w:rsidR="0035109E" w:rsidRPr="00227FE0" w:rsidRDefault="0035109E" w:rsidP="00227FE0">
      <w:pPr>
        <w:pStyle w:val="Definition"/>
        <w:ind w:left="993"/>
        <w:rPr>
          <w:sz w:val="24"/>
          <w:szCs w:val="24"/>
        </w:rPr>
      </w:pPr>
      <w:proofErr w:type="gramStart"/>
      <w:r w:rsidRPr="00227FE0">
        <w:rPr>
          <w:b/>
          <w:bCs/>
          <w:i/>
          <w:iCs/>
          <w:sz w:val="24"/>
          <w:szCs w:val="24"/>
        </w:rPr>
        <w:t>device</w:t>
      </w:r>
      <w:proofErr w:type="gramEnd"/>
      <w:r w:rsidRPr="00227FE0">
        <w:rPr>
          <w:sz w:val="24"/>
          <w:szCs w:val="24"/>
        </w:rPr>
        <w:t xml:space="preserve"> includes a variant of the device.</w:t>
      </w:r>
    </w:p>
    <w:p w:rsidR="0079039B" w:rsidRPr="00CE3C61" w:rsidRDefault="0079039B" w:rsidP="0018373D">
      <w:pPr>
        <w:pStyle w:val="ActHead1"/>
        <w:pageBreakBefore/>
        <w:rPr>
          <w:rFonts w:ascii="Arial" w:hAnsi="Arial" w:cs="Arial"/>
        </w:rPr>
      </w:pPr>
      <w:bookmarkStart w:id="47" w:name="_Toc350862660"/>
      <w:r w:rsidRPr="00CE3C61">
        <w:rPr>
          <w:rStyle w:val="CharChapNo"/>
          <w:rFonts w:ascii="Arial" w:hAnsi="Arial" w:cs="Arial"/>
        </w:rPr>
        <w:lastRenderedPageBreak/>
        <w:t>Schedule</w:t>
      </w:r>
      <w:r w:rsidR="00D87EF9" w:rsidRPr="00CE3C61">
        <w:rPr>
          <w:rStyle w:val="CharChapNo"/>
          <w:rFonts w:ascii="Arial" w:hAnsi="Arial" w:cs="Arial"/>
        </w:rPr>
        <w:t> </w:t>
      </w:r>
      <w:r w:rsidRPr="00CE3C61">
        <w:rPr>
          <w:rStyle w:val="CharChapNo"/>
          <w:rFonts w:ascii="Arial" w:hAnsi="Arial" w:cs="Arial"/>
        </w:rPr>
        <w:t>1</w:t>
      </w:r>
      <w:r w:rsidRPr="00CE3C61">
        <w:rPr>
          <w:rFonts w:ascii="Arial" w:hAnsi="Arial" w:cs="Arial"/>
        </w:rPr>
        <w:t>—</w:t>
      </w:r>
      <w:r w:rsidRPr="00CE3C61">
        <w:rPr>
          <w:rStyle w:val="CharChapText"/>
          <w:rFonts w:ascii="Arial" w:hAnsi="Arial" w:cs="Arial"/>
        </w:rPr>
        <w:t>Compliance marks</w:t>
      </w:r>
      <w:bookmarkEnd w:id="47"/>
    </w:p>
    <w:p w:rsidR="0079039B" w:rsidRPr="00CE3C61" w:rsidRDefault="0079039B" w:rsidP="00110007">
      <w:pPr>
        <w:pStyle w:val="notemargin"/>
        <w:rPr>
          <w:sz w:val="20"/>
        </w:rPr>
      </w:pPr>
      <w:r w:rsidRPr="00CE3C61">
        <w:rPr>
          <w:sz w:val="20"/>
        </w:rPr>
        <w:t>(</w:t>
      </w:r>
      <w:proofErr w:type="gramStart"/>
      <w:r w:rsidRPr="00CE3C61">
        <w:rPr>
          <w:sz w:val="20"/>
        </w:rPr>
        <w:t>subsection</w:t>
      </w:r>
      <w:proofErr w:type="gramEnd"/>
      <w:r w:rsidR="00D87EF9" w:rsidRPr="00CE3C61">
        <w:rPr>
          <w:sz w:val="20"/>
        </w:rPr>
        <w:t> </w:t>
      </w:r>
      <w:r w:rsidRPr="00CE3C61">
        <w:rPr>
          <w:sz w:val="20"/>
        </w:rPr>
        <w:t>4(1))</w:t>
      </w:r>
    </w:p>
    <w:p w:rsidR="0079039B" w:rsidRPr="00CE3C61" w:rsidRDefault="0079039B" w:rsidP="00CE3C61">
      <w:pPr>
        <w:pStyle w:val="HR"/>
        <w:rPr>
          <w:rStyle w:val="CharSectno"/>
          <w:sz w:val="28"/>
          <w:szCs w:val="28"/>
        </w:rPr>
      </w:pPr>
      <w:bookmarkStart w:id="48" w:name="_Toc350862661"/>
      <w:r w:rsidRPr="00CE3C61">
        <w:rPr>
          <w:rStyle w:val="CharSectno"/>
          <w:sz w:val="28"/>
          <w:szCs w:val="28"/>
        </w:rPr>
        <w:t>Part</w:t>
      </w:r>
      <w:r w:rsidR="00D87EF9" w:rsidRPr="00CE3C61">
        <w:rPr>
          <w:rStyle w:val="CharSectno"/>
          <w:sz w:val="28"/>
          <w:szCs w:val="28"/>
        </w:rPr>
        <w:t> </w:t>
      </w:r>
      <w:r w:rsidRPr="00CE3C61">
        <w:rPr>
          <w:rStyle w:val="CharSectno"/>
          <w:sz w:val="28"/>
          <w:szCs w:val="28"/>
        </w:rPr>
        <w:t>1—The C</w:t>
      </w:r>
      <w:r w:rsidR="00D87EF9" w:rsidRPr="00CE3C61">
        <w:rPr>
          <w:rStyle w:val="CharSectno"/>
          <w:sz w:val="28"/>
          <w:szCs w:val="28"/>
        </w:rPr>
        <w:noBreakHyphen/>
      </w:r>
      <w:r w:rsidRPr="00CE3C61">
        <w:rPr>
          <w:rStyle w:val="CharSectno"/>
          <w:sz w:val="28"/>
          <w:szCs w:val="28"/>
        </w:rPr>
        <w:t>Tick mark</w:t>
      </w:r>
      <w:bookmarkEnd w:id="48"/>
    </w:p>
    <w:p w:rsidR="0079039B" w:rsidRPr="00D87EF9" w:rsidRDefault="0079039B" w:rsidP="00D87EF9">
      <w:pPr>
        <w:pStyle w:val="subsection"/>
      </w:pPr>
    </w:p>
    <w:p w:rsidR="0079039B" w:rsidRPr="00D87EF9" w:rsidRDefault="00AE5A42" w:rsidP="0079039B">
      <w:pPr>
        <w:keepNext/>
        <w:jc w:val="center"/>
        <w:rPr>
          <w:sz w:val="16"/>
          <w:szCs w:val="16"/>
        </w:rPr>
      </w:pPr>
      <w:r>
        <w:rPr>
          <w:noProof/>
          <w:sz w:val="20"/>
          <w:lang w:eastAsia="en-AU"/>
        </w:rPr>
        <w:drawing>
          <wp:inline distT="0" distB="0" distL="0" distR="0">
            <wp:extent cx="1990725" cy="19907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990725" cy="1990725"/>
                    </a:xfrm>
                    <a:prstGeom prst="rect">
                      <a:avLst/>
                    </a:prstGeom>
                    <a:noFill/>
                    <a:ln w="9525">
                      <a:noFill/>
                      <a:miter lim="800000"/>
                      <a:headEnd/>
                      <a:tailEnd/>
                    </a:ln>
                  </pic:spPr>
                </pic:pic>
              </a:graphicData>
            </a:graphic>
          </wp:inline>
        </w:drawing>
      </w:r>
    </w:p>
    <w:p w:rsidR="0079039B" w:rsidRPr="00D87EF9" w:rsidRDefault="0079039B" w:rsidP="0079039B">
      <w:pPr>
        <w:rPr>
          <w:sz w:val="16"/>
          <w:szCs w:val="16"/>
        </w:rPr>
      </w:pPr>
    </w:p>
    <w:p w:rsidR="0079039B" w:rsidRPr="00CE3C61" w:rsidRDefault="0079039B" w:rsidP="00CE3C61">
      <w:pPr>
        <w:pStyle w:val="notemargin"/>
        <w:tabs>
          <w:tab w:val="clear" w:pos="709"/>
          <w:tab w:val="left" w:pos="0"/>
        </w:tabs>
        <w:ind w:left="0" w:firstLine="0"/>
        <w:rPr>
          <w:sz w:val="20"/>
        </w:rPr>
      </w:pPr>
      <w:r w:rsidRPr="00CE3C61">
        <w:rPr>
          <w:i/>
          <w:sz w:val="20"/>
        </w:rPr>
        <w:t>Note</w:t>
      </w:r>
      <w:r w:rsidRPr="00CE3C61">
        <w:rPr>
          <w:sz w:val="20"/>
        </w:rPr>
        <w:tab/>
        <w:t>The C</w:t>
      </w:r>
      <w:r w:rsidR="00D87EF9" w:rsidRPr="00CE3C61">
        <w:rPr>
          <w:sz w:val="20"/>
        </w:rPr>
        <w:noBreakHyphen/>
      </w:r>
      <w:r w:rsidRPr="00CE3C61">
        <w:rPr>
          <w:sz w:val="20"/>
        </w:rPr>
        <w:t xml:space="preserve">Tick mark is a protected symbol for </w:t>
      </w:r>
      <w:r w:rsidR="00C84498" w:rsidRPr="00CE3C61">
        <w:rPr>
          <w:sz w:val="20"/>
        </w:rPr>
        <w:t xml:space="preserve">the purposes of </w:t>
      </w:r>
      <w:r w:rsidRPr="00CE3C61">
        <w:rPr>
          <w:sz w:val="20"/>
        </w:rPr>
        <w:t>section</w:t>
      </w:r>
      <w:r w:rsidR="00D87EF9" w:rsidRPr="00CE3C61">
        <w:rPr>
          <w:sz w:val="20"/>
        </w:rPr>
        <w:t> </w:t>
      </w:r>
      <w:r w:rsidRPr="00CE3C61">
        <w:rPr>
          <w:sz w:val="20"/>
        </w:rPr>
        <w:t>188A of the Act</w:t>
      </w:r>
      <w:r w:rsidR="00C84498" w:rsidRPr="00CE3C61">
        <w:rPr>
          <w:sz w:val="20"/>
        </w:rPr>
        <w:t xml:space="preserve">, the design of which is set out in the </w:t>
      </w:r>
      <w:r w:rsidR="00C84498" w:rsidRPr="00CE3C61">
        <w:rPr>
          <w:i/>
          <w:sz w:val="20"/>
        </w:rPr>
        <w:t>Protected Symbols Determination 2013</w:t>
      </w:r>
      <w:r w:rsidRPr="00CE3C61">
        <w:rPr>
          <w:sz w:val="20"/>
        </w:rPr>
        <w:t>.</w:t>
      </w:r>
    </w:p>
    <w:p w:rsidR="0079039B" w:rsidRPr="00CE3C61" w:rsidRDefault="0079039B" w:rsidP="00CE3C61">
      <w:pPr>
        <w:pStyle w:val="HR"/>
        <w:rPr>
          <w:rStyle w:val="CharSectno"/>
          <w:sz w:val="28"/>
          <w:szCs w:val="28"/>
        </w:rPr>
      </w:pPr>
      <w:bookmarkStart w:id="49" w:name="_Toc350862662"/>
      <w:r w:rsidRPr="00CE3C61">
        <w:rPr>
          <w:rStyle w:val="CharSectno"/>
          <w:sz w:val="28"/>
          <w:szCs w:val="28"/>
        </w:rPr>
        <w:t>Part</w:t>
      </w:r>
      <w:r w:rsidR="00D87EF9" w:rsidRPr="00CE3C61">
        <w:rPr>
          <w:rStyle w:val="CharSectno"/>
          <w:sz w:val="28"/>
          <w:szCs w:val="28"/>
        </w:rPr>
        <w:t> </w:t>
      </w:r>
      <w:r w:rsidRPr="00CE3C61">
        <w:rPr>
          <w:rStyle w:val="CharSectno"/>
          <w:sz w:val="28"/>
          <w:szCs w:val="28"/>
        </w:rPr>
        <w:t>2—</w:t>
      </w:r>
      <w:proofErr w:type="gramStart"/>
      <w:r w:rsidRPr="00CE3C61">
        <w:rPr>
          <w:rStyle w:val="CharSectno"/>
          <w:sz w:val="28"/>
          <w:szCs w:val="28"/>
        </w:rPr>
        <w:t>The</w:t>
      </w:r>
      <w:proofErr w:type="gramEnd"/>
      <w:r w:rsidRPr="00CE3C61">
        <w:rPr>
          <w:rStyle w:val="CharSectno"/>
          <w:sz w:val="28"/>
          <w:szCs w:val="28"/>
        </w:rPr>
        <w:t xml:space="preserve"> RCM</w:t>
      </w:r>
      <w:bookmarkEnd w:id="49"/>
    </w:p>
    <w:p w:rsidR="00847545" w:rsidRDefault="00847545" w:rsidP="00D87EF9">
      <w:pPr>
        <w:pStyle w:val="subsection"/>
      </w:pPr>
    </w:p>
    <w:p w:rsidR="0079039B" w:rsidRPr="00D87EF9" w:rsidRDefault="00AE5A42" w:rsidP="00847545">
      <w:pPr>
        <w:pStyle w:val="subsection"/>
        <w:jc w:val="center"/>
      </w:pPr>
      <w:r>
        <w:rPr>
          <w:noProof/>
          <w:sz w:val="20"/>
        </w:rPr>
        <w:drawing>
          <wp:inline distT="0" distB="0" distL="0" distR="0">
            <wp:extent cx="2695575" cy="19716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95575" cy="1971675"/>
                    </a:xfrm>
                    <a:prstGeom prst="rect">
                      <a:avLst/>
                    </a:prstGeom>
                    <a:noFill/>
                    <a:ln w="9525">
                      <a:noFill/>
                      <a:miter lim="800000"/>
                      <a:headEnd/>
                      <a:tailEnd/>
                    </a:ln>
                  </pic:spPr>
                </pic:pic>
              </a:graphicData>
            </a:graphic>
          </wp:inline>
        </w:drawing>
      </w:r>
    </w:p>
    <w:p w:rsidR="0079039B" w:rsidRPr="00D87EF9" w:rsidRDefault="0079039B" w:rsidP="0079039B">
      <w:pPr>
        <w:rPr>
          <w:sz w:val="16"/>
          <w:szCs w:val="16"/>
        </w:rPr>
      </w:pPr>
    </w:p>
    <w:p w:rsidR="0079039B" w:rsidRPr="00CE3C61" w:rsidRDefault="0079039B" w:rsidP="00CE3C61">
      <w:pPr>
        <w:pStyle w:val="notemargin"/>
        <w:tabs>
          <w:tab w:val="clear" w:pos="709"/>
          <w:tab w:val="left" w:pos="0"/>
        </w:tabs>
        <w:ind w:left="0" w:firstLine="0"/>
        <w:rPr>
          <w:sz w:val="20"/>
        </w:rPr>
      </w:pPr>
      <w:r w:rsidRPr="00CE3C61">
        <w:rPr>
          <w:i/>
          <w:sz w:val="20"/>
        </w:rPr>
        <w:t>Note</w:t>
      </w:r>
      <w:r w:rsidRPr="00CE3C61">
        <w:rPr>
          <w:sz w:val="20"/>
        </w:rPr>
        <w:tab/>
        <w:t>The RCM is a protected symbol for</w:t>
      </w:r>
      <w:r w:rsidR="00C84498" w:rsidRPr="00CE3C61">
        <w:rPr>
          <w:sz w:val="20"/>
        </w:rPr>
        <w:t xml:space="preserve"> the purposes of </w:t>
      </w:r>
      <w:r w:rsidRPr="00CE3C61">
        <w:rPr>
          <w:sz w:val="20"/>
        </w:rPr>
        <w:t>section</w:t>
      </w:r>
      <w:r w:rsidR="00D87EF9" w:rsidRPr="00CE3C61">
        <w:rPr>
          <w:sz w:val="20"/>
        </w:rPr>
        <w:t> </w:t>
      </w:r>
      <w:r w:rsidRPr="00CE3C61">
        <w:rPr>
          <w:sz w:val="20"/>
        </w:rPr>
        <w:t>188A of the Act</w:t>
      </w:r>
      <w:r w:rsidR="00C84498" w:rsidRPr="00CE3C61">
        <w:rPr>
          <w:sz w:val="20"/>
        </w:rPr>
        <w:t xml:space="preserve">, the design of which is set out in the </w:t>
      </w:r>
      <w:r w:rsidR="00C84498" w:rsidRPr="00CE3C61">
        <w:rPr>
          <w:i/>
          <w:sz w:val="20"/>
        </w:rPr>
        <w:t>Protected Symbols Determination 2013</w:t>
      </w:r>
      <w:r w:rsidRPr="00CE3C61">
        <w:rPr>
          <w:sz w:val="20"/>
        </w:rPr>
        <w:t>.</w:t>
      </w:r>
    </w:p>
    <w:p w:rsidR="0035109E" w:rsidRPr="00D87EF9" w:rsidRDefault="0035109E" w:rsidP="0035109E"/>
    <w:sectPr w:rsidR="0035109E" w:rsidRPr="00D87EF9" w:rsidSect="00945DD9">
      <w:headerReference w:type="default" r:id="rId21"/>
      <w:footerReference w:type="even" r:id="rId22"/>
      <w:footerReference w:type="default" r:id="rId23"/>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CD" w:rsidRPr="00AC73C4" w:rsidRDefault="00E041CD" w:rsidP="009D5A17">
      <w:r>
        <w:separator/>
      </w:r>
    </w:p>
  </w:endnote>
  <w:endnote w:type="continuationSeparator" w:id="0">
    <w:p w:rsidR="00E041CD" w:rsidRPr="00AC73C4" w:rsidRDefault="00E041CD" w:rsidP="009D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BF" w:rsidRPr="00E33C1C" w:rsidRDefault="003A3CBF" w:rsidP="00CE6026">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3A3CBF" w:rsidRPr="00ED3B1B" w:rsidTr="00ED3B1B">
      <w:tc>
        <w:tcPr>
          <w:tcW w:w="709" w:type="dxa"/>
          <w:tcBorders>
            <w:top w:val="nil"/>
            <w:left w:val="nil"/>
            <w:bottom w:val="nil"/>
            <w:right w:val="nil"/>
          </w:tcBorders>
        </w:tcPr>
        <w:p w:rsidR="003A3CBF" w:rsidRPr="00ED3B1B" w:rsidRDefault="003A3CBF" w:rsidP="00ED3B1B">
          <w:pPr>
            <w:spacing w:line="0" w:lineRule="atLeast"/>
            <w:rPr>
              <w:sz w:val="18"/>
            </w:rPr>
          </w:pPr>
        </w:p>
      </w:tc>
      <w:tc>
        <w:tcPr>
          <w:tcW w:w="6379" w:type="dxa"/>
          <w:tcBorders>
            <w:top w:val="nil"/>
            <w:left w:val="nil"/>
            <w:bottom w:val="nil"/>
            <w:right w:val="nil"/>
          </w:tcBorders>
        </w:tcPr>
        <w:p w:rsidR="003A3CBF" w:rsidRPr="00ED3B1B" w:rsidRDefault="003A3CBF" w:rsidP="00ED3B1B">
          <w:pPr>
            <w:spacing w:line="0" w:lineRule="atLeast"/>
            <w:jc w:val="center"/>
            <w:rPr>
              <w:sz w:val="18"/>
            </w:rPr>
          </w:pPr>
        </w:p>
      </w:tc>
      <w:tc>
        <w:tcPr>
          <w:tcW w:w="1383" w:type="dxa"/>
          <w:tcBorders>
            <w:top w:val="nil"/>
            <w:left w:val="nil"/>
            <w:bottom w:val="nil"/>
            <w:right w:val="nil"/>
          </w:tcBorders>
        </w:tcPr>
        <w:p w:rsidR="003A3CBF" w:rsidRPr="00ED3B1B" w:rsidRDefault="003A3CBF" w:rsidP="00ED3B1B">
          <w:pPr>
            <w:spacing w:line="0" w:lineRule="atLeast"/>
            <w:jc w:val="right"/>
            <w:rPr>
              <w:sz w:val="18"/>
            </w:rPr>
          </w:pPr>
        </w:p>
      </w:tc>
    </w:tr>
    <w:tr w:rsidR="003A3CBF" w:rsidRPr="00ED3B1B" w:rsidTr="00ED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A3CBF" w:rsidRPr="00ED3B1B" w:rsidRDefault="003A3CBF" w:rsidP="00ED3B1B">
          <w:pPr>
            <w:jc w:val="right"/>
            <w:rPr>
              <w:sz w:val="18"/>
            </w:rPr>
          </w:pPr>
        </w:p>
      </w:tc>
    </w:tr>
  </w:tbl>
  <w:p w:rsidR="003A3CBF" w:rsidRPr="00ED79B6" w:rsidRDefault="003A3CBF" w:rsidP="00CE6026">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D9" w:rsidRDefault="00E11913">
    <w:pPr>
      <w:pStyle w:val="Footer"/>
      <w:jc w:val="right"/>
    </w:pPr>
    <w:r>
      <w:fldChar w:fldCharType="begin"/>
    </w:r>
    <w:r w:rsidR="00945DD9">
      <w:instrText xml:space="preserve"> PAGE   \* MERGEFORMAT </w:instrText>
    </w:r>
    <w:r>
      <w:fldChar w:fldCharType="separate"/>
    </w:r>
    <w:r w:rsidR="00CB7FB6">
      <w:rPr>
        <w:noProof/>
      </w:rPr>
      <w:t>15</w:t>
    </w:r>
    <w:r>
      <w:fldChar w:fldCharType="end"/>
    </w:r>
  </w:p>
  <w:p w:rsidR="003A3CBF" w:rsidRPr="00ED79B6" w:rsidRDefault="00945DD9" w:rsidP="00945DD9">
    <w:pPr>
      <w:jc w:val="center"/>
      <w:rPr>
        <w:i/>
        <w:sz w:val="18"/>
      </w:rPr>
    </w:pPr>
    <w:proofErr w:type="spellStart"/>
    <w:r>
      <w:rPr>
        <w:i/>
        <w:sz w:val="18"/>
      </w:rPr>
      <w:t>Radiocommunications</w:t>
    </w:r>
    <w:proofErr w:type="spellEnd"/>
    <w:r>
      <w:rPr>
        <w:i/>
        <w:sz w:val="18"/>
      </w:rPr>
      <w:t xml:space="preserve"> (Compliance Labelling – Electromagnetic Radiation) Notice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CD" w:rsidRPr="00AC73C4" w:rsidRDefault="00E041CD" w:rsidP="009D5A17">
      <w:r>
        <w:separator/>
      </w:r>
    </w:p>
  </w:footnote>
  <w:footnote w:type="continuationSeparator" w:id="0">
    <w:p w:rsidR="00E041CD" w:rsidRPr="00AC73C4" w:rsidRDefault="00E041CD" w:rsidP="009D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BF" w:rsidRPr="007A1328" w:rsidRDefault="003A3CBF" w:rsidP="00CE6026">
    <w:pPr>
      <w:jc w:val="right"/>
      <w:rPr>
        <w:sz w:val="20"/>
      </w:rPr>
    </w:pPr>
  </w:p>
  <w:p w:rsidR="003A3CBF" w:rsidRPr="007A1328" w:rsidRDefault="003A3CBF" w:rsidP="00CE6026">
    <w:pPr>
      <w:jc w:val="right"/>
      <w:rPr>
        <w:sz w:val="20"/>
      </w:rPr>
    </w:pPr>
  </w:p>
  <w:p w:rsidR="003A3CBF" w:rsidRPr="007A1328" w:rsidRDefault="003A3CBF" w:rsidP="00CE6026">
    <w:pPr>
      <w:jc w:val="right"/>
      <w:rPr>
        <w:b/>
        <w:sz w:val="24"/>
      </w:rPr>
    </w:pPr>
  </w:p>
  <w:p w:rsidR="003A3CBF" w:rsidRDefault="003A3C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7A73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8A05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666086"/>
    <w:lvl w:ilvl="0">
      <w:start w:val="1"/>
      <w:numFmt w:val="decimal"/>
      <w:pStyle w:val="ListNumber2"/>
      <w:lvlText w:val="%1."/>
      <w:lvlJc w:val="left"/>
      <w:pPr>
        <w:tabs>
          <w:tab w:val="num" w:pos="643"/>
        </w:tabs>
        <w:ind w:left="643" w:hanging="360"/>
      </w:pPr>
    </w:lvl>
  </w:abstractNum>
  <w:abstractNum w:abstractNumId="4">
    <w:nsid w:val="FFFFFF80"/>
    <w:multiLevelType w:val="singleLevel"/>
    <w:tmpl w:val="FFCE3A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5BA2AD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5B5C1E"/>
    <w:multiLevelType w:val="hybridMultilevel"/>
    <w:tmpl w:val="84D8D7B6"/>
    <w:lvl w:ilvl="0" w:tplc="BA1C4230">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4">
    <w:nsid w:val="0F9B6C3E"/>
    <w:multiLevelType w:val="hybridMultilevel"/>
    <w:tmpl w:val="4AAE4672"/>
    <w:lvl w:ilvl="0" w:tplc="601EF69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5">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CD4BD4"/>
    <w:multiLevelType w:val="hybridMultilevel"/>
    <w:tmpl w:val="7CA8CAF6"/>
    <w:lvl w:ilvl="0" w:tplc="30602F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1F3614"/>
    <w:multiLevelType w:val="hybridMultilevel"/>
    <w:tmpl w:val="AC0A868E"/>
    <w:lvl w:ilvl="0" w:tplc="ABEAA1B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48079A6"/>
    <w:multiLevelType w:val="hybridMultilevel"/>
    <w:tmpl w:val="AC0A868E"/>
    <w:lvl w:ilvl="0" w:tplc="ABEAA1B2">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nsid w:val="55DC1334"/>
    <w:multiLevelType w:val="hybridMultilevel"/>
    <w:tmpl w:val="2D5437A2"/>
    <w:lvl w:ilvl="0" w:tplc="B67E995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nsid w:val="58DF254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FC68B1"/>
    <w:multiLevelType w:val="hybridMultilevel"/>
    <w:tmpl w:val="03B4622A"/>
    <w:lvl w:ilvl="0" w:tplc="30882050">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nsid w:val="6BCE1848"/>
    <w:multiLevelType w:val="hybridMultilevel"/>
    <w:tmpl w:val="7E305A60"/>
    <w:lvl w:ilvl="0" w:tplc="1252122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nsid w:val="76A57B78"/>
    <w:multiLevelType w:val="hybridMultilevel"/>
    <w:tmpl w:val="7010AAF0"/>
    <w:lvl w:ilvl="0" w:tplc="7BE6A56A">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num w:numId="1">
    <w:abstractNumId w:val="11"/>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9"/>
  </w:num>
  <w:num w:numId="16">
    <w:abstractNumId w:val="24"/>
  </w:num>
  <w:num w:numId="17">
    <w:abstractNumId w:val="15"/>
  </w:num>
  <w:num w:numId="18">
    <w:abstractNumId w:val="12"/>
  </w:num>
  <w:num w:numId="19">
    <w:abstractNumId w:val="13"/>
  </w:num>
  <w:num w:numId="20">
    <w:abstractNumId w:val="21"/>
  </w:num>
  <w:num w:numId="21">
    <w:abstractNumId w:val="18"/>
  </w:num>
  <w:num w:numId="22">
    <w:abstractNumId w:val="14"/>
  </w:num>
  <w:num w:numId="23">
    <w:abstractNumId w:val="10"/>
  </w:num>
  <w:num w:numId="24">
    <w:abstractNumId w:val="22"/>
  </w:num>
  <w:num w:numId="25">
    <w:abstractNumId w:val="17"/>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269B"/>
    <w:rsid w:val="000056EE"/>
    <w:rsid w:val="0001021C"/>
    <w:rsid w:val="00010EF7"/>
    <w:rsid w:val="00011852"/>
    <w:rsid w:val="00011F1E"/>
    <w:rsid w:val="00013E3A"/>
    <w:rsid w:val="00021676"/>
    <w:rsid w:val="00024697"/>
    <w:rsid w:val="000321BC"/>
    <w:rsid w:val="000321C0"/>
    <w:rsid w:val="00032756"/>
    <w:rsid w:val="0003498B"/>
    <w:rsid w:val="0003637E"/>
    <w:rsid w:val="000424F6"/>
    <w:rsid w:val="000508F6"/>
    <w:rsid w:val="000557AF"/>
    <w:rsid w:val="0005680C"/>
    <w:rsid w:val="000601AC"/>
    <w:rsid w:val="00060777"/>
    <w:rsid w:val="00070A26"/>
    <w:rsid w:val="00070FC4"/>
    <w:rsid w:val="000821BA"/>
    <w:rsid w:val="0008474E"/>
    <w:rsid w:val="00094272"/>
    <w:rsid w:val="000A705B"/>
    <w:rsid w:val="000A7AF2"/>
    <w:rsid w:val="000B0EAE"/>
    <w:rsid w:val="000B52F3"/>
    <w:rsid w:val="000C0E9A"/>
    <w:rsid w:val="000C17A1"/>
    <w:rsid w:val="000E16F3"/>
    <w:rsid w:val="000E6727"/>
    <w:rsid w:val="000E7C8E"/>
    <w:rsid w:val="000F5F0B"/>
    <w:rsid w:val="000F762E"/>
    <w:rsid w:val="00102793"/>
    <w:rsid w:val="00110007"/>
    <w:rsid w:val="00113F3F"/>
    <w:rsid w:val="00114286"/>
    <w:rsid w:val="00116E13"/>
    <w:rsid w:val="001241C9"/>
    <w:rsid w:val="001312CF"/>
    <w:rsid w:val="0013313B"/>
    <w:rsid w:val="00137445"/>
    <w:rsid w:val="00137655"/>
    <w:rsid w:val="001410A9"/>
    <w:rsid w:val="001415D1"/>
    <w:rsid w:val="00141B4E"/>
    <w:rsid w:val="00142CB2"/>
    <w:rsid w:val="00145C33"/>
    <w:rsid w:val="0014660D"/>
    <w:rsid w:val="00147077"/>
    <w:rsid w:val="0015004C"/>
    <w:rsid w:val="00150F5C"/>
    <w:rsid w:val="00153E03"/>
    <w:rsid w:val="001609F0"/>
    <w:rsid w:val="00160DB0"/>
    <w:rsid w:val="00165EF5"/>
    <w:rsid w:val="0017099C"/>
    <w:rsid w:val="001728F5"/>
    <w:rsid w:val="00173867"/>
    <w:rsid w:val="00174C21"/>
    <w:rsid w:val="00181FA6"/>
    <w:rsid w:val="00182B77"/>
    <w:rsid w:val="0018373D"/>
    <w:rsid w:val="00183AC8"/>
    <w:rsid w:val="00187B15"/>
    <w:rsid w:val="00190752"/>
    <w:rsid w:val="00191927"/>
    <w:rsid w:val="00191F5B"/>
    <w:rsid w:val="00197152"/>
    <w:rsid w:val="001B2225"/>
    <w:rsid w:val="001B2903"/>
    <w:rsid w:val="001B4AE0"/>
    <w:rsid w:val="001B503D"/>
    <w:rsid w:val="001B680B"/>
    <w:rsid w:val="001D09D3"/>
    <w:rsid w:val="001D217A"/>
    <w:rsid w:val="001D49E7"/>
    <w:rsid w:val="001E356A"/>
    <w:rsid w:val="001F3D4C"/>
    <w:rsid w:val="001F4546"/>
    <w:rsid w:val="00200515"/>
    <w:rsid w:val="002019B4"/>
    <w:rsid w:val="00204835"/>
    <w:rsid w:val="002108D2"/>
    <w:rsid w:val="00211D8F"/>
    <w:rsid w:val="00211F14"/>
    <w:rsid w:val="002125DA"/>
    <w:rsid w:val="00213748"/>
    <w:rsid w:val="00213EC8"/>
    <w:rsid w:val="0021465E"/>
    <w:rsid w:val="00217C64"/>
    <w:rsid w:val="00220EDA"/>
    <w:rsid w:val="00222DA1"/>
    <w:rsid w:val="0022369F"/>
    <w:rsid w:val="00223A7F"/>
    <w:rsid w:val="00224DA4"/>
    <w:rsid w:val="00227FE0"/>
    <w:rsid w:val="00234FDE"/>
    <w:rsid w:val="00245F5F"/>
    <w:rsid w:val="00251437"/>
    <w:rsid w:val="00252E75"/>
    <w:rsid w:val="00253675"/>
    <w:rsid w:val="00254B2F"/>
    <w:rsid w:val="00256425"/>
    <w:rsid w:val="00257F78"/>
    <w:rsid w:val="00263CA6"/>
    <w:rsid w:val="00284A2C"/>
    <w:rsid w:val="002879F5"/>
    <w:rsid w:val="00291168"/>
    <w:rsid w:val="002917F4"/>
    <w:rsid w:val="002929F2"/>
    <w:rsid w:val="00296E69"/>
    <w:rsid w:val="002A57A4"/>
    <w:rsid w:val="002B07BB"/>
    <w:rsid w:val="002B0FB1"/>
    <w:rsid w:val="002B4431"/>
    <w:rsid w:val="002B632D"/>
    <w:rsid w:val="002C0477"/>
    <w:rsid w:val="002C2F88"/>
    <w:rsid w:val="002C34B3"/>
    <w:rsid w:val="002D0143"/>
    <w:rsid w:val="002D24DD"/>
    <w:rsid w:val="002D250B"/>
    <w:rsid w:val="002D3EED"/>
    <w:rsid w:val="002D68AE"/>
    <w:rsid w:val="002E0C9A"/>
    <w:rsid w:val="002E3ACB"/>
    <w:rsid w:val="002F0813"/>
    <w:rsid w:val="002F3B55"/>
    <w:rsid w:val="00301149"/>
    <w:rsid w:val="0030627F"/>
    <w:rsid w:val="003116BC"/>
    <w:rsid w:val="00322D64"/>
    <w:rsid w:val="003233F7"/>
    <w:rsid w:val="003263DD"/>
    <w:rsid w:val="00331F91"/>
    <w:rsid w:val="003327E3"/>
    <w:rsid w:val="00342DD9"/>
    <w:rsid w:val="00344980"/>
    <w:rsid w:val="00347278"/>
    <w:rsid w:val="00347ABE"/>
    <w:rsid w:val="0035109E"/>
    <w:rsid w:val="00352893"/>
    <w:rsid w:val="003535E0"/>
    <w:rsid w:val="00355F52"/>
    <w:rsid w:val="003570F6"/>
    <w:rsid w:val="00360A23"/>
    <w:rsid w:val="00360F57"/>
    <w:rsid w:val="00365D01"/>
    <w:rsid w:val="00366209"/>
    <w:rsid w:val="00373483"/>
    <w:rsid w:val="0038236C"/>
    <w:rsid w:val="00382EAF"/>
    <w:rsid w:val="00383571"/>
    <w:rsid w:val="00383D0E"/>
    <w:rsid w:val="00384027"/>
    <w:rsid w:val="003843EC"/>
    <w:rsid w:val="00387EF6"/>
    <w:rsid w:val="003920B9"/>
    <w:rsid w:val="003939C0"/>
    <w:rsid w:val="00396732"/>
    <w:rsid w:val="003A2BF9"/>
    <w:rsid w:val="003A3291"/>
    <w:rsid w:val="003A3CBF"/>
    <w:rsid w:val="003C192A"/>
    <w:rsid w:val="003C3C69"/>
    <w:rsid w:val="003C700C"/>
    <w:rsid w:val="003C7D9A"/>
    <w:rsid w:val="003D0AAA"/>
    <w:rsid w:val="003D20DD"/>
    <w:rsid w:val="003E13F3"/>
    <w:rsid w:val="003E7FE5"/>
    <w:rsid w:val="003F43C5"/>
    <w:rsid w:val="003F5D98"/>
    <w:rsid w:val="003F6E4F"/>
    <w:rsid w:val="00403CA6"/>
    <w:rsid w:val="00405625"/>
    <w:rsid w:val="004115A9"/>
    <w:rsid w:val="00411C6B"/>
    <w:rsid w:val="004162D6"/>
    <w:rsid w:val="004174C2"/>
    <w:rsid w:val="00420A7B"/>
    <w:rsid w:val="00425C46"/>
    <w:rsid w:val="0043199C"/>
    <w:rsid w:val="004352C9"/>
    <w:rsid w:val="0043600E"/>
    <w:rsid w:val="004370B9"/>
    <w:rsid w:val="00440BE1"/>
    <w:rsid w:val="00445E69"/>
    <w:rsid w:val="00447669"/>
    <w:rsid w:val="00454D0B"/>
    <w:rsid w:val="00455279"/>
    <w:rsid w:val="00455D7A"/>
    <w:rsid w:val="0046344B"/>
    <w:rsid w:val="00470CE9"/>
    <w:rsid w:val="00471C7B"/>
    <w:rsid w:val="0047221D"/>
    <w:rsid w:val="00472C22"/>
    <w:rsid w:val="00473443"/>
    <w:rsid w:val="00475C9F"/>
    <w:rsid w:val="004810B8"/>
    <w:rsid w:val="00482A26"/>
    <w:rsid w:val="00482B0A"/>
    <w:rsid w:val="00484DBA"/>
    <w:rsid w:val="004853CC"/>
    <w:rsid w:val="00485BB7"/>
    <w:rsid w:val="00487822"/>
    <w:rsid w:val="00491A46"/>
    <w:rsid w:val="00494D5A"/>
    <w:rsid w:val="00497CD5"/>
    <w:rsid w:val="004A20C9"/>
    <w:rsid w:val="004A28F1"/>
    <w:rsid w:val="004A4722"/>
    <w:rsid w:val="004B1377"/>
    <w:rsid w:val="004B5F8D"/>
    <w:rsid w:val="004C0E42"/>
    <w:rsid w:val="004C27B4"/>
    <w:rsid w:val="004D09F2"/>
    <w:rsid w:val="004D137E"/>
    <w:rsid w:val="004D2CCB"/>
    <w:rsid w:val="004D7964"/>
    <w:rsid w:val="004E01BE"/>
    <w:rsid w:val="004E2A3D"/>
    <w:rsid w:val="004E6A26"/>
    <w:rsid w:val="004E7381"/>
    <w:rsid w:val="004E78A6"/>
    <w:rsid w:val="004F3A0D"/>
    <w:rsid w:val="004F4139"/>
    <w:rsid w:val="004F4E12"/>
    <w:rsid w:val="004F6457"/>
    <w:rsid w:val="004F79B6"/>
    <w:rsid w:val="0050017F"/>
    <w:rsid w:val="0050269F"/>
    <w:rsid w:val="00505817"/>
    <w:rsid w:val="00506FB7"/>
    <w:rsid w:val="00515A41"/>
    <w:rsid w:val="00516F09"/>
    <w:rsid w:val="00523247"/>
    <w:rsid w:val="00526A68"/>
    <w:rsid w:val="00530A4B"/>
    <w:rsid w:val="00551FD3"/>
    <w:rsid w:val="00552289"/>
    <w:rsid w:val="00552309"/>
    <w:rsid w:val="00552FF5"/>
    <w:rsid w:val="00555908"/>
    <w:rsid w:val="00564001"/>
    <w:rsid w:val="00564A57"/>
    <w:rsid w:val="00571239"/>
    <w:rsid w:val="00571811"/>
    <w:rsid w:val="005723CF"/>
    <w:rsid w:val="00574FD2"/>
    <w:rsid w:val="005828CF"/>
    <w:rsid w:val="0058488B"/>
    <w:rsid w:val="00584A71"/>
    <w:rsid w:val="00590B66"/>
    <w:rsid w:val="005944CF"/>
    <w:rsid w:val="00596122"/>
    <w:rsid w:val="00596F0D"/>
    <w:rsid w:val="005A0F53"/>
    <w:rsid w:val="005A2A56"/>
    <w:rsid w:val="005A45DD"/>
    <w:rsid w:val="005B6D02"/>
    <w:rsid w:val="005C00F6"/>
    <w:rsid w:val="005C3646"/>
    <w:rsid w:val="005C36FF"/>
    <w:rsid w:val="005C611E"/>
    <w:rsid w:val="005D6F22"/>
    <w:rsid w:val="005D7FE4"/>
    <w:rsid w:val="005E23D0"/>
    <w:rsid w:val="005E5309"/>
    <w:rsid w:val="005F0786"/>
    <w:rsid w:val="005F43DA"/>
    <w:rsid w:val="005F5365"/>
    <w:rsid w:val="005F6932"/>
    <w:rsid w:val="006101B0"/>
    <w:rsid w:val="006133D2"/>
    <w:rsid w:val="006136E1"/>
    <w:rsid w:val="0061472F"/>
    <w:rsid w:val="00614915"/>
    <w:rsid w:val="00614EC9"/>
    <w:rsid w:val="006165B3"/>
    <w:rsid w:val="00616E49"/>
    <w:rsid w:val="00617061"/>
    <w:rsid w:val="00622AAC"/>
    <w:rsid w:val="00623919"/>
    <w:rsid w:val="0062619F"/>
    <w:rsid w:val="00630EA6"/>
    <w:rsid w:val="00634E3F"/>
    <w:rsid w:val="00636345"/>
    <w:rsid w:val="00642EE9"/>
    <w:rsid w:val="00644B8D"/>
    <w:rsid w:val="00645D77"/>
    <w:rsid w:val="006503AC"/>
    <w:rsid w:val="00657047"/>
    <w:rsid w:val="0066034E"/>
    <w:rsid w:val="00660668"/>
    <w:rsid w:val="00672003"/>
    <w:rsid w:val="00672868"/>
    <w:rsid w:val="00676402"/>
    <w:rsid w:val="0068171E"/>
    <w:rsid w:val="00686231"/>
    <w:rsid w:val="00691D8F"/>
    <w:rsid w:val="00693D62"/>
    <w:rsid w:val="006B15C5"/>
    <w:rsid w:val="006B27F5"/>
    <w:rsid w:val="006B28EE"/>
    <w:rsid w:val="006B5D7E"/>
    <w:rsid w:val="006C2F02"/>
    <w:rsid w:val="006C42CE"/>
    <w:rsid w:val="006C4BED"/>
    <w:rsid w:val="006C53D2"/>
    <w:rsid w:val="006D1971"/>
    <w:rsid w:val="006D22B3"/>
    <w:rsid w:val="006D3813"/>
    <w:rsid w:val="006D41A0"/>
    <w:rsid w:val="006D4B7F"/>
    <w:rsid w:val="006D6872"/>
    <w:rsid w:val="006E06EA"/>
    <w:rsid w:val="006E69DC"/>
    <w:rsid w:val="006F21E1"/>
    <w:rsid w:val="006F3538"/>
    <w:rsid w:val="006F3964"/>
    <w:rsid w:val="007037DD"/>
    <w:rsid w:val="007037F2"/>
    <w:rsid w:val="00703B38"/>
    <w:rsid w:val="00710DC7"/>
    <w:rsid w:val="00717563"/>
    <w:rsid w:val="00721EE2"/>
    <w:rsid w:val="0072482C"/>
    <w:rsid w:val="00735200"/>
    <w:rsid w:val="00735B24"/>
    <w:rsid w:val="00741D56"/>
    <w:rsid w:val="00742BE4"/>
    <w:rsid w:val="00746A73"/>
    <w:rsid w:val="00750F54"/>
    <w:rsid w:val="00753735"/>
    <w:rsid w:val="00756CE0"/>
    <w:rsid w:val="00757061"/>
    <w:rsid w:val="0075789A"/>
    <w:rsid w:val="00757A4F"/>
    <w:rsid w:val="007615D4"/>
    <w:rsid w:val="00761759"/>
    <w:rsid w:val="007663EF"/>
    <w:rsid w:val="00771B1D"/>
    <w:rsid w:val="00771C9C"/>
    <w:rsid w:val="00776208"/>
    <w:rsid w:val="00787D5F"/>
    <w:rsid w:val="0079039B"/>
    <w:rsid w:val="007918BD"/>
    <w:rsid w:val="007A1349"/>
    <w:rsid w:val="007A3567"/>
    <w:rsid w:val="007A4EA0"/>
    <w:rsid w:val="007A56B8"/>
    <w:rsid w:val="007B5042"/>
    <w:rsid w:val="007C0378"/>
    <w:rsid w:val="007D2042"/>
    <w:rsid w:val="007E0153"/>
    <w:rsid w:val="007E0256"/>
    <w:rsid w:val="007E19D1"/>
    <w:rsid w:val="007E21C3"/>
    <w:rsid w:val="007E2AB6"/>
    <w:rsid w:val="007E4DC1"/>
    <w:rsid w:val="007E5E18"/>
    <w:rsid w:val="007F14AB"/>
    <w:rsid w:val="007F35A5"/>
    <w:rsid w:val="007F3913"/>
    <w:rsid w:val="007F4282"/>
    <w:rsid w:val="008003E8"/>
    <w:rsid w:val="00802693"/>
    <w:rsid w:val="00802C50"/>
    <w:rsid w:val="0080309D"/>
    <w:rsid w:val="00804233"/>
    <w:rsid w:val="00806B35"/>
    <w:rsid w:val="008200F1"/>
    <w:rsid w:val="00820E6A"/>
    <w:rsid w:val="00821F9F"/>
    <w:rsid w:val="00827C9C"/>
    <w:rsid w:val="00833F72"/>
    <w:rsid w:val="008429CF"/>
    <w:rsid w:val="008450D9"/>
    <w:rsid w:val="0084724A"/>
    <w:rsid w:val="00847545"/>
    <w:rsid w:val="00851BB2"/>
    <w:rsid w:val="00853176"/>
    <w:rsid w:val="00855B7C"/>
    <w:rsid w:val="00856AC8"/>
    <w:rsid w:val="008621D6"/>
    <w:rsid w:val="00863948"/>
    <w:rsid w:val="00863C8F"/>
    <w:rsid w:val="00870B97"/>
    <w:rsid w:val="00873EDA"/>
    <w:rsid w:val="0087467E"/>
    <w:rsid w:val="00874F65"/>
    <w:rsid w:val="00890A16"/>
    <w:rsid w:val="00891412"/>
    <w:rsid w:val="00891F77"/>
    <w:rsid w:val="008929BB"/>
    <w:rsid w:val="008949D1"/>
    <w:rsid w:val="00895D77"/>
    <w:rsid w:val="008A0372"/>
    <w:rsid w:val="008A0D3A"/>
    <w:rsid w:val="008A4221"/>
    <w:rsid w:val="008A483B"/>
    <w:rsid w:val="008A5870"/>
    <w:rsid w:val="008B0BCB"/>
    <w:rsid w:val="008C38EF"/>
    <w:rsid w:val="008C5D0F"/>
    <w:rsid w:val="008C7E29"/>
    <w:rsid w:val="008D5127"/>
    <w:rsid w:val="008D68C0"/>
    <w:rsid w:val="008D6EED"/>
    <w:rsid w:val="008E02E5"/>
    <w:rsid w:val="008E10B5"/>
    <w:rsid w:val="008E1956"/>
    <w:rsid w:val="008E2A23"/>
    <w:rsid w:val="008E3156"/>
    <w:rsid w:val="008E74ED"/>
    <w:rsid w:val="008F596D"/>
    <w:rsid w:val="008F5EC2"/>
    <w:rsid w:val="00902FA0"/>
    <w:rsid w:val="0090495C"/>
    <w:rsid w:val="009070F5"/>
    <w:rsid w:val="00912EE7"/>
    <w:rsid w:val="00914CC9"/>
    <w:rsid w:val="00915B19"/>
    <w:rsid w:val="00920C52"/>
    <w:rsid w:val="0093033C"/>
    <w:rsid w:val="009318E0"/>
    <w:rsid w:val="0093345A"/>
    <w:rsid w:val="009356C5"/>
    <w:rsid w:val="009417FC"/>
    <w:rsid w:val="00944300"/>
    <w:rsid w:val="00945DD9"/>
    <w:rsid w:val="00946323"/>
    <w:rsid w:val="00946A22"/>
    <w:rsid w:val="00952384"/>
    <w:rsid w:val="009532D2"/>
    <w:rsid w:val="00953D03"/>
    <w:rsid w:val="009553F5"/>
    <w:rsid w:val="00962521"/>
    <w:rsid w:val="009625BC"/>
    <w:rsid w:val="0096686E"/>
    <w:rsid w:val="0096767F"/>
    <w:rsid w:val="0097072E"/>
    <w:rsid w:val="00970D33"/>
    <w:rsid w:val="009717AA"/>
    <w:rsid w:val="0097206E"/>
    <w:rsid w:val="0097307E"/>
    <w:rsid w:val="00974F38"/>
    <w:rsid w:val="00977116"/>
    <w:rsid w:val="00982FFF"/>
    <w:rsid w:val="009830DC"/>
    <w:rsid w:val="00984D08"/>
    <w:rsid w:val="00992710"/>
    <w:rsid w:val="00995B2F"/>
    <w:rsid w:val="00995F8F"/>
    <w:rsid w:val="009A0DED"/>
    <w:rsid w:val="009A43F4"/>
    <w:rsid w:val="009A595E"/>
    <w:rsid w:val="009B2F4B"/>
    <w:rsid w:val="009B68AD"/>
    <w:rsid w:val="009C0DE1"/>
    <w:rsid w:val="009C1C01"/>
    <w:rsid w:val="009C27D7"/>
    <w:rsid w:val="009C319B"/>
    <w:rsid w:val="009C45A4"/>
    <w:rsid w:val="009C5647"/>
    <w:rsid w:val="009C7B2F"/>
    <w:rsid w:val="009D13E9"/>
    <w:rsid w:val="009D17D3"/>
    <w:rsid w:val="009D5A17"/>
    <w:rsid w:val="009D671A"/>
    <w:rsid w:val="009E0C96"/>
    <w:rsid w:val="009E3171"/>
    <w:rsid w:val="009E4100"/>
    <w:rsid w:val="009E7AE8"/>
    <w:rsid w:val="009F47BC"/>
    <w:rsid w:val="009F53EE"/>
    <w:rsid w:val="00A00812"/>
    <w:rsid w:val="00A1281A"/>
    <w:rsid w:val="00A12D99"/>
    <w:rsid w:val="00A1732E"/>
    <w:rsid w:val="00A208AB"/>
    <w:rsid w:val="00A23047"/>
    <w:rsid w:val="00A232BF"/>
    <w:rsid w:val="00A31BE9"/>
    <w:rsid w:val="00A31E67"/>
    <w:rsid w:val="00A338DE"/>
    <w:rsid w:val="00A36E0A"/>
    <w:rsid w:val="00A40923"/>
    <w:rsid w:val="00A453B8"/>
    <w:rsid w:val="00A45D09"/>
    <w:rsid w:val="00A61997"/>
    <w:rsid w:val="00A64F24"/>
    <w:rsid w:val="00A7192D"/>
    <w:rsid w:val="00A7238F"/>
    <w:rsid w:val="00A72A46"/>
    <w:rsid w:val="00A73C61"/>
    <w:rsid w:val="00A742C6"/>
    <w:rsid w:val="00A75D5E"/>
    <w:rsid w:val="00A774A8"/>
    <w:rsid w:val="00A82D4B"/>
    <w:rsid w:val="00A8450A"/>
    <w:rsid w:val="00A84AB7"/>
    <w:rsid w:val="00A862E1"/>
    <w:rsid w:val="00A867B2"/>
    <w:rsid w:val="00A87051"/>
    <w:rsid w:val="00A909E4"/>
    <w:rsid w:val="00A93472"/>
    <w:rsid w:val="00A93484"/>
    <w:rsid w:val="00AA2C0E"/>
    <w:rsid w:val="00AA31CC"/>
    <w:rsid w:val="00AB33AD"/>
    <w:rsid w:val="00AC4615"/>
    <w:rsid w:val="00AD2352"/>
    <w:rsid w:val="00AD2D96"/>
    <w:rsid w:val="00AD3815"/>
    <w:rsid w:val="00AD4C82"/>
    <w:rsid w:val="00AD4CEB"/>
    <w:rsid w:val="00AE29E7"/>
    <w:rsid w:val="00AE4A35"/>
    <w:rsid w:val="00AE59C5"/>
    <w:rsid w:val="00AE5A42"/>
    <w:rsid w:val="00AF07AF"/>
    <w:rsid w:val="00B00E6C"/>
    <w:rsid w:val="00B02301"/>
    <w:rsid w:val="00B03A5F"/>
    <w:rsid w:val="00B06475"/>
    <w:rsid w:val="00B075EB"/>
    <w:rsid w:val="00B117D1"/>
    <w:rsid w:val="00B11FF4"/>
    <w:rsid w:val="00B16313"/>
    <w:rsid w:val="00B16A90"/>
    <w:rsid w:val="00B27130"/>
    <w:rsid w:val="00B410D0"/>
    <w:rsid w:val="00B41A08"/>
    <w:rsid w:val="00B42BFD"/>
    <w:rsid w:val="00B4372D"/>
    <w:rsid w:val="00B440EB"/>
    <w:rsid w:val="00B46C16"/>
    <w:rsid w:val="00B50B2D"/>
    <w:rsid w:val="00B564FE"/>
    <w:rsid w:val="00B60015"/>
    <w:rsid w:val="00B61752"/>
    <w:rsid w:val="00B64D46"/>
    <w:rsid w:val="00B65355"/>
    <w:rsid w:val="00B65B18"/>
    <w:rsid w:val="00B73ED2"/>
    <w:rsid w:val="00B74AE5"/>
    <w:rsid w:val="00B76AF2"/>
    <w:rsid w:val="00B8004D"/>
    <w:rsid w:val="00B82B9D"/>
    <w:rsid w:val="00B82EAA"/>
    <w:rsid w:val="00B85B02"/>
    <w:rsid w:val="00B93121"/>
    <w:rsid w:val="00B9692C"/>
    <w:rsid w:val="00BA46A3"/>
    <w:rsid w:val="00BA4953"/>
    <w:rsid w:val="00BA5A4E"/>
    <w:rsid w:val="00BA61EE"/>
    <w:rsid w:val="00BB1FA2"/>
    <w:rsid w:val="00BB5CE5"/>
    <w:rsid w:val="00BC053C"/>
    <w:rsid w:val="00BC530E"/>
    <w:rsid w:val="00BD2512"/>
    <w:rsid w:val="00BE0037"/>
    <w:rsid w:val="00BE2947"/>
    <w:rsid w:val="00BE6504"/>
    <w:rsid w:val="00BF25FA"/>
    <w:rsid w:val="00BF365C"/>
    <w:rsid w:val="00BF7E18"/>
    <w:rsid w:val="00C02DBF"/>
    <w:rsid w:val="00C03332"/>
    <w:rsid w:val="00C143E8"/>
    <w:rsid w:val="00C15633"/>
    <w:rsid w:val="00C1672F"/>
    <w:rsid w:val="00C17BF7"/>
    <w:rsid w:val="00C2038B"/>
    <w:rsid w:val="00C21CC2"/>
    <w:rsid w:val="00C25519"/>
    <w:rsid w:val="00C322C5"/>
    <w:rsid w:val="00C354E3"/>
    <w:rsid w:val="00C4697F"/>
    <w:rsid w:val="00C6202D"/>
    <w:rsid w:val="00C62CF6"/>
    <w:rsid w:val="00C63448"/>
    <w:rsid w:val="00C63F35"/>
    <w:rsid w:val="00C66EA4"/>
    <w:rsid w:val="00C7037E"/>
    <w:rsid w:val="00C71889"/>
    <w:rsid w:val="00C71A74"/>
    <w:rsid w:val="00C7214E"/>
    <w:rsid w:val="00C73541"/>
    <w:rsid w:val="00C7648E"/>
    <w:rsid w:val="00C8165C"/>
    <w:rsid w:val="00C82995"/>
    <w:rsid w:val="00C82D38"/>
    <w:rsid w:val="00C8323E"/>
    <w:rsid w:val="00C84498"/>
    <w:rsid w:val="00C8463B"/>
    <w:rsid w:val="00C849ED"/>
    <w:rsid w:val="00C86D30"/>
    <w:rsid w:val="00C92281"/>
    <w:rsid w:val="00C9472B"/>
    <w:rsid w:val="00C95A4E"/>
    <w:rsid w:val="00C97166"/>
    <w:rsid w:val="00CA0AD7"/>
    <w:rsid w:val="00CB0381"/>
    <w:rsid w:val="00CB559E"/>
    <w:rsid w:val="00CB5EDC"/>
    <w:rsid w:val="00CB7534"/>
    <w:rsid w:val="00CB7FB6"/>
    <w:rsid w:val="00CC03EF"/>
    <w:rsid w:val="00CC4EF4"/>
    <w:rsid w:val="00CC7753"/>
    <w:rsid w:val="00CE06CC"/>
    <w:rsid w:val="00CE2609"/>
    <w:rsid w:val="00CE298A"/>
    <w:rsid w:val="00CE2A85"/>
    <w:rsid w:val="00CE3C61"/>
    <w:rsid w:val="00CE6026"/>
    <w:rsid w:val="00CE6B8B"/>
    <w:rsid w:val="00CE7F3F"/>
    <w:rsid w:val="00CF12D2"/>
    <w:rsid w:val="00CF488E"/>
    <w:rsid w:val="00CF48F9"/>
    <w:rsid w:val="00CF6B79"/>
    <w:rsid w:val="00CF7042"/>
    <w:rsid w:val="00D00741"/>
    <w:rsid w:val="00D0135F"/>
    <w:rsid w:val="00D02CCC"/>
    <w:rsid w:val="00D064C9"/>
    <w:rsid w:val="00D06D79"/>
    <w:rsid w:val="00D10555"/>
    <w:rsid w:val="00D108FD"/>
    <w:rsid w:val="00D22684"/>
    <w:rsid w:val="00D305D7"/>
    <w:rsid w:val="00D36615"/>
    <w:rsid w:val="00D405C2"/>
    <w:rsid w:val="00D4341A"/>
    <w:rsid w:val="00D449AE"/>
    <w:rsid w:val="00D45678"/>
    <w:rsid w:val="00D46980"/>
    <w:rsid w:val="00D5071A"/>
    <w:rsid w:val="00D53001"/>
    <w:rsid w:val="00D558BA"/>
    <w:rsid w:val="00D5643B"/>
    <w:rsid w:val="00D56818"/>
    <w:rsid w:val="00D57982"/>
    <w:rsid w:val="00D62BA7"/>
    <w:rsid w:val="00D62C81"/>
    <w:rsid w:val="00D632AF"/>
    <w:rsid w:val="00D65F00"/>
    <w:rsid w:val="00D70566"/>
    <w:rsid w:val="00D70B7C"/>
    <w:rsid w:val="00D75ADC"/>
    <w:rsid w:val="00D771D4"/>
    <w:rsid w:val="00D779B3"/>
    <w:rsid w:val="00D83008"/>
    <w:rsid w:val="00D86301"/>
    <w:rsid w:val="00D87EF9"/>
    <w:rsid w:val="00D92696"/>
    <w:rsid w:val="00D9415C"/>
    <w:rsid w:val="00D9450E"/>
    <w:rsid w:val="00D96401"/>
    <w:rsid w:val="00D96FAA"/>
    <w:rsid w:val="00DB3C97"/>
    <w:rsid w:val="00DB78AA"/>
    <w:rsid w:val="00DB7B6A"/>
    <w:rsid w:val="00DC1628"/>
    <w:rsid w:val="00DC413A"/>
    <w:rsid w:val="00DD0812"/>
    <w:rsid w:val="00DD3616"/>
    <w:rsid w:val="00DE0A50"/>
    <w:rsid w:val="00DE4D4D"/>
    <w:rsid w:val="00DE6F9F"/>
    <w:rsid w:val="00DF132F"/>
    <w:rsid w:val="00DF32B0"/>
    <w:rsid w:val="00E01F26"/>
    <w:rsid w:val="00E0273C"/>
    <w:rsid w:val="00E041CD"/>
    <w:rsid w:val="00E05D31"/>
    <w:rsid w:val="00E07150"/>
    <w:rsid w:val="00E11913"/>
    <w:rsid w:val="00E230EF"/>
    <w:rsid w:val="00E236D6"/>
    <w:rsid w:val="00E305A5"/>
    <w:rsid w:val="00E35BA5"/>
    <w:rsid w:val="00E371BB"/>
    <w:rsid w:val="00E46747"/>
    <w:rsid w:val="00E476C2"/>
    <w:rsid w:val="00E523E1"/>
    <w:rsid w:val="00E56B25"/>
    <w:rsid w:val="00E65133"/>
    <w:rsid w:val="00E654E4"/>
    <w:rsid w:val="00E738E2"/>
    <w:rsid w:val="00E759B1"/>
    <w:rsid w:val="00E77EFF"/>
    <w:rsid w:val="00E849B1"/>
    <w:rsid w:val="00E9335B"/>
    <w:rsid w:val="00EA3E08"/>
    <w:rsid w:val="00EA521A"/>
    <w:rsid w:val="00EA52CD"/>
    <w:rsid w:val="00EB160C"/>
    <w:rsid w:val="00EB4EA0"/>
    <w:rsid w:val="00EC3687"/>
    <w:rsid w:val="00EC6938"/>
    <w:rsid w:val="00ED07E0"/>
    <w:rsid w:val="00ED2990"/>
    <w:rsid w:val="00ED3B1B"/>
    <w:rsid w:val="00ED3B6E"/>
    <w:rsid w:val="00ED6461"/>
    <w:rsid w:val="00ED773B"/>
    <w:rsid w:val="00EE22E2"/>
    <w:rsid w:val="00EE7D3C"/>
    <w:rsid w:val="00EF4628"/>
    <w:rsid w:val="00EF4870"/>
    <w:rsid w:val="00F02100"/>
    <w:rsid w:val="00F02214"/>
    <w:rsid w:val="00F028BF"/>
    <w:rsid w:val="00F17373"/>
    <w:rsid w:val="00F253A0"/>
    <w:rsid w:val="00F25838"/>
    <w:rsid w:val="00F325AA"/>
    <w:rsid w:val="00F53368"/>
    <w:rsid w:val="00F574EC"/>
    <w:rsid w:val="00F63A79"/>
    <w:rsid w:val="00F64DDC"/>
    <w:rsid w:val="00F66518"/>
    <w:rsid w:val="00F6690B"/>
    <w:rsid w:val="00F70C3B"/>
    <w:rsid w:val="00F72662"/>
    <w:rsid w:val="00F74980"/>
    <w:rsid w:val="00F76DE0"/>
    <w:rsid w:val="00F83E23"/>
    <w:rsid w:val="00F86AD1"/>
    <w:rsid w:val="00FA108D"/>
    <w:rsid w:val="00FA502F"/>
    <w:rsid w:val="00FB025C"/>
    <w:rsid w:val="00FB2A3E"/>
    <w:rsid w:val="00FB515C"/>
    <w:rsid w:val="00FB68C5"/>
    <w:rsid w:val="00FC1C6C"/>
    <w:rsid w:val="00FC1CF1"/>
    <w:rsid w:val="00FD212A"/>
    <w:rsid w:val="00FD4B3A"/>
    <w:rsid w:val="00FE12BC"/>
    <w:rsid w:val="00FE3FC6"/>
    <w:rsid w:val="00FE6EEA"/>
    <w:rsid w:val="00FF04D4"/>
    <w:rsid w:val="00FF2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50EEFF86-7C2F-4527-B7DA-B7D6E606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EF9"/>
    <w:pPr>
      <w:spacing w:line="260" w:lineRule="atLeast"/>
    </w:pPr>
    <w:rPr>
      <w:rFonts w:eastAsia="Calibr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1728F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728F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uiPriority w:val="99"/>
    <w:rsid w:val="00D87EF9"/>
    <w:pPr>
      <w:tabs>
        <w:tab w:val="center" w:pos="4153"/>
        <w:tab w:val="right" w:pos="8306"/>
      </w:tabs>
    </w:pPr>
    <w:rPr>
      <w:sz w:val="22"/>
      <w:szCs w:val="24"/>
    </w:rPr>
  </w:style>
  <w:style w:type="character" w:customStyle="1" w:styleId="subsectionChar">
    <w:name w:val="subsection Char"/>
    <w:aliases w:val="ss Char"/>
    <w:link w:val="subsection"/>
    <w:rsid w:val="001728F5"/>
    <w:rPr>
      <w:sz w:val="22"/>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rsid w:val="008A483B"/>
    <w:rPr>
      <w:color w:val="800080"/>
      <w:u w:val="single"/>
    </w:rPr>
  </w:style>
  <w:style w:type="paragraph" w:styleId="Header">
    <w:name w:val="header"/>
    <w:basedOn w:val="OPCParaBase"/>
    <w:link w:val="HeaderChar"/>
    <w:unhideWhenUsed/>
    <w:rsid w:val="00D87EF9"/>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rsid w:val="008A483B"/>
    <w:rPr>
      <w:i/>
      <w:iCs/>
    </w:rPr>
  </w:style>
  <w:style w:type="character" w:styleId="HTMLCode">
    <w:name w:val="HTML Code"/>
    <w:rsid w:val="008A483B"/>
    <w:rPr>
      <w:rFonts w:ascii="Courier New" w:hAnsi="Courier New" w:cs="Courier New"/>
      <w:sz w:val="20"/>
      <w:szCs w:val="20"/>
    </w:rPr>
  </w:style>
  <w:style w:type="character" w:styleId="HTMLDefinition">
    <w:name w:val="HTML Definition"/>
    <w:rsid w:val="008A483B"/>
    <w:rPr>
      <w:i/>
      <w:iCs/>
    </w:rPr>
  </w:style>
  <w:style w:type="character" w:styleId="HTMLKeyboard">
    <w:name w:val="HTML Keyboard"/>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rsid w:val="008A483B"/>
    <w:rPr>
      <w:rFonts w:ascii="Courier New" w:hAnsi="Courier New" w:cs="Courier New"/>
    </w:rPr>
  </w:style>
  <w:style w:type="character" w:styleId="HTMLTypewriter">
    <w:name w:val="HTML Typewriter"/>
    <w:rsid w:val="008A483B"/>
    <w:rPr>
      <w:rFonts w:ascii="Courier New" w:hAnsi="Courier New" w:cs="Courier New"/>
      <w:sz w:val="20"/>
      <w:szCs w:val="20"/>
    </w:rPr>
  </w:style>
  <w:style w:type="character" w:styleId="HTMLVariable">
    <w:name w:val="HTML Variable"/>
    <w:rsid w:val="008A483B"/>
    <w:rPr>
      <w:i/>
      <w:iCs/>
    </w:rPr>
  </w:style>
  <w:style w:type="character" w:styleId="Hyperlink">
    <w:name w:val="Hyperlink"/>
    <w:rsid w:val="008A483B"/>
    <w:rPr>
      <w:color w:val="0000FF"/>
      <w:u w:val="single"/>
    </w:rPr>
  </w:style>
  <w:style w:type="character" w:styleId="LineNumber">
    <w:name w:val="line number"/>
    <w:uiPriority w:val="99"/>
    <w:unhideWhenUsed/>
    <w:rsid w:val="00D87EF9"/>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1728F5"/>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87EF9"/>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D87EF9"/>
  </w:style>
  <w:style w:type="character" w:customStyle="1" w:styleId="CharAmSchText">
    <w:name w:val="CharAmSchText"/>
    <w:basedOn w:val="OPCCharBase"/>
    <w:uiPriority w:val="1"/>
    <w:qFormat/>
    <w:rsid w:val="00D87EF9"/>
  </w:style>
  <w:style w:type="character" w:customStyle="1" w:styleId="CharChapNo">
    <w:name w:val="CharChapNo"/>
    <w:basedOn w:val="OPCCharBase"/>
    <w:qFormat/>
    <w:rsid w:val="00D87EF9"/>
  </w:style>
  <w:style w:type="character" w:customStyle="1" w:styleId="CharChapText">
    <w:name w:val="CharChapText"/>
    <w:basedOn w:val="OPCCharBase"/>
    <w:qFormat/>
    <w:rsid w:val="00D87EF9"/>
  </w:style>
  <w:style w:type="character" w:customStyle="1" w:styleId="CharDivNo">
    <w:name w:val="CharDivNo"/>
    <w:basedOn w:val="OPCCharBase"/>
    <w:qFormat/>
    <w:rsid w:val="00D87EF9"/>
  </w:style>
  <w:style w:type="character" w:customStyle="1" w:styleId="CharDivText">
    <w:name w:val="CharDivText"/>
    <w:basedOn w:val="OPCCharBase"/>
    <w:qFormat/>
    <w:rsid w:val="00D87EF9"/>
  </w:style>
  <w:style w:type="character" w:customStyle="1" w:styleId="CharPartNo">
    <w:name w:val="CharPartNo"/>
    <w:basedOn w:val="OPCCharBase"/>
    <w:qFormat/>
    <w:rsid w:val="00D87EF9"/>
  </w:style>
  <w:style w:type="character" w:customStyle="1" w:styleId="CharPartText">
    <w:name w:val="CharPartText"/>
    <w:basedOn w:val="OPCCharBase"/>
    <w:qFormat/>
    <w:rsid w:val="00D87EF9"/>
  </w:style>
  <w:style w:type="character" w:customStyle="1" w:styleId="OPCCharBase">
    <w:name w:val="OPCCharBase"/>
    <w:uiPriority w:val="1"/>
    <w:qFormat/>
    <w:rsid w:val="00D87EF9"/>
  </w:style>
  <w:style w:type="paragraph" w:customStyle="1" w:styleId="OPCParaBase">
    <w:name w:val="OPCParaBase"/>
    <w:qFormat/>
    <w:rsid w:val="00D87EF9"/>
    <w:pPr>
      <w:spacing w:line="260" w:lineRule="atLeast"/>
    </w:pPr>
    <w:rPr>
      <w:sz w:val="22"/>
    </w:rPr>
  </w:style>
  <w:style w:type="character" w:customStyle="1" w:styleId="CharSectno">
    <w:name w:val="CharSectno"/>
    <w:basedOn w:val="OPCCharBase"/>
    <w:qFormat/>
    <w:rsid w:val="00D87EF9"/>
  </w:style>
  <w:style w:type="character" w:styleId="EndnoteReference">
    <w:name w:val="endnote reference"/>
    <w:rsid w:val="008A483B"/>
    <w:rPr>
      <w:vertAlign w:val="superscript"/>
    </w:rPr>
  </w:style>
  <w:style w:type="paragraph" w:styleId="EndnoteText">
    <w:name w:val="endnote text"/>
    <w:basedOn w:val="Normal"/>
    <w:rsid w:val="008A483B"/>
    <w:rPr>
      <w:sz w:val="20"/>
    </w:rPr>
  </w:style>
  <w:style w:type="character" w:styleId="FootnoteReference">
    <w:name w:val="footnote reference"/>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D87EF9"/>
    <w:pPr>
      <w:spacing w:line="240" w:lineRule="auto"/>
      <w:ind w:left="1134"/>
    </w:pPr>
    <w:rPr>
      <w:sz w:val="20"/>
    </w:rPr>
  </w:style>
  <w:style w:type="paragraph" w:customStyle="1" w:styleId="ShortT">
    <w:name w:val="ShortT"/>
    <w:basedOn w:val="OPCParaBase"/>
    <w:next w:val="Normal"/>
    <w:qFormat/>
    <w:rsid w:val="00D87EF9"/>
    <w:pPr>
      <w:spacing w:line="240" w:lineRule="auto"/>
    </w:pPr>
    <w:rPr>
      <w:b/>
      <w:sz w:val="40"/>
    </w:rPr>
  </w:style>
  <w:style w:type="paragraph" w:customStyle="1" w:styleId="Penalty">
    <w:name w:val="Penalty"/>
    <w:basedOn w:val="OPCParaBase"/>
    <w:rsid w:val="00D87EF9"/>
    <w:pPr>
      <w:tabs>
        <w:tab w:val="left" w:pos="2977"/>
      </w:tabs>
      <w:spacing w:before="180" w:line="240" w:lineRule="auto"/>
      <w:ind w:left="1985" w:hanging="851"/>
    </w:pPr>
  </w:style>
  <w:style w:type="paragraph" w:customStyle="1" w:styleId="ActHead1">
    <w:name w:val="ActHead 1"/>
    <w:aliases w:val="c"/>
    <w:basedOn w:val="OPCParaBase"/>
    <w:next w:val="Normal"/>
    <w:qFormat/>
    <w:rsid w:val="00D87EF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D87EF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7EF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87EF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87EF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87EF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87EF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87EF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87EF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87EF9"/>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D87EF9"/>
    <w:pPr>
      <w:spacing w:line="240" w:lineRule="auto"/>
    </w:pPr>
    <w:rPr>
      <w:sz w:val="20"/>
    </w:rPr>
  </w:style>
  <w:style w:type="paragraph" w:customStyle="1" w:styleId="ActHead2">
    <w:name w:val="ActHead 2"/>
    <w:aliases w:val="p"/>
    <w:basedOn w:val="OPCParaBase"/>
    <w:next w:val="ActHead3"/>
    <w:qFormat/>
    <w:rsid w:val="00D87EF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D87EF9"/>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rsid w:val="008A483B"/>
    <w:rPr>
      <w:sz w:val="16"/>
      <w:szCs w:val="16"/>
    </w:rPr>
  </w:style>
  <w:style w:type="paragraph" w:styleId="CommentText">
    <w:name w:val="annotation text"/>
    <w:basedOn w:val="Normal"/>
    <w:link w:val="CommentTextChar"/>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D87EF9"/>
    <w:pPr>
      <w:spacing w:before="122" w:line="198" w:lineRule="exact"/>
      <w:ind w:left="1985" w:hanging="851"/>
    </w:pPr>
    <w:rPr>
      <w:sz w:val="18"/>
    </w:rPr>
  </w:style>
  <w:style w:type="paragraph" w:customStyle="1" w:styleId="ActHead3">
    <w:name w:val="ActHead 3"/>
    <w:aliases w:val="d"/>
    <w:basedOn w:val="OPCParaBase"/>
    <w:next w:val="ActHead4"/>
    <w:qFormat/>
    <w:rsid w:val="00D87E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7E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87E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7E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7E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7E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7EF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7EF9"/>
  </w:style>
  <w:style w:type="paragraph" w:customStyle="1" w:styleId="Blocks">
    <w:name w:val="Blocks"/>
    <w:aliases w:val="bb"/>
    <w:basedOn w:val="OPCParaBase"/>
    <w:qFormat/>
    <w:rsid w:val="00D87EF9"/>
    <w:pPr>
      <w:spacing w:line="240" w:lineRule="auto"/>
    </w:pPr>
    <w:rPr>
      <w:sz w:val="24"/>
    </w:rPr>
  </w:style>
  <w:style w:type="paragraph" w:customStyle="1" w:styleId="BoxText">
    <w:name w:val="BoxText"/>
    <w:aliases w:val="bt"/>
    <w:basedOn w:val="OPCParaBase"/>
    <w:qFormat/>
    <w:rsid w:val="00D87E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7EF9"/>
    <w:rPr>
      <w:b/>
    </w:rPr>
  </w:style>
  <w:style w:type="paragraph" w:customStyle="1" w:styleId="BoxHeadItalic">
    <w:name w:val="BoxHeadItalic"/>
    <w:aliases w:val="bhi"/>
    <w:basedOn w:val="BoxText"/>
    <w:next w:val="BoxStep"/>
    <w:qFormat/>
    <w:rsid w:val="00D87EF9"/>
    <w:rPr>
      <w:i/>
    </w:rPr>
  </w:style>
  <w:style w:type="paragraph" w:customStyle="1" w:styleId="BoxList">
    <w:name w:val="BoxList"/>
    <w:aliases w:val="bl"/>
    <w:basedOn w:val="BoxText"/>
    <w:qFormat/>
    <w:rsid w:val="00D87EF9"/>
    <w:pPr>
      <w:ind w:left="1559" w:hanging="425"/>
    </w:pPr>
  </w:style>
  <w:style w:type="paragraph" w:customStyle="1" w:styleId="BoxNote">
    <w:name w:val="BoxNote"/>
    <w:aliases w:val="bn"/>
    <w:basedOn w:val="BoxText"/>
    <w:qFormat/>
    <w:rsid w:val="00D87EF9"/>
    <w:pPr>
      <w:tabs>
        <w:tab w:val="left" w:pos="1985"/>
      </w:tabs>
      <w:spacing w:before="122" w:line="198" w:lineRule="exact"/>
      <w:ind w:left="2948" w:hanging="1814"/>
    </w:pPr>
    <w:rPr>
      <w:sz w:val="18"/>
    </w:rPr>
  </w:style>
  <w:style w:type="paragraph" w:customStyle="1" w:styleId="BoxPara">
    <w:name w:val="BoxPara"/>
    <w:aliases w:val="bp"/>
    <w:basedOn w:val="BoxText"/>
    <w:qFormat/>
    <w:rsid w:val="00D87EF9"/>
    <w:pPr>
      <w:tabs>
        <w:tab w:val="right" w:pos="2268"/>
      </w:tabs>
      <w:ind w:left="2552" w:hanging="1418"/>
    </w:pPr>
  </w:style>
  <w:style w:type="paragraph" w:customStyle="1" w:styleId="BoxStep">
    <w:name w:val="BoxStep"/>
    <w:aliases w:val="bs"/>
    <w:basedOn w:val="BoxText"/>
    <w:qFormat/>
    <w:rsid w:val="00D87EF9"/>
    <w:pPr>
      <w:ind w:left="1985" w:hanging="851"/>
    </w:pPr>
  </w:style>
  <w:style w:type="character" w:customStyle="1" w:styleId="CharAmPartNo">
    <w:name w:val="CharAmPartNo"/>
    <w:basedOn w:val="OPCCharBase"/>
    <w:uiPriority w:val="1"/>
    <w:qFormat/>
    <w:rsid w:val="00D87EF9"/>
  </w:style>
  <w:style w:type="character" w:customStyle="1" w:styleId="CharAmPartText">
    <w:name w:val="CharAmPartText"/>
    <w:basedOn w:val="OPCCharBase"/>
    <w:uiPriority w:val="1"/>
    <w:qFormat/>
    <w:rsid w:val="00D87EF9"/>
  </w:style>
  <w:style w:type="character" w:customStyle="1" w:styleId="CharBoldItalic">
    <w:name w:val="CharBoldItalic"/>
    <w:uiPriority w:val="1"/>
    <w:qFormat/>
    <w:rsid w:val="00D87EF9"/>
    <w:rPr>
      <w:b/>
      <w:i/>
    </w:rPr>
  </w:style>
  <w:style w:type="character" w:customStyle="1" w:styleId="CharItalic">
    <w:name w:val="CharItalic"/>
    <w:uiPriority w:val="1"/>
    <w:qFormat/>
    <w:rsid w:val="00D87EF9"/>
    <w:rPr>
      <w:i/>
    </w:rPr>
  </w:style>
  <w:style w:type="character" w:customStyle="1" w:styleId="CharSubdNo">
    <w:name w:val="CharSubdNo"/>
    <w:basedOn w:val="OPCCharBase"/>
    <w:uiPriority w:val="1"/>
    <w:qFormat/>
    <w:rsid w:val="00D87EF9"/>
  </w:style>
  <w:style w:type="character" w:customStyle="1" w:styleId="CharSubdText">
    <w:name w:val="CharSubdText"/>
    <w:basedOn w:val="OPCCharBase"/>
    <w:uiPriority w:val="1"/>
    <w:qFormat/>
    <w:rsid w:val="00D87EF9"/>
  </w:style>
  <w:style w:type="paragraph" w:customStyle="1" w:styleId="CTA--">
    <w:name w:val="CTA --"/>
    <w:basedOn w:val="OPCParaBase"/>
    <w:next w:val="Normal"/>
    <w:rsid w:val="00D87EF9"/>
    <w:pPr>
      <w:spacing w:before="60" w:line="240" w:lineRule="atLeast"/>
      <w:ind w:left="142" w:hanging="142"/>
    </w:pPr>
    <w:rPr>
      <w:sz w:val="20"/>
    </w:rPr>
  </w:style>
  <w:style w:type="paragraph" w:customStyle="1" w:styleId="CTA-">
    <w:name w:val="CTA -"/>
    <w:basedOn w:val="OPCParaBase"/>
    <w:rsid w:val="00D87EF9"/>
    <w:pPr>
      <w:spacing w:before="60" w:line="240" w:lineRule="atLeast"/>
      <w:ind w:left="85" w:hanging="85"/>
    </w:pPr>
    <w:rPr>
      <w:sz w:val="20"/>
    </w:rPr>
  </w:style>
  <w:style w:type="paragraph" w:customStyle="1" w:styleId="CTA---">
    <w:name w:val="CTA ---"/>
    <w:basedOn w:val="OPCParaBase"/>
    <w:next w:val="Normal"/>
    <w:rsid w:val="00D87EF9"/>
    <w:pPr>
      <w:spacing w:before="60" w:line="240" w:lineRule="atLeast"/>
      <w:ind w:left="198" w:hanging="198"/>
    </w:pPr>
    <w:rPr>
      <w:sz w:val="20"/>
    </w:rPr>
  </w:style>
  <w:style w:type="paragraph" w:customStyle="1" w:styleId="CTA----">
    <w:name w:val="CTA ----"/>
    <w:basedOn w:val="OPCParaBase"/>
    <w:next w:val="Normal"/>
    <w:rsid w:val="00D87EF9"/>
    <w:pPr>
      <w:spacing w:before="60" w:line="240" w:lineRule="atLeast"/>
      <w:ind w:left="255" w:hanging="255"/>
    </w:pPr>
    <w:rPr>
      <w:sz w:val="20"/>
    </w:rPr>
  </w:style>
  <w:style w:type="paragraph" w:customStyle="1" w:styleId="CTA1a">
    <w:name w:val="CTA 1(a)"/>
    <w:basedOn w:val="OPCParaBase"/>
    <w:rsid w:val="00D87EF9"/>
    <w:pPr>
      <w:tabs>
        <w:tab w:val="right" w:pos="414"/>
      </w:tabs>
      <w:spacing w:before="40" w:line="240" w:lineRule="atLeast"/>
      <w:ind w:left="675" w:hanging="675"/>
    </w:pPr>
    <w:rPr>
      <w:sz w:val="20"/>
    </w:rPr>
  </w:style>
  <w:style w:type="paragraph" w:customStyle="1" w:styleId="CTA1ai">
    <w:name w:val="CTA 1(a)(i)"/>
    <w:basedOn w:val="OPCParaBase"/>
    <w:rsid w:val="00D87EF9"/>
    <w:pPr>
      <w:tabs>
        <w:tab w:val="right" w:pos="1004"/>
      </w:tabs>
      <w:spacing w:before="40" w:line="240" w:lineRule="atLeast"/>
      <w:ind w:left="1253" w:hanging="1253"/>
    </w:pPr>
    <w:rPr>
      <w:sz w:val="20"/>
    </w:rPr>
  </w:style>
  <w:style w:type="paragraph" w:customStyle="1" w:styleId="CTA2a">
    <w:name w:val="CTA 2(a)"/>
    <w:basedOn w:val="OPCParaBase"/>
    <w:rsid w:val="00D87EF9"/>
    <w:pPr>
      <w:tabs>
        <w:tab w:val="right" w:pos="482"/>
      </w:tabs>
      <w:spacing w:before="40" w:line="240" w:lineRule="atLeast"/>
      <w:ind w:left="748" w:hanging="748"/>
    </w:pPr>
    <w:rPr>
      <w:sz w:val="20"/>
    </w:rPr>
  </w:style>
  <w:style w:type="paragraph" w:customStyle="1" w:styleId="CTA2ai">
    <w:name w:val="CTA 2(a)(i)"/>
    <w:basedOn w:val="OPCParaBase"/>
    <w:rsid w:val="00D87EF9"/>
    <w:pPr>
      <w:tabs>
        <w:tab w:val="right" w:pos="1089"/>
      </w:tabs>
      <w:spacing w:before="40" w:line="240" w:lineRule="atLeast"/>
      <w:ind w:left="1327" w:hanging="1327"/>
    </w:pPr>
    <w:rPr>
      <w:sz w:val="20"/>
    </w:rPr>
  </w:style>
  <w:style w:type="paragraph" w:customStyle="1" w:styleId="CTA3a">
    <w:name w:val="CTA 3(a)"/>
    <w:basedOn w:val="OPCParaBase"/>
    <w:rsid w:val="00D87EF9"/>
    <w:pPr>
      <w:tabs>
        <w:tab w:val="right" w:pos="556"/>
      </w:tabs>
      <w:spacing w:before="40" w:line="240" w:lineRule="atLeast"/>
      <w:ind w:left="805" w:hanging="805"/>
    </w:pPr>
    <w:rPr>
      <w:sz w:val="20"/>
    </w:rPr>
  </w:style>
  <w:style w:type="paragraph" w:customStyle="1" w:styleId="CTA3ai">
    <w:name w:val="CTA 3(a)(i)"/>
    <w:basedOn w:val="OPCParaBase"/>
    <w:rsid w:val="00D87EF9"/>
    <w:pPr>
      <w:tabs>
        <w:tab w:val="right" w:pos="1140"/>
      </w:tabs>
      <w:spacing w:before="40" w:line="240" w:lineRule="atLeast"/>
      <w:ind w:left="1361" w:hanging="1361"/>
    </w:pPr>
    <w:rPr>
      <w:sz w:val="20"/>
    </w:rPr>
  </w:style>
  <w:style w:type="paragraph" w:customStyle="1" w:styleId="CTA4a">
    <w:name w:val="CTA 4(a)"/>
    <w:basedOn w:val="OPCParaBase"/>
    <w:rsid w:val="00D87EF9"/>
    <w:pPr>
      <w:tabs>
        <w:tab w:val="right" w:pos="624"/>
      </w:tabs>
      <w:spacing w:before="40" w:line="240" w:lineRule="atLeast"/>
      <w:ind w:left="873" w:hanging="873"/>
    </w:pPr>
    <w:rPr>
      <w:sz w:val="20"/>
    </w:rPr>
  </w:style>
  <w:style w:type="paragraph" w:customStyle="1" w:styleId="CTA4ai">
    <w:name w:val="CTA 4(a)(i)"/>
    <w:basedOn w:val="OPCParaBase"/>
    <w:rsid w:val="00D87EF9"/>
    <w:pPr>
      <w:tabs>
        <w:tab w:val="right" w:pos="1213"/>
      </w:tabs>
      <w:spacing w:before="40" w:line="240" w:lineRule="atLeast"/>
      <w:ind w:left="1452" w:hanging="1452"/>
    </w:pPr>
    <w:rPr>
      <w:sz w:val="20"/>
    </w:rPr>
  </w:style>
  <w:style w:type="paragraph" w:customStyle="1" w:styleId="CTACAPS">
    <w:name w:val="CTA CAPS"/>
    <w:basedOn w:val="OPCParaBase"/>
    <w:rsid w:val="00D87EF9"/>
    <w:pPr>
      <w:spacing w:before="60" w:line="240" w:lineRule="atLeast"/>
    </w:pPr>
    <w:rPr>
      <w:sz w:val="20"/>
    </w:rPr>
  </w:style>
  <w:style w:type="paragraph" w:customStyle="1" w:styleId="CTAright">
    <w:name w:val="CTA right"/>
    <w:basedOn w:val="OPCParaBase"/>
    <w:rsid w:val="00D87EF9"/>
    <w:pPr>
      <w:spacing w:before="60" w:line="240" w:lineRule="auto"/>
      <w:jc w:val="right"/>
    </w:pPr>
    <w:rPr>
      <w:sz w:val="20"/>
    </w:rPr>
  </w:style>
  <w:style w:type="paragraph" w:customStyle="1" w:styleId="subsection">
    <w:name w:val="subsection"/>
    <w:aliases w:val="ss"/>
    <w:basedOn w:val="OPCParaBase"/>
    <w:link w:val="subsectionChar"/>
    <w:rsid w:val="00D87EF9"/>
    <w:pPr>
      <w:tabs>
        <w:tab w:val="right" w:pos="1021"/>
      </w:tabs>
      <w:spacing w:before="180" w:line="240" w:lineRule="auto"/>
      <w:ind w:left="1134" w:hanging="1134"/>
    </w:pPr>
  </w:style>
  <w:style w:type="paragraph" w:customStyle="1" w:styleId="Definition">
    <w:name w:val="Definition"/>
    <w:aliases w:val="dd"/>
    <w:basedOn w:val="OPCParaBase"/>
    <w:rsid w:val="00D87EF9"/>
    <w:pPr>
      <w:spacing w:before="180" w:line="240" w:lineRule="auto"/>
      <w:ind w:left="1134"/>
    </w:pPr>
  </w:style>
  <w:style w:type="character" w:customStyle="1" w:styleId="HeaderChar">
    <w:name w:val="Header Char"/>
    <w:link w:val="Header"/>
    <w:rsid w:val="00D87EF9"/>
    <w:rPr>
      <w:sz w:val="16"/>
    </w:rPr>
  </w:style>
  <w:style w:type="paragraph" w:customStyle="1" w:styleId="House">
    <w:name w:val="House"/>
    <w:basedOn w:val="OPCParaBase"/>
    <w:rsid w:val="00D87EF9"/>
    <w:pPr>
      <w:spacing w:line="240" w:lineRule="auto"/>
    </w:pPr>
    <w:rPr>
      <w:sz w:val="28"/>
    </w:rPr>
  </w:style>
  <w:style w:type="paragraph" w:customStyle="1" w:styleId="Item">
    <w:name w:val="Item"/>
    <w:aliases w:val="i"/>
    <w:basedOn w:val="OPCParaBase"/>
    <w:next w:val="ItemHead"/>
    <w:rsid w:val="00D87EF9"/>
    <w:pPr>
      <w:keepLines/>
      <w:spacing w:before="80" w:line="240" w:lineRule="auto"/>
      <w:ind w:left="709"/>
    </w:pPr>
  </w:style>
  <w:style w:type="paragraph" w:customStyle="1" w:styleId="ItemHead">
    <w:name w:val="ItemHead"/>
    <w:aliases w:val="ih"/>
    <w:basedOn w:val="OPCParaBase"/>
    <w:next w:val="Item"/>
    <w:rsid w:val="00D87EF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7EF9"/>
    <w:pPr>
      <w:spacing w:line="240" w:lineRule="auto"/>
    </w:pPr>
    <w:rPr>
      <w:b/>
      <w:sz w:val="32"/>
    </w:rPr>
  </w:style>
  <w:style w:type="paragraph" w:customStyle="1" w:styleId="notedraft">
    <w:name w:val="note(draft)"/>
    <w:aliases w:val="nd"/>
    <w:basedOn w:val="OPCParaBase"/>
    <w:rsid w:val="00D87EF9"/>
    <w:pPr>
      <w:spacing w:before="240" w:line="240" w:lineRule="auto"/>
      <w:ind w:left="284" w:hanging="284"/>
    </w:pPr>
    <w:rPr>
      <w:i/>
      <w:sz w:val="24"/>
    </w:rPr>
  </w:style>
  <w:style w:type="paragraph" w:customStyle="1" w:styleId="notemargin">
    <w:name w:val="note(margin)"/>
    <w:aliases w:val="nm"/>
    <w:basedOn w:val="OPCParaBase"/>
    <w:rsid w:val="00D87EF9"/>
    <w:pPr>
      <w:tabs>
        <w:tab w:val="left" w:pos="709"/>
      </w:tabs>
      <w:spacing w:before="122" w:line="198" w:lineRule="exact"/>
      <w:ind w:left="709" w:hanging="709"/>
    </w:pPr>
    <w:rPr>
      <w:sz w:val="18"/>
    </w:rPr>
  </w:style>
  <w:style w:type="paragraph" w:customStyle="1" w:styleId="notepara">
    <w:name w:val="note(para)"/>
    <w:aliases w:val="na"/>
    <w:basedOn w:val="OPCParaBase"/>
    <w:rsid w:val="00D87EF9"/>
    <w:pPr>
      <w:spacing w:before="40" w:line="198" w:lineRule="exact"/>
      <w:ind w:left="2354" w:hanging="369"/>
    </w:pPr>
    <w:rPr>
      <w:sz w:val="18"/>
    </w:rPr>
  </w:style>
  <w:style w:type="paragraph" w:customStyle="1" w:styleId="noteParlAmend">
    <w:name w:val="note(ParlAmend)"/>
    <w:aliases w:val="npp"/>
    <w:basedOn w:val="OPCParaBase"/>
    <w:next w:val="ParlAmend"/>
    <w:rsid w:val="00D87EF9"/>
    <w:pPr>
      <w:spacing w:line="240" w:lineRule="auto"/>
      <w:jc w:val="right"/>
    </w:pPr>
    <w:rPr>
      <w:rFonts w:ascii="Arial" w:hAnsi="Arial"/>
      <w:b/>
      <w:i/>
    </w:rPr>
  </w:style>
  <w:style w:type="paragraph" w:customStyle="1" w:styleId="Page1">
    <w:name w:val="Page1"/>
    <w:basedOn w:val="OPCParaBase"/>
    <w:rsid w:val="00D87EF9"/>
    <w:pPr>
      <w:spacing w:before="5600" w:line="240" w:lineRule="auto"/>
    </w:pPr>
    <w:rPr>
      <w:b/>
      <w:sz w:val="32"/>
    </w:rPr>
  </w:style>
  <w:style w:type="paragraph" w:customStyle="1" w:styleId="paragraphsub">
    <w:name w:val="paragraph(sub)"/>
    <w:aliases w:val="aa"/>
    <w:basedOn w:val="OPCParaBase"/>
    <w:rsid w:val="00D87EF9"/>
    <w:pPr>
      <w:tabs>
        <w:tab w:val="right" w:pos="1985"/>
      </w:tabs>
      <w:spacing w:before="40" w:line="240" w:lineRule="auto"/>
      <w:ind w:left="2098" w:hanging="2098"/>
    </w:pPr>
  </w:style>
  <w:style w:type="paragraph" w:customStyle="1" w:styleId="paragraphsub-sub">
    <w:name w:val="paragraph(sub-sub)"/>
    <w:aliases w:val="aaa"/>
    <w:basedOn w:val="OPCParaBase"/>
    <w:rsid w:val="00D87EF9"/>
    <w:pPr>
      <w:tabs>
        <w:tab w:val="right" w:pos="2722"/>
      </w:tabs>
      <w:spacing w:before="40" w:line="240" w:lineRule="auto"/>
      <w:ind w:left="2835" w:hanging="2835"/>
    </w:pPr>
  </w:style>
  <w:style w:type="paragraph" w:customStyle="1" w:styleId="paragraph">
    <w:name w:val="paragraph"/>
    <w:aliases w:val="a"/>
    <w:basedOn w:val="OPCParaBase"/>
    <w:rsid w:val="00D87EF9"/>
    <w:pPr>
      <w:tabs>
        <w:tab w:val="right" w:pos="1531"/>
      </w:tabs>
      <w:spacing w:before="40" w:line="240" w:lineRule="auto"/>
      <w:ind w:left="1644" w:hanging="1644"/>
    </w:pPr>
  </w:style>
  <w:style w:type="paragraph" w:customStyle="1" w:styleId="ParlAmend">
    <w:name w:val="ParlAmend"/>
    <w:aliases w:val="pp"/>
    <w:basedOn w:val="OPCParaBase"/>
    <w:rsid w:val="00D87EF9"/>
    <w:pPr>
      <w:spacing w:before="240" w:line="240" w:lineRule="atLeast"/>
      <w:ind w:hanging="567"/>
    </w:pPr>
    <w:rPr>
      <w:sz w:val="24"/>
    </w:rPr>
  </w:style>
  <w:style w:type="paragraph" w:customStyle="1" w:styleId="Portfolio">
    <w:name w:val="Portfolio"/>
    <w:basedOn w:val="OPCParaBase"/>
    <w:rsid w:val="00D87EF9"/>
    <w:pPr>
      <w:spacing w:line="240" w:lineRule="auto"/>
    </w:pPr>
    <w:rPr>
      <w:i/>
      <w:sz w:val="20"/>
    </w:rPr>
  </w:style>
  <w:style w:type="paragraph" w:customStyle="1" w:styleId="Preamble">
    <w:name w:val="Preamble"/>
    <w:basedOn w:val="OPCParaBase"/>
    <w:next w:val="Normal"/>
    <w:rsid w:val="00D87E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7EF9"/>
    <w:pPr>
      <w:spacing w:line="240" w:lineRule="auto"/>
    </w:pPr>
    <w:rPr>
      <w:i/>
      <w:sz w:val="20"/>
    </w:rPr>
  </w:style>
  <w:style w:type="paragraph" w:customStyle="1" w:styleId="Session">
    <w:name w:val="Session"/>
    <w:basedOn w:val="OPCParaBase"/>
    <w:rsid w:val="00D87EF9"/>
    <w:pPr>
      <w:spacing w:line="240" w:lineRule="auto"/>
    </w:pPr>
    <w:rPr>
      <w:sz w:val="28"/>
    </w:rPr>
  </w:style>
  <w:style w:type="paragraph" w:customStyle="1" w:styleId="Sponsor">
    <w:name w:val="Sponsor"/>
    <w:basedOn w:val="OPCParaBase"/>
    <w:rsid w:val="00D87EF9"/>
    <w:pPr>
      <w:spacing w:line="240" w:lineRule="auto"/>
    </w:pPr>
    <w:rPr>
      <w:i/>
    </w:rPr>
  </w:style>
  <w:style w:type="paragraph" w:customStyle="1" w:styleId="Subitem">
    <w:name w:val="Subitem"/>
    <w:aliases w:val="iss"/>
    <w:basedOn w:val="OPCParaBase"/>
    <w:rsid w:val="00D87EF9"/>
    <w:pPr>
      <w:spacing w:before="180" w:line="240" w:lineRule="auto"/>
      <w:ind w:left="709" w:hanging="709"/>
    </w:pPr>
  </w:style>
  <w:style w:type="paragraph" w:customStyle="1" w:styleId="SubitemHead">
    <w:name w:val="SubitemHead"/>
    <w:aliases w:val="issh"/>
    <w:basedOn w:val="OPCParaBase"/>
    <w:rsid w:val="00D87E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7EF9"/>
    <w:pPr>
      <w:spacing w:before="40" w:line="240" w:lineRule="auto"/>
      <w:ind w:left="1134"/>
    </w:pPr>
  </w:style>
  <w:style w:type="paragraph" w:customStyle="1" w:styleId="SubsectionHead">
    <w:name w:val="SubsectionHead"/>
    <w:aliases w:val="ssh"/>
    <w:basedOn w:val="OPCParaBase"/>
    <w:next w:val="subsection"/>
    <w:rsid w:val="00D87EF9"/>
    <w:pPr>
      <w:keepNext/>
      <w:keepLines/>
      <w:spacing w:before="240" w:line="240" w:lineRule="auto"/>
      <w:ind w:left="1134"/>
    </w:pPr>
    <w:rPr>
      <w:i/>
    </w:rPr>
  </w:style>
  <w:style w:type="paragraph" w:customStyle="1" w:styleId="Tablea">
    <w:name w:val="Table(a)"/>
    <w:aliases w:val="ta"/>
    <w:basedOn w:val="OPCParaBase"/>
    <w:rsid w:val="00D87EF9"/>
    <w:pPr>
      <w:spacing w:before="60" w:line="240" w:lineRule="auto"/>
      <w:ind w:left="284" w:hanging="284"/>
    </w:pPr>
    <w:rPr>
      <w:sz w:val="20"/>
    </w:rPr>
  </w:style>
  <w:style w:type="paragraph" w:customStyle="1" w:styleId="TableAA">
    <w:name w:val="Table(AA)"/>
    <w:aliases w:val="taaa"/>
    <w:basedOn w:val="OPCParaBase"/>
    <w:rsid w:val="00D87EF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7EF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7EF9"/>
    <w:pPr>
      <w:spacing w:before="60" w:line="240" w:lineRule="atLeast"/>
    </w:pPr>
    <w:rPr>
      <w:sz w:val="20"/>
    </w:rPr>
  </w:style>
  <w:style w:type="paragraph" w:customStyle="1" w:styleId="TLPBoxTextnote">
    <w:name w:val="TLPBoxText(note"/>
    <w:aliases w:val="right)"/>
    <w:basedOn w:val="OPCParaBase"/>
    <w:rsid w:val="00D87E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7EF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7EF9"/>
    <w:pPr>
      <w:spacing w:before="122" w:line="198" w:lineRule="exact"/>
      <w:ind w:left="1985" w:hanging="851"/>
      <w:jc w:val="right"/>
    </w:pPr>
    <w:rPr>
      <w:sz w:val="18"/>
    </w:rPr>
  </w:style>
  <w:style w:type="paragraph" w:customStyle="1" w:styleId="TLPTableBullet">
    <w:name w:val="TLPTableBullet"/>
    <w:aliases w:val="ttb"/>
    <w:basedOn w:val="OPCParaBase"/>
    <w:rsid w:val="00D87EF9"/>
    <w:pPr>
      <w:spacing w:line="240" w:lineRule="exact"/>
      <w:ind w:left="284" w:hanging="284"/>
    </w:pPr>
    <w:rPr>
      <w:sz w:val="20"/>
    </w:rPr>
  </w:style>
  <w:style w:type="paragraph" w:customStyle="1" w:styleId="TofSectsGroupHeading">
    <w:name w:val="TofSects(GroupHeading)"/>
    <w:basedOn w:val="OPCParaBase"/>
    <w:next w:val="TofSectsSection"/>
    <w:rsid w:val="00D87EF9"/>
    <w:pPr>
      <w:keepLines/>
      <w:spacing w:before="240" w:after="120" w:line="240" w:lineRule="auto"/>
      <w:ind w:left="794"/>
    </w:pPr>
    <w:rPr>
      <w:b/>
      <w:kern w:val="28"/>
      <w:sz w:val="20"/>
    </w:rPr>
  </w:style>
  <w:style w:type="paragraph" w:customStyle="1" w:styleId="TofSectsHeading">
    <w:name w:val="TofSects(Heading)"/>
    <w:basedOn w:val="OPCParaBase"/>
    <w:rsid w:val="00D87EF9"/>
    <w:pPr>
      <w:spacing w:before="240" w:after="120" w:line="240" w:lineRule="auto"/>
    </w:pPr>
    <w:rPr>
      <w:b/>
      <w:sz w:val="24"/>
    </w:rPr>
  </w:style>
  <w:style w:type="paragraph" w:customStyle="1" w:styleId="TofSectsSection">
    <w:name w:val="TofSects(Section)"/>
    <w:basedOn w:val="OPCParaBase"/>
    <w:rsid w:val="00D87EF9"/>
    <w:pPr>
      <w:keepLines/>
      <w:spacing w:before="40" w:line="240" w:lineRule="auto"/>
      <w:ind w:left="1588" w:hanging="794"/>
    </w:pPr>
    <w:rPr>
      <w:kern w:val="28"/>
      <w:sz w:val="18"/>
    </w:rPr>
  </w:style>
  <w:style w:type="paragraph" w:customStyle="1" w:styleId="TofSectsSubdiv">
    <w:name w:val="TofSects(Subdiv)"/>
    <w:basedOn w:val="OPCParaBase"/>
    <w:rsid w:val="00D87EF9"/>
    <w:pPr>
      <w:keepLines/>
      <w:spacing w:before="80" w:line="240" w:lineRule="auto"/>
      <w:ind w:left="1588" w:hanging="794"/>
    </w:pPr>
    <w:rPr>
      <w:kern w:val="28"/>
    </w:rPr>
  </w:style>
  <w:style w:type="paragraph" w:customStyle="1" w:styleId="WRStyle">
    <w:name w:val="WR Style"/>
    <w:aliases w:val="WR"/>
    <w:basedOn w:val="OPCParaBase"/>
    <w:rsid w:val="00D87EF9"/>
    <w:pPr>
      <w:spacing w:before="240" w:line="240" w:lineRule="auto"/>
      <w:ind w:left="284" w:hanging="284"/>
    </w:pPr>
    <w:rPr>
      <w:b/>
      <w:i/>
      <w:kern w:val="28"/>
      <w:sz w:val="24"/>
    </w:rPr>
  </w:style>
  <w:style w:type="numbering" w:customStyle="1" w:styleId="OPCBodyList">
    <w:name w:val="OPCBodyList"/>
    <w:uiPriority w:val="99"/>
    <w:rsid w:val="001728F5"/>
    <w:pPr>
      <w:numPr>
        <w:numId w:val="17"/>
      </w:numPr>
    </w:pPr>
  </w:style>
  <w:style w:type="paragraph" w:customStyle="1" w:styleId="noteToPara">
    <w:name w:val="noteToPara"/>
    <w:aliases w:val="ntp"/>
    <w:basedOn w:val="OPCParaBase"/>
    <w:rsid w:val="00D87EF9"/>
    <w:pPr>
      <w:spacing w:before="122" w:line="198" w:lineRule="exact"/>
      <w:ind w:left="2353" w:hanging="709"/>
    </w:pPr>
    <w:rPr>
      <w:sz w:val="18"/>
    </w:rPr>
  </w:style>
  <w:style w:type="character" w:customStyle="1" w:styleId="FooterChar">
    <w:name w:val="Footer Char"/>
    <w:link w:val="Footer"/>
    <w:uiPriority w:val="99"/>
    <w:rsid w:val="00D87EF9"/>
    <w:rPr>
      <w:sz w:val="22"/>
      <w:szCs w:val="24"/>
      <w:lang w:val="en-AU" w:eastAsia="en-AU" w:bidi="ar-SA"/>
    </w:rPr>
  </w:style>
  <w:style w:type="character" w:customStyle="1" w:styleId="BalloonTextChar">
    <w:name w:val="Balloon Text Char"/>
    <w:link w:val="BalloonText"/>
    <w:uiPriority w:val="99"/>
    <w:rsid w:val="00D87EF9"/>
    <w:rPr>
      <w:rFonts w:ascii="Tahoma" w:eastAsia="Calibri" w:hAnsi="Tahoma" w:cs="Tahoma"/>
      <w:sz w:val="16"/>
      <w:szCs w:val="16"/>
      <w:lang w:eastAsia="en-US"/>
    </w:rPr>
  </w:style>
  <w:style w:type="paragraph" w:customStyle="1" w:styleId="EndNotespara">
    <w:name w:val="EndNotes(para)"/>
    <w:aliases w:val="eta"/>
    <w:basedOn w:val="OPCParaBase"/>
    <w:next w:val="EndNotessubpara"/>
    <w:rsid w:val="00D87E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7E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7E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7EF9"/>
    <w:pPr>
      <w:tabs>
        <w:tab w:val="right" w:pos="1412"/>
      </w:tabs>
      <w:spacing w:before="60" w:line="240" w:lineRule="auto"/>
      <w:ind w:left="1525" w:hanging="1525"/>
    </w:pPr>
    <w:rPr>
      <w:sz w:val="20"/>
    </w:rPr>
  </w:style>
  <w:style w:type="table" w:customStyle="1" w:styleId="CFlag">
    <w:name w:val="CFlag"/>
    <w:basedOn w:val="TableNormal"/>
    <w:uiPriority w:val="99"/>
    <w:rsid w:val="00D87EF9"/>
    <w:tblPr>
      <w:tblInd w:w="0" w:type="dxa"/>
      <w:tblCellMar>
        <w:top w:w="0" w:type="dxa"/>
        <w:left w:w="108" w:type="dxa"/>
        <w:bottom w:w="0" w:type="dxa"/>
        <w:right w:w="108" w:type="dxa"/>
      </w:tblCellMar>
    </w:tblPr>
  </w:style>
  <w:style w:type="paragraph" w:customStyle="1" w:styleId="InstNo">
    <w:name w:val="InstNo"/>
    <w:basedOn w:val="OPCParaBase"/>
    <w:next w:val="Normal"/>
    <w:rsid w:val="00D87EF9"/>
    <w:rPr>
      <w:b/>
      <w:sz w:val="28"/>
      <w:szCs w:val="32"/>
    </w:rPr>
  </w:style>
  <w:style w:type="paragraph" w:customStyle="1" w:styleId="LegislationMadeUnder">
    <w:name w:val="LegislationMadeUnder"/>
    <w:basedOn w:val="OPCParaBase"/>
    <w:next w:val="Normal"/>
    <w:rsid w:val="00D87EF9"/>
    <w:rPr>
      <w:i/>
      <w:sz w:val="32"/>
      <w:szCs w:val="32"/>
    </w:rPr>
  </w:style>
  <w:style w:type="paragraph" w:customStyle="1" w:styleId="ActHead10">
    <w:name w:val="ActHead 10"/>
    <w:aliases w:val="sp"/>
    <w:basedOn w:val="OPCParaBase"/>
    <w:next w:val="ActHead3"/>
    <w:rsid w:val="00D87EF9"/>
    <w:pPr>
      <w:keepNext/>
      <w:spacing w:before="280" w:line="240" w:lineRule="auto"/>
      <w:outlineLvl w:val="1"/>
    </w:pPr>
    <w:rPr>
      <w:b/>
      <w:sz w:val="32"/>
      <w:szCs w:val="30"/>
    </w:rPr>
  </w:style>
  <w:style w:type="paragraph" w:customStyle="1" w:styleId="SignCoverPageEnd">
    <w:name w:val="SignCoverPageEnd"/>
    <w:basedOn w:val="OPCParaBase"/>
    <w:next w:val="Normal"/>
    <w:rsid w:val="00D87E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7EF9"/>
    <w:pPr>
      <w:pBdr>
        <w:top w:val="single" w:sz="4" w:space="1" w:color="auto"/>
      </w:pBdr>
      <w:spacing w:before="360"/>
      <w:ind w:right="397"/>
      <w:jc w:val="both"/>
    </w:pPr>
  </w:style>
  <w:style w:type="paragraph" w:customStyle="1" w:styleId="NotesHeading1">
    <w:name w:val="NotesHeading 1"/>
    <w:basedOn w:val="OPCParaBase"/>
    <w:next w:val="Normal"/>
    <w:rsid w:val="00D87EF9"/>
    <w:pPr>
      <w:outlineLvl w:val="0"/>
    </w:pPr>
    <w:rPr>
      <w:b/>
      <w:sz w:val="28"/>
      <w:szCs w:val="28"/>
    </w:rPr>
  </w:style>
  <w:style w:type="paragraph" w:customStyle="1" w:styleId="NotesHeading2">
    <w:name w:val="NotesHeading 2"/>
    <w:basedOn w:val="OPCParaBase"/>
    <w:next w:val="Normal"/>
    <w:rsid w:val="00D87EF9"/>
    <w:rPr>
      <w:b/>
      <w:sz w:val="28"/>
      <w:szCs w:val="28"/>
    </w:rPr>
  </w:style>
  <w:style w:type="paragraph" w:customStyle="1" w:styleId="CompiledActNo">
    <w:name w:val="CompiledActNo"/>
    <w:basedOn w:val="OPCParaBase"/>
    <w:next w:val="Normal"/>
    <w:rsid w:val="00D87EF9"/>
    <w:rPr>
      <w:b/>
      <w:sz w:val="24"/>
      <w:szCs w:val="24"/>
    </w:rPr>
  </w:style>
  <w:style w:type="paragraph" w:customStyle="1" w:styleId="ENotesHeading1">
    <w:name w:val="ENotesHeading 1"/>
    <w:aliases w:val="Enh1"/>
    <w:basedOn w:val="OPCParaBase"/>
    <w:next w:val="ENotesHeading2"/>
    <w:rsid w:val="00D87EF9"/>
    <w:pPr>
      <w:spacing w:before="120"/>
      <w:outlineLvl w:val="0"/>
    </w:pPr>
    <w:rPr>
      <w:b/>
      <w:sz w:val="28"/>
      <w:szCs w:val="28"/>
    </w:rPr>
  </w:style>
  <w:style w:type="paragraph" w:customStyle="1" w:styleId="ENotesHeading2">
    <w:name w:val="ENotesHeading 2"/>
    <w:aliases w:val="Enh2"/>
    <w:basedOn w:val="OPCParaBase"/>
    <w:next w:val="ENotesHeading3"/>
    <w:rsid w:val="00D87EF9"/>
    <w:pPr>
      <w:spacing w:before="120" w:after="120"/>
      <w:outlineLvl w:val="6"/>
    </w:pPr>
    <w:rPr>
      <w:b/>
      <w:sz w:val="24"/>
      <w:szCs w:val="28"/>
    </w:rPr>
  </w:style>
  <w:style w:type="paragraph" w:customStyle="1" w:styleId="ENotesHeading3">
    <w:name w:val="ENotesHeading 3"/>
    <w:aliases w:val="Enh3"/>
    <w:basedOn w:val="OPCParaBase"/>
    <w:next w:val="Normal"/>
    <w:rsid w:val="00D87EF9"/>
    <w:pPr>
      <w:spacing w:before="120" w:line="240" w:lineRule="auto"/>
      <w:outlineLvl w:val="7"/>
    </w:pPr>
    <w:rPr>
      <w:b/>
      <w:szCs w:val="24"/>
    </w:rPr>
  </w:style>
  <w:style w:type="paragraph" w:customStyle="1" w:styleId="ENotesText">
    <w:name w:val="ENotesText"/>
    <w:aliases w:val="Ent"/>
    <w:basedOn w:val="OPCParaBase"/>
    <w:next w:val="Normal"/>
    <w:rsid w:val="00D87EF9"/>
    <w:pPr>
      <w:spacing w:before="120"/>
    </w:pPr>
  </w:style>
  <w:style w:type="paragraph" w:customStyle="1" w:styleId="CompiledMadeUnder">
    <w:name w:val="CompiledMadeUnder"/>
    <w:basedOn w:val="OPCParaBase"/>
    <w:next w:val="Normal"/>
    <w:rsid w:val="00D87EF9"/>
    <w:rPr>
      <w:i/>
      <w:sz w:val="24"/>
      <w:szCs w:val="24"/>
    </w:rPr>
  </w:style>
  <w:style w:type="paragraph" w:customStyle="1" w:styleId="Paragraphsub-sub-sub">
    <w:name w:val="Paragraph(sub-sub-sub)"/>
    <w:aliases w:val="aaaa"/>
    <w:basedOn w:val="OPCParaBase"/>
    <w:rsid w:val="00D87EF9"/>
    <w:pPr>
      <w:tabs>
        <w:tab w:val="right" w:pos="3402"/>
      </w:tabs>
      <w:spacing w:before="40" w:line="240" w:lineRule="auto"/>
      <w:ind w:left="3402" w:hanging="3402"/>
    </w:pPr>
  </w:style>
  <w:style w:type="paragraph" w:customStyle="1" w:styleId="TableTextEndNotes">
    <w:name w:val="TableTextEndNotes"/>
    <w:aliases w:val="Tten"/>
    <w:basedOn w:val="Normal"/>
    <w:rsid w:val="00D87EF9"/>
    <w:pPr>
      <w:spacing w:before="60" w:line="240" w:lineRule="auto"/>
    </w:pPr>
    <w:rPr>
      <w:rFonts w:cs="Arial"/>
      <w:sz w:val="20"/>
      <w:szCs w:val="22"/>
    </w:rPr>
  </w:style>
  <w:style w:type="paragraph" w:customStyle="1" w:styleId="TableHeading">
    <w:name w:val="TableHeading"/>
    <w:aliases w:val="th"/>
    <w:basedOn w:val="OPCParaBase"/>
    <w:next w:val="Tabletext"/>
    <w:rsid w:val="00D87EF9"/>
    <w:pPr>
      <w:spacing w:before="60" w:line="240" w:lineRule="atLeast"/>
    </w:pPr>
    <w:rPr>
      <w:b/>
      <w:sz w:val="20"/>
    </w:rPr>
  </w:style>
  <w:style w:type="paragraph" w:customStyle="1" w:styleId="NoteToSubpara">
    <w:name w:val="NoteToSubpara"/>
    <w:aliases w:val="nts"/>
    <w:basedOn w:val="OPCParaBase"/>
    <w:rsid w:val="00D87EF9"/>
    <w:pPr>
      <w:spacing w:before="40" w:line="198" w:lineRule="exact"/>
      <w:ind w:left="2835" w:hanging="709"/>
    </w:pPr>
    <w:rPr>
      <w:sz w:val="18"/>
    </w:rPr>
  </w:style>
  <w:style w:type="paragraph" w:customStyle="1" w:styleId="A2">
    <w:name w:val="A2"/>
    <w:aliases w:val="1.1 amendment,Instruction amendment"/>
    <w:basedOn w:val="Normal"/>
    <w:next w:val="Normal"/>
    <w:rsid w:val="0079039B"/>
    <w:pPr>
      <w:tabs>
        <w:tab w:val="right" w:pos="794"/>
      </w:tabs>
      <w:spacing w:before="120" w:line="260" w:lineRule="exact"/>
      <w:ind w:left="964" w:hanging="964"/>
      <w:jc w:val="both"/>
    </w:pPr>
    <w:rPr>
      <w:rFonts w:eastAsia="Times New Roman"/>
      <w:sz w:val="24"/>
      <w:szCs w:val="24"/>
      <w:lang w:eastAsia="en-AU"/>
    </w:rPr>
  </w:style>
  <w:style w:type="character" w:customStyle="1" w:styleId="CharSchPTNo">
    <w:name w:val="CharSchPTNo"/>
    <w:basedOn w:val="DefaultParagraphFont"/>
    <w:rsid w:val="0079039B"/>
  </w:style>
  <w:style w:type="character" w:customStyle="1" w:styleId="CharSchPTText">
    <w:name w:val="CharSchPTText"/>
    <w:basedOn w:val="DefaultParagraphFont"/>
    <w:rsid w:val="0079039B"/>
  </w:style>
  <w:style w:type="paragraph" w:customStyle="1" w:styleId="NoteEnd">
    <w:name w:val="Note End"/>
    <w:basedOn w:val="Normal"/>
    <w:rsid w:val="008E1956"/>
    <w:pPr>
      <w:spacing w:before="120" w:line="240" w:lineRule="exact"/>
      <w:ind w:left="567" w:hanging="567"/>
      <w:jc w:val="both"/>
    </w:pPr>
    <w:rPr>
      <w:rFonts w:eastAsia="Times New Roman"/>
      <w:szCs w:val="24"/>
    </w:rPr>
  </w:style>
  <w:style w:type="paragraph" w:styleId="Revision">
    <w:name w:val="Revision"/>
    <w:hidden/>
    <w:uiPriority w:val="99"/>
    <w:semiHidden/>
    <w:rsid w:val="003939C0"/>
    <w:rPr>
      <w:rFonts w:eastAsia="Calibri"/>
      <w:sz w:val="22"/>
      <w:lang w:eastAsia="en-US"/>
    </w:rPr>
  </w:style>
  <w:style w:type="character" w:customStyle="1" w:styleId="CommentTextChar">
    <w:name w:val="Comment Text Char"/>
    <w:link w:val="CommentText"/>
    <w:rsid w:val="000321BC"/>
    <w:rPr>
      <w:rFonts w:eastAsia="Calibri" w:cs="Times New Roman"/>
      <w:lang w:eastAsia="en-US"/>
    </w:rPr>
  </w:style>
  <w:style w:type="paragraph" w:customStyle="1" w:styleId="HeaderBoldOdd">
    <w:name w:val="HeaderBoldOdd"/>
    <w:basedOn w:val="Normal"/>
    <w:rsid w:val="009D671A"/>
    <w:pPr>
      <w:spacing w:before="120" w:after="60" w:line="240" w:lineRule="auto"/>
      <w:jc w:val="right"/>
    </w:pPr>
    <w:rPr>
      <w:rFonts w:ascii="Arial" w:eastAsia="Times New Roman" w:hAnsi="Arial"/>
      <w:b/>
      <w:sz w:val="20"/>
      <w:szCs w:val="24"/>
    </w:rPr>
  </w:style>
  <w:style w:type="paragraph" w:customStyle="1" w:styleId="HeaderLiteOdd">
    <w:name w:val="HeaderLiteOdd"/>
    <w:basedOn w:val="Normal"/>
    <w:rsid w:val="009D671A"/>
    <w:pPr>
      <w:tabs>
        <w:tab w:val="center" w:pos="3969"/>
        <w:tab w:val="right" w:pos="8505"/>
      </w:tabs>
      <w:spacing w:before="60" w:line="240" w:lineRule="auto"/>
      <w:jc w:val="right"/>
    </w:pPr>
    <w:rPr>
      <w:rFonts w:ascii="Arial" w:eastAsia="Times New Roman" w:hAnsi="Arial"/>
      <w:sz w:val="18"/>
      <w:szCs w:val="24"/>
    </w:rPr>
  </w:style>
  <w:style w:type="paragraph" w:customStyle="1" w:styleId="HR">
    <w:name w:val="HR"/>
    <w:aliases w:val="Regulation Heading"/>
    <w:basedOn w:val="Normal"/>
    <w:next w:val="Normal"/>
    <w:rsid w:val="006F3538"/>
    <w:pPr>
      <w:keepNext/>
      <w:spacing w:before="360" w:line="240" w:lineRule="auto"/>
      <w:ind w:left="964" w:hanging="964"/>
    </w:pPr>
    <w:rPr>
      <w:rFonts w:ascii="Arial" w:eastAsia="Times New Roman" w:hAnsi="Arial"/>
      <w:b/>
      <w:sz w:val="24"/>
      <w:szCs w:val="24"/>
    </w:rPr>
  </w:style>
  <w:style w:type="paragraph" w:customStyle="1" w:styleId="R1">
    <w:name w:val="R1"/>
    <w:aliases w:val="1. or 1.(1)"/>
    <w:basedOn w:val="Normal"/>
    <w:next w:val="Normal"/>
    <w:rsid w:val="006F3538"/>
    <w:pPr>
      <w:keepLines/>
      <w:tabs>
        <w:tab w:val="right" w:pos="794"/>
      </w:tabs>
      <w:spacing w:before="120" w:line="260" w:lineRule="exact"/>
      <w:ind w:left="964" w:hanging="964"/>
      <w:jc w:val="both"/>
    </w:pPr>
    <w:rPr>
      <w:rFonts w:eastAsia="Times New Roman"/>
      <w:sz w:val="24"/>
      <w:szCs w:val="24"/>
    </w:rPr>
  </w:style>
  <w:style w:type="paragraph" w:customStyle="1" w:styleId="Note">
    <w:name w:val="Note"/>
    <w:rsid w:val="002F3B55"/>
    <w:pPr>
      <w:spacing w:before="120" w:line="220" w:lineRule="exact"/>
      <w:ind w:left="964"/>
      <w:jc w:val="both"/>
    </w:pPr>
    <w:rPr>
      <w:szCs w:val="24"/>
    </w:rPr>
  </w:style>
  <w:style w:type="paragraph" w:customStyle="1" w:styleId="P1">
    <w:name w:val="P1"/>
    <w:aliases w:val="(a)"/>
    <w:basedOn w:val="Normal"/>
    <w:rsid w:val="002F3B55"/>
    <w:pPr>
      <w:tabs>
        <w:tab w:val="right" w:pos="1191"/>
      </w:tabs>
      <w:spacing w:before="60" w:line="260" w:lineRule="exact"/>
      <w:ind w:left="1418" w:hanging="1418"/>
      <w:jc w:val="both"/>
    </w:pPr>
    <w:rPr>
      <w:rFonts w:eastAsia="Times New Roman"/>
      <w:sz w:val="24"/>
      <w:szCs w:val="24"/>
    </w:rPr>
  </w:style>
  <w:style w:type="paragraph" w:customStyle="1" w:styleId="P2">
    <w:name w:val="P2"/>
    <w:aliases w:val="(i)"/>
    <w:basedOn w:val="Normal"/>
    <w:rsid w:val="00322D64"/>
    <w:pPr>
      <w:tabs>
        <w:tab w:val="right" w:pos="1758"/>
        <w:tab w:val="left" w:pos="2155"/>
      </w:tabs>
      <w:spacing w:before="60" w:line="260" w:lineRule="exact"/>
      <w:ind w:left="1985" w:hanging="1985"/>
      <w:jc w:val="both"/>
    </w:pPr>
    <w:rPr>
      <w:rFonts w:eastAsia="Times New Roman"/>
      <w:sz w:val="24"/>
      <w:szCs w:val="24"/>
    </w:rPr>
  </w:style>
  <w:style w:type="paragraph" w:customStyle="1" w:styleId="CoverAct">
    <w:name w:val="CoverAct"/>
    <w:basedOn w:val="Normal"/>
    <w:next w:val="Normal"/>
    <w:rsid w:val="000E7C8E"/>
    <w:pPr>
      <w:pBdr>
        <w:bottom w:val="single" w:sz="4" w:space="3" w:color="auto"/>
      </w:pBdr>
      <w:spacing w:line="240" w:lineRule="auto"/>
    </w:pPr>
    <w:rPr>
      <w:rFonts w:ascii="Arial" w:eastAsia="Times New Roman" w:hAnsi="Arial"/>
      <w:i/>
      <w:sz w:val="28"/>
      <w:szCs w:val="24"/>
      <w:lang w:eastAsia="en-AU"/>
    </w:rPr>
  </w:style>
  <w:style w:type="paragraph" w:customStyle="1" w:styleId="ACMABodyText">
    <w:name w:val="ACMA Body Text"/>
    <w:link w:val="ACMABodyTextChar"/>
    <w:rsid w:val="000E7C8E"/>
    <w:pPr>
      <w:suppressAutoHyphens/>
      <w:spacing w:before="80" w:after="120" w:line="280" w:lineRule="atLeast"/>
    </w:pPr>
    <w:rPr>
      <w:snapToGrid w:val="0"/>
      <w:sz w:val="24"/>
      <w:lang w:eastAsia="en-US"/>
    </w:rPr>
  </w:style>
  <w:style w:type="character" w:customStyle="1" w:styleId="ACMABodyTextChar">
    <w:name w:val="ACMA Body Text Char"/>
    <w:link w:val="ACMABodyText"/>
    <w:rsid w:val="000E7C8E"/>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6166">
      <w:bodyDiv w:val="1"/>
      <w:marLeft w:val="0"/>
      <w:marRight w:val="0"/>
      <w:marTop w:val="0"/>
      <w:marBottom w:val="0"/>
      <w:divBdr>
        <w:top w:val="none" w:sz="0" w:space="0" w:color="auto"/>
        <w:left w:val="none" w:sz="0" w:space="0" w:color="auto"/>
        <w:bottom w:val="none" w:sz="0" w:space="0" w:color="auto"/>
        <w:right w:val="none" w:sz="0" w:space="0" w:color="auto"/>
      </w:divBdr>
    </w:div>
    <w:div w:id="347026207">
      <w:bodyDiv w:val="1"/>
      <w:marLeft w:val="0"/>
      <w:marRight w:val="0"/>
      <w:marTop w:val="0"/>
      <w:marBottom w:val="0"/>
      <w:divBdr>
        <w:top w:val="none" w:sz="0" w:space="0" w:color="auto"/>
        <w:left w:val="none" w:sz="0" w:space="0" w:color="auto"/>
        <w:bottom w:val="none" w:sz="0" w:space="0" w:color="auto"/>
        <w:right w:val="none" w:sz="0" w:space="0" w:color="auto"/>
      </w:divBdr>
    </w:div>
    <w:div w:id="1838693924">
      <w:bodyDiv w:val="1"/>
      <w:marLeft w:val="0"/>
      <w:marRight w:val="0"/>
      <w:marTop w:val="0"/>
      <w:marBottom w:val="0"/>
      <w:divBdr>
        <w:top w:val="none" w:sz="0" w:space="0" w:color="auto"/>
        <w:left w:val="none" w:sz="0" w:space="0" w:color="auto"/>
        <w:bottom w:val="none" w:sz="0" w:space="0" w:color="auto"/>
        <w:right w:val="none" w:sz="0" w:space="0" w:color="auto"/>
      </w:divBdr>
    </w:div>
    <w:div w:id="1921325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m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iglobal.com"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rpansa.gov.au"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rpansa.gov.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35" ma:contentTypeDescription="A document enhanced so that it is automatically captured by RecordPoint." ma:contentTypeScope="" ma:versionID="1b072fbd30c1a63ea8e63a2c0385c599">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5cb7b8efecd42c539099e757c2687b6"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KNAH4PPFC442-2667-510</_dlc_DocId>
    <_dlc_DocIdUrl xmlns="6db8f3c6-01a1-4322-b043-a3b2a190f7a8">
      <Url>http://collaboration/organisation/Auth/Chair/Auth/_layouts/DocIdRedir.aspx?ID=KNAH4PPFC442-2667-510</Url>
      <Description>KNAH4PPFC442-2667-510</Description>
    </_dlc_DocIdUrl>
    <Record_x0020_Number xmlns="83630db1-6fc2-4dfd-b3fe-d61d34e1440c">ER2014/072145</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13011-CB46-4FE0-8319-9B479E41A90A}">
  <ds:schemaRefs>
    <ds:schemaRef ds:uri="Microsoft.SharePoint.Taxonomy.ContentTypeSync"/>
  </ds:schemaRefs>
</ds:datastoreItem>
</file>

<file path=customXml/itemProps2.xml><?xml version="1.0" encoding="utf-8"?>
<ds:datastoreItem xmlns:ds="http://schemas.openxmlformats.org/officeDocument/2006/customXml" ds:itemID="{C612558F-73A9-433B-9A20-1BE7963C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E4EFA-AC42-416A-8A53-877A21B131DD}">
  <ds:schemaRefs>
    <ds:schemaRef ds:uri="http://schemas.microsoft.com/office/2006/metadata/properties"/>
    <ds:schemaRef ds:uri="http://schemas.microsoft.com/office/infopath/2007/PartnerControls"/>
    <ds:schemaRef ds:uri="6db8f3c6-01a1-4322-b043-a3b2a190f7a8"/>
    <ds:schemaRef ds:uri="83630db1-6fc2-4dfd-b3fe-d61d34e1440c"/>
    <ds:schemaRef ds:uri="http://schemas.microsoft.com/sharepoint/v4"/>
    <ds:schemaRef ds:uri="5e268b55-9e20-462b-aba6-694451a37717"/>
  </ds:schemaRefs>
</ds:datastoreItem>
</file>

<file path=customXml/itemProps4.xml><?xml version="1.0" encoding="utf-8"?>
<ds:datastoreItem xmlns:ds="http://schemas.openxmlformats.org/officeDocument/2006/customXml" ds:itemID="{D69BFADF-7402-4EFC-9187-E46C9873D77D}">
  <ds:schemaRefs>
    <ds:schemaRef ds:uri="http://schemas.microsoft.com/sharepoint/v3/contenttype/forms"/>
  </ds:schemaRefs>
</ds:datastoreItem>
</file>

<file path=customXml/itemProps5.xml><?xml version="1.0" encoding="utf-8"?>
<ds:datastoreItem xmlns:ds="http://schemas.openxmlformats.org/officeDocument/2006/customXml" ds:itemID="{651DD835-7833-4127-81CA-51C1F358025F}">
  <ds:schemaRefs>
    <ds:schemaRef ds:uri="http://schemas.microsoft.com/sharepoint/events"/>
  </ds:schemaRefs>
</ds:datastoreItem>
</file>

<file path=customXml/itemProps6.xml><?xml version="1.0" encoding="utf-8"?>
<ds:datastoreItem xmlns:ds="http://schemas.openxmlformats.org/officeDocument/2006/customXml" ds:itemID="{97ACDCF6-29AF-4E28-8D9B-2E78F8D6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15</TotalTime>
  <Pages>15</Pages>
  <Words>4720</Words>
  <Characters>23549</Characters>
  <Application>Microsoft Office Word</Application>
  <DocSecurity>0</DocSecurity>
  <PresentationFormat/>
  <Lines>196</Lines>
  <Paragraphs>56</Paragraphs>
  <ScaleCrop>false</ScaleCrop>
  <HeadingPairs>
    <vt:vector size="2" baseType="variant">
      <vt:variant>
        <vt:lpstr>Title</vt:lpstr>
      </vt:variant>
      <vt:variant>
        <vt:i4>1</vt:i4>
      </vt:variant>
    </vt:vector>
  </HeadingPairs>
  <TitlesOfParts>
    <vt:vector size="1" baseType="lpstr">
      <vt:lpstr>Radiocommunications (Compliance Labelling—Electromagnetic Radiation) Notice 2003</vt:lpstr>
    </vt:vector>
  </TitlesOfParts>
  <Company>Australian Communications and Media Authority</Company>
  <LinksUpToDate>false</LinksUpToDate>
  <CharactersWithSpaces>28213</CharactersWithSpaces>
  <SharedDoc>false</SharedDoc>
  <HyperlinkBase/>
  <HLinks>
    <vt:vector size="30" baseType="variant">
      <vt:variant>
        <vt:i4>3997730</vt:i4>
      </vt:variant>
      <vt:variant>
        <vt:i4>12</vt:i4>
      </vt:variant>
      <vt:variant>
        <vt:i4>0</vt:i4>
      </vt:variant>
      <vt:variant>
        <vt:i4>5</vt:i4>
      </vt:variant>
      <vt:variant>
        <vt:lpwstr>http://www.acma.gov.au/</vt:lpwstr>
      </vt:variant>
      <vt:variant>
        <vt:lpwstr/>
      </vt:variant>
      <vt:variant>
        <vt:i4>3997730</vt:i4>
      </vt:variant>
      <vt:variant>
        <vt:i4>9</vt:i4>
      </vt:variant>
      <vt:variant>
        <vt:i4>0</vt:i4>
      </vt:variant>
      <vt:variant>
        <vt:i4>5</vt:i4>
      </vt:variant>
      <vt:variant>
        <vt:lpwstr>http://www.acma.gov.au/</vt:lpwstr>
      </vt:variant>
      <vt:variant>
        <vt:lpwstr/>
      </vt:variant>
      <vt:variant>
        <vt:i4>6094873</vt:i4>
      </vt:variant>
      <vt:variant>
        <vt:i4>6</vt:i4>
      </vt:variant>
      <vt:variant>
        <vt:i4>0</vt:i4>
      </vt:variant>
      <vt:variant>
        <vt:i4>5</vt:i4>
      </vt:variant>
      <vt:variant>
        <vt:lpwstr>http://www.saiglobal.com/</vt:lpwstr>
      </vt:variant>
      <vt:variant>
        <vt:lpwstr/>
      </vt:variant>
      <vt:variant>
        <vt:i4>6946858</vt:i4>
      </vt:variant>
      <vt:variant>
        <vt:i4>3</vt:i4>
      </vt:variant>
      <vt:variant>
        <vt:i4>0</vt:i4>
      </vt:variant>
      <vt:variant>
        <vt:i4>5</vt:i4>
      </vt:variant>
      <vt:variant>
        <vt:lpwstr>http://www.arpansa.gov.au/</vt:lpwstr>
      </vt:variant>
      <vt:variant>
        <vt:lpwstr/>
      </vt:variant>
      <vt:variant>
        <vt:i4>6946858</vt:i4>
      </vt:variant>
      <vt:variant>
        <vt:i4>0</vt:i4>
      </vt:variant>
      <vt:variant>
        <vt:i4>0</vt:i4>
      </vt:variant>
      <vt:variant>
        <vt:i4>5</vt:i4>
      </vt:variant>
      <vt:variant>
        <vt:lpwstr>http://www.arpansa.gov.au/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(Compliance Labelling—Electromagnetic Radiation) Notice 2003</dc:title>
  <dc:creator>Patrick Belton</dc:creator>
  <cp:lastModifiedBy>Helen Turnbull</cp:lastModifiedBy>
  <cp:revision>4</cp:revision>
  <cp:lastPrinted>2014-01-13T23:24:00Z</cp:lastPrinted>
  <dcterms:created xsi:type="dcterms:W3CDTF">2014-06-25T01:15:00Z</dcterms:created>
  <dcterms:modified xsi:type="dcterms:W3CDTF">2014-07-01T23:34:00Z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onverted">
    <vt:bool>false</vt:bool>
  </property>
  <property fmtid="{D5CDD505-2E9C-101B-9397-08002B2CF9AE}" pid="6" name="ShortT">
    <vt:lpwstr>Radiocommunications (Compliance Labelling—Electromagnetic Radiation) Notice 2003</vt:lpwstr>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Classification">
    <vt:lpwstr>UNCLASSIFIED</vt:lpwstr>
  </property>
  <property fmtid="{D5CDD505-2E9C-101B-9397-08002B2CF9AE}" pid="13" name="Header">
    <vt:lpwstr>Section</vt:lpwstr>
  </property>
  <property fmtid="{D5CDD505-2E9C-101B-9397-08002B2CF9AE}" pid="14" name="_dlc_DocIdItemGuid">
    <vt:lpwstr>60b17729-0e80-4a8e-bae6-f7e0b6775e21</vt:lpwstr>
  </property>
  <property fmtid="{D5CDD505-2E9C-101B-9397-08002B2CF9AE}" pid="15" name="ContentTypeId">
    <vt:lpwstr>0x01010070E27D6A746B5B48ADF22C2128054D5500A693152E1C35154185216143C34A3F31</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SubmissionCompleted">
    <vt:lpwstr>2014-06-18T13:56:20.5610749+10:00</vt:lpwstr>
  </property>
  <property fmtid="{D5CDD505-2E9C-101B-9397-08002B2CF9AE}" pid="19" name="RecordPoint_ActiveItemUniqueId">
    <vt:lpwstr>{60b17729-0e80-4a8e-bae6-f7e0b6775e21}</vt:lpwstr>
  </property>
  <property fmtid="{D5CDD505-2E9C-101B-9397-08002B2CF9AE}" pid="20" name="RecordPoint_RecordFormat">
    <vt:lpwstr/>
  </property>
  <property fmtid="{D5CDD505-2E9C-101B-9397-08002B2CF9AE}" pid="21" name="RecordPoint_ActiveItemWebId">
    <vt:lpwstr>{e61cc4da-a431-400f-9f48-bf2ba12a7e9a}</vt:lpwstr>
  </property>
  <property fmtid="{D5CDD505-2E9C-101B-9397-08002B2CF9AE}" pid="22" name="RecordPoint_WorkflowType">
    <vt:lpwstr>ActiveSubmitStub</vt:lpwstr>
  </property>
  <property fmtid="{D5CDD505-2E9C-101B-9397-08002B2CF9AE}" pid="23" name="RecordPoint_ActiveItemSiteId">
    <vt:lpwstr>{7ba5f3c1-1ab9-4cc3-a7c0-334d2b0aec73}</vt:lpwstr>
  </property>
  <property fmtid="{D5CDD505-2E9C-101B-9397-08002B2CF9AE}" pid="24" name="RecordPoint_ActiveItemListId">
    <vt:lpwstr>{aa02821a-f0b7-4f59-9c9d-33ae55ea486f}</vt:lpwstr>
  </property>
</Properties>
</file>