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5D1" w:rsidRPr="00D9377D" w:rsidRDefault="003D2074" w:rsidP="00674B00">
      <w:r>
        <w:rPr>
          <w:noProof/>
        </w:rPr>
        <w:drawing>
          <wp:inline distT="0" distB="0" distL="0" distR="0">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B14792" w:rsidRPr="00D9377D" w:rsidRDefault="005538C8" w:rsidP="008C0E88">
      <w:pPr>
        <w:pStyle w:val="Title"/>
        <w:pBdr>
          <w:bottom w:val="single" w:sz="4" w:space="3" w:color="auto"/>
        </w:pBdr>
      </w:pPr>
      <w:bookmarkStart w:id="0" w:name="Citation"/>
      <w:r>
        <w:t>DisabilityCare</w:t>
      </w:r>
      <w:r w:rsidR="00B14792" w:rsidRPr="00D9377D">
        <w:t xml:space="preserve"> Australia Fund </w:t>
      </w:r>
      <w:r w:rsidR="008C0E88" w:rsidRPr="00D9377D">
        <w:t>Investment Mandate</w:t>
      </w:r>
      <w:r w:rsidR="00B14792" w:rsidRPr="00D9377D">
        <w:t xml:space="preserve"> D</w:t>
      </w:r>
      <w:r w:rsidR="008C0E88" w:rsidRPr="00D9377D">
        <w:t>irections</w:t>
      </w:r>
      <w:r w:rsidR="00B14792" w:rsidRPr="00D9377D">
        <w:t xml:space="preserve"> </w:t>
      </w:r>
      <w:fldSimple w:instr=" REF Year \*charformat ">
        <w:r w:rsidR="00555811" w:rsidRPr="00D9377D">
          <w:t>20</w:t>
        </w:r>
      </w:fldSimple>
      <w:bookmarkEnd w:id="0"/>
      <w:r w:rsidR="00D647E1">
        <w:t>14</w:t>
      </w:r>
      <w:r w:rsidR="005A7CF7" w:rsidRPr="00D9377D">
        <w:rPr>
          <w:b w:val="0"/>
          <w:position w:val="6"/>
          <w:sz w:val="24"/>
          <w:vertAlign w:val="superscript"/>
        </w:rPr>
        <w:t>1</w:t>
      </w:r>
    </w:p>
    <w:p w:rsidR="00B14792" w:rsidRPr="00D9377D" w:rsidRDefault="005538C8">
      <w:pPr>
        <w:pBdr>
          <w:bottom w:val="single" w:sz="4" w:space="3" w:color="auto"/>
        </w:pBdr>
        <w:spacing w:before="480"/>
        <w:rPr>
          <w:rFonts w:ascii="Arial" w:hAnsi="Arial" w:cs="Arial"/>
          <w:i/>
          <w:sz w:val="28"/>
          <w:szCs w:val="28"/>
          <w:lang w:val="en-US"/>
        </w:rPr>
      </w:pPr>
      <w:proofErr w:type="spellStart"/>
      <w:r>
        <w:rPr>
          <w:rFonts w:ascii="Arial" w:hAnsi="Arial" w:cs="Arial"/>
          <w:i/>
          <w:sz w:val="28"/>
          <w:szCs w:val="28"/>
          <w:lang w:val="en-US"/>
        </w:rPr>
        <w:t>DisabilityCare</w:t>
      </w:r>
      <w:proofErr w:type="spellEnd"/>
      <w:r>
        <w:rPr>
          <w:rFonts w:ascii="Arial" w:hAnsi="Arial" w:cs="Arial"/>
          <w:i/>
          <w:sz w:val="28"/>
          <w:szCs w:val="28"/>
          <w:lang w:val="en-US"/>
        </w:rPr>
        <w:t xml:space="preserve"> Australia Fund Act 2013</w:t>
      </w:r>
    </w:p>
    <w:p w:rsidR="00B14792" w:rsidRPr="00D9377D" w:rsidRDefault="009633ED" w:rsidP="008C0E88">
      <w:pPr>
        <w:spacing w:before="360"/>
        <w:jc w:val="both"/>
      </w:pPr>
      <w:r w:rsidRPr="00D9377D">
        <w:t>We</w:t>
      </w:r>
      <w:r w:rsidR="00AA0127">
        <w:t>, J.B. HOCKEY</w:t>
      </w:r>
      <w:r w:rsidR="00B14792" w:rsidRPr="00D9377D">
        <w:t xml:space="preserve">, Treasurer, </w:t>
      </w:r>
      <w:r w:rsidRPr="00D9377D">
        <w:t xml:space="preserve">and </w:t>
      </w:r>
      <w:r w:rsidR="00AA0127">
        <w:t>MATHIAS HUBERT PAUL CORMANN</w:t>
      </w:r>
      <w:r w:rsidRPr="00D9377D">
        <w:t>, Minis</w:t>
      </w:r>
      <w:r w:rsidR="00AA0127">
        <w:t>ter for Finance</w:t>
      </w:r>
      <w:r w:rsidRPr="00D9377D">
        <w:t xml:space="preserve">, </w:t>
      </w:r>
      <w:r w:rsidR="008C0E88" w:rsidRPr="00D9377D">
        <w:t>give these</w:t>
      </w:r>
      <w:r w:rsidR="00B14792" w:rsidRPr="00D9377D">
        <w:t xml:space="preserve"> D</w:t>
      </w:r>
      <w:r w:rsidR="005538C8">
        <w:t>irections under subsection 29</w:t>
      </w:r>
      <w:r w:rsidRPr="00D9377D">
        <w:t xml:space="preserve">(1) </w:t>
      </w:r>
      <w:r w:rsidR="00B14792" w:rsidRPr="00D9377D">
        <w:t xml:space="preserve">of the </w:t>
      </w:r>
      <w:r w:rsidR="005538C8">
        <w:rPr>
          <w:i/>
        </w:rPr>
        <w:t>DisabilityCare Australia Fund</w:t>
      </w:r>
      <w:r w:rsidR="00B14792" w:rsidRPr="00D9377D">
        <w:rPr>
          <w:i/>
        </w:rPr>
        <w:t xml:space="preserve"> Act 20</w:t>
      </w:r>
      <w:r w:rsidR="002636E6">
        <w:rPr>
          <w:i/>
        </w:rPr>
        <w:t>13.</w:t>
      </w:r>
    </w:p>
    <w:p w:rsidR="00B14792" w:rsidRPr="00D9377D" w:rsidRDefault="006837FD" w:rsidP="008C0E88">
      <w:pPr>
        <w:tabs>
          <w:tab w:val="left" w:pos="3119"/>
        </w:tabs>
        <w:spacing w:before="300" w:after="600" w:line="300" w:lineRule="atLeast"/>
      </w:pPr>
      <w:r w:rsidRPr="00D9377D">
        <w:t xml:space="preserve">Dated </w:t>
      </w:r>
      <w:r w:rsidR="00C90ABE">
        <w:t xml:space="preserve"> 1 JULY</w:t>
      </w:r>
      <w:r w:rsidR="00B14792" w:rsidRPr="00D9377D">
        <w:t xml:space="preserve"> </w:t>
      </w:r>
      <w:bookmarkStart w:id="1" w:name="Year"/>
      <w:r w:rsidR="00B14792" w:rsidRPr="00D9377D">
        <w:t>20</w:t>
      </w:r>
      <w:bookmarkEnd w:id="1"/>
      <w:r w:rsidR="005538C8">
        <w:t>14</w:t>
      </w:r>
    </w:p>
    <w:p w:rsidR="00B14792" w:rsidRPr="00D9377D" w:rsidRDefault="00915711" w:rsidP="00B14792">
      <w:pPr>
        <w:tabs>
          <w:tab w:val="left" w:pos="3969"/>
        </w:tabs>
        <w:spacing w:before="1200" w:line="300" w:lineRule="atLeast"/>
      </w:pPr>
      <w:r>
        <w:t xml:space="preserve">J.B. HOCKEY    </w:t>
      </w:r>
      <w:r w:rsidR="005538C8">
        <w:t xml:space="preserve">                                          MATHIAS HUBERT PAUL CORMANN</w:t>
      </w:r>
    </w:p>
    <w:p w:rsidR="00B14792" w:rsidRPr="00D9377D" w:rsidRDefault="00B14792" w:rsidP="009633ED">
      <w:pPr>
        <w:pBdr>
          <w:bottom w:val="single" w:sz="4" w:space="12" w:color="auto"/>
        </w:pBdr>
        <w:tabs>
          <w:tab w:val="left" w:pos="3119"/>
          <w:tab w:val="right" w:pos="8280"/>
        </w:tabs>
        <w:spacing w:after="240" w:line="300" w:lineRule="atLeast"/>
      </w:pPr>
      <w:bookmarkStart w:id="2" w:name="Minister"/>
      <w:r w:rsidRPr="00D9377D">
        <w:t>Treasurer</w:t>
      </w:r>
      <w:bookmarkEnd w:id="2"/>
      <w:r w:rsidR="00915711">
        <w:tab/>
        <w:t xml:space="preserve">                     </w:t>
      </w:r>
      <w:r w:rsidR="009633ED" w:rsidRPr="00D9377D">
        <w:t xml:space="preserve">Minister for Finance </w:t>
      </w:r>
    </w:p>
    <w:p w:rsidR="00B14792" w:rsidRPr="00D9377D" w:rsidRDefault="00B14792">
      <w:pPr>
        <w:pStyle w:val="SigningPageBreak"/>
        <w:sectPr w:rsidR="00B14792" w:rsidRPr="00D9377D" w:rsidSect="00B14792">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440" w:right="1797" w:bottom="1440" w:left="1797" w:header="709" w:footer="709" w:gutter="0"/>
          <w:cols w:space="708"/>
          <w:titlePg/>
          <w:docGrid w:linePitch="360"/>
        </w:sectPr>
      </w:pPr>
    </w:p>
    <w:p w:rsidR="008C0E88" w:rsidRPr="00D9377D" w:rsidRDefault="008C0E88" w:rsidP="00EA4A01">
      <w:pPr>
        <w:pStyle w:val="HP"/>
        <w:pageBreakBefore/>
      </w:pPr>
      <w:r w:rsidRPr="00D9377D">
        <w:rPr>
          <w:rStyle w:val="CharPartNo"/>
        </w:rPr>
        <w:lastRenderedPageBreak/>
        <w:t>Part 1</w:t>
      </w:r>
      <w:r w:rsidRPr="00D9377D">
        <w:tab/>
      </w:r>
      <w:r w:rsidRPr="00D9377D">
        <w:rPr>
          <w:rStyle w:val="CharPartText"/>
        </w:rPr>
        <w:t>Preliminary</w:t>
      </w:r>
    </w:p>
    <w:p w:rsidR="00EA4A01" w:rsidRPr="00D9377D" w:rsidRDefault="00EA4A01" w:rsidP="00EA4A01">
      <w:pPr>
        <w:pStyle w:val="Header"/>
        <w:rPr>
          <w:vanish/>
        </w:rPr>
      </w:pPr>
      <w:r w:rsidRPr="00D9377D">
        <w:rPr>
          <w:rStyle w:val="CharDivNo"/>
          <w:vanish/>
        </w:rPr>
        <w:t xml:space="preserve"> </w:t>
      </w:r>
      <w:r w:rsidRPr="00D9377D">
        <w:rPr>
          <w:rStyle w:val="CharDivText"/>
          <w:vanish/>
        </w:rPr>
        <w:t xml:space="preserve"> </w:t>
      </w:r>
    </w:p>
    <w:p w:rsidR="00B14792" w:rsidRPr="00D9377D" w:rsidRDefault="00B14792" w:rsidP="008C0E88">
      <w:pPr>
        <w:pStyle w:val="HR"/>
      </w:pPr>
      <w:r w:rsidRPr="00D9377D">
        <w:rPr>
          <w:rStyle w:val="CharSectno"/>
        </w:rPr>
        <w:t>1</w:t>
      </w:r>
      <w:r w:rsidRPr="00D9377D">
        <w:tab/>
        <w:t>Name of D</w:t>
      </w:r>
      <w:r w:rsidR="008C0E88" w:rsidRPr="00D9377D">
        <w:t>irections</w:t>
      </w:r>
    </w:p>
    <w:p w:rsidR="00B14792" w:rsidRPr="00D9377D" w:rsidRDefault="008C0E88" w:rsidP="008C0E88">
      <w:pPr>
        <w:pStyle w:val="R1"/>
      </w:pPr>
      <w:r w:rsidRPr="00D9377D">
        <w:tab/>
      </w:r>
      <w:r w:rsidRPr="00D9377D">
        <w:tab/>
        <w:t>These</w:t>
      </w:r>
      <w:r w:rsidR="00B14792" w:rsidRPr="00D9377D">
        <w:t xml:space="preserve"> D</w:t>
      </w:r>
      <w:r w:rsidRPr="00D9377D">
        <w:t>irections</w:t>
      </w:r>
      <w:r w:rsidR="00B14792" w:rsidRPr="00D9377D">
        <w:t xml:space="preserve"> </w:t>
      </w:r>
      <w:r w:rsidRPr="00D9377D">
        <w:t>are</w:t>
      </w:r>
      <w:r w:rsidR="00B14792" w:rsidRPr="00D9377D">
        <w:t xml:space="preserve"> the </w:t>
      </w:r>
      <w:r w:rsidR="002E5844" w:rsidRPr="00D9377D">
        <w:rPr>
          <w:i/>
        </w:rPr>
        <w:fldChar w:fldCharType="begin"/>
      </w:r>
      <w:r w:rsidR="00B14792" w:rsidRPr="00D9377D">
        <w:rPr>
          <w:i/>
        </w:rPr>
        <w:instrText xml:space="preserve"> REF Citation \*charformat </w:instrText>
      </w:r>
      <w:r w:rsidR="002E5844" w:rsidRPr="00D9377D">
        <w:rPr>
          <w:i/>
        </w:rPr>
        <w:fldChar w:fldCharType="separate"/>
      </w:r>
      <w:proofErr w:type="spellStart"/>
      <w:r w:rsidR="00555811" w:rsidRPr="00555811">
        <w:rPr>
          <w:i/>
        </w:rPr>
        <w:t>DisabilityCare</w:t>
      </w:r>
      <w:proofErr w:type="spellEnd"/>
      <w:r w:rsidR="00555811" w:rsidRPr="00555811">
        <w:rPr>
          <w:i/>
        </w:rPr>
        <w:t xml:space="preserve"> Australia Fund Investment Mandate Directions 20</w:t>
      </w:r>
      <w:r w:rsidR="002E5844" w:rsidRPr="00D9377D">
        <w:rPr>
          <w:i/>
        </w:rPr>
        <w:fldChar w:fldCharType="end"/>
      </w:r>
      <w:r w:rsidR="0030789E">
        <w:rPr>
          <w:i/>
        </w:rPr>
        <w:t>14</w:t>
      </w:r>
      <w:r w:rsidR="00B14792" w:rsidRPr="00D9377D">
        <w:t>.</w:t>
      </w:r>
    </w:p>
    <w:p w:rsidR="00B14792" w:rsidRPr="00D9377D" w:rsidRDefault="00B14792" w:rsidP="00B14792">
      <w:pPr>
        <w:pStyle w:val="HR"/>
      </w:pPr>
      <w:r w:rsidRPr="00D9377D">
        <w:rPr>
          <w:rStyle w:val="CharSectno"/>
        </w:rPr>
        <w:t>2</w:t>
      </w:r>
      <w:r w:rsidRPr="00D9377D">
        <w:tab/>
        <w:t>Commencement</w:t>
      </w:r>
    </w:p>
    <w:p w:rsidR="00B14792" w:rsidRPr="00D9377D" w:rsidRDefault="00B14792" w:rsidP="008C0E88">
      <w:pPr>
        <w:pStyle w:val="R1"/>
      </w:pPr>
      <w:r w:rsidRPr="00D9377D">
        <w:tab/>
      </w:r>
      <w:r w:rsidRPr="00D9377D">
        <w:tab/>
      </w:r>
      <w:r w:rsidR="008C0E88" w:rsidRPr="00D9377D">
        <w:t>These Directions commence</w:t>
      </w:r>
      <w:r w:rsidRPr="00D9377D">
        <w:t xml:space="preserve"> </w:t>
      </w:r>
      <w:r w:rsidR="00525EEC" w:rsidRPr="00D9377D">
        <w:t>on the</w:t>
      </w:r>
      <w:r w:rsidR="00940FD4" w:rsidRPr="00D9377D">
        <w:t xml:space="preserve"> 15th</w:t>
      </w:r>
      <w:r w:rsidR="00525EEC" w:rsidRPr="00D9377D">
        <w:t xml:space="preserve"> day after they are </w:t>
      </w:r>
      <w:r w:rsidR="00940FD4" w:rsidRPr="00D9377D">
        <w:t>given</w:t>
      </w:r>
      <w:r w:rsidRPr="00D9377D">
        <w:t>.</w:t>
      </w:r>
    </w:p>
    <w:p w:rsidR="00A438B4" w:rsidRPr="00D9377D" w:rsidRDefault="00A438B4" w:rsidP="008C0E88">
      <w:pPr>
        <w:pStyle w:val="Note"/>
      </w:pPr>
      <w:r w:rsidRPr="00D9377D">
        <w:rPr>
          <w:i/>
        </w:rPr>
        <w:t>Note   </w:t>
      </w:r>
      <w:r w:rsidRPr="00D9377D">
        <w:t xml:space="preserve">Section </w:t>
      </w:r>
      <w:r w:rsidRPr="00D9377D">
        <w:rPr>
          <w:iCs/>
          <w:szCs w:val="20"/>
        </w:rPr>
        <w:t xml:space="preserve">42 of the </w:t>
      </w:r>
      <w:r w:rsidRPr="00D9377D">
        <w:rPr>
          <w:i/>
          <w:iCs/>
          <w:szCs w:val="20"/>
        </w:rPr>
        <w:t>Legislative Instruments Act 2003</w:t>
      </w:r>
      <w:r w:rsidRPr="00D9377D">
        <w:rPr>
          <w:iCs/>
          <w:szCs w:val="20"/>
        </w:rPr>
        <w:t xml:space="preserve"> (which deals with the disallowance of legislative instruments) does not apply to this instrument: see section </w:t>
      </w:r>
      <w:r w:rsidR="008C0E88" w:rsidRPr="00D9377D">
        <w:rPr>
          <w:iCs/>
          <w:szCs w:val="20"/>
        </w:rPr>
        <w:t>44</w:t>
      </w:r>
      <w:r w:rsidRPr="00D9377D">
        <w:rPr>
          <w:iCs/>
          <w:szCs w:val="20"/>
        </w:rPr>
        <w:t xml:space="preserve"> </w:t>
      </w:r>
      <w:r w:rsidR="008C0E88" w:rsidRPr="00D9377D">
        <w:rPr>
          <w:iCs/>
          <w:szCs w:val="20"/>
        </w:rPr>
        <w:t>of that Act</w:t>
      </w:r>
      <w:r w:rsidRPr="00D9377D">
        <w:rPr>
          <w:iCs/>
        </w:rPr>
        <w:t>.</w:t>
      </w:r>
      <w:r w:rsidR="008C0E88" w:rsidRPr="00D9377D">
        <w:rPr>
          <w:iCs/>
        </w:rPr>
        <w:t xml:space="preserve"> </w:t>
      </w:r>
      <w:r w:rsidR="008C0E88" w:rsidRPr="00D9377D">
        <w:rPr>
          <w:i/>
        </w:rPr>
        <w:t> </w:t>
      </w:r>
      <w:r w:rsidR="008C0E88" w:rsidRPr="00D9377D">
        <w:t>Part 6</w:t>
      </w:r>
      <w:r w:rsidR="008C0E88" w:rsidRPr="00D9377D">
        <w:rPr>
          <w:iCs/>
          <w:szCs w:val="20"/>
        </w:rPr>
        <w:t xml:space="preserve"> of that Act (which deals with the sunsetting of legislative instruments) does not apply to this instrument: see section 54 of that Act</w:t>
      </w:r>
      <w:r w:rsidR="008C0E88" w:rsidRPr="00D9377D">
        <w:rPr>
          <w:iCs/>
        </w:rPr>
        <w:t xml:space="preserve">. </w:t>
      </w:r>
    </w:p>
    <w:p w:rsidR="008C0E88" w:rsidRPr="00D9377D" w:rsidRDefault="008C0E88" w:rsidP="008C0E88">
      <w:pPr>
        <w:pStyle w:val="HR"/>
      </w:pPr>
      <w:bookmarkStart w:id="3" w:name="_Toc114041252"/>
      <w:r w:rsidRPr="00D9377D">
        <w:rPr>
          <w:rStyle w:val="CharSectno"/>
        </w:rPr>
        <w:t>3</w:t>
      </w:r>
      <w:r w:rsidRPr="00D9377D">
        <w:tab/>
        <w:t>Definitions</w:t>
      </w:r>
      <w:bookmarkEnd w:id="3"/>
    </w:p>
    <w:p w:rsidR="008C0E88" w:rsidRPr="00D9377D" w:rsidRDefault="008C0E88" w:rsidP="00EA4A01">
      <w:pPr>
        <w:pStyle w:val="ZR1"/>
      </w:pPr>
      <w:r w:rsidRPr="00D9377D">
        <w:tab/>
      </w:r>
      <w:r w:rsidRPr="00D9377D">
        <w:tab/>
        <w:t>In these Directions:</w:t>
      </w:r>
    </w:p>
    <w:p w:rsidR="008C0E88" w:rsidRPr="00D9377D" w:rsidRDefault="008C0E88" w:rsidP="008C0E88">
      <w:pPr>
        <w:pStyle w:val="definition"/>
      </w:pPr>
      <w:r w:rsidRPr="00D9377D">
        <w:rPr>
          <w:b/>
          <w:i/>
          <w:iCs/>
        </w:rPr>
        <w:t>Act</w:t>
      </w:r>
      <w:r w:rsidRPr="00D9377D">
        <w:t xml:space="preserve"> means the </w:t>
      </w:r>
      <w:r w:rsidR="002636E6" w:rsidRPr="00CF6098">
        <w:rPr>
          <w:i/>
        </w:rPr>
        <w:t>DisabilityCare Australia Fund Act 2013.</w:t>
      </w:r>
    </w:p>
    <w:p w:rsidR="00DB59DD" w:rsidRPr="00D9377D" w:rsidRDefault="00DB59DD" w:rsidP="00DB59DD">
      <w:pPr>
        <w:pStyle w:val="definition"/>
      </w:pPr>
      <w:r w:rsidRPr="00D9377D">
        <w:rPr>
          <w:b/>
          <w:i/>
          <w:iCs/>
        </w:rPr>
        <w:t>Board</w:t>
      </w:r>
      <w:r w:rsidRPr="00D9377D">
        <w:rPr>
          <w:b/>
        </w:rPr>
        <w:t xml:space="preserve"> </w:t>
      </w:r>
      <w:r w:rsidRPr="00D9377D">
        <w:t>means the Future Fund Board of Guardians.</w:t>
      </w:r>
    </w:p>
    <w:p w:rsidR="008C0E88" w:rsidRPr="00D9377D" w:rsidRDefault="008C0E88" w:rsidP="008C0E88">
      <w:pPr>
        <w:pStyle w:val="definition"/>
      </w:pPr>
      <w:r w:rsidRPr="00D9377D">
        <w:rPr>
          <w:b/>
          <w:i/>
          <w:iCs/>
        </w:rPr>
        <w:t>Fund</w:t>
      </w:r>
      <w:r w:rsidRPr="00D9377D">
        <w:t xml:space="preserve"> means the </w:t>
      </w:r>
      <w:r w:rsidR="00D4096B">
        <w:t>DisabilityCare Australia Fund</w:t>
      </w:r>
      <w:r w:rsidRPr="00D9377D">
        <w:t>.</w:t>
      </w:r>
    </w:p>
    <w:p w:rsidR="008C0E88" w:rsidRPr="00D9377D" w:rsidRDefault="00154F68" w:rsidP="008C0E88">
      <w:pPr>
        <w:pStyle w:val="definition"/>
      </w:pPr>
      <w:proofErr w:type="gramStart"/>
      <w:r w:rsidRPr="00D9377D">
        <w:rPr>
          <w:b/>
          <w:i/>
          <w:iCs/>
        </w:rPr>
        <w:t>r</w:t>
      </w:r>
      <w:r w:rsidR="008C0E88" w:rsidRPr="00D9377D">
        <w:rPr>
          <w:b/>
          <w:i/>
          <w:iCs/>
        </w:rPr>
        <w:t>esponsible</w:t>
      </w:r>
      <w:proofErr w:type="gramEnd"/>
      <w:r w:rsidR="008C0E88" w:rsidRPr="00D9377D">
        <w:rPr>
          <w:b/>
          <w:i/>
          <w:iCs/>
        </w:rPr>
        <w:t xml:space="preserve"> Ministers</w:t>
      </w:r>
      <w:r w:rsidR="008C0E88" w:rsidRPr="00D9377D">
        <w:t xml:space="preserve"> has the same meaning as in the Act.</w:t>
      </w:r>
    </w:p>
    <w:p w:rsidR="008C0E88" w:rsidRPr="00D9377D" w:rsidRDefault="008C0E88" w:rsidP="008C0E88">
      <w:pPr>
        <w:pStyle w:val="HR"/>
      </w:pPr>
      <w:bookmarkStart w:id="4" w:name="_Toc114041253"/>
      <w:r w:rsidRPr="00D9377D">
        <w:rPr>
          <w:rStyle w:val="CharSectno"/>
        </w:rPr>
        <w:t>4</w:t>
      </w:r>
      <w:r w:rsidRPr="00D9377D">
        <w:tab/>
      </w:r>
      <w:r w:rsidR="00967A0E" w:rsidRPr="00D9377D">
        <w:t>Object</w:t>
      </w:r>
      <w:r w:rsidRPr="00D9377D">
        <w:t xml:space="preserve"> of these Directions</w:t>
      </w:r>
      <w:bookmarkEnd w:id="4"/>
    </w:p>
    <w:p w:rsidR="008C0E88" w:rsidRPr="00D9377D" w:rsidRDefault="008C0E88" w:rsidP="00DD765B">
      <w:pPr>
        <w:pStyle w:val="R1"/>
      </w:pPr>
      <w:r w:rsidRPr="00D9377D">
        <w:tab/>
        <w:t>(1)</w:t>
      </w:r>
      <w:r w:rsidRPr="00D9377D">
        <w:tab/>
        <w:t xml:space="preserve">The </w:t>
      </w:r>
      <w:r w:rsidR="002636E6" w:rsidRPr="00CF6098">
        <w:t xml:space="preserve">DisabilityCare Australia Fund is a financing source to enhance the Commonwealth’s ability to reimburse the States and Territories and the Commonwealth for the expenditure incurred in relation to the </w:t>
      </w:r>
      <w:r w:rsidR="002636E6" w:rsidRPr="00CF6098">
        <w:rPr>
          <w:i/>
        </w:rPr>
        <w:t>National Disability Insurance Scheme Act 2013.</w:t>
      </w:r>
    </w:p>
    <w:p w:rsidR="008C0E88" w:rsidRPr="00D9377D" w:rsidRDefault="008C0E88" w:rsidP="008C0E88">
      <w:pPr>
        <w:pStyle w:val="R2"/>
      </w:pPr>
      <w:r w:rsidRPr="00D9377D">
        <w:tab/>
        <w:t>(2)</w:t>
      </w:r>
      <w:r w:rsidRPr="00D9377D">
        <w:tab/>
        <w:t xml:space="preserve">The object of these </w:t>
      </w:r>
      <w:r w:rsidR="00154F68" w:rsidRPr="00D9377D">
        <w:t>D</w:t>
      </w:r>
      <w:r w:rsidRPr="00D9377D">
        <w:t xml:space="preserve">irections </w:t>
      </w:r>
      <w:r w:rsidR="002636E6" w:rsidRPr="00CF6098">
        <w:t xml:space="preserve">is to give guidance to the Board in relation to its investment strategy for the Fund.  The Board is required by the Act to seek to maximise the return earned on the Fund, consistent with international best practice for institutional investment, subject to its obligations under the Act and any directions given by the responsible </w:t>
      </w:r>
      <w:r w:rsidR="002E06D0">
        <w:t>M</w:t>
      </w:r>
      <w:r w:rsidR="002636E6" w:rsidRPr="00CF6098">
        <w:t>inisters under the Act.</w:t>
      </w:r>
    </w:p>
    <w:p w:rsidR="008C0E88" w:rsidRPr="00D9377D" w:rsidRDefault="008C0E88" w:rsidP="008C0E88">
      <w:pPr>
        <w:pStyle w:val="R2"/>
      </w:pPr>
      <w:r w:rsidRPr="00D9377D">
        <w:tab/>
        <w:t>(3)</w:t>
      </w:r>
      <w:r w:rsidRPr="00D9377D">
        <w:tab/>
        <w:t xml:space="preserve">These Directions </w:t>
      </w:r>
      <w:r w:rsidR="00D4096B">
        <w:t>are given under subsection 29</w:t>
      </w:r>
      <w:r w:rsidR="002636E6" w:rsidRPr="00CF6098">
        <w:t xml:space="preserve">(1) of the Act to articulate the Government’s expectations for how the Fund will be invested and managed by the Board.  </w:t>
      </w:r>
    </w:p>
    <w:p w:rsidR="008C0E88" w:rsidRPr="00D9377D" w:rsidRDefault="008C0E88" w:rsidP="008C0E88">
      <w:pPr>
        <w:pStyle w:val="R2"/>
      </w:pPr>
      <w:r w:rsidRPr="00D9377D">
        <w:tab/>
        <w:t>(4)</w:t>
      </w:r>
      <w:r w:rsidRPr="00D9377D">
        <w:tab/>
      </w:r>
      <w:r w:rsidR="000038A9" w:rsidRPr="00D9377D">
        <w:t xml:space="preserve">The responsible Ministers may review </w:t>
      </w:r>
      <w:r w:rsidR="000038A9">
        <w:t xml:space="preserve">these Directions, in consultation with the Board, including after any request by the Board in the context of </w:t>
      </w:r>
      <w:r w:rsidR="000038A9" w:rsidRPr="00CF6098">
        <w:t>any material change</w:t>
      </w:r>
      <w:r w:rsidR="000038A9">
        <w:t>s</w:t>
      </w:r>
      <w:r w:rsidR="000038A9" w:rsidRPr="00CF6098">
        <w:t xml:space="preserve"> to either the prevailing investment conditions or the </w:t>
      </w:r>
      <w:proofErr w:type="spellStart"/>
      <w:r w:rsidR="000038A9" w:rsidRPr="00CF6098">
        <w:t>cashflow</w:t>
      </w:r>
      <w:proofErr w:type="spellEnd"/>
      <w:r w:rsidR="000038A9" w:rsidRPr="00CF6098">
        <w:t xml:space="preserve"> position of the Fund.</w:t>
      </w:r>
    </w:p>
    <w:p w:rsidR="008C0E88" w:rsidRPr="00D9377D" w:rsidRDefault="008C0E88" w:rsidP="00EA4A01">
      <w:pPr>
        <w:pStyle w:val="HP"/>
        <w:pageBreakBefore/>
      </w:pPr>
      <w:r w:rsidRPr="00D9377D">
        <w:rPr>
          <w:rStyle w:val="CharPartNo"/>
        </w:rPr>
        <w:lastRenderedPageBreak/>
        <w:t>Part 2</w:t>
      </w:r>
      <w:r w:rsidRPr="00D9377D">
        <w:tab/>
      </w:r>
      <w:r w:rsidRPr="00D9377D">
        <w:rPr>
          <w:rStyle w:val="CharPartText"/>
        </w:rPr>
        <w:t>Directions</w:t>
      </w:r>
    </w:p>
    <w:p w:rsidR="00EA4A01" w:rsidRPr="00D9377D" w:rsidRDefault="00EA4A01" w:rsidP="00EA4A01">
      <w:pPr>
        <w:pStyle w:val="Header"/>
        <w:rPr>
          <w:vanish/>
        </w:rPr>
      </w:pPr>
      <w:r w:rsidRPr="00D9377D">
        <w:rPr>
          <w:rStyle w:val="CharDivNo"/>
          <w:vanish/>
        </w:rPr>
        <w:t xml:space="preserve"> </w:t>
      </w:r>
      <w:r w:rsidRPr="00D9377D">
        <w:rPr>
          <w:rStyle w:val="CharDivText"/>
          <w:vanish/>
        </w:rPr>
        <w:t xml:space="preserve"> </w:t>
      </w:r>
    </w:p>
    <w:p w:rsidR="002636E6" w:rsidRPr="002636E6" w:rsidRDefault="008C0E88" w:rsidP="002636E6">
      <w:pPr>
        <w:pStyle w:val="HR"/>
        <w:spacing w:line="360" w:lineRule="auto"/>
      </w:pPr>
      <w:r w:rsidRPr="00D9377D">
        <w:rPr>
          <w:rStyle w:val="CharSectno"/>
        </w:rPr>
        <w:t>5</w:t>
      </w:r>
      <w:r w:rsidRPr="00D9377D">
        <w:tab/>
      </w:r>
      <w:r w:rsidR="002636E6">
        <w:t>Investment Objectives</w:t>
      </w:r>
    </w:p>
    <w:p w:rsidR="002636E6" w:rsidRPr="00CF6098" w:rsidRDefault="002636E6" w:rsidP="002636E6">
      <w:pPr>
        <w:pStyle w:val="OutlineNumbered1"/>
        <w:numPr>
          <w:ilvl w:val="1"/>
          <w:numId w:val="7"/>
        </w:numPr>
        <w:tabs>
          <w:tab w:val="left" w:pos="720"/>
        </w:tabs>
      </w:pPr>
      <w:r w:rsidRPr="00CF6098">
        <w:t>The Board should invest in such a way as to minimise the probability of capital</w:t>
      </w:r>
      <w:r w:rsidR="00D4096B">
        <w:t xml:space="preserve"> losses over a 12 month horizon</w:t>
      </w:r>
      <w:r w:rsidR="0028519D">
        <w:t>.</w:t>
      </w:r>
    </w:p>
    <w:p w:rsidR="000038A9" w:rsidRDefault="000038A9" w:rsidP="000038A9">
      <w:pPr>
        <w:pStyle w:val="OutlineNumbered1"/>
        <w:numPr>
          <w:ilvl w:val="1"/>
          <w:numId w:val="7"/>
        </w:numPr>
        <w:tabs>
          <w:tab w:val="left" w:pos="720"/>
        </w:tabs>
      </w:pPr>
      <w:r w:rsidRPr="00CF6098">
        <w:t>Subject to</w:t>
      </w:r>
      <w:r>
        <w:t xml:space="preserve"> the Board’s obligations under section </w:t>
      </w:r>
      <w:r w:rsidR="005070EA">
        <w:t>23</w:t>
      </w:r>
      <w:r>
        <w:t xml:space="preserve"> of the Act and to</w:t>
      </w:r>
      <w:r w:rsidRPr="00CF6098">
        <w:t xml:space="preserve"> (1) above, the Board </w:t>
      </w:r>
      <w:r>
        <w:t>is to adopt a benchmark</w:t>
      </w:r>
      <w:r w:rsidRPr="00CF6098">
        <w:t xml:space="preserve"> return on the Fund of the Australian </w:t>
      </w:r>
      <w:r>
        <w:t>three month</w:t>
      </w:r>
      <w:r w:rsidRPr="00CF6098">
        <w:t xml:space="preserve"> bank bill swap rate + 0.3 per cent per annum, calculated on a rolling 12-month basis (net of fees).</w:t>
      </w:r>
    </w:p>
    <w:p w:rsidR="008C0E88" w:rsidRPr="00D9377D" w:rsidRDefault="008C0E88" w:rsidP="002636E6">
      <w:pPr>
        <w:pStyle w:val="HR"/>
        <w:spacing w:line="360" w:lineRule="auto"/>
      </w:pPr>
      <w:r w:rsidRPr="00D9377D">
        <w:rPr>
          <w:rStyle w:val="CharSectno"/>
        </w:rPr>
        <w:t>6</w:t>
      </w:r>
      <w:r w:rsidR="00A93C52">
        <w:t xml:space="preserve"> </w:t>
      </w:r>
      <w:r w:rsidR="00A93C52">
        <w:tab/>
      </w:r>
      <w:r w:rsidR="002636E6">
        <w:t xml:space="preserve">The </w:t>
      </w:r>
      <w:r w:rsidRPr="00D9377D">
        <w:t>Board must consider impacts from its investment strategy</w:t>
      </w:r>
    </w:p>
    <w:p w:rsidR="002636E6" w:rsidRPr="00CF6098" w:rsidRDefault="00A93C52" w:rsidP="002636E6">
      <w:pPr>
        <w:pStyle w:val="OutlineNumbered1"/>
        <w:numPr>
          <w:ilvl w:val="0"/>
          <w:numId w:val="0"/>
        </w:numPr>
        <w:tabs>
          <w:tab w:val="left" w:pos="720"/>
        </w:tabs>
        <w:ind w:left="567"/>
      </w:pPr>
      <w:r>
        <w:t xml:space="preserve">   </w:t>
      </w:r>
      <w:r w:rsidR="008C0E88" w:rsidRPr="00D9377D">
        <w:t xml:space="preserve">In </w:t>
      </w:r>
      <w:r w:rsidR="002636E6" w:rsidRPr="00CF6098">
        <w:t>undertaking its investment activities, the Board must act in a way that:</w:t>
      </w:r>
    </w:p>
    <w:p w:rsidR="002636E6" w:rsidRPr="00CF6098" w:rsidRDefault="0028519D" w:rsidP="002636E6">
      <w:pPr>
        <w:numPr>
          <w:ilvl w:val="0"/>
          <w:numId w:val="8"/>
        </w:numPr>
      </w:pPr>
      <w:r>
        <w:t>m</w:t>
      </w:r>
      <w:r w:rsidR="002636E6" w:rsidRPr="00CF6098">
        <w:t>inimises the potential to effect any abnormal change in the volatility or efficient operation of Australian financial markets; and</w:t>
      </w:r>
    </w:p>
    <w:p w:rsidR="002636E6" w:rsidRPr="00CF6098" w:rsidRDefault="002636E6" w:rsidP="002636E6">
      <w:pPr>
        <w:ind w:left="927"/>
        <w:rPr>
          <w:sz w:val="20"/>
        </w:rPr>
      </w:pPr>
    </w:p>
    <w:p w:rsidR="002636E6" w:rsidRPr="00CF6098" w:rsidRDefault="0028519D" w:rsidP="002636E6">
      <w:pPr>
        <w:numPr>
          <w:ilvl w:val="0"/>
          <w:numId w:val="8"/>
        </w:numPr>
        <w:spacing w:after="240"/>
      </w:pPr>
      <w:proofErr w:type="gramStart"/>
      <w:r>
        <w:t>i</w:t>
      </w:r>
      <w:r w:rsidR="002636E6" w:rsidRPr="00CF6098">
        <w:t>s</w:t>
      </w:r>
      <w:proofErr w:type="gramEnd"/>
      <w:r w:rsidR="002636E6" w:rsidRPr="00CF6098">
        <w:t xml:space="preserve"> unlikely to cause any diminution of the</w:t>
      </w:r>
      <w:r>
        <w:t xml:space="preserve"> Commonwealth</w:t>
      </w:r>
      <w:r w:rsidR="002636E6" w:rsidRPr="00CF6098">
        <w:t xml:space="preserve">  Government’s reputation in Australian and international financial markets.</w:t>
      </w:r>
    </w:p>
    <w:p w:rsidR="008C0E88" w:rsidRPr="00D9377D" w:rsidRDefault="008C0E88" w:rsidP="002636E6">
      <w:pPr>
        <w:pStyle w:val="ZR1"/>
      </w:pPr>
    </w:p>
    <w:p w:rsidR="00EA4A01" w:rsidRPr="00D9377D" w:rsidRDefault="00EA4A01" w:rsidP="0010035D">
      <w:pPr>
        <w:pStyle w:val="MainBodySectionBreak"/>
        <w:sectPr w:rsidR="00EA4A01" w:rsidRPr="00D9377D" w:rsidSect="0010035D">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1440" w:right="1797" w:bottom="1440" w:left="1797" w:header="720" w:footer="720" w:gutter="0"/>
          <w:cols w:space="708"/>
          <w:docGrid w:linePitch="360"/>
        </w:sectPr>
      </w:pPr>
    </w:p>
    <w:p w:rsidR="005A7CF7" w:rsidRPr="00D9377D" w:rsidRDefault="005A7CF7">
      <w:pPr>
        <w:pStyle w:val="NoteEnd"/>
        <w:pBdr>
          <w:top w:val="single" w:sz="4" w:space="3" w:color="auto"/>
        </w:pBdr>
        <w:spacing w:before="480"/>
        <w:rPr>
          <w:rFonts w:ascii="Arial" w:hAnsi="Arial"/>
          <w:b/>
          <w:sz w:val="24"/>
        </w:rPr>
      </w:pPr>
      <w:r w:rsidRPr="00D9377D">
        <w:rPr>
          <w:rFonts w:ascii="Arial" w:hAnsi="Arial"/>
          <w:b/>
          <w:sz w:val="24"/>
        </w:rPr>
        <w:lastRenderedPageBreak/>
        <w:t>Note</w:t>
      </w:r>
    </w:p>
    <w:p w:rsidR="005A7CF7" w:rsidRPr="00D9377D" w:rsidRDefault="005A7CF7">
      <w:pPr>
        <w:pStyle w:val="NoteEnd"/>
      </w:pPr>
      <w:r w:rsidRPr="00D9377D">
        <w:t>1.</w:t>
      </w:r>
      <w:r w:rsidRPr="00D9377D">
        <w:tab/>
        <w:t xml:space="preserve">All legislative instruments and compilations are registered on the Federal Register of Legislative Instruments kept under the </w:t>
      </w:r>
      <w:r w:rsidRPr="00D9377D">
        <w:rPr>
          <w:i/>
        </w:rPr>
        <w:t xml:space="preserve">Legislative Instruments Act 2003. </w:t>
      </w:r>
      <w:r w:rsidRPr="00D9377D">
        <w:t xml:space="preserve">See </w:t>
      </w:r>
      <w:r w:rsidRPr="00D9377D">
        <w:rPr>
          <w:u w:val="single"/>
        </w:rPr>
        <w:t>http://www.frli.gov.au</w:t>
      </w:r>
      <w:r w:rsidRPr="00D9377D">
        <w:t>.</w:t>
      </w:r>
    </w:p>
    <w:p w:rsidR="005A7CF7" w:rsidRPr="00D9377D" w:rsidRDefault="005A7CF7">
      <w:pPr>
        <w:pStyle w:val="NotesSectionBreak"/>
        <w:sectPr w:rsidR="005A7CF7" w:rsidRPr="00D9377D">
          <w:headerReference w:type="even" r:id="rId20"/>
          <w:headerReference w:type="default" r:id="rId21"/>
          <w:footerReference w:type="even" r:id="rId22"/>
          <w:footerReference w:type="default" r:id="rId23"/>
          <w:headerReference w:type="first" r:id="rId24"/>
          <w:footerReference w:type="first" r:id="rId25"/>
          <w:type w:val="continuous"/>
          <w:pgSz w:w="11907" w:h="16839" w:code="9"/>
          <w:pgMar w:top="1440" w:right="1797" w:bottom="1440" w:left="1797" w:header="709" w:footer="709" w:gutter="0"/>
          <w:cols w:space="708"/>
          <w:docGrid w:linePitch="360"/>
        </w:sectPr>
      </w:pPr>
    </w:p>
    <w:p w:rsidR="00F37E63" w:rsidRPr="00D9377D" w:rsidRDefault="00F37E63" w:rsidP="00674B00"/>
    <w:sectPr w:rsidR="00F37E63" w:rsidRPr="00D9377D" w:rsidSect="00B14792">
      <w:headerReference w:type="even" r:id="rId26"/>
      <w:headerReference w:type="default" r:id="rId27"/>
      <w:footerReference w:type="even" r:id="rId28"/>
      <w:footerReference w:type="default" r:id="rId29"/>
      <w:headerReference w:type="first" r:id="rId30"/>
      <w:footerReference w:type="first" r:id="rId31"/>
      <w:type w:val="continuous"/>
      <w:pgSz w:w="11907" w:h="16839"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BA1" w:rsidRDefault="00277BA1">
      <w:r>
        <w:separator/>
      </w:r>
    </w:p>
  </w:endnote>
  <w:endnote w:type="continuationSeparator" w:id="0">
    <w:p w:rsidR="00277BA1" w:rsidRDefault="00277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BA1" w:rsidRDefault="00277BA1">
    <w:pPr>
      <w:spacing w:line="200" w:lineRule="exact"/>
      <w:ind w:right="360"/>
    </w:pPr>
  </w:p>
  <w:tbl>
    <w:tblPr>
      <w:tblW w:w="0" w:type="auto"/>
      <w:tblInd w:w="108" w:type="dxa"/>
      <w:tblBorders>
        <w:top w:val="single" w:sz="4" w:space="0" w:color="auto"/>
      </w:tblBorders>
      <w:tblLayout w:type="fixed"/>
      <w:tblLook w:val="01E0"/>
    </w:tblPr>
    <w:tblGrid>
      <w:gridCol w:w="1134"/>
      <w:gridCol w:w="6095"/>
      <w:gridCol w:w="1134"/>
    </w:tblGrid>
    <w:tr w:rsidR="00277BA1">
      <w:tc>
        <w:tcPr>
          <w:tcW w:w="1134" w:type="dxa"/>
        </w:tcPr>
        <w:p w:rsidR="00277BA1" w:rsidRPr="007C6D54" w:rsidRDefault="002E5844" w:rsidP="007C6D54">
          <w:pPr>
            <w:spacing w:line="240" w:lineRule="exact"/>
            <w:rPr>
              <w:rFonts w:ascii="Arial" w:hAnsi="Arial" w:cs="Arial"/>
              <w:sz w:val="22"/>
              <w:szCs w:val="22"/>
            </w:rPr>
          </w:pPr>
          <w:r w:rsidRPr="007C6D54">
            <w:rPr>
              <w:rStyle w:val="PageNumber"/>
              <w:rFonts w:cs="Arial"/>
              <w:szCs w:val="22"/>
            </w:rPr>
            <w:fldChar w:fldCharType="begin"/>
          </w:r>
          <w:r w:rsidR="00277BA1" w:rsidRPr="007C6D54">
            <w:rPr>
              <w:rStyle w:val="PageNumber"/>
              <w:rFonts w:cs="Arial"/>
              <w:szCs w:val="22"/>
            </w:rPr>
            <w:instrText xml:space="preserve">PAGE  </w:instrText>
          </w:r>
          <w:r w:rsidRPr="007C6D54">
            <w:rPr>
              <w:rStyle w:val="PageNumber"/>
              <w:rFonts w:cs="Arial"/>
              <w:szCs w:val="22"/>
            </w:rPr>
            <w:fldChar w:fldCharType="separate"/>
          </w:r>
          <w:r w:rsidR="00277BA1">
            <w:rPr>
              <w:rStyle w:val="PageNumber"/>
              <w:rFonts w:cs="Arial"/>
              <w:noProof/>
              <w:szCs w:val="22"/>
            </w:rPr>
            <w:t>1</w:t>
          </w:r>
          <w:r w:rsidRPr="007C6D54">
            <w:rPr>
              <w:rStyle w:val="PageNumber"/>
              <w:rFonts w:cs="Arial"/>
              <w:szCs w:val="22"/>
            </w:rPr>
            <w:fldChar w:fldCharType="end"/>
          </w:r>
        </w:p>
      </w:tc>
      <w:tc>
        <w:tcPr>
          <w:tcW w:w="6095" w:type="dxa"/>
        </w:tcPr>
        <w:p w:rsidR="00277BA1" w:rsidRPr="004F5D6D" w:rsidRDefault="002E5844" w:rsidP="007C6D54">
          <w:pPr>
            <w:pStyle w:val="Footer"/>
            <w:spacing w:before="20" w:line="240" w:lineRule="exact"/>
          </w:pPr>
          <w:r>
            <w:fldChar w:fldCharType="begin"/>
          </w:r>
          <w:r w:rsidR="00277BA1">
            <w:instrText xml:space="preserve"> REF  Citation\*charformat </w:instrText>
          </w:r>
          <w:r>
            <w:fldChar w:fldCharType="separate"/>
          </w:r>
          <w:proofErr w:type="spellStart"/>
          <w:r w:rsidR="00555811">
            <w:t>DisabilityCare</w:t>
          </w:r>
          <w:proofErr w:type="spellEnd"/>
          <w:r w:rsidR="00555811" w:rsidRPr="00D9377D">
            <w:t xml:space="preserve"> Australia Fund Investment Mandate Directions 20</w:t>
          </w:r>
          <w:r>
            <w:fldChar w:fldCharType="end"/>
          </w:r>
        </w:p>
      </w:tc>
      <w:tc>
        <w:tcPr>
          <w:tcW w:w="1134" w:type="dxa"/>
        </w:tcPr>
        <w:p w:rsidR="00277BA1" w:rsidRPr="00451BF5" w:rsidRDefault="00277BA1" w:rsidP="007C6D54">
          <w:pPr>
            <w:spacing w:line="240" w:lineRule="exact"/>
            <w:jc w:val="right"/>
            <w:rPr>
              <w:rStyle w:val="PageNumber"/>
            </w:rPr>
          </w:pPr>
        </w:p>
      </w:tc>
    </w:tr>
  </w:tbl>
  <w:p w:rsidR="00277BA1" w:rsidRDefault="00277BA1">
    <w:pPr>
      <w:pStyle w:val="FooterDraft"/>
      <w:ind w:right="360" w:firstLine="360"/>
    </w:pPr>
  </w:p>
  <w:p w:rsidR="00277BA1" w:rsidRDefault="00277BA1">
    <w:pPr>
      <w:pStyle w:val="FooterInfo"/>
    </w:pPr>
    <w:r w:rsidRPr="00974D8C">
      <w:t xml:space="preserve"> </w:t>
    </w:r>
    <w:r>
      <w:t xml:space="preserve"> </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BA1" w:rsidRDefault="00277BA1" w:rsidP="00BD545A">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277BA1">
      <w:tc>
        <w:tcPr>
          <w:tcW w:w="1134" w:type="dxa"/>
        </w:tcPr>
        <w:p w:rsidR="00277BA1" w:rsidRPr="003D7214" w:rsidRDefault="002E5844" w:rsidP="00BD545A">
          <w:pPr>
            <w:spacing w:line="240" w:lineRule="exact"/>
            <w:rPr>
              <w:rFonts w:ascii="Arial" w:hAnsi="Arial" w:cs="Arial"/>
              <w:sz w:val="22"/>
              <w:szCs w:val="22"/>
            </w:rPr>
          </w:pPr>
          <w:r w:rsidRPr="003D7214">
            <w:rPr>
              <w:rStyle w:val="PageNumber"/>
              <w:rFonts w:cs="Arial"/>
              <w:szCs w:val="22"/>
            </w:rPr>
            <w:fldChar w:fldCharType="begin"/>
          </w:r>
          <w:r w:rsidR="00277BA1" w:rsidRPr="003D7214">
            <w:rPr>
              <w:rStyle w:val="PageNumber"/>
              <w:rFonts w:cs="Arial"/>
              <w:szCs w:val="22"/>
            </w:rPr>
            <w:instrText xml:space="preserve">PAGE  </w:instrText>
          </w:r>
          <w:r w:rsidRPr="003D7214">
            <w:rPr>
              <w:rStyle w:val="PageNumber"/>
              <w:rFonts w:cs="Arial"/>
              <w:szCs w:val="22"/>
            </w:rPr>
            <w:fldChar w:fldCharType="separate"/>
          </w:r>
          <w:r w:rsidR="00277BA1">
            <w:rPr>
              <w:rStyle w:val="PageNumber"/>
              <w:rFonts w:cs="Arial"/>
              <w:noProof/>
              <w:szCs w:val="22"/>
            </w:rPr>
            <w:t>1</w:t>
          </w:r>
          <w:r w:rsidRPr="003D7214">
            <w:rPr>
              <w:rStyle w:val="PageNumber"/>
              <w:rFonts w:cs="Arial"/>
              <w:szCs w:val="22"/>
            </w:rPr>
            <w:fldChar w:fldCharType="end"/>
          </w:r>
        </w:p>
      </w:tc>
      <w:tc>
        <w:tcPr>
          <w:tcW w:w="6095" w:type="dxa"/>
        </w:tcPr>
        <w:p w:rsidR="00277BA1" w:rsidRPr="004F5D6D" w:rsidRDefault="002E5844" w:rsidP="00BD545A">
          <w:pPr>
            <w:pStyle w:val="Footer"/>
            <w:spacing w:before="20" w:line="240" w:lineRule="exact"/>
          </w:pPr>
          <w:r>
            <w:fldChar w:fldCharType="begin"/>
          </w:r>
          <w:r w:rsidR="00277BA1">
            <w:instrText xml:space="preserve"> REF  Citation </w:instrText>
          </w:r>
          <w:r>
            <w:fldChar w:fldCharType="separate"/>
          </w:r>
          <w:proofErr w:type="spellStart"/>
          <w:r w:rsidR="00555811">
            <w:t>DisabilityCare</w:t>
          </w:r>
          <w:proofErr w:type="spellEnd"/>
          <w:r w:rsidR="00555811" w:rsidRPr="00D9377D">
            <w:t xml:space="preserve"> Australia Fund Investment Mandate Directions 20</w:t>
          </w:r>
          <w:r>
            <w:fldChar w:fldCharType="end"/>
          </w:r>
        </w:p>
      </w:tc>
      <w:tc>
        <w:tcPr>
          <w:tcW w:w="1134" w:type="dxa"/>
        </w:tcPr>
        <w:p w:rsidR="00277BA1" w:rsidRPr="00451BF5" w:rsidRDefault="00277BA1" w:rsidP="00BD545A">
          <w:pPr>
            <w:spacing w:line="240" w:lineRule="exact"/>
            <w:jc w:val="right"/>
            <w:rPr>
              <w:rStyle w:val="PageNumber"/>
            </w:rPr>
          </w:pPr>
        </w:p>
      </w:tc>
    </w:tr>
  </w:tbl>
  <w:p w:rsidR="00277BA1" w:rsidRDefault="00277BA1" w:rsidP="00BD545A">
    <w:pPr>
      <w:pStyle w:val="FooterDraft"/>
      <w:ind w:right="360" w:firstLine="360"/>
    </w:pPr>
  </w:p>
  <w:p w:rsidR="00277BA1" w:rsidRDefault="00277BA1" w:rsidP="00BD545A">
    <w:pPr>
      <w:pStyle w:val="FooterInfo"/>
    </w:pPr>
    <w:r w:rsidRPr="00974D8C">
      <w:t xml:space="preserve"> </w:t>
    </w:r>
    <w:r>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BA1" w:rsidRDefault="00277BA1" w:rsidP="00BD545A">
    <w:pPr>
      <w:spacing w:line="200" w:lineRule="exact"/>
    </w:pPr>
  </w:p>
  <w:tbl>
    <w:tblPr>
      <w:tblW w:w="0" w:type="auto"/>
      <w:tblBorders>
        <w:top w:val="single" w:sz="4" w:space="0" w:color="auto"/>
      </w:tblBorders>
      <w:tblLayout w:type="fixed"/>
      <w:tblLook w:val="01E0"/>
    </w:tblPr>
    <w:tblGrid>
      <w:gridCol w:w="1134"/>
      <w:gridCol w:w="6095"/>
      <w:gridCol w:w="1134"/>
    </w:tblGrid>
    <w:tr w:rsidR="00277BA1">
      <w:tc>
        <w:tcPr>
          <w:tcW w:w="1134" w:type="dxa"/>
        </w:tcPr>
        <w:p w:rsidR="00277BA1" w:rsidRDefault="00277BA1" w:rsidP="00BD545A">
          <w:pPr>
            <w:spacing w:line="240" w:lineRule="exact"/>
          </w:pPr>
        </w:p>
      </w:tc>
      <w:tc>
        <w:tcPr>
          <w:tcW w:w="6095" w:type="dxa"/>
        </w:tcPr>
        <w:p w:rsidR="00277BA1" w:rsidRPr="004F5D6D" w:rsidRDefault="002E5844" w:rsidP="00BD545A">
          <w:pPr>
            <w:pStyle w:val="FooterCitation"/>
          </w:pPr>
          <w:r w:rsidRPr="004F5D6D">
            <w:fldChar w:fldCharType="begin"/>
          </w:r>
          <w:r w:rsidR="00277BA1">
            <w:instrText>REF Citation</w:instrText>
          </w:r>
          <w:r w:rsidRPr="004F5D6D">
            <w:fldChar w:fldCharType="separate"/>
          </w:r>
          <w:proofErr w:type="spellStart"/>
          <w:r w:rsidR="00555811">
            <w:t>DisabilityCare</w:t>
          </w:r>
          <w:proofErr w:type="spellEnd"/>
          <w:r w:rsidR="00555811" w:rsidRPr="00D9377D">
            <w:t xml:space="preserve"> Australia Fund Investment Mandate Directions 20</w:t>
          </w:r>
          <w:r w:rsidRPr="004F5D6D">
            <w:fldChar w:fldCharType="end"/>
          </w:r>
        </w:p>
      </w:tc>
      <w:tc>
        <w:tcPr>
          <w:tcW w:w="1134" w:type="dxa"/>
        </w:tcPr>
        <w:p w:rsidR="00277BA1" w:rsidRPr="003D7214" w:rsidRDefault="002E5844" w:rsidP="00BD545A">
          <w:pPr>
            <w:spacing w:line="240" w:lineRule="exact"/>
            <w:jc w:val="right"/>
            <w:rPr>
              <w:rStyle w:val="PageNumber"/>
              <w:rFonts w:cs="Arial"/>
              <w:szCs w:val="22"/>
            </w:rPr>
          </w:pPr>
          <w:r w:rsidRPr="003D7214">
            <w:rPr>
              <w:rStyle w:val="PageNumber"/>
              <w:rFonts w:cs="Arial"/>
              <w:szCs w:val="22"/>
            </w:rPr>
            <w:fldChar w:fldCharType="begin"/>
          </w:r>
          <w:r w:rsidR="00277BA1" w:rsidRPr="003D7214">
            <w:rPr>
              <w:rStyle w:val="PageNumber"/>
              <w:rFonts w:cs="Arial"/>
              <w:szCs w:val="22"/>
            </w:rPr>
            <w:instrText xml:space="preserve">PAGE  </w:instrText>
          </w:r>
          <w:r w:rsidRPr="003D7214">
            <w:rPr>
              <w:rStyle w:val="PageNumber"/>
              <w:rFonts w:cs="Arial"/>
              <w:szCs w:val="22"/>
            </w:rPr>
            <w:fldChar w:fldCharType="separate"/>
          </w:r>
          <w:r w:rsidR="00277BA1">
            <w:rPr>
              <w:rStyle w:val="PageNumber"/>
              <w:rFonts w:cs="Arial"/>
              <w:noProof/>
              <w:szCs w:val="22"/>
            </w:rPr>
            <w:t>1</w:t>
          </w:r>
          <w:r w:rsidRPr="003D7214">
            <w:rPr>
              <w:rStyle w:val="PageNumber"/>
              <w:rFonts w:cs="Arial"/>
              <w:szCs w:val="22"/>
            </w:rPr>
            <w:fldChar w:fldCharType="end"/>
          </w:r>
        </w:p>
      </w:tc>
    </w:tr>
  </w:tbl>
  <w:p w:rsidR="00277BA1" w:rsidRDefault="00277BA1" w:rsidP="00BD545A">
    <w:pPr>
      <w:pStyle w:val="FooterDraft"/>
    </w:pPr>
  </w:p>
  <w:p w:rsidR="00277BA1" w:rsidRDefault="00277BA1" w:rsidP="00BD545A">
    <w:pPr>
      <w:pStyle w:val="FooterInfo"/>
    </w:pPr>
    <w:r w:rsidRPr="00974D8C">
      <w:t xml:space="preserve"> </w:t>
    </w:r>
    <w:r>
      <w:t xml:space="preserve"> </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BA1" w:rsidRDefault="00277BA1">
    <w:pPr>
      <w:pStyle w:val="FooterDraft"/>
    </w:pPr>
  </w:p>
  <w:p w:rsidR="00277BA1" w:rsidRPr="00974D8C" w:rsidRDefault="00277BA1">
    <w:pPr>
      <w:pStyle w:val="FooterInfo"/>
    </w:pPr>
    <w:r>
      <w:rPr>
        <w:noProof/>
      </w:rPr>
      <w:t>0909011A-090701Z.doc</w:t>
    </w:r>
    <w:r w:rsidRPr="00974D8C">
      <w:t xml:space="preserve"> </w:t>
    </w: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BA1" w:rsidRDefault="00277BA1">
    <w:pPr>
      <w:spacing w:line="200" w:lineRule="exact"/>
    </w:pPr>
  </w:p>
  <w:tbl>
    <w:tblPr>
      <w:tblW w:w="0" w:type="auto"/>
      <w:tblInd w:w="108" w:type="dxa"/>
      <w:tblBorders>
        <w:top w:val="single" w:sz="4" w:space="0" w:color="auto"/>
      </w:tblBorders>
      <w:tblLayout w:type="fixed"/>
      <w:tblLook w:val="01E0"/>
    </w:tblPr>
    <w:tblGrid>
      <w:gridCol w:w="1134"/>
      <w:gridCol w:w="6095"/>
      <w:gridCol w:w="1134"/>
    </w:tblGrid>
    <w:tr w:rsidR="00277BA1">
      <w:tc>
        <w:tcPr>
          <w:tcW w:w="1134" w:type="dxa"/>
        </w:tcPr>
        <w:p w:rsidR="00277BA1" w:rsidRDefault="00277BA1" w:rsidP="007C6D54">
          <w:pPr>
            <w:spacing w:line="240" w:lineRule="exact"/>
          </w:pPr>
        </w:p>
      </w:tc>
      <w:tc>
        <w:tcPr>
          <w:tcW w:w="6095" w:type="dxa"/>
        </w:tcPr>
        <w:p w:rsidR="00277BA1" w:rsidRPr="004F5D6D" w:rsidRDefault="002E5844">
          <w:pPr>
            <w:pStyle w:val="FooterCitation"/>
          </w:pPr>
          <w:r w:rsidRPr="004F5D6D">
            <w:fldChar w:fldCharType="begin"/>
          </w:r>
          <w:r w:rsidR="00277BA1">
            <w:instrText>REF Citation</w:instrText>
          </w:r>
          <w:r w:rsidRPr="004F5D6D">
            <w:fldChar w:fldCharType="separate"/>
          </w:r>
          <w:proofErr w:type="spellStart"/>
          <w:r w:rsidR="00555811">
            <w:t>DisabilityCare</w:t>
          </w:r>
          <w:proofErr w:type="spellEnd"/>
          <w:r w:rsidR="00555811" w:rsidRPr="00D9377D">
            <w:t xml:space="preserve"> Australia Fund Investment Mandate Directions 20</w:t>
          </w:r>
          <w:r w:rsidRPr="004F5D6D">
            <w:fldChar w:fldCharType="end"/>
          </w:r>
        </w:p>
      </w:tc>
      <w:tc>
        <w:tcPr>
          <w:tcW w:w="1134" w:type="dxa"/>
        </w:tcPr>
        <w:p w:rsidR="00277BA1" w:rsidRPr="007C6D54" w:rsidRDefault="002E5844" w:rsidP="007C6D54">
          <w:pPr>
            <w:spacing w:line="240" w:lineRule="exact"/>
            <w:jc w:val="right"/>
            <w:rPr>
              <w:rStyle w:val="PageNumber"/>
              <w:rFonts w:cs="Arial"/>
              <w:szCs w:val="22"/>
            </w:rPr>
          </w:pPr>
          <w:r w:rsidRPr="007C6D54">
            <w:rPr>
              <w:rStyle w:val="PageNumber"/>
              <w:rFonts w:cs="Arial"/>
              <w:szCs w:val="22"/>
            </w:rPr>
            <w:fldChar w:fldCharType="begin"/>
          </w:r>
          <w:r w:rsidR="00277BA1" w:rsidRPr="007C6D54">
            <w:rPr>
              <w:rStyle w:val="PageNumber"/>
              <w:rFonts w:cs="Arial"/>
              <w:szCs w:val="22"/>
            </w:rPr>
            <w:instrText xml:space="preserve">PAGE  </w:instrText>
          </w:r>
          <w:r w:rsidRPr="007C6D54">
            <w:rPr>
              <w:rStyle w:val="PageNumber"/>
              <w:rFonts w:cs="Arial"/>
              <w:szCs w:val="22"/>
            </w:rPr>
            <w:fldChar w:fldCharType="separate"/>
          </w:r>
          <w:r w:rsidR="00277BA1">
            <w:rPr>
              <w:rStyle w:val="PageNumber"/>
              <w:rFonts w:cs="Arial"/>
              <w:noProof/>
              <w:szCs w:val="22"/>
            </w:rPr>
            <w:t>1</w:t>
          </w:r>
          <w:r w:rsidRPr="007C6D54">
            <w:rPr>
              <w:rStyle w:val="PageNumber"/>
              <w:rFonts w:cs="Arial"/>
              <w:szCs w:val="22"/>
            </w:rPr>
            <w:fldChar w:fldCharType="end"/>
          </w:r>
        </w:p>
      </w:tc>
    </w:tr>
  </w:tbl>
  <w:p w:rsidR="00277BA1" w:rsidRDefault="00277BA1">
    <w:pPr>
      <w:pStyle w:val="FooterDraft"/>
    </w:pPr>
  </w:p>
  <w:p w:rsidR="00277BA1" w:rsidRDefault="00277BA1">
    <w:pPr>
      <w:pStyle w:val="FooterInfo"/>
    </w:pPr>
    <w:r w:rsidRPr="00974D8C">
      <w:t xml:space="preserve"> </w:t>
    </w: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BA1" w:rsidRPr="00974D8C" w:rsidRDefault="00277BA1">
    <w:pPr>
      <w:pStyle w:val="FooterInfo"/>
    </w:pPr>
    <w: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BA1" w:rsidRDefault="00277BA1" w:rsidP="0010035D">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277BA1">
      <w:tc>
        <w:tcPr>
          <w:tcW w:w="1134" w:type="dxa"/>
          <w:shd w:val="clear" w:color="auto" w:fill="auto"/>
        </w:tcPr>
        <w:p w:rsidR="00277BA1" w:rsidRPr="003D7214" w:rsidRDefault="002E5844" w:rsidP="0010035D">
          <w:pPr>
            <w:spacing w:line="240" w:lineRule="exact"/>
            <w:rPr>
              <w:rFonts w:ascii="Arial" w:hAnsi="Arial" w:cs="Arial"/>
              <w:sz w:val="22"/>
              <w:szCs w:val="22"/>
            </w:rPr>
          </w:pPr>
          <w:r w:rsidRPr="003D7214">
            <w:rPr>
              <w:rStyle w:val="PageNumber"/>
              <w:rFonts w:cs="Arial"/>
            </w:rPr>
            <w:fldChar w:fldCharType="begin"/>
          </w:r>
          <w:r w:rsidR="00277BA1" w:rsidRPr="003D7214">
            <w:rPr>
              <w:rStyle w:val="PageNumber"/>
              <w:rFonts w:cs="Arial"/>
            </w:rPr>
            <w:instrText xml:space="preserve">PAGE  </w:instrText>
          </w:r>
          <w:r w:rsidRPr="003D7214">
            <w:rPr>
              <w:rStyle w:val="PageNumber"/>
              <w:rFonts w:cs="Arial"/>
            </w:rPr>
            <w:fldChar w:fldCharType="separate"/>
          </w:r>
          <w:r w:rsidR="00C90ABE">
            <w:rPr>
              <w:rStyle w:val="PageNumber"/>
              <w:rFonts w:cs="Arial"/>
              <w:noProof/>
            </w:rPr>
            <w:t>2</w:t>
          </w:r>
          <w:r w:rsidRPr="003D7214">
            <w:rPr>
              <w:rStyle w:val="PageNumber"/>
              <w:rFonts w:cs="Arial"/>
            </w:rPr>
            <w:fldChar w:fldCharType="end"/>
          </w:r>
        </w:p>
      </w:tc>
      <w:tc>
        <w:tcPr>
          <w:tcW w:w="6095" w:type="dxa"/>
          <w:shd w:val="clear" w:color="auto" w:fill="auto"/>
        </w:tcPr>
        <w:p w:rsidR="00277BA1" w:rsidRPr="004F5D6D" w:rsidRDefault="002E5844" w:rsidP="004E2C10">
          <w:pPr>
            <w:pStyle w:val="FooterCitation"/>
          </w:pPr>
          <w:r>
            <w:fldChar w:fldCharType="begin"/>
          </w:r>
          <w:r w:rsidR="00277BA1">
            <w:instrText xml:space="preserve"> REF  Citation\*charformat </w:instrText>
          </w:r>
          <w:r>
            <w:fldChar w:fldCharType="separate"/>
          </w:r>
          <w:proofErr w:type="spellStart"/>
          <w:r w:rsidR="00555811">
            <w:t>DisabilityCare</w:t>
          </w:r>
          <w:proofErr w:type="spellEnd"/>
          <w:r w:rsidR="00555811" w:rsidRPr="00D9377D">
            <w:t xml:space="preserve"> Australia Fund Investment Mandate Directions 20</w:t>
          </w:r>
          <w:r>
            <w:fldChar w:fldCharType="end"/>
          </w:r>
          <w:r w:rsidR="00277BA1">
            <w:t>14</w:t>
          </w:r>
        </w:p>
      </w:tc>
      <w:tc>
        <w:tcPr>
          <w:tcW w:w="1134" w:type="dxa"/>
          <w:shd w:val="clear" w:color="auto" w:fill="auto"/>
        </w:tcPr>
        <w:p w:rsidR="00277BA1" w:rsidRPr="00451BF5" w:rsidRDefault="00277BA1" w:rsidP="0010035D">
          <w:pPr>
            <w:spacing w:line="240" w:lineRule="exact"/>
            <w:jc w:val="right"/>
            <w:rPr>
              <w:rStyle w:val="PageNumber"/>
            </w:rPr>
          </w:pPr>
        </w:p>
      </w:tc>
    </w:tr>
  </w:tbl>
  <w:p w:rsidR="00277BA1" w:rsidRDefault="00277BA1" w:rsidP="0010035D">
    <w:pPr>
      <w:pStyle w:val="FooterDraft"/>
      <w:ind w:right="360" w:firstLine="360"/>
    </w:pPr>
  </w:p>
  <w:p w:rsidR="00277BA1" w:rsidRDefault="00277BA1" w:rsidP="0010035D">
    <w:pPr>
      <w:pStyle w:val="FooterInfo"/>
    </w:pPr>
    <w:r w:rsidRPr="00974D8C">
      <w:t xml:space="preserve"> </w:t>
    </w:r>
    <w:r>
      <w:t xml:space="preserve"> </w:t>
    </w:r>
  </w:p>
  <w:p w:rsidR="00277BA1" w:rsidRPr="0055794B" w:rsidRDefault="00277BA1" w:rsidP="0010035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BA1" w:rsidRDefault="00277BA1" w:rsidP="0010035D">
    <w:pPr>
      <w:spacing w:line="200" w:lineRule="exact"/>
    </w:pPr>
  </w:p>
  <w:tbl>
    <w:tblPr>
      <w:tblW w:w="0" w:type="auto"/>
      <w:tblBorders>
        <w:top w:val="single" w:sz="4" w:space="0" w:color="auto"/>
      </w:tblBorders>
      <w:tblLayout w:type="fixed"/>
      <w:tblLook w:val="01E0"/>
    </w:tblPr>
    <w:tblGrid>
      <w:gridCol w:w="1134"/>
      <w:gridCol w:w="6095"/>
      <w:gridCol w:w="1134"/>
    </w:tblGrid>
    <w:tr w:rsidR="00277BA1">
      <w:trPr>
        <w:trHeight w:val="70"/>
      </w:trPr>
      <w:tc>
        <w:tcPr>
          <w:tcW w:w="1134" w:type="dxa"/>
          <w:shd w:val="clear" w:color="auto" w:fill="auto"/>
        </w:tcPr>
        <w:p w:rsidR="00277BA1" w:rsidRDefault="00277BA1" w:rsidP="0010035D">
          <w:pPr>
            <w:spacing w:line="240" w:lineRule="exact"/>
          </w:pPr>
        </w:p>
      </w:tc>
      <w:tc>
        <w:tcPr>
          <w:tcW w:w="6095" w:type="dxa"/>
          <w:shd w:val="clear" w:color="auto" w:fill="auto"/>
        </w:tcPr>
        <w:p w:rsidR="00277BA1" w:rsidRPr="004F5D6D" w:rsidRDefault="002E5844" w:rsidP="004E2C10">
          <w:pPr>
            <w:pStyle w:val="FooterCitation"/>
          </w:pPr>
          <w:r>
            <w:fldChar w:fldCharType="begin"/>
          </w:r>
          <w:r w:rsidR="00277BA1">
            <w:instrText xml:space="preserve"> REF  Citation\*charformat </w:instrText>
          </w:r>
          <w:r>
            <w:fldChar w:fldCharType="separate"/>
          </w:r>
          <w:proofErr w:type="spellStart"/>
          <w:r w:rsidR="00555811">
            <w:t>DisabilityCare</w:t>
          </w:r>
          <w:proofErr w:type="spellEnd"/>
          <w:r w:rsidR="00555811" w:rsidRPr="00D9377D">
            <w:t xml:space="preserve"> Australia Fund Investment Mandate Directions 20</w:t>
          </w:r>
          <w:r>
            <w:fldChar w:fldCharType="end"/>
          </w:r>
          <w:r w:rsidR="00277BA1">
            <w:t>14</w:t>
          </w:r>
        </w:p>
      </w:tc>
      <w:tc>
        <w:tcPr>
          <w:tcW w:w="1134" w:type="dxa"/>
          <w:shd w:val="clear" w:color="auto" w:fill="auto"/>
        </w:tcPr>
        <w:p w:rsidR="00277BA1" w:rsidRPr="003D7214" w:rsidRDefault="002E5844" w:rsidP="0010035D">
          <w:pPr>
            <w:spacing w:line="240" w:lineRule="exact"/>
            <w:jc w:val="right"/>
            <w:rPr>
              <w:rStyle w:val="PageNumber"/>
              <w:rFonts w:cs="Arial"/>
            </w:rPr>
          </w:pPr>
          <w:r w:rsidRPr="003D7214">
            <w:rPr>
              <w:rStyle w:val="PageNumber"/>
              <w:rFonts w:cs="Arial"/>
            </w:rPr>
            <w:fldChar w:fldCharType="begin"/>
          </w:r>
          <w:r w:rsidR="00277BA1" w:rsidRPr="003D7214">
            <w:rPr>
              <w:rStyle w:val="PageNumber"/>
              <w:rFonts w:cs="Arial"/>
            </w:rPr>
            <w:instrText xml:space="preserve">PAGE  </w:instrText>
          </w:r>
          <w:r w:rsidRPr="003D7214">
            <w:rPr>
              <w:rStyle w:val="PageNumber"/>
              <w:rFonts w:cs="Arial"/>
            </w:rPr>
            <w:fldChar w:fldCharType="separate"/>
          </w:r>
          <w:r w:rsidR="00C90ABE">
            <w:rPr>
              <w:rStyle w:val="PageNumber"/>
              <w:rFonts w:cs="Arial"/>
              <w:noProof/>
            </w:rPr>
            <w:t>3</w:t>
          </w:r>
          <w:r w:rsidRPr="003D7214">
            <w:rPr>
              <w:rStyle w:val="PageNumber"/>
              <w:rFonts w:cs="Arial"/>
            </w:rPr>
            <w:fldChar w:fldCharType="end"/>
          </w:r>
        </w:p>
      </w:tc>
    </w:tr>
  </w:tbl>
  <w:p w:rsidR="00277BA1" w:rsidRDefault="00277BA1" w:rsidP="0010035D">
    <w:pPr>
      <w:pStyle w:val="FooterDraft"/>
    </w:pPr>
  </w:p>
  <w:p w:rsidR="00277BA1" w:rsidRDefault="00277BA1" w:rsidP="0010035D">
    <w:pPr>
      <w:pStyle w:val="FooterInfo"/>
    </w:pPr>
    <w:r w:rsidRPr="00974D8C">
      <w:t xml:space="preserve"> </w:t>
    </w:r>
    <w:r>
      <w:t xml:space="preserve"> </w:t>
    </w:r>
  </w:p>
  <w:p w:rsidR="00277BA1" w:rsidRPr="00C83A6D" w:rsidRDefault="00277BA1" w:rsidP="0010035D">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BA1" w:rsidRPr="00556EB9" w:rsidRDefault="00277BA1" w:rsidP="0010035D">
    <w:pPr>
      <w:pStyle w:val="FooterCitation"/>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BA1" w:rsidRDefault="00277BA1">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277BA1">
      <w:tc>
        <w:tcPr>
          <w:tcW w:w="1134" w:type="dxa"/>
          <w:shd w:val="clear" w:color="auto" w:fill="auto"/>
        </w:tcPr>
        <w:p w:rsidR="00277BA1" w:rsidRPr="003D7214" w:rsidRDefault="002E5844">
          <w:pPr>
            <w:spacing w:line="240" w:lineRule="exact"/>
            <w:rPr>
              <w:rFonts w:ascii="Arial" w:hAnsi="Arial" w:cs="Arial"/>
              <w:sz w:val="22"/>
              <w:szCs w:val="22"/>
            </w:rPr>
          </w:pPr>
          <w:r w:rsidRPr="003D7214">
            <w:rPr>
              <w:rStyle w:val="PageNumber"/>
              <w:rFonts w:cs="Arial"/>
            </w:rPr>
            <w:fldChar w:fldCharType="begin"/>
          </w:r>
          <w:r w:rsidR="00277BA1" w:rsidRPr="003D7214">
            <w:rPr>
              <w:rStyle w:val="PageNumber"/>
              <w:rFonts w:cs="Arial"/>
            </w:rPr>
            <w:instrText xml:space="preserve">PAGE  </w:instrText>
          </w:r>
          <w:r w:rsidRPr="003D7214">
            <w:rPr>
              <w:rStyle w:val="PageNumber"/>
              <w:rFonts w:cs="Arial"/>
            </w:rPr>
            <w:fldChar w:fldCharType="separate"/>
          </w:r>
          <w:r w:rsidR="00277BA1">
            <w:rPr>
              <w:rStyle w:val="PageNumber"/>
              <w:rFonts w:cs="Arial"/>
              <w:noProof/>
            </w:rPr>
            <w:t>1</w:t>
          </w:r>
          <w:r w:rsidRPr="003D7214">
            <w:rPr>
              <w:rStyle w:val="PageNumber"/>
              <w:rFonts w:cs="Arial"/>
            </w:rPr>
            <w:fldChar w:fldCharType="end"/>
          </w:r>
        </w:p>
      </w:tc>
      <w:tc>
        <w:tcPr>
          <w:tcW w:w="6095" w:type="dxa"/>
          <w:shd w:val="clear" w:color="auto" w:fill="auto"/>
        </w:tcPr>
        <w:p w:rsidR="00277BA1" w:rsidRPr="004F5D6D" w:rsidRDefault="002E5844">
          <w:pPr>
            <w:pStyle w:val="FooterCitation"/>
          </w:pPr>
          <w:r>
            <w:fldChar w:fldCharType="begin"/>
          </w:r>
          <w:r w:rsidR="00277BA1">
            <w:instrText xml:space="preserve"> REF  Citation\*charformat </w:instrText>
          </w:r>
          <w:r>
            <w:fldChar w:fldCharType="separate"/>
          </w:r>
          <w:proofErr w:type="spellStart"/>
          <w:r w:rsidR="00555811">
            <w:t>DisabilityCare</w:t>
          </w:r>
          <w:proofErr w:type="spellEnd"/>
          <w:r w:rsidR="00555811" w:rsidRPr="00D9377D">
            <w:t xml:space="preserve"> Australia Fund Investment Mandate Directions 20</w:t>
          </w:r>
          <w:r>
            <w:fldChar w:fldCharType="end"/>
          </w:r>
        </w:p>
      </w:tc>
      <w:tc>
        <w:tcPr>
          <w:tcW w:w="1134" w:type="dxa"/>
          <w:shd w:val="clear" w:color="auto" w:fill="auto"/>
        </w:tcPr>
        <w:p w:rsidR="00277BA1" w:rsidRPr="00451BF5" w:rsidRDefault="00277BA1">
          <w:pPr>
            <w:spacing w:line="240" w:lineRule="exact"/>
            <w:jc w:val="right"/>
            <w:rPr>
              <w:rStyle w:val="PageNumber"/>
            </w:rPr>
          </w:pPr>
        </w:p>
      </w:tc>
    </w:tr>
  </w:tbl>
  <w:p w:rsidR="00277BA1" w:rsidRDefault="00277BA1">
    <w:pPr>
      <w:pStyle w:val="FooterDraft"/>
      <w:ind w:right="360" w:firstLine="360"/>
    </w:pPr>
  </w:p>
  <w:p w:rsidR="00277BA1" w:rsidRDefault="00277BA1">
    <w:pPr>
      <w:pStyle w:val="FooterInfo"/>
    </w:pPr>
    <w:r w:rsidRPr="00974D8C">
      <w:t xml:space="preserve"> </w:t>
    </w:r>
    <w:r>
      <w:t xml:space="preserve"> </w:t>
    </w:r>
  </w:p>
  <w:p w:rsidR="00277BA1" w:rsidRPr="0055794B" w:rsidRDefault="00277BA1">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BA1" w:rsidRDefault="00277BA1">
    <w:pPr>
      <w:spacing w:line="200" w:lineRule="exact"/>
    </w:pPr>
  </w:p>
  <w:tbl>
    <w:tblPr>
      <w:tblW w:w="0" w:type="auto"/>
      <w:tblBorders>
        <w:top w:val="single" w:sz="4" w:space="0" w:color="auto"/>
      </w:tblBorders>
      <w:tblLayout w:type="fixed"/>
      <w:tblLook w:val="01E0"/>
    </w:tblPr>
    <w:tblGrid>
      <w:gridCol w:w="1134"/>
      <w:gridCol w:w="6095"/>
      <w:gridCol w:w="1134"/>
    </w:tblGrid>
    <w:tr w:rsidR="00277BA1">
      <w:tc>
        <w:tcPr>
          <w:tcW w:w="1134" w:type="dxa"/>
          <w:shd w:val="clear" w:color="auto" w:fill="auto"/>
        </w:tcPr>
        <w:p w:rsidR="00277BA1" w:rsidRDefault="00277BA1">
          <w:pPr>
            <w:spacing w:line="240" w:lineRule="exact"/>
          </w:pPr>
        </w:p>
      </w:tc>
      <w:tc>
        <w:tcPr>
          <w:tcW w:w="6095" w:type="dxa"/>
          <w:shd w:val="clear" w:color="auto" w:fill="auto"/>
        </w:tcPr>
        <w:p w:rsidR="00277BA1" w:rsidRPr="004F5D6D" w:rsidRDefault="002E5844">
          <w:pPr>
            <w:pStyle w:val="FooterCitation"/>
          </w:pPr>
          <w:r>
            <w:fldChar w:fldCharType="begin"/>
          </w:r>
          <w:r w:rsidR="00277BA1">
            <w:instrText xml:space="preserve"> REF  Citation\*charformat </w:instrText>
          </w:r>
          <w:r>
            <w:fldChar w:fldCharType="separate"/>
          </w:r>
          <w:proofErr w:type="spellStart"/>
          <w:r w:rsidR="00555811">
            <w:t>DisabilityCare</w:t>
          </w:r>
          <w:proofErr w:type="spellEnd"/>
          <w:r w:rsidR="00555811" w:rsidRPr="00D9377D">
            <w:t xml:space="preserve"> Australia Fund Investment Mandate Directions 20</w:t>
          </w:r>
          <w:r>
            <w:fldChar w:fldCharType="end"/>
          </w:r>
        </w:p>
      </w:tc>
      <w:tc>
        <w:tcPr>
          <w:tcW w:w="1134" w:type="dxa"/>
          <w:shd w:val="clear" w:color="auto" w:fill="auto"/>
        </w:tcPr>
        <w:p w:rsidR="00277BA1" w:rsidRPr="003D7214" w:rsidRDefault="002E5844">
          <w:pPr>
            <w:spacing w:line="240" w:lineRule="exact"/>
            <w:jc w:val="right"/>
            <w:rPr>
              <w:rStyle w:val="PageNumber"/>
              <w:rFonts w:cs="Arial"/>
            </w:rPr>
          </w:pPr>
          <w:r w:rsidRPr="003D7214">
            <w:rPr>
              <w:rStyle w:val="PageNumber"/>
              <w:rFonts w:cs="Arial"/>
            </w:rPr>
            <w:fldChar w:fldCharType="begin"/>
          </w:r>
          <w:r w:rsidR="00277BA1" w:rsidRPr="003D7214">
            <w:rPr>
              <w:rStyle w:val="PageNumber"/>
              <w:rFonts w:cs="Arial"/>
            </w:rPr>
            <w:instrText xml:space="preserve">PAGE  </w:instrText>
          </w:r>
          <w:r w:rsidRPr="003D7214">
            <w:rPr>
              <w:rStyle w:val="PageNumber"/>
              <w:rFonts w:cs="Arial"/>
            </w:rPr>
            <w:fldChar w:fldCharType="separate"/>
          </w:r>
          <w:r w:rsidR="00277BA1">
            <w:rPr>
              <w:rStyle w:val="PageNumber"/>
              <w:rFonts w:cs="Arial"/>
              <w:noProof/>
            </w:rPr>
            <w:t>1</w:t>
          </w:r>
          <w:r w:rsidRPr="003D7214">
            <w:rPr>
              <w:rStyle w:val="PageNumber"/>
              <w:rFonts w:cs="Arial"/>
            </w:rPr>
            <w:fldChar w:fldCharType="end"/>
          </w:r>
        </w:p>
      </w:tc>
    </w:tr>
  </w:tbl>
  <w:p w:rsidR="00277BA1" w:rsidRDefault="00277BA1">
    <w:pPr>
      <w:pStyle w:val="FooterDraft"/>
    </w:pPr>
  </w:p>
  <w:p w:rsidR="00277BA1" w:rsidRDefault="00277BA1">
    <w:pPr>
      <w:pStyle w:val="FooterInfo"/>
    </w:pPr>
    <w:r w:rsidRPr="00974D8C">
      <w:t xml:space="preserve"> </w:t>
    </w:r>
    <w:r>
      <w:t xml:space="preserve"> </w:t>
    </w:r>
  </w:p>
  <w:p w:rsidR="00277BA1" w:rsidRPr="00C83A6D" w:rsidRDefault="00277BA1">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BA1" w:rsidRPr="00556EB9" w:rsidRDefault="00277BA1">
    <w:pPr>
      <w:pStyle w:val="FooterCitation"/>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BA1" w:rsidRDefault="00277BA1">
      <w:r>
        <w:separator/>
      </w:r>
    </w:p>
  </w:footnote>
  <w:footnote w:type="continuationSeparator" w:id="0">
    <w:p w:rsidR="00277BA1" w:rsidRDefault="00277B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277BA1" w:rsidRPr="007C6D54">
      <w:tc>
        <w:tcPr>
          <w:tcW w:w="8385" w:type="dxa"/>
        </w:tcPr>
        <w:p w:rsidR="00277BA1" w:rsidRDefault="00277BA1">
          <w:pPr>
            <w:pStyle w:val="HeaderLiteEven"/>
          </w:pPr>
        </w:p>
      </w:tc>
    </w:tr>
    <w:tr w:rsidR="00277BA1" w:rsidRPr="007C6D54">
      <w:tc>
        <w:tcPr>
          <w:tcW w:w="8385" w:type="dxa"/>
        </w:tcPr>
        <w:p w:rsidR="00277BA1" w:rsidRDefault="00277BA1">
          <w:pPr>
            <w:pStyle w:val="HeaderLiteEven"/>
          </w:pPr>
        </w:p>
      </w:tc>
    </w:tr>
    <w:tr w:rsidR="00277BA1" w:rsidRPr="007C6D54">
      <w:tc>
        <w:tcPr>
          <w:tcW w:w="8385" w:type="dxa"/>
        </w:tcPr>
        <w:p w:rsidR="00277BA1" w:rsidRDefault="00277BA1">
          <w:pPr>
            <w:pStyle w:val="HeaderBoldEven"/>
          </w:pPr>
        </w:p>
      </w:tc>
    </w:tr>
  </w:tbl>
  <w:p w:rsidR="00277BA1" w:rsidRDefault="00277BA1"/>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494"/>
      <w:gridCol w:w="6891"/>
    </w:tblGrid>
    <w:tr w:rsidR="00277BA1">
      <w:tc>
        <w:tcPr>
          <w:tcW w:w="1494" w:type="dxa"/>
        </w:tcPr>
        <w:p w:rsidR="00277BA1" w:rsidRDefault="00277BA1" w:rsidP="00BD545A">
          <w:pPr>
            <w:pStyle w:val="HeaderLiteEven"/>
          </w:pPr>
        </w:p>
      </w:tc>
      <w:tc>
        <w:tcPr>
          <w:tcW w:w="6891" w:type="dxa"/>
        </w:tcPr>
        <w:p w:rsidR="00277BA1" w:rsidRDefault="00277BA1" w:rsidP="00BD545A">
          <w:pPr>
            <w:pStyle w:val="HeaderLiteEven"/>
          </w:pPr>
        </w:p>
      </w:tc>
    </w:tr>
    <w:tr w:rsidR="00277BA1">
      <w:tc>
        <w:tcPr>
          <w:tcW w:w="1494" w:type="dxa"/>
        </w:tcPr>
        <w:p w:rsidR="00277BA1" w:rsidRDefault="00277BA1" w:rsidP="00BD545A">
          <w:pPr>
            <w:pStyle w:val="HeaderLiteEven"/>
          </w:pPr>
        </w:p>
      </w:tc>
      <w:tc>
        <w:tcPr>
          <w:tcW w:w="6891" w:type="dxa"/>
        </w:tcPr>
        <w:p w:rsidR="00277BA1" w:rsidRDefault="00277BA1" w:rsidP="00BD545A">
          <w:pPr>
            <w:pStyle w:val="HeaderLiteEven"/>
          </w:pPr>
        </w:p>
      </w:tc>
    </w:tr>
    <w:tr w:rsidR="00277BA1">
      <w:tc>
        <w:tcPr>
          <w:tcW w:w="8385" w:type="dxa"/>
          <w:gridSpan w:val="2"/>
          <w:tcBorders>
            <w:bottom w:val="single" w:sz="4" w:space="0" w:color="auto"/>
          </w:tcBorders>
        </w:tcPr>
        <w:p w:rsidR="00277BA1" w:rsidRDefault="00277BA1" w:rsidP="00BD545A">
          <w:pPr>
            <w:pStyle w:val="HeaderBoldEven"/>
          </w:pPr>
        </w:p>
      </w:tc>
    </w:tr>
  </w:tbl>
  <w:p w:rsidR="00277BA1" w:rsidRDefault="00277BA1" w:rsidP="00BD545A"/>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6914"/>
      <w:gridCol w:w="1471"/>
    </w:tblGrid>
    <w:tr w:rsidR="00277BA1">
      <w:tc>
        <w:tcPr>
          <w:tcW w:w="6914" w:type="dxa"/>
        </w:tcPr>
        <w:p w:rsidR="00277BA1" w:rsidRDefault="00277BA1" w:rsidP="00BD545A">
          <w:pPr>
            <w:pStyle w:val="HeaderLiteOdd"/>
          </w:pPr>
        </w:p>
      </w:tc>
      <w:tc>
        <w:tcPr>
          <w:tcW w:w="1471" w:type="dxa"/>
        </w:tcPr>
        <w:p w:rsidR="00277BA1" w:rsidRDefault="00277BA1" w:rsidP="00BD545A">
          <w:pPr>
            <w:pStyle w:val="HeaderLiteOdd"/>
          </w:pPr>
        </w:p>
      </w:tc>
    </w:tr>
    <w:tr w:rsidR="00277BA1">
      <w:tc>
        <w:tcPr>
          <w:tcW w:w="6914" w:type="dxa"/>
        </w:tcPr>
        <w:p w:rsidR="00277BA1" w:rsidRDefault="00277BA1" w:rsidP="00BD545A">
          <w:pPr>
            <w:pStyle w:val="HeaderLiteOdd"/>
          </w:pPr>
        </w:p>
      </w:tc>
      <w:tc>
        <w:tcPr>
          <w:tcW w:w="1471" w:type="dxa"/>
        </w:tcPr>
        <w:p w:rsidR="00277BA1" w:rsidRDefault="00277BA1" w:rsidP="00BD545A">
          <w:pPr>
            <w:pStyle w:val="HeaderLiteOdd"/>
          </w:pPr>
        </w:p>
      </w:tc>
    </w:tr>
    <w:tr w:rsidR="00277BA1">
      <w:tc>
        <w:tcPr>
          <w:tcW w:w="8385" w:type="dxa"/>
          <w:gridSpan w:val="2"/>
          <w:tcBorders>
            <w:bottom w:val="single" w:sz="4" w:space="0" w:color="auto"/>
          </w:tcBorders>
        </w:tcPr>
        <w:p w:rsidR="00277BA1" w:rsidRDefault="00277BA1" w:rsidP="00BD545A">
          <w:pPr>
            <w:pStyle w:val="HeaderBoldOdd"/>
          </w:pPr>
        </w:p>
      </w:tc>
    </w:tr>
  </w:tbl>
  <w:p w:rsidR="00277BA1" w:rsidRDefault="00277BA1" w:rsidP="00BD545A"/>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BA1" w:rsidRDefault="00277B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277BA1" w:rsidRPr="007C6D54">
      <w:tc>
        <w:tcPr>
          <w:tcW w:w="8385" w:type="dxa"/>
        </w:tcPr>
        <w:p w:rsidR="00277BA1" w:rsidRDefault="00277BA1"/>
      </w:tc>
    </w:tr>
    <w:tr w:rsidR="00277BA1" w:rsidRPr="007C6D54">
      <w:tc>
        <w:tcPr>
          <w:tcW w:w="8385" w:type="dxa"/>
        </w:tcPr>
        <w:p w:rsidR="00277BA1" w:rsidRDefault="00277BA1"/>
      </w:tc>
    </w:tr>
    <w:tr w:rsidR="00277BA1" w:rsidRPr="007C6D54">
      <w:tc>
        <w:tcPr>
          <w:tcW w:w="8385" w:type="dxa"/>
        </w:tcPr>
        <w:p w:rsidR="00277BA1" w:rsidRDefault="00277BA1"/>
      </w:tc>
    </w:tr>
  </w:tbl>
  <w:p w:rsidR="00277BA1" w:rsidRDefault="00277BA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BA1" w:rsidRDefault="00277BA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548"/>
      <w:gridCol w:w="6798"/>
    </w:tblGrid>
    <w:tr w:rsidR="00277BA1">
      <w:tc>
        <w:tcPr>
          <w:tcW w:w="1548" w:type="dxa"/>
        </w:tcPr>
        <w:p w:rsidR="00277BA1" w:rsidRDefault="002E5844">
          <w:pPr>
            <w:pStyle w:val="HeaderLiteEven"/>
          </w:pPr>
          <w:r>
            <w:fldChar w:fldCharType="begin"/>
          </w:r>
          <w:r w:rsidR="00277BA1">
            <w:instrText xml:space="preserve"> If </w:instrText>
          </w:r>
          <w:fldSimple w:instr=" STYLEREF CharPartNo \*Charformat ">
            <w:r w:rsidR="00C90ABE">
              <w:rPr>
                <w:noProof/>
              </w:rPr>
              <w:instrText>Part 1</w:instrText>
            </w:r>
          </w:fldSimple>
          <w:r w:rsidR="00277BA1">
            <w:instrText xml:space="preserve"> &lt;&gt; "Error*" </w:instrText>
          </w:r>
          <w:fldSimple w:instr=" STYLEREF CharPartNo \*Charformat ">
            <w:r w:rsidR="00C90ABE">
              <w:rPr>
                <w:noProof/>
              </w:rPr>
              <w:instrText>Part 1</w:instrText>
            </w:r>
          </w:fldSimple>
          <w:r w:rsidR="00277BA1">
            <w:instrText xml:space="preserve"> </w:instrText>
          </w:r>
          <w:r>
            <w:fldChar w:fldCharType="separate"/>
          </w:r>
          <w:r w:rsidR="00C90ABE">
            <w:rPr>
              <w:noProof/>
            </w:rPr>
            <w:t>Part 1</w:t>
          </w:r>
          <w:r>
            <w:fldChar w:fldCharType="end"/>
          </w:r>
        </w:p>
      </w:tc>
      <w:tc>
        <w:tcPr>
          <w:tcW w:w="6798" w:type="dxa"/>
          <w:vAlign w:val="bottom"/>
        </w:tcPr>
        <w:p w:rsidR="00277BA1" w:rsidRDefault="002E5844">
          <w:pPr>
            <w:pStyle w:val="HeaderLiteEven"/>
          </w:pPr>
          <w:r>
            <w:fldChar w:fldCharType="begin"/>
          </w:r>
          <w:r w:rsidR="00277BA1">
            <w:instrText xml:space="preserve"> If </w:instrText>
          </w:r>
          <w:fldSimple w:instr=" STYLEREF CharPartText \*Charformat ">
            <w:r w:rsidR="00C90ABE">
              <w:rPr>
                <w:noProof/>
              </w:rPr>
              <w:instrText>Preliminary</w:instrText>
            </w:r>
          </w:fldSimple>
          <w:r w:rsidR="00277BA1">
            <w:instrText xml:space="preserve"> &lt;&gt; "Error*" </w:instrText>
          </w:r>
          <w:fldSimple w:instr=" STYLEREF CharPartText \*Charformat ">
            <w:r w:rsidR="00C90ABE">
              <w:rPr>
                <w:noProof/>
              </w:rPr>
              <w:instrText>Preliminary</w:instrText>
            </w:r>
          </w:fldSimple>
          <w:r w:rsidR="00277BA1">
            <w:instrText xml:space="preserve"> </w:instrText>
          </w:r>
          <w:r>
            <w:fldChar w:fldCharType="separate"/>
          </w:r>
          <w:r w:rsidR="00C90ABE">
            <w:rPr>
              <w:noProof/>
            </w:rPr>
            <w:t>Preliminary</w:t>
          </w:r>
          <w:r>
            <w:fldChar w:fldCharType="end"/>
          </w:r>
        </w:p>
      </w:tc>
    </w:tr>
    <w:tr w:rsidR="00277BA1">
      <w:tc>
        <w:tcPr>
          <w:tcW w:w="1548" w:type="dxa"/>
        </w:tcPr>
        <w:p w:rsidR="00277BA1" w:rsidRDefault="00277BA1">
          <w:pPr>
            <w:pStyle w:val="HeaderLiteEven"/>
          </w:pPr>
        </w:p>
      </w:tc>
      <w:tc>
        <w:tcPr>
          <w:tcW w:w="6798" w:type="dxa"/>
          <w:vAlign w:val="bottom"/>
        </w:tcPr>
        <w:p w:rsidR="00277BA1" w:rsidRDefault="00277BA1">
          <w:pPr>
            <w:pStyle w:val="HeaderLiteEven"/>
          </w:pPr>
        </w:p>
      </w:tc>
    </w:tr>
    <w:tr w:rsidR="00277BA1">
      <w:tc>
        <w:tcPr>
          <w:tcW w:w="8346" w:type="dxa"/>
          <w:gridSpan w:val="2"/>
          <w:tcBorders>
            <w:bottom w:val="single" w:sz="4" w:space="0" w:color="auto"/>
          </w:tcBorders>
          <w:shd w:val="clear" w:color="auto" w:fill="auto"/>
        </w:tcPr>
        <w:p w:rsidR="00277BA1" w:rsidRPr="00EA4A01" w:rsidRDefault="00277BA1">
          <w:pPr>
            <w:pStyle w:val="HeaderBoldEven"/>
          </w:pPr>
          <w:r>
            <w:t xml:space="preserve">Section </w:t>
          </w:r>
          <w:r w:rsidR="002E5844" w:rsidRPr="00EA4A01">
            <w:fldChar w:fldCharType="begin"/>
          </w:r>
          <w:r w:rsidRPr="00EA4A01">
            <w:instrText xml:space="preserve"> If </w:instrText>
          </w:r>
          <w:fldSimple w:instr=" STYLEREF CharSectno \*Charformat ">
            <w:r w:rsidR="00C90ABE">
              <w:rPr>
                <w:noProof/>
              </w:rPr>
              <w:instrText>1</w:instrText>
            </w:r>
          </w:fldSimple>
          <w:r w:rsidRPr="00EA4A01">
            <w:instrText xml:space="preserve"> &lt;&gt; "Error*" </w:instrText>
          </w:r>
          <w:fldSimple w:instr=" STYLEREF CharSectno \*Charformat ">
            <w:r w:rsidR="00C90ABE">
              <w:rPr>
                <w:noProof/>
              </w:rPr>
              <w:instrText>1</w:instrText>
            </w:r>
          </w:fldSimple>
          <w:r w:rsidRPr="00EA4A01">
            <w:instrText xml:space="preserve"> </w:instrText>
          </w:r>
          <w:r w:rsidR="002E5844" w:rsidRPr="00EA4A01">
            <w:fldChar w:fldCharType="separate"/>
          </w:r>
          <w:r w:rsidR="00C90ABE">
            <w:rPr>
              <w:noProof/>
            </w:rPr>
            <w:t>1</w:t>
          </w:r>
          <w:r w:rsidR="002E5844" w:rsidRPr="00EA4A01">
            <w:fldChar w:fldCharType="end"/>
          </w:r>
        </w:p>
      </w:tc>
    </w:tr>
  </w:tbl>
  <w:p w:rsidR="00277BA1" w:rsidRDefault="00277BA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6798"/>
      <w:gridCol w:w="1548"/>
    </w:tblGrid>
    <w:tr w:rsidR="00277BA1">
      <w:tc>
        <w:tcPr>
          <w:tcW w:w="6798" w:type="dxa"/>
          <w:vAlign w:val="bottom"/>
        </w:tcPr>
        <w:p w:rsidR="00277BA1" w:rsidRDefault="002E5844" w:rsidP="0010035D">
          <w:pPr>
            <w:pStyle w:val="HeaderLiteOdd"/>
          </w:pPr>
          <w:r>
            <w:fldChar w:fldCharType="begin"/>
          </w:r>
          <w:r w:rsidR="00277BA1">
            <w:instrText xml:space="preserve"> If </w:instrText>
          </w:r>
          <w:fldSimple w:instr=" STYLEREF CharPartText \*Charformat \l ">
            <w:r w:rsidR="00C90ABE">
              <w:rPr>
                <w:noProof/>
              </w:rPr>
              <w:instrText>Directions</w:instrText>
            </w:r>
          </w:fldSimple>
          <w:r w:rsidR="00277BA1">
            <w:instrText xml:space="preserve"> &lt;&gt; "Error*" </w:instrText>
          </w:r>
          <w:fldSimple w:instr=" STYLEREF CharPartText \*Charformat \l ">
            <w:r w:rsidR="00C90ABE">
              <w:rPr>
                <w:noProof/>
              </w:rPr>
              <w:instrText>Directions</w:instrText>
            </w:r>
          </w:fldSimple>
          <w:r w:rsidR="00277BA1">
            <w:instrText xml:space="preserve"> </w:instrText>
          </w:r>
          <w:r>
            <w:fldChar w:fldCharType="separate"/>
          </w:r>
          <w:r w:rsidR="00C90ABE">
            <w:rPr>
              <w:noProof/>
            </w:rPr>
            <w:t>Directions</w:t>
          </w:r>
          <w:r>
            <w:fldChar w:fldCharType="end"/>
          </w:r>
        </w:p>
      </w:tc>
      <w:tc>
        <w:tcPr>
          <w:tcW w:w="1548" w:type="dxa"/>
        </w:tcPr>
        <w:p w:rsidR="00277BA1" w:rsidRDefault="002E5844">
          <w:pPr>
            <w:pStyle w:val="HeaderLiteOdd"/>
          </w:pPr>
          <w:r>
            <w:fldChar w:fldCharType="begin"/>
          </w:r>
          <w:r w:rsidR="00277BA1">
            <w:instrText xml:space="preserve"> If </w:instrText>
          </w:r>
          <w:fldSimple w:instr=" STYLEREF CharPartNo \*Charformat \l ">
            <w:r w:rsidR="00C90ABE">
              <w:rPr>
                <w:noProof/>
              </w:rPr>
              <w:instrText>Part 2</w:instrText>
            </w:r>
          </w:fldSimple>
          <w:r w:rsidR="00277BA1">
            <w:instrText xml:space="preserve"> &lt;&gt; "Error*" </w:instrText>
          </w:r>
          <w:fldSimple w:instr=" STYLEREF CharPartNo \*Charformat \l ">
            <w:r w:rsidR="00C90ABE">
              <w:rPr>
                <w:noProof/>
              </w:rPr>
              <w:instrText>Part 2</w:instrText>
            </w:r>
          </w:fldSimple>
          <w:r w:rsidR="00277BA1">
            <w:instrText xml:space="preserve"> </w:instrText>
          </w:r>
          <w:r>
            <w:fldChar w:fldCharType="separate"/>
          </w:r>
          <w:r w:rsidR="00C90ABE">
            <w:rPr>
              <w:noProof/>
            </w:rPr>
            <w:t>Part 2</w:t>
          </w:r>
          <w:r>
            <w:fldChar w:fldCharType="end"/>
          </w:r>
        </w:p>
      </w:tc>
    </w:tr>
    <w:tr w:rsidR="00277BA1">
      <w:tc>
        <w:tcPr>
          <w:tcW w:w="6798" w:type="dxa"/>
          <w:vAlign w:val="bottom"/>
        </w:tcPr>
        <w:p w:rsidR="00277BA1" w:rsidRDefault="00277BA1">
          <w:pPr>
            <w:pStyle w:val="HeaderLiteOdd"/>
          </w:pPr>
        </w:p>
      </w:tc>
      <w:tc>
        <w:tcPr>
          <w:tcW w:w="1548" w:type="dxa"/>
        </w:tcPr>
        <w:p w:rsidR="00277BA1" w:rsidRDefault="00277BA1">
          <w:pPr>
            <w:pStyle w:val="HeaderLiteOdd"/>
          </w:pPr>
        </w:p>
      </w:tc>
    </w:tr>
    <w:tr w:rsidR="00277BA1">
      <w:tc>
        <w:tcPr>
          <w:tcW w:w="8346" w:type="dxa"/>
          <w:gridSpan w:val="2"/>
          <w:tcBorders>
            <w:bottom w:val="single" w:sz="4" w:space="0" w:color="auto"/>
          </w:tcBorders>
          <w:shd w:val="clear" w:color="auto" w:fill="auto"/>
        </w:tcPr>
        <w:p w:rsidR="00277BA1" w:rsidRPr="00EA4A01" w:rsidRDefault="00277BA1" w:rsidP="00D467E7">
          <w:pPr>
            <w:pStyle w:val="HeaderBoldOdd"/>
            <w:jc w:val="left"/>
          </w:pPr>
          <w:r>
            <w:t>Section 1</w:t>
          </w:r>
        </w:p>
      </w:tc>
    </w:tr>
  </w:tbl>
  <w:p w:rsidR="00277BA1" w:rsidRDefault="00277BA1"/>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BA1" w:rsidRDefault="00277BA1">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57" w:type="dxa"/>
      <w:tblLayout w:type="fixed"/>
      <w:tblLook w:val="01E0"/>
    </w:tblPr>
    <w:tblGrid>
      <w:gridCol w:w="8357"/>
    </w:tblGrid>
    <w:tr w:rsidR="00277BA1" w:rsidRPr="00375ADF">
      <w:tc>
        <w:tcPr>
          <w:tcW w:w="8357" w:type="dxa"/>
        </w:tcPr>
        <w:p w:rsidR="00277BA1" w:rsidRPr="00375ADF" w:rsidRDefault="00277BA1">
          <w:pPr>
            <w:pStyle w:val="HeaderLiteEven"/>
          </w:pPr>
          <w:r>
            <w:t>Note</w:t>
          </w:r>
        </w:p>
      </w:tc>
    </w:tr>
    <w:tr w:rsidR="00277BA1">
      <w:tc>
        <w:tcPr>
          <w:tcW w:w="8357" w:type="dxa"/>
        </w:tcPr>
        <w:p w:rsidR="00277BA1" w:rsidRDefault="00277BA1">
          <w:pPr>
            <w:pStyle w:val="HeaderLiteEven"/>
          </w:pPr>
        </w:p>
      </w:tc>
    </w:tr>
    <w:tr w:rsidR="00277BA1">
      <w:tc>
        <w:tcPr>
          <w:tcW w:w="8357" w:type="dxa"/>
          <w:tcBorders>
            <w:bottom w:val="single" w:sz="4" w:space="0" w:color="auto"/>
          </w:tcBorders>
          <w:shd w:val="clear" w:color="auto" w:fill="auto"/>
        </w:tcPr>
        <w:p w:rsidR="00277BA1" w:rsidRPr="000D4CDA" w:rsidRDefault="00277BA1">
          <w:pPr>
            <w:pStyle w:val="HeaderBoldEven"/>
          </w:pPr>
        </w:p>
      </w:tc>
    </w:tr>
  </w:tbl>
  <w:p w:rsidR="00277BA1" w:rsidRDefault="00277BA1"/>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57" w:type="dxa"/>
      <w:tblLayout w:type="fixed"/>
      <w:tblLook w:val="01E0"/>
    </w:tblPr>
    <w:tblGrid>
      <w:gridCol w:w="8357"/>
    </w:tblGrid>
    <w:tr w:rsidR="00277BA1" w:rsidRPr="00375ADF">
      <w:tc>
        <w:tcPr>
          <w:tcW w:w="8357" w:type="dxa"/>
        </w:tcPr>
        <w:p w:rsidR="00277BA1" w:rsidRPr="00375ADF" w:rsidRDefault="00277BA1">
          <w:pPr>
            <w:pStyle w:val="HeaderLiteOdd"/>
          </w:pPr>
          <w:r>
            <w:t>Note</w:t>
          </w:r>
        </w:p>
      </w:tc>
    </w:tr>
    <w:tr w:rsidR="00277BA1">
      <w:tc>
        <w:tcPr>
          <w:tcW w:w="8357" w:type="dxa"/>
        </w:tcPr>
        <w:p w:rsidR="00277BA1" w:rsidRDefault="00277BA1">
          <w:pPr>
            <w:pStyle w:val="HeaderLiteOdd"/>
          </w:pPr>
        </w:p>
      </w:tc>
    </w:tr>
    <w:tr w:rsidR="00277BA1">
      <w:tc>
        <w:tcPr>
          <w:tcW w:w="8357" w:type="dxa"/>
          <w:tcBorders>
            <w:bottom w:val="single" w:sz="4" w:space="0" w:color="auto"/>
          </w:tcBorders>
          <w:shd w:val="clear" w:color="auto" w:fill="auto"/>
        </w:tcPr>
        <w:p w:rsidR="00277BA1" w:rsidRPr="000D4CDA" w:rsidRDefault="00277BA1">
          <w:pPr>
            <w:pStyle w:val="HeaderBoldOdd"/>
          </w:pPr>
        </w:p>
      </w:tc>
    </w:tr>
  </w:tbl>
  <w:p w:rsidR="00277BA1" w:rsidRDefault="00277BA1"/>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BA1" w:rsidRDefault="00277B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19D"/>
    <w:multiLevelType w:val="hybridMultilevel"/>
    <w:tmpl w:val="1BE0E478"/>
    <w:lvl w:ilvl="0" w:tplc="0409000F">
      <w:start w:val="1"/>
      <w:numFmt w:val="decimal"/>
      <w:lvlText w:val="%1."/>
      <w:lvlJc w:val="left"/>
      <w:pPr>
        <w:tabs>
          <w:tab w:val="num" w:pos="360"/>
        </w:tabs>
        <w:ind w:left="360" w:hanging="360"/>
      </w:pPr>
    </w:lvl>
    <w:lvl w:ilvl="1" w:tplc="E572C200">
      <w:start w:val="1"/>
      <w:numFmt w:val="decimal"/>
      <w:lvlText w:val="(%2)"/>
      <w:lvlJc w:val="left"/>
      <w:pPr>
        <w:tabs>
          <w:tab w:val="num" w:pos="1080"/>
        </w:tabs>
        <w:ind w:left="1080" w:hanging="360"/>
      </w:pPr>
      <w:rPr>
        <w:rFonts w:hint="default"/>
      </w:rPr>
    </w:lvl>
    <w:lvl w:ilvl="2" w:tplc="1118011E">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33186529"/>
    <w:multiLevelType w:val="multilevel"/>
    <w:tmpl w:val="3120EB88"/>
    <w:lvl w:ilvl="0">
      <w:start w:val="1"/>
      <w:numFmt w:val="decimal"/>
      <w:pStyle w:val="NumberedParagraphs"/>
      <w:lvlText w:val="%1."/>
      <w:lvlJc w:val="left"/>
      <w:pPr>
        <w:tabs>
          <w:tab w:val="num" w:pos="363"/>
        </w:tabs>
        <w:ind w:left="363" w:hanging="363"/>
      </w:pPr>
    </w:lvl>
    <w:lvl w:ilvl="1">
      <w:start w:val="1"/>
      <w:numFmt w:val="lowerLetter"/>
      <w:lvlText w:val="(%2)"/>
      <w:lvlJc w:val="left"/>
      <w:pPr>
        <w:tabs>
          <w:tab w:val="num" w:pos="726"/>
        </w:tabs>
        <w:ind w:left="726" w:hanging="363"/>
      </w:pPr>
    </w:lvl>
    <w:lvl w:ilvl="2">
      <w:start w:val="1"/>
      <w:numFmt w:val="lowerRoman"/>
      <w:lvlText w:val="(%3)"/>
      <w:lvlJc w:val="left"/>
      <w:pPr>
        <w:tabs>
          <w:tab w:val="num" w:pos="1446"/>
        </w:tabs>
        <w:ind w:left="1089" w:hanging="363"/>
      </w:pPr>
    </w:lvl>
    <w:lvl w:ilvl="3">
      <w:start w:val="1"/>
      <w:numFmt w:val="upperLetter"/>
      <w:lvlText w:val="(%4)"/>
      <w:lvlJc w:val="left"/>
      <w:pPr>
        <w:tabs>
          <w:tab w:val="num" w:pos="1452"/>
        </w:tabs>
        <w:ind w:left="1452" w:hanging="363"/>
      </w:pPr>
    </w:lvl>
    <w:lvl w:ilvl="4">
      <w:start w:val="1"/>
      <w:numFmt w:val="decimal"/>
      <w:lvlText w:val="(%5)"/>
      <w:lvlJc w:val="left"/>
      <w:pPr>
        <w:tabs>
          <w:tab w:val="num" w:pos="1814"/>
        </w:tabs>
        <w:ind w:left="1814" w:hanging="362"/>
      </w:pPr>
    </w:lvl>
    <w:lvl w:ilvl="5">
      <w:start w:val="1"/>
      <w:numFmt w:val="lowerRoman"/>
      <w:lvlText w:val="(%6)"/>
      <w:lvlJc w:val="left"/>
      <w:pPr>
        <w:tabs>
          <w:tab w:val="num" w:pos="2534"/>
        </w:tabs>
        <w:ind w:left="2160" w:hanging="34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
    <w:nsid w:val="37545FDD"/>
    <w:multiLevelType w:val="hybridMultilevel"/>
    <w:tmpl w:val="F3B8A57C"/>
    <w:lvl w:ilvl="0" w:tplc="E572C200">
      <w:start w:val="1"/>
      <w:numFmt w:val="decimal"/>
      <w:lvlText w:val="(%1)"/>
      <w:lvlJc w:val="left"/>
      <w:pPr>
        <w:tabs>
          <w:tab w:val="num" w:pos="1080"/>
        </w:tabs>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8CC0ACD"/>
    <w:multiLevelType w:val="multilevel"/>
    <w:tmpl w:val="C2C49498"/>
    <w:lvl w:ilvl="0">
      <w:start w:val="1"/>
      <w:numFmt w:val="bullet"/>
      <w:pStyle w:val="OutlineNumbered1"/>
      <w:lvlText w:val="•"/>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5"/>
  </w:num>
  <w:num w:numId="4">
    <w:abstractNumId w:val="3"/>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0808"/>
  <w:defaultTabStop w:val="720"/>
  <w:evenAndOddHeaders/>
  <w:drawingGridHorizontalSpacing w:val="120"/>
  <w:displayHorizontalDrawingGridEvery w:val="2"/>
  <w:noPunctuationKerning/>
  <w:characterSpacingControl w:val="doNotCompress"/>
  <w:hdrShapeDefaults>
    <o:shapedefaults v:ext="edit" spidmax="23553"/>
  </w:hdrShapeDefaults>
  <w:footnotePr>
    <w:footnote w:id="-1"/>
    <w:footnote w:id="0"/>
  </w:footnotePr>
  <w:endnotePr>
    <w:endnote w:id="-1"/>
    <w:endnote w:id="0"/>
  </w:endnotePr>
  <w:compat/>
  <w:docVars>
    <w:docVar w:name="dgnword-docGUID" w:val="{5FDA81E2-4D13-4384-8D74-66044128C3BA}"/>
    <w:docVar w:name="dgnword-eventsink" w:val="35057808"/>
  </w:docVars>
  <w:rsids>
    <w:rsidRoot w:val="00370DD7"/>
    <w:rsid w:val="000038A0"/>
    <w:rsid w:val="000038A9"/>
    <w:rsid w:val="00012F8A"/>
    <w:rsid w:val="0001662A"/>
    <w:rsid w:val="00020108"/>
    <w:rsid w:val="00032F2C"/>
    <w:rsid w:val="00033369"/>
    <w:rsid w:val="00040090"/>
    <w:rsid w:val="000403D5"/>
    <w:rsid w:val="000427E4"/>
    <w:rsid w:val="00045BA4"/>
    <w:rsid w:val="00045F1B"/>
    <w:rsid w:val="00046C0F"/>
    <w:rsid w:val="00050322"/>
    <w:rsid w:val="000521B7"/>
    <w:rsid w:val="0005339D"/>
    <w:rsid w:val="00060076"/>
    <w:rsid w:val="000646EC"/>
    <w:rsid w:val="00065118"/>
    <w:rsid w:val="00065296"/>
    <w:rsid w:val="000715D1"/>
    <w:rsid w:val="00082916"/>
    <w:rsid w:val="00083189"/>
    <w:rsid w:val="000831C5"/>
    <w:rsid w:val="0008560A"/>
    <w:rsid w:val="00091146"/>
    <w:rsid w:val="00095849"/>
    <w:rsid w:val="00097FA2"/>
    <w:rsid w:val="000A0788"/>
    <w:rsid w:val="000A0CCA"/>
    <w:rsid w:val="000A1742"/>
    <w:rsid w:val="000A3902"/>
    <w:rsid w:val="000A620C"/>
    <w:rsid w:val="000A7869"/>
    <w:rsid w:val="000B4121"/>
    <w:rsid w:val="000B51B3"/>
    <w:rsid w:val="000D1916"/>
    <w:rsid w:val="000E16EC"/>
    <w:rsid w:val="000E27E3"/>
    <w:rsid w:val="000E48BD"/>
    <w:rsid w:val="000E68A9"/>
    <w:rsid w:val="000E7494"/>
    <w:rsid w:val="0010035D"/>
    <w:rsid w:val="00105BB8"/>
    <w:rsid w:val="001071D6"/>
    <w:rsid w:val="0011101C"/>
    <w:rsid w:val="00111D90"/>
    <w:rsid w:val="00116989"/>
    <w:rsid w:val="0012057F"/>
    <w:rsid w:val="00125657"/>
    <w:rsid w:val="001312D8"/>
    <w:rsid w:val="001328CE"/>
    <w:rsid w:val="00134DDC"/>
    <w:rsid w:val="00136D12"/>
    <w:rsid w:val="00140090"/>
    <w:rsid w:val="001409F1"/>
    <w:rsid w:val="0014186A"/>
    <w:rsid w:val="00141CBA"/>
    <w:rsid w:val="00144DE3"/>
    <w:rsid w:val="00153195"/>
    <w:rsid w:val="00154F68"/>
    <w:rsid w:val="00162609"/>
    <w:rsid w:val="00164935"/>
    <w:rsid w:val="00165D61"/>
    <w:rsid w:val="0017387E"/>
    <w:rsid w:val="0017685B"/>
    <w:rsid w:val="00184DE9"/>
    <w:rsid w:val="00185F83"/>
    <w:rsid w:val="00186360"/>
    <w:rsid w:val="00187D63"/>
    <w:rsid w:val="00191FA5"/>
    <w:rsid w:val="00192C10"/>
    <w:rsid w:val="00193F32"/>
    <w:rsid w:val="0019536F"/>
    <w:rsid w:val="001A4DD7"/>
    <w:rsid w:val="001A6C59"/>
    <w:rsid w:val="001C22F5"/>
    <w:rsid w:val="001C25FE"/>
    <w:rsid w:val="001D6D71"/>
    <w:rsid w:val="001E092D"/>
    <w:rsid w:val="001E1749"/>
    <w:rsid w:val="001F108C"/>
    <w:rsid w:val="001F41C5"/>
    <w:rsid w:val="002015B2"/>
    <w:rsid w:val="00203232"/>
    <w:rsid w:val="00204CA5"/>
    <w:rsid w:val="00210652"/>
    <w:rsid w:val="00214C3B"/>
    <w:rsid w:val="00222FD0"/>
    <w:rsid w:val="002252C7"/>
    <w:rsid w:val="0022734F"/>
    <w:rsid w:val="00233C57"/>
    <w:rsid w:val="0023489C"/>
    <w:rsid w:val="0024222C"/>
    <w:rsid w:val="00243601"/>
    <w:rsid w:val="00244C01"/>
    <w:rsid w:val="00246042"/>
    <w:rsid w:val="00252F17"/>
    <w:rsid w:val="00253DDD"/>
    <w:rsid w:val="00260912"/>
    <w:rsid w:val="002636E6"/>
    <w:rsid w:val="0026619A"/>
    <w:rsid w:val="00275245"/>
    <w:rsid w:val="00277BA1"/>
    <w:rsid w:val="00281E63"/>
    <w:rsid w:val="0028519D"/>
    <w:rsid w:val="0028609E"/>
    <w:rsid w:val="00286CEA"/>
    <w:rsid w:val="00293BC3"/>
    <w:rsid w:val="002949C0"/>
    <w:rsid w:val="0029561D"/>
    <w:rsid w:val="002A0984"/>
    <w:rsid w:val="002A19B0"/>
    <w:rsid w:val="002A37DA"/>
    <w:rsid w:val="002B1EBA"/>
    <w:rsid w:val="002B265A"/>
    <w:rsid w:val="002B3196"/>
    <w:rsid w:val="002B32C5"/>
    <w:rsid w:val="002B519A"/>
    <w:rsid w:val="002B7DCF"/>
    <w:rsid w:val="002D4558"/>
    <w:rsid w:val="002D71AC"/>
    <w:rsid w:val="002D7932"/>
    <w:rsid w:val="002E06D0"/>
    <w:rsid w:val="002E5749"/>
    <w:rsid w:val="002E5844"/>
    <w:rsid w:val="002F78D5"/>
    <w:rsid w:val="00306194"/>
    <w:rsid w:val="0030789E"/>
    <w:rsid w:val="003231FF"/>
    <w:rsid w:val="0033573E"/>
    <w:rsid w:val="00336724"/>
    <w:rsid w:val="00343B24"/>
    <w:rsid w:val="003469E3"/>
    <w:rsid w:val="0035001E"/>
    <w:rsid w:val="00353F3B"/>
    <w:rsid w:val="00357657"/>
    <w:rsid w:val="00364F84"/>
    <w:rsid w:val="00367E3F"/>
    <w:rsid w:val="00370DD7"/>
    <w:rsid w:val="0037255F"/>
    <w:rsid w:val="0038199B"/>
    <w:rsid w:val="00387F34"/>
    <w:rsid w:val="00392557"/>
    <w:rsid w:val="0039396B"/>
    <w:rsid w:val="003A5AF1"/>
    <w:rsid w:val="003A77F7"/>
    <w:rsid w:val="003B0D29"/>
    <w:rsid w:val="003B7E2B"/>
    <w:rsid w:val="003C1D25"/>
    <w:rsid w:val="003D1079"/>
    <w:rsid w:val="003D1FD3"/>
    <w:rsid w:val="003D2074"/>
    <w:rsid w:val="003D5FC8"/>
    <w:rsid w:val="003D659C"/>
    <w:rsid w:val="003D6D8E"/>
    <w:rsid w:val="003D6F03"/>
    <w:rsid w:val="003E6D06"/>
    <w:rsid w:val="003F6833"/>
    <w:rsid w:val="004005D4"/>
    <w:rsid w:val="00403F78"/>
    <w:rsid w:val="00415FBC"/>
    <w:rsid w:val="00421964"/>
    <w:rsid w:val="00422522"/>
    <w:rsid w:val="004255DD"/>
    <w:rsid w:val="00430226"/>
    <w:rsid w:val="00433B06"/>
    <w:rsid w:val="004361A5"/>
    <w:rsid w:val="00440B24"/>
    <w:rsid w:val="00442AA3"/>
    <w:rsid w:val="00443890"/>
    <w:rsid w:val="0044430D"/>
    <w:rsid w:val="00444F77"/>
    <w:rsid w:val="004459DE"/>
    <w:rsid w:val="00450DE1"/>
    <w:rsid w:val="004533FC"/>
    <w:rsid w:val="00464092"/>
    <w:rsid w:val="004640EA"/>
    <w:rsid w:val="004646AC"/>
    <w:rsid w:val="00466DBA"/>
    <w:rsid w:val="004853AA"/>
    <w:rsid w:val="00485DB5"/>
    <w:rsid w:val="004879CB"/>
    <w:rsid w:val="0049172E"/>
    <w:rsid w:val="004937B3"/>
    <w:rsid w:val="004A20E2"/>
    <w:rsid w:val="004A7713"/>
    <w:rsid w:val="004A7AA7"/>
    <w:rsid w:val="004B1AC1"/>
    <w:rsid w:val="004B6C4F"/>
    <w:rsid w:val="004D32C2"/>
    <w:rsid w:val="004D5EAB"/>
    <w:rsid w:val="004D6045"/>
    <w:rsid w:val="004E0619"/>
    <w:rsid w:val="004E1C75"/>
    <w:rsid w:val="004E2C10"/>
    <w:rsid w:val="004E2FEB"/>
    <w:rsid w:val="004E7590"/>
    <w:rsid w:val="004F5349"/>
    <w:rsid w:val="004F5D6D"/>
    <w:rsid w:val="00501E0C"/>
    <w:rsid w:val="005056C8"/>
    <w:rsid w:val="005070EA"/>
    <w:rsid w:val="0051137B"/>
    <w:rsid w:val="00511776"/>
    <w:rsid w:val="00511924"/>
    <w:rsid w:val="00512974"/>
    <w:rsid w:val="0051511D"/>
    <w:rsid w:val="0052220C"/>
    <w:rsid w:val="005234C7"/>
    <w:rsid w:val="005238E0"/>
    <w:rsid w:val="00525EEC"/>
    <w:rsid w:val="005277E8"/>
    <w:rsid w:val="0054351E"/>
    <w:rsid w:val="005516CA"/>
    <w:rsid w:val="00551F8C"/>
    <w:rsid w:val="005538C8"/>
    <w:rsid w:val="00555811"/>
    <w:rsid w:val="005672DE"/>
    <w:rsid w:val="005749F6"/>
    <w:rsid w:val="00576569"/>
    <w:rsid w:val="00580301"/>
    <w:rsid w:val="005859FB"/>
    <w:rsid w:val="0059117C"/>
    <w:rsid w:val="005924C4"/>
    <w:rsid w:val="0059382B"/>
    <w:rsid w:val="005943B6"/>
    <w:rsid w:val="005A4031"/>
    <w:rsid w:val="005A7CF7"/>
    <w:rsid w:val="005B040E"/>
    <w:rsid w:val="005B338D"/>
    <w:rsid w:val="005B5BAF"/>
    <w:rsid w:val="005B7B02"/>
    <w:rsid w:val="005C01AF"/>
    <w:rsid w:val="005C4A85"/>
    <w:rsid w:val="005D0D39"/>
    <w:rsid w:val="005D2F97"/>
    <w:rsid w:val="005D692B"/>
    <w:rsid w:val="005E43E5"/>
    <w:rsid w:val="005E563D"/>
    <w:rsid w:val="005F0DDB"/>
    <w:rsid w:val="005F47D8"/>
    <w:rsid w:val="005F52A1"/>
    <w:rsid w:val="00602748"/>
    <w:rsid w:val="006047C5"/>
    <w:rsid w:val="00621915"/>
    <w:rsid w:val="00624074"/>
    <w:rsid w:val="0062475C"/>
    <w:rsid w:val="0062769F"/>
    <w:rsid w:val="00641664"/>
    <w:rsid w:val="0065001E"/>
    <w:rsid w:val="006533B7"/>
    <w:rsid w:val="00674B00"/>
    <w:rsid w:val="00675633"/>
    <w:rsid w:val="006837FD"/>
    <w:rsid w:val="006B45A1"/>
    <w:rsid w:val="006C2616"/>
    <w:rsid w:val="006C5742"/>
    <w:rsid w:val="006D018E"/>
    <w:rsid w:val="006D3078"/>
    <w:rsid w:val="006D4034"/>
    <w:rsid w:val="006E2530"/>
    <w:rsid w:val="006E548F"/>
    <w:rsid w:val="006E7E7A"/>
    <w:rsid w:val="006F0BD8"/>
    <w:rsid w:val="006F73F0"/>
    <w:rsid w:val="006F7808"/>
    <w:rsid w:val="00702998"/>
    <w:rsid w:val="00703F0A"/>
    <w:rsid w:val="00705AF0"/>
    <w:rsid w:val="0071055A"/>
    <w:rsid w:val="0071414A"/>
    <w:rsid w:val="0071514F"/>
    <w:rsid w:val="00716F1E"/>
    <w:rsid w:val="00727685"/>
    <w:rsid w:val="00730AF8"/>
    <w:rsid w:val="00735D7F"/>
    <w:rsid w:val="007375F7"/>
    <w:rsid w:val="00740322"/>
    <w:rsid w:val="00740916"/>
    <w:rsid w:val="007431FF"/>
    <w:rsid w:val="00756F9E"/>
    <w:rsid w:val="00772ADE"/>
    <w:rsid w:val="00772F58"/>
    <w:rsid w:val="007816B5"/>
    <w:rsid w:val="0078300B"/>
    <w:rsid w:val="007833A9"/>
    <w:rsid w:val="007851E9"/>
    <w:rsid w:val="007910D2"/>
    <w:rsid w:val="00794754"/>
    <w:rsid w:val="007A3064"/>
    <w:rsid w:val="007C3DE3"/>
    <w:rsid w:val="007C6D54"/>
    <w:rsid w:val="007C7959"/>
    <w:rsid w:val="007D1A1E"/>
    <w:rsid w:val="007E231D"/>
    <w:rsid w:val="007E3AA5"/>
    <w:rsid w:val="007F2028"/>
    <w:rsid w:val="007F75DF"/>
    <w:rsid w:val="008002E8"/>
    <w:rsid w:val="008006D5"/>
    <w:rsid w:val="00801F1A"/>
    <w:rsid w:val="008149B7"/>
    <w:rsid w:val="00825250"/>
    <w:rsid w:val="008322B6"/>
    <w:rsid w:val="008349F1"/>
    <w:rsid w:val="00836024"/>
    <w:rsid w:val="00836392"/>
    <w:rsid w:val="008407A4"/>
    <w:rsid w:val="008416EA"/>
    <w:rsid w:val="00844132"/>
    <w:rsid w:val="00847850"/>
    <w:rsid w:val="008546A9"/>
    <w:rsid w:val="00854857"/>
    <w:rsid w:val="00856EB5"/>
    <w:rsid w:val="00863597"/>
    <w:rsid w:val="0086648B"/>
    <w:rsid w:val="008673F2"/>
    <w:rsid w:val="00867E7D"/>
    <w:rsid w:val="008731F9"/>
    <w:rsid w:val="00873699"/>
    <w:rsid w:val="00873E3C"/>
    <w:rsid w:val="008750E2"/>
    <w:rsid w:val="00876486"/>
    <w:rsid w:val="00886003"/>
    <w:rsid w:val="008866E8"/>
    <w:rsid w:val="0088671C"/>
    <w:rsid w:val="00886C7C"/>
    <w:rsid w:val="008A4808"/>
    <w:rsid w:val="008A6DFE"/>
    <w:rsid w:val="008B0EFE"/>
    <w:rsid w:val="008B183C"/>
    <w:rsid w:val="008B1E93"/>
    <w:rsid w:val="008B5981"/>
    <w:rsid w:val="008B6C52"/>
    <w:rsid w:val="008C0E88"/>
    <w:rsid w:val="008C3068"/>
    <w:rsid w:val="008C43C2"/>
    <w:rsid w:val="008C48D9"/>
    <w:rsid w:val="008C4996"/>
    <w:rsid w:val="008D5B3D"/>
    <w:rsid w:val="008E2235"/>
    <w:rsid w:val="008E3423"/>
    <w:rsid w:val="008E63C4"/>
    <w:rsid w:val="008F16BC"/>
    <w:rsid w:val="008F1DAB"/>
    <w:rsid w:val="008F3C01"/>
    <w:rsid w:val="009007F1"/>
    <w:rsid w:val="009078CC"/>
    <w:rsid w:val="00911F7B"/>
    <w:rsid w:val="00913281"/>
    <w:rsid w:val="00913EA5"/>
    <w:rsid w:val="009146C1"/>
    <w:rsid w:val="00915711"/>
    <w:rsid w:val="00915D96"/>
    <w:rsid w:val="00927849"/>
    <w:rsid w:val="00930919"/>
    <w:rsid w:val="00940064"/>
    <w:rsid w:val="00940FD4"/>
    <w:rsid w:val="00943CEA"/>
    <w:rsid w:val="00945A5E"/>
    <w:rsid w:val="009612A7"/>
    <w:rsid w:val="009633ED"/>
    <w:rsid w:val="00963ADB"/>
    <w:rsid w:val="00967444"/>
    <w:rsid w:val="00967A0E"/>
    <w:rsid w:val="00967D6F"/>
    <w:rsid w:val="00976374"/>
    <w:rsid w:val="009839CA"/>
    <w:rsid w:val="00983A1F"/>
    <w:rsid w:val="00987485"/>
    <w:rsid w:val="0099167B"/>
    <w:rsid w:val="009A0CC8"/>
    <w:rsid w:val="009A207B"/>
    <w:rsid w:val="009A5A0D"/>
    <w:rsid w:val="009A679E"/>
    <w:rsid w:val="009A6D1B"/>
    <w:rsid w:val="009B303B"/>
    <w:rsid w:val="009B3BDA"/>
    <w:rsid w:val="009B76D8"/>
    <w:rsid w:val="009B785F"/>
    <w:rsid w:val="009C0398"/>
    <w:rsid w:val="009D6B2A"/>
    <w:rsid w:val="009D7BDF"/>
    <w:rsid w:val="009E1C06"/>
    <w:rsid w:val="009E28DB"/>
    <w:rsid w:val="009E2D2F"/>
    <w:rsid w:val="009F3F7B"/>
    <w:rsid w:val="00A00C88"/>
    <w:rsid w:val="00A046F7"/>
    <w:rsid w:val="00A04D15"/>
    <w:rsid w:val="00A13F63"/>
    <w:rsid w:val="00A21D2D"/>
    <w:rsid w:val="00A223AA"/>
    <w:rsid w:val="00A24F06"/>
    <w:rsid w:val="00A266F5"/>
    <w:rsid w:val="00A30ABA"/>
    <w:rsid w:val="00A314B9"/>
    <w:rsid w:val="00A41885"/>
    <w:rsid w:val="00A41B45"/>
    <w:rsid w:val="00A438B4"/>
    <w:rsid w:val="00A446E4"/>
    <w:rsid w:val="00A52515"/>
    <w:rsid w:val="00A54B37"/>
    <w:rsid w:val="00A609DD"/>
    <w:rsid w:val="00A60B57"/>
    <w:rsid w:val="00A61815"/>
    <w:rsid w:val="00A644DE"/>
    <w:rsid w:val="00A6740F"/>
    <w:rsid w:val="00A67DC1"/>
    <w:rsid w:val="00A74714"/>
    <w:rsid w:val="00A93C52"/>
    <w:rsid w:val="00A95A88"/>
    <w:rsid w:val="00AA0127"/>
    <w:rsid w:val="00AA1B63"/>
    <w:rsid w:val="00AA3188"/>
    <w:rsid w:val="00AA420D"/>
    <w:rsid w:val="00AB2C8C"/>
    <w:rsid w:val="00AB444A"/>
    <w:rsid w:val="00AC405E"/>
    <w:rsid w:val="00AE732F"/>
    <w:rsid w:val="00AF074C"/>
    <w:rsid w:val="00AF716F"/>
    <w:rsid w:val="00B03AF0"/>
    <w:rsid w:val="00B05373"/>
    <w:rsid w:val="00B067E6"/>
    <w:rsid w:val="00B11A88"/>
    <w:rsid w:val="00B12260"/>
    <w:rsid w:val="00B13F00"/>
    <w:rsid w:val="00B14792"/>
    <w:rsid w:val="00B156E1"/>
    <w:rsid w:val="00B25433"/>
    <w:rsid w:val="00B2626C"/>
    <w:rsid w:val="00B3728B"/>
    <w:rsid w:val="00B408B6"/>
    <w:rsid w:val="00B531ED"/>
    <w:rsid w:val="00B53574"/>
    <w:rsid w:val="00B60027"/>
    <w:rsid w:val="00B621F2"/>
    <w:rsid w:val="00B63AE9"/>
    <w:rsid w:val="00B670FF"/>
    <w:rsid w:val="00B76BE0"/>
    <w:rsid w:val="00B80913"/>
    <w:rsid w:val="00B86231"/>
    <w:rsid w:val="00B91A8D"/>
    <w:rsid w:val="00BA34AD"/>
    <w:rsid w:val="00BA4B2A"/>
    <w:rsid w:val="00BB69FF"/>
    <w:rsid w:val="00BD545A"/>
    <w:rsid w:val="00BD560E"/>
    <w:rsid w:val="00BF1C2D"/>
    <w:rsid w:val="00BF2735"/>
    <w:rsid w:val="00BF738E"/>
    <w:rsid w:val="00C00F05"/>
    <w:rsid w:val="00C0402F"/>
    <w:rsid w:val="00C06EDD"/>
    <w:rsid w:val="00C14CE5"/>
    <w:rsid w:val="00C24D41"/>
    <w:rsid w:val="00C329A2"/>
    <w:rsid w:val="00C35EC8"/>
    <w:rsid w:val="00C4065A"/>
    <w:rsid w:val="00C412B4"/>
    <w:rsid w:val="00C42FF3"/>
    <w:rsid w:val="00C447FD"/>
    <w:rsid w:val="00C44BA2"/>
    <w:rsid w:val="00C464FB"/>
    <w:rsid w:val="00C479EC"/>
    <w:rsid w:val="00C5024F"/>
    <w:rsid w:val="00C51630"/>
    <w:rsid w:val="00C52F4B"/>
    <w:rsid w:val="00C53754"/>
    <w:rsid w:val="00C55CCB"/>
    <w:rsid w:val="00C6035E"/>
    <w:rsid w:val="00C639B5"/>
    <w:rsid w:val="00C651A6"/>
    <w:rsid w:val="00C72C99"/>
    <w:rsid w:val="00C822F8"/>
    <w:rsid w:val="00C8251B"/>
    <w:rsid w:val="00C83482"/>
    <w:rsid w:val="00C83A6F"/>
    <w:rsid w:val="00C90ABE"/>
    <w:rsid w:val="00C92D6F"/>
    <w:rsid w:val="00C93DEA"/>
    <w:rsid w:val="00C97351"/>
    <w:rsid w:val="00C97D8E"/>
    <w:rsid w:val="00CA2A23"/>
    <w:rsid w:val="00CA752C"/>
    <w:rsid w:val="00CB009F"/>
    <w:rsid w:val="00CB221F"/>
    <w:rsid w:val="00CB228D"/>
    <w:rsid w:val="00CB55DC"/>
    <w:rsid w:val="00CC3524"/>
    <w:rsid w:val="00CD3C04"/>
    <w:rsid w:val="00CD3C3C"/>
    <w:rsid w:val="00CE662A"/>
    <w:rsid w:val="00CF73A6"/>
    <w:rsid w:val="00D05575"/>
    <w:rsid w:val="00D118BD"/>
    <w:rsid w:val="00D13C76"/>
    <w:rsid w:val="00D15738"/>
    <w:rsid w:val="00D2157E"/>
    <w:rsid w:val="00D22AE7"/>
    <w:rsid w:val="00D2550B"/>
    <w:rsid w:val="00D271FF"/>
    <w:rsid w:val="00D3367E"/>
    <w:rsid w:val="00D33956"/>
    <w:rsid w:val="00D34F1B"/>
    <w:rsid w:val="00D4096B"/>
    <w:rsid w:val="00D41229"/>
    <w:rsid w:val="00D4367A"/>
    <w:rsid w:val="00D467E7"/>
    <w:rsid w:val="00D57D13"/>
    <w:rsid w:val="00D6243F"/>
    <w:rsid w:val="00D6403A"/>
    <w:rsid w:val="00D647E1"/>
    <w:rsid w:val="00D6743C"/>
    <w:rsid w:val="00D679B8"/>
    <w:rsid w:val="00D774C6"/>
    <w:rsid w:val="00D80163"/>
    <w:rsid w:val="00D84CCB"/>
    <w:rsid w:val="00D84E18"/>
    <w:rsid w:val="00D9377D"/>
    <w:rsid w:val="00D95125"/>
    <w:rsid w:val="00DB2470"/>
    <w:rsid w:val="00DB59DD"/>
    <w:rsid w:val="00DC7FB4"/>
    <w:rsid w:val="00DD765B"/>
    <w:rsid w:val="00DE5043"/>
    <w:rsid w:val="00DF44BE"/>
    <w:rsid w:val="00DF64FD"/>
    <w:rsid w:val="00DF6A42"/>
    <w:rsid w:val="00E05AF6"/>
    <w:rsid w:val="00E10958"/>
    <w:rsid w:val="00E10D94"/>
    <w:rsid w:val="00E127AC"/>
    <w:rsid w:val="00E14318"/>
    <w:rsid w:val="00E24EF9"/>
    <w:rsid w:val="00E24FB9"/>
    <w:rsid w:val="00E252DB"/>
    <w:rsid w:val="00E26CD1"/>
    <w:rsid w:val="00E26F82"/>
    <w:rsid w:val="00E35189"/>
    <w:rsid w:val="00E44149"/>
    <w:rsid w:val="00E44D80"/>
    <w:rsid w:val="00E44ECA"/>
    <w:rsid w:val="00E459C3"/>
    <w:rsid w:val="00E53956"/>
    <w:rsid w:val="00E53A61"/>
    <w:rsid w:val="00E57384"/>
    <w:rsid w:val="00E5755C"/>
    <w:rsid w:val="00E609E0"/>
    <w:rsid w:val="00E6578A"/>
    <w:rsid w:val="00E678BB"/>
    <w:rsid w:val="00E7293B"/>
    <w:rsid w:val="00E74109"/>
    <w:rsid w:val="00E750F1"/>
    <w:rsid w:val="00E808BB"/>
    <w:rsid w:val="00E814E3"/>
    <w:rsid w:val="00E83542"/>
    <w:rsid w:val="00E96B0A"/>
    <w:rsid w:val="00EA0500"/>
    <w:rsid w:val="00EA0DE3"/>
    <w:rsid w:val="00EA0E4D"/>
    <w:rsid w:val="00EA4A01"/>
    <w:rsid w:val="00EA6644"/>
    <w:rsid w:val="00EB1E0E"/>
    <w:rsid w:val="00EB44E5"/>
    <w:rsid w:val="00EB77D8"/>
    <w:rsid w:val="00EB7CEA"/>
    <w:rsid w:val="00EC100A"/>
    <w:rsid w:val="00EC6BC5"/>
    <w:rsid w:val="00ED1C66"/>
    <w:rsid w:val="00EE4BF8"/>
    <w:rsid w:val="00EE739D"/>
    <w:rsid w:val="00EF15F7"/>
    <w:rsid w:val="00EF1EE8"/>
    <w:rsid w:val="00EF63BE"/>
    <w:rsid w:val="00EF69B2"/>
    <w:rsid w:val="00F02711"/>
    <w:rsid w:val="00F02993"/>
    <w:rsid w:val="00F10F95"/>
    <w:rsid w:val="00F11A57"/>
    <w:rsid w:val="00F172D2"/>
    <w:rsid w:val="00F242C4"/>
    <w:rsid w:val="00F336D9"/>
    <w:rsid w:val="00F37E63"/>
    <w:rsid w:val="00F41F12"/>
    <w:rsid w:val="00F511C0"/>
    <w:rsid w:val="00F719EC"/>
    <w:rsid w:val="00F7591B"/>
    <w:rsid w:val="00F76ECD"/>
    <w:rsid w:val="00F86BD5"/>
    <w:rsid w:val="00F92D2D"/>
    <w:rsid w:val="00F9606B"/>
    <w:rsid w:val="00F96711"/>
    <w:rsid w:val="00FB1906"/>
    <w:rsid w:val="00FD119D"/>
    <w:rsid w:val="00FD6632"/>
    <w:rsid w:val="00FE262A"/>
    <w:rsid w:val="00FE36CF"/>
    <w:rsid w:val="00FE3A0D"/>
    <w:rsid w:val="00FF3AA5"/>
    <w:rsid w:val="00FF483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NumberedParagraphs">
    <w:name w:val="Numbered Paragraphs"/>
    <w:basedOn w:val="Normal"/>
    <w:rsid w:val="008C0E88"/>
    <w:pPr>
      <w:numPr>
        <w:numId w:val="4"/>
      </w:numPr>
      <w:tabs>
        <w:tab w:val="left" w:pos="726"/>
        <w:tab w:val="left" w:pos="1089"/>
        <w:tab w:val="left" w:pos="1452"/>
        <w:tab w:val="left" w:pos="1814"/>
      </w:tabs>
      <w:spacing w:line="360" w:lineRule="auto"/>
    </w:pPr>
    <w:rPr>
      <w:szCs w:val="20"/>
    </w:rPr>
  </w:style>
  <w:style w:type="paragraph" w:customStyle="1" w:styleId="OutlineNumbered1">
    <w:name w:val="Outline Numbered 1"/>
    <w:basedOn w:val="Normal"/>
    <w:rsid w:val="008C0E88"/>
    <w:pPr>
      <w:numPr>
        <w:numId w:val="5"/>
      </w:numPr>
      <w:spacing w:after="240"/>
    </w:pPr>
    <w:rPr>
      <w:rFonts w:eastAsia="Batang"/>
      <w:szCs w:val="20"/>
      <w:lang w:eastAsia="ko-KR"/>
    </w:rPr>
  </w:style>
  <w:style w:type="paragraph" w:customStyle="1" w:styleId="OutlineNumbered2">
    <w:name w:val="Outline Numbered 2"/>
    <w:basedOn w:val="Normal"/>
    <w:rsid w:val="008C0E88"/>
    <w:pPr>
      <w:numPr>
        <w:ilvl w:val="1"/>
        <w:numId w:val="5"/>
      </w:numPr>
      <w:spacing w:after="240"/>
    </w:pPr>
    <w:rPr>
      <w:rFonts w:eastAsia="Batang"/>
      <w:szCs w:val="20"/>
      <w:lang w:eastAsia="ko-KR"/>
    </w:rPr>
  </w:style>
  <w:style w:type="paragraph" w:customStyle="1" w:styleId="OutlineNumbered3">
    <w:name w:val="Outline Numbered 3"/>
    <w:basedOn w:val="Normal"/>
    <w:rsid w:val="008C0E88"/>
    <w:pPr>
      <w:numPr>
        <w:ilvl w:val="2"/>
        <w:numId w:val="5"/>
      </w:numPr>
      <w:spacing w:after="240"/>
    </w:pPr>
    <w:rPr>
      <w:rFonts w:eastAsia="Batang"/>
      <w:szCs w:val="20"/>
      <w:lang w:eastAsia="ko-K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513</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Building Australia Fund (Initial Credits and Credit of Telstra Sale Special Account Balance) Determination 2008</vt:lpstr>
    </vt:vector>
  </TitlesOfParts>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Australia Fund (Initial Credits and Credit of Telstra Sale Special Account Balance) Determination 2008</dc:title>
  <dc:creator/>
  <cp:lastModifiedBy/>
  <cp:revision>1</cp:revision>
  <cp:lastPrinted>2009-06-30T04:19:00Z</cp:lastPrinted>
  <dcterms:created xsi:type="dcterms:W3CDTF">2014-06-23T00:22:00Z</dcterms:created>
  <dcterms:modified xsi:type="dcterms:W3CDTF">2014-07-07T01:02:00Z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bool>true</vt:bool>
  </property>
</Properties>
</file>