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BD" w:rsidRPr="00663840" w:rsidRDefault="001B26BD" w:rsidP="00693790">
      <w:pPr>
        <w:pStyle w:val="Title"/>
        <w:rPr>
          <w:u w:val="none"/>
        </w:rPr>
      </w:pPr>
      <w:bookmarkStart w:id="0" w:name="_GoBack"/>
      <w:bookmarkEnd w:id="0"/>
      <w:r w:rsidRPr="00663840">
        <w:rPr>
          <w:u w:val="none"/>
        </w:rPr>
        <w:t>EXPLANATORY STATEMENT</w:t>
      </w:r>
    </w:p>
    <w:p w:rsidR="001B26BD" w:rsidRPr="00663840" w:rsidRDefault="001B26BD" w:rsidP="00693790">
      <w:pPr>
        <w:pStyle w:val="BodyText3"/>
        <w:jc w:val="center"/>
        <w:rPr>
          <w:u w:val="none"/>
        </w:rPr>
      </w:pPr>
    </w:p>
    <w:p w:rsidR="00457B2E" w:rsidRPr="00663840" w:rsidRDefault="00457B2E" w:rsidP="00693790">
      <w:pPr>
        <w:pStyle w:val="BodyText3"/>
        <w:jc w:val="center"/>
        <w:rPr>
          <w:u w:val="none"/>
        </w:rPr>
      </w:pPr>
    </w:p>
    <w:p w:rsidR="001B26BD" w:rsidRPr="00663840" w:rsidRDefault="00AF2D77" w:rsidP="00693790">
      <w:pPr>
        <w:pStyle w:val="BodyText"/>
      </w:pPr>
      <w:r w:rsidRPr="00663840">
        <w:t>Issued by the a</w:t>
      </w:r>
      <w:r w:rsidR="001B26BD" w:rsidRPr="00663840">
        <w:t>uthority of the Minister for</w:t>
      </w:r>
      <w:r w:rsidR="00E27F3A" w:rsidRPr="00663840">
        <w:t xml:space="preserve"> Communications</w:t>
      </w:r>
    </w:p>
    <w:p w:rsidR="001B26BD" w:rsidRPr="00663840" w:rsidRDefault="001B26BD" w:rsidP="00693790">
      <w:pPr>
        <w:rPr>
          <w:sz w:val="24"/>
        </w:rPr>
      </w:pPr>
    </w:p>
    <w:p w:rsidR="001B26BD" w:rsidRPr="00663840" w:rsidRDefault="00C26E8A" w:rsidP="00693790">
      <w:pPr>
        <w:pStyle w:val="Heading1"/>
        <w:rPr>
          <w:szCs w:val="24"/>
        </w:rPr>
      </w:pPr>
      <w:r w:rsidRPr="00663840">
        <w:rPr>
          <w:szCs w:val="24"/>
        </w:rPr>
        <w:t>Telecommunications Act 1997</w:t>
      </w:r>
    </w:p>
    <w:p w:rsidR="00457B2E" w:rsidRPr="00663840" w:rsidRDefault="00457B2E" w:rsidP="00693790">
      <w:pPr>
        <w:jc w:val="center"/>
        <w:rPr>
          <w:i/>
          <w:sz w:val="24"/>
        </w:rPr>
      </w:pPr>
    </w:p>
    <w:p w:rsidR="001B26BD" w:rsidRPr="00663840" w:rsidRDefault="009D59A1" w:rsidP="00C26E8A">
      <w:pPr>
        <w:jc w:val="center"/>
        <w:rPr>
          <w:b/>
          <w:szCs w:val="24"/>
        </w:rPr>
      </w:pPr>
      <w:r w:rsidRPr="00663840">
        <w:rPr>
          <w:b/>
          <w:i/>
          <w:sz w:val="24"/>
        </w:rPr>
        <w:t>Carrier Licence Conditions (</w:t>
      </w:r>
      <w:r w:rsidR="00886A52" w:rsidRPr="00663840">
        <w:rPr>
          <w:b/>
          <w:i/>
          <w:sz w:val="24"/>
        </w:rPr>
        <w:t>Telstra Corporation Limited</w:t>
      </w:r>
      <w:r w:rsidRPr="00663840">
        <w:rPr>
          <w:b/>
          <w:i/>
          <w:sz w:val="24"/>
        </w:rPr>
        <w:t xml:space="preserve">) Declaration 1997 (Amendment No. </w:t>
      </w:r>
      <w:r w:rsidR="004D4E59">
        <w:rPr>
          <w:b/>
          <w:i/>
          <w:sz w:val="24"/>
        </w:rPr>
        <w:t>2</w:t>
      </w:r>
      <w:r w:rsidRPr="00663840">
        <w:rPr>
          <w:b/>
          <w:i/>
          <w:sz w:val="24"/>
        </w:rPr>
        <w:t xml:space="preserve"> of 2014)</w:t>
      </w:r>
    </w:p>
    <w:p w:rsidR="00C9524C" w:rsidRPr="00663840" w:rsidRDefault="00C9524C" w:rsidP="00693790">
      <w:pPr>
        <w:rPr>
          <w:sz w:val="24"/>
          <w:szCs w:val="24"/>
        </w:rPr>
      </w:pPr>
    </w:p>
    <w:p w:rsidR="00457B2E" w:rsidRPr="00663840" w:rsidRDefault="00457B2E" w:rsidP="00457B2E">
      <w:pPr>
        <w:tabs>
          <w:tab w:val="left" w:pos="5217"/>
        </w:tabs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 xml:space="preserve">Legislative authority </w:t>
      </w:r>
      <w:r w:rsidRPr="00663840">
        <w:rPr>
          <w:b/>
          <w:sz w:val="24"/>
          <w:szCs w:val="24"/>
        </w:rPr>
        <w:tab/>
      </w:r>
    </w:p>
    <w:p w:rsidR="009D59A1" w:rsidRPr="00663840" w:rsidRDefault="009D59A1" w:rsidP="009D59A1">
      <w:pPr>
        <w:rPr>
          <w:sz w:val="24"/>
          <w:szCs w:val="24"/>
        </w:rPr>
      </w:pPr>
    </w:p>
    <w:p w:rsidR="009D59A1" w:rsidRPr="00663840" w:rsidRDefault="009D59A1" w:rsidP="00B27B98">
      <w:pPr>
        <w:rPr>
          <w:sz w:val="24"/>
          <w:szCs w:val="24"/>
        </w:rPr>
      </w:pPr>
      <w:r w:rsidRPr="00663840">
        <w:rPr>
          <w:sz w:val="24"/>
          <w:szCs w:val="24"/>
        </w:rPr>
        <w:t xml:space="preserve">Subsection 63(2) of the </w:t>
      </w:r>
      <w:r w:rsidRPr="00663840">
        <w:rPr>
          <w:i/>
          <w:sz w:val="24"/>
          <w:szCs w:val="24"/>
        </w:rPr>
        <w:t>Telecommunications Act 1997</w:t>
      </w:r>
      <w:r w:rsidRPr="00663840">
        <w:rPr>
          <w:sz w:val="24"/>
          <w:szCs w:val="24"/>
        </w:rPr>
        <w:t xml:space="preserve"> (the Act) provides that the Minister may declare that a particular carrier is subject to</w:t>
      </w:r>
      <w:r w:rsidR="00AF120E">
        <w:rPr>
          <w:sz w:val="24"/>
          <w:szCs w:val="24"/>
        </w:rPr>
        <w:t xml:space="preserve"> specified</w:t>
      </w:r>
      <w:r w:rsidRPr="00663840">
        <w:rPr>
          <w:sz w:val="24"/>
          <w:szCs w:val="24"/>
        </w:rPr>
        <w:t xml:space="preserve"> licence conditions. </w:t>
      </w:r>
    </w:p>
    <w:p w:rsidR="009D59A1" w:rsidRPr="00663840" w:rsidRDefault="009D59A1" w:rsidP="009D59A1">
      <w:pPr>
        <w:rPr>
          <w:sz w:val="24"/>
          <w:szCs w:val="24"/>
        </w:rPr>
      </w:pPr>
    </w:p>
    <w:p w:rsidR="009D59A1" w:rsidRPr="00663840" w:rsidRDefault="009D59A1" w:rsidP="009D59A1">
      <w:pPr>
        <w:rPr>
          <w:sz w:val="24"/>
          <w:szCs w:val="24"/>
        </w:rPr>
      </w:pPr>
      <w:r w:rsidRPr="00663840">
        <w:rPr>
          <w:sz w:val="24"/>
          <w:szCs w:val="24"/>
        </w:rPr>
        <w:t>Subsection 63(5) of the Act enables the Minister, by written instrument, to vary an instrument unde</w:t>
      </w:r>
      <w:r w:rsidR="00025C70">
        <w:rPr>
          <w:sz w:val="24"/>
          <w:szCs w:val="24"/>
        </w:rPr>
        <w:t xml:space="preserve">r subsection 63(2) of the Act. </w:t>
      </w:r>
      <w:r w:rsidRPr="00663840">
        <w:rPr>
          <w:sz w:val="24"/>
          <w:szCs w:val="24"/>
        </w:rPr>
        <w:t>Subsection 63(13) of the Act provides that an instrument under subsection 63(5) is a disallowable instrument.</w:t>
      </w:r>
    </w:p>
    <w:p w:rsidR="00457B2E" w:rsidRPr="00663840" w:rsidRDefault="00457B2E" w:rsidP="00693790">
      <w:pPr>
        <w:rPr>
          <w:sz w:val="24"/>
          <w:szCs w:val="24"/>
        </w:rPr>
      </w:pPr>
    </w:p>
    <w:p w:rsidR="00C9524C" w:rsidRPr="00663840" w:rsidRDefault="00C9524C" w:rsidP="00693790">
      <w:pPr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>Purpose</w:t>
      </w:r>
    </w:p>
    <w:p w:rsidR="001B26BD" w:rsidRPr="00663840" w:rsidRDefault="001B26BD" w:rsidP="00693790">
      <w:pPr>
        <w:rPr>
          <w:sz w:val="24"/>
          <w:szCs w:val="24"/>
        </w:rPr>
      </w:pPr>
    </w:p>
    <w:p w:rsidR="002927F0" w:rsidRPr="0055238D" w:rsidRDefault="00D37312" w:rsidP="009D59A1">
      <w:pPr>
        <w:rPr>
          <w:sz w:val="24"/>
          <w:szCs w:val="24"/>
        </w:rPr>
      </w:pPr>
      <w:r w:rsidRPr="00663840">
        <w:rPr>
          <w:sz w:val="24"/>
          <w:szCs w:val="24"/>
        </w:rPr>
        <w:t xml:space="preserve">The purpose of the </w:t>
      </w:r>
      <w:r w:rsidR="009D59A1" w:rsidRPr="00663840">
        <w:rPr>
          <w:i/>
          <w:sz w:val="24"/>
          <w:szCs w:val="24"/>
        </w:rPr>
        <w:t>Carrier Licence Conditions (</w:t>
      </w:r>
      <w:r w:rsidR="00886A52" w:rsidRPr="00663840">
        <w:rPr>
          <w:i/>
          <w:sz w:val="24"/>
          <w:szCs w:val="24"/>
        </w:rPr>
        <w:t>Telstra Corporation Limited</w:t>
      </w:r>
      <w:r w:rsidR="009D59A1" w:rsidRPr="00663840">
        <w:rPr>
          <w:i/>
          <w:sz w:val="24"/>
          <w:szCs w:val="24"/>
        </w:rPr>
        <w:t xml:space="preserve">) Declaration 1997 (Amendment No. </w:t>
      </w:r>
      <w:r w:rsidR="00AF120E">
        <w:rPr>
          <w:i/>
          <w:sz w:val="24"/>
          <w:szCs w:val="24"/>
        </w:rPr>
        <w:t>2</w:t>
      </w:r>
      <w:r w:rsidR="009D59A1" w:rsidRPr="00663840">
        <w:rPr>
          <w:i/>
          <w:sz w:val="24"/>
          <w:szCs w:val="24"/>
        </w:rPr>
        <w:t xml:space="preserve"> of 2014)</w:t>
      </w:r>
      <w:r w:rsidR="00C26E8A" w:rsidRPr="00663840">
        <w:rPr>
          <w:sz w:val="24"/>
          <w:szCs w:val="24"/>
        </w:rPr>
        <w:t xml:space="preserve"> </w:t>
      </w:r>
      <w:r w:rsidRPr="00663840">
        <w:rPr>
          <w:sz w:val="24"/>
          <w:szCs w:val="24"/>
        </w:rPr>
        <w:t>(</w:t>
      </w:r>
      <w:r w:rsidR="0058407D" w:rsidRPr="00663840">
        <w:rPr>
          <w:sz w:val="24"/>
          <w:szCs w:val="24"/>
        </w:rPr>
        <w:t xml:space="preserve">Amending </w:t>
      </w:r>
      <w:r w:rsidR="00C26E8A" w:rsidRPr="00663840">
        <w:rPr>
          <w:sz w:val="24"/>
          <w:szCs w:val="24"/>
        </w:rPr>
        <w:t>Declaration</w:t>
      </w:r>
      <w:r w:rsidRPr="00663840">
        <w:rPr>
          <w:sz w:val="24"/>
          <w:szCs w:val="24"/>
        </w:rPr>
        <w:t>)</w:t>
      </w:r>
      <w:r w:rsidR="00BC713C" w:rsidRPr="00663840">
        <w:rPr>
          <w:sz w:val="24"/>
          <w:szCs w:val="24"/>
        </w:rPr>
        <w:t xml:space="preserve"> </w:t>
      </w:r>
      <w:r w:rsidR="009D59A1" w:rsidRPr="00663840">
        <w:rPr>
          <w:sz w:val="24"/>
          <w:szCs w:val="24"/>
        </w:rPr>
        <w:t xml:space="preserve">is to vary the </w:t>
      </w:r>
      <w:r w:rsidR="00B27B98" w:rsidRPr="00663840">
        <w:rPr>
          <w:i/>
          <w:sz w:val="24"/>
          <w:szCs w:val="24"/>
        </w:rPr>
        <w:t>Carrier Licence Conditions (</w:t>
      </w:r>
      <w:r w:rsidR="00886A52" w:rsidRPr="00663840">
        <w:rPr>
          <w:i/>
          <w:sz w:val="24"/>
          <w:szCs w:val="24"/>
        </w:rPr>
        <w:t>Telstra Corporation Limited</w:t>
      </w:r>
      <w:r w:rsidR="00B27B98" w:rsidRPr="00663840">
        <w:rPr>
          <w:i/>
          <w:sz w:val="24"/>
          <w:szCs w:val="24"/>
        </w:rPr>
        <w:t>) Declaration 1997</w:t>
      </w:r>
      <w:r w:rsidR="00B27B98" w:rsidRPr="00663840">
        <w:rPr>
          <w:sz w:val="24"/>
          <w:szCs w:val="24"/>
        </w:rPr>
        <w:t xml:space="preserve"> (</w:t>
      </w:r>
      <w:r w:rsidR="00CB63F1" w:rsidRPr="00663840">
        <w:rPr>
          <w:sz w:val="24"/>
          <w:szCs w:val="24"/>
        </w:rPr>
        <w:t xml:space="preserve">Original </w:t>
      </w:r>
      <w:r w:rsidR="0058407D" w:rsidRPr="00663840">
        <w:rPr>
          <w:sz w:val="24"/>
          <w:szCs w:val="24"/>
        </w:rPr>
        <w:t>Declaration</w:t>
      </w:r>
      <w:r w:rsidR="00B27B98" w:rsidRPr="00663840">
        <w:rPr>
          <w:sz w:val="24"/>
          <w:szCs w:val="24"/>
        </w:rPr>
        <w:t xml:space="preserve">) </w:t>
      </w:r>
      <w:r w:rsidR="009D59A1" w:rsidRPr="006C7405">
        <w:rPr>
          <w:sz w:val="24"/>
          <w:szCs w:val="24"/>
        </w:rPr>
        <w:t>by</w:t>
      </w:r>
      <w:r w:rsidR="002927F0" w:rsidRPr="0055238D">
        <w:rPr>
          <w:sz w:val="24"/>
          <w:szCs w:val="24"/>
        </w:rPr>
        <w:t>:</w:t>
      </w:r>
    </w:p>
    <w:p w:rsidR="002927F0" w:rsidRPr="0055238D" w:rsidRDefault="002927F0" w:rsidP="005523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5238D">
        <w:rPr>
          <w:sz w:val="24"/>
          <w:szCs w:val="24"/>
        </w:rPr>
        <w:t>removing the requirement that Telstra</w:t>
      </w:r>
      <w:r w:rsidR="008832A7" w:rsidRPr="0055238D">
        <w:rPr>
          <w:sz w:val="24"/>
          <w:szCs w:val="24"/>
        </w:rPr>
        <w:t xml:space="preserve"> Corporation Limited (Telstra)</w:t>
      </w:r>
      <w:r w:rsidRPr="0055238D">
        <w:rPr>
          <w:sz w:val="24"/>
          <w:szCs w:val="24"/>
        </w:rPr>
        <w:t xml:space="preserve"> differentiate between certain charges if it supplies a rental telephone handset with a standard telephone service; </w:t>
      </w:r>
    </w:p>
    <w:p w:rsidR="008F4A69" w:rsidRPr="0055238D" w:rsidRDefault="008F4A69" w:rsidP="0055238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5238D">
        <w:rPr>
          <w:sz w:val="24"/>
          <w:szCs w:val="24"/>
        </w:rPr>
        <w:t xml:space="preserve">amending aspects of the requirements relating to </w:t>
      </w:r>
      <w:r w:rsidR="004A5A40" w:rsidRPr="0055238D">
        <w:rPr>
          <w:sz w:val="24"/>
          <w:szCs w:val="24"/>
        </w:rPr>
        <w:t>Telstra’s Low-income Measures Assessment Committee (</w:t>
      </w:r>
      <w:r w:rsidRPr="0055238D">
        <w:rPr>
          <w:sz w:val="24"/>
          <w:szCs w:val="24"/>
        </w:rPr>
        <w:t>LIMAC</w:t>
      </w:r>
      <w:r w:rsidR="004A5A40" w:rsidRPr="0055238D">
        <w:rPr>
          <w:sz w:val="24"/>
          <w:szCs w:val="24"/>
        </w:rPr>
        <w:t>)</w:t>
      </w:r>
      <w:r w:rsidRPr="0055238D">
        <w:rPr>
          <w:sz w:val="24"/>
          <w:szCs w:val="24"/>
        </w:rPr>
        <w:t xml:space="preserve"> and Telstra’s low-income package; and</w:t>
      </w:r>
    </w:p>
    <w:p w:rsidR="004A5A40" w:rsidRPr="006C7405" w:rsidRDefault="008832A7" w:rsidP="0055238D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0055238D">
        <w:rPr>
          <w:sz w:val="24"/>
          <w:szCs w:val="24"/>
        </w:rPr>
        <w:t>amending</w:t>
      </w:r>
      <w:proofErr w:type="gramEnd"/>
      <w:r w:rsidRPr="0055238D">
        <w:rPr>
          <w:sz w:val="24"/>
          <w:szCs w:val="24"/>
        </w:rPr>
        <w:t xml:space="preserve"> aspects of the priority assistance policy requirements</w:t>
      </w:r>
      <w:r w:rsidR="003C6D1A" w:rsidRPr="006C7405">
        <w:rPr>
          <w:sz w:val="24"/>
          <w:szCs w:val="24"/>
        </w:rPr>
        <w:t>.</w:t>
      </w:r>
    </w:p>
    <w:p w:rsidR="003C6D1A" w:rsidRDefault="003C6D1A" w:rsidP="003C6D1A">
      <w:pPr>
        <w:rPr>
          <w:sz w:val="24"/>
          <w:szCs w:val="24"/>
        </w:rPr>
      </w:pPr>
    </w:p>
    <w:p w:rsidR="00C9524C" w:rsidRPr="00663840" w:rsidRDefault="00C9524C" w:rsidP="00693790">
      <w:pPr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>Background</w:t>
      </w:r>
    </w:p>
    <w:p w:rsidR="00B54E38" w:rsidRPr="00663840" w:rsidRDefault="00B54E38" w:rsidP="00693790">
      <w:pPr>
        <w:rPr>
          <w:sz w:val="24"/>
          <w:szCs w:val="24"/>
        </w:rPr>
      </w:pPr>
    </w:p>
    <w:p w:rsidR="00733491" w:rsidRPr="00663840" w:rsidRDefault="00663840" w:rsidP="00A3645B">
      <w:pPr>
        <w:rPr>
          <w:sz w:val="24"/>
          <w:szCs w:val="24"/>
        </w:rPr>
      </w:pPr>
      <w:r>
        <w:rPr>
          <w:sz w:val="24"/>
          <w:szCs w:val="24"/>
        </w:rPr>
        <w:t xml:space="preserve">Telstra </w:t>
      </w:r>
      <w:r w:rsidR="00733491" w:rsidRPr="00663840">
        <w:rPr>
          <w:sz w:val="24"/>
          <w:szCs w:val="24"/>
        </w:rPr>
        <w:t xml:space="preserve">is subject to </w:t>
      </w:r>
      <w:r w:rsidR="00731AB9" w:rsidRPr="00663840">
        <w:rPr>
          <w:sz w:val="24"/>
          <w:szCs w:val="24"/>
        </w:rPr>
        <w:t xml:space="preserve">two </w:t>
      </w:r>
      <w:r w:rsidR="00733491" w:rsidRPr="00663840">
        <w:rPr>
          <w:sz w:val="24"/>
          <w:szCs w:val="24"/>
        </w:rPr>
        <w:t xml:space="preserve">classes of carrier licence conditions: </w:t>
      </w:r>
      <w:r w:rsidR="00373113">
        <w:rPr>
          <w:sz w:val="24"/>
          <w:szCs w:val="24"/>
        </w:rPr>
        <w:t xml:space="preserve">the conditions specified in Schedule 1 to the </w:t>
      </w:r>
      <w:r w:rsidR="002D4D6A" w:rsidRPr="00663840">
        <w:rPr>
          <w:sz w:val="24"/>
          <w:szCs w:val="24"/>
        </w:rPr>
        <w:t>Act</w:t>
      </w:r>
      <w:r w:rsidR="00373113">
        <w:rPr>
          <w:sz w:val="24"/>
          <w:szCs w:val="24"/>
        </w:rPr>
        <w:t xml:space="preserve"> </w:t>
      </w:r>
      <w:r w:rsidR="00733491" w:rsidRPr="00663840">
        <w:rPr>
          <w:sz w:val="24"/>
          <w:szCs w:val="24"/>
        </w:rPr>
        <w:t xml:space="preserve">and the </w:t>
      </w:r>
      <w:r w:rsidR="00294464">
        <w:rPr>
          <w:sz w:val="24"/>
          <w:szCs w:val="24"/>
        </w:rPr>
        <w:t>conditions specified in</w:t>
      </w:r>
      <w:r w:rsidR="00733491" w:rsidRPr="00663840">
        <w:rPr>
          <w:sz w:val="24"/>
          <w:szCs w:val="24"/>
        </w:rPr>
        <w:t xml:space="preserve"> the </w:t>
      </w:r>
      <w:r w:rsidR="00CB63F1" w:rsidRPr="00663840">
        <w:rPr>
          <w:sz w:val="24"/>
          <w:szCs w:val="24"/>
        </w:rPr>
        <w:t>Original Declaration</w:t>
      </w:r>
      <w:r w:rsidR="00733491" w:rsidRPr="00663840">
        <w:rPr>
          <w:sz w:val="24"/>
          <w:szCs w:val="24"/>
        </w:rPr>
        <w:t xml:space="preserve">. </w:t>
      </w:r>
    </w:p>
    <w:p w:rsidR="00733491" w:rsidRPr="00663840" w:rsidRDefault="00733491" w:rsidP="00A3645B">
      <w:pPr>
        <w:rPr>
          <w:sz w:val="24"/>
          <w:szCs w:val="24"/>
        </w:rPr>
      </w:pPr>
    </w:p>
    <w:p w:rsidR="00CB63F1" w:rsidRPr="00663840" w:rsidRDefault="00CB63F1" w:rsidP="00A3645B">
      <w:pPr>
        <w:rPr>
          <w:sz w:val="24"/>
          <w:szCs w:val="24"/>
        </w:rPr>
      </w:pPr>
      <w:r w:rsidRPr="00663840">
        <w:rPr>
          <w:sz w:val="24"/>
          <w:szCs w:val="24"/>
        </w:rPr>
        <w:t>The Original Declaration was made on 24 June 1997 and came into force on 1</w:t>
      </w:r>
      <w:r w:rsidR="007E5D38">
        <w:rPr>
          <w:sz w:val="24"/>
          <w:szCs w:val="24"/>
        </w:rPr>
        <w:t> </w:t>
      </w:r>
      <w:r w:rsidRPr="00663840">
        <w:rPr>
          <w:sz w:val="24"/>
          <w:szCs w:val="24"/>
        </w:rPr>
        <w:t>July</w:t>
      </w:r>
      <w:r w:rsidR="007E5D38">
        <w:rPr>
          <w:sz w:val="24"/>
          <w:szCs w:val="24"/>
        </w:rPr>
        <w:t> </w:t>
      </w:r>
      <w:r w:rsidRPr="00663840">
        <w:rPr>
          <w:sz w:val="24"/>
          <w:szCs w:val="24"/>
        </w:rPr>
        <w:t>1997. The Original Declaration has since been varied by a number of amending declarations.</w:t>
      </w:r>
    </w:p>
    <w:p w:rsidR="00733491" w:rsidRPr="00663840" w:rsidRDefault="00733491" w:rsidP="00733491">
      <w:pPr>
        <w:rPr>
          <w:sz w:val="24"/>
          <w:szCs w:val="24"/>
        </w:rPr>
      </w:pPr>
    </w:p>
    <w:p w:rsidR="00905945" w:rsidRDefault="0038256D" w:rsidP="00460930">
      <w:pPr>
        <w:rPr>
          <w:iCs/>
          <w:sz w:val="24"/>
          <w:szCs w:val="24"/>
        </w:rPr>
      </w:pPr>
      <w:r w:rsidRPr="00460930">
        <w:rPr>
          <w:iCs/>
          <w:sz w:val="24"/>
          <w:szCs w:val="24"/>
        </w:rPr>
        <w:t>The Amend</w:t>
      </w:r>
      <w:r w:rsidR="00A176DA" w:rsidRPr="00460930">
        <w:rPr>
          <w:iCs/>
          <w:sz w:val="24"/>
          <w:szCs w:val="24"/>
        </w:rPr>
        <w:t>ing Declaration</w:t>
      </w:r>
      <w:r w:rsidRPr="00460930">
        <w:rPr>
          <w:iCs/>
          <w:sz w:val="24"/>
          <w:szCs w:val="24"/>
        </w:rPr>
        <w:t xml:space="preserve"> forms part of the Government’s initiative to </w:t>
      </w:r>
      <w:r w:rsidR="00905945">
        <w:rPr>
          <w:iCs/>
          <w:sz w:val="24"/>
          <w:szCs w:val="24"/>
        </w:rPr>
        <w:t xml:space="preserve">cut </w:t>
      </w:r>
      <w:r w:rsidRPr="00460930">
        <w:rPr>
          <w:iCs/>
          <w:sz w:val="24"/>
          <w:szCs w:val="24"/>
        </w:rPr>
        <w:t>red tape.</w:t>
      </w:r>
    </w:p>
    <w:p w:rsidR="00905945" w:rsidRDefault="00905945" w:rsidP="00460930">
      <w:pPr>
        <w:rPr>
          <w:iCs/>
          <w:sz w:val="24"/>
          <w:szCs w:val="24"/>
        </w:rPr>
      </w:pPr>
    </w:p>
    <w:p w:rsidR="00905945" w:rsidRDefault="00B8676E" w:rsidP="00460930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The </w:t>
      </w:r>
      <w:r>
        <w:rPr>
          <w:sz w:val="24"/>
          <w:szCs w:val="24"/>
        </w:rPr>
        <w:t>removal of</w:t>
      </w:r>
      <w:r w:rsidR="00905945" w:rsidRPr="00AF05A7">
        <w:rPr>
          <w:sz w:val="24"/>
          <w:szCs w:val="24"/>
        </w:rPr>
        <w:t xml:space="preserve"> the requirement </w:t>
      </w:r>
      <w:r w:rsidR="00CE52AD">
        <w:rPr>
          <w:sz w:val="24"/>
          <w:szCs w:val="24"/>
        </w:rPr>
        <w:t>that Telstra</w:t>
      </w:r>
      <w:r w:rsidR="00905945" w:rsidRPr="00AF05A7">
        <w:rPr>
          <w:sz w:val="24"/>
          <w:szCs w:val="24"/>
        </w:rPr>
        <w:t xml:space="preserve"> differentiate between certain charges if it supplies a rental telephone handset with a standard telephone service</w:t>
      </w:r>
      <w:r>
        <w:rPr>
          <w:sz w:val="24"/>
          <w:szCs w:val="24"/>
        </w:rPr>
        <w:t xml:space="preserve"> </w:t>
      </w:r>
      <w:r w:rsidR="00CE52AD">
        <w:rPr>
          <w:sz w:val="24"/>
          <w:szCs w:val="24"/>
        </w:rPr>
        <w:t>mean</w:t>
      </w:r>
      <w:r>
        <w:rPr>
          <w:sz w:val="24"/>
          <w:szCs w:val="24"/>
        </w:rPr>
        <w:t>s</w:t>
      </w:r>
      <w:r w:rsidR="00CE52AD">
        <w:rPr>
          <w:sz w:val="24"/>
          <w:szCs w:val="24"/>
        </w:rPr>
        <w:t xml:space="preserve"> that a single regulatory process</w:t>
      </w:r>
      <w:r>
        <w:rPr>
          <w:sz w:val="24"/>
          <w:szCs w:val="24"/>
        </w:rPr>
        <w:t xml:space="preserve"> – set out in </w:t>
      </w:r>
      <w:r w:rsidRPr="0055238D">
        <w:rPr>
          <w:i/>
          <w:sz w:val="24"/>
          <w:szCs w:val="24"/>
        </w:rPr>
        <w:t>Telecommunications Consumer Protections Code</w:t>
      </w:r>
      <w:r>
        <w:rPr>
          <w:sz w:val="24"/>
          <w:szCs w:val="24"/>
        </w:rPr>
        <w:t xml:space="preserve"> - </w:t>
      </w:r>
      <w:r w:rsidR="00CE52AD">
        <w:rPr>
          <w:sz w:val="24"/>
          <w:szCs w:val="24"/>
        </w:rPr>
        <w:t>applies to</w:t>
      </w:r>
      <w:r>
        <w:rPr>
          <w:sz w:val="24"/>
          <w:szCs w:val="24"/>
        </w:rPr>
        <w:t xml:space="preserve"> Telstra for</w:t>
      </w:r>
      <w:r w:rsidR="00CE52AD">
        <w:rPr>
          <w:sz w:val="24"/>
          <w:szCs w:val="24"/>
        </w:rPr>
        <w:t xml:space="preserve"> charging for goods offered with a standard telephone service</w:t>
      </w:r>
      <w:r>
        <w:rPr>
          <w:sz w:val="24"/>
          <w:szCs w:val="24"/>
        </w:rPr>
        <w:t xml:space="preserve">. </w:t>
      </w:r>
      <w:r w:rsidR="00025C70">
        <w:rPr>
          <w:sz w:val="24"/>
          <w:szCs w:val="24"/>
        </w:rPr>
        <w:t>(</w:t>
      </w:r>
      <w:r>
        <w:rPr>
          <w:sz w:val="24"/>
          <w:szCs w:val="24"/>
        </w:rPr>
        <w:t>It also means that regulatory obligations in this area apply equally to all carriage service providers.</w:t>
      </w:r>
      <w:r w:rsidR="00025C70">
        <w:rPr>
          <w:sz w:val="24"/>
          <w:szCs w:val="24"/>
        </w:rPr>
        <w:t>)</w:t>
      </w:r>
    </w:p>
    <w:p w:rsidR="00D96EF5" w:rsidRPr="0055238D" w:rsidRDefault="00B8676E" w:rsidP="005523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amendments to</w:t>
      </w:r>
      <w:r w:rsidR="00D96EF5" w:rsidRPr="0055238D">
        <w:rPr>
          <w:sz w:val="24"/>
          <w:szCs w:val="24"/>
        </w:rPr>
        <w:t xml:space="preserve"> aspects of the requirements relating to LIMAC and Telstra’s </w:t>
      </w:r>
      <w:r w:rsidR="00025C70">
        <w:rPr>
          <w:sz w:val="24"/>
          <w:szCs w:val="24"/>
        </w:rPr>
        <w:t xml:space="preserve">  </w:t>
      </w:r>
      <w:r w:rsidRPr="00B8676E">
        <w:rPr>
          <w:sz w:val="24"/>
          <w:szCs w:val="24"/>
        </w:rPr>
        <w:t>low-income package</w:t>
      </w:r>
      <w:r>
        <w:rPr>
          <w:sz w:val="24"/>
          <w:szCs w:val="24"/>
        </w:rPr>
        <w:t xml:space="preserve"> reduce red tape as they streamline a number of processes,</w:t>
      </w:r>
      <w:r w:rsidR="00025C70">
        <w:rPr>
          <w:sz w:val="24"/>
          <w:szCs w:val="24"/>
        </w:rPr>
        <w:t xml:space="preserve"> such as the selection of new C</w:t>
      </w:r>
      <w:r>
        <w:rPr>
          <w:sz w:val="24"/>
          <w:szCs w:val="24"/>
        </w:rPr>
        <w:t xml:space="preserve">ommittee members and </w:t>
      </w:r>
      <w:r w:rsidR="00B462CA">
        <w:rPr>
          <w:sz w:val="24"/>
          <w:szCs w:val="24"/>
        </w:rPr>
        <w:t>certain</w:t>
      </w:r>
      <w:r>
        <w:rPr>
          <w:sz w:val="24"/>
          <w:szCs w:val="24"/>
        </w:rPr>
        <w:t xml:space="preserve"> reporting</w:t>
      </w:r>
      <w:r w:rsidR="00B462CA">
        <w:rPr>
          <w:sz w:val="24"/>
          <w:szCs w:val="24"/>
        </w:rPr>
        <w:t xml:space="preserve"> obligations</w:t>
      </w:r>
      <w:r>
        <w:rPr>
          <w:sz w:val="24"/>
          <w:szCs w:val="24"/>
        </w:rPr>
        <w:t>, and therefore improve efficiency.</w:t>
      </w:r>
    </w:p>
    <w:p w:rsidR="00D96EF5" w:rsidRDefault="00D96EF5" w:rsidP="00460930">
      <w:pPr>
        <w:rPr>
          <w:sz w:val="24"/>
          <w:szCs w:val="24"/>
        </w:rPr>
      </w:pPr>
    </w:p>
    <w:p w:rsidR="00D96EF5" w:rsidRDefault="00CE52AD" w:rsidP="00460930">
      <w:pPr>
        <w:rPr>
          <w:sz w:val="24"/>
          <w:szCs w:val="24"/>
        </w:rPr>
      </w:pPr>
      <w:r>
        <w:rPr>
          <w:sz w:val="24"/>
          <w:szCs w:val="24"/>
        </w:rPr>
        <w:t>The amendments to</w:t>
      </w:r>
      <w:r w:rsidR="00D96EF5" w:rsidRPr="00AF05A7">
        <w:rPr>
          <w:sz w:val="24"/>
          <w:szCs w:val="24"/>
        </w:rPr>
        <w:t xml:space="preserve"> aspects of the priority assistance policy requirements</w:t>
      </w:r>
      <w:r w:rsidR="004169D0">
        <w:rPr>
          <w:sz w:val="24"/>
          <w:szCs w:val="24"/>
        </w:rPr>
        <w:t xml:space="preserve"> </w:t>
      </w:r>
      <w:r w:rsidR="00DB4BA6">
        <w:rPr>
          <w:sz w:val="24"/>
          <w:szCs w:val="24"/>
        </w:rPr>
        <w:t>make clear that Telstra’s priority assistance policy objectives only apply where a service is supplied using a local access network over which Telstra is in a</w:t>
      </w:r>
      <w:r w:rsidR="003360A8">
        <w:rPr>
          <w:sz w:val="24"/>
          <w:szCs w:val="24"/>
        </w:rPr>
        <w:t xml:space="preserve"> position to exercise control. </w:t>
      </w:r>
      <w:r w:rsidR="00DB4BA6">
        <w:rPr>
          <w:sz w:val="24"/>
          <w:szCs w:val="24"/>
        </w:rPr>
        <w:t>The amendments also streamline some of Telstra’s reporting requirements.</w:t>
      </w:r>
    </w:p>
    <w:p w:rsidR="00DC41DB" w:rsidRPr="00663840" w:rsidRDefault="00DC41DB" w:rsidP="00DC41DB">
      <w:pPr>
        <w:pStyle w:val="BodyText2"/>
        <w:ind w:right="-432"/>
        <w:rPr>
          <w:szCs w:val="24"/>
        </w:rPr>
      </w:pPr>
    </w:p>
    <w:p w:rsidR="00BC713C" w:rsidRPr="00663840" w:rsidRDefault="00BC713C" w:rsidP="00BC713C">
      <w:pPr>
        <w:pStyle w:val="BodyText2"/>
        <w:keepNext/>
        <w:rPr>
          <w:b/>
          <w:szCs w:val="24"/>
        </w:rPr>
      </w:pPr>
      <w:r w:rsidRPr="00663840">
        <w:rPr>
          <w:b/>
          <w:szCs w:val="24"/>
        </w:rPr>
        <w:t>Consultation</w:t>
      </w:r>
    </w:p>
    <w:p w:rsidR="00A52C63" w:rsidRDefault="00A52C63" w:rsidP="00A52C63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663840">
        <w:rPr>
          <w:color w:val="000000"/>
          <w:sz w:val="24"/>
          <w:szCs w:val="24"/>
        </w:rPr>
        <w:t>Section 64 of the Act</w:t>
      </w:r>
      <w:r w:rsidRPr="00663840">
        <w:rPr>
          <w:i/>
          <w:iCs/>
          <w:color w:val="000000"/>
          <w:sz w:val="24"/>
          <w:szCs w:val="24"/>
        </w:rPr>
        <w:t xml:space="preserve"> </w:t>
      </w:r>
      <w:r w:rsidRPr="00663840">
        <w:rPr>
          <w:color w:val="000000"/>
          <w:sz w:val="24"/>
          <w:szCs w:val="24"/>
        </w:rPr>
        <w:t>provides that before making an instrument under subsection</w:t>
      </w:r>
      <w:r w:rsidR="007E5D38">
        <w:rPr>
          <w:color w:val="000000"/>
          <w:sz w:val="24"/>
          <w:szCs w:val="24"/>
        </w:rPr>
        <w:t> </w:t>
      </w:r>
      <w:r w:rsidRPr="00663840">
        <w:rPr>
          <w:color w:val="000000"/>
          <w:sz w:val="24"/>
          <w:szCs w:val="24"/>
        </w:rPr>
        <w:t>63(</w:t>
      </w:r>
      <w:r w:rsidR="003D48B9">
        <w:rPr>
          <w:color w:val="000000"/>
          <w:sz w:val="24"/>
          <w:szCs w:val="24"/>
        </w:rPr>
        <w:t>5</w:t>
      </w:r>
      <w:r w:rsidRPr="00663840">
        <w:rPr>
          <w:color w:val="000000"/>
          <w:sz w:val="24"/>
          <w:szCs w:val="24"/>
        </w:rPr>
        <w:t>) of the Act, the Minister must arrange for a draft version of the instrument to be provided to the licence holder and invite the holder to make submission</w:t>
      </w:r>
      <w:r w:rsidR="003D48B9">
        <w:rPr>
          <w:color w:val="000000"/>
          <w:sz w:val="24"/>
          <w:szCs w:val="24"/>
        </w:rPr>
        <w:t>s</w:t>
      </w:r>
      <w:r w:rsidRPr="00663840">
        <w:rPr>
          <w:color w:val="000000"/>
          <w:sz w:val="24"/>
          <w:szCs w:val="24"/>
        </w:rPr>
        <w:t xml:space="preserve"> to the Minister on the draft.  Consistent with this requirement, the Minister formally </w:t>
      </w:r>
      <w:r w:rsidR="007430AC">
        <w:rPr>
          <w:color w:val="000000"/>
          <w:sz w:val="24"/>
          <w:szCs w:val="24"/>
        </w:rPr>
        <w:t>wrote to</w:t>
      </w:r>
      <w:r w:rsidRPr="00663840">
        <w:rPr>
          <w:color w:val="000000"/>
          <w:sz w:val="24"/>
          <w:szCs w:val="24"/>
        </w:rPr>
        <w:t xml:space="preserve"> </w:t>
      </w:r>
      <w:r w:rsidR="000C5664" w:rsidRPr="00663840">
        <w:rPr>
          <w:color w:val="000000"/>
          <w:sz w:val="24"/>
          <w:szCs w:val="24"/>
        </w:rPr>
        <w:t>Telstra</w:t>
      </w:r>
      <w:r w:rsidR="00237901" w:rsidRPr="00663840">
        <w:rPr>
          <w:color w:val="000000"/>
          <w:sz w:val="24"/>
          <w:szCs w:val="24"/>
        </w:rPr>
        <w:t xml:space="preserve"> </w:t>
      </w:r>
      <w:r w:rsidRPr="00663840">
        <w:rPr>
          <w:color w:val="000000"/>
          <w:sz w:val="24"/>
          <w:szCs w:val="24"/>
        </w:rPr>
        <w:t>on</w:t>
      </w:r>
      <w:r w:rsidR="007430AC">
        <w:rPr>
          <w:color w:val="000000"/>
          <w:sz w:val="24"/>
          <w:szCs w:val="24"/>
        </w:rPr>
        <w:t xml:space="preserve"> </w:t>
      </w:r>
      <w:r w:rsidR="006E3AA5">
        <w:rPr>
          <w:color w:val="000000"/>
          <w:sz w:val="24"/>
          <w:szCs w:val="24"/>
        </w:rPr>
        <w:t xml:space="preserve">13 May </w:t>
      </w:r>
      <w:r w:rsidR="007430AC">
        <w:rPr>
          <w:color w:val="000000"/>
          <w:sz w:val="24"/>
          <w:szCs w:val="24"/>
        </w:rPr>
        <w:t>2014</w:t>
      </w:r>
      <w:r w:rsidRPr="00663840">
        <w:rPr>
          <w:color w:val="000000"/>
          <w:sz w:val="24"/>
          <w:szCs w:val="24"/>
        </w:rPr>
        <w:t xml:space="preserve"> regarding the proposed </w:t>
      </w:r>
      <w:r w:rsidR="00192ED4" w:rsidRPr="00663840">
        <w:rPr>
          <w:color w:val="000000"/>
          <w:sz w:val="24"/>
          <w:szCs w:val="24"/>
        </w:rPr>
        <w:t>amendment of the licence conditions</w:t>
      </w:r>
      <w:r w:rsidRPr="00663840">
        <w:rPr>
          <w:color w:val="000000"/>
          <w:sz w:val="24"/>
          <w:szCs w:val="24"/>
        </w:rPr>
        <w:t>.  </w:t>
      </w:r>
      <w:r w:rsidR="007430AC">
        <w:rPr>
          <w:color w:val="000000"/>
          <w:sz w:val="24"/>
          <w:szCs w:val="24"/>
        </w:rPr>
        <w:t>T</w:t>
      </w:r>
      <w:r w:rsidR="000C5664" w:rsidRPr="00663840">
        <w:rPr>
          <w:color w:val="000000"/>
          <w:sz w:val="24"/>
          <w:szCs w:val="24"/>
        </w:rPr>
        <w:t>elstra</w:t>
      </w:r>
      <w:r w:rsidR="00237901" w:rsidRPr="00663840">
        <w:rPr>
          <w:color w:val="000000"/>
          <w:sz w:val="24"/>
          <w:szCs w:val="24"/>
        </w:rPr>
        <w:t xml:space="preserve"> </w:t>
      </w:r>
      <w:r w:rsidR="007430AC">
        <w:rPr>
          <w:color w:val="000000"/>
          <w:sz w:val="24"/>
          <w:szCs w:val="24"/>
        </w:rPr>
        <w:t>replied</w:t>
      </w:r>
      <w:r w:rsidRPr="00663840">
        <w:rPr>
          <w:color w:val="000000"/>
          <w:sz w:val="24"/>
          <w:szCs w:val="24"/>
        </w:rPr>
        <w:t xml:space="preserve"> to the Minister on</w:t>
      </w:r>
      <w:r w:rsidR="007430AC">
        <w:rPr>
          <w:color w:val="000000"/>
          <w:sz w:val="24"/>
          <w:szCs w:val="24"/>
        </w:rPr>
        <w:t xml:space="preserve"> </w:t>
      </w:r>
      <w:r w:rsidR="006E3AA5">
        <w:rPr>
          <w:color w:val="000000"/>
          <w:sz w:val="24"/>
          <w:szCs w:val="24"/>
        </w:rPr>
        <w:t>28</w:t>
      </w:r>
      <w:r w:rsidR="007430AC">
        <w:rPr>
          <w:color w:val="000000"/>
          <w:sz w:val="24"/>
          <w:szCs w:val="24"/>
        </w:rPr>
        <w:t xml:space="preserve"> Ma</w:t>
      </w:r>
      <w:r w:rsidR="006E3AA5">
        <w:rPr>
          <w:color w:val="000000"/>
          <w:sz w:val="24"/>
          <w:szCs w:val="24"/>
        </w:rPr>
        <w:t>y</w:t>
      </w:r>
      <w:r w:rsidR="007430AC">
        <w:rPr>
          <w:color w:val="000000"/>
          <w:sz w:val="24"/>
          <w:szCs w:val="24"/>
        </w:rPr>
        <w:t xml:space="preserve"> 2014</w:t>
      </w:r>
      <w:r w:rsidR="00822BF2">
        <w:rPr>
          <w:color w:val="000000"/>
          <w:sz w:val="24"/>
          <w:szCs w:val="24"/>
        </w:rPr>
        <w:t>,</w:t>
      </w:r>
      <w:r w:rsidR="007430AC">
        <w:rPr>
          <w:color w:val="000000"/>
          <w:sz w:val="24"/>
          <w:szCs w:val="24"/>
        </w:rPr>
        <w:t xml:space="preserve"> </w:t>
      </w:r>
      <w:r w:rsidR="00D345B9">
        <w:rPr>
          <w:color w:val="000000"/>
          <w:sz w:val="24"/>
          <w:szCs w:val="24"/>
        </w:rPr>
        <w:t xml:space="preserve">providing input into </w:t>
      </w:r>
      <w:r w:rsidRPr="00663840">
        <w:rPr>
          <w:color w:val="000000"/>
          <w:sz w:val="24"/>
          <w:szCs w:val="24"/>
        </w:rPr>
        <w:t xml:space="preserve">the proposed </w:t>
      </w:r>
      <w:r w:rsidR="00192ED4" w:rsidRPr="00663840">
        <w:rPr>
          <w:color w:val="000000"/>
          <w:sz w:val="24"/>
          <w:szCs w:val="24"/>
        </w:rPr>
        <w:t>amendments</w:t>
      </w:r>
      <w:r w:rsidRPr="00663840">
        <w:rPr>
          <w:color w:val="000000"/>
          <w:sz w:val="24"/>
          <w:szCs w:val="24"/>
        </w:rPr>
        <w:t>. The Department also consulted</w:t>
      </w:r>
      <w:r w:rsidR="00C105CD">
        <w:rPr>
          <w:color w:val="000000"/>
          <w:sz w:val="24"/>
          <w:szCs w:val="24"/>
        </w:rPr>
        <w:t xml:space="preserve"> on the draft instrument with</w:t>
      </w:r>
      <w:r w:rsidRPr="00663840">
        <w:rPr>
          <w:color w:val="000000"/>
          <w:sz w:val="24"/>
          <w:szCs w:val="24"/>
        </w:rPr>
        <w:t xml:space="preserve"> </w:t>
      </w:r>
      <w:r w:rsidR="007430AC">
        <w:rPr>
          <w:color w:val="000000"/>
          <w:sz w:val="24"/>
          <w:szCs w:val="24"/>
        </w:rPr>
        <w:t>the Australian Communications and Media Authority</w:t>
      </w:r>
      <w:r w:rsidR="00395FAB">
        <w:rPr>
          <w:color w:val="000000"/>
          <w:sz w:val="24"/>
          <w:szCs w:val="24"/>
        </w:rPr>
        <w:t xml:space="preserve"> (ACMA)</w:t>
      </w:r>
      <w:r w:rsidR="00D345B9">
        <w:rPr>
          <w:color w:val="000000"/>
          <w:sz w:val="24"/>
          <w:szCs w:val="24"/>
        </w:rPr>
        <w:t xml:space="preserve">, </w:t>
      </w:r>
      <w:r w:rsidR="007430AC">
        <w:rPr>
          <w:color w:val="000000"/>
          <w:sz w:val="24"/>
          <w:szCs w:val="24"/>
        </w:rPr>
        <w:t>the Australian Communications Consumer Action Network</w:t>
      </w:r>
      <w:r w:rsidR="00A22351">
        <w:rPr>
          <w:color w:val="000000"/>
          <w:sz w:val="24"/>
          <w:szCs w:val="24"/>
        </w:rPr>
        <w:t xml:space="preserve"> (ACCAN)</w:t>
      </w:r>
      <w:r w:rsidR="00D345B9">
        <w:rPr>
          <w:color w:val="000000"/>
          <w:sz w:val="24"/>
          <w:szCs w:val="24"/>
        </w:rPr>
        <w:t xml:space="preserve"> and </w:t>
      </w:r>
      <w:r w:rsidR="004A5A40">
        <w:rPr>
          <w:color w:val="000000"/>
          <w:sz w:val="24"/>
          <w:szCs w:val="24"/>
        </w:rPr>
        <w:t>LIMAC</w:t>
      </w:r>
      <w:r w:rsidR="00C105CD">
        <w:rPr>
          <w:color w:val="000000"/>
          <w:sz w:val="24"/>
          <w:szCs w:val="24"/>
        </w:rPr>
        <w:t>.</w:t>
      </w:r>
    </w:p>
    <w:p w:rsidR="00BD2D08" w:rsidRPr="006E6E99" w:rsidRDefault="00BD2D08" w:rsidP="00A52C63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Regulatory impact</w:t>
      </w:r>
    </w:p>
    <w:p w:rsidR="00A52C63" w:rsidRPr="00663840" w:rsidRDefault="00A52C63" w:rsidP="00543A41">
      <w:pPr>
        <w:spacing w:before="100" w:beforeAutospacing="1" w:after="100" w:afterAutospacing="1"/>
        <w:rPr>
          <w:sz w:val="24"/>
          <w:szCs w:val="24"/>
        </w:rPr>
      </w:pPr>
      <w:r w:rsidRPr="00663840">
        <w:rPr>
          <w:color w:val="000000"/>
          <w:sz w:val="24"/>
          <w:szCs w:val="24"/>
        </w:rPr>
        <w:t xml:space="preserve">The </w:t>
      </w:r>
      <w:r w:rsidR="00543A41">
        <w:rPr>
          <w:color w:val="000000"/>
          <w:sz w:val="24"/>
          <w:szCs w:val="24"/>
        </w:rPr>
        <w:t>Office of Best Practice Regulation has agreed that the changes arising from the Amending Declaration are minor and machinery in nature and that no further regulatory impact analysis is required.</w:t>
      </w:r>
      <w:r w:rsidR="007636B7">
        <w:rPr>
          <w:color w:val="000000"/>
          <w:sz w:val="24"/>
          <w:szCs w:val="24"/>
        </w:rPr>
        <w:t xml:space="preserve"> </w:t>
      </w:r>
    </w:p>
    <w:p w:rsidR="005C7D57" w:rsidRPr="00663840" w:rsidRDefault="00A03A7F" w:rsidP="005C7D57">
      <w:pPr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 xml:space="preserve">Other details </w:t>
      </w:r>
    </w:p>
    <w:p w:rsidR="005C7D57" w:rsidRPr="00663840" w:rsidRDefault="005C7D57" w:rsidP="005C7D57">
      <w:pPr>
        <w:rPr>
          <w:sz w:val="24"/>
          <w:szCs w:val="24"/>
        </w:rPr>
      </w:pPr>
    </w:p>
    <w:p w:rsidR="00460B93" w:rsidRPr="00663840" w:rsidRDefault="00460B93" w:rsidP="00460B93">
      <w:pPr>
        <w:rPr>
          <w:sz w:val="24"/>
          <w:szCs w:val="24"/>
        </w:rPr>
      </w:pPr>
      <w:r w:rsidRPr="00663840">
        <w:rPr>
          <w:sz w:val="24"/>
          <w:szCs w:val="24"/>
        </w:rPr>
        <w:t xml:space="preserve">The </w:t>
      </w:r>
      <w:r w:rsidR="005C3E7E" w:rsidRPr="00663840">
        <w:rPr>
          <w:sz w:val="24"/>
          <w:szCs w:val="24"/>
        </w:rPr>
        <w:t>Amending Declaration</w:t>
      </w:r>
      <w:r w:rsidRPr="00663840">
        <w:rPr>
          <w:sz w:val="24"/>
          <w:szCs w:val="24"/>
        </w:rPr>
        <w:t xml:space="preserve"> is a legislative instrument for the purposes of the </w:t>
      </w:r>
      <w:r w:rsidRPr="00663840">
        <w:rPr>
          <w:i/>
          <w:sz w:val="24"/>
          <w:szCs w:val="24"/>
        </w:rPr>
        <w:t>Legislative Instruments Act 2003</w:t>
      </w:r>
      <w:r w:rsidRPr="00663840">
        <w:rPr>
          <w:sz w:val="24"/>
          <w:szCs w:val="24"/>
        </w:rPr>
        <w:t xml:space="preserve"> and commence</w:t>
      </w:r>
      <w:r w:rsidR="005C3E7E" w:rsidRPr="00663840">
        <w:rPr>
          <w:sz w:val="24"/>
          <w:szCs w:val="24"/>
        </w:rPr>
        <w:t>s</w:t>
      </w:r>
      <w:r w:rsidRPr="00663840">
        <w:rPr>
          <w:sz w:val="24"/>
          <w:szCs w:val="24"/>
        </w:rPr>
        <w:t xml:space="preserve"> on</w:t>
      </w:r>
      <w:r w:rsidRPr="00663840">
        <w:rPr>
          <w:color w:val="0000FF"/>
          <w:sz w:val="24"/>
          <w:szCs w:val="24"/>
        </w:rPr>
        <w:t xml:space="preserve"> </w:t>
      </w:r>
      <w:r w:rsidRPr="00663840">
        <w:rPr>
          <w:sz w:val="24"/>
          <w:szCs w:val="24"/>
        </w:rPr>
        <w:t xml:space="preserve">the day after it is registered </w:t>
      </w:r>
      <w:r w:rsidR="00ED495C">
        <w:rPr>
          <w:sz w:val="24"/>
          <w:szCs w:val="24"/>
        </w:rPr>
        <w:t>o</w:t>
      </w:r>
      <w:r w:rsidRPr="00663840">
        <w:rPr>
          <w:sz w:val="24"/>
          <w:szCs w:val="24"/>
        </w:rPr>
        <w:t>n the Federal Register of Legislative Instruments.</w:t>
      </w:r>
    </w:p>
    <w:p w:rsidR="00460B93" w:rsidRPr="00663840" w:rsidRDefault="00460B93" w:rsidP="005C7D57">
      <w:pPr>
        <w:rPr>
          <w:sz w:val="24"/>
          <w:szCs w:val="24"/>
        </w:rPr>
      </w:pPr>
    </w:p>
    <w:p w:rsidR="004451E3" w:rsidRPr="00663840" w:rsidRDefault="004451E3" w:rsidP="004451E3">
      <w:pPr>
        <w:pStyle w:val="BodyText2"/>
        <w:rPr>
          <w:szCs w:val="24"/>
        </w:rPr>
      </w:pPr>
      <w:r w:rsidRPr="00663840">
        <w:rPr>
          <w:szCs w:val="24"/>
        </w:rPr>
        <w:t>The Statement of Compatibility with Human Rights for th</w:t>
      </w:r>
      <w:r w:rsidR="005C3E7E" w:rsidRPr="00663840">
        <w:rPr>
          <w:szCs w:val="24"/>
        </w:rPr>
        <w:t xml:space="preserve">e Amending Declaration </w:t>
      </w:r>
      <w:r w:rsidRPr="00663840">
        <w:rPr>
          <w:szCs w:val="24"/>
        </w:rPr>
        <w:t xml:space="preserve">is set out in </w:t>
      </w:r>
      <w:r w:rsidRPr="00663840">
        <w:rPr>
          <w:b/>
          <w:szCs w:val="24"/>
          <w:u w:val="single"/>
        </w:rPr>
        <w:t>Attachment 1</w:t>
      </w:r>
      <w:r w:rsidRPr="00663840">
        <w:rPr>
          <w:szCs w:val="24"/>
        </w:rPr>
        <w:t>.</w:t>
      </w:r>
    </w:p>
    <w:p w:rsidR="004451E3" w:rsidRPr="00663840" w:rsidRDefault="004451E3" w:rsidP="00265A6F">
      <w:pPr>
        <w:pStyle w:val="BodyText2"/>
        <w:rPr>
          <w:szCs w:val="24"/>
        </w:rPr>
      </w:pPr>
    </w:p>
    <w:p w:rsidR="00265A6F" w:rsidRPr="00663840" w:rsidRDefault="00265A6F" w:rsidP="00265A6F">
      <w:pPr>
        <w:pStyle w:val="BodyText2"/>
        <w:rPr>
          <w:szCs w:val="24"/>
        </w:rPr>
      </w:pPr>
      <w:r w:rsidRPr="00663840">
        <w:rPr>
          <w:szCs w:val="24"/>
        </w:rPr>
        <w:t xml:space="preserve">Details of the accompanying </w:t>
      </w:r>
      <w:r w:rsidR="00177E5B" w:rsidRPr="00663840">
        <w:rPr>
          <w:szCs w:val="24"/>
        </w:rPr>
        <w:t xml:space="preserve">Amending Declaration </w:t>
      </w:r>
      <w:r w:rsidRPr="00663840">
        <w:rPr>
          <w:szCs w:val="24"/>
        </w:rPr>
        <w:t xml:space="preserve">are set out in </w:t>
      </w:r>
      <w:r w:rsidRPr="00663840">
        <w:rPr>
          <w:b/>
          <w:szCs w:val="24"/>
          <w:u w:val="single"/>
        </w:rPr>
        <w:t>Attachment</w:t>
      </w:r>
      <w:r w:rsidR="004451E3" w:rsidRPr="00663840">
        <w:rPr>
          <w:b/>
          <w:szCs w:val="24"/>
          <w:u w:val="single"/>
        </w:rPr>
        <w:t xml:space="preserve"> 2</w:t>
      </w:r>
      <w:r w:rsidRPr="00663840">
        <w:rPr>
          <w:szCs w:val="24"/>
        </w:rPr>
        <w:t>.</w:t>
      </w:r>
    </w:p>
    <w:p w:rsidR="00265A6F" w:rsidRPr="00663840" w:rsidRDefault="00265A6F" w:rsidP="00693790">
      <w:pPr>
        <w:rPr>
          <w:sz w:val="24"/>
          <w:szCs w:val="24"/>
        </w:rPr>
      </w:pPr>
    </w:p>
    <w:p w:rsidR="004451E3" w:rsidRPr="00663840" w:rsidRDefault="00A3645B" w:rsidP="004451E3">
      <w:pPr>
        <w:ind w:left="5760" w:firstLine="720"/>
        <w:jc w:val="center"/>
        <w:rPr>
          <w:b/>
          <w:sz w:val="24"/>
          <w:szCs w:val="24"/>
        </w:rPr>
      </w:pPr>
      <w:r w:rsidRPr="00663840">
        <w:rPr>
          <w:b/>
          <w:i/>
          <w:sz w:val="24"/>
          <w:szCs w:val="24"/>
        </w:rPr>
        <w:br w:type="column"/>
      </w:r>
      <w:r w:rsidR="004451E3" w:rsidRPr="00663840">
        <w:rPr>
          <w:b/>
          <w:sz w:val="24"/>
          <w:szCs w:val="24"/>
        </w:rPr>
        <w:lastRenderedPageBreak/>
        <w:t xml:space="preserve">Attachment 1 </w:t>
      </w:r>
    </w:p>
    <w:p w:rsidR="004451E3" w:rsidRPr="00663840" w:rsidRDefault="004451E3" w:rsidP="004451E3">
      <w:pPr>
        <w:ind w:left="5760" w:firstLine="720"/>
        <w:jc w:val="center"/>
        <w:rPr>
          <w:sz w:val="24"/>
          <w:szCs w:val="24"/>
        </w:rPr>
      </w:pPr>
    </w:p>
    <w:p w:rsidR="00DB5C10" w:rsidRPr="0055238D" w:rsidRDefault="00DB5C10" w:rsidP="00693790">
      <w:pPr>
        <w:jc w:val="center"/>
        <w:rPr>
          <w:b/>
          <w:sz w:val="24"/>
          <w:szCs w:val="24"/>
        </w:rPr>
      </w:pPr>
      <w:r w:rsidRPr="0055238D">
        <w:rPr>
          <w:b/>
          <w:sz w:val="24"/>
          <w:szCs w:val="24"/>
        </w:rPr>
        <w:t>Statement of Compatibility with Human Rights</w:t>
      </w:r>
    </w:p>
    <w:p w:rsidR="00F10B1A" w:rsidRPr="00663840" w:rsidRDefault="00F10B1A" w:rsidP="00693790">
      <w:pPr>
        <w:jc w:val="center"/>
        <w:rPr>
          <w:i/>
          <w:sz w:val="24"/>
          <w:szCs w:val="24"/>
        </w:rPr>
      </w:pPr>
    </w:p>
    <w:p w:rsidR="00DB5C10" w:rsidRPr="00663840" w:rsidRDefault="00DB5C10" w:rsidP="00693790">
      <w:pPr>
        <w:jc w:val="center"/>
        <w:rPr>
          <w:i/>
          <w:sz w:val="24"/>
          <w:szCs w:val="24"/>
        </w:rPr>
      </w:pPr>
      <w:r w:rsidRPr="00663840">
        <w:rPr>
          <w:i/>
          <w:sz w:val="24"/>
          <w:szCs w:val="24"/>
        </w:rPr>
        <w:t>Prepared in accordance with Part 3 of the Human Rights (Parliamentary Scrutiny) Act 2011</w:t>
      </w:r>
    </w:p>
    <w:p w:rsidR="00DB5C10" w:rsidRPr="00663840" w:rsidRDefault="00DB5C10" w:rsidP="00693790">
      <w:pPr>
        <w:jc w:val="center"/>
        <w:rPr>
          <w:i/>
          <w:sz w:val="24"/>
          <w:szCs w:val="24"/>
        </w:rPr>
      </w:pPr>
    </w:p>
    <w:p w:rsidR="003549AD" w:rsidRPr="00663840" w:rsidRDefault="003549AD" w:rsidP="003549AD">
      <w:pPr>
        <w:jc w:val="center"/>
        <w:rPr>
          <w:b/>
          <w:szCs w:val="24"/>
        </w:rPr>
      </w:pPr>
      <w:r w:rsidRPr="00663840">
        <w:rPr>
          <w:b/>
          <w:i/>
          <w:sz w:val="24"/>
        </w:rPr>
        <w:t>Carrier Licence Conditions (</w:t>
      </w:r>
      <w:r w:rsidR="00886A52" w:rsidRPr="00663840">
        <w:rPr>
          <w:b/>
          <w:i/>
          <w:sz w:val="24"/>
        </w:rPr>
        <w:t>Telstra Corporation Limited</w:t>
      </w:r>
      <w:r w:rsidRPr="00663840">
        <w:rPr>
          <w:b/>
          <w:i/>
          <w:sz w:val="24"/>
        </w:rPr>
        <w:t xml:space="preserve">) Declaration 1997 (Amendment No. </w:t>
      </w:r>
      <w:r w:rsidR="00ED495C">
        <w:rPr>
          <w:b/>
          <w:i/>
          <w:sz w:val="24"/>
        </w:rPr>
        <w:t>2</w:t>
      </w:r>
      <w:r w:rsidRPr="00663840">
        <w:rPr>
          <w:b/>
          <w:i/>
          <w:sz w:val="24"/>
        </w:rPr>
        <w:t xml:space="preserve"> of 2014)</w:t>
      </w:r>
    </w:p>
    <w:p w:rsidR="003549AD" w:rsidRPr="00663840" w:rsidRDefault="003549AD" w:rsidP="00693790">
      <w:pPr>
        <w:jc w:val="center"/>
        <w:rPr>
          <w:b/>
          <w:i/>
          <w:sz w:val="24"/>
          <w:szCs w:val="24"/>
        </w:rPr>
      </w:pPr>
    </w:p>
    <w:p w:rsidR="00BC713C" w:rsidRPr="00663840" w:rsidRDefault="00BC713C" w:rsidP="00693790">
      <w:pPr>
        <w:jc w:val="center"/>
        <w:rPr>
          <w:sz w:val="24"/>
          <w:szCs w:val="24"/>
        </w:rPr>
      </w:pPr>
    </w:p>
    <w:p w:rsidR="00DB5C10" w:rsidRPr="00663840" w:rsidRDefault="00BC713C" w:rsidP="00693790">
      <w:pPr>
        <w:rPr>
          <w:sz w:val="24"/>
          <w:szCs w:val="24"/>
        </w:rPr>
      </w:pPr>
      <w:r w:rsidRPr="00663840">
        <w:rPr>
          <w:sz w:val="24"/>
          <w:szCs w:val="24"/>
        </w:rPr>
        <w:t>The</w:t>
      </w:r>
      <w:r w:rsidRPr="00663840">
        <w:rPr>
          <w:i/>
          <w:sz w:val="24"/>
          <w:szCs w:val="24"/>
        </w:rPr>
        <w:t xml:space="preserve"> </w:t>
      </w:r>
      <w:r w:rsidR="003549AD" w:rsidRPr="00663840">
        <w:rPr>
          <w:i/>
          <w:sz w:val="24"/>
          <w:szCs w:val="24"/>
        </w:rPr>
        <w:t>Carrier Licence Conditions (</w:t>
      </w:r>
      <w:r w:rsidR="00886A52" w:rsidRPr="00663840">
        <w:rPr>
          <w:i/>
          <w:sz w:val="24"/>
          <w:szCs w:val="24"/>
        </w:rPr>
        <w:t>Telstra Corporation Limited</w:t>
      </w:r>
      <w:r w:rsidR="003549AD" w:rsidRPr="00663840">
        <w:rPr>
          <w:i/>
          <w:sz w:val="24"/>
          <w:szCs w:val="24"/>
        </w:rPr>
        <w:t xml:space="preserve">) Declaration 1997 (Amendment No. </w:t>
      </w:r>
      <w:r w:rsidR="00ED495C">
        <w:rPr>
          <w:i/>
          <w:sz w:val="24"/>
          <w:szCs w:val="24"/>
        </w:rPr>
        <w:t>2</w:t>
      </w:r>
      <w:r w:rsidR="003549AD" w:rsidRPr="00663840">
        <w:rPr>
          <w:i/>
          <w:sz w:val="24"/>
          <w:szCs w:val="24"/>
        </w:rPr>
        <w:t xml:space="preserve"> of 2014</w:t>
      </w:r>
      <w:r w:rsidR="0058407D" w:rsidRPr="00663840">
        <w:rPr>
          <w:i/>
          <w:sz w:val="24"/>
          <w:szCs w:val="24"/>
        </w:rPr>
        <w:t>)</w:t>
      </w:r>
      <w:r w:rsidR="00E62002" w:rsidRPr="00663840">
        <w:rPr>
          <w:i/>
          <w:sz w:val="24"/>
          <w:szCs w:val="24"/>
        </w:rPr>
        <w:t xml:space="preserve"> </w:t>
      </w:r>
      <w:r w:rsidR="00E62002" w:rsidRPr="00663840">
        <w:rPr>
          <w:sz w:val="24"/>
          <w:szCs w:val="24"/>
        </w:rPr>
        <w:t xml:space="preserve">(the </w:t>
      </w:r>
      <w:r w:rsidR="003549AD" w:rsidRPr="00663840">
        <w:rPr>
          <w:sz w:val="24"/>
          <w:szCs w:val="24"/>
        </w:rPr>
        <w:t>Amending Declaration</w:t>
      </w:r>
      <w:r w:rsidR="00E62002" w:rsidRPr="00663840">
        <w:rPr>
          <w:sz w:val="24"/>
          <w:szCs w:val="24"/>
        </w:rPr>
        <w:t xml:space="preserve">) </w:t>
      </w:r>
      <w:r w:rsidR="00DB5C10" w:rsidRPr="00663840">
        <w:rPr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="00DB5C10" w:rsidRPr="00663840">
        <w:rPr>
          <w:i/>
          <w:sz w:val="24"/>
          <w:szCs w:val="24"/>
        </w:rPr>
        <w:t>Human Rights (Parliamentary Scrutiny) Act 2011</w:t>
      </w:r>
      <w:r w:rsidR="00DB5C10" w:rsidRPr="00663840">
        <w:rPr>
          <w:sz w:val="24"/>
          <w:szCs w:val="24"/>
        </w:rPr>
        <w:t>.</w:t>
      </w:r>
    </w:p>
    <w:p w:rsidR="003729DD" w:rsidRPr="00663840" w:rsidRDefault="003729DD" w:rsidP="00693790">
      <w:pPr>
        <w:rPr>
          <w:sz w:val="24"/>
          <w:szCs w:val="24"/>
        </w:rPr>
      </w:pPr>
    </w:p>
    <w:p w:rsidR="003729DD" w:rsidRPr="00663840" w:rsidRDefault="00DB5C10" w:rsidP="00693790">
      <w:pPr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 xml:space="preserve">Overview of the </w:t>
      </w:r>
      <w:r w:rsidR="003549AD" w:rsidRPr="00663840">
        <w:rPr>
          <w:b/>
          <w:sz w:val="24"/>
          <w:szCs w:val="24"/>
        </w:rPr>
        <w:t>Amend</w:t>
      </w:r>
      <w:r w:rsidR="007268CC">
        <w:rPr>
          <w:b/>
          <w:sz w:val="24"/>
          <w:szCs w:val="24"/>
        </w:rPr>
        <w:t>ing</w:t>
      </w:r>
      <w:r w:rsidR="003549AD" w:rsidRPr="00663840">
        <w:rPr>
          <w:b/>
          <w:sz w:val="24"/>
          <w:szCs w:val="24"/>
        </w:rPr>
        <w:t xml:space="preserve"> Declaration </w:t>
      </w:r>
    </w:p>
    <w:p w:rsidR="003549AD" w:rsidRPr="00663840" w:rsidRDefault="003549AD" w:rsidP="00693790">
      <w:pPr>
        <w:rPr>
          <w:b/>
          <w:sz w:val="24"/>
          <w:szCs w:val="24"/>
        </w:rPr>
      </w:pPr>
    </w:p>
    <w:p w:rsidR="007B0B4A" w:rsidRDefault="001169A8" w:rsidP="000C5664">
      <w:pPr>
        <w:rPr>
          <w:sz w:val="24"/>
          <w:szCs w:val="24"/>
        </w:rPr>
      </w:pPr>
      <w:r>
        <w:rPr>
          <w:sz w:val="24"/>
          <w:szCs w:val="24"/>
        </w:rPr>
        <w:t xml:space="preserve">The carrier licence conditions to which </w:t>
      </w:r>
      <w:r w:rsidR="00CB63F1" w:rsidRPr="00663840">
        <w:rPr>
          <w:sz w:val="24"/>
          <w:szCs w:val="24"/>
        </w:rPr>
        <w:t>Telstra</w:t>
      </w:r>
      <w:r w:rsidR="003549AD" w:rsidRPr="00663840">
        <w:rPr>
          <w:sz w:val="24"/>
          <w:szCs w:val="24"/>
        </w:rPr>
        <w:t xml:space="preserve"> </w:t>
      </w:r>
      <w:r w:rsidR="00AA4054" w:rsidRPr="00663840">
        <w:rPr>
          <w:sz w:val="24"/>
          <w:szCs w:val="24"/>
        </w:rPr>
        <w:t xml:space="preserve">Corporation </w:t>
      </w:r>
      <w:r w:rsidR="00A81ADB" w:rsidRPr="00663840">
        <w:rPr>
          <w:sz w:val="24"/>
          <w:szCs w:val="24"/>
        </w:rPr>
        <w:t xml:space="preserve">Limited </w:t>
      </w:r>
      <w:r w:rsidR="009A02BB" w:rsidRPr="00663840">
        <w:rPr>
          <w:sz w:val="24"/>
          <w:szCs w:val="24"/>
        </w:rPr>
        <w:t>(</w:t>
      </w:r>
      <w:r w:rsidR="00CB63F1" w:rsidRPr="00663840">
        <w:rPr>
          <w:sz w:val="24"/>
          <w:szCs w:val="24"/>
        </w:rPr>
        <w:t>Telstra</w:t>
      </w:r>
      <w:r w:rsidR="009A02BB" w:rsidRPr="00663840">
        <w:rPr>
          <w:sz w:val="24"/>
          <w:szCs w:val="24"/>
        </w:rPr>
        <w:t xml:space="preserve">) </w:t>
      </w:r>
      <w:r w:rsidR="00A81ADB" w:rsidRPr="00663840">
        <w:rPr>
          <w:sz w:val="24"/>
          <w:szCs w:val="24"/>
        </w:rPr>
        <w:t xml:space="preserve">is </w:t>
      </w:r>
      <w:r w:rsidR="00294464" w:rsidRPr="00663840">
        <w:rPr>
          <w:sz w:val="24"/>
          <w:szCs w:val="24"/>
        </w:rPr>
        <w:t xml:space="preserve">subject </w:t>
      </w:r>
      <w:r>
        <w:rPr>
          <w:sz w:val="24"/>
          <w:szCs w:val="24"/>
        </w:rPr>
        <w:t xml:space="preserve">include the </w:t>
      </w:r>
      <w:r w:rsidR="00294464">
        <w:rPr>
          <w:sz w:val="24"/>
          <w:szCs w:val="24"/>
        </w:rPr>
        <w:t>conditions specified in</w:t>
      </w:r>
      <w:r w:rsidR="00294464" w:rsidRPr="00663840">
        <w:rPr>
          <w:sz w:val="24"/>
          <w:szCs w:val="24"/>
        </w:rPr>
        <w:t xml:space="preserve"> the </w:t>
      </w:r>
      <w:r w:rsidR="0099005A" w:rsidRPr="00663840">
        <w:rPr>
          <w:i/>
          <w:sz w:val="24"/>
          <w:szCs w:val="24"/>
        </w:rPr>
        <w:t xml:space="preserve">Carrier Licence Conditions (Telstra Corporation Limited) Declaration 1997 </w:t>
      </w:r>
      <w:r w:rsidR="0099005A" w:rsidRPr="00663840">
        <w:rPr>
          <w:sz w:val="24"/>
          <w:szCs w:val="24"/>
        </w:rPr>
        <w:t>(Original Declaration).</w:t>
      </w:r>
    </w:p>
    <w:p w:rsidR="007430AC" w:rsidRDefault="007430AC" w:rsidP="000C5664">
      <w:pPr>
        <w:rPr>
          <w:sz w:val="24"/>
          <w:szCs w:val="24"/>
        </w:rPr>
      </w:pPr>
    </w:p>
    <w:p w:rsidR="001169A8" w:rsidRDefault="007B0B4A" w:rsidP="007B0B4A">
      <w:pPr>
        <w:rPr>
          <w:iCs/>
          <w:sz w:val="24"/>
          <w:szCs w:val="24"/>
        </w:rPr>
      </w:pPr>
      <w:r w:rsidRPr="00460930">
        <w:rPr>
          <w:iCs/>
          <w:sz w:val="24"/>
          <w:szCs w:val="24"/>
        </w:rPr>
        <w:t>The Amending Declaration</w:t>
      </w:r>
      <w:r>
        <w:rPr>
          <w:iCs/>
          <w:sz w:val="24"/>
          <w:szCs w:val="24"/>
        </w:rPr>
        <w:t>, which</w:t>
      </w:r>
      <w:r w:rsidRPr="00460930">
        <w:rPr>
          <w:iCs/>
          <w:sz w:val="24"/>
          <w:szCs w:val="24"/>
        </w:rPr>
        <w:t xml:space="preserve"> forms part of the Government’s initiative to </w:t>
      </w:r>
      <w:r>
        <w:rPr>
          <w:iCs/>
          <w:sz w:val="24"/>
          <w:szCs w:val="24"/>
        </w:rPr>
        <w:t xml:space="preserve">cut </w:t>
      </w:r>
      <w:r w:rsidRPr="00460930">
        <w:rPr>
          <w:iCs/>
          <w:sz w:val="24"/>
          <w:szCs w:val="24"/>
        </w:rPr>
        <w:t xml:space="preserve">red </w:t>
      </w:r>
      <w:r>
        <w:rPr>
          <w:iCs/>
          <w:sz w:val="24"/>
          <w:szCs w:val="24"/>
        </w:rPr>
        <w:t xml:space="preserve">tape, </w:t>
      </w:r>
      <w:r w:rsidR="001169A8">
        <w:rPr>
          <w:iCs/>
          <w:sz w:val="24"/>
          <w:szCs w:val="24"/>
        </w:rPr>
        <w:t>affects Telstra by making changes to the carriers licence conditions to which Telstra is subject under the Original Declaration. Specifically, the Amending Declaration:</w:t>
      </w:r>
    </w:p>
    <w:p w:rsidR="001169A8" w:rsidRPr="001169A8" w:rsidRDefault="007B0B4A" w:rsidP="0055238D">
      <w:pPr>
        <w:pStyle w:val="ListParagraph"/>
        <w:numPr>
          <w:ilvl w:val="0"/>
          <w:numId w:val="18"/>
        </w:numPr>
        <w:rPr>
          <w:iCs/>
          <w:sz w:val="24"/>
          <w:szCs w:val="24"/>
        </w:rPr>
      </w:pPr>
      <w:r w:rsidRPr="0055238D">
        <w:rPr>
          <w:sz w:val="24"/>
          <w:szCs w:val="24"/>
        </w:rPr>
        <w:t>remov</w:t>
      </w:r>
      <w:r w:rsidR="001169A8">
        <w:rPr>
          <w:sz w:val="24"/>
          <w:szCs w:val="24"/>
        </w:rPr>
        <w:t>es</w:t>
      </w:r>
      <w:r w:rsidRPr="0055238D">
        <w:rPr>
          <w:sz w:val="24"/>
          <w:szCs w:val="24"/>
        </w:rPr>
        <w:t xml:space="preserve"> the requirement that Telstra differentiate between certain charges if it supplies a rental telephone handset with a standard telephone service </w:t>
      </w:r>
      <w:r w:rsidR="001169A8">
        <w:rPr>
          <w:sz w:val="24"/>
          <w:szCs w:val="24"/>
        </w:rPr>
        <w:t>so that a</w:t>
      </w:r>
      <w:r w:rsidRPr="0055238D">
        <w:rPr>
          <w:sz w:val="24"/>
          <w:szCs w:val="24"/>
        </w:rPr>
        <w:t xml:space="preserve"> single regulatory process – set out in </w:t>
      </w:r>
      <w:r w:rsidR="00B462CA">
        <w:rPr>
          <w:sz w:val="24"/>
          <w:szCs w:val="24"/>
        </w:rPr>
        <w:t xml:space="preserve">the </w:t>
      </w:r>
      <w:r w:rsidRPr="0055238D">
        <w:rPr>
          <w:i/>
          <w:sz w:val="24"/>
          <w:szCs w:val="24"/>
        </w:rPr>
        <w:t>Telecommunications Consumer Protections Code</w:t>
      </w:r>
      <w:r w:rsidRPr="0055238D">
        <w:rPr>
          <w:sz w:val="24"/>
          <w:szCs w:val="24"/>
        </w:rPr>
        <w:t xml:space="preserve"> - applies to Telstra</w:t>
      </w:r>
      <w:r w:rsidR="001169A8">
        <w:rPr>
          <w:sz w:val="24"/>
          <w:szCs w:val="24"/>
        </w:rPr>
        <w:t xml:space="preserve"> (and other carriage service providers) in this area; </w:t>
      </w:r>
    </w:p>
    <w:p w:rsidR="0055238D" w:rsidRPr="0055238D" w:rsidRDefault="0055238D" w:rsidP="0055238D">
      <w:pPr>
        <w:pStyle w:val="ListParagraph"/>
        <w:numPr>
          <w:ilvl w:val="0"/>
          <w:numId w:val="18"/>
        </w:numPr>
        <w:rPr>
          <w:iCs/>
          <w:sz w:val="24"/>
          <w:szCs w:val="24"/>
        </w:rPr>
      </w:pPr>
      <w:r>
        <w:rPr>
          <w:sz w:val="24"/>
          <w:szCs w:val="24"/>
        </w:rPr>
        <w:t xml:space="preserve">streamlines a number of processes relating to </w:t>
      </w:r>
      <w:r w:rsidRPr="00AF05A7">
        <w:rPr>
          <w:sz w:val="24"/>
          <w:szCs w:val="24"/>
        </w:rPr>
        <w:t>Telstra’s Low-income</w:t>
      </w:r>
      <w:r>
        <w:rPr>
          <w:sz w:val="24"/>
          <w:szCs w:val="24"/>
        </w:rPr>
        <w:t xml:space="preserve"> Measures Assessment Committee </w:t>
      </w:r>
      <w:r w:rsidRPr="00AF05A7">
        <w:rPr>
          <w:sz w:val="24"/>
          <w:szCs w:val="24"/>
        </w:rPr>
        <w:t xml:space="preserve">and Telstra’s </w:t>
      </w:r>
      <w:r>
        <w:rPr>
          <w:sz w:val="24"/>
          <w:szCs w:val="24"/>
        </w:rPr>
        <w:t>low-income package, and therefore improves efficiency; and</w:t>
      </w:r>
    </w:p>
    <w:p w:rsidR="007B0B4A" w:rsidRPr="0055238D" w:rsidRDefault="00DB4BA6" w:rsidP="0055238D">
      <w:pPr>
        <w:pStyle w:val="ListParagraph"/>
        <w:numPr>
          <w:ilvl w:val="0"/>
          <w:numId w:val="18"/>
        </w:numPr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makes</w:t>
      </w:r>
      <w:proofErr w:type="gramEnd"/>
      <w:r>
        <w:rPr>
          <w:sz w:val="24"/>
          <w:szCs w:val="24"/>
        </w:rPr>
        <w:t xml:space="preserve"> clear that Telstra’s priority assistance policy objectives only apply where a service is supplied using a local access network over which Telstra is in a position to exercise control.</w:t>
      </w:r>
    </w:p>
    <w:p w:rsidR="00EF5346" w:rsidRPr="00663840" w:rsidRDefault="007430AC" w:rsidP="00A81ADB">
      <w:pPr>
        <w:rPr>
          <w:sz w:val="24"/>
          <w:szCs w:val="24"/>
        </w:rPr>
      </w:pPr>
      <w:r w:rsidRPr="00460930">
        <w:rPr>
          <w:sz w:val="24"/>
          <w:szCs w:val="24"/>
        </w:rPr>
        <w:t xml:space="preserve">  </w:t>
      </w:r>
    </w:p>
    <w:p w:rsidR="00DB5C10" w:rsidRPr="00663840" w:rsidRDefault="00DB5C10" w:rsidP="00693790">
      <w:pPr>
        <w:keepNext/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>Human rights implications</w:t>
      </w:r>
    </w:p>
    <w:p w:rsidR="00DB5C10" w:rsidRPr="00663840" w:rsidRDefault="00DB5C10" w:rsidP="00693790">
      <w:pPr>
        <w:keepNext/>
        <w:rPr>
          <w:b/>
          <w:sz w:val="24"/>
          <w:szCs w:val="24"/>
        </w:rPr>
      </w:pPr>
    </w:p>
    <w:p w:rsidR="002D4DC1" w:rsidRPr="00663840" w:rsidRDefault="007142F7" w:rsidP="002D4DC1">
      <w:pPr>
        <w:keepNext/>
        <w:rPr>
          <w:sz w:val="24"/>
          <w:szCs w:val="24"/>
        </w:rPr>
      </w:pPr>
      <w:r w:rsidRPr="00663840">
        <w:rPr>
          <w:sz w:val="24"/>
          <w:szCs w:val="24"/>
        </w:rPr>
        <w:t>The</w:t>
      </w:r>
      <w:r w:rsidR="00DB5C10" w:rsidRPr="00663840">
        <w:rPr>
          <w:sz w:val="24"/>
          <w:szCs w:val="24"/>
        </w:rPr>
        <w:t xml:space="preserve"> </w:t>
      </w:r>
      <w:r w:rsidR="003549AD" w:rsidRPr="00663840">
        <w:rPr>
          <w:sz w:val="24"/>
          <w:szCs w:val="24"/>
        </w:rPr>
        <w:t xml:space="preserve">Amending Declaration </w:t>
      </w:r>
      <w:r w:rsidR="00DB5C10" w:rsidRPr="00663840">
        <w:rPr>
          <w:sz w:val="24"/>
          <w:szCs w:val="24"/>
        </w:rPr>
        <w:t>does not engage any of the</w:t>
      </w:r>
      <w:r w:rsidR="00B459CF" w:rsidRPr="00663840">
        <w:rPr>
          <w:sz w:val="24"/>
          <w:szCs w:val="24"/>
        </w:rPr>
        <w:t xml:space="preserve"> applicable rights or freedoms.</w:t>
      </w:r>
      <w:r w:rsidR="00101D7D" w:rsidRPr="00663840">
        <w:rPr>
          <w:sz w:val="24"/>
          <w:szCs w:val="24"/>
        </w:rPr>
        <w:t xml:space="preserve"> </w:t>
      </w:r>
    </w:p>
    <w:p w:rsidR="002D4DC1" w:rsidRPr="00663840" w:rsidRDefault="002D4DC1" w:rsidP="00693790">
      <w:pPr>
        <w:rPr>
          <w:sz w:val="24"/>
          <w:szCs w:val="24"/>
        </w:rPr>
      </w:pPr>
    </w:p>
    <w:p w:rsidR="00DB5C10" w:rsidRPr="00663840" w:rsidRDefault="00DB5C10" w:rsidP="00693790">
      <w:pPr>
        <w:rPr>
          <w:b/>
          <w:sz w:val="24"/>
          <w:szCs w:val="24"/>
        </w:rPr>
      </w:pPr>
      <w:r w:rsidRPr="00663840">
        <w:rPr>
          <w:b/>
          <w:sz w:val="24"/>
          <w:szCs w:val="24"/>
        </w:rPr>
        <w:t>Conclusion</w:t>
      </w:r>
    </w:p>
    <w:p w:rsidR="00DB5C10" w:rsidRPr="00663840" w:rsidRDefault="00DB5C10" w:rsidP="00693790">
      <w:pPr>
        <w:rPr>
          <w:b/>
          <w:sz w:val="24"/>
          <w:szCs w:val="24"/>
        </w:rPr>
      </w:pPr>
    </w:p>
    <w:p w:rsidR="00DB5C10" w:rsidRPr="00663840" w:rsidRDefault="00DB5C10" w:rsidP="00693790">
      <w:pPr>
        <w:rPr>
          <w:sz w:val="24"/>
          <w:szCs w:val="24"/>
        </w:rPr>
      </w:pPr>
      <w:r w:rsidRPr="00663840">
        <w:rPr>
          <w:sz w:val="24"/>
          <w:szCs w:val="24"/>
        </w:rPr>
        <w:t xml:space="preserve">This </w:t>
      </w:r>
      <w:r w:rsidR="003549AD" w:rsidRPr="00663840">
        <w:rPr>
          <w:sz w:val="24"/>
          <w:szCs w:val="24"/>
        </w:rPr>
        <w:t>Amending Declaration</w:t>
      </w:r>
      <w:r w:rsidR="00DA7523" w:rsidRPr="00663840">
        <w:rPr>
          <w:sz w:val="24"/>
          <w:szCs w:val="24"/>
        </w:rPr>
        <w:t xml:space="preserve"> </w:t>
      </w:r>
      <w:r w:rsidRPr="00663840">
        <w:rPr>
          <w:sz w:val="24"/>
          <w:szCs w:val="24"/>
        </w:rPr>
        <w:t>is compatible with human rights as it does not raise any human rights issues.</w:t>
      </w:r>
    </w:p>
    <w:p w:rsidR="00DB5C10" w:rsidRPr="00663840" w:rsidRDefault="00DB5C10" w:rsidP="00693790">
      <w:pPr>
        <w:jc w:val="both"/>
        <w:rPr>
          <w:b/>
          <w:sz w:val="24"/>
          <w:szCs w:val="24"/>
        </w:rPr>
      </w:pPr>
    </w:p>
    <w:p w:rsidR="0079130F" w:rsidRPr="00663840" w:rsidRDefault="0079130F" w:rsidP="0079130F">
      <w:pPr>
        <w:ind w:right="91"/>
        <w:jc w:val="center"/>
        <w:rPr>
          <w:b/>
          <w:sz w:val="24"/>
          <w:szCs w:val="24"/>
        </w:rPr>
      </w:pPr>
    </w:p>
    <w:p w:rsidR="0055238D" w:rsidRDefault="0055238D" w:rsidP="0079130F">
      <w:pPr>
        <w:ind w:right="91"/>
        <w:jc w:val="right"/>
        <w:rPr>
          <w:sz w:val="24"/>
          <w:szCs w:val="24"/>
        </w:rPr>
      </w:pPr>
    </w:p>
    <w:p w:rsidR="0055238D" w:rsidRDefault="0055238D" w:rsidP="0079130F">
      <w:pPr>
        <w:ind w:right="91"/>
        <w:jc w:val="right"/>
        <w:rPr>
          <w:sz w:val="24"/>
          <w:szCs w:val="24"/>
        </w:rPr>
      </w:pPr>
    </w:p>
    <w:p w:rsidR="001B26BD" w:rsidRPr="00663840" w:rsidRDefault="003350A1" w:rsidP="0079130F">
      <w:pPr>
        <w:ind w:right="91"/>
        <w:jc w:val="right"/>
        <w:rPr>
          <w:sz w:val="24"/>
          <w:szCs w:val="24"/>
        </w:rPr>
      </w:pPr>
      <w:r w:rsidRPr="00663840">
        <w:rPr>
          <w:b/>
          <w:sz w:val="24"/>
          <w:szCs w:val="24"/>
        </w:rPr>
        <w:lastRenderedPageBreak/>
        <w:t>Attachment</w:t>
      </w:r>
      <w:r w:rsidR="004451E3" w:rsidRPr="00663840">
        <w:rPr>
          <w:b/>
          <w:sz w:val="24"/>
          <w:szCs w:val="24"/>
        </w:rPr>
        <w:t xml:space="preserve"> 2</w:t>
      </w:r>
    </w:p>
    <w:p w:rsidR="001B26BD" w:rsidRPr="00663840" w:rsidRDefault="001B26BD" w:rsidP="00693790">
      <w:pPr>
        <w:ind w:right="91"/>
        <w:jc w:val="right"/>
        <w:rPr>
          <w:sz w:val="24"/>
          <w:szCs w:val="24"/>
        </w:rPr>
      </w:pPr>
    </w:p>
    <w:p w:rsidR="001B26BD" w:rsidRPr="007E6C21" w:rsidRDefault="001B26BD" w:rsidP="00693790">
      <w:pPr>
        <w:ind w:right="91"/>
        <w:rPr>
          <w:sz w:val="24"/>
          <w:szCs w:val="24"/>
          <w:u w:val="single"/>
        </w:rPr>
      </w:pPr>
      <w:r w:rsidRPr="007E6C21">
        <w:rPr>
          <w:b/>
          <w:sz w:val="24"/>
          <w:szCs w:val="24"/>
          <w:u w:val="single"/>
        </w:rPr>
        <w:t xml:space="preserve">Details of the </w:t>
      </w:r>
      <w:r w:rsidR="003549AD" w:rsidRPr="00A05A4C">
        <w:rPr>
          <w:b/>
          <w:i/>
          <w:sz w:val="24"/>
          <w:szCs w:val="24"/>
          <w:u w:val="single"/>
        </w:rPr>
        <w:t>Carrier Licence Conditions (</w:t>
      </w:r>
      <w:r w:rsidR="00886A52" w:rsidRPr="00A05A4C">
        <w:rPr>
          <w:b/>
          <w:i/>
          <w:sz w:val="24"/>
          <w:szCs w:val="24"/>
          <w:u w:val="single"/>
        </w:rPr>
        <w:t>Telstra Corporation Limited</w:t>
      </w:r>
      <w:r w:rsidR="003549AD" w:rsidRPr="00A05A4C">
        <w:rPr>
          <w:b/>
          <w:i/>
          <w:sz w:val="24"/>
          <w:szCs w:val="24"/>
          <w:u w:val="single"/>
        </w:rPr>
        <w:t xml:space="preserve">) Declaration 1997 (Amendment No. </w:t>
      </w:r>
      <w:r w:rsidR="00ED495C">
        <w:rPr>
          <w:b/>
          <w:i/>
          <w:sz w:val="24"/>
          <w:szCs w:val="24"/>
          <w:u w:val="single"/>
        </w:rPr>
        <w:t>2</w:t>
      </w:r>
      <w:r w:rsidR="003549AD" w:rsidRPr="00A05A4C">
        <w:rPr>
          <w:b/>
          <w:i/>
          <w:sz w:val="24"/>
          <w:szCs w:val="24"/>
          <w:u w:val="single"/>
        </w:rPr>
        <w:t xml:space="preserve"> of 2014)</w:t>
      </w:r>
    </w:p>
    <w:p w:rsidR="002864F7" w:rsidRPr="00663840" w:rsidRDefault="002864F7" w:rsidP="00693790">
      <w:pPr>
        <w:pStyle w:val="Att-Sectionheading"/>
        <w:rPr>
          <w:u w:val="none"/>
        </w:rPr>
      </w:pPr>
    </w:p>
    <w:p w:rsidR="001B26BD" w:rsidRPr="00025C70" w:rsidRDefault="00E5399F" w:rsidP="00693790">
      <w:pPr>
        <w:pStyle w:val="Att-Sectionheading"/>
        <w:rPr>
          <w:b/>
          <w:u w:val="none"/>
        </w:rPr>
      </w:pPr>
      <w:r w:rsidRPr="0055238D">
        <w:rPr>
          <w:b/>
          <w:u w:val="none"/>
        </w:rPr>
        <w:t>Section</w:t>
      </w:r>
      <w:r w:rsidR="003350A1" w:rsidRPr="00025C70">
        <w:rPr>
          <w:b/>
          <w:u w:val="none"/>
        </w:rPr>
        <w:t xml:space="preserve"> 1</w:t>
      </w:r>
      <w:r w:rsidR="00CE5D55" w:rsidRPr="00025C70">
        <w:rPr>
          <w:b/>
          <w:u w:val="none"/>
        </w:rPr>
        <w:t xml:space="preserve">: </w:t>
      </w:r>
      <w:r w:rsidR="003350A1" w:rsidRPr="00025C70">
        <w:rPr>
          <w:b/>
          <w:u w:val="none"/>
        </w:rPr>
        <w:t xml:space="preserve">Name of </w:t>
      </w:r>
      <w:r w:rsidR="007E5D38" w:rsidRPr="00025C70">
        <w:rPr>
          <w:b/>
          <w:u w:val="none"/>
        </w:rPr>
        <w:t>D</w:t>
      </w:r>
      <w:r w:rsidR="008A3A21" w:rsidRPr="00025C70">
        <w:rPr>
          <w:b/>
          <w:u w:val="none"/>
        </w:rPr>
        <w:t>eclaration</w:t>
      </w:r>
    </w:p>
    <w:p w:rsidR="001B26BD" w:rsidRPr="00025C70" w:rsidRDefault="001B26BD" w:rsidP="00693790">
      <w:pPr>
        <w:ind w:right="91"/>
        <w:rPr>
          <w:sz w:val="24"/>
          <w:szCs w:val="24"/>
        </w:rPr>
      </w:pPr>
    </w:p>
    <w:p w:rsidR="001B26BD" w:rsidRPr="00025C70" w:rsidRDefault="008228A5" w:rsidP="00693790">
      <w:pPr>
        <w:pStyle w:val="BodyText1"/>
      </w:pPr>
      <w:r w:rsidRPr="00025C70">
        <w:t>Section 1</w:t>
      </w:r>
      <w:r w:rsidR="001B26BD" w:rsidRPr="00025C70">
        <w:t xml:space="preserve"> provides t</w:t>
      </w:r>
      <w:r w:rsidR="00433EB7" w:rsidRPr="00025C70">
        <w:t xml:space="preserve">hat the title of the </w:t>
      </w:r>
      <w:r w:rsidR="003549AD" w:rsidRPr="00025C70">
        <w:t xml:space="preserve">Amending Declaration </w:t>
      </w:r>
      <w:r w:rsidR="001B26BD" w:rsidRPr="00025C70">
        <w:t>is the</w:t>
      </w:r>
      <w:r w:rsidR="003549AD" w:rsidRPr="00025C70">
        <w:t xml:space="preserve"> </w:t>
      </w:r>
      <w:r w:rsidR="003549AD" w:rsidRPr="00025C70">
        <w:rPr>
          <w:i/>
        </w:rPr>
        <w:t>Carrier Licence Conditions (</w:t>
      </w:r>
      <w:r w:rsidR="00886A52" w:rsidRPr="00025C70">
        <w:rPr>
          <w:i/>
        </w:rPr>
        <w:t>Telstra Corporation Limited</w:t>
      </w:r>
      <w:r w:rsidR="003549AD" w:rsidRPr="00025C70">
        <w:rPr>
          <w:i/>
        </w:rPr>
        <w:t xml:space="preserve">) Declaration 1997 (Amendment No. </w:t>
      </w:r>
      <w:r w:rsidR="00B6280E" w:rsidRPr="00025C70">
        <w:rPr>
          <w:i/>
        </w:rPr>
        <w:t>2</w:t>
      </w:r>
      <w:r w:rsidR="003549AD" w:rsidRPr="00025C70">
        <w:rPr>
          <w:i/>
        </w:rPr>
        <w:t xml:space="preserve"> of 2014)</w:t>
      </w:r>
      <w:r w:rsidR="001B26BD" w:rsidRPr="00025C70">
        <w:rPr>
          <w:i/>
        </w:rPr>
        <w:t>.</w:t>
      </w:r>
    </w:p>
    <w:p w:rsidR="001B26BD" w:rsidRPr="00025C70" w:rsidRDefault="001B26BD" w:rsidP="00693790">
      <w:pPr>
        <w:ind w:right="91"/>
        <w:rPr>
          <w:sz w:val="24"/>
          <w:szCs w:val="24"/>
        </w:rPr>
      </w:pPr>
    </w:p>
    <w:p w:rsidR="001B26BD" w:rsidRPr="00025C70" w:rsidRDefault="00E5399F" w:rsidP="00693790">
      <w:pPr>
        <w:pStyle w:val="Att-Sectionheading"/>
        <w:rPr>
          <w:b/>
          <w:u w:val="none"/>
        </w:rPr>
      </w:pPr>
      <w:r w:rsidRPr="0055238D">
        <w:rPr>
          <w:b/>
          <w:u w:val="none"/>
        </w:rPr>
        <w:t>Section</w:t>
      </w:r>
      <w:r w:rsidR="001B26BD" w:rsidRPr="00025C70">
        <w:rPr>
          <w:b/>
          <w:u w:val="none"/>
        </w:rPr>
        <w:t xml:space="preserve"> 2</w:t>
      </w:r>
      <w:r w:rsidR="00CE5D55" w:rsidRPr="00025C70">
        <w:rPr>
          <w:b/>
          <w:u w:val="none"/>
        </w:rPr>
        <w:t xml:space="preserve">: </w:t>
      </w:r>
      <w:r w:rsidR="001B26BD" w:rsidRPr="00025C70">
        <w:rPr>
          <w:b/>
          <w:u w:val="none"/>
        </w:rPr>
        <w:t>Commencement</w:t>
      </w:r>
    </w:p>
    <w:p w:rsidR="001B26BD" w:rsidRPr="00025C70" w:rsidRDefault="001B26BD" w:rsidP="00693790">
      <w:pPr>
        <w:ind w:right="91"/>
        <w:rPr>
          <w:sz w:val="24"/>
          <w:szCs w:val="24"/>
        </w:rPr>
      </w:pPr>
    </w:p>
    <w:p w:rsidR="001B26BD" w:rsidRPr="00025C70" w:rsidRDefault="008228A5" w:rsidP="00693790">
      <w:pPr>
        <w:pStyle w:val="BodyText1"/>
      </w:pPr>
      <w:r w:rsidRPr="00025C70">
        <w:t>Section 2</w:t>
      </w:r>
      <w:r w:rsidR="001B26BD" w:rsidRPr="00025C70">
        <w:t xml:space="preserve"> </w:t>
      </w:r>
      <w:r w:rsidRPr="00025C70">
        <w:t xml:space="preserve">provides that the </w:t>
      </w:r>
      <w:r w:rsidR="003549AD" w:rsidRPr="00025C70">
        <w:t xml:space="preserve">Amending Declaration </w:t>
      </w:r>
      <w:r w:rsidRPr="00025C70">
        <w:t>commences on the day after it is registered on the Federal Register of Legislative Instruments</w:t>
      </w:r>
      <w:r w:rsidR="001B26BD" w:rsidRPr="00025C70">
        <w:t>.</w:t>
      </w:r>
    </w:p>
    <w:p w:rsidR="001B26BD" w:rsidRPr="00025C70" w:rsidRDefault="001B26BD" w:rsidP="00693790">
      <w:pPr>
        <w:ind w:right="91"/>
        <w:rPr>
          <w:sz w:val="24"/>
          <w:szCs w:val="24"/>
        </w:rPr>
      </w:pPr>
    </w:p>
    <w:p w:rsidR="001B26BD" w:rsidRPr="00025C70" w:rsidRDefault="00E5399F" w:rsidP="00693790">
      <w:pPr>
        <w:pStyle w:val="Att-Sectionheading"/>
        <w:rPr>
          <w:b/>
          <w:u w:val="none"/>
        </w:rPr>
      </w:pPr>
      <w:r w:rsidRPr="00025C70">
        <w:rPr>
          <w:b/>
          <w:u w:val="none"/>
        </w:rPr>
        <w:t>Section</w:t>
      </w:r>
      <w:r w:rsidR="001B26BD" w:rsidRPr="00025C70">
        <w:rPr>
          <w:b/>
          <w:u w:val="none"/>
        </w:rPr>
        <w:t xml:space="preserve"> 3</w:t>
      </w:r>
      <w:r w:rsidR="00CE5D55" w:rsidRPr="00025C70">
        <w:rPr>
          <w:b/>
          <w:u w:val="none"/>
        </w:rPr>
        <w:t xml:space="preserve">: </w:t>
      </w:r>
      <w:r w:rsidR="003549AD" w:rsidRPr="00025C70">
        <w:rPr>
          <w:b/>
          <w:u w:val="none"/>
        </w:rPr>
        <w:t xml:space="preserve">Variation </w:t>
      </w:r>
    </w:p>
    <w:p w:rsidR="003549AD" w:rsidRPr="00025C70" w:rsidRDefault="003549AD" w:rsidP="00693790">
      <w:pPr>
        <w:pStyle w:val="Att-Sectionheading"/>
        <w:rPr>
          <w:u w:val="none"/>
        </w:rPr>
      </w:pPr>
    </w:p>
    <w:p w:rsidR="00B473ED" w:rsidRPr="00025C70" w:rsidRDefault="003549AD" w:rsidP="00B473ED">
      <w:pPr>
        <w:pStyle w:val="Att-Sectionheading"/>
        <w:rPr>
          <w:u w:val="none"/>
        </w:rPr>
      </w:pPr>
      <w:r w:rsidRPr="00025C70">
        <w:rPr>
          <w:u w:val="none"/>
        </w:rPr>
        <w:t xml:space="preserve">Section 3 of the Amending Declaration provides that the </w:t>
      </w:r>
      <w:r w:rsidR="00177E5B" w:rsidRPr="00025C70">
        <w:rPr>
          <w:i/>
          <w:u w:val="none"/>
        </w:rPr>
        <w:t>Carrier Licence Conditions (</w:t>
      </w:r>
      <w:r w:rsidR="00886A52" w:rsidRPr="00025C70">
        <w:rPr>
          <w:i/>
          <w:u w:val="none"/>
        </w:rPr>
        <w:t>Telstra Corporation Limited</w:t>
      </w:r>
      <w:r w:rsidR="00177E5B" w:rsidRPr="00025C70">
        <w:rPr>
          <w:i/>
          <w:u w:val="none"/>
        </w:rPr>
        <w:t>) Declaration 1997</w:t>
      </w:r>
      <w:r w:rsidR="00177E5B" w:rsidRPr="00025C70">
        <w:rPr>
          <w:u w:val="none"/>
        </w:rPr>
        <w:t xml:space="preserve"> (Original Declaration) </w:t>
      </w:r>
      <w:r w:rsidR="00B473ED" w:rsidRPr="00025C70">
        <w:rPr>
          <w:u w:val="none"/>
        </w:rPr>
        <w:t xml:space="preserve">is </w:t>
      </w:r>
      <w:r w:rsidR="00B6280E" w:rsidRPr="00025C70">
        <w:rPr>
          <w:u w:val="none"/>
        </w:rPr>
        <w:t xml:space="preserve">amended as </w:t>
      </w:r>
      <w:r w:rsidRPr="00025C70">
        <w:rPr>
          <w:u w:val="none"/>
        </w:rPr>
        <w:t xml:space="preserve">set out in the </w:t>
      </w:r>
      <w:r w:rsidR="0018487E" w:rsidRPr="00025C70">
        <w:rPr>
          <w:u w:val="none"/>
        </w:rPr>
        <w:t>S</w:t>
      </w:r>
      <w:r w:rsidRPr="00025C70">
        <w:rPr>
          <w:u w:val="none"/>
        </w:rPr>
        <w:t xml:space="preserve">chedule. </w:t>
      </w:r>
    </w:p>
    <w:p w:rsidR="00DF5043" w:rsidRPr="00025C70" w:rsidRDefault="00DF5043" w:rsidP="00B473ED">
      <w:pPr>
        <w:pStyle w:val="Att-Sectionheading"/>
        <w:rPr>
          <w:u w:val="none"/>
        </w:rPr>
      </w:pPr>
    </w:p>
    <w:p w:rsidR="00DF5043" w:rsidRPr="00025C70" w:rsidRDefault="00DF5043" w:rsidP="00B473ED">
      <w:pPr>
        <w:pStyle w:val="Att-Sectionheading"/>
        <w:rPr>
          <w:b/>
          <w:color w:val="000000"/>
          <w:u w:val="none"/>
        </w:rPr>
      </w:pPr>
      <w:r w:rsidRPr="00025C70">
        <w:rPr>
          <w:b/>
          <w:color w:val="000000"/>
          <w:u w:val="none"/>
        </w:rPr>
        <w:t>Section 4</w:t>
      </w:r>
      <w:r w:rsidR="00CE5D55" w:rsidRPr="00025C70">
        <w:rPr>
          <w:b/>
          <w:color w:val="000000"/>
          <w:u w:val="none"/>
        </w:rPr>
        <w:t xml:space="preserve">: </w:t>
      </w:r>
      <w:r w:rsidRPr="00025C70">
        <w:rPr>
          <w:b/>
          <w:color w:val="000000"/>
          <w:u w:val="none"/>
        </w:rPr>
        <w:t>Expiry</w:t>
      </w:r>
    </w:p>
    <w:p w:rsidR="00DF5043" w:rsidRPr="00025C70" w:rsidRDefault="00DF5043" w:rsidP="00B473ED">
      <w:pPr>
        <w:pStyle w:val="Att-Sectionheading"/>
        <w:rPr>
          <w:color w:val="000000"/>
          <w:u w:val="none"/>
        </w:rPr>
      </w:pPr>
    </w:p>
    <w:p w:rsidR="00201E17" w:rsidRPr="00025C70" w:rsidRDefault="00DF5043" w:rsidP="00DF5043">
      <w:pPr>
        <w:autoSpaceDE w:val="0"/>
        <w:autoSpaceDN w:val="0"/>
        <w:rPr>
          <w:color w:val="000000"/>
          <w:sz w:val="24"/>
          <w:szCs w:val="24"/>
        </w:rPr>
      </w:pPr>
      <w:r w:rsidRPr="00025C70">
        <w:rPr>
          <w:color w:val="000000"/>
          <w:sz w:val="24"/>
          <w:szCs w:val="24"/>
        </w:rPr>
        <w:t>Once the Amending Declaration has come into effect, it will have fulfilled its purpose (i</w:t>
      </w:r>
      <w:r w:rsidR="00A01A2B" w:rsidRPr="00025C70">
        <w:rPr>
          <w:color w:val="000000"/>
          <w:sz w:val="24"/>
          <w:szCs w:val="24"/>
        </w:rPr>
        <w:t>.</w:t>
      </w:r>
      <w:r w:rsidRPr="00025C70">
        <w:rPr>
          <w:color w:val="000000"/>
          <w:sz w:val="24"/>
          <w:szCs w:val="24"/>
        </w:rPr>
        <w:t xml:space="preserve">e. removed </w:t>
      </w:r>
      <w:r w:rsidR="0018487E" w:rsidRPr="00025C70">
        <w:rPr>
          <w:color w:val="000000"/>
          <w:sz w:val="24"/>
          <w:szCs w:val="24"/>
        </w:rPr>
        <w:t xml:space="preserve">and/or amended </w:t>
      </w:r>
      <w:r w:rsidRPr="00025C70">
        <w:rPr>
          <w:color w:val="000000"/>
          <w:sz w:val="24"/>
          <w:szCs w:val="24"/>
        </w:rPr>
        <w:t xml:space="preserve">various </w:t>
      </w:r>
      <w:r w:rsidR="00B6280E" w:rsidRPr="00025C70">
        <w:rPr>
          <w:color w:val="000000"/>
          <w:sz w:val="24"/>
          <w:szCs w:val="24"/>
        </w:rPr>
        <w:t>provisions</w:t>
      </w:r>
      <w:r w:rsidRPr="00025C70">
        <w:rPr>
          <w:color w:val="000000"/>
          <w:sz w:val="24"/>
          <w:szCs w:val="24"/>
        </w:rPr>
        <w:t xml:space="preserve"> </w:t>
      </w:r>
      <w:r w:rsidR="00B6280E" w:rsidRPr="00025C70">
        <w:rPr>
          <w:color w:val="000000"/>
          <w:sz w:val="24"/>
          <w:szCs w:val="24"/>
        </w:rPr>
        <w:t>of</w:t>
      </w:r>
      <w:r w:rsidR="009D2F2B" w:rsidRPr="00025C70">
        <w:rPr>
          <w:color w:val="000000"/>
          <w:sz w:val="24"/>
          <w:szCs w:val="24"/>
        </w:rPr>
        <w:t xml:space="preserve"> the</w:t>
      </w:r>
      <w:r w:rsidRPr="00025C70">
        <w:rPr>
          <w:color w:val="000000"/>
          <w:sz w:val="24"/>
          <w:szCs w:val="24"/>
        </w:rPr>
        <w:t xml:space="preserve"> Original Declaration)</w:t>
      </w:r>
      <w:r w:rsidR="00A01A2B" w:rsidRPr="00025C70">
        <w:rPr>
          <w:color w:val="000000"/>
          <w:sz w:val="24"/>
          <w:szCs w:val="24"/>
        </w:rPr>
        <w:t>.  T</w:t>
      </w:r>
      <w:r w:rsidRPr="00025C70">
        <w:rPr>
          <w:color w:val="000000"/>
          <w:sz w:val="24"/>
          <w:szCs w:val="24"/>
        </w:rPr>
        <w:t xml:space="preserve">herefore, the </w:t>
      </w:r>
      <w:r w:rsidR="00B6280E" w:rsidRPr="00025C70">
        <w:rPr>
          <w:color w:val="000000"/>
          <w:sz w:val="24"/>
          <w:szCs w:val="24"/>
        </w:rPr>
        <w:t>A</w:t>
      </w:r>
      <w:r w:rsidRPr="00025C70">
        <w:rPr>
          <w:color w:val="000000"/>
          <w:sz w:val="24"/>
          <w:szCs w:val="24"/>
        </w:rPr>
        <w:t xml:space="preserve">mending </w:t>
      </w:r>
      <w:r w:rsidR="00B6280E" w:rsidRPr="00025C70">
        <w:rPr>
          <w:color w:val="000000"/>
          <w:sz w:val="24"/>
          <w:szCs w:val="24"/>
        </w:rPr>
        <w:t>Declaration can</w:t>
      </w:r>
      <w:r w:rsidRPr="00025C70">
        <w:rPr>
          <w:color w:val="000000"/>
          <w:sz w:val="24"/>
          <w:szCs w:val="24"/>
        </w:rPr>
        <w:t xml:space="preserve"> </w:t>
      </w:r>
      <w:r w:rsidR="0018487E" w:rsidRPr="00025C70">
        <w:rPr>
          <w:color w:val="000000"/>
          <w:sz w:val="24"/>
          <w:szCs w:val="24"/>
        </w:rPr>
        <w:t xml:space="preserve">itself </w:t>
      </w:r>
      <w:r w:rsidR="00025C70">
        <w:rPr>
          <w:color w:val="000000"/>
          <w:sz w:val="24"/>
          <w:szCs w:val="24"/>
        </w:rPr>
        <w:t>be</w:t>
      </w:r>
      <w:r w:rsidRPr="00025C70">
        <w:rPr>
          <w:color w:val="000000"/>
          <w:sz w:val="24"/>
          <w:szCs w:val="24"/>
        </w:rPr>
        <w:t xml:space="preserve"> </w:t>
      </w:r>
      <w:r w:rsidR="00201E17" w:rsidRPr="00025C70">
        <w:rPr>
          <w:color w:val="000000"/>
          <w:sz w:val="24"/>
          <w:szCs w:val="24"/>
        </w:rPr>
        <w:t>repealed</w:t>
      </w:r>
      <w:r w:rsidRPr="00025C70">
        <w:rPr>
          <w:color w:val="000000"/>
          <w:sz w:val="24"/>
          <w:szCs w:val="24"/>
        </w:rPr>
        <w:t xml:space="preserve">. Accordingly, a </w:t>
      </w:r>
    </w:p>
    <w:p w:rsidR="00DF5043" w:rsidRPr="00025C70" w:rsidRDefault="00DF5043" w:rsidP="00DF5043">
      <w:pPr>
        <w:autoSpaceDE w:val="0"/>
        <w:autoSpaceDN w:val="0"/>
        <w:rPr>
          <w:color w:val="000000"/>
          <w:sz w:val="24"/>
          <w:szCs w:val="24"/>
        </w:rPr>
      </w:pPr>
      <w:proofErr w:type="gramStart"/>
      <w:r w:rsidRPr="00025C70">
        <w:rPr>
          <w:color w:val="000000"/>
          <w:sz w:val="24"/>
          <w:szCs w:val="24"/>
        </w:rPr>
        <w:t>self-</w:t>
      </w:r>
      <w:r w:rsidR="00201E17" w:rsidRPr="00025C70">
        <w:rPr>
          <w:color w:val="000000"/>
          <w:sz w:val="24"/>
          <w:szCs w:val="24"/>
        </w:rPr>
        <w:t>repealing</w:t>
      </w:r>
      <w:proofErr w:type="gramEnd"/>
      <w:r w:rsidRPr="00025C70">
        <w:rPr>
          <w:color w:val="000000"/>
          <w:sz w:val="24"/>
          <w:szCs w:val="24"/>
        </w:rPr>
        <w:t xml:space="preserve"> provision has been included in the </w:t>
      </w:r>
      <w:r w:rsidR="00663840" w:rsidRPr="00025C70">
        <w:rPr>
          <w:color w:val="000000"/>
          <w:sz w:val="24"/>
          <w:szCs w:val="24"/>
        </w:rPr>
        <w:t xml:space="preserve">Amending </w:t>
      </w:r>
      <w:r w:rsidRPr="00025C70">
        <w:rPr>
          <w:color w:val="000000"/>
          <w:sz w:val="24"/>
          <w:szCs w:val="24"/>
        </w:rPr>
        <w:t xml:space="preserve">Declaration at </w:t>
      </w:r>
      <w:r w:rsidR="00B6280E" w:rsidRPr="00025C70">
        <w:rPr>
          <w:color w:val="000000"/>
          <w:sz w:val="24"/>
          <w:szCs w:val="24"/>
        </w:rPr>
        <w:t>section</w:t>
      </w:r>
      <w:r w:rsidRPr="00025C70">
        <w:rPr>
          <w:color w:val="000000"/>
          <w:sz w:val="24"/>
          <w:szCs w:val="24"/>
        </w:rPr>
        <w:t xml:space="preserve"> 4. </w:t>
      </w:r>
    </w:p>
    <w:p w:rsidR="00B473ED" w:rsidRPr="00025C70" w:rsidRDefault="00B473ED" w:rsidP="00B473ED">
      <w:pPr>
        <w:pStyle w:val="Att-Sectionheading"/>
        <w:rPr>
          <w:u w:val="none"/>
        </w:rPr>
      </w:pPr>
    </w:p>
    <w:p w:rsidR="00B473ED" w:rsidRPr="00025C70" w:rsidRDefault="00B473ED" w:rsidP="00B473ED">
      <w:pPr>
        <w:pStyle w:val="Att-Sectionheading"/>
        <w:rPr>
          <w:b/>
          <w:u w:val="none"/>
        </w:rPr>
      </w:pPr>
      <w:r w:rsidRPr="00025C70">
        <w:rPr>
          <w:b/>
          <w:u w:val="none"/>
        </w:rPr>
        <w:t>Schedule to the Amending Declaration</w:t>
      </w:r>
    </w:p>
    <w:p w:rsidR="00B473ED" w:rsidRPr="00025C70" w:rsidRDefault="00B473ED" w:rsidP="00B473ED">
      <w:pPr>
        <w:pStyle w:val="Att-Sectionheading"/>
        <w:rPr>
          <w:u w:val="none"/>
        </w:rPr>
      </w:pPr>
    </w:p>
    <w:p w:rsidR="00961E8C" w:rsidRPr="00025C70" w:rsidRDefault="00961E8C" w:rsidP="00B473ED">
      <w:pPr>
        <w:pStyle w:val="Att-Sectionheading"/>
        <w:rPr>
          <w:b/>
          <w:i/>
          <w:u w:val="none"/>
        </w:rPr>
      </w:pPr>
      <w:r w:rsidRPr="00025C70">
        <w:rPr>
          <w:b/>
          <w:i/>
          <w:u w:val="none"/>
        </w:rPr>
        <w:t>Item 1</w:t>
      </w:r>
      <w:r w:rsidR="00CE5D55" w:rsidRPr="00025C70">
        <w:rPr>
          <w:b/>
          <w:i/>
          <w:u w:val="none"/>
        </w:rPr>
        <w:t xml:space="preserve">: </w:t>
      </w:r>
      <w:r w:rsidRPr="00025C70">
        <w:rPr>
          <w:b/>
          <w:i/>
          <w:u w:val="none"/>
        </w:rPr>
        <w:t xml:space="preserve">Clause </w:t>
      </w:r>
      <w:r w:rsidR="0005448D" w:rsidRPr="00025C70">
        <w:rPr>
          <w:b/>
          <w:i/>
          <w:u w:val="none"/>
        </w:rPr>
        <w:t>11 (Differential charging conditions)</w:t>
      </w:r>
    </w:p>
    <w:p w:rsidR="007E5D38" w:rsidRPr="00025C70" w:rsidRDefault="007E5D38" w:rsidP="00B473ED">
      <w:pPr>
        <w:pStyle w:val="Att-Sectionheading"/>
        <w:rPr>
          <w:u w:val="none"/>
        </w:rPr>
      </w:pPr>
    </w:p>
    <w:p w:rsidR="00382E0C" w:rsidRPr="00025C70" w:rsidRDefault="00B473ED" w:rsidP="00B473ED">
      <w:pPr>
        <w:pStyle w:val="Att-Sectionheading"/>
        <w:rPr>
          <w:u w:val="none"/>
        </w:rPr>
      </w:pPr>
      <w:r w:rsidRPr="00025C70">
        <w:rPr>
          <w:u w:val="none"/>
        </w:rPr>
        <w:t xml:space="preserve">Item 1 of the Schedule </w:t>
      </w:r>
      <w:r w:rsidR="00382E0C" w:rsidRPr="00025C70">
        <w:rPr>
          <w:u w:val="none"/>
        </w:rPr>
        <w:t>removes the requirement in clause 11 of the Original Declaration that Telstra differentiate between certain charges if it supplies a rental telephone handset with a standard telephone service.</w:t>
      </w:r>
    </w:p>
    <w:p w:rsidR="00382E0C" w:rsidRPr="00025C70" w:rsidRDefault="00382E0C" w:rsidP="00B473ED">
      <w:pPr>
        <w:pStyle w:val="Att-Sectionheading"/>
        <w:rPr>
          <w:u w:val="none"/>
        </w:rPr>
      </w:pPr>
    </w:p>
    <w:p w:rsidR="00B462CA" w:rsidRDefault="00382E0C" w:rsidP="00B473ED">
      <w:pPr>
        <w:pStyle w:val="Att-Sectionheading"/>
        <w:rPr>
          <w:u w:val="none"/>
        </w:rPr>
      </w:pPr>
      <w:r w:rsidRPr="00025C70">
        <w:rPr>
          <w:u w:val="none"/>
        </w:rPr>
        <w:t>The original intention of clause 11 was to provide transparency for customers who rent a handset from Telstra to promote competition in the supply of handsets.</w:t>
      </w:r>
      <w:r w:rsidR="003360A8">
        <w:rPr>
          <w:u w:val="none"/>
        </w:rPr>
        <w:t xml:space="preserve"> </w:t>
      </w:r>
      <w:r w:rsidR="00B462CA">
        <w:rPr>
          <w:u w:val="none"/>
        </w:rPr>
        <w:t>The requirement was instituted at a time when Telstra had a monopoly on the supply and m</w:t>
      </w:r>
      <w:r w:rsidR="003360A8">
        <w:rPr>
          <w:u w:val="none"/>
        </w:rPr>
        <w:t xml:space="preserve">aintenance of rental handsets. </w:t>
      </w:r>
      <w:r w:rsidR="00B462CA">
        <w:rPr>
          <w:u w:val="none"/>
        </w:rPr>
        <w:t>Since that time there has been increased competition in the market and a significant number of customers now choose to purchase, rather than rent, a handset.</w:t>
      </w:r>
      <w:r w:rsidRPr="00025C70">
        <w:rPr>
          <w:u w:val="none"/>
        </w:rPr>
        <w:t xml:space="preserve"> </w:t>
      </w:r>
    </w:p>
    <w:p w:rsidR="00B462CA" w:rsidRDefault="00B462CA" w:rsidP="00B473ED">
      <w:pPr>
        <w:pStyle w:val="Att-Sectionheading"/>
        <w:rPr>
          <w:u w:val="none"/>
        </w:rPr>
      </w:pPr>
    </w:p>
    <w:p w:rsidR="00B473ED" w:rsidRPr="0055238D" w:rsidRDefault="00B462CA" w:rsidP="00B473ED">
      <w:pPr>
        <w:pStyle w:val="Att-Sectionheading"/>
        <w:rPr>
          <w:u w:val="none"/>
        </w:rPr>
      </w:pPr>
      <w:r>
        <w:rPr>
          <w:u w:val="none"/>
        </w:rPr>
        <w:t>T</w:t>
      </w:r>
      <w:r w:rsidR="007A26F1" w:rsidRPr="00025C70">
        <w:rPr>
          <w:u w:val="none"/>
        </w:rPr>
        <w:t xml:space="preserve">he </w:t>
      </w:r>
      <w:r w:rsidR="007A26F1" w:rsidRPr="00025C70">
        <w:rPr>
          <w:i/>
          <w:u w:val="none"/>
        </w:rPr>
        <w:t>Telecommunications Consumer Protections Code</w:t>
      </w:r>
      <w:r w:rsidR="007A26F1" w:rsidRPr="0055238D">
        <w:rPr>
          <w:u w:val="none"/>
        </w:rPr>
        <w:t xml:space="preserve">, which is an </w:t>
      </w:r>
      <w:r w:rsidR="007A26F1" w:rsidRPr="00025C70">
        <w:rPr>
          <w:u w:val="none"/>
        </w:rPr>
        <w:t>industry code for the purposes of Part 6 of the Act</w:t>
      </w:r>
      <w:r>
        <w:rPr>
          <w:u w:val="none"/>
        </w:rPr>
        <w:t xml:space="preserve"> and applies equally to all </w:t>
      </w:r>
      <w:r w:rsidR="00E5311B" w:rsidRPr="00025C70">
        <w:rPr>
          <w:u w:val="none"/>
        </w:rPr>
        <w:t>carriage service providers (CSPs)</w:t>
      </w:r>
      <w:r>
        <w:rPr>
          <w:u w:val="none"/>
        </w:rPr>
        <w:t>, requires CSPs that</w:t>
      </w:r>
      <w:r w:rsidR="00E5311B" w:rsidRPr="00025C70">
        <w:rPr>
          <w:u w:val="none"/>
        </w:rPr>
        <w:t xml:space="preserve"> offer a good as a mandatory component of a bundle to differentiate between the charge for that good and the other components of the bundle. It is considered that this</w:t>
      </w:r>
      <w:r w:rsidR="00DB4BA6">
        <w:rPr>
          <w:u w:val="none"/>
        </w:rPr>
        <w:t xml:space="preserve"> Code requirement</w:t>
      </w:r>
      <w:r>
        <w:rPr>
          <w:u w:val="none"/>
        </w:rPr>
        <w:t xml:space="preserve"> </w:t>
      </w:r>
      <w:r w:rsidR="00B34118">
        <w:rPr>
          <w:u w:val="none"/>
        </w:rPr>
        <w:t xml:space="preserve">is a </w:t>
      </w:r>
      <w:r>
        <w:rPr>
          <w:u w:val="none"/>
        </w:rPr>
        <w:t>sufficient</w:t>
      </w:r>
      <w:r w:rsidR="00B34118">
        <w:rPr>
          <w:u w:val="none"/>
        </w:rPr>
        <w:t>ly adequate</w:t>
      </w:r>
      <w:r w:rsidR="00E5311B" w:rsidRPr="00025C70">
        <w:rPr>
          <w:u w:val="none"/>
        </w:rPr>
        <w:t xml:space="preserve"> means of regulatory intervention. </w:t>
      </w:r>
    </w:p>
    <w:p w:rsidR="00961E8C" w:rsidRPr="00025C70" w:rsidRDefault="00961E8C" w:rsidP="00B473ED">
      <w:pPr>
        <w:pStyle w:val="Att-Sectionheading"/>
        <w:rPr>
          <w:b/>
          <w:i/>
          <w:u w:val="none"/>
        </w:rPr>
      </w:pPr>
      <w:r w:rsidRPr="0055238D">
        <w:rPr>
          <w:b/>
          <w:i/>
          <w:u w:val="none"/>
        </w:rPr>
        <w:lastRenderedPageBreak/>
        <w:t>Item 2</w:t>
      </w:r>
      <w:r w:rsidR="00CE5D55" w:rsidRPr="00025C70">
        <w:rPr>
          <w:b/>
          <w:i/>
          <w:u w:val="none"/>
        </w:rPr>
        <w:t>: Subclause 19(3) (note) (Priority assistance arrangements)</w:t>
      </w:r>
    </w:p>
    <w:p w:rsidR="007E5D38" w:rsidRPr="00025C70" w:rsidRDefault="007E5D38" w:rsidP="00316B93">
      <w:pPr>
        <w:pStyle w:val="Att-Sectionheading"/>
        <w:rPr>
          <w:u w:val="none"/>
        </w:rPr>
      </w:pPr>
    </w:p>
    <w:p w:rsidR="00B473ED" w:rsidRPr="00025C70" w:rsidRDefault="00B473ED" w:rsidP="0011650E">
      <w:pPr>
        <w:pStyle w:val="Att-Sectionheading"/>
        <w:rPr>
          <w:u w:val="none"/>
        </w:rPr>
      </w:pPr>
      <w:r w:rsidRPr="00025C70">
        <w:rPr>
          <w:u w:val="none"/>
        </w:rPr>
        <w:t xml:space="preserve">Item 2 </w:t>
      </w:r>
      <w:r w:rsidR="00A22351" w:rsidRPr="00025C70">
        <w:rPr>
          <w:u w:val="none"/>
        </w:rPr>
        <w:t>of the Schedule</w:t>
      </w:r>
      <w:r w:rsidR="00B11950" w:rsidRPr="00025C70">
        <w:rPr>
          <w:u w:val="none"/>
        </w:rPr>
        <w:t xml:space="preserve"> updates the </w:t>
      </w:r>
      <w:r w:rsidR="00B34118">
        <w:rPr>
          <w:u w:val="none"/>
        </w:rPr>
        <w:t>reference to</w:t>
      </w:r>
      <w:r w:rsidR="00C169F4" w:rsidRPr="00025C70">
        <w:rPr>
          <w:u w:val="none"/>
        </w:rPr>
        <w:t xml:space="preserve"> Telstra’s Community, Essential and Emergency Services Policy </w:t>
      </w:r>
      <w:r w:rsidR="00F1487F" w:rsidRPr="00025C70">
        <w:rPr>
          <w:u w:val="none"/>
        </w:rPr>
        <w:t>in the note to subclause 19</w:t>
      </w:r>
      <w:r w:rsidR="0011650E" w:rsidRPr="00025C70">
        <w:rPr>
          <w:u w:val="none"/>
        </w:rPr>
        <w:t>(3) of the Original Declaration</w:t>
      </w:r>
      <w:r w:rsidR="00B34118">
        <w:rPr>
          <w:u w:val="none"/>
        </w:rPr>
        <w:t xml:space="preserve"> by removing the term ‘draft’</w:t>
      </w:r>
      <w:r w:rsidR="0011650E" w:rsidRPr="00025C70">
        <w:rPr>
          <w:u w:val="none"/>
        </w:rPr>
        <w:t xml:space="preserve">.  </w:t>
      </w:r>
    </w:p>
    <w:p w:rsidR="00B473ED" w:rsidRPr="00025C70" w:rsidRDefault="00B473ED" w:rsidP="00B473ED">
      <w:pPr>
        <w:pStyle w:val="Att-Sectionheading"/>
        <w:rPr>
          <w:u w:val="none"/>
        </w:rPr>
      </w:pPr>
    </w:p>
    <w:p w:rsidR="00961E8C" w:rsidRPr="00025C70" w:rsidRDefault="00961E8C" w:rsidP="00B473ED">
      <w:pPr>
        <w:pStyle w:val="Att-Sectionheading"/>
        <w:rPr>
          <w:b/>
          <w:i/>
          <w:u w:val="none"/>
        </w:rPr>
      </w:pPr>
      <w:r w:rsidRPr="00025C70">
        <w:rPr>
          <w:b/>
          <w:i/>
          <w:u w:val="none"/>
        </w:rPr>
        <w:t>Item 3</w:t>
      </w:r>
      <w:r w:rsidR="00CE5D55" w:rsidRPr="00025C70">
        <w:rPr>
          <w:b/>
          <w:i/>
          <w:u w:val="none"/>
        </w:rPr>
        <w:t>: Clause 22 (Low-income measures)</w:t>
      </w:r>
    </w:p>
    <w:p w:rsidR="007E5D38" w:rsidRPr="00025C70" w:rsidRDefault="007E5D38" w:rsidP="00490C7C">
      <w:pPr>
        <w:pStyle w:val="Att-Sectionheading"/>
        <w:rPr>
          <w:u w:val="none"/>
        </w:rPr>
      </w:pPr>
    </w:p>
    <w:p w:rsidR="00E82B5C" w:rsidRDefault="00B34118" w:rsidP="0093576C">
      <w:pPr>
        <w:pStyle w:val="Att-Sectionheading"/>
        <w:rPr>
          <w:u w:val="none"/>
        </w:rPr>
      </w:pPr>
      <w:r>
        <w:rPr>
          <w:u w:val="none"/>
        </w:rPr>
        <w:t xml:space="preserve">Clause 22 outlines the </w:t>
      </w:r>
      <w:r w:rsidRPr="00025C70">
        <w:rPr>
          <w:u w:val="none"/>
        </w:rPr>
        <w:t>requirements relating to LIMAC and Telstra’s low-income package.</w:t>
      </w:r>
      <w:r>
        <w:rPr>
          <w:u w:val="none"/>
        </w:rPr>
        <w:t xml:space="preserve"> </w:t>
      </w:r>
      <w:r w:rsidR="00B473ED" w:rsidRPr="00025C70">
        <w:rPr>
          <w:u w:val="none"/>
        </w:rPr>
        <w:t xml:space="preserve">Item </w:t>
      </w:r>
      <w:r w:rsidR="00674C6E" w:rsidRPr="00025C70">
        <w:rPr>
          <w:u w:val="none"/>
        </w:rPr>
        <w:t>3</w:t>
      </w:r>
      <w:r w:rsidR="00B473ED" w:rsidRPr="00025C70">
        <w:rPr>
          <w:u w:val="none"/>
        </w:rPr>
        <w:t xml:space="preserve"> </w:t>
      </w:r>
      <w:r w:rsidR="00A22351" w:rsidRPr="00025C70">
        <w:rPr>
          <w:u w:val="none"/>
        </w:rPr>
        <w:t>of the Schedule</w:t>
      </w:r>
      <w:r w:rsidR="005B5261" w:rsidRPr="00025C70">
        <w:rPr>
          <w:u w:val="none"/>
        </w:rPr>
        <w:t xml:space="preserve"> repeals each of the current subclauses of clause 22 of the Original Declaration and substitutes new subclauses</w:t>
      </w:r>
      <w:r>
        <w:rPr>
          <w:u w:val="none"/>
        </w:rPr>
        <w:t>.</w:t>
      </w:r>
      <w:r w:rsidR="000E53CE">
        <w:rPr>
          <w:u w:val="none"/>
        </w:rPr>
        <w:t xml:space="preserve">  The changes involve the removal of: spent provisions, the requirement for the Minister to approve LIMAC membership and </w:t>
      </w:r>
      <w:r w:rsidR="003360A8">
        <w:rPr>
          <w:u w:val="none"/>
        </w:rPr>
        <w:t xml:space="preserve">certain reporting obligations. </w:t>
      </w:r>
      <w:r w:rsidR="000E53CE">
        <w:rPr>
          <w:u w:val="none"/>
        </w:rPr>
        <w:t>The changes do not alter the obligation for Telstra to maintain a low-income package or advisory committee.</w:t>
      </w:r>
    </w:p>
    <w:p w:rsidR="00762173" w:rsidRPr="00025C70" w:rsidRDefault="000E53CE" w:rsidP="0093576C">
      <w:pPr>
        <w:pStyle w:val="Att-Sectionheading"/>
        <w:rPr>
          <w:u w:val="none"/>
        </w:rPr>
      </w:pPr>
      <w:r>
        <w:rPr>
          <w:u w:val="none"/>
        </w:rPr>
        <w:t xml:space="preserve"> </w:t>
      </w:r>
    </w:p>
    <w:p w:rsidR="00761500" w:rsidRPr="00025C70" w:rsidRDefault="00761500" w:rsidP="00762173">
      <w:pPr>
        <w:pStyle w:val="Att-Sectionheading"/>
        <w:rPr>
          <w:u w:val="none"/>
        </w:rPr>
      </w:pPr>
      <w:r w:rsidRPr="00025C70">
        <w:rPr>
          <w:u w:val="none"/>
        </w:rPr>
        <w:t xml:space="preserve">New subclause 22(1) </w:t>
      </w:r>
      <w:r w:rsidR="000E53CE">
        <w:rPr>
          <w:u w:val="none"/>
        </w:rPr>
        <w:t>continues to require</w:t>
      </w:r>
      <w:r w:rsidR="008A7A16">
        <w:rPr>
          <w:u w:val="none"/>
        </w:rPr>
        <w:t xml:space="preserve"> </w:t>
      </w:r>
      <w:r w:rsidRPr="00025C70">
        <w:rPr>
          <w:u w:val="none"/>
        </w:rPr>
        <w:t xml:space="preserve">Telstra </w:t>
      </w:r>
      <w:r w:rsidR="008A7A16">
        <w:rPr>
          <w:u w:val="none"/>
        </w:rPr>
        <w:t xml:space="preserve">to </w:t>
      </w:r>
      <w:r w:rsidRPr="00025C70">
        <w:rPr>
          <w:u w:val="none"/>
        </w:rPr>
        <w:t xml:space="preserve">offer products and arrangements to low-income consumers that have been endorsed by low-income consumer </w:t>
      </w:r>
      <w:r w:rsidR="00276440" w:rsidRPr="00025C70">
        <w:rPr>
          <w:u w:val="none"/>
        </w:rPr>
        <w:t>advocacy groups.</w:t>
      </w:r>
      <w:r w:rsidR="000E53CE">
        <w:rPr>
          <w:u w:val="none"/>
        </w:rPr>
        <w:t xml:space="preserve"> It </w:t>
      </w:r>
      <w:r w:rsidR="00A73334">
        <w:rPr>
          <w:u w:val="none"/>
        </w:rPr>
        <w:t>differs from</w:t>
      </w:r>
      <w:r w:rsidR="000E53CE">
        <w:rPr>
          <w:u w:val="none"/>
        </w:rPr>
        <w:t xml:space="preserve"> former subclause 22(1) by removing spent reference to Telstra having to offer such a package by a certain date and notify the ACMA of the same, given that </w:t>
      </w:r>
      <w:r w:rsidR="00A73334">
        <w:rPr>
          <w:u w:val="none"/>
        </w:rPr>
        <w:t xml:space="preserve">Telstra has had a low income package available to customers </w:t>
      </w:r>
      <w:r w:rsidR="00A73334" w:rsidRPr="00543A41">
        <w:rPr>
          <w:u w:val="none"/>
        </w:rPr>
        <w:t xml:space="preserve">since </w:t>
      </w:r>
      <w:r w:rsidR="00144407" w:rsidRPr="00543A41">
        <w:rPr>
          <w:u w:val="none"/>
        </w:rPr>
        <w:t>2002</w:t>
      </w:r>
      <w:r w:rsidR="00A73334" w:rsidRPr="00543A41">
        <w:rPr>
          <w:u w:val="none"/>
        </w:rPr>
        <w:t>.</w:t>
      </w:r>
      <w:r w:rsidR="00A73334">
        <w:rPr>
          <w:u w:val="none"/>
        </w:rPr>
        <w:t xml:space="preserve"> Former subclause 22(3), which is similarly spent, is also removed.</w:t>
      </w:r>
    </w:p>
    <w:p w:rsidR="00276440" w:rsidRPr="00025C70" w:rsidRDefault="00276440" w:rsidP="00762173">
      <w:pPr>
        <w:pStyle w:val="Att-Sectionheading"/>
        <w:rPr>
          <w:u w:val="none"/>
        </w:rPr>
      </w:pPr>
    </w:p>
    <w:p w:rsidR="00276440" w:rsidRPr="00025C70" w:rsidRDefault="00276440" w:rsidP="00276440">
      <w:pPr>
        <w:pStyle w:val="Att-Sectionheading"/>
        <w:rPr>
          <w:u w:val="none"/>
        </w:rPr>
      </w:pPr>
      <w:r w:rsidRPr="00025C70">
        <w:rPr>
          <w:u w:val="none"/>
        </w:rPr>
        <w:t>New subclause 22(2) is in the same terms as the former subclause 22(3)</w:t>
      </w:r>
      <w:r w:rsidR="008535C7">
        <w:rPr>
          <w:u w:val="none"/>
        </w:rPr>
        <w:t xml:space="preserve"> and continues to</w:t>
      </w:r>
      <w:r w:rsidRPr="00025C70">
        <w:rPr>
          <w:u w:val="none"/>
        </w:rPr>
        <w:t xml:space="preserve"> require Telstra to comply with the low-income package as in force or existing from time to time.</w:t>
      </w:r>
    </w:p>
    <w:p w:rsidR="00276440" w:rsidRPr="00025C70" w:rsidRDefault="00276440" w:rsidP="00276440">
      <w:pPr>
        <w:pStyle w:val="Att-Sectionheading"/>
        <w:rPr>
          <w:u w:val="none"/>
        </w:rPr>
      </w:pPr>
    </w:p>
    <w:p w:rsidR="0094272A" w:rsidRPr="00025C70" w:rsidRDefault="00233677" w:rsidP="00276440">
      <w:pPr>
        <w:pStyle w:val="Att-Sectionheading"/>
        <w:rPr>
          <w:u w:val="none"/>
        </w:rPr>
      </w:pPr>
      <w:r w:rsidRPr="00025C70">
        <w:rPr>
          <w:u w:val="none"/>
        </w:rPr>
        <w:t>New s</w:t>
      </w:r>
      <w:r w:rsidR="00276440" w:rsidRPr="00025C70">
        <w:rPr>
          <w:u w:val="none"/>
        </w:rPr>
        <w:t>ubclause 22(3) requires Telstra to maintain and adequately resource</w:t>
      </w:r>
      <w:r w:rsidR="00A47DC7" w:rsidRPr="00025C70">
        <w:rPr>
          <w:u w:val="none"/>
        </w:rPr>
        <w:t xml:space="preserve"> </w:t>
      </w:r>
      <w:r w:rsidR="00276440" w:rsidRPr="00025C70">
        <w:rPr>
          <w:u w:val="none"/>
        </w:rPr>
        <w:t>LIMAC, comprising representatives of low-income consumer advocacy groups that work on behalf of people on a low income.</w:t>
      </w:r>
      <w:r w:rsidR="0094272A" w:rsidRPr="00025C70">
        <w:rPr>
          <w:u w:val="none"/>
        </w:rPr>
        <w:t xml:space="preserve"> There is no longer a requirement that LIMAC membership be approved by the Minister, as was</w:t>
      </w:r>
      <w:r w:rsidRPr="00025C70">
        <w:rPr>
          <w:u w:val="none"/>
        </w:rPr>
        <w:t xml:space="preserve"> the case under former       </w:t>
      </w:r>
      <w:r w:rsidR="0094272A" w:rsidRPr="00025C70">
        <w:rPr>
          <w:u w:val="none"/>
        </w:rPr>
        <w:t xml:space="preserve"> subclause 22(4).</w:t>
      </w:r>
    </w:p>
    <w:p w:rsidR="0094272A" w:rsidRPr="00025C70" w:rsidRDefault="0094272A" w:rsidP="00276440">
      <w:pPr>
        <w:pStyle w:val="Att-Sectionheading"/>
        <w:rPr>
          <w:u w:val="none"/>
        </w:rPr>
      </w:pPr>
    </w:p>
    <w:p w:rsidR="00276440" w:rsidRPr="00025C70" w:rsidRDefault="00233677" w:rsidP="00276440">
      <w:pPr>
        <w:pStyle w:val="Att-Sectionheading"/>
        <w:rPr>
          <w:u w:val="none"/>
        </w:rPr>
      </w:pPr>
      <w:r w:rsidRPr="00025C70">
        <w:rPr>
          <w:u w:val="none"/>
        </w:rPr>
        <w:t>New s</w:t>
      </w:r>
      <w:r w:rsidR="0094272A" w:rsidRPr="00025C70">
        <w:rPr>
          <w:u w:val="none"/>
        </w:rPr>
        <w:t xml:space="preserve">ubclause 22(4) provides </w:t>
      </w:r>
      <w:r w:rsidR="008535C7">
        <w:rPr>
          <w:u w:val="none"/>
        </w:rPr>
        <w:t>that</w:t>
      </w:r>
      <w:r w:rsidR="0094272A" w:rsidRPr="00025C70">
        <w:rPr>
          <w:u w:val="none"/>
        </w:rPr>
        <w:t xml:space="preserve"> the role of LIMAC is to assess proposed changes to the low-income packa</w:t>
      </w:r>
      <w:r w:rsidR="0006324E">
        <w:rPr>
          <w:u w:val="none"/>
        </w:rPr>
        <w:t>ge or to the marketing plan for</w:t>
      </w:r>
      <w:r w:rsidR="0094272A" w:rsidRPr="00025C70">
        <w:rPr>
          <w:u w:val="none"/>
        </w:rPr>
        <w:t xml:space="preserve"> the low-income package.  LIMAC is no longer required to report annually to the Minister on the effectiveness of the low-income package and </w:t>
      </w:r>
      <w:r w:rsidR="00A47DC7" w:rsidRPr="00025C70">
        <w:rPr>
          <w:u w:val="none"/>
        </w:rPr>
        <w:t>of its marketing by Telstra</w:t>
      </w:r>
      <w:r w:rsidRPr="00025C70">
        <w:rPr>
          <w:u w:val="none"/>
        </w:rPr>
        <w:t xml:space="preserve">, as was the case under </w:t>
      </w:r>
      <w:r w:rsidR="0094272A" w:rsidRPr="00025C70">
        <w:rPr>
          <w:u w:val="none"/>
        </w:rPr>
        <w:t>former paragraph 22(5</w:t>
      </w:r>
      <w:proofErr w:type="gramStart"/>
      <w:r w:rsidR="0094272A" w:rsidRPr="00025C70">
        <w:rPr>
          <w:u w:val="none"/>
        </w:rPr>
        <w:t>)(</w:t>
      </w:r>
      <w:proofErr w:type="gramEnd"/>
      <w:r w:rsidR="0094272A" w:rsidRPr="00025C70">
        <w:rPr>
          <w:u w:val="none"/>
        </w:rPr>
        <w:t>b).</w:t>
      </w:r>
    </w:p>
    <w:p w:rsidR="0094272A" w:rsidRPr="00025C70" w:rsidRDefault="0094272A" w:rsidP="00276440">
      <w:pPr>
        <w:pStyle w:val="Att-Sectionheading"/>
        <w:rPr>
          <w:u w:val="none"/>
        </w:rPr>
      </w:pPr>
    </w:p>
    <w:p w:rsidR="00A47DC7" w:rsidRPr="00025C70" w:rsidRDefault="00233677" w:rsidP="00276440">
      <w:pPr>
        <w:pStyle w:val="Att-Sectionheading"/>
        <w:rPr>
          <w:u w:val="none"/>
        </w:rPr>
      </w:pPr>
      <w:r w:rsidRPr="00025C70">
        <w:rPr>
          <w:u w:val="none"/>
        </w:rPr>
        <w:t>New s</w:t>
      </w:r>
      <w:r w:rsidR="00A47DC7" w:rsidRPr="00025C70">
        <w:rPr>
          <w:u w:val="none"/>
        </w:rPr>
        <w:t>ubclause 22(5), whi</w:t>
      </w:r>
      <w:r w:rsidRPr="00025C70">
        <w:rPr>
          <w:u w:val="none"/>
        </w:rPr>
        <w:t xml:space="preserve">ch is to the same effect as </w:t>
      </w:r>
      <w:r w:rsidR="00A47DC7" w:rsidRPr="00025C70">
        <w:rPr>
          <w:u w:val="none"/>
        </w:rPr>
        <w:t xml:space="preserve">former subclause 22(6), requires Telstra to have in place a LIMAC-approved marketing plan for making low-income consumers aware of the low-income package. </w:t>
      </w:r>
      <w:r w:rsidRPr="00025C70">
        <w:rPr>
          <w:u w:val="none"/>
        </w:rPr>
        <w:t>New s</w:t>
      </w:r>
      <w:r w:rsidR="00A47DC7" w:rsidRPr="00025C70">
        <w:rPr>
          <w:u w:val="none"/>
        </w:rPr>
        <w:t>ubclause 22(6), which requires Telstra to seek and consider the views of LIMAC before its makes any significant change to the low-income package, is in the same terms as</w:t>
      </w:r>
      <w:r w:rsidRPr="00025C70">
        <w:rPr>
          <w:u w:val="none"/>
        </w:rPr>
        <w:t xml:space="preserve"> </w:t>
      </w:r>
      <w:r w:rsidR="00A47DC7" w:rsidRPr="00025C70">
        <w:rPr>
          <w:u w:val="none"/>
        </w:rPr>
        <w:t>former subclause 22(7).</w:t>
      </w:r>
    </w:p>
    <w:p w:rsidR="00A47DC7" w:rsidRPr="00025C70" w:rsidRDefault="00A47DC7" w:rsidP="00276440">
      <w:pPr>
        <w:pStyle w:val="Att-Sectionheading"/>
        <w:rPr>
          <w:u w:val="none"/>
        </w:rPr>
      </w:pPr>
    </w:p>
    <w:p w:rsidR="00A47DC7" w:rsidRPr="00025C70" w:rsidRDefault="00DB4BA6" w:rsidP="00276440">
      <w:pPr>
        <w:pStyle w:val="Att-Sectionheading"/>
        <w:rPr>
          <w:u w:val="none"/>
        </w:rPr>
      </w:pPr>
      <w:r>
        <w:rPr>
          <w:u w:val="none"/>
        </w:rPr>
        <w:t>The requirement in f</w:t>
      </w:r>
      <w:r w:rsidR="00233677" w:rsidRPr="00025C70">
        <w:rPr>
          <w:u w:val="none"/>
        </w:rPr>
        <w:t>ormer s</w:t>
      </w:r>
      <w:r w:rsidR="00A47DC7" w:rsidRPr="00025C70">
        <w:rPr>
          <w:u w:val="none"/>
        </w:rPr>
        <w:t>ubclause 22</w:t>
      </w:r>
      <w:r w:rsidR="00233677" w:rsidRPr="00025C70">
        <w:rPr>
          <w:u w:val="none"/>
        </w:rPr>
        <w:t>(8)</w:t>
      </w:r>
      <w:r>
        <w:rPr>
          <w:u w:val="none"/>
        </w:rPr>
        <w:t>,</w:t>
      </w:r>
      <w:r w:rsidR="00233677" w:rsidRPr="00025C70">
        <w:rPr>
          <w:u w:val="none"/>
        </w:rPr>
        <w:t xml:space="preserve"> </w:t>
      </w:r>
      <w:r>
        <w:rPr>
          <w:u w:val="none"/>
        </w:rPr>
        <w:t>that</w:t>
      </w:r>
      <w:r w:rsidR="00233677" w:rsidRPr="00025C70">
        <w:rPr>
          <w:u w:val="none"/>
        </w:rPr>
        <w:t xml:space="preserve"> Telstra provide the ACMA with a revised version of the low-income package if significant changes are made</w:t>
      </w:r>
      <w:r>
        <w:rPr>
          <w:u w:val="none"/>
        </w:rPr>
        <w:t>,</w:t>
      </w:r>
      <w:r w:rsidR="00233677" w:rsidRPr="00025C70">
        <w:rPr>
          <w:u w:val="none"/>
        </w:rPr>
        <w:t xml:space="preserve"> is removed.</w:t>
      </w:r>
      <w:r>
        <w:rPr>
          <w:u w:val="none"/>
        </w:rPr>
        <w:t xml:space="preserve"> This</w:t>
      </w:r>
      <w:r w:rsidR="0023434F">
        <w:rPr>
          <w:u w:val="none"/>
        </w:rPr>
        <w:t xml:space="preserve"> requirement is considered no longer necessary given the package is publically available.</w:t>
      </w:r>
      <w:r>
        <w:rPr>
          <w:u w:val="none"/>
        </w:rPr>
        <w:t xml:space="preserve"> </w:t>
      </w:r>
    </w:p>
    <w:p w:rsidR="00276440" w:rsidRPr="00025C70" w:rsidRDefault="00276440" w:rsidP="00276440">
      <w:pPr>
        <w:pStyle w:val="Att-Sectionheading"/>
        <w:rPr>
          <w:u w:val="none"/>
        </w:rPr>
      </w:pPr>
    </w:p>
    <w:p w:rsidR="003A6B80" w:rsidRDefault="003A6B80" w:rsidP="00316B93">
      <w:pPr>
        <w:pStyle w:val="BodyText2"/>
        <w:ind w:right="-432"/>
        <w:rPr>
          <w:b/>
          <w:i/>
          <w:szCs w:val="24"/>
        </w:rPr>
      </w:pPr>
    </w:p>
    <w:p w:rsidR="003717EE" w:rsidRPr="00025C70" w:rsidRDefault="003717EE" w:rsidP="00316B93">
      <w:pPr>
        <w:pStyle w:val="BodyText2"/>
        <w:ind w:right="-432"/>
        <w:rPr>
          <w:b/>
          <w:i/>
          <w:szCs w:val="24"/>
        </w:rPr>
      </w:pPr>
      <w:r w:rsidRPr="0055238D">
        <w:rPr>
          <w:b/>
          <w:i/>
          <w:szCs w:val="24"/>
        </w:rPr>
        <w:lastRenderedPageBreak/>
        <w:t>Item 4</w:t>
      </w:r>
      <w:r w:rsidR="00CE5D55" w:rsidRPr="00025C70">
        <w:rPr>
          <w:b/>
          <w:i/>
          <w:szCs w:val="24"/>
        </w:rPr>
        <w:t>: After item (1A) of Schedule 4 (Definitions)</w:t>
      </w:r>
    </w:p>
    <w:p w:rsidR="007E5D38" w:rsidRPr="00025C70" w:rsidRDefault="007E5D38" w:rsidP="00490C7C">
      <w:pPr>
        <w:pStyle w:val="Att-Sectionheading"/>
        <w:rPr>
          <w:u w:val="none"/>
        </w:rPr>
      </w:pPr>
    </w:p>
    <w:p w:rsidR="0036423D" w:rsidRPr="00025C70" w:rsidRDefault="00316B93" w:rsidP="00490C7C">
      <w:pPr>
        <w:pStyle w:val="Att-Sectionheading"/>
        <w:rPr>
          <w:u w:val="none"/>
        </w:rPr>
      </w:pPr>
      <w:r w:rsidRPr="00025C70">
        <w:rPr>
          <w:u w:val="none"/>
        </w:rPr>
        <w:t xml:space="preserve">Item </w:t>
      </w:r>
      <w:r w:rsidR="00674C6E" w:rsidRPr="00025C70">
        <w:rPr>
          <w:u w:val="none"/>
        </w:rPr>
        <w:t>4</w:t>
      </w:r>
      <w:r w:rsidRPr="00025C70">
        <w:rPr>
          <w:u w:val="none"/>
        </w:rPr>
        <w:t xml:space="preserve"> </w:t>
      </w:r>
      <w:r w:rsidR="00A22351" w:rsidRPr="00025C70">
        <w:rPr>
          <w:u w:val="none"/>
        </w:rPr>
        <w:t>of the Schedule</w:t>
      </w:r>
      <w:r w:rsidR="002D5306" w:rsidRPr="00025C70">
        <w:rPr>
          <w:u w:val="none"/>
        </w:rPr>
        <w:t xml:space="preserve"> </w:t>
      </w:r>
      <w:r w:rsidR="004D33F3">
        <w:rPr>
          <w:u w:val="none"/>
        </w:rPr>
        <w:t>inserts</w:t>
      </w:r>
      <w:r w:rsidR="002D5306" w:rsidRPr="00025C70">
        <w:rPr>
          <w:u w:val="none"/>
        </w:rPr>
        <w:t xml:space="preserve"> new definitions </w:t>
      </w:r>
      <w:r w:rsidR="0023434F">
        <w:rPr>
          <w:u w:val="none"/>
        </w:rPr>
        <w:t>in</w:t>
      </w:r>
      <w:r w:rsidR="002D5306" w:rsidRPr="00025C70">
        <w:rPr>
          <w:u w:val="none"/>
        </w:rPr>
        <w:t xml:space="preserve"> </w:t>
      </w:r>
      <w:r w:rsidR="00333269" w:rsidRPr="00025C70">
        <w:rPr>
          <w:u w:val="none"/>
        </w:rPr>
        <w:t xml:space="preserve">Schedule 4 to </w:t>
      </w:r>
      <w:r w:rsidR="002D5306" w:rsidRPr="00025C70">
        <w:rPr>
          <w:u w:val="none"/>
        </w:rPr>
        <w:t>the Origin</w:t>
      </w:r>
      <w:r w:rsidR="0036423D" w:rsidRPr="00025C70">
        <w:rPr>
          <w:u w:val="none"/>
        </w:rPr>
        <w:t>al Declaration</w:t>
      </w:r>
      <w:r w:rsidR="004D33F3">
        <w:rPr>
          <w:u w:val="none"/>
        </w:rPr>
        <w:t xml:space="preserve"> at</w:t>
      </w:r>
      <w:r w:rsidR="0036423D" w:rsidRPr="00025C70">
        <w:rPr>
          <w:u w:val="none"/>
        </w:rPr>
        <w:t xml:space="preserve"> new item (1B)</w:t>
      </w:r>
      <w:r w:rsidR="003360A8">
        <w:rPr>
          <w:u w:val="none"/>
        </w:rPr>
        <w:t>,</w:t>
      </w:r>
      <w:r w:rsidR="004D33F3">
        <w:rPr>
          <w:u w:val="none"/>
        </w:rPr>
        <w:t xml:space="preserve"> which </w:t>
      </w:r>
      <w:r w:rsidR="004D33F3" w:rsidRPr="00025C70">
        <w:rPr>
          <w:u w:val="none"/>
        </w:rPr>
        <w:t xml:space="preserve">are relevant to the amendments to </w:t>
      </w:r>
      <w:r w:rsidR="004D33F3">
        <w:rPr>
          <w:u w:val="none"/>
        </w:rPr>
        <w:t>Schedule 4</w:t>
      </w:r>
      <w:r w:rsidR="004D33F3" w:rsidRPr="00025C70">
        <w:rPr>
          <w:u w:val="none"/>
        </w:rPr>
        <w:t xml:space="preserve"> made by </w:t>
      </w:r>
      <w:r w:rsidR="004D33F3">
        <w:rPr>
          <w:u w:val="none"/>
        </w:rPr>
        <w:t>items 5, 6 and 8 of this Schedule.</w:t>
      </w:r>
      <w:r w:rsidR="0036423D" w:rsidRPr="00025C70">
        <w:rPr>
          <w:u w:val="none"/>
        </w:rPr>
        <w:t xml:space="preserve"> </w:t>
      </w:r>
    </w:p>
    <w:p w:rsidR="0036423D" w:rsidRPr="00025C70" w:rsidRDefault="0036423D" w:rsidP="00490C7C">
      <w:pPr>
        <w:pStyle w:val="Att-Sectionheading"/>
        <w:rPr>
          <w:u w:val="none"/>
        </w:rPr>
      </w:pPr>
    </w:p>
    <w:p w:rsidR="008D3CD1" w:rsidRPr="00025C70" w:rsidRDefault="0036423D" w:rsidP="004D33F3">
      <w:pPr>
        <w:pStyle w:val="Att-Sectionheading"/>
        <w:rPr>
          <w:u w:val="none"/>
        </w:rPr>
      </w:pPr>
      <w:r w:rsidRPr="00025C70">
        <w:rPr>
          <w:u w:val="none"/>
        </w:rPr>
        <w:t xml:space="preserve">Paragraph 1B(a) provides that the rules set out in section 577Q of the Act apply for determining whether Telstra is in a position to exercise control of a local access network. </w:t>
      </w:r>
      <w:r w:rsidR="004D33F3">
        <w:rPr>
          <w:u w:val="none"/>
        </w:rPr>
        <w:t>This is not a new definition. I</w:t>
      </w:r>
      <w:r w:rsidR="006E6E99">
        <w:rPr>
          <w:u w:val="none"/>
        </w:rPr>
        <w:t>t was originally set out in</w:t>
      </w:r>
      <w:r w:rsidR="004D33F3">
        <w:rPr>
          <w:u w:val="none"/>
        </w:rPr>
        <w:t xml:space="preserve"> paragraph 9(c) of Schedule 4 but</w:t>
      </w:r>
      <w:r w:rsidR="00DA4FD9">
        <w:rPr>
          <w:u w:val="none"/>
        </w:rPr>
        <w:t xml:space="preserve"> </w:t>
      </w:r>
      <w:r w:rsidR="006E6E99">
        <w:rPr>
          <w:u w:val="none"/>
        </w:rPr>
        <w:t xml:space="preserve">has been moved </w:t>
      </w:r>
      <w:r w:rsidR="004D33F3">
        <w:rPr>
          <w:u w:val="none"/>
        </w:rPr>
        <w:t xml:space="preserve">given </w:t>
      </w:r>
      <w:r w:rsidR="00351B2A">
        <w:rPr>
          <w:u w:val="none"/>
        </w:rPr>
        <w:t>that, following th</w:t>
      </w:r>
      <w:r w:rsidR="00543A41">
        <w:rPr>
          <w:u w:val="none"/>
        </w:rPr>
        <w:t>e commencement of th</w:t>
      </w:r>
      <w:r w:rsidR="00351B2A">
        <w:rPr>
          <w:u w:val="none"/>
        </w:rPr>
        <w:t>is</w:t>
      </w:r>
      <w:r w:rsidR="00DA4FD9">
        <w:rPr>
          <w:u w:val="none"/>
        </w:rPr>
        <w:t xml:space="preserve"> Amending Declaration, </w:t>
      </w:r>
      <w:r w:rsidR="004D33F3">
        <w:rPr>
          <w:u w:val="none"/>
        </w:rPr>
        <w:t xml:space="preserve">the </w:t>
      </w:r>
      <w:r w:rsidR="006E6E99">
        <w:rPr>
          <w:u w:val="none"/>
        </w:rPr>
        <w:t xml:space="preserve">application </w:t>
      </w:r>
      <w:r w:rsidR="00351B2A">
        <w:rPr>
          <w:u w:val="none"/>
        </w:rPr>
        <w:t xml:space="preserve">of the definition will extend beyond </w:t>
      </w:r>
      <w:r w:rsidR="0023434F">
        <w:rPr>
          <w:u w:val="none"/>
        </w:rPr>
        <w:t>item 9 of Schedule 4</w:t>
      </w:r>
      <w:r w:rsidR="00351B2A">
        <w:rPr>
          <w:u w:val="none"/>
        </w:rPr>
        <w:t>.</w:t>
      </w:r>
    </w:p>
    <w:p w:rsidR="0036423D" w:rsidRPr="0055238D" w:rsidRDefault="0036423D" w:rsidP="00490C7C">
      <w:pPr>
        <w:pStyle w:val="Att-Sectionheading"/>
        <w:rPr>
          <w:u w:val="none"/>
        </w:rPr>
      </w:pPr>
    </w:p>
    <w:p w:rsidR="0036423D" w:rsidRPr="00025C70" w:rsidRDefault="0036423D" w:rsidP="00490C7C">
      <w:pPr>
        <w:pStyle w:val="Att-Sectionheading"/>
        <w:rPr>
          <w:u w:val="none"/>
        </w:rPr>
      </w:pPr>
      <w:r w:rsidRPr="00025C70">
        <w:rPr>
          <w:u w:val="none"/>
        </w:rPr>
        <w:t xml:space="preserve">Paragraph </w:t>
      </w:r>
      <w:proofErr w:type="gramStart"/>
      <w:r w:rsidRPr="00025C70">
        <w:rPr>
          <w:u w:val="none"/>
        </w:rPr>
        <w:t>1B(</w:t>
      </w:r>
      <w:proofErr w:type="gramEnd"/>
      <w:r w:rsidRPr="00025C70">
        <w:rPr>
          <w:u w:val="none"/>
        </w:rPr>
        <w:t>b) provides that ‘local access network’ has the meaning generally accepted within the telecommunications industry. A local access network would include drop cables and distribution lines, and would be largely analogous to the current customer access network. It is not intended that backhaul</w:t>
      </w:r>
      <w:r w:rsidR="0055238D" w:rsidRPr="00025C70">
        <w:rPr>
          <w:u w:val="none"/>
        </w:rPr>
        <w:t xml:space="preserve"> or transmission lines would </w:t>
      </w:r>
      <w:r w:rsidR="0006324E">
        <w:rPr>
          <w:u w:val="none"/>
        </w:rPr>
        <w:t xml:space="preserve">be </w:t>
      </w:r>
      <w:r w:rsidR="007636B7">
        <w:rPr>
          <w:u w:val="none"/>
        </w:rPr>
        <w:t xml:space="preserve">considered part of </w:t>
      </w:r>
      <w:r w:rsidR="0006324E">
        <w:rPr>
          <w:u w:val="none"/>
        </w:rPr>
        <w:t>a ‘local access network’.</w:t>
      </w:r>
    </w:p>
    <w:p w:rsidR="003C20A4" w:rsidRPr="00025C70" w:rsidRDefault="003C20A4" w:rsidP="00490C7C">
      <w:pPr>
        <w:pStyle w:val="Att-Sectionheading"/>
        <w:rPr>
          <w:u w:val="none"/>
        </w:rPr>
      </w:pPr>
    </w:p>
    <w:p w:rsidR="00316B93" w:rsidRPr="00025C70" w:rsidRDefault="003717EE" w:rsidP="00316B93">
      <w:pPr>
        <w:pStyle w:val="BodyText2"/>
        <w:ind w:right="-432"/>
        <w:rPr>
          <w:b/>
          <w:i/>
          <w:szCs w:val="24"/>
        </w:rPr>
      </w:pPr>
      <w:r w:rsidRPr="00025C70">
        <w:rPr>
          <w:b/>
          <w:i/>
          <w:szCs w:val="24"/>
        </w:rPr>
        <w:t>Item 5</w:t>
      </w:r>
      <w:r w:rsidR="001D11D3" w:rsidRPr="00025C70">
        <w:rPr>
          <w:b/>
          <w:i/>
          <w:szCs w:val="24"/>
        </w:rPr>
        <w:t>: The words immediately before item (6) of Schedule 4 (Priority assistance – Connections)</w:t>
      </w:r>
    </w:p>
    <w:p w:rsidR="007E5D38" w:rsidRPr="00025C70" w:rsidRDefault="007E5D38" w:rsidP="00490C7C">
      <w:pPr>
        <w:pStyle w:val="Att-Sectionheading"/>
        <w:rPr>
          <w:u w:val="none"/>
        </w:rPr>
      </w:pPr>
    </w:p>
    <w:p w:rsidR="00316B93" w:rsidRPr="00025C70" w:rsidRDefault="00F64AF1" w:rsidP="0055238D">
      <w:pPr>
        <w:pStyle w:val="Att-Sectionheading"/>
        <w:rPr>
          <w:u w:val="none"/>
        </w:rPr>
      </w:pPr>
      <w:r>
        <w:rPr>
          <w:u w:val="none"/>
        </w:rPr>
        <w:t>I</w:t>
      </w:r>
      <w:r w:rsidR="00025B23" w:rsidRPr="00025C70">
        <w:rPr>
          <w:u w:val="none"/>
        </w:rPr>
        <w:t>tems</w:t>
      </w:r>
      <w:r w:rsidR="0007523E" w:rsidRPr="00025C70">
        <w:rPr>
          <w:u w:val="none"/>
        </w:rPr>
        <w:t xml:space="preserve"> 6 to 8 </w:t>
      </w:r>
      <w:r w:rsidR="00B22214" w:rsidRPr="00025C70">
        <w:rPr>
          <w:u w:val="none"/>
        </w:rPr>
        <w:t>of Schedule 4 to</w:t>
      </w:r>
      <w:r w:rsidR="0007523E" w:rsidRPr="00025C70">
        <w:rPr>
          <w:u w:val="none"/>
        </w:rPr>
        <w:t xml:space="preserve"> the Original Declaration</w:t>
      </w:r>
      <w:r>
        <w:rPr>
          <w:u w:val="none"/>
        </w:rPr>
        <w:t xml:space="preserve"> specify certain</w:t>
      </w:r>
      <w:r w:rsidR="00025B23" w:rsidRPr="00025C70">
        <w:rPr>
          <w:u w:val="none"/>
        </w:rPr>
        <w:t xml:space="preserve"> objectives </w:t>
      </w:r>
      <w:r w:rsidR="0023434F">
        <w:rPr>
          <w:u w:val="none"/>
        </w:rPr>
        <w:t>Telstra’s</w:t>
      </w:r>
      <w:r>
        <w:rPr>
          <w:u w:val="none"/>
        </w:rPr>
        <w:t xml:space="preserve"> priority assistance</w:t>
      </w:r>
      <w:r w:rsidR="00D5798A">
        <w:rPr>
          <w:u w:val="none"/>
        </w:rPr>
        <w:t xml:space="preserve"> policy must satisfy in relation</w:t>
      </w:r>
      <w:r w:rsidR="0007523E" w:rsidRPr="00025C70">
        <w:rPr>
          <w:u w:val="none"/>
        </w:rPr>
        <w:t xml:space="preserve"> to</w:t>
      </w:r>
      <w:r w:rsidR="00B1170B" w:rsidRPr="00025C70">
        <w:rPr>
          <w:u w:val="none"/>
        </w:rPr>
        <w:t xml:space="preserve"> connect</w:t>
      </w:r>
      <w:r w:rsidR="0007523E" w:rsidRPr="00025C70">
        <w:rPr>
          <w:u w:val="none"/>
        </w:rPr>
        <w:t>ing a standard telephone service</w:t>
      </w:r>
      <w:r w:rsidR="00B1170B" w:rsidRPr="00025C70">
        <w:rPr>
          <w:u w:val="none"/>
        </w:rPr>
        <w:t xml:space="preserve"> at a re</w:t>
      </w:r>
      <w:r w:rsidR="0007523E" w:rsidRPr="00025C70">
        <w:rPr>
          <w:u w:val="none"/>
        </w:rPr>
        <w:t xml:space="preserve">sidence of a priority customer. The amendment made by item 5 of the Schedule </w:t>
      </w:r>
      <w:r w:rsidR="00D5798A">
        <w:rPr>
          <w:u w:val="none"/>
        </w:rPr>
        <w:t>clarifies</w:t>
      </w:r>
      <w:r w:rsidR="0007523E" w:rsidRPr="00025C70">
        <w:rPr>
          <w:u w:val="none"/>
        </w:rPr>
        <w:t xml:space="preserve"> that these priority assistance policy </w:t>
      </w:r>
      <w:r w:rsidR="00025B23" w:rsidRPr="00025C70">
        <w:rPr>
          <w:u w:val="none"/>
        </w:rPr>
        <w:t>objectives</w:t>
      </w:r>
      <w:r w:rsidR="0007523E" w:rsidRPr="00025C70">
        <w:rPr>
          <w:u w:val="none"/>
        </w:rPr>
        <w:t xml:space="preserve"> </w:t>
      </w:r>
      <w:r w:rsidR="00D5798A">
        <w:rPr>
          <w:u w:val="none"/>
        </w:rPr>
        <w:t xml:space="preserve">only </w:t>
      </w:r>
      <w:r w:rsidR="0007523E" w:rsidRPr="00025C70">
        <w:rPr>
          <w:u w:val="none"/>
        </w:rPr>
        <w:t xml:space="preserve">apply where a service is supplied using a local access network over which Telstra is in a position to exercise control. </w:t>
      </w:r>
    </w:p>
    <w:p w:rsidR="00316B93" w:rsidRPr="0055238D" w:rsidRDefault="00316B93" w:rsidP="00316B93">
      <w:pPr>
        <w:pStyle w:val="BodyText2"/>
        <w:ind w:right="-432"/>
        <w:rPr>
          <w:szCs w:val="24"/>
        </w:rPr>
      </w:pPr>
    </w:p>
    <w:p w:rsidR="003717EE" w:rsidRPr="00025C70" w:rsidRDefault="003717EE" w:rsidP="00316B93">
      <w:pPr>
        <w:pStyle w:val="BodyText2"/>
        <w:ind w:right="-432"/>
        <w:rPr>
          <w:b/>
          <w:i/>
          <w:szCs w:val="24"/>
        </w:rPr>
      </w:pPr>
      <w:r w:rsidRPr="00025C70">
        <w:rPr>
          <w:b/>
          <w:i/>
          <w:szCs w:val="24"/>
        </w:rPr>
        <w:t>Item 6</w:t>
      </w:r>
      <w:r w:rsidR="001D11D3" w:rsidRPr="00025C70">
        <w:rPr>
          <w:b/>
          <w:i/>
          <w:szCs w:val="24"/>
        </w:rPr>
        <w:t>: Paragraph (9</w:t>
      </w:r>
      <w:proofErr w:type="gramStart"/>
      <w:r w:rsidR="001D11D3" w:rsidRPr="00025C70">
        <w:rPr>
          <w:b/>
          <w:i/>
          <w:szCs w:val="24"/>
        </w:rPr>
        <w:t>)(</w:t>
      </w:r>
      <w:proofErr w:type="gramEnd"/>
      <w:r w:rsidR="001D11D3" w:rsidRPr="00025C70">
        <w:rPr>
          <w:b/>
          <w:i/>
          <w:szCs w:val="24"/>
        </w:rPr>
        <w:t>a) of Schedule 4 (Priority assistance – Service reliability)</w:t>
      </w:r>
    </w:p>
    <w:p w:rsidR="00C327AF" w:rsidRPr="00025C70" w:rsidRDefault="00C327AF" w:rsidP="00C327AF">
      <w:pPr>
        <w:pStyle w:val="subsection"/>
        <w:spacing w:before="0"/>
        <w:ind w:left="0" w:firstLine="0"/>
        <w:rPr>
          <w:b/>
          <w:i/>
          <w:sz w:val="24"/>
          <w:szCs w:val="24"/>
        </w:rPr>
      </w:pPr>
      <w:r w:rsidRPr="00025C70">
        <w:rPr>
          <w:b/>
          <w:i/>
          <w:sz w:val="24"/>
          <w:szCs w:val="24"/>
        </w:rPr>
        <w:t>Item 7: Paragraph (9</w:t>
      </w:r>
      <w:proofErr w:type="gramStart"/>
      <w:r w:rsidRPr="00025C70">
        <w:rPr>
          <w:b/>
          <w:i/>
          <w:sz w:val="24"/>
          <w:szCs w:val="24"/>
        </w:rPr>
        <w:t>)(</w:t>
      </w:r>
      <w:proofErr w:type="gramEnd"/>
      <w:r w:rsidRPr="00025C70">
        <w:rPr>
          <w:b/>
          <w:i/>
          <w:sz w:val="24"/>
          <w:szCs w:val="24"/>
        </w:rPr>
        <w:t>c) of Schedule 4 (Priority assistance – Service reliability)</w:t>
      </w:r>
    </w:p>
    <w:p w:rsidR="007E5D38" w:rsidRPr="00025C70" w:rsidRDefault="007E5D38" w:rsidP="00490C7C">
      <w:pPr>
        <w:pStyle w:val="Att-Sectionheading"/>
        <w:rPr>
          <w:u w:val="none"/>
        </w:rPr>
      </w:pPr>
    </w:p>
    <w:p w:rsidR="00B66BEB" w:rsidRPr="00025C70" w:rsidRDefault="000C2394" w:rsidP="0055238D">
      <w:pPr>
        <w:pStyle w:val="Att-Sectionheading"/>
        <w:rPr>
          <w:u w:val="none"/>
        </w:rPr>
      </w:pPr>
      <w:r w:rsidRPr="00025C70">
        <w:rPr>
          <w:u w:val="none"/>
        </w:rPr>
        <w:t>Item 9 of Schedule 4 to the Original Declaration</w:t>
      </w:r>
      <w:r w:rsidR="007934C6" w:rsidRPr="00025C70">
        <w:rPr>
          <w:u w:val="none"/>
        </w:rPr>
        <w:t xml:space="preserve"> </w:t>
      </w:r>
      <w:r w:rsidR="00C327AF">
        <w:rPr>
          <w:u w:val="none"/>
        </w:rPr>
        <w:t xml:space="preserve">specifies </w:t>
      </w:r>
      <w:r w:rsidR="0023434F">
        <w:rPr>
          <w:u w:val="none"/>
        </w:rPr>
        <w:t>Telstra’s</w:t>
      </w:r>
      <w:r w:rsidR="00C327AF">
        <w:rPr>
          <w:u w:val="none"/>
        </w:rPr>
        <w:t xml:space="preserve"> priority assistance policy must satisfy the objective that</w:t>
      </w:r>
      <w:r w:rsidR="007934C6" w:rsidRPr="00025C70">
        <w:rPr>
          <w:u w:val="none"/>
        </w:rPr>
        <w:t xml:space="preserve"> priority customers </w:t>
      </w:r>
      <w:r w:rsidR="00C327AF">
        <w:rPr>
          <w:u w:val="none"/>
        </w:rPr>
        <w:t>are to receive</w:t>
      </w:r>
      <w:r w:rsidR="007934C6" w:rsidRPr="00025C70">
        <w:rPr>
          <w:u w:val="none"/>
        </w:rPr>
        <w:t xml:space="preserve"> enhanced service reliability and fau</w:t>
      </w:r>
      <w:r w:rsidR="00302369" w:rsidRPr="00025C70">
        <w:rPr>
          <w:u w:val="none"/>
        </w:rPr>
        <w:t>lt rectification. I</w:t>
      </w:r>
      <w:r w:rsidR="007934C6" w:rsidRPr="00025C70">
        <w:rPr>
          <w:u w:val="none"/>
        </w:rPr>
        <w:t>tem 6 of the S</w:t>
      </w:r>
      <w:r w:rsidR="00302369" w:rsidRPr="00025C70">
        <w:rPr>
          <w:u w:val="none"/>
        </w:rPr>
        <w:t>chedule amends paragraph 9(a) by omit</w:t>
      </w:r>
      <w:r w:rsidR="004D647B" w:rsidRPr="00025C70">
        <w:rPr>
          <w:u w:val="none"/>
        </w:rPr>
        <w:t>ting</w:t>
      </w:r>
      <w:r w:rsidR="00302369" w:rsidRPr="00025C70">
        <w:rPr>
          <w:u w:val="none"/>
        </w:rPr>
        <w:t xml:space="preserve"> </w:t>
      </w:r>
      <w:r w:rsidR="004D647B" w:rsidRPr="00025C70">
        <w:rPr>
          <w:u w:val="none"/>
        </w:rPr>
        <w:t xml:space="preserve">the words </w:t>
      </w:r>
      <w:r w:rsidR="00302369" w:rsidRPr="00025C70">
        <w:rPr>
          <w:u w:val="none"/>
        </w:rPr>
        <w:t>“telecommunications network” and substituting</w:t>
      </w:r>
      <w:r w:rsidR="004D647B" w:rsidRPr="00025C70">
        <w:rPr>
          <w:u w:val="none"/>
        </w:rPr>
        <w:t xml:space="preserve"> the words “local access network”. This amendment </w:t>
      </w:r>
      <w:r w:rsidR="00C327AF">
        <w:rPr>
          <w:u w:val="none"/>
        </w:rPr>
        <w:t xml:space="preserve">clarifies that the </w:t>
      </w:r>
      <w:r w:rsidR="00B85757" w:rsidRPr="00025C70">
        <w:rPr>
          <w:u w:val="none"/>
        </w:rPr>
        <w:t xml:space="preserve">objective </w:t>
      </w:r>
      <w:r w:rsidR="004D647B" w:rsidRPr="00025C70">
        <w:rPr>
          <w:u w:val="none"/>
        </w:rPr>
        <w:t xml:space="preserve">in the paragraph </w:t>
      </w:r>
      <w:r w:rsidR="00C327AF">
        <w:rPr>
          <w:u w:val="none"/>
        </w:rPr>
        <w:t xml:space="preserve">only </w:t>
      </w:r>
      <w:r w:rsidR="00302369" w:rsidRPr="00025C70">
        <w:rPr>
          <w:u w:val="none"/>
        </w:rPr>
        <w:t>applies</w:t>
      </w:r>
      <w:r w:rsidR="004D647B" w:rsidRPr="00025C70">
        <w:rPr>
          <w:u w:val="none"/>
        </w:rPr>
        <w:t xml:space="preserve"> if </w:t>
      </w:r>
      <w:r w:rsidR="00302369" w:rsidRPr="00025C70">
        <w:rPr>
          <w:u w:val="none"/>
        </w:rPr>
        <w:t xml:space="preserve">the standard </w:t>
      </w:r>
      <w:r w:rsidR="004D647B" w:rsidRPr="00025C70">
        <w:rPr>
          <w:u w:val="none"/>
        </w:rPr>
        <w:t xml:space="preserve">telephone service of the </w:t>
      </w:r>
      <w:r w:rsidR="00302369" w:rsidRPr="00025C70">
        <w:rPr>
          <w:u w:val="none"/>
        </w:rPr>
        <w:t>customer is supplied</w:t>
      </w:r>
      <w:r w:rsidR="004D647B" w:rsidRPr="00025C70">
        <w:rPr>
          <w:u w:val="none"/>
        </w:rPr>
        <w:t xml:space="preserve"> using a local access network</w:t>
      </w:r>
      <w:r w:rsidR="00B85757" w:rsidRPr="00025C70">
        <w:rPr>
          <w:u w:val="none"/>
        </w:rPr>
        <w:t xml:space="preserve"> (rather than a “telecommunications network”)</w:t>
      </w:r>
      <w:r w:rsidR="004D647B" w:rsidRPr="00025C70">
        <w:rPr>
          <w:u w:val="none"/>
        </w:rPr>
        <w:t xml:space="preserve"> o</w:t>
      </w:r>
      <w:r w:rsidR="00302369" w:rsidRPr="00025C70">
        <w:rPr>
          <w:u w:val="none"/>
        </w:rPr>
        <w:t>ver which Telstra is in a position to exercise control.</w:t>
      </w:r>
      <w:r w:rsidR="00C327AF">
        <w:rPr>
          <w:u w:val="none"/>
        </w:rPr>
        <w:t xml:space="preserve"> </w:t>
      </w:r>
      <w:r w:rsidR="007934C6" w:rsidRPr="00025C70">
        <w:rPr>
          <w:u w:val="none"/>
        </w:rPr>
        <w:t xml:space="preserve"> </w:t>
      </w:r>
    </w:p>
    <w:p w:rsidR="00B66BEB" w:rsidRPr="0055238D" w:rsidRDefault="00B66BEB" w:rsidP="00B66BEB">
      <w:pPr>
        <w:pStyle w:val="subsection"/>
        <w:spacing w:before="0"/>
        <w:ind w:left="0" w:firstLine="0"/>
        <w:rPr>
          <w:szCs w:val="24"/>
        </w:rPr>
      </w:pPr>
    </w:p>
    <w:p w:rsidR="00333269" w:rsidRPr="00025C70" w:rsidRDefault="00AA4054" w:rsidP="0055238D">
      <w:pPr>
        <w:pStyle w:val="Att-Sectionheading"/>
        <w:rPr>
          <w:u w:val="none"/>
        </w:rPr>
      </w:pPr>
      <w:r w:rsidRPr="00025C70">
        <w:rPr>
          <w:u w:val="none"/>
        </w:rPr>
        <w:t xml:space="preserve">Item </w:t>
      </w:r>
      <w:r w:rsidR="00674C6E" w:rsidRPr="00025C70">
        <w:rPr>
          <w:u w:val="none"/>
        </w:rPr>
        <w:t>7</w:t>
      </w:r>
      <w:r w:rsidRPr="00025C70">
        <w:rPr>
          <w:u w:val="none"/>
        </w:rPr>
        <w:t xml:space="preserve"> </w:t>
      </w:r>
      <w:r w:rsidR="00A22351" w:rsidRPr="00025C70">
        <w:rPr>
          <w:u w:val="none"/>
        </w:rPr>
        <w:t xml:space="preserve">of the Schedule </w:t>
      </w:r>
      <w:r w:rsidRPr="00025C70">
        <w:rPr>
          <w:u w:val="none"/>
        </w:rPr>
        <w:t xml:space="preserve">repeals </w:t>
      </w:r>
      <w:r w:rsidR="00B22214" w:rsidRPr="00025C70">
        <w:rPr>
          <w:u w:val="none"/>
        </w:rPr>
        <w:t>paragraph 9(c) of Schedule 4</w:t>
      </w:r>
      <w:r w:rsidR="00B85757" w:rsidRPr="00025C70">
        <w:rPr>
          <w:u w:val="none"/>
        </w:rPr>
        <w:t xml:space="preserve"> to the Original Declaration</w:t>
      </w:r>
      <w:r w:rsidR="00351B2A">
        <w:rPr>
          <w:u w:val="none"/>
        </w:rPr>
        <w:t>,</w:t>
      </w:r>
      <w:r w:rsidR="00B60E4A">
        <w:rPr>
          <w:u w:val="none"/>
        </w:rPr>
        <w:t xml:space="preserve"> </w:t>
      </w:r>
      <w:r w:rsidR="00F64AF1">
        <w:rPr>
          <w:u w:val="none"/>
        </w:rPr>
        <w:t>which provided a</w:t>
      </w:r>
      <w:r w:rsidR="00C451A0" w:rsidRPr="00025C70">
        <w:rPr>
          <w:u w:val="none"/>
        </w:rPr>
        <w:t xml:space="preserve"> </w:t>
      </w:r>
      <w:r w:rsidR="00F64AF1">
        <w:rPr>
          <w:u w:val="none"/>
        </w:rPr>
        <w:t xml:space="preserve">definition of when the licensee is in a position to </w:t>
      </w:r>
      <w:r w:rsidR="003360A8">
        <w:rPr>
          <w:u w:val="none"/>
        </w:rPr>
        <w:t xml:space="preserve">exercise control of a network. </w:t>
      </w:r>
      <w:r w:rsidR="00F64AF1">
        <w:rPr>
          <w:u w:val="none"/>
        </w:rPr>
        <w:t>This definition has been inserted into</w:t>
      </w:r>
      <w:r w:rsidR="00333269" w:rsidRPr="00025C70">
        <w:rPr>
          <w:u w:val="none"/>
        </w:rPr>
        <w:t xml:space="preserve"> new </w:t>
      </w:r>
      <w:r w:rsidR="00F64AF1">
        <w:rPr>
          <w:u w:val="none"/>
        </w:rPr>
        <w:t>item (1B) of Schedule 4, together with a definition of ‘local access network’.</w:t>
      </w:r>
    </w:p>
    <w:p w:rsidR="00AA4054" w:rsidRPr="00025C70" w:rsidRDefault="00AA4054" w:rsidP="0055238D">
      <w:pPr>
        <w:pStyle w:val="Att-Sectionheading"/>
        <w:rPr>
          <w:u w:val="none"/>
        </w:rPr>
      </w:pPr>
    </w:p>
    <w:p w:rsidR="003A6B80" w:rsidRDefault="003A6B80" w:rsidP="00316B93">
      <w:pPr>
        <w:rPr>
          <w:b/>
          <w:i/>
          <w:sz w:val="24"/>
          <w:szCs w:val="24"/>
        </w:rPr>
      </w:pPr>
    </w:p>
    <w:p w:rsidR="003A6B80" w:rsidRDefault="003A6B80" w:rsidP="00316B93">
      <w:pPr>
        <w:rPr>
          <w:b/>
          <w:i/>
          <w:sz w:val="24"/>
          <w:szCs w:val="24"/>
        </w:rPr>
      </w:pPr>
    </w:p>
    <w:p w:rsidR="003A6B80" w:rsidRDefault="003A6B80" w:rsidP="00316B93">
      <w:pPr>
        <w:rPr>
          <w:b/>
          <w:i/>
          <w:sz w:val="24"/>
          <w:szCs w:val="24"/>
        </w:rPr>
      </w:pPr>
    </w:p>
    <w:p w:rsidR="003717EE" w:rsidRPr="00025C70" w:rsidRDefault="003717EE" w:rsidP="00316B93">
      <w:pPr>
        <w:rPr>
          <w:b/>
          <w:i/>
          <w:sz w:val="24"/>
          <w:szCs w:val="24"/>
        </w:rPr>
      </w:pPr>
      <w:r w:rsidRPr="0055238D">
        <w:rPr>
          <w:b/>
          <w:i/>
          <w:sz w:val="24"/>
          <w:szCs w:val="24"/>
        </w:rPr>
        <w:lastRenderedPageBreak/>
        <w:t>Item 8</w:t>
      </w:r>
      <w:r w:rsidR="001D11D3" w:rsidRPr="00025C70">
        <w:rPr>
          <w:b/>
          <w:i/>
          <w:sz w:val="24"/>
          <w:szCs w:val="24"/>
        </w:rPr>
        <w:t>: The words immediately before item (10) of Schedule 4 (Priority assistance – Fault Rectification)</w:t>
      </w:r>
    </w:p>
    <w:p w:rsidR="0079139C" w:rsidRPr="00025C70" w:rsidRDefault="0079139C" w:rsidP="00663840">
      <w:pPr>
        <w:rPr>
          <w:sz w:val="24"/>
          <w:szCs w:val="24"/>
        </w:rPr>
      </w:pPr>
    </w:p>
    <w:p w:rsidR="0079139C" w:rsidRPr="00025C70" w:rsidRDefault="00D5798A" w:rsidP="0066384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23FA1" w:rsidRPr="00025C70">
        <w:rPr>
          <w:sz w:val="24"/>
          <w:szCs w:val="24"/>
        </w:rPr>
        <w:t>tems 10 to 12 of Schedule 4 to the Original Declaration</w:t>
      </w:r>
      <w:r>
        <w:rPr>
          <w:sz w:val="24"/>
          <w:szCs w:val="24"/>
        </w:rPr>
        <w:t xml:space="preserve"> specify </w:t>
      </w:r>
      <w:r w:rsidR="00723FA1" w:rsidRPr="00025C70">
        <w:rPr>
          <w:sz w:val="24"/>
          <w:szCs w:val="24"/>
        </w:rPr>
        <w:t xml:space="preserve">objectives </w:t>
      </w:r>
      <w:r w:rsidR="0023434F">
        <w:rPr>
          <w:sz w:val="24"/>
          <w:szCs w:val="24"/>
        </w:rPr>
        <w:t>Telstra’s</w:t>
      </w:r>
      <w:r>
        <w:rPr>
          <w:sz w:val="24"/>
          <w:szCs w:val="24"/>
        </w:rPr>
        <w:t xml:space="preserve"> priority assistance policy must satisfy in relation</w:t>
      </w:r>
      <w:r w:rsidR="00723FA1" w:rsidRPr="00025C70">
        <w:rPr>
          <w:sz w:val="24"/>
          <w:szCs w:val="24"/>
        </w:rPr>
        <w:t xml:space="preserve"> to </w:t>
      </w:r>
      <w:r w:rsidR="00C01CC3" w:rsidRPr="00025C70">
        <w:rPr>
          <w:sz w:val="24"/>
          <w:szCs w:val="24"/>
        </w:rPr>
        <w:t xml:space="preserve">fault rectification </w:t>
      </w:r>
      <w:r w:rsidR="008F74E9" w:rsidRPr="00025C70">
        <w:rPr>
          <w:sz w:val="24"/>
          <w:szCs w:val="24"/>
        </w:rPr>
        <w:t xml:space="preserve">where all </w:t>
      </w:r>
      <w:r w:rsidR="00C01CC3" w:rsidRPr="00025C70">
        <w:rPr>
          <w:sz w:val="24"/>
          <w:szCs w:val="24"/>
        </w:rPr>
        <w:t>standard telephone services supplied to</w:t>
      </w:r>
      <w:r w:rsidR="008F74E9" w:rsidRPr="00025C70">
        <w:rPr>
          <w:sz w:val="24"/>
          <w:szCs w:val="24"/>
        </w:rPr>
        <w:t>,</w:t>
      </w:r>
      <w:r w:rsidR="00C01CC3" w:rsidRPr="00025C70">
        <w:rPr>
          <w:sz w:val="24"/>
          <w:szCs w:val="24"/>
        </w:rPr>
        <w:t xml:space="preserve"> and solely for use at</w:t>
      </w:r>
      <w:r w:rsidR="008F74E9" w:rsidRPr="00025C70">
        <w:rPr>
          <w:sz w:val="24"/>
          <w:szCs w:val="24"/>
        </w:rPr>
        <w:t>,</w:t>
      </w:r>
      <w:r w:rsidR="00C01CC3" w:rsidRPr="00025C70">
        <w:rPr>
          <w:sz w:val="24"/>
          <w:szCs w:val="24"/>
        </w:rPr>
        <w:t xml:space="preserve"> the place of residence of a priority customer are inoperative. The amendment made by item 8 </w:t>
      </w:r>
      <w:r>
        <w:rPr>
          <w:sz w:val="24"/>
          <w:szCs w:val="24"/>
        </w:rPr>
        <w:t>clarifies</w:t>
      </w:r>
      <w:r w:rsidR="00723FA1" w:rsidRPr="00025C70">
        <w:rPr>
          <w:sz w:val="24"/>
          <w:szCs w:val="24"/>
        </w:rPr>
        <w:t xml:space="preserve"> that these objectives </w:t>
      </w:r>
      <w:r>
        <w:rPr>
          <w:sz w:val="24"/>
          <w:szCs w:val="24"/>
        </w:rPr>
        <w:t xml:space="preserve">only </w:t>
      </w:r>
      <w:r w:rsidR="00723FA1" w:rsidRPr="00025C70">
        <w:rPr>
          <w:sz w:val="24"/>
          <w:szCs w:val="24"/>
        </w:rPr>
        <w:t>apply where a service is supplied using a local access network over which Telstra is in a position to exercise control.</w:t>
      </w:r>
    </w:p>
    <w:p w:rsidR="0079139C" w:rsidRPr="00025C70" w:rsidRDefault="0079139C" w:rsidP="00663840">
      <w:pPr>
        <w:rPr>
          <w:sz w:val="24"/>
          <w:szCs w:val="24"/>
        </w:rPr>
      </w:pPr>
    </w:p>
    <w:p w:rsidR="0079139C" w:rsidRPr="00025C70" w:rsidRDefault="0079139C" w:rsidP="0079139C">
      <w:pPr>
        <w:rPr>
          <w:b/>
          <w:i/>
          <w:sz w:val="24"/>
          <w:szCs w:val="24"/>
        </w:rPr>
      </w:pPr>
      <w:r w:rsidRPr="00025C70">
        <w:rPr>
          <w:b/>
          <w:i/>
          <w:sz w:val="24"/>
          <w:szCs w:val="24"/>
        </w:rPr>
        <w:t>Item 9</w:t>
      </w:r>
      <w:r w:rsidR="001D11D3" w:rsidRPr="00025C70">
        <w:rPr>
          <w:b/>
          <w:i/>
          <w:sz w:val="24"/>
          <w:szCs w:val="24"/>
        </w:rPr>
        <w:t>: Item (20) of Schedule 4 (Priority assistance – To be provided in exceptional circumstances)</w:t>
      </w:r>
    </w:p>
    <w:p w:rsidR="0079139C" w:rsidRPr="00025C70" w:rsidRDefault="0079139C" w:rsidP="0079139C">
      <w:pPr>
        <w:rPr>
          <w:b/>
          <w:i/>
          <w:sz w:val="24"/>
          <w:szCs w:val="24"/>
        </w:rPr>
      </w:pPr>
    </w:p>
    <w:p w:rsidR="0079139C" w:rsidRDefault="00DD7CDB" w:rsidP="0079139C">
      <w:pPr>
        <w:rPr>
          <w:sz w:val="24"/>
          <w:szCs w:val="24"/>
        </w:rPr>
      </w:pPr>
      <w:r w:rsidRPr="00025C70">
        <w:rPr>
          <w:sz w:val="24"/>
          <w:szCs w:val="24"/>
        </w:rPr>
        <w:t xml:space="preserve">Item 9 </w:t>
      </w:r>
      <w:r w:rsidR="00A22351" w:rsidRPr="00025C70">
        <w:rPr>
          <w:sz w:val="24"/>
          <w:szCs w:val="24"/>
        </w:rPr>
        <w:t xml:space="preserve">of the Schedule </w:t>
      </w:r>
      <w:r w:rsidR="00C01CC3" w:rsidRPr="00025C70">
        <w:rPr>
          <w:sz w:val="24"/>
          <w:szCs w:val="24"/>
        </w:rPr>
        <w:t>amends</w:t>
      </w:r>
      <w:r w:rsidR="008F7DDB" w:rsidRPr="00025C70">
        <w:rPr>
          <w:sz w:val="24"/>
          <w:szCs w:val="24"/>
        </w:rPr>
        <w:t xml:space="preserve"> the priority assistance policy objective in item 20 of Schedule 4 to the Original Declaration</w:t>
      </w:r>
      <w:r w:rsidR="0023434F">
        <w:rPr>
          <w:sz w:val="24"/>
          <w:szCs w:val="24"/>
        </w:rPr>
        <w:t xml:space="preserve"> by substituting ‘the CSG Standard’ with reference to ‘USO standard marketing plan’</w:t>
      </w:r>
      <w:r w:rsidR="008F7DDB" w:rsidRPr="00025C70">
        <w:rPr>
          <w:sz w:val="24"/>
          <w:szCs w:val="24"/>
        </w:rPr>
        <w:t xml:space="preserve">. The </w:t>
      </w:r>
      <w:r w:rsidR="006807E9" w:rsidRPr="00025C70">
        <w:rPr>
          <w:sz w:val="24"/>
          <w:szCs w:val="24"/>
        </w:rPr>
        <w:t xml:space="preserve">USO standard marketing plan sets </w:t>
      </w:r>
      <w:r w:rsidR="008F7DDB" w:rsidRPr="00025C70">
        <w:rPr>
          <w:sz w:val="24"/>
          <w:szCs w:val="24"/>
        </w:rPr>
        <w:t>out timeframes for connecting and repairing standard te</w:t>
      </w:r>
      <w:r w:rsidR="00473413" w:rsidRPr="00025C70">
        <w:rPr>
          <w:sz w:val="24"/>
          <w:szCs w:val="24"/>
        </w:rPr>
        <w:t>lephone services and payphones</w:t>
      </w:r>
      <w:r w:rsidR="0023434F">
        <w:rPr>
          <w:sz w:val="24"/>
          <w:szCs w:val="24"/>
        </w:rPr>
        <w:t>.  This plan</w:t>
      </w:r>
      <w:r w:rsidR="00473413" w:rsidRPr="00025C70">
        <w:rPr>
          <w:sz w:val="24"/>
          <w:szCs w:val="24"/>
        </w:rPr>
        <w:t xml:space="preserve"> has effectively been made redundant by the</w:t>
      </w:r>
      <w:r w:rsidR="006E6E99">
        <w:rPr>
          <w:sz w:val="24"/>
          <w:szCs w:val="24"/>
        </w:rPr>
        <w:t xml:space="preserve"> </w:t>
      </w:r>
      <w:r w:rsidR="00473413" w:rsidRPr="00025C70">
        <w:rPr>
          <w:i/>
          <w:sz w:val="24"/>
          <w:szCs w:val="24"/>
        </w:rPr>
        <w:t>Telecommunications (Customer Service Guarantee) Standard 2011</w:t>
      </w:r>
      <w:r w:rsidR="00473413" w:rsidRPr="00025C70">
        <w:rPr>
          <w:sz w:val="24"/>
          <w:szCs w:val="24"/>
        </w:rPr>
        <w:t xml:space="preserve"> and the various payphone instruments that cover these requirements.</w:t>
      </w:r>
      <w:r w:rsidR="00C01CC3" w:rsidRPr="00025C70">
        <w:rPr>
          <w:sz w:val="24"/>
          <w:szCs w:val="24"/>
        </w:rPr>
        <w:t xml:space="preserve"> </w:t>
      </w:r>
    </w:p>
    <w:p w:rsidR="006E6E99" w:rsidRPr="00025C70" w:rsidRDefault="006E6E99" w:rsidP="0079139C">
      <w:pPr>
        <w:rPr>
          <w:b/>
          <w:i/>
          <w:sz w:val="24"/>
          <w:szCs w:val="24"/>
        </w:rPr>
      </w:pPr>
    </w:p>
    <w:p w:rsidR="0079139C" w:rsidRPr="00025C70" w:rsidRDefault="0079139C" w:rsidP="0079139C">
      <w:pPr>
        <w:rPr>
          <w:b/>
          <w:i/>
          <w:sz w:val="24"/>
          <w:szCs w:val="24"/>
        </w:rPr>
      </w:pPr>
      <w:r w:rsidRPr="00025C70">
        <w:rPr>
          <w:b/>
          <w:i/>
          <w:sz w:val="24"/>
          <w:szCs w:val="24"/>
        </w:rPr>
        <w:t>Item 10</w:t>
      </w:r>
      <w:r w:rsidR="001D11D3" w:rsidRPr="00025C70">
        <w:rPr>
          <w:b/>
          <w:i/>
          <w:sz w:val="24"/>
          <w:szCs w:val="24"/>
        </w:rPr>
        <w:t>: Subparagraph 20(b</w:t>
      </w:r>
      <w:proofErr w:type="gramStart"/>
      <w:r w:rsidR="001D11D3" w:rsidRPr="00025C70">
        <w:rPr>
          <w:b/>
          <w:i/>
          <w:sz w:val="24"/>
          <w:szCs w:val="24"/>
        </w:rPr>
        <w:t>)(</w:t>
      </w:r>
      <w:proofErr w:type="gramEnd"/>
      <w:r w:rsidR="001D11D3" w:rsidRPr="00025C70">
        <w:rPr>
          <w:b/>
          <w:i/>
          <w:sz w:val="24"/>
          <w:szCs w:val="24"/>
        </w:rPr>
        <w:t>ii) of Schedule 4 (Priority assistance – To be provided in exceptional circumstances)</w:t>
      </w:r>
    </w:p>
    <w:p w:rsidR="0079139C" w:rsidRPr="00025C70" w:rsidRDefault="0079139C" w:rsidP="00663840">
      <w:pPr>
        <w:rPr>
          <w:sz w:val="24"/>
          <w:szCs w:val="24"/>
        </w:rPr>
      </w:pPr>
    </w:p>
    <w:p w:rsidR="00B4752E" w:rsidRPr="00025C70" w:rsidRDefault="001D4C81" w:rsidP="00B4752E">
      <w:pPr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8F74E9" w:rsidRPr="00025C70">
        <w:rPr>
          <w:sz w:val="24"/>
          <w:szCs w:val="24"/>
        </w:rPr>
        <w:t>tem 20 of Schedule 4 to the Original Declaration</w:t>
      </w:r>
      <w:r>
        <w:rPr>
          <w:sz w:val="24"/>
          <w:szCs w:val="24"/>
        </w:rPr>
        <w:t xml:space="preserve"> specifies certain</w:t>
      </w:r>
      <w:r w:rsidR="006807E9" w:rsidRPr="00025C70">
        <w:rPr>
          <w:sz w:val="24"/>
          <w:szCs w:val="24"/>
        </w:rPr>
        <w:t xml:space="preserve"> objective</w:t>
      </w:r>
      <w:r>
        <w:rPr>
          <w:sz w:val="24"/>
          <w:szCs w:val="24"/>
        </w:rPr>
        <w:t>s</w:t>
      </w:r>
      <w:r w:rsidR="00BF4D19" w:rsidRPr="00025C70">
        <w:rPr>
          <w:sz w:val="24"/>
          <w:szCs w:val="24"/>
        </w:rPr>
        <w:t xml:space="preserve"> </w:t>
      </w:r>
      <w:r>
        <w:rPr>
          <w:sz w:val="24"/>
          <w:szCs w:val="24"/>
        </w:rPr>
        <w:t>the licensee’s priority assistance policy must satisfy in relation</w:t>
      </w:r>
      <w:r w:rsidRPr="00025C70">
        <w:rPr>
          <w:sz w:val="24"/>
          <w:szCs w:val="24"/>
        </w:rPr>
        <w:t xml:space="preserve"> </w:t>
      </w:r>
      <w:r w:rsidR="00050181">
        <w:rPr>
          <w:sz w:val="24"/>
          <w:szCs w:val="24"/>
        </w:rPr>
        <w:t xml:space="preserve">to </w:t>
      </w:r>
      <w:r w:rsidRPr="00025C70">
        <w:rPr>
          <w:sz w:val="24"/>
          <w:szCs w:val="24"/>
        </w:rPr>
        <w:t xml:space="preserve">the provision of priority assistance in exceptional circumstances, and operates where Telstra’s ability to supply and repair a standard telephone service is </w:t>
      </w:r>
      <w:r>
        <w:rPr>
          <w:sz w:val="24"/>
          <w:szCs w:val="24"/>
        </w:rPr>
        <w:t>affected by circumstances beyond</w:t>
      </w:r>
      <w:r w:rsidRPr="00025C70">
        <w:rPr>
          <w:sz w:val="24"/>
          <w:szCs w:val="24"/>
        </w:rPr>
        <w:t xml:space="preserve"> its control</w:t>
      </w:r>
      <w:r w:rsidR="00BF4D19" w:rsidRPr="00025C70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BF4D19" w:rsidRPr="00025C70">
        <w:rPr>
          <w:sz w:val="24"/>
          <w:szCs w:val="24"/>
        </w:rPr>
        <w:t>ubparagraph 20(b</w:t>
      </w:r>
      <w:proofErr w:type="gramStart"/>
      <w:r w:rsidR="00BF4D19" w:rsidRPr="00025C70">
        <w:rPr>
          <w:sz w:val="24"/>
          <w:szCs w:val="24"/>
        </w:rPr>
        <w:t>)(</w:t>
      </w:r>
      <w:proofErr w:type="gramEnd"/>
      <w:r w:rsidR="00BF4D19" w:rsidRPr="00025C70">
        <w:rPr>
          <w:sz w:val="24"/>
          <w:szCs w:val="24"/>
        </w:rPr>
        <w:t>ii)</w:t>
      </w:r>
      <w:r>
        <w:rPr>
          <w:sz w:val="24"/>
          <w:szCs w:val="24"/>
        </w:rPr>
        <w:t xml:space="preserve"> requires Telstra to retain certain records </w:t>
      </w:r>
      <w:r w:rsidR="00CD23F6">
        <w:rPr>
          <w:sz w:val="24"/>
          <w:szCs w:val="24"/>
        </w:rPr>
        <w:t>where an interim service cannot be provided. I</w:t>
      </w:r>
      <w:r w:rsidR="00BF4D19" w:rsidRPr="00025C70">
        <w:rPr>
          <w:sz w:val="24"/>
          <w:szCs w:val="24"/>
        </w:rPr>
        <w:t xml:space="preserve">tem 10 </w:t>
      </w:r>
      <w:r w:rsidR="00CD23F6">
        <w:rPr>
          <w:sz w:val="24"/>
          <w:szCs w:val="24"/>
        </w:rPr>
        <w:t>of the Schedule amends this subparagraph by removing the requirement for</w:t>
      </w:r>
      <w:r w:rsidR="00BF4D19" w:rsidRPr="00025C70">
        <w:rPr>
          <w:sz w:val="24"/>
          <w:szCs w:val="24"/>
        </w:rPr>
        <w:t xml:space="preserve"> Telstra </w:t>
      </w:r>
      <w:r w:rsidR="009D661B" w:rsidRPr="00025C70">
        <w:rPr>
          <w:sz w:val="24"/>
          <w:szCs w:val="24"/>
        </w:rPr>
        <w:t>to report to the ACMA quarterly about</w:t>
      </w:r>
      <w:r w:rsidR="008F4FFA" w:rsidRPr="00025C70">
        <w:rPr>
          <w:sz w:val="24"/>
          <w:szCs w:val="24"/>
        </w:rPr>
        <w:t xml:space="preserve"> </w:t>
      </w:r>
      <w:r w:rsidR="009D661B" w:rsidRPr="00025C70">
        <w:rPr>
          <w:sz w:val="24"/>
          <w:szCs w:val="24"/>
        </w:rPr>
        <w:t>timeframes</w:t>
      </w:r>
      <w:r w:rsidR="008F4FFA" w:rsidRPr="00025C70">
        <w:rPr>
          <w:sz w:val="24"/>
          <w:szCs w:val="24"/>
        </w:rPr>
        <w:t xml:space="preserve"> that could not be met</w:t>
      </w:r>
      <w:r w:rsidR="009D661B" w:rsidRPr="00025C70">
        <w:rPr>
          <w:sz w:val="24"/>
          <w:szCs w:val="24"/>
        </w:rPr>
        <w:t xml:space="preserve"> for service connection and fault repair for priority customers</w:t>
      </w:r>
      <w:r w:rsidR="003360A8">
        <w:rPr>
          <w:sz w:val="24"/>
          <w:szCs w:val="24"/>
        </w:rPr>
        <w:t>,</w:t>
      </w:r>
      <w:r w:rsidR="008F4FFA" w:rsidRPr="00025C70">
        <w:rPr>
          <w:sz w:val="24"/>
          <w:szCs w:val="24"/>
        </w:rPr>
        <w:t xml:space="preserve"> and the circumstances in which an interim priority service could not be offered</w:t>
      </w:r>
      <w:r w:rsidR="009D661B" w:rsidRPr="00025C70">
        <w:rPr>
          <w:sz w:val="24"/>
          <w:szCs w:val="24"/>
        </w:rPr>
        <w:t xml:space="preserve"> </w:t>
      </w:r>
      <w:r w:rsidR="008F4FFA" w:rsidRPr="00025C70">
        <w:rPr>
          <w:sz w:val="24"/>
          <w:szCs w:val="24"/>
        </w:rPr>
        <w:t>to a priority customer.</w:t>
      </w:r>
      <w:r w:rsidR="00316B93" w:rsidRPr="00025C70">
        <w:rPr>
          <w:sz w:val="24"/>
          <w:szCs w:val="24"/>
        </w:rPr>
        <w:t xml:space="preserve"> </w:t>
      </w:r>
    </w:p>
    <w:p w:rsidR="00B4752E" w:rsidRPr="00B4752E" w:rsidRDefault="00B4752E" w:rsidP="00B4752E">
      <w:pPr>
        <w:rPr>
          <w:sz w:val="24"/>
          <w:szCs w:val="24"/>
        </w:rPr>
      </w:pPr>
    </w:p>
    <w:p w:rsidR="00B4752E" w:rsidRPr="00B4752E" w:rsidRDefault="00B4752E" w:rsidP="00B473ED">
      <w:pPr>
        <w:pStyle w:val="Att-Sectionheading"/>
        <w:rPr>
          <w:u w:val="none"/>
        </w:rPr>
      </w:pPr>
    </w:p>
    <w:sectPr w:rsidR="00B4752E" w:rsidRPr="00B4752E" w:rsidSect="00B65F86">
      <w:headerReference w:type="default" r:id="rId9"/>
      <w:pgSz w:w="11906" w:h="16838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211A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FA" w:rsidRDefault="005E47FA">
      <w:r>
        <w:separator/>
      </w:r>
    </w:p>
  </w:endnote>
  <w:endnote w:type="continuationSeparator" w:id="0">
    <w:p w:rsidR="005E47FA" w:rsidRDefault="005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FA" w:rsidRDefault="005E47FA">
      <w:r>
        <w:separator/>
      </w:r>
    </w:p>
  </w:footnote>
  <w:footnote w:type="continuationSeparator" w:id="0">
    <w:p w:rsidR="005E47FA" w:rsidRDefault="005E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50" w:rsidRDefault="00B11950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727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84"/>
    <w:multiLevelType w:val="hybridMultilevel"/>
    <w:tmpl w:val="57663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828"/>
    <w:multiLevelType w:val="hybridMultilevel"/>
    <w:tmpl w:val="CB480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13D79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072E"/>
    <w:multiLevelType w:val="hybridMultilevel"/>
    <w:tmpl w:val="0F28E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740E02"/>
    <w:multiLevelType w:val="hybridMultilevel"/>
    <w:tmpl w:val="05EEC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C5FF7"/>
    <w:multiLevelType w:val="multilevel"/>
    <w:tmpl w:val="F5EA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isLgl/>
      <w:lvlText w:val="6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203EA9"/>
    <w:multiLevelType w:val="hybridMultilevel"/>
    <w:tmpl w:val="4CD63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91395C"/>
    <w:multiLevelType w:val="hybridMultilevel"/>
    <w:tmpl w:val="90E4F4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8356F"/>
    <w:multiLevelType w:val="hybridMultilevel"/>
    <w:tmpl w:val="30C6A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804A5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0088B"/>
    <w:multiLevelType w:val="hybridMultilevel"/>
    <w:tmpl w:val="F9C6B3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2BE6D86"/>
    <w:multiLevelType w:val="hybridMultilevel"/>
    <w:tmpl w:val="4EA8D886"/>
    <w:lvl w:ilvl="0" w:tplc="FFEA4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2CD2"/>
    <w:multiLevelType w:val="hybridMultilevel"/>
    <w:tmpl w:val="5FAA91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3C06A7"/>
    <w:multiLevelType w:val="hybridMultilevel"/>
    <w:tmpl w:val="F30CCA5A"/>
    <w:lvl w:ilvl="0" w:tplc="A09026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81621"/>
    <w:multiLevelType w:val="hybridMultilevel"/>
    <w:tmpl w:val="40D0C6AA"/>
    <w:lvl w:ilvl="0" w:tplc="16AC244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81E6A"/>
    <w:multiLevelType w:val="hybridMultilevel"/>
    <w:tmpl w:val="2DFC863C"/>
    <w:lvl w:ilvl="0" w:tplc="3EA842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04784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4F56"/>
    <w:multiLevelType w:val="hybridMultilevel"/>
    <w:tmpl w:val="E1CCF49C"/>
    <w:lvl w:ilvl="0" w:tplc="6792B74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F83862C-5B4A-4C17-A85D-518D944A975C}"/>
    <w:docVar w:name="dgnword-eventsink" w:val="82444712"/>
  </w:docVars>
  <w:rsids>
    <w:rsidRoot w:val="00B65F86"/>
    <w:rsid w:val="00003EAB"/>
    <w:rsid w:val="00006502"/>
    <w:rsid w:val="000245EA"/>
    <w:rsid w:val="00024E9B"/>
    <w:rsid w:val="00025B23"/>
    <w:rsid w:val="00025C70"/>
    <w:rsid w:val="000315A3"/>
    <w:rsid w:val="00033FF2"/>
    <w:rsid w:val="00035EBD"/>
    <w:rsid w:val="00042331"/>
    <w:rsid w:val="000432C6"/>
    <w:rsid w:val="00045ADA"/>
    <w:rsid w:val="0004709E"/>
    <w:rsid w:val="00050181"/>
    <w:rsid w:val="0005448D"/>
    <w:rsid w:val="00056246"/>
    <w:rsid w:val="000627EB"/>
    <w:rsid w:val="0006324E"/>
    <w:rsid w:val="00066F22"/>
    <w:rsid w:val="0006736E"/>
    <w:rsid w:val="00070476"/>
    <w:rsid w:val="00073AE2"/>
    <w:rsid w:val="00074F31"/>
    <w:rsid w:val="0007523E"/>
    <w:rsid w:val="0007615F"/>
    <w:rsid w:val="00076B18"/>
    <w:rsid w:val="000805C5"/>
    <w:rsid w:val="00081ACE"/>
    <w:rsid w:val="00081DCE"/>
    <w:rsid w:val="0008322E"/>
    <w:rsid w:val="00086AB8"/>
    <w:rsid w:val="000916F7"/>
    <w:rsid w:val="000A0678"/>
    <w:rsid w:val="000A4895"/>
    <w:rsid w:val="000B0CBA"/>
    <w:rsid w:val="000B4F29"/>
    <w:rsid w:val="000C2394"/>
    <w:rsid w:val="000C2968"/>
    <w:rsid w:val="000C2A62"/>
    <w:rsid w:val="000C5664"/>
    <w:rsid w:val="000D0D5D"/>
    <w:rsid w:val="000D2677"/>
    <w:rsid w:val="000D3B86"/>
    <w:rsid w:val="000D5482"/>
    <w:rsid w:val="000D74E2"/>
    <w:rsid w:val="000E0BE3"/>
    <w:rsid w:val="000E53CE"/>
    <w:rsid w:val="000E5D36"/>
    <w:rsid w:val="000E68CF"/>
    <w:rsid w:val="000E6BF0"/>
    <w:rsid w:val="000E7C15"/>
    <w:rsid w:val="000F004E"/>
    <w:rsid w:val="000F3CD3"/>
    <w:rsid w:val="000F4029"/>
    <w:rsid w:val="00101D7D"/>
    <w:rsid w:val="0010201F"/>
    <w:rsid w:val="00103EAC"/>
    <w:rsid w:val="00105AE5"/>
    <w:rsid w:val="0011650E"/>
    <w:rsid w:val="001169A8"/>
    <w:rsid w:val="00124B63"/>
    <w:rsid w:val="00126AE6"/>
    <w:rsid w:val="00130AD8"/>
    <w:rsid w:val="00131DFB"/>
    <w:rsid w:val="001423A9"/>
    <w:rsid w:val="00144407"/>
    <w:rsid w:val="00150FAC"/>
    <w:rsid w:val="00151B89"/>
    <w:rsid w:val="001521BC"/>
    <w:rsid w:val="00153DFF"/>
    <w:rsid w:val="00155781"/>
    <w:rsid w:val="00157A8D"/>
    <w:rsid w:val="0016248A"/>
    <w:rsid w:val="00164DB9"/>
    <w:rsid w:val="001766C6"/>
    <w:rsid w:val="00177E5B"/>
    <w:rsid w:val="00177F15"/>
    <w:rsid w:val="001829B6"/>
    <w:rsid w:val="001830C0"/>
    <w:rsid w:val="0018487E"/>
    <w:rsid w:val="001863D1"/>
    <w:rsid w:val="001873BD"/>
    <w:rsid w:val="00192ED4"/>
    <w:rsid w:val="001972A9"/>
    <w:rsid w:val="001A1557"/>
    <w:rsid w:val="001A41C6"/>
    <w:rsid w:val="001A4774"/>
    <w:rsid w:val="001B1465"/>
    <w:rsid w:val="001B23C3"/>
    <w:rsid w:val="001B26BD"/>
    <w:rsid w:val="001B41C0"/>
    <w:rsid w:val="001B5B31"/>
    <w:rsid w:val="001B60C4"/>
    <w:rsid w:val="001C7277"/>
    <w:rsid w:val="001C75CE"/>
    <w:rsid w:val="001D11D3"/>
    <w:rsid w:val="001D3F42"/>
    <w:rsid w:val="001D4C81"/>
    <w:rsid w:val="001D4FE8"/>
    <w:rsid w:val="001D7DEE"/>
    <w:rsid w:val="001E3E7C"/>
    <w:rsid w:val="001E4F13"/>
    <w:rsid w:val="001F2155"/>
    <w:rsid w:val="001F2975"/>
    <w:rsid w:val="001F5062"/>
    <w:rsid w:val="001F685D"/>
    <w:rsid w:val="00201BD3"/>
    <w:rsid w:val="00201E17"/>
    <w:rsid w:val="0020470C"/>
    <w:rsid w:val="002222B5"/>
    <w:rsid w:val="002225D8"/>
    <w:rsid w:val="00224076"/>
    <w:rsid w:val="002240FA"/>
    <w:rsid w:val="00233677"/>
    <w:rsid w:val="0023434F"/>
    <w:rsid w:val="002349CF"/>
    <w:rsid w:val="00237901"/>
    <w:rsid w:val="00241142"/>
    <w:rsid w:val="00244441"/>
    <w:rsid w:val="0024444C"/>
    <w:rsid w:val="00250779"/>
    <w:rsid w:val="00252F57"/>
    <w:rsid w:val="0025474E"/>
    <w:rsid w:val="002557BC"/>
    <w:rsid w:val="002574B7"/>
    <w:rsid w:val="00265A6F"/>
    <w:rsid w:val="002743C3"/>
    <w:rsid w:val="00276440"/>
    <w:rsid w:val="0028243F"/>
    <w:rsid w:val="0028468C"/>
    <w:rsid w:val="0028481F"/>
    <w:rsid w:val="002864F7"/>
    <w:rsid w:val="002927F0"/>
    <w:rsid w:val="00294464"/>
    <w:rsid w:val="002964D1"/>
    <w:rsid w:val="002A4B83"/>
    <w:rsid w:val="002A7B8A"/>
    <w:rsid w:val="002C201E"/>
    <w:rsid w:val="002D3E02"/>
    <w:rsid w:val="002D4D6A"/>
    <w:rsid w:val="002D4DC1"/>
    <w:rsid w:val="002D5306"/>
    <w:rsid w:val="002D63BC"/>
    <w:rsid w:val="002E3FB3"/>
    <w:rsid w:val="002F7180"/>
    <w:rsid w:val="00302369"/>
    <w:rsid w:val="00305C60"/>
    <w:rsid w:val="00306E49"/>
    <w:rsid w:val="00312A3C"/>
    <w:rsid w:val="0031344A"/>
    <w:rsid w:val="0031418E"/>
    <w:rsid w:val="00316B93"/>
    <w:rsid w:val="00320925"/>
    <w:rsid w:val="00330A6E"/>
    <w:rsid w:val="0033186E"/>
    <w:rsid w:val="00332051"/>
    <w:rsid w:val="00333269"/>
    <w:rsid w:val="003350A1"/>
    <w:rsid w:val="003360A8"/>
    <w:rsid w:val="00337BE5"/>
    <w:rsid w:val="00341911"/>
    <w:rsid w:val="00342EC8"/>
    <w:rsid w:val="00346207"/>
    <w:rsid w:val="00351060"/>
    <w:rsid w:val="00351B2A"/>
    <w:rsid w:val="00351C2B"/>
    <w:rsid w:val="003549AD"/>
    <w:rsid w:val="00355635"/>
    <w:rsid w:val="0035692E"/>
    <w:rsid w:val="0035743A"/>
    <w:rsid w:val="00361057"/>
    <w:rsid w:val="00363A41"/>
    <w:rsid w:val="0036423D"/>
    <w:rsid w:val="003717EE"/>
    <w:rsid w:val="003729DD"/>
    <w:rsid w:val="00373113"/>
    <w:rsid w:val="00373703"/>
    <w:rsid w:val="00374117"/>
    <w:rsid w:val="0037767B"/>
    <w:rsid w:val="0038256D"/>
    <w:rsid w:val="00382E0C"/>
    <w:rsid w:val="00384D31"/>
    <w:rsid w:val="00395C01"/>
    <w:rsid w:val="00395FAB"/>
    <w:rsid w:val="003A0A40"/>
    <w:rsid w:val="003A48A6"/>
    <w:rsid w:val="003A6B80"/>
    <w:rsid w:val="003B130C"/>
    <w:rsid w:val="003B380B"/>
    <w:rsid w:val="003B4183"/>
    <w:rsid w:val="003B5799"/>
    <w:rsid w:val="003C20A4"/>
    <w:rsid w:val="003C6D1A"/>
    <w:rsid w:val="003C7E05"/>
    <w:rsid w:val="003D212C"/>
    <w:rsid w:val="003D48B9"/>
    <w:rsid w:val="003E38A4"/>
    <w:rsid w:val="003E3D72"/>
    <w:rsid w:val="003E3FA3"/>
    <w:rsid w:val="003E4249"/>
    <w:rsid w:val="003E44D1"/>
    <w:rsid w:val="003F043E"/>
    <w:rsid w:val="003F4A9A"/>
    <w:rsid w:val="00400799"/>
    <w:rsid w:val="00403B36"/>
    <w:rsid w:val="0040684B"/>
    <w:rsid w:val="00414C28"/>
    <w:rsid w:val="004169D0"/>
    <w:rsid w:val="00417234"/>
    <w:rsid w:val="00421DB3"/>
    <w:rsid w:val="004236F0"/>
    <w:rsid w:val="0042561D"/>
    <w:rsid w:val="004327E1"/>
    <w:rsid w:val="00433EB7"/>
    <w:rsid w:val="00440D2A"/>
    <w:rsid w:val="004451E3"/>
    <w:rsid w:val="00447569"/>
    <w:rsid w:val="00453EE2"/>
    <w:rsid w:val="00457B2E"/>
    <w:rsid w:val="00460930"/>
    <w:rsid w:val="00460B93"/>
    <w:rsid w:val="00473413"/>
    <w:rsid w:val="00473EF2"/>
    <w:rsid w:val="00474A76"/>
    <w:rsid w:val="00474B2F"/>
    <w:rsid w:val="004763C8"/>
    <w:rsid w:val="0048075D"/>
    <w:rsid w:val="00483B84"/>
    <w:rsid w:val="00490C7C"/>
    <w:rsid w:val="004923C8"/>
    <w:rsid w:val="0049542A"/>
    <w:rsid w:val="004A0985"/>
    <w:rsid w:val="004A1ECA"/>
    <w:rsid w:val="004A2DBF"/>
    <w:rsid w:val="004A5A40"/>
    <w:rsid w:val="004B03A7"/>
    <w:rsid w:val="004B7D97"/>
    <w:rsid w:val="004C55EA"/>
    <w:rsid w:val="004C5E11"/>
    <w:rsid w:val="004C7EEF"/>
    <w:rsid w:val="004D33F3"/>
    <w:rsid w:val="004D4E59"/>
    <w:rsid w:val="004D647B"/>
    <w:rsid w:val="004D65F8"/>
    <w:rsid w:val="004E48E7"/>
    <w:rsid w:val="004F2312"/>
    <w:rsid w:val="004F574E"/>
    <w:rsid w:val="004F7695"/>
    <w:rsid w:val="004F78A4"/>
    <w:rsid w:val="00505955"/>
    <w:rsid w:val="00505AD5"/>
    <w:rsid w:val="0051206F"/>
    <w:rsid w:val="00520842"/>
    <w:rsid w:val="0052250A"/>
    <w:rsid w:val="00523A28"/>
    <w:rsid w:val="00524C9F"/>
    <w:rsid w:val="00527B11"/>
    <w:rsid w:val="0053114E"/>
    <w:rsid w:val="00532DC4"/>
    <w:rsid w:val="00537876"/>
    <w:rsid w:val="00543A41"/>
    <w:rsid w:val="00546A75"/>
    <w:rsid w:val="00547266"/>
    <w:rsid w:val="00550F88"/>
    <w:rsid w:val="00551AF0"/>
    <w:rsid w:val="0055238D"/>
    <w:rsid w:val="00553E21"/>
    <w:rsid w:val="005650F7"/>
    <w:rsid w:val="00565978"/>
    <w:rsid w:val="00580842"/>
    <w:rsid w:val="0058407D"/>
    <w:rsid w:val="005931D8"/>
    <w:rsid w:val="00593452"/>
    <w:rsid w:val="0059792A"/>
    <w:rsid w:val="005A223D"/>
    <w:rsid w:val="005A3F1F"/>
    <w:rsid w:val="005A4660"/>
    <w:rsid w:val="005A7567"/>
    <w:rsid w:val="005B0D7E"/>
    <w:rsid w:val="005B1303"/>
    <w:rsid w:val="005B2621"/>
    <w:rsid w:val="005B4E21"/>
    <w:rsid w:val="005B5261"/>
    <w:rsid w:val="005C0024"/>
    <w:rsid w:val="005C1CCD"/>
    <w:rsid w:val="005C1EBF"/>
    <w:rsid w:val="005C3E7E"/>
    <w:rsid w:val="005C46F7"/>
    <w:rsid w:val="005C4AAE"/>
    <w:rsid w:val="005C7D57"/>
    <w:rsid w:val="005D6562"/>
    <w:rsid w:val="005E47FA"/>
    <w:rsid w:val="005E5504"/>
    <w:rsid w:val="005E78A5"/>
    <w:rsid w:val="005F50E0"/>
    <w:rsid w:val="005F53DB"/>
    <w:rsid w:val="005F65FD"/>
    <w:rsid w:val="006023B7"/>
    <w:rsid w:val="00602886"/>
    <w:rsid w:val="00623F76"/>
    <w:rsid w:val="006340BE"/>
    <w:rsid w:val="00636A4E"/>
    <w:rsid w:val="006377EE"/>
    <w:rsid w:val="00641348"/>
    <w:rsid w:val="00647D31"/>
    <w:rsid w:val="006602BF"/>
    <w:rsid w:val="00663840"/>
    <w:rsid w:val="0066628E"/>
    <w:rsid w:val="00667137"/>
    <w:rsid w:val="00667473"/>
    <w:rsid w:val="00667F7A"/>
    <w:rsid w:val="00674C6E"/>
    <w:rsid w:val="00676D2F"/>
    <w:rsid w:val="00680634"/>
    <w:rsid w:val="006807E9"/>
    <w:rsid w:val="00685436"/>
    <w:rsid w:val="00692FE1"/>
    <w:rsid w:val="00693790"/>
    <w:rsid w:val="0069415C"/>
    <w:rsid w:val="006966F8"/>
    <w:rsid w:val="00696BDC"/>
    <w:rsid w:val="006A1D0D"/>
    <w:rsid w:val="006A55FE"/>
    <w:rsid w:val="006A56BA"/>
    <w:rsid w:val="006A5820"/>
    <w:rsid w:val="006B04B9"/>
    <w:rsid w:val="006B4DE9"/>
    <w:rsid w:val="006C3405"/>
    <w:rsid w:val="006C7405"/>
    <w:rsid w:val="006E079A"/>
    <w:rsid w:val="006E131F"/>
    <w:rsid w:val="006E3AA5"/>
    <w:rsid w:val="006E6E99"/>
    <w:rsid w:val="006E7C35"/>
    <w:rsid w:val="006F1815"/>
    <w:rsid w:val="006F5B8F"/>
    <w:rsid w:val="0070089E"/>
    <w:rsid w:val="007142F7"/>
    <w:rsid w:val="00714E16"/>
    <w:rsid w:val="007170CF"/>
    <w:rsid w:val="007217DC"/>
    <w:rsid w:val="00723FA1"/>
    <w:rsid w:val="007261C3"/>
    <w:rsid w:val="00726385"/>
    <w:rsid w:val="007264DA"/>
    <w:rsid w:val="007268CC"/>
    <w:rsid w:val="00731AB9"/>
    <w:rsid w:val="0073344B"/>
    <w:rsid w:val="00733491"/>
    <w:rsid w:val="00735941"/>
    <w:rsid w:val="00735BF5"/>
    <w:rsid w:val="00737318"/>
    <w:rsid w:val="00737716"/>
    <w:rsid w:val="007378B0"/>
    <w:rsid w:val="0074009A"/>
    <w:rsid w:val="007403B4"/>
    <w:rsid w:val="007430AC"/>
    <w:rsid w:val="00756006"/>
    <w:rsid w:val="007568B0"/>
    <w:rsid w:val="00761500"/>
    <w:rsid w:val="00762173"/>
    <w:rsid w:val="007628E2"/>
    <w:rsid w:val="007636B7"/>
    <w:rsid w:val="0076665F"/>
    <w:rsid w:val="00776446"/>
    <w:rsid w:val="007834CB"/>
    <w:rsid w:val="0079130F"/>
    <w:rsid w:val="0079139C"/>
    <w:rsid w:val="007934C6"/>
    <w:rsid w:val="00793D2D"/>
    <w:rsid w:val="0079583E"/>
    <w:rsid w:val="00795AA7"/>
    <w:rsid w:val="007963D0"/>
    <w:rsid w:val="007A04C2"/>
    <w:rsid w:val="007A1D57"/>
    <w:rsid w:val="007A26F1"/>
    <w:rsid w:val="007A2B72"/>
    <w:rsid w:val="007A4CE4"/>
    <w:rsid w:val="007A583C"/>
    <w:rsid w:val="007A6C3E"/>
    <w:rsid w:val="007B0B4A"/>
    <w:rsid w:val="007B0C81"/>
    <w:rsid w:val="007C2ADD"/>
    <w:rsid w:val="007C449C"/>
    <w:rsid w:val="007C65E0"/>
    <w:rsid w:val="007D5C7A"/>
    <w:rsid w:val="007D6DCF"/>
    <w:rsid w:val="007D7B51"/>
    <w:rsid w:val="007E5D38"/>
    <w:rsid w:val="007E6C21"/>
    <w:rsid w:val="007E7DD3"/>
    <w:rsid w:val="007F0BAD"/>
    <w:rsid w:val="007F3594"/>
    <w:rsid w:val="007F5CEE"/>
    <w:rsid w:val="00800B00"/>
    <w:rsid w:val="00800DB5"/>
    <w:rsid w:val="00800E5D"/>
    <w:rsid w:val="00821E8C"/>
    <w:rsid w:val="008228A5"/>
    <w:rsid w:val="00822BF2"/>
    <w:rsid w:val="00832166"/>
    <w:rsid w:val="00841CB8"/>
    <w:rsid w:val="00843561"/>
    <w:rsid w:val="00844845"/>
    <w:rsid w:val="008535C7"/>
    <w:rsid w:val="00853629"/>
    <w:rsid w:val="00853A8F"/>
    <w:rsid w:val="00865453"/>
    <w:rsid w:val="00880115"/>
    <w:rsid w:val="008832A7"/>
    <w:rsid w:val="00884F71"/>
    <w:rsid w:val="00886A52"/>
    <w:rsid w:val="00887D3E"/>
    <w:rsid w:val="00892D46"/>
    <w:rsid w:val="00893321"/>
    <w:rsid w:val="008A3A21"/>
    <w:rsid w:val="008A7A16"/>
    <w:rsid w:val="008B0830"/>
    <w:rsid w:val="008B4485"/>
    <w:rsid w:val="008C1240"/>
    <w:rsid w:val="008D1181"/>
    <w:rsid w:val="008D3CD1"/>
    <w:rsid w:val="008D53F7"/>
    <w:rsid w:val="008E0581"/>
    <w:rsid w:val="008E093A"/>
    <w:rsid w:val="008E6720"/>
    <w:rsid w:val="008F1192"/>
    <w:rsid w:val="008F25FE"/>
    <w:rsid w:val="008F2D1C"/>
    <w:rsid w:val="008F2E53"/>
    <w:rsid w:val="008F4A69"/>
    <w:rsid w:val="008F4FFA"/>
    <w:rsid w:val="008F74E9"/>
    <w:rsid w:val="008F7DDB"/>
    <w:rsid w:val="009027F5"/>
    <w:rsid w:val="009035EE"/>
    <w:rsid w:val="00905945"/>
    <w:rsid w:val="00905D64"/>
    <w:rsid w:val="009138EA"/>
    <w:rsid w:val="00917571"/>
    <w:rsid w:val="00921930"/>
    <w:rsid w:val="00922162"/>
    <w:rsid w:val="00926502"/>
    <w:rsid w:val="0093576C"/>
    <w:rsid w:val="0094272A"/>
    <w:rsid w:val="00943BFF"/>
    <w:rsid w:val="00961E8C"/>
    <w:rsid w:val="00967F55"/>
    <w:rsid w:val="00975A88"/>
    <w:rsid w:val="0098041D"/>
    <w:rsid w:val="00984801"/>
    <w:rsid w:val="0099005A"/>
    <w:rsid w:val="00995243"/>
    <w:rsid w:val="009A02BB"/>
    <w:rsid w:val="009A1169"/>
    <w:rsid w:val="009A162B"/>
    <w:rsid w:val="009B09AC"/>
    <w:rsid w:val="009B1021"/>
    <w:rsid w:val="009B2F21"/>
    <w:rsid w:val="009C49DC"/>
    <w:rsid w:val="009C7F5D"/>
    <w:rsid w:val="009D2F2B"/>
    <w:rsid w:val="009D4940"/>
    <w:rsid w:val="009D595B"/>
    <w:rsid w:val="009D59A1"/>
    <w:rsid w:val="009D661B"/>
    <w:rsid w:val="009F06C0"/>
    <w:rsid w:val="009F5339"/>
    <w:rsid w:val="00A01A2B"/>
    <w:rsid w:val="00A03A7F"/>
    <w:rsid w:val="00A03CE2"/>
    <w:rsid w:val="00A05A4C"/>
    <w:rsid w:val="00A110B3"/>
    <w:rsid w:val="00A176DA"/>
    <w:rsid w:val="00A177C4"/>
    <w:rsid w:val="00A2061A"/>
    <w:rsid w:val="00A22351"/>
    <w:rsid w:val="00A2675E"/>
    <w:rsid w:val="00A26FC9"/>
    <w:rsid w:val="00A30DA9"/>
    <w:rsid w:val="00A33A7A"/>
    <w:rsid w:val="00A3645B"/>
    <w:rsid w:val="00A36D86"/>
    <w:rsid w:val="00A408DA"/>
    <w:rsid w:val="00A409F9"/>
    <w:rsid w:val="00A42B2D"/>
    <w:rsid w:val="00A44EC4"/>
    <w:rsid w:val="00A45317"/>
    <w:rsid w:val="00A4655A"/>
    <w:rsid w:val="00A47DC7"/>
    <w:rsid w:val="00A52C63"/>
    <w:rsid w:val="00A608B4"/>
    <w:rsid w:val="00A61957"/>
    <w:rsid w:val="00A62EFD"/>
    <w:rsid w:val="00A6313E"/>
    <w:rsid w:val="00A6475E"/>
    <w:rsid w:val="00A70BC9"/>
    <w:rsid w:val="00A73334"/>
    <w:rsid w:val="00A77865"/>
    <w:rsid w:val="00A81ADB"/>
    <w:rsid w:val="00A86779"/>
    <w:rsid w:val="00A94789"/>
    <w:rsid w:val="00AA4054"/>
    <w:rsid w:val="00AB0A35"/>
    <w:rsid w:val="00AB7597"/>
    <w:rsid w:val="00AC09F6"/>
    <w:rsid w:val="00AC0C70"/>
    <w:rsid w:val="00AC1C6A"/>
    <w:rsid w:val="00AD3E9E"/>
    <w:rsid w:val="00AD434D"/>
    <w:rsid w:val="00AD46E6"/>
    <w:rsid w:val="00AD63E3"/>
    <w:rsid w:val="00AD64FD"/>
    <w:rsid w:val="00AE01D9"/>
    <w:rsid w:val="00AE2269"/>
    <w:rsid w:val="00AE59DB"/>
    <w:rsid w:val="00AE6148"/>
    <w:rsid w:val="00AF0CD5"/>
    <w:rsid w:val="00AF120E"/>
    <w:rsid w:val="00AF2D77"/>
    <w:rsid w:val="00AF3D22"/>
    <w:rsid w:val="00B00C30"/>
    <w:rsid w:val="00B02DBE"/>
    <w:rsid w:val="00B05D9A"/>
    <w:rsid w:val="00B062DA"/>
    <w:rsid w:val="00B06C57"/>
    <w:rsid w:val="00B10368"/>
    <w:rsid w:val="00B1170B"/>
    <w:rsid w:val="00B11950"/>
    <w:rsid w:val="00B13288"/>
    <w:rsid w:val="00B13FDD"/>
    <w:rsid w:val="00B16A4F"/>
    <w:rsid w:val="00B175AC"/>
    <w:rsid w:val="00B22214"/>
    <w:rsid w:val="00B228A3"/>
    <w:rsid w:val="00B27B98"/>
    <w:rsid w:val="00B30B5F"/>
    <w:rsid w:val="00B33825"/>
    <w:rsid w:val="00B33E8F"/>
    <w:rsid w:val="00B34118"/>
    <w:rsid w:val="00B354FA"/>
    <w:rsid w:val="00B40278"/>
    <w:rsid w:val="00B402A1"/>
    <w:rsid w:val="00B459CF"/>
    <w:rsid w:val="00B462CA"/>
    <w:rsid w:val="00B473ED"/>
    <w:rsid w:val="00B4752E"/>
    <w:rsid w:val="00B5388E"/>
    <w:rsid w:val="00B54E38"/>
    <w:rsid w:val="00B54E91"/>
    <w:rsid w:val="00B57E53"/>
    <w:rsid w:val="00B60E4A"/>
    <w:rsid w:val="00B621EC"/>
    <w:rsid w:val="00B6280E"/>
    <w:rsid w:val="00B64A43"/>
    <w:rsid w:val="00B65F86"/>
    <w:rsid w:val="00B66895"/>
    <w:rsid w:val="00B66BEB"/>
    <w:rsid w:val="00B73C66"/>
    <w:rsid w:val="00B85757"/>
    <w:rsid w:val="00B8676E"/>
    <w:rsid w:val="00B94B4C"/>
    <w:rsid w:val="00B94EAD"/>
    <w:rsid w:val="00BB1950"/>
    <w:rsid w:val="00BB47E4"/>
    <w:rsid w:val="00BB57F1"/>
    <w:rsid w:val="00BC2E08"/>
    <w:rsid w:val="00BC3289"/>
    <w:rsid w:val="00BC3C9A"/>
    <w:rsid w:val="00BC5985"/>
    <w:rsid w:val="00BC713C"/>
    <w:rsid w:val="00BD2D08"/>
    <w:rsid w:val="00BE4099"/>
    <w:rsid w:val="00BE516D"/>
    <w:rsid w:val="00BF1325"/>
    <w:rsid w:val="00BF4D19"/>
    <w:rsid w:val="00C01CC3"/>
    <w:rsid w:val="00C022EA"/>
    <w:rsid w:val="00C02B77"/>
    <w:rsid w:val="00C0610F"/>
    <w:rsid w:val="00C105CD"/>
    <w:rsid w:val="00C169F4"/>
    <w:rsid w:val="00C21CFB"/>
    <w:rsid w:val="00C23760"/>
    <w:rsid w:val="00C2395B"/>
    <w:rsid w:val="00C2411D"/>
    <w:rsid w:val="00C26E8A"/>
    <w:rsid w:val="00C327AF"/>
    <w:rsid w:val="00C3681B"/>
    <w:rsid w:val="00C42D1A"/>
    <w:rsid w:val="00C43002"/>
    <w:rsid w:val="00C43ED5"/>
    <w:rsid w:val="00C44FBD"/>
    <w:rsid w:val="00C451A0"/>
    <w:rsid w:val="00C46B95"/>
    <w:rsid w:val="00C46D96"/>
    <w:rsid w:val="00C6163E"/>
    <w:rsid w:val="00C62DD0"/>
    <w:rsid w:val="00C63FB3"/>
    <w:rsid w:val="00C70FBA"/>
    <w:rsid w:val="00C71846"/>
    <w:rsid w:val="00C72261"/>
    <w:rsid w:val="00C74DE2"/>
    <w:rsid w:val="00C7721E"/>
    <w:rsid w:val="00C80012"/>
    <w:rsid w:val="00C804DE"/>
    <w:rsid w:val="00C83777"/>
    <w:rsid w:val="00C858EA"/>
    <w:rsid w:val="00C90BAE"/>
    <w:rsid w:val="00C92B4B"/>
    <w:rsid w:val="00C9524C"/>
    <w:rsid w:val="00CB00A3"/>
    <w:rsid w:val="00CB328B"/>
    <w:rsid w:val="00CB63F1"/>
    <w:rsid w:val="00CC18F2"/>
    <w:rsid w:val="00CC1D0F"/>
    <w:rsid w:val="00CC40F3"/>
    <w:rsid w:val="00CC7BFB"/>
    <w:rsid w:val="00CC7FA2"/>
    <w:rsid w:val="00CD23F6"/>
    <w:rsid w:val="00CD398F"/>
    <w:rsid w:val="00CE07AC"/>
    <w:rsid w:val="00CE0D2C"/>
    <w:rsid w:val="00CE52AD"/>
    <w:rsid w:val="00CE5D55"/>
    <w:rsid w:val="00CF29F6"/>
    <w:rsid w:val="00CF3D81"/>
    <w:rsid w:val="00D04B9C"/>
    <w:rsid w:val="00D060DE"/>
    <w:rsid w:val="00D2225B"/>
    <w:rsid w:val="00D23B8D"/>
    <w:rsid w:val="00D2568B"/>
    <w:rsid w:val="00D26B16"/>
    <w:rsid w:val="00D30E35"/>
    <w:rsid w:val="00D345B9"/>
    <w:rsid w:val="00D35622"/>
    <w:rsid w:val="00D35BC8"/>
    <w:rsid w:val="00D37066"/>
    <w:rsid w:val="00D37312"/>
    <w:rsid w:val="00D46D22"/>
    <w:rsid w:val="00D47857"/>
    <w:rsid w:val="00D501C0"/>
    <w:rsid w:val="00D5798A"/>
    <w:rsid w:val="00D602BE"/>
    <w:rsid w:val="00D60655"/>
    <w:rsid w:val="00D62EDC"/>
    <w:rsid w:val="00D63413"/>
    <w:rsid w:val="00D65E07"/>
    <w:rsid w:val="00D728EF"/>
    <w:rsid w:val="00D75A23"/>
    <w:rsid w:val="00D83962"/>
    <w:rsid w:val="00D849A9"/>
    <w:rsid w:val="00D91D48"/>
    <w:rsid w:val="00D946CE"/>
    <w:rsid w:val="00D96271"/>
    <w:rsid w:val="00D96EF5"/>
    <w:rsid w:val="00D977A0"/>
    <w:rsid w:val="00DA1AC3"/>
    <w:rsid w:val="00DA30A8"/>
    <w:rsid w:val="00DA4FD9"/>
    <w:rsid w:val="00DA7523"/>
    <w:rsid w:val="00DB0DF8"/>
    <w:rsid w:val="00DB4BA6"/>
    <w:rsid w:val="00DB5C10"/>
    <w:rsid w:val="00DB652D"/>
    <w:rsid w:val="00DB65A6"/>
    <w:rsid w:val="00DC2A33"/>
    <w:rsid w:val="00DC41DB"/>
    <w:rsid w:val="00DC498E"/>
    <w:rsid w:val="00DD01C4"/>
    <w:rsid w:val="00DD1288"/>
    <w:rsid w:val="00DD7CDB"/>
    <w:rsid w:val="00DD7D5D"/>
    <w:rsid w:val="00DE37D7"/>
    <w:rsid w:val="00DE5553"/>
    <w:rsid w:val="00DE6EA2"/>
    <w:rsid w:val="00DE713B"/>
    <w:rsid w:val="00DF5043"/>
    <w:rsid w:val="00E10E03"/>
    <w:rsid w:val="00E17AC5"/>
    <w:rsid w:val="00E21C41"/>
    <w:rsid w:val="00E22575"/>
    <w:rsid w:val="00E2464B"/>
    <w:rsid w:val="00E25F21"/>
    <w:rsid w:val="00E26A37"/>
    <w:rsid w:val="00E27F3A"/>
    <w:rsid w:val="00E516D7"/>
    <w:rsid w:val="00E5311B"/>
    <w:rsid w:val="00E5399F"/>
    <w:rsid w:val="00E54E03"/>
    <w:rsid w:val="00E56CAE"/>
    <w:rsid w:val="00E57993"/>
    <w:rsid w:val="00E62002"/>
    <w:rsid w:val="00E62547"/>
    <w:rsid w:val="00E70098"/>
    <w:rsid w:val="00E712B3"/>
    <w:rsid w:val="00E7736E"/>
    <w:rsid w:val="00E802CB"/>
    <w:rsid w:val="00E81553"/>
    <w:rsid w:val="00E82B5C"/>
    <w:rsid w:val="00E83F2B"/>
    <w:rsid w:val="00E865DC"/>
    <w:rsid w:val="00E90374"/>
    <w:rsid w:val="00E91EFF"/>
    <w:rsid w:val="00EA0B74"/>
    <w:rsid w:val="00EA47CB"/>
    <w:rsid w:val="00EA56D0"/>
    <w:rsid w:val="00EB5BCE"/>
    <w:rsid w:val="00EB6013"/>
    <w:rsid w:val="00EB761B"/>
    <w:rsid w:val="00EC2893"/>
    <w:rsid w:val="00EC7844"/>
    <w:rsid w:val="00ED243D"/>
    <w:rsid w:val="00ED495C"/>
    <w:rsid w:val="00EE596C"/>
    <w:rsid w:val="00EE6C31"/>
    <w:rsid w:val="00EF0175"/>
    <w:rsid w:val="00EF373A"/>
    <w:rsid w:val="00EF5346"/>
    <w:rsid w:val="00F10B1A"/>
    <w:rsid w:val="00F111B6"/>
    <w:rsid w:val="00F11966"/>
    <w:rsid w:val="00F13AD0"/>
    <w:rsid w:val="00F1487F"/>
    <w:rsid w:val="00F14986"/>
    <w:rsid w:val="00F14BCE"/>
    <w:rsid w:val="00F31580"/>
    <w:rsid w:val="00F35B5E"/>
    <w:rsid w:val="00F37B8F"/>
    <w:rsid w:val="00F41DCC"/>
    <w:rsid w:val="00F47D3D"/>
    <w:rsid w:val="00F55169"/>
    <w:rsid w:val="00F55A84"/>
    <w:rsid w:val="00F629C6"/>
    <w:rsid w:val="00F64AF1"/>
    <w:rsid w:val="00F709E1"/>
    <w:rsid w:val="00F71701"/>
    <w:rsid w:val="00F774A3"/>
    <w:rsid w:val="00F805D2"/>
    <w:rsid w:val="00F866C5"/>
    <w:rsid w:val="00F96B3A"/>
    <w:rsid w:val="00F976E6"/>
    <w:rsid w:val="00FB6134"/>
    <w:rsid w:val="00FC3B40"/>
    <w:rsid w:val="00FD0C38"/>
    <w:rsid w:val="00FD435B"/>
    <w:rsid w:val="00FE2658"/>
    <w:rsid w:val="00FE6DB6"/>
    <w:rsid w:val="00FE6F6A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86"/>
  </w:style>
  <w:style w:type="paragraph" w:styleId="Heading1">
    <w:name w:val="heading 1"/>
    <w:basedOn w:val="Normal"/>
    <w:next w:val="Normal"/>
    <w:qFormat/>
    <w:rsid w:val="00B65F8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5F86"/>
    <w:pPr>
      <w:jc w:val="center"/>
    </w:pPr>
    <w:rPr>
      <w:b/>
      <w:sz w:val="24"/>
      <w:u w:val="single"/>
      <w:lang w:val="en-GB" w:eastAsia="en-US"/>
    </w:rPr>
  </w:style>
  <w:style w:type="paragraph" w:styleId="BodyText3">
    <w:name w:val="Body Text 3"/>
    <w:basedOn w:val="Normal"/>
    <w:rsid w:val="00B65F86"/>
    <w:rPr>
      <w:sz w:val="24"/>
      <w:u w:val="single"/>
      <w:lang w:val="en-GB" w:eastAsia="en-US"/>
    </w:rPr>
  </w:style>
  <w:style w:type="paragraph" w:styleId="BodyText">
    <w:name w:val="Body Text"/>
    <w:basedOn w:val="Normal"/>
    <w:rsid w:val="00B65F86"/>
    <w:pPr>
      <w:jc w:val="center"/>
    </w:pPr>
    <w:rPr>
      <w:sz w:val="24"/>
    </w:rPr>
  </w:style>
  <w:style w:type="paragraph" w:styleId="BodyText2">
    <w:name w:val="Body Text 2"/>
    <w:basedOn w:val="Normal"/>
    <w:rsid w:val="00B65F86"/>
    <w:rPr>
      <w:snapToGrid w:val="0"/>
      <w:sz w:val="24"/>
      <w:lang w:eastAsia="en-US"/>
    </w:rPr>
  </w:style>
  <w:style w:type="paragraph" w:styleId="Header">
    <w:name w:val="header"/>
    <w:basedOn w:val="Normal"/>
    <w:rsid w:val="00B65F86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B65F86"/>
  </w:style>
  <w:style w:type="paragraph" w:customStyle="1" w:styleId="Att-Sectionheading">
    <w:name w:val="Att - Section heading"/>
    <w:basedOn w:val="Normal"/>
    <w:link w:val="Att-SectionheadingChar"/>
    <w:qFormat/>
    <w:rsid w:val="001863D1"/>
    <w:pPr>
      <w:ind w:right="91"/>
    </w:pPr>
    <w:rPr>
      <w:sz w:val="24"/>
      <w:szCs w:val="24"/>
      <w:u w:val="single"/>
    </w:rPr>
  </w:style>
  <w:style w:type="paragraph" w:customStyle="1" w:styleId="BodyText1">
    <w:name w:val="Body Text1"/>
    <w:basedOn w:val="Normal"/>
    <w:link w:val="BodytextChar"/>
    <w:qFormat/>
    <w:rsid w:val="001863D1"/>
    <w:pPr>
      <w:ind w:right="91"/>
    </w:pPr>
    <w:rPr>
      <w:sz w:val="24"/>
      <w:szCs w:val="24"/>
    </w:rPr>
  </w:style>
  <w:style w:type="character" w:customStyle="1" w:styleId="Att-SectionheadingChar">
    <w:name w:val="Att - Section heading Char"/>
    <w:link w:val="Att-Sectionheading"/>
    <w:rsid w:val="001863D1"/>
    <w:rPr>
      <w:sz w:val="24"/>
      <w:szCs w:val="24"/>
      <w:u w:val="single"/>
    </w:rPr>
  </w:style>
  <w:style w:type="character" w:customStyle="1" w:styleId="BodytextChar">
    <w:name w:val="Body text Char"/>
    <w:link w:val="BodyText1"/>
    <w:rsid w:val="001863D1"/>
    <w:rPr>
      <w:sz w:val="24"/>
      <w:szCs w:val="24"/>
    </w:rPr>
  </w:style>
  <w:style w:type="character" w:styleId="CommentReference">
    <w:name w:val="annotation reference"/>
    <w:rsid w:val="00250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79"/>
  </w:style>
  <w:style w:type="character" w:customStyle="1" w:styleId="CommentTextChar">
    <w:name w:val="Comment Text Char"/>
    <w:basedOn w:val="DefaultParagraphFont"/>
    <w:link w:val="CommentText"/>
    <w:rsid w:val="00250779"/>
  </w:style>
  <w:style w:type="paragraph" w:styleId="CommentSubject">
    <w:name w:val="annotation subject"/>
    <w:basedOn w:val="CommentText"/>
    <w:next w:val="CommentText"/>
    <w:link w:val="CommentSubjectChar"/>
    <w:rsid w:val="00250779"/>
    <w:rPr>
      <w:b/>
      <w:bCs/>
    </w:rPr>
  </w:style>
  <w:style w:type="character" w:customStyle="1" w:styleId="CommentSubjectChar">
    <w:name w:val="Comment Subject Char"/>
    <w:link w:val="CommentSubject"/>
    <w:rsid w:val="00250779"/>
    <w:rPr>
      <w:b/>
      <w:bCs/>
    </w:rPr>
  </w:style>
  <w:style w:type="paragraph" w:styleId="BalloonText">
    <w:name w:val="Balloon Text"/>
    <w:basedOn w:val="Normal"/>
    <w:link w:val="BalloonTextChar"/>
    <w:rsid w:val="0025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7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01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D7D"/>
  </w:style>
  <w:style w:type="paragraph" w:styleId="Revision">
    <w:name w:val="Revision"/>
    <w:hidden/>
    <w:uiPriority w:val="99"/>
    <w:semiHidden/>
    <w:rsid w:val="003729DD"/>
  </w:style>
  <w:style w:type="paragraph" w:styleId="ListParagraph">
    <w:name w:val="List Paragraph"/>
    <w:basedOn w:val="Normal"/>
    <w:uiPriority w:val="34"/>
    <w:qFormat/>
    <w:rsid w:val="00A3645B"/>
    <w:pPr>
      <w:ind w:left="720"/>
      <w:contextualSpacing/>
    </w:pPr>
  </w:style>
  <w:style w:type="paragraph" w:customStyle="1" w:styleId="subsection">
    <w:name w:val="subsection"/>
    <w:aliases w:val="ss,Subsection"/>
    <w:basedOn w:val="Normal"/>
    <w:rsid w:val="00A176DA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napToGrid w:val="0"/>
      <w:sz w:val="22"/>
      <w:lang w:eastAsia="en-US"/>
    </w:rPr>
  </w:style>
  <w:style w:type="character" w:customStyle="1" w:styleId="Text-Normal">
    <w:name w:val="Text - Normal"/>
    <w:uiPriority w:val="1"/>
    <w:unhideWhenUsed/>
    <w:qFormat/>
    <w:rsid w:val="00A176DA"/>
    <w:rPr>
      <w:color w:val="000000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B4752E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eastAsiaTheme="minorEastAsia" w:hAnsi="Times" w:cs="Times"/>
      <w:sz w:val="26"/>
      <w:szCs w:val="26"/>
    </w:rPr>
  </w:style>
  <w:style w:type="paragraph" w:customStyle="1" w:styleId="NoteBody2">
    <w:name w:val="Note Body 2"/>
    <w:basedOn w:val="Normal"/>
    <w:rsid w:val="00B4752E"/>
    <w:pPr>
      <w:autoSpaceDE w:val="0"/>
      <w:autoSpaceDN w:val="0"/>
      <w:spacing w:before="120" w:after="120" w:line="260" w:lineRule="atLeast"/>
      <w:jc w:val="both"/>
    </w:pPr>
    <w:rPr>
      <w:rFonts w:ascii="Times" w:hAnsi="Times" w:cs="Times"/>
      <w:sz w:val="22"/>
      <w:szCs w:val="22"/>
    </w:rPr>
  </w:style>
  <w:style w:type="paragraph" w:customStyle="1" w:styleId="r10">
    <w:name w:val="r1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r2">
    <w:name w:val="r2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6E07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86"/>
  </w:style>
  <w:style w:type="paragraph" w:styleId="Heading1">
    <w:name w:val="heading 1"/>
    <w:basedOn w:val="Normal"/>
    <w:next w:val="Normal"/>
    <w:qFormat/>
    <w:rsid w:val="00B65F86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5F86"/>
    <w:pPr>
      <w:jc w:val="center"/>
    </w:pPr>
    <w:rPr>
      <w:b/>
      <w:sz w:val="24"/>
      <w:u w:val="single"/>
      <w:lang w:val="en-GB" w:eastAsia="en-US"/>
    </w:rPr>
  </w:style>
  <w:style w:type="paragraph" w:styleId="BodyText3">
    <w:name w:val="Body Text 3"/>
    <w:basedOn w:val="Normal"/>
    <w:rsid w:val="00B65F86"/>
    <w:rPr>
      <w:sz w:val="24"/>
      <w:u w:val="single"/>
      <w:lang w:val="en-GB" w:eastAsia="en-US"/>
    </w:rPr>
  </w:style>
  <w:style w:type="paragraph" w:styleId="BodyText">
    <w:name w:val="Body Text"/>
    <w:basedOn w:val="Normal"/>
    <w:rsid w:val="00B65F86"/>
    <w:pPr>
      <w:jc w:val="center"/>
    </w:pPr>
    <w:rPr>
      <w:sz w:val="24"/>
    </w:rPr>
  </w:style>
  <w:style w:type="paragraph" w:styleId="BodyText2">
    <w:name w:val="Body Text 2"/>
    <w:basedOn w:val="Normal"/>
    <w:rsid w:val="00B65F86"/>
    <w:rPr>
      <w:snapToGrid w:val="0"/>
      <w:sz w:val="24"/>
      <w:lang w:eastAsia="en-US"/>
    </w:rPr>
  </w:style>
  <w:style w:type="paragraph" w:styleId="Header">
    <w:name w:val="header"/>
    <w:basedOn w:val="Normal"/>
    <w:rsid w:val="00B65F86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B65F86"/>
  </w:style>
  <w:style w:type="paragraph" w:customStyle="1" w:styleId="Att-Sectionheading">
    <w:name w:val="Att - Section heading"/>
    <w:basedOn w:val="Normal"/>
    <w:link w:val="Att-SectionheadingChar"/>
    <w:qFormat/>
    <w:rsid w:val="001863D1"/>
    <w:pPr>
      <w:ind w:right="91"/>
    </w:pPr>
    <w:rPr>
      <w:sz w:val="24"/>
      <w:szCs w:val="24"/>
      <w:u w:val="single"/>
    </w:rPr>
  </w:style>
  <w:style w:type="paragraph" w:customStyle="1" w:styleId="BodyText1">
    <w:name w:val="Body Text1"/>
    <w:basedOn w:val="Normal"/>
    <w:link w:val="BodytextChar"/>
    <w:qFormat/>
    <w:rsid w:val="001863D1"/>
    <w:pPr>
      <w:ind w:right="91"/>
    </w:pPr>
    <w:rPr>
      <w:sz w:val="24"/>
      <w:szCs w:val="24"/>
    </w:rPr>
  </w:style>
  <w:style w:type="character" w:customStyle="1" w:styleId="Att-SectionheadingChar">
    <w:name w:val="Att - Section heading Char"/>
    <w:link w:val="Att-Sectionheading"/>
    <w:rsid w:val="001863D1"/>
    <w:rPr>
      <w:sz w:val="24"/>
      <w:szCs w:val="24"/>
      <w:u w:val="single"/>
    </w:rPr>
  </w:style>
  <w:style w:type="character" w:customStyle="1" w:styleId="BodytextChar">
    <w:name w:val="Body text Char"/>
    <w:link w:val="BodyText1"/>
    <w:rsid w:val="001863D1"/>
    <w:rPr>
      <w:sz w:val="24"/>
      <w:szCs w:val="24"/>
    </w:rPr>
  </w:style>
  <w:style w:type="character" w:styleId="CommentReference">
    <w:name w:val="annotation reference"/>
    <w:rsid w:val="00250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79"/>
  </w:style>
  <w:style w:type="character" w:customStyle="1" w:styleId="CommentTextChar">
    <w:name w:val="Comment Text Char"/>
    <w:basedOn w:val="DefaultParagraphFont"/>
    <w:link w:val="CommentText"/>
    <w:rsid w:val="00250779"/>
  </w:style>
  <w:style w:type="paragraph" w:styleId="CommentSubject">
    <w:name w:val="annotation subject"/>
    <w:basedOn w:val="CommentText"/>
    <w:next w:val="CommentText"/>
    <w:link w:val="CommentSubjectChar"/>
    <w:rsid w:val="00250779"/>
    <w:rPr>
      <w:b/>
      <w:bCs/>
    </w:rPr>
  </w:style>
  <w:style w:type="character" w:customStyle="1" w:styleId="CommentSubjectChar">
    <w:name w:val="Comment Subject Char"/>
    <w:link w:val="CommentSubject"/>
    <w:rsid w:val="00250779"/>
    <w:rPr>
      <w:b/>
      <w:bCs/>
    </w:rPr>
  </w:style>
  <w:style w:type="paragraph" w:styleId="BalloonText">
    <w:name w:val="Balloon Text"/>
    <w:basedOn w:val="Normal"/>
    <w:link w:val="BalloonTextChar"/>
    <w:rsid w:val="00250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7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01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D7D"/>
  </w:style>
  <w:style w:type="paragraph" w:styleId="Revision">
    <w:name w:val="Revision"/>
    <w:hidden/>
    <w:uiPriority w:val="99"/>
    <w:semiHidden/>
    <w:rsid w:val="003729DD"/>
  </w:style>
  <w:style w:type="paragraph" w:styleId="ListParagraph">
    <w:name w:val="List Paragraph"/>
    <w:basedOn w:val="Normal"/>
    <w:uiPriority w:val="34"/>
    <w:qFormat/>
    <w:rsid w:val="00A3645B"/>
    <w:pPr>
      <w:ind w:left="720"/>
      <w:contextualSpacing/>
    </w:pPr>
  </w:style>
  <w:style w:type="paragraph" w:customStyle="1" w:styleId="subsection">
    <w:name w:val="subsection"/>
    <w:aliases w:val="ss,Subsection"/>
    <w:basedOn w:val="Normal"/>
    <w:rsid w:val="00A176DA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napToGrid w:val="0"/>
      <w:sz w:val="22"/>
      <w:lang w:eastAsia="en-US"/>
    </w:rPr>
  </w:style>
  <w:style w:type="character" w:customStyle="1" w:styleId="Text-Normal">
    <w:name w:val="Text - Normal"/>
    <w:uiPriority w:val="1"/>
    <w:unhideWhenUsed/>
    <w:qFormat/>
    <w:rsid w:val="00A176DA"/>
    <w:rPr>
      <w:color w:val="000000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B4752E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eastAsiaTheme="minorEastAsia" w:hAnsi="Times" w:cs="Times"/>
      <w:sz w:val="26"/>
      <w:szCs w:val="26"/>
    </w:rPr>
  </w:style>
  <w:style w:type="paragraph" w:customStyle="1" w:styleId="NoteBody2">
    <w:name w:val="Note Body 2"/>
    <w:basedOn w:val="Normal"/>
    <w:rsid w:val="00B4752E"/>
    <w:pPr>
      <w:autoSpaceDE w:val="0"/>
      <w:autoSpaceDN w:val="0"/>
      <w:spacing w:before="120" w:after="120" w:line="260" w:lineRule="atLeast"/>
      <w:jc w:val="both"/>
    </w:pPr>
    <w:rPr>
      <w:rFonts w:ascii="Times" w:hAnsi="Times" w:cs="Times"/>
      <w:sz w:val="22"/>
      <w:szCs w:val="22"/>
    </w:rPr>
  </w:style>
  <w:style w:type="paragraph" w:customStyle="1" w:styleId="r10">
    <w:name w:val="r1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r2">
    <w:name w:val="r2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"/>
    <w:rsid w:val="006E079A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6E07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395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9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618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5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14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134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0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D31F9-9D7F-4B9B-B4A0-CFA202BF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DBCDE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Dept Laptop</dc:creator>
  <cp:lastModifiedBy>nlaffey</cp:lastModifiedBy>
  <cp:revision>2</cp:revision>
  <cp:lastPrinted>2014-06-18T06:34:00Z</cp:lastPrinted>
  <dcterms:created xsi:type="dcterms:W3CDTF">2014-07-15T01:46:00Z</dcterms:created>
  <dcterms:modified xsi:type="dcterms:W3CDTF">2014-07-15T01:46:00Z</dcterms:modified>
</cp:coreProperties>
</file>