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4C481D">
        <w:t>r 35</w:t>
      </w:r>
      <w:r w:rsidR="00F555F3">
        <w:t xml:space="preserve"> (</w:t>
      </w:r>
      <w:r w:rsidR="004C481D">
        <w:t>Additional safety measures for bulk carriers</w:t>
      </w:r>
      <w:r w:rsidR="00F555F3">
        <w:t>) 2014</w:t>
      </w:r>
      <w:r>
        <w:t xml:space="preserve"> </w:t>
      </w:r>
      <w:r w:rsidR="00506142">
        <w:t xml:space="preserve">(Order </w:t>
      </w:r>
      <w:r w:rsidR="006E2A8C">
        <w:t>201</w:t>
      </w:r>
      <w:r w:rsidR="00F555F3">
        <w:t>4</w:t>
      </w:r>
      <w:r w:rsidR="00EA5ED3">
        <w:t>/13</w:t>
      </w:r>
      <w:r w:rsidR="00BA6239">
        <w:t>)</w:t>
      </w:r>
    </w:p>
    <w:p w:rsidR="009B015D" w:rsidRDefault="009B015D" w:rsidP="009B015D">
      <w:pPr>
        <w:pStyle w:val="LDAmendHeading"/>
        <w:ind w:left="0" w:firstLine="0"/>
      </w:pPr>
      <w:r>
        <w:t>Authority</w:t>
      </w:r>
    </w:p>
    <w:p w:rsidR="004C481D" w:rsidRDefault="004C481D" w:rsidP="004C481D">
      <w:pPr>
        <w:pStyle w:val="LDMinuteParagraph"/>
      </w:pPr>
      <w:r w:rsidRPr="004C481D">
        <w:t xml:space="preserve">Subsection 112(5) of the </w:t>
      </w:r>
      <w:r w:rsidRPr="005B2E34">
        <w:rPr>
          <w:i/>
        </w:rPr>
        <w:t>Navigation Act 2012</w:t>
      </w:r>
      <w:r w:rsidRPr="004C481D">
        <w:t xml:space="preserve"> (the Navigation Act) </w:t>
      </w:r>
      <w:r>
        <w:t>provides that regulations may be made for the loading, stowing or carriage of cargo in vessels, the unloading of cargo from vessels, and the giving of notices for the loading, or the unloading, stowage or carriage of cargo into vessels.</w:t>
      </w:r>
    </w:p>
    <w:p w:rsidR="004C481D" w:rsidRDefault="004C481D" w:rsidP="004C481D">
      <w:pPr>
        <w:pStyle w:val="LDMinuteParagraph"/>
      </w:pPr>
      <w:r>
        <w:t xml:space="preserve">Subsection 339(2)(a) </w:t>
      </w:r>
      <w:r w:rsidRPr="004C481D">
        <w:t xml:space="preserve">of the Navigation Act </w:t>
      </w:r>
      <w:r>
        <w:t>provides that regulations may be made for the design and construction of vessels.</w:t>
      </w:r>
    </w:p>
    <w:p w:rsidR="004C481D" w:rsidRDefault="004C481D" w:rsidP="004C481D">
      <w:pPr>
        <w:pStyle w:val="LDMinuteParagraph"/>
      </w:pPr>
      <w:r>
        <w:t xml:space="preserve">Subsection 339(2)(e) </w:t>
      </w:r>
      <w:r w:rsidRPr="004C481D">
        <w:t xml:space="preserve">of the Navigation Act </w:t>
      </w:r>
      <w:r>
        <w:t>provides that regulations may be made for the stability of vessels.</w:t>
      </w:r>
    </w:p>
    <w:p w:rsidR="004C481D" w:rsidRDefault="004C481D" w:rsidP="004C481D">
      <w:pPr>
        <w:pStyle w:val="LDMinuteParagraph"/>
      </w:pPr>
      <w:r>
        <w:t>Subsection 340(1)(a)</w:t>
      </w:r>
      <w:r w:rsidRPr="003A3E67">
        <w:t xml:space="preserve"> </w:t>
      </w:r>
      <w:r w:rsidRPr="004C481D">
        <w:t xml:space="preserve">of the Navigation Act </w:t>
      </w:r>
      <w:r w:rsidRPr="003A3E67">
        <w:t>provide</w:t>
      </w:r>
      <w:r>
        <w:t>s</w:t>
      </w:r>
      <w:r w:rsidRPr="003A3E67">
        <w:t xml:space="preserve"> </w:t>
      </w:r>
      <w:r>
        <w:t>that</w:t>
      </w:r>
      <w:r w:rsidRPr="003A3E67">
        <w:t xml:space="preserve"> regulations </w:t>
      </w:r>
      <w:r>
        <w:t>may</w:t>
      </w:r>
      <w:r w:rsidRPr="003A3E67">
        <w:t xml:space="preserve"> </w:t>
      </w:r>
      <w:r>
        <w:t>be made to give effect to</w:t>
      </w:r>
      <w:r w:rsidR="00A973E7">
        <w:t xml:space="preserve"> the</w:t>
      </w:r>
      <w:r w:rsidR="00A973E7" w:rsidRPr="00A973E7">
        <w:t xml:space="preserve"> </w:t>
      </w:r>
      <w:r w:rsidR="00A973E7" w:rsidRPr="00CE6F45">
        <w:t>International Convention for the Safety of Life at Sea</w:t>
      </w:r>
      <w:r>
        <w:t xml:space="preserve"> </w:t>
      </w:r>
      <w:r w:rsidR="00A973E7">
        <w:t>(</w:t>
      </w:r>
      <w:r>
        <w:t>SOLAS</w:t>
      </w:r>
      <w:r w:rsidR="00A973E7">
        <w:t>)</w:t>
      </w:r>
      <w:r>
        <w:t>.</w:t>
      </w:r>
    </w:p>
    <w:p w:rsidR="004C481D" w:rsidRDefault="004C481D" w:rsidP="004C481D">
      <w:pPr>
        <w:pStyle w:val="LDMinuteParagraph"/>
      </w:pPr>
      <w:r>
        <w:t xml:space="preserve">Section 341 </w:t>
      </w:r>
      <w:r w:rsidRPr="004C481D">
        <w:t xml:space="preserve">of the Navigation Act </w:t>
      </w:r>
      <w:r>
        <w:t>provides that regulations may impose penalties.</w:t>
      </w:r>
    </w:p>
    <w:p w:rsidR="004C481D" w:rsidRDefault="004C481D" w:rsidP="004C481D">
      <w:pPr>
        <w:pStyle w:val="LDMinuteParagraph"/>
      </w:pPr>
      <w:r>
        <w:t>S</w:t>
      </w:r>
      <w:r w:rsidRPr="003A3E67">
        <w:t xml:space="preserve">ubsection 339(1) of the Navigation Act provides </w:t>
      </w:r>
      <w:r>
        <w:t xml:space="preserve">that </w:t>
      </w:r>
      <w:r w:rsidRPr="003A3E67">
        <w:t xml:space="preserve">regulations </w:t>
      </w:r>
      <w:r>
        <w:t>may</w:t>
      </w:r>
      <w:r w:rsidRPr="003A3E67">
        <w:t xml:space="preserve"> be made prescribing matters required or permitted to be prescribed, or that are necessary or convenient to be prescribed</w:t>
      </w:r>
      <w:r>
        <w:t>,</w:t>
      </w:r>
      <w:r w:rsidRPr="003A3E67">
        <w:t xml:space="preserve"> for carrying </w:t>
      </w:r>
      <w:r>
        <w:t>out or giving effect to the Act.</w:t>
      </w:r>
    </w:p>
    <w:p w:rsidR="004C481D" w:rsidRDefault="004C481D" w:rsidP="004C481D">
      <w:pPr>
        <w:pStyle w:val="LDMinuteParagraph"/>
      </w:pPr>
      <w:r>
        <w:t>S</w:t>
      </w:r>
      <w:r w:rsidRPr="003A3E67">
        <w:t>ubsecti</w:t>
      </w:r>
      <w:r>
        <w:t>on 342(1) of t</w:t>
      </w:r>
      <w:bookmarkStart w:id="0" w:name="_GoBack"/>
      <w:bookmarkEnd w:id="0"/>
      <w:r>
        <w:t xml:space="preserve">he Navigation Act </w:t>
      </w:r>
      <w:r w:rsidRPr="003A3E67">
        <w:t xml:space="preserve">provides that AMSA may make </w:t>
      </w:r>
      <w:r>
        <w:t>a Marine O</w:t>
      </w:r>
      <w:r w:rsidRPr="003A3E67">
        <w:t>rder about any matter for which provision must or may be made by regulations.</w:t>
      </w:r>
    </w:p>
    <w:p w:rsidR="007E2790" w:rsidRPr="0066489B" w:rsidRDefault="004C481D" w:rsidP="007E2790">
      <w:pPr>
        <w:pStyle w:val="LDMinuteParagraph"/>
      </w:pPr>
      <w:r>
        <w:rPr>
          <w:shd w:val="clear" w:color="auto" w:fill="FFFFFF"/>
        </w:rPr>
        <w:t>S</w:t>
      </w:r>
      <w:r w:rsidR="007E2790" w:rsidRPr="0066489B">
        <w:rPr>
          <w:shd w:val="clear" w:color="auto" w:fill="FFFFFF"/>
        </w:rPr>
        <w:t>ubsection 33(3) of the</w:t>
      </w:r>
      <w:r w:rsidR="007E2790" w:rsidRPr="0066489B">
        <w:rPr>
          <w:rStyle w:val="apple-converted-space"/>
          <w:color w:val="000000"/>
          <w:sz w:val="25"/>
          <w:szCs w:val="25"/>
          <w:shd w:val="clear" w:color="auto" w:fill="FFFFFF"/>
        </w:rPr>
        <w:t> </w:t>
      </w:r>
      <w:r w:rsidR="007E2790" w:rsidRPr="0066489B">
        <w:rPr>
          <w:i/>
          <w:iCs/>
          <w:shd w:val="clear" w:color="auto" w:fill="FFFFFF"/>
        </w:rPr>
        <w:t>Acts Interpretation Act 1901</w:t>
      </w:r>
      <w:r w:rsidR="007E2790" w:rsidRPr="0066489B">
        <w:rPr>
          <w:iCs/>
          <w:shd w:val="clear" w:color="auto" w:fill="FFFFFF"/>
        </w:rPr>
        <w:t xml:space="preserve"> </w:t>
      </w:r>
      <w:r w:rsidR="007E2790" w:rsidRPr="0066489B">
        <w:rPr>
          <w:shd w:val="clear" w:color="auto" w:fill="FFFFFF"/>
        </w:rPr>
        <w:t>provides that a power in an Act to make a legislative instrument includes the power to repeal or amend the instrument, subject to any conditions that apply to the initial power.</w:t>
      </w:r>
    </w:p>
    <w:p w:rsidR="007E2790" w:rsidRDefault="007E2790" w:rsidP="007E2790">
      <w:pPr>
        <w:pStyle w:val="LDMinuteParagraph"/>
      </w:pPr>
      <w:r>
        <w:t xml:space="preserve">This Order </w:t>
      </w:r>
      <w:r w:rsidRPr="00C722FE">
        <w:t xml:space="preserve">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F15E19">
        <w:t xml:space="preserve">gives effect to </w:t>
      </w:r>
      <w:r w:rsidR="004C481D">
        <w:t xml:space="preserve">Chapter XII of SOLAS, which provides </w:t>
      </w:r>
      <w:r w:rsidR="005B2E34">
        <w:t xml:space="preserve">for </w:t>
      </w:r>
      <w:r w:rsidR="004C481D">
        <w:t xml:space="preserve">structural, stability and other requirements for bulk carriers supplementing those mentioned in other chapters of SOLAS. </w:t>
      </w:r>
    </w:p>
    <w:p w:rsidR="009B015D" w:rsidRPr="00165FFA" w:rsidRDefault="009B015D" w:rsidP="00BB6EA6">
      <w:pPr>
        <w:pStyle w:val="LDAmendHeading"/>
      </w:pPr>
      <w:r w:rsidRPr="00165FFA">
        <w:t>Overview</w:t>
      </w:r>
    </w:p>
    <w:p w:rsidR="009B015D" w:rsidRDefault="00D14039" w:rsidP="00E576E4">
      <w:pPr>
        <w:pStyle w:val="LDMinuteParagraph"/>
      </w:pPr>
      <w:r>
        <w:t>The Navigation Act implements Australia’s obligations under Chapter XII of SOLAS.</w:t>
      </w:r>
    </w:p>
    <w:p w:rsidR="00D14039" w:rsidRPr="00165FFA" w:rsidRDefault="00D14039" w:rsidP="00E576E4">
      <w:pPr>
        <w:pStyle w:val="LDMinuteParagraph"/>
      </w:pPr>
      <w:r>
        <w:t xml:space="preserve">This Order replaces </w:t>
      </w:r>
      <w:r>
        <w:rPr>
          <w:i/>
        </w:rPr>
        <w:t xml:space="preserve">Marine Order </w:t>
      </w:r>
      <w:r w:rsidR="008D563E">
        <w:rPr>
          <w:i/>
        </w:rPr>
        <w:t>35 (Additional safety measures for b</w:t>
      </w:r>
      <w:r>
        <w:rPr>
          <w:i/>
        </w:rPr>
        <w:t>ulk carriers) 200</w:t>
      </w:r>
      <w:r w:rsidR="008D563E">
        <w:rPr>
          <w:i/>
        </w:rPr>
        <w:t>6</w:t>
      </w:r>
      <w:r>
        <w:t xml:space="preserve"> following a review of th</w:t>
      </w:r>
      <w:r w:rsidR="005B2E34">
        <w:t>at</w:t>
      </w:r>
      <w:r>
        <w:t xml:space="preserve"> Order as part of AMSA’s ongoing review of instruments. The structure of the Order has been changed and current legislative drafting style applied. When the Order commences, schedule </w:t>
      </w:r>
      <w:r w:rsidR="008D563E">
        <w:t>20</w:t>
      </w:r>
      <w:r>
        <w:t xml:space="preserve"> of </w:t>
      </w:r>
      <w:r>
        <w:rPr>
          <w:i/>
        </w:rPr>
        <w:t xml:space="preserve">Marine Order 4 (Transitional Modifications) 2013 </w:t>
      </w:r>
      <w:r w:rsidRPr="0036576B">
        <w:t>will cease to have effect because</w:t>
      </w:r>
      <w:r>
        <w:t xml:space="preserve"> that schedule modifies the Order</w:t>
      </w:r>
      <w:r w:rsidR="005B2E34">
        <w:t xml:space="preserve"> that it replaces</w:t>
      </w:r>
      <w:r>
        <w:t>.</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196757">
        <w:t xml:space="preserve">placed on the AMSA website for public comment. </w:t>
      </w:r>
      <w:r w:rsidR="00196757" w:rsidRPr="00B86A59">
        <w:t xml:space="preserve">Over </w:t>
      </w:r>
      <w:r w:rsidR="00D14039" w:rsidRPr="00B86A59">
        <w:t>300</w:t>
      </w:r>
      <w:r w:rsidR="00196757" w:rsidRPr="00B86A59">
        <w:t xml:space="preserve"> stakeholders, including industry organisations and interested government agencies, were invited to participa</w:t>
      </w:r>
      <w:r w:rsidR="008D563E" w:rsidRPr="00B86A59">
        <w:t>te in the consultation process.</w:t>
      </w:r>
      <w:r w:rsidR="00196757" w:rsidRPr="00B86A59">
        <w:t xml:space="preserve"> </w:t>
      </w:r>
      <w:r w:rsidR="00D14039" w:rsidRPr="00B86A59">
        <w:t>One response</w:t>
      </w:r>
      <w:r w:rsidR="00196757" w:rsidRPr="00B86A59">
        <w:t xml:space="preserve"> </w:t>
      </w:r>
      <w:r w:rsidR="00D14039" w:rsidRPr="00B86A59">
        <w:t>was</w:t>
      </w:r>
      <w:r w:rsidR="00196757" w:rsidRPr="00B86A59">
        <w:t xml:space="preserve"> received and th</w:t>
      </w:r>
      <w:r w:rsidR="00D14039" w:rsidRPr="00B86A59">
        <w:t>e issue</w:t>
      </w:r>
      <w:r w:rsidR="00196757" w:rsidRPr="00B86A59">
        <w:t xml:space="preserve"> raised by </w:t>
      </w:r>
      <w:r w:rsidR="00D14039" w:rsidRPr="00B86A59">
        <w:t>this</w:t>
      </w:r>
      <w:r w:rsidR="00196757" w:rsidRPr="00B86A59">
        <w:t xml:space="preserve"> </w:t>
      </w:r>
      <w:r w:rsidR="00D14039" w:rsidRPr="00B86A59">
        <w:t>body</w:t>
      </w:r>
      <w:r w:rsidR="00196757" w:rsidRPr="00B86A59">
        <w:t xml:space="preserve"> </w:t>
      </w:r>
      <w:r w:rsidR="00D14039" w:rsidRPr="00B86A59">
        <w:t>was</w:t>
      </w:r>
      <w:r w:rsidR="00196757" w:rsidRPr="00B86A59">
        <w:t xml:space="preserve"> taken into account in finalising the Order.</w:t>
      </w:r>
    </w:p>
    <w:p w:rsidR="009B015D" w:rsidRPr="009B015D" w:rsidRDefault="00321E86" w:rsidP="00E576E4">
      <w:pPr>
        <w:pStyle w:val="LDMinuteParagraph"/>
      </w:pPr>
      <w:r>
        <w:t>The Office of Best Practice Regulation (OBPR) was also consulted and considered that [the Order dealt with matters of a minor or machinery nature and no regulatory impact statement was required.</w:t>
      </w:r>
      <w:r w:rsidR="00693254">
        <w:t xml:space="preserve">  The OBPR reference number is 15350</w:t>
      </w:r>
      <w:r w:rsidR="00196757">
        <w:t>.</w:t>
      </w:r>
    </w:p>
    <w:p w:rsidR="009B015D" w:rsidRDefault="009B015D" w:rsidP="009B015D">
      <w:pPr>
        <w:pStyle w:val="LDAmendHeading"/>
      </w:pPr>
      <w:r>
        <w:lastRenderedPageBreak/>
        <w:t>Documents incorporated by reference</w:t>
      </w:r>
    </w:p>
    <w:p w:rsidR="009B015D" w:rsidRDefault="00693254" w:rsidP="00E576E4">
      <w:pPr>
        <w:pStyle w:val="LDMinuteParagraph"/>
      </w:pPr>
      <w:r>
        <w:t>This Order incorporates the following documents by reference:</w:t>
      </w:r>
    </w:p>
    <w:p w:rsidR="004C481D" w:rsidRDefault="004C481D" w:rsidP="00693254">
      <w:pPr>
        <w:pStyle w:val="LDMinuteParagraph"/>
        <w:numPr>
          <w:ilvl w:val="0"/>
          <w:numId w:val="4"/>
        </w:numPr>
      </w:pPr>
      <w:r>
        <w:t xml:space="preserve">Chapter XII of SOLAS </w:t>
      </w:r>
    </w:p>
    <w:p w:rsidR="0066489B" w:rsidRPr="004C481D" w:rsidRDefault="004C481D" w:rsidP="00693254">
      <w:pPr>
        <w:pStyle w:val="LDMinuteParagraph"/>
        <w:numPr>
          <w:ilvl w:val="0"/>
          <w:numId w:val="4"/>
        </w:numPr>
      </w:pPr>
      <w:r w:rsidRPr="003A3E67">
        <w:rPr>
          <w:i/>
        </w:rPr>
        <w:t>Marine Order 1 (Administration) 201</w:t>
      </w:r>
      <w:r>
        <w:rPr>
          <w:i/>
        </w:rPr>
        <w:t>3</w:t>
      </w:r>
    </w:p>
    <w:p w:rsidR="004C481D" w:rsidRDefault="004C481D" w:rsidP="004C481D">
      <w:pPr>
        <w:pStyle w:val="LDMinuteParagraph"/>
        <w:numPr>
          <w:ilvl w:val="0"/>
          <w:numId w:val="4"/>
        </w:numPr>
      </w:pPr>
      <w:r>
        <w:rPr>
          <w:i/>
        </w:rPr>
        <w:t>Marine Order 34</w:t>
      </w:r>
      <w:r w:rsidRPr="003A3E67">
        <w:rPr>
          <w:i/>
        </w:rPr>
        <w:t xml:space="preserve"> (</w:t>
      </w:r>
      <w:r>
        <w:rPr>
          <w:i/>
        </w:rPr>
        <w:t>Solid bulk cargoes</w:t>
      </w:r>
      <w:r w:rsidRPr="003A3E67">
        <w:rPr>
          <w:i/>
        </w:rPr>
        <w:t>) 20</w:t>
      </w:r>
      <w:r w:rsidR="008D563E">
        <w:rPr>
          <w:i/>
        </w:rPr>
        <w:t>07</w:t>
      </w:r>
    </w:p>
    <w:p w:rsidR="004C481D" w:rsidRPr="004C481D" w:rsidRDefault="004C481D" w:rsidP="00693254">
      <w:pPr>
        <w:pStyle w:val="LDMinuteParagraph"/>
        <w:numPr>
          <w:ilvl w:val="0"/>
          <w:numId w:val="4"/>
        </w:numPr>
      </w:pPr>
      <w:r w:rsidRPr="006753B3">
        <w:rPr>
          <w:lang w:val="en-US"/>
        </w:rPr>
        <w:t>IMO Resolution MSC.277(85)</w:t>
      </w:r>
    </w:p>
    <w:p w:rsidR="0066489B" w:rsidRDefault="004C481D" w:rsidP="004E48BF">
      <w:pPr>
        <w:pStyle w:val="LDMinuteParagraph"/>
        <w:numPr>
          <w:ilvl w:val="0"/>
          <w:numId w:val="4"/>
        </w:numPr>
      </w:pPr>
      <w:r>
        <w:t>IACS Unified Requirements:</w:t>
      </w:r>
    </w:p>
    <w:p w:rsidR="004C481D" w:rsidRPr="004C481D" w:rsidRDefault="004C481D" w:rsidP="004C481D">
      <w:pPr>
        <w:pStyle w:val="LDMinuteParagraph"/>
        <w:numPr>
          <w:ilvl w:val="1"/>
          <w:numId w:val="4"/>
        </w:numPr>
      </w:pPr>
      <w:r>
        <w:rPr>
          <w:i/>
        </w:rPr>
        <w:t xml:space="preserve">UR S17 </w:t>
      </w:r>
      <w:r w:rsidRPr="00C92479">
        <w:rPr>
          <w:i/>
        </w:rPr>
        <w:t>Longitudinal strength of hull girder in flooded condition for bulk carriers</w:t>
      </w:r>
      <w:r>
        <w:rPr>
          <w:i/>
        </w:rPr>
        <w:t xml:space="preserve"> </w:t>
      </w:r>
    </w:p>
    <w:p w:rsidR="004C481D" w:rsidRPr="004C481D" w:rsidRDefault="004C481D" w:rsidP="004C481D">
      <w:pPr>
        <w:pStyle w:val="LDMinuteParagraph"/>
        <w:numPr>
          <w:ilvl w:val="1"/>
          <w:numId w:val="4"/>
        </w:numPr>
      </w:pPr>
      <w:r w:rsidRPr="00C93C2D">
        <w:rPr>
          <w:i/>
        </w:rPr>
        <w:t>UR S20</w:t>
      </w:r>
      <w:r>
        <w:t xml:space="preserve"> </w:t>
      </w:r>
      <w:r w:rsidRPr="00C92479">
        <w:rPr>
          <w:i/>
        </w:rPr>
        <w:t>Evaluation of allowable hold loading for bulk carriers considering hold flooding</w:t>
      </w:r>
      <w:r>
        <w:rPr>
          <w:i/>
        </w:rPr>
        <w:t xml:space="preserve"> </w:t>
      </w:r>
    </w:p>
    <w:p w:rsidR="004C481D" w:rsidRPr="004C481D" w:rsidRDefault="004C481D" w:rsidP="004C481D">
      <w:pPr>
        <w:pStyle w:val="LDMinuteParagraph"/>
        <w:numPr>
          <w:ilvl w:val="1"/>
          <w:numId w:val="4"/>
        </w:numPr>
      </w:pPr>
      <w:r w:rsidRPr="00C93C2D">
        <w:rPr>
          <w:i/>
        </w:rPr>
        <w:t>UR S18</w:t>
      </w:r>
      <w:r>
        <w:t xml:space="preserve"> </w:t>
      </w:r>
      <w:r w:rsidRPr="00C92479">
        <w:rPr>
          <w:i/>
        </w:rPr>
        <w:t>Evaluation of scantlings of corrugated transverse watertight bulkheads in bulk carriers considering hold flooding</w:t>
      </w:r>
    </w:p>
    <w:p w:rsidR="004C481D" w:rsidRDefault="004C481D" w:rsidP="004C481D">
      <w:pPr>
        <w:pStyle w:val="LDMinuteParagraph"/>
        <w:numPr>
          <w:ilvl w:val="0"/>
          <w:numId w:val="5"/>
        </w:numPr>
      </w:pPr>
      <w:r>
        <w:t xml:space="preserve">IMO Circular MSC/Circ.646 </w:t>
      </w:r>
      <w:r w:rsidRPr="00D26313">
        <w:rPr>
          <w:i/>
        </w:rPr>
        <w:t>R</w:t>
      </w:r>
      <w:r w:rsidRPr="00D26313">
        <w:rPr>
          <w:bCs/>
          <w:i/>
        </w:rPr>
        <w:t>ecommendations for the fitting of hull stress monitoring systems</w:t>
      </w:r>
    </w:p>
    <w:p w:rsidR="004250D2" w:rsidRDefault="004250D2" w:rsidP="004250D2">
      <w:pPr>
        <w:pStyle w:val="LDMinuteParagraph"/>
        <w:tabs>
          <w:tab w:val="clear" w:pos="142"/>
        </w:tabs>
        <w:ind w:left="0"/>
      </w:pPr>
      <w:r>
        <w:t xml:space="preserve">Copies of IMO resolutions and circulars mentioned in the Order </w:t>
      </w:r>
      <w:r w:rsidRPr="00542ACC">
        <w:t xml:space="preserve">are available on </w:t>
      </w:r>
      <w:r w:rsidRPr="00D46AD7">
        <w:t xml:space="preserve">AMSA’s website at </w:t>
      </w:r>
      <w:r w:rsidRPr="005B2E34">
        <w:rPr>
          <w:u w:val="single"/>
        </w:rPr>
        <w:t>http://www.amsa.gov.au</w:t>
      </w:r>
      <w:r>
        <w:t>. IMO</w:t>
      </w:r>
      <w:r w:rsidRPr="00D46AD7">
        <w:t xml:space="preserve"> documents may </w:t>
      </w:r>
      <w:r>
        <w:t xml:space="preserve">also </w:t>
      </w:r>
      <w:r w:rsidRPr="00D46AD7">
        <w:t>be pur</w:t>
      </w:r>
      <w:r>
        <w:t>chased from the IMO </w:t>
      </w:r>
      <w:r w:rsidRPr="00D46AD7">
        <w:t xml:space="preserve">— see the IMO website at </w:t>
      </w:r>
      <w:r w:rsidRPr="005B2E34">
        <w:rPr>
          <w:u w:val="single"/>
        </w:rPr>
        <w:t>http://www.imo.org/publications</w:t>
      </w:r>
      <w:r>
        <w:t>.</w:t>
      </w:r>
    </w:p>
    <w:p w:rsidR="00007792" w:rsidRDefault="00007792" w:rsidP="00007792">
      <w:pPr>
        <w:pStyle w:val="LDAmendHeading"/>
      </w:pPr>
      <w:r>
        <w:t>Commencement</w:t>
      </w:r>
    </w:p>
    <w:p w:rsidR="00007792" w:rsidRDefault="004144B3" w:rsidP="00007792">
      <w:pPr>
        <w:pStyle w:val="LDMinuteParagraph"/>
      </w:pPr>
      <w:r>
        <w:t xml:space="preserve">This Order commenced on </w:t>
      </w:r>
      <w:r w:rsidR="00C61DB0">
        <w:t>1 August 2014</w:t>
      </w:r>
      <w:r w:rsidR="00007792">
        <w:t>.</w:t>
      </w:r>
    </w:p>
    <w:p w:rsidR="009A3D84" w:rsidRPr="009A3D84" w:rsidRDefault="00007792" w:rsidP="0066489B">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DE5C43" w:rsidRDefault="00DE5C43" w:rsidP="00007792">
      <w:pPr>
        <w:pStyle w:val="LDMinuteParagraph"/>
      </w:pPr>
      <w:r>
        <w:t>Section 1A sets out the commencement of the Order.</w:t>
      </w:r>
    </w:p>
    <w:p w:rsidR="00DE5C43" w:rsidRDefault="00DE5C43" w:rsidP="00007792">
      <w:pPr>
        <w:pStyle w:val="LDMinuteParagraph"/>
      </w:pPr>
      <w:r>
        <w:t xml:space="preserve">Section 1B repeals </w:t>
      </w:r>
      <w:r>
        <w:rPr>
          <w:i/>
        </w:rPr>
        <w:t xml:space="preserve">Marine Order </w:t>
      </w:r>
      <w:r w:rsidR="004C481D">
        <w:rPr>
          <w:i/>
        </w:rPr>
        <w:t>35</w:t>
      </w:r>
      <w:r>
        <w:rPr>
          <w:i/>
        </w:rPr>
        <w:t xml:space="preserve"> (</w:t>
      </w:r>
      <w:r w:rsidR="004C481D">
        <w:rPr>
          <w:i/>
        </w:rPr>
        <w:t>Additional safety measures for bulk carriers</w:t>
      </w:r>
      <w:r>
        <w:rPr>
          <w:i/>
        </w:rPr>
        <w:t>) 2006</w:t>
      </w:r>
      <w:r>
        <w:t>.</w:t>
      </w:r>
    </w:p>
    <w:p w:rsidR="00007792" w:rsidRDefault="00430134" w:rsidP="00007792">
      <w:pPr>
        <w:pStyle w:val="LDMinuteParagraph"/>
      </w:pPr>
      <w:r>
        <w:t xml:space="preserve">Section </w:t>
      </w:r>
      <w:r w:rsidR="00007792">
        <w:t xml:space="preserve">2 </w:t>
      </w:r>
      <w:r w:rsidR="00DE5C43">
        <w:t>states the purpose</w:t>
      </w:r>
      <w:r>
        <w:t xml:space="preserve"> of the Order</w:t>
      </w:r>
      <w:r w:rsidR="00DE5C43">
        <w:t xml:space="preserve">, which is to give effect to </w:t>
      </w:r>
      <w:r w:rsidR="00C04014">
        <w:t>Chapter XII of SOLAS, which provides structural, stability and other requirements for bulk carriers supplementing those mentioned in other chapters of SOLAS</w:t>
      </w:r>
      <w:r>
        <w:t>.</w:t>
      </w:r>
    </w:p>
    <w:p w:rsidR="00430134" w:rsidRDefault="00430134" w:rsidP="00007792">
      <w:pPr>
        <w:pStyle w:val="LDMinuteParagraph"/>
      </w:pPr>
      <w:r>
        <w:t xml:space="preserve">Section </w:t>
      </w:r>
      <w:r w:rsidR="00DE5C43">
        <w:t>3</w:t>
      </w:r>
      <w:r>
        <w:t xml:space="preserve"> sets out the powers in the Navigation Act </w:t>
      </w:r>
      <w:r w:rsidR="0085034C">
        <w:t>that enable</w:t>
      </w:r>
      <w:r>
        <w:t xml:space="preserve"> the Order to be made.</w:t>
      </w:r>
    </w:p>
    <w:p w:rsidR="00DE5C43" w:rsidRDefault="00DE5C43" w:rsidP="00007792">
      <w:pPr>
        <w:pStyle w:val="LDMinuteParagraph"/>
      </w:pPr>
      <w:r>
        <w:t>Section 4 sets out the definitions of terms used in the Order.</w:t>
      </w:r>
    </w:p>
    <w:p w:rsidR="00430134" w:rsidRDefault="00DE5C43" w:rsidP="00007792">
      <w:pPr>
        <w:pStyle w:val="LDMinuteParagraph"/>
      </w:pPr>
      <w:r>
        <w:t>Section 5 sets out the interpretation of terms used in the Order.</w:t>
      </w:r>
    </w:p>
    <w:p w:rsidR="004144B3" w:rsidRDefault="004144B3" w:rsidP="004144B3">
      <w:pPr>
        <w:pStyle w:val="LDMinuteParagraph"/>
      </w:pPr>
      <w:r>
        <w:t>Section 6 provides when a vessel is taken to have been constructed.</w:t>
      </w:r>
    </w:p>
    <w:p w:rsidR="00430134" w:rsidRDefault="004144B3" w:rsidP="00007792">
      <w:pPr>
        <w:pStyle w:val="LDMinuteParagraph"/>
      </w:pPr>
      <w:r>
        <w:t>Section 7</w:t>
      </w:r>
      <w:r w:rsidR="00DE5C43">
        <w:t xml:space="preserve"> </w:t>
      </w:r>
      <w:r w:rsidR="00430134">
        <w:t>describes the vessels</w:t>
      </w:r>
      <w:r w:rsidR="00DE5C43">
        <w:t xml:space="preserve"> to which the Order applies</w:t>
      </w:r>
      <w:r w:rsidR="00430134">
        <w:t>.</w:t>
      </w:r>
    </w:p>
    <w:p w:rsidR="00430134" w:rsidRDefault="0085034C" w:rsidP="00007792">
      <w:pPr>
        <w:pStyle w:val="LDMinuteParagraph"/>
      </w:pPr>
      <w:r>
        <w:t xml:space="preserve">Section </w:t>
      </w:r>
      <w:r w:rsidR="00736FFF">
        <w:t xml:space="preserve">8 provides </w:t>
      </w:r>
      <w:r w:rsidR="00DE0050">
        <w:t>a</w:t>
      </w:r>
      <w:r w:rsidR="00DE0050" w:rsidRPr="003A3E67">
        <w:t xml:space="preserve"> person may apply</w:t>
      </w:r>
      <w:r w:rsidR="00DE0050" w:rsidRPr="00FA072E">
        <w:t xml:space="preserve"> </w:t>
      </w:r>
      <w:r w:rsidR="00DE0050" w:rsidRPr="003A3E67">
        <w:t xml:space="preserve">for an exemption of a vessel from a requirement of this Order in accordance with the application process mentioned in </w:t>
      </w:r>
      <w:r w:rsidR="00DE0050" w:rsidRPr="003A3E67">
        <w:rPr>
          <w:i/>
        </w:rPr>
        <w:t>Marine Order 1 (Administration) 201</w:t>
      </w:r>
      <w:r w:rsidR="00DE0050">
        <w:rPr>
          <w:i/>
        </w:rPr>
        <w:t>3</w:t>
      </w:r>
      <w:r w:rsidR="0071168B">
        <w:t>.</w:t>
      </w:r>
    </w:p>
    <w:p w:rsidR="00736FFF" w:rsidRDefault="00736FFF" w:rsidP="00007792">
      <w:pPr>
        <w:pStyle w:val="LDMinuteParagraph"/>
      </w:pPr>
      <w:r>
        <w:t xml:space="preserve">Section 9 </w:t>
      </w:r>
      <w:r w:rsidR="004144B3">
        <w:t xml:space="preserve">provides a </w:t>
      </w:r>
      <w:r w:rsidR="00DE0050" w:rsidRPr="003A3E67">
        <w:t>person may apply</w:t>
      </w:r>
      <w:r w:rsidR="00DE0050" w:rsidRPr="00FA072E">
        <w:t xml:space="preserve"> </w:t>
      </w:r>
      <w:r w:rsidR="00DE0050" w:rsidRPr="003A3E67">
        <w:t xml:space="preserve">for approval to use an equivalent in accordance with the application process set out in </w:t>
      </w:r>
      <w:r w:rsidR="00695998">
        <w:rPr>
          <w:i/>
        </w:rPr>
        <w:t>Marine Order 1 (Administration) </w:t>
      </w:r>
      <w:r w:rsidR="00DE0050" w:rsidRPr="003A3E67">
        <w:rPr>
          <w:i/>
        </w:rPr>
        <w:t>201</w:t>
      </w:r>
      <w:r w:rsidR="00DE0050">
        <w:rPr>
          <w:i/>
        </w:rPr>
        <w:t>3</w:t>
      </w:r>
      <w:r>
        <w:t>.</w:t>
      </w:r>
    </w:p>
    <w:p w:rsidR="0071168B" w:rsidRDefault="0071168B" w:rsidP="00007792">
      <w:pPr>
        <w:pStyle w:val="LDMinuteParagraph"/>
      </w:pPr>
      <w:r>
        <w:t xml:space="preserve">Division 2 </w:t>
      </w:r>
      <w:r w:rsidR="004144B3">
        <w:t>sets out the</w:t>
      </w:r>
      <w:r>
        <w:t xml:space="preserve"> </w:t>
      </w:r>
      <w:r w:rsidR="00736FFF">
        <w:t>requirements for bulk carriers</w:t>
      </w:r>
      <w:r>
        <w:t>.</w:t>
      </w:r>
    </w:p>
    <w:p w:rsidR="0066489B" w:rsidRDefault="00736FFF" w:rsidP="00007792">
      <w:pPr>
        <w:pStyle w:val="LDMinuteParagraph"/>
      </w:pPr>
      <w:r>
        <w:lastRenderedPageBreak/>
        <w:t>Section 10 provides that vessels that primarily carry dry cargoes in bulk must comply with C</w:t>
      </w:r>
      <w:r w:rsidR="004144B3">
        <w:t>hapter XII of SOLAS</w:t>
      </w:r>
      <w:r w:rsidR="0066489B">
        <w:t>.</w:t>
      </w:r>
      <w:r w:rsidR="004144B3">
        <w:t xml:space="preserve"> </w:t>
      </w:r>
      <w:r w:rsidR="00695998">
        <w:t>It</w:t>
      </w:r>
      <w:r w:rsidR="004144B3">
        <w:t xml:space="preserve"> also provides that a vessel is not required to comply in specified circumstances.</w:t>
      </w:r>
    </w:p>
    <w:p w:rsidR="00736FFF" w:rsidRDefault="00736FFF" w:rsidP="00736FFF">
      <w:pPr>
        <w:pStyle w:val="LDMinuteParagraph"/>
      </w:pPr>
      <w:r>
        <w:t xml:space="preserve">Section 11 provides that vessels that </w:t>
      </w:r>
      <w:r w:rsidR="004144B3">
        <w:t>occasionally</w:t>
      </w:r>
      <w:r>
        <w:t xml:space="preserve"> carry</w:t>
      </w:r>
      <w:r w:rsidR="004144B3">
        <w:t>ing</w:t>
      </w:r>
      <w:r>
        <w:t xml:space="preserve"> dry cargoes in bulk </w:t>
      </w:r>
      <w:r w:rsidR="0059453C">
        <w:t xml:space="preserve">and constructed after 30 June 2010 </w:t>
      </w:r>
      <w:r>
        <w:t xml:space="preserve">must meet the requirements in </w:t>
      </w:r>
      <w:r w:rsidR="0059453C">
        <w:t xml:space="preserve">paragraph 1.6 or 1.7 of </w:t>
      </w:r>
      <w:r w:rsidRPr="006753B3">
        <w:rPr>
          <w:lang w:val="en-US"/>
        </w:rPr>
        <w:t>IMO Resolution MSC.277(85)</w:t>
      </w:r>
      <w:r>
        <w:t>.</w:t>
      </w:r>
    </w:p>
    <w:p w:rsidR="00736FFF" w:rsidRDefault="007C5D2F" w:rsidP="00736FFF">
      <w:pPr>
        <w:pStyle w:val="LDMinuteParagraph"/>
      </w:pPr>
      <w:r>
        <w:t>Section 12</w:t>
      </w:r>
      <w:r w:rsidR="00B67946">
        <w:t xml:space="preserve"> provides that solid bulk cargoes with a certain density must comply notification requirements required by </w:t>
      </w:r>
      <w:r w:rsidR="00B67946" w:rsidRPr="00B67946">
        <w:rPr>
          <w:i/>
        </w:rPr>
        <w:t>Marine Order 34 (Solid bulk cargoes) 2007</w:t>
      </w:r>
      <w:r w:rsidR="00B67946">
        <w:t>.</w:t>
      </w:r>
    </w:p>
    <w:p w:rsidR="00B67946" w:rsidRDefault="007C5D2F" w:rsidP="00007792">
      <w:pPr>
        <w:pStyle w:val="LDMinuteParagraph"/>
      </w:pPr>
      <w:r>
        <w:t>Section 13</w:t>
      </w:r>
      <w:r w:rsidR="00B67946">
        <w:t xml:space="preserve"> provides loading requirements for solid bulk cargoes.</w:t>
      </w:r>
    </w:p>
    <w:p w:rsidR="00B67946" w:rsidRDefault="00B67946" w:rsidP="00007792">
      <w:pPr>
        <w:pStyle w:val="LDMinuteParagraph"/>
      </w:pPr>
      <w:r>
        <w:t>Division 3 provides additional requirements for regulated Australian vessels</w:t>
      </w:r>
      <w:r w:rsidR="00695998">
        <w:t>.</w:t>
      </w:r>
    </w:p>
    <w:p w:rsidR="00B67946" w:rsidRDefault="00B67946" w:rsidP="00007792">
      <w:pPr>
        <w:pStyle w:val="LDMinuteParagraph"/>
      </w:pPr>
      <w:r>
        <w:t>S</w:t>
      </w:r>
      <w:r w:rsidR="007C5D2F">
        <w:t>ection 14</w:t>
      </w:r>
      <w:r>
        <w:t xml:space="preserve"> provides construction requirements for bulk carriers that are regulated Australian vessels.</w:t>
      </w:r>
    </w:p>
    <w:p w:rsidR="00B67946" w:rsidRDefault="007C5D2F" w:rsidP="00007792">
      <w:pPr>
        <w:pStyle w:val="LDMinuteParagraph"/>
      </w:pPr>
      <w:r>
        <w:t>Section 15</w:t>
      </w:r>
      <w:r w:rsidR="00B67946">
        <w:t xml:space="preserve"> provides that hull stress monitoring system</w:t>
      </w:r>
      <w:r w:rsidR="00DE0050">
        <w:t>s, if</w:t>
      </w:r>
      <w:r w:rsidR="00B67946">
        <w:t xml:space="preserve"> </w:t>
      </w:r>
      <w:r w:rsidR="00DE0050">
        <w:t xml:space="preserve">fitted, </w:t>
      </w:r>
      <w:r w:rsidR="00B67946">
        <w:t>must comply with certain specifications.</w:t>
      </w:r>
    </w:p>
    <w:p w:rsidR="00B67946" w:rsidRDefault="007C5D2F" w:rsidP="00007792">
      <w:pPr>
        <w:pStyle w:val="LDMinuteParagraph"/>
      </w:pPr>
      <w:r>
        <w:t>Section 16</w:t>
      </w:r>
      <w:r w:rsidR="00B67946">
        <w:t xml:space="preserve"> </w:t>
      </w:r>
      <w:r w:rsidR="00C04014">
        <w:t>provides that, for certain vessels, there must be a safe and practical means of accessing tanks, cargo holds and ballast spaces for maintenance purposes and to enable the hull structure of the vesse</w:t>
      </w:r>
      <w:r>
        <w:t>l to be examined during survey.</w:t>
      </w:r>
    </w:p>
    <w:p w:rsidR="007C5D2F" w:rsidRDefault="007C5D2F" w:rsidP="007C5D2F">
      <w:pPr>
        <w:pStyle w:val="LDMinuteParagraph"/>
      </w:pPr>
      <w:r>
        <w:t xml:space="preserve">Section 17 provides </w:t>
      </w:r>
      <w:r w:rsidRPr="003A3E67">
        <w:t>regulated Australian vessel</w:t>
      </w:r>
      <w:r>
        <w:t xml:space="preserve"> to which regulation 11 of Chapter XII applies must ensure that the vessel is fitted with a loading instrument approved by an issuing body.</w:t>
      </w:r>
    </w:p>
    <w:p w:rsidR="007C5D2F" w:rsidRDefault="007C5D2F" w:rsidP="007C5D2F">
      <w:pPr>
        <w:pStyle w:val="LDMinuteParagraph"/>
      </w:pPr>
      <w:r>
        <w:t xml:space="preserve">Division </w:t>
      </w:r>
      <w:r w:rsidR="00695998">
        <w:t>4</w:t>
      </w:r>
      <w:r>
        <w:t xml:space="preserve"> contains 1 section only. </w:t>
      </w:r>
      <w:r w:rsidR="00FA59F9">
        <w:t>Section 18</w:t>
      </w:r>
      <w:r>
        <w:t xml:space="preserve"> sets out matters for the statement for carrying dry cargos in bulk for regulated Australian vessels.</w:t>
      </w:r>
    </w:p>
    <w:p w:rsidR="00990056" w:rsidRDefault="00990056" w:rsidP="00007792">
      <w:pPr>
        <w:pStyle w:val="LDAmendHeading"/>
      </w:pPr>
      <w:r>
        <w:t>Compatibility with human rights</w:t>
      </w:r>
    </w:p>
    <w:p w:rsidR="004E3842" w:rsidRPr="00B67946" w:rsidRDefault="00E2679C" w:rsidP="00990056">
      <w:pPr>
        <w:pStyle w:val="LDMinuteParagraph"/>
      </w:pPr>
      <w:r>
        <w:t>This statement is made for subsection 9(1) of the</w:t>
      </w:r>
      <w:r>
        <w:rPr>
          <w:i/>
        </w:rPr>
        <w:t xml:space="preserve"> Human Rights (Parliamentary Scrutiny) Act 2011</w:t>
      </w:r>
      <w:r w:rsidR="00F8601E">
        <w:rPr>
          <w:i/>
        </w:rPr>
        <w:t>.</w:t>
      </w:r>
    </w:p>
    <w:p w:rsidR="00695998" w:rsidRDefault="00695998" w:rsidP="00165FFA">
      <w:pPr>
        <w:pStyle w:val="LDMinuteParagraph"/>
        <w:tabs>
          <w:tab w:val="num" w:pos="0"/>
        </w:tabs>
      </w:pPr>
      <w:r>
        <w:t xml:space="preserve">This Order </w:t>
      </w:r>
      <w:r w:rsidR="00A973E7">
        <w:t xml:space="preserve">gives effect to Chapter XII of </w:t>
      </w:r>
      <w:r w:rsidR="00A973E7" w:rsidRPr="00CE6F45">
        <w:t>International Convention for the Safety of Life at Sea</w:t>
      </w:r>
      <w:r w:rsidR="00A973E7">
        <w:t xml:space="preserve"> (SOLAS), which provides for structural, stability and other requirements for bulk carriers supplementing those mentioned in other chapters of SOLAS.</w:t>
      </w:r>
    </w:p>
    <w:p w:rsidR="008607CF" w:rsidRDefault="007C5D2F" w:rsidP="00165FFA">
      <w:pPr>
        <w:pStyle w:val="LDMinuteParagraph"/>
        <w:tabs>
          <w:tab w:val="num" w:pos="0"/>
        </w:tabs>
      </w:pPr>
      <w:r>
        <w:t>Section 13</w:t>
      </w:r>
      <w:r w:rsidR="00B8266B">
        <w:t xml:space="preserve"> of</w:t>
      </w:r>
      <w:r>
        <w:t xml:space="preserve"> the Order creates a criminal offence</w:t>
      </w:r>
      <w:r w:rsidR="00165FFA">
        <w:t xml:space="preserve"> to which strict liability applies. </w:t>
      </w:r>
      <w:r>
        <w:t>It</w:t>
      </w:r>
      <w:r w:rsidR="00165FFA">
        <w:t xml:space="preserve"> also create</w:t>
      </w:r>
      <w:r>
        <w:t>s a civil penalty</w:t>
      </w:r>
      <w:r w:rsidR="00165FFA">
        <w:t xml:space="preserve">. </w:t>
      </w:r>
      <w:r w:rsidR="008607CF">
        <w:t>The penalties are low (50 penalty units) and the pena</w:t>
      </w:r>
      <w:r>
        <w:t xml:space="preserve">lty provisions are directed at </w:t>
      </w:r>
      <w:r w:rsidR="008607CF">
        <w:t>masters and owners of vessels, rather than the community at large and are regulatory in nature.</w:t>
      </w:r>
      <w:r w:rsidR="008607CF" w:rsidRPr="008607CF">
        <w:t xml:space="preserve"> </w:t>
      </w:r>
      <w:r w:rsidR="00796BBC">
        <w:t xml:space="preserve">The objective of the penalty provisions is to prevent potentially catastrophic loss of vessels due to failings in structural strength and stability. </w:t>
      </w:r>
      <w:r w:rsidR="008607CF">
        <w:t>The criminal penalty pr</w:t>
      </w:r>
      <w:r>
        <w:t>ovision</w:t>
      </w:r>
      <w:r w:rsidR="008607CF">
        <w:t xml:space="preserve"> </w:t>
      </w:r>
      <w:r>
        <w:t>is</w:t>
      </w:r>
      <w:r w:rsidR="008607CF">
        <w:t xml:space="preserve"> authorised by paragraph 341(1)(a) of the Navigation Act. T</w:t>
      </w:r>
      <w:r>
        <w:t xml:space="preserve">he civil penalty provision is </w:t>
      </w:r>
      <w:r w:rsidR="008607CF">
        <w:t>authorised by paragraph 341(1)(b) of the Navigation Act.</w:t>
      </w:r>
    </w:p>
    <w:p w:rsidR="00165FFA" w:rsidRDefault="00165FFA" w:rsidP="00165FFA">
      <w:pPr>
        <w:pStyle w:val="LDMinuteParagraph"/>
        <w:tabs>
          <w:tab w:val="num" w:pos="0"/>
        </w:tabs>
      </w:pPr>
      <w:r>
        <w:t xml:space="preserve">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xml:space="preserve">.  Civil penalty provisions may engage the criminal process provisions under Articles 14 and 15 of the ICCPR. </w:t>
      </w:r>
    </w:p>
    <w:p w:rsidR="00165FFA" w:rsidRDefault="00165FFA" w:rsidP="007C5D2F">
      <w:pPr>
        <w:pStyle w:val="LDMinuteParagraph"/>
        <w:tabs>
          <w:tab w:val="num" w:pos="0"/>
        </w:tabs>
      </w:pPr>
      <w:r>
        <w:t xml:space="preserve">Strict liability is imposed </w:t>
      </w:r>
      <w:r w:rsidR="00B8266B">
        <w:t xml:space="preserve">to ensure </w:t>
      </w:r>
      <w:r>
        <w:t>that</w:t>
      </w:r>
      <w:r w:rsidR="007C5D2F">
        <w:t xml:space="preserve"> </w:t>
      </w:r>
      <w:r w:rsidR="00CF6C92">
        <w:t>a vessel is</w:t>
      </w:r>
      <w:r w:rsidR="00B8266B">
        <w:t xml:space="preserve"> not loaded with solid bulk cargo </w:t>
      </w:r>
      <w:r w:rsidR="00AA7143">
        <w:t>a density of at least 1780 </w:t>
      </w:r>
      <w:r w:rsidR="00AA7143" w:rsidRPr="00F713A6">
        <w:t>kg/m</w:t>
      </w:r>
      <w:r w:rsidR="00AA7143" w:rsidRPr="007C5D2F">
        <w:rPr>
          <w:vertAlign w:val="superscript"/>
        </w:rPr>
        <w:t>3</w:t>
      </w:r>
      <w:r w:rsidR="00CF6C92">
        <w:t xml:space="preserve">, </w:t>
      </w:r>
      <w:r w:rsidR="00AA7143" w:rsidRPr="00F713A6">
        <w:t>if</w:t>
      </w:r>
      <w:r w:rsidR="00AA7143">
        <w:t xml:space="preserve"> </w:t>
      </w:r>
      <w:r w:rsidR="00B8266B">
        <w:t>regulation 6 or 7 appl</w:t>
      </w:r>
      <w:r w:rsidR="00CF6C92">
        <w:t>ies</w:t>
      </w:r>
      <w:r w:rsidR="00B8266B">
        <w:t xml:space="preserve"> to the vessel and the vessel does not comply with </w:t>
      </w:r>
      <w:r w:rsidR="00AA7143">
        <w:t>th</w:t>
      </w:r>
      <w:r w:rsidR="00A973E7">
        <w:t>at</w:t>
      </w:r>
      <w:r w:rsidR="00CF6C92">
        <w:t xml:space="preserve"> </w:t>
      </w:r>
      <w:r w:rsidR="007C5D2F">
        <w:t>regulation.</w:t>
      </w:r>
    </w:p>
    <w:p w:rsidR="006A2BE0" w:rsidRDefault="006A2BE0" w:rsidP="00FC20F7">
      <w:pPr>
        <w:pStyle w:val="LDMinuteParagraph"/>
        <w:tabs>
          <w:tab w:val="num" w:pos="0"/>
        </w:tabs>
      </w:pPr>
      <w:r>
        <w:t>Having regard to the objectives</w:t>
      </w:r>
      <w:r w:rsidR="007C5D2F">
        <w:t xml:space="preserve"> of the civil penalty provision</w:t>
      </w:r>
      <w:r>
        <w:t xml:space="preserve"> (which </w:t>
      </w:r>
      <w:r w:rsidR="007C5D2F">
        <w:t>is</w:t>
      </w:r>
      <w:r>
        <w:t xml:space="preserve"> protective, preventative, disciplinary or regulatory in nature), and the relatively low level</w:t>
      </w:r>
      <w:r w:rsidR="00FA59F9">
        <w:t xml:space="preserve"> of penalty, the civil penalty</w:t>
      </w:r>
      <w:r>
        <w:t xml:space="preserve"> should not be considered to be criminal matters for </w:t>
      </w:r>
      <w:r>
        <w:lastRenderedPageBreak/>
        <w:t>human rights law.  It is considered any limitation on human rights as a result of the imposition of strict liability and the creation of</w:t>
      </w:r>
      <w:r w:rsidR="00FA59F9">
        <w:t xml:space="preserve"> a</w:t>
      </w:r>
      <w:r>
        <w:t xml:space="preserve"> civil </w:t>
      </w:r>
      <w:r w:rsidR="00FA59F9">
        <w:t>penal</w:t>
      </w:r>
      <w:r w:rsidR="003969B7">
        <w:t>t</w:t>
      </w:r>
      <w:r w:rsidR="00FA59F9">
        <w:t>y</w:t>
      </w:r>
      <w:r>
        <w:t xml:space="preserve"> is reasonable, necessary and proportionate.</w:t>
      </w:r>
    </w:p>
    <w:p w:rsidR="00F15E19" w:rsidRDefault="00F15E19" w:rsidP="00FC20F7">
      <w:pPr>
        <w:pStyle w:val="LDMinuteParagraph"/>
        <w:tabs>
          <w:tab w:val="num" w:pos="0"/>
        </w:tabs>
      </w:pPr>
      <w:r>
        <w:t xml:space="preserve">This Order is made under the </w:t>
      </w:r>
      <w:r w:rsidRPr="00A973E7">
        <w:rPr>
          <w:i/>
        </w:rPr>
        <w:t>Navigation Ac</w:t>
      </w:r>
      <w:r w:rsidR="00A973E7" w:rsidRPr="00A973E7">
        <w:rPr>
          <w:i/>
        </w:rPr>
        <w:t>t 2012</w:t>
      </w:r>
      <w:r w:rsidR="00BB0718">
        <w:t>.</w:t>
      </w:r>
    </w:p>
    <w:p w:rsidR="00990056" w:rsidRDefault="00990056" w:rsidP="00990056">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w:t>
      </w:r>
      <w:r w:rsidR="00A973E7">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4250D2">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43" w:rsidRDefault="00AA7143">
      <w:r>
        <w:separator/>
      </w:r>
    </w:p>
  </w:endnote>
  <w:endnote w:type="continuationSeparator" w:id="0">
    <w:p w:rsidR="00AA7143" w:rsidRDefault="00A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Default="00AA7143" w:rsidP="00760EAE">
    <w:pPr>
      <w:framePr w:wrap="around" w:vAnchor="text" w:hAnchor="margin" w:xAlign="right" w:y="1"/>
    </w:pPr>
    <w:r>
      <w:fldChar w:fldCharType="begin"/>
    </w:r>
    <w:r>
      <w:instrText xml:space="preserve">PAGE  </w:instrText>
    </w:r>
    <w:r>
      <w:fldChar w:fldCharType="end"/>
    </w:r>
  </w:p>
  <w:p w:rsidR="00AA7143" w:rsidRDefault="00AA7143"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Pr="00506142" w:rsidRDefault="00C61DB0" w:rsidP="00506142">
    <w:pPr>
      <w:pStyle w:val="Footer"/>
      <w:pBdr>
        <w:top w:val="single" w:sz="4" w:space="1" w:color="auto"/>
      </w:pBdr>
      <w:rPr>
        <w:rFonts w:ascii="Arial" w:hAnsi="Arial" w:cs="Arial"/>
        <w:sz w:val="16"/>
        <w:szCs w:val="16"/>
      </w:rPr>
    </w:pPr>
    <w:r w:rsidRPr="00C61DB0">
      <w:rPr>
        <w:rFonts w:ascii="Arial" w:hAnsi="Arial" w:cs="Arial"/>
        <w:i/>
        <w:sz w:val="16"/>
        <w:szCs w:val="16"/>
      </w:rPr>
      <w:t>Marine Order 35 (Additional safety measures for bulk carriers) 2014</w:t>
    </w:r>
    <w:r w:rsidR="00AA7143" w:rsidRPr="00C61DB0">
      <w:rPr>
        <w:rStyle w:val="PageNumber"/>
      </w:rPr>
      <w:tab/>
    </w:r>
    <w:r w:rsidR="00AA7143" w:rsidRPr="00DE2A5F">
      <w:rPr>
        <w:rStyle w:val="PageNumber"/>
        <w:rFonts w:ascii="Arial" w:hAnsi="Arial" w:cs="Arial"/>
        <w:sz w:val="16"/>
        <w:szCs w:val="16"/>
      </w:rPr>
      <w:fldChar w:fldCharType="begin"/>
    </w:r>
    <w:r w:rsidR="00AA7143" w:rsidRPr="00DE2A5F">
      <w:rPr>
        <w:rStyle w:val="PageNumber"/>
        <w:rFonts w:ascii="Arial" w:hAnsi="Arial" w:cs="Arial"/>
        <w:sz w:val="16"/>
        <w:szCs w:val="16"/>
      </w:rPr>
      <w:instrText xml:space="preserve"> PAGE </w:instrText>
    </w:r>
    <w:r w:rsidR="00AA7143" w:rsidRPr="00DE2A5F">
      <w:rPr>
        <w:rStyle w:val="PageNumber"/>
        <w:rFonts w:ascii="Arial" w:hAnsi="Arial" w:cs="Arial"/>
        <w:sz w:val="16"/>
        <w:szCs w:val="16"/>
      </w:rPr>
      <w:fldChar w:fldCharType="separate"/>
    </w:r>
    <w:r>
      <w:rPr>
        <w:rStyle w:val="PageNumber"/>
        <w:rFonts w:ascii="Arial" w:hAnsi="Arial" w:cs="Arial"/>
        <w:noProof/>
        <w:sz w:val="16"/>
        <w:szCs w:val="16"/>
      </w:rPr>
      <w:t>4</w:t>
    </w:r>
    <w:r w:rsidR="00AA7143"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43" w:rsidRDefault="00AA7143">
      <w:r>
        <w:separator/>
      </w:r>
    </w:p>
  </w:footnote>
  <w:footnote w:type="continuationSeparator" w:id="0">
    <w:p w:rsidR="00AA7143" w:rsidRDefault="00AA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Default="00AA7143" w:rsidP="00545B58">
    <w:pPr>
      <w:framePr w:wrap="around" w:vAnchor="text" w:hAnchor="margin" w:xAlign="center" w:y="1"/>
    </w:pPr>
    <w:r>
      <w:fldChar w:fldCharType="begin"/>
    </w:r>
    <w:r>
      <w:instrText xml:space="preserve">PAGE  </w:instrText>
    </w:r>
    <w:r>
      <w:fldChar w:fldCharType="end"/>
    </w:r>
  </w:p>
  <w:p w:rsidR="00AA7143" w:rsidRDefault="00AA71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A18"/>
    <w:multiLevelType w:val="hybridMultilevel"/>
    <w:tmpl w:val="E4BA2FCE"/>
    <w:lvl w:ilvl="0" w:tplc="C3BA677E">
      <w:start w:val="1"/>
      <w:numFmt w:val="lowerRoman"/>
      <w:lvlText w:val="(%1)"/>
      <w:lvlJc w:val="left"/>
      <w:pPr>
        <w:ind w:left="1447" w:hanging="720"/>
      </w:pPr>
      <w:rPr>
        <w:rFonts w:hint="default"/>
      </w:rPr>
    </w:lvl>
    <w:lvl w:ilvl="1" w:tplc="0C090019" w:tentative="1">
      <w:start w:val="1"/>
      <w:numFmt w:val="lowerLetter"/>
      <w:lvlText w:val="%2."/>
      <w:lvlJc w:val="left"/>
      <w:pPr>
        <w:ind w:left="1807" w:hanging="360"/>
      </w:pPr>
    </w:lvl>
    <w:lvl w:ilvl="2" w:tplc="0C09001B" w:tentative="1">
      <w:start w:val="1"/>
      <w:numFmt w:val="lowerRoman"/>
      <w:lvlText w:val="%3."/>
      <w:lvlJc w:val="right"/>
      <w:pPr>
        <w:ind w:left="2527" w:hanging="180"/>
      </w:pPr>
    </w:lvl>
    <w:lvl w:ilvl="3" w:tplc="0C09000F" w:tentative="1">
      <w:start w:val="1"/>
      <w:numFmt w:val="decimal"/>
      <w:lvlText w:val="%4."/>
      <w:lvlJc w:val="left"/>
      <w:pPr>
        <w:ind w:left="3247" w:hanging="360"/>
      </w:pPr>
    </w:lvl>
    <w:lvl w:ilvl="4" w:tplc="0C090019" w:tentative="1">
      <w:start w:val="1"/>
      <w:numFmt w:val="lowerLetter"/>
      <w:lvlText w:val="%5."/>
      <w:lvlJc w:val="left"/>
      <w:pPr>
        <w:ind w:left="3967" w:hanging="360"/>
      </w:pPr>
    </w:lvl>
    <w:lvl w:ilvl="5" w:tplc="0C09001B" w:tentative="1">
      <w:start w:val="1"/>
      <w:numFmt w:val="lowerRoman"/>
      <w:lvlText w:val="%6."/>
      <w:lvlJc w:val="right"/>
      <w:pPr>
        <w:ind w:left="4687" w:hanging="180"/>
      </w:pPr>
    </w:lvl>
    <w:lvl w:ilvl="6" w:tplc="0C09000F" w:tentative="1">
      <w:start w:val="1"/>
      <w:numFmt w:val="decimal"/>
      <w:lvlText w:val="%7."/>
      <w:lvlJc w:val="left"/>
      <w:pPr>
        <w:ind w:left="5407" w:hanging="360"/>
      </w:pPr>
    </w:lvl>
    <w:lvl w:ilvl="7" w:tplc="0C090019" w:tentative="1">
      <w:start w:val="1"/>
      <w:numFmt w:val="lowerLetter"/>
      <w:lvlText w:val="%8."/>
      <w:lvlJc w:val="left"/>
      <w:pPr>
        <w:ind w:left="6127" w:hanging="360"/>
      </w:pPr>
    </w:lvl>
    <w:lvl w:ilvl="8" w:tplc="0C09001B" w:tentative="1">
      <w:start w:val="1"/>
      <w:numFmt w:val="lowerRoman"/>
      <w:lvlText w:val="%9."/>
      <w:lvlJc w:val="right"/>
      <w:pPr>
        <w:ind w:left="6847" w:hanging="180"/>
      </w:pPr>
    </w:lvl>
  </w:abstractNum>
  <w:abstractNum w:abstractNumId="1">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9204E80"/>
    <w:multiLevelType w:val="hybridMultilevel"/>
    <w:tmpl w:val="74208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AD2CCC"/>
    <w:multiLevelType w:val="hybridMultilevel"/>
    <w:tmpl w:val="A230B1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nsid w:val="74566AD1"/>
    <w:multiLevelType w:val="hybridMultilevel"/>
    <w:tmpl w:val="E4BA2FCE"/>
    <w:lvl w:ilvl="0" w:tplc="C3BA677E">
      <w:start w:val="1"/>
      <w:numFmt w:val="lowerRoman"/>
      <w:lvlText w:val="(%1)"/>
      <w:lvlJc w:val="left"/>
      <w:pPr>
        <w:ind w:left="1447" w:hanging="720"/>
      </w:pPr>
      <w:rPr>
        <w:rFonts w:hint="default"/>
      </w:rPr>
    </w:lvl>
    <w:lvl w:ilvl="1" w:tplc="0C090019" w:tentative="1">
      <w:start w:val="1"/>
      <w:numFmt w:val="lowerLetter"/>
      <w:lvlText w:val="%2."/>
      <w:lvlJc w:val="left"/>
      <w:pPr>
        <w:ind w:left="1807" w:hanging="360"/>
      </w:pPr>
    </w:lvl>
    <w:lvl w:ilvl="2" w:tplc="0C09001B" w:tentative="1">
      <w:start w:val="1"/>
      <w:numFmt w:val="lowerRoman"/>
      <w:lvlText w:val="%3."/>
      <w:lvlJc w:val="right"/>
      <w:pPr>
        <w:ind w:left="2527" w:hanging="180"/>
      </w:pPr>
    </w:lvl>
    <w:lvl w:ilvl="3" w:tplc="0C09000F" w:tentative="1">
      <w:start w:val="1"/>
      <w:numFmt w:val="decimal"/>
      <w:lvlText w:val="%4."/>
      <w:lvlJc w:val="left"/>
      <w:pPr>
        <w:ind w:left="3247" w:hanging="360"/>
      </w:pPr>
    </w:lvl>
    <w:lvl w:ilvl="4" w:tplc="0C090019" w:tentative="1">
      <w:start w:val="1"/>
      <w:numFmt w:val="lowerLetter"/>
      <w:lvlText w:val="%5."/>
      <w:lvlJc w:val="left"/>
      <w:pPr>
        <w:ind w:left="3967" w:hanging="360"/>
      </w:pPr>
    </w:lvl>
    <w:lvl w:ilvl="5" w:tplc="0C09001B" w:tentative="1">
      <w:start w:val="1"/>
      <w:numFmt w:val="lowerRoman"/>
      <w:lvlText w:val="%6."/>
      <w:lvlJc w:val="right"/>
      <w:pPr>
        <w:ind w:left="4687" w:hanging="180"/>
      </w:pPr>
    </w:lvl>
    <w:lvl w:ilvl="6" w:tplc="0C09000F" w:tentative="1">
      <w:start w:val="1"/>
      <w:numFmt w:val="decimal"/>
      <w:lvlText w:val="%7."/>
      <w:lvlJc w:val="left"/>
      <w:pPr>
        <w:ind w:left="5407" w:hanging="360"/>
      </w:pPr>
    </w:lvl>
    <w:lvl w:ilvl="7" w:tplc="0C090019" w:tentative="1">
      <w:start w:val="1"/>
      <w:numFmt w:val="lowerLetter"/>
      <w:lvlText w:val="%8."/>
      <w:lvlJc w:val="left"/>
      <w:pPr>
        <w:ind w:left="6127" w:hanging="360"/>
      </w:pPr>
    </w:lvl>
    <w:lvl w:ilvl="8" w:tplc="0C09001B" w:tentative="1">
      <w:start w:val="1"/>
      <w:numFmt w:val="lowerRoman"/>
      <w:lvlText w:val="%9."/>
      <w:lvlJc w:val="right"/>
      <w:pPr>
        <w:ind w:left="6847"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46"/>
    <w:rsid w:val="00007792"/>
    <w:rsid w:val="000479EC"/>
    <w:rsid w:val="0006314D"/>
    <w:rsid w:val="00083A6A"/>
    <w:rsid w:val="0010381F"/>
    <w:rsid w:val="00147CFF"/>
    <w:rsid w:val="00165FFA"/>
    <w:rsid w:val="001710F5"/>
    <w:rsid w:val="00173281"/>
    <w:rsid w:val="00187967"/>
    <w:rsid w:val="00196757"/>
    <w:rsid w:val="001D419C"/>
    <w:rsid w:val="001F02B3"/>
    <w:rsid w:val="00255D36"/>
    <w:rsid w:val="00270686"/>
    <w:rsid w:val="00296E83"/>
    <w:rsid w:val="002D7C61"/>
    <w:rsid w:val="002E0E8E"/>
    <w:rsid w:val="003141EB"/>
    <w:rsid w:val="00317AE8"/>
    <w:rsid w:val="00321E86"/>
    <w:rsid w:val="0032325C"/>
    <w:rsid w:val="0033718F"/>
    <w:rsid w:val="00346D0C"/>
    <w:rsid w:val="003969B7"/>
    <w:rsid w:val="003B2EEF"/>
    <w:rsid w:val="003C0D84"/>
    <w:rsid w:val="00413F57"/>
    <w:rsid w:val="004144B3"/>
    <w:rsid w:val="00422775"/>
    <w:rsid w:val="004250D2"/>
    <w:rsid w:val="00430134"/>
    <w:rsid w:val="00432C95"/>
    <w:rsid w:val="004511D5"/>
    <w:rsid w:val="00481043"/>
    <w:rsid w:val="0049360B"/>
    <w:rsid w:val="004B55BC"/>
    <w:rsid w:val="004C481D"/>
    <w:rsid w:val="004E3842"/>
    <w:rsid w:val="004E48BF"/>
    <w:rsid w:val="004F40C1"/>
    <w:rsid w:val="00506142"/>
    <w:rsid w:val="00524E04"/>
    <w:rsid w:val="00545B58"/>
    <w:rsid w:val="0059453C"/>
    <w:rsid w:val="0059658F"/>
    <w:rsid w:val="005B2E34"/>
    <w:rsid w:val="005B52F3"/>
    <w:rsid w:val="005C1A63"/>
    <w:rsid w:val="005F3B6C"/>
    <w:rsid w:val="0066489B"/>
    <w:rsid w:val="00693254"/>
    <w:rsid w:val="00695998"/>
    <w:rsid w:val="00697B63"/>
    <w:rsid w:val="006A2BE0"/>
    <w:rsid w:val="006A6E0B"/>
    <w:rsid w:val="006B4921"/>
    <w:rsid w:val="006C119E"/>
    <w:rsid w:val="006E2A8C"/>
    <w:rsid w:val="007005C4"/>
    <w:rsid w:val="0071168B"/>
    <w:rsid w:val="00736FFF"/>
    <w:rsid w:val="0073794C"/>
    <w:rsid w:val="00760EAE"/>
    <w:rsid w:val="00796BBC"/>
    <w:rsid w:val="007C5D2F"/>
    <w:rsid w:val="007E2790"/>
    <w:rsid w:val="007E4842"/>
    <w:rsid w:val="0085034C"/>
    <w:rsid w:val="008607CF"/>
    <w:rsid w:val="008969FF"/>
    <w:rsid w:val="008D563E"/>
    <w:rsid w:val="008E2884"/>
    <w:rsid w:val="009030D5"/>
    <w:rsid w:val="00974171"/>
    <w:rsid w:val="00990056"/>
    <w:rsid w:val="009930DC"/>
    <w:rsid w:val="009A3D84"/>
    <w:rsid w:val="009B015D"/>
    <w:rsid w:val="009B2616"/>
    <w:rsid w:val="009C3750"/>
    <w:rsid w:val="009E2A3F"/>
    <w:rsid w:val="009F7B4D"/>
    <w:rsid w:val="00A302C2"/>
    <w:rsid w:val="00A338C9"/>
    <w:rsid w:val="00A346B9"/>
    <w:rsid w:val="00A42FE5"/>
    <w:rsid w:val="00A53961"/>
    <w:rsid w:val="00A973E7"/>
    <w:rsid w:val="00AA3689"/>
    <w:rsid w:val="00AA7143"/>
    <w:rsid w:val="00AD3979"/>
    <w:rsid w:val="00AF16BD"/>
    <w:rsid w:val="00B1667C"/>
    <w:rsid w:val="00B17F50"/>
    <w:rsid w:val="00B36E48"/>
    <w:rsid w:val="00B4479A"/>
    <w:rsid w:val="00B67946"/>
    <w:rsid w:val="00B81AC2"/>
    <w:rsid w:val="00B8266B"/>
    <w:rsid w:val="00B86A59"/>
    <w:rsid w:val="00B95AA1"/>
    <w:rsid w:val="00B95EA6"/>
    <w:rsid w:val="00B97324"/>
    <w:rsid w:val="00BA6239"/>
    <w:rsid w:val="00BB0718"/>
    <w:rsid w:val="00BB6EA6"/>
    <w:rsid w:val="00C04014"/>
    <w:rsid w:val="00C061DE"/>
    <w:rsid w:val="00C42B38"/>
    <w:rsid w:val="00C61DB0"/>
    <w:rsid w:val="00C82C66"/>
    <w:rsid w:val="00CD63EE"/>
    <w:rsid w:val="00CF6C92"/>
    <w:rsid w:val="00D14039"/>
    <w:rsid w:val="00D37A0B"/>
    <w:rsid w:val="00D60F7F"/>
    <w:rsid w:val="00D740FD"/>
    <w:rsid w:val="00DB23FD"/>
    <w:rsid w:val="00DE0050"/>
    <w:rsid w:val="00DE2E3D"/>
    <w:rsid w:val="00DE5C43"/>
    <w:rsid w:val="00DE752E"/>
    <w:rsid w:val="00E118EB"/>
    <w:rsid w:val="00E14DCC"/>
    <w:rsid w:val="00E2679C"/>
    <w:rsid w:val="00E576E4"/>
    <w:rsid w:val="00E90ECA"/>
    <w:rsid w:val="00EA5ED3"/>
    <w:rsid w:val="00EE313B"/>
    <w:rsid w:val="00EE71A2"/>
    <w:rsid w:val="00F03023"/>
    <w:rsid w:val="00F0537A"/>
    <w:rsid w:val="00F15E19"/>
    <w:rsid w:val="00F174A2"/>
    <w:rsid w:val="00F54626"/>
    <w:rsid w:val="00F555F3"/>
    <w:rsid w:val="00F63BD0"/>
    <w:rsid w:val="00F660D0"/>
    <w:rsid w:val="00F83864"/>
    <w:rsid w:val="00F8601E"/>
    <w:rsid w:val="00F96E46"/>
    <w:rsid w:val="00FA59F9"/>
    <w:rsid w:val="00FB71D1"/>
    <w:rsid w:val="00FC20F7"/>
    <w:rsid w:val="00FD5D46"/>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rsid w:val="00B17F50"/>
    <w:rPr>
      <w:color w:val="0000FF" w:themeColor="hyperlink"/>
      <w:u w:val="single"/>
    </w:rPr>
  </w:style>
  <w:style w:type="character" w:customStyle="1" w:styleId="LDClauseChar">
    <w:name w:val="LDClause Char"/>
    <w:basedOn w:val="LDBodytextChar"/>
    <w:link w:val="LDClause"/>
    <w:rsid w:val="004C481D"/>
    <w:rPr>
      <w:sz w:val="24"/>
      <w:szCs w:val="24"/>
      <w:lang w:val="en-AU" w:eastAsia="en-US" w:bidi="ar-SA"/>
    </w:rPr>
  </w:style>
  <w:style w:type="character" w:customStyle="1" w:styleId="LDP1aChar">
    <w:name w:val="LDP1(a) Char"/>
    <w:link w:val="LDP1a"/>
    <w:locked/>
    <w:rsid w:val="004C481D"/>
    <w:rPr>
      <w:sz w:val="24"/>
      <w:szCs w:val="24"/>
      <w:lang w:eastAsia="en-US"/>
    </w:rPr>
  </w:style>
  <w:style w:type="character" w:customStyle="1" w:styleId="CharSectNo">
    <w:name w:val="CharSectNo"/>
    <w:rsid w:val="00AA71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rsid w:val="00B17F50"/>
    <w:rPr>
      <w:color w:val="0000FF" w:themeColor="hyperlink"/>
      <w:u w:val="single"/>
    </w:rPr>
  </w:style>
  <w:style w:type="character" w:customStyle="1" w:styleId="LDClauseChar">
    <w:name w:val="LDClause Char"/>
    <w:basedOn w:val="LDBodytextChar"/>
    <w:link w:val="LDClause"/>
    <w:rsid w:val="004C481D"/>
    <w:rPr>
      <w:sz w:val="24"/>
      <w:szCs w:val="24"/>
      <w:lang w:val="en-AU" w:eastAsia="en-US" w:bidi="ar-SA"/>
    </w:rPr>
  </w:style>
  <w:style w:type="character" w:customStyle="1" w:styleId="LDP1aChar">
    <w:name w:val="LDP1(a) Char"/>
    <w:link w:val="LDP1a"/>
    <w:locked/>
    <w:rsid w:val="004C481D"/>
    <w:rPr>
      <w:sz w:val="24"/>
      <w:szCs w:val="24"/>
      <w:lang w:eastAsia="en-US"/>
    </w:rPr>
  </w:style>
  <w:style w:type="character" w:customStyle="1" w:styleId="CharSectNo">
    <w:name w:val="CharSectNo"/>
    <w:rsid w:val="00AA71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1739</TotalTime>
  <Pages>4</Pages>
  <Words>1443</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Dodgson, Patrick</cp:lastModifiedBy>
  <cp:revision>31</cp:revision>
  <cp:lastPrinted>2014-06-26T03:58:00Z</cp:lastPrinted>
  <dcterms:created xsi:type="dcterms:W3CDTF">2014-04-07T00:57:00Z</dcterms:created>
  <dcterms:modified xsi:type="dcterms:W3CDTF">2014-07-16T01:55:00Z</dcterms:modified>
</cp:coreProperties>
</file>