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DE4" w:rsidRDefault="00547DE4" w:rsidP="00547DE4">
      <w:pPr>
        <w:pStyle w:val="Heading2"/>
      </w:pPr>
      <w:bookmarkStart w:id="0" w:name="_Toc320631367"/>
      <w:bookmarkStart w:id="1" w:name="_Toc365904144"/>
      <w:bookmarkStart w:id="2" w:name="_Toc387850963"/>
      <w:r>
        <w:t>Explanatory Statement</w:t>
      </w:r>
      <w:bookmarkEnd w:id="0"/>
      <w:bookmarkEnd w:id="1"/>
      <w:bookmarkEnd w:id="2"/>
    </w:p>
    <w:p w:rsidR="00547DE4" w:rsidRPr="000576EB" w:rsidRDefault="00547DE4" w:rsidP="00547DE4">
      <w:pPr>
        <w:rPr>
          <w:b/>
          <w:lang w:val="en-AU" w:eastAsia="en-GB" w:bidi="ar-SA"/>
        </w:rPr>
      </w:pPr>
      <w:r w:rsidRPr="000576EB">
        <w:rPr>
          <w:b/>
          <w:lang w:val="en-AU" w:eastAsia="en-GB" w:bidi="ar-SA"/>
        </w:rPr>
        <w:t>1.</w:t>
      </w:r>
      <w:r w:rsidRPr="000576EB">
        <w:rPr>
          <w:b/>
          <w:lang w:val="en-AU" w:eastAsia="en-GB" w:bidi="ar-SA"/>
        </w:rPr>
        <w:tab/>
        <w:t>Authority</w:t>
      </w:r>
    </w:p>
    <w:p w:rsidR="00547DE4" w:rsidRDefault="00547DE4" w:rsidP="00547DE4">
      <w:pPr>
        <w:rPr>
          <w:lang w:val="en-AU" w:eastAsia="en-GB" w:bidi="ar-SA"/>
        </w:rPr>
      </w:pPr>
    </w:p>
    <w:p w:rsidR="00547DE4" w:rsidRPr="00AF4B09" w:rsidRDefault="00547DE4" w:rsidP="00547DE4">
      <w:pPr>
        <w:widowControl/>
        <w:autoSpaceDE w:val="0"/>
        <w:autoSpaceDN w:val="0"/>
        <w:adjustRightInd w:val="0"/>
        <w:rPr>
          <w:rFonts w:eastAsia="Calibri" w:cs="Arial"/>
          <w:bCs/>
          <w:szCs w:val="22"/>
          <w:lang w:val="en-AU" w:bidi="ar-SA"/>
        </w:rPr>
      </w:pPr>
      <w:r w:rsidRPr="00AF4B09">
        <w:rPr>
          <w:rFonts w:eastAsia="Calibri" w:cs="Arial"/>
          <w:bCs/>
          <w:szCs w:val="22"/>
          <w:lang w:val="en-AU" w:bidi="ar-SA"/>
        </w:rPr>
        <w:t xml:space="preserve">Section 13 of the </w:t>
      </w:r>
      <w:r w:rsidRPr="00AF4B09">
        <w:rPr>
          <w:rFonts w:eastAsia="Calibri" w:cs="Arial"/>
          <w:bCs/>
          <w:i/>
          <w:szCs w:val="22"/>
          <w:lang w:val="en-AU" w:bidi="ar-SA"/>
        </w:rPr>
        <w:t>Food Standards Australia New Zealand Act 1991</w:t>
      </w:r>
      <w:r w:rsidRPr="00AF4B09">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AF4B09">
        <w:rPr>
          <w:rFonts w:eastAsia="Calibri" w:cs="Arial"/>
          <w:bCs/>
          <w:i/>
          <w:szCs w:val="22"/>
          <w:lang w:val="en-AU" w:bidi="ar-SA"/>
        </w:rPr>
        <w:t>Australia New Zealand Food Standards Code</w:t>
      </w:r>
      <w:r w:rsidRPr="00AF4B09">
        <w:rPr>
          <w:rFonts w:eastAsia="Calibri" w:cs="Arial"/>
          <w:bCs/>
          <w:szCs w:val="22"/>
          <w:lang w:val="en-AU" w:bidi="ar-SA"/>
        </w:rPr>
        <w:t xml:space="preserve"> (the Code).</w:t>
      </w:r>
    </w:p>
    <w:p w:rsidR="00547DE4" w:rsidRPr="00AF4B09" w:rsidRDefault="00547DE4" w:rsidP="00547DE4">
      <w:pPr>
        <w:widowControl/>
        <w:autoSpaceDE w:val="0"/>
        <w:autoSpaceDN w:val="0"/>
        <w:adjustRightInd w:val="0"/>
        <w:rPr>
          <w:rFonts w:eastAsia="Calibri" w:cs="Arial"/>
          <w:bCs/>
          <w:szCs w:val="22"/>
          <w:lang w:val="en-AU" w:bidi="ar-SA"/>
        </w:rPr>
      </w:pPr>
    </w:p>
    <w:p w:rsidR="00547DE4" w:rsidRPr="00AF4B09" w:rsidRDefault="00547DE4" w:rsidP="00547DE4">
      <w:pPr>
        <w:widowControl/>
        <w:autoSpaceDE w:val="0"/>
        <w:autoSpaceDN w:val="0"/>
        <w:adjustRightInd w:val="0"/>
        <w:rPr>
          <w:rFonts w:eastAsia="Calibri" w:cs="Arial"/>
          <w:bCs/>
          <w:szCs w:val="22"/>
          <w:lang w:val="en-AU" w:bidi="ar-SA"/>
        </w:rPr>
      </w:pPr>
      <w:r w:rsidRPr="00AF4B09">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547DE4" w:rsidRPr="00AF4B09" w:rsidRDefault="00547DE4" w:rsidP="00547DE4">
      <w:pPr>
        <w:widowControl/>
        <w:autoSpaceDE w:val="0"/>
        <w:autoSpaceDN w:val="0"/>
        <w:adjustRightInd w:val="0"/>
        <w:rPr>
          <w:rFonts w:eastAsia="Calibri" w:cs="Arial"/>
          <w:bCs/>
          <w:szCs w:val="22"/>
          <w:lang w:val="en-AU" w:bidi="ar-SA"/>
        </w:rPr>
      </w:pPr>
    </w:p>
    <w:p w:rsidR="00547DE4" w:rsidRDefault="00547DE4" w:rsidP="00547DE4">
      <w:pPr>
        <w:pStyle w:val="Bullet"/>
        <w:numPr>
          <w:ilvl w:val="0"/>
          <w:numId w:val="0"/>
        </w:numPr>
        <w:rPr>
          <w:rFonts w:ascii="Arial" w:hAnsi="Arial" w:cs="Arial"/>
          <w:sz w:val="22"/>
          <w:szCs w:val="22"/>
        </w:rPr>
      </w:pPr>
      <w:r w:rsidRPr="00AF4B09">
        <w:rPr>
          <w:rFonts w:ascii="Arial" w:eastAsia="Calibri" w:hAnsi="Arial" w:cs="Arial"/>
          <w:bCs/>
          <w:sz w:val="22"/>
          <w:szCs w:val="22"/>
          <w:lang w:val="en-AU"/>
        </w:rPr>
        <w:t>FSANZ prepared Proposal P1014 to devel</w:t>
      </w:r>
      <w:r>
        <w:rPr>
          <w:rFonts w:ascii="Arial" w:eastAsia="Calibri" w:hAnsi="Arial" w:cs="Arial"/>
          <w:bCs/>
          <w:sz w:val="22"/>
          <w:szCs w:val="22"/>
          <w:lang w:val="en-AU"/>
        </w:rPr>
        <w:t>o</w:t>
      </w:r>
      <w:r w:rsidRPr="00AF4B09">
        <w:rPr>
          <w:rFonts w:ascii="Arial" w:eastAsia="Calibri" w:hAnsi="Arial" w:cs="Arial"/>
          <w:bCs/>
          <w:sz w:val="22"/>
          <w:szCs w:val="22"/>
          <w:lang w:val="en-AU"/>
        </w:rPr>
        <w:t xml:space="preserve">p </w:t>
      </w:r>
      <w:r w:rsidRPr="00AF4B09">
        <w:rPr>
          <w:rFonts w:ascii="Arial" w:hAnsi="Arial" w:cs="Arial"/>
          <w:sz w:val="22"/>
          <w:szCs w:val="22"/>
        </w:rPr>
        <w:t>an Australia</w:t>
      </w:r>
      <w:r>
        <w:rPr>
          <w:rFonts w:ascii="Arial" w:hAnsi="Arial" w:cs="Arial"/>
          <w:sz w:val="22"/>
          <w:szCs w:val="22"/>
        </w:rPr>
        <w:t>-</w:t>
      </w:r>
      <w:r w:rsidRPr="00AF4B09">
        <w:rPr>
          <w:rFonts w:ascii="Arial" w:hAnsi="Arial" w:cs="Arial"/>
          <w:sz w:val="22"/>
          <w:szCs w:val="22"/>
        </w:rPr>
        <w:t xml:space="preserve">only primary production and processing standard for meat and meat products from minor species and wild game to provide a nationally consistent approach to the management of meat safety. The development of a standard for the farmed major species (cattle, sheep, pigs and goats) undertaken under Proposal P1005, has been incorporated into P1014. </w:t>
      </w:r>
    </w:p>
    <w:p w:rsidR="00547DE4" w:rsidRDefault="00547DE4" w:rsidP="00547DE4">
      <w:pPr>
        <w:pStyle w:val="Bullet"/>
        <w:numPr>
          <w:ilvl w:val="0"/>
          <w:numId w:val="0"/>
        </w:numPr>
        <w:rPr>
          <w:rFonts w:ascii="Arial" w:hAnsi="Arial" w:cs="Arial"/>
          <w:sz w:val="22"/>
          <w:szCs w:val="22"/>
        </w:rPr>
      </w:pPr>
    </w:p>
    <w:p w:rsidR="00547DE4" w:rsidRDefault="00547DE4" w:rsidP="00547DE4">
      <w:pPr>
        <w:pStyle w:val="Bullet"/>
        <w:numPr>
          <w:ilvl w:val="0"/>
          <w:numId w:val="0"/>
        </w:numPr>
        <w:rPr>
          <w:rFonts w:ascii="Arial" w:eastAsia="Calibri" w:hAnsi="Arial" w:cs="Arial"/>
          <w:bCs/>
          <w:sz w:val="22"/>
          <w:szCs w:val="22"/>
          <w:lang w:val="en-AU"/>
        </w:rPr>
      </w:pPr>
      <w:r w:rsidRPr="00AF4B09">
        <w:rPr>
          <w:rFonts w:ascii="Arial" w:eastAsia="Calibri" w:hAnsi="Arial" w:cs="Arial"/>
          <w:bCs/>
          <w:sz w:val="22"/>
          <w:szCs w:val="22"/>
          <w:lang w:val="en-AU"/>
        </w:rPr>
        <w:t xml:space="preserve">The Authority considered the Proposal in accordance with Division 2 of Part 3 and has approved a draft Standard. </w:t>
      </w:r>
    </w:p>
    <w:p w:rsidR="00547DE4" w:rsidRDefault="00547DE4" w:rsidP="00547DE4">
      <w:pPr>
        <w:pStyle w:val="Bullet"/>
        <w:numPr>
          <w:ilvl w:val="0"/>
          <w:numId w:val="0"/>
        </w:numPr>
        <w:rPr>
          <w:rFonts w:ascii="Arial" w:eastAsia="Calibri" w:hAnsi="Arial" w:cs="Arial"/>
          <w:bCs/>
          <w:sz w:val="22"/>
          <w:szCs w:val="22"/>
          <w:lang w:val="en-AU"/>
        </w:rPr>
      </w:pPr>
    </w:p>
    <w:p w:rsidR="00547DE4" w:rsidRPr="00D13E34" w:rsidRDefault="00547DE4" w:rsidP="00547DE4">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bookmarkStart w:id="3" w:name="_GoBack"/>
      <w:bookmarkEnd w:id="3"/>
      <w:r>
        <w:rPr>
          <w:rFonts w:cs="Arial"/>
        </w:rPr>
        <w:t>Legislative and Governance Forum on Food Regulation</w:t>
      </w:r>
      <w:r>
        <w:rPr>
          <w:rStyle w:val="FootnoteReference"/>
          <w:rFonts w:cs="Arial"/>
        </w:rPr>
        <w:footnoteReference w:id="1"/>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rsidR="00547DE4" w:rsidRPr="00D13E34" w:rsidRDefault="00547DE4" w:rsidP="00547DE4">
      <w:pPr>
        <w:widowControl/>
        <w:autoSpaceDE w:val="0"/>
        <w:autoSpaceDN w:val="0"/>
        <w:adjustRightInd w:val="0"/>
        <w:rPr>
          <w:rFonts w:eastAsia="Calibri" w:cs="Arial"/>
          <w:bCs/>
          <w:szCs w:val="22"/>
          <w:lang w:val="en-AU" w:bidi="ar-SA"/>
        </w:rPr>
      </w:pPr>
    </w:p>
    <w:p w:rsidR="00547DE4" w:rsidRDefault="00547DE4" w:rsidP="00547DE4">
      <w:pPr>
        <w:widowControl/>
        <w:autoSpaceDE w:val="0"/>
        <w:autoSpaceDN w:val="0"/>
        <w:adjustRightInd w:val="0"/>
        <w:rPr>
          <w:lang w:val="en-AU" w:eastAsia="en-GB"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rsidR="00547DE4" w:rsidRPr="00AF4B09" w:rsidRDefault="00547DE4" w:rsidP="00547DE4">
      <w:pPr>
        <w:widowControl/>
        <w:autoSpaceDE w:val="0"/>
        <w:autoSpaceDN w:val="0"/>
        <w:adjustRightInd w:val="0"/>
        <w:rPr>
          <w:rFonts w:eastAsia="Calibri" w:cs="Arial"/>
          <w:bCs/>
          <w:szCs w:val="22"/>
          <w:lang w:val="en-AU" w:bidi="ar-SA"/>
        </w:rPr>
      </w:pPr>
    </w:p>
    <w:p w:rsidR="00547DE4" w:rsidRPr="00AF4B09" w:rsidRDefault="00547DE4" w:rsidP="00547DE4">
      <w:pPr>
        <w:rPr>
          <w:b/>
          <w:lang w:val="en-AU" w:eastAsia="en-GB" w:bidi="ar-SA"/>
        </w:rPr>
      </w:pPr>
      <w:r w:rsidRPr="00AF4B09">
        <w:rPr>
          <w:b/>
          <w:lang w:val="en-AU" w:eastAsia="en-GB" w:bidi="ar-SA"/>
        </w:rPr>
        <w:t>2.</w:t>
      </w:r>
      <w:r w:rsidRPr="00AF4B09">
        <w:rPr>
          <w:b/>
          <w:lang w:val="en-AU" w:eastAsia="en-GB" w:bidi="ar-SA"/>
        </w:rPr>
        <w:tab/>
        <w:t xml:space="preserve">Purpose </w:t>
      </w:r>
    </w:p>
    <w:p w:rsidR="00547DE4" w:rsidRPr="00AF4B09" w:rsidRDefault="00547DE4" w:rsidP="00547DE4">
      <w:pPr>
        <w:rPr>
          <w:lang w:val="en-AU" w:eastAsia="en-GB" w:bidi="ar-SA"/>
        </w:rPr>
      </w:pPr>
    </w:p>
    <w:p w:rsidR="00547DE4" w:rsidRDefault="00547DE4" w:rsidP="00547DE4">
      <w:pPr>
        <w:rPr>
          <w:lang w:val="en-AU" w:eastAsia="en-GB"/>
        </w:rPr>
      </w:pPr>
      <w:r>
        <w:rPr>
          <w:lang w:val="en-AU" w:eastAsia="en-GB"/>
        </w:rPr>
        <w:t xml:space="preserve">The Authority developed Standard 4.2.3 </w:t>
      </w:r>
      <w:r>
        <w:rPr>
          <w:rFonts w:cs="Arial"/>
          <w:szCs w:val="22"/>
        </w:rPr>
        <w:t xml:space="preserve">to ensure food safety is addressed throughout all parts of the meat supply chain (i.e. from paddock to plate). Currently, regulatory food safety measures are only applied to the processing of meat and meat products. Variations have now been developed to amend </w:t>
      </w:r>
      <w:r w:rsidRPr="00AF4B09">
        <w:rPr>
          <w:rFonts w:cs="Arial"/>
          <w:szCs w:val="22"/>
        </w:rPr>
        <w:t>Standard 4.2.</w:t>
      </w:r>
      <w:r>
        <w:rPr>
          <w:rFonts w:cs="Arial"/>
          <w:szCs w:val="22"/>
        </w:rPr>
        <w:t>3</w:t>
      </w:r>
      <w:r w:rsidRPr="00AF4B09">
        <w:rPr>
          <w:rFonts w:cs="Arial"/>
          <w:szCs w:val="22"/>
        </w:rPr>
        <w:t xml:space="preserve"> to include obligations on primary producers </w:t>
      </w:r>
      <w:r>
        <w:rPr>
          <w:rFonts w:cs="Arial"/>
          <w:szCs w:val="22"/>
        </w:rPr>
        <w:t>in relation to</w:t>
      </w:r>
      <w:r w:rsidRPr="00AF4B09">
        <w:rPr>
          <w:rFonts w:cs="Arial"/>
          <w:szCs w:val="22"/>
        </w:rPr>
        <w:t xml:space="preserve"> traceability and managing inputs and waste</w:t>
      </w:r>
      <w:r>
        <w:rPr>
          <w:rFonts w:cs="Arial"/>
          <w:szCs w:val="22"/>
        </w:rPr>
        <w:t xml:space="preserve">. A consequential amendment has been made to Standard 1.6.2 to delete the processing requirements for crocodile meat as these are covered in an existing Australian Standard for processing.  </w:t>
      </w:r>
    </w:p>
    <w:p w:rsidR="00547DE4" w:rsidRPr="00AF4B09" w:rsidRDefault="00547DE4" w:rsidP="00547DE4">
      <w:pPr>
        <w:rPr>
          <w:lang w:val="en-AU" w:eastAsia="en-GB" w:bidi="ar-SA"/>
        </w:rPr>
      </w:pPr>
    </w:p>
    <w:p w:rsidR="00547DE4" w:rsidRPr="00AF4B09" w:rsidRDefault="00547DE4" w:rsidP="00547DE4">
      <w:pPr>
        <w:rPr>
          <w:b/>
          <w:lang w:val="en-AU" w:eastAsia="en-GB" w:bidi="ar-SA"/>
        </w:rPr>
      </w:pPr>
      <w:r w:rsidRPr="00AF4B09">
        <w:rPr>
          <w:b/>
          <w:lang w:val="en-AU" w:eastAsia="en-GB" w:bidi="ar-SA"/>
        </w:rPr>
        <w:t>3.</w:t>
      </w:r>
      <w:r w:rsidRPr="00AF4B09">
        <w:rPr>
          <w:b/>
          <w:lang w:val="en-AU" w:eastAsia="en-GB" w:bidi="ar-SA"/>
        </w:rPr>
        <w:tab/>
        <w:t>Documents incorporated by reference</w:t>
      </w:r>
    </w:p>
    <w:p w:rsidR="00547DE4" w:rsidRPr="00AF4B09" w:rsidRDefault="00547DE4" w:rsidP="00547DE4">
      <w:pPr>
        <w:rPr>
          <w:lang w:val="en-AU" w:eastAsia="en-GB" w:bidi="ar-SA"/>
        </w:rPr>
      </w:pPr>
    </w:p>
    <w:p w:rsidR="00547DE4" w:rsidRPr="00AF4B09" w:rsidRDefault="00547DE4" w:rsidP="00547DE4">
      <w:pPr>
        <w:widowControl/>
        <w:autoSpaceDE w:val="0"/>
        <w:autoSpaceDN w:val="0"/>
        <w:adjustRightInd w:val="0"/>
        <w:rPr>
          <w:rFonts w:eastAsia="Calibri" w:cs="Arial"/>
          <w:bCs/>
          <w:szCs w:val="22"/>
          <w:lang w:val="en-AU" w:bidi="ar-SA"/>
        </w:rPr>
      </w:pPr>
      <w:r w:rsidRPr="00AF4B09">
        <w:rPr>
          <w:rFonts w:eastAsia="Calibri" w:cs="Arial"/>
          <w:bCs/>
          <w:szCs w:val="22"/>
          <w:lang w:val="en-AU" w:bidi="ar-SA"/>
        </w:rPr>
        <w:t>The variations to food regulatory measures do not incorporate any documents by reference.</w:t>
      </w:r>
    </w:p>
    <w:p w:rsidR="00547DE4" w:rsidRPr="00AF4B09" w:rsidRDefault="00547DE4" w:rsidP="00547DE4">
      <w:pPr>
        <w:rPr>
          <w:lang w:val="en-AU" w:eastAsia="en-GB" w:bidi="ar-SA"/>
        </w:rPr>
      </w:pPr>
    </w:p>
    <w:p w:rsidR="00547DE4" w:rsidRPr="00AF4B09" w:rsidRDefault="00547DE4" w:rsidP="00547DE4">
      <w:pPr>
        <w:rPr>
          <w:b/>
          <w:lang w:val="en-AU" w:eastAsia="en-GB" w:bidi="ar-SA"/>
        </w:rPr>
      </w:pPr>
      <w:r w:rsidRPr="00AF4B09">
        <w:rPr>
          <w:b/>
          <w:lang w:val="en-AU" w:eastAsia="en-GB" w:bidi="ar-SA"/>
        </w:rPr>
        <w:t>4.</w:t>
      </w:r>
      <w:r w:rsidRPr="00AF4B09">
        <w:rPr>
          <w:b/>
          <w:lang w:val="en-AU" w:eastAsia="en-GB" w:bidi="ar-SA"/>
        </w:rPr>
        <w:tab/>
        <w:t>Consultation</w:t>
      </w:r>
    </w:p>
    <w:p w:rsidR="00547DE4" w:rsidRPr="00AF4B09" w:rsidRDefault="00547DE4" w:rsidP="00547DE4">
      <w:pPr>
        <w:rPr>
          <w:lang w:val="en-AU" w:eastAsia="en-GB" w:bidi="ar-SA"/>
        </w:rPr>
      </w:pPr>
    </w:p>
    <w:p w:rsidR="00547DE4" w:rsidRPr="00AF4B09" w:rsidRDefault="00547DE4" w:rsidP="00547DE4">
      <w:pPr>
        <w:rPr>
          <w:lang w:val="en-AU"/>
        </w:rPr>
      </w:pPr>
      <w:r w:rsidRPr="00AF4B09">
        <w:rPr>
          <w:szCs w:val="22"/>
        </w:rPr>
        <w:t xml:space="preserve">In accordance with the procedure in Division 2 of Part 3 of the FSANZ Act, </w:t>
      </w:r>
      <w:r w:rsidRPr="00AF4B09">
        <w:rPr>
          <w:rFonts w:eastAsia="Calibri" w:cs="Arial"/>
          <w:bCs/>
          <w:szCs w:val="22"/>
          <w:lang w:val="en-AU" w:bidi="ar-SA"/>
        </w:rPr>
        <w:t>the Authority</w:t>
      </w:r>
      <w:r w:rsidRPr="00AF4B09">
        <w:rPr>
          <w:szCs w:val="22"/>
        </w:rPr>
        <w:t>’s consideration of Proposal P1014 include</w:t>
      </w:r>
      <w:r>
        <w:rPr>
          <w:szCs w:val="22"/>
        </w:rPr>
        <w:t>d</w:t>
      </w:r>
      <w:r w:rsidRPr="00AF4B09">
        <w:rPr>
          <w:szCs w:val="22"/>
        </w:rPr>
        <w:t xml:space="preserve"> two rounds of public comment following an assessment and the preparation of a draft Standard and associated reports. </w:t>
      </w:r>
    </w:p>
    <w:p w:rsidR="00547DE4" w:rsidRDefault="00547DE4" w:rsidP="00547DE4">
      <w:r>
        <w:br w:type="page"/>
      </w:r>
    </w:p>
    <w:p w:rsidR="00547DE4" w:rsidRDefault="00547DE4" w:rsidP="00547DE4">
      <w:pPr>
        <w:widowControl/>
        <w:autoSpaceDE w:val="0"/>
        <w:autoSpaceDN w:val="0"/>
        <w:adjustRightInd w:val="0"/>
      </w:pPr>
      <w:r w:rsidRPr="00AF4B09">
        <w:lastRenderedPageBreak/>
        <w:t xml:space="preserve">A Standard Development Committee (SDC) was established with representatives from the industry sector, </w:t>
      </w:r>
      <w:r>
        <w:t xml:space="preserve">the Department of Agriculture, </w:t>
      </w:r>
      <w:r w:rsidRPr="00AF4B09">
        <w:t xml:space="preserve">the relevant State and Territory government agencies and consumer organisations to provide ongoing advice to </w:t>
      </w:r>
      <w:r w:rsidRPr="00AF4B09">
        <w:rPr>
          <w:rFonts w:eastAsia="Calibri" w:cs="Arial"/>
          <w:bCs/>
          <w:szCs w:val="22"/>
          <w:lang w:val="en-AU" w:bidi="ar-SA"/>
        </w:rPr>
        <w:t>the Authority</w:t>
      </w:r>
      <w:r w:rsidRPr="00AF4B09">
        <w:t xml:space="preserve"> throughout the standard development process. The SDC contributed a broad spectrum of knowledge and expertise covering industry, government, research and consumers. A Working Group was also established with representatives from the relevant </w:t>
      </w:r>
      <w:r>
        <w:t xml:space="preserve">minor meat species and wild game </w:t>
      </w:r>
      <w:r w:rsidRPr="00AF4B09">
        <w:t xml:space="preserve">industry sectors and State and Territory government agencies to provide ongoing advice to </w:t>
      </w:r>
      <w:r w:rsidRPr="00AF4B09">
        <w:rPr>
          <w:rFonts w:eastAsia="Calibri" w:cs="Arial"/>
          <w:bCs/>
          <w:szCs w:val="22"/>
          <w:lang w:val="en-AU" w:bidi="ar-SA"/>
        </w:rPr>
        <w:t>the Authority</w:t>
      </w:r>
      <w:r w:rsidRPr="00AF4B09">
        <w:t xml:space="preserve"> throughout the standard development process.</w:t>
      </w:r>
    </w:p>
    <w:p w:rsidR="00547DE4" w:rsidRDefault="00547DE4" w:rsidP="00547DE4">
      <w:pPr>
        <w:widowControl/>
        <w:rPr>
          <w:rFonts w:eastAsiaTheme="minorHAnsi" w:cs="Arial"/>
          <w:b/>
          <w:bCs/>
          <w:szCs w:val="22"/>
          <w:lang w:val="en-AU" w:bidi="ar-SA"/>
        </w:rPr>
      </w:pPr>
    </w:p>
    <w:p w:rsidR="00547DE4" w:rsidRDefault="00547DE4" w:rsidP="00547DE4">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547DE4" w:rsidRDefault="00547DE4" w:rsidP="00547DE4">
      <w:pPr>
        <w:rPr>
          <w:rFonts w:eastAsiaTheme="minorHAnsi"/>
          <w:lang w:val="en-AU" w:bidi="ar-SA"/>
        </w:rPr>
      </w:pPr>
    </w:p>
    <w:p w:rsidR="00547DE4" w:rsidRDefault="00547DE4" w:rsidP="00547DE4">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rsidR="00547DE4" w:rsidRDefault="00547DE4" w:rsidP="00547DE4">
      <w:pPr>
        <w:rPr>
          <w:rFonts w:eastAsiaTheme="minorHAnsi"/>
          <w:lang w:val="en-AU" w:bidi="ar-SA"/>
        </w:rPr>
      </w:pPr>
    </w:p>
    <w:p w:rsidR="00547DE4" w:rsidRDefault="00547DE4" w:rsidP="00547DE4">
      <w:pPr>
        <w:rPr>
          <w:b/>
          <w:lang w:val="en-AU" w:eastAsia="en-GB" w:bidi="ar-SA"/>
        </w:rPr>
      </w:pPr>
      <w:r w:rsidRPr="00700239">
        <w:rPr>
          <w:b/>
        </w:rPr>
        <w:t>6.</w:t>
      </w:r>
      <w:r w:rsidRPr="00700239">
        <w:rPr>
          <w:b/>
        </w:rPr>
        <w:tab/>
      </w:r>
      <w:r w:rsidRPr="00700239">
        <w:rPr>
          <w:b/>
          <w:lang w:val="en-AU" w:eastAsia="en-GB" w:bidi="ar-SA"/>
        </w:rPr>
        <w:t>Variation</w:t>
      </w:r>
      <w:r>
        <w:rPr>
          <w:b/>
          <w:lang w:val="en-AU" w:eastAsia="en-GB" w:bidi="ar-SA"/>
        </w:rPr>
        <w:t>s</w:t>
      </w:r>
    </w:p>
    <w:p w:rsidR="00547DE4" w:rsidRDefault="00547DE4" w:rsidP="00547DE4">
      <w:pPr>
        <w:rPr>
          <w:b/>
          <w:lang w:val="en-AU" w:eastAsia="en-GB" w:bidi="ar-SA"/>
        </w:rPr>
      </w:pPr>
    </w:p>
    <w:p w:rsidR="00547DE4" w:rsidRDefault="00547DE4" w:rsidP="00547DE4">
      <w:pPr>
        <w:rPr>
          <w:b/>
          <w:i/>
          <w:lang w:val="en-AU" w:eastAsia="en-GB" w:bidi="ar-SA"/>
        </w:rPr>
      </w:pPr>
      <w:r w:rsidRPr="0046137E">
        <w:rPr>
          <w:b/>
          <w:i/>
          <w:lang w:val="en-AU" w:eastAsia="en-GB" w:bidi="ar-SA"/>
        </w:rPr>
        <w:t>6.1</w:t>
      </w:r>
      <w:r w:rsidRPr="0046137E">
        <w:rPr>
          <w:b/>
          <w:i/>
          <w:lang w:val="en-AU" w:eastAsia="en-GB" w:bidi="ar-SA"/>
        </w:rPr>
        <w:tab/>
        <w:t>Standard 1.6.2.</w:t>
      </w:r>
    </w:p>
    <w:p w:rsidR="00547DE4" w:rsidRDefault="00547DE4" w:rsidP="00547DE4">
      <w:pPr>
        <w:rPr>
          <w:b/>
        </w:rPr>
      </w:pPr>
    </w:p>
    <w:p w:rsidR="00547DE4" w:rsidRPr="00695EC0" w:rsidRDefault="00547DE4" w:rsidP="00547DE4">
      <w:pPr>
        <w:widowControl/>
        <w:rPr>
          <w:rFonts w:cs="Arial"/>
          <w:lang w:bidi="ar-SA"/>
        </w:rPr>
      </w:pPr>
      <w:r w:rsidRPr="005562FA">
        <w:t xml:space="preserve">Item [1] omits clause 6 </w:t>
      </w:r>
      <w:r>
        <w:t xml:space="preserve">and the Editorial Note relating to that clause </w:t>
      </w:r>
      <w:r w:rsidRPr="005562FA">
        <w:t xml:space="preserve">from Standard 1.6.2. </w:t>
      </w:r>
    </w:p>
    <w:p w:rsidR="00547DE4" w:rsidRPr="00695EC0" w:rsidRDefault="00547DE4" w:rsidP="00547DE4">
      <w:pPr>
        <w:widowControl/>
        <w:rPr>
          <w:rFonts w:cs="Arial"/>
          <w:lang w:bidi="ar-SA"/>
        </w:rPr>
      </w:pPr>
    </w:p>
    <w:p w:rsidR="00547DE4" w:rsidRPr="0046137E" w:rsidRDefault="00547DE4" w:rsidP="00547DE4">
      <w:pPr>
        <w:rPr>
          <w:b/>
          <w:i/>
        </w:rPr>
      </w:pPr>
      <w:r w:rsidRPr="0046137E">
        <w:rPr>
          <w:b/>
          <w:i/>
        </w:rPr>
        <w:t>6.2</w:t>
      </w:r>
      <w:r w:rsidRPr="0046137E">
        <w:rPr>
          <w:b/>
          <w:i/>
        </w:rPr>
        <w:tab/>
        <w:t>Standard 4.2.3</w:t>
      </w:r>
    </w:p>
    <w:p w:rsidR="00547DE4" w:rsidRDefault="00547DE4" w:rsidP="00547DE4">
      <w:pPr>
        <w:rPr>
          <w:b/>
        </w:rPr>
      </w:pPr>
    </w:p>
    <w:p w:rsidR="00547DE4" w:rsidRPr="005562FA" w:rsidRDefault="00547DE4" w:rsidP="00547DE4">
      <w:pPr>
        <w:rPr>
          <w:szCs w:val="22"/>
        </w:rPr>
      </w:pPr>
      <w:r w:rsidRPr="005562FA">
        <w:rPr>
          <w:szCs w:val="22"/>
        </w:rPr>
        <w:t>Item [2] varies Standard 4.2.3 by omitting Divisions 1 and 2 and replacing them with a new Division 1 and 2.</w:t>
      </w:r>
    </w:p>
    <w:p w:rsidR="00547DE4" w:rsidRPr="001C39FF" w:rsidRDefault="00547DE4" w:rsidP="00547DE4">
      <w:pPr>
        <w:rPr>
          <w:szCs w:val="22"/>
          <w:u w:val="single"/>
        </w:rPr>
      </w:pPr>
    </w:p>
    <w:p w:rsidR="00547DE4" w:rsidRPr="0011694E" w:rsidRDefault="00547DE4" w:rsidP="00547DE4">
      <w:pPr>
        <w:rPr>
          <w:i/>
          <w:szCs w:val="22"/>
        </w:rPr>
      </w:pPr>
      <w:r w:rsidRPr="0011694E">
        <w:rPr>
          <w:i/>
          <w:szCs w:val="22"/>
        </w:rPr>
        <w:t>Division 1</w:t>
      </w:r>
    </w:p>
    <w:p w:rsidR="00547DE4" w:rsidRPr="0046137E" w:rsidRDefault="00547DE4" w:rsidP="00547DE4">
      <w:pPr>
        <w:rPr>
          <w:szCs w:val="22"/>
          <w:u w:val="single"/>
        </w:rPr>
      </w:pPr>
    </w:p>
    <w:p w:rsidR="00547DE4" w:rsidRDefault="00547DE4" w:rsidP="00547DE4">
      <w:pPr>
        <w:autoSpaceDE w:val="0"/>
        <w:autoSpaceDN w:val="0"/>
        <w:adjustRightInd w:val="0"/>
        <w:rPr>
          <w:rFonts w:eastAsia="Calibri" w:cs="Arial"/>
          <w:szCs w:val="22"/>
        </w:rPr>
      </w:pPr>
      <w:r w:rsidRPr="001C39FF">
        <w:rPr>
          <w:rFonts w:eastAsia="Calibri" w:cs="Arial"/>
          <w:bCs/>
          <w:szCs w:val="22"/>
        </w:rPr>
        <w:t xml:space="preserve">Clause 1 </w:t>
      </w:r>
      <w:r>
        <w:rPr>
          <w:rFonts w:eastAsia="Calibri" w:cs="Arial"/>
          <w:szCs w:val="22"/>
        </w:rPr>
        <w:t>defines the term</w:t>
      </w:r>
      <w:r w:rsidRPr="001C39FF">
        <w:rPr>
          <w:rFonts w:eastAsia="Calibri" w:cs="Arial"/>
          <w:szCs w:val="22"/>
        </w:rPr>
        <w:t xml:space="preserve"> </w:t>
      </w:r>
      <w:r>
        <w:rPr>
          <w:rFonts w:eastAsia="Calibri" w:cs="Arial"/>
          <w:szCs w:val="22"/>
        </w:rPr>
        <w:t>‘meat product’ for the purposes of</w:t>
      </w:r>
      <w:r w:rsidRPr="001C39FF">
        <w:rPr>
          <w:rFonts w:eastAsia="Calibri" w:cs="Arial"/>
          <w:szCs w:val="22"/>
        </w:rPr>
        <w:t xml:space="preserve"> Standard</w:t>
      </w:r>
      <w:r>
        <w:rPr>
          <w:rFonts w:eastAsia="Calibri" w:cs="Arial"/>
          <w:szCs w:val="22"/>
        </w:rPr>
        <w:t xml:space="preserve"> 4.2.3. The clause also provides that the definitions in Chapter 3 of the Code apply to the Standard subject to any contrary intention.</w:t>
      </w:r>
    </w:p>
    <w:p w:rsidR="00547DE4" w:rsidRPr="001C39FF" w:rsidRDefault="00547DE4" w:rsidP="00547DE4">
      <w:pPr>
        <w:rPr>
          <w:i/>
          <w:szCs w:val="22"/>
        </w:rPr>
      </w:pPr>
    </w:p>
    <w:p w:rsidR="00547DE4" w:rsidRPr="0011694E" w:rsidRDefault="00547DE4" w:rsidP="00547DE4">
      <w:pPr>
        <w:rPr>
          <w:rFonts w:eastAsia="Calibri" w:cs="Arial"/>
          <w:i/>
          <w:szCs w:val="22"/>
        </w:rPr>
      </w:pPr>
      <w:r w:rsidRPr="0011694E">
        <w:rPr>
          <w:rFonts w:eastAsia="Calibri" w:cs="Arial"/>
          <w:i/>
          <w:szCs w:val="22"/>
        </w:rPr>
        <w:t>Division 2</w:t>
      </w:r>
    </w:p>
    <w:p w:rsidR="00547DE4" w:rsidRDefault="00547DE4" w:rsidP="00547DE4">
      <w:pPr>
        <w:rPr>
          <w:rFonts w:eastAsia="Calibri" w:cs="Arial"/>
          <w:i/>
          <w:szCs w:val="22"/>
        </w:rPr>
      </w:pPr>
    </w:p>
    <w:p w:rsidR="00547DE4" w:rsidRDefault="00547DE4" w:rsidP="00547DE4">
      <w:pPr>
        <w:autoSpaceDE w:val="0"/>
        <w:autoSpaceDN w:val="0"/>
        <w:adjustRightInd w:val="0"/>
        <w:rPr>
          <w:rFonts w:eastAsia="Calibri" w:cs="Arial"/>
          <w:bCs/>
          <w:szCs w:val="22"/>
        </w:rPr>
      </w:pPr>
      <w:r>
        <w:rPr>
          <w:rFonts w:eastAsia="Calibri" w:cs="Arial"/>
          <w:bCs/>
          <w:szCs w:val="22"/>
        </w:rPr>
        <w:t xml:space="preserve">Clause 2 </w:t>
      </w:r>
      <w:r>
        <w:rPr>
          <w:rFonts w:eastAsia="Calibri" w:cs="Arial"/>
          <w:szCs w:val="22"/>
        </w:rPr>
        <w:t>defines the following terms</w:t>
      </w:r>
      <w:r w:rsidRPr="001C39FF">
        <w:rPr>
          <w:rFonts w:eastAsia="Calibri" w:cs="Arial"/>
          <w:szCs w:val="22"/>
        </w:rPr>
        <w:t xml:space="preserve"> </w:t>
      </w:r>
      <w:r>
        <w:rPr>
          <w:rFonts w:eastAsia="Calibri" w:cs="Arial"/>
          <w:szCs w:val="22"/>
        </w:rPr>
        <w:t>for the purposes of</w:t>
      </w:r>
      <w:r w:rsidRPr="001C39FF">
        <w:rPr>
          <w:rFonts w:eastAsia="Calibri" w:cs="Arial"/>
          <w:szCs w:val="22"/>
        </w:rPr>
        <w:t xml:space="preserve"> </w:t>
      </w:r>
      <w:r>
        <w:rPr>
          <w:rFonts w:eastAsia="Calibri" w:cs="Arial"/>
          <w:szCs w:val="22"/>
        </w:rPr>
        <w:t xml:space="preserve">Division 2 of </w:t>
      </w:r>
      <w:r w:rsidRPr="001C39FF">
        <w:rPr>
          <w:rFonts w:eastAsia="Calibri" w:cs="Arial"/>
          <w:szCs w:val="22"/>
        </w:rPr>
        <w:t>Standard</w:t>
      </w:r>
      <w:r>
        <w:rPr>
          <w:rFonts w:eastAsia="Calibri" w:cs="Arial"/>
          <w:szCs w:val="22"/>
        </w:rPr>
        <w:t xml:space="preserve"> 4.2.3: meat;</w:t>
      </w:r>
      <w:r w:rsidRPr="001C39FF">
        <w:rPr>
          <w:rFonts w:eastAsia="Calibri" w:cs="Arial"/>
          <w:szCs w:val="22"/>
        </w:rPr>
        <w:t xml:space="preserve"> and meat producer</w:t>
      </w:r>
      <w:r w:rsidRPr="001C39FF">
        <w:rPr>
          <w:rFonts w:eastAsia="Calibri" w:cs="Arial"/>
          <w:bCs/>
          <w:szCs w:val="22"/>
        </w:rPr>
        <w:t xml:space="preserve"> </w:t>
      </w:r>
    </w:p>
    <w:p w:rsidR="00547DE4" w:rsidRDefault="00547DE4" w:rsidP="00547DE4">
      <w:pPr>
        <w:autoSpaceDE w:val="0"/>
        <w:autoSpaceDN w:val="0"/>
        <w:adjustRightInd w:val="0"/>
        <w:rPr>
          <w:rFonts w:eastAsia="Calibri" w:cs="Arial"/>
          <w:bCs/>
          <w:szCs w:val="22"/>
        </w:rPr>
      </w:pPr>
    </w:p>
    <w:p w:rsidR="00547DE4" w:rsidRDefault="00547DE4" w:rsidP="00547DE4">
      <w:pPr>
        <w:autoSpaceDE w:val="0"/>
        <w:autoSpaceDN w:val="0"/>
        <w:adjustRightInd w:val="0"/>
        <w:rPr>
          <w:szCs w:val="22"/>
        </w:rPr>
      </w:pPr>
      <w:r>
        <w:rPr>
          <w:rFonts w:eastAsia="Calibri" w:cs="Arial"/>
          <w:bCs/>
          <w:szCs w:val="22"/>
        </w:rPr>
        <w:t>Clause 2</w:t>
      </w:r>
      <w:r w:rsidRPr="001C39FF">
        <w:rPr>
          <w:rFonts w:eastAsia="Calibri" w:cs="Arial"/>
          <w:bCs/>
          <w:szCs w:val="22"/>
        </w:rPr>
        <w:t xml:space="preserve"> </w:t>
      </w:r>
      <w:r>
        <w:rPr>
          <w:rFonts w:eastAsia="Calibri" w:cs="Arial"/>
          <w:szCs w:val="22"/>
        </w:rPr>
        <w:t xml:space="preserve">defines the term ‘meat producer’ to mean </w:t>
      </w:r>
      <w:r w:rsidRPr="0048557F">
        <w:rPr>
          <w:bCs/>
        </w:rPr>
        <w:t xml:space="preserve">a business, enterprise or activity that involves </w:t>
      </w:r>
      <w:r>
        <w:rPr>
          <w:bCs/>
        </w:rPr>
        <w:t xml:space="preserve">the </w:t>
      </w:r>
      <w:r w:rsidRPr="0048557F">
        <w:rPr>
          <w:bCs/>
        </w:rPr>
        <w:t>growing, supply or transportation of animals for human consumption</w:t>
      </w:r>
      <w:r>
        <w:rPr>
          <w:bCs/>
        </w:rPr>
        <w:t xml:space="preserve">. This definition is </w:t>
      </w:r>
      <w:r w:rsidRPr="001C39FF">
        <w:rPr>
          <w:szCs w:val="22"/>
        </w:rPr>
        <w:t xml:space="preserve">intended to </w:t>
      </w:r>
      <w:r>
        <w:rPr>
          <w:szCs w:val="22"/>
        </w:rPr>
        <w:t xml:space="preserve">encompass </w:t>
      </w:r>
      <w:r>
        <w:rPr>
          <w:bCs/>
        </w:rPr>
        <w:t>businesses, enterprises and activities</w:t>
      </w:r>
      <w:r w:rsidRPr="0048557F">
        <w:rPr>
          <w:bCs/>
        </w:rPr>
        <w:t xml:space="preserve"> </w:t>
      </w:r>
      <w:r>
        <w:rPr>
          <w:bCs/>
        </w:rPr>
        <w:t xml:space="preserve">involved: in </w:t>
      </w:r>
      <w:r w:rsidRPr="001C39FF">
        <w:rPr>
          <w:szCs w:val="22"/>
        </w:rPr>
        <w:t>the rearing of animals for human consumption</w:t>
      </w:r>
      <w:r>
        <w:rPr>
          <w:szCs w:val="22"/>
        </w:rPr>
        <w:t>; the operation of feedlots and</w:t>
      </w:r>
      <w:r w:rsidRPr="001C39FF">
        <w:rPr>
          <w:szCs w:val="22"/>
        </w:rPr>
        <w:t xml:space="preserve"> sale</w:t>
      </w:r>
      <w:r>
        <w:rPr>
          <w:szCs w:val="22"/>
        </w:rPr>
        <w:t xml:space="preserve"> yards for such animals; and the transportation of such animals </w:t>
      </w:r>
      <w:r w:rsidRPr="001C39FF">
        <w:rPr>
          <w:szCs w:val="22"/>
        </w:rPr>
        <w:t xml:space="preserve">to </w:t>
      </w:r>
      <w:r>
        <w:rPr>
          <w:szCs w:val="22"/>
        </w:rPr>
        <w:t xml:space="preserve">and from </w:t>
      </w:r>
      <w:r w:rsidRPr="001C39FF">
        <w:rPr>
          <w:szCs w:val="22"/>
        </w:rPr>
        <w:t>sale</w:t>
      </w:r>
      <w:r>
        <w:rPr>
          <w:szCs w:val="22"/>
        </w:rPr>
        <w:t xml:space="preserve"> </w:t>
      </w:r>
      <w:r w:rsidRPr="001C39FF">
        <w:rPr>
          <w:szCs w:val="22"/>
        </w:rPr>
        <w:t xml:space="preserve">yards, between properties, </w:t>
      </w:r>
      <w:r>
        <w:rPr>
          <w:szCs w:val="22"/>
        </w:rPr>
        <w:t>or</w:t>
      </w:r>
      <w:r w:rsidRPr="001C39FF">
        <w:rPr>
          <w:szCs w:val="22"/>
        </w:rPr>
        <w:t xml:space="preserve"> to </w:t>
      </w:r>
      <w:r>
        <w:rPr>
          <w:szCs w:val="22"/>
        </w:rPr>
        <w:t>an</w:t>
      </w:r>
      <w:r w:rsidRPr="001C39FF">
        <w:rPr>
          <w:szCs w:val="22"/>
        </w:rPr>
        <w:t xml:space="preserve"> a</w:t>
      </w:r>
      <w:r>
        <w:rPr>
          <w:szCs w:val="22"/>
        </w:rPr>
        <w:t>battoir</w:t>
      </w:r>
      <w:r w:rsidRPr="001C39FF">
        <w:rPr>
          <w:szCs w:val="22"/>
        </w:rPr>
        <w:t>.</w:t>
      </w:r>
      <w:r>
        <w:rPr>
          <w:szCs w:val="22"/>
        </w:rPr>
        <w:t xml:space="preserve"> This definition of ‘meat producer’ </w:t>
      </w:r>
      <w:r>
        <w:t>applies only to Division 2 of Standard 4.2.3.</w:t>
      </w:r>
    </w:p>
    <w:p w:rsidR="00547DE4" w:rsidRDefault="00547DE4" w:rsidP="00547DE4">
      <w:pPr>
        <w:autoSpaceDE w:val="0"/>
        <w:autoSpaceDN w:val="0"/>
        <w:adjustRightInd w:val="0"/>
        <w:rPr>
          <w:szCs w:val="22"/>
        </w:rPr>
      </w:pPr>
    </w:p>
    <w:p w:rsidR="00547DE4" w:rsidRDefault="00547DE4" w:rsidP="00547DE4">
      <w:pPr>
        <w:autoSpaceDE w:val="0"/>
        <w:autoSpaceDN w:val="0"/>
        <w:adjustRightInd w:val="0"/>
        <w:rPr>
          <w:rFonts w:eastAsia="Calibri" w:cs="Arial"/>
          <w:szCs w:val="22"/>
        </w:rPr>
      </w:pPr>
      <w:r>
        <w:rPr>
          <w:rFonts w:eastAsia="Calibri" w:cs="Arial"/>
          <w:bCs/>
          <w:szCs w:val="22"/>
        </w:rPr>
        <w:t xml:space="preserve">Clause 2 also </w:t>
      </w:r>
      <w:r>
        <w:rPr>
          <w:rFonts w:eastAsia="Calibri" w:cs="Arial"/>
          <w:szCs w:val="22"/>
        </w:rPr>
        <w:t xml:space="preserve">defines the term ‘meat’ to mean </w:t>
      </w:r>
      <w:r w:rsidRPr="0048557F" w:rsidDel="00A87273">
        <w:t>any part of a slaughtered animal for human consumption</w:t>
      </w:r>
      <w:r>
        <w:t xml:space="preserve">. This </w:t>
      </w:r>
      <w:r>
        <w:rPr>
          <w:szCs w:val="22"/>
        </w:rPr>
        <w:t xml:space="preserve">definition </w:t>
      </w:r>
      <w:r>
        <w:t>applies only to Division 2 of Standard 4.2.3.</w:t>
      </w:r>
    </w:p>
    <w:p w:rsidR="00547DE4" w:rsidRDefault="00547DE4" w:rsidP="00547DE4">
      <w:pPr>
        <w:autoSpaceDE w:val="0"/>
        <w:autoSpaceDN w:val="0"/>
        <w:adjustRightInd w:val="0"/>
        <w:rPr>
          <w:rFonts w:eastAsia="Calibri" w:cs="Arial"/>
          <w:szCs w:val="22"/>
        </w:rPr>
      </w:pPr>
    </w:p>
    <w:p w:rsidR="00547DE4" w:rsidRPr="001C39FF" w:rsidRDefault="00547DE4" w:rsidP="00547DE4">
      <w:pPr>
        <w:autoSpaceDE w:val="0"/>
        <w:autoSpaceDN w:val="0"/>
        <w:adjustRightInd w:val="0"/>
        <w:rPr>
          <w:szCs w:val="22"/>
        </w:rPr>
      </w:pPr>
      <w:r w:rsidRPr="001C39FF">
        <w:rPr>
          <w:rFonts w:eastAsia="Calibri" w:cs="Arial"/>
          <w:szCs w:val="22"/>
        </w:rPr>
        <w:t>Clause 2</w:t>
      </w:r>
      <w:r>
        <w:rPr>
          <w:rFonts w:eastAsia="Calibri" w:cs="Arial"/>
          <w:szCs w:val="22"/>
        </w:rPr>
        <w:t>A</w:t>
      </w:r>
      <w:r w:rsidRPr="001C39FF">
        <w:rPr>
          <w:rFonts w:eastAsia="Calibri" w:cs="Arial"/>
          <w:szCs w:val="22"/>
        </w:rPr>
        <w:t xml:space="preserve"> provides that </w:t>
      </w:r>
      <w:r>
        <w:rPr>
          <w:rFonts w:eastAsia="Calibri" w:cs="Arial"/>
          <w:szCs w:val="22"/>
        </w:rPr>
        <w:t xml:space="preserve">a </w:t>
      </w:r>
      <w:r w:rsidRPr="000F00AE">
        <w:t xml:space="preserve">reference to an animal </w:t>
      </w:r>
      <w:r>
        <w:t xml:space="preserve">in Division 2 of Standard 4.2.3 is only to </w:t>
      </w:r>
      <w:r w:rsidRPr="000F00AE">
        <w:t xml:space="preserve">an animal of a species </w:t>
      </w:r>
      <w:r>
        <w:t xml:space="preserve">that is </w:t>
      </w:r>
      <w:r w:rsidRPr="000F00AE">
        <w:t>listed in Column 2 of the Table</w:t>
      </w:r>
      <w:r>
        <w:t xml:space="preserve"> in that clause and which is not slaughtered in the wild. The clause’s restriction relating to animals slaughtered in the wild does not to apply Division 3 of Standard 4.2.3 and to producers of ready-to-eat meats subject to that Division.</w:t>
      </w:r>
    </w:p>
    <w:p w:rsidR="00547DE4" w:rsidRDefault="00547DE4" w:rsidP="00547DE4">
      <w:pPr>
        <w:autoSpaceDE w:val="0"/>
        <w:autoSpaceDN w:val="0"/>
        <w:adjustRightInd w:val="0"/>
        <w:rPr>
          <w:rFonts w:eastAsia="Calibri" w:cs="Arial"/>
          <w:szCs w:val="22"/>
        </w:rPr>
      </w:pPr>
    </w:p>
    <w:p w:rsidR="00547DE4" w:rsidRDefault="00547DE4" w:rsidP="00547DE4">
      <w:pPr>
        <w:rPr>
          <w:rFonts w:eastAsia="Calibri" w:cs="Arial"/>
          <w:szCs w:val="22"/>
        </w:rPr>
      </w:pPr>
      <w:r>
        <w:rPr>
          <w:rFonts w:eastAsia="Calibri" w:cs="Arial"/>
          <w:szCs w:val="22"/>
        </w:rPr>
        <w:t>Clause 2B</w:t>
      </w:r>
      <w:r w:rsidRPr="001C39FF">
        <w:rPr>
          <w:rFonts w:eastAsia="Calibri" w:cs="Arial"/>
          <w:szCs w:val="22"/>
        </w:rPr>
        <w:t xml:space="preserve"> </w:t>
      </w:r>
      <w:r>
        <w:rPr>
          <w:rFonts w:eastAsia="Calibri" w:cs="Arial"/>
          <w:szCs w:val="22"/>
        </w:rPr>
        <w:t xml:space="preserve">provides that </w:t>
      </w:r>
      <w:r>
        <w:t xml:space="preserve">Division 2 of Standard 4.2.3 </w:t>
      </w:r>
      <w:r w:rsidRPr="001C39FF">
        <w:rPr>
          <w:rFonts w:eastAsia="Calibri" w:cs="Arial"/>
          <w:szCs w:val="22"/>
        </w:rPr>
        <w:t>does not apply to retail sale activities of a meat producer. These activities are covered by Chapter 3 of the Code</w:t>
      </w:r>
      <w:r>
        <w:rPr>
          <w:rFonts w:eastAsia="Calibri" w:cs="Arial"/>
          <w:szCs w:val="22"/>
        </w:rPr>
        <w:t>.</w:t>
      </w:r>
      <w:r>
        <w:rPr>
          <w:rFonts w:eastAsia="Calibri" w:cs="Arial"/>
          <w:szCs w:val="22"/>
        </w:rPr>
        <w:br w:type="page"/>
      </w:r>
    </w:p>
    <w:p w:rsidR="00547DE4" w:rsidRDefault="00547DE4" w:rsidP="00547DE4">
      <w:pPr>
        <w:rPr>
          <w:rFonts w:eastAsia="Calibri" w:cs="Arial"/>
          <w:szCs w:val="22"/>
        </w:rPr>
      </w:pPr>
      <w:r w:rsidRPr="00B810B0">
        <w:lastRenderedPageBreak/>
        <w:t>Clause 2</w:t>
      </w:r>
      <w:r>
        <w:t>C</w:t>
      </w:r>
      <w:r w:rsidRPr="00B810B0">
        <w:t xml:space="preserve"> requires a</w:t>
      </w:r>
      <w:r>
        <w:rPr>
          <w:b/>
        </w:rPr>
        <w:t xml:space="preserve"> </w:t>
      </w:r>
      <w:r w:rsidRPr="0048557F">
        <w:t xml:space="preserve">meat producer </w:t>
      </w:r>
      <w:r>
        <w:t>to</w:t>
      </w:r>
      <w:r w:rsidRPr="0048557F">
        <w:t xml:space="preserve"> take all reasonable measures to ensure that inputs do not </w:t>
      </w:r>
      <w:r>
        <w:t xml:space="preserve">adversely affect the safety or suitability of meat or meat products. </w:t>
      </w:r>
      <w:r>
        <w:rPr>
          <w:rFonts w:eastAsia="Calibri" w:cs="Arial"/>
          <w:szCs w:val="22"/>
        </w:rPr>
        <w:t>Inputs can include animal feed (such as pasture, grains, silage and concentrate supplements), w</w:t>
      </w:r>
      <w:r w:rsidRPr="005D02BA">
        <w:rPr>
          <w:rFonts w:eastAsia="Calibri" w:cs="Arial"/>
          <w:szCs w:val="22"/>
        </w:rPr>
        <w:t>ater</w:t>
      </w:r>
      <w:r>
        <w:rPr>
          <w:rFonts w:eastAsia="Calibri" w:cs="Arial"/>
          <w:szCs w:val="22"/>
        </w:rPr>
        <w:t xml:space="preserve"> (including recycled water)</w:t>
      </w:r>
      <w:r w:rsidRPr="005D02BA">
        <w:rPr>
          <w:rFonts w:eastAsia="Calibri" w:cs="Arial"/>
          <w:szCs w:val="22"/>
        </w:rPr>
        <w:t>,</w:t>
      </w:r>
      <w:r>
        <w:rPr>
          <w:rFonts w:eastAsia="Calibri" w:cs="Arial"/>
          <w:szCs w:val="22"/>
        </w:rPr>
        <w:t xml:space="preserve"> chemicals or other substances </w:t>
      </w:r>
      <w:r w:rsidRPr="005D02BA">
        <w:rPr>
          <w:rFonts w:eastAsia="Calibri" w:cs="Arial"/>
          <w:szCs w:val="22"/>
        </w:rPr>
        <w:t>used in connection with</w:t>
      </w:r>
      <w:r>
        <w:rPr>
          <w:rFonts w:eastAsia="Calibri" w:cs="Arial"/>
          <w:szCs w:val="22"/>
        </w:rPr>
        <w:t xml:space="preserve"> the primary production activities.</w:t>
      </w:r>
    </w:p>
    <w:p w:rsidR="00547DE4" w:rsidRDefault="00547DE4" w:rsidP="00547DE4">
      <w:pPr>
        <w:rPr>
          <w:rFonts w:eastAsia="Calibri" w:cs="Arial"/>
          <w:szCs w:val="22"/>
        </w:rPr>
      </w:pPr>
    </w:p>
    <w:p w:rsidR="00547DE4" w:rsidRDefault="00547DE4" w:rsidP="00547DE4">
      <w:pPr>
        <w:autoSpaceDE w:val="0"/>
        <w:autoSpaceDN w:val="0"/>
        <w:adjustRightInd w:val="0"/>
        <w:rPr>
          <w:rFonts w:cs="Arial"/>
        </w:rPr>
      </w:pPr>
      <w:r>
        <w:rPr>
          <w:rFonts w:eastAsia="Calibri" w:cs="Arial"/>
          <w:szCs w:val="22"/>
        </w:rPr>
        <w:t xml:space="preserve">Clause 2D requires a </w:t>
      </w:r>
      <w:r w:rsidRPr="0048557F">
        <w:t xml:space="preserve">meat producer </w:t>
      </w:r>
      <w:r>
        <w:t>to</w:t>
      </w:r>
      <w:r w:rsidRPr="0048557F">
        <w:t xml:space="preserve"> store, handle and dispose of waste in a manner that </w:t>
      </w:r>
      <w:r>
        <w:t xml:space="preserve">will </w:t>
      </w:r>
      <w:r w:rsidRPr="0048557F">
        <w:t xml:space="preserve">not </w:t>
      </w:r>
      <w:r>
        <w:t xml:space="preserve">adversely affect the safety or suitability of meat or meat products. </w:t>
      </w:r>
      <w:r>
        <w:rPr>
          <w:rFonts w:eastAsia="Calibri" w:cs="Arial"/>
          <w:bCs/>
          <w:szCs w:val="22"/>
        </w:rPr>
        <w:t xml:space="preserve">This requirement is intended to prevent the transmission to animals of pathogens </w:t>
      </w:r>
      <w:r>
        <w:rPr>
          <w:rFonts w:cs="Arial"/>
        </w:rPr>
        <w:t xml:space="preserve">from environmental sources.  </w:t>
      </w:r>
      <w:r>
        <w:rPr>
          <w:rFonts w:eastAsia="Calibri" w:cs="Arial"/>
          <w:bCs/>
          <w:szCs w:val="22"/>
        </w:rPr>
        <w:t>For example, the clause would require m</w:t>
      </w:r>
      <w:r>
        <w:rPr>
          <w:rFonts w:cs="Arial"/>
        </w:rPr>
        <w:t xml:space="preserve">eat producers to ensure that </w:t>
      </w:r>
      <w:r>
        <w:t>the safety or suitability of meat or meat products</w:t>
      </w:r>
      <w:r>
        <w:rPr>
          <w:rFonts w:cs="Arial"/>
        </w:rPr>
        <w:t xml:space="preserve"> is not adversely affected by waste contaminating the relevant animals’ water supply or feed. The term ‘waste’ as used in clause 2D is intended to include: solid or liquid waste; animal carcasses; garbage; chemical residues; and seepage or runoff from drains, septic systems or manure pits.</w:t>
      </w:r>
    </w:p>
    <w:p w:rsidR="00547DE4" w:rsidRDefault="00547DE4" w:rsidP="00547DE4">
      <w:pPr>
        <w:autoSpaceDE w:val="0"/>
        <w:autoSpaceDN w:val="0"/>
        <w:adjustRightInd w:val="0"/>
        <w:rPr>
          <w:rFonts w:cs="Arial"/>
        </w:rPr>
      </w:pPr>
    </w:p>
    <w:p w:rsidR="00547DE4" w:rsidRDefault="00547DE4" w:rsidP="00547DE4">
      <w:pPr>
        <w:pStyle w:val="Paragraph"/>
        <w:ind w:left="0" w:firstLine="0"/>
        <w:rPr>
          <w:sz w:val="22"/>
          <w:szCs w:val="22"/>
        </w:rPr>
      </w:pPr>
      <w:r w:rsidRPr="008327A0">
        <w:rPr>
          <w:rFonts w:eastAsia="Calibri" w:cs="Arial"/>
          <w:bCs/>
          <w:sz w:val="22"/>
          <w:szCs w:val="22"/>
        </w:rPr>
        <w:t>Clause 2</w:t>
      </w:r>
      <w:r>
        <w:rPr>
          <w:rFonts w:eastAsia="Calibri" w:cs="Arial"/>
          <w:bCs/>
          <w:sz w:val="22"/>
          <w:szCs w:val="22"/>
        </w:rPr>
        <w:t>E</w:t>
      </w:r>
      <w:r w:rsidRPr="008327A0">
        <w:rPr>
          <w:rFonts w:eastAsia="Calibri" w:cs="Arial"/>
          <w:bCs/>
          <w:sz w:val="22"/>
          <w:szCs w:val="22"/>
        </w:rPr>
        <w:t xml:space="preserve"> requires a meat producer to </w:t>
      </w:r>
      <w:r w:rsidRPr="008327A0">
        <w:rPr>
          <w:sz w:val="22"/>
          <w:szCs w:val="22"/>
        </w:rPr>
        <w:t xml:space="preserve">have a system in place that can identify the persons from whom the meat producer received an animal and to whom the meat producer supplied </w:t>
      </w:r>
      <w:r>
        <w:rPr>
          <w:sz w:val="22"/>
          <w:szCs w:val="22"/>
        </w:rPr>
        <w:t>an</w:t>
      </w:r>
      <w:r w:rsidRPr="008327A0">
        <w:rPr>
          <w:sz w:val="22"/>
          <w:szCs w:val="22"/>
        </w:rPr>
        <w:t xml:space="preserve"> animal. This requirement is intended to ensure that an animal can be traced in the event of a food safety problem. </w:t>
      </w:r>
    </w:p>
    <w:p w:rsidR="00547DE4" w:rsidRDefault="00547DE4" w:rsidP="00547DE4">
      <w:pPr>
        <w:rPr>
          <w:rFonts w:eastAsia="Calibri"/>
        </w:rPr>
      </w:pPr>
    </w:p>
    <w:p w:rsidR="00547DE4" w:rsidRDefault="00547DE4" w:rsidP="00547DE4">
      <w:pPr>
        <w:rPr>
          <w:rFonts w:cs="Arial"/>
        </w:rPr>
      </w:pPr>
      <w:r>
        <w:rPr>
          <w:rFonts w:eastAsia="Calibri"/>
        </w:rPr>
        <w:t xml:space="preserve">Division 2 contains an editorial note to explain that </w:t>
      </w:r>
      <w:r>
        <w:rPr>
          <w:rFonts w:cs="Arial"/>
        </w:rPr>
        <w:t xml:space="preserve">State and Territory laws require persons involved in </w:t>
      </w:r>
      <w:r w:rsidRPr="000F00AE">
        <w:rPr>
          <w:rFonts w:cs="Arial"/>
          <w:lang w:val="en-AU"/>
        </w:rPr>
        <w:t xml:space="preserve">the slaughter and processing of animals for human consumption, including </w:t>
      </w:r>
      <w:r>
        <w:rPr>
          <w:rFonts w:cs="Arial"/>
          <w:lang w:val="en-AU"/>
        </w:rPr>
        <w:t xml:space="preserve">of animals in the wild, and in </w:t>
      </w:r>
      <w:r w:rsidRPr="000F00AE">
        <w:rPr>
          <w:rFonts w:cs="Arial"/>
          <w:lang w:val="en-AU"/>
        </w:rPr>
        <w:t xml:space="preserve">the preparation, packing, transportation or storage of meat or meat products to comply with </w:t>
      </w:r>
      <w:r>
        <w:rPr>
          <w:rFonts w:cs="Arial"/>
          <w:lang w:val="en-AU"/>
        </w:rPr>
        <w:t xml:space="preserve">the </w:t>
      </w:r>
      <w:r w:rsidRPr="000F00AE">
        <w:rPr>
          <w:rFonts w:cs="Arial"/>
          <w:lang w:val="en-AU"/>
        </w:rPr>
        <w:t>Australian Standards</w:t>
      </w:r>
      <w:r>
        <w:rPr>
          <w:rFonts w:cs="Arial"/>
          <w:lang w:val="en-AU"/>
        </w:rPr>
        <w:t xml:space="preserve"> listed in the editorial note.</w:t>
      </w:r>
    </w:p>
    <w:p w:rsidR="00547DE4" w:rsidRDefault="00547DE4" w:rsidP="00547DE4">
      <w:pPr>
        <w:rPr>
          <w:rFonts w:eastAsia="Calibri"/>
        </w:rPr>
      </w:pPr>
    </w:p>
    <w:p w:rsidR="00547DE4" w:rsidRPr="005562FA" w:rsidRDefault="00547DE4" w:rsidP="00547DE4">
      <w:pPr>
        <w:rPr>
          <w:szCs w:val="22"/>
        </w:rPr>
      </w:pPr>
      <w:r w:rsidRPr="005562FA">
        <w:rPr>
          <w:szCs w:val="22"/>
        </w:rPr>
        <w:t xml:space="preserve">Item [2.2] updates the Table of </w:t>
      </w:r>
      <w:r>
        <w:rPr>
          <w:szCs w:val="22"/>
        </w:rPr>
        <w:t>Provisions</w:t>
      </w:r>
      <w:r w:rsidRPr="005562FA">
        <w:rPr>
          <w:szCs w:val="22"/>
        </w:rPr>
        <w:t xml:space="preserve"> in Standard 4.2.3 to reflect the above variations.</w:t>
      </w:r>
    </w:p>
    <w:p w:rsidR="00547DE4" w:rsidRPr="008327A0" w:rsidRDefault="00547DE4" w:rsidP="00547DE4">
      <w:pPr>
        <w:rPr>
          <w:rFonts w:eastAsia="Calibri"/>
        </w:rPr>
      </w:pPr>
    </w:p>
    <w:p w:rsidR="00D5526B" w:rsidRPr="00184403" w:rsidRDefault="00D5526B" w:rsidP="00793DE6"/>
    <w:sectPr w:rsidR="00D5526B" w:rsidRPr="00184403" w:rsidSect="008E233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DE4" w:rsidRDefault="00547DE4" w:rsidP="00547DE4">
      <w:r>
        <w:separator/>
      </w:r>
    </w:p>
  </w:endnote>
  <w:endnote w:type="continuationSeparator" w:id="0">
    <w:p w:rsidR="00547DE4" w:rsidRDefault="00547DE4" w:rsidP="0054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685142"/>
      <w:docPartObj>
        <w:docPartGallery w:val="Page Numbers (Bottom of Page)"/>
        <w:docPartUnique/>
      </w:docPartObj>
    </w:sdtPr>
    <w:sdtEndPr>
      <w:rPr>
        <w:noProof/>
      </w:rPr>
    </w:sdtEndPr>
    <w:sdtContent>
      <w:p w:rsidR="00547DE4" w:rsidRDefault="00547DE4" w:rsidP="00547DE4">
        <w:pPr>
          <w:pStyle w:val="Footer"/>
          <w:jc w:val="center"/>
        </w:pPr>
        <w:r>
          <w:fldChar w:fldCharType="begin"/>
        </w:r>
        <w:r>
          <w:instrText xml:space="preserve"> PAGE   \* MERGEFORMAT </w:instrText>
        </w:r>
        <w:r>
          <w:fldChar w:fldCharType="separate"/>
        </w:r>
        <w:r w:rsidR="00132E3C">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DE4" w:rsidRDefault="00547DE4" w:rsidP="00547DE4">
      <w:r>
        <w:separator/>
      </w:r>
    </w:p>
  </w:footnote>
  <w:footnote w:type="continuationSeparator" w:id="0">
    <w:p w:rsidR="00547DE4" w:rsidRDefault="00547DE4" w:rsidP="00547DE4">
      <w:r>
        <w:continuationSeparator/>
      </w:r>
    </w:p>
  </w:footnote>
  <w:footnote w:id="1">
    <w:p w:rsidR="00547DE4" w:rsidRPr="006E1858" w:rsidRDefault="00547DE4" w:rsidP="00547DE4">
      <w:pPr>
        <w:pStyle w:val="Footnote"/>
        <w:rPr>
          <w:lang w:val="en-AU"/>
        </w:rPr>
      </w:pPr>
      <w:r>
        <w:rPr>
          <w:rStyle w:val="FootnoteReference"/>
        </w:rPr>
        <w:footnoteRef/>
      </w:r>
      <w:r>
        <w:t xml:space="preserve"> </w:t>
      </w:r>
      <w:r>
        <w:rPr>
          <w:lang w:val="en-AU"/>
        </w:rPr>
        <w:t>Previously known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03677BC"/>
    <w:multiLevelType w:val="hybridMultilevel"/>
    <w:tmpl w:val="81062EFA"/>
    <w:lvl w:ilvl="0" w:tplc="EBB4F7A8">
      <w:start w:val="1"/>
      <w:numFmt w:val="bullet"/>
      <w:pStyle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4"/>
  </w:num>
  <w:num w:numId="9">
    <w:abstractNumId w:val="1"/>
  </w:num>
  <w:num w:numId="10">
    <w:abstractNumId w:val="3"/>
  </w:num>
  <w:num w:numId="11">
    <w:abstractNumId w:val="4"/>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DE4"/>
    <w:rsid w:val="0000542C"/>
    <w:rsid w:val="00041643"/>
    <w:rsid w:val="000622E7"/>
    <w:rsid w:val="00066854"/>
    <w:rsid w:val="00066D85"/>
    <w:rsid w:val="000A38F8"/>
    <w:rsid w:val="000F2196"/>
    <w:rsid w:val="00132E3C"/>
    <w:rsid w:val="001734EA"/>
    <w:rsid w:val="00184403"/>
    <w:rsid w:val="00191770"/>
    <w:rsid w:val="001C5126"/>
    <w:rsid w:val="001E696B"/>
    <w:rsid w:val="002232B1"/>
    <w:rsid w:val="00234C31"/>
    <w:rsid w:val="0033021F"/>
    <w:rsid w:val="00341D25"/>
    <w:rsid w:val="00404702"/>
    <w:rsid w:val="00441D77"/>
    <w:rsid w:val="00443F05"/>
    <w:rsid w:val="00486619"/>
    <w:rsid w:val="004D3868"/>
    <w:rsid w:val="004E6694"/>
    <w:rsid w:val="0054036E"/>
    <w:rsid w:val="00547DE4"/>
    <w:rsid w:val="005B578D"/>
    <w:rsid w:val="005C1996"/>
    <w:rsid w:val="006B6900"/>
    <w:rsid w:val="006D473E"/>
    <w:rsid w:val="00793DE6"/>
    <w:rsid w:val="007F6456"/>
    <w:rsid w:val="00830393"/>
    <w:rsid w:val="00833D5A"/>
    <w:rsid w:val="00860EE7"/>
    <w:rsid w:val="00877A81"/>
    <w:rsid w:val="008931F6"/>
    <w:rsid w:val="008E2339"/>
    <w:rsid w:val="00935023"/>
    <w:rsid w:val="009806A5"/>
    <w:rsid w:val="009E265A"/>
    <w:rsid w:val="00A25B29"/>
    <w:rsid w:val="00A26F82"/>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547DE4"/>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FS Heading 2"/>
    <w:basedOn w:val="Normal"/>
    <w:next w:val="Normal"/>
    <w:link w:val="Heading2Char"/>
    <w:autoRedefine/>
    <w:uiPriority w:val="9"/>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FS Heading 2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link w:val="ParagraphChar"/>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link w:val="FootnoteChar"/>
    <w:qFormat/>
    <w:rsid w:val="00547DE4"/>
    <w:pPr>
      <w:tabs>
        <w:tab w:val="left" w:pos="851"/>
      </w:tabs>
    </w:pPr>
    <w:rPr>
      <w:sz w:val="18"/>
      <w:szCs w:val="20"/>
    </w:rPr>
  </w:style>
  <w:style w:type="character" w:styleId="FootnoteReference">
    <w:name w:val="footnote reference"/>
    <w:basedOn w:val="DefaultParagraphFont"/>
    <w:uiPriority w:val="99"/>
    <w:rsid w:val="00547DE4"/>
    <w:rPr>
      <w:vertAlign w:val="superscript"/>
    </w:rPr>
  </w:style>
  <w:style w:type="paragraph" w:customStyle="1" w:styleId="Bullet">
    <w:name w:val="Bullet"/>
    <w:basedOn w:val="Normal"/>
    <w:link w:val="BulletChar"/>
    <w:qFormat/>
    <w:rsid w:val="00547DE4"/>
    <w:pPr>
      <w:widowControl/>
      <w:numPr>
        <w:numId w:val="14"/>
      </w:numPr>
    </w:pPr>
    <w:rPr>
      <w:rFonts w:ascii="Times New Roman" w:eastAsiaTheme="minorHAnsi" w:hAnsi="Times New Roman"/>
      <w:sz w:val="24"/>
      <w:lang w:bidi="ar-SA"/>
    </w:rPr>
  </w:style>
  <w:style w:type="character" w:customStyle="1" w:styleId="BulletChar">
    <w:name w:val="Bullet Char"/>
    <w:link w:val="Bullet"/>
    <w:rsid w:val="00547DE4"/>
    <w:rPr>
      <w:rFonts w:ascii="Times New Roman" w:hAnsi="Times New Roman" w:cs="Times New Roman"/>
      <w:sz w:val="24"/>
      <w:szCs w:val="24"/>
      <w:lang w:val="en-GB"/>
    </w:rPr>
  </w:style>
  <w:style w:type="character" w:customStyle="1" w:styleId="ParagraphChar">
    <w:name w:val="Paragraph Char"/>
    <w:basedOn w:val="ClauseChar"/>
    <w:link w:val="Paragraph"/>
    <w:rsid w:val="00547DE4"/>
    <w:rPr>
      <w:rFonts w:eastAsia="Times New Roman" w:cs="Times New Roman"/>
      <w:sz w:val="20"/>
      <w:szCs w:val="20"/>
      <w:lang w:val="en-GB"/>
    </w:rPr>
  </w:style>
  <w:style w:type="character" w:customStyle="1" w:styleId="FootnoteChar">
    <w:name w:val="Footnote Char"/>
    <w:basedOn w:val="DefaultParagraphFont"/>
    <w:link w:val="Footnote"/>
    <w:rsid w:val="00547DE4"/>
    <w:rPr>
      <w:rFonts w:eastAsia="Times New Roman" w:cs="Times New Roman"/>
      <w:sz w:val="18"/>
      <w:szCs w:val="20"/>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547DE4"/>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FS Heading 2"/>
    <w:basedOn w:val="Normal"/>
    <w:next w:val="Normal"/>
    <w:link w:val="Heading2Char"/>
    <w:autoRedefine/>
    <w:uiPriority w:val="9"/>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FS Heading 2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link w:val="ParagraphChar"/>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link w:val="FootnoteChar"/>
    <w:qFormat/>
    <w:rsid w:val="00547DE4"/>
    <w:pPr>
      <w:tabs>
        <w:tab w:val="left" w:pos="851"/>
      </w:tabs>
    </w:pPr>
    <w:rPr>
      <w:sz w:val="18"/>
      <w:szCs w:val="20"/>
    </w:rPr>
  </w:style>
  <w:style w:type="character" w:styleId="FootnoteReference">
    <w:name w:val="footnote reference"/>
    <w:basedOn w:val="DefaultParagraphFont"/>
    <w:uiPriority w:val="99"/>
    <w:rsid w:val="00547DE4"/>
    <w:rPr>
      <w:vertAlign w:val="superscript"/>
    </w:rPr>
  </w:style>
  <w:style w:type="paragraph" w:customStyle="1" w:styleId="Bullet">
    <w:name w:val="Bullet"/>
    <w:basedOn w:val="Normal"/>
    <w:link w:val="BulletChar"/>
    <w:qFormat/>
    <w:rsid w:val="00547DE4"/>
    <w:pPr>
      <w:widowControl/>
      <w:numPr>
        <w:numId w:val="14"/>
      </w:numPr>
    </w:pPr>
    <w:rPr>
      <w:rFonts w:ascii="Times New Roman" w:eastAsiaTheme="minorHAnsi" w:hAnsi="Times New Roman"/>
      <w:sz w:val="24"/>
      <w:lang w:bidi="ar-SA"/>
    </w:rPr>
  </w:style>
  <w:style w:type="character" w:customStyle="1" w:styleId="BulletChar">
    <w:name w:val="Bullet Char"/>
    <w:link w:val="Bullet"/>
    <w:rsid w:val="00547DE4"/>
    <w:rPr>
      <w:rFonts w:ascii="Times New Roman" w:hAnsi="Times New Roman" w:cs="Times New Roman"/>
      <w:sz w:val="24"/>
      <w:szCs w:val="24"/>
      <w:lang w:val="en-GB"/>
    </w:rPr>
  </w:style>
  <w:style w:type="character" w:customStyle="1" w:styleId="ParagraphChar">
    <w:name w:val="Paragraph Char"/>
    <w:basedOn w:val="ClauseChar"/>
    <w:link w:val="Paragraph"/>
    <w:rsid w:val="00547DE4"/>
    <w:rPr>
      <w:rFonts w:eastAsia="Times New Roman" w:cs="Times New Roman"/>
      <w:sz w:val="20"/>
      <w:szCs w:val="20"/>
      <w:lang w:val="en-GB"/>
    </w:rPr>
  </w:style>
  <w:style w:type="character" w:customStyle="1" w:styleId="FootnoteChar">
    <w:name w:val="Footnote Char"/>
    <w:basedOn w:val="DefaultParagraphFont"/>
    <w:link w:val="Footnote"/>
    <w:rsid w:val="00547DE4"/>
    <w:rPr>
      <w:rFonts w:eastAsia="Times New Roman" w:cs="Times New Roman"/>
      <w:sz w:val="18"/>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07A6A-BD5B-4557-A459-6B1B8D19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2</cp:revision>
  <dcterms:created xsi:type="dcterms:W3CDTF">2014-05-14T07:15:00Z</dcterms:created>
  <dcterms:modified xsi:type="dcterms:W3CDTF">2014-07-02T07:24:00Z</dcterms:modified>
</cp:coreProperties>
</file>