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37" w:rsidRPr="00C0014E" w:rsidRDefault="002E2637" w:rsidP="002E2637">
      <w:pPr>
        <w:rPr>
          <w:noProof/>
          <w:sz w:val="20"/>
          <w:lang w:eastAsia="en-AU"/>
        </w:rPr>
      </w:pPr>
      <w:r w:rsidRPr="00C0014E">
        <w:rPr>
          <w:noProof/>
          <w:sz w:val="20"/>
          <w:lang w:eastAsia="en-GB" w:bidi="ar-SA"/>
        </w:rPr>
        <w:drawing>
          <wp:inline distT="0" distB="0" distL="0" distR="0" wp14:anchorId="4D1ED5E8" wp14:editId="330111DA">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E2637" w:rsidRPr="006153A1" w:rsidRDefault="002E2637" w:rsidP="002E2637">
      <w:pPr>
        <w:pStyle w:val="Title"/>
        <w:pBdr>
          <w:bottom w:val="single" w:sz="4" w:space="1" w:color="auto"/>
        </w:pBdr>
        <w:rPr>
          <w:b w:val="0"/>
          <w:bCs w:val="0"/>
          <w:szCs w:val="20"/>
          <w:lang w:val="en-GB"/>
        </w:rPr>
      </w:pPr>
    </w:p>
    <w:p w:rsidR="002E2637" w:rsidRDefault="002E2637" w:rsidP="002E2637">
      <w:pPr>
        <w:pBdr>
          <w:bottom w:val="single" w:sz="4" w:space="1" w:color="auto"/>
        </w:pBdr>
        <w:rPr>
          <w:b/>
          <w:sz w:val="20"/>
        </w:rPr>
      </w:pPr>
      <w:r w:rsidRPr="006153A1">
        <w:rPr>
          <w:b/>
          <w:sz w:val="20"/>
        </w:rPr>
        <w:t>Food Standards (</w:t>
      </w:r>
      <w:r w:rsidRPr="00F618DF">
        <w:rPr>
          <w:b/>
          <w:sz w:val="20"/>
        </w:rPr>
        <w:t>Proposal P</w:t>
      </w:r>
      <w:r>
        <w:rPr>
          <w:b/>
          <w:sz w:val="20"/>
        </w:rPr>
        <w:t>1017</w:t>
      </w:r>
      <w:r w:rsidRPr="00F618DF">
        <w:rPr>
          <w:b/>
          <w:sz w:val="20"/>
        </w:rPr>
        <w:t xml:space="preserve"> </w:t>
      </w:r>
      <w:r w:rsidRPr="00A32232">
        <w:rPr>
          <w:b/>
          <w:sz w:val="20"/>
        </w:rPr>
        <w:t xml:space="preserve">– </w:t>
      </w:r>
      <w:r>
        <w:rPr>
          <w:b/>
          <w:sz w:val="20"/>
        </w:rPr>
        <w:t xml:space="preserve">Criteria for </w:t>
      </w:r>
      <w:r w:rsidRPr="00FD5AFA">
        <w:rPr>
          <w:b/>
          <w:i/>
          <w:sz w:val="20"/>
        </w:rPr>
        <w:t>Listeria monocytogenes</w:t>
      </w:r>
      <w:r>
        <w:rPr>
          <w:b/>
          <w:sz w:val="20"/>
        </w:rPr>
        <w:t xml:space="preserve"> – Microbiological Limits for Foods)</w:t>
      </w:r>
      <w:r w:rsidRPr="00C0014E">
        <w:rPr>
          <w:b/>
          <w:sz w:val="20"/>
        </w:rPr>
        <w:t xml:space="preserve"> Variation</w:t>
      </w:r>
    </w:p>
    <w:p w:rsidR="002E2637" w:rsidRPr="00C0014E" w:rsidRDefault="002E2637" w:rsidP="002E2637">
      <w:pPr>
        <w:pBdr>
          <w:bottom w:val="single" w:sz="4" w:space="1" w:color="auto"/>
        </w:pBdr>
        <w:rPr>
          <w:b/>
          <w:sz w:val="20"/>
        </w:rPr>
      </w:pPr>
    </w:p>
    <w:p w:rsidR="002E2637" w:rsidRPr="008F2616" w:rsidRDefault="002E2637" w:rsidP="002E2637">
      <w:pPr>
        <w:rPr>
          <w:sz w:val="20"/>
        </w:rPr>
      </w:pPr>
    </w:p>
    <w:p w:rsidR="002E2637" w:rsidRPr="008F2616" w:rsidRDefault="002E2637" w:rsidP="002E2637">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Pr>
          <w:sz w:val="20"/>
        </w:rPr>
        <w:t xml:space="preserve">. </w:t>
      </w:r>
      <w:r w:rsidRPr="008F2616">
        <w:rPr>
          <w:sz w:val="20"/>
        </w:rPr>
        <w:t>The Standard commences on the date specified in clause 3 of this variation.</w:t>
      </w:r>
    </w:p>
    <w:p w:rsidR="002E2637" w:rsidRPr="008F2616" w:rsidRDefault="002E2637" w:rsidP="002E2637">
      <w:pPr>
        <w:rPr>
          <w:sz w:val="20"/>
        </w:rPr>
      </w:pPr>
    </w:p>
    <w:p w:rsidR="00823937" w:rsidRPr="00823937" w:rsidRDefault="00823937" w:rsidP="00823937">
      <w:pPr>
        <w:tabs>
          <w:tab w:val="left" w:pos="851"/>
        </w:tabs>
        <w:rPr>
          <w:sz w:val="20"/>
          <w:szCs w:val="20"/>
          <w:lang w:bidi="ar-SA"/>
        </w:rPr>
      </w:pPr>
      <w:r w:rsidRPr="00823937">
        <w:rPr>
          <w:sz w:val="20"/>
          <w:szCs w:val="20"/>
          <w:lang w:bidi="ar-SA"/>
        </w:rPr>
        <w:t>Dated 25 July 2014</w:t>
      </w:r>
    </w:p>
    <w:p w:rsidR="00823937" w:rsidRPr="00823937" w:rsidRDefault="00823937" w:rsidP="00823937">
      <w:pPr>
        <w:tabs>
          <w:tab w:val="left" w:pos="851"/>
        </w:tabs>
        <w:rPr>
          <w:sz w:val="20"/>
          <w:szCs w:val="20"/>
          <w:lang w:bidi="ar-SA"/>
        </w:rPr>
      </w:pPr>
      <w:bookmarkStart w:id="0" w:name="_GoBack"/>
      <w:r w:rsidRPr="00823937">
        <w:rPr>
          <w:noProof/>
          <w:sz w:val="20"/>
          <w:szCs w:val="20"/>
          <w:lang w:eastAsia="en-GB" w:bidi="ar-SA"/>
        </w:rPr>
        <w:drawing>
          <wp:inline distT="0" distB="0" distL="0" distR="0" wp14:anchorId="202B7F16" wp14:editId="3FB721DE">
            <wp:extent cx="134112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786765"/>
                    </a:xfrm>
                    <a:prstGeom prst="rect">
                      <a:avLst/>
                    </a:prstGeom>
                    <a:noFill/>
                  </pic:spPr>
                </pic:pic>
              </a:graphicData>
            </a:graphic>
          </wp:inline>
        </w:drawing>
      </w:r>
      <w:bookmarkEnd w:id="0"/>
    </w:p>
    <w:p w:rsidR="00823937" w:rsidRPr="00823937" w:rsidRDefault="00823937" w:rsidP="00823937">
      <w:pPr>
        <w:tabs>
          <w:tab w:val="left" w:pos="851"/>
        </w:tabs>
        <w:rPr>
          <w:sz w:val="20"/>
          <w:szCs w:val="20"/>
          <w:lang w:bidi="ar-SA"/>
        </w:rPr>
      </w:pPr>
      <w:r w:rsidRPr="00823937">
        <w:rPr>
          <w:sz w:val="20"/>
          <w:szCs w:val="20"/>
          <w:lang w:bidi="ar-SA"/>
        </w:rPr>
        <w:t>Standards Management Officer</w:t>
      </w:r>
    </w:p>
    <w:p w:rsidR="00823937" w:rsidRPr="00823937" w:rsidRDefault="00823937" w:rsidP="00823937">
      <w:pPr>
        <w:tabs>
          <w:tab w:val="left" w:pos="851"/>
        </w:tabs>
        <w:rPr>
          <w:sz w:val="20"/>
          <w:szCs w:val="20"/>
          <w:lang w:bidi="ar-SA"/>
        </w:rPr>
      </w:pPr>
      <w:r w:rsidRPr="00823937">
        <w:rPr>
          <w:sz w:val="20"/>
          <w:szCs w:val="20"/>
          <w:lang w:bidi="ar-SA"/>
        </w:rPr>
        <w:t>Delegate of the Board of Food Standards Australia New Zealand</w:t>
      </w:r>
    </w:p>
    <w:p w:rsidR="00823937" w:rsidRPr="00823937" w:rsidRDefault="00823937" w:rsidP="00823937">
      <w:pPr>
        <w:tabs>
          <w:tab w:val="left" w:pos="851"/>
        </w:tabs>
        <w:rPr>
          <w:sz w:val="20"/>
          <w:szCs w:val="20"/>
          <w:lang w:bidi="ar-SA"/>
        </w:rPr>
      </w:pPr>
    </w:p>
    <w:p w:rsidR="00823937" w:rsidRPr="00823937" w:rsidRDefault="00823937" w:rsidP="00823937">
      <w:pPr>
        <w:tabs>
          <w:tab w:val="left" w:pos="851"/>
        </w:tabs>
        <w:rPr>
          <w:sz w:val="20"/>
          <w:szCs w:val="20"/>
          <w:lang w:bidi="ar-SA"/>
        </w:rPr>
      </w:pPr>
    </w:p>
    <w:p w:rsidR="00823937" w:rsidRPr="00823937" w:rsidRDefault="00823937" w:rsidP="00823937">
      <w:pPr>
        <w:tabs>
          <w:tab w:val="left" w:pos="851"/>
        </w:tabs>
        <w:rPr>
          <w:sz w:val="20"/>
          <w:szCs w:val="20"/>
          <w:lang w:bidi="ar-SA"/>
        </w:rPr>
      </w:pPr>
    </w:p>
    <w:p w:rsidR="00823937" w:rsidRPr="00823937" w:rsidRDefault="00823937" w:rsidP="00823937">
      <w:pPr>
        <w:tabs>
          <w:tab w:val="left" w:pos="851"/>
        </w:tabs>
        <w:rPr>
          <w:sz w:val="20"/>
          <w:szCs w:val="20"/>
          <w:lang w:bidi="ar-SA"/>
        </w:rPr>
      </w:pPr>
    </w:p>
    <w:p w:rsidR="00823937" w:rsidRPr="00823937" w:rsidRDefault="00823937" w:rsidP="00823937">
      <w:pPr>
        <w:tabs>
          <w:tab w:val="left" w:pos="851"/>
        </w:tabs>
        <w:rPr>
          <w:sz w:val="20"/>
          <w:szCs w:val="20"/>
          <w:lang w:bidi="ar-SA"/>
        </w:rPr>
      </w:pPr>
    </w:p>
    <w:p w:rsidR="00823937" w:rsidRPr="00823937" w:rsidRDefault="00823937" w:rsidP="00823937">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823937">
        <w:rPr>
          <w:b/>
          <w:sz w:val="20"/>
          <w:szCs w:val="20"/>
          <w:lang w:val="en-AU" w:bidi="ar-SA"/>
        </w:rPr>
        <w:t xml:space="preserve">Note:  </w:t>
      </w:r>
    </w:p>
    <w:p w:rsidR="00823937" w:rsidRPr="00823937" w:rsidRDefault="00823937" w:rsidP="00823937">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823937" w:rsidRPr="00823937" w:rsidRDefault="00823937" w:rsidP="00823937">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823937">
        <w:rPr>
          <w:sz w:val="20"/>
          <w:szCs w:val="20"/>
          <w:lang w:val="en-AU" w:bidi="ar-SA"/>
        </w:rPr>
        <w:t xml:space="preserve">This variation will be published in the Commonwealth of Australia Gazette No. FSC 91 on 31 July 2014. This means that this date is the gazettal date for the purposes of clause 3 of the variation. </w:t>
      </w:r>
    </w:p>
    <w:p w:rsidR="00823937" w:rsidRPr="00823937" w:rsidRDefault="00823937" w:rsidP="00823937">
      <w:pPr>
        <w:tabs>
          <w:tab w:val="left" w:pos="851"/>
        </w:tabs>
        <w:rPr>
          <w:sz w:val="20"/>
          <w:szCs w:val="20"/>
          <w:lang w:bidi="ar-SA"/>
        </w:rPr>
      </w:pPr>
    </w:p>
    <w:p w:rsidR="002E2637" w:rsidRDefault="002E2637" w:rsidP="002E2637">
      <w:pPr>
        <w:rPr>
          <w:sz w:val="20"/>
        </w:rPr>
      </w:pPr>
    </w:p>
    <w:p w:rsidR="002E2637" w:rsidRDefault="002E2637" w:rsidP="002E2637">
      <w:pPr>
        <w:rPr>
          <w:sz w:val="20"/>
        </w:rPr>
      </w:pPr>
      <w:r>
        <w:rPr>
          <w:sz w:val="20"/>
        </w:rPr>
        <w:br w:type="page"/>
      </w:r>
    </w:p>
    <w:p w:rsidR="00034543" w:rsidRPr="00034543" w:rsidRDefault="00034543" w:rsidP="00034543">
      <w:pPr>
        <w:keepNext/>
        <w:tabs>
          <w:tab w:val="left" w:pos="851"/>
        </w:tabs>
        <w:rPr>
          <w:b/>
          <w:sz w:val="20"/>
          <w:szCs w:val="20"/>
        </w:rPr>
      </w:pPr>
      <w:r w:rsidRPr="00034543">
        <w:rPr>
          <w:b/>
          <w:sz w:val="20"/>
          <w:szCs w:val="20"/>
        </w:rPr>
        <w:lastRenderedPageBreak/>
        <w:t>1</w:t>
      </w:r>
      <w:r w:rsidRPr="00034543">
        <w:rPr>
          <w:b/>
          <w:sz w:val="20"/>
          <w:szCs w:val="20"/>
        </w:rPr>
        <w:tab/>
        <w:t>Name</w:t>
      </w:r>
    </w:p>
    <w:p w:rsidR="00034543" w:rsidRPr="00034543" w:rsidRDefault="00034543" w:rsidP="00034543">
      <w:pPr>
        <w:tabs>
          <w:tab w:val="left" w:pos="851"/>
        </w:tabs>
        <w:rPr>
          <w:sz w:val="20"/>
          <w:szCs w:val="20"/>
          <w:lang w:bidi="ar-SA"/>
        </w:rPr>
      </w:pPr>
    </w:p>
    <w:p w:rsidR="00034543" w:rsidRPr="00034543" w:rsidRDefault="00034543" w:rsidP="00034543">
      <w:pPr>
        <w:tabs>
          <w:tab w:val="left" w:pos="851"/>
        </w:tabs>
        <w:rPr>
          <w:sz w:val="20"/>
          <w:szCs w:val="20"/>
          <w:lang w:bidi="ar-SA"/>
        </w:rPr>
      </w:pPr>
      <w:r w:rsidRPr="00034543">
        <w:rPr>
          <w:sz w:val="20"/>
          <w:szCs w:val="20"/>
          <w:lang w:bidi="ar-SA"/>
        </w:rPr>
        <w:t xml:space="preserve">This instrument is the </w:t>
      </w:r>
      <w:r w:rsidRPr="00C73FD4">
        <w:rPr>
          <w:i/>
          <w:sz w:val="20"/>
          <w:szCs w:val="20"/>
          <w:lang w:bidi="ar-SA"/>
        </w:rPr>
        <w:t>Food Standards</w:t>
      </w:r>
      <w:r w:rsidRPr="00034543">
        <w:rPr>
          <w:sz w:val="20"/>
          <w:szCs w:val="20"/>
          <w:lang w:bidi="ar-SA"/>
        </w:rPr>
        <w:t xml:space="preserve"> (</w:t>
      </w:r>
      <w:r w:rsidRPr="00034543">
        <w:rPr>
          <w:i/>
          <w:sz w:val="20"/>
          <w:szCs w:val="20"/>
          <w:lang w:bidi="ar-SA"/>
        </w:rPr>
        <w:t>Proposal P1017 – Criteria for Listeria monocytogenes – Microbiological Limits for Foods</w:t>
      </w:r>
      <w:r w:rsidRPr="00034543">
        <w:rPr>
          <w:sz w:val="20"/>
          <w:szCs w:val="20"/>
          <w:lang w:bidi="ar-SA"/>
        </w:rPr>
        <w:t>)</w:t>
      </w:r>
      <w:r w:rsidRPr="00C73FD4">
        <w:rPr>
          <w:i/>
          <w:sz w:val="20"/>
          <w:szCs w:val="20"/>
          <w:lang w:bidi="ar-SA"/>
        </w:rPr>
        <w:t xml:space="preserve"> Variation</w:t>
      </w:r>
      <w:r w:rsidRPr="00034543">
        <w:rPr>
          <w:sz w:val="20"/>
          <w:szCs w:val="20"/>
          <w:lang w:bidi="ar-SA"/>
        </w:rPr>
        <w:t>.</w:t>
      </w:r>
    </w:p>
    <w:p w:rsidR="00034543" w:rsidRPr="00034543" w:rsidRDefault="00034543" w:rsidP="00034543">
      <w:pPr>
        <w:tabs>
          <w:tab w:val="left" w:pos="851"/>
        </w:tabs>
        <w:rPr>
          <w:sz w:val="20"/>
          <w:szCs w:val="20"/>
          <w:lang w:bidi="ar-SA"/>
        </w:rPr>
      </w:pPr>
    </w:p>
    <w:p w:rsidR="00034543" w:rsidRPr="00034543" w:rsidRDefault="00034543" w:rsidP="00034543">
      <w:pPr>
        <w:keepNext/>
        <w:ind w:left="851" w:hanging="851"/>
        <w:rPr>
          <w:b/>
          <w:sz w:val="20"/>
          <w:szCs w:val="20"/>
        </w:rPr>
      </w:pPr>
      <w:r w:rsidRPr="00034543">
        <w:rPr>
          <w:b/>
          <w:sz w:val="20"/>
          <w:szCs w:val="20"/>
        </w:rPr>
        <w:t>2</w:t>
      </w:r>
      <w:r w:rsidRPr="00034543">
        <w:rPr>
          <w:b/>
          <w:sz w:val="20"/>
          <w:szCs w:val="20"/>
        </w:rPr>
        <w:tab/>
        <w:t xml:space="preserve">Variations to Standards in the </w:t>
      </w:r>
      <w:r w:rsidRPr="00034543">
        <w:rPr>
          <w:b/>
          <w:i/>
          <w:sz w:val="20"/>
          <w:szCs w:val="20"/>
        </w:rPr>
        <w:t>Australia New Zealand Food Standards Code</w:t>
      </w:r>
    </w:p>
    <w:p w:rsidR="00034543" w:rsidRPr="00034543" w:rsidRDefault="00034543" w:rsidP="00034543">
      <w:pPr>
        <w:tabs>
          <w:tab w:val="left" w:pos="851"/>
        </w:tabs>
        <w:rPr>
          <w:sz w:val="20"/>
          <w:szCs w:val="20"/>
          <w:lang w:bidi="ar-SA"/>
        </w:rPr>
      </w:pPr>
    </w:p>
    <w:p w:rsidR="00034543" w:rsidRPr="00034543" w:rsidRDefault="00034543" w:rsidP="00034543">
      <w:pPr>
        <w:tabs>
          <w:tab w:val="left" w:pos="851"/>
        </w:tabs>
        <w:rPr>
          <w:sz w:val="20"/>
          <w:szCs w:val="20"/>
          <w:lang w:bidi="ar-SA"/>
        </w:rPr>
      </w:pPr>
      <w:r w:rsidRPr="00034543">
        <w:rPr>
          <w:sz w:val="20"/>
          <w:szCs w:val="20"/>
          <w:lang w:bidi="ar-SA"/>
        </w:rPr>
        <w:t xml:space="preserve">The Schedule varies Standards in the </w:t>
      </w:r>
      <w:r w:rsidRPr="00034543">
        <w:rPr>
          <w:i/>
          <w:sz w:val="20"/>
          <w:szCs w:val="20"/>
          <w:lang w:bidi="ar-SA"/>
        </w:rPr>
        <w:t>Australia New Zealand Food Standards Code</w:t>
      </w:r>
      <w:r w:rsidRPr="00034543">
        <w:rPr>
          <w:sz w:val="20"/>
          <w:szCs w:val="20"/>
          <w:lang w:bidi="ar-SA"/>
        </w:rPr>
        <w:t>.</w:t>
      </w:r>
    </w:p>
    <w:p w:rsidR="00034543" w:rsidRPr="00034543" w:rsidRDefault="00034543" w:rsidP="00034543">
      <w:pPr>
        <w:tabs>
          <w:tab w:val="left" w:pos="851"/>
        </w:tabs>
        <w:rPr>
          <w:sz w:val="20"/>
          <w:szCs w:val="20"/>
          <w:lang w:bidi="ar-SA"/>
        </w:rPr>
      </w:pPr>
    </w:p>
    <w:p w:rsidR="00034543" w:rsidRPr="00034543" w:rsidRDefault="00034543" w:rsidP="00034543">
      <w:pPr>
        <w:keepNext/>
        <w:tabs>
          <w:tab w:val="left" w:pos="851"/>
        </w:tabs>
        <w:rPr>
          <w:b/>
          <w:sz w:val="20"/>
          <w:szCs w:val="20"/>
        </w:rPr>
      </w:pPr>
      <w:r w:rsidRPr="00034543">
        <w:rPr>
          <w:b/>
          <w:sz w:val="20"/>
          <w:szCs w:val="20"/>
        </w:rPr>
        <w:t>3</w:t>
      </w:r>
      <w:r w:rsidRPr="00034543">
        <w:rPr>
          <w:b/>
          <w:sz w:val="20"/>
          <w:szCs w:val="20"/>
        </w:rPr>
        <w:tab/>
        <w:t>Commencement</w:t>
      </w:r>
    </w:p>
    <w:p w:rsidR="00034543" w:rsidRPr="00034543" w:rsidRDefault="00034543" w:rsidP="00034543">
      <w:pPr>
        <w:tabs>
          <w:tab w:val="left" w:pos="851"/>
        </w:tabs>
        <w:rPr>
          <w:sz w:val="20"/>
          <w:szCs w:val="20"/>
          <w:lang w:bidi="ar-SA"/>
        </w:rPr>
      </w:pPr>
    </w:p>
    <w:p w:rsidR="00034543" w:rsidRPr="00034543" w:rsidRDefault="00034543" w:rsidP="00034543">
      <w:pPr>
        <w:tabs>
          <w:tab w:val="left" w:pos="851"/>
        </w:tabs>
        <w:rPr>
          <w:sz w:val="20"/>
          <w:szCs w:val="20"/>
          <w:lang w:bidi="ar-SA"/>
        </w:rPr>
      </w:pPr>
      <w:r w:rsidRPr="00034543">
        <w:rPr>
          <w:sz w:val="20"/>
          <w:szCs w:val="20"/>
          <w:lang w:bidi="ar-SA"/>
        </w:rPr>
        <w:t>The variations commence on gazettal.</w:t>
      </w:r>
    </w:p>
    <w:p w:rsidR="00034543" w:rsidRPr="00034543" w:rsidRDefault="00034543" w:rsidP="00034543">
      <w:pPr>
        <w:tabs>
          <w:tab w:val="left" w:pos="851"/>
        </w:tabs>
        <w:rPr>
          <w:sz w:val="20"/>
          <w:szCs w:val="20"/>
          <w:lang w:bidi="ar-SA"/>
        </w:rPr>
      </w:pPr>
    </w:p>
    <w:p w:rsidR="00034543" w:rsidRPr="00034543" w:rsidRDefault="00034543" w:rsidP="00034543">
      <w:pPr>
        <w:tabs>
          <w:tab w:val="left" w:pos="851"/>
        </w:tabs>
        <w:jc w:val="center"/>
        <w:rPr>
          <w:b/>
          <w:caps/>
          <w:sz w:val="20"/>
          <w:szCs w:val="20"/>
          <w:lang w:bidi="ar-SA"/>
        </w:rPr>
      </w:pPr>
      <w:r w:rsidRPr="00034543">
        <w:rPr>
          <w:b/>
          <w:caps/>
          <w:sz w:val="20"/>
          <w:szCs w:val="20"/>
          <w:lang w:bidi="ar-SA"/>
        </w:rPr>
        <w:t>SCHEDULE</w:t>
      </w:r>
    </w:p>
    <w:p w:rsidR="00034543" w:rsidRPr="00034543" w:rsidRDefault="00034543" w:rsidP="00034543">
      <w:pPr>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b/>
          <w:bCs/>
          <w:sz w:val="20"/>
          <w:szCs w:val="20"/>
          <w:lang w:bidi="ar-SA"/>
        </w:rPr>
        <w:t>[1]</w:t>
      </w:r>
      <w:r w:rsidRPr="00034543">
        <w:rPr>
          <w:sz w:val="20"/>
          <w:szCs w:val="20"/>
          <w:lang w:bidi="ar-SA"/>
        </w:rPr>
        <w:tab/>
      </w:r>
      <w:r w:rsidRPr="00034543">
        <w:rPr>
          <w:b/>
          <w:bCs/>
          <w:sz w:val="20"/>
          <w:szCs w:val="20"/>
          <w:lang w:bidi="ar-SA"/>
        </w:rPr>
        <w:t>Standard 1.6.1</w:t>
      </w:r>
      <w:r w:rsidRPr="00034543">
        <w:rPr>
          <w:sz w:val="20"/>
          <w:szCs w:val="20"/>
          <w:lang w:bidi="ar-SA"/>
        </w:rPr>
        <w:t xml:space="preserve"> is varied by</w:t>
      </w:r>
    </w:p>
    <w:p w:rsidR="00034543" w:rsidRPr="00034543" w:rsidRDefault="00034543" w:rsidP="00034543">
      <w:pPr>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[1.1]</w:t>
      </w:r>
      <w:r w:rsidRPr="00034543">
        <w:rPr>
          <w:sz w:val="20"/>
          <w:szCs w:val="20"/>
          <w:lang w:bidi="ar-SA"/>
        </w:rPr>
        <w:tab/>
        <w:t>omitting the heading of the Standard “MICROBIOLOGICAL LIMITS FOR FOOD” and substituting “MICROBIOLOGICAL LIMITS IN FOOD”</w:t>
      </w:r>
    </w:p>
    <w:p w:rsidR="00034543" w:rsidRPr="00034543" w:rsidRDefault="00034543" w:rsidP="00034543">
      <w:pPr>
        <w:tabs>
          <w:tab w:val="left" w:pos="851"/>
        </w:tabs>
        <w:rPr>
          <w:sz w:val="20"/>
          <w:szCs w:val="20"/>
          <w:lang w:bidi="ar-SA"/>
        </w:rPr>
      </w:pPr>
    </w:p>
    <w:p w:rsidR="00034543" w:rsidRPr="00034543" w:rsidRDefault="00034543" w:rsidP="00034543">
      <w:pPr>
        <w:tabs>
          <w:tab w:val="left" w:pos="851"/>
        </w:tabs>
        <w:rPr>
          <w:sz w:val="20"/>
          <w:szCs w:val="20"/>
          <w:lang w:bidi="ar-SA"/>
        </w:rPr>
      </w:pPr>
      <w:r w:rsidRPr="00034543">
        <w:rPr>
          <w:sz w:val="20"/>
          <w:szCs w:val="20"/>
          <w:lang w:bidi="ar-SA"/>
        </w:rPr>
        <w:t>[1.2]</w:t>
      </w:r>
      <w:r w:rsidRPr="00034543">
        <w:rPr>
          <w:sz w:val="20"/>
          <w:szCs w:val="20"/>
          <w:lang w:bidi="ar-SA"/>
        </w:rPr>
        <w:tab/>
        <w:t>omitting the Purpose and substituting</w:t>
      </w:r>
    </w:p>
    <w:p w:rsidR="00034543" w:rsidRPr="00034543" w:rsidRDefault="00034543" w:rsidP="00034543">
      <w:pPr>
        <w:tabs>
          <w:tab w:val="left" w:pos="851"/>
        </w:tabs>
        <w:rPr>
          <w:sz w:val="20"/>
          <w:szCs w:val="20"/>
          <w:lang w:bidi="ar-SA"/>
        </w:rPr>
      </w:pPr>
    </w:p>
    <w:p w:rsidR="00034543" w:rsidRPr="00034543" w:rsidRDefault="00034543" w:rsidP="00034543">
      <w:pPr>
        <w:keepNext/>
        <w:tabs>
          <w:tab w:val="left" w:pos="851"/>
        </w:tabs>
        <w:rPr>
          <w:b/>
          <w:sz w:val="20"/>
          <w:szCs w:val="20"/>
        </w:rPr>
      </w:pPr>
      <w:r w:rsidRPr="00034543">
        <w:rPr>
          <w:sz w:val="20"/>
          <w:szCs w:val="20"/>
        </w:rPr>
        <w:t>“</w:t>
      </w:r>
      <w:r w:rsidRPr="00034543">
        <w:rPr>
          <w:b/>
          <w:sz w:val="20"/>
          <w:szCs w:val="20"/>
        </w:rPr>
        <w:t>Purpose</w:t>
      </w:r>
    </w:p>
    <w:p w:rsidR="00034543" w:rsidRPr="00034543" w:rsidRDefault="00034543" w:rsidP="00034543">
      <w:pPr>
        <w:tabs>
          <w:tab w:val="left" w:pos="851"/>
        </w:tabs>
        <w:rPr>
          <w:sz w:val="20"/>
          <w:szCs w:val="20"/>
          <w:lang w:bidi="ar-SA"/>
        </w:rPr>
      </w:pPr>
    </w:p>
    <w:p w:rsidR="00034543" w:rsidRPr="00034543" w:rsidRDefault="00034543" w:rsidP="00034543">
      <w:pPr>
        <w:tabs>
          <w:tab w:val="left" w:pos="851"/>
        </w:tabs>
        <w:rPr>
          <w:sz w:val="20"/>
          <w:szCs w:val="20"/>
          <w:lang w:bidi="ar-SA"/>
        </w:rPr>
      </w:pPr>
      <w:r w:rsidRPr="00034543">
        <w:rPr>
          <w:sz w:val="20"/>
          <w:szCs w:val="20"/>
          <w:lang w:bidi="ar-SA"/>
        </w:rPr>
        <w:t>This Standard specifies the microbiological food safety criteria which determine the acceptability of a lot or consignment of food for sale or intended for sale.  The Schedule to the Standard sets out sampling plans and the limits that a lot or consignment of food must comply with.  Foods that fail to meet these limits may pose a risk to human health and must not be offered for sale.”</w:t>
      </w:r>
    </w:p>
    <w:p w:rsidR="00034543" w:rsidRPr="00034543" w:rsidRDefault="00034543" w:rsidP="00034543">
      <w:pPr>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[1.3]</w:t>
      </w:r>
      <w:r w:rsidRPr="00034543">
        <w:rPr>
          <w:sz w:val="20"/>
          <w:szCs w:val="20"/>
          <w:lang w:bidi="ar-SA"/>
        </w:rPr>
        <w:tab/>
        <w:t>inserting in clause 1, in alphabetical order</w:t>
      </w:r>
    </w:p>
    <w:p w:rsidR="00034543" w:rsidRPr="00034543" w:rsidRDefault="00034543" w:rsidP="00034543">
      <w:pPr>
        <w:tabs>
          <w:tab w:val="left" w:pos="851"/>
        </w:tabs>
        <w:rPr>
          <w:sz w:val="20"/>
          <w:szCs w:val="20"/>
          <w:lang w:bidi="ar-SA"/>
        </w:rPr>
      </w:pPr>
    </w:p>
    <w:p w:rsidR="00034543" w:rsidRPr="00034543" w:rsidRDefault="00034543" w:rsidP="00034543">
      <w:pPr>
        <w:tabs>
          <w:tab w:val="left" w:pos="851"/>
        </w:tabs>
        <w:ind w:left="1701" w:hanging="851"/>
        <w:rPr>
          <w:iCs/>
          <w:sz w:val="20"/>
          <w:szCs w:val="20"/>
          <w:lang w:bidi="ar-SA"/>
        </w:rPr>
      </w:pPr>
      <w:r w:rsidRPr="00034543">
        <w:rPr>
          <w:sz w:val="20"/>
          <w:szCs w:val="20"/>
          <w:lang w:bidi="ar-SA"/>
        </w:rPr>
        <w:t>“</w:t>
      </w:r>
      <w:proofErr w:type="gramStart"/>
      <w:r w:rsidRPr="00034543">
        <w:rPr>
          <w:b/>
          <w:sz w:val="20"/>
          <w:szCs w:val="20"/>
          <w:lang w:bidi="ar-SA"/>
        </w:rPr>
        <w:t>listericidal</w:t>
      </w:r>
      <w:proofErr w:type="gramEnd"/>
      <w:r w:rsidRPr="00034543">
        <w:rPr>
          <w:b/>
          <w:sz w:val="20"/>
          <w:szCs w:val="20"/>
          <w:lang w:bidi="ar-SA"/>
        </w:rPr>
        <w:t xml:space="preserve"> process</w:t>
      </w:r>
      <w:r w:rsidRPr="00034543">
        <w:rPr>
          <w:sz w:val="20"/>
          <w:szCs w:val="20"/>
          <w:lang w:bidi="ar-SA"/>
        </w:rPr>
        <w:t xml:space="preserve"> means a process that reduces </w:t>
      </w:r>
      <w:r w:rsidRPr="00034543">
        <w:rPr>
          <w:i/>
          <w:iCs/>
          <w:sz w:val="20"/>
          <w:szCs w:val="20"/>
          <w:lang w:bidi="ar-SA"/>
        </w:rPr>
        <w:t>Listeria monocytogenes</w:t>
      </w:r>
      <w:r w:rsidRPr="00034543">
        <w:rPr>
          <w:iCs/>
          <w:sz w:val="20"/>
          <w:szCs w:val="20"/>
          <w:lang w:bidi="ar-SA"/>
        </w:rPr>
        <w:t xml:space="preserve"> microorganisms in the food to a safe level.”</w:t>
      </w:r>
    </w:p>
    <w:p w:rsidR="00034543" w:rsidRPr="00034543" w:rsidRDefault="00034543" w:rsidP="00034543">
      <w:pPr>
        <w:tabs>
          <w:tab w:val="left" w:pos="851"/>
        </w:tabs>
        <w:rPr>
          <w:sz w:val="20"/>
          <w:szCs w:val="20"/>
          <w:lang w:bidi="ar-SA"/>
        </w:rPr>
      </w:pPr>
    </w:p>
    <w:p w:rsidR="00034543" w:rsidRPr="00034543" w:rsidRDefault="00034543" w:rsidP="00034543">
      <w:pPr>
        <w:tabs>
          <w:tab w:val="left" w:pos="851"/>
        </w:tabs>
        <w:ind w:left="1701" w:hanging="851"/>
        <w:rPr>
          <w:sz w:val="20"/>
          <w:szCs w:val="20"/>
          <w:lang w:bidi="ar-SA"/>
        </w:rPr>
      </w:pPr>
      <w:r w:rsidRPr="00034543">
        <w:rPr>
          <w:sz w:val="20"/>
          <w:szCs w:val="20"/>
          <w:lang w:bidi="ar-SA"/>
        </w:rPr>
        <w:t>“</w:t>
      </w:r>
      <w:proofErr w:type="gramStart"/>
      <w:r w:rsidRPr="00034543">
        <w:rPr>
          <w:b/>
          <w:sz w:val="20"/>
          <w:szCs w:val="20"/>
          <w:lang w:bidi="ar-SA"/>
        </w:rPr>
        <w:t>ready-to-eat</w:t>
      </w:r>
      <w:proofErr w:type="gramEnd"/>
      <w:r w:rsidRPr="00034543">
        <w:rPr>
          <w:b/>
          <w:sz w:val="20"/>
          <w:szCs w:val="20"/>
          <w:lang w:bidi="ar-SA"/>
        </w:rPr>
        <w:t xml:space="preserve"> food</w:t>
      </w:r>
      <w:r w:rsidRPr="00034543">
        <w:rPr>
          <w:sz w:val="20"/>
          <w:szCs w:val="20"/>
          <w:lang w:bidi="ar-SA"/>
        </w:rPr>
        <w:t xml:space="preserve"> means a food that –</w:t>
      </w:r>
    </w:p>
    <w:p w:rsidR="00034543" w:rsidRPr="00034543" w:rsidRDefault="00034543" w:rsidP="00034543">
      <w:pPr>
        <w:tabs>
          <w:tab w:val="left" w:pos="851"/>
        </w:tabs>
        <w:rPr>
          <w:sz w:val="20"/>
          <w:szCs w:val="20"/>
          <w:lang w:bidi="ar-SA"/>
        </w:rPr>
      </w:pPr>
    </w:p>
    <w:p w:rsidR="00034543" w:rsidRPr="00034543" w:rsidRDefault="00034543" w:rsidP="00034543">
      <w:pPr>
        <w:widowControl/>
        <w:ind w:left="2553" w:hanging="851"/>
        <w:rPr>
          <w:sz w:val="20"/>
          <w:szCs w:val="20"/>
          <w:lang w:bidi="ar-SA"/>
        </w:rPr>
      </w:pPr>
      <w:r w:rsidRPr="00034543">
        <w:rPr>
          <w:sz w:val="20"/>
          <w:szCs w:val="20"/>
          <w:lang w:bidi="ar-SA"/>
        </w:rPr>
        <w:t>(a)</w:t>
      </w:r>
      <w:r w:rsidRPr="00034543">
        <w:rPr>
          <w:sz w:val="20"/>
          <w:szCs w:val="20"/>
          <w:lang w:bidi="ar-SA"/>
        </w:rPr>
        <w:tab/>
      </w:r>
      <w:proofErr w:type="gramStart"/>
      <w:r w:rsidRPr="00034543">
        <w:rPr>
          <w:sz w:val="20"/>
          <w:szCs w:val="20"/>
          <w:lang w:bidi="ar-SA"/>
        </w:rPr>
        <w:t>is</w:t>
      </w:r>
      <w:proofErr w:type="gramEnd"/>
      <w:r w:rsidRPr="00034543">
        <w:rPr>
          <w:sz w:val="20"/>
          <w:szCs w:val="20"/>
          <w:lang w:bidi="ar-SA"/>
        </w:rPr>
        <w:t xml:space="preserve"> ordinarily consumed in the same state as that in which it is sold; and</w:t>
      </w:r>
    </w:p>
    <w:p w:rsidR="00034543" w:rsidRPr="00034543" w:rsidRDefault="00034543" w:rsidP="00034543">
      <w:pPr>
        <w:widowControl/>
        <w:ind w:left="2553" w:hanging="851"/>
        <w:rPr>
          <w:sz w:val="20"/>
          <w:szCs w:val="20"/>
          <w:lang w:bidi="ar-SA"/>
        </w:rPr>
      </w:pPr>
      <w:r w:rsidRPr="00034543">
        <w:rPr>
          <w:sz w:val="20"/>
          <w:szCs w:val="20"/>
          <w:lang w:bidi="ar-SA"/>
        </w:rPr>
        <w:t>(b)</w:t>
      </w:r>
      <w:r w:rsidRPr="00034543">
        <w:rPr>
          <w:sz w:val="20"/>
          <w:szCs w:val="20"/>
          <w:lang w:bidi="ar-SA"/>
        </w:rPr>
        <w:tab/>
      </w:r>
      <w:proofErr w:type="gramStart"/>
      <w:r w:rsidRPr="00034543">
        <w:rPr>
          <w:sz w:val="20"/>
          <w:szCs w:val="20"/>
          <w:lang w:bidi="ar-SA"/>
        </w:rPr>
        <w:t>will</w:t>
      </w:r>
      <w:proofErr w:type="gramEnd"/>
      <w:r w:rsidRPr="00034543">
        <w:rPr>
          <w:sz w:val="20"/>
          <w:szCs w:val="20"/>
          <w:lang w:bidi="ar-SA"/>
        </w:rPr>
        <w:t xml:space="preserve"> not be subject to a listericidal process before consumption; and</w:t>
      </w:r>
    </w:p>
    <w:p w:rsidR="00034543" w:rsidRPr="00034543" w:rsidRDefault="00034543" w:rsidP="00034543">
      <w:pPr>
        <w:widowControl/>
        <w:ind w:left="2553" w:hanging="851"/>
        <w:rPr>
          <w:sz w:val="20"/>
          <w:szCs w:val="20"/>
          <w:lang w:bidi="ar-SA"/>
        </w:rPr>
      </w:pPr>
      <w:r w:rsidRPr="00034543">
        <w:rPr>
          <w:sz w:val="20"/>
          <w:szCs w:val="20"/>
          <w:lang w:bidi="ar-SA"/>
        </w:rPr>
        <w:t>(</w:t>
      </w:r>
      <w:proofErr w:type="gramStart"/>
      <w:r w:rsidRPr="00034543">
        <w:rPr>
          <w:sz w:val="20"/>
          <w:szCs w:val="20"/>
          <w:lang w:bidi="ar-SA"/>
        </w:rPr>
        <w:t>c</w:t>
      </w:r>
      <w:proofErr w:type="gramEnd"/>
      <w:r w:rsidRPr="00034543">
        <w:rPr>
          <w:sz w:val="20"/>
          <w:szCs w:val="20"/>
          <w:lang w:bidi="ar-SA"/>
        </w:rPr>
        <w:t>)</w:t>
      </w:r>
      <w:r w:rsidRPr="00034543">
        <w:rPr>
          <w:sz w:val="20"/>
          <w:szCs w:val="20"/>
          <w:lang w:bidi="ar-SA"/>
        </w:rPr>
        <w:tab/>
        <w:t>is not one of the following –</w:t>
      </w:r>
    </w:p>
    <w:p w:rsidR="00034543" w:rsidRPr="00034543" w:rsidRDefault="00034543" w:rsidP="00034543">
      <w:pPr>
        <w:tabs>
          <w:tab w:val="left" w:pos="851"/>
        </w:tabs>
        <w:rPr>
          <w:sz w:val="20"/>
          <w:szCs w:val="20"/>
          <w:lang w:bidi="ar-SA"/>
        </w:rPr>
      </w:pPr>
    </w:p>
    <w:p w:rsidR="00034543" w:rsidRPr="00034543" w:rsidRDefault="00034543" w:rsidP="00034543">
      <w:pPr>
        <w:widowControl/>
        <w:ind w:left="3402" w:hanging="851"/>
        <w:rPr>
          <w:sz w:val="20"/>
          <w:szCs w:val="20"/>
          <w:lang w:bidi="ar-SA"/>
        </w:rPr>
      </w:pPr>
      <w:r w:rsidRPr="00034543">
        <w:rPr>
          <w:sz w:val="20"/>
          <w:szCs w:val="20"/>
          <w:lang w:bidi="ar-SA"/>
        </w:rPr>
        <w:t>(i)</w:t>
      </w:r>
      <w:r w:rsidRPr="00034543">
        <w:rPr>
          <w:sz w:val="20"/>
          <w:szCs w:val="20"/>
          <w:lang w:bidi="ar-SA"/>
        </w:rPr>
        <w:tab/>
      </w:r>
      <w:proofErr w:type="gramStart"/>
      <w:r w:rsidRPr="00034543">
        <w:rPr>
          <w:sz w:val="20"/>
          <w:szCs w:val="20"/>
          <w:lang w:bidi="ar-SA"/>
        </w:rPr>
        <w:t>shelf</w:t>
      </w:r>
      <w:proofErr w:type="gramEnd"/>
      <w:r w:rsidRPr="00034543">
        <w:rPr>
          <w:sz w:val="20"/>
          <w:szCs w:val="20"/>
          <w:lang w:bidi="ar-SA"/>
        </w:rPr>
        <w:t xml:space="preserve"> stable foods;</w:t>
      </w:r>
    </w:p>
    <w:p w:rsidR="00034543" w:rsidRPr="00034543" w:rsidRDefault="00034543" w:rsidP="00034543">
      <w:pPr>
        <w:widowControl/>
        <w:ind w:left="3402" w:hanging="851"/>
        <w:rPr>
          <w:sz w:val="20"/>
          <w:szCs w:val="20"/>
          <w:lang w:bidi="ar-SA"/>
        </w:rPr>
      </w:pPr>
      <w:r w:rsidRPr="00034543">
        <w:rPr>
          <w:sz w:val="20"/>
          <w:szCs w:val="20"/>
          <w:lang w:bidi="ar-SA"/>
        </w:rPr>
        <w:t>(ii)</w:t>
      </w:r>
      <w:r w:rsidRPr="00034543">
        <w:rPr>
          <w:sz w:val="20"/>
          <w:szCs w:val="20"/>
          <w:lang w:bidi="ar-SA"/>
        </w:rPr>
        <w:tab/>
      </w:r>
      <w:proofErr w:type="gramStart"/>
      <w:r w:rsidRPr="00034543">
        <w:rPr>
          <w:sz w:val="20"/>
          <w:szCs w:val="20"/>
          <w:lang w:bidi="ar-SA"/>
        </w:rPr>
        <w:t>whole</w:t>
      </w:r>
      <w:proofErr w:type="gramEnd"/>
      <w:r w:rsidRPr="00034543">
        <w:rPr>
          <w:sz w:val="20"/>
          <w:szCs w:val="20"/>
          <w:lang w:bidi="ar-SA"/>
        </w:rPr>
        <w:t xml:space="preserve"> raw fruits;</w:t>
      </w:r>
    </w:p>
    <w:p w:rsidR="00034543" w:rsidRPr="00034543" w:rsidRDefault="00034543" w:rsidP="00034543">
      <w:pPr>
        <w:widowControl/>
        <w:ind w:left="3402" w:hanging="851"/>
        <w:rPr>
          <w:sz w:val="20"/>
          <w:szCs w:val="20"/>
          <w:lang w:bidi="ar-SA"/>
        </w:rPr>
      </w:pPr>
      <w:r w:rsidRPr="00034543">
        <w:rPr>
          <w:sz w:val="20"/>
          <w:szCs w:val="20"/>
          <w:lang w:bidi="ar-SA"/>
        </w:rPr>
        <w:t>(iii)</w:t>
      </w:r>
      <w:r w:rsidRPr="00034543">
        <w:rPr>
          <w:sz w:val="20"/>
          <w:szCs w:val="20"/>
          <w:lang w:bidi="ar-SA"/>
        </w:rPr>
        <w:tab/>
      </w:r>
      <w:proofErr w:type="gramStart"/>
      <w:r w:rsidRPr="00034543">
        <w:rPr>
          <w:sz w:val="20"/>
          <w:szCs w:val="20"/>
          <w:lang w:bidi="ar-SA"/>
        </w:rPr>
        <w:t>whole</w:t>
      </w:r>
      <w:proofErr w:type="gramEnd"/>
      <w:r w:rsidRPr="00034543">
        <w:rPr>
          <w:sz w:val="20"/>
          <w:szCs w:val="20"/>
          <w:lang w:bidi="ar-SA"/>
        </w:rPr>
        <w:t xml:space="preserve"> raw vegetables </w:t>
      </w:r>
    </w:p>
    <w:p w:rsidR="00034543" w:rsidRPr="00034543" w:rsidRDefault="00034543" w:rsidP="00034543">
      <w:pPr>
        <w:widowControl/>
        <w:ind w:left="3402" w:hanging="851"/>
        <w:rPr>
          <w:sz w:val="20"/>
          <w:szCs w:val="20"/>
          <w:lang w:bidi="ar-SA"/>
        </w:rPr>
      </w:pPr>
      <w:r w:rsidRPr="00034543">
        <w:rPr>
          <w:sz w:val="20"/>
          <w:szCs w:val="20"/>
          <w:lang w:bidi="ar-SA"/>
        </w:rPr>
        <w:t>(iv)</w:t>
      </w:r>
      <w:r w:rsidRPr="00034543">
        <w:rPr>
          <w:sz w:val="20"/>
          <w:szCs w:val="20"/>
          <w:lang w:bidi="ar-SA"/>
        </w:rPr>
        <w:tab/>
      </w:r>
      <w:proofErr w:type="gramStart"/>
      <w:r w:rsidRPr="00034543">
        <w:rPr>
          <w:sz w:val="20"/>
          <w:szCs w:val="20"/>
          <w:lang w:bidi="ar-SA"/>
        </w:rPr>
        <w:t>nuts</w:t>
      </w:r>
      <w:proofErr w:type="gramEnd"/>
      <w:r w:rsidRPr="00034543">
        <w:rPr>
          <w:sz w:val="20"/>
          <w:szCs w:val="20"/>
          <w:lang w:bidi="ar-SA"/>
        </w:rPr>
        <w:t xml:space="preserve"> in the shell;</w:t>
      </w:r>
    </w:p>
    <w:p w:rsidR="00034543" w:rsidRPr="00034543" w:rsidRDefault="00034543" w:rsidP="00034543">
      <w:pPr>
        <w:widowControl/>
        <w:ind w:left="3402" w:hanging="851"/>
        <w:rPr>
          <w:sz w:val="20"/>
          <w:szCs w:val="20"/>
          <w:lang w:bidi="ar-SA"/>
        </w:rPr>
      </w:pPr>
      <w:r w:rsidRPr="00034543">
        <w:rPr>
          <w:sz w:val="20"/>
          <w:szCs w:val="20"/>
          <w:lang w:bidi="ar-SA"/>
        </w:rPr>
        <w:t>(v)</w:t>
      </w:r>
      <w:r w:rsidRPr="00034543">
        <w:rPr>
          <w:sz w:val="20"/>
          <w:szCs w:val="20"/>
          <w:lang w:bidi="ar-SA"/>
        </w:rPr>
        <w:tab/>
      </w:r>
      <w:proofErr w:type="gramStart"/>
      <w:r w:rsidRPr="00034543">
        <w:rPr>
          <w:sz w:val="20"/>
          <w:szCs w:val="20"/>
          <w:lang w:bidi="ar-SA"/>
        </w:rPr>
        <w:t>live</w:t>
      </w:r>
      <w:proofErr w:type="gramEnd"/>
      <w:r w:rsidRPr="00034543">
        <w:rPr>
          <w:sz w:val="20"/>
          <w:szCs w:val="20"/>
          <w:lang w:bidi="ar-SA"/>
        </w:rPr>
        <w:t xml:space="preserve"> bivalve molluscs.”</w:t>
      </w:r>
    </w:p>
    <w:p w:rsidR="00034543" w:rsidRPr="00034543" w:rsidRDefault="00034543" w:rsidP="00034543">
      <w:pPr>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[1.4]</w:t>
      </w:r>
      <w:r w:rsidRPr="00034543">
        <w:rPr>
          <w:sz w:val="20"/>
          <w:szCs w:val="20"/>
          <w:lang w:bidi="ar-SA"/>
        </w:rPr>
        <w:tab/>
        <w:t>omitting subclause 2(2) and substituting</w:t>
      </w:r>
    </w:p>
    <w:p w:rsidR="00034543" w:rsidRPr="00034543" w:rsidRDefault="00034543" w:rsidP="00034543">
      <w:pPr>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“(2)</w:t>
      </w:r>
      <w:r w:rsidRPr="00034543">
        <w:rPr>
          <w:sz w:val="20"/>
          <w:szCs w:val="20"/>
          <w:lang w:bidi="ar-SA"/>
        </w:rPr>
        <w:tab/>
        <w:t>The limit for SPC in the Schedule does not apply to powdered infant formula products</w:t>
      </w:r>
      <w:r w:rsidRPr="00034543" w:rsidDel="00DC20B6">
        <w:rPr>
          <w:sz w:val="20"/>
          <w:szCs w:val="20"/>
          <w:lang w:bidi="ar-SA"/>
        </w:rPr>
        <w:t xml:space="preserve"> </w:t>
      </w:r>
      <w:r w:rsidRPr="00034543">
        <w:rPr>
          <w:sz w:val="20"/>
          <w:szCs w:val="20"/>
          <w:lang w:bidi="ar-SA"/>
        </w:rPr>
        <w:t>that contain lactic acid producing microorganisms.”</w:t>
      </w:r>
    </w:p>
    <w:p w:rsidR="00034543" w:rsidRPr="00034543" w:rsidRDefault="00034543" w:rsidP="00034543">
      <w:pPr>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[1.5]</w:t>
      </w:r>
      <w:r w:rsidRPr="00034543">
        <w:rPr>
          <w:sz w:val="20"/>
          <w:szCs w:val="20"/>
          <w:lang w:bidi="ar-SA"/>
        </w:rPr>
        <w:tab/>
        <w:t>omitting clause 4 and substituting</w:t>
      </w:r>
    </w:p>
    <w:p w:rsidR="00034543" w:rsidRPr="00034543" w:rsidRDefault="00034543" w:rsidP="00034543">
      <w:pPr>
        <w:tabs>
          <w:tab w:val="left" w:pos="851"/>
        </w:tabs>
        <w:rPr>
          <w:sz w:val="20"/>
          <w:szCs w:val="20"/>
          <w:lang w:bidi="ar-SA"/>
        </w:rPr>
      </w:pPr>
    </w:p>
    <w:p w:rsidR="00034543" w:rsidRPr="00034543" w:rsidRDefault="00034543" w:rsidP="00034543">
      <w:pPr>
        <w:keepNext/>
        <w:tabs>
          <w:tab w:val="left" w:pos="851"/>
        </w:tabs>
        <w:rPr>
          <w:b/>
          <w:sz w:val="20"/>
          <w:szCs w:val="20"/>
        </w:rPr>
      </w:pPr>
      <w:r w:rsidRPr="00034543">
        <w:rPr>
          <w:sz w:val="20"/>
          <w:szCs w:val="20"/>
        </w:rPr>
        <w:t>“</w:t>
      </w:r>
      <w:r w:rsidRPr="00034543">
        <w:rPr>
          <w:b/>
          <w:sz w:val="20"/>
          <w:szCs w:val="20"/>
        </w:rPr>
        <w:t>4</w:t>
      </w:r>
      <w:r w:rsidRPr="00034543">
        <w:rPr>
          <w:b/>
          <w:sz w:val="20"/>
          <w:szCs w:val="20"/>
        </w:rPr>
        <w:tab/>
        <w:t>Reference methods of analysis</w:t>
      </w:r>
    </w:p>
    <w:p w:rsidR="00034543" w:rsidRPr="00034543" w:rsidRDefault="00034543" w:rsidP="00034543">
      <w:pPr>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(1)</w:t>
      </w:r>
      <w:r w:rsidRPr="00034543">
        <w:rPr>
          <w:sz w:val="20"/>
          <w:szCs w:val="20"/>
          <w:lang w:bidi="ar-SA"/>
        </w:rPr>
        <w:tab/>
        <w:t>The following reference methods must be used to determine whether a food has exceeded the maximum permissible levels of microorganisms specified in the Schedule in relation to that food –</w:t>
      </w:r>
    </w:p>
    <w:p w:rsidR="00034543" w:rsidRPr="00034543" w:rsidRDefault="00034543" w:rsidP="00034543">
      <w:pPr>
        <w:tabs>
          <w:tab w:val="left" w:pos="851"/>
        </w:tabs>
        <w:rPr>
          <w:sz w:val="20"/>
          <w:szCs w:val="20"/>
          <w:lang w:bidi="ar-SA"/>
        </w:rPr>
      </w:pPr>
    </w:p>
    <w:p w:rsidR="00034543" w:rsidRPr="00034543" w:rsidRDefault="00034543" w:rsidP="00034543">
      <w:pPr>
        <w:pStyle w:val="Paragraph"/>
        <w:rPr>
          <w:lang w:bidi="ar-SA"/>
        </w:rPr>
      </w:pPr>
      <w:r w:rsidRPr="00034543">
        <w:rPr>
          <w:lang w:bidi="ar-SA"/>
        </w:rPr>
        <w:t>(a)</w:t>
      </w:r>
      <w:r w:rsidRPr="00034543">
        <w:rPr>
          <w:lang w:bidi="ar-SA"/>
        </w:rPr>
        <w:tab/>
      </w:r>
      <w:proofErr w:type="gramStart"/>
      <w:r w:rsidRPr="00034543">
        <w:rPr>
          <w:lang w:bidi="ar-SA"/>
        </w:rPr>
        <w:t>for</w:t>
      </w:r>
      <w:proofErr w:type="gramEnd"/>
      <w:r w:rsidRPr="00034543">
        <w:rPr>
          <w:lang w:bidi="ar-SA"/>
        </w:rPr>
        <w:t xml:space="preserve"> a food other than packaged water, packaged ice or mineral water –</w:t>
      </w:r>
    </w:p>
    <w:p w:rsidR="00034543" w:rsidRPr="00034543" w:rsidRDefault="00034543" w:rsidP="00034543">
      <w:pPr>
        <w:tabs>
          <w:tab w:val="left" w:pos="851"/>
        </w:tabs>
        <w:rPr>
          <w:sz w:val="20"/>
          <w:szCs w:val="20"/>
          <w:lang w:bidi="ar-SA"/>
        </w:rPr>
      </w:pPr>
    </w:p>
    <w:p w:rsidR="00034543" w:rsidRPr="00034543" w:rsidRDefault="00034543" w:rsidP="00034543">
      <w:pPr>
        <w:widowControl/>
        <w:ind w:left="2553" w:hanging="851"/>
        <w:rPr>
          <w:sz w:val="20"/>
          <w:szCs w:val="20"/>
          <w:lang w:bidi="ar-SA"/>
        </w:rPr>
      </w:pPr>
      <w:r w:rsidRPr="00034543">
        <w:rPr>
          <w:sz w:val="20"/>
          <w:szCs w:val="20"/>
          <w:lang w:bidi="ar-SA"/>
        </w:rPr>
        <w:lastRenderedPageBreak/>
        <w:t>(i)</w:t>
      </w:r>
      <w:r w:rsidRPr="00034543">
        <w:rPr>
          <w:sz w:val="20"/>
          <w:szCs w:val="20"/>
          <w:lang w:bidi="ar-SA"/>
        </w:rPr>
        <w:tab/>
      </w:r>
      <w:proofErr w:type="gramStart"/>
      <w:r w:rsidRPr="00034543">
        <w:rPr>
          <w:sz w:val="20"/>
          <w:szCs w:val="20"/>
          <w:lang w:bidi="ar-SA"/>
        </w:rPr>
        <w:t>the</w:t>
      </w:r>
      <w:proofErr w:type="gramEnd"/>
      <w:r w:rsidRPr="00034543">
        <w:rPr>
          <w:sz w:val="20"/>
          <w:szCs w:val="20"/>
          <w:lang w:bidi="ar-SA"/>
        </w:rPr>
        <w:t xml:space="preserve"> relevant method prescribed by Australian Standard AS5013; or</w:t>
      </w:r>
    </w:p>
    <w:p w:rsidR="00034543" w:rsidRPr="00034543" w:rsidRDefault="00034543" w:rsidP="00034543">
      <w:pPr>
        <w:widowControl/>
        <w:ind w:left="2553" w:hanging="851"/>
        <w:rPr>
          <w:sz w:val="20"/>
          <w:szCs w:val="20"/>
          <w:lang w:bidi="ar-SA"/>
        </w:rPr>
      </w:pPr>
      <w:r w:rsidRPr="00034543">
        <w:rPr>
          <w:sz w:val="20"/>
          <w:szCs w:val="20"/>
          <w:lang w:bidi="ar-SA"/>
        </w:rPr>
        <w:t>(ii)</w:t>
      </w:r>
      <w:r w:rsidRPr="00034543">
        <w:rPr>
          <w:sz w:val="20"/>
          <w:szCs w:val="20"/>
          <w:lang w:bidi="ar-SA"/>
        </w:rPr>
        <w:tab/>
      </w:r>
      <w:proofErr w:type="gramStart"/>
      <w:r w:rsidRPr="00034543">
        <w:rPr>
          <w:sz w:val="20"/>
          <w:szCs w:val="20"/>
          <w:lang w:bidi="ar-SA"/>
        </w:rPr>
        <w:t>the</w:t>
      </w:r>
      <w:proofErr w:type="gramEnd"/>
      <w:r w:rsidRPr="00034543">
        <w:rPr>
          <w:sz w:val="20"/>
          <w:szCs w:val="20"/>
          <w:lang w:bidi="ar-SA"/>
        </w:rPr>
        <w:t xml:space="preserve"> relevant method referenced by Australian Standard AS5013 and prescribed by the International</w:t>
      </w:r>
      <w:r w:rsidRPr="00034543">
        <w:rPr>
          <w:color w:val="1F497D"/>
          <w:szCs w:val="22"/>
          <w:lang w:bidi="ar-SA"/>
        </w:rPr>
        <w:t xml:space="preserve"> </w:t>
      </w:r>
      <w:r w:rsidRPr="00034543">
        <w:rPr>
          <w:sz w:val="20"/>
          <w:szCs w:val="20"/>
          <w:lang w:bidi="ar-SA"/>
        </w:rPr>
        <w:t>Organization for Standardization; or</w:t>
      </w:r>
    </w:p>
    <w:p w:rsidR="00034543" w:rsidRPr="00034543" w:rsidRDefault="00034543" w:rsidP="00034543">
      <w:pPr>
        <w:widowControl/>
        <w:ind w:left="2553" w:hanging="851"/>
        <w:rPr>
          <w:sz w:val="20"/>
          <w:szCs w:val="20"/>
          <w:lang w:bidi="ar-SA"/>
        </w:rPr>
      </w:pPr>
      <w:r w:rsidRPr="00034543">
        <w:rPr>
          <w:sz w:val="20"/>
          <w:szCs w:val="20"/>
          <w:lang w:bidi="ar-SA"/>
        </w:rPr>
        <w:t>(iii)</w:t>
      </w:r>
      <w:r w:rsidRPr="00034543">
        <w:rPr>
          <w:sz w:val="20"/>
          <w:szCs w:val="20"/>
          <w:lang w:bidi="ar-SA"/>
        </w:rPr>
        <w:tab/>
      </w:r>
      <w:proofErr w:type="gramStart"/>
      <w:r w:rsidRPr="00034543">
        <w:rPr>
          <w:sz w:val="20"/>
          <w:szCs w:val="20"/>
          <w:lang w:bidi="ar-SA"/>
        </w:rPr>
        <w:t>any</w:t>
      </w:r>
      <w:proofErr w:type="gramEnd"/>
      <w:r w:rsidRPr="00034543">
        <w:rPr>
          <w:sz w:val="20"/>
          <w:szCs w:val="20"/>
          <w:lang w:bidi="ar-SA"/>
        </w:rPr>
        <w:t xml:space="preserve"> equivalent method as determined by –</w:t>
      </w:r>
    </w:p>
    <w:p w:rsidR="00034543" w:rsidRPr="00034543" w:rsidRDefault="00034543" w:rsidP="00034543">
      <w:pPr>
        <w:tabs>
          <w:tab w:val="left" w:pos="851"/>
        </w:tabs>
        <w:rPr>
          <w:sz w:val="20"/>
          <w:szCs w:val="20"/>
          <w:lang w:bidi="ar-SA"/>
        </w:rPr>
      </w:pPr>
    </w:p>
    <w:p w:rsidR="00034543" w:rsidRPr="00034543" w:rsidRDefault="00034543" w:rsidP="00034543">
      <w:pPr>
        <w:widowControl/>
        <w:ind w:left="3402" w:hanging="851"/>
        <w:rPr>
          <w:rFonts w:cs="Arial"/>
          <w:sz w:val="20"/>
          <w:szCs w:val="20"/>
          <w:lang w:bidi="ar-SA"/>
        </w:rPr>
      </w:pPr>
      <w:r w:rsidRPr="00034543">
        <w:rPr>
          <w:sz w:val="20"/>
          <w:szCs w:val="20"/>
          <w:lang w:bidi="ar-SA"/>
        </w:rPr>
        <w:t>(A)</w:t>
      </w:r>
      <w:r w:rsidRPr="00034543">
        <w:rPr>
          <w:sz w:val="20"/>
          <w:szCs w:val="20"/>
          <w:lang w:bidi="ar-SA"/>
        </w:rPr>
        <w:tab/>
        <w:t xml:space="preserve">Australian New Zealand Standard </w:t>
      </w:r>
      <w:r w:rsidRPr="00034543">
        <w:rPr>
          <w:color w:val="000000"/>
          <w:sz w:val="20"/>
          <w:szCs w:val="20"/>
          <w:lang w:bidi="ar-SA"/>
        </w:rPr>
        <w:t xml:space="preserve">AS/NZS </w:t>
      </w:r>
      <w:r w:rsidRPr="00034543">
        <w:rPr>
          <w:sz w:val="20"/>
          <w:szCs w:val="20"/>
          <w:lang w:bidi="ar-SA"/>
        </w:rPr>
        <w:t>4659; or</w:t>
      </w:r>
    </w:p>
    <w:p w:rsidR="00034543" w:rsidRPr="00034543" w:rsidRDefault="00034543" w:rsidP="00034543">
      <w:pPr>
        <w:widowControl/>
        <w:ind w:left="3402" w:hanging="851"/>
        <w:rPr>
          <w:rFonts w:cs="Arial"/>
          <w:sz w:val="20"/>
          <w:szCs w:val="20"/>
          <w:lang w:bidi="ar-SA"/>
        </w:rPr>
      </w:pPr>
      <w:r w:rsidRPr="00034543">
        <w:rPr>
          <w:sz w:val="20"/>
          <w:szCs w:val="20"/>
          <w:lang w:bidi="ar-SA"/>
        </w:rPr>
        <w:t>(B)</w:t>
      </w:r>
      <w:r w:rsidRPr="00034543">
        <w:rPr>
          <w:sz w:val="20"/>
          <w:szCs w:val="20"/>
          <w:lang w:bidi="ar-SA"/>
        </w:rPr>
        <w:tab/>
        <w:t>ISO 16140:2003</w:t>
      </w:r>
      <w:r w:rsidRPr="00034543">
        <w:rPr>
          <w:rFonts w:cs="Arial"/>
          <w:sz w:val="20"/>
          <w:szCs w:val="20"/>
          <w:lang w:bidi="ar-SA"/>
        </w:rPr>
        <w:t>; and</w:t>
      </w:r>
    </w:p>
    <w:p w:rsidR="00034543" w:rsidRPr="00034543" w:rsidRDefault="00034543" w:rsidP="00034543">
      <w:pPr>
        <w:tabs>
          <w:tab w:val="left" w:pos="851"/>
        </w:tabs>
        <w:rPr>
          <w:sz w:val="20"/>
          <w:szCs w:val="20"/>
          <w:lang w:bidi="ar-SA"/>
        </w:rPr>
      </w:pPr>
    </w:p>
    <w:p w:rsidR="00034543" w:rsidRPr="00034543" w:rsidRDefault="00034543" w:rsidP="00034543">
      <w:pPr>
        <w:ind w:left="1702" w:hanging="851"/>
        <w:rPr>
          <w:sz w:val="20"/>
          <w:szCs w:val="20"/>
          <w:lang w:bidi="ar-SA"/>
        </w:rPr>
      </w:pPr>
      <w:r w:rsidRPr="00034543">
        <w:rPr>
          <w:sz w:val="20"/>
          <w:szCs w:val="20"/>
          <w:lang w:bidi="ar-SA"/>
        </w:rPr>
        <w:t>(b)</w:t>
      </w:r>
      <w:r w:rsidRPr="00034543">
        <w:rPr>
          <w:sz w:val="20"/>
          <w:szCs w:val="20"/>
          <w:lang w:bidi="ar-SA"/>
        </w:rPr>
        <w:tab/>
      </w:r>
      <w:proofErr w:type="gramStart"/>
      <w:r w:rsidRPr="00034543">
        <w:rPr>
          <w:sz w:val="20"/>
          <w:szCs w:val="20"/>
          <w:lang w:bidi="ar-SA"/>
        </w:rPr>
        <w:t>for</w:t>
      </w:r>
      <w:proofErr w:type="gramEnd"/>
      <w:r w:rsidRPr="00034543">
        <w:rPr>
          <w:sz w:val="20"/>
          <w:szCs w:val="20"/>
          <w:lang w:bidi="ar-SA"/>
        </w:rPr>
        <w:t xml:space="preserve"> packaged water, packaged ice or mineral water—the relevant method prescribed by Australian New Zealand Standard </w:t>
      </w:r>
      <w:r w:rsidRPr="00034543">
        <w:rPr>
          <w:color w:val="000000"/>
          <w:sz w:val="20"/>
          <w:szCs w:val="20"/>
          <w:lang w:bidi="ar-SA"/>
        </w:rPr>
        <w:t xml:space="preserve">AS/NZS </w:t>
      </w:r>
      <w:r w:rsidRPr="00034543">
        <w:rPr>
          <w:sz w:val="20"/>
          <w:szCs w:val="20"/>
          <w:lang w:bidi="ar-SA"/>
        </w:rPr>
        <w:t>4276.</w:t>
      </w:r>
    </w:p>
    <w:p w:rsidR="00034543" w:rsidRPr="00034543" w:rsidRDefault="00034543" w:rsidP="00034543">
      <w:pPr>
        <w:widowControl/>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(2)</w:t>
      </w:r>
      <w:r w:rsidRPr="00034543">
        <w:rPr>
          <w:sz w:val="20"/>
          <w:szCs w:val="20"/>
          <w:lang w:bidi="ar-SA"/>
        </w:rPr>
        <w:tab/>
      </w:r>
      <w:proofErr w:type="gramStart"/>
      <w:r w:rsidRPr="00034543">
        <w:rPr>
          <w:sz w:val="20"/>
          <w:szCs w:val="20"/>
          <w:lang w:bidi="ar-SA"/>
        </w:rPr>
        <w:t>A</w:t>
      </w:r>
      <w:proofErr w:type="gramEnd"/>
      <w:r w:rsidRPr="00034543">
        <w:rPr>
          <w:sz w:val="20"/>
          <w:szCs w:val="20"/>
          <w:lang w:bidi="ar-SA"/>
        </w:rPr>
        <w:t xml:space="preserve"> reference to a Standard in subclause (1) is a reference to that Standard as in force at the commencement of this provision.”</w:t>
      </w:r>
    </w:p>
    <w:p w:rsidR="00034543" w:rsidRPr="00034543" w:rsidRDefault="00034543" w:rsidP="00034543">
      <w:pPr>
        <w:widowControl/>
        <w:tabs>
          <w:tab w:val="left" w:pos="851"/>
        </w:tabs>
        <w:rPr>
          <w:sz w:val="20"/>
          <w:szCs w:val="20"/>
          <w:lang w:bidi="ar-SA"/>
        </w:rPr>
      </w:pPr>
    </w:p>
    <w:p w:rsidR="00034543" w:rsidRPr="00034543" w:rsidRDefault="00034543" w:rsidP="00034543">
      <w:pPr>
        <w:tabs>
          <w:tab w:val="left" w:pos="851"/>
        </w:tabs>
        <w:rPr>
          <w:sz w:val="20"/>
          <w:szCs w:val="20"/>
          <w:lang w:bidi="ar-SA"/>
        </w:rPr>
      </w:pPr>
      <w:r w:rsidRPr="00034543">
        <w:rPr>
          <w:sz w:val="20"/>
          <w:szCs w:val="20"/>
          <w:lang w:bidi="ar-SA"/>
        </w:rPr>
        <w:t>[1.6]</w:t>
      </w:r>
      <w:r w:rsidRPr="00034543">
        <w:rPr>
          <w:sz w:val="20"/>
          <w:szCs w:val="20"/>
          <w:lang w:bidi="ar-SA"/>
        </w:rPr>
        <w:tab/>
        <w:t>inserting after clause 5</w:t>
      </w:r>
    </w:p>
    <w:p w:rsidR="00034543" w:rsidRPr="00034543" w:rsidRDefault="00034543" w:rsidP="00034543">
      <w:pPr>
        <w:tabs>
          <w:tab w:val="left" w:pos="851"/>
        </w:tabs>
        <w:rPr>
          <w:sz w:val="20"/>
          <w:szCs w:val="20"/>
          <w:lang w:bidi="ar-SA"/>
        </w:rPr>
      </w:pPr>
    </w:p>
    <w:p w:rsidR="00034543" w:rsidRPr="00034543" w:rsidRDefault="00034543" w:rsidP="00034543">
      <w:pPr>
        <w:keepNext/>
        <w:tabs>
          <w:tab w:val="left" w:pos="851"/>
        </w:tabs>
        <w:rPr>
          <w:b/>
          <w:sz w:val="20"/>
          <w:szCs w:val="20"/>
        </w:rPr>
      </w:pPr>
      <w:r w:rsidRPr="00034543">
        <w:rPr>
          <w:sz w:val="20"/>
          <w:szCs w:val="20"/>
        </w:rPr>
        <w:t>“</w:t>
      </w:r>
      <w:r w:rsidRPr="00034543">
        <w:rPr>
          <w:b/>
          <w:sz w:val="20"/>
          <w:szCs w:val="20"/>
        </w:rPr>
        <w:t>6</w:t>
      </w:r>
      <w:r w:rsidRPr="00034543">
        <w:rPr>
          <w:b/>
          <w:sz w:val="20"/>
          <w:szCs w:val="20"/>
        </w:rPr>
        <w:tab/>
        <w:t xml:space="preserve">Food in which growth of </w:t>
      </w:r>
      <w:r w:rsidRPr="00034543">
        <w:rPr>
          <w:b/>
          <w:i/>
          <w:sz w:val="20"/>
          <w:szCs w:val="20"/>
        </w:rPr>
        <w:t>Listeria monocytogenes</w:t>
      </w:r>
      <w:r w:rsidRPr="00034543">
        <w:rPr>
          <w:b/>
          <w:sz w:val="20"/>
          <w:szCs w:val="20"/>
        </w:rPr>
        <w:t xml:space="preserve"> will not occur</w:t>
      </w:r>
    </w:p>
    <w:p w:rsidR="00034543" w:rsidRPr="00034543" w:rsidRDefault="00034543" w:rsidP="00034543">
      <w:pPr>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(1)</w:t>
      </w:r>
      <w:r w:rsidRPr="00034543">
        <w:rPr>
          <w:sz w:val="20"/>
          <w:szCs w:val="20"/>
          <w:lang w:bidi="ar-SA"/>
        </w:rPr>
        <w:tab/>
        <w:t xml:space="preserve">For the purposes of the Schedule, growth of </w:t>
      </w:r>
      <w:r w:rsidRPr="00034543">
        <w:rPr>
          <w:i/>
          <w:sz w:val="20"/>
          <w:szCs w:val="20"/>
          <w:lang w:bidi="ar-SA"/>
        </w:rPr>
        <w:t>Listeria monocytogenes</w:t>
      </w:r>
      <w:r w:rsidRPr="00034543">
        <w:rPr>
          <w:sz w:val="20"/>
          <w:szCs w:val="20"/>
          <w:lang w:bidi="ar-SA"/>
        </w:rPr>
        <w:t xml:space="preserve"> will not occur in a ready-to-eat food if –</w:t>
      </w:r>
    </w:p>
    <w:p w:rsidR="00034543" w:rsidRPr="00034543" w:rsidRDefault="00034543" w:rsidP="00034543">
      <w:pPr>
        <w:tabs>
          <w:tab w:val="left" w:pos="851"/>
        </w:tabs>
        <w:rPr>
          <w:sz w:val="20"/>
          <w:szCs w:val="20"/>
          <w:lang w:bidi="ar-SA"/>
        </w:rPr>
      </w:pPr>
    </w:p>
    <w:p w:rsidR="00034543" w:rsidRPr="00034543" w:rsidRDefault="00034543" w:rsidP="00034543">
      <w:pPr>
        <w:ind w:left="1702" w:hanging="851"/>
        <w:rPr>
          <w:sz w:val="20"/>
          <w:szCs w:val="20"/>
          <w:lang w:bidi="ar-SA"/>
        </w:rPr>
      </w:pPr>
      <w:r w:rsidRPr="00034543">
        <w:rPr>
          <w:sz w:val="20"/>
          <w:szCs w:val="20"/>
          <w:lang w:bidi="ar-SA"/>
        </w:rPr>
        <w:t>(a)</w:t>
      </w:r>
      <w:r w:rsidRPr="00034543">
        <w:rPr>
          <w:sz w:val="20"/>
          <w:szCs w:val="20"/>
          <w:lang w:bidi="ar-SA"/>
        </w:rPr>
        <w:tab/>
      </w:r>
      <w:proofErr w:type="gramStart"/>
      <w:r w:rsidRPr="00034543">
        <w:rPr>
          <w:sz w:val="20"/>
          <w:szCs w:val="20"/>
          <w:lang w:bidi="ar-SA"/>
        </w:rPr>
        <w:t>the</w:t>
      </w:r>
      <w:proofErr w:type="gramEnd"/>
      <w:r w:rsidRPr="00034543">
        <w:rPr>
          <w:sz w:val="20"/>
          <w:szCs w:val="20"/>
          <w:lang w:bidi="ar-SA"/>
        </w:rPr>
        <w:t xml:space="preserve"> food has a pH less than 4.4 regardless of water activity; or</w:t>
      </w:r>
    </w:p>
    <w:p w:rsidR="00034543" w:rsidRPr="00034543" w:rsidRDefault="00034543" w:rsidP="00034543">
      <w:pPr>
        <w:ind w:left="1702" w:hanging="851"/>
        <w:rPr>
          <w:sz w:val="20"/>
          <w:szCs w:val="20"/>
          <w:lang w:bidi="ar-SA"/>
        </w:rPr>
      </w:pPr>
      <w:r w:rsidRPr="00034543">
        <w:rPr>
          <w:sz w:val="20"/>
          <w:szCs w:val="20"/>
          <w:lang w:bidi="ar-SA"/>
        </w:rPr>
        <w:t>(b)</w:t>
      </w:r>
      <w:r w:rsidRPr="00034543">
        <w:rPr>
          <w:sz w:val="20"/>
          <w:szCs w:val="20"/>
          <w:lang w:bidi="ar-SA"/>
        </w:rPr>
        <w:tab/>
      </w:r>
      <w:proofErr w:type="gramStart"/>
      <w:r w:rsidRPr="00034543">
        <w:rPr>
          <w:sz w:val="20"/>
          <w:szCs w:val="20"/>
          <w:lang w:bidi="ar-SA"/>
        </w:rPr>
        <w:t>the</w:t>
      </w:r>
      <w:proofErr w:type="gramEnd"/>
      <w:r w:rsidRPr="00034543">
        <w:rPr>
          <w:sz w:val="20"/>
          <w:szCs w:val="20"/>
          <w:lang w:bidi="ar-SA"/>
        </w:rPr>
        <w:t xml:space="preserve"> food has a water activity less than 0.92 regardless of pH; or</w:t>
      </w:r>
    </w:p>
    <w:p w:rsidR="00034543" w:rsidRPr="00034543" w:rsidRDefault="00034543" w:rsidP="00034543">
      <w:pPr>
        <w:ind w:left="1702" w:hanging="851"/>
        <w:rPr>
          <w:sz w:val="20"/>
          <w:szCs w:val="20"/>
          <w:lang w:bidi="ar-SA"/>
        </w:rPr>
      </w:pPr>
      <w:r w:rsidRPr="00034543">
        <w:rPr>
          <w:sz w:val="20"/>
          <w:szCs w:val="20"/>
          <w:lang w:bidi="ar-SA"/>
        </w:rPr>
        <w:t>(c)</w:t>
      </w:r>
      <w:r w:rsidRPr="00034543">
        <w:rPr>
          <w:sz w:val="20"/>
          <w:szCs w:val="20"/>
          <w:lang w:bidi="ar-SA"/>
        </w:rPr>
        <w:tab/>
      </w:r>
      <w:proofErr w:type="gramStart"/>
      <w:r w:rsidRPr="00034543">
        <w:rPr>
          <w:sz w:val="20"/>
          <w:szCs w:val="20"/>
          <w:lang w:bidi="ar-SA"/>
        </w:rPr>
        <w:t>the</w:t>
      </w:r>
      <w:proofErr w:type="gramEnd"/>
      <w:r w:rsidRPr="00034543">
        <w:rPr>
          <w:sz w:val="20"/>
          <w:szCs w:val="20"/>
          <w:lang w:bidi="ar-SA"/>
        </w:rPr>
        <w:t xml:space="preserve"> food has a pH less than 5.0 in combination with a water activity of less than 0.94; or</w:t>
      </w:r>
    </w:p>
    <w:p w:rsidR="00034543" w:rsidRPr="00034543" w:rsidRDefault="00034543" w:rsidP="00034543">
      <w:pPr>
        <w:ind w:left="1702" w:hanging="851"/>
        <w:rPr>
          <w:sz w:val="20"/>
          <w:szCs w:val="20"/>
          <w:lang w:bidi="ar-SA"/>
        </w:rPr>
      </w:pPr>
      <w:r w:rsidRPr="00034543">
        <w:rPr>
          <w:sz w:val="20"/>
          <w:szCs w:val="20"/>
          <w:lang w:bidi="ar-SA"/>
        </w:rPr>
        <w:t>(d)</w:t>
      </w:r>
      <w:r w:rsidRPr="00034543">
        <w:rPr>
          <w:sz w:val="20"/>
          <w:szCs w:val="20"/>
          <w:lang w:bidi="ar-SA"/>
        </w:rPr>
        <w:tab/>
      </w:r>
      <w:proofErr w:type="gramStart"/>
      <w:r w:rsidRPr="00034543">
        <w:rPr>
          <w:sz w:val="20"/>
          <w:szCs w:val="20"/>
          <w:lang w:bidi="ar-SA"/>
        </w:rPr>
        <w:t>the</w:t>
      </w:r>
      <w:proofErr w:type="gramEnd"/>
      <w:r w:rsidRPr="00034543">
        <w:rPr>
          <w:sz w:val="20"/>
          <w:szCs w:val="20"/>
          <w:lang w:bidi="ar-SA"/>
        </w:rPr>
        <w:t xml:space="preserve"> food has a refrigerated shelf life no greater than 5 days; or</w:t>
      </w:r>
    </w:p>
    <w:p w:rsidR="00034543" w:rsidRPr="00034543" w:rsidRDefault="00034543" w:rsidP="00034543">
      <w:pPr>
        <w:ind w:left="1702" w:hanging="851"/>
        <w:rPr>
          <w:sz w:val="20"/>
          <w:szCs w:val="20"/>
          <w:lang w:bidi="ar-SA"/>
        </w:rPr>
      </w:pPr>
      <w:r w:rsidRPr="00034543">
        <w:rPr>
          <w:sz w:val="20"/>
          <w:szCs w:val="20"/>
          <w:lang w:bidi="ar-SA"/>
        </w:rPr>
        <w:t>(e)</w:t>
      </w:r>
      <w:r w:rsidRPr="00034543">
        <w:rPr>
          <w:sz w:val="20"/>
          <w:szCs w:val="20"/>
          <w:lang w:bidi="ar-SA"/>
        </w:rPr>
        <w:tab/>
      </w:r>
      <w:proofErr w:type="gramStart"/>
      <w:r w:rsidRPr="00034543">
        <w:rPr>
          <w:sz w:val="20"/>
          <w:szCs w:val="20"/>
          <w:lang w:bidi="ar-SA"/>
        </w:rPr>
        <w:t>the</w:t>
      </w:r>
      <w:proofErr w:type="gramEnd"/>
      <w:r w:rsidRPr="00034543">
        <w:rPr>
          <w:sz w:val="20"/>
          <w:szCs w:val="20"/>
          <w:lang w:bidi="ar-SA"/>
        </w:rPr>
        <w:t xml:space="preserve"> food is frozen (including foods consumed frozen and those intended to be thawed immediately before consumption); or</w:t>
      </w:r>
    </w:p>
    <w:p w:rsidR="00034543" w:rsidRPr="00034543" w:rsidRDefault="00034543" w:rsidP="00034543">
      <w:pPr>
        <w:ind w:left="1702" w:hanging="851"/>
        <w:rPr>
          <w:sz w:val="20"/>
          <w:szCs w:val="20"/>
          <w:lang w:bidi="ar-SA"/>
        </w:rPr>
      </w:pPr>
      <w:r w:rsidRPr="00034543">
        <w:rPr>
          <w:sz w:val="20"/>
          <w:szCs w:val="20"/>
          <w:lang w:bidi="ar-SA"/>
        </w:rPr>
        <w:t>(f)</w:t>
      </w:r>
      <w:r w:rsidRPr="00034543">
        <w:rPr>
          <w:sz w:val="20"/>
          <w:szCs w:val="20"/>
          <w:lang w:bidi="ar-SA"/>
        </w:rPr>
        <w:tab/>
      </w:r>
      <w:proofErr w:type="gramStart"/>
      <w:r w:rsidRPr="00034543">
        <w:rPr>
          <w:sz w:val="20"/>
          <w:szCs w:val="20"/>
          <w:lang w:bidi="ar-SA"/>
        </w:rPr>
        <w:t>it</w:t>
      </w:r>
      <w:proofErr w:type="gramEnd"/>
      <w:r w:rsidRPr="00034543">
        <w:rPr>
          <w:sz w:val="20"/>
          <w:szCs w:val="20"/>
          <w:lang w:bidi="ar-SA"/>
        </w:rPr>
        <w:t xml:space="preserve"> can be validated that the level of </w:t>
      </w:r>
      <w:r w:rsidRPr="00034543">
        <w:rPr>
          <w:i/>
          <w:sz w:val="20"/>
          <w:szCs w:val="20"/>
          <w:lang w:bidi="ar-SA"/>
        </w:rPr>
        <w:t>Listeria monocytogenes</w:t>
      </w:r>
      <w:r w:rsidRPr="00034543">
        <w:rPr>
          <w:sz w:val="20"/>
          <w:szCs w:val="20"/>
          <w:lang w:bidi="ar-SA"/>
        </w:rPr>
        <w:t xml:space="preserve"> will not increase by greater than 0.5 log cfu/g over the food’s stated shelf life.</w:t>
      </w:r>
    </w:p>
    <w:p w:rsidR="00034543" w:rsidRPr="00034543" w:rsidRDefault="00034543" w:rsidP="00034543">
      <w:pPr>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(2)</w:t>
      </w:r>
      <w:r w:rsidRPr="00034543">
        <w:rPr>
          <w:sz w:val="20"/>
          <w:szCs w:val="20"/>
          <w:lang w:bidi="ar-SA"/>
        </w:rPr>
        <w:tab/>
        <w:t xml:space="preserve">For the purposes of the Schedule, a ready-to-eat food that does not receive a listericidal process during manufacture is taken to be a food in which growth of </w:t>
      </w:r>
      <w:r w:rsidRPr="00034543">
        <w:rPr>
          <w:i/>
          <w:sz w:val="20"/>
          <w:szCs w:val="20"/>
          <w:lang w:bidi="ar-SA"/>
        </w:rPr>
        <w:t>Listeria monocytogenes</w:t>
      </w:r>
      <w:r w:rsidRPr="00034543">
        <w:rPr>
          <w:sz w:val="20"/>
          <w:szCs w:val="20"/>
          <w:lang w:bidi="ar-SA"/>
        </w:rPr>
        <w:t xml:space="preserve"> will not occur if the level of </w:t>
      </w:r>
      <w:r w:rsidRPr="00034543">
        <w:rPr>
          <w:i/>
          <w:sz w:val="20"/>
          <w:szCs w:val="20"/>
          <w:lang w:bidi="ar-SA"/>
        </w:rPr>
        <w:t>Listeria monocytogenes</w:t>
      </w:r>
      <w:r w:rsidRPr="00034543">
        <w:rPr>
          <w:sz w:val="20"/>
          <w:szCs w:val="20"/>
          <w:lang w:bidi="ar-SA"/>
        </w:rPr>
        <w:t xml:space="preserve"> will not exceed </w:t>
      </w:r>
      <w:proofErr w:type="gramStart"/>
      <w:r w:rsidRPr="00034543">
        <w:rPr>
          <w:sz w:val="20"/>
          <w:szCs w:val="20"/>
          <w:lang w:bidi="ar-SA"/>
        </w:rPr>
        <w:t>100 cfu/g within the food’s expected shelf life</w:t>
      </w:r>
      <w:proofErr w:type="gramEnd"/>
      <w:r w:rsidRPr="00034543">
        <w:rPr>
          <w:sz w:val="20"/>
          <w:szCs w:val="20"/>
          <w:lang w:bidi="ar-SA"/>
        </w:rPr>
        <w:t>.</w:t>
      </w:r>
    </w:p>
    <w:p w:rsidR="00034543" w:rsidRPr="00034543" w:rsidRDefault="00034543" w:rsidP="00034543">
      <w:pPr>
        <w:widowControl/>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(3)</w:t>
      </w:r>
      <w:r w:rsidRPr="00034543">
        <w:rPr>
          <w:sz w:val="20"/>
          <w:szCs w:val="20"/>
          <w:lang w:bidi="ar-SA"/>
        </w:rPr>
        <w:tab/>
        <w:t xml:space="preserve">For the purposes of subclause (2), a ready-to-eat food that does not receive a </w:t>
      </w:r>
      <w:r w:rsidRPr="00034543">
        <w:rPr>
          <w:sz w:val="20"/>
          <w:szCs w:val="22"/>
          <w:lang w:bidi="ar-SA"/>
        </w:rPr>
        <w:t>listericidal</w:t>
      </w:r>
      <w:r w:rsidRPr="00034543">
        <w:rPr>
          <w:sz w:val="20"/>
          <w:szCs w:val="20"/>
          <w:lang w:bidi="ar-SA"/>
        </w:rPr>
        <w:t xml:space="preserve"> process during manufacture is taken to include –</w:t>
      </w:r>
    </w:p>
    <w:p w:rsidR="00034543" w:rsidRPr="00034543" w:rsidRDefault="00034543" w:rsidP="00034543">
      <w:pPr>
        <w:widowControl/>
        <w:tabs>
          <w:tab w:val="left" w:pos="851"/>
        </w:tabs>
        <w:rPr>
          <w:sz w:val="20"/>
          <w:szCs w:val="20"/>
          <w:lang w:bidi="ar-SA"/>
        </w:rPr>
      </w:pPr>
    </w:p>
    <w:p w:rsidR="00034543" w:rsidRPr="00034543" w:rsidRDefault="00034543" w:rsidP="00034543">
      <w:pPr>
        <w:ind w:left="1702" w:hanging="851"/>
        <w:rPr>
          <w:sz w:val="20"/>
          <w:szCs w:val="20"/>
          <w:lang w:bidi="ar-SA"/>
        </w:rPr>
      </w:pPr>
      <w:r w:rsidRPr="00034543">
        <w:rPr>
          <w:sz w:val="20"/>
          <w:szCs w:val="20"/>
          <w:lang w:bidi="ar-SA"/>
        </w:rPr>
        <w:t>(a)</w:t>
      </w:r>
      <w:r w:rsidRPr="00034543">
        <w:rPr>
          <w:sz w:val="20"/>
          <w:szCs w:val="20"/>
          <w:lang w:bidi="ar-SA"/>
        </w:rPr>
        <w:tab/>
        <w:t>ready-to-eat processed finfish; and</w:t>
      </w:r>
    </w:p>
    <w:p w:rsidR="00034543" w:rsidRPr="00034543" w:rsidRDefault="00034543" w:rsidP="00034543">
      <w:pPr>
        <w:ind w:left="1702" w:hanging="851"/>
        <w:rPr>
          <w:sz w:val="20"/>
          <w:szCs w:val="20"/>
          <w:lang w:bidi="ar-SA"/>
        </w:rPr>
      </w:pPr>
      <w:r w:rsidRPr="00034543">
        <w:rPr>
          <w:sz w:val="20"/>
          <w:szCs w:val="20"/>
          <w:lang w:bidi="ar-SA"/>
        </w:rPr>
        <w:t>(b)</w:t>
      </w:r>
      <w:r w:rsidRPr="00034543">
        <w:rPr>
          <w:sz w:val="20"/>
          <w:szCs w:val="20"/>
          <w:lang w:bidi="ar-SA"/>
        </w:rPr>
        <w:tab/>
      </w:r>
      <w:proofErr w:type="gramStart"/>
      <w:r w:rsidRPr="00034543">
        <w:rPr>
          <w:sz w:val="20"/>
          <w:szCs w:val="20"/>
          <w:lang w:bidi="ar-SA"/>
        </w:rPr>
        <w:t>fresh</w:t>
      </w:r>
      <w:proofErr w:type="gramEnd"/>
      <w:r w:rsidRPr="00034543">
        <w:rPr>
          <w:sz w:val="20"/>
          <w:szCs w:val="20"/>
          <w:lang w:bidi="ar-SA"/>
        </w:rPr>
        <w:t xml:space="preserve"> cut and packaged horticultural produce.”</w:t>
      </w:r>
    </w:p>
    <w:p w:rsidR="00034543" w:rsidRPr="00034543" w:rsidRDefault="00034543" w:rsidP="00034543">
      <w:pPr>
        <w:tabs>
          <w:tab w:val="left" w:pos="851"/>
        </w:tabs>
        <w:rPr>
          <w:sz w:val="20"/>
          <w:szCs w:val="20"/>
          <w:lang w:bidi="ar-SA"/>
        </w:rPr>
      </w:pPr>
    </w:p>
    <w:p w:rsidR="00034543" w:rsidRPr="00034543" w:rsidRDefault="00034543" w:rsidP="00034543">
      <w:pPr>
        <w:widowControl/>
        <w:tabs>
          <w:tab w:val="left" w:pos="851"/>
        </w:tabs>
        <w:rPr>
          <w:sz w:val="20"/>
          <w:szCs w:val="20"/>
          <w:lang w:bidi="ar-SA"/>
        </w:rPr>
      </w:pPr>
      <w:r w:rsidRPr="00034543">
        <w:rPr>
          <w:sz w:val="20"/>
          <w:szCs w:val="20"/>
          <w:lang w:bidi="ar-SA"/>
        </w:rPr>
        <w:t>[1.7]</w:t>
      </w:r>
      <w:r w:rsidRPr="00034543">
        <w:rPr>
          <w:sz w:val="20"/>
          <w:szCs w:val="20"/>
          <w:lang w:bidi="ar-SA"/>
        </w:rPr>
        <w:tab/>
        <w:t>omitting the Schedule and substituting</w:t>
      </w:r>
    </w:p>
    <w:p w:rsidR="00034543" w:rsidRPr="00034543" w:rsidRDefault="00034543" w:rsidP="00034543">
      <w:pPr>
        <w:tabs>
          <w:tab w:val="left" w:pos="851"/>
        </w:tabs>
        <w:rPr>
          <w:rFonts w:cs="Arial"/>
          <w:sz w:val="20"/>
          <w:szCs w:val="20"/>
          <w:lang w:bidi="ar-SA"/>
        </w:rPr>
      </w:pPr>
    </w:p>
    <w:p w:rsidR="00034543" w:rsidRPr="00034543" w:rsidRDefault="00034543" w:rsidP="00034543">
      <w:pPr>
        <w:tabs>
          <w:tab w:val="left" w:pos="851"/>
        </w:tabs>
        <w:jc w:val="center"/>
        <w:rPr>
          <w:b/>
          <w:caps/>
          <w:sz w:val="20"/>
          <w:szCs w:val="20"/>
        </w:rPr>
      </w:pPr>
      <w:r w:rsidRPr="00034543">
        <w:rPr>
          <w:caps/>
          <w:sz w:val="20"/>
          <w:szCs w:val="20"/>
        </w:rPr>
        <w:t>“</w:t>
      </w:r>
      <w:r w:rsidRPr="00034543">
        <w:rPr>
          <w:b/>
          <w:caps/>
          <w:sz w:val="20"/>
          <w:szCs w:val="20"/>
        </w:rPr>
        <w:t>SCHEDULE</w:t>
      </w:r>
    </w:p>
    <w:p w:rsidR="00034543" w:rsidRPr="00034543" w:rsidRDefault="00034543" w:rsidP="00034543">
      <w:pPr>
        <w:tabs>
          <w:tab w:val="left" w:pos="851"/>
        </w:tabs>
        <w:rPr>
          <w:sz w:val="20"/>
          <w:szCs w:val="20"/>
        </w:rPr>
      </w:pPr>
    </w:p>
    <w:p w:rsidR="00034543" w:rsidRPr="00034543" w:rsidRDefault="00034543" w:rsidP="00034543">
      <w:pPr>
        <w:tabs>
          <w:tab w:val="left" w:pos="851"/>
        </w:tabs>
        <w:jc w:val="center"/>
        <w:rPr>
          <w:b/>
          <w:sz w:val="20"/>
          <w:szCs w:val="20"/>
        </w:rPr>
      </w:pPr>
      <w:r w:rsidRPr="00034543">
        <w:rPr>
          <w:b/>
          <w:sz w:val="20"/>
          <w:szCs w:val="20"/>
        </w:rPr>
        <w:t>Microbiological limits in food</w:t>
      </w:r>
    </w:p>
    <w:p w:rsidR="00034543" w:rsidRPr="00034543" w:rsidRDefault="00034543" w:rsidP="00034543">
      <w:pPr>
        <w:tabs>
          <w:tab w:val="left" w:pos="851"/>
        </w:tabs>
        <w:jc w:val="center"/>
        <w:rPr>
          <w:b/>
          <w:caps/>
          <w:sz w:val="20"/>
          <w:lang w:bidi="ar-SA"/>
        </w:rPr>
      </w:pP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034543" w:rsidRPr="00034543" w:rsidTr="00563C81">
        <w:trPr>
          <w:cantSplit/>
          <w:tblHeader/>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 xml:space="preserve">Column </w:t>
            </w:r>
            <w:r w:rsidRPr="00034543">
              <w:rPr>
                <w:b/>
                <w:bCs/>
                <w:sz w:val="18"/>
                <w:szCs w:val="20"/>
                <w:lang w:bidi="ar-SA"/>
              </w:rPr>
              <w:br/>
              <w:t>1</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 xml:space="preserve">Column </w:t>
            </w:r>
            <w:r w:rsidRPr="00034543">
              <w:rPr>
                <w:b/>
                <w:bCs/>
                <w:sz w:val="18"/>
                <w:szCs w:val="20"/>
                <w:lang w:bidi="ar-SA"/>
              </w:rPr>
              <w:br/>
              <w:t>2</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Column</w:t>
            </w:r>
            <w:r w:rsidRPr="00034543">
              <w:rPr>
                <w:b/>
                <w:bCs/>
                <w:sz w:val="18"/>
                <w:szCs w:val="20"/>
                <w:lang w:bidi="ar-SA"/>
              </w:rPr>
              <w:br/>
              <w:t>3</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Column</w:t>
            </w:r>
            <w:r w:rsidRPr="00034543">
              <w:rPr>
                <w:b/>
                <w:bCs/>
                <w:sz w:val="18"/>
                <w:szCs w:val="20"/>
                <w:lang w:bidi="ar-SA"/>
              </w:rPr>
              <w:br/>
              <w:t>4</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Column</w:t>
            </w:r>
            <w:r w:rsidRPr="00034543">
              <w:rPr>
                <w:b/>
                <w:bCs/>
                <w:sz w:val="18"/>
                <w:szCs w:val="20"/>
                <w:lang w:bidi="ar-SA"/>
              </w:rPr>
              <w:br/>
              <w:t>5</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Column</w:t>
            </w:r>
            <w:r w:rsidRPr="00034543">
              <w:rPr>
                <w:b/>
                <w:bCs/>
                <w:sz w:val="18"/>
                <w:szCs w:val="20"/>
                <w:lang w:bidi="ar-SA"/>
              </w:rPr>
              <w:br/>
              <w:t>6</w:t>
            </w:r>
          </w:p>
        </w:tc>
      </w:tr>
      <w:tr w:rsidR="00034543" w:rsidRPr="00034543" w:rsidTr="00563C81">
        <w:trPr>
          <w:cantSplit/>
          <w:tblHeader/>
          <w:jc w:val="center"/>
        </w:trPr>
        <w:tc>
          <w:tcPr>
            <w:tcW w:w="1847" w:type="dxa"/>
            <w:tcBorders>
              <w:top w:val="single" w:sz="8" w:space="0" w:color="auto"/>
              <w:left w:val="single" w:sz="8" w:space="0" w:color="auto"/>
              <w:bottom w:val="single" w:sz="4"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Food</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Microorganism</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n</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c</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m</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spacing w:after="120"/>
              <w:jc w:val="center"/>
              <w:rPr>
                <w:b/>
                <w:bCs/>
                <w:sz w:val="18"/>
                <w:szCs w:val="20"/>
                <w:lang w:bidi="ar-SA"/>
              </w:rPr>
            </w:pPr>
            <w:r w:rsidRPr="00034543">
              <w:rPr>
                <w:b/>
                <w:bCs/>
                <w:sz w:val="18"/>
                <w:szCs w:val="20"/>
                <w:lang w:bidi="ar-SA"/>
              </w:rPr>
              <w:t>M</w:t>
            </w:r>
          </w:p>
        </w:tc>
      </w:tr>
      <w:tr w:rsidR="00034543" w:rsidRPr="00034543" w:rsidTr="00563C81">
        <w:trPr>
          <w:cantSplit/>
          <w:jc w:val="center"/>
        </w:trPr>
        <w:tc>
          <w:tcPr>
            <w:tcW w:w="1847" w:type="dxa"/>
            <w:vMerge w:val="restart"/>
            <w:tcBorders>
              <w:top w:val="single" w:sz="4"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Butter made from unpasteurised milk and/or unpasteurised milk products</w:t>
            </w:r>
          </w:p>
        </w:tc>
        <w:tc>
          <w:tcPr>
            <w:tcW w:w="2306" w:type="dxa"/>
            <w:tcBorders>
              <w:top w:val="single" w:sz="8" w:space="0" w:color="auto"/>
              <w:left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Campylobacter</w:t>
            </w:r>
          </w:p>
        </w:tc>
        <w:tc>
          <w:tcPr>
            <w:tcW w:w="934"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tcBorders>
              <w:left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Coagulase-positive staphylococci</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 /g</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r w:rsidRPr="00034543">
              <w:rPr>
                <w:bCs/>
                <w:sz w:val="18"/>
                <w:vertAlign w:val="superscript"/>
                <w:lang w:bidi="ar-SA"/>
              </w:rPr>
              <w:t xml:space="preserve">2 </w:t>
            </w:r>
            <w:r w:rsidRPr="00034543">
              <w:rPr>
                <w:bCs/>
                <w:sz w:val="18"/>
                <w:lang w:bidi="ar-SA"/>
              </w:rPr>
              <w:t>/g</w:t>
            </w:r>
          </w:p>
        </w:tc>
      </w:tr>
      <w:tr w:rsidR="00034543" w:rsidRPr="00034543" w:rsidTr="00563C81">
        <w:trPr>
          <w:cantSplit/>
          <w:jc w:val="center"/>
        </w:trPr>
        <w:tc>
          <w:tcPr>
            <w:tcW w:w="1847" w:type="dxa"/>
            <w:vMerge/>
            <w:tcBorders>
              <w:left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Coliforms</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 /g</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r w:rsidRPr="00034543">
              <w:rPr>
                <w:bCs/>
                <w:sz w:val="18"/>
                <w:vertAlign w:val="superscript"/>
                <w:lang w:bidi="ar-SA"/>
              </w:rPr>
              <w:t xml:space="preserve">2 </w:t>
            </w:r>
            <w:r w:rsidRPr="00034543">
              <w:rPr>
                <w:bCs/>
                <w:sz w:val="18"/>
                <w:lang w:bidi="ar-SA"/>
              </w:rPr>
              <w:t>/g</w:t>
            </w:r>
          </w:p>
        </w:tc>
      </w:tr>
      <w:tr w:rsidR="00034543" w:rsidRPr="00034543" w:rsidTr="00563C81">
        <w:trPr>
          <w:cantSplit/>
          <w:jc w:val="center"/>
        </w:trPr>
        <w:tc>
          <w:tcPr>
            <w:tcW w:w="1847" w:type="dxa"/>
            <w:vMerge/>
            <w:tcBorders>
              <w:left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Escherichia coli</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3 /g</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9 /g</w:t>
            </w:r>
          </w:p>
        </w:tc>
      </w:tr>
      <w:tr w:rsidR="00034543" w:rsidRPr="00034543" w:rsidTr="00563C81">
        <w:trPr>
          <w:cantSplit/>
          <w:jc w:val="center"/>
        </w:trPr>
        <w:tc>
          <w:tcPr>
            <w:tcW w:w="1847" w:type="dxa"/>
            <w:vMerge/>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Salmonella</w:t>
            </w: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top w:val="single" w:sz="8" w:space="0" w:color="auto"/>
              <w:left w:val="single" w:sz="8" w:space="0" w:color="auto"/>
              <w:bottom w:val="single" w:sz="4"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SPC</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5x10</w:t>
            </w:r>
            <w:r w:rsidRPr="00034543">
              <w:rPr>
                <w:bCs/>
                <w:sz w:val="18"/>
                <w:vertAlign w:val="superscript"/>
                <w:lang w:bidi="ar-SA"/>
              </w:rPr>
              <w:t>5</w:t>
            </w:r>
            <w:r w:rsidRPr="00034543">
              <w:rPr>
                <w:bCs/>
                <w:sz w:val="18"/>
                <w:lang w:bidi="ar-SA"/>
              </w:rPr>
              <w:t xml:space="preserve">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4"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lastRenderedPageBreak/>
              <w:t>All cheese</w:t>
            </w:r>
          </w:p>
        </w:tc>
        <w:tc>
          <w:tcPr>
            <w:tcW w:w="2306" w:type="dxa"/>
            <w:tcBorders>
              <w:top w:val="single" w:sz="4" w:space="0" w:color="auto"/>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Escherichia coli</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r w:rsidRPr="00034543">
              <w:rPr>
                <w:bCs/>
                <w:sz w:val="18"/>
                <w:vertAlign w:val="superscript"/>
                <w:lang w:bidi="ar-SA"/>
              </w:rPr>
              <w:t>2</w:t>
            </w:r>
            <w:r w:rsidRPr="00034543">
              <w:rPr>
                <w:bCs/>
                <w:sz w:val="18"/>
                <w:lang w:bidi="ar-SA"/>
              </w:rPr>
              <w:t xml:space="preserve"> /g</w:t>
            </w:r>
          </w:p>
        </w:tc>
      </w:tr>
      <w:tr w:rsidR="00034543" w:rsidRPr="00034543" w:rsidTr="00563C81">
        <w:trPr>
          <w:cantSplit/>
          <w:jc w:val="center"/>
        </w:trPr>
        <w:tc>
          <w:tcPr>
            <w:tcW w:w="1847" w:type="dxa"/>
            <w:tcBorders>
              <w:top w:val="single" w:sz="4" w:space="0" w:color="auto"/>
              <w:left w:val="single" w:sz="8" w:space="0" w:color="auto"/>
              <w:bottom w:val="single" w:sz="4" w:space="0" w:color="auto"/>
              <w:right w:val="single" w:sz="8" w:space="0" w:color="auto"/>
            </w:tcBorders>
          </w:tcPr>
          <w:p w:rsidR="00034543" w:rsidRPr="00034543" w:rsidRDefault="00034543" w:rsidP="00034543">
            <w:pPr>
              <w:ind w:left="142" w:hanging="142"/>
              <w:rPr>
                <w:bCs/>
                <w:sz w:val="18"/>
                <w:szCs w:val="18"/>
                <w:lang w:bidi="ar-SA"/>
              </w:rPr>
            </w:pPr>
            <w:r w:rsidRPr="00034543">
              <w:rPr>
                <w:bCs/>
                <w:sz w:val="18"/>
                <w:szCs w:val="18"/>
                <w:lang w:bidi="ar-SA"/>
              </w:rPr>
              <w:t>Soft and semi-soft cheese (moisture content &gt; 39%) with pH &gt;5.0</w:t>
            </w: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Salmonella</w:t>
            </w: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4" w:space="0" w:color="auto"/>
              <w:left w:val="single" w:sz="8" w:space="0" w:color="auto"/>
              <w:right w:val="single" w:sz="8" w:space="0" w:color="auto"/>
            </w:tcBorders>
          </w:tcPr>
          <w:p w:rsidR="00034543" w:rsidRPr="00034543" w:rsidRDefault="00034543" w:rsidP="00034543">
            <w:pPr>
              <w:ind w:left="142" w:hanging="142"/>
              <w:rPr>
                <w:bCs/>
                <w:sz w:val="18"/>
                <w:szCs w:val="18"/>
                <w:lang w:bidi="ar-SA"/>
              </w:rPr>
            </w:pPr>
            <w:r w:rsidRPr="00034543">
              <w:rPr>
                <w:bCs/>
                <w:sz w:val="18"/>
                <w:szCs w:val="18"/>
                <w:lang w:bidi="ar-SA"/>
              </w:rPr>
              <w:t>All raw milk cheese (cheese made from milk not pasteurised or thermised)</w:t>
            </w: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Salmonella</w:t>
            </w: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Raw milk unripened cheeses (moisture content &gt; 50% with pH &gt; 5.0)</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Campylobacter</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br w:type="page"/>
              <w:t>Dried milk</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i/>
                <w:sz w:val="18"/>
                <w:lang w:bidi="ar-SA"/>
              </w:rPr>
              <w:t>Salmonella</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val="restart"/>
            <w:tcBorders>
              <w:top w:val="single" w:sz="8" w:space="0" w:color="auto"/>
              <w:left w:val="single" w:sz="8" w:space="0" w:color="auto"/>
              <w:bottom w:val="single" w:sz="4"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Unpasteurised milk for retail sale</w:t>
            </w:r>
          </w:p>
        </w:tc>
        <w:tc>
          <w:tcPr>
            <w:tcW w:w="2306" w:type="dxa"/>
            <w:tcBorders>
              <w:top w:val="single" w:sz="8" w:space="0" w:color="auto"/>
              <w:left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Campylobacter</w:t>
            </w:r>
          </w:p>
        </w:tc>
        <w:tc>
          <w:tcPr>
            <w:tcW w:w="934"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mL</w:t>
            </w:r>
          </w:p>
        </w:tc>
        <w:tc>
          <w:tcPr>
            <w:tcW w:w="1326"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Coliforms</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w:t>
            </w:r>
            <w:r w:rsidRPr="00034543">
              <w:rPr>
                <w:bCs/>
                <w:position w:val="6"/>
                <w:sz w:val="18"/>
                <w:vertAlign w:val="superscript"/>
                <w:lang w:bidi="ar-SA"/>
              </w:rPr>
              <w:t xml:space="preserve">2 </w:t>
            </w:r>
            <w:r w:rsidRPr="00034543">
              <w:rPr>
                <w:rFonts w:eastAsia="Calibri"/>
                <w:bCs/>
                <w:sz w:val="18"/>
                <w:szCs w:val="18"/>
                <w:lang w:bidi="ar-SA"/>
              </w:rPr>
              <w:t>/mL</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r w:rsidRPr="00034543">
              <w:rPr>
                <w:bCs/>
                <w:position w:val="6"/>
                <w:sz w:val="18"/>
                <w:vertAlign w:val="superscript"/>
                <w:lang w:bidi="ar-SA"/>
              </w:rPr>
              <w:t xml:space="preserve">3 </w:t>
            </w:r>
            <w:r w:rsidRPr="00034543">
              <w:rPr>
                <w:rFonts w:eastAsia="Calibri"/>
                <w:bCs/>
                <w:sz w:val="18"/>
                <w:szCs w:val="18"/>
                <w:lang w:bidi="ar-SA"/>
              </w:rPr>
              <w:t>/mL</w:t>
            </w:r>
          </w:p>
        </w:tc>
      </w:tr>
      <w:tr w:rsidR="00034543" w:rsidRPr="00034543" w:rsidTr="00563C81">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Escherichia coli</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3 /</w:t>
            </w:r>
            <w:r w:rsidRPr="00034543">
              <w:rPr>
                <w:rFonts w:eastAsia="Calibri"/>
                <w:bCs/>
                <w:sz w:val="18"/>
                <w:szCs w:val="18"/>
                <w:lang w:bidi="ar-SA"/>
              </w:rPr>
              <w:t>mL</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9 /</w:t>
            </w:r>
            <w:r w:rsidRPr="00034543">
              <w:rPr>
                <w:rFonts w:eastAsia="Calibri"/>
                <w:bCs/>
                <w:sz w:val="18"/>
                <w:szCs w:val="18"/>
                <w:lang w:bidi="ar-SA"/>
              </w:rPr>
              <w:t>mL</w:t>
            </w:r>
          </w:p>
        </w:tc>
      </w:tr>
      <w:tr w:rsidR="00034543" w:rsidRPr="00034543" w:rsidTr="00563C81">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Salmonella</w:t>
            </w:r>
            <w:r w:rsidRPr="00034543">
              <w:rPr>
                <w:bCs/>
                <w:iCs/>
                <w:sz w:val="18"/>
                <w:lang w:bidi="ar-SA"/>
              </w:rPr>
              <w:t xml:space="preserve"> </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mL</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SPC</w:t>
            </w: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2.5x10</w:t>
            </w:r>
            <w:r w:rsidRPr="00034543">
              <w:rPr>
                <w:bCs/>
                <w:position w:val="6"/>
                <w:sz w:val="18"/>
                <w:vertAlign w:val="superscript"/>
                <w:lang w:bidi="ar-SA"/>
              </w:rPr>
              <w:t xml:space="preserve">4 </w:t>
            </w:r>
            <w:r w:rsidRPr="00034543">
              <w:rPr>
                <w:rFonts w:eastAsia="Calibri"/>
                <w:bCs/>
                <w:sz w:val="18"/>
                <w:szCs w:val="18"/>
                <w:lang w:bidi="ar-SA"/>
              </w:rPr>
              <w:t>/mL</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2.5x10</w:t>
            </w:r>
            <w:r w:rsidRPr="00034543">
              <w:rPr>
                <w:bCs/>
                <w:position w:val="6"/>
                <w:sz w:val="18"/>
                <w:vertAlign w:val="superscript"/>
                <w:lang w:bidi="ar-SA"/>
              </w:rPr>
              <w:t xml:space="preserve">5 </w:t>
            </w:r>
            <w:r w:rsidRPr="00034543">
              <w:rPr>
                <w:rFonts w:eastAsia="Calibri"/>
                <w:bCs/>
                <w:sz w:val="18"/>
                <w:szCs w:val="18"/>
                <w:lang w:bidi="ar-SA"/>
              </w:rPr>
              <w:t>/mL</w:t>
            </w:r>
          </w:p>
        </w:tc>
      </w:tr>
      <w:tr w:rsidR="00034543" w:rsidRPr="00034543" w:rsidTr="00563C81">
        <w:trPr>
          <w:cantSplit/>
          <w:jc w:val="center"/>
        </w:trPr>
        <w:tc>
          <w:tcPr>
            <w:tcW w:w="1847" w:type="dxa"/>
            <w:vMerge w:val="restart"/>
            <w:tcBorders>
              <w:top w:val="single" w:sz="4" w:space="0" w:color="auto"/>
              <w:left w:val="single" w:sz="4" w:space="0" w:color="auto"/>
              <w:right w:val="single" w:sz="8" w:space="0" w:color="auto"/>
            </w:tcBorders>
          </w:tcPr>
          <w:p w:rsidR="00034543" w:rsidRPr="00034543" w:rsidRDefault="00034543" w:rsidP="00034543">
            <w:pPr>
              <w:ind w:left="142" w:hanging="142"/>
              <w:rPr>
                <w:bCs/>
                <w:sz w:val="18"/>
                <w:szCs w:val="18"/>
                <w:lang w:bidi="ar-SA"/>
              </w:rPr>
            </w:pPr>
            <w:r w:rsidRPr="00034543">
              <w:rPr>
                <w:bCs/>
                <w:sz w:val="18"/>
                <w:lang w:bidi="ar-SA"/>
              </w:rPr>
              <w:t xml:space="preserve">Packaged cooked cured/salted meat </w:t>
            </w:r>
          </w:p>
        </w:tc>
        <w:tc>
          <w:tcPr>
            <w:tcW w:w="2306"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Coagulase-positive staphylococci</w:t>
            </w:r>
          </w:p>
        </w:tc>
        <w:tc>
          <w:tcPr>
            <w:tcW w:w="934"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w:t>
            </w:r>
            <w:r w:rsidRPr="00034543">
              <w:rPr>
                <w:bCs/>
                <w:position w:val="6"/>
                <w:sz w:val="18"/>
                <w:vertAlign w:val="superscript"/>
                <w:lang w:bidi="ar-SA"/>
              </w:rPr>
              <w:t xml:space="preserve">2 </w:t>
            </w:r>
            <w:r w:rsidRPr="00034543">
              <w:rPr>
                <w:bCs/>
                <w:sz w:val="18"/>
                <w:lang w:bidi="ar-SA"/>
              </w:rPr>
              <w:t>/g</w:t>
            </w:r>
          </w:p>
        </w:tc>
        <w:tc>
          <w:tcPr>
            <w:tcW w:w="1326"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r w:rsidRPr="00034543">
              <w:rPr>
                <w:bCs/>
                <w:position w:val="6"/>
                <w:sz w:val="18"/>
                <w:vertAlign w:val="superscript"/>
                <w:lang w:bidi="ar-SA"/>
              </w:rPr>
              <w:t xml:space="preserve">3 </w:t>
            </w:r>
            <w:r w:rsidRPr="00034543">
              <w:rPr>
                <w:bCs/>
                <w:sz w:val="18"/>
                <w:lang w:bidi="ar-SA"/>
              </w:rPr>
              <w:t>/g</w:t>
            </w:r>
          </w:p>
        </w:tc>
      </w:tr>
      <w:tr w:rsidR="00034543" w:rsidRPr="00034543" w:rsidTr="00563C81">
        <w:trPr>
          <w:cantSplit/>
          <w:jc w:val="center"/>
        </w:trPr>
        <w:tc>
          <w:tcPr>
            <w:tcW w:w="1847" w:type="dxa"/>
            <w:vMerge/>
            <w:tcBorders>
              <w:left w:val="single" w:sz="4" w:space="0" w:color="auto"/>
              <w:bottom w:val="single" w:sz="4"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iCs/>
                <w:sz w:val="18"/>
                <w:szCs w:val="20"/>
                <w:lang w:bidi="ar-SA"/>
              </w:rPr>
            </w:pPr>
            <w:r w:rsidRPr="00034543">
              <w:rPr>
                <w:bCs/>
                <w:i/>
                <w:sz w:val="18"/>
                <w:szCs w:val="20"/>
                <w:lang w:bidi="ar-SA"/>
              </w:rPr>
              <w:t>Salmonella</w:t>
            </w:r>
          </w:p>
          <w:p w:rsidR="00034543" w:rsidRPr="00034543" w:rsidRDefault="00034543" w:rsidP="00034543">
            <w:pPr>
              <w:ind w:left="142" w:hanging="142"/>
              <w:rPr>
                <w:bCs/>
                <w:iCs/>
                <w:sz w:val="18"/>
                <w:szCs w:val="20"/>
                <w:lang w:bidi="ar-SA"/>
              </w:rPr>
            </w:pP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szCs w:val="20"/>
                <w:lang w:bidi="ar-SA"/>
              </w:rPr>
            </w:pPr>
            <w:r w:rsidRPr="00034543">
              <w:rPr>
                <w:bCs/>
                <w:sz w:val="18"/>
                <w:szCs w:val="20"/>
                <w:lang w:bidi="ar-SA"/>
              </w:rPr>
              <w:t>5</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szCs w:val="20"/>
                <w:lang w:bidi="ar-SA"/>
              </w:rPr>
            </w:pPr>
            <w:r w:rsidRPr="00034543">
              <w:rPr>
                <w:bCs/>
                <w:sz w:val="18"/>
                <w:szCs w:val="20"/>
                <w:lang w:bidi="ar-SA"/>
              </w:rPr>
              <w:t>0</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szCs w:val="20"/>
                <w:lang w:bidi="ar-SA"/>
              </w:rPr>
            </w:pPr>
            <w:r w:rsidRPr="00034543">
              <w:rPr>
                <w:bCs/>
                <w:sz w:val="18"/>
                <w:lang w:bidi="ar-SA"/>
              </w:rPr>
              <w:t>not detected in 25 g</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szCs w:val="20"/>
                <w:highlight w:val="yellow"/>
                <w:lang w:bidi="ar-SA"/>
              </w:rPr>
            </w:pPr>
          </w:p>
        </w:tc>
      </w:tr>
      <w:tr w:rsidR="00034543" w:rsidRPr="00034543" w:rsidTr="00563C81">
        <w:trPr>
          <w:cantSplit/>
          <w:jc w:val="center"/>
        </w:trPr>
        <w:tc>
          <w:tcPr>
            <w:tcW w:w="1847" w:type="dxa"/>
            <w:tcBorders>
              <w:top w:val="single" w:sz="4"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szCs w:val="18"/>
                <w:lang w:bidi="ar-SA"/>
              </w:rPr>
              <w:t>Packaged heat treated meat paste and packaged heat treated pâté</w:t>
            </w: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Salmonella</w:t>
            </w: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val="restart"/>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All comminuted fermented meat which has not been cooked during the production process</w:t>
            </w:r>
          </w:p>
        </w:tc>
        <w:tc>
          <w:tcPr>
            <w:tcW w:w="2306"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Coagulase-positive staphylococci</w:t>
            </w:r>
          </w:p>
        </w:tc>
        <w:tc>
          <w:tcPr>
            <w:tcW w:w="934"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w:t>
            </w:r>
            <w:r w:rsidRPr="00034543">
              <w:rPr>
                <w:bCs/>
                <w:position w:val="6"/>
                <w:sz w:val="18"/>
                <w:vertAlign w:val="superscript"/>
                <w:lang w:bidi="ar-SA"/>
              </w:rPr>
              <w:t xml:space="preserve">3 </w:t>
            </w:r>
            <w:r w:rsidRPr="00034543">
              <w:rPr>
                <w:bCs/>
                <w:sz w:val="18"/>
                <w:lang w:bidi="ar-SA"/>
              </w:rPr>
              <w:t>/g</w:t>
            </w:r>
          </w:p>
        </w:tc>
        <w:tc>
          <w:tcPr>
            <w:tcW w:w="1326"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r w:rsidRPr="00034543">
              <w:rPr>
                <w:bCs/>
                <w:position w:val="6"/>
                <w:sz w:val="18"/>
                <w:vertAlign w:val="superscript"/>
                <w:lang w:bidi="ar-SA"/>
              </w:rPr>
              <w:t xml:space="preserve">4 </w:t>
            </w:r>
            <w:r w:rsidRPr="00034543">
              <w:rPr>
                <w:bCs/>
                <w:sz w:val="18"/>
                <w:lang w:bidi="ar-SA"/>
              </w:rPr>
              <w:t>/g</w:t>
            </w:r>
          </w:p>
        </w:tc>
      </w:tr>
      <w:tr w:rsidR="00034543" w:rsidRPr="00034543" w:rsidTr="00563C81">
        <w:trPr>
          <w:cantSplit/>
          <w:jc w:val="center"/>
        </w:trPr>
        <w:tc>
          <w:tcPr>
            <w:tcW w:w="1847" w:type="dxa"/>
            <w:vMerge/>
            <w:tcBorders>
              <w:left w:val="single" w:sz="8" w:space="0" w:color="auto"/>
              <w:right w:val="single" w:sz="8" w:space="0" w:color="auto"/>
            </w:tcBorders>
          </w:tcPr>
          <w:p w:rsidR="00034543" w:rsidRPr="00034543" w:rsidRDefault="00034543" w:rsidP="00034543">
            <w:pPr>
              <w:ind w:left="142" w:hanging="142"/>
              <w:rPr>
                <w:bCs/>
                <w:sz w:val="20"/>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iCs/>
                <w:sz w:val="18"/>
                <w:lang w:bidi="ar-SA"/>
              </w:rPr>
              <w:t>Escherichia coli</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3.6 /g</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9.2 /g</w:t>
            </w:r>
          </w:p>
        </w:tc>
      </w:tr>
      <w:tr w:rsidR="00034543" w:rsidRPr="00034543" w:rsidTr="00563C81">
        <w:trPr>
          <w:cantSplit/>
          <w:jc w:val="center"/>
        </w:trPr>
        <w:tc>
          <w:tcPr>
            <w:tcW w:w="1847" w:type="dxa"/>
            <w:vMerge/>
            <w:tcBorders>
              <w:left w:val="single" w:sz="8" w:space="0" w:color="auto"/>
              <w:bottom w:val="single" w:sz="8" w:space="0" w:color="auto"/>
              <w:right w:val="single" w:sz="8" w:space="0" w:color="auto"/>
            </w:tcBorders>
          </w:tcPr>
          <w:p w:rsidR="00034543" w:rsidRPr="00034543" w:rsidRDefault="00034543" w:rsidP="00034543">
            <w:pPr>
              <w:ind w:left="142" w:hanging="142"/>
              <w:rPr>
                <w:bCs/>
                <w:sz w:val="20"/>
                <w:lang w:bidi="ar-SA"/>
              </w:rPr>
            </w:pP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iCs/>
                <w:sz w:val="18"/>
                <w:lang w:bidi="ar-SA"/>
              </w:rPr>
              <w:t>Salmonella</w:t>
            </w: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val="restart"/>
            <w:tcBorders>
              <w:top w:val="single" w:sz="8" w:space="0" w:color="auto"/>
              <w:left w:val="single" w:sz="8" w:space="0" w:color="auto"/>
              <w:bottom w:val="single" w:sz="4"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Cooked crustacea</w:t>
            </w:r>
          </w:p>
        </w:tc>
        <w:tc>
          <w:tcPr>
            <w:tcW w:w="2306"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Coagulase-positive staphylococci</w:t>
            </w:r>
          </w:p>
        </w:tc>
        <w:tc>
          <w:tcPr>
            <w:tcW w:w="934"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2</w:t>
            </w:r>
          </w:p>
        </w:tc>
        <w:tc>
          <w:tcPr>
            <w:tcW w:w="1724"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w:t>
            </w:r>
            <w:r w:rsidRPr="00034543">
              <w:rPr>
                <w:bCs/>
                <w:position w:val="6"/>
                <w:sz w:val="18"/>
                <w:vertAlign w:val="superscript"/>
                <w:lang w:bidi="ar-SA"/>
              </w:rPr>
              <w:t xml:space="preserve">2 </w:t>
            </w:r>
            <w:r w:rsidRPr="00034543">
              <w:rPr>
                <w:bCs/>
                <w:sz w:val="18"/>
                <w:lang w:bidi="ar-SA"/>
              </w:rPr>
              <w:t>/g</w:t>
            </w:r>
          </w:p>
        </w:tc>
        <w:tc>
          <w:tcPr>
            <w:tcW w:w="1326"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r w:rsidRPr="00034543">
              <w:rPr>
                <w:bCs/>
                <w:position w:val="6"/>
                <w:sz w:val="18"/>
                <w:vertAlign w:val="superscript"/>
                <w:lang w:bidi="ar-SA"/>
              </w:rPr>
              <w:t xml:space="preserve">3 </w:t>
            </w:r>
            <w:r w:rsidRPr="00034543">
              <w:rPr>
                <w:bCs/>
                <w:sz w:val="18"/>
                <w:lang w:bidi="ar-SA"/>
              </w:rPr>
              <w:t>/g</w:t>
            </w:r>
          </w:p>
        </w:tc>
      </w:tr>
      <w:tr w:rsidR="00034543" w:rsidRPr="00034543" w:rsidTr="00563C81">
        <w:trPr>
          <w:cantSplit/>
          <w:jc w:val="center"/>
        </w:trPr>
        <w:tc>
          <w:tcPr>
            <w:tcW w:w="1847" w:type="dxa"/>
            <w:vMerge/>
            <w:tcBorders>
              <w:left w:val="single" w:sz="8" w:space="0" w:color="auto"/>
              <w:bottom w:val="single" w:sz="4"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Salmonella</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tcBorders>
              <w:left w:val="single" w:sz="8" w:space="0" w:color="auto"/>
              <w:bottom w:val="single" w:sz="4"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SPC</w:t>
            </w: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2</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w:t>
            </w:r>
            <w:r w:rsidRPr="00034543">
              <w:rPr>
                <w:bCs/>
                <w:position w:val="6"/>
                <w:sz w:val="18"/>
                <w:vertAlign w:val="superscript"/>
                <w:lang w:bidi="ar-SA"/>
              </w:rPr>
              <w:t xml:space="preserve">5 </w:t>
            </w:r>
            <w:r w:rsidRPr="00034543">
              <w:rPr>
                <w:bCs/>
                <w:sz w:val="18"/>
                <w:lang w:bidi="ar-SA"/>
              </w:rPr>
              <w:t>/g</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r w:rsidRPr="00034543">
              <w:rPr>
                <w:bCs/>
                <w:position w:val="6"/>
                <w:sz w:val="18"/>
                <w:vertAlign w:val="superscript"/>
                <w:lang w:bidi="ar-SA"/>
              </w:rPr>
              <w:t xml:space="preserve">6 </w:t>
            </w:r>
            <w:r w:rsidRPr="00034543">
              <w:rPr>
                <w:bCs/>
                <w:sz w:val="18"/>
                <w:lang w:bidi="ar-SA"/>
              </w:rPr>
              <w:t>/g</w:t>
            </w:r>
          </w:p>
        </w:tc>
      </w:tr>
      <w:tr w:rsidR="00034543" w:rsidRPr="00034543" w:rsidTr="00563C81">
        <w:trPr>
          <w:cantSplit/>
          <w:jc w:val="center"/>
        </w:trPr>
        <w:tc>
          <w:tcPr>
            <w:tcW w:w="1847" w:type="dxa"/>
            <w:vMerge w:val="restart"/>
            <w:tcBorders>
              <w:top w:val="single" w:sz="4"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Raw crustacea</w:t>
            </w:r>
          </w:p>
        </w:tc>
        <w:tc>
          <w:tcPr>
            <w:tcW w:w="2306"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Coagulase-positive staphylococci</w:t>
            </w:r>
          </w:p>
        </w:tc>
        <w:tc>
          <w:tcPr>
            <w:tcW w:w="934"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2</w:t>
            </w:r>
          </w:p>
        </w:tc>
        <w:tc>
          <w:tcPr>
            <w:tcW w:w="1724"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w:t>
            </w:r>
            <w:r w:rsidRPr="00034543">
              <w:rPr>
                <w:rFonts w:cs="Times"/>
                <w:bCs/>
                <w:position w:val="6"/>
                <w:sz w:val="18"/>
                <w:vertAlign w:val="superscript"/>
                <w:lang w:bidi="ar-SA"/>
              </w:rPr>
              <w:t xml:space="preserve">2 </w:t>
            </w:r>
            <w:r w:rsidRPr="00034543">
              <w:rPr>
                <w:bCs/>
                <w:sz w:val="18"/>
                <w:lang w:bidi="ar-SA"/>
              </w:rPr>
              <w:t>/g</w:t>
            </w:r>
          </w:p>
        </w:tc>
        <w:tc>
          <w:tcPr>
            <w:tcW w:w="1326"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r w:rsidRPr="00034543">
              <w:rPr>
                <w:rFonts w:cs="Times"/>
                <w:bCs/>
                <w:position w:val="6"/>
                <w:sz w:val="18"/>
                <w:vertAlign w:val="superscript"/>
                <w:lang w:bidi="ar-SA"/>
              </w:rPr>
              <w:t xml:space="preserve">3 </w:t>
            </w:r>
            <w:r w:rsidRPr="00034543">
              <w:rPr>
                <w:bCs/>
                <w:sz w:val="18"/>
                <w:lang w:bidi="ar-SA"/>
              </w:rPr>
              <w:t>/g</w:t>
            </w:r>
          </w:p>
        </w:tc>
      </w:tr>
      <w:tr w:rsidR="00034543" w:rsidRPr="00034543" w:rsidTr="00563C81">
        <w:trPr>
          <w:cantSplit/>
          <w:jc w:val="center"/>
        </w:trPr>
        <w:tc>
          <w:tcPr>
            <w:tcW w:w="1847" w:type="dxa"/>
            <w:vMerge/>
            <w:tcBorders>
              <w:left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Salmonella</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SPC</w:t>
            </w: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2</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5x10</w:t>
            </w:r>
            <w:r w:rsidRPr="00034543">
              <w:rPr>
                <w:rFonts w:cs="Times"/>
                <w:bCs/>
                <w:position w:val="6"/>
                <w:sz w:val="18"/>
                <w:vertAlign w:val="superscript"/>
                <w:lang w:bidi="ar-SA"/>
              </w:rPr>
              <w:t xml:space="preserve">5 </w:t>
            </w:r>
            <w:r w:rsidRPr="00034543">
              <w:rPr>
                <w:bCs/>
                <w:sz w:val="18"/>
                <w:lang w:bidi="ar-SA"/>
              </w:rPr>
              <w:t>/g</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5x10</w:t>
            </w:r>
            <w:r w:rsidRPr="00034543">
              <w:rPr>
                <w:rFonts w:cs="Times"/>
                <w:bCs/>
                <w:position w:val="6"/>
                <w:sz w:val="18"/>
                <w:vertAlign w:val="superscript"/>
                <w:lang w:bidi="ar-SA"/>
              </w:rPr>
              <w:t xml:space="preserve">6 </w:t>
            </w:r>
            <w:r w:rsidRPr="00034543">
              <w:rPr>
                <w:bCs/>
                <w:sz w:val="18"/>
                <w:lang w:bidi="ar-SA"/>
              </w:rPr>
              <w:t>/g</w:t>
            </w: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Bivalve molluscs, other than scallops</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Escherichia coli</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2.3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7 /g</w:t>
            </w: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 xml:space="preserve">Ready-to-eat food in which growth of </w:t>
            </w:r>
            <w:r w:rsidRPr="00034543">
              <w:rPr>
                <w:bCs/>
                <w:i/>
                <w:sz w:val="18"/>
                <w:lang w:bidi="ar-SA"/>
              </w:rPr>
              <w:t>Listeria monocytogenes</w:t>
            </w:r>
            <w:r w:rsidRPr="00034543">
              <w:rPr>
                <w:bCs/>
                <w:sz w:val="18"/>
                <w:lang w:bidi="ar-SA"/>
              </w:rPr>
              <w:t xml:space="preserve"> will not occur</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
                <w:sz w:val="18"/>
                <w:lang w:bidi="ar-SA"/>
              </w:rPr>
            </w:pPr>
            <w:r w:rsidRPr="00034543">
              <w:rPr>
                <w:bCs/>
                <w:i/>
                <w:sz w:val="18"/>
                <w:lang w:bidi="ar-SA"/>
              </w:rPr>
              <w:t>Listeria monocytogenes</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w:t>
            </w:r>
            <w:r w:rsidRPr="00034543">
              <w:rPr>
                <w:bCs/>
                <w:position w:val="6"/>
                <w:sz w:val="18"/>
                <w:vertAlign w:val="superscript"/>
                <w:lang w:bidi="ar-SA"/>
              </w:rPr>
              <w:t>2</w:t>
            </w:r>
            <w:r w:rsidRPr="00034543">
              <w:rPr>
                <w:bCs/>
                <w:sz w:val="18"/>
                <w:lang w:bidi="ar-SA"/>
              </w:rPr>
              <w:t xml:space="preserve"> cfu/g </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 xml:space="preserve">Ready-to-eat food in which growth of </w:t>
            </w:r>
            <w:r w:rsidRPr="00034543">
              <w:rPr>
                <w:bCs/>
                <w:i/>
                <w:sz w:val="18"/>
                <w:lang w:bidi="ar-SA"/>
              </w:rPr>
              <w:t>Listeria monocytogenes</w:t>
            </w:r>
            <w:r w:rsidRPr="00034543">
              <w:rPr>
                <w:bCs/>
                <w:sz w:val="18"/>
                <w:lang w:bidi="ar-SA"/>
              </w:rPr>
              <w:t xml:space="preserve"> can occur</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
                <w:sz w:val="18"/>
                <w:lang w:bidi="ar-SA"/>
              </w:rPr>
            </w:pPr>
            <w:r w:rsidRPr="00034543">
              <w:rPr>
                <w:bCs/>
                <w:i/>
                <w:sz w:val="18"/>
                <w:lang w:bidi="ar-SA"/>
              </w:rPr>
              <w:t>Listeria monocytogenes</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val="restart"/>
            <w:tcBorders>
              <w:top w:val="single" w:sz="8" w:space="0" w:color="auto"/>
              <w:left w:val="single" w:sz="8" w:space="0" w:color="auto"/>
              <w:right w:val="single" w:sz="8" w:space="0" w:color="auto"/>
            </w:tcBorders>
          </w:tcPr>
          <w:p w:rsidR="00034543" w:rsidRPr="00034543" w:rsidRDefault="00034543" w:rsidP="00034543">
            <w:pPr>
              <w:keepNext/>
              <w:ind w:left="142" w:hanging="142"/>
              <w:rPr>
                <w:bCs/>
                <w:sz w:val="18"/>
                <w:lang w:bidi="ar-SA"/>
              </w:rPr>
            </w:pPr>
            <w:r w:rsidRPr="00034543">
              <w:rPr>
                <w:bCs/>
                <w:sz w:val="18"/>
                <w:lang w:bidi="ar-SA"/>
              </w:rPr>
              <w:lastRenderedPageBreak/>
              <w:t>Cereal based foods for infants</w:t>
            </w:r>
          </w:p>
        </w:tc>
        <w:tc>
          <w:tcPr>
            <w:tcW w:w="2306"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Coliforms</w:t>
            </w:r>
          </w:p>
        </w:tc>
        <w:tc>
          <w:tcPr>
            <w:tcW w:w="934"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2</w:t>
            </w:r>
          </w:p>
        </w:tc>
        <w:tc>
          <w:tcPr>
            <w:tcW w:w="1724"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less than 3 /g</w:t>
            </w:r>
          </w:p>
        </w:tc>
        <w:tc>
          <w:tcPr>
            <w:tcW w:w="1326"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20 /g</w:t>
            </w:r>
          </w:p>
        </w:tc>
      </w:tr>
      <w:tr w:rsidR="00034543" w:rsidRPr="00034543" w:rsidTr="00563C81">
        <w:trPr>
          <w:cantSplit/>
          <w:jc w:val="center"/>
        </w:trPr>
        <w:tc>
          <w:tcPr>
            <w:tcW w:w="1847" w:type="dxa"/>
            <w:vMerge/>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Salmonella</w:t>
            </w: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val="restart"/>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Powdered infant formula products</w:t>
            </w:r>
          </w:p>
        </w:tc>
        <w:tc>
          <w:tcPr>
            <w:tcW w:w="2306"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i/>
                <w:sz w:val="18"/>
                <w:lang w:bidi="ar-SA"/>
              </w:rPr>
              <w:t>Bacillus cereus</w:t>
            </w:r>
          </w:p>
        </w:tc>
        <w:tc>
          <w:tcPr>
            <w:tcW w:w="934"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w:t>
            </w:r>
            <w:r w:rsidRPr="00034543">
              <w:rPr>
                <w:bCs/>
                <w:position w:val="6"/>
                <w:sz w:val="18"/>
                <w:vertAlign w:val="superscript"/>
                <w:lang w:bidi="ar-SA"/>
              </w:rPr>
              <w:t xml:space="preserve">2 </w:t>
            </w:r>
            <w:r w:rsidRPr="00034543">
              <w:rPr>
                <w:bCs/>
                <w:sz w:val="18"/>
                <w:lang w:bidi="ar-SA"/>
              </w:rPr>
              <w:t>/g</w:t>
            </w:r>
          </w:p>
        </w:tc>
        <w:tc>
          <w:tcPr>
            <w:tcW w:w="1326" w:type="dxa"/>
            <w:tcBorders>
              <w:top w:val="single" w:sz="8" w:space="0" w:color="auto"/>
              <w:left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tcBorders>
              <w:left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Coagulase-positive staphylococci</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1 g</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 /g</w:t>
            </w:r>
          </w:p>
        </w:tc>
      </w:tr>
      <w:tr w:rsidR="00034543" w:rsidRPr="00034543" w:rsidTr="00563C81">
        <w:trPr>
          <w:cantSplit/>
          <w:jc w:val="center"/>
        </w:trPr>
        <w:tc>
          <w:tcPr>
            <w:tcW w:w="1847" w:type="dxa"/>
            <w:vMerge/>
            <w:tcBorders>
              <w:left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Coliforms</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2</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less than3 /g</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 /g</w:t>
            </w:r>
          </w:p>
        </w:tc>
      </w:tr>
      <w:tr w:rsidR="00034543" w:rsidRPr="00034543" w:rsidTr="00563C81">
        <w:trPr>
          <w:cantSplit/>
          <w:jc w:val="center"/>
        </w:trPr>
        <w:tc>
          <w:tcPr>
            <w:tcW w:w="1847" w:type="dxa"/>
            <w:vMerge/>
            <w:tcBorders>
              <w:left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Salmonella</w:t>
            </w:r>
          </w:p>
        </w:tc>
        <w:tc>
          <w:tcPr>
            <w:tcW w:w="934"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p>
        </w:tc>
        <w:tc>
          <w:tcPr>
            <w:tcW w:w="935"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left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left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vMerge/>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p>
        </w:tc>
        <w:tc>
          <w:tcPr>
            <w:tcW w:w="2306"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SPC</w:t>
            </w:r>
          </w:p>
        </w:tc>
        <w:tc>
          <w:tcPr>
            <w:tcW w:w="934"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2</w:t>
            </w:r>
          </w:p>
        </w:tc>
        <w:tc>
          <w:tcPr>
            <w:tcW w:w="1724" w:type="dxa"/>
            <w:tcBorders>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10</w:t>
            </w:r>
            <w:r w:rsidRPr="00034543">
              <w:rPr>
                <w:rFonts w:cs="Times"/>
                <w:bCs/>
                <w:position w:val="6"/>
                <w:sz w:val="18"/>
                <w:vertAlign w:val="superscript"/>
                <w:lang w:bidi="ar-SA"/>
              </w:rPr>
              <w:t xml:space="preserve">3 </w:t>
            </w:r>
            <w:r w:rsidRPr="00034543">
              <w:rPr>
                <w:bCs/>
                <w:sz w:val="18"/>
                <w:lang w:bidi="ar-SA"/>
              </w:rPr>
              <w:t>/g</w:t>
            </w:r>
          </w:p>
        </w:tc>
        <w:tc>
          <w:tcPr>
            <w:tcW w:w="1326" w:type="dxa"/>
            <w:tcBorders>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r w:rsidRPr="00034543">
              <w:rPr>
                <w:rFonts w:cs="Times"/>
                <w:bCs/>
                <w:position w:val="6"/>
                <w:sz w:val="18"/>
                <w:vertAlign w:val="superscript"/>
                <w:lang w:bidi="ar-SA"/>
              </w:rPr>
              <w:t xml:space="preserve">4 </w:t>
            </w:r>
            <w:r w:rsidRPr="00034543">
              <w:rPr>
                <w:bCs/>
                <w:sz w:val="18"/>
                <w:lang w:bidi="ar-SA"/>
              </w:rPr>
              <w:t>/g</w:t>
            </w: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Pepper, paprika and cinnamon</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
                <w:sz w:val="18"/>
                <w:lang w:bidi="ar-SA"/>
              </w:rPr>
            </w:pPr>
            <w:r w:rsidRPr="00034543">
              <w:rPr>
                <w:bCs/>
                <w:i/>
                <w:sz w:val="18"/>
                <w:lang w:bidi="ar-SA"/>
              </w:rPr>
              <w:t>Salmonella</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Dried, chipped, desiccated coconut</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
                <w:sz w:val="18"/>
                <w:lang w:bidi="ar-SA"/>
              </w:rPr>
            </w:pPr>
            <w:r w:rsidRPr="00034543">
              <w:rPr>
                <w:bCs/>
                <w:i/>
                <w:sz w:val="18"/>
                <w:lang w:bidi="ar-SA"/>
              </w:rPr>
              <w:t>Salmonella</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10</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Cocoa powder</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
                <w:sz w:val="18"/>
                <w:lang w:bidi="ar-SA"/>
              </w:rPr>
            </w:pPr>
            <w:r w:rsidRPr="00034543">
              <w:rPr>
                <w:bCs/>
                <w:i/>
                <w:sz w:val="18"/>
                <w:lang w:bidi="ar-SA"/>
              </w:rPr>
              <w:t>Salmonella</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 xml:space="preserve">Cultured seeds and grains (bean sprouts, alfalfa </w:t>
            </w:r>
            <w:proofErr w:type="spellStart"/>
            <w:r w:rsidRPr="00034543">
              <w:rPr>
                <w:bCs/>
                <w:sz w:val="18"/>
                <w:lang w:bidi="ar-SA"/>
              </w:rPr>
              <w:t>etc</w:t>
            </w:r>
            <w:proofErr w:type="spellEnd"/>
            <w:r w:rsidRPr="00034543">
              <w:rPr>
                <w:bCs/>
                <w:sz w:val="18"/>
                <w:lang w:bidi="ar-SA"/>
              </w:rPr>
              <w:t>)</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
                <w:sz w:val="18"/>
                <w:lang w:bidi="ar-SA"/>
              </w:rPr>
            </w:pPr>
            <w:r w:rsidRPr="00034543">
              <w:rPr>
                <w:bCs/>
                <w:i/>
                <w:sz w:val="18"/>
                <w:lang w:bidi="ar-SA"/>
              </w:rPr>
              <w:t>Salmonella</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Pasteurised egg products</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Salmonella</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shd w:val="clear" w:color="auto" w:fill="auto"/>
          </w:tcPr>
          <w:p w:rsidR="00034543" w:rsidRPr="00034543" w:rsidRDefault="00034543" w:rsidP="00034543">
            <w:pPr>
              <w:ind w:left="142" w:hanging="142"/>
              <w:rPr>
                <w:bCs/>
                <w:sz w:val="18"/>
                <w:lang w:bidi="ar-SA"/>
              </w:rPr>
            </w:pPr>
            <w:r w:rsidRPr="00034543">
              <w:rPr>
                <w:bCs/>
                <w:sz w:val="18"/>
                <w:lang w:bidi="ar-SA"/>
              </w:rPr>
              <w:t>Processed egg product</w:t>
            </w:r>
          </w:p>
        </w:tc>
        <w:tc>
          <w:tcPr>
            <w:tcW w:w="2306" w:type="dxa"/>
            <w:tcBorders>
              <w:top w:val="single" w:sz="8" w:space="0" w:color="auto"/>
              <w:left w:val="single" w:sz="8" w:space="0" w:color="auto"/>
              <w:bottom w:val="single" w:sz="8" w:space="0" w:color="auto"/>
              <w:right w:val="single" w:sz="8" w:space="0" w:color="auto"/>
            </w:tcBorders>
            <w:shd w:val="clear" w:color="auto" w:fill="auto"/>
          </w:tcPr>
          <w:p w:rsidR="00034543" w:rsidRPr="00034543" w:rsidRDefault="00034543" w:rsidP="00034543">
            <w:pPr>
              <w:ind w:left="142" w:hanging="142"/>
              <w:rPr>
                <w:bCs/>
                <w:iCs/>
                <w:sz w:val="18"/>
                <w:lang w:bidi="ar-SA"/>
              </w:rPr>
            </w:pPr>
            <w:r w:rsidRPr="00034543">
              <w:rPr>
                <w:bCs/>
                <w:i/>
                <w:sz w:val="18"/>
                <w:lang w:bidi="ar-SA"/>
              </w:rPr>
              <w:t>Salmonella</w:t>
            </w:r>
          </w:p>
        </w:tc>
        <w:tc>
          <w:tcPr>
            <w:tcW w:w="934" w:type="dxa"/>
            <w:tcBorders>
              <w:top w:val="single" w:sz="8" w:space="0" w:color="auto"/>
              <w:left w:val="single" w:sz="8" w:space="0" w:color="auto"/>
              <w:bottom w:val="single" w:sz="8" w:space="0" w:color="auto"/>
              <w:right w:val="single" w:sz="8" w:space="0" w:color="auto"/>
            </w:tcBorders>
            <w:shd w:val="clear" w:color="auto" w:fill="auto"/>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shd w:val="clear" w:color="auto" w:fill="auto"/>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shd w:val="clear" w:color="auto" w:fill="auto"/>
          </w:tcPr>
          <w:p w:rsidR="00034543" w:rsidRPr="00034543" w:rsidRDefault="00034543" w:rsidP="00034543">
            <w:pPr>
              <w:ind w:left="142" w:hanging="142"/>
              <w:rPr>
                <w:bCs/>
                <w:sz w:val="18"/>
                <w:lang w:bidi="ar-SA"/>
              </w:rPr>
            </w:pPr>
            <w:r w:rsidRPr="00034543">
              <w:rPr>
                <w:bCs/>
                <w:sz w:val="18"/>
                <w:lang w:bidi="ar-SA"/>
              </w:rPr>
              <w:t>not detected in 25 g</w:t>
            </w:r>
          </w:p>
        </w:tc>
        <w:tc>
          <w:tcPr>
            <w:tcW w:w="1326" w:type="dxa"/>
            <w:tcBorders>
              <w:top w:val="single" w:sz="8" w:space="0" w:color="auto"/>
              <w:left w:val="single" w:sz="8" w:space="0" w:color="auto"/>
              <w:bottom w:val="single" w:sz="8" w:space="0" w:color="auto"/>
              <w:right w:val="single" w:sz="8" w:space="0" w:color="auto"/>
            </w:tcBorders>
            <w:shd w:val="clear" w:color="auto" w:fill="auto"/>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Mineral water</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Escherichia coli</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100 mL</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Packaged water</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Escherichia coli</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100 mL</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r w:rsidR="00034543" w:rsidRPr="00034543" w:rsidTr="00563C81">
        <w:trPr>
          <w:cantSplit/>
          <w:jc w:val="center"/>
        </w:trPr>
        <w:tc>
          <w:tcPr>
            <w:tcW w:w="1847"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Packaged ice</w:t>
            </w:r>
          </w:p>
        </w:tc>
        <w:tc>
          <w:tcPr>
            <w:tcW w:w="230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iCs/>
                <w:sz w:val="18"/>
                <w:lang w:bidi="ar-SA"/>
              </w:rPr>
            </w:pPr>
            <w:r w:rsidRPr="00034543">
              <w:rPr>
                <w:bCs/>
                <w:i/>
                <w:sz w:val="18"/>
                <w:lang w:bidi="ar-SA"/>
              </w:rPr>
              <w:t>Escherichia coli</w:t>
            </w:r>
          </w:p>
        </w:tc>
        <w:tc>
          <w:tcPr>
            <w:tcW w:w="93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5</w:t>
            </w:r>
          </w:p>
        </w:tc>
        <w:tc>
          <w:tcPr>
            <w:tcW w:w="935"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r w:rsidRPr="00034543">
              <w:rPr>
                <w:bCs/>
                <w:sz w:val="18"/>
                <w:lang w:bidi="ar-SA"/>
              </w:rPr>
              <w:t>0</w:t>
            </w:r>
          </w:p>
        </w:tc>
        <w:tc>
          <w:tcPr>
            <w:tcW w:w="1724"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rPr>
                <w:bCs/>
                <w:sz w:val="18"/>
                <w:lang w:bidi="ar-SA"/>
              </w:rPr>
            </w:pPr>
            <w:r w:rsidRPr="00034543">
              <w:rPr>
                <w:bCs/>
                <w:sz w:val="18"/>
                <w:lang w:bidi="ar-SA"/>
              </w:rPr>
              <w:t>not detected in 100 mL</w:t>
            </w:r>
          </w:p>
        </w:tc>
        <w:tc>
          <w:tcPr>
            <w:tcW w:w="1326" w:type="dxa"/>
            <w:tcBorders>
              <w:top w:val="single" w:sz="8" w:space="0" w:color="auto"/>
              <w:left w:val="single" w:sz="8" w:space="0" w:color="auto"/>
              <w:bottom w:val="single" w:sz="8" w:space="0" w:color="auto"/>
              <w:right w:val="single" w:sz="8" w:space="0" w:color="auto"/>
            </w:tcBorders>
          </w:tcPr>
          <w:p w:rsidR="00034543" w:rsidRPr="00034543" w:rsidRDefault="00034543" w:rsidP="00034543">
            <w:pPr>
              <w:ind w:left="142" w:hanging="142"/>
              <w:jc w:val="center"/>
              <w:rPr>
                <w:bCs/>
                <w:sz w:val="18"/>
                <w:lang w:bidi="ar-SA"/>
              </w:rPr>
            </w:pPr>
          </w:p>
        </w:tc>
      </w:tr>
    </w:tbl>
    <w:p w:rsidR="00034543" w:rsidRPr="00034543" w:rsidRDefault="00034543" w:rsidP="00034543">
      <w:pPr>
        <w:tabs>
          <w:tab w:val="left" w:pos="851"/>
        </w:tabs>
        <w:jc w:val="right"/>
        <w:rPr>
          <w:rFonts w:cs="Arial"/>
          <w:sz w:val="20"/>
          <w:szCs w:val="20"/>
          <w:lang w:bidi="ar-SA"/>
        </w:rPr>
      </w:pPr>
      <w:r w:rsidRPr="00034543">
        <w:rPr>
          <w:sz w:val="20"/>
          <w:szCs w:val="20"/>
          <w:lang w:bidi="ar-SA"/>
        </w:rPr>
        <w:t>”</w:t>
      </w:r>
    </w:p>
    <w:p w:rsidR="00034543" w:rsidRPr="00034543" w:rsidRDefault="00034543" w:rsidP="00034543">
      <w:pPr>
        <w:tabs>
          <w:tab w:val="left" w:pos="851"/>
        </w:tabs>
        <w:rPr>
          <w:iCs/>
          <w:sz w:val="20"/>
          <w:szCs w:val="20"/>
          <w:lang w:bidi="ar-SA"/>
        </w:rPr>
      </w:pPr>
      <w:r w:rsidRPr="00034543">
        <w:rPr>
          <w:rFonts w:cs="Arial"/>
          <w:sz w:val="20"/>
          <w:szCs w:val="20"/>
          <w:lang w:bidi="ar-SA"/>
        </w:rPr>
        <w:t>[1.8]</w:t>
      </w:r>
      <w:r w:rsidRPr="00034543">
        <w:rPr>
          <w:rFonts w:cs="Arial"/>
          <w:sz w:val="20"/>
          <w:szCs w:val="20"/>
          <w:lang w:bidi="ar-SA"/>
        </w:rPr>
        <w:tab/>
      </w:r>
      <w:r w:rsidRPr="00034543">
        <w:rPr>
          <w:sz w:val="20"/>
          <w:szCs w:val="20"/>
          <w:lang w:bidi="ar-SA"/>
        </w:rPr>
        <w:t>updating the Table of Provisions</w:t>
      </w:r>
      <w:r w:rsidRPr="00034543">
        <w:rPr>
          <w:iCs/>
          <w:sz w:val="20"/>
          <w:szCs w:val="20"/>
          <w:lang w:bidi="ar-SA"/>
        </w:rPr>
        <w:t xml:space="preserve"> to reflect these variations</w:t>
      </w:r>
    </w:p>
    <w:p w:rsidR="00034543" w:rsidRPr="00034543" w:rsidRDefault="00034543" w:rsidP="00034543">
      <w:pPr>
        <w:tabs>
          <w:tab w:val="left" w:pos="851"/>
        </w:tabs>
        <w:rPr>
          <w:sz w:val="20"/>
          <w:szCs w:val="20"/>
          <w:lang w:bidi="ar-SA"/>
        </w:rPr>
      </w:pPr>
    </w:p>
    <w:p w:rsidR="00034543" w:rsidRPr="00034543" w:rsidRDefault="00034543" w:rsidP="00034543">
      <w:pPr>
        <w:tabs>
          <w:tab w:val="left" w:pos="851"/>
        </w:tabs>
        <w:rPr>
          <w:sz w:val="20"/>
          <w:szCs w:val="20"/>
          <w:lang w:bidi="ar-SA"/>
        </w:rPr>
      </w:pPr>
      <w:r w:rsidRPr="00034543">
        <w:rPr>
          <w:b/>
          <w:sz w:val="20"/>
          <w:szCs w:val="20"/>
          <w:lang w:bidi="ar-SA"/>
        </w:rPr>
        <w:t>[2]</w:t>
      </w:r>
      <w:r w:rsidRPr="00034543">
        <w:rPr>
          <w:b/>
          <w:sz w:val="20"/>
          <w:szCs w:val="20"/>
          <w:lang w:bidi="ar-SA"/>
        </w:rPr>
        <w:tab/>
        <w:t>Standard 4.2.5</w:t>
      </w:r>
      <w:r w:rsidRPr="00034543">
        <w:rPr>
          <w:sz w:val="20"/>
          <w:szCs w:val="20"/>
          <w:lang w:bidi="ar-SA"/>
        </w:rPr>
        <w:t xml:space="preserve"> is varied by omitting the Editorial note at the end of clause 21 and substituting</w:t>
      </w:r>
    </w:p>
    <w:p w:rsidR="00034543" w:rsidRPr="00034543" w:rsidRDefault="00034543" w:rsidP="00034543">
      <w:pPr>
        <w:tabs>
          <w:tab w:val="left" w:pos="851"/>
        </w:tabs>
        <w:rPr>
          <w:sz w:val="20"/>
          <w:szCs w:val="20"/>
          <w:lang w:bidi="ar-SA"/>
        </w:rPr>
      </w:pPr>
    </w:p>
    <w:p w:rsidR="00034543" w:rsidRPr="00034543" w:rsidRDefault="00034543" w:rsidP="00034543">
      <w:pPr>
        <w:tabs>
          <w:tab w:val="left" w:pos="851"/>
        </w:tabs>
        <w:rPr>
          <w:sz w:val="20"/>
          <w:szCs w:val="20"/>
          <w:lang w:bidi="ar-SA"/>
        </w:rPr>
      </w:pPr>
      <w:r w:rsidRPr="00034543">
        <w:rPr>
          <w:sz w:val="20"/>
          <w:szCs w:val="20"/>
          <w:lang w:bidi="ar-SA"/>
        </w:rPr>
        <w:t>“</w:t>
      </w:r>
    </w:p>
    <w:p w:rsidR="00034543" w:rsidRPr="00034543" w:rsidRDefault="00034543" w:rsidP="00034543">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034543">
        <w:rPr>
          <w:b/>
          <w:sz w:val="20"/>
          <w:szCs w:val="20"/>
          <w:lang w:bidi="ar-SA"/>
        </w:rPr>
        <w:t>Editorial note:</w:t>
      </w:r>
    </w:p>
    <w:p w:rsidR="00034543" w:rsidRPr="00034543" w:rsidRDefault="00034543" w:rsidP="00034543">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034543" w:rsidRPr="00034543" w:rsidRDefault="00034543" w:rsidP="00034543">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034543">
        <w:rPr>
          <w:sz w:val="20"/>
          <w:szCs w:val="20"/>
          <w:lang w:bidi="ar-SA"/>
        </w:rPr>
        <w:t>For subclause 21(1), Standard 1.6.1 specifies microbiological limits for processed egg products for sale.</w:t>
      </w:r>
    </w:p>
    <w:p w:rsidR="00034543" w:rsidRPr="00034543" w:rsidRDefault="00034543" w:rsidP="00034543">
      <w:pPr>
        <w:tabs>
          <w:tab w:val="left" w:pos="851"/>
        </w:tabs>
        <w:jc w:val="right"/>
        <w:rPr>
          <w:sz w:val="20"/>
          <w:szCs w:val="20"/>
          <w:lang w:bidi="ar-SA"/>
        </w:rPr>
      </w:pPr>
      <w:r w:rsidRPr="00034543">
        <w:rPr>
          <w:sz w:val="20"/>
          <w:szCs w:val="20"/>
          <w:lang w:bidi="ar-SA"/>
        </w:rPr>
        <w:t>”</w:t>
      </w:r>
    </w:p>
    <w:p w:rsidR="00034543" w:rsidRPr="00034543" w:rsidRDefault="00034543" w:rsidP="00034543">
      <w:pPr>
        <w:rPr>
          <w:rFonts w:eastAsiaTheme="minorHAnsi" w:cstheme="minorBidi"/>
          <w:szCs w:val="22"/>
          <w:lang w:bidi="ar-SA"/>
        </w:rPr>
      </w:pPr>
    </w:p>
    <w:p w:rsidR="00D5526B" w:rsidRPr="00184403" w:rsidRDefault="00D5526B" w:rsidP="00034543">
      <w:pPr>
        <w:pStyle w:val="Clauseheading"/>
      </w:pPr>
    </w:p>
    <w:sectPr w:rsidR="00D5526B" w:rsidRPr="00184403" w:rsidSect="008E233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37" w:rsidRDefault="002E2637" w:rsidP="002E2637">
      <w:r>
        <w:separator/>
      </w:r>
    </w:p>
  </w:endnote>
  <w:endnote w:type="continuationSeparator" w:id="0">
    <w:p w:rsidR="002E2637" w:rsidRDefault="002E2637" w:rsidP="002E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37" w:rsidRDefault="002E2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50563"/>
      <w:docPartObj>
        <w:docPartGallery w:val="Page Numbers (Bottom of Page)"/>
        <w:docPartUnique/>
      </w:docPartObj>
    </w:sdtPr>
    <w:sdtEndPr>
      <w:rPr>
        <w:noProof/>
      </w:rPr>
    </w:sdtEndPr>
    <w:sdtContent>
      <w:p w:rsidR="002E2637" w:rsidRDefault="002E2637" w:rsidP="002E2637">
        <w:pPr>
          <w:pStyle w:val="Footer"/>
          <w:jc w:val="center"/>
        </w:pPr>
        <w:r>
          <w:fldChar w:fldCharType="begin"/>
        </w:r>
        <w:r>
          <w:instrText xml:space="preserve"> PAGE   \* MERGEFORMAT </w:instrText>
        </w:r>
        <w:r>
          <w:fldChar w:fldCharType="separate"/>
        </w:r>
        <w:r w:rsidR="00C73FD4">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37" w:rsidRDefault="002E2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37" w:rsidRDefault="002E2637" w:rsidP="002E2637">
      <w:r>
        <w:separator/>
      </w:r>
    </w:p>
  </w:footnote>
  <w:footnote w:type="continuationSeparator" w:id="0">
    <w:p w:rsidR="002E2637" w:rsidRDefault="002E2637" w:rsidP="002E2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37" w:rsidRDefault="002E2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37" w:rsidRDefault="002E2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37" w:rsidRDefault="002E2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200A4A"/>
    <w:multiLevelType w:val="hybridMultilevel"/>
    <w:tmpl w:val="CC82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0C5D22"/>
    <w:multiLevelType w:val="hybridMultilevel"/>
    <w:tmpl w:val="45A6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7"/>
  </w:num>
  <w:num w:numId="9">
    <w:abstractNumId w:val="3"/>
  </w:num>
  <w:num w:numId="10">
    <w:abstractNumId w:val="5"/>
  </w:num>
  <w:num w:numId="11">
    <w:abstractNumId w:val="7"/>
  </w:num>
  <w:num w:numId="12">
    <w:abstractNumId w:val="3"/>
  </w:num>
  <w:num w:numId="13">
    <w:abstractNumId w:val="5"/>
  </w:num>
  <w:num w:numId="14">
    <w:abstractNumId w:val="6"/>
  </w:num>
  <w:num w:numId="15">
    <w:abstractNumId w:val="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37"/>
    <w:rsid w:val="0000542C"/>
    <w:rsid w:val="00034543"/>
    <w:rsid w:val="00041643"/>
    <w:rsid w:val="000622E7"/>
    <w:rsid w:val="00066854"/>
    <w:rsid w:val="00066D85"/>
    <w:rsid w:val="000A38F8"/>
    <w:rsid w:val="000F2196"/>
    <w:rsid w:val="001734EA"/>
    <w:rsid w:val="00184403"/>
    <w:rsid w:val="00191770"/>
    <w:rsid w:val="001C5126"/>
    <w:rsid w:val="001E696B"/>
    <w:rsid w:val="002232B1"/>
    <w:rsid w:val="00234C31"/>
    <w:rsid w:val="002E2637"/>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C2207"/>
    <w:rsid w:val="007F6456"/>
    <w:rsid w:val="00823937"/>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C73FD4"/>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3454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TableHeading">
    <w:name w:val="Table Heading"/>
    <w:basedOn w:val="Normal"/>
    <w:next w:val="Normal"/>
    <w:rsid w:val="002E2637"/>
    <w:pPr>
      <w:tabs>
        <w:tab w:val="left" w:pos="851"/>
      </w:tabs>
      <w:jc w:val="center"/>
    </w:pPr>
    <w:rPr>
      <w:b/>
      <w:sz w:val="20"/>
      <w:szCs w:val="20"/>
    </w:rPr>
  </w:style>
  <w:style w:type="paragraph" w:styleId="Title">
    <w:name w:val="Title"/>
    <w:basedOn w:val="Normal"/>
    <w:link w:val="TitleChar"/>
    <w:uiPriority w:val="10"/>
    <w:qFormat/>
    <w:rsid w:val="002E2637"/>
    <w:pPr>
      <w:widowControl/>
      <w:jc w:val="center"/>
    </w:pPr>
    <w:rPr>
      <w:rFonts w:eastAsiaTheme="minorHAnsi" w:cstheme="minorBidi"/>
      <w:b/>
      <w:bCs/>
      <w:sz w:val="20"/>
      <w:lang w:val="en-AU" w:eastAsia="en-GB" w:bidi="ar-SA"/>
    </w:rPr>
  </w:style>
  <w:style w:type="character" w:customStyle="1" w:styleId="TitleChar">
    <w:name w:val="Title Char"/>
    <w:basedOn w:val="DefaultParagraphFont"/>
    <w:link w:val="Title"/>
    <w:uiPriority w:val="10"/>
    <w:rsid w:val="002E2637"/>
    <w:rPr>
      <w:rFonts w:cstheme="minorBidi"/>
      <w:b/>
      <w:bCs/>
      <w:sz w:val="20"/>
      <w:szCs w:val="24"/>
      <w:lang w:eastAsia="en-GB"/>
    </w:rPr>
  </w:style>
  <w:style w:type="paragraph" w:styleId="BalloonText">
    <w:name w:val="Balloon Text"/>
    <w:basedOn w:val="Normal"/>
    <w:link w:val="BalloonTextChar"/>
    <w:uiPriority w:val="99"/>
    <w:semiHidden/>
    <w:unhideWhenUsed/>
    <w:rsid w:val="002E2637"/>
    <w:rPr>
      <w:rFonts w:ascii="Tahoma" w:hAnsi="Tahoma" w:cs="Tahoma"/>
      <w:sz w:val="16"/>
      <w:szCs w:val="16"/>
    </w:rPr>
  </w:style>
  <w:style w:type="character" w:customStyle="1" w:styleId="BalloonTextChar">
    <w:name w:val="Balloon Text Char"/>
    <w:basedOn w:val="DefaultParagraphFont"/>
    <w:link w:val="BalloonText"/>
    <w:uiPriority w:val="99"/>
    <w:semiHidden/>
    <w:rsid w:val="002E2637"/>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3454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TableHeading">
    <w:name w:val="Table Heading"/>
    <w:basedOn w:val="Normal"/>
    <w:next w:val="Normal"/>
    <w:rsid w:val="002E2637"/>
    <w:pPr>
      <w:tabs>
        <w:tab w:val="left" w:pos="851"/>
      </w:tabs>
      <w:jc w:val="center"/>
    </w:pPr>
    <w:rPr>
      <w:b/>
      <w:sz w:val="20"/>
      <w:szCs w:val="20"/>
    </w:rPr>
  </w:style>
  <w:style w:type="paragraph" w:styleId="Title">
    <w:name w:val="Title"/>
    <w:basedOn w:val="Normal"/>
    <w:link w:val="TitleChar"/>
    <w:uiPriority w:val="10"/>
    <w:qFormat/>
    <w:rsid w:val="002E2637"/>
    <w:pPr>
      <w:widowControl/>
      <w:jc w:val="center"/>
    </w:pPr>
    <w:rPr>
      <w:rFonts w:eastAsiaTheme="minorHAnsi" w:cstheme="minorBidi"/>
      <w:b/>
      <w:bCs/>
      <w:sz w:val="20"/>
      <w:lang w:val="en-AU" w:eastAsia="en-GB" w:bidi="ar-SA"/>
    </w:rPr>
  </w:style>
  <w:style w:type="character" w:customStyle="1" w:styleId="TitleChar">
    <w:name w:val="Title Char"/>
    <w:basedOn w:val="DefaultParagraphFont"/>
    <w:link w:val="Title"/>
    <w:uiPriority w:val="10"/>
    <w:rsid w:val="002E2637"/>
    <w:rPr>
      <w:rFonts w:cstheme="minorBidi"/>
      <w:b/>
      <w:bCs/>
      <w:sz w:val="20"/>
      <w:szCs w:val="24"/>
      <w:lang w:eastAsia="en-GB"/>
    </w:rPr>
  </w:style>
  <w:style w:type="paragraph" w:styleId="BalloonText">
    <w:name w:val="Balloon Text"/>
    <w:basedOn w:val="Normal"/>
    <w:link w:val="BalloonTextChar"/>
    <w:uiPriority w:val="99"/>
    <w:semiHidden/>
    <w:unhideWhenUsed/>
    <w:rsid w:val="002E2637"/>
    <w:rPr>
      <w:rFonts w:ascii="Tahoma" w:hAnsi="Tahoma" w:cs="Tahoma"/>
      <w:sz w:val="16"/>
      <w:szCs w:val="16"/>
    </w:rPr>
  </w:style>
  <w:style w:type="character" w:customStyle="1" w:styleId="BalloonTextChar">
    <w:name w:val="Balloon Text Char"/>
    <w:basedOn w:val="DefaultParagraphFont"/>
    <w:link w:val="BalloonText"/>
    <w:uiPriority w:val="99"/>
    <w:semiHidden/>
    <w:rsid w:val="002E2637"/>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6E8A-BC75-4472-8482-1DE6F42D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1192</Words>
  <Characters>6798</Characters>
  <Application>Microsoft Office Word</Application>
  <DocSecurity>0</DocSecurity>
  <Lines>56</Lines>
  <Paragraphs>15</Paragraphs>
  <ScaleCrop>false</ScaleCrop>
  <Company>Food Standards Australia New Zealand</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5</cp:revision>
  <cp:lastPrinted>2014-07-24T06:47:00Z</cp:lastPrinted>
  <dcterms:created xsi:type="dcterms:W3CDTF">2014-07-02T07:22:00Z</dcterms:created>
  <dcterms:modified xsi:type="dcterms:W3CDTF">2014-07-24T06:47:00Z</dcterms:modified>
</cp:coreProperties>
</file>