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60" w:rsidRDefault="00EF5460" w:rsidP="00EF5460">
      <w:pPr>
        <w:spacing w:after="0" w:line="240" w:lineRule="auto"/>
        <w:jc w:val="center"/>
        <w:rPr>
          <w:rFonts w:ascii="Times New Roman" w:hAnsi="Times New Roman"/>
          <w:b/>
          <w:sz w:val="24"/>
          <w:szCs w:val="24"/>
          <w:u w:val="single"/>
        </w:rPr>
      </w:pPr>
      <w:r>
        <w:rPr>
          <w:rFonts w:ascii="Times New Roman" w:hAnsi="Times New Roman"/>
          <w:b/>
          <w:sz w:val="24"/>
          <w:szCs w:val="24"/>
          <w:u w:val="single"/>
        </w:rPr>
        <w:t>EXPLANATORY STATEMENT</w:t>
      </w:r>
    </w:p>
    <w:p w:rsidR="00EF5460" w:rsidRDefault="00EF5460" w:rsidP="00EF5460">
      <w:pPr>
        <w:spacing w:after="0" w:line="240" w:lineRule="auto"/>
        <w:jc w:val="center"/>
        <w:rPr>
          <w:rFonts w:ascii="Times New Roman" w:hAnsi="Times New Roman"/>
          <w:b/>
          <w:sz w:val="24"/>
          <w:szCs w:val="24"/>
          <w:u w:val="single"/>
        </w:rPr>
      </w:pPr>
    </w:p>
    <w:p w:rsidR="00296C93" w:rsidRDefault="00EF5460" w:rsidP="00EF546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Select Legislative Instrument </w:t>
      </w:r>
      <w:r w:rsidRPr="00F318A3">
        <w:rPr>
          <w:rFonts w:ascii="Times New Roman" w:hAnsi="Times New Roman"/>
          <w:b/>
          <w:sz w:val="24"/>
          <w:szCs w:val="24"/>
          <w:u w:val="single"/>
        </w:rPr>
        <w:t>No.</w:t>
      </w:r>
      <w:r w:rsidR="00296C93">
        <w:rPr>
          <w:rFonts w:ascii="Times New Roman" w:hAnsi="Times New Roman"/>
          <w:b/>
          <w:sz w:val="24"/>
          <w:szCs w:val="24"/>
          <w:u w:val="single"/>
        </w:rPr>
        <w:t xml:space="preserve"> 117, 2014</w:t>
      </w:r>
    </w:p>
    <w:p w:rsidR="00EF5460" w:rsidRDefault="00EF5460" w:rsidP="00EF5460">
      <w:pPr>
        <w:spacing w:after="0" w:line="240" w:lineRule="auto"/>
        <w:jc w:val="center"/>
        <w:rPr>
          <w:rFonts w:ascii="Times New Roman" w:hAnsi="Times New Roman"/>
          <w:sz w:val="24"/>
          <w:szCs w:val="24"/>
        </w:rPr>
      </w:pPr>
      <w:bookmarkStart w:id="0" w:name="_GoBack"/>
      <w:bookmarkEnd w:id="0"/>
    </w:p>
    <w:p w:rsidR="00EF5460" w:rsidRDefault="00EF5460" w:rsidP="00EF5460">
      <w:pPr>
        <w:spacing w:after="0" w:line="240" w:lineRule="auto"/>
        <w:jc w:val="center"/>
        <w:rPr>
          <w:rFonts w:ascii="Times New Roman" w:hAnsi="Times New Roman"/>
          <w:sz w:val="24"/>
          <w:szCs w:val="24"/>
        </w:rPr>
      </w:pPr>
      <w:r>
        <w:rPr>
          <w:rFonts w:ascii="Times New Roman" w:hAnsi="Times New Roman"/>
          <w:sz w:val="24"/>
          <w:szCs w:val="24"/>
        </w:rPr>
        <w:t xml:space="preserve">Issued by the authority of the </w:t>
      </w:r>
      <w:r w:rsidR="00F318A3">
        <w:rPr>
          <w:rFonts w:ascii="Times New Roman" w:hAnsi="Times New Roman"/>
          <w:sz w:val="24"/>
          <w:szCs w:val="24"/>
        </w:rPr>
        <w:t>Minister for Justice</w:t>
      </w:r>
    </w:p>
    <w:p w:rsidR="00EF5460" w:rsidRDefault="00EF5460" w:rsidP="00EF5460">
      <w:pPr>
        <w:spacing w:after="0" w:line="240" w:lineRule="auto"/>
        <w:jc w:val="center"/>
        <w:rPr>
          <w:rFonts w:ascii="Times New Roman" w:hAnsi="Times New Roman"/>
          <w:sz w:val="24"/>
          <w:szCs w:val="24"/>
        </w:rPr>
      </w:pPr>
    </w:p>
    <w:p w:rsidR="00EF5460" w:rsidRPr="00EF5460" w:rsidRDefault="00EF5460" w:rsidP="00EF5460">
      <w:pPr>
        <w:spacing w:after="0" w:line="240" w:lineRule="auto"/>
        <w:jc w:val="center"/>
        <w:rPr>
          <w:rFonts w:ascii="Times New Roman" w:hAnsi="Times New Roman"/>
          <w:i/>
          <w:sz w:val="24"/>
          <w:szCs w:val="24"/>
        </w:rPr>
      </w:pPr>
      <w:r>
        <w:rPr>
          <w:rFonts w:ascii="Times New Roman" w:hAnsi="Times New Roman"/>
          <w:i/>
          <w:sz w:val="24"/>
          <w:szCs w:val="24"/>
        </w:rPr>
        <w:t xml:space="preserve">Criminal </w:t>
      </w:r>
      <w:r w:rsidRPr="00EF5460">
        <w:rPr>
          <w:rFonts w:ascii="Times New Roman" w:hAnsi="Times New Roman"/>
          <w:i/>
          <w:sz w:val="24"/>
          <w:szCs w:val="24"/>
        </w:rPr>
        <w:t>Code Act 1995</w:t>
      </w:r>
    </w:p>
    <w:p w:rsidR="00EF5460" w:rsidRPr="00EF5460" w:rsidRDefault="00EF5460" w:rsidP="00EF5460">
      <w:pPr>
        <w:spacing w:after="0" w:line="240" w:lineRule="auto"/>
        <w:jc w:val="center"/>
        <w:rPr>
          <w:rFonts w:ascii="Times New Roman" w:hAnsi="Times New Roman"/>
          <w:i/>
          <w:sz w:val="24"/>
          <w:szCs w:val="24"/>
        </w:rPr>
      </w:pPr>
    </w:p>
    <w:p w:rsidR="00EF5460" w:rsidRPr="00E81987" w:rsidRDefault="00EF5460" w:rsidP="00E81987">
      <w:pPr>
        <w:spacing w:after="0" w:line="240" w:lineRule="auto"/>
        <w:jc w:val="center"/>
        <w:rPr>
          <w:rFonts w:ascii="Times New Roman" w:hAnsi="Times New Roman"/>
          <w:i/>
          <w:sz w:val="24"/>
          <w:szCs w:val="24"/>
        </w:rPr>
      </w:pPr>
      <w:r w:rsidRPr="00EF5460">
        <w:rPr>
          <w:rFonts w:ascii="Times New Roman" w:hAnsi="Times New Roman"/>
          <w:i/>
          <w:sz w:val="24"/>
          <w:szCs w:val="24"/>
        </w:rPr>
        <w:tab/>
        <w:t>Criminal Code</w:t>
      </w:r>
      <w:r w:rsidR="00B33817">
        <w:rPr>
          <w:rFonts w:ascii="Times New Roman" w:hAnsi="Times New Roman"/>
          <w:i/>
          <w:sz w:val="24"/>
          <w:szCs w:val="24"/>
        </w:rPr>
        <w:t xml:space="preserve"> </w:t>
      </w:r>
      <w:r w:rsidR="00E144D7">
        <w:rPr>
          <w:rFonts w:ascii="Times New Roman" w:hAnsi="Times New Roman"/>
          <w:i/>
          <w:sz w:val="24"/>
          <w:szCs w:val="24"/>
        </w:rPr>
        <w:t xml:space="preserve">Amendment </w:t>
      </w:r>
      <w:r w:rsidR="00B33817">
        <w:rPr>
          <w:rFonts w:ascii="Times New Roman" w:hAnsi="Times New Roman"/>
          <w:i/>
          <w:sz w:val="24"/>
          <w:szCs w:val="24"/>
        </w:rPr>
        <w:t>(Drugs)</w:t>
      </w:r>
      <w:r w:rsidRPr="00EF5460">
        <w:rPr>
          <w:rFonts w:ascii="Times New Roman" w:hAnsi="Times New Roman"/>
          <w:i/>
          <w:sz w:val="24"/>
          <w:szCs w:val="24"/>
        </w:rPr>
        <w:t xml:space="preserve"> Regulation 2014 </w:t>
      </w:r>
    </w:p>
    <w:p w:rsidR="00EF5460" w:rsidRDefault="00EF5460" w:rsidP="00EF5460">
      <w:pPr>
        <w:spacing w:after="0" w:line="240" w:lineRule="auto"/>
        <w:jc w:val="center"/>
        <w:rPr>
          <w:rFonts w:ascii="Times New Roman" w:hAnsi="Times New Roman"/>
          <w:sz w:val="24"/>
          <w:szCs w:val="24"/>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Section 5 of the </w:t>
      </w:r>
      <w:r w:rsidRPr="00E81987">
        <w:rPr>
          <w:rFonts w:ascii="Times New Roman" w:eastAsia="Times New Roman" w:hAnsi="Times New Roman"/>
          <w:i/>
          <w:sz w:val="24"/>
          <w:szCs w:val="20"/>
          <w:lang w:eastAsia="en-AU"/>
        </w:rPr>
        <w:t>Criminal Code Act 1995</w:t>
      </w:r>
      <w:r w:rsidRPr="00E81987">
        <w:rPr>
          <w:rFonts w:ascii="Times New Roman" w:eastAsia="Times New Roman" w:hAnsi="Times New Roman"/>
          <w:sz w:val="24"/>
          <w:szCs w:val="20"/>
          <w:lang w:eastAsia="en-AU"/>
        </w:rPr>
        <w:t xml:space="preserve"> (the </w:t>
      </w:r>
      <w:r w:rsidR="00B33817">
        <w:rPr>
          <w:rFonts w:ascii="Times New Roman" w:eastAsia="Times New Roman" w:hAnsi="Times New Roman"/>
          <w:sz w:val="24"/>
          <w:szCs w:val="20"/>
          <w:lang w:eastAsia="en-AU"/>
        </w:rPr>
        <w:t>Code</w:t>
      </w:r>
      <w:r w:rsidRPr="00E81987">
        <w:rPr>
          <w:rFonts w:ascii="Times New Roman" w:eastAsia="Times New Roman" w:hAnsi="Times New Roman"/>
          <w:sz w:val="24"/>
          <w:szCs w:val="20"/>
          <w:lang w:eastAsia="en-AU"/>
        </w:rPr>
        <w:t xml:space="preserve">) provides that the Governor-General may make regulations prescribing matters required or permitted by the </w:t>
      </w:r>
      <w:r w:rsidR="00B33817">
        <w:rPr>
          <w:rFonts w:ascii="Times New Roman" w:eastAsia="Times New Roman" w:hAnsi="Times New Roman"/>
          <w:sz w:val="24"/>
          <w:szCs w:val="20"/>
          <w:lang w:eastAsia="en-AU"/>
        </w:rPr>
        <w:t>Code</w:t>
      </w:r>
      <w:r w:rsidRPr="00E81987">
        <w:rPr>
          <w:rFonts w:ascii="Times New Roman" w:eastAsia="Times New Roman" w:hAnsi="Times New Roman"/>
          <w:sz w:val="24"/>
          <w:szCs w:val="20"/>
          <w:lang w:eastAsia="en-AU"/>
        </w:rPr>
        <w:t xml:space="preserve"> to be prescribed, or prescribing matters necessary or convenient to be prescribed for carrying out or giving effect to the </w:t>
      </w:r>
      <w:r w:rsidR="00B33817">
        <w:rPr>
          <w:rFonts w:ascii="Times New Roman" w:eastAsia="Times New Roman" w:hAnsi="Times New Roman"/>
          <w:sz w:val="24"/>
          <w:szCs w:val="20"/>
          <w:lang w:eastAsia="en-AU"/>
        </w:rPr>
        <w:t>Code.</w:t>
      </w:r>
      <w:r w:rsidRPr="00E81987">
        <w:rPr>
          <w:rFonts w:ascii="Times New Roman" w:eastAsia="Times New Roman" w:hAnsi="Times New Roman"/>
          <w:sz w:val="24"/>
          <w:szCs w:val="20"/>
          <w:lang w:eastAsia="en-AU"/>
        </w:rPr>
        <w:t xml:space="preserve">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Part 9.1 of the </w:t>
      </w:r>
      <w:r w:rsidR="00B33817">
        <w:rPr>
          <w:rFonts w:ascii="Times New Roman" w:eastAsia="Times New Roman" w:hAnsi="Times New Roman"/>
          <w:sz w:val="24"/>
          <w:szCs w:val="20"/>
          <w:lang w:eastAsia="en-AU"/>
        </w:rPr>
        <w:t>Code</w:t>
      </w:r>
      <w:r w:rsidRPr="00E81987">
        <w:rPr>
          <w:rFonts w:ascii="Times New Roman" w:eastAsia="Times New Roman" w:hAnsi="Times New Roman"/>
          <w:sz w:val="24"/>
          <w:szCs w:val="20"/>
          <w:lang w:eastAsia="en-AU"/>
        </w:rPr>
        <w:t xml:space="preserve"> contains Commonwealth serious drug offences.  These offences are divided into two categories. The first category involves ‘controlled’ drugs, plants and precursors, and offences apply to their possession, sale, trafficking and commercial manufacture. The second category involves ‘border controlled’ drugs, plants and precursors and offences apply to their importation and exportation. The Code also prohibits the possession of border controlled substances that have been unlawfully imported or that are reasonably suspected of having been unlawfully imported.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Controlled and border controlled drugs are listed in Schedule 3 and Schedule 4 respectively of the Criminal Code Regulations 2002 (the Regulations).  The schedules also list threshold quantities which are used by law enforcement to determine appropriate charges and by the court to determine penalty levels.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Prior to May 2013, the matters dealt with in Schedules 3 and 4 were set out in Division 314 of the</w:t>
      </w:r>
      <w:r w:rsidR="00B33817">
        <w:rPr>
          <w:rFonts w:ascii="Times New Roman" w:eastAsia="Times New Roman" w:hAnsi="Times New Roman"/>
          <w:sz w:val="24"/>
          <w:szCs w:val="20"/>
          <w:lang w:eastAsia="en-AU"/>
        </w:rPr>
        <w:t xml:space="preserve"> Code</w:t>
      </w:r>
      <w:r w:rsidRPr="00E81987">
        <w:rPr>
          <w:rFonts w:ascii="Times New Roman" w:eastAsia="Times New Roman" w:hAnsi="Times New Roman"/>
          <w:sz w:val="24"/>
          <w:szCs w:val="20"/>
          <w:lang w:eastAsia="en-AU"/>
        </w:rPr>
        <w:t xml:space="preserve">. In May 2013, the list of controlled drugs was moved to Schedule 3.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When the matters dealt with in Schedule 3 were moved from the Code to the Regulations, an error occurred. </w:t>
      </w:r>
      <w:r w:rsidR="00B33817" w:rsidRPr="00B33817">
        <w:rPr>
          <w:rFonts w:ascii="Times New Roman" w:eastAsia="Times New Roman" w:hAnsi="Times New Roman"/>
          <w:sz w:val="24"/>
          <w:szCs w:val="20"/>
          <w:lang w:eastAsia="en-AU"/>
        </w:rPr>
        <w:t>The result is that the trafficable quantity prescribed for 13 controlled drugs differs from the trafficable quantity prescribed in the Code. As a result of the error, some controlled drugs have higher prescribed trafficable quantities than the Code prescribed. Other controlled drugs have lower prescribed trafficable quantities than the Code prescribed.</w:t>
      </w:r>
    </w:p>
    <w:p w:rsidR="00B33817" w:rsidRPr="00E81987" w:rsidRDefault="00B3381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The purpose of the Regulation is to amend the threshold quantities for trafficable amounts of controlled drugs to reflect what was previously</w:t>
      </w:r>
      <w:r w:rsidR="00B33817">
        <w:rPr>
          <w:rFonts w:ascii="Times New Roman" w:eastAsia="Times New Roman" w:hAnsi="Times New Roman"/>
          <w:sz w:val="24"/>
          <w:szCs w:val="20"/>
          <w:lang w:eastAsia="en-AU"/>
        </w:rPr>
        <w:t xml:space="preserve"> prescribed </w:t>
      </w:r>
      <w:r w:rsidRPr="00E81987">
        <w:rPr>
          <w:rFonts w:ascii="Times New Roman" w:eastAsia="Times New Roman" w:hAnsi="Times New Roman"/>
          <w:sz w:val="24"/>
          <w:szCs w:val="20"/>
          <w:lang w:eastAsia="en-AU"/>
        </w:rPr>
        <w:t>in the Code.</w:t>
      </w:r>
    </w:p>
    <w:p w:rsidR="00E81987" w:rsidRPr="00E81987" w:rsidRDefault="00E81987" w:rsidP="00E81987">
      <w:pPr>
        <w:spacing w:after="0" w:line="240" w:lineRule="auto"/>
        <w:rPr>
          <w:rFonts w:ascii="Times New Roman" w:eastAsia="Times New Roman" w:hAnsi="Times New Roman"/>
          <w:sz w:val="24"/>
          <w:szCs w:val="20"/>
          <w:lang w:eastAsia="en-AU"/>
        </w:rPr>
      </w:pPr>
    </w:p>
    <w:p w:rsidR="00B33817" w:rsidRDefault="00B33817">
      <w:pPr>
        <w:rPr>
          <w:rFonts w:ascii="Times New Roman" w:eastAsia="Times New Roman" w:hAnsi="Times New Roman"/>
          <w:sz w:val="24"/>
          <w:szCs w:val="20"/>
          <w:lang w:eastAsia="en-AU"/>
        </w:rPr>
      </w:pPr>
      <w:r>
        <w:rPr>
          <w:rFonts w:ascii="Times New Roman" w:eastAsia="Times New Roman" w:hAnsi="Times New Roman"/>
          <w:sz w:val="24"/>
          <w:szCs w:val="20"/>
          <w:lang w:eastAsia="en-AU"/>
        </w:rPr>
        <w:br w:type="page"/>
      </w:r>
    </w:p>
    <w:p w:rsid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lastRenderedPageBreak/>
        <w:t xml:space="preserve">The </w:t>
      </w:r>
      <w:r w:rsidR="00B33817">
        <w:rPr>
          <w:rFonts w:ascii="Times New Roman" w:eastAsia="Times New Roman" w:hAnsi="Times New Roman"/>
          <w:sz w:val="24"/>
          <w:szCs w:val="20"/>
          <w:lang w:eastAsia="en-AU"/>
        </w:rPr>
        <w:t xml:space="preserve">Regulation </w:t>
      </w:r>
      <w:r w:rsidR="00B33817" w:rsidRPr="00B33817">
        <w:rPr>
          <w:rFonts w:ascii="Times New Roman" w:eastAsia="Times New Roman" w:hAnsi="Times New Roman"/>
          <w:sz w:val="24"/>
          <w:szCs w:val="20"/>
          <w:lang w:eastAsia="en-AU"/>
        </w:rPr>
        <w:t>amend</w:t>
      </w:r>
      <w:r w:rsidR="00B33817">
        <w:rPr>
          <w:rFonts w:ascii="Times New Roman" w:eastAsia="Times New Roman" w:hAnsi="Times New Roman"/>
          <w:sz w:val="24"/>
          <w:szCs w:val="20"/>
          <w:lang w:eastAsia="en-AU"/>
        </w:rPr>
        <w:t>s</w:t>
      </w:r>
      <w:r w:rsidR="00B33817" w:rsidRPr="00B33817">
        <w:rPr>
          <w:rFonts w:ascii="Times New Roman" w:eastAsia="Times New Roman" w:hAnsi="Times New Roman"/>
          <w:sz w:val="24"/>
          <w:szCs w:val="20"/>
          <w:lang w:eastAsia="en-AU"/>
        </w:rPr>
        <w:t xml:space="preserve"> the trafficable quantities of 13 controlled drugs as follows:</w:t>
      </w:r>
    </w:p>
    <w:p w:rsidR="0042542A" w:rsidRDefault="0042542A" w:rsidP="00E81987">
      <w:pPr>
        <w:spacing w:after="0" w:line="240" w:lineRule="auto"/>
        <w:rPr>
          <w:rFonts w:ascii="Times New Roman" w:eastAsia="Times New Roman" w:hAnsi="Times New Roman"/>
          <w:sz w:val="24"/>
          <w:szCs w:val="20"/>
          <w:lang w:eastAsia="en-AU"/>
        </w:rPr>
      </w:pPr>
    </w:p>
    <w:tbl>
      <w:tblPr>
        <w:tblStyle w:val="TableGrid"/>
        <w:tblW w:w="5000" w:type="pct"/>
        <w:tblLook w:val="04A0" w:firstRow="1" w:lastRow="0" w:firstColumn="1" w:lastColumn="0" w:noHBand="0" w:noVBand="1"/>
      </w:tblPr>
      <w:tblGrid>
        <w:gridCol w:w="898"/>
        <w:gridCol w:w="3741"/>
        <w:gridCol w:w="2052"/>
        <w:gridCol w:w="1831"/>
      </w:tblGrid>
      <w:tr w:rsidR="0042542A" w:rsidRPr="0042542A" w:rsidTr="009142AB">
        <w:tc>
          <w:tcPr>
            <w:tcW w:w="527" w:type="pct"/>
          </w:tcPr>
          <w:p w:rsidR="0042542A" w:rsidRPr="0042542A" w:rsidRDefault="0042542A" w:rsidP="0042542A">
            <w:pPr>
              <w:rPr>
                <w:rFonts w:ascii="Times New Roman" w:eastAsia="Times New Roman" w:hAnsi="Times New Roman"/>
                <w:b/>
                <w:sz w:val="24"/>
                <w:szCs w:val="20"/>
                <w:lang w:eastAsia="en-AU"/>
              </w:rPr>
            </w:pPr>
          </w:p>
        </w:tc>
        <w:tc>
          <w:tcPr>
            <w:tcW w:w="2195" w:type="pct"/>
          </w:tcPr>
          <w:p w:rsidR="0042542A" w:rsidRPr="0042542A" w:rsidRDefault="0042542A" w:rsidP="0042542A">
            <w:pPr>
              <w:rPr>
                <w:rFonts w:ascii="Times New Roman" w:eastAsia="Times New Roman" w:hAnsi="Times New Roman"/>
                <w:b/>
                <w:sz w:val="24"/>
                <w:szCs w:val="20"/>
                <w:lang w:eastAsia="en-AU"/>
              </w:rPr>
            </w:pPr>
            <w:r w:rsidRPr="0042542A">
              <w:rPr>
                <w:rFonts w:ascii="Times New Roman" w:eastAsia="Times New Roman" w:hAnsi="Times New Roman"/>
                <w:b/>
                <w:sz w:val="24"/>
                <w:szCs w:val="20"/>
                <w:lang w:eastAsia="en-AU"/>
              </w:rPr>
              <w:t>Name of controlled substance</w:t>
            </w:r>
          </w:p>
        </w:tc>
        <w:tc>
          <w:tcPr>
            <w:tcW w:w="1204" w:type="pct"/>
          </w:tcPr>
          <w:p w:rsidR="0042542A" w:rsidRPr="0042542A" w:rsidRDefault="0042542A" w:rsidP="0042542A">
            <w:pPr>
              <w:rPr>
                <w:rFonts w:ascii="Times New Roman" w:eastAsia="Times New Roman" w:hAnsi="Times New Roman"/>
                <w:b/>
                <w:sz w:val="24"/>
                <w:szCs w:val="20"/>
                <w:lang w:eastAsia="en-AU"/>
              </w:rPr>
            </w:pPr>
            <w:r w:rsidRPr="0042542A">
              <w:rPr>
                <w:rFonts w:ascii="Times New Roman" w:eastAsia="Times New Roman" w:hAnsi="Times New Roman"/>
                <w:b/>
                <w:sz w:val="24"/>
                <w:szCs w:val="20"/>
                <w:lang w:eastAsia="en-AU"/>
              </w:rPr>
              <w:t>Current trafficable quantity</w:t>
            </w:r>
          </w:p>
        </w:tc>
        <w:tc>
          <w:tcPr>
            <w:tcW w:w="1074" w:type="pct"/>
          </w:tcPr>
          <w:p w:rsidR="0042542A" w:rsidRPr="0042542A" w:rsidRDefault="0042542A" w:rsidP="0042542A">
            <w:pPr>
              <w:rPr>
                <w:rFonts w:ascii="Times New Roman" w:eastAsia="Times New Roman" w:hAnsi="Times New Roman"/>
                <w:b/>
                <w:sz w:val="24"/>
                <w:szCs w:val="20"/>
                <w:lang w:eastAsia="en-AU"/>
              </w:rPr>
            </w:pPr>
            <w:r w:rsidRPr="0042542A">
              <w:rPr>
                <w:rFonts w:ascii="Times New Roman" w:eastAsia="Times New Roman" w:hAnsi="Times New Roman"/>
                <w:b/>
                <w:sz w:val="24"/>
                <w:szCs w:val="20"/>
                <w:lang w:eastAsia="en-AU"/>
              </w:rPr>
              <w:t>New trafficable quantity</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Amphetamine</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proofErr w:type="spellStart"/>
            <w:r w:rsidRPr="0042542A">
              <w:rPr>
                <w:rFonts w:ascii="Times New Roman" w:eastAsia="Times New Roman" w:hAnsi="Times New Roman"/>
                <w:sz w:val="24"/>
                <w:szCs w:val="20"/>
                <w:lang w:eastAsia="en-AU"/>
              </w:rPr>
              <w:t>Benzylpiperazine</w:t>
            </w:r>
            <w:proofErr w:type="spellEnd"/>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Cannabis</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125.0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250.0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Cannabis resin</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125.0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proofErr w:type="spellStart"/>
            <w:r w:rsidRPr="0042542A">
              <w:rPr>
                <w:rFonts w:ascii="Times New Roman" w:eastAsia="Times New Roman" w:hAnsi="Times New Roman"/>
                <w:sz w:val="24"/>
                <w:szCs w:val="20"/>
                <w:lang w:eastAsia="en-AU"/>
              </w:rPr>
              <w:t>Gammabutyrolactone</w:t>
            </w:r>
            <w:proofErr w:type="spellEnd"/>
            <w:r w:rsidRPr="0042542A">
              <w:rPr>
                <w:rFonts w:ascii="Times New Roman" w:eastAsia="Times New Roman" w:hAnsi="Times New Roman"/>
                <w:sz w:val="24"/>
                <w:szCs w:val="20"/>
                <w:lang w:eastAsia="en-AU"/>
              </w:rPr>
              <w:t xml:space="preserve"> (</w:t>
            </w:r>
            <w:proofErr w:type="spellStart"/>
            <w:r w:rsidRPr="0042542A">
              <w:rPr>
                <w:rFonts w:ascii="Times New Roman" w:eastAsia="Times New Roman" w:hAnsi="Times New Roman"/>
                <w:sz w:val="24"/>
                <w:szCs w:val="20"/>
                <w:lang w:eastAsia="en-AU"/>
              </w:rPr>
              <w:t>GBL</w:t>
            </w:r>
            <w:proofErr w:type="spellEnd"/>
            <w:r w:rsidRPr="0042542A">
              <w:rPr>
                <w:rFonts w:ascii="Times New Roman" w:eastAsia="Times New Roman" w:hAnsi="Times New Roman"/>
                <w:sz w:val="24"/>
                <w:szCs w:val="20"/>
                <w:lang w:eastAsia="en-AU"/>
              </w:rPr>
              <w:t>)</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0.5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Heroin (diacetylmorphine)</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4-Hydroxybutanoic acid (GHB)</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0.5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Ketamine</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1.0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3.0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Methamphetamine</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proofErr w:type="spellStart"/>
            <w:r w:rsidRPr="0042542A">
              <w:rPr>
                <w:rFonts w:ascii="Times New Roman" w:eastAsia="Times New Roman" w:hAnsi="Times New Roman"/>
                <w:sz w:val="24"/>
                <w:szCs w:val="20"/>
                <w:lang w:eastAsia="en-AU"/>
              </w:rPr>
              <w:t>Methcathinone</w:t>
            </w:r>
            <w:proofErr w:type="spellEnd"/>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3,4-Methylenedioxyamphetamine (MDA)</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0.5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4-Methylmethcathinone (4-MMC)</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0.75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r w:rsidR="0042542A" w:rsidRPr="0042542A" w:rsidTr="009142AB">
        <w:tc>
          <w:tcPr>
            <w:tcW w:w="527" w:type="pct"/>
          </w:tcPr>
          <w:p w:rsidR="00CC61DE" w:rsidRPr="0042542A" w:rsidRDefault="00296C93" w:rsidP="0042542A">
            <w:pPr>
              <w:numPr>
                <w:ilvl w:val="0"/>
                <w:numId w:val="10"/>
              </w:numPr>
              <w:rPr>
                <w:rFonts w:ascii="Times New Roman" w:eastAsia="Times New Roman" w:hAnsi="Times New Roman"/>
                <w:sz w:val="24"/>
                <w:szCs w:val="20"/>
                <w:lang w:eastAsia="en-AU"/>
              </w:rPr>
            </w:pPr>
          </w:p>
        </w:tc>
        <w:tc>
          <w:tcPr>
            <w:tcW w:w="2195"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Tetrahydrocannabinols (THC)</w:t>
            </w:r>
          </w:p>
        </w:tc>
        <w:tc>
          <w:tcPr>
            <w:tcW w:w="120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5.0 grams</w:t>
            </w:r>
          </w:p>
        </w:tc>
        <w:tc>
          <w:tcPr>
            <w:tcW w:w="1074" w:type="pct"/>
          </w:tcPr>
          <w:p w:rsidR="0042542A" w:rsidRPr="0042542A" w:rsidRDefault="0042542A" w:rsidP="0042542A">
            <w:pPr>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2.0 grams</w:t>
            </w:r>
          </w:p>
        </w:tc>
      </w:tr>
    </w:tbl>
    <w:p w:rsidR="0042542A" w:rsidRPr="0042542A" w:rsidRDefault="0042542A" w:rsidP="0042542A">
      <w:pPr>
        <w:spacing w:after="0" w:line="240" w:lineRule="auto"/>
        <w:rPr>
          <w:rFonts w:ascii="Times New Roman" w:eastAsia="Times New Roman" w:hAnsi="Times New Roman"/>
          <w:sz w:val="24"/>
          <w:szCs w:val="20"/>
          <w:lang w:eastAsia="en-AU"/>
        </w:rPr>
      </w:pPr>
    </w:p>
    <w:p w:rsidR="00B33817" w:rsidRDefault="0042542A" w:rsidP="0042542A">
      <w:pPr>
        <w:spacing w:after="0" w:line="240" w:lineRule="auto"/>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 xml:space="preserve">The Australian Federal Police (AFP) and Commonwealth Director of Public Prosecutions (CDPP) have been consulted on this proposal. </w:t>
      </w:r>
    </w:p>
    <w:p w:rsidR="00B33817" w:rsidRDefault="00B33817" w:rsidP="0042542A">
      <w:pPr>
        <w:spacing w:after="0" w:line="240" w:lineRule="auto"/>
        <w:rPr>
          <w:rFonts w:ascii="Times New Roman" w:eastAsia="Times New Roman" w:hAnsi="Times New Roman"/>
          <w:sz w:val="24"/>
          <w:szCs w:val="20"/>
          <w:lang w:eastAsia="en-AU"/>
        </w:rPr>
      </w:pPr>
    </w:p>
    <w:p w:rsidR="0042542A" w:rsidRPr="0042542A" w:rsidRDefault="0042542A" w:rsidP="0042542A">
      <w:pPr>
        <w:spacing w:after="0" w:line="240" w:lineRule="auto"/>
        <w:rPr>
          <w:rFonts w:ascii="Times New Roman" w:eastAsia="Times New Roman" w:hAnsi="Times New Roman"/>
          <w:sz w:val="24"/>
          <w:szCs w:val="20"/>
          <w:lang w:eastAsia="en-AU"/>
        </w:rPr>
      </w:pPr>
      <w:r w:rsidRPr="0042542A">
        <w:rPr>
          <w:rFonts w:ascii="Times New Roman" w:eastAsia="Times New Roman" w:hAnsi="Times New Roman"/>
          <w:sz w:val="24"/>
          <w:szCs w:val="20"/>
          <w:lang w:eastAsia="en-AU"/>
        </w:rPr>
        <w:t xml:space="preserve">The AFP and CDPP have confirmed that </w:t>
      </w:r>
      <w:r w:rsidR="005E6540">
        <w:rPr>
          <w:rFonts w:ascii="Times New Roman" w:eastAsia="Times New Roman" w:hAnsi="Times New Roman"/>
          <w:sz w:val="24"/>
          <w:szCs w:val="20"/>
          <w:lang w:eastAsia="en-AU"/>
        </w:rPr>
        <w:t xml:space="preserve">to the best of their knowledge, </w:t>
      </w:r>
      <w:r w:rsidRPr="0042542A">
        <w:rPr>
          <w:rFonts w:ascii="Times New Roman" w:eastAsia="Times New Roman" w:hAnsi="Times New Roman"/>
          <w:sz w:val="24"/>
          <w:szCs w:val="20"/>
          <w:lang w:eastAsia="en-AU"/>
        </w:rPr>
        <w:t xml:space="preserve">no investigations or prosecutions </w:t>
      </w:r>
      <w:r w:rsidR="005E6540">
        <w:rPr>
          <w:rFonts w:ascii="Times New Roman" w:eastAsia="Times New Roman" w:hAnsi="Times New Roman"/>
          <w:sz w:val="24"/>
          <w:szCs w:val="20"/>
          <w:lang w:eastAsia="en-AU"/>
        </w:rPr>
        <w:t>were affected due the incorrect quantities</w:t>
      </w:r>
      <w:r w:rsidRPr="0042542A">
        <w:rPr>
          <w:rFonts w:ascii="Times New Roman" w:eastAsia="Times New Roman" w:hAnsi="Times New Roman"/>
          <w:sz w:val="24"/>
          <w:szCs w:val="20"/>
          <w:lang w:eastAsia="en-AU"/>
        </w:rPr>
        <w:t xml:space="preserve">. The incorrect quantities were in force from May 2013 to present. The Regulation will not affect past or ongoing investigations or prosecutions. The amendments to the trafficable quantities under the Regulation will commence on the day after it is registered on the Federal Register of Legislative Instruments. </w:t>
      </w:r>
      <w:r w:rsidR="00B33817">
        <w:rPr>
          <w:rFonts w:ascii="Times New Roman" w:eastAsia="Times New Roman" w:hAnsi="Times New Roman"/>
          <w:sz w:val="24"/>
          <w:szCs w:val="20"/>
          <w:lang w:eastAsia="en-AU"/>
        </w:rPr>
        <w:t xml:space="preserve">The Regulation </w:t>
      </w:r>
      <w:r w:rsidRPr="0042542A">
        <w:rPr>
          <w:rFonts w:ascii="Times New Roman" w:eastAsia="Times New Roman" w:hAnsi="Times New Roman"/>
          <w:sz w:val="24"/>
          <w:szCs w:val="20"/>
          <w:lang w:eastAsia="en-AU"/>
        </w:rPr>
        <w:t xml:space="preserve">will only affect investigations or prosecutions </w:t>
      </w:r>
      <w:r w:rsidR="00C927DF">
        <w:rPr>
          <w:rFonts w:ascii="Times New Roman" w:eastAsia="Times New Roman" w:hAnsi="Times New Roman"/>
          <w:sz w:val="24"/>
          <w:szCs w:val="20"/>
          <w:lang w:eastAsia="en-AU"/>
        </w:rPr>
        <w:t xml:space="preserve">for conduct occurring </w:t>
      </w:r>
      <w:r w:rsidR="00B33817">
        <w:rPr>
          <w:rFonts w:ascii="Times New Roman" w:eastAsia="Times New Roman" w:hAnsi="Times New Roman"/>
          <w:sz w:val="24"/>
          <w:szCs w:val="20"/>
          <w:lang w:eastAsia="en-AU"/>
        </w:rPr>
        <w:t xml:space="preserve">after </w:t>
      </w:r>
      <w:r w:rsidR="009F15E4">
        <w:rPr>
          <w:rFonts w:ascii="Times New Roman" w:eastAsia="Times New Roman" w:hAnsi="Times New Roman"/>
          <w:sz w:val="24"/>
          <w:szCs w:val="20"/>
          <w:lang w:eastAsia="en-AU"/>
        </w:rPr>
        <w:t>commencement</w:t>
      </w:r>
      <w:r w:rsidRPr="0042542A">
        <w:rPr>
          <w:rFonts w:ascii="Times New Roman" w:eastAsia="Times New Roman" w:hAnsi="Times New Roman"/>
          <w:sz w:val="24"/>
          <w:szCs w:val="20"/>
          <w:lang w:eastAsia="en-AU"/>
        </w:rPr>
        <w:t xml:space="preserve">.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The Act specifies no conditions that need to be satisfied before the power to make the Regulation may be exercised. </w:t>
      </w:r>
    </w:p>
    <w:p w:rsidR="00E81987" w:rsidRPr="00E81987" w:rsidRDefault="00E81987" w:rsidP="00E81987">
      <w:pPr>
        <w:spacing w:after="0" w:line="240" w:lineRule="auto"/>
        <w:rPr>
          <w:rFonts w:ascii="Times New Roman" w:eastAsia="Times New Roman" w:hAnsi="Times New Roman"/>
          <w:sz w:val="24"/>
          <w:szCs w:val="20"/>
          <w:lang w:eastAsia="en-AU"/>
        </w:rPr>
      </w:pPr>
    </w:p>
    <w:p w:rsidR="00E81987" w:rsidRPr="00E81987" w:rsidRDefault="00E81987" w:rsidP="00E81987">
      <w:pPr>
        <w:spacing w:after="0" w:line="240" w:lineRule="auto"/>
        <w:rPr>
          <w:rFonts w:ascii="Times New Roman" w:eastAsia="Times New Roman" w:hAnsi="Times New Roman"/>
          <w:sz w:val="24"/>
          <w:szCs w:val="20"/>
          <w:lang w:eastAsia="en-AU"/>
        </w:rPr>
      </w:pPr>
      <w:r w:rsidRPr="00E81987">
        <w:rPr>
          <w:rFonts w:ascii="Times New Roman" w:eastAsia="Times New Roman" w:hAnsi="Times New Roman"/>
          <w:sz w:val="24"/>
          <w:szCs w:val="20"/>
          <w:lang w:eastAsia="en-AU"/>
        </w:rPr>
        <w:t xml:space="preserve">The Regulation would be a legislative instrument for the purposes of the </w:t>
      </w:r>
      <w:r w:rsidRPr="00E81987">
        <w:rPr>
          <w:rFonts w:ascii="Times New Roman" w:eastAsia="Times New Roman" w:hAnsi="Times New Roman"/>
          <w:i/>
          <w:sz w:val="24"/>
          <w:szCs w:val="20"/>
          <w:lang w:eastAsia="en-AU"/>
        </w:rPr>
        <w:t>Legislative Instruments Act 2003</w:t>
      </w:r>
      <w:r w:rsidRPr="00E81987">
        <w:rPr>
          <w:rFonts w:ascii="Times New Roman" w:eastAsia="Times New Roman" w:hAnsi="Times New Roman"/>
          <w:sz w:val="24"/>
          <w:szCs w:val="20"/>
          <w:lang w:eastAsia="en-AU"/>
        </w:rPr>
        <w:t>.</w:t>
      </w:r>
    </w:p>
    <w:p w:rsidR="00EF5460" w:rsidRDefault="00EF5460" w:rsidP="00EF5460">
      <w:pPr>
        <w:spacing w:after="0" w:line="240" w:lineRule="auto"/>
        <w:rPr>
          <w:rFonts w:ascii="Times New Roman" w:hAnsi="Times New Roman"/>
          <w:sz w:val="24"/>
          <w:szCs w:val="24"/>
        </w:rPr>
      </w:pPr>
    </w:p>
    <w:p w:rsidR="00EF5460" w:rsidRDefault="00EF5460" w:rsidP="00EF5460">
      <w:pPr>
        <w:spacing w:after="0" w:line="240" w:lineRule="auto"/>
        <w:rPr>
          <w:rFonts w:ascii="Times New Roman" w:hAnsi="Times New Roman"/>
          <w:b/>
          <w:sz w:val="24"/>
          <w:szCs w:val="24"/>
        </w:rPr>
      </w:pPr>
      <w:r>
        <w:rPr>
          <w:rFonts w:ascii="Times New Roman" w:hAnsi="Times New Roman"/>
          <w:b/>
          <w:sz w:val="24"/>
          <w:szCs w:val="24"/>
        </w:rPr>
        <w:t>Statement of Compatibility with Human Rights</w:t>
      </w:r>
    </w:p>
    <w:p w:rsidR="00EF5460" w:rsidRDefault="00EF5460" w:rsidP="00EF5460">
      <w:pPr>
        <w:spacing w:after="0" w:line="240" w:lineRule="auto"/>
        <w:rPr>
          <w:rFonts w:ascii="Times New Roman" w:hAnsi="Times New Roman"/>
          <w:b/>
          <w:sz w:val="24"/>
          <w:szCs w:val="24"/>
        </w:rPr>
      </w:pPr>
    </w:p>
    <w:p w:rsidR="00EF5460" w:rsidRPr="0092514F" w:rsidRDefault="00EF5460" w:rsidP="0092514F">
      <w:pPr>
        <w:spacing w:before="120" w:after="120"/>
        <w:rPr>
          <w:rFonts w:ascii="Times New Roman" w:hAnsi="Times New Roman"/>
          <w:sz w:val="24"/>
          <w:szCs w:val="24"/>
        </w:rPr>
      </w:pPr>
      <w:r>
        <w:rPr>
          <w:rFonts w:ascii="Times New Roman" w:hAnsi="Times New Roman"/>
          <w:sz w:val="24"/>
          <w:szCs w:val="24"/>
        </w:rPr>
        <w:t>This Legislative Instrument does not engage any of the applicable rights or freedoms.</w:t>
      </w:r>
      <w:r w:rsidR="00E370A3">
        <w:rPr>
          <w:rFonts w:ascii="Times New Roman" w:hAnsi="Times New Roman"/>
          <w:sz w:val="24"/>
          <w:szCs w:val="24"/>
        </w:rPr>
        <w:t xml:space="preserve"> </w:t>
      </w:r>
      <w:r w:rsidR="00B33817">
        <w:rPr>
          <w:rFonts w:ascii="Times New Roman" w:hAnsi="Times New Roman"/>
          <w:sz w:val="24"/>
          <w:szCs w:val="24"/>
        </w:rPr>
        <w:t xml:space="preserve">It will not have a retroactive effect. </w:t>
      </w:r>
      <w:r>
        <w:rPr>
          <w:rFonts w:ascii="Times New Roman" w:hAnsi="Times New Roman"/>
          <w:sz w:val="24"/>
          <w:szCs w:val="24"/>
        </w:rPr>
        <w:t>This Legislative Instrument is compatible with human rights as it does not raise any human rights issues.</w:t>
      </w:r>
    </w:p>
    <w:p w:rsidR="00FF45AE" w:rsidRDefault="00FF45AE" w:rsidP="00EF5460">
      <w:pPr>
        <w:spacing w:after="0" w:line="240" w:lineRule="auto"/>
        <w:rPr>
          <w:rFonts w:ascii="Times New Roman" w:hAnsi="Times New Roman"/>
          <w:b/>
          <w:caps/>
          <w:sz w:val="24"/>
          <w:szCs w:val="24"/>
          <w:u w:val="single"/>
        </w:rPr>
      </w:pPr>
    </w:p>
    <w:p w:rsidR="003F1B43" w:rsidRPr="00EF5460" w:rsidRDefault="00296C93">
      <w:pPr>
        <w:rPr>
          <w:rFonts w:ascii="Times New Roman" w:hAnsi="Times New Roman"/>
          <w:sz w:val="24"/>
          <w:szCs w:val="24"/>
          <w:u w:val="single"/>
        </w:rPr>
      </w:pPr>
    </w:p>
    <w:sectPr w:rsidR="003F1B43" w:rsidRPr="00EF5460" w:rsidSect="00B25AE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E1" w:rsidRDefault="00FA43E1">
      <w:pPr>
        <w:spacing w:after="0" w:line="240" w:lineRule="auto"/>
      </w:pPr>
      <w:r>
        <w:separator/>
      </w:r>
    </w:p>
  </w:endnote>
  <w:endnote w:type="continuationSeparator" w:id="0">
    <w:p w:rsidR="00FA43E1" w:rsidRDefault="00FA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38873"/>
      <w:docPartObj>
        <w:docPartGallery w:val="Page Numbers (Bottom of Page)"/>
        <w:docPartUnique/>
      </w:docPartObj>
    </w:sdtPr>
    <w:sdtEndPr>
      <w:rPr>
        <w:noProof/>
      </w:rPr>
    </w:sdtEndPr>
    <w:sdtContent>
      <w:p w:rsidR="00F74DBF" w:rsidRDefault="00731CC2">
        <w:pPr>
          <w:pStyle w:val="Footer"/>
          <w:jc w:val="right"/>
        </w:pPr>
        <w:r>
          <w:fldChar w:fldCharType="begin"/>
        </w:r>
        <w:r>
          <w:instrText xml:space="preserve"> PAGE   \* MERGEFORMAT </w:instrText>
        </w:r>
        <w:r>
          <w:fldChar w:fldCharType="separate"/>
        </w:r>
        <w:r w:rsidR="00296C93">
          <w:rPr>
            <w:noProof/>
          </w:rPr>
          <w:t>1</w:t>
        </w:r>
        <w:r>
          <w:rPr>
            <w:noProof/>
          </w:rPr>
          <w:fldChar w:fldCharType="end"/>
        </w:r>
      </w:p>
    </w:sdtContent>
  </w:sdt>
  <w:p w:rsidR="000D3D2B" w:rsidRDefault="0029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E1" w:rsidRDefault="00FA43E1">
      <w:pPr>
        <w:spacing w:after="0" w:line="240" w:lineRule="auto"/>
      </w:pPr>
      <w:r>
        <w:separator/>
      </w:r>
    </w:p>
  </w:footnote>
  <w:footnote w:type="continuationSeparator" w:id="0">
    <w:p w:rsidR="00FA43E1" w:rsidRDefault="00FA4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B" w:rsidRDefault="00296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F8D"/>
    <w:multiLevelType w:val="hybridMultilevel"/>
    <w:tmpl w:val="83F8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EC0B16"/>
    <w:multiLevelType w:val="hybridMultilevel"/>
    <w:tmpl w:val="DC28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0E02"/>
    <w:multiLevelType w:val="hybridMultilevel"/>
    <w:tmpl w:val="4CF0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07E28"/>
    <w:multiLevelType w:val="hybridMultilevel"/>
    <w:tmpl w:val="11B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5">
    <w:nsid w:val="6DE237C2"/>
    <w:multiLevelType w:val="hybridMultilevel"/>
    <w:tmpl w:val="F8E4E0E4"/>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1C6FF8"/>
    <w:multiLevelType w:val="hybridMultilevel"/>
    <w:tmpl w:val="98D0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4"/>
  </w:num>
  <w:num w:numId="6">
    <w:abstractNumId w:val="1"/>
  </w:num>
  <w:num w:numId="7">
    <w:abstractNumId w:val="4"/>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60"/>
    <w:rsid w:val="000169BE"/>
    <w:rsid w:val="00157151"/>
    <w:rsid w:val="002465F7"/>
    <w:rsid w:val="00296C93"/>
    <w:rsid w:val="0030007D"/>
    <w:rsid w:val="00352C6D"/>
    <w:rsid w:val="0042542A"/>
    <w:rsid w:val="005E6540"/>
    <w:rsid w:val="00616895"/>
    <w:rsid w:val="006C44B9"/>
    <w:rsid w:val="00731CC2"/>
    <w:rsid w:val="007C4558"/>
    <w:rsid w:val="0092514F"/>
    <w:rsid w:val="009343AA"/>
    <w:rsid w:val="00993FB5"/>
    <w:rsid w:val="009F15E4"/>
    <w:rsid w:val="00B33817"/>
    <w:rsid w:val="00C927DF"/>
    <w:rsid w:val="00E144D7"/>
    <w:rsid w:val="00E14C23"/>
    <w:rsid w:val="00E370A3"/>
    <w:rsid w:val="00E81987"/>
    <w:rsid w:val="00EF5460"/>
    <w:rsid w:val="00F318A3"/>
    <w:rsid w:val="00F77264"/>
    <w:rsid w:val="00FA43E1"/>
    <w:rsid w:val="00FF4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60"/>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F5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460"/>
    <w:rPr>
      <w:rFonts w:ascii="Calibri" w:eastAsia="Calibri" w:hAnsi="Calibri" w:cs="Times New Roman"/>
    </w:rPr>
  </w:style>
  <w:style w:type="paragraph" w:customStyle="1" w:styleId="Default">
    <w:name w:val="Default"/>
    <w:rsid w:val="00EF5460"/>
    <w:pPr>
      <w:autoSpaceDE w:val="0"/>
      <w:autoSpaceDN w:val="0"/>
      <w:adjustRightInd w:val="0"/>
      <w:spacing w:after="0" w:line="240" w:lineRule="auto"/>
    </w:pPr>
    <w:rPr>
      <w:rFonts w:ascii="Arial" w:hAnsi="Arial" w:cs="Arial"/>
      <w:color w:val="000000"/>
      <w:sz w:val="24"/>
      <w:szCs w:val="24"/>
    </w:rPr>
  </w:style>
  <w:style w:type="paragraph" w:customStyle="1" w:styleId="Paragraphnumbered">
    <w:name w:val="Paragraph (numbered)"/>
    <w:basedOn w:val="Normal"/>
    <w:uiPriority w:val="99"/>
    <w:rsid w:val="00EF5460"/>
    <w:pPr>
      <w:numPr>
        <w:numId w:val="4"/>
      </w:numPr>
      <w:spacing w:before="240" w:after="0" w:line="240" w:lineRule="auto"/>
    </w:pPr>
    <w:rPr>
      <w:rFonts w:ascii="Times New Roman" w:eastAsia="Times New Roman" w:hAnsi="Times New Roman"/>
      <w:sz w:val="24"/>
      <w:szCs w:val="20"/>
      <w:lang w:eastAsia="en-AU"/>
    </w:rPr>
  </w:style>
  <w:style w:type="character" w:styleId="CommentReference">
    <w:name w:val="annotation reference"/>
    <w:basedOn w:val="DefaultParagraphFont"/>
    <w:uiPriority w:val="99"/>
    <w:semiHidden/>
    <w:unhideWhenUsed/>
    <w:rsid w:val="00FF45AE"/>
    <w:rPr>
      <w:sz w:val="16"/>
      <w:szCs w:val="16"/>
    </w:rPr>
  </w:style>
  <w:style w:type="paragraph" w:styleId="CommentText">
    <w:name w:val="annotation text"/>
    <w:basedOn w:val="Normal"/>
    <w:link w:val="CommentTextChar"/>
    <w:uiPriority w:val="99"/>
    <w:semiHidden/>
    <w:unhideWhenUsed/>
    <w:rsid w:val="00FF45AE"/>
    <w:pPr>
      <w:spacing w:before="240"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semiHidden/>
    <w:rsid w:val="00FF45A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F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A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F45AE"/>
    <w:pPr>
      <w:spacing w:before="0"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FF45AE"/>
    <w:rPr>
      <w:rFonts w:ascii="Calibri" w:eastAsia="Calibri" w:hAnsi="Calibri" w:cs="Times New Roman"/>
      <w:b/>
      <w:bCs/>
      <w:sz w:val="20"/>
      <w:szCs w:val="20"/>
      <w:lang w:eastAsia="en-AU"/>
    </w:rPr>
  </w:style>
  <w:style w:type="table" w:styleId="TableGrid">
    <w:name w:val="Table Grid"/>
    <w:basedOn w:val="TableNormal"/>
    <w:uiPriority w:val="59"/>
    <w:rsid w:val="0042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60"/>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F5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460"/>
    <w:rPr>
      <w:rFonts w:ascii="Calibri" w:eastAsia="Calibri" w:hAnsi="Calibri" w:cs="Times New Roman"/>
    </w:rPr>
  </w:style>
  <w:style w:type="paragraph" w:customStyle="1" w:styleId="Default">
    <w:name w:val="Default"/>
    <w:rsid w:val="00EF5460"/>
    <w:pPr>
      <w:autoSpaceDE w:val="0"/>
      <w:autoSpaceDN w:val="0"/>
      <w:adjustRightInd w:val="0"/>
      <w:spacing w:after="0" w:line="240" w:lineRule="auto"/>
    </w:pPr>
    <w:rPr>
      <w:rFonts w:ascii="Arial" w:hAnsi="Arial" w:cs="Arial"/>
      <w:color w:val="000000"/>
      <w:sz w:val="24"/>
      <w:szCs w:val="24"/>
    </w:rPr>
  </w:style>
  <w:style w:type="paragraph" w:customStyle="1" w:styleId="Paragraphnumbered">
    <w:name w:val="Paragraph (numbered)"/>
    <w:basedOn w:val="Normal"/>
    <w:uiPriority w:val="99"/>
    <w:rsid w:val="00EF5460"/>
    <w:pPr>
      <w:numPr>
        <w:numId w:val="4"/>
      </w:numPr>
      <w:spacing w:before="240" w:after="0" w:line="240" w:lineRule="auto"/>
    </w:pPr>
    <w:rPr>
      <w:rFonts w:ascii="Times New Roman" w:eastAsia="Times New Roman" w:hAnsi="Times New Roman"/>
      <w:sz w:val="24"/>
      <w:szCs w:val="20"/>
      <w:lang w:eastAsia="en-AU"/>
    </w:rPr>
  </w:style>
  <w:style w:type="character" w:styleId="CommentReference">
    <w:name w:val="annotation reference"/>
    <w:basedOn w:val="DefaultParagraphFont"/>
    <w:uiPriority w:val="99"/>
    <w:semiHidden/>
    <w:unhideWhenUsed/>
    <w:rsid w:val="00FF45AE"/>
    <w:rPr>
      <w:sz w:val="16"/>
      <w:szCs w:val="16"/>
    </w:rPr>
  </w:style>
  <w:style w:type="paragraph" w:styleId="CommentText">
    <w:name w:val="annotation text"/>
    <w:basedOn w:val="Normal"/>
    <w:link w:val="CommentTextChar"/>
    <w:uiPriority w:val="99"/>
    <w:semiHidden/>
    <w:unhideWhenUsed/>
    <w:rsid w:val="00FF45AE"/>
    <w:pPr>
      <w:spacing w:before="240"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semiHidden/>
    <w:rsid w:val="00FF45A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F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A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F45AE"/>
    <w:pPr>
      <w:spacing w:before="0"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FF45AE"/>
    <w:rPr>
      <w:rFonts w:ascii="Calibri" w:eastAsia="Calibri" w:hAnsi="Calibri" w:cs="Times New Roman"/>
      <w:b/>
      <w:bCs/>
      <w:sz w:val="20"/>
      <w:szCs w:val="20"/>
      <w:lang w:eastAsia="en-AU"/>
    </w:rPr>
  </w:style>
  <w:style w:type="table" w:styleId="TableGrid">
    <w:name w:val="Table Grid"/>
    <w:basedOn w:val="TableNormal"/>
    <w:uiPriority w:val="59"/>
    <w:rsid w:val="0042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578A-8C70-4E43-A337-9F24622E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sultas</dc:creator>
  <cp:lastModifiedBy>Gibson, Vikki</cp:lastModifiedBy>
  <cp:revision>3</cp:revision>
  <dcterms:created xsi:type="dcterms:W3CDTF">2014-08-04T03:25:00Z</dcterms:created>
  <dcterms:modified xsi:type="dcterms:W3CDTF">2014-08-04T03:26:00Z</dcterms:modified>
</cp:coreProperties>
</file>