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6F" w:rsidRPr="00FF0392" w:rsidRDefault="006A406F" w:rsidP="006A406F">
      <w:pPr>
        <w:spacing w:before="120" w:after="240"/>
        <w:jc w:val="center"/>
        <w:rPr>
          <w:rFonts w:ascii="Times New Roman" w:hAnsi="Times New Roman"/>
          <w:b/>
          <w:szCs w:val="24"/>
        </w:rPr>
      </w:pPr>
      <w:r w:rsidRPr="00FF0392">
        <w:rPr>
          <w:rFonts w:ascii="Times New Roman" w:hAnsi="Times New Roman"/>
          <w:b/>
          <w:szCs w:val="24"/>
          <w:u w:val="single"/>
        </w:rPr>
        <w:t>EXPLANATORY STATEMENT</w:t>
      </w:r>
    </w:p>
    <w:p w:rsidR="006A406F" w:rsidRPr="00FF0392" w:rsidRDefault="006A406F" w:rsidP="006A406F">
      <w:pPr>
        <w:spacing w:before="120" w:after="240"/>
        <w:jc w:val="center"/>
        <w:rPr>
          <w:rFonts w:ascii="Times New Roman" w:hAnsi="Times New Roman"/>
          <w:b/>
          <w:szCs w:val="24"/>
          <w:u w:val="single"/>
        </w:rPr>
      </w:pPr>
      <w:r w:rsidRPr="00FF0392">
        <w:rPr>
          <w:rFonts w:ascii="Times New Roman" w:hAnsi="Times New Roman"/>
          <w:b/>
          <w:szCs w:val="24"/>
          <w:u w:val="single"/>
        </w:rPr>
        <w:t xml:space="preserve">Select Legislative Instrument </w:t>
      </w:r>
      <w:r w:rsidR="00C33439">
        <w:rPr>
          <w:rFonts w:ascii="Times New Roman" w:hAnsi="Times New Roman"/>
          <w:b/>
          <w:szCs w:val="24"/>
          <w:u w:val="single"/>
        </w:rPr>
        <w:t>No. 116, 2014</w:t>
      </w:r>
    </w:p>
    <w:p w:rsidR="006A406F" w:rsidRPr="00FF0392" w:rsidRDefault="006A406F" w:rsidP="006A406F">
      <w:pPr>
        <w:spacing w:before="120" w:after="240"/>
        <w:jc w:val="center"/>
        <w:rPr>
          <w:rFonts w:ascii="Times New Roman" w:hAnsi="Times New Roman"/>
          <w:szCs w:val="24"/>
        </w:rPr>
      </w:pPr>
      <w:r w:rsidRPr="00FF0392">
        <w:rPr>
          <w:rFonts w:ascii="Times New Roman" w:hAnsi="Times New Roman"/>
          <w:szCs w:val="24"/>
        </w:rPr>
        <w:t xml:space="preserve">Issued by the authority of the </w:t>
      </w:r>
      <w:r w:rsidR="009C6213" w:rsidRPr="00FF0392">
        <w:rPr>
          <w:rFonts w:ascii="Times New Roman" w:hAnsi="Times New Roman"/>
          <w:szCs w:val="24"/>
        </w:rPr>
        <w:t>Attorney-General</w:t>
      </w:r>
    </w:p>
    <w:p w:rsidR="006A406F" w:rsidRPr="00FF0392" w:rsidRDefault="003203DD" w:rsidP="006A406F">
      <w:pPr>
        <w:spacing w:before="120" w:after="120"/>
        <w:jc w:val="center"/>
        <w:rPr>
          <w:rFonts w:ascii="Times New Roman" w:hAnsi="Times New Roman"/>
          <w:i/>
          <w:szCs w:val="24"/>
        </w:rPr>
      </w:pPr>
      <w:r w:rsidRPr="00FF0392">
        <w:rPr>
          <w:rFonts w:ascii="Times New Roman" w:hAnsi="Times New Roman"/>
          <w:i/>
          <w:szCs w:val="24"/>
        </w:rPr>
        <w:t>Defence (Visiting Forces)</w:t>
      </w:r>
      <w:r w:rsidR="004F6EA9" w:rsidRPr="00FF0392">
        <w:rPr>
          <w:rFonts w:ascii="Times New Roman" w:hAnsi="Times New Roman"/>
          <w:i/>
          <w:szCs w:val="24"/>
        </w:rPr>
        <w:t xml:space="preserve"> Act 196</w:t>
      </w:r>
      <w:r w:rsidRPr="00FF0392">
        <w:rPr>
          <w:rFonts w:ascii="Times New Roman" w:hAnsi="Times New Roman"/>
          <w:i/>
          <w:szCs w:val="24"/>
        </w:rPr>
        <w:t>3</w:t>
      </w:r>
    </w:p>
    <w:p w:rsidR="00FA3017" w:rsidRPr="00FF0392" w:rsidRDefault="00FA3017" w:rsidP="00FA3017">
      <w:pPr>
        <w:tabs>
          <w:tab w:val="left" w:pos="1418"/>
          <w:tab w:val="right" w:pos="9072"/>
        </w:tabs>
        <w:spacing w:line="240" w:lineRule="exact"/>
        <w:ind w:left="1418" w:right="91" w:hanging="1418"/>
        <w:jc w:val="center"/>
        <w:rPr>
          <w:rFonts w:ascii="Times New Roman" w:hAnsi="Times New Roman"/>
          <w:b/>
          <w:i/>
          <w:szCs w:val="24"/>
        </w:rPr>
      </w:pPr>
      <w:r w:rsidRPr="00FF0392">
        <w:rPr>
          <w:rFonts w:ascii="Times New Roman" w:hAnsi="Times New Roman"/>
          <w:b/>
          <w:i/>
          <w:szCs w:val="24"/>
        </w:rPr>
        <w:t>Defence (Visiting Forces) Amendment (Privileges and Immunities) Regulation 2014</w:t>
      </w:r>
    </w:p>
    <w:p w:rsidR="00FA3017" w:rsidRPr="00FF0392" w:rsidRDefault="00FA3017" w:rsidP="00FA3017">
      <w:pPr>
        <w:tabs>
          <w:tab w:val="left" w:pos="1418"/>
          <w:tab w:val="right" w:pos="9072"/>
        </w:tabs>
        <w:spacing w:line="240" w:lineRule="exact"/>
        <w:ind w:right="91"/>
        <w:rPr>
          <w:rFonts w:ascii="Times New Roman" w:hAnsi="Times New Roman"/>
          <w:szCs w:val="24"/>
        </w:rPr>
      </w:pPr>
      <w:r w:rsidRPr="00FF0392">
        <w:rPr>
          <w:rFonts w:ascii="Times New Roman" w:hAnsi="Times New Roman"/>
          <w:szCs w:val="24"/>
        </w:rPr>
        <w:tab/>
      </w:r>
    </w:p>
    <w:p w:rsidR="00FA3017" w:rsidRPr="00FF0392" w:rsidRDefault="00FA3017" w:rsidP="00FA3017">
      <w:pPr>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 xml:space="preserve">Section 30 of the </w:t>
      </w:r>
      <w:r w:rsidRPr="00FF0392">
        <w:rPr>
          <w:rFonts w:ascii="Times New Roman" w:hAnsi="Times New Roman"/>
          <w:i/>
          <w:szCs w:val="24"/>
        </w:rPr>
        <w:t>Defence (Visiti</w:t>
      </w:r>
      <w:bookmarkStart w:id="0" w:name="_GoBack"/>
      <w:bookmarkEnd w:id="0"/>
      <w:r w:rsidRPr="00FF0392">
        <w:rPr>
          <w:rFonts w:ascii="Times New Roman" w:hAnsi="Times New Roman"/>
          <w:i/>
          <w:szCs w:val="24"/>
        </w:rPr>
        <w:t>ng Forces) Act 1963</w:t>
      </w:r>
      <w:r w:rsidRPr="00FF0392">
        <w:rPr>
          <w:rFonts w:ascii="Times New Roman" w:hAnsi="Times New Roman"/>
          <w:szCs w:val="24"/>
        </w:rPr>
        <w:t xml:space="preserve"> (the Act) provides that the Governor</w:t>
      </w:r>
      <w:r w:rsidRPr="00FF0392">
        <w:rPr>
          <w:rFonts w:ascii="Times New Roman" w:hAnsi="Times New Roman"/>
          <w:szCs w:val="24"/>
        </w:rPr>
        <w:noBreakHyphen/>
        <w:t xml:space="preserve">General may make regulations, not inconsistent with the Act, prescribing all matters which by the Act are required or permitted to be prescribed, or which are necessary or convenient to be prescribed for carrying out or giving effect to the Act. </w:t>
      </w:r>
    </w:p>
    <w:p w:rsidR="00FA3017" w:rsidRPr="00FF0392" w:rsidRDefault="00FA3017" w:rsidP="00FA3017">
      <w:pPr>
        <w:tabs>
          <w:tab w:val="left" w:pos="1701"/>
          <w:tab w:val="right" w:pos="9072"/>
        </w:tabs>
        <w:spacing w:line="240" w:lineRule="exact"/>
        <w:ind w:right="91"/>
        <w:rPr>
          <w:rFonts w:ascii="Times New Roman" w:hAnsi="Times New Roman"/>
          <w:szCs w:val="24"/>
        </w:rPr>
      </w:pPr>
    </w:p>
    <w:p w:rsidR="00FA3017" w:rsidRPr="00FF0392" w:rsidRDefault="00FA3017" w:rsidP="00FA3017">
      <w:pPr>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The Act makes provision with respect to Naval, Military and Air Forces of other countries visiting Australia.</w:t>
      </w:r>
    </w:p>
    <w:p w:rsidR="00BE3BB6" w:rsidRPr="00FF0392" w:rsidRDefault="00BE3BB6" w:rsidP="00FA3017">
      <w:pPr>
        <w:tabs>
          <w:tab w:val="left" w:pos="1701"/>
          <w:tab w:val="right" w:pos="9072"/>
        </w:tabs>
        <w:spacing w:line="240" w:lineRule="exact"/>
        <w:ind w:right="91"/>
        <w:rPr>
          <w:rFonts w:ascii="Times New Roman" w:hAnsi="Times New Roman"/>
          <w:szCs w:val="24"/>
        </w:rPr>
      </w:pPr>
    </w:p>
    <w:p w:rsidR="00FA3017" w:rsidRPr="00FF0392" w:rsidRDefault="00FA3017" w:rsidP="00FA3017">
      <w:pPr>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Paragraph 16(2)(b) of the Act provides that regulations may confer on a visiting force, its members, its service tribunals, persons in any way connected with a visiting force or property used or to be used for the purposes of a visiting force any privilege or immunity specified in the regulations, being a privilege or immunity that would be enjoyed by, or would be capable of being conferred on, the force, its members, its service tribunals, such persons or such property if the force were a part of the Defence Force.</w:t>
      </w:r>
    </w:p>
    <w:p w:rsidR="00BE3BB6" w:rsidRPr="00FF0392" w:rsidRDefault="00BE3BB6" w:rsidP="00FA3017">
      <w:pPr>
        <w:keepLines/>
        <w:tabs>
          <w:tab w:val="left" w:pos="1701"/>
          <w:tab w:val="right" w:pos="9072"/>
        </w:tabs>
        <w:spacing w:line="240" w:lineRule="exact"/>
        <w:ind w:right="91"/>
        <w:rPr>
          <w:rFonts w:ascii="Times New Roman" w:hAnsi="Times New Roman"/>
          <w:szCs w:val="24"/>
        </w:rPr>
      </w:pPr>
    </w:p>
    <w:p w:rsidR="00FA3017" w:rsidRPr="00FF0392" w:rsidRDefault="00FA3017" w:rsidP="00FA3017">
      <w:pPr>
        <w:keepLines/>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 xml:space="preserve">Australian and United States (US) officials recently concluded formal negotiations for the </w:t>
      </w:r>
      <w:r w:rsidRPr="00FF0392">
        <w:rPr>
          <w:rFonts w:ascii="Times New Roman" w:hAnsi="Times New Roman"/>
          <w:i/>
          <w:szCs w:val="24"/>
        </w:rPr>
        <w:t>Force Posture Agreement between the Government of Australia and the Government of the United States of America</w:t>
      </w:r>
      <w:r w:rsidRPr="00FF0392">
        <w:rPr>
          <w:rFonts w:ascii="Times New Roman" w:hAnsi="Times New Roman"/>
          <w:szCs w:val="24"/>
        </w:rPr>
        <w:t xml:space="preserve"> (the Agreement).</w:t>
      </w:r>
      <w:r w:rsidR="00BE3BB6" w:rsidRPr="00FF0392">
        <w:rPr>
          <w:rFonts w:ascii="Times New Roman" w:hAnsi="Times New Roman"/>
          <w:szCs w:val="24"/>
        </w:rPr>
        <w:t xml:space="preserve"> </w:t>
      </w:r>
      <w:r w:rsidR="00357B3C" w:rsidRPr="00FF0392">
        <w:rPr>
          <w:rFonts w:ascii="Times New Roman" w:hAnsi="Times New Roman"/>
          <w:szCs w:val="24"/>
        </w:rPr>
        <w:t xml:space="preserve"> </w:t>
      </w:r>
      <w:r w:rsidRPr="00FF0392">
        <w:rPr>
          <w:rFonts w:ascii="Times New Roman" w:hAnsi="Times New Roman"/>
          <w:szCs w:val="24"/>
        </w:rPr>
        <w:t xml:space="preserve">First announced in 2011, the force posture initiatives currently comprise annual rotational US Marine Corps (USMC) deployments and enhanced aircraft cooperation activities with the US Air Force (USAF) in northern Australia.  </w:t>
      </w:r>
    </w:p>
    <w:p w:rsidR="00BE3BB6" w:rsidRPr="00FF0392" w:rsidRDefault="00BE3BB6" w:rsidP="00FA3017">
      <w:pPr>
        <w:keepLines/>
        <w:tabs>
          <w:tab w:val="left" w:pos="1701"/>
          <w:tab w:val="right" w:pos="9072"/>
        </w:tabs>
        <w:spacing w:line="240" w:lineRule="exact"/>
        <w:ind w:right="91"/>
        <w:rPr>
          <w:rFonts w:ascii="Times New Roman" w:hAnsi="Times New Roman"/>
          <w:szCs w:val="24"/>
        </w:rPr>
      </w:pPr>
    </w:p>
    <w:p w:rsidR="00FA3017" w:rsidRPr="00FF0392" w:rsidRDefault="00FA3017" w:rsidP="00FA3017">
      <w:pPr>
        <w:keepLines/>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 xml:space="preserve">The Agreement, in addition to the </w:t>
      </w:r>
      <w:r w:rsidRPr="00FF0392">
        <w:rPr>
          <w:rFonts w:ascii="Times New Roman" w:hAnsi="Times New Roman"/>
          <w:i/>
          <w:szCs w:val="24"/>
        </w:rPr>
        <w:t>Agreement between the Government of the Commonwealth of Australia and the Government of the United States of America concerning the Status of United States Forces in Australia</w:t>
      </w:r>
      <w:r w:rsidRPr="00FF0392">
        <w:rPr>
          <w:rFonts w:ascii="Times New Roman" w:hAnsi="Times New Roman"/>
          <w:szCs w:val="24"/>
        </w:rPr>
        <w:t xml:space="preserve"> (US SOFA), and other relevant agreements and arrangements, govern</w:t>
      </w:r>
      <w:r w:rsidR="00FF4442" w:rsidRPr="00FF0392">
        <w:rPr>
          <w:rFonts w:ascii="Times New Roman" w:hAnsi="Times New Roman"/>
          <w:szCs w:val="24"/>
        </w:rPr>
        <w:t>s</w:t>
      </w:r>
      <w:r w:rsidRPr="00FF0392">
        <w:rPr>
          <w:rFonts w:ascii="Times New Roman" w:hAnsi="Times New Roman"/>
          <w:szCs w:val="24"/>
        </w:rPr>
        <w:t xml:space="preserve"> US force posture in</w:t>
      </w:r>
      <w:r w:rsidR="009B155A">
        <w:rPr>
          <w:rFonts w:ascii="Times New Roman" w:hAnsi="Times New Roman"/>
          <w:szCs w:val="24"/>
        </w:rPr>
        <w:t>itiatives in Australia.  The US SOFA is implemented in</w:t>
      </w:r>
      <w:r w:rsidRPr="00FF0392">
        <w:rPr>
          <w:rFonts w:ascii="Times New Roman" w:hAnsi="Times New Roman"/>
          <w:szCs w:val="24"/>
        </w:rPr>
        <w:t xml:space="preserve"> Australian domestic law by the Act and the Defence (Visiting Forces) Regulations 1963 (the Principal Regulations).  </w:t>
      </w:r>
    </w:p>
    <w:p w:rsidR="00064260" w:rsidRPr="00FF0392" w:rsidRDefault="00064260" w:rsidP="00FA3017">
      <w:pPr>
        <w:keepLines/>
        <w:tabs>
          <w:tab w:val="left" w:pos="1701"/>
          <w:tab w:val="right" w:pos="9072"/>
        </w:tabs>
        <w:spacing w:line="240" w:lineRule="exact"/>
        <w:ind w:right="91"/>
        <w:rPr>
          <w:rFonts w:ascii="Times New Roman" w:hAnsi="Times New Roman"/>
          <w:szCs w:val="24"/>
        </w:rPr>
      </w:pPr>
    </w:p>
    <w:p w:rsidR="00FA3017" w:rsidRPr="00FF0392" w:rsidRDefault="00FA3017" w:rsidP="00FA3017">
      <w:pPr>
        <w:keepLines/>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The Defence (Visiting Forces) Amendment (Privileges and Immunities) Regulation 2014 (the Regulation) amend</w:t>
      </w:r>
      <w:r w:rsidR="00064260" w:rsidRPr="00FF0392">
        <w:rPr>
          <w:rFonts w:ascii="Times New Roman" w:hAnsi="Times New Roman"/>
          <w:szCs w:val="24"/>
        </w:rPr>
        <w:t>s</w:t>
      </w:r>
      <w:r w:rsidRPr="00FF0392">
        <w:rPr>
          <w:rFonts w:ascii="Times New Roman" w:hAnsi="Times New Roman"/>
          <w:szCs w:val="24"/>
        </w:rPr>
        <w:t xml:space="preserve"> the Principal Regulation</w:t>
      </w:r>
      <w:r w:rsidR="008A14AF" w:rsidRPr="00FF0392">
        <w:rPr>
          <w:rFonts w:ascii="Times New Roman" w:hAnsi="Times New Roman"/>
          <w:szCs w:val="24"/>
        </w:rPr>
        <w:t>s</w:t>
      </w:r>
      <w:r w:rsidRPr="00FF0392">
        <w:rPr>
          <w:rFonts w:ascii="Times New Roman" w:hAnsi="Times New Roman"/>
          <w:szCs w:val="24"/>
        </w:rPr>
        <w:t xml:space="preserve"> to implement licensing recognitions under the proposed Agreement and address a minor gap in Australia’s obligations arising under the US SOFA. </w:t>
      </w:r>
    </w:p>
    <w:p w:rsidR="00F62E9C" w:rsidRPr="00FF0392" w:rsidRDefault="00F62E9C" w:rsidP="00FA3017">
      <w:pPr>
        <w:keepLines/>
        <w:tabs>
          <w:tab w:val="left" w:pos="1701"/>
          <w:tab w:val="right" w:pos="9072"/>
        </w:tabs>
        <w:spacing w:line="240" w:lineRule="exact"/>
        <w:ind w:right="91"/>
        <w:rPr>
          <w:rFonts w:ascii="Times New Roman" w:hAnsi="Times New Roman"/>
          <w:szCs w:val="24"/>
        </w:rPr>
      </w:pPr>
    </w:p>
    <w:p w:rsidR="00FA3017" w:rsidRPr="00FF0392" w:rsidRDefault="00FA3017" w:rsidP="00FA3017">
      <w:pPr>
        <w:keepLines/>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 xml:space="preserve">The </w:t>
      </w:r>
      <w:r w:rsidR="00F62E9C" w:rsidRPr="00FF0392">
        <w:rPr>
          <w:rFonts w:ascii="Times New Roman" w:hAnsi="Times New Roman"/>
          <w:szCs w:val="24"/>
        </w:rPr>
        <w:t xml:space="preserve">Regulation </w:t>
      </w:r>
      <w:r w:rsidRPr="00FF0392">
        <w:rPr>
          <w:rFonts w:ascii="Times New Roman" w:hAnsi="Times New Roman"/>
          <w:szCs w:val="24"/>
        </w:rPr>
        <w:t>also address</w:t>
      </w:r>
      <w:r w:rsidR="00F62E9C" w:rsidRPr="00FF0392">
        <w:rPr>
          <w:rFonts w:ascii="Times New Roman" w:hAnsi="Times New Roman"/>
          <w:szCs w:val="24"/>
        </w:rPr>
        <w:t>es</w:t>
      </w:r>
      <w:r w:rsidRPr="00FF0392">
        <w:rPr>
          <w:rFonts w:ascii="Times New Roman" w:hAnsi="Times New Roman"/>
          <w:szCs w:val="24"/>
        </w:rPr>
        <w:t xml:space="preserve"> a similar gap in Australia’s obligations under its SOFAs with Papua New Guinea and Singapore.</w:t>
      </w:r>
    </w:p>
    <w:p w:rsidR="00BE3BB6" w:rsidRPr="00FF0392" w:rsidRDefault="00BE3BB6" w:rsidP="00FA3017">
      <w:pPr>
        <w:keepLines/>
        <w:tabs>
          <w:tab w:val="left" w:pos="1701"/>
          <w:tab w:val="right" w:pos="9072"/>
        </w:tabs>
        <w:spacing w:line="240" w:lineRule="exact"/>
        <w:ind w:right="91"/>
        <w:rPr>
          <w:rFonts w:ascii="Times New Roman" w:hAnsi="Times New Roman"/>
          <w:szCs w:val="24"/>
          <w:u w:val="single"/>
        </w:rPr>
      </w:pPr>
    </w:p>
    <w:p w:rsidR="00FA3017" w:rsidRPr="00FF0392" w:rsidRDefault="00FA3017" w:rsidP="00FA3017">
      <w:pPr>
        <w:keepLines/>
        <w:tabs>
          <w:tab w:val="left" w:pos="1701"/>
          <w:tab w:val="right" w:pos="9072"/>
        </w:tabs>
        <w:spacing w:line="240" w:lineRule="exact"/>
        <w:ind w:right="91"/>
        <w:rPr>
          <w:rFonts w:ascii="Times New Roman" w:hAnsi="Times New Roman"/>
          <w:szCs w:val="24"/>
          <w:u w:val="single"/>
        </w:rPr>
      </w:pPr>
      <w:r w:rsidRPr="00FF0392">
        <w:rPr>
          <w:rFonts w:ascii="Times New Roman" w:hAnsi="Times New Roman"/>
          <w:szCs w:val="24"/>
          <w:u w:val="single"/>
        </w:rPr>
        <w:t xml:space="preserve">Part </w:t>
      </w:r>
      <w:r w:rsidR="009664A8" w:rsidRPr="00FF0392">
        <w:rPr>
          <w:rFonts w:ascii="Times New Roman" w:hAnsi="Times New Roman"/>
          <w:szCs w:val="24"/>
          <w:u w:val="single"/>
        </w:rPr>
        <w:t>1</w:t>
      </w:r>
      <w:r w:rsidRPr="00FF0392">
        <w:rPr>
          <w:rFonts w:ascii="Times New Roman" w:hAnsi="Times New Roman"/>
          <w:szCs w:val="24"/>
          <w:u w:val="single"/>
        </w:rPr>
        <w:t xml:space="preserve"> – </w:t>
      </w:r>
      <w:r w:rsidR="00FF0392" w:rsidRPr="00FF0392">
        <w:rPr>
          <w:rFonts w:ascii="Times New Roman" w:hAnsi="Times New Roman"/>
          <w:szCs w:val="24"/>
          <w:u w:val="single"/>
        </w:rPr>
        <w:t>Immunities for members of civilian components of certain visiting forces</w:t>
      </w:r>
    </w:p>
    <w:p w:rsidR="009B155A" w:rsidRDefault="009B155A" w:rsidP="00FA3017">
      <w:pPr>
        <w:keepLines/>
        <w:tabs>
          <w:tab w:val="left" w:pos="1701"/>
          <w:tab w:val="right" w:pos="9072"/>
        </w:tabs>
        <w:spacing w:line="240" w:lineRule="exact"/>
        <w:ind w:right="91"/>
        <w:rPr>
          <w:rFonts w:ascii="Times New Roman" w:hAnsi="Times New Roman"/>
          <w:szCs w:val="24"/>
        </w:rPr>
      </w:pPr>
    </w:p>
    <w:p w:rsidR="00FA3017" w:rsidRPr="00FF0392" w:rsidRDefault="00FA3017" w:rsidP="00FA3017">
      <w:pPr>
        <w:keepLines/>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 xml:space="preserve">Article 14(1) of the US SOFA requires Australian authorities to recognise driving permits and licences issued by US authorities to ‘members of the US Forces or the civilian component’.  Australia’s licensing obligations under the US SOFA </w:t>
      </w:r>
      <w:r w:rsidR="001B25C9" w:rsidRPr="00FF0392">
        <w:rPr>
          <w:rFonts w:ascii="Times New Roman" w:hAnsi="Times New Roman"/>
          <w:szCs w:val="24"/>
        </w:rPr>
        <w:t>was</w:t>
      </w:r>
      <w:r w:rsidRPr="00FF0392">
        <w:rPr>
          <w:rFonts w:ascii="Times New Roman" w:hAnsi="Times New Roman"/>
          <w:szCs w:val="24"/>
        </w:rPr>
        <w:t xml:space="preserve"> implemented domestically by </w:t>
      </w:r>
      <w:r w:rsidR="00F42E77" w:rsidRPr="00FF0392">
        <w:rPr>
          <w:rFonts w:ascii="Times New Roman" w:hAnsi="Times New Roman"/>
          <w:szCs w:val="24"/>
        </w:rPr>
        <w:t xml:space="preserve">the previous </w:t>
      </w:r>
      <w:r w:rsidRPr="00FF0392">
        <w:rPr>
          <w:rFonts w:ascii="Times New Roman" w:hAnsi="Times New Roman"/>
          <w:szCs w:val="24"/>
        </w:rPr>
        <w:t>Regulation 6(2) of the Principal Regulations.  However, due to the definitions of ‘visiting force’ and ‘forces’ in the Act, the</w:t>
      </w:r>
      <w:r w:rsidR="005D61CD" w:rsidRPr="00FF0392">
        <w:rPr>
          <w:rFonts w:ascii="Times New Roman" w:hAnsi="Times New Roman"/>
          <w:szCs w:val="24"/>
        </w:rPr>
        <w:t xml:space="preserve"> previous</w:t>
      </w:r>
      <w:r w:rsidRPr="00FF0392">
        <w:rPr>
          <w:rFonts w:ascii="Times New Roman" w:hAnsi="Times New Roman"/>
          <w:szCs w:val="24"/>
        </w:rPr>
        <w:t xml:space="preserve"> domestic legal framework d</w:t>
      </w:r>
      <w:r w:rsidR="005D61CD" w:rsidRPr="00FF0392">
        <w:rPr>
          <w:rFonts w:ascii="Times New Roman" w:hAnsi="Times New Roman"/>
          <w:szCs w:val="24"/>
        </w:rPr>
        <w:t>id</w:t>
      </w:r>
      <w:r w:rsidRPr="00FF0392">
        <w:rPr>
          <w:rFonts w:ascii="Times New Roman" w:hAnsi="Times New Roman"/>
          <w:szCs w:val="24"/>
        </w:rPr>
        <w:t xml:space="preserve"> not extend to the civilian component of the US visiting force.  The Regulation </w:t>
      </w:r>
      <w:r w:rsidR="00FF0392" w:rsidRPr="00FF0392">
        <w:rPr>
          <w:rFonts w:ascii="Times New Roman" w:hAnsi="Times New Roman"/>
          <w:szCs w:val="24"/>
        </w:rPr>
        <w:t xml:space="preserve">(new </w:t>
      </w:r>
      <w:proofErr w:type="spellStart"/>
      <w:r w:rsidR="00FF0392" w:rsidRPr="00FF0392">
        <w:rPr>
          <w:rFonts w:ascii="Times New Roman" w:hAnsi="Times New Roman"/>
          <w:szCs w:val="24"/>
        </w:rPr>
        <w:t>subregulation</w:t>
      </w:r>
      <w:proofErr w:type="spellEnd"/>
      <w:r w:rsidR="00FF0392" w:rsidRPr="00FF0392">
        <w:rPr>
          <w:rFonts w:ascii="Times New Roman" w:hAnsi="Times New Roman"/>
          <w:szCs w:val="24"/>
        </w:rPr>
        <w:t xml:space="preserve"> 6(3)) </w:t>
      </w:r>
      <w:r w:rsidRPr="00FF0392">
        <w:rPr>
          <w:rFonts w:ascii="Times New Roman" w:hAnsi="Times New Roman"/>
          <w:szCs w:val="24"/>
        </w:rPr>
        <w:t>extend</w:t>
      </w:r>
      <w:r w:rsidR="008E027A" w:rsidRPr="00FF0392">
        <w:rPr>
          <w:rFonts w:ascii="Times New Roman" w:hAnsi="Times New Roman"/>
          <w:szCs w:val="24"/>
        </w:rPr>
        <w:t>s</w:t>
      </w:r>
      <w:r w:rsidRPr="00FF0392">
        <w:rPr>
          <w:rFonts w:ascii="Times New Roman" w:hAnsi="Times New Roman"/>
          <w:szCs w:val="24"/>
        </w:rPr>
        <w:t xml:space="preserve"> the</w:t>
      </w:r>
      <w:r w:rsidR="00101847" w:rsidRPr="00FF0392">
        <w:rPr>
          <w:rFonts w:ascii="Times New Roman" w:hAnsi="Times New Roman"/>
          <w:szCs w:val="24"/>
        </w:rPr>
        <w:t xml:space="preserve"> drivers</w:t>
      </w:r>
      <w:r w:rsidRPr="00FF0392">
        <w:rPr>
          <w:rFonts w:ascii="Times New Roman" w:hAnsi="Times New Roman"/>
          <w:szCs w:val="24"/>
        </w:rPr>
        <w:t xml:space="preserve"> licence recognition to the civilian component of the US visiting force, thus ensuring that Australia’s obligations under the US SOFA is properly implemented.</w:t>
      </w:r>
    </w:p>
    <w:p w:rsidR="008E027A" w:rsidRPr="00FF0392" w:rsidRDefault="008E027A" w:rsidP="00FA3017">
      <w:pPr>
        <w:keepLines/>
        <w:tabs>
          <w:tab w:val="left" w:pos="1701"/>
          <w:tab w:val="right" w:pos="9072"/>
        </w:tabs>
        <w:spacing w:line="240" w:lineRule="exact"/>
        <w:ind w:right="91"/>
        <w:rPr>
          <w:rFonts w:ascii="Times New Roman" w:hAnsi="Times New Roman"/>
          <w:szCs w:val="24"/>
        </w:rPr>
      </w:pPr>
    </w:p>
    <w:p w:rsidR="00FA3017" w:rsidRPr="00FF0392" w:rsidRDefault="00FA3017" w:rsidP="00FA3017">
      <w:pPr>
        <w:keepLines/>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lastRenderedPageBreak/>
        <w:t xml:space="preserve">Similarly, while Australia’s SOFAs with Papua New Guinea and Singapore also extend </w:t>
      </w:r>
      <w:r w:rsidR="00101847" w:rsidRPr="00FF0392">
        <w:rPr>
          <w:rFonts w:ascii="Times New Roman" w:hAnsi="Times New Roman"/>
          <w:szCs w:val="24"/>
        </w:rPr>
        <w:t xml:space="preserve">drivers </w:t>
      </w:r>
      <w:r w:rsidRPr="00FF0392">
        <w:rPr>
          <w:rFonts w:ascii="Times New Roman" w:hAnsi="Times New Roman"/>
          <w:szCs w:val="24"/>
        </w:rPr>
        <w:t>licence recognition to the civilian component of visiting forces from those</w:t>
      </w:r>
      <w:r w:rsidR="008017D0" w:rsidRPr="00FF0392">
        <w:rPr>
          <w:rFonts w:ascii="Times New Roman" w:hAnsi="Times New Roman"/>
          <w:szCs w:val="24"/>
        </w:rPr>
        <w:t xml:space="preserve"> countries, this recognition had</w:t>
      </w:r>
      <w:r w:rsidRPr="00FF0392">
        <w:rPr>
          <w:rFonts w:ascii="Times New Roman" w:hAnsi="Times New Roman"/>
          <w:szCs w:val="24"/>
        </w:rPr>
        <w:t xml:space="preserve"> not been implemented in Australia’s domestic legal framework. </w:t>
      </w:r>
      <w:r w:rsidR="0004525D" w:rsidRPr="00FF0392">
        <w:rPr>
          <w:rFonts w:ascii="Times New Roman" w:hAnsi="Times New Roman"/>
          <w:szCs w:val="24"/>
        </w:rPr>
        <w:t xml:space="preserve"> </w:t>
      </w:r>
      <w:r w:rsidRPr="00FF0392">
        <w:rPr>
          <w:rFonts w:ascii="Times New Roman" w:hAnsi="Times New Roman"/>
          <w:szCs w:val="24"/>
        </w:rPr>
        <w:t xml:space="preserve">The Regulation </w:t>
      </w:r>
      <w:r w:rsidR="00FF0392" w:rsidRPr="00FF0392">
        <w:rPr>
          <w:rFonts w:ascii="Times New Roman" w:hAnsi="Times New Roman"/>
          <w:szCs w:val="24"/>
        </w:rPr>
        <w:t xml:space="preserve">(new </w:t>
      </w:r>
      <w:proofErr w:type="spellStart"/>
      <w:r w:rsidR="00FF0392" w:rsidRPr="00FF0392">
        <w:rPr>
          <w:rFonts w:ascii="Times New Roman" w:hAnsi="Times New Roman"/>
          <w:szCs w:val="24"/>
        </w:rPr>
        <w:t>subregulation</w:t>
      </w:r>
      <w:proofErr w:type="spellEnd"/>
      <w:r w:rsidR="00FF0392" w:rsidRPr="00FF0392">
        <w:rPr>
          <w:rFonts w:ascii="Times New Roman" w:hAnsi="Times New Roman"/>
          <w:szCs w:val="24"/>
        </w:rPr>
        <w:t xml:space="preserve"> 6(3)) extends the drivers licence recognition to the civilian component of Papua New Guinea and Singapore visiting forces, thus ensuring that Australia’s obligations under its SOFAs with Papua New Guinea and Singapore are properly implemented.</w:t>
      </w:r>
    </w:p>
    <w:p w:rsidR="00FF0392" w:rsidRPr="00FF0392" w:rsidRDefault="00FF0392" w:rsidP="00FA3017">
      <w:pPr>
        <w:keepLines/>
        <w:tabs>
          <w:tab w:val="left" w:pos="1701"/>
          <w:tab w:val="right" w:pos="9072"/>
        </w:tabs>
        <w:spacing w:line="240" w:lineRule="exact"/>
        <w:ind w:right="91"/>
        <w:rPr>
          <w:rFonts w:ascii="Times New Roman" w:hAnsi="Times New Roman"/>
          <w:szCs w:val="24"/>
        </w:rPr>
      </w:pPr>
    </w:p>
    <w:p w:rsidR="00FF0392" w:rsidRPr="00FF0392" w:rsidRDefault="00FF0392" w:rsidP="00FA3017">
      <w:pPr>
        <w:keepLines/>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 xml:space="preserve">Part 1 also amends </w:t>
      </w:r>
      <w:proofErr w:type="spellStart"/>
      <w:r w:rsidRPr="00FF0392">
        <w:rPr>
          <w:rFonts w:ascii="Times New Roman" w:hAnsi="Times New Roman"/>
          <w:szCs w:val="24"/>
        </w:rPr>
        <w:t>subregulation</w:t>
      </w:r>
      <w:proofErr w:type="spellEnd"/>
      <w:r w:rsidRPr="00FF0392">
        <w:rPr>
          <w:rFonts w:ascii="Times New Roman" w:hAnsi="Times New Roman"/>
          <w:szCs w:val="24"/>
        </w:rPr>
        <w:t xml:space="preserve"> 6(2) </w:t>
      </w:r>
      <w:r>
        <w:rPr>
          <w:rFonts w:ascii="Times New Roman" w:hAnsi="Times New Roman"/>
          <w:szCs w:val="24"/>
        </w:rPr>
        <w:t xml:space="preserve">with a new </w:t>
      </w:r>
      <w:proofErr w:type="spellStart"/>
      <w:r>
        <w:rPr>
          <w:rFonts w:ascii="Times New Roman" w:hAnsi="Times New Roman"/>
          <w:szCs w:val="24"/>
        </w:rPr>
        <w:t>subregulation</w:t>
      </w:r>
      <w:proofErr w:type="spellEnd"/>
      <w:r>
        <w:rPr>
          <w:rFonts w:ascii="Times New Roman" w:hAnsi="Times New Roman"/>
          <w:szCs w:val="24"/>
        </w:rPr>
        <w:t xml:space="preserve"> to the same effect </w:t>
      </w:r>
      <w:r w:rsidRPr="00FF0392">
        <w:rPr>
          <w:rFonts w:ascii="Times New Roman" w:hAnsi="Times New Roman"/>
          <w:szCs w:val="24"/>
        </w:rPr>
        <w:t xml:space="preserve">so that it is consistent with the language used in the Act and with new </w:t>
      </w:r>
      <w:proofErr w:type="spellStart"/>
      <w:r w:rsidRPr="00FF0392">
        <w:rPr>
          <w:rFonts w:ascii="Times New Roman" w:hAnsi="Times New Roman"/>
          <w:szCs w:val="24"/>
        </w:rPr>
        <w:t>subregulations</w:t>
      </w:r>
      <w:proofErr w:type="spellEnd"/>
      <w:r w:rsidRPr="00FF0392">
        <w:rPr>
          <w:rFonts w:ascii="Times New Roman" w:hAnsi="Times New Roman"/>
          <w:szCs w:val="24"/>
        </w:rPr>
        <w:t xml:space="preserve"> 6(3) to 6(5).  </w:t>
      </w:r>
    </w:p>
    <w:p w:rsidR="0004525D" w:rsidRPr="00FF0392" w:rsidRDefault="0004525D" w:rsidP="00FA3017">
      <w:pPr>
        <w:keepLines/>
        <w:tabs>
          <w:tab w:val="left" w:pos="1701"/>
          <w:tab w:val="right" w:pos="9072"/>
        </w:tabs>
        <w:spacing w:line="240" w:lineRule="exact"/>
        <w:ind w:right="91"/>
        <w:rPr>
          <w:rFonts w:ascii="Times New Roman" w:hAnsi="Times New Roman"/>
          <w:szCs w:val="24"/>
        </w:rPr>
      </w:pPr>
    </w:p>
    <w:p w:rsidR="009664A8" w:rsidRPr="00FF0392" w:rsidRDefault="009664A8" w:rsidP="009664A8">
      <w:pPr>
        <w:keepLines/>
        <w:tabs>
          <w:tab w:val="left" w:pos="1701"/>
          <w:tab w:val="right" w:pos="9072"/>
        </w:tabs>
        <w:spacing w:line="240" w:lineRule="exact"/>
        <w:ind w:right="91"/>
        <w:rPr>
          <w:rFonts w:ascii="Times New Roman" w:hAnsi="Times New Roman"/>
          <w:szCs w:val="24"/>
          <w:u w:val="single"/>
        </w:rPr>
      </w:pPr>
      <w:r w:rsidRPr="00FF0392">
        <w:rPr>
          <w:rFonts w:ascii="Times New Roman" w:hAnsi="Times New Roman"/>
          <w:szCs w:val="24"/>
          <w:u w:val="single"/>
        </w:rPr>
        <w:t xml:space="preserve">Part 2 – </w:t>
      </w:r>
      <w:r w:rsidR="00FF0392" w:rsidRPr="00FF0392">
        <w:rPr>
          <w:rFonts w:ascii="Times New Roman" w:hAnsi="Times New Roman"/>
          <w:szCs w:val="24"/>
          <w:u w:val="single"/>
        </w:rPr>
        <w:t xml:space="preserve">Immunities for use of hired and </w:t>
      </w:r>
      <w:r w:rsidRPr="00FF0392">
        <w:rPr>
          <w:rFonts w:ascii="Times New Roman" w:hAnsi="Times New Roman"/>
          <w:szCs w:val="24"/>
          <w:u w:val="single"/>
        </w:rPr>
        <w:t>leased vehicles</w:t>
      </w:r>
    </w:p>
    <w:p w:rsidR="009B155A" w:rsidRDefault="009B155A" w:rsidP="009664A8">
      <w:pPr>
        <w:keepLines/>
        <w:tabs>
          <w:tab w:val="left" w:pos="1701"/>
          <w:tab w:val="right" w:pos="9072"/>
        </w:tabs>
        <w:spacing w:line="240" w:lineRule="exact"/>
        <w:ind w:right="91"/>
        <w:rPr>
          <w:rFonts w:ascii="Times New Roman" w:hAnsi="Times New Roman"/>
          <w:szCs w:val="24"/>
        </w:rPr>
      </w:pPr>
    </w:p>
    <w:p w:rsidR="009664A8" w:rsidRPr="00FF0392" w:rsidRDefault="009664A8" w:rsidP="009664A8">
      <w:pPr>
        <w:keepLines/>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 xml:space="preserve">Under Article 14 of the US SOFA, Australia accepts as valid a US licence or permit held by members of US forces for the purpose of driving a ‘military vehicle’ in Australia.  Through an immunity conferred on visiting forces pursuant to the previous Regulation 6(2) of the Principal Regulations, members of US forces could drive or operate any vehicle ‘belonging to the US’ without the need for an Australian driver’s licence or relevant permission.  This did not extend to hired or leased vehicles.  </w:t>
      </w:r>
    </w:p>
    <w:p w:rsidR="009664A8" w:rsidRPr="00FF0392" w:rsidRDefault="009664A8" w:rsidP="009664A8">
      <w:pPr>
        <w:keepLines/>
        <w:tabs>
          <w:tab w:val="left" w:pos="1701"/>
          <w:tab w:val="right" w:pos="9072"/>
        </w:tabs>
        <w:spacing w:line="240" w:lineRule="exact"/>
        <w:ind w:right="91"/>
        <w:rPr>
          <w:rFonts w:ascii="Times New Roman" w:hAnsi="Times New Roman"/>
          <w:szCs w:val="24"/>
        </w:rPr>
      </w:pPr>
    </w:p>
    <w:p w:rsidR="009664A8" w:rsidRPr="00FF0392" w:rsidRDefault="009664A8" w:rsidP="009664A8">
      <w:pPr>
        <w:keepLines/>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Given the rotational nature of the US force posture initiatives in northern Australia, the US is likely to make extensive use of hired and leased vehicles for routine transportation.  The Agreement thus extends the recognition of US</w:t>
      </w:r>
      <w:r w:rsidR="009B155A">
        <w:rPr>
          <w:rFonts w:ascii="Times New Roman" w:hAnsi="Times New Roman"/>
          <w:szCs w:val="24"/>
        </w:rPr>
        <w:t xml:space="preserve"> drivers’</w:t>
      </w:r>
      <w:r w:rsidRPr="00FF0392">
        <w:rPr>
          <w:rFonts w:ascii="Times New Roman" w:hAnsi="Times New Roman"/>
          <w:szCs w:val="24"/>
        </w:rPr>
        <w:t xml:space="preserve"> licences to the operation of vehicles on exclusive hire or lease to the US Government by members of the US forces and the civilian component (i.e. US Civilian officials).  The Regulation </w:t>
      </w:r>
      <w:r w:rsidR="00FF0392" w:rsidRPr="00FF0392">
        <w:rPr>
          <w:rFonts w:ascii="Times New Roman" w:hAnsi="Times New Roman"/>
          <w:szCs w:val="24"/>
        </w:rPr>
        <w:t xml:space="preserve">(new </w:t>
      </w:r>
      <w:proofErr w:type="spellStart"/>
      <w:r w:rsidR="00FF0392" w:rsidRPr="00FF0392">
        <w:rPr>
          <w:rFonts w:ascii="Times New Roman" w:hAnsi="Times New Roman"/>
          <w:szCs w:val="24"/>
        </w:rPr>
        <w:t>subregulation</w:t>
      </w:r>
      <w:proofErr w:type="spellEnd"/>
      <w:r w:rsidR="00FF0392" w:rsidRPr="00FF0392">
        <w:rPr>
          <w:rFonts w:ascii="Times New Roman" w:hAnsi="Times New Roman"/>
          <w:szCs w:val="24"/>
        </w:rPr>
        <w:t xml:space="preserve"> 6(4)) </w:t>
      </w:r>
      <w:r w:rsidRPr="00FF0392">
        <w:rPr>
          <w:rFonts w:ascii="Times New Roman" w:hAnsi="Times New Roman"/>
          <w:szCs w:val="24"/>
        </w:rPr>
        <w:t xml:space="preserve">implements this licensing recognition under the Agreement. </w:t>
      </w:r>
    </w:p>
    <w:p w:rsidR="009664A8" w:rsidRPr="00FF0392" w:rsidRDefault="009664A8" w:rsidP="00181A72">
      <w:pPr>
        <w:keepLines/>
        <w:tabs>
          <w:tab w:val="left" w:pos="1701"/>
          <w:tab w:val="right" w:pos="9072"/>
        </w:tabs>
        <w:spacing w:line="240" w:lineRule="exact"/>
        <w:ind w:right="91"/>
        <w:rPr>
          <w:rFonts w:ascii="Times New Roman" w:hAnsi="Times New Roman"/>
          <w:szCs w:val="24"/>
        </w:rPr>
      </w:pPr>
    </w:p>
    <w:p w:rsidR="00190124" w:rsidRPr="00FF0392" w:rsidRDefault="009664A8" w:rsidP="00181A72">
      <w:pPr>
        <w:keepLines/>
        <w:tabs>
          <w:tab w:val="left" w:pos="1701"/>
          <w:tab w:val="right" w:pos="9072"/>
        </w:tabs>
        <w:spacing w:line="240" w:lineRule="exact"/>
        <w:ind w:right="91"/>
        <w:rPr>
          <w:rFonts w:ascii="Times New Roman" w:hAnsi="Times New Roman"/>
          <w:szCs w:val="24"/>
        </w:rPr>
      </w:pPr>
      <w:r w:rsidRPr="00FF0392">
        <w:rPr>
          <w:rFonts w:ascii="Times New Roman" w:hAnsi="Times New Roman"/>
          <w:szCs w:val="24"/>
        </w:rPr>
        <w:t xml:space="preserve">Part 1 of the Regulation commenced on the day after it was registered on the Federal Register of Legislative Instruments.  </w:t>
      </w:r>
      <w:r w:rsidR="00FA3017" w:rsidRPr="00FF0392">
        <w:rPr>
          <w:rFonts w:ascii="Times New Roman" w:hAnsi="Times New Roman"/>
          <w:szCs w:val="24"/>
        </w:rPr>
        <w:t xml:space="preserve">As Part </w:t>
      </w:r>
      <w:r w:rsidRPr="00FF0392">
        <w:rPr>
          <w:rFonts w:ascii="Times New Roman" w:hAnsi="Times New Roman"/>
          <w:szCs w:val="24"/>
        </w:rPr>
        <w:t>2</w:t>
      </w:r>
      <w:r w:rsidR="00FA3017" w:rsidRPr="00FF0392">
        <w:rPr>
          <w:rFonts w:ascii="Times New Roman" w:hAnsi="Times New Roman"/>
          <w:szCs w:val="24"/>
        </w:rPr>
        <w:t xml:space="preserve"> of the Regulation </w:t>
      </w:r>
      <w:r w:rsidR="00924650" w:rsidRPr="00FF0392">
        <w:rPr>
          <w:rFonts w:ascii="Times New Roman" w:hAnsi="Times New Roman"/>
          <w:szCs w:val="24"/>
        </w:rPr>
        <w:t>was</w:t>
      </w:r>
      <w:r w:rsidR="00FA3017" w:rsidRPr="00FF0392">
        <w:rPr>
          <w:rFonts w:ascii="Times New Roman" w:hAnsi="Times New Roman"/>
          <w:szCs w:val="24"/>
        </w:rPr>
        <w:t xml:space="preserve"> made for the purpose of implementing an obligation under the Agreement, it w</w:t>
      </w:r>
      <w:r w:rsidR="0070198E" w:rsidRPr="00FF0392">
        <w:rPr>
          <w:rFonts w:ascii="Times New Roman" w:hAnsi="Times New Roman"/>
          <w:szCs w:val="24"/>
        </w:rPr>
        <w:t>ill</w:t>
      </w:r>
      <w:r w:rsidR="00FA3017" w:rsidRPr="00FF0392">
        <w:rPr>
          <w:rFonts w:ascii="Times New Roman" w:hAnsi="Times New Roman"/>
          <w:szCs w:val="24"/>
        </w:rPr>
        <w:t xml:space="preserve"> commence on the day the Agreement enters into force in Australia (or the day after </w:t>
      </w:r>
      <w:r w:rsidR="00EF4001" w:rsidRPr="00FF0392">
        <w:rPr>
          <w:rFonts w:ascii="Times New Roman" w:hAnsi="Times New Roman"/>
          <w:szCs w:val="24"/>
        </w:rPr>
        <w:t>the Regulation</w:t>
      </w:r>
      <w:r w:rsidR="00FA3017" w:rsidRPr="00FF0392">
        <w:rPr>
          <w:rFonts w:ascii="Times New Roman" w:hAnsi="Times New Roman"/>
          <w:szCs w:val="24"/>
        </w:rPr>
        <w:t xml:space="preserve"> is registered, whichever is later).  </w:t>
      </w:r>
      <w:r w:rsidR="00EF4001" w:rsidRPr="00FF0392">
        <w:rPr>
          <w:rFonts w:ascii="Times New Roman" w:hAnsi="Times New Roman"/>
          <w:szCs w:val="24"/>
        </w:rPr>
        <w:t xml:space="preserve">Once the Agreement enters into force, it will be publicly available on the Australian Treaties Library website.  </w:t>
      </w:r>
    </w:p>
    <w:p w:rsidR="00B947BD" w:rsidRPr="00FF0392" w:rsidRDefault="00B947BD" w:rsidP="0039437D">
      <w:pPr>
        <w:spacing w:before="100" w:beforeAutospacing="1" w:after="100" w:afterAutospacing="1"/>
        <w:ind w:right="91"/>
        <w:rPr>
          <w:rFonts w:ascii="Times New Roman" w:hAnsi="Times New Roman"/>
          <w:szCs w:val="24"/>
        </w:rPr>
      </w:pPr>
      <w:r w:rsidRPr="00FF0392">
        <w:rPr>
          <w:rFonts w:ascii="Times New Roman" w:hAnsi="Times New Roman"/>
          <w:szCs w:val="24"/>
        </w:rPr>
        <w:t xml:space="preserve">Consultation outside the Australian Government was not undertaken for this legislative instrument as it relates to </w:t>
      </w:r>
      <w:r w:rsidR="005C3CDB" w:rsidRPr="00FF0392">
        <w:rPr>
          <w:rFonts w:ascii="Times New Roman" w:hAnsi="Times New Roman"/>
          <w:szCs w:val="24"/>
        </w:rPr>
        <w:t>defence matters</w:t>
      </w:r>
      <w:r w:rsidRPr="00FF0392">
        <w:rPr>
          <w:rFonts w:ascii="Times New Roman" w:hAnsi="Times New Roman"/>
          <w:szCs w:val="24"/>
        </w:rPr>
        <w:t>.</w:t>
      </w:r>
    </w:p>
    <w:p w:rsidR="00740E55" w:rsidRPr="00FF0392" w:rsidRDefault="00740E55" w:rsidP="00740E55">
      <w:pPr>
        <w:spacing w:before="100" w:beforeAutospacing="1" w:after="100" w:afterAutospacing="1"/>
        <w:rPr>
          <w:rFonts w:ascii="Times New Roman" w:hAnsi="Times New Roman"/>
          <w:szCs w:val="24"/>
        </w:rPr>
      </w:pPr>
      <w:r w:rsidRPr="00FF0392">
        <w:rPr>
          <w:rFonts w:ascii="Times New Roman" w:hAnsi="Times New Roman"/>
          <w:szCs w:val="24"/>
        </w:rPr>
        <w:t>The Office of Best Practice Regulation advised that a Regulation Impact Statement was not necessary for any of these amendments.</w:t>
      </w:r>
    </w:p>
    <w:p w:rsidR="00074770" w:rsidRPr="00FF0392" w:rsidRDefault="00B947BD" w:rsidP="006E6B8E">
      <w:pPr>
        <w:spacing w:before="100" w:beforeAutospacing="1" w:after="100" w:afterAutospacing="1"/>
        <w:ind w:right="91"/>
        <w:rPr>
          <w:rFonts w:ascii="Times New Roman" w:hAnsi="Times New Roman"/>
          <w:szCs w:val="24"/>
        </w:rPr>
      </w:pPr>
      <w:r w:rsidRPr="00FF0392">
        <w:rPr>
          <w:rFonts w:ascii="Times New Roman" w:hAnsi="Times New Roman"/>
          <w:szCs w:val="24"/>
        </w:rPr>
        <w:t xml:space="preserve">The </w:t>
      </w:r>
      <w:r w:rsidR="00115385" w:rsidRPr="00FF0392">
        <w:rPr>
          <w:rFonts w:ascii="Times New Roman" w:hAnsi="Times New Roman"/>
          <w:szCs w:val="24"/>
        </w:rPr>
        <w:t>Regulation</w:t>
      </w:r>
      <w:r w:rsidRPr="00FF0392">
        <w:rPr>
          <w:rFonts w:ascii="Times New Roman" w:hAnsi="Times New Roman"/>
          <w:szCs w:val="24"/>
        </w:rPr>
        <w:t xml:space="preserve"> </w:t>
      </w:r>
      <w:r w:rsidR="00115385" w:rsidRPr="00FF0392">
        <w:rPr>
          <w:rFonts w:ascii="Times New Roman" w:hAnsi="Times New Roman"/>
          <w:szCs w:val="24"/>
        </w:rPr>
        <w:t>is</w:t>
      </w:r>
      <w:r w:rsidRPr="00FF0392">
        <w:rPr>
          <w:rFonts w:ascii="Times New Roman" w:hAnsi="Times New Roman"/>
          <w:szCs w:val="24"/>
        </w:rPr>
        <w:t xml:space="preserve"> a legislative instrument for the purposes of the </w:t>
      </w:r>
      <w:r w:rsidRPr="00FF0392">
        <w:rPr>
          <w:rFonts w:ascii="Times New Roman" w:hAnsi="Times New Roman"/>
          <w:i/>
          <w:iCs/>
          <w:szCs w:val="24"/>
        </w:rPr>
        <w:t>Legislative Instruments Act 2003</w:t>
      </w:r>
      <w:r w:rsidRPr="00FF0392">
        <w:rPr>
          <w:rFonts w:ascii="Times New Roman" w:hAnsi="Times New Roman"/>
          <w:szCs w:val="24"/>
        </w:rPr>
        <w:t xml:space="preserve">. </w:t>
      </w:r>
    </w:p>
    <w:p w:rsidR="00422A88" w:rsidRDefault="00422A88">
      <w:pPr>
        <w:spacing w:after="200" w:line="276" w:lineRule="auto"/>
        <w:rPr>
          <w:rFonts w:ascii="Times New Roman" w:hAnsi="Times New Roman"/>
          <w:szCs w:val="24"/>
        </w:rPr>
      </w:pPr>
      <w:r>
        <w:rPr>
          <w:rFonts w:ascii="Times New Roman" w:hAnsi="Times New Roman"/>
          <w:szCs w:val="24"/>
        </w:rPr>
        <w:br w:type="page"/>
      </w:r>
    </w:p>
    <w:p w:rsidR="00422A88" w:rsidRDefault="00422A88" w:rsidP="00422A88">
      <w:pPr>
        <w:jc w:val="center"/>
        <w:rPr>
          <w:rFonts w:ascii="Times New Roman" w:hAnsi="Times New Roman"/>
          <w:szCs w:val="24"/>
        </w:rPr>
      </w:pPr>
      <w:r>
        <w:rPr>
          <w:rFonts w:ascii="Times New Roman" w:hAnsi="Times New Roman"/>
          <w:b/>
          <w:szCs w:val="24"/>
          <w:u w:val="single"/>
        </w:rPr>
        <w:lastRenderedPageBreak/>
        <w:t>STATEMENT OF COMPATIBILITY WITH HUMAN RIGHTS</w:t>
      </w:r>
    </w:p>
    <w:p w:rsidR="00422A88" w:rsidRDefault="00422A88" w:rsidP="00422A88">
      <w:pPr>
        <w:spacing w:before="240" w:after="120"/>
        <w:jc w:val="center"/>
        <w:rPr>
          <w:rFonts w:ascii="Times New Roman" w:hAnsi="Times New Roman"/>
          <w:i/>
          <w:szCs w:val="24"/>
        </w:rPr>
      </w:pPr>
      <w:r>
        <w:rPr>
          <w:rFonts w:ascii="Times New Roman" w:hAnsi="Times New Roman"/>
          <w:i/>
          <w:szCs w:val="24"/>
        </w:rPr>
        <w:t>Prepared in accordance with Part 3 of the Human Rights (Parliamentary Scrutiny) Act 2011</w:t>
      </w:r>
    </w:p>
    <w:p w:rsidR="00422A88" w:rsidRPr="007B2905" w:rsidRDefault="00422A88" w:rsidP="00422A88">
      <w:pPr>
        <w:spacing w:before="240"/>
        <w:ind w:right="-567"/>
        <w:jc w:val="center"/>
        <w:rPr>
          <w:rFonts w:ascii="Times New Roman" w:hAnsi="Times New Roman"/>
          <w:b/>
          <w:i/>
          <w:szCs w:val="24"/>
        </w:rPr>
      </w:pPr>
      <w:r w:rsidRPr="007B2905">
        <w:rPr>
          <w:rFonts w:ascii="Times New Roman" w:hAnsi="Times New Roman"/>
          <w:b/>
          <w:i/>
        </w:rPr>
        <w:t xml:space="preserve">Defence (Visiting Forces) </w:t>
      </w:r>
      <w:r w:rsidRPr="007B2905">
        <w:rPr>
          <w:b/>
          <w:i/>
        </w:rPr>
        <w:t>Amendment (Privileges and Immunities)</w:t>
      </w:r>
      <w:r w:rsidRPr="007B2905">
        <w:rPr>
          <w:i/>
        </w:rPr>
        <w:t xml:space="preserve"> </w:t>
      </w:r>
      <w:r w:rsidRPr="007B2905">
        <w:rPr>
          <w:b/>
          <w:i/>
        </w:rPr>
        <w:t>Regulation 2014</w:t>
      </w:r>
    </w:p>
    <w:p w:rsidR="00422A88" w:rsidRDefault="00422A88" w:rsidP="00422A88">
      <w:pPr>
        <w:spacing w:before="240" w:after="120"/>
        <w:jc w:val="center"/>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22A88" w:rsidRDefault="00422A88" w:rsidP="00422A88">
      <w:pPr>
        <w:rPr>
          <w:rFonts w:ascii="Times New Roman" w:hAnsi="Times New Roman"/>
          <w:b/>
          <w:szCs w:val="24"/>
        </w:rPr>
      </w:pPr>
    </w:p>
    <w:p w:rsidR="00422A88" w:rsidRDefault="00422A88" w:rsidP="00422A88">
      <w:pPr>
        <w:rPr>
          <w:rFonts w:ascii="Times New Roman" w:hAnsi="Times New Roman"/>
          <w:b/>
          <w:szCs w:val="24"/>
        </w:rPr>
      </w:pPr>
      <w:r>
        <w:rPr>
          <w:rFonts w:ascii="Times New Roman" w:hAnsi="Times New Roman"/>
          <w:b/>
          <w:szCs w:val="24"/>
        </w:rPr>
        <w:t>Overview of the Legislative Instrument</w:t>
      </w:r>
    </w:p>
    <w:p w:rsidR="00422A88" w:rsidRDefault="00422A88" w:rsidP="00422A88">
      <w:pPr>
        <w:spacing w:before="240"/>
        <w:ind w:right="-567"/>
        <w:rPr>
          <w:rFonts w:ascii="Times New Roman" w:hAnsi="Times New Roman"/>
          <w:szCs w:val="24"/>
        </w:rPr>
      </w:pPr>
      <w:r>
        <w:rPr>
          <w:rFonts w:ascii="Times New Roman" w:hAnsi="Times New Roman"/>
          <w:szCs w:val="24"/>
        </w:rPr>
        <w:t xml:space="preserve">The </w:t>
      </w:r>
      <w:r w:rsidRPr="00CD7265">
        <w:rPr>
          <w:rFonts w:ascii="Times New Roman" w:hAnsi="Times New Roman"/>
        </w:rPr>
        <w:t xml:space="preserve">Defence (Visiting Forces) </w:t>
      </w:r>
      <w:r w:rsidRPr="00CD7265">
        <w:t xml:space="preserve">Amendment </w:t>
      </w:r>
      <w:r>
        <w:t xml:space="preserve">(Privileges and Immunities) </w:t>
      </w:r>
      <w:r w:rsidRPr="00CD7265">
        <w:t>Regulation 2014</w:t>
      </w:r>
      <w:r>
        <w:rPr>
          <w:rFonts w:ascii="Times New Roman" w:hAnsi="Times New Roman"/>
          <w:b/>
          <w:i/>
          <w:szCs w:val="24"/>
        </w:rPr>
        <w:t xml:space="preserve"> </w:t>
      </w:r>
      <w:r>
        <w:rPr>
          <w:rFonts w:ascii="Times New Roman" w:hAnsi="Times New Roman"/>
          <w:szCs w:val="24"/>
        </w:rPr>
        <w:t xml:space="preserve">(the Regulation) amends the </w:t>
      </w:r>
      <w:r w:rsidRPr="00CD7265">
        <w:rPr>
          <w:rFonts w:ascii="Times New Roman" w:hAnsi="Times New Roman"/>
        </w:rPr>
        <w:t xml:space="preserve">Defence (Visiting Forces) </w:t>
      </w:r>
      <w:r w:rsidRPr="00CD7265">
        <w:t>Regulation</w:t>
      </w:r>
      <w:r>
        <w:t>s 1963</w:t>
      </w:r>
      <w:r w:rsidRPr="00CD7265">
        <w:t xml:space="preserve"> </w:t>
      </w:r>
      <w:r>
        <w:rPr>
          <w:rFonts w:ascii="Times New Roman" w:hAnsi="Times New Roman"/>
          <w:szCs w:val="24"/>
        </w:rPr>
        <w:t xml:space="preserve">(the Principal Regulations) to </w:t>
      </w:r>
      <w:r>
        <w:t xml:space="preserve">implement driver license recognitions under the </w:t>
      </w:r>
      <w:r>
        <w:rPr>
          <w:rFonts w:ascii="Times New Roman" w:hAnsi="Times New Roman"/>
          <w:i/>
          <w:szCs w:val="24"/>
        </w:rPr>
        <w:t>Force Posture Agreement between the Government of Australia and the Government of the United States of America</w:t>
      </w:r>
      <w:r>
        <w:rPr>
          <w:rFonts w:ascii="Times New Roman" w:hAnsi="Times New Roman"/>
          <w:szCs w:val="24"/>
        </w:rPr>
        <w:t xml:space="preserve"> (the Agreement).  The Agreement, in addition to the </w:t>
      </w:r>
      <w:r w:rsidRPr="00FD31B0">
        <w:rPr>
          <w:rFonts w:ascii="Times New Roman" w:hAnsi="Times New Roman"/>
          <w:i/>
          <w:szCs w:val="24"/>
        </w:rPr>
        <w:t>Agreement between the Government of the Commonwealth of Australia and the Government of the United States of America concerning the Status of United States Forces in Australia</w:t>
      </w:r>
      <w:r w:rsidRPr="00FD31B0">
        <w:rPr>
          <w:rFonts w:ascii="Times New Roman" w:hAnsi="Times New Roman"/>
          <w:szCs w:val="24"/>
        </w:rPr>
        <w:t xml:space="preserve"> (US SOFA</w:t>
      </w:r>
      <w:r>
        <w:rPr>
          <w:rFonts w:ascii="Times New Roman" w:hAnsi="Times New Roman"/>
          <w:szCs w:val="24"/>
        </w:rPr>
        <w:t>) and other relevant agreements and arrangements, will govern US force posture initiatives in Australia.</w:t>
      </w:r>
    </w:p>
    <w:p w:rsidR="00422A88" w:rsidRDefault="00422A88" w:rsidP="00422A88"/>
    <w:p w:rsidR="00422A88" w:rsidRDefault="00422A88" w:rsidP="00422A88">
      <w:r>
        <w:t xml:space="preserve">Under Article 14 of the US SOFA, Australia accepts as valid a US drivers licence or permit held by members of US forces for the purpose of driving a ‘military vehicle’ in Australia.  Through an immunity conferred on visiting forces pursuant to the Principal Regulations, members of US forces may drive or operate any vehicle ‘belonging to the US’ without the need for an Australian driver’s licence or relevant permission.  This does not extend to hired or leased vehicles.  </w:t>
      </w:r>
    </w:p>
    <w:p w:rsidR="00422A88" w:rsidRDefault="00422A88" w:rsidP="00422A88"/>
    <w:p w:rsidR="00422A88" w:rsidRDefault="00422A88" w:rsidP="00422A88">
      <w:r>
        <w:t>Given the rotational nature of the US force posture initiatives in northern Australia, the US is likely to make extensive use of hired or leased vehicles.  The Agreement thus extends the recognition of US drivers licences to the operation of vehicles on exclusive hire or lease to the US Government by members of the US forces and the civilian component (i.e. US Civilian officials).  The Regulation implements this licensing recognition under the Agreement.</w:t>
      </w:r>
    </w:p>
    <w:p w:rsidR="00422A88" w:rsidRDefault="00422A88" w:rsidP="00422A88"/>
    <w:p w:rsidR="00422A88" w:rsidRDefault="00422A88" w:rsidP="00422A88">
      <w:r>
        <w:t xml:space="preserve">The Regulation also addresses a minor gap in Australia’s obligations under SOFA agreements with the US, Papua New Guinea and Singapore.  Under Australia’s SOFA agreements with the US, PNG and Singapore, Australia is required to accept as valid a driving licence issued by those countries to members of visiting forces as well as the civilian components attached to a visiting force when they are driving official vehicles.  The domestic implementation of these obligations in the Principal Regulations only extends drivers licence recognition to members of a visiting force, and not to the civilian component attached to that visiting force.  The Regulation would recognise </w:t>
      </w:r>
      <w:proofErr w:type="spellStart"/>
      <w:r>
        <w:t>drivers</w:t>
      </w:r>
      <w:proofErr w:type="spellEnd"/>
      <w:r>
        <w:t xml:space="preserve"> license for civilian components of visiting forces from these countries </w:t>
      </w:r>
      <w:r>
        <w:rPr>
          <w:rFonts w:ascii="Times New Roman" w:hAnsi="Times New Roman"/>
          <w:szCs w:val="24"/>
        </w:rPr>
        <w:t>thus ensuring that Australia’s obligations under its SOFAs with these countries are properly implemented.</w:t>
      </w:r>
    </w:p>
    <w:p w:rsidR="00422A88" w:rsidRDefault="00422A88" w:rsidP="00422A88">
      <w:pPr>
        <w:rPr>
          <w:rFonts w:ascii="Times New Roman" w:hAnsi="Times New Roman"/>
          <w:b/>
          <w:szCs w:val="24"/>
        </w:rPr>
      </w:pPr>
    </w:p>
    <w:p w:rsidR="00422A88" w:rsidRDefault="00422A88" w:rsidP="00422A88">
      <w:pPr>
        <w:rPr>
          <w:rFonts w:ascii="Times New Roman" w:hAnsi="Times New Roman"/>
          <w:b/>
          <w:szCs w:val="24"/>
        </w:rPr>
      </w:pPr>
      <w:r>
        <w:rPr>
          <w:rFonts w:ascii="Times New Roman" w:hAnsi="Times New Roman"/>
          <w:b/>
          <w:szCs w:val="24"/>
        </w:rPr>
        <w:t>Human Rights Implications</w:t>
      </w:r>
    </w:p>
    <w:p w:rsidR="00422A88" w:rsidRDefault="00422A88" w:rsidP="00422A88">
      <w:pPr>
        <w:rPr>
          <w:sz w:val="23"/>
          <w:szCs w:val="23"/>
        </w:rPr>
      </w:pPr>
      <w:r>
        <w:rPr>
          <w:sz w:val="23"/>
          <w:szCs w:val="23"/>
        </w:rPr>
        <w:t xml:space="preserve">This Regulation does not engage any of the applicable rights or freedoms. </w:t>
      </w:r>
    </w:p>
    <w:p w:rsidR="00422A88" w:rsidRDefault="00422A88" w:rsidP="00422A88">
      <w:pPr>
        <w:rPr>
          <w:rFonts w:ascii="Times New Roman" w:hAnsi="Times New Roman"/>
          <w:b/>
          <w:szCs w:val="24"/>
        </w:rPr>
      </w:pPr>
    </w:p>
    <w:p w:rsidR="00422A88" w:rsidRPr="006A4FA8" w:rsidRDefault="00422A88" w:rsidP="00422A88">
      <w:pPr>
        <w:rPr>
          <w:rFonts w:ascii="Times New Roman" w:hAnsi="Times New Roman"/>
          <w:b/>
          <w:szCs w:val="24"/>
        </w:rPr>
      </w:pPr>
      <w:r w:rsidRPr="006A4FA8">
        <w:rPr>
          <w:rFonts w:ascii="Times New Roman" w:hAnsi="Times New Roman"/>
          <w:b/>
          <w:szCs w:val="24"/>
        </w:rPr>
        <w:t>Conclusion</w:t>
      </w:r>
    </w:p>
    <w:p w:rsidR="00422A88" w:rsidRDefault="00422A88" w:rsidP="00422A88">
      <w:pPr>
        <w:spacing w:after="120"/>
        <w:rPr>
          <w:rFonts w:ascii="Times New Roman" w:hAnsi="Times New Roman"/>
          <w:szCs w:val="24"/>
        </w:rPr>
      </w:pPr>
      <w:r>
        <w:rPr>
          <w:rFonts w:ascii="Times New Roman" w:hAnsi="Times New Roman"/>
          <w:szCs w:val="24"/>
        </w:rPr>
        <w:t>This Regulation is compatible with human rights, as it does not raise any human rights issues.</w:t>
      </w:r>
    </w:p>
    <w:p w:rsidR="00422A88" w:rsidRDefault="00422A88" w:rsidP="00422A88">
      <w:pPr>
        <w:spacing w:before="240"/>
        <w:rPr>
          <w:rFonts w:ascii="Times New Roman" w:hAnsi="Times New Roman"/>
          <w:b/>
          <w:bCs/>
          <w:szCs w:val="24"/>
        </w:rPr>
      </w:pPr>
    </w:p>
    <w:p w:rsidR="00422A88" w:rsidRDefault="00422A88" w:rsidP="00422A88">
      <w:pPr>
        <w:spacing w:before="240"/>
        <w:rPr>
          <w:rFonts w:ascii="Times New Roman" w:hAnsi="Times New Roman"/>
          <w:b/>
          <w:bCs/>
          <w:szCs w:val="24"/>
        </w:rPr>
      </w:pPr>
      <w:r>
        <w:rPr>
          <w:rFonts w:ascii="Times New Roman" w:hAnsi="Times New Roman"/>
          <w:b/>
          <w:bCs/>
          <w:szCs w:val="24"/>
        </w:rPr>
        <w:t xml:space="preserve">Senator the Hon George </w:t>
      </w:r>
      <w:proofErr w:type="spellStart"/>
      <w:r>
        <w:rPr>
          <w:rFonts w:ascii="Times New Roman" w:hAnsi="Times New Roman"/>
          <w:b/>
          <w:bCs/>
          <w:szCs w:val="24"/>
        </w:rPr>
        <w:t>Brandis</w:t>
      </w:r>
      <w:proofErr w:type="spellEnd"/>
      <w:r>
        <w:rPr>
          <w:rFonts w:ascii="Times New Roman" w:hAnsi="Times New Roman"/>
          <w:b/>
          <w:bCs/>
          <w:szCs w:val="24"/>
        </w:rPr>
        <w:t xml:space="preserve"> QC</w:t>
      </w:r>
    </w:p>
    <w:p w:rsidR="00422A88" w:rsidRPr="002F1E22" w:rsidRDefault="00422A88" w:rsidP="00422A88">
      <w:pPr>
        <w:rPr>
          <w:rFonts w:ascii="Times New Roman" w:hAnsi="Times New Roman"/>
          <w:szCs w:val="24"/>
        </w:rPr>
      </w:pPr>
      <w:r>
        <w:rPr>
          <w:rFonts w:ascii="Times New Roman" w:hAnsi="Times New Roman"/>
          <w:b/>
          <w:bCs/>
          <w:szCs w:val="24"/>
        </w:rPr>
        <w:t>Attorney-General</w:t>
      </w:r>
    </w:p>
    <w:p w:rsidR="00074770" w:rsidRPr="00FF0392" w:rsidRDefault="00074770">
      <w:pPr>
        <w:spacing w:after="200" w:line="276" w:lineRule="auto"/>
        <w:rPr>
          <w:rFonts w:ascii="Times New Roman" w:hAnsi="Times New Roman"/>
          <w:szCs w:val="24"/>
        </w:rPr>
      </w:pPr>
    </w:p>
    <w:sectPr w:rsidR="00074770" w:rsidRPr="00FF0392" w:rsidSect="00970746">
      <w:headerReference w:type="even" r:id="rId8"/>
      <w:footerReference w:type="default" r:id="rId9"/>
      <w:headerReference w:type="first" r:id="rId10"/>
      <w:pgSz w:w="11880" w:h="16820"/>
      <w:pgMar w:top="1276" w:right="1440" w:bottom="851" w:left="1440" w:header="720" w:footer="527" w:gutter="0"/>
      <w:cols w:space="3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9A" w:rsidRDefault="00352D9A">
      <w:r>
        <w:separator/>
      </w:r>
    </w:p>
  </w:endnote>
  <w:endnote w:type="continuationSeparator" w:id="0">
    <w:p w:rsidR="00352D9A" w:rsidRDefault="0035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D4" w:rsidRDefault="00273D8A">
    <w:pPr>
      <w:pStyle w:val="Footer"/>
      <w:jc w:val="center"/>
    </w:pPr>
    <w:r>
      <w:fldChar w:fldCharType="begin"/>
    </w:r>
    <w:r w:rsidR="005868B0">
      <w:instrText xml:space="preserve"> PAGE   \* MERGEFORMAT </w:instrText>
    </w:r>
    <w:r>
      <w:fldChar w:fldCharType="separate"/>
    </w:r>
    <w:r w:rsidR="00C3343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9A" w:rsidRDefault="00352D9A">
      <w:r>
        <w:separator/>
      </w:r>
    </w:p>
  </w:footnote>
  <w:footnote w:type="continuationSeparator" w:id="0">
    <w:p w:rsidR="00352D9A" w:rsidRDefault="00352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D4" w:rsidRDefault="00273D8A" w:rsidP="00413AD4">
    <w:pPr>
      <w:pStyle w:val="Header"/>
      <w:framePr w:wrap="around" w:vAnchor="text" w:hAnchor="margin" w:xAlign="right" w:y="1"/>
      <w:rPr>
        <w:rStyle w:val="PageNumber"/>
      </w:rPr>
    </w:pPr>
    <w:r>
      <w:rPr>
        <w:rStyle w:val="PageNumber"/>
      </w:rPr>
      <w:fldChar w:fldCharType="begin"/>
    </w:r>
    <w:r w:rsidR="005868B0">
      <w:rPr>
        <w:rStyle w:val="PageNumber"/>
      </w:rPr>
      <w:instrText xml:space="preserve">PAGE  </w:instrText>
    </w:r>
    <w:r>
      <w:rPr>
        <w:rStyle w:val="PageNumber"/>
      </w:rPr>
      <w:fldChar w:fldCharType="end"/>
    </w:r>
  </w:p>
  <w:p w:rsidR="00413AD4" w:rsidRDefault="00C33439" w:rsidP="00413AD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D4" w:rsidRDefault="00C33439" w:rsidP="00413AD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30B"/>
    <w:multiLevelType w:val="hybridMultilevel"/>
    <w:tmpl w:val="DD746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5591A6B"/>
    <w:multiLevelType w:val="hybridMultilevel"/>
    <w:tmpl w:val="53B22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E40F4E"/>
    <w:multiLevelType w:val="hybridMultilevel"/>
    <w:tmpl w:val="874A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FD1948"/>
    <w:multiLevelType w:val="hybridMultilevel"/>
    <w:tmpl w:val="0C3EF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2F3835AA"/>
    <w:multiLevelType w:val="hybridMultilevel"/>
    <w:tmpl w:val="E7149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9F25892"/>
    <w:multiLevelType w:val="hybridMultilevel"/>
    <w:tmpl w:val="2946C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FB60E20"/>
    <w:multiLevelType w:val="hybridMultilevel"/>
    <w:tmpl w:val="CD6638E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19E1737"/>
    <w:multiLevelType w:val="hybridMultilevel"/>
    <w:tmpl w:val="8C60A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A4312E"/>
    <w:multiLevelType w:val="hybridMultilevel"/>
    <w:tmpl w:val="F10C0BF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4"/>
  </w:num>
  <w:num w:numId="6">
    <w:abstractNumId w:val="1"/>
  </w:num>
  <w:num w:numId="7">
    <w:abstractNumId w:val="2"/>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6F"/>
    <w:rsid w:val="00000B48"/>
    <w:rsid w:val="00002088"/>
    <w:rsid w:val="000174E5"/>
    <w:rsid w:val="00024094"/>
    <w:rsid w:val="0004525D"/>
    <w:rsid w:val="000539D8"/>
    <w:rsid w:val="00064260"/>
    <w:rsid w:val="00074770"/>
    <w:rsid w:val="000A7A6B"/>
    <w:rsid w:val="000F5FC1"/>
    <w:rsid w:val="00101847"/>
    <w:rsid w:val="00106DC7"/>
    <w:rsid w:val="00115385"/>
    <w:rsid w:val="0015609D"/>
    <w:rsid w:val="00163D25"/>
    <w:rsid w:val="00181A72"/>
    <w:rsid w:val="00190124"/>
    <w:rsid w:val="001B0965"/>
    <w:rsid w:val="001B25C9"/>
    <w:rsid w:val="001D10FD"/>
    <w:rsid w:val="001F583A"/>
    <w:rsid w:val="00255240"/>
    <w:rsid w:val="00267B6B"/>
    <w:rsid w:val="00273D8A"/>
    <w:rsid w:val="002A63BF"/>
    <w:rsid w:val="002B6A93"/>
    <w:rsid w:val="002D1332"/>
    <w:rsid w:val="002F434B"/>
    <w:rsid w:val="00306EBC"/>
    <w:rsid w:val="003203DD"/>
    <w:rsid w:val="00352D9A"/>
    <w:rsid w:val="00357B3C"/>
    <w:rsid w:val="0039437D"/>
    <w:rsid w:val="003A7FE1"/>
    <w:rsid w:val="003B469D"/>
    <w:rsid w:val="003C0850"/>
    <w:rsid w:val="003E3470"/>
    <w:rsid w:val="003E7545"/>
    <w:rsid w:val="003F2C48"/>
    <w:rsid w:val="00407505"/>
    <w:rsid w:val="00422A88"/>
    <w:rsid w:val="004570D5"/>
    <w:rsid w:val="0046463A"/>
    <w:rsid w:val="004920C7"/>
    <w:rsid w:val="004D795A"/>
    <w:rsid w:val="004E6015"/>
    <w:rsid w:val="004F6EA9"/>
    <w:rsid w:val="00530F19"/>
    <w:rsid w:val="00531218"/>
    <w:rsid w:val="005868B0"/>
    <w:rsid w:val="00586B30"/>
    <w:rsid w:val="005B6D7D"/>
    <w:rsid w:val="005C3CDB"/>
    <w:rsid w:val="005D318A"/>
    <w:rsid w:val="005D4BA4"/>
    <w:rsid w:val="005D61CD"/>
    <w:rsid w:val="00614A38"/>
    <w:rsid w:val="00623512"/>
    <w:rsid w:val="00674F1D"/>
    <w:rsid w:val="006A406F"/>
    <w:rsid w:val="006A4FA8"/>
    <w:rsid w:val="006C7483"/>
    <w:rsid w:val="006E6B8E"/>
    <w:rsid w:val="0070198E"/>
    <w:rsid w:val="0072140C"/>
    <w:rsid w:val="00740E55"/>
    <w:rsid w:val="00750A20"/>
    <w:rsid w:val="00756B32"/>
    <w:rsid w:val="00780D6D"/>
    <w:rsid w:val="007E259E"/>
    <w:rsid w:val="0080029D"/>
    <w:rsid w:val="008017D0"/>
    <w:rsid w:val="0080446A"/>
    <w:rsid w:val="008056C0"/>
    <w:rsid w:val="00811421"/>
    <w:rsid w:val="00813ECE"/>
    <w:rsid w:val="00824290"/>
    <w:rsid w:val="00835874"/>
    <w:rsid w:val="00837045"/>
    <w:rsid w:val="00844A02"/>
    <w:rsid w:val="00861259"/>
    <w:rsid w:val="00867235"/>
    <w:rsid w:val="008A14AF"/>
    <w:rsid w:val="008E027A"/>
    <w:rsid w:val="00915979"/>
    <w:rsid w:val="00924650"/>
    <w:rsid w:val="00955393"/>
    <w:rsid w:val="00960C05"/>
    <w:rsid w:val="009664A8"/>
    <w:rsid w:val="00976F49"/>
    <w:rsid w:val="0098211F"/>
    <w:rsid w:val="00982BC8"/>
    <w:rsid w:val="009B155A"/>
    <w:rsid w:val="009B7810"/>
    <w:rsid w:val="009C6213"/>
    <w:rsid w:val="00A067FC"/>
    <w:rsid w:val="00A11692"/>
    <w:rsid w:val="00A163F6"/>
    <w:rsid w:val="00A32BD3"/>
    <w:rsid w:val="00A35B26"/>
    <w:rsid w:val="00A537F4"/>
    <w:rsid w:val="00A561D5"/>
    <w:rsid w:val="00AA1B24"/>
    <w:rsid w:val="00AC372E"/>
    <w:rsid w:val="00B05F6F"/>
    <w:rsid w:val="00B27C04"/>
    <w:rsid w:val="00B3233C"/>
    <w:rsid w:val="00B51B2D"/>
    <w:rsid w:val="00B841D6"/>
    <w:rsid w:val="00B947BD"/>
    <w:rsid w:val="00BA0B4F"/>
    <w:rsid w:val="00BD02D4"/>
    <w:rsid w:val="00BD538E"/>
    <w:rsid w:val="00BE3BB6"/>
    <w:rsid w:val="00BF1667"/>
    <w:rsid w:val="00BF5113"/>
    <w:rsid w:val="00C212F6"/>
    <w:rsid w:val="00C33439"/>
    <w:rsid w:val="00C60A46"/>
    <w:rsid w:val="00C65ED9"/>
    <w:rsid w:val="00C6738E"/>
    <w:rsid w:val="00CC67BA"/>
    <w:rsid w:val="00CD7265"/>
    <w:rsid w:val="00D05C2F"/>
    <w:rsid w:val="00DB0285"/>
    <w:rsid w:val="00DC0B5A"/>
    <w:rsid w:val="00E14F16"/>
    <w:rsid w:val="00E22AE9"/>
    <w:rsid w:val="00E30A03"/>
    <w:rsid w:val="00E32AFA"/>
    <w:rsid w:val="00E3706F"/>
    <w:rsid w:val="00E41C74"/>
    <w:rsid w:val="00EB24DE"/>
    <w:rsid w:val="00EB3BE0"/>
    <w:rsid w:val="00EE251F"/>
    <w:rsid w:val="00EE6D21"/>
    <w:rsid w:val="00EF4001"/>
    <w:rsid w:val="00F05786"/>
    <w:rsid w:val="00F42E77"/>
    <w:rsid w:val="00F62E24"/>
    <w:rsid w:val="00F62E9C"/>
    <w:rsid w:val="00F974FA"/>
    <w:rsid w:val="00FA3017"/>
    <w:rsid w:val="00FA62DC"/>
    <w:rsid w:val="00FC55DE"/>
    <w:rsid w:val="00FE1B06"/>
    <w:rsid w:val="00FE7E32"/>
    <w:rsid w:val="00FF0392"/>
    <w:rsid w:val="00FF4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F"/>
    <w:pPr>
      <w:spacing w:after="0" w:line="240" w:lineRule="auto"/>
    </w:pPr>
    <w:rPr>
      <w:rFonts w:ascii="New York" w:eastAsia="Times New Roman" w:hAnsi="New York"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406F"/>
    <w:pPr>
      <w:tabs>
        <w:tab w:val="center" w:pos="4500"/>
        <w:tab w:val="right" w:pos="9000"/>
      </w:tabs>
      <w:spacing w:line="260" w:lineRule="atLeast"/>
    </w:pPr>
    <w:rPr>
      <w:rFonts w:ascii="Times" w:hAnsi="Times"/>
      <w:sz w:val="20"/>
    </w:rPr>
  </w:style>
  <w:style w:type="character" w:customStyle="1" w:styleId="HeaderChar">
    <w:name w:val="Header Char"/>
    <w:basedOn w:val="DefaultParagraphFont"/>
    <w:link w:val="Header"/>
    <w:rsid w:val="006A406F"/>
    <w:rPr>
      <w:rFonts w:ascii="Times" w:eastAsia="Times New Roman" w:hAnsi="Times" w:cs="Times New Roman"/>
      <w:sz w:val="20"/>
      <w:szCs w:val="20"/>
      <w:lang w:eastAsia="en-AU"/>
    </w:rPr>
  </w:style>
  <w:style w:type="character" w:styleId="PageNumber">
    <w:name w:val="page number"/>
    <w:basedOn w:val="DefaultParagraphFont"/>
    <w:rsid w:val="006A406F"/>
  </w:style>
  <w:style w:type="paragraph" w:styleId="Footer">
    <w:name w:val="footer"/>
    <w:basedOn w:val="Normal"/>
    <w:link w:val="FooterChar"/>
    <w:rsid w:val="006A406F"/>
    <w:pPr>
      <w:tabs>
        <w:tab w:val="center" w:pos="4153"/>
        <w:tab w:val="right" w:pos="8306"/>
      </w:tabs>
    </w:pPr>
  </w:style>
  <w:style w:type="character" w:customStyle="1" w:styleId="FooterChar">
    <w:name w:val="Footer Char"/>
    <w:basedOn w:val="DefaultParagraphFont"/>
    <w:link w:val="Footer"/>
    <w:rsid w:val="006A406F"/>
    <w:rPr>
      <w:rFonts w:ascii="New York" w:eastAsia="Times New Roman" w:hAnsi="New York" w:cs="Times New Roman"/>
      <w:sz w:val="24"/>
      <w:szCs w:val="20"/>
      <w:lang w:eastAsia="en-AU"/>
    </w:rPr>
  </w:style>
  <w:style w:type="paragraph" w:customStyle="1" w:styleId="Paragraph">
    <w:name w:val="Paragraph"/>
    <w:basedOn w:val="Normal"/>
    <w:rsid w:val="006A406F"/>
    <w:pPr>
      <w:numPr>
        <w:ilvl w:val="12"/>
      </w:numPr>
      <w:spacing w:before="240"/>
    </w:pPr>
    <w:rPr>
      <w:rFonts w:ascii="Times New Roman" w:hAnsi="Times New Roman"/>
      <w:szCs w:val="24"/>
    </w:rPr>
  </w:style>
  <w:style w:type="paragraph" w:styleId="ListParagraph">
    <w:name w:val="List Paragraph"/>
    <w:basedOn w:val="Normal"/>
    <w:uiPriority w:val="34"/>
    <w:qFormat/>
    <w:rsid w:val="008056C0"/>
    <w:pPr>
      <w:ind w:left="720"/>
      <w:contextualSpacing/>
    </w:pPr>
  </w:style>
  <w:style w:type="paragraph" w:styleId="BalloonText">
    <w:name w:val="Balloon Text"/>
    <w:basedOn w:val="Normal"/>
    <w:link w:val="BalloonTextChar"/>
    <w:uiPriority w:val="99"/>
    <w:semiHidden/>
    <w:unhideWhenUsed/>
    <w:rsid w:val="003E3470"/>
    <w:rPr>
      <w:rFonts w:ascii="Tahoma" w:hAnsi="Tahoma" w:cs="Tahoma"/>
      <w:sz w:val="16"/>
      <w:szCs w:val="16"/>
    </w:rPr>
  </w:style>
  <w:style w:type="character" w:customStyle="1" w:styleId="BalloonTextChar">
    <w:name w:val="Balloon Text Char"/>
    <w:basedOn w:val="DefaultParagraphFont"/>
    <w:link w:val="BalloonText"/>
    <w:uiPriority w:val="99"/>
    <w:semiHidden/>
    <w:rsid w:val="003E3470"/>
    <w:rPr>
      <w:rFonts w:ascii="Tahoma" w:eastAsia="Times New Roman" w:hAnsi="Tahoma" w:cs="Tahoma"/>
      <w:sz w:val="16"/>
      <w:szCs w:val="16"/>
      <w:lang w:eastAsia="en-AU"/>
    </w:rPr>
  </w:style>
  <w:style w:type="paragraph" w:customStyle="1" w:styleId="Default">
    <w:name w:val="Default"/>
    <w:rsid w:val="006A4FA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F"/>
    <w:pPr>
      <w:spacing w:after="0" w:line="240" w:lineRule="auto"/>
    </w:pPr>
    <w:rPr>
      <w:rFonts w:ascii="New York" w:eastAsia="Times New Roman" w:hAnsi="New York"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406F"/>
    <w:pPr>
      <w:tabs>
        <w:tab w:val="center" w:pos="4500"/>
        <w:tab w:val="right" w:pos="9000"/>
      </w:tabs>
      <w:spacing w:line="260" w:lineRule="atLeast"/>
    </w:pPr>
    <w:rPr>
      <w:rFonts w:ascii="Times" w:hAnsi="Times"/>
      <w:sz w:val="20"/>
    </w:rPr>
  </w:style>
  <w:style w:type="character" w:customStyle="1" w:styleId="HeaderChar">
    <w:name w:val="Header Char"/>
    <w:basedOn w:val="DefaultParagraphFont"/>
    <w:link w:val="Header"/>
    <w:rsid w:val="006A406F"/>
    <w:rPr>
      <w:rFonts w:ascii="Times" w:eastAsia="Times New Roman" w:hAnsi="Times" w:cs="Times New Roman"/>
      <w:sz w:val="20"/>
      <w:szCs w:val="20"/>
      <w:lang w:eastAsia="en-AU"/>
    </w:rPr>
  </w:style>
  <w:style w:type="character" w:styleId="PageNumber">
    <w:name w:val="page number"/>
    <w:basedOn w:val="DefaultParagraphFont"/>
    <w:rsid w:val="006A406F"/>
  </w:style>
  <w:style w:type="paragraph" w:styleId="Footer">
    <w:name w:val="footer"/>
    <w:basedOn w:val="Normal"/>
    <w:link w:val="FooterChar"/>
    <w:rsid w:val="006A406F"/>
    <w:pPr>
      <w:tabs>
        <w:tab w:val="center" w:pos="4153"/>
        <w:tab w:val="right" w:pos="8306"/>
      </w:tabs>
    </w:pPr>
  </w:style>
  <w:style w:type="character" w:customStyle="1" w:styleId="FooterChar">
    <w:name w:val="Footer Char"/>
    <w:basedOn w:val="DefaultParagraphFont"/>
    <w:link w:val="Footer"/>
    <w:rsid w:val="006A406F"/>
    <w:rPr>
      <w:rFonts w:ascii="New York" w:eastAsia="Times New Roman" w:hAnsi="New York" w:cs="Times New Roman"/>
      <w:sz w:val="24"/>
      <w:szCs w:val="20"/>
      <w:lang w:eastAsia="en-AU"/>
    </w:rPr>
  </w:style>
  <w:style w:type="paragraph" w:customStyle="1" w:styleId="Paragraph">
    <w:name w:val="Paragraph"/>
    <w:basedOn w:val="Normal"/>
    <w:rsid w:val="006A406F"/>
    <w:pPr>
      <w:numPr>
        <w:ilvl w:val="12"/>
      </w:numPr>
      <w:spacing w:before="240"/>
    </w:pPr>
    <w:rPr>
      <w:rFonts w:ascii="Times New Roman" w:hAnsi="Times New Roman"/>
      <w:szCs w:val="24"/>
    </w:rPr>
  </w:style>
  <w:style w:type="paragraph" w:styleId="ListParagraph">
    <w:name w:val="List Paragraph"/>
    <w:basedOn w:val="Normal"/>
    <w:uiPriority w:val="34"/>
    <w:qFormat/>
    <w:rsid w:val="008056C0"/>
    <w:pPr>
      <w:ind w:left="720"/>
      <w:contextualSpacing/>
    </w:pPr>
  </w:style>
  <w:style w:type="paragraph" w:styleId="BalloonText">
    <w:name w:val="Balloon Text"/>
    <w:basedOn w:val="Normal"/>
    <w:link w:val="BalloonTextChar"/>
    <w:uiPriority w:val="99"/>
    <w:semiHidden/>
    <w:unhideWhenUsed/>
    <w:rsid w:val="003E3470"/>
    <w:rPr>
      <w:rFonts w:ascii="Tahoma" w:hAnsi="Tahoma" w:cs="Tahoma"/>
      <w:sz w:val="16"/>
      <w:szCs w:val="16"/>
    </w:rPr>
  </w:style>
  <w:style w:type="character" w:customStyle="1" w:styleId="BalloonTextChar">
    <w:name w:val="Balloon Text Char"/>
    <w:basedOn w:val="DefaultParagraphFont"/>
    <w:link w:val="BalloonText"/>
    <w:uiPriority w:val="99"/>
    <w:semiHidden/>
    <w:rsid w:val="003E3470"/>
    <w:rPr>
      <w:rFonts w:ascii="Tahoma" w:eastAsia="Times New Roman" w:hAnsi="Tahoma" w:cs="Tahoma"/>
      <w:sz w:val="16"/>
      <w:szCs w:val="16"/>
      <w:lang w:eastAsia="en-AU"/>
    </w:rPr>
  </w:style>
  <w:style w:type="paragraph" w:customStyle="1" w:styleId="Default">
    <w:name w:val="Default"/>
    <w:rsid w:val="006A4F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4983">
      <w:bodyDiv w:val="1"/>
      <w:marLeft w:val="0"/>
      <w:marRight w:val="0"/>
      <w:marTop w:val="0"/>
      <w:marBottom w:val="0"/>
      <w:divBdr>
        <w:top w:val="none" w:sz="0" w:space="0" w:color="auto"/>
        <w:left w:val="none" w:sz="0" w:space="0" w:color="auto"/>
        <w:bottom w:val="none" w:sz="0" w:space="0" w:color="auto"/>
        <w:right w:val="none" w:sz="0" w:space="0" w:color="auto"/>
      </w:divBdr>
    </w:div>
    <w:div w:id="948508517">
      <w:bodyDiv w:val="1"/>
      <w:marLeft w:val="0"/>
      <w:marRight w:val="0"/>
      <w:marTop w:val="0"/>
      <w:marBottom w:val="0"/>
      <w:divBdr>
        <w:top w:val="none" w:sz="0" w:space="0" w:color="auto"/>
        <w:left w:val="none" w:sz="0" w:space="0" w:color="auto"/>
        <w:bottom w:val="none" w:sz="0" w:space="0" w:color="auto"/>
        <w:right w:val="none" w:sz="0" w:space="0" w:color="auto"/>
      </w:divBdr>
      <w:divsChild>
        <w:div w:id="289552269">
          <w:marLeft w:val="0"/>
          <w:marRight w:val="0"/>
          <w:marTop w:val="0"/>
          <w:marBottom w:val="0"/>
          <w:divBdr>
            <w:top w:val="none" w:sz="0" w:space="0" w:color="auto"/>
            <w:left w:val="none" w:sz="0" w:space="0" w:color="auto"/>
            <w:bottom w:val="none" w:sz="0" w:space="0" w:color="auto"/>
            <w:right w:val="none" w:sz="0" w:space="0" w:color="auto"/>
          </w:divBdr>
          <w:divsChild>
            <w:div w:id="1946112426">
              <w:marLeft w:val="0"/>
              <w:marRight w:val="0"/>
              <w:marTop w:val="0"/>
              <w:marBottom w:val="0"/>
              <w:divBdr>
                <w:top w:val="none" w:sz="0" w:space="0" w:color="auto"/>
                <w:left w:val="none" w:sz="0" w:space="0" w:color="auto"/>
                <w:bottom w:val="none" w:sz="0" w:space="0" w:color="auto"/>
                <w:right w:val="none" w:sz="0" w:space="0" w:color="auto"/>
              </w:divBdr>
              <w:divsChild>
                <w:div w:id="79371442">
                  <w:marLeft w:val="0"/>
                  <w:marRight w:val="0"/>
                  <w:marTop w:val="0"/>
                  <w:marBottom w:val="0"/>
                  <w:divBdr>
                    <w:top w:val="none" w:sz="0" w:space="0" w:color="auto"/>
                    <w:left w:val="none" w:sz="0" w:space="0" w:color="auto"/>
                    <w:bottom w:val="none" w:sz="0" w:space="0" w:color="auto"/>
                    <w:right w:val="none" w:sz="0" w:space="0" w:color="auto"/>
                  </w:divBdr>
                  <w:divsChild>
                    <w:div w:id="244001712">
                      <w:marLeft w:val="0"/>
                      <w:marRight w:val="0"/>
                      <w:marTop w:val="0"/>
                      <w:marBottom w:val="0"/>
                      <w:divBdr>
                        <w:top w:val="none" w:sz="0" w:space="0" w:color="auto"/>
                        <w:left w:val="none" w:sz="0" w:space="0" w:color="auto"/>
                        <w:bottom w:val="none" w:sz="0" w:space="0" w:color="auto"/>
                        <w:right w:val="none" w:sz="0" w:space="0" w:color="auto"/>
                      </w:divBdr>
                      <w:divsChild>
                        <w:div w:id="601649160">
                          <w:marLeft w:val="0"/>
                          <w:marRight w:val="0"/>
                          <w:marTop w:val="0"/>
                          <w:marBottom w:val="0"/>
                          <w:divBdr>
                            <w:top w:val="single" w:sz="6" w:space="0" w:color="828282"/>
                            <w:left w:val="single" w:sz="6" w:space="0" w:color="828282"/>
                            <w:bottom w:val="single" w:sz="6" w:space="0" w:color="828282"/>
                            <w:right w:val="single" w:sz="6" w:space="0" w:color="828282"/>
                          </w:divBdr>
                          <w:divsChild>
                            <w:div w:id="343896833">
                              <w:marLeft w:val="0"/>
                              <w:marRight w:val="0"/>
                              <w:marTop w:val="0"/>
                              <w:marBottom w:val="0"/>
                              <w:divBdr>
                                <w:top w:val="none" w:sz="0" w:space="0" w:color="auto"/>
                                <w:left w:val="none" w:sz="0" w:space="0" w:color="auto"/>
                                <w:bottom w:val="none" w:sz="0" w:space="0" w:color="auto"/>
                                <w:right w:val="none" w:sz="0" w:space="0" w:color="auto"/>
                              </w:divBdr>
                              <w:divsChild>
                                <w:div w:id="1035428451">
                                  <w:marLeft w:val="0"/>
                                  <w:marRight w:val="0"/>
                                  <w:marTop w:val="0"/>
                                  <w:marBottom w:val="0"/>
                                  <w:divBdr>
                                    <w:top w:val="none" w:sz="0" w:space="0" w:color="auto"/>
                                    <w:left w:val="none" w:sz="0" w:space="0" w:color="auto"/>
                                    <w:bottom w:val="none" w:sz="0" w:space="0" w:color="auto"/>
                                    <w:right w:val="none" w:sz="0" w:space="0" w:color="auto"/>
                                  </w:divBdr>
                                  <w:divsChild>
                                    <w:div w:id="983310954">
                                      <w:marLeft w:val="0"/>
                                      <w:marRight w:val="0"/>
                                      <w:marTop w:val="0"/>
                                      <w:marBottom w:val="0"/>
                                      <w:divBdr>
                                        <w:top w:val="none" w:sz="0" w:space="0" w:color="auto"/>
                                        <w:left w:val="none" w:sz="0" w:space="0" w:color="auto"/>
                                        <w:bottom w:val="none" w:sz="0" w:space="0" w:color="auto"/>
                                        <w:right w:val="none" w:sz="0" w:space="0" w:color="auto"/>
                                      </w:divBdr>
                                      <w:divsChild>
                                        <w:div w:id="1893885470">
                                          <w:marLeft w:val="0"/>
                                          <w:marRight w:val="0"/>
                                          <w:marTop w:val="0"/>
                                          <w:marBottom w:val="0"/>
                                          <w:divBdr>
                                            <w:top w:val="none" w:sz="0" w:space="0" w:color="auto"/>
                                            <w:left w:val="none" w:sz="0" w:space="0" w:color="auto"/>
                                            <w:bottom w:val="none" w:sz="0" w:space="0" w:color="auto"/>
                                            <w:right w:val="none" w:sz="0" w:space="0" w:color="auto"/>
                                          </w:divBdr>
                                          <w:divsChild>
                                            <w:div w:id="1122961945">
                                              <w:marLeft w:val="0"/>
                                              <w:marRight w:val="0"/>
                                              <w:marTop w:val="0"/>
                                              <w:marBottom w:val="0"/>
                                              <w:divBdr>
                                                <w:top w:val="none" w:sz="0" w:space="0" w:color="auto"/>
                                                <w:left w:val="none" w:sz="0" w:space="0" w:color="auto"/>
                                                <w:bottom w:val="none" w:sz="0" w:space="0" w:color="auto"/>
                                                <w:right w:val="none" w:sz="0" w:space="0" w:color="auto"/>
                                              </w:divBdr>
                                              <w:divsChild>
                                                <w:div w:id="16193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309563">
      <w:bodyDiv w:val="1"/>
      <w:marLeft w:val="0"/>
      <w:marRight w:val="0"/>
      <w:marTop w:val="0"/>
      <w:marBottom w:val="0"/>
      <w:divBdr>
        <w:top w:val="none" w:sz="0" w:space="0" w:color="auto"/>
        <w:left w:val="none" w:sz="0" w:space="0" w:color="auto"/>
        <w:bottom w:val="none" w:sz="0" w:space="0" w:color="auto"/>
        <w:right w:val="none" w:sz="0" w:space="0" w:color="auto"/>
      </w:divBdr>
      <w:divsChild>
        <w:div w:id="1503348790">
          <w:marLeft w:val="0"/>
          <w:marRight w:val="0"/>
          <w:marTop w:val="0"/>
          <w:marBottom w:val="0"/>
          <w:divBdr>
            <w:top w:val="none" w:sz="0" w:space="0" w:color="auto"/>
            <w:left w:val="none" w:sz="0" w:space="0" w:color="auto"/>
            <w:bottom w:val="none" w:sz="0" w:space="0" w:color="auto"/>
            <w:right w:val="none" w:sz="0" w:space="0" w:color="auto"/>
          </w:divBdr>
          <w:divsChild>
            <w:div w:id="1951812686">
              <w:marLeft w:val="0"/>
              <w:marRight w:val="0"/>
              <w:marTop w:val="0"/>
              <w:marBottom w:val="0"/>
              <w:divBdr>
                <w:top w:val="none" w:sz="0" w:space="0" w:color="auto"/>
                <w:left w:val="none" w:sz="0" w:space="0" w:color="auto"/>
                <w:bottom w:val="none" w:sz="0" w:space="0" w:color="auto"/>
                <w:right w:val="none" w:sz="0" w:space="0" w:color="auto"/>
              </w:divBdr>
              <w:divsChild>
                <w:div w:id="677003061">
                  <w:marLeft w:val="0"/>
                  <w:marRight w:val="0"/>
                  <w:marTop w:val="0"/>
                  <w:marBottom w:val="0"/>
                  <w:divBdr>
                    <w:top w:val="none" w:sz="0" w:space="0" w:color="auto"/>
                    <w:left w:val="none" w:sz="0" w:space="0" w:color="auto"/>
                    <w:bottom w:val="none" w:sz="0" w:space="0" w:color="auto"/>
                    <w:right w:val="none" w:sz="0" w:space="0" w:color="auto"/>
                  </w:divBdr>
                  <w:divsChild>
                    <w:div w:id="2058238300">
                      <w:marLeft w:val="0"/>
                      <w:marRight w:val="0"/>
                      <w:marTop w:val="0"/>
                      <w:marBottom w:val="0"/>
                      <w:divBdr>
                        <w:top w:val="none" w:sz="0" w:space="0" w:color="auto"/>
                        <w:left w:val="none" w:sz="0" w:space="0" w:color="auto"/>
                        <w:bottom w:val="none" w:sz="0" w:space="0" w:color="auto"/>
                        <w:right w:val="none" w:sz="0" w:space="0" w:color="auto"/>
                      </w:divBdr>
                      <w:divsChild>
                        <w:div w:id="294415654">
                          <w:marLeft w:val="0"/>
                          <w:marRight w:val="0"/>
                          <w:marTop w:val="0"/>
                          <w:marBottom w:val="0"/>
                          <w:divBdr>
                            <w:top w:val="single" w:sz="6" w:space="0" w:color="828282"/>
                            <w:left w:val="single" w:sz="6" w:space="0" w:color="828282"/>
                            <w:bottom w:val="single" w:sz="6" w:space="0" w:color="828282"/>
                            <w:right w:val="single" w:sz="6" w:space="0" w:color="828282"/>
                          </w:divBdr>
                          <w:divsChild>
                            <w:div w:id="1861120055">
                              <w:marLeft w:val="0"/>
                              <w:marRight w:val="0"/>
                              <w:marTop w:val="0"/>
                              <w:marBottom w:val="0"/>
                              <w:divBdr>
                                <w:top w:val="none" w:sz="0" w:space="0" w:color="auto"/>
                                <w:left w:val="none" w:sz="0" w:space="0" w:color="auto"/>
                                <w:bottom w:val="none" w:sz="0" w:space="0" w:color="auto"/>
                                <w:right w:val="none" w:sz="0" w:space="0" w:color="auto"/>
                              </w:divBdr>
                              <w:divsChild>
                                <w:div w:id="963003450">
                                  <w:marLeft w:val="0"/>
                                  <w:marRight w:val="0"/>
                                  <w:marTop w:val="0"/>
                                  <w:marBottom w:val="0"/>
                                  <w:divBdr>
                                    <w:top w:val="none" w:sz="0" w:space="0" w:color="auto"/>
                                    <w:left w:val="none" w:sz="0" w:space="0" w:color="auto"/>
                                    <w:bottom w:val="none" w:sz="0" w:space="0" w:color="auto"/>
                                    <w:right w:val="none" w:sz="0" w:space="0" w:color="auto"/>
                                  </w:divBdr>
                                  <w:divsChild>
                                    <w:div w:id="236092358">
                                      <w:marLeft w:val="0"/>
                                      <w:marRight w:val="0"/>
                                      <w:marTop w:val="0"/>
                                      <w:marBottom w:val="0"/>
                                      <w:divBdr>
                                        <w:top w:val="none" w:sz="0" w:space="0" w:color="auto"/>
                                        <w:left w:val="none" w:sz="0" w:space="0" w:color="auto"/>
                                        <w:bottom w:val="none" w:sz="0" w:space="0" w:color="auto"/>
                                        <w:right w:val="none" w:sz="0" w:space="0" w:color="auto"/>
                                      </w:divBdr>
                                      <w:divsChild>
                                        <w:div w:id="1106340355">
                                          <w:marLeft w:val="0"/>
                                          <w:marRight w:val="0"/>
                                          <w:marTop w:val="0"/>
                                          <w:marBottom w:val="0"/>
                                          <w:divBdr>
                                            <w:top w:val="none" w:sz="0" w:space="0" w:color="auto"/>
                                            <w:left w:val="none" w:sz="0" w:space="0" w:color="auto"/>
                                            <w:bottom w:val="none" w:sz="0" w:space="0" w:color="auto"/>
                                            <w:right w:val="none" w:sz="0" w:space="0" w:color="auto"/>
                                          </w:divBdr>
                                          <w:divsChild>
                                            <w:div w:id="780690170">
                                              <w:marLeft w:val="0"/>
                                              <w:marRight w:val="0"/>
                                              <w:marTop w:val="0"/>
                                              <w:marBottom w:val="0"/>
                                              <w:divBdr>
                                                <w:top w:val="none" w:sz="0" w:space="0" w:color="auto"/>
                                                <w:left w:val="none" w:sz="0" w:space="0" w:color="auto"/>
                                                <w:bottom w:val="none" w:sz="0" w:space="0" w:color="auto"/>
                                                <w:right w:val="none" w:sz="0" w:space="0" w:color="auto"/>
                                              </w:divBdr>
                                              <w:divsChild>
                                                <w:div w:id="9892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620416">
      <w:bodyDiv w:val="1"/>
      <w:marLeft w:val="0"/>
      <w:marRight w:val="0"/>
      <w:marTop w:val="0"/>
      <w:marBottom w:val="0"/>
      <w:divBdr>
        <w:top w:val="none" w:sz="0" w:space="0" w:color="auto"/>
        <w:left w:val="none" w:sz="0" w:space="0" w:color="auto"/>
        <w:bottom w:val="none" w:sz="0" w:space="0" w:color="auto"/>
        <w:right w:val="none" w:sz="0" w:space="0" w:color="auto"/>
      </w:divBdr>
      <w:divsChild>
        <w:div w:id="1205216338">
          <w:marLeft w:val="0"/>
          <w:marRight w:val="0"/>
          <w:marTop w:val="0"/>
          <w:marBottom w:val="0"/>
          <w:divBdr>
            <w:top w:val="none" w:sz="0" w:space="0" w:color="auto"/>
            <w:left w:val="none" w:sz="0" w:space="0" w:color="auto"/>
            <w:bottom w:val="none" w:sz="0" w:space="0" w:color="auto"/>
            <w:right w:val="none" w:sz="0" w:space="0" w:color="auto"/>
          </w:divBdr>
          <w:divsChild>
            <w:div w:id="1835991649">
              <w:marLeft w:val="0"/>
              <w:marRight w:val="0"/>
              <w:marTop w:val="0"/>
              <w:marBottom w:val="0"/>
              <w:divBdr>
                <w:top w:val="none" w:sz="0" w:space="0" w:color="auto"/>
                <w:left w:val="none" w:sz="0" w:space="0" w:color="auto"/>
                <w:bottom w:val="none" w:sz="0" w:space="0" w:color="auto"/>
                <w:right w:val="none" w:sz="0" w:space="0" w:color="auto"/>
              </w:divBdr>
              <w:divsChild>
                <w:div w:id="2053576038">
                  <w:marLeft w:val="0"/>
                  <w:marRight w:val="0"/>
                  <w:marTop w:val="0"/>
                  <w:marBottom w:val="0"/>
                  <w:divBdr>
                    <w:top w:val="none" w:sz="0" w:space="0" w:color="auto"/>
                    <w:left w:val="none" w:sz="0" w:space="0" w:color="auto"/>
                    <w:bottom w:val="none" w:sz="0" w:space="0" w:color="auto"/>
                    <w:right w:val="none" w:sz="0" w:space="0" w:color="auto"/>
                  </w:divBdr>
                  <w:divsChild>
                    <w:div w:id="1850369398">
                      <w:marLeft w:val="0"/>
                      <w:marRight w:val="0"/>
                      <w:marTop w:val="0"/>
                      <w:marBottom w:val="0"/>
                      <w:divBdr>
                        <w:top w:val="none" w:sz="0" w:space="0" w:color="auto"/>
                        <w:left w:val="none" w:sz="0" w:space="0" w:color="auto"/>
                        <w:bottom w:val="none" w:sz="0" w:space="0" w:color="auto"/>
                        <w:right w:val="none" w:sz="0" w:space="0" w:color="auto"/>
                      </w:divBdr>
                      <w:divsChild>
                        <w:div w:id="889420791">
                          <w:marLeft w:val="0"/>
                          <w:marRight w:val="0"/>
                          <w:marTop w:val="0"/>
                          <w:marBottom w:val="0"/>
                          <w:divBdr>
                            <w:top w:val="single" w:sz="6" w:space="0" w:color="828282"/>
                            <w:left w:val="single" w:sz="6" w:space="0" w:color="828282"/>
                            <w:bottom w:val="single" w:sz="6" w:space="0" w:color="828282"/>
                            <w:right w:val="single" w:sz="6" w:space="0" w:color="828282"/>
                          </w:divBdr>
                          <w:divsChild>
                            <w:div w:id="1290546841">
                              <w:marLeft w:val="0"/>
                              <w:marRight w:val="0"/>
                              <w:marTop w:val="0"/>
                              <w:marBottom w:val="0"/>
                              <w:divBdr>
                                <w:top w:val="none" w:sz="0" w:space="0" w:color="auto"/>
                                <w:left w:val="none" w:sz="0" w:space="0" w:color="auto"/>
                                <w:bottom w:val="none" w:sz="0" w:space="0" w:color="auto"/>
                                <w:right w:val="none" w:sz="0" w:space="0" w:color="auto"/>
                              </w:divBdr>
                              <w:divsChild>
                                <w:div w:id="276328201">
                                  <w:marLeft w:val="0"/>
                                  <w:marRight w:val="0"/>
                                  <w:marTop w:val="0"/>
                                  <w:marBottom w:val="0"/>
                                  <w:divBdr>
                                    <w:top w:val="none" w:sz="0" w:space="0" w:color="auto"/>
                                    <w:left w:val="none" w:sz="0" w:space="0" w:color="auto"/>
                                    <w:bottom w:val="none" w:sz="0" w:space="0" w:color="auto"/>
                                    <w:right w:val="none" w:sz="0" w:space="0" w:color="auto"/>
                                  </w:divBdr>
                                  <w:divsChild>
                                    <w:div w:id="665210390">
                                      <w:marLeft w:val="0"/>
                                      <w:marRight w:val="0"/>
                                      <w:marTop w:val="0"/>
                                      <w:marBottom w:val="0"/>
                                      <w:divBdr>
                                        <w:top w:val="none" w:sz="0" w:space="0" w:color="auto"/>
                                        <w:left w:val="none" w:sz="0" w:space="0" w:color="auto"/>
                                        <w:bottom w:val="none" w:sz="0" w:space="0" w:color="auto"/>
                                        <w:right w:val="none" w:sz="0" w:space="0" w:color="auto"/>
                                      </w:divBdr>
                                      <w:divsChild>
                                        <w:div w:id="1695181345">
                                          <w:marLeft w:val="0"/>
                                          <w:marRight w:val="0"/>
                                          <w:marTop w:val="0"/>
                                          <w:marBottom w:val="0"/>
                                          <w:divBdr>
                                            <w:top w:val="none" w:sz="0" w:space="0" w:color="auto"/>
                                            <w:left w:val="none" w:sz="0" w:space="0" w:color="auto"/>
                                            <w:bottom w:val="none" w:sz="0" w:space="0" w:color="auto"/>
                                            <w:right w:val="none" w:sz="0" w:space="0" w:color="auto"/>
                                          </w:divBdr>
                                          <w:divsChild>
                                            <w:div w:id="24064299">
                                              <w:marLeft w:val="0"/>
                                              <w:marRight w:val="0"/>
                                              <w:marTop w:val="0"/>
                                              <w:marBottom w:val="0"/>
                                              <w:divBdr>
                                                <w:top w:val="none" w:sz="0" w:space="0" w:color="auto"/>
                                                <w:left w:val="none" w:sz="0" w:space="0" w:color="auto"/>
                                                <w:bottom w:val="none" w:sz="0" w:space="0" w:color="auto"/>
                                                <w:right w:val="none" w:sz="0" w:space="0" w:color="auto"/>
                                              </w:divBdr>
                                              <w:divsChild>
                                                <w:div w:id="19574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918840">
      <w:bodyDiv w:val="1"/>
      <w:marLeft w:val="0"/>
      <w:marRight w:val="0"/>
      <w:marTop w:val="0"/>
      <w:marBottom w:val="0"/>
      <w:divBdr>
        <w:top w:val="none" w:sz="0" w:space="0" w:color="auto"/>
        <w:left w:val="none" w:sz="0" w:space="0" w:color="auto"/>
        <w:bottom w:val="none" w:sz="0" w:space="0" w:color="auto"/>
        <w:right w:val="none" w:sz="0" w:space="0" w:color="auto"/>
      </w:divBdr>
      <w:divsChild>
        <w:div w:id="1226918306">
          <w:marLeft w:val="0"/>
          <w:marRight w:val="0"/>
          <w:marTop w:val="0"/>
          <w:marBottom w:val="0"/>
          <w:divBdr>
            <w:top w:val="none" w:sz="0" w:space="0" w:color="auto"/>
            <w:left w:val="none" w:sz="0" w:space="0" w:color="auto"/>
            <w:bottom w:val="none" w:sz="0" w:space="0" w:color="auto"/>
            <w:right w:val="none" w:sz="0" w:space="0" w:color="auto"/>
          </w:divBdr>
          <w:divsChild>
            <w:div w:id="1156723747">
              <w:marLeft w:val="0"/>
              <w:marRight w:val="0"/>
              <w:marTop w:val="0"/>
              <w:marBottom w:val="0"/>
              <w:divBdr>
                <w:top w:val="none" w:sz="0" w:space="0" w:color="auto"/>
                <w:left w:val="none" w:sz="0" w:space="0" w:color="auto"/>
                <w:bottom w:val="none" w:sz="0" w:space="0" w:color="auto"/>
                <w:right w:val="none" w:sz="0" w:space="0" w:color="auto"/>
              </w:divBdr>
              <w:divsChild>
                <w:div w:id="1553538809">
                  <w:marLeft w:val="0"/>
                  <w:marRight w:val="0"/>
                  <w:marTop w:val="0"/>
                  <w:marBottom w:val="0"/>
                  <w:divBdr>
                    <w:top w:val="none" w:sz="0" w:space="0" w:color="auto"/>
                    <w:left w:val="none" w:sz="0" w:space="0" w:color="auto"/>
                    <w:bottom w:val="none" w:sz="0" w:space="0" w:color="auto"/>
                    <w:right w:val="none" w:sz="0" w:space="0" w:color="auto"/>
                  </w:divBdr>
                  <w:divsChild>
                    <w:div w:id="1004238889">
                      <w:marLeft w:val="0"/>
                      <w:marRight w:val="0"/>
                      <w:marTop w:val="0"/>
                      <w:marBottom w:val="0"/>
                      <w:divBdr>
                        <w:top w:val="none" w:sz="0" w:space="0" w:color="auto"/>
                        <w:left w:val="none" w:sz="0" w:space="0" w:color="auto"/>
                        <w:bottom w:val="none" w:sz="0" w:space="0" w:color="auto"/>
                        <w:right w:val="none" w:sz="0" w:space="0" w:color="auto"/>
                      </w:divBdr>
                      <w:divsChild>
                        <w:div w:id="1362049573">
                          <w:marLeft w:val="0"/>
                          <w:marRight w:val="0"/>
                          <w:marTop w:val="0"/>
                          <w:marBottom w:val="0"/>
                          <w:divBdr>
                            <w:top w:val="single" w:sz="6" w:space="0" w:color="828282"/>
                            <w:left w:val="single" w:sz="6" w:space="0" w:color="828282"/>
                            <w:bottom w:val="single" w:sz="6" w:space="0" w:color="828282"/>
                            <w:right w:val="single" w:sz="6" w:space="0" w:color="828282"/>
                          </w:divBdr>
                          <w:divsChild>
                            <w:div w:id="1740864032">
                              <w:marLeft w:val="0"/>
                              <w:marRight w:val="0"/>
                              <w:marTop w:val="0"/>
                              <w:marBottom w:val="0"/>
                              <w:divBdr>
                                <w:top w:val="none" w:sz="0" w:space="0" w:color="auto"/>
                                <w:left w:val="none" w:sz="0" w:space="0" w:color="auto"/>
                                <w:bottom w:val="none" w:sz="0" w:space="0" w:color="auto"/>
                                <w:right w:val="none" w:sz="0" w:space="0" w:color="auto"/>
                              </w:divBdr>
                              <w:divsChild>
                                <w:div w:id="656229707">
                                  <w:marLeft w:val="0"/>
                                  <w:marRight w:val="0"/>
                                  <w:marTop w:val="0"/>
                                  <w:marBottom w:val="0"/>
                                  <w:divBdr>
                                    <w:top w:val="none" w:sz="0" w:space="0" w:color="auto"/>
                                    <w:left w:val="none" w:sz="0" w:space="0" w:color="auto"/>
                                    <w:bottom w:val="none" w:sz="0" w:space="0" w:color="auto"/>
                                    <w:right w:val="none" w:sz="0" w:space="0" w:color="auto"/>
                                  </w:divBdr>
                                  <w:divsChild>
                                    <w:div w:id="1015689385">
                                      <w:marLeft w:val="0"/>
                                      <w:marRight w:val="0"/>
                                      <w:marTop w:val="0"/>
                                      <w:marBottom w:val="0"/>
                                      <w:divBdr>
                                        <w:top w:val="none" w:sz="0" w:space="0" w:color="auto"/>
                                        <w:left w:val="none" w:sz="0" w:space="0" w:color="auto"/>
                                        <w:bottom w:val="none" w:sz="0" w:space="0" w:color="auto"/>
                                        <w:right w:val="none" w:sz="0" w:space="0" w:color="auto"/>
                                      </w:divBdr>
                                      <w:divsChild>
                                        <w:div w:id="568420364">
                                          <w:marLeft w:val="0"/>
                                          <w:marRight w:val="0"/>
                                          <w:marTop w:val="0"/>
                                          <w:marBottom w:val="0"/>
                                          <w:divBdr>
                                            <w:top w:val="none" w:sz="0" w:space="0" w:color="auto"/>
                                            <w:left w:val="none" w:sz="0" w:space="0" w:color="auto"/>
                                            <w:bottom w:val="none" w:sz="0" w:space="0" w:color="auto"/>
                                            <w:right w:val="none" w:sz="0" w:space="0" w:color="auto"/>
                                          </w:divBdr>
                                          <w:divsChild>
                                            <w:div w:id="1860775606">
                                              <w:marLeft w:val="0"/>
                                              <w:marRight w:val="0"/>
                                              <w:marTop w:val="0"/>
                                              <w:marBottom w:val="0"/>
                                              <w:divBdr>
                                                <w:top w:val="none" w:sz="0" w:space="0" w:color="auto"/>
                                                <w:left w:val="none" w:sz="0" w:space="0" w:color="auto"/>
                                                <w:bottom w:val="none" w:sz="0" w:space="0" w:color="auto"/>
                                                <w:right w:val="none" w:sz="0" w:space="0" w:color="auto"/>
                                              </w:divBdr>
                                              <w:divsChild>
                                                <w:div w:id="1397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7690</Characters>
  <Application>Microsoft Office Word</Application>
  <DocSecurity>0</DocSecurity>
  <Lines>961</Lines>
  <Paragraphs>418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wangme</dc:creator>
  <cp:lastModifiedBy>Hilhorst, Matt</cp:lastModifiedBy>
  <cp:revision>2</cp:revision>
  <cp:lastPrinted>2014-07-23T22:19:00Z</cp:lastPrinted>
  <dcterms:created xsi:type="dcterms:W3CDTF">2014-08-01T00:44:00Z</dcterms:created>
  <dcterms:modified xsi:type="dcterms:W3CDTF">2014-08-01T00:44:00Z</dcterms:modified>
</cp:coreProperties>
</file>