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EEF" w:rsidRDefault="00FD5DBE" w:rsidP="00FD5DBE">
      <w:pPr>
        <w:pStyle w:val="LDAmendHeading"/>
        <w:ind w:left="0" w:firstLine="0"/>
      </w:pPr>
      <w:bookmarkStart w:id="0" w:name="_GoBack"/>
      <w:bookmarkEnd w:id="0"/>
      <w:r>
        <w:t>Explanatory Statement</w:t>
      </w:r>
    </w:p>
    <w:p w:rsidR="00FD5DBE" w:rsidRDefault="005B52F3" w:rsidP="00FD5DBE">
      <w:pPr>
        <w:pStyle w:val="LDAmendHeading"/>
        <w:ind w:left="0" w:firstLine="0"/>
      </w:pPr>
      <w:r>
        <w:t>Marine Orde</w:t>
      </w:r>
      <w:r w:rsidR="003E4B8E">
        <w:t>r 19</w:t>
      </w:r>
      <w:r w:rsidR="00F555F3">
        <w:t xml:space="preserve"> (</w:t>
      </w:r>
      <w:r w:rsidR="003E4B8E">
        <w:t>Tonnage measurement</w:t>
      </w:r>
      <w:r w:rsidR="00F555F3">
        <w:t>) 2014</w:t>
      </w:r>
      <w:r>
        <w:t xml:space="preserve"> </w:t>
      </w:r>
      <w:r w:rsidR="00506142">
        <w:t xml:space="preserve">(Order </w:t>
      </w:r>
      <w:r w:rsidR="006E2A8C">
        <w:t>201</w:t>
      </w:r>
      <w:r w:rsidR="00F555F3">
        <w:t>4</w:t>
      </w:r>
      <w:r w:rsidR="00453CCF">
        <w:t>/14</w:t>
      </w:r>
      <w:r w:rsidR="00BA6239">
        <w:t>)</w:t>
      </w:r>
    </w:p>
    <w:p w:rsidR="009B015D" w:rsidRDefault="009B015D" w:rsidP="009B015D">
      <w:pPr>
        <w:pStyle w:val="LDAmendHeading"/>
        <w:ind w:left="0" w:firstLine="0"/>
      </w:pPr>
      <w:r>
        <w:t>Authority</w:t>
      </w:r>
    </w:p>
    <w:p w:rsidR="004C481D" w:rsidRDefault="003E4B8E" w:rsidP="004C481D">
      <w:pPr>
        <w:pStyle w:val="LDMinuteParagraph"/>
      </w:pPr>
      <w:r>
        <w:t>Subsection 153(1</w:t>
      </w:r>
      <w:r w:rsidR="004C481D" w:rsidRPr="004C481D">
        <w:t xml:space="preserve">) of the Navigation Act 2012 (the Navigation Act) </w:t>
      </w:r>
      <w:r w:rsidR="004C481D">
        <w:t xml:space="preserve">provides that regulations </w:t>
      </w:r>
      <w:r w:rsidRPr="003A3E67">
        <w:rPr>
          <w:lang w:val="en-US"/>
        </w:rPr>
        <w:t xml:space="preserve">may </w:t>
      </w:r>
      <w:r>
        <w:rPr>
          <w:lang w:val="en-US"/>
        </w:rPr>
        <w:t>give</w:t>
      </w:r>
      <w:r w:rsidRPr="003A3E67">
        <w:rPr>
          <w:lang w:val="en-US"/>
        </w:rPr>
        <w:t xml:space="preserve"> e</w:t>
      </w:r>
      <w:r>
        <w:rPr>
          <w:lang w:val="en-US"/>
        </w:rPr>
        <w:t>ffect to the Tonnage Convention and otherwise provide for the tonnage of vessels</w:t>
      </w:r>
      <w:r w:rsidR="004C481D">
        <w:t>.</w:t>
      </w:r>
    </w:p>
    <w:p w:rsidR="004C481D" w:rsidRDefault="007C0B5D" w:rsidP="004C481D">
      <w:pPr>
        <w:pStyle w:val="LDMinuteParagraph"/>
      </w:pPr>
      <w:r>
        <w:t>Subsection 153(2)</w:t>
      </w:r>
      <w:r w:rsidR="004C481D">
        <w:t xml:space="preserve"> </w:t>
      </w:r>
      <w:r w:rsidR="004C481D" w:rsidRPr="004C481D">
        <w:t xml:space="preserve">of the Navigation Act </w:t>
      </w:r>
      <w:r w:rsidR="004C481D">
        <w:t xml:space="preserve">provides that regulations may </w:t>
      </w:r>
      <w:r w:rsidR="003E4B8E" w:rsidRPr="003A3E67">
        <w:rPr>
          <w:lang w:val="en-US"/>
        </w:rPr>
        <w:t>provide for</w:t>
      </w:r>
      <w:r w:rsidR="003E4B8E">
        <w:rPr>
          <w:lang w:val="en-US"/>
        </w:rPr>
        <w:t xml:space="preserve"> the issuing of certificates,</w:t>
      </w:r>
      <w:r w:rsidR="003E4B8E" w:rsidRPr="003A3E67">
        <w:rPr>
          <w:lang w:val="en-US"/>
        </w:rPr>
        <w:t xml:space="preserve"> assigning tonnages to vessels and </w:t>
      </w:r>
      <w:r w:rsidR="003E4B8E">
        <w:rPr>
          <w:lang w:val="en-US"/>
        </w:rPr>
        <w:t>measuring of the tonnage of vessels</w:t>
      </w:r>
      <w:r w:rsidR="004C481D">
        <w:t>.</w:t>
      </w:r>
    </w:p>
    <w:p w:rsidR="004C481D" w:rsidRDefault="004C481D" w:rsidP="004C481D">
      <w:pPr>
        <w:pStyle w:val="LDMinuteParagraph"/>
      </w:pPr>
      <w:r>
        <w:t xml:space="preserve">Subsection </w:t>
      </w:r>
      <w:r w:rsidR="003E4B8E">
        <w:t>314</w:t>
      </w:r>
      <w:r>
        <w:t xml:space="preserve"> </w:t>
      </w:r>
      <w:r w:rsidRPr="004C481D">
        <w:t xml:space="preserve">of the Navigation Act </w:t>
      </w:r>
      <w:r>
        <w:t xml:space="preserve">provides that </w:t>
      </w:r>
      <w:r w:rsidR="003E4B8E">
        <w:t xml:space="preserve">regulations may provide </w:t>
      </w:r>
      <w:r w:rsidR="003E4B8E">
        <w:rPr>
          <w:lang w:val="en-US"/>
        </w:rPr>
        <w:t>for particular matters relating to certificates.</w:t>
      </w:r>
    </w:p>
    <w:p w:rsidR="004C481D" w:rsidRDefault="003E4B8E" w:rsidP="004C481D">
      <w:pPr>
        <w:pStyle w:val="LDMinuteParagraph"/>
      </w:pPr>
      <w:r>
        <w:t>Subsection 340(1)(e</w:t>
      </w:r>
      <w:r w:rsidR="004C481D">
        <w:t>)</w:t>
      </w:r>
      <w:r w:rsidR="004C481D" w:rsidRPr="003A3E67">
        <w:t xml:space="preserve"> </w:t>
      </w:r>
      <w:r w:rsidR="004C481D" w:rsidRPr="004C481D">
        <w:t xml:space="preserve">of the Navigation Act </w:t>
      </w:r>
      <w:r w:rsidR="004C481D" w:rsidRPr="003A3E67">
        <w:t>provide</w:t>
      </w:r>
      <w:r w:rsidR="004C481D">
        <w:t>s</w:t>
      </w:r>
      <w:r w:rsidR="004C481D" w:rsidRPr="003A3E67">
        <w:t xml:space="preserve"> </w:t>
      </w:r>
      <w:r w:rsidR="004C481D">
        <w:t>that</w:t>
      </w:r>
      <w:r w:rsidR="004C481D" w:rsidRPr="003A3E67">
        <w:t xml:space="preserve"> regulations </w:t>
      </w:r>
      <w:r w:rsidR="004C481D">
        <w:t>may</w:t>
      </w:r>
      <w:r w:rsidR="004C481D" w:rsidRPr="003A3E67">
        <w:t xml:space="preserve"> </w:t>
      </w:r>
      <w:r w:rsidR="004C481D">
        <w:t xml:space="preserve">be made to give effect to </w:t>
      </w:r>
      <w:r>
        <w:t>the Tonnage Convention</w:t>
      </w:r>
      <w:r w:rsidR="004C481D">
        <w:t>.</w:t>
      </w:r>
    </w:p>
    <w:p w:rsidR="004C481D" w:rsidRDefault="004C481D" w:rsidP="004C481D">
      <w:pPr>
        <w:pStyle w:val="LDMinuteParagraph"/>
      </w:pPr>
      <w:r>
        <w:t>S</w:t>
      </w:r>
      <w:r w:rsidRPr="003A3E67">
        <w:t xml:space="preserve">ubsection 339(1) of the Navigation Act provides </w:t>
      </w:r>
      <w:r>
        <w:t xml:space="preserve">that </w:t>
      </w:r>
      <w:r w:rsidRPr="003A3E67">
        <w:t xml:space="preserve">regulations </w:t>
      </w:r>
      <w:r>
        <w:t>may</w:t>
      </w:r>
      <w:r w:rsidRPr="003A3E67">
        <w:t xml:space="preserve"> be made prescribing matters required or permitted to be prescribed, or that are necessary or convenient to be prescribed</w:t>
      </w:r>
      <w:r>
        <w:t>,</w:t>
      </w:r>
      <w:r w:rsidRPr="003A3E67">
        <w:t xml:space="preserve"> for carrying </w:t>
      </w:r>
      <w:r>
        <w:t>out or giving effect to the Act.</w:t>
      </w:r>
    </w:p>
    <w:p w:rsidR="004C481D" w:rsidRDefault="004C481D" w:rsidP="004C481D">
      <w:pPr>
        <w:pStyle w:val="LDMinuteParagraph"/>
      </w:pPr>
      <w:r>
        <w:tab/>
        <w:t>S</w:t>
      </w:r>
      <w:r w:rsidRPr="003A3E67">
        <w:t>ubsecti</w:t>
      </w:r>
      <w:r>
        <w:t xml:space="preserve">on 342(1) of the Navigation Act </w:t>
      </w:r>
      <w:r w:rsidRPr="003A3E67">
        <w:t xml:space="preserve">provides that AMSA may make </w:t>
      </w:r>
      <w:r>
        <w:t>a Marine O</w:t>
      </w:r>
      <w:r w:rsidRPr="003A3E67">
        <w:t>rder about any matter for which provision must or may be made by regulations.</w:t>
      </w:r>
    </w:p>
    <w:p w:rsidR="007E2790" w:rsidRPr="0066489B" w:rsidRDefault="004C481D" w:rsidP="007E2790">
      <w:pPr>
        <w:pStyle w:val="LDMinuteParagraph"/>
      </w:pPr>
      <w:r>
        <w:rPr>
          <w:shd w:val="clear" w:color="auto" w:fill="FFFFFF"/>
        </w:rPr>
        <w:t>S</w:t>
      </w:r>
      <w:r w:rsidR="007E2790" w:rsidRPr="0066489B">
        <w:rPr>
          <w:shd w:val="clear" w:color="auto" w:fill="FFFFFF"/>
        </w:rPr>
        <w:t>ubsection 33(3) of the</w:t>
      </w:r>
      <w:r w:rsidR="007E2790" w:rsidRPr="0066489B">
        <w:rPr>
          <w:rStyle w:val="apple-converted-space"/>
          <w:color w:val="000000"/>
          <w:sz w:val="25"/>
          <w:szCs w:val="25"/>
          <w:shd w:val="clear" w:color="auto" w:fill="FFFFFF"/>
        </w:rPr>
        <w:t> </w:t>
      </w:r>
      <w:r w:rsidR="007E2790" w:rsidRPr="0066489B">
        <w:rPr>
          <w:i/>
          <w:iCs/>
          <w:shd w:val="clear" w:color="auto" w:fill="FFFFFF"/>
        </w:rPr>
        <w:t>Acts Interpretation Act 1901</w:t>
      </w:r>
      <w:r w:rsidR="007E2790" w:rsidRPr="0066489B">
        <w:rPr>
          <w:iCs/>
          <w:shd w:val="clear" w:color="auto" w:fill="FFFFFF"/>
        </w:rPr>
        <w:t xml:space="preserve"> </w:t>
      </w:r>
      <w:r w:rsidR="007E2790" w:rsidRPr="0066489B">
        <w:rPr>
          <w:shd w:val="clear" w:color="auto" w:fill="FFFFFF"/>
        </w:rPr>
        <w:t>provides that a power in an Act to make a legislative instrument includes the power to repeal or amend the instrument, subject to any conditions that apply to the initial power.</w:t>
      </w:r>
    </w:p>
    <w:p w:rsidR="007E2790" w:rsidRDefault="007E2790" w:rsidP="007E2790">
      <w:pPr>
        <w:pStyle w:val="LDMinuteParagraph"/>
      </w:pPr>
      <w:r>
        <w:t xml:space="preserve">This Order </w:t>
      </w:r>
      <w:r w:rsidRPr="00C722FE">
        <w:t xml:space="preserve">is a legislative instrument for the </w:t>
      </w:r>
      <w:r w:rsidRPr="009B015D">
        <w:rPr>
          <w:i/>
        </w:rPr>
        <w:t>Legislative Instruments Act 2003</w:t>
      </w:r>
      <w:r w:rsidRPr="00C722FE">
        <w:t>.</w:t>
      </w:r>
    </w:p>
    <w:p w:rsidR="00FB71D1" w:rsidRPr="00B4479A" w:rsidRDefault="009B015D" w:rsidP="009B015D">
      <w:pPr>
        <w:pStyle w:val="LDAmendHeading"/>
        <w:ind w:left="0" w:firstLine="0"/>
      </w:pPr>
      <w:r>
        <w:t>Purpose</w:t>
      </w:r>
    </w:p>
    <w:p w:rsidR="009B015D" w:rsidRDefault="009B015D" w:rsidP="00E576E4">
      <w:pPr>
        <w:pStyle w:val="LDMinuteParagraph"/>
      </w:pPr>
      <w:r>
        <w:t xml:space="preserve">This Order </w:t>
      </w:r>
      <w:r w:rsidR="00F15E19">
        <w:t xml:space="preserve">gives effect to </w:t>
      </w:r>
      <w:r w:rsidR="003E4B8E">
        <w:t>the Tonnage Convention</w:t>
      </w:r>
      <w:r w:rsidR="00904A85">
        <w:t xml:space="preserve"> and deals with certification of vessels providing evidence of compliance with the Tonnage Convention.</w:t>
      </w:r>
    </w:p>
    <w:p w:rsidR="009B015D" w:rsidRPr="00165FFA" w:rsidRDefault="009B015D" w:rsidP="00BB6EA6">
      <w:pPr>
        <w:pStyle w:val="LDAmendHeading"/>
      </w:pPr>
      <w:r w:rsidRPr="00165FFA">
        <w:t>Overview</w:t>
      </w:r>
    </w:p>
    <w:p w:rsidR="009B015D" w:rsidRDefault="00D14039" w:rsidP="00E576E4">
      <w:pPr>
        <w:pStyle w:val="LDMinuteParagraph"/>
      </w:pPr>
      <w:r>
        <w:t xml:space="preserve">The Navigation Act implements Australia’s obligations under </w:t>
      </w:r>
      <w:r w:rsidR="003E4B8E">
        <w:t>the Tonnage Convention</w:t>
      </w:r>
      <w:r w:rsidR="00904A85">
        <w:t xml:space="preserve"> which </w:t>
      </w:r>
      <w:r w:rsidR="006A4EC8">
        <w:t>established uniform principles and rules with respect to the determination of tonnage of ships engaged on international voyages</w:t>
      </w:r>
      <w:r w:rsidR="00904A85">
        <w:t>.</w:t>
      </w:r>
    </w:p>
    <w:p w:rsidR="00D14039" w:rsidRPr="00165FFA" w:rsidRDefault="00D14039" w:rsidP="00E576E4">
      <w:pPr>
        <w:pStyle w:val="LDMinuteParagraph"/>
      </w:pPr>
      <w:r>
        <w:t xml:space="preserve">This Order replaces </w:t>
      </w:r>
      <w:r>
        <w:rPr>
          <w:i/>
        </w:rPr>
        <w:t xml:space="preserve">Marine Order </w:t>
      </w:r>
      <w:r w:rsidR="003E4B8E">
        <w:rPr>
          <w:i/>
        </w:rPr>
        <w:t>19</w:t>
      </w:r>
      <w:r w:rsidR="008D563E">
        <w:rPr>
          <w:i/>
        </w:rPr>
        <w:t xml:space="preserve"> (</w:t>
      </w:r>
      <w:r w:rsidR="003E4B8E">
        <w:rPr>
          <w:i/>
        </w:rPr>
        <w:t>Tonnage measurement</w:t>
      </w:r>
      <w:r>
        <w:rPr>
          <w:i/>
        </w:rPr>
        <w:t>) 200</w:t>
      </w:r>
      <w:r w:rsidR="003E4B8E">
        <w:rPr>
          <w:i/>
        </w:rPr>
        <w:t>3</w:t>
      </w:r>
      <w:r>
        <w:t xml:space="preserve"> following a review of the Order as part of AMSA’s ongoing review of instruments. The structure of the Order has been changed and current legislative drafting style applied. When the Order commences, schedule </w:t>
      </w:r>
      <w:r w:rsidR="00904A85">
        <w:t>1</w:t>
      </w:r>
      <w:r w:rsidR="008D563E">
        <w:t>0</w:t>
      </w:r>
      <w:r>
        <w:t xml:space="preserve"> of </w:t>
      </w:r>
      <w:r>
        <w:rPr>
          <w:i/>
        </w:rPr>
        <w:t xml:space="preserve">Marine Order 4 (Transitional Modifications) 2013 </w:t>
      </w:r>
      <w:r w:rsidRPr="0036576B">
        <w:t>will cease to have effect because</w:t>
      </w:r>
      <w:r>
        <w:t xml:space="preserve"> that schedule modifies the previous issue of this Order.</w:t>
      </w:r>
    </w:p>
    <w:p w:rsidR="009B015D" w:rsidRDefault="009B015D" w:rsidP="00BB6EA6">
      <w:pPr>
        <w:pStyle w:val="LDAmendHeading"/>
      </w:pPr>
      <w:r>
        <w:t>Consultation</w:t>
      </w:r>
    </w:p>
    <w:p w:rsidR="00321E86" w:rsidRDefault="00321E86" w:rsidP="00E576E4">
      <w:pPr>
        <w:pStyle w:val="LDMinuteParagraph"/>
      </w:pPr>
      <w:r>
        <w:t xml:space="preserve">A copy of the draft of this Order was </w:t>
      </w:r>
      <w:r w:rsidR="00196757">
        <w:t xml:space="preserve">placed on the AMSA website for public comment. </w:t>
      </w:r>
      <w:r w:rsidR="00196757" w:rsidRPr="00B86A59">
        <w:t xml:space="preserve">Over </w:t>
      </w:r>
      <w:r w:rsidR="00D14039" w:rsidRPr="00B86A59">
        <w:t>300</w:t>
      </w:r>
      <w:r w:rsidR="00196757" w:rsidRPr="00B86A59">
        <w:t xml:space="preserve"> stakeholders, including industry organisations and interested government agencies, were invited to participa</w:t>
      </w:r>
      <w:r w:rsidR="008D563E" w:rsidRPr="00B86A59">
        <w:t>te in the consultation process.</w:t>
      </w:r>
      <w:r w:rsidR="00196757" w:rsidRPr="00B86A59">
        <w:t xml:space="preserve"> </w:t>
      </w:r>
      <w:r w:rsidR="006A4EC8">
        <w:t>One ‘no comment’ response was received during the period for public comment.</w:t>
      </w:r>
    </w:p>
    <w:p w:rsidR="009B015D" w:rsidRPr="009B015D" w:rsidRDefault="00321E86" w:rsidP="00E576E4">
      <w:pPr>
        <w:pStyle w:val="LDMinuteParagraph"/>
      </w:pPr>
      <w:r>
        <w:t>The Office of Best Practice Regulation (OBPR) was also</w:t>
      </w:r>
      <w:r w:rsidR="006D030A">
        <w:t xml:space="preserve"> consulted and considered that </w:t>
      </w:r>
      <w:r>
        <w:t>the Order dealt with matters of a minor or machinery nature and no regulatory impact statement was required.</w:t>
      </w:r>
      <w:r w:rsidR="006A4EC8">
        <w:t xml:space="preserve"> </w:t>
      </w:r>
      <w:r w:rsidR="00693254">
        <w:t>Th</w:t>
      </w:r>
      <w:r w:rsidR="00904A85">
        <w:t xml:space="preserve">e OBPR reference number is </w:t>
      </w:r>
      <w:r w:rsidR="006A4EC8">
        <w:t>2013/16556.</w:t>
      </w:r>
    </w:p>
    <w:p w:rsidR="009B015D" w:rsidRDefault="009B015D" w:rsidP="009B015D">
      <w:pPr>
        <w:pStyle w:val="LDAmendHeading"/>
      </w:pPr>
      <w:r>
        <w:lastRenderedPageBreak/>
        <w:t>Documents incorporated by reference</w:t>
      </w:r>
    </w:p>
    <w:p w:rsidR="009B015D" w:rsidRDefault="00693254" w:rsidP="00E576E4">
      <w:pPr>
        <w:pStyle w:val="LDMinuteParagraph"/>
      </w:pPr>
      <w:r>
        <w:t>This Order incorporates the following documents by reference:</w:t>
      </w:r>
    </w:p>
    <w:p w:rsidR="004C481D" w:rsidRDefault="00904A85" w:rsidP="00693254">
      <w:pPr>
        <w:pStyle w:val="LDMinuteParagraph"/>
        <w:numPr>
          <w:ilvl w:val="0"/>
          <w:numId w:val="4"/>
        </w:numPr>
      </w:pPr>
      <w:r>
        <w:t>Tonnage Convention</w:t>
      </w:r>
    </w:p>
    <w:p w:rsidR="00904A85" w:rsidRDefault="00904A85" w:rsidP="00693254">
      <w:pPr>
        <w:pStyle w:val="LDMinuteParagraph"/>
        <w:numPr>
          <w:ilvl w:val="0"/>
          <w:numId w:val="4"/>
        </w:numPr>
      </w:pPr>
      <w:r>
        <w:t>SOLAS</w:t>
      </w:r>
    </w:p>
    <w:p w:rsidR="00904A85" w:rsidRDefault="00904A85" w:rsidP="00693254">
      <w:pPr>
        <w:pStyle w:val="LDMinuteParagraph"/>
        <w:numPr>
          <w:ilvl w:val="0"/>
          <w:numId w:val="4"/>
        </w:numPr>
      </w:pPr>
      <w:r>
        <w:t>MARPOL</w:t>
      </w:r>
    </w:p>
    <w:p w:rsidR="004250D2" w:rsidRDefault="004250D2" w:rsidP="00442670">
      <w:pPr>
        <w:pStyle w:val="LDMinuteParagraph"/>
      </w:pPr>
      <w:r>
        <w:t>IMO</w:t>
      </w:r>
      <w:r w:rsidRPr="00D46AD7">
        <w:t xml:space="preserve"> </w:t>
      </w:r>
      <w:r w:rsidRPr="00442670">
        <w:t>documents</w:t>
      </w:r>
      <w:r w:rsidRPr="00D46AD7">
        <w:t xml:space="preserve"> may be pur</w:t>
      </w:r>
      <w:r>
        <w:t>chased from the IMO </w:t>
      </w:r>
      <w:r w:rsidRPr="00D46AD7">
        <w:t>— see the IMO website at http://www.imo.org/publications</w:t>
      </w:r>
      <w:r>
        <w:t>.</w:t>
      </w:r>
    </w:p>
    <w:p w:rsidR="00007792" w:rsidRDefault="00007792" w:rsidP="00007792">
      <w:pPr>
        <w:pStyle w:val="LDAmendHeading"/>
      </w:pPr>
      <w:r>
        <w:t>Commencement</w:t>
      </w:r>
    </w:p>
    <w:p w:rsidR="00007792" w:rsidRDefault="004144B3" w:rsidP="00007792">
      <w:pPr>
        <w:pStyle w:val="LDMinuteParagraph"/>
      </w:pPr>
      <w:r>
        <w:t xml:space="preserve">This Order commenced on </w:t>
      </w:r>
      <w:r w:rsidR="006D030A">
        <w:t>1 September 2014.</w:t>
      </w:r>
    </w:p>
    <w:p w:rsidR="009A3D84" w:rsidRPr="009A3D84" w:rsidRDefault="00007792" w:rsidP="0066489B">
      <w:pPr>
        <w:pStyle w:val="LDAmendHeading"/>
      </w:pPr>
      <w:r>
        <w:t xml:space="preserve">Contents of this </w:t>
      </w:r>
      <w:r w:rsidR="007005C4">
        <w:t>instrument</w:t>
      </w:r>
    </w:p>
    <w:p w:rsidR="00007792" w:rsidRDefault="004E3842" w:rsidP="00007792">
      <w:pPr>
        <w:pStyle w:val="LDMinuteParagraph"/>
      </w:pPr>
      <w:r>
        <w:t xml:space="preserve">Section </w:t>
      </w:r>
      <w:r w:rsidR="00BA6239">
        <w:t xml:space="preserve">1 </w:t>
      </w:r>
      <w:r>
        <w:t>sets out the name of the Order.</w:t>
      </w:r>
    </w:p>
    <w:p w:rsidR="00DE5C43" w:rsidRDefault="00DE5C43" w:rsidP="00007792">
      <w:pPr>
        <w:pStyle w:val="LDMinuteParagraph"/>
      </w:pPr>
      <w:r>
        <w:t>Section 1A sets out the commencement of the Order.</w:t>
      </w:r>
    </w:p>
    <w:p w:rsidR="00DE5C43" w:rsidRDefault="00DE5C43" w:rsidP="00007792">
      <w:pPr>
        <w:pStyle w:val="LDMinuteParagraph"/>
      </w:pPr>
      <w:r>
        <w:t xml:space="preserve">Section 1B repeals instrument known as </w:t>
      </w:r>
      <w:r w:rsidR="00427FB7" w:rsidRPr="001915EE">
        <w:rPr>
          <w:i/>
        </w:rPr>
        <w:t>Marine Order</w:t>
      </w:r>
      <w:r w:rsidR="00427FB7">
        <w:rPr>
          <w:i/>
        </w:rPr>
        <w:t xml:space="preserve"> 19 (Tonnage measurement) 2003</w:t>
      </w:r>
      <w:r>
        <w:t>.</w:t>
      </w:r>
    </w:p>
    <w:p w:rsidR="00007792" w:rsidRDefault="00430134" w:rsidP="00007792">
      <w:pPr>
        <w:pStyle w:val="LDMinuteParagraph"/>
      </w:pPr>
      <w:r>
        <w:t xml:space="preserve">Section </w:t>
      </w:r>
      <w:r w:rsidR="00007792">
        <w:t xml:space="preserve">2 </w:t>
      </w:r>
      <w:r w:rsidR="00DE5C43">
        <w:t>states the purpose</w:t>
      </w:r>
      <w:r>
        <w:t xml:space="preserve"> of the Order</w:t>
      </w:r>
      <w:r w:rsidR="00DE5C43">
        <w:t xml:space="preserve">, which is to give effect to </w:t>
      </w:r>
      <w:r w:rsidR="00427FB7">
        <w:t xml:space="preserve">the Tonnage Convention and </w:t>
      </w:r>
      <w:r w:rsidR="00427FB7">
        <w:rPr>
          <w:iCs/>
        </w:rPr>
        <w:t>deal with the certification of vessels as evidence of compliance with the Tonnage Convention</w:t>
      </w:r>
      <w:r>
        <w:t>.</w:t>
      </w:r>
    </w:p>
    <w:p w:rsidR="00430134" w:rsidRDefault="00430134" w:rsidP="00007792">
      <w:pPr>
        <w:pStyle w:val="LDMinuteParagraph"/>
      </w:pPr>
      <w:r>
        <w:t xml:space="preserve">Section </w:t>
      </w:r>
      <w:r w:rsidR="00DE5C43">
        <w:t>3</w:t>
      </w:r>
      <w:r>
        <w:t xml:space="preserve"> sets out the powers in the Navigation Act </w:t>
      </w:r>
      <w:r w:rsidR="0085034C">
        <w:t>that enable</w:t>
      </w:r>
      <w:r>
        <w:t xml:space="preserve"> the Order to be made.</w:t>
      </w:r>
    </w:p>
    <w:p w:rsidR="00DE5C43" w:rsidRDefault="00DE5C43" w:rsidP="00007792">
      <w:pPr>
        <w:pStyle w:val="LDMinuteParagraph"/>
      </w:pPr>
      <w:r>
        <w:t>Section 4 sets out the definitions of terms used in the Order.</w:t>
      </w:r>
    </w:p>
    <w:p w:rsidR="004144B3" w:rsidRDefault="00DE5C43" w:rsidP="00427FB7">
      <w:pPr>
        <w:pStyle w:val="LDMinuteParagraph"/>
      </w:pPr>
      <w:r>
        <w:t>Section 5 sets out the interpretation of terms used in the Order.</w:t>
      </w:r>
    </w:p>
    <w:p w:rsidR="00430134" w:rsidRDefault="00427FB7" w:rsidP="00007792">
      <w:pPr>
        <w:pStyle w:val="LDMinuteParagraph"/>
      </w:pPr>
      <w:r>
        <w:t>Section 6</w:t>
      </w:r>
      <w:r w:rsidR="00DE5C43">
        <w:t xml:space="preserve"> </w:t>
      </w:r>
      <w:r w:rsidR="00430134">
        <w:t>describes the vessels</w:t>
      </w:r>
      <w:r w:rsidR="00DE5C43">
        <w:t xml:space="preserve"> to which the Order applies</w:t>
      </w:r>
      <w:r w:rsidR="00430134">
        <w:t>.</w:t>
      </w:r>
    </w:p>
    <w:p w:rsidR="00430134" w:rsidRDefault="0085034C" w:rsidP="00007792">
      <w:pPr>
        <w:pStyle w:val="LDMinuteParagraph"/>
      </w:pPr>
      <w:r>
        <w:t xml:space="preserve">Section </w:t>
      </w:r>
      <w:r w:rsidR="00427FB7">
        <w:t>7</w:t>
      </w:r>
      <w:r w:rsidR="00736FFF">
        <w:t xml:space="preserve"> provides </w:t>
      </w:r>
      <w:r w:rsidR="00DE0050">
        <w:t>a</w:t>
      </w:r>
      <w:r w:rsidR="00DE0050" w:rsidRPr="003A3E67">
        <w:t xml:space="preserve"> person may apply</w:t>
      </w:r>
      <w:r w:rsidR="00DE0050" w:rsidRPr="00FA072E">
        <w:t xml:space="preserve"> </w:t>
      </w:r>
      <w:r w:rsidR="00DE0050" w:rsidRPr="003A3E67">
        <w:t xml:space="preserve">for an exemption of a vessel from a requirement of this Order in accordance with the application process mentioned in </w:t>
      </w:r>
      <w:r w:rsidR="00DE0050" w:rsidRPr="003A3E67">
        <w:rPr>
          <w:i/>
        </w:rPr>
        <w:t>Marine Order 1 (Administration) 201</w:t>
      </w:r>
      <w:r w:rsidR="00DE0050">
        <w:rPr>
          <w:i/>
        </w:rPr>
        <w:t>3</w:t>
      </w:r>
      <w:r w:rsidR="0071168B">
        <w:t>.</w:t>
      </w:r>
    </w:p>
    <w:p w:rsidR="00427FB7" w:rsidRDefault="00427FB7" w:rsidP="00007792">
      <w:pPr>
        <w:pStyle w:val="LDMinuteParagraph"/>
      </w:pPr>
      <w:r>
        <w:t>Division 2 contains 6 sections and deals with International Tonnage Certificates issued under the Navigation Act.</w:t>
      </w:r>
    </w:p>
    <w:p w:rsidR="00736FFF" w:rsidRDefault="00427FB7" w:rsidP="00007792">
      <w:pPr>
        <w:pStyle w:val="LDMinuteParagraph"/>
      </w:pPr>
      <w:r>
        <w:t>Section 8 sets out the certificate requirement for a regulated Australian vessel to which the Tonnage Convention applies, or would apply if engaged on international voyages.</w:t>
      </w:r>
    </w:p>
    <w:p w:rsidR="0066489B" w:rsidRDefault="00427FB7" w:rsidP="00007792">
      <w:pPr>
        <w:pStyle w:val="LDMinuteParagraph"/>
      </w:pPr>
      <w:r>
        <w:t>Section 9</w:t>
      </w:r>
      <w:r w:rsidR="00736FFF">
        <w:t xml:space="preserve"> provides </w:t>
      </w:r>
      <w:r>
        <w:t>matters concerning an application for an International Tonnage Certificate (1969)</w:t>
      </w:r>
      <w:r w:rsidR="004144B3">
        <w:t>.</w:t>
      </w:r>
    </w:p>
    <w:p w:rsidR="00736FFF" w:rsidRDefault="007C0B5D" w:rsidP="00736FFF">
      <w:pPr>
        <w:pStyle w:val="LDMinuteParagraph"/>
      </w:pPr>
      <w:r>
        <w:t>Section 10</w:t>
      </w:r>
      <w:r w:rsidR="00736FFF">
        <w:t xml:space="preserve"> </w:t>
      </w:r>
      <w:r w:rsidR="00427FB7">
        <w:t>sets out the criteria for the issue of an International Tonnage Certificate (1969).</w:t>
      </w:r>
    </w:p>
    <w:p w:rsidR="007C0B5D" w:rsidRDefault="007C0B5D" w:rsidP="00736FFF">
      <w:pPr>
        <w:pStyle w:val="LDMinuteParagraph"/>
      </w:pPr>
      <w:r>
        <w:t>Section 11 sets out the condition attaching to an International Tonnage Certificate (1969).</w:t>
      </w:r>
    </w:p>
    <w:p w:rsidR="00736FFF" w:rsidRDefault="007C5D2F" w:rsidP="00736FFF">
      <w:pPr>
        <w:pStyle w:val="LDMinuteParagraph"/>
      </w:pPr>
      <w:r>
        <w:t>Section 12</w:t>
      </w:r>
      <w:r w:rsidR="00B67946">
        <w:t xml:space="preserve"> </w:t>
      </w:r>
      <w:r w:rsidR="00427FB7">
        <w:t>sets out matters concerning the duration of an International Tonnage Certificate (1969)</w:t>
      </w:r>
      <w:r w:rsidR="00B67946">
        <w:t>.</w:t>
      </w:r>
    </w:p>
    <w:p w:rsidR="00B67946" w:rsidRDefault="007C5D2F" w:rsidP="00007792">
      <w:pPr>
        <w:pStyle w:val="LDMinuteParagraph"/>
      </w:pPr>
      <w:r>
        <w:t>Section 13</w:t>
      </w:r>
      <w:r w:rsidR="00B67946">
        <w:t xml:space="preserve"> </w:t>
      </w:r>
      <w:r w:rsidR="0006189B">
        <w:t>sets out certificate revocation matters</w:t>
      </w:r>
      <w:r w:rsidR="00B67946">
        <w:t>.</w:t>
      </w:r>
    </w:p>
    <w:p w:rsidR="00B67946" w:rsidRDefault="00B67946" w:rsidP="00007792">
      <w:pPr>
        <w:pStyle w:val="LDMinuteParagraph"/>
      </w:pPr>
      <w:r>
        <w:t xml:space="preserve">Division 3 </w:t>
      </w:r>
      <w:r w:rsidR="0049360B">
        <w:t xml:space="preserve">contains </w:t>
      </w:r>
      <w:r w:rsidR="007C0B5D">
        <w:t>1 section only. Section 14</w:t>
      </w:r>
      <w:r w:rsidR="0006189B">
        <w:t xml:space="preserve"> deals with certificate requirements for foreign vessels.</w:t>
      </w:r>
    </w:p>
    <w:p w:rsidR="007C5D2F" w:rsidRDefault="0006189B" w:rsidP="007C5D2F">
      <w:pPr>
        <w:pStyle w:val="LDMinuteParagraph"/>
      </w:pPr>
      <w:r>
        <w:lastRenderedPageBreak/>
        <w:t>Division 4</w:t>
      </w:r>
      <w:r w:rsidR="007C5D2F">
        <w:t xml:space="preserve"> contains 1 section only. </w:t>
      </w:r>
      <w:r w:rsidR="007C0B5D">
        <w:t>Section 15</w:t>
      </w:r>
      <w:r>
        <w:t xml:space="preserve"> sets out matters concerning tonnage measurement under repealed regulations and the recognition of that measurement for the purpose of SOLAS and MARPOL</w:t>
      </w:r>
      <w:r w:rsidR="007C5D2F">
        <w:t>.</w:t>
      </w:r>
    </w:p>
    <w:p w:rsidR="00990056" w:rsidRDefault="00990056" w:rsidP="00007792">
      <w:pPr>
        <w:pStyle w:val="LDAmendHeading"/>
      </w:pPr>
      <w:r>
        <w:t>Compatibility with human rights</w:t>
      </w:r>
    </w:p>
    <w:p w:rsidR="004E3842" w:rsidRPr="00B67946" w:rsidRDefault="00E2679C" w:rsidP="00990056">
      <w:pPr>
        <w:pStyle w:val="LDMinuteParagraph"/>
      </w:pPr>
      <w:r>
        <w:t>This statement is made for subsection 9(1) of the</w:t>
      </w:r>
      <w:r>
        <w:rPr>
          <w:i/>
        </w:rPr>
        <w:t xml:space="preserve"> Human Rights (Parliamentary Scrutiny) Act 2011</w:t>
      </w:r>
      <w:r w:rsidR="00F8601E">
        <w:rPr>
          <w:i/>
        </w:rPr>
        <w:t>.</w:t>
      </w:r>
    </w:p>
    <w:p w:rsidR="00F15E19" w:rsidRDefault="00F15E19" w:rsidP="00FC20F7">
      <w:pPr>
        <w:pStyle w:val="LDMinuteParagraph"/>
        <w:tabs>
          <w:tab w:val="num" w:pos="0"/>
        </w:tabs>
      </w:pPr>
      <w:r>
        <w:t xml:space="preserve">This Order is made under the </w:t>
      </w:r>
      <w:r w:rsidRPr="00F15E19">
        <w:t>Navigation Act</w:t>
      </w:r>
      <w:r w:rsidR="00BB0718">
        <w:t xml:space="preserve"> a</w:t>
      </w:r>
      <w:r w:rsidR="009E2A3F">
        <w:t xml:space="preserve">nd gives effect </w:t>
      </w:r>
      <w:r w:rsidR="0006189B">
        <w:t>to Australia’s international obligations under the Tonnage Convention</w:t>
      </w:r>
      <w:r w:rsidR="00BB0718">
        <w:t>.</w:t>
      </w:r>
    </w:p>
    <w:p w:rsidR="0006189B" w:rsidRDefault="0006189B" w:rsidP="00FC20F7">
      <w:pPr>
        <w:pStyle w:val="LDMinuteParagraph"/>
        <w:tabs>
          <w:tab w:val="num" w:pos="0"/>
        </w:tabs>
      </w:pPr>
      <w:r>
        <w:t xml:space="preserve">This Order </w:t>
      </w:r>
      <w:r w:rsidR="00A35437">
        <w:t>implements a tonnage measurement system for vessels</w:t>
      </w:r>
      <w:r>
        <w:t>.</w:t>
      </w:r>
      <w:r w:rsidR="00BC2852">
        <w:t xml:space="preserve"> </w:t>
      </w:r>
      <w:r w:rsidR="00BC2852" w:rsidRPr="00BC2852">
        <w:rPr>
          <w:szCs w:val="24"/>
        </w:rPr>
        <w:t xml:space="preserve">This instrument does not engage any of the applicable rights or freedoms recognised or declared in the international instruments listed in section 3 of the </w:t>
      </w:r>
      <w:r w:rsidR="00BC2852" w:rsidRPr="00BC2852">
        <w:rPr>
          <w:i/>
          <w:iCs/>
          <w:szCs w:val="24"/>
        </w:rPr>
        <w:t>Human Rights (Parliamentary Scrutiny) Act 2011.</w:t>
      </w:r>
    </w:p>
    <w:p w:rsidR="00990056" w:rsidRDefault="00990056" w:rsidP="00990056">
      <w:pPr>
        <w:pStyle w:val="LDMinuteParagraph"/>
      </w:pPr>
      <w:r>
        <w:t xml:space="preserve">AMSA considers that this instrument is compatible with human rights. It does not affect any rights or freedoms to which the </w:t>
      </w:r>
      <w:r>
        <w:rPr>
          <w:i/>
        </w:rPr>
        <w:t>Human Rights (Parliamentary Scrutiny) Act 2011</w:t>
      </w:r>
      <w:r>
        <w:t xml:space="preserve"> applies.</w:t>
      </w:r>
    </w:p>
    <w:p w:rsidR="00007792" w:rsidRPr="009B015D" w:rsidRDefault="00007792" w:rsidP="00007792">
      <w:pPr>
        <w:pStyle w:val="LDAmendHeading"/>
      </w:pPr>
      <w:r>
        <w:t xml:space="preserve">Making the </w:t>
      </w:r>
      <w:r w:rsidR="007005C4">
        <w:t>instrument</w:t>
      </w:r>
    </w:p>
    <w:p w:rsidR="00506142" w:rsidRPr="00B4479A" w:rsidRDefault="003B2EEF" w:rsidP="00506142">
      <w:pPr>
        <w:pStyle w:val="LDMinuteParagraph"/>
      </w:pPr>
      <w:r w:rsidRPr="00B4479A">
        <w:t>Th</w:t>
      </w:r>
      <w:r w:rsidR="007005C4">
        <w:t>is instrument</w:t>
      </w:r>
      <w:r w:rsidRPr="00B4479A">
        <w:t xml:space="preserve"> has been made by the </w:t>
      </w:r>
      <w:r w:rsidR="00453CCF">
        <w:t xml:space="preserve">Acting </w:t>
      </w:r>
      <w:r w:rsidRPr="00B4479A">
        <w:t xml:space="preserve">Chief Executive </w:t>
      </w:r>
      <w:r w:rsidR="009B015D">
        <w:t>Officer of the Australian Maritime Safety Authority</w:t>
      </w:r>
      <w:r w:rsidRPr="00B4479A">
        <w:t>, in accordance with su</w:t>
      </w:r>
      <w:r w:rsidR="00A302C2">
        <w:t>bsec</w:t>
      </w:r>
      <w:r w:rsidRPr="00B4479A">
        <w:t xml:space="preserve">tion </w:t>
      </w:r>
      <w:r w:rsidR="007005C4">
        <w:t>49</w:t>
      </w:r>
      <w:r w:rsidR="00A302C2">
        <w:t>(4</w:t>
      </w:r>
      <w:r w:rsidRPr="00B4479A">
        <w:t xml:space="preserve">) of </w:t>
      </w:r>
      <w:r w:rsidR="00A302C2">
        <w:t xml:space="preserve">the </w:t>
      </w:r>
      <w:r w:rsidR="00A302C2">
        <w:rPr>
          <w:i/>
        </w:rPr>
        <w:t xml:space="preserve">Australian Maritime </w:t>
      </w:r>
      <w:r w:rsidR="004250D2">
        <w:rPr>
          <w:i/>
        </w:rPr>
        <w:t xml:space="preserve">Safety </w:t>
      </w:r>
      <w:r w:rsidR="00A302C2">
        <w:rPr>
          <w:i/>
        </w:rPr>
        <w:t>Authority Act 1990</w:t>
      </w:r>
      <w:r w:rsidR="007C0B5D">
        <w:t xml:space="preserve"> and paragraph 33A(e) of the </w:t>
      </w:r>
      <w:r w:rsidR="007C0B5D">
        <w:rPr>
          <w:i/>
        </w:rPr>
        <w:t>Acts Interpretation Act 1901.</w:t>
      </w:r>
    </w:p>
    <w:sectPr w:rsidR="00506142" w:rsidRPr="00B4479A" w:rsidSect="00270686">
      <w:headerReference w:type="even" r:id="rId8"/>
      <w:headerReference w:type="default" r:id="rId9"/>
      <w:footerReference w:type="even" r:id="rId10"/>
      <w:footerReference w:type="default" r:id="rId11"/>
      <w:headerReference w:type="first" r:id="rId12"/>
      <w:footerReference w:type="first" r:id="rId13"/>
      <w:pgSz w:w="11906" w:h="16838"/>
      <w:pgMar w:top="899" w:right="1800" w:bottom="539"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43" w:rsidRDefault="00AA7143">
      <w:r>
        <w:separator/>
      </w:r>
    </w:p>
  </w:endnote>
  <w:endnote w:type="continuationSeparator" w:id="0">
    <w:p w:rsidR="00AA7143" w:rsidRDefault="00AA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143" w:rsidRDefault="00AA7143" w:rsidP="00760EAE">
    <w:pPr>
      <w:framePr w:wrap="around" w:vAnchor="text" w:hAnchor="margin" w:xAlign="right" w:y="1"/>
    </w:pPr>
    <w:r>
      <w:fldChar w:fldCharType="begin"/>
    </w:r>
    <w:r>
      <w:instrText xml:space="preserve">PAGE  </w:instrText>
    </w:r>
    <w:r>
      <w:fldChar w:fldCharType="end"/>
    </w:r>
  </w:p>
  <w:p w:rsidR="00AA7143" w:rsidRDefault="00AA7143" w:rsidP="00B4479A">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143" w:rsidRPr="00506142" w:rsidRDefault="00442670" w:rsidP="00506142">
    <w:pPr>
      <w:pStyle w:val="Footer"/>
      <w:pBdr>
        <w:top w:val="single" w:sz="4" w:space="1" w:color="auto"/>
      </w:pBdr>
      <w:rPr>
        <w:rFonts w:ascii="Arial" w:hAnsi="Arial" w:cs="Arial"/>
        <w:sz w:val="16"/>
        <w:szCs w:val="16"/>
      </w:rPr>
    </w:pPr>
    <w:r w:rsidRPr="0051436B">
      <w:rPr>
        <w:i/>
        <w:sz w:val="20"/>
        <w:szCs w:val="20"/>
      </w:rPr>
      <w:t>Marine Order 19 (Tonnage measurement) 2014</w:t>
    </w:r>
    <w:r w:rsidR="00AA7143">
      <w:rPr>
        <w:rFonts w:ascii="Arial" w:hAnsi="Arial" w:cs="Arial"/>
        <w:sz w:val="16"/>
        <w:szCs w:val="16"/>
      </w:rPr>
      <w:tab/>
    </w:r>
    <w:r w:rsidR="00AA7143" w:rsidRPr="00DE2A5F">
      <w:rPr>
        <w:rStyle w:val="PageNumber"/>
        <w:rFonts w:ascii="Arial" w:hAnsi="Arial" w:cs="Arial"/>
        <w:sz w:val="16"/>
        <w:szCs w:val="16"/>
      </w:rPr>
      <w:fldChar w:fldCharType="begin"/>
    </w:r>
    <w:r w:rsidR="00AA7143" w:rsidRPr="00DE2A5F">
      <w:rPr>
        <w:rStyle w:val="PageNumber"/>
        <w:rFonts w:ascii="Arial" w:hAnsi="Arial" w:cs="Arial"/>
        <w:sz w:val="16"/>
        <w:szCs w:val="16"/>
      </w:rPr>
      <w:instrText xml:space="preserve"> PAGE </w:instrText>
    </w:r>
    <w:r w:rsidR="00AA7143" w:rsidRPr="00DE2A5F">
      <w:rPr>
        <w:rStyle w:val="PageNumber"/>
        <w:rFonts w:ascii="Arial" w:hAnsi="Arial" w:cs="Arial"/>
        <w:sz w:val="16"/>
        <w:szCs w:val="16"/>
      </w:rPr>
      <w:fldChar w:fldCharType="separate"/>
    </w:r>
    <w:r w:rsidR="00E90ECE">
      <w:rPr>
        <w:rStyle w:val="PageNumber"/>
        <w:rFonts w:ascii="Arial" w:hAnsi="Arial" w:cs="Arial"/>
        <w:noProof/>
        <w:sz w:val="16"/>
        <w:szCs w:val="16"/>
      </w:rPr>
      <w:t>3</w:t>
    </w:r>
    <w:r w:rsidR="00AA7143" w:rsidRPr="00DE2A5F">
      <w:rPr>
        <w:rStyle w:val="PageNumbe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CE" w:rsidRDefault="00E90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43" w:rsidRDefault="00AA7143">
      <w:r>
        <w:separator/>
      </w:r>
    </w:p>
  </w:footnote>
  <w:footnote w:type="continuationSeparator" w:id="0">
    <w:p w:rsidR="00AA7143" w:rsidRDefault="00AA7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143" w:rsidRDefault="00AA7143" w:rsidP="00545B58">
    <w:pPr>
      <w:framePr w:wrap="around" w:vAnchor="text" w:hAnchor="margin" w:xAlign="center" w:y="1"/>
    </w:pPr>
    <w:r>
      <w:fldChar w:fldCharType="begin"/>
    </w:r>
    <w:r>
      <w:instrText xml:space="preserve">PAGE  </w:instrText>
    </w:r>
    <w:r>
      <w:fldChar w:fldCharType="end"/>
    </w:r>
  </w:p>
  <w:p w:rsidR="00AA7143" w:rsidRDefault="00AA71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CE" w:rsidRDefault="00E90E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ECE" w:rsidRDefault="00E90E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A18"/>
    <w:multiLevelType w:val="hybridMultilevel"/>
    <w:tmpl w:val="E4BA2FCE"/>
    <w:lvl w:ilvl="0" w:tplc="C3BA677E">
      <w:start w:val="1"/>
      <w:numFmt w:val="lowerRoman"/>
      <w:lvlText w:val="(%1)"/>
      <w:lvlJc w:val="left"/>
      <w:pPr>
        <w:ind w:left="1447" w:hanging="720"/>
      </w:pPr>
      <w:rPr>
        <w:rFonts w:hint="default"/>
      </w:rPr>
    </w:lvl>
    <w:lvl w:ilvl="1" w:tplc="0C090019" w:tentative="1">
      <w:start w:val="1"/>
      <w:numFmt w:val="lowerLetter"/>
      <w:lvlText w:val="%2."/>
      <w:lvlJc w:val="left"/>
      <w:pPr>
        <w:ind w:left="1807" w:hanging="360"/>
      </w:pPr>
    </w:lvl>
    <w:lvl w:ilvl="2" w:tplc="0C09001B" w:tentative="1">
      <w:start w:val="1"/>
      <w:numFmt w:val="lowerRoman"/>
      <w:lvlText w:val="%3."/>
      <w:lvlJc w:val="right"/>
      <w:pPr>
        <w:ind w:left="2527" w:hanging="180"/>
      </w:pPr>
    </w:lvl>
    <w:lvl w:ilvl="3" w:tplc="0C09000F" w:tentative="1">
      <w:start w:val="1"/>
      <w:numFmt w:val="decimal"/>
      <w:lvlText w:val="%4."/>
      <w:lvlJc w:val="left"/>
      <w:pPr>
        <w:ind w:left="3247" w:hanging="360"/>
      </w:pPr>
    </w:lvl>
    <w:lvl w:ilvl="4" w:tplc="0C090019" w:tentative="1">
      <w:start w:val="1"/>
      <w:numFmt w:val="lowerLetter"/>
      <w:lvlText w:val="%5."/>
      <w:lvlJc w:val="left"/>
      <w:pPr>
        <w:ind w:left="3967" w:hanging="360"/>
      </w:pPr>
    </w:lvl>
    <w:lvl w:ilvl="5" w:tplc="0C09001B" w:tentative="1">
      <w:start w:val="1"/>
      <w:numFmt w:val="lowerRoman"/>
      <w:lvlText w:val="%6."/>
      <w:lvlJc w:val="right"/>
      <w:pPr>
        <w:ind w:left="4687" w:hanging="180"/>
      </w:pPr>
    </w:lvl>
    <w:lvl w:ilvl="6" w:tplc="0C09000F" w:tentative="1">
      <w:start w:val="1"/>
      <w:numFmt w:val="decimal"/>
      <w:lvlText w:val="%7."/>
      <w:lvlJc w:val="left"/>
      <w:pPr>
        <w:ind w:left="5407" w:hanging="360"/>
      </w:pPr>
    </w:lvl>
    <w:lvl w:ilvl="7" w:tplc="0C090019" w:tentative="1">
      <w:start w:val="1"/>
      <w:numFmt w:val="lowerLetter"/>
      <w:lvlText w:val="%8."/>
      <w:lvlJc w:val="left"/>
      <w:pPr>
        <w:ind w:left="6127" w:hanging="360"/>
      </w:pPr>
    </w:lvl>
    <w:lvl w:ilvl="8" w:tplc="0C09001B" w:tentative="1">
      <w:start w:val="1"/>
      <w:numFmt w:val="lowerRoman"/>
      <w:lvlText w:val="%9."/>
      <w:lvlJc w:val="right"/>
      <w:pPr>
        <w:ind w:left="6847" w:hanging="180"/>
      </w:pPr>
    </w:lvl>
  </w:abstractNum>
  <w:abstractNum w:abstractNumId="1">
    <w:nsid w:val="286E2EF5"/>
    <w:multiLevelType w:val="hybridMultilevel"/>
    <w:tmpl w:val="15E41B30"/>
    <w:lvl w:ilvl="0" w:tplc="4600DD6A">
      <w:start w:val="1"/>
      <w:numFmt w:val="decimal"/>
      <w:pStyle w:val="LDMinuteParagraph"/>
      <w:lvlText w:val="%1."/>
      <w:lvlJc w:val="left"/>
      <w:pPr>
        <w:tabs>
          <w:tab w:val="num" w:pos="142"/>
        </w:tabs>
        <w:ind w:left="142" w:firstLine="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39204E80"/>
    <w:multiLevelType w:val="hybridMultilevel"/>
    <w:tmpl w:val="74208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DAD2CCC"/>
    <w:multiLevelType w:val="hybridMultilevel"/>
    <w:tmpl w:val="A230B138"/>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4">
    <w:nsid w:val="74566AD1"/>
    <w:multiLevelType w:val="hybridMultilevel"/>
    <w:tmpl w:val="E4BA2FCE"/>
    <w:lvl w:ilvl="0" w:tplc="C3BA677E">
      <w:start w:val="1"/>
      <w:numFmt w:val="lowerRoman"/>
      <w:lvlText w:val="(%1)"/>
      <w:lvlJc w:val="left"/>
      <w:pPr>
        <w:ind w:left="1447" w:hanging="720"/>
      </w:pPr>
      <w:rPr>
        <w:rFonts w:hint="default"/>
      </w:rPr>
    </w:lvl>
    <w:lvl w:ilvl="1" w:tplc="0C090019" w:tentative="1">
      <w:start w:val="1"/>
      <w:numFmt w:val="lowerLetter"/>
      <w:lvlText w:val="%2."/>
      <w:lvlJc w:val="left"/>
      <w:pPr>
        <w:ind w:left="1807" w:hanging="360"/>
      </w:pPr>
    </w:lvl>
    <w:lvl w:ilvl="2" w:tplc="0C09001B" w:tentative="1">
      <w:start w:val="1"/>
      <w:numFmt w:val="lowerRoman"/>
      <w:lvlText w:val="%3."/>
      <w:lvlJc w:val="right"/>
      <w:pPr>
        <w:ind w:left="2527" w:hanging="180"/>
      </w:pPr>
    </w:lvl>
    <w:lvl w:ilvl="3" w:tplc="0C09000F" w:tentative="1">
      <w:start w:val="1"/>
      <w:numFmt w:val="decimal"/>
      <w:lvlText w:val="%4."/>
      <w:lvlJc w:val="left"/>
      <w:pPr>
        <w:ind w:left="3247" w:hanging="360"/>
      </w:pPr>
    </w:lvl>
    <w:lvl w:ilvl="4" w:tplc="0C090019" w:tentative="1">
      <w:start w:val="1"/>
      <w:numFmt w:val="lowerLetter"/>
      <w:lvlText w:val="%5."/>
      <w:lvlJc w:val="left"/>
      <w:pPr>
        <w:ind w:left="3967" w:hanging="360"/>
      </w:pPr>
    </w:lvl>
    <w:lvl w:ilvl="5" w:tplc="0C09001B" w:tentative="1">
      <w:start w:val="1"/>
      <w:numFmt w:val="lowerRoman"/>
      <w:lvlText w:val="%6."/>
      <w:lvlJc w:val="right"/>
      <w:pPr>
        <w:ind w:left="4687" w:hanging="180"/>
      </w:pPr>
    </w:lvl>
    <w:lvl w:ilvl="6" w:tplc="0C09000F" w:tentative="1">
      <w:start w:val="1"/>
      <w:numFmt w:val="decimal"/>
      <w:lvlText w:val="%7."/>
      <w:lvlJc w:val="left"/>
      <w:pPr>
        <w:ind w:left="5407" w:hanging="360"/>
      </w:pPr>
    </w:lvl>
    <w:lvl w:ilvl="7" w:tplc="0C090019" w:tentative="1">
      <w:start w:val="1"/>
      <w:numFmt w:val="lowerLetter"/>
      <w:lvlText w:val="%8."/>
      <w:lvlJc w:val="left"/>
      <w:pPr>
        <w:ind w:left="6127" w:hanging="360"/>
      </w:pPr>
    </w:lvl>
    <w:lvl w:ilvl="8" w:tplc="0C09001B" w:tentative="1">
      <w:start w:val="1"/>
      <w:numFmt w:val="lowerRoman"/>
      <w:lvlText w:val="%9."/>
      <w:lvlJc w:val="right"/>
      <w:pPr>
        <w:ind w:left="6847"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46"/>
    <w:rsid w:val="00007792"/>
    <w:rsid w:val="00034530"/>
    <w:rsid w:val="000479EC"/>
    <w:rsid w:val="0006189B"/>
    <w:rsid w:val="0006314D"/>
    <w:rsid w:val="00083A6A"/>
    <w:rsid w:val="0010381F"/>
    <w:rsid w:val="00116403"/>
    <w:rsid w:val="00147CFF"/>
    <w:rsid w:val="00165FFA"/>
    <w:rsid w:val="001710F5"/>
    <w:rsid w:val="00173281"/>
    <w:rsid w:val="00187967"/>
    <w:rsid w:val="00196757"/>
    <w:rsid w:val="001D419C"/>
    <w:rsid w:val="001D53A6"/>
    <w:rsid w:val="001F02B3"/>
    <w:rsid w:val="00255D36"/>
    <w:rsid w:val="00270686"/>
    <w:rsid w:val="00296E83"/>
    <w:rsid w:val="002D7C61"/>
    <w:rsid w:val="002E0E8E"/>
    <w:rsid w:val="003141EB"/>
    <w:rsid w:val="00317AE8"/>
    <w:rsid w:val="00321E86"/>
    <w:rsid w:val="0032325C"/>
    <w:rsid w:val="0033718F"/>
    <w:rsid w:val="00346D0C"/>
    <w:rsid w:val="003B2EEF"/>
    <w:rsid w:val="003C0D84"/>
    <w:rsid w:val="003E4B8E"/>
    <w:rsid w:val="00413F57"/>
    <w:rsid w:val="004144B3"/>
    <w:rsid w:val="00422775"/>
    <w:rsid w:val="004250D2"/>
    <w:rsid w:val="00427FB7"/>
    <w:rsid w:val="00430134"/>
    <w:rsid w:val="00432C95"/>
    <w:rsid w:val="00442670"/>
    <w:rsid w:val="004511D5"/>
    <w:rsid w:val="00453CCF"/>
    <w:rsid w:val="00481043"/>
    <w:rsid w:val="0049360B"/>
    <w:rsid w:val="004B55BC"/>
    <w:rsid w:val="004C481D"/>
    <w:rsid w:val="004E3842"/>
    <w:rsid w:val="004E48BF"/>
    <w:rsid w:val="004F40C1"/>
    <w:rsid w:val="00506142"/>
    <w:rsid w:val="0051436B"/>
    <w:rsid w:val="00524E04"/>
    <w:rsid w:val="00545B58"/>
    <w:rsid w:val="0059453C"/>
    <w:rsid w:val="0059658F"/>
    <w:rsid w:val="005B52F3"/>
    <w:rsid w:val="005C1A63"/>
    <w:rsid w:val="005F3B6C"/>
    <w:rsid w:val="0066489B"/>
    <w:rsid w:val="00693254"/>
    <w:rsid w:val="00697B63"/>
    <w:rsid w:val="006A2BE0"/>
    <w:rsid w:val="006A4EC8"/>
    <w:rsid w:val="006A6E0B"/>
    <w:rsid w:val="006B4921"/>
    <w:rsid w:val="006C119E"/>
    <w:rsid w:val="006D030A"/>
    <w:rsid w:val="006E2A8C"/>
    <w:rsid w:val="007005C4"/>
    <w:rsid w:val="0071168B"/>
    <w:rsid w:val="00736FFF"/>
    <w:rsid w:val="0073794C"/>
    <w:rsid w:val="00747ED8"/>
    <w:rsid w:val="00760EAE"/>
    <w:rsid w:val="00796BBC"/>
    <w:rsid w:val="007C0B5D"/>
    <w:rsid w:val="007C5D2F"/>
    <w:rsid w:val="007E2790"/>
    <w:rsid w:val="007E4842"/>
    <w:rsid w:val="0085034C"/>
    <w:rsid w:val="008607CF"/>
    <w:rsid w:val="008969FF"/>
    <w:rsid w:val="008D563E"/>
    <w:rsid w:val="008E2884"/>
    <w:rsid w:val="009030D5"/>
    <w:rsid w:val="00904A85"/>
    <w:rsid w:val="00974171"/>
    <w:rsid w:val="00990056"/>
    <w:rsid w:val="009930DC"/>
    <w:rsid w:val="009A3D84"/>
    <w:rsid w:val="009B015D"/>
    <w:rsid w:val="009B2616"/>
    <w:rsid w:val="009C3750"/>
    <w:rsid w:val="009E2A3F"/>
    <w:rsid w:val="009F7B4D"/>
    <w:rsid w:val="00A302C2"/>
    <w:rsid w:val="00A338C9"/>
    <w:rsid w:val="00A346B9"/>
    <w:rsid w:val="00A35437"/>
    <w:rsid w:val="00A42FE5"/>
    <w:rsid w:val="00A53961"/>
    <w:rsid w:val="00AA3689"/>
    <w:rsid w:val="00AA7143"/>
    <w:rsid w:val="00AD3979"/>
    <w:rsid w:val="00AF16BD"/>
    <w:rsid w:val="00B1667C"/>
    <w:rsid w:val="00B17F50"/>
    <w:rsid w:val="00B36E48"/>
    <w:rsid w:val="00B4479A"/>
    <w:rsid w:val="00B67946"/>
    <w:rsid w:val="00B81AC2"/>
    <w:rsid w:val="00B8266B"/>
    <w:rsid w:val="00B86A59"/>
    <w:rsid w:val="00B95AA1"/>
    <w:rsid w:val="00B95EA6"/>
    <w:rsid w:val="00B97324"/>
    <w:rsid w:val="00BA6239"/>
    <w:rsid w:val="00BB0718"/>
    <w:rsid w:val="00BB6EA6"/>
    <w:rsid w:val="00BC2852"/>
    <w:rsid w:val="00C04014"/>
    <w:rsid w:val="00C061DE"/>
    <w:rsid w:val="00C42B38"/>
    <w:rsid w:val="00C82C66"/>
    <w:rsid w:val="00CD63EE"/>
    <w:rsid w:val="00CF6C92"/>
    <w:rsid w:val="00D14039"/>
    <w:rsid w:val="00D37A0B"/>
    <w:rsid w:val="00D60F7F"/>
    <w:rsid w:val="00D740FD"/>
    <w:rsid w:val="00DB23FD"/>
    <w:rsid w:val="00DE0050"/>
    <w:rsid w:val="00DE2E3D"/>
    <w:rsid w:val="00DE5C43"/>
    <w:rsid w:val="00DE752E"/>
    <w:rsid w:val="00E118EB"/>
    <w:rsid w:val="00E14DCC"/>
    <w:rsid w:val="00E2679C"/>
    <w:rsid w:val="00E576E4"/>
    <w:rsid w:val="00E90ECA"/>
    <w:rsid w:val="00E90ECE"/>
    <w:rsid w:val="00EE313B"/>
    <w:rsid w:val="00EE71A2"/>
    <w:rsid w:val="00F03023"/>
    <w:rsid w:val="00F0537A"/>
    <w:rsid w:val="00F15E19"/>
    <w:rsid w:val="00F174A2"/>
    <w:rsid w:val="00F54626"/>
    <w:rsid w:val="00F555F3"/>
    <w:rsid w:val="00F63BD0"/>
    <w:rsid w:val="00F660D0"/>
    <w:rsid w:val="00F83864"/>
    <w:rsid w:val="00F8601E"/>
    <w:rsid w:val="00F96E46"/>
    <w:rsid w:val="00FA59F9"/>
    <w:rsid w:val="00FB71D1"/>
    <w:rsid w:val="00FC20F7"/>
    <w:rsid w:val="00FD5D46"/>
    <w:rsid w:val="00FD5DBE"/>
    <w:rsid w:val="00FD7E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Hyperlink">
    <w:name w:val="Hyperlink"/>
    <w:basedOn w:val="DefaultParagraphFont"/>
    <w:rsid w:val="00B17F50"/>
    <w:rPr>
      <w:color w:val="0000FF" w:themeColor="hyperlink"/>
      <w:u w:val="single"/>
    </w:rPr>
  </w:style>
  <w:style w:type="character" w:customStyle="1" w:styleId="LDClauseChar">
    <w:name w:val="LDClause Char"/>
    <w:basedOn w:val="LDBodytextChar"/>
    <w:link w:val="LDClause"/>
    <w:rsid w:val="004C481D"/>
    <w:rPr>
      <w:sz w:val="24"/>
      <w:szCs w:val="24"/>
      <w:lang w:val="en-AU" w:eastAsia="en-US" w:bidi="ar-SA"/>
    </w:rPr>
  </w:style>
  <w:style w:type="character" w:customStyle="1" w:styleId="LDP1aChar">
    <w:name w:val="LDP1(a) Char"/>
    <w:link w:val="LDP1a"/>
    <w:locked/>
    <w:rsid w:val="004C481D"/>
    <w:rPr>
      <w:sz w:val="24"/>
      <w:szCs w:val="24"/>
      <w:lang w:eastAsia="en-US"/>
    </w:rPr>
  </w:style>
  <w:style w:type="character" w:customStyle="1" w:styleId="CharSectNo">
    <w:name w:val="CharSectNo"/>
    <w:rsid w:val="00AA714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9030D5"/>
    <w:pPr>
      <w:spacing w:before="480" w:after="480"/>
    </w:pPr>
    <w:rPr>
      <w:rFonts w:ascii="Arial" w:hAnsi="Arial"/>
      <w:sz w:val="24"/>
      <w:szCs w:val="24"/>
      <w:lang w:eastAsia="en-US"/>
    </w:rPr>
  </w:style>
  <w:style w:type="paragraph" w:customStyle="1" w:styleId="LDDescription">
    <w:name w:val="LD Description"/>
    <w:basedOn w:val="LDTitle"/>
    <w:rsid w:val="009030D5"/>
    <w:pPr>
      <w:pBdr>
        <w:bottom w:val="single" w:sz="4" w:space="3" w:color="auto"/>
      </w:pBdr>
      <w:spacing w:before="600" w:after="120"/>
    </w:pPr>
    <w:rPr>
      <w:b/>
    </w:rPr>
  </w:style>
  <w:style w:type="paragraph" w:customStyle="1" w:styleId="LDAmendHeading">
    <w:name w:val="LDAmendHeading"/>
    <w:basedOn w:val="LDTitle"/>
    <w:next w:val="LDAmendInstruction"/>
    <w:rsid w:val="009030D5"/>
    <w:pPr>
      <w:keepNext/>
      <w:spacing w:before="180" w:after="60"/>
      <w:ind w:left="720" w:hanging="720"/>
    </w:pPr>
    <w:rPr>
      <w:b/>
    </w:rPr>
  </w:style>
  <w:style w:type="paragraph" w:customStyle="1" w:styleId="LDBodytext">
    <w:name w:val="LDBody text"/>
    <w:link w:val="LDBodytextChar"/>
    <w:rsid w:val="009030D5"/>
    <w:rPr>
      <w:sz w:val="24"/>
      <w:szCs w:val="24"/>
      <w:lang w:eastAsia="en-US"/>
    </w:rPr>
  </w:style>
  <w:style w:type="paragraph" w:customStyle="1" w:styleId="LDClause">
    <w:name w:val="LDClause"/>
    <w:basedOn w:val="LDBodytext"/>
    <w:link w:val="LDClauseChar"/>
    <w:rsid w:val="009030D5"/>
    <w:pPr>
      <w:tabs>
        <w:tab w:val="right" w:pos="454"/>
        <w:tab w:val="left" w:pos="737"/>
      </w:tabs>
      <w:spacing w:before="60" w:after="60"/>
      <w:ind w:left="737" w:hanging="1021"/>
    </w:pPr>
  </w:style>
  <w:style w:type="paragraph" w:customStyle="1" w:styleId="LDScheduleClause">
    <w:name w:val="LDScheduleClause"/>
    <w:basedOn w:val="LDClause"/>
    <w:rsid w:val="009030D5"/>
    <w:pPr>
      <w:ind w:left="738" w:hanging="851"/>
    </w:pPr>
  </w:style>
  <w:style w:type="paragraph" w:customStyle="1" w:styleId="LDAmendInstruction">
    <w:name w:val="LDAmendInstruction"/>
    <w:basedOn w:val="LDScheduleClause"/>
    <w:next w:val="LDAmendText"/>
    <w:rsid w:val="009030D5"/>
    <w:pPr>
      <w:keepNext/>
      <w:spacing w:before="120"/>
      <w:ind w:left="737" w:firstLine="0"/>
    </w:pPr>
    <w:rPr>
      <w:i/>
    </w:rPr>
  </w:style>
  <w:style w:type="paragraph" w:customStyle="1" w:styleId="LDAmendText">
    <w:name w:val="LDAmendText"/>
    <w:basedOn w:val="LDBodytext"/>
    <w:next w:val="LDAmendInstruction"/>
    <w:rsid w:val="009030D5"/>
    <w:pPr>
      <w:spacing w:before="60" w:after="60"/>
      <w:ind w:left="964"/>
    </w:pPr>
  </w:style>
  <w:style w:type="character" w:customStyle="1" w:styleId="LDBodytextChar">
    <w:name w:val="LDBody text Char"/>
    <w:basedOn w:val="DefaultParagraphFont"/>
    <w:link w:val="LDBodytext"/>
    <w:rsid w:val="009030D5"/>
    <w:rPr>
      <w:sz w:val="24"/>
      <w:szCs w:val="24"/>
      <w:lang w:val="en-AU" w:eastAsia="en-US" w:bidi="ar-SA"/>
    </w:rPr>
  </w:style>
  <w:style w:type="character" w:customStyle="1" w:styleId="LDCitation">
    <w:name w:val="LDCitation"/>
    <w:basedOn w:val="DefaultParagraphFont"/>
    <w:rsid w:val="009030D5"/>
    <w:rPr>
      <w:i/>
      <w:iCs/>
    </w:rPr>
  </w:style>
  <w:style w:type="paragraph" w:customStyle="1" w:styleId="LDClauseHeading">
    <w:name w:val="LDClauseHeading"/>
    <w:basedOn w:val="LDTitle"/>
    <w:next w:val="LDClause"/>
    <w:rsid w:val="009030D5"/>
    <w:pPr>
      <w:keepNext/>
      <w:tabs>
        <w:tab w:val="left" w:pos="737"/>
      </w:tabs>
      <w:spacing w:before="180" w:after="60"/>
      <w:ind w:left="737" w:hanging="737"/>
    </w:pPr>
    <w:rPr>
      <w:b/>
    </w:rPr>
  </w:style>
  <w:style w:type="paragraph" w:customStyle="1" w:styleId="LDDate">
    <w:name w:val="LDDate"/>
    <w:basedOn w:val="LDBodytext"/>
    <w:rsid w:val="009030D5"/>
    <w:pPr>
      <w:tabs>
        <w:tab w:val="left" w:pos="3402"/>
      </w:tabs>
      <w:spacing w:before="240"/>
    </w:pPr>
  </w:style>
  <w:style w:type="paragraph" w:customStyle="1" w:styleId="LDdefinition">
    <w:name w:val="LDdefinition"/>
    <w:basedOn w:val="LDClause"/>
    <w:rsid w:val="009030D5"/>
    <w:pPr>
      <w:tabs>
        <w:tab w:val="clear" w:pos="454"/>
        <w:tab w:val="clear" w:pos="737"/>
      </w:tabs>
      <w:ind w:firstLine="0"/>
    </w:pPr>
  </w:style>
  <w:style w:type="paragraph" w:customStyle="1" w:styleId="LDEndLine">
    <w:name w:val="LDEndLine"/>
    <w:basedOn w:val="BodyText"/>
    <w:rsid w:val="009030D5"/>
    <w:pPr>
      <w:pBdr>
        <w:bottom w:val="single" w:sz="2" w:space="0" w:color="auto"/>
      </w:pBdr>
      <w:spacing w:after="0"/>
    </w:pPr>
  </w:style>
  <w:style w:type="paragraph" w:styleId="BodyText">
    <w:name w:val="Body Text"/>
    <w:basedOn w:val="Normal"/>
    <w:rsid w:val="00FD5DBE"/>
    <w:pPr>
      <w:spacing w:after="120"/>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9030D5"/>
    <w:pPr>
      <w:spacing w:before="60"/>
    </w:pPr>
  </w:style>
  <w:style w:type="paragraph" w:customStyle="1" w:styleId="LDFooter">
    <w:name w:val="LDFooter"/>
    <w:basedOn w:val="LDBodytext"/>
    <w:rsid w:val="009030D5"/>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basedOn w:val="LDBodytext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9030D5"/>
    <w:pPr>
      <w:ind w:firstLine="0"/>
    </w:pPr>
    <w:rPr>
      <w:sz w:val="20"/>
    </w:rPr>
  </w:style>
  <w:style w:type="paragraph" w:customStyle="1" w:styleId="LDNotePara">
    <w:name w:val="LDNotePara"/>
    <w:basedOn w:val="LDNote"/>
    <w:rsid w:val="009030D5"/>
    <w:pPr>
      <w:tabs>
        <w:tab w:val="clear" w:pos="454"/>
      </w:tabs>
      <w:ind w:left="1701" w:hanging="454"/>
    </w:pPr>
  </w:style>
  <w:style w:type="paragraph" w:customStyle="1" w:styleId="LDP1a">
    <w:name w:val="LDP1(a)"/>
    <w:basedOn w:val="LDClause"/>
    <w:link w:val="LDP1aChar"/>
    <w:rsid w:val="009030D5"/>
    <w:pPr>
      <w:tabs>
        <w:tab w:val="clear" w:pos="454"/>
        <w:tab w:val="clear" w:pos="737"/>
        <w:tab w:val="left" w:pos="1191"/>
      </w:tabs>
      <w:ind w:left="1191" w:hanging="454"/>
    </w:pPr>
  </w:style>
  <w:style w:type="paragraph" w:customStyle="1" w:styleId="LDP2i">
    <w:name w:val="LDP2 (i)"/>
    <w:basedOn w:val="LDP1a"/>
    <w:rsid w:val="009030D5"/>
    <w:pPr>
      <w:tabs>
        <w:tab w:val="clear" w:pos="1191"/>
        <w:tab w:val="right" w:pos="1418"/>
        <w:tab w:val="left" w:pos="1559"/>
      </w:tabs>
      <w:ind w:left="1588" w:hanging="1134"/>
    </w:pPr>
  </w:style>
  <w:style w:type="paragraph" w:customStyle="1" w:styleId="LDP3A">
    <w:name w:val="LDP3 (A)"/>
    <w:basedOn w:val="LDP2i"/>
    <w:rsid w:val="009030D5"/>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9030D5"/>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9030D5"/>
  </w:style>
  <w:style w:type="paragraph" w:customStyle="1" w:styleId="LDSchedSubclHead">
    <w:name w:val="LDSchedSubclHead"/>
    <w:basedOn w:val="LDScheduleClauseHead"/>
    <w:rsid w:val="009030D5"/>
    <w:pPr>
      <w:tabs>
        <w:tab w:val="clear" w:pos="737"/>
        <w:tab w:val="left" w:pos="851"/>
      </w:tabs>
      <w:ind w:left="284"/>
    </w:pPr>
    <w:rPr>
      <w:b w:val="0"/>
    </w:rPr>
  </w:style>
  <w:style w:type="paragraph" w:customStyle="1" w:styleId="LDScheduleheading">
    <w:name w:val="LDSchedule heading"/>
    <w:basedOn w:val="LDTitle"/>
    <w:next w:val="LDBodytext"/>
    <w:rsid w:val="009030D5"/>
    <w:pPr>
      <w:keepNext/>
      <w:tabs>
        <w:tab w:val="left" w:pos="1843"/>
      </w:tabs>
      <w:spacing w:after="120"/>
      <w:ind w:left="1843" w:hanging="1843"/>
    </w:pPr>
    <w:rPr>
      <w:rFonts w:cs="Arial"/>
      <w:b/>
      <w:sz w:val="26"/>
    </w:rPr>
  </w:style>
  <w:style w:type="paragraph" w:customStyle="1" w:styleId="LDSignatory">
    <w:name w:val="LDSignatory"/>
    <w:basedOn w:val="LDBodytext"/>
    <w:next w:val="LDBodytext"/>
    <w:link w:val="LDSignatoryChar"/>
    <w:rsid w:val="009030D5"/>
    <w:pPr>
      <w:keepNext/>
      <w:spacing w:before="1440"/>
    </w:pPr>
  </w:style>
  <w:style w:type="paragraph" w:customStyle="1" w:styleId="LDSubclauseHead">
    <w:name w:val="LDSubclauseHead"/>
    <w:basedOn w:val="LDClauseHeading"/>
    <w:rsid w:val="009030D5"/>
    <w:rPr>
      <w:b w:val="0"/>
    </w:rPr>
  </w:style>
  <w:style w:type="paragraph" w:customStyle="1" w:styleId="LDTableheading">
    <w:name w:val="LDTableheading"/>
    <w:basedOn w:val="LDBodytext"/>
    <w:rsid w:val="009030D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9030D5"/>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E576E4"/>
    <w:pPr>
      <w:numPr>
        <w:numId w:val="1"/>
      </w:numPr>
      <w:tabs>
        <w:tab w:val="left" w:pos="360"/>
      </w:tabs>
      <w:overflowPunct w:val="0"/>
      <w:autoSpaceDE w:val="0"/>
      <w:autoSpaceDN w:val="0"/>
      <w:adjustRightInd w:val="0"/>
      <w:spacing w:after="120"/>
      <w:textAlignment w:val="baseline"/>
    </w:pPr>
    <w:rPr>
      <w:szCs w:val="20"/>
    </w:rPr>
  </w:style>
  <w:style w:type="paragraph" w:styleId="Header">
    <w:name w:val="header"/>
    <w:basedOn w:val="Normal"/>
    <w:rsid w:val="00432C95"/>
    <w:pPr>
      <w:tabs>
        <w:tab w:val="center" w:pos="4153"/>
        <w:tab w:val="right" w:pos="8306"/>
      </w:tabs>
    </w:pPr>
  </w:style>
  <w:style w:type="paragraph" w:styleId="Footer">
    <w:name w:val="footer"/>
    <w:basedOn w:val="Normal"/>
    <w:rsid w:val="00432C95"/>
    <w:pPr>
      <w:tabs>
        <w:tab w:val="center" w:pos="4153"/>
        <w:tab w:val="right" w:pos="8306"/>
      </w:tabs>
    </w:pPr>
  </w:style>
  <w:style w:type="paragraph" w:customStyle="1" w:styleId="LDDivision">
    <w:name w:val="LDDivision"/>
    <w:basedOn w:val="LDBodytext"/>
    <w:next w:val="LDClauseHeading"/>
    <w:rsid w:val="009030D5"/>
    <w:pPr>
      <w:keepNext/>
      <w:keepLines/>
      <w:tabs>
        <w:tab w:val="left" w:pos="1701"/>
      </w:tabs>
      <w:spacing w:before="180" w:after="60"/>
      <w:ind w:left="1701" w:hanging="1701"/>
    </w:pPr>
    <w:rPr>
      <w:rFonts w:ascii="Arial" w:hAnsi="Arial"/>
      <w:b/>
      <w:sz w:val="28"/>
    </w:rPr>
  </w:style>
  <w:style w:type="paragraph" w:customStyle="1" w:styleId="LDpenalty">
    <w:name w:val="LDpenalty"/>
    <w:basedOn w:val="LDClause"/>
    <w:rsid w:val="009030D5"/>
    <w:pPr>
      <w:ind w:left="1134" w:firstLine="0"/>
    </w:pPr>
  </w:style>
  <w:style w:type="paragraph" w:customStyle="1" w:styleId="LDquery">
    <w:name w:val="LDquery"/>
    <w:basedOn w:val="LDClause"/>
    <w:rsid w:val="009030D5"/>
    <w:rPr>
      <w:b/>
      <w:i/>
    </w:rPr>
  </w:style>
  <w:style w:type="character" w:customStyle="1" w:styleId="LDSignatoryChar">
    <w:name w:val="LDSignatory Char"/>
    <w:basedOn w:val="LDBodytextChar"/>
    <w:link w:val="LDSignatory"/>
    <w:rsid w:val="009030D5"/>
    <w:rPr>
      <w:sz w:val="24"/>
      <w:szCs w:val="24"/>
      <w:lang w:val="en-AU" w:eastAsia="en-US" w:bidi="ar-SA"/>
    </w:rPr>
  </w:style>
  <w:style w:type="paragraph" w:customStyle="1" w:styleId="LDSubdivision">
    <w:name w:val="LDSubdivision"/>
    <w:basedOn w:val="LDDivision"/>
    <w:next w:val="LDClauseHeading"/>
    <w:rsid w:val="009030D5"/>
    <w:pPr>
      <w:spacing w:after="240" w:line="260" w:lineRule="atLeast"/>
    </w:pPr>
    <w:rPr>
      <w:i/>
      <w:sz w:val="26"/>
    </w:rPr>
  </w:style>
  <w:style w:type="paragraph" w:customStyle="1" w:styleId="LDTablespace">
    <w:name w:val="LDTablespace"/>
    <w:basedOn w:val="LDBodytext"/>
    <w:rsid w:val="009030D5"/>
    <w:pPr>
      <w:spacing w:before="120"/>
    </w:pPr>
  </w:style>
  <w:style w:type="paragraph" w:customStyle="1" w:styleId="LDSchedDivision">
    <w:name w:val="LDSchedDivision"/>
    <w:basedOn w:val="LDScheduleheading"/>
    <w:rsid w:val="009030D5"/>
    <w:pPr>
      <w:tabs>
        <w:tab w:val="clear" w:pos="1843"/>
        <w:tab w:val="left" w:pos="1440"/>
      </w:tabs>
      <w:ind w:left="1440" w:hanging="1440"/>
    </w:pPr>
    <w:rPr>
      <w:sz w:val="24"/>
    </w:rPr>
  </w:style>
  <w:style w:type="paragraph" w:customStyle="1" w:styleId="LDschedP1a">
    <w:name w:val="LDschedP1(a)"/>
    <w:basedOn w:val="LDTabletext"/>
    <w:qFormat/>
    <w:rsid w:val="009030D5"/>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qFormat/>
    <w:rsid w:val="009030D5"/>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rsid w:val="009030D5"/>
    <w:pPr>
      <w:tabs>
        <w:tab w:val="clear" w:pos="507"/>
        <w:tab w:val="clear" w:pos="649"/>
        <w:tab w:val="right" w:pos="676"/>
        <w:tab w:val="left" w:pos="916"/>
      </w:tabs>
      <w:ind w:left="851" w:hanging="851"/>
    </w:pPr>
    <w:rPr>
      <w:lang w:val="en-GB" w:eastAsia="en-AU"/>
    </w:rPr>
  </w:style>
  <w:style w:type="character" w:styleId="PageNumber">
    <w:name w:val="page number"/>
    <w:basedOn w:val="DefaultParagraphFont"/>
    <w:rsid w:val="00506142"/>
  </w:style>
  <w:style w:type="paragraph" w:styleId="BalloonText">
    <w:name w:val="Balloon Text"/>
    <w:basedOn w:val="Normal"/>
    <w:link w:val="BalloonTextChar"/>
    <w:rsid w:val="009A3D84"/>
    <w:rPr>
      <w:rFonts w:ascii="Tahoma" w:hAnsi="Tahoma" w:cs="Tahoma"/>
      <w:sz w:val="16"/>
      <w:szCs w:val="16"/>
    </w:rPr>
  </w:style>
  <w:style w:type="character" w:customStyle="1" w:styleId="BalloonTextChar">
    <w:name w:val="Balloon Text Char"/>
    <w:basedOn w:val="DefaultParagraphFont"/>
    <w:link w:val="BalloonText"/>
    <w:rsid w:val="009A3D84"/>
    <w:rPr>
      <w:rFonts w:ascii="Tahoma" w:hAnsi="Tahoma" w:cs="Tahoma"/>
      <w:sz w:val="16"/>
      <w:szCs w:val="16"/>
      <w:lang w:eastAsia="en-US"/>
    </w:rPr>
  </w:style>
  <w:style w:type="character" w:customStyle="1" w:styleId="apple-converted-space">
    <w:name w:val="apple-converted-space"/>
    <w:basedOn w:val="DefaultParagraphFont"/>
    <w:rsid w:val="00697B63"/>
  </w:style>
  <w:style w:type="character" w:styleId="Hyperlink">
    <w:name w:val="Hyperlink"/>
    <w:basedOn w:val="DefaultParagraphFont"/>
    <w:rsid w:val="00B17F50"/>
    <w:rPr>
      <w:color w:val="0000FF" w:themeColor="hyperlink"/>
      <w:u w:val="single"/>
    </w:rPr>
  </w:style>
  <w:style w:type="character" w:customStyle="1" w:styleId="LDClauseChar">
    <w:name w:val="LDClause Char"/>
    <w:basedOn w:val="LDBodytextChar"/>
    <w:link w:val="LDClause"/>
    <w:rsid w:val="004C481D"/>
    <w:rPr>
      <w:sz w:val="24"/>
      <w:szCs w:val="24"/>
      <w:lang w:val="en-AU" w:eastAsia="en-US" w:bidi="ar-SA"/>
    </w:rPr>
  </w:style>
  <w:style w:type="character" w:customStyle="1" w:styleId="LDP1aChar">
    <w:name w:val="LDP1(a) Char"/>
    <w:link w:val="LDP1a"/>
    <w:locked/>
    <w:rsid w:val="004C481D"/>
    <w:rPr>
      <w:sz w:val="24"/>
      <w:szCs w:val="24"/>
      <w:lang w:eastAsia="en-US"/>
    </w:rPr>
  </w:style>
  <w:style w:type="character" w:customStyle="1" w:styleId="CharSectNo">
    <w:name w:val="CharSectNo"/>
    <w:rsid w:val="00AA71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5005</Characters>
  <Application>Microsoft Office Word</Application>
  <DocSecurity>0</DocSecurity>
  <Lines>41</Lines>
  <Paragraphs>11</Paragraphs>
  <ScaleCrop>false</ScaleCrop>
  <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2014-08-18T22:53:00Z</dcterms:created>
  <dcterms:modified xsi:type="dcterms:W3CDTF">2014-08-18T22:53:00Z</dcterms:modified>
</cp:coreProperties>
</file>