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C3CA9" w14:textId="77777777" w:rsidR="00667BC6" w:rsidRPr="00377DBC" w:rsidRDefault="00667BC6" w:rsidP="00667BC6">
      <w:pPr>
        <w:jc w:val="center"/>
        <w:rPr>
          <w:rFonts w:ascii="Arial" w:hAnsi="Arial" w:cs="Arial"/>
          <w:b/>
        </w:rPr>
      </w:pPr>
      <w:bookmarkStart w:id="0" w:name="_GoBack"/>
      <w:bookmarkEnd w:id="0"/>
      <w:r w:rsidRPr="00377DBC">
        <w:rPr>
          <w:rFonts w:ascii="Arial" w:hAnsi="Arial" w:cs="Arial"/>
          <w:b/>
        </w:rPr>
        <w:t>EXPLAN</w:t>
      </w:r>
      <w:r>
        <w:rPr>
          <w:rFonts w:ascii="Arial" w:hAnsi="Arial" w:cs="Arial"/>
          <w:b/>
        </w:rPr>
        <w:t>A</w:t>
      </w:r>
      <w:r w:rsidRPr="00377DBC">
        <w:rPr>
          <w:rFonts w:ascii="Arial" w:hAnsi="Arial" w:cs="Arial"/>
          <w:b/>
        </w:rPr>
        <w:t>TORY STATEMENT</w:t>
      </w:r>
    </w:p>
    <w:p w14:paraId="528FFABB" w14:textId="77777777" w:rsidR="00667BC6" w:rsidRPr="00377DBC" w:rsidRDefault="00667BC6" w:rsidP="00667BC6">
      <w:pPr>
        <w:jc w:val="center"/>
        <w:rPr>
          <w:rFonts w:ascii="Arial" w:hAnsi="Arial" w:cs="Arial"/>
          <w:b/>
        </w:rPr>
      </w:pPr>
    </w:p>
    <w:p w14:paraId="7892C1E1" w14:textId="77777777" w:rsidR="00667BC6" w:rsidRDefault="00667BC6" w:rsidP="00667BC6">
      <w:pPr>
        <w:jc w:val="center"/>
        <w:rPr>
          <w:rFonts w:ascii="Arial" w:hAnsi="Arial" w:cs="Arial"/>
        </w:rPr>
      </w:pPr>
      <w:r w:rsidRPr="00377DBC">
        <w:rPr>
          <w:rFonts w:ascii="Arial" w:hAnsi="Arial" w:cs="Arial"/>
        </w:rPr>
        <w:t>Issued by the Australian Communications and Media Authority</w:t>
      </w:r>
      <w:r w:rsidRPr="00377DBC">
        <w:rPr>
          <w:rFonts w:ascii="Arial" w:hAnsi="Arial" w:cs="Arial"/>
        </w:rPr>
        <w:br/>
      </w:r>
    </w:p>
    <w:p w14:paraId="3124CECC" w14:textId="3432D9A2" w:rsidR="00667BC6" w:rsidRPr="00377DBC" w:rsidRDefault="006175DC" w:rsidP="00667BC6">
      <w:pPr>
        <w:jc w:val="center"/>
        <w:rPr>
          <w:rFonts w:ascii="Arial" w:hAnsi="Arial" w:cs="Arial"/>
          <w:b/>
          <w:i/>
        </w:rPr>
      </w:pPr>
      <w:r w:rsidRPr="006175DC">
        <w:rPr>
          <w:rFonts w:ascii="Arial" w:hAnsi="Arial" w:cs="Arial"/>
          <w:b/>
          <w:i/>
        </w:rPr>
        <w:t>Telecommunications (Customer Service Guarantee</w:t>
      </w:r>
      <w:r w:rsidR="00251A75">
        <w:rPr>
          <w:rFonts w:ascii="Arial" w:hAnsi="Arial" w:cs="Arial"/>
          <w:b/>
          <w:i/>
        </w:rPr>
        <w:t xml:space="preserve"> and Payphone Performance Benchmarks</w:t>
      </w:r>
      <w:r w:rsidRPr="006175DC">
        <w:rPr>
          <w:rFonts w:ascii="Arial" w:hAnsi="Arial" w:cs="Arial"/>
          <w:b/>
          <w:i/>
        </w:rPr>
        <w:t>) Record</w:t>
      </w:r>
      <w:r w:rsidR="001C5970">
        <w:rPr>
          <w:rFonts w:ascii="Arial" w:hAnsi="Arial" w:cs="Arial"/>
          <w:b/>
          <w:i/>
        </w:rPr>
        <w:t>-</w:t>
      </w:r>
      <w:r w:rsidRPr="006175DC">
        <w:rPr>
          <w:rFonts w:ascii="Arial" w:hAnsi="Arial" w:cs="Arial"/>
          <w:b/>
          <w:i/>
        </w:rPr>
        <w:t xml:space="preserve">Keeping Rules </w:t>
      </w:r>
      <w:r w:rsidR="009A1BEE">
        <w:rPr>
          <w:rFonts w:ascii="Arial" w:hAnsi="Arial" w:cs="Arial"/>
          <w:b/>
          <w:i/>
        </w:rPr>
        <w:t xml:space="preserve">Amendment </w:t>
      </w:r>
      <w:r w:rsidRPr="006175DC">
        <w:rPr>
          <w:rFonts w:ascii="Arial" w:hAnsi="Arial" w:cs="Arial"/>
          <w:b/>
          <w:i/>
        </w:rPr>
        <w:t>201</w:t>
      </w:r>
      <w:r w:rsidR="00251A75">
        <w:rPr>
          <w:rFonts w:ascii="Arial" w:hAnsi="Arial" w:cs="Arial"/>
          <w:b/>
          <w:i/>
        </w:rPr>
        <w:t>4</w:t>
      </w:r>
      <w:r w:rsidR="00900E7A">
        <w:rPr>
          <w:rFonts w:ascii="Arial" w:hAnsi="Arial" w:cs="Arial"/>
          <w:b/>
          <w:i/>
        </w:rPr>
        <w:t xml:space="preserve"> (No.</w:t>
      </w:r>
      <w:r w:rsidRPr="006175DC">
        <w:rPr>
          <w:rFonts w:ascii="Arial" w:hAnsi="Arial" w:cs="Arial"/>
          <w:b/>
          <w:i/>
        </w:rPr>
        <w:t>1)</w:t>
      </w:r>
    </w:p>
    <w:p w14:paraId="6C1E3DE6" w14:textId="77777777" w:rsidR="00667BC6" w:rsidRDefault="00667BC6" w:rsidP="00667BC6">
      <w:pPr>
        <w:jc w:val="center"/>
        <w:rPr>
          <w:rFonts w:ascii="Arial" w:hAnsi="Arial" w:cs="Arial"/>
          <w:i/>
        </w:rPr>
      </w:pPr>
      <w:r w:rsidRPr="00B12315">
        <w:rPr>
          <w:rFonts w:ascii="Arial" w:hAnsi="Arial" w:cs="Arial"/>
          <w:i/>
        </w:rPr>
        <w:t>Telecommunications</w:t>
      </w:r>
      <w:r>
        <w:rPr>
          <w:rFonts w:ascii="Arial" w:hAnsi="Arial" w:cs="Arial"/>
          <w:i/>
        </w:rPr>
        <w:t xml:space="preserve"> Act 1997</w:t>
      </w:r>
    </w:p>
    <w:p w14:paraId="5F399FEE" w14:textId="77777777" w:rsidR="00667BC6" w:rsidRPr="001B03E3" w:rsidRDefault="00667BC6" w:rsidP="00667BC6">
      <w:pPr>
        <w:rPr>
          <w:rFonts w:ascii="Arial" w:hAnsi="Arial" w:cs="Arial"/>
          <w:b/>
          <w:sz w:val="24"/>
          <w:szCs w:val="24"/>
        </w:rPr>
      </w:pPr>
      <w:r w:rsidRPr="001B03E3">
        <w:rPr>
          <w:rFonts w:ascii="Arial" w:hAnsi="Arial" w:cs="Arial"/>
          <w:b/>
          <w:sz w:val="24"/>
          <w:szCs w:val="24"/>
        </w:rPr>
        <w:t>Purpose</w:t>
      </w:r>
    </w:p>
    <w:p w14:paraId="75D05C11" w14:textId="1E306D96" w:rsidR="00516BB6" w:rsidRDefault="00516BB6" w:rsidP="00516BB6">
      <w:pPr>
        <w:spacing w:after="120" w:line="280" w:lineRule="exact"/>
        <w:rPr>
          <w:rFonts w:ascii="Arial" w:hAnsi="Arial" w:cs="Arial"/>
        </w:rPr>
      </w:pPr>
      <w:r>
        <w:rPr>
          <w:rFonts w:ascii="Arial" w:hAnsi="Arial" w:cs="Arial"/>
        </w:rPr>
        <w:t xml:space="preserve">The </w:t>
      </w:r>
      <w:r w:rsidR="00A02155">
        <w:rPr>
          <w:rFonts w:ascii="Arial" w:hAnsi="Arial" w:cs="Arial"/>
        </w:rPr>
        <w:t xml:space="preserve">purpose of the </w:t>
      </w:r>
      <w:r w:rsidRPr="00CF5C87">
        <w:rPr>
          <w:rFonts w:ascii="Arial" w:hAnsi="Arial" w:cs="Arial"/>
          <w:i/>
        </w:rPr>
        <w:t>Telecommunications (Customer Service Guarantee</w:t>
      </w:r>
      <w:r>
        <w:rPr>
          <w:rFonts w:ascii="Arial" w:hAnsi="Arial" w:cs="Arial"/>
          <w:i/>
        </w:rPr>
        <w:t xml:space="preserve"> and Payphone Performance Benchmarks</w:t>
      </w:r>
      <w:r w:rsidRPr="00CF5C87">
        <w:rPr>
          <w:rFonts w:ascii="Arial" w:hAnsi="Arial" w:cs="Arial"/>
          <w:i/>
        </w:rPr>
        <w:t xml:space="preserve">) Record-Keeping Rules </w:t>
      </w:r>
      <w:r w:rsidR="009A1BEE">
        <w:rPr>
          <w:rFonts w:ascii="Arial" w:hAnsi="Arial" w:cs="Arial"/>
          <w:i/>
        </w:rPr>
        <w:t xml:space="preserve">Amendment </w:t>
      </w:r>
      <w:r w:rsidRPr="00CF5C87">
        <w:rPr>
          <w:rFonts w:ascii="Arial" w:hAnsi="Arial" w:cs="Arial"/>
          <w:i/>
        </w:rPr>
        <w:t>201</w:t>
      </w:r>
      <w:r>
        <w:rPr>
          <w:rFonts w:ascii="Arial" w:hAnsi="Arial" w:cs="Arial"/>
          <w:i/>
        </w:rPr>
        <w:t>4</w:t>
      </w:r>
      <w:r w:rsidRPr="00CF5C87">
        <w:rPr>
          <w:rFonts w:ascii="Arial" w:hAnsi="Arial" w:cs="Arial"/>
          <w:i/>
        </w:rPr>
        <w:t xml:space="preserve"> (No.1)</w:t>
      </w:r>
      <w:r w:rsidRPr="00CF5C87">
        <w:rPr>
          <w:rFonts w:ascii="Arial" w:hAnsi="Arial" w:cs="Arial"/>
        </w:rPr>
        <w:t xml:space="preserve"> (</w:t>
      </w:r>
      <w:r w:rsidRPr="005F6E31">
        <w:rPr>
          <w:rFonts w:ascii="Arial" w:hAnsi="Arial" w:cs="Arial"/>
          <w:b/>
        </w:rPr>
        <w:t>Amendment Instrument</w:t>
      </w:r>
      <w:r w:rsidRPr="00CF5C87">
        <w:rPr>
          <w:rFonts w:ascii="Arial" w:hAnsi="Arial" w:cs="Arial"/>
        </w:rPr>
        <w:t>)</w:t>
      </w:r>
      <w:r w:rsidR="00A02155">
        <w:rPr>
          <w:rFonts w:ascii="Arial" w:hAnsi="Arial" w:cs="Arial"/>
        </w:rPr>
        <w:t>,</w:t>
      </w:r>
      <w:r>
        <w:rPr>
          <w:rFonts w:ascii="Arial" w:hAnsi="Arial" w:cs="Arial"/>
        </w:rPr>
        <w:t xml:space="preserve"> made by the Australian Communications and Media Author</w:t>
      </w:r>
      <w:r w:rsidR="00A02155">
        <w:rPr>
          <w:rFonts w:ascii="Arial" w:hAnsi="Arial" w:cs="Arial"/>
        </w:rPr>
        <w:t>ity (</w:t>
      </w:r>
      <w:r w:rsidR="00A02155" w:rsidRPr="001B03E3">
        <w:rPr>
          <w:rFonts w:ascii="Arial" w:hAnsi="Arial" w:cs="Arial"/>
          <w:b/>
        </w:rPr>
        <w:t>the ACMA</w:t>
      </w:r>
      <w:r w:rsidR="00A02155">
        <w:rPr>
          <w:rFonts w:ascii="Arial" w:hAnsi="Arial" w:cs="Arial"/>
        </w:rPr>
        <w:t>) under section 529</w:t>
      </w:r>
      <w:r>
        <w:rPr>
          <w:rFonts w:ascii="Arial" w:hAnsi="Arial" w:cs="Arial"/>
        </w:rPr>
        <w:t xml:space="preserve"> of the </w:t>
      </w:r>
      <w:r>
        <w:rPr>
          <w:rFonts w:ascii="Arial" w:hAnsi="Arial" w:cs="Arial"/>
          <w:i/>
        </w:rPr>
        <w:t>Telecommunications Act 1997</w:t>
      </w:r>
      <w:r w:rsidR="00A02155">
        <w:rPr>
          <w:rFonts w:ascii="Arial" w:hAnsi="Arial" w:cs="Arial"/>
          <w:i/>
        </w:rPr>
        <w:t xml:space="preserve"> </w:t>
      </w:r>
      <w:r w:rsidR="00A02155">
        <w:rPr>
          <w:rFonts w:ascii="Arial" w:hAnsi="Arial" w:cs="Arial"/>
        </w:rPr>
        <w:t>(</w:t>
      </w:r>
      <w:r w:rsidR="00A02155">
        <w:rPr>
          <w:rFonts w:ascii="Arial" w:hAnsi="Arial" w:cs="Arial"/>
          <w:b/>
        </w:rPr>
        <w:t>Tel Act</w:t>
      </w:r>
      <w:r w:rsidR="00A02155">
        <w:rPr>
          <w:rFonts w:ascii="Arial" w:hAnsi="Arial" w:cs="Arial"/>
        </w:rPr>
        <w:t>),</w:t>
      </w:r>
      <w:r w:rsidR="00A02155">
        <w:rPr>
          <w:rFonts w:ascii="Arial" w:hAnsi="Arial" w:cs="Arial"/>
          <w:i/>
        </w:rPr>
        <w:t xml:space="preserve"> </w:t>
      </w:r>
      <w:r w:rsidR="00A02155">
        <w:rPr>
          <w:rFonts w:ascii="Arial" w:hAnsi="Arial" w:cs="Arial"/>
        </w:rPr>
        <w:t xml:space="preserve">is to </w:t>
      </w:r>
      <w:r>
        <w:rPr>
          <w:rFonts w:ascii="Arial" w:hAnsi="Arial" w:cs="Arial"/>
        </w:rPr>
        <w:t>amend the</w:t>
      </w:r>
      <w:r w:rsidR="00A02155">
        <w:rPr>
          <w:rFonts w:ascii="Arial" w:hAnsi="Arial" w:cs="Arial"/>
        </w:rPr>
        <w:t>:</w:t>
      </w:r>
      <w:r>
        <w:rPr>
          <w:rFonts w:ascii="Arial" w:hAnsi="Arial" w:cs="Arial"/>
        </w:rPr>
        <w:t xml:space="preserve"> </w:t>
      </w:r>
    </w:p>
    <w:p w14:paraId="6C29D40D" w14:textId="583240FD" w:rsidR="00516BB6" w:rsidRDefault="00516BB6" w:rsidP="001B03E3">
      <w:pPr>
        <w:pStyle w:val="ListParagraph"/>
        <w:numPr>
          <w:ilvl w:val="0"/>
          <w:numId w:val="36"/>
        </w:numPr>
        <w:spacing w:after="120" w:line="280" w:lineRule="exact"/>
        <w:rPr>
          <w:rFonts w:ascii="Arial" w:hAnsi="Arial" w:cs="Arial"/>
        </w:rPr>
      </w:pPr>
      <w:r w:rsidRPr="00CF5C87">
        <w:rPr>
          <w:rFonts w:ascii="Arial" w:hAnsi="Arial" w:cs="Arial"/>
          <w:i/>
        </w:rPr>
        <w:t>Telecommunications (Customer Service Guarantee</w:t>
      </w:r>
      <w:r>
        <w:rPr>
          <w:rFonts w:ascii="Arial" w:hAnsi="Arial" w:cs="Arial"/>
          <w:i/>
        </w:rPr>
        <w:t>)</w:t>
      </w:r>
      <w:r w:rsidRPr="00CF5C87">
        <w:rPr>
          <w:rFonts w:ascii="Arial" w:hAnsi="Arial" w:cs="Arial"/>
          <w:i/>
        </w:rPr>
        <w:t xml:space="preserve"> Record-Keeping Rules 2011 </w:t>
      </w:r>
      <w:r w:rsidRPr="00CF5C87">
        <w:rPr>
          <w:rFonts w:ascii="Arial" w:hAnsi="Arial"/>
        </w:rPr>
        <w:t>(</w:t>
      </w:r>
      <w:r w:rsidRPr="001B03E3">
        <w:rPr>
          <w:rFonts w:ascii="Arial" w:hAnsi="Arial"/>
          <w:b/>
        </w:rPr>
        <w:t>CSG</w:t>
      </w:r>
      <w:r w:rsidR="001B03E3" w:rsidRPr="001B03E3">
        <w:rPr>
          <w:rFonts w:ascii="Arial" w:hAnsi="Arial"/>
          <w:b/>
        </w:rPr>
        <w:t xml:space="preserve"> RKRs</w:t>
      </w:r>
      <w:r w:rsidRPr="00CF5C87">
        <w:rPr>
          <w:rFonts w:ascii="Arial" w:hAnsi="Arial" w:cs="Arial"/>
        </w:rPr>
        <w:t>)</w:t>
      </w:r>
      <w:r>
        <w:rPr>
          <w:rFonts w:ascii="Arial" w:hAnsi="Arial" w:cs="Arial"/>
        </w:rPr>
        <w:t>; and</w:t>
      </w:r>
    </w:p>
    <w:p w14:paraId="3B640953" w14:textId="1DDEF2D2" w:rsidR="00516BB6" w:rsidRDefault="00516BB6" w:rsidP="001B03E3">
      <w:pPr>
        <w:pStyle w:val="ListParagraph"/>
        <w:numPr>
          <w:ilvl w:val="0"/>
          <w:numId w:val="36"/>
        </w:numPr>
        <w:spacing w:after="120" w:line="280" w:lineRule="exact"/>
        <w:rPr>
          <w:rFonts w:ascii="Arial" w:hAnsi="Arial" w:cs="Arial"/>
        </w:rPr>
      </w:pPr>
      <w:r w:rsidRPr="00BF5B63">
        <w:rPr>
          <w:rFonts w:ascii="Arial" w:hAnsi="Arial" w:cs="Arial"/>
          <w:i/>
        </w:rPr>
        <w:t xml:space="preserve">Telecommunications (Payphone Performance Benchmarks) Record-Keeping Rules 2012 </w:t>
      </w:r>
      <w:r w:rsidRPr="00BF5B63">
        <w:rPr>
          <w:rFonts w:ascii="Arial" w:hAnsi="Arial" w:cs="Arial"/>
        </w:rPr>
        <w:t>(</w:t>
      </w:r>
      <w:r w:rsidRPr="00BF5B63">
        <w:rPr>
          <w:rFonts w:ascii="Arial" w:hAnsi="Arial" w:cs="Arial"/>
          <w:b/>
        </w:rPr>
        <w:t>Payphone</w:t>
      </w:r>
      <w:r w:rsidR="001B03E3">
        <w:rPr>
          <w:rFonts w:ascii="Arial" w:hAnsi="Arial" w:cs="Arial"/>
        </w:rPr>
        <w:t xml:space="preserve"> </w:t>
      </w:r>
      <w:r w:rsidR="001B03E3" w:rsidRPr="001B03E3">
        <w:rPr>
          <w:rFonts w:ascii="Arial" w:hAnsi="Arial" w:cs="Arial"/>
          <w:b/>
        </w:rPr>
        <w:t>RKRs</w:t>
      </w:r>
      <w:r w:rsidRPr="00BF5B63">
        <w:rPr>
          <w:rFonts w:ascii="Arial" w:hAnsi="Arial" w:cs="Arial"/>
        </w:rPr>
        <w:t>)</w:t>
      </w:r>
      <w:r>
        <w:rPr>
          <w:rFonts w:ascii="Arial" w:hAnsi="Arial" w:cs="Arial"/>
        </w:rPr>
        <w:t>;</w:t>
      </w:r>
    </w:p>
    <w:p w14:paraId="3472F35B" w14:textId="77777777" w:rsidR="00516BB6" w:rsidRDefault="00516BB6" w:rsidP="001B03E3">
      <w:pPr>
        <w:pStyle w:val="ListParagraph"/>
        <w:spacing w:after="120" w:line="280" w:lineRule="exact"/>
        <w:rPr>
          <w:rFonts w:ascii="Arial" w:hAnsi="Arial" w:cs="Arial"/>
        </w:rPr>
      </w:pPr>
    </w:p>
    <w:p w14:paraId="426B53D6" w14:textId="32EF8AF0" w:rsidR="00516BB6" w:rsidRPr="001B03E3" w:rsidRDefault="00516BB6">
      <w:pPr>
        <w:spacing w:after="120" w:line="280" w:lineRule="exact"/>
        <w:rPr>
          <w:rFonts w:ascii="Arial" w:hAnsi="Arial" w:cs="Arial"/>
        </w:rPr>
      </w:pPr>
      <w:proofErr w:type="gramStart"/>
      <w:r w:rsidRPr="001B03E3">
        <w:rPr>
          <w:rFonts w:ascii="Arial" w:hAnsi="Arial" w:cs="Arial"/>
        </w:rPr>
        <w:t>to</w:t>
      </w:r>
      <w:proofErr w:type="gramEnd"/>
      <w:r w:rsidRPr="001B03E3">
        <w:rPr>
          <w:rFonts w:ascii="Arial" w:hAnsi="Arial" w:cs="Arial"/>
        </w:rPr>
        <w:t xml:space="preserve"> reduce the reporting obligations on those </w:t>
      </w:r>
      <w:r>
        <w:rPr>
          <w:rFonts w:ascii="Arial" w:hAnsi="Arial" w:cs="Arial"/>
        </w:rPr>
        <w:t>carriage service providers (</w:t>
      </w:r>
      <w:r w:rsidRPr="001B03E3">
        <w:rPr>
          <w:rFonts w:ascii="Arial" w:hAnsi="Arial" w:cs="Arial"/>
          <w:b/>
        </w:rPr>
        <w:t>CSPs</w:t>
      </w:r>
      <w:r>
        <w:rPr>
          <w:rFonts w:ascii="Arial" w:hAnsi="Arial" w:cs="Arial"/>
        </w:rPr>
        <w:t>)</w:t>
      </w:r>
      <w:r w:rsidRPr="001B03E3">
        <w:rPr>
          <w:rFonts w:ascii="Arial" w:hAnsi="Arial" w:cs="Arial"/>
        </w:rPr>
        <w:t xml:space="preserve"> that the </w:t>
      </w:r>
      <w:r>
        <w:rPr>
          <w:rFonts w:ascii="Arial" w:hAnsi="Arial" w:cs="Arial"/>
        </w:rPr>
        <w:t>CSG</w:t>
      </w:r>
      <w:r w:rsidR="001B03E3">
        <w:rPr>
          <w:rFonts w:ascii="Arial" w:hAnsi="Arial" w:cs="Arial"/>
        </w:rPr>
        <w:t xml:space="preserve"> RKRs</w:t>
      </w:r>
      <w:r w:rsidRPr="001B03E3">
        <w:rPr>
          <w:rFonts w:ascii="Arial" w:hAnsi="Arial" w:cs="Arial"/>
        </w:rPr>
        <w:t xml:space="preserve"> </w:t>
      </w:r>
      <w:r>
        <w:rPr>
          <w:rFonts w:ascii="Arial" w:hAnsi="Arial" w:cs="Arial"/>
        </w:rPr>
        <w:t>and Payphone</w:t>
      </w:r>
      <w:r w:rsidR="001B03E3">
        <w:rPr>
          <w:rFonts w:ascii="Arial" w:hAnsi="Arial" w:cs="Arial"/>
        </w:rPr>
        <w:t xml:space="preserve"> RKRs</w:t>
      </w:r>
      <w:r>
        <w:rPr>
          <w:rFonts w:ascii="Arial" w:hAnsi="Arial" w:cs="Arial"/>
        </w:rPr>
        <w:t xml:space="preserve"> </w:t>
      </w:r>
      <w:r w:rsidRPr="001B03E3">
        <w:rPr>
          <w:rFonts w:ascii="Arial" w:hAnsi="Arial" w:cs="Arial"/>
        </w:rPr>
        <w:t>apply to</w:t>
      </w:r>
      <w:r>
        <w:rPr>
          <w:rFonts w:ascii="Arial" w:hAnsi="Arial" w:cs="Arial"/>
        </w:rPr>
        <w:t>,</w:t>
      </w:r>
      <w:r w:rsidRPr="001B03E3">
        <w:rPr>
          <w:rFonts w:ascii="Arial" w:hAnsi="Arial" w:cs="Arial"/>
        </w:rPr>
        <w:t xml:space="preserve"> by reducing the frequency </w:t>
      </w:r>
      <w:r>
        <w:rPr>
          <w:rFonts w:ascii="Arial" w:hAnsi="Arial" w:cs="Arial"/>
        </w:rPr>
        <w:t xml:space="preserve">with which those CSPs have to report </w:t>
      </w:r>
      <w:r w:rsidRPr="001B03E3">
        <w:rPr>
          <w:rFonts w:ascii="Arial" w:hAnsi="Arial" w:cs="Arial"/>
        </w:rPr>
        <w:t>to the ACMA and also the level of disaggregation of the data required in those reports.</w:t>
      </w:r>
    </w:p>
    <w:p w14:paraId="50C72C5C" w14:textId="77777777" w:rsidR="005F6E31" w:rsidRDefault="005F6E31" w:rsidP="00CF5C87">
      <w:pPr>
        <w:spacing w:after="120" w:line="280" w:lineRule="exact"/>
        <w:rPr>
          <w:rFonts w:ascii="Arial" w:hAnsi="Arial" w:cs="Arial"/>
        </w:rPr>
      </w:pPr>
    </w:p>
    <w:p w14:paraId="03FDA855" w14:textId="77777777" w:rsidR="00667BC6" w:rsidRPr="001B03E3" w:rsidRDefault="00667BC6" w:rsidP="00667BC6">
      <w:pPr>
        <w:keepNext/>
        <w:rPr>
          <w:rFonts w:ascii="Arial" w:hAnsi="Arial" w:cs="Arial"/>
          <w:b/>
          <w:sz w:val="24"/>
          <w:szCs w:val="24"/>
        </w:rPr>
      </w:pPr>
      <w:r w:rsidRPr="001B03E3">
        <w:rPr>
          <w:rFonts w:ascii="Arial" w:hAnsi="Arial" w:cs="Arial"/>
          <w:b/>
          <w:sz w:val="24"/>
          <w:szCs w:val="24"/>
        </w:rPr>
        <w:t>Legislative Provisions</w:t>
      </w:r>
    </w:p>
    <w:p w14:paraId="352F865E" w14:textId="7BECF112" w:rsidR="005C7268" w:rsidRDefault="005C7268" w:rsidP="005C7268">
      <w:pPr>
        <w:spacing w:after="0" w:line="240" w:lineRule="auto"/>
        <w:rPr>
          <w:rFonts w:ascii="Arial" w:hAnsi="Arial" w:cs="Arial"/>
        </w:rPr>
      </w:pPr>
      <w:r>
        <w:rPr>
          <w:rFonts w:ascii="Arial" w:hAnsi="Arial" w:cs="Arial"/>
        </w:rPr>
        <w:t xml:space="preserve">The </w:t>
      </w:r>
      <w:r w:rsidR="005F4610">
        <w:rPr>
          <w:rFonts w:ascii="Arial" w:hAnsi="Arial" w:cs="Arial"/>
        </w:rPr>
        <w:t>A</w:t>
      </w:r>
      <w:r w:rsidR="007324BE">
        <w:rPr>
          <w:rFonts w:ascii="Arial" w:hAnsi="Arial" w:cs="Arial"/>
        </w:rPr>
        <w:t>mendment</w:t>
      </w:r>
      <w:r w:rsidR="005F4610">
        <w:rPr>
          <w:rFonts w:ascii="Arial" w:hAnsi="Arial" w:cs="Arial"/>
        </w:rPr>
        <w:t xml:space="preserve"> Instrument</w:t>
      </w:r>
      <w:r w:rsidR="007324BE">
        <w:rPr>
          <w:rFonts w:ascii="Arial" w:hAnsi="Arial" w:cs="Arial"/>
        </w:rPr>
        <w:t xml:space="preserve"> is</w:t>
      </w:r>
      <w:r>
        <w:rPr>
          <w:rFonts w:ascii="Arial" w:hAnsi="Arial" w:cs="Arial"/>
        </w:rPr>
        <w:t xml:space="preserve"> made under subsection 529(1) of the </w:t>
      </w:r>
      <w:r w:rsidRPr="001B03E3">
        <w:rPr>
          <w:rFonts w:ascii="Arial" w:hAnsi="Arial" w:cs="Arial"/>
        </w:rPr>
        <w:t>Tel Act</w:t>
      </w:r>
      <w:r w:rsidR="00BF7EEB">
        <w:rPr>
          <w:rFonts w:ascii="Arial" w:hAnsi="Arial" w:cs="Arial"/>
        </w:rPr>
        <w:t xml:space="preserve"> and subsection 33(3) of the </w:t>
      </w:r>
      <w:r w:rsidR="00BF7EEB">
        <w:rPr>
          <w:rFonts w:ascii="Arial" w:hAnsi="Arial" w:cs="Arial"/>
          <w:i/>
        </w:rPr>
        <w:t>Acts Interpretation Act 1901</w:t>
      </w:r>
      <w:r>
        <w:rPr>
          <w:rFonts w:ascii="Arial" w:hAnsi="Arial" w:cs="Arial"/>
        </w:rPr>
        <w:t xml:space="preserve">. Subsection 529(1) </w:t>
      </w:r>
      <w:r w:rsidR="00A02155">
        <w:rPr>
          <w:rFonts w:ascii="Arial" w:hAnsi="Arial" w:cs="Arial"/>
        </w:rPr>
        <w:t xml:space="preserve">of the Tel Act </w:t>
      </w:r>
      <w:r>
        <w:rPr>
          <w:rFonts w:ascii="Arial" w:hAnsi="Arial" w:cs="Arial"/>
        </w:rPr>
        <w:t xml:space="preserve">allows the ACMA to make rules for and in relation to requiring one or more specified carriers or one or more specified </w:t>
      </w:r>
      <w:r w:rsidRPr="00CF5C87">
        <w:rPr>
          <w:rFonts w:ascii="Arial" w:hAnsi="Arial" w:cs="Arial"/>
        </w:rPr>
        <w:t>CSPs</w:t>
      </w:r>
      <w:r w:rsidRPr="00E00E39">
        <w:rPr>
          <w:rFonts w:ascii="Arial" w:hAnsi="Arial" w:cs="Arial"/>
        </w:rPr>
        <w:t xml:space="preserve"> </w:t>
      </w:r>
      <w:r>
        <w:rPr>
          <w:rFonts w:ascii="Arial" w:hAnsi="Arial" w:cs="Arial"/>
        </w:rPr>
        <w:t>to keep and retain records. Under subsection</w:t>
      </w:r>
      <w:r w:rsidR="004F75A5">
        <w:rPr>
          <w:rFonts w:ascii="Arial" w:hAnsi="Arial" w:cs="Arial"/>
        </w:rPr>
        <w:t>s</w:t>
      </w:r>
      <w:r>
        <w:rPr>
          <w:rFonts w:ascii="Arial" w:hAnsi="Arial" w:cs="Arial"/>
        </w:rPr>
        <w:t xml:space="preserve"> 529(2A)</w:t>
      </w:r>
      <w:r w:rsidR="004F75A5">
        <w:rPr>
          <w:rFonts w:ascii="Arial" w:hAnsi="Arial" w:cs="Arial"/>
        </w:rPr>
        <w:t xml:space="preserve"> and (2B)</w:t>
      </w:r>
      <w:r>
        <w:rPr>
          <w:rFonts w:ascii="Arial" w:hAnsi="Arial" w:cs="Arial"/>
        </w:rPr>
        <w:t>, such record-keeping r</w:t>
      </w:r>
      <w:r w:rsidRPr="00E00E39">
        <w:rPr>
          <w:rFonts w:ascii="Arial" w:hAnsi="Arial" w:cs="Arial"/>
        </w:rPr>
        <w:t xml:space="preserve">ules may also require those carriers or </w:t>
      </w:r>
      <w:r>
        <w:rPr>
          <w:rFonts w:ascii="Arial" w:hAnsi="Arial" w:cs="Arial"/>
        </w:rPr>
        <w:t>CSPs</w:t>
      </w:r>
      <w:r w:rsidRPr="00E00E39">
        <w:rPr>
          <w:rFonts w:ascii="Arial" w:hAnsi="Arial" w:cs="Arial"/>
        </w:rPr>
        <w:t xml:space="preserve"> to prepare reports consisting of information contained in</w:t>
      </w:r>
      <w:r>
        <w:rPr>
          <w:rFonts w:ascii="Arial" w:hAnsi="Arial" w:cs="Arial"/>
        </w:rPr>
        <w:t xml:space="preserve"> </w:t>
      </w:r>
      <w:r w:rsidRPr="00E00E39">
        <w:rPr>
          <w:rFonts w:ascii="Arial" w:hAnsi="Arial" w:cs="Arial"/>
        </w:rPr>
        <w:t>those records</w:t>
      </w:r>
      <w:r>
        <w:rPr>
          <w:rFonts w:ascii="Arial" w:hAnsi="Arial" w:cs="Arial"/>
        </w:rPr>
        <w:t>, and</w:t>
      </w:r>
      <w:r w:rsidRPr="00E00E39">
        <w:rPr>
          <w:rFonts w:ascii="Arial" w:hAnsi="Arial" w:cs="Arial"/>
        </w:rPr>
        <w:t xml:space="preserve"> to give any or</w:t>
      </w:r>
      <w:r>
        <w:rPr>
          <w:rFonts w:ascii="Arial" w:hAnsi="Arial" w:cs="Arial"/>
        </w:rPr>
        <w:t xml:space="preserve"> all of the reports to the ACMA.</w:t>
      </w:r>
      <w:r w:rsidR="008C7EF0">
        <w:rPr>
          <w:rFonts w:ascii="Arial" w:hAnsi="Arial" w:cs="Arial"/>
        </w:rPr>
        <w:t xml:space="preserve"> Under </w:t>
      </w:r>
      <w:r w:rsidR="00A02155">
        <w:rPr>
          <w:rFonts w:ascii="Arial" w:hAnsi="Arial" w:cs="Arial"/>
        </w:rPr>
        <w:t>paragraph</w:t>
      </w:r>
      <w:r w:rsidR="008C7EF0">
        <w:rPr>
          <w:rFonts w:ascii="Arial" w:hAnsi="Arial" w:cs="Arial"/>
        </w:rPr>
        <w:t xml:space="preserve"> 529(2D</w:t>
      </w:r>
      <w:proofErr w:type="gramStart"/>
      <w:r w:rsidR="008C7EF0">
        <w:rPr>
          <w:rFonts w:ascii="Arial" w:hAnsi="Arial" w:cs="Arial"/>
        </w:rPr>
        <w:t>)(</w:t>
      </w:r>
      <w:proofErr w:type="gramEnd"/>
      <w:r w:rsidR="008C7EF0">
        <w:rPr>
          <w:rFonts w:ascii="Arial" w:hAnsi="Arial" w:cs="Arial"/>
        </w:rPr>
        <w:t xml:space="preserve">b) the rules may provide for the </w:t>
      </w:r>
      <w:r w:rsidR="00C05CBF">
        <w:rPr>
          <w:rFonts w:ascii="Arial" w:hAnsi="Arial" w:cs="Arial"/>
        </w:rPr>
        <w:t>preparation of periodic reports relating to such regular intervals as are specified in the rules.</w:t>
      </w:r>
      <w:r w:rsidR="00BF7EEB">
        <w:rPr>
          <w:rFonts w:ascii="Arial" w:hAnsi="Arial" w:cs="Arial"/>
        </w:rPr>
        <w:t xml:space="preserve"> </w:t>
      </w:r>
    </w:p>
    <w:p w14:paraId="5E2A37F9" w14:textId="77777777" w:rsidR="00BF7EEB" w:rsidRPr="004462A1" w:rsidRDefault="00BF7EEB" w:rsidP="005C7268">
      <w:pPr>
        <w:spacing w:after="0" w:line="240" w:lineRule="auto"/>
        <w:rPr>
          <w:rFonts w:ascii="Arial" w:hAnsi="Arial" w:cs="Arial"/>
        </w:rPr>
      </w:pPr>
    </w:p>
    <w:p w14:paraId="444994E1" w14:textId="77777777" w:rsidR="005C7268" w:rsidRDefault="005C7268" w:rsidP="005C7268">
      <w:pPr>
        <w:spacing w:after="0" w:line="240" w:lineRule="auto"/>
        <w:rPr>
          <w:rFonts w:ascii="Arial" w:hAnsi="Arial" w:cs="Arial"/>
        </w:rPr>
      </w:pPr>
      <w:r>
        <w:rPr>
          <w:rFonts w:ascii="Arial" w:hAnsi="Arial" w:cs="Arial"/>
        </w:rPr>
        <w:t>Subsection</w:t>
      </w:r>
      <w:r w:rsidRPr="004462A1">
        <w:rPr>
          <w:rFonts w:ascii="Arial" w:hAnsi="Arial" w:cs="Arial"/>
        </w:rPr>
        <w:t xml:space="preserve"> </w:t>
      </w:r>
      <w:r>
        <w:rPr>
          <w:rFonts w:ascii="Arial" w:hAnsi="Arial" w:cs="Arial"/>
        </w:rPr>
        <w:t xml:space="preserve">529(4) </w:t>
      </w:r>
      <w:r w:rsidRPr="004462A1">
        <w:rPr>
          <w:rFonts w:ascii="Arial" w:hAnsi="Arial" w:cs="Arial"/>
        </w:rPr>
        <w:t xml:space="preserve">limits the </w:t>
      </w:r>
      <w:r>
        <w:rPr>
          <w:rFonts w:ascii="Arial" w:hAnsi="Arial" w:cs="Arial"/>
        </w:rPr>
        <w:t>scope of the ACMA’s power,</w:t>
      </w:r>
      <w:r w:rsidRPr="004462A1">
        <w:rPr>
          <w:rFonts w:ascii="Arial" w:hAnsi="Arial" w:cs="Arial"/>
        </w:rPr>
        <w:t xml:space="preserve"> </w:t>
      </w:r>
      <w:r>
        <w:rPr>
          <w:rFonts w:ascii="Arial" w:hAnsi="Arial" w:cs="Arial"/>
        </w:rPr>
        <w:t xml:space="preserve">such that the ACMA </w:t>
      </w:r>
      <w:r w:rsidRPr="004462A1">
        <w:rPr>
          <w:rFonts w:ascii="Arial" w:hAnsi="Arial" w:cs="Arial"/>
        </w:rPr>
        <w:t xml:space="preserve">cannot make record-keeping rules requiring the keeping or retention of records unless the records contain, or will contain, information that is relevant to the performance of the ACMA’s telecommunications functions or the exercise of the ACMA’s telecommunications powers. </w:t>
      </w:r>
    </w:p>
    <w:p w14:paraId="0A6138AE" w14:textId="77777777" w:rsidR="00A02155" w:rsidRDefault="00A02155" w:rsidP="005C7268">
      <w:pPr>
        <w:spacing w:after="0" w:line="240" w:lineRule="auto"/>
        <w:rPr>
          <w:rFonts w:ascii="Arial" w:hAnsi="Arial" w:cs="Arial"/>
        </w:rPr>
      </w:pPr>
    </w:p>
    <w:p w14:paraId="4EC818EB" w14:textId="4BE94762" w:rsidR="00A02155" w:rsidRPr="00A02155" w:rsidRDefault="00A02155" w:rsidP="005C7268">
      <w:pPr>
        <w:spacing w:after="0" w:line="240" w:lineRule="auto"/>
        <w:rPr>
          <w:rFonts w:ascii="Arial" w:hAnsi="Arial" w:cs="Arial"/>
        </w:rPr>
      </w:pPr>
      <w:r>
        <w:rPr>
          <w:rFonts w:ascii="Arial" w:hAnsi="Arial" w:cs="Arial"/>
        </w:rPr>
        <w:t xml:space="preserve">The Amendment Instrument is a disallowable legislative instrument under the </w:t>
      </w:r>
      <w:r>
        <w:rPr>
          <w:rFonts w:ascii="Arial" w:hAnsi="Arial" w:cs="Arial"/>
          <w:i/>
        </w:rPr>
        <w:t xml:space="preserve">Legislative Instruments Act 2003 </w:t>
      </w:r>
      <w:r>
        <w:rPr>
          <w:rFonts w:ascii="Arial" w:hAnsi="Arial" w:cs="Arial"/>
        </w:rPr>
        <w:t>(</w:t>
      </w:r>
      <w:r w:rsidR="00D06FEA">
        <w:rPr>
          <w:rFonts w:ascii="Arial" w:hAnsi="Arial" w:cs="Arial"/>
        </w:rPr>
        <w:t xml:space="preserve">the </w:t>
      </w:r>
      <w:r>
        <w:rPr>
          <w:rFonts w:ascii="Arial" w:hAnsi="Arial" w:cs="Arial"/>
          <w:b/>
        </w:rPr>
        <w:t>L</w:t>
      </w:r>
      <w:r w:rsidR="00D06FEA">
        <w:rPr>
          <w:rFonts w:ascii="Arial" w:hAnsi="Arial" w:cs="Arial"/>
          <w:b/>
        </w:rPr>
        <w:t>IA</w:t>
      </w:r>
      <w:r>
        <w:rPr>
          <w:rFonts w:ascii="Arial" w:hAnsi="Arial" w:cs="Arial"/>
        </w:rPr>
        <w:t xml:space="preserve">). </w:t>
      </w:r>
    </w:p>
    <w:p w14:paraId="55E1434B" w14:textId="293E1E60" w:rsidR="004B02A2" w:rsidRDefault="004B02A2">
      <w:pPr>
        <w:spacing w:after="0" w:line="240" w:lineRule="auto"/>
        <w:rPr>
          <w:rFonts w:ascii="Arial" w:hAnsi="Arial" w:cs="Arial"/>
          <w:sz w:val="28"/>
          <w:szCs w:val="28"/>
        </w:rPr>
      </w:pPr>
      <w:r>
        <w:rPr>
          <w:rFonts w:ascii="Arial" w:hAnsi="Arial" w:cs="Arial"/>
          <w:sz w:val="28"/>
          <w:szCs w:val="28"/>
        </w:rPr>
        <w:br w:type="page"/>
      </w:r>
    </w:p>
    <w:p w14:paraId="3DDF7FFE" w14:textId="77777777" w:rsidR="00667BC6" w:rsidRPr="001B03E3" w:rsidRDefault="00667BC6" w:rsidP="00667BC6">
      <w:pPr>
        <w:rPr>
          <w:rFonts w:ascii="Arial" w:hAnsi="Arial" w:cs="Arial"/>
          <w:b/>
          <w:sz w:val="24"/>
          <w:szCs w:val="24"/>
        </w:rPr>
      </w:pPr>
      <w:r w:rsidRPr="001B03E3">
        <w:rPr>
          <w:rFonts w:ascii="Arial" w:hAnsi="Arial" w:cs="Arial"/>
          <w:b/>
          <w:sz w:val="24"/>
          <w:szCs w:val="24"/>
        </w:rPr>
        <w:lastRenderedPageBreak/>
        <w:t>Background</w:t>
      </w:r>
    </w:p>
    <w:p w14:paraId="5D50B712" w14:textId="0AE67D29" w:rsidR="00A02155" w:rsidRPr="00CF5C87" w:rsidRDefault="00A02155" w:rsidP="00A02155">
      <w:pPr>
        <w:spacing w:after="0" w:line="240" w:lineRule="auto"/>
        <w:rPr>
          <w:rFonts w:ascii="Arial" w:hAnsi="Arial" w:cs="Arial"/>
        </w:rPr>
      </w:pPr>
      <w:r>
        <w:rPr>
          <w:rFonts w:ascii="Arial" w:hAnsi="Arial" w:cs="Arial"/>
        </w:rPr>
        <w:t xml:space="preserve">In </w:t>
      </w:r>
      <w:r w:rsidRPr="00CF5C87">
        <w:rPr>
          <w:rFonts w:ascii="Arial" w:hAnsi="Arial" w:cs="Arial"/>
        </w:rPr>
        <w:t>September 2011</w:t>
      </w:r>
      <w:r>
        <w:rPr>
          <w:rFonts w:ascii="Arial" w:hAnsi="Arial" w:cs="Arial"/>
        </w:rPr>
        <w:t>,</w:t>
      </w:r>
      <w:r w:rsidRPr="00CF5C87">
        <w:rPr>
          <w:rFonts w:ascii="Arial" w:hAnsi="Arial" w:cs="Arial"/>
        </w:rPr>
        <w:t xml:space="preserve"> the </w:t>
      </w:r>
      <w:r>
        <w:rPr>
          <w:rFonts w:ascii="Arial" w:hAnsi="Arial" w:cs="Arial"/>
        </w:rPr>
        <w:t>ACMA</w:t>
      </w:r>
      <w:r w:rsidRPr="00CF5C87">
        <w:rPr>
          <w:rFonts w:ascii="Arial" w:hAnsi="Arial" w:cs="Arial"/>
        </w:rPr>
        <w:t xml:space="preserve"> made the </w:t>
      </w:r>
      <w:r>
        <w:rPr>
          <w:rFonts w:ascii="Arial" w:hAnsi="Arial" w:cs="Arial"/>
        </w:rPr>
        <w:t>CSG</w:t>
      </w:r>
      <w:r w:rsidR="001B03E3">
        <w:rPr>
          <w:rFonts w:ascii="Arial" w:hAnsi="Arial" w:cs="Arial"/>
        </w:rPr>
        <w:t xml:space="preserve"> RKRs</w:t>
      </w:r>
      <w:r>
        <w:rPr>
          <w:rFonts w:ascii="Arial" w:hAnsi="Arial" w:cs="Arial"/>
        </w:rPr>
        <w:t xml:space="preserve"> which</w:t>
      </w:r>
      <w:r w:rsidRPr="00CF5C87">
        <w:rPr>
          <w:rFonts w:ascii="Arial" w:hAnsi="Arial" w:cs="Arial"/>
        </w:rPr>
        <w:t xml:space="preserve"> commenced on 1 October 2011</w:t>
      </w:r>
      <w:r>
        <w:rPr>
          <w:rFonts w:ascii="Arial" w:hAnsi="Arial" w:cs="Arial"/>
        </w:rPr>
        <w:t xml:space="preserve"> and </w:t>
      </w:r>
      <w:r w:rsidRPr="00CF5C87">
        <w:rPr>
          <w:rFonts w:ascii="Arial" w:hAnsi="Arial" w:cs="Arial"/>
        </w:rPr>
        <w:t>requir</w:t>
      </w:r>
      <w:r>
        <w:rPr>
          <w:rFonts w:ascii="Arial" w:hAnsi="Arial" w:cs="Arial"/>
        </w:rPr>
        <w:t>e</w:t>
      </w:r>
      <w:r w:rsidRPr="00CF5C87">
        <w:rPr>
          <w:rFonts w:ascii="Arial" w:hAnsi="Arial" w:cs="Arial"/>
        </w:rPr>
        <w:t xml:space="preserve"> </w:t>
      </w:r>
      <w:r>
        <w:rPr>
          <w:rFonts w:ascii="Arial" w:hAnsi="Arial" w:cs="Arial"/>
        </w:rPr>
        <w:t>certain</w:t>
      </w:r>
      <w:r w:rsidRPr="00CF5C87">
        <w:rPr>
          <w:rFonts w:ascii="Arial" w:hAnsi="Arial" w:cs="Arial"/>
        </w:rPr>
        <w:t xml:space="preserve"> </w:t>
      </w:r>
      <w:r>
        <w:rPr>
          <w:rFonts w:ascii="Arial" w:hAnsi="Arial" w:cs="Arial"/>
        </w:rPr>
        <w:t>CSPs to</w:t>
      </w:r>
      <w:r w:rsidRPr="00CF5C87">
        <w:rPr>
          <w:rFonts w:ascii="Arial" w:hAnsi="Arial" w:cs="Arial"/>
        </w:rPr>
        <w:t xml:space="preserve">: </w:t>
      </w:r>
    </w:p>
    <w:p w14:paraId="7C8C245F" w14:textId="77777777" w:rsidR="00A02155" w:rsidRPr="00CF5C87" w:rsidRDefault="00A02155" w:rsidP="00A02155">
      <w:pPr>
        <w:spacing w:after="0" w:line="240" w:lineRule="auto"/>
        <w:rPr>
          <w:rFonts w:ascii="Arial" w:hAnsi="Arial" w:cs="Arial"/>
        </w:rPr>
      </w:pPr>
    </w:p>
    <w:p w14:paraId="275C53DD" w14:textId="77777777" w:rsidR="00A02155" w:rsidRPr="00CF5C87" w:rsidRDefault="00A02155" w:rsidP="00A02155">
      <w:pPr>
        <w:numPr>
          <w:ilvl w:val="0"/>
          <w:numId w:val="14"/>
        </w:numPr>
        <w:spacing w:after="0" w:line="240" w:lineRule="auto"/>
        <w:rPr>
          <w:rFonts w:ascii="Arial" w:hAnsi="Arial" w:cs="Arial"/>
        </w:rPr>
      </w:pPr>
      <w:r w:rsidRPr="00CF5C87">
        <w:rPr>
          <w:rFonts w:ascii="Arial" w:hAnsi="Arial" w:cs="Arial"/>
        </w:rPr>
        <w:t xml:space="preserve">keep and retain records in relation to compliance with the </w:t>
      </w:r>
      <w:r w:rsidRPr="00CF5C87">
        <w:rPr>
          <w:rFonts w:ascii="Arial" w:hAnsi="Arial" w:cs="Arial"/>
          <w:i/>
        </w:rPr>
        <w:t xml:space="preserve">Telecommunications (Customer Service Guarantee) Standard 2011 </w:t>
      </w:r>
      <w:r w:rsidRPr="00CF5C87">
        <w:rPr>
          <w:rFonts w:ascii="Arial" w:hAnsi="Arial" w:cs="Arial"/>
        </w:rPr>
        <w:t>(</w:t>
      </w:r>
      <w:r w:rsidRPr="002925C0">
        <w:rPr>
          <w:rFonts w:ascii="Arial" w:hAnsi="Arial"/>
          <w:b/>
        </w:rPr>
        <w:t>CSG Standard</w:t>
      </w:r>
      <w:r w:rsidRPr="00CF5C87">
        <w:rPr>
          <w:rFonts w:ascii="Arial" w:hAnsi="Arial" w:cs="Arial"/>
        </w:rPr>
        <w:t xml:space="preserve">) and the </w:t>
      </w:r>
      <w:r w:rsidRPr="00CF5C87">
        <w:rPr>
          <w:rFonts w:ascii="Arial" w:hAnsi="Arial" w:cs="Arial"/>
          <w:i/>
        </w:rPr>
        <w:t xml:space="preserve">Telecommunications (Customer Service Guarantee – Retail Performance Benchmarks) Instrument (No. 1) 2011 </w:t>
      </w:r>
      <w:r w:rsidRPr="00CF5C87">
        <w:rPr>
          <w:rFonts w:ascii="Arial" w:hAnsi="Arial" w:cs="Arial"/>
        </w:rPr>
        <w:t>(</w:t>
      </w:r>
      <w:r w:rsidRPr="002140C9">
        <w:rPr>
          <w:rFonts w:ascii="Arial" w:hAnsi="Arial" w:cs="Arial"/>
          <w:b/>
        </w:rPr>
        <w:t>CSG Benchmarks</w:t>
      </w:r>
      <w:r w:rsidRPr="00CF5C87">
        <w:rPr>
          <w:rFonts w:ascii="Arial" w:hAnsi="Arial" w:cs="Arial"/>
        </w:rPr>
        <w:t xml:space="preserve">); and </w:t>
      </w:r>
    </w:p>
    <w:p w14:paraId="1C0A08CC" w14:textId="3986C836" w:rsidR="00A02155" w:rsidRPr="00CF5C87" w:rsidRDefault="00A02155" w:rsidP="00A02155">
      <w:pPr>
        <w:numPr>
          <w:ilvl w:val="0"/>
          <w:numId w:val="14"/>
        </w:numPr>
        <w:spacing w:after="0" w:line="240" w:lineRule="auto"/>
        <w:rPr>
          <w:rFonts w:ascii="Arial" w:hAnsi="Arial" w:cs="Arial"/>
        </w:rPr>
      </w:pPr>
      <w:proofErr w:type="gramStart"/>
      <w:r w:rsidRPr="00CF5C87">
        <w:rPr>
          <w:rFonts w:ascii="Arial" w:hAnsi="Arial" w:cs="Arial"/>
        </w:rPr>
        <w:t>prepare</w:t>
      </w:r>
      <w:proofErr w:type="gramEnd"/>
      <w:r w:rsidRPr="00CF5C87">
        <w:rPr>
          <w:rFonts w:ascii="Arial" w:hAnsi="Arial" w:cs="Arial"/>
        </w:rPr>
        <w:t xml:space="preserve"> and give to the ACMA, reports in the form specified in the </w:t>
      </w:r>
      <w:r>
        <w:rPr>
          <w:rFonts w:ascii="Arial" w:hAnsi="Arial" w:cs="Arial"/>
        </w:rPr>
        <w:t>CSG</w:t>
      </w:r>
      <w:r w:rsidR="001B03E3">
        <w:rPr>
          <w:rFonts w:ascii="Arial" w:hAnsi="Arial" w:cs="Arial"/>
        </w:rPr>
        <w:t xml:space="preserve"> RKRs</w:t>
      </w:r>
      <w:r w:rsidRPr="00CF5C87">
        <w:rPr>
          <w:rFonts w:ascii="Arial" w:hAnsi="Arial" w:cs="Arial"/>
        </w:rPr>
        <w:t xml:space="preserve"> consist</w:t>
      </w:r>
      <w:r>
        <w:rPr>
          <w:rFonts w:ascii="Arial" w:hAnsi="Arial" w:cs="Arial"/>
        </w:rPr>
        <w:t>ing</w:t>
      </w:r>
      <w:r w:rsidRPr="00CF5C87">
        <w:rPr>
          <w:rFonts w:ascii="Arial" w:hAnsi="Arial" w:cs="Arial"/>
        </w:rPr>
        <w:t xml:space="preserve"> of information contained in those records. </w:t>
      </w:r>
    </w:p>
    <w:p w14:paraId="480046D6" w14:textId="77777777" w:rsidR="00A02155" w:rsidRPr="00CF5C87" w:rsidRDefault="00A02155" w:rsidP="00A02155">
      <w:pPr>
        <w:spacing w:after="0" w:line="240" w:lineRule="auto"/>
        <w:ind w:left="720"/>
        <w:rPr>
          <w:rFonts w:ascii="Arial" w:hAnsi="Arial" w:cs="Arial"/>
        </w:rPr>
      </w:pPr>
    </w:p>
    <w:p w14:paraId="4DAA5995" w14:textId="039B8184" w:rsidR="00A02155" w:rsidRDefault="00A02155" w:rsidP="00A02155">
      <w:pPr>
        <w:rPr>
          <w:rFonts w:ascii="Arial" w:hAnsi="Arial" w:cs="Arial"/>
        </w:rPr>
      </w:pPr>
      <w:r>
        <w:rPr>
          <w:rFonts w:ascii="Arial" w:hAnsi="Arial" w:cs="Arial"/>
        </w:rPr>
        <w:t>It is only those CSPs that are subject to obligations under the CSG Benchmarks that have any obligations under the CSG</w:t>
      </w:r>
      <w:r w:rsidR="001B03E3">
        <w:rPr>
          <w:rFonts w:ascii="Arial" w:hAnsi="Arial" w:cs="Arial"/>
        </w:rPr>
        <w:t xml:space="preserve"> RKRs</w:t>
      </w:r>
      <w:r>
        <w:rPr>
          <w:rFonts w:ascii="Arial" w:hAnsi="Arial" w:cs="Arial"/>
        </w:rPr>
        <w:t>. These CSPs are referred to as “qualifying carriage service providers” (</w:t>
      </w:r>
      <w:r w:rsidRPr="005F6E31">
        <w:rPr>
          <w:rFonts w:ascii="Arial" w:hAnsi="Arial" w:cs="Arial"/>
          <w:b/>
        </w:rPr>
        <w:t>QCSPs</w:t>
      </w:r>
      <w:r w:rsidR="00E30F46">
        <w:rPr>
          <w:rFonts w:ascii="Arial" w:hAnsi="Arial" w:cs="Arial"/>
        </w:rPr>
        <w:t>) in</w:t>
      </w:r>
      <w:r>
        <w:rPr>
          <w:rFonts w:ascii="Arial" w:hAnsi="Arial" w:cs="Arial"/>
        </w:rPr>
        <w:t xml:space="preserve"> both the CSG</w:t>
      </w:r>
      <w:r w:rsidR="001B03E3">
        <w:rPr>
          <w:rFonts w:ascii="Arial" w:hAnsi="Arial" w:cs="Arial"/>
        </w:rPr>
        <w:t xml:space="preserve"> RKRs</w:t>
      </w:r>
      <w:r>
        <w:rPr>
          <w:rFonts w:ascii="Arial" w:hAnsi="Arial" w:cs="Arial"/>
        </w:rPr>
        <w:t xml:space="preserve"> and the CSG Benchmarks. QCSPs are those CSPs that </w:t>
      </w:r>
      <w:r w:rsidRPr="00CF5C87">
        <w:rPr>
          <w:rFonts w:ascii="Arial" w:hAnsi="Arial" w:cs="Arial"/>
        </w:rPr>
        <w:t>suppl</w:t>
      </w:r>
      <w:r>
        <w:rPr>
          <w:rFonts w:ascii="Arial" w:hAnsi="Arial" w:cs="Arial"/>
        </w:rPr>
        <w:t>ied</w:t>
      </w:r>
      <w:r w:rsidRPr="00CF5C87">
        <w:rPr>
          <w:rFonts w:ascii="Arial" w:hAnsi="Arial" w:cs="Arial"/>
        </w:rPr>
        <w:t xml:space="preserve"> 100,000 </w:t>
      </w:r>
      <w:r>
        <w:rPr>
          <w:rFonts w:ascii="Arial" w:hAnsi="Arial" w:cs="Arial"/>
        </w:rPr>
        <w:t>“CSG</w:t>
      </w:r>
      <w:r w:rsidRPr="00CF5C87">
        <w:rPr>
          <w:rFonts w:ascii="Arial" w:hAnsi="Arial" w:cs="Arial"/>
        </w:rPr>
        <w:t xml:space="preserve"> services</w:t>
      </w:r>
      <w:r>
        <w:rPr>
          <w:rFonts w:ascii="Arial" w:hAnsi="Arial" w:cs="Arial"/>
        </w:rPr>
        <w:t>”</w:t>
      </w:r>
      <w:r w:rsidRPr="00CF5C87">
        <w:rPr>
          <w:rFonts w:ascii="Arial" w:hAnsi="Arial" w:cs="Arial"/>
        </w:rPr>
        <w:t xml:space="preserve"> or more </w:t>
      </w:r>
      <w:r>
        <w:rPr>
          <w:rFonts w:ascii="Arial" w:hAnsi="Arial" w:cs="Arial"/>
        </w:rPr>
        <w:t>on the last day of the financial year immediately preceding the relevant “benchmark period” specified in the CSG Benchmarks.</w:t>
      </w:r>
      <w:r w:rsidRPr="00CF5C87">
        <w:rPr>
          <w:rFonts w:ascii="Arial" w:hAnsi="Arial" w:cs="Arial"/>
        </w:rPr>
        <w:t xml:space="preserve"> </w:t>
      </w:r>
      <w:r>
        <w:rPr>
          <w:rFonts w:ascii="Arial" w:hAnsi="Arial" w:cs="Arial"/>
        </w:rPr>
        <w:t>This allows the ACMA to monitor and enforce comp</w:t>
      </w:r>
      <w:r w:rsidR="00E30F46">
        <w:rPr>
          <w:rFonts w:ascii="Arial" w:hAnsi="Arial" w:cs="Arial"/>
        </w:rPr>
        <w:t>liance with the CSG Benchmarks.</w:t>
      </w:r>
    </w:p>
    <w:p w14:paraId="6403F715" w14:textId="2CF83388" w:rsidR="00DE72D3" w:rsidRPr="00E30F46" w:rsidRDefault="00DE72D3" w:rsidP="00E30F46">
      <w:pPr>
        <w:rPr>
          <w:rFonts w:ascii="Arial" w:hAnsi="Arial" w:cs="Arial"/>
        </w:rPr>
      </w:pPr>
      <w:r w:rsidRPr="00E30F46">
        <w:rPr>
          <w:rFonts w:ascii="Arial" w:hAnsi="Arial" w:cs="Arial"/>
        </w:rPr>
        <w:t xml:space="preserve">The CSG Benchmarks set minimum performance benchmarks regarding compliance with the CSG Standard. The CSG Standard sets performance standards in relation to a range of customer service matters, including the keeping of appointments and the maximum timeframes that a CSP can take to connect services and rectify faults or service </w:t>
      </w:r>
      <w:r w:rsidR="00E30F46" w:rsidRPr="00E30F46">
        <w:rPr>
          <w:rFonts w:ascii="Arial" w:hAnsi="Arial" w:cs="Arial"/>
        </w:rPr>
        <w:t>difficulties.</w:t>
      </w:r>
    </w:p>
    <w:p w14:paraId="5B58AA18" w14:textId="13D7A682" w:rsidR="00A02155" w:rsidRPr="00BF5B63" w:rsidRDefault="00A02155" w:rsidP="00E30F46">
      <w:pPr>
        <w:rPr>
          <w:rFonts w:ascii="Arial" w:hAnsi="Arial" w:cs="Arial"/>
        </w:rPr>
      </w:pPr>
      <w:r>
        <w:rPr>
          <w:rFonts w:ascii="Arial" w:hAnsi="Arial" w:cs="Arial"/>
        </w:rPr>
        <w:t xml:space="preserve">In January 2012, the ACMA </w:t>
      </w:r>
      <w:r w:rsidRPr="00BF5B63">
        <w:rPr>
          <w:rFonts w:ascii="Arial" w:hAnsi="Arial" w:cs="Arial"/>
        </w:rPr>
        <w:t xml:space="preserve">made the </w:t>
      </w:r>
      <w:r>
        <w:rPr>
          <w:rFonts w:ascii="Arial" w:hAnsi="Arial" w:cs="Arial"/>
        </w:rPr>
        <w:t>Payphone</w:t>
      </w:r>
      <w:r w:rsidR="001B03E3">
        <w:rPr>
          <w:rFonts w:ascii="Arial" w:hAnsi="Arial" w:cs="Arial"/>
        </w:rPr>
        <w:t xml:space="preserve"> RKRs</w:t>
      </w:r>
      <w:r w:rsidRPr="00BF5B63">
        <w:rPr>
          <w:rFonts w:ascii="Arial" w:hAnsi="Arial" w:cs="Arial"/>
        </w:rPr>
        <w:t xml:space="preserve"> for the purposes of ensuring that a primary universal service provider (</w:t>
      </w:r>
      <w:r w:rsidRPr="00BF5B63">
        <w:rPr>
          <w:rFonts w:ascii="Arial" w:hAnsi="Arial" w:cs="Arial"/>
          <w:b/>
        </w:rPr>
        <w:t>PUSP</w:t>
      </w:r>
      <w:r w:rsidRPr="00BF5B63">
        <w:rPr>
          <w:rFonts w:ascii="Arial" w:hAnsi="Arial" w:cs="Arial"/>
        </w:rPr>
        <w:t>) keeps the necessary records, and provides the ACMA with the necessary information</w:t>
      </w:r>
      <w:r w:rsidR="00FE3706">
        <w:rPr>
          <w:rFonts w:ascii="Arial" w:hAnsi="Arial" w:cs="Arial"/>
        </w:rPr>
        <w:t>,</w:t>
      </w:r>
      <w:r w:rsidRPr="00BF5B63">
        <w:rPr>
          <w:rFonts w:ascii="Arial" w:hAnsi="Arial" w:cs="Arial"/>
        </w:rPr>
        <w:t xml:space="preserve"> to enable the ACMA </w:t>
      </w:r>
      <w:proofErr w:type="gramStart"/>
      <w:r w:rsidRPr="00BF5B63">
        <w:rPr>
          <w:rFonts w:ascii="Arial" w:hAnsi="Arial" w:cs="Arial"/>
        </w:rPr>
        <w:t>to</w:t>
      </w:r>
      <w:proofErr w:type="gramEnd"/>
      <w:r w:rsidRPr="00BF5B63">
        <w:rPr>
          <w:rFonts w:ascii="Arial" w:hAnsi="Arial" w:cs="Arial"/>
        </w:rPr>
        <w:t xml:space="preserve"> effectively:</w:t>
      </w:r>
    </w:p>
    <w:p w14:paraId="73823933" w14:textId="77777777" w:rsidR="00A02155" w:rsidRPr="00BF5B63" w:rsidRDefault="00A02155" w:rsidP="00A02155">
      <w:pPr>
        <w:numPr>
          <w:ilvl w:val="0"/>
          <w:numId w:val="21"/>
        </w:numPr>
        <w:spacing w:after="120" w:line="280" w:lineRule="exact"/>
        <w:rPr>
          <w:rFonts w:ascii="Arial" w:hAnsi="Arial" w:cs="Arial"/>
        </w:rPr>
      </w:pPr>
      <w:r w:rsidRPr="00BF5B63">
        <w:rPr>
          <w:rFonts w:ascii="Arial" w:hAnsi="Arial" w:cs="Arial"/>
        </w:rPr>
        <w:t xml:space="preserve">monitor and enforce compliance with the benchmarks relating to payphones set by the Minister under section 12EE of the </w:t>
      </w:r>
      <w:r w:rsidRPr="00BF5B63">
        <w:rPr>
          <w:rFonts w:ascii="Arial" w:hAnsi="Arial" w:cs="Arial"/>
          <w:i/>
        </w:rPr>
        <w:t xml:space="preserve">Telecommunications (Consumer Protection and Service Standards) Act 1999 </w:t>
      </w:r>
      <w:r w:rsidRPr="00BF5B63">
        <w:rPr>
          <w:rFonts w:ascii="Arial" w:hAnsi="Arial" w:cs="Arial"/>
        </w:rPr>
        <w:t>(</w:t>
      </w:r>
      <w:r w:rsidRPr="00BF5B63">
        <w:rPr>
          <w:rFonts w:ascii="Arial" w:hAnsi="Arial" w:cs="Arial"/>
          <w:b/>
        </w:rPr>
        <w:t>TCPSS Act</w:t>
      </w:r>
      <w:r w:rsidRPr="00BF5B63">
        <w:rPr>
          <w:rFonts w:ascii="Arial" w:hAnsi="Arial" w:cs="Arial"/>
        </w:rPr>
        <w:t>); and</w:t>
      </w:r>
    </w:p>
    <w:p w14:paraId="65D95B9A" w14:textId="1800F14F" w:rsidR="00A02155" w:rsidRPr="00BF5B63" w:rsidRDefault="00A02155" w:rsidP="00A02155">
      <w:pPr>
        <w:numPr>
          <w:ilvl w:val="0"/>
          <w:numId w:val="21"/>
        </w:numPr>
        <w:spacing w:after="120" w:line="280" w:lineRule="exact"/>
        <w:rPr>
          <w:rFonts w:ascii="Arial" w:hAnsi="Arial" w:cs="Arial"/>
        </w:rPr>
      </w:pPr>
      <w:proofErr w:type="gramStart"/>
      <w:r w:rsidRPr="00BF5B63">
        <w:rPr>
          <w:rFonts w:ascii="Arial" w:hAnsi="Arial" w:cs="Arial"/>
        </w:rPr>
        <w:t>discharge</w:t>
      </w:r>
      <w:proofErr w:type="gramEnd"/>
      <w:r w:rsidRPr="00BF5B63">
        <w:rPr>
          <w:rFonts w:ascii="Arial" w:hAnsi="Arial" w:cs="Arial"/>
        </w:rPr>
        <w:t xml:space="preserve"> its obligation under paragraph 105(3)(</w:t>
      </w:r>
      <w:proofErr w:type="spellStart"/>
      <w:r w:rsidRPr="00BF5B63">
        <w:rPr>
          <w:rFonts w:ascii="Arial" w:hAnsi="Arial" w:cs="Arial"/>
        </w:rPr>
        <w:t>ea</w:t>
      </w:r>
      <w:proofErr w:type="spellEnd"/>
      <w:r w:rsidRPr="00BF5B63">
        <w:rPr>
          <w:rFonts w:ascii="Arial" w:hAnsi="Arial" w:cs="Arial"/>
        </w:rPr>
        <w:t xml:space="preserve">) of the </w:t>
      </w:r>
      <w:r w:rsidR="00DE72D3">
        <w:rPr>
          <w:rFonts w:ascii="Arial" w:hAnsi="Arial" w:cs="Arial"/>
        </w:rPr>
        <w:t xml:space="preserve">Tel Act, </w:t>
      </w:r>
      <w:r w:rsidRPr="00BF5B63">
        <w:rPr>
          <w:rFonts w:ascii="Arial" w:hAnsi="Arial" w:cs="Arial"/>
        </w:rPr>
        <w:t>to monitor and report on the operation of the Universal Service Regime under Part 2 of the TCPSS Act.</w:t>
      </w:r>
    </w:p>
    <w:p w14:paraId="5E9C095F" w14:textId="7C9224CB" w:rsidR="00A02155" w:rsidRPr="00BF5B63" w:rsidRDefault="00A02155" w:rsidP="00A02155">
      <w:pPr>
        <w:spacing w:after="120" w:line="280" w:lineRule="exact"/>
        <w:rPr>
          <w:rFonts w:ascii="Arial" w:hAnsi="Arial" w:cs="Arial"/>
        </w:rPr>
      </w:pPr>
      <w:r w:rsidRPr="00BF5B63">
        <w:rPr>
          <w:rFonts w:ascii="Arial" w:hAnsi="Arial" w:cs="Arial"/>
        </w:rPr>
        <w:t xml:space="preserve">The </w:t>
      </w:r>
      <w:r w:rsidR="00DE72D3">
        <w:rPr>
          <w:rFonts w:ascii="Arial" w:hAnsi="Arial" w:cs="Arial"/>
        </w:rPr>
        <w:t>Payphone</w:t>
      </w:r>
      <w:r w:rsidR="001B03E3">
        <w:rPr>
          <w:rFonts w:ascii="Arial" w:hAnsi="Arial" w:cs="Arial"/>
        </w:rPr>
        <w:t xml:space="preserve"> RKRs</w:t>
      </w:r>
      <w:r w:rsidRPr="00BF5B63">
        <w:rPr>
          <w:rFonts w:ascii="Arial" w:hAnsi="Arial" w:cs="Arial"/>
        </w:rPr>
        <w:t xml:space="preserve"> </w:t>
      </w:r>
      <w:r w:rsidR="00DE72D3">
        <w:rPr>
          <w:rFonts w:ascii="Arial" w:hAnsi="Arial" w:cs="Arial"/>
        </w:rPr>
        <w:t>commenced on 1 February 2012 and requi</w:t>
      </w:r>
      <w:r w:rsidRPr="00BF5B63">
        <w:rPr>
          <w:rFonts w:ascii="Arial" w:hAnsi="Arial" w:cs="Arial"/>
        </w:rPr>
        <w:t xml:space="preserve">re a PUSP to: </w:t>
      </w:r>
    </w:p>
    <w:p w14:paraId="232066F7" w14:textId="77777777" w:rsidR="00A02155" w:rsidRPr="00BF5B63" w:rsidRDefault="00A02155" w:rsidP="00A02155">
      <w:pPr>
        <w:numPr>
          <w:ilvl w:val="0"/>
          <w:numId w:val="14"/>
        </w:numPr>
        <w:spacing w:after="120" w:line="280" w:lineRule="exact"/>
        <w:rPr>
          <w:rFonts w:ascii="Arial" w:hAnsi="Arial" w:cs="Arial"/>
        </w:rPr>
      </w:pPr>
      <w:r w:rsidRPr="00BF5B63">
        <w:rPr>
          <w:rFonts w:ascii="Arial" w:hAnsi="Arial" w:cs="Arial"/>
        </w:rPr>
        <w:t xml:space="preserve">keep and retain records in relation to compliance with the </w:t>
      </w:r>
      <w:r w:rsidRPr="00BF5B63">
        <w:rPr>
          <w:rFonts w:ascii="Arial" w:hAnsi="Arial" w:cs="Arial"/>
          <w:i/>
        </w:rPr>
        <w:t xml:space="preserve">Telecommunications Universal Service Obligation (Payphone Performance Benchmarks) Instrument (No. 1) 2011 </w:t>
      </w:r>
      <w:r w:rsidRPr="00BF5B63">
        <w:rPr>
          <w:rFonts w:ascii="Arial" w:hAnsi="Arial" w:cs="Arial"/>
        </w:rPr>
        <w:t>(</w:t>
      </w:r>
      <w:r w:rsidRPr="00BF5B63">
        <w:rPr>
          <w:rFonts w:ascii="Arial" w:hAnsi="Arial" w:cs="Arial"/>
          <w:b/>
        </w:rPr>
        <w:t>Payphone Benchmarks</w:t>
      </w:r>
      <w:r w:rsidRPr="00BF5B63">
        <w:rPr>
          <w:rFonts w:ascii="Arial" w:hAnsi="Arial" w:cs="Arial"/>
        </w:rPr>
        <w:t xml:space="preserve">); and </w:t>
      </w:r>
    </w:p>
    <w:p w14:paraId="2D1AE953" w14:textId="7C0E74E1" w:rsidR="00A02155" w:rsidRPr="00BF5B63" w:rsidRDefault="00A02155" w:rsidP="00A02155">
      <w:pPr>
        <w:numPr>
          <w:ilvl w:val="0"/>
          <w:numId w:val="14"/>
        </w:numPr>
        <w:spacing w:after="120" w:line="280" w:lineRule="exact"/>
        <w:rPr>
          <w:rFonts w:ascii="Arial" w:hAnsi="Arial" w:cs="Arial"/>
        </w:rPr>
      </w:pPr>
      <w:proofErr w:type="gramStart"/>
      <w:r w:rsidRPr="00BF5B63">
        <w:rPr>
          <w:rFonts w:ascii="Arial" w:hAnsi="Arial" w:cs="Arial"/>
        </w:rPr>
        <w:t>prepare</w:t>
      </w:r>
      <w:proofErr w:type="gramEnd"/>
      <w:r w:rsidRPr="00BF5B63">
        <w:rPr>
          <w:rFonts w:ascii="Arial" w:hAnsi="Arial" w:cs="Arial"/>
        </w:rPr>
        <w:t xml:space="preserve"> and give to the ACMA, reports in the form specified in the </w:t>
      </w:r>
      <w:r w:rsidR="00DE72D3">
        <w:rPr>
          <w:rFonts w:ascii="Arial" w:hAnsi="Arial" w:cs="Arial"/>
        </w:rPr>
        <w:t>Payphone</w:t>
      </w:r>
      <w:r w:rsidR="001B03E3">
        <w:rPr>
          <w:rFonts w:ascii="Arial" w:hAnsi="Arial" w:cs="Arial"/>
        </w:rPr>
        <w:t xml:space="preserve"> RKRs</w:t>
      </w:r>
      <w:r w:rsidRPr="00BF5B63">
        <w:rPr>
          <w:rFonts w:ascii="Arial" w:hAnsi="Arial" w:cs="Arial"/>
        </w:rPr>
        <w:t xml:space="preserve"> and which consist of information contained in those records. </w:t>
      </w:r>
    </w:p>
    <w:p w14:paraId="3A797E29" w14:textId="77777777" w:rsidR="00F3685F" w:rsidRDefault="00F3685F" w:rsidP="00742216">
      <w:pPr>
        <w:pStyle w:val="ACMANumberedList"/>
        <w:spacing w:before="20" w:after="20"/>
        <w:rPr>
          <w:sz w:val="22"/>
          <w:szCs w:val="22"/>
        </w:rPr>
      </w:pPr>
      <w:r>
        <w:rPr>
          <w:sz w:val="22"/>
          <w:szCs w:val="22"/>
        </w:rPr>
        <w:t xml:space="preserve">The Payphone Benchmarks </w:t>
      </w:r>
      <w:r w:rsidRPr="00F3685F">
        <w:rPr>
          <w:sz w:val="22"/>
          <w:szCs w:val="22"/>
        </w:rPr>
        <w:t>determine standards relating to the rectification of faults or service difficulties with payphones and payphone carriage services, and minimum performance benchmarks for compliance by the PUSP with those standards.</w:t>
      </w:r>
    </w:p>
    <w:p w14:paraId="61E9CD0D" w14:textId="77777777" w:rsidR="00F3685F" w:rsidRDefault="00F3685F" w:rsidP="00742216">
      <w:pPr>
        <w:pStyle w:val="ACMANumberedList"/>
        <w:spacing w:before="20" w:after="20"/>
        <w:rPr>
          <w:sz w:val="22"/>
          <w:szCs w:val="22"/>
        </w:rPr>
      </w:pPr>
    </w:p>
    <w:p w14:paraId="616C439D" w14:textId="56FA9B63" w:rsidR="00016BED" w:rsidRDefault="00D9414A" w:rsidP="00742216">
      <w:pPr>
        <w:pStyle w:val="ACMANumberedList"/>
        <w:spacing w:before="20" w:after="20"/>
        <w:rPr>
          <w:sz w:val="22"/>
          <w:szCs w:val="22"/>
        </w:rPr>
      </w:pPr>
      <w:r>
        <w:rPr>
          <w:sz w:val="22"/>
          <w:szCs w:val="22"/>
        </w:rPr>
        <w:t>The CSG</w:t>
      </w:r>
      <w:r w:rsidR="001B03E3">
        <w:rPr>
          <w:sz w:val="22"/>
          <w:szCs w:val="22"/>
        </w:rPr>
        <w:t xml:space="preserve"> RKRs</w:t>
      </w:r>
      <w:r>
        <w:rPr>
          <w:sz w:val="22"/>
          <w:szCs w:val="22"/>
        </w:rPr>
        <w:t xml:space="preserve"> and Payphone</w:t>
      </w:r>
      <w:r w:rsidR="001B03E3">
        <w:rPr>
          <w:sz w:val="22"/>
          <w:szCs w:val="22"/>
        </w:rPr>
        <w:t xml:space="preserve"> RKRs</w:t>
      </w:r>
      <w:r>
        <w:rPr>
          <w:sz w:val="22"/>
          <w:szCs w:val="22"/>
        </w:rPr>
        <w:t xml:space="preserve"> </w:t>
      </w:r>
      <w:r w:rsidR="005F0A93">
        <w:rPr>
          <w:sz w:val="22"/>
          <w:szCs w:val="22"/>
        </w:rPr>
        <w:t>prescribe</w:t>
      </w:r>
      <w:r>
        <w:rPr>
          <w:sz w:val="22"/>
          <w:szCs w:val="22"/>
        </w:rPr>
        <w:t xml:space="preserve"> the </w:t>
      </w:r>
      <w:r w:rsidR="00037FCA">
        <w:rPr>
          <w:sz w:val="22"/>
          <w:szCs w:val="22"/>
        </w:rPr>
        <w:t xml:space="preserve">frequency and </w:t>
      </w:r>
      <w:r w:rsidR="005F0A93">
        <w:rPr>
          <w:sz w:val="22"/>
          <w:szCs w:val="22"/>
        </w:rPr>
        <w:t>form of reports</w:t>
      </w:r>
      <w:r>
        <w:rPr>
          <w:sz w:val="22"/>
          <w:szCs w:val="22"/>
        </w:rPr>
        <w:t xml:space="preserve"> that </w:t>
      </w:r>
      <w:r w:rsidR="009A1BEE">
        <w:rPr>
          <w:sz w:val="22"/>
          <w:szCs w:val="22"/>
        </w:rPr>
        <w:t xml:space="preserve">relevant </w:t>
      </w:r>
      <w:r>
        <w:rPr>
          <w:sz w:val="22"/>
          <w:szCs w:val="22"/>
        </w:rPr>
        <w:t>CSPs must provide to the ACMA</w:t>
      </w:r>
      <w:r w:rsidR="00037FCA">
        <w:rPr>
          <w:sz w:val="22"/>
          <w:szCs w:val="22"/>
        </w:rPr>
        <w:t>. Previously, the</w:t>
      </w:r>
      <w:r w:rsidR="001B03E3">
        <w:rPr>
          <w:sz w:val="22"/>
          <w:szCs w:val="22"/>
        </w:rPr>
        <w:t xml:space="preserve"> RKRs</w:t>
      </w:r>
      <w:r>
        <w:rPr>
          <w:sz w:val="22"/>
          <w:szCs w:val="22"/>
        </w:rPr>
        <w:t xml:space="preserve"> </w:t>
      </w:r>
      <w:r w:rsidR="00037FCA">
        <w:rPr>
          <w:sz w:val="22"/>
          <w:szCs w:val="22"/>
        </w:rPr>
        <w:t>each required</w:t>
      </w:r>
      <w:r w:rsidR="00016BED">
        <w:rPr>
          <w:sz w:val="22"/>
          <w:szCs w:val="22"/>
        </w:rPr>
        <w:t xml:space="preserve">: </w:t>
      </w:r>
    </w:p>
    <w:p w14:paraId="116ABA5A" w14:textId="77777777" w:rsidR="00016BED" w:rsidRDefault="00016BED" w:rsidP="00742216">
      <w:pPr>
        <w:pStyle w:val="ACMANumberedList"/>
        <w:spacing w:before="20" w:after="20"/>
        <w:rPr>
          <w:sz w:val="22"/>
          <w:szCs w:val="22"/>
        </w:rPr>
      </w:pPr>
    </w:p>
    <w:p w14:paraId="467BB9C7" w14:textId="5206B12F" w:rsidR="00016BED" w:rsidRPr="00016BED" w:rsidRDefault="00016BED" w:rsidP="00016BED">
      <w:pPr>
        <w:numPr>
          <w:ilvl w:val="0"/>
          <w:numId w:val="34"/>
        </w:numPr>
        <w:suppressAutoHyphens/>
        <w:spacing w:before="80" w:after="120" w:line="280" w:lineRule="atLeast"/>
        <w:rPr>
          <w:rFonts w:ascii="Arial" w:eastAsia="Times New Roman" w:hAnsi="Arial" w:cs="Arial"/>
          <w:snapToGrid w:val="0"/>
        </w:rPr>
      </w:pPr>
      <w:r>
        <w:rPr>
          <w:rFonts w:ascii="Arial" w:eastAsia="Times New Roman" w:hAnsi="Arial" w:cs="Arial"/>
          <w:snapToGrid w:val="0"/>
        </w:rPr>
        <w:lastRenderedPageBreak/>
        <w:t xml:space="preserve">reports to be provided to the ACMA on a </w:t>
      </w:r>
      <w:r w:rsidRPr="00016BED">
        <w:rPr>
          <w:rFonts w:ascii="Arial" w:eastAsia="Times New Roman" w:hAnsi="Arial" w:cs="Arial"/>
          <w:snapToGrid w:val="0"/>
        </w:rPr>
        <w:t>six-month</w:t>
      </w:r>
      <w:r>
        <w:rPr>
          <w:rFonts w:ascii="Arial" w:eastAsia="Times New Roman" w:hAnsi="Arial" w:cs="Arial"/>
          <w:snapToGrid w:val="0"/>
        </w:rPr>
        <w:t>ly</w:t>
      </w:r>
      <w:r w:rsidRPr="00016BED">
        <w:rPr>
          <w:rFonts w:ascii="Arial" w:eastAsia="Times New Roman" w:hAnsi="Arial" w:cs="Arial"/>
          <w:snapToGrid w:val="0"/>
        </w:rPr>
        <w:t xml:space="preserve"> </w:t>
      </w:r>
      <w:r w:rsidR="00037FCA">
        <w:rPr>
          <w:rFonts w:ascii="Arial" w:eastAsia="Times New Roman" w:hAnsi="Arial" w:cs="Arial"/>
          <w:snapToGrid w:val="0"/>
        </w:rPr>
        <w:t xml:space="preserve">basis, with the reporting </w:t>
      </w:r>
      <w:r w:rsidRPr="00016BED">
        <w:rPr>
          <w:rFonts w:ascii="Arial" w:eastAsia="Times New Roman" w:hAnsi="Arial" w:cs="Arial"/>
          <w:snapToGrid w:val="0"/>
        </w:rPr>
        <w:t>period</w:t>
      </w:r>
      <w:r w:rsidR="00037FCA">
        <w:rPr>
          <w:rFonts w:ascii="Arial" w:eastAsia="Times New Roman" w:hAnsi="Arial" w:cs="Arial"/>
          <w:snapToGrid w:val="0"/>
        </w:rPr>
        <w:t>s</w:t>
      </w:r>
      <w:r w:rsidRPr="00016BED">
        <w:rPr>
          <w:rFonts w:ascii="Arial" w:eastAsia="Times New Roman" w:hAnsi="Arial" w:cs="Arial"/>
          <w:snapToGrid w:val="0"/>
        </w:rPr>
        <w:t xml:space="preserve"> ending </w:t>
      </w:r>
      <w:r w:rsidR="00037FCA">
        <w:rPr>
          <w:rFonts w:ascii="Arial" w:eastAsia="Times New Roman" w:hAnsi="Arial" w:cs="Arial"/>
          <w:snapToGrid w:val="0"/>
        </w:rPr>
        <w:t xml:space="preserve">on </w:t>
      </w:r>
      <w:r w:rsidRPr="00016BED">
        <w:rPr>
          <w:rFonts w:ascii="Arial" w:eastAsia="Times New Roman" w:hAnsi="Arial" w:cs="Arial"/>
          <w:snapToGrid w:val="0"/>
        </w:rPr>
        <w:t>31 December and 30 June;</w:t>
      </w:r>
    </w:p>
    <w:p w14:paraId="1392F225" w14:textId="58A18B70" w:rsidR="00016BED" w:rsidRPr="00016BED" w:rsidRDefault="00037FCA" w:rsidP="00016BED">
      <w:pPr>
        <w:numPr>
          <w:ilvl w:val="0"/>
          <w:numId w:val="34"/>
        </w:numPr>
        <w:suppressAutoHyphens/>
        <w:spacing w:before="80" w:after="120" w:line="280" w:lineRule="atLeast"/>
        <w:rPr>
          <w:rFonts w:ascii="Arial" w:eastAsia="Times New Roman" w:hAnsi="Arial" w:cs="Arial"/>
          <w:snapToGrid w:val="0"/>
        </w:rPr>
      </w:pPr>
      <w:r>
        <w:rPr>
          <w:rFonts w:ascii="Arial" w:eastAsia="Times New Roman" w:hAnsi="Arial" w:cs="Arial"/>
          <w:snapToGrid w:val="0"/>
        </w:rPr>
        <w:t>report</w:t>
      </w:r>
      <w:r w:rsidR="006F25DC">
        <w:rPr>
          <w:rFonts w:ascii="Arial" w:eastAsia="Times New Roman" w:hAnsi="Arial" w:cs="Arial"/>
          <w:snapToGrid w:val="0"/>
        </w:rPr>
        <w:t>s</w:t>
      </w:r>
      <w:r>
        <w:rPr>
          <w:rFonts w:ascii="Arial" w:eastAsia="Times New Roman" w:hAnsi="Arial" w:cs="Arial"/>
          <w:snapToGrid w:val="0"/>
        </w:rPr>
        <w:t xml:space="preserve"> to </w:t>
      </w:r>
      <w:r w:rsidR="006F25DC">
        <w:rPr>
          <w:rFonts w:ascii="Arial" w:eastAsia="Times New Roman" w:hAnsi="Arial" w:cs="Arial"/>
          <w:snapToGrid w:val="0"/>
        </w:rPr>
        <w:t xml:space="preserve">contain data on a </w:t>
      </w:r>
      <w:r w:rsidR="00016BED" w:rsidRPr="00016BED">
        <w:rPr>
          <w:rFonts w:ascii="Arial" w:eastAsia="Times New Roman" w:hAnsi="Arial" w:cs="Arial"/>
          <w:snapToGrid w:val="0"/>
        </w:rPr>
        <w:t xml:space="preserve">quarterly </w:t>
      </w:r>
      <w:r w:rsidR="006F25DC">
        <w:rPr>
          <w:rFonts w:ascii="Arial" w:eastAsia="Times New Roman" w:hAnsi="Arial" w:cs="Arial"/>
          <w:snapToGrid w:val="0"/>
        </w:rPr>
        <w:t xml:space="preserve">basis within </w:t>
      </w:r>
      <w:r w:rsidR="00016BED">
        <w:rPr>
          <w:rFonts w:ascii="Arial" w:eastAsia="Times New Roman" w:hAnsi="Arial" w:cs="Arial"/>
          <w:snapToGrid w:val="0"/>
        </w:rPr>
        <w:t>that six month period</w:t>
      </w:r>
      <w:r w:rsidR="00016BED" w:rsidRPr="00016BED">
        <w:rPr>
          <w:rFonts w:ascii="Arial" w:eastAsia="Times New Roman" w:hAnsi="Arial" w:cs="Arial"/>
          <w:snapToGrid w:val="0"/>
        </w:rPr>
        <w:t xml:space="preserve">; and </w:t>
      </w:r>
    </w:p>
    <w:p w14:paraId="076029AC" w14:textId="5454C85C" w:rsidR="00016BED" w:rsidRDefault="00016BED" w:rsidP="00016BED">
      <w:pPr>
        <w:numPr>
          <w:ilvl w:val="0"/>
          <w:numId w:val="34"/>
        </w:numPr>
        <w:suppressAutoHyphens/>
        <w:spacing w:before="80" w:after="120" w:line="280" w:lineRule="atLeast"/>
        <w:rPr>
          <w:rFonts w:ascii="Arial" w:eastAsia="Times New Roman" w:hAnsi="Arial" w:cs="Arial"/>
          <w:snapToGrid w:val="0"/>
        </w:rPr>
      </w:pPr>
      <w:proofErr w:type="gramStart"/>
      <w:r w:rsidRPr="00016BED">
        <w:rPr>
          <w:rFonts w:ascii="Arial" w:eastAsia="Times New Roman" w:hAnsi="Arial" w:cs="Arial"/>
          <w:snapToGrid w:val="0"/>
        </w:rPr>
        <w:t>report</w:t>
      </w:r>
      <w:r w:rsidR="006F25DC">
        <w:rPr>
          <w:rFonts w:ascii="Arial" w:eastAsia="Times New Roman" w:hAnsi="Arial" w:cs="Arial"/>
          <w:snapToGrid w:val="0"/>
        </w:rPr>
        <w:t>s</w:t>
      </w:r>
      <w:proofErr w:type="gramEnd"/>
      <w:r w:rsidRPr="00016BED">
        <w:rPr>
          <w:rFonts w:ascii="Arial" w:eastAsia="Times New Roman" w:hAnsi="Arial" w:cs="Arial"/>
          <w:snapToGrid w:val="0"/>
        </w:rPr>
        <w:t xml:space="preserve"> </w:t>
      </w:r>
      <w:r w:rsidR="006F25DC">
        <w:rPr>
          <w:rFonts w:ascii="Arial" w:eastAsia="Times New Roman" w:hAnsi="Arial" w:cs="Arial"/>
          <w:snapToGrid w:val="0"/>
        </w:rPr>
        <w:t xml:space="preserve">to </w:t>
      </w:r>
      <w:r w:rsidRPr="00016BED">
        <w:rPr>
          <w:rFonts w:ascii="Arial" w:eastAsia="Times New Roman" w:hAnsi="Arial" w:cs="Arial"/>
          <w:snapToGrid w:val="0"/>
        </w:rPr>
        <w:t xml:space="preserve">include </w:t>
      </w:r>
      <w:r w:rsidR="00284910">
        <w:rPr>
          <w:rFonts w:ascii="Arial" w:eastAsia="Times New Roman" w:hAnsi="Arial" w:cs="Arial"/>
          <w:snapToGrid w:val="0"/>
        </w:rPr>
        <w:t xml:space="preserve">some </w:t>
      </w:r>
      <w:r w:rsidRPr="00016BED">
        <w:rPr>
          <w:rFonts w:ascii="Arial" w:eastAsia="Times New Roman" w:hAnsi="Arial" w:cs="Arial"/>
          <w:snapToGrid w:val="0"/>
        </w:rPr>
        <w:t xml:space="preserve">data disaggregated </w:t>
      </w:r>
      <w:r w:rsidR="007112BF">
        <w:rPr>
          <w:rFonts w:ascii="Arial" w:eastAsia="Times New Roman" w:hAnsi="Arial" w:cs="Arial"/>
          <w:snapToGrid w:val="0"/>
        </w:rPr>
        <w:t xml:space="preserve">on </w:t>
      </w:r>
      <w:r w:rsidRPr="00016BED">
        <w:rPr>
          <w:rFonts w:ascii="Arial" w:eastAsia="Times New Roman" w:hAnsi="Arial" w:cs="Arial"/>
          <w:snapToGrid w:val="0"/>
        </w:rPr>
        <w:t xml:space="preserve">state, territory and national levels. Most metrics are required to be further disaggregated into geographic areas </w:t>
      </w:r>
      <w:r>
        <w:rPr>
          <w:rFonts w:ascii="Arial" w:eastAsia="Times New Roman" w:hAnsi="Arial" w:cs="Arial"/>
          <w:snapToGrid w:val="0"/>
        </w:rPr>
        <w:t xml:space="preserve">as required under the CSG Benchmarks and Payphone Benchmarks </w:t>
      </w:r>
      <w:r w:rsidR="00284910">
        <w:rPr>
          <w:rFonts w:ascii="Arial" w:eastAsia="Times New Roman" w:hAnsi="Arial" w:cs="Arial"/>
          <w:snapToGrid w:val="0"/>
        </w:rPr>
        <w:t xml:space="preserve">definitions and obligations </w:t>
      </w:r>
      <w:r w:rsidRPr="00016BED">
        <w:rPr>
          <w:rFonts w:ascii="Arial" w:eastAsia="Times New Roman" w:hAnsi="Arial" w:cs="Arial"/>
          <w:snapToGrid w:val="0"/>
        </w:rPr>
        <w:t>(such as urban, (major and minor) rural and remote</w:t>
      </w:r>
      <w:r>
        <w:rPr>
          <w:rFonts w:ascii="Arial" w:eastAsia="Times New Roman" w:hAnsi="Arial" w:cs="Arial"/>
          <w:snapToGrid w:val="0"/>
        </w:rPr>
        <w:t xml:space="preserve"> areas</w:t>
      </w:r>
      <w:r w:rsidRPr="00016BED">
        <w:rPr>
          <w:rFonts w:ascii="Arial" w:eastAsia="Times New Roman" w:hAnsi="Arial" w:cs="Arial"/>
          <w:snapToGrid w:val="0"/>
        </w:rPr>
        <w:t xml:space="preserve">). </w:t>
      </w:r>
    </w:p>
    <w:p w14:paraId="0F2B4FC1" w14:textId="36C86004" w:rsidR="005D12F8" w:rsidRDefault="001B5B3C" w:rsidP="005C7268">
      <w:pPr>
        <w:pStyle w:val="ACMANumberedList"/>
        <w:autoSpaceDE/>
        <w:autoSpaceDN/>
        <w:adjustRightInd/>
        <w:spacing w:before="20" w:after="20"/>
        <w:rPr>
          <w:sz w:val="22"/>
          <w:szCs w:val="22"/>
        </w:rPr>
      </w:pPr>
      <w:r>
        <w:rPr>
          <w:sz w:val="22"/>
          <w:szCs w:val="22"/>
        </w:rPr>
        <w:t>T</w:t>
      </w:r>
      <w:r w:rsidR="00491FD2">
        <w:rPr>
          <w:sz w:val="22"/>
          <w:szCs w:val="22"/>
        </w:rPr>
        <w:t xml:space="preserve">he </w:t>
      </w:r>
      <w:r>
        <w:rPr>
          <w:sz w:val="22"/>
          <w:szCs w:val="22"/>
        </w:rPr>
        <w:t>A</w:t>
      </w:r>
      <w:r w:rsidR="00491FD2" w:rsidRPr="00491FD2">
        <w:rPr>
          <w:sz w:val="22"/>
          <w:szCs w:val="22"/>
        </w:rPr>
        <w:t>mendment</w:t>
      </w:r>
      <w:r>
        <w:rPr>
          <w:sz w:val="22"/>
          <w:szCs w:val="22"/>
        </w:rPr>
        <w:t xml:space="preserve"> Instrument</w:t>
      </w:r>
      <w:r w:rsidR="00491FD2" w:rsidRPr="00491FD2">
        <w:rPr>
          <w:sz w:val="22"/>
          <w:szCs w:val="22"/>
        </w:rPr>
        <w:t xml:space="preserve"> </w:t>
      </w:r>
      <w:r w:rsidR="00491FD2">
        <w:rPr>
          <w:sz w:val="22"/>
          <w:szCs w:val="22"/>
        </w:rPr>
        <w:t>amend</w:t>
      </w:r>
      <w:r w:rsidR="007112BF">
        <w:rPr>
          <w:sz w:val="22"/>
          <w:szCs w:val="22"/>
        </w:rPr>
        <w:t>s</w:t>
      </w:r>
      <w:r w:rsidR="00491FD2">
        <w:rPr>
          <w:sz w:val="22"/>
          <w:szCs w:val="22"/>
        </w:rPr>
        <w:t xml:space="preserve"> the </w:t>
      </w:r>
      <w:r w:rsidR="00284910">
        <w:rPr>
          <w:sz w:val="22"/>
          <w:szCs w:val="22"/>
        </w:rPr>
        <w:t>CSG</w:t>
      </w:r>
      <w:r w:rsidR="001B03E3">
        <w:rPr>
          <w:sz w:val="22"/>
          <w:szCs w:val="22"/>
        </w:rPr>
        <w:t xml:space="preserve"> RKRs</w:t>
      </w:r>
      <w:r w:rsidR="00DE72D3">
        <w:rPr>
          <w:sz w:val="22"/>
          <w:szCs w:val="22"/>
        </w:rPr>
        <w:t xml:space="preserve"> </w:t>
      </w:r>
      <w:r w:rsidR="00284910">
        <w:rPr>
          <w:sz w:val="22"/>
          <w:szCs w:val="22"/>
        </w:rPr>
        <w:t>and Payphones</w:t>
      </w:r>
      <w:r w:rsidR="001B03E3">
        <w:rPr>
          <w:sz w:val="22"/>
          <w:szCs w:val="22"/>
        </w:rPr>
        <w:t xml:space="preserve"> RKRs</w:t>
      </w:r>
      <w:r w:rsidR="005D12F8">
        <w:rPr>
          <w:sz w:val="22"/>
          <w:szCs w:val="22"/>
        </w:rPr>
        <w:t xml:space="preserve"> </w:t>
      </w:r>
      <w:r w:rsidR="00284910">
        <w:rPr>
          <w:sz w:val="22"/>
          <w:szCs w:val="22"/>
        </w:rPr>
        <w:t xml:space="preserve">to simplify the reporting obligations by reducing the reporting periods and level of data disaggregation required in the reports. </w:t>
      </w:r>
    </w:p>
    <w:p w14:paraId="0B9F4F4C" w14:textId="77777777" w:rsidR="00284910" w:rsidRDefault="00284910" w:rsidP="005C7268">
      <w:pPr>
        <w:pStyle w:val="ACMANumberedList"/>
        <w:autoSpaceDE/>
        <w:autoSpaceDN/>
        <w:adjustRightInd/>
        <w:spacing w:before="20" w:after="20"/>
        <w:rPr>
          <w:sz w:val="22"/>
          <w:szCs w:val="22"/>
        </w:rPr>
      </w:pPr>
    </w:p>
    <w:p w14:paraId="79B1C237" w14:textId="01FFD891" w:rsidR="00491FD2" w:rsidRDefault="001E709A" w:rsidP="005C7268">
      <w:pPr>
        <w:pStyle w:val="ACMANumberedList"/>
        <w:autoSpaceDE/>
        <w:autoSpaceDN/>
        <w:adjustRightInd/>
        <w:spacing w:before="20" w:after="20"/>
        <w:rPr>
          <w:sz w:val="22"/>
          <w:szCs w:val="22"/>
        </w:rPr>
      </w:pPr>
      <w:r>
        <w:rPr>
          <w:sz w:val="22"/>
          <w:szCs w:val="22"/>
        </w:rPr>
        <w:t xml:space="preserve">The </w:t>
      </w:r>
      <w:r w:rsidR="007112BF">
        <w:rPr>
          <w:sz w:val="22"/>
          <w:szCs w:val="22"/>
        </w:rPr>
        <w:t xml:space="preserve">effect of the amendments to </w:t>
      </w:r>
      <w:r w:rsidR="004A1A30">
        <w:rPr>
          <w:sz w:val="22"/>
          <w:szCs w:val="22"/>
        </w:rPr>
        <w:t>both the CSG</w:t>
      </w:r>
      <w:r w:rsidR="001B03E3">
        <w:rPr>
          <w:sz w:val="22"/>
          <w:szCs w:val="22"/>
        </w:rPr>
        <w:t xml:space="preserve"> RKRs</w:t>
      </w:r>
      <w:r w:rsidR="00DE72D3">
        <w:rPr>
          <w:sz w:val="22"/>
          <w:szCs w:val="22"/>
        </w:rPr>
        <w:t xml:space="preserve"> </w:t>
      </w:r>
      <w:r w:rsidR="004A1A30">
        <w:rPr>
          <w:sz w:val="22"/>
          <w:szCs w:val="22"/>
        </w:rPr>
        <w:t>and Payphones</w:t>
      </w:r>
      <w:r w:rsidR="001B03E3">
        <w:rPr>
          <w:sz w:val="22"/>
          <w:szCs w:val="22"/>
        </w:rPr>
        <w:t xml:space="preserve"> RKRs</w:t>
      </w:r>
      <w:r w:rsidR="007112BF">
        <w:rPr>
          <w:sz w:val="22"/>
          <w:szCs w:val="22"/>
        </w:rPr>
        <w:t xml:space="preserve"> are to</w:t>
      </w:r>
      <w:r>
        <w:rPr>
          <w:sz w:val="22"/>
          <w:szCs w:val="22"/>
        </w:rPr>
        <w:t>:</w:t>
      </w:r>
      <w:r w:rsidR="00491FD2">
        <w:rPr>
          <w:sz w:val="22"/>
          <w:szCs w:val="22"/>
        </w:rPr>
        <w:t xml:space="preserve"> </w:t>
      </w:r>
    </w:p>
    <w:p w14:paraId="3374AD3F" w14:textId="77777777" w:rsidR="00491FD2" w:rsidRDefault="00491FD2" w:rsidP="005C7268">
      <w:pPr>
        <w:pStyle w:val="ACMANumberedList"/>
        <w:autoSpaceDE/>
        <w:autoSpaceDN/>
        <w:adjustRightInd/>
        <w:spacing w:before="20" w:after="20"/>
        <w:rPr>
          <w:sz w:val="22"/>
          <w:szCs w:val="22"/>
        </w:rPr>
      </w:pPr>
    </w:p>
    <w:p w14:paraId="1E2707B4" w14:textId="41ECE1B2" w:rsidR="004A1A30" w:rsidRDefault="009A1BEE" w:rsidP="004A1A30">
      <w:pPr>
        <w:pStyle w:val="ACMANumberedList"/>
        <w:numPr>
          <w:ilvl w:val="0"/>
          <w:numId w:val="23"/>
        </w:numPr>
        <w:spacing w:before="20" w:after="20"/>
        <w:rPr>
          <w:sz w:val="22"/>
          <w:szCs w:val="22"/>
        </w:rPr>
      </w:pPr>
      <w:r>
        <w:rPr>
          <w:sz w:val="22"/>
          <w:szCs w:val="22"/>
        </w:rPr>
        <w:t xml:space="preserve">require </w:t>
      </w:r>
      <w:r w:rsidR="007112BF">
        <w:rPr>
          <w:sz w:val="22"/>
          <w:szCs w:val="22"/>
        </w:rPr>
        <w:t xml:space="preserve">relevant CSPs only to </w:t>
      </w:r>
      <w:r w:rsidR="004A1A30">
        <w:rPr>
          <w:sz w:val="22"/>
          <w:szCs w:val="22"/>
        </w:rPr>
        <w:t xml:space="preserve">report to the ACMA </w:t>
      </w:r>
      <w:r w:rsidR="007112BF">
        <w:rPr>
          <w:sz w:val="22"/>
          <w:szCs w:val="22"/>
        </w:rPr>
        <w:t>on a yearly basis</w:t>
      </w:r>
      <w:r w:rsidR="00FE3706">
        <w:rPr>
          <w:sz w:val="22"/>
          <w:szCs w:val="22"/>
        </w:rPr>
        <w:t xml:space="preserve"> within 40 working days after the end of the relevant benchmark period (which is aligned to the financial year)</w:t>
      </w:r>
      <w:r w:rsidR="00E667BB">
        <w:rPr>
          <w:sz w:val="22"/>
          <w:szCs w:val="22"/>
        </w:rPr>
        <w:t>;</w:t>
      </w:r>
    </w:p>
    <w:p w14:paraId="5A5F589C" w14:textId="0C89CF5B" w:rsidR="004A1A30" w:rsidRDefault="00DE72D3" w:rsidP="004A1A30">
      <w:pPr>
        <w:pStyle w:val="ACMANumberedList"/>
        <w:numPr>
          <w:ilvl w:val="0"/>
          <w:numId w:val="23"/>
        </w:numPr>
        <w:spacing w:before="20" w:after="20"/>
        <w:rPr>
          <w:sz w:val="22"/>
          <w:szCs w:val="22"/>
        </w:rPr>
      </w:pPr>
      <w:r>
        <w:rPr>
          <w:sz w:val="22"/>
          <w:szCs w:val="22"/>
        </w:rPr>
        <w:t>c</w:t>
      </w:r>
      <w:r w:rsidR="007112BF">
        <w:rPr>
          <w:sz w:val="22"/>
          <w:szCs w:val="22"/>
        </w:rPr>
        <w:t xml:space="preserve">hange the </w:t>
      </w:r>
      <w:r w:rsidR="004A1A30" w:rsidRPr="004A1A30">
        <w:rPr>
          <w:sz w:val="22"/>
          <w:szCs w:val="22"/>
        </w:rPr>
        <w:t>prescribed form</w:t>
      </w:r>
      <w:r w:rsidR="007112BF">
        <w:rPr>
          <w:sz w:val="22"/>
          <w:szCs w:val="22"/>
        </w:rPr>
        <w:t>s</w:t>
      </w:r>
      <w:r w:rsidR="004A1A30" w:rsidRPr="004A1A30">
        <w:rPr>
          <w:sz w:val="22"/>
          <w:szCs w:val="22"/>
        </w:rPr>
        <w:t xml:space="preserve"> </w:t>
      </w:r>
      <w:r w:rsidR="007112BF">
        <w:rPr>
          <w:sz w:val="22"/>
          <w:szCs w:val="22"/>
        </w:rPr>
        <w:t xml:space="preserve">in relation to </w:t>
      </w:r>
      <w:r w:rsidR="004A1A30">
        <w:rPr>
          <w:sz w:val="22"/>
          <w:szCs w:val="22"/>
        </w:rPr>
        <w:t xml:space="preserve">the </w:t>
      </w:r>
      <w:r w:rsidR="007112BF">
        <w:rPr>
          <w:sz w:val="22"/>
          <w:szCs w:val="22"/>
        </w:rPr>
        <w:t xml:space="preserve">relevant </w:t>
      </w:r>
      <w:r w:rsidR="004A1A30">
        <w:rPr>
          <w:sz w:val="22"/>
          <w:szCs w:val="22"/>
        </w:rPr>
        <w:t xml:space="preserve">reports to remove the requirement for data to be disaggregated </w:t>
      </w:r>
      <w:r w:rsidR="007112BF">
        <w:rPr>
          <w:sz w:val="22"/>
          <w:szCs w:val="22"/>
        </w:rPr>
        <w:t xml:space="preserve">on a </w:t>
      </w:r>
      <w:r w:rsidR="004A1A30" w:rsidRPr="004A1A30">
        <w:rPr>
          <w:sz w:val="22"/>
          <w:szCs w:val="22"/>
        </w:rPr>
        <w:t xml:space="preserve">quarterly </w:t>
      </w:r>
      <w:r w:rsidR="007112BF">
        <w:rPr>
          <w:sz w:val="22"/>
          <w:szCs w:val="22"/>
        </w:rPr>
        <w:t>basis</w:t>
      </w:r>
      <w:r>
        <w:rPr>
          <w:sz w:val="22"/>
          <w:szCs w:val="22"/>
        </w:rPr>
        <w:t>;</w:t>
      </w:r>
    </w:p>
    <w:p w14:paraId="4B1E9FD3" w14:textId="77777777" w:rsidR="00FE3706" w:rsidRDefault="00DE72D3" w:rsidP="004A1A30">
      <w:pPr>
        <w:pStyle w:val="ACMANumberedList"/>
        <w:numPr>
          <w:ilvl w:val="0"/>
          <w:numId w:val="23"/>
        </w:numPr>
        <w:spacing w:before="20" w:after="20"/>
        <w:rPr>
          <w:sz w:val="22"/>
          <w:szCs w:val="22"/>
        </w:rPr>
      </w:pPr>
      <w:r>
        <w:rPr>
          <w:sz w:val="22"/>
          <w:szCs w:val="22"/>
        </w:rPr>
        <w:t>c</w:t>
      </w:r>
      <w:r w:rsidR="007112BF">
        <w:rPr>
          <w:sz w:val="22"/>
          <w:szCs w:val="22"/>
        </w:rPr>
        <w:t xml:space="preserve">hange the </w:t>
      </w:r>
      <w:r w:rsidR="004A1A30" w:rsidRPr="004A1A30">
        <w:rPr>
          <w:sz w:val="22"/>
          <w:szCs w:val="22"/>
        </w:rPr>
        <w:t>prescribed form</w:t>
      </w:r>
      <w:r w:rsidR="007112BF">
        <w:rPr>
          <w:sz w:val="22"/>
          <w:szCs w:val="22"/>
        </w:rPr>
        <w:t>s</w:t>
      </w:r>
      <w:r w:rsidR="004A1A30" w:rsidRPr="004A1A30">
        <w:rPr>
          <w:sz w:val="22"/>
          <w:szCs w:val="22"/>
        </w:rPr>
        <w:t xml:space="preserve"> </w:t>
      </w:r>
      <w:r w:rsidR="007112BF">
        <w:rPr>
          <w:sz w:val="22"/>
          <w:szCs w:val="22"/>
        </w:rPr>
        <w:t>in relation to</w:t>
      </w:r>
      <w:r w:rsidR="004A1A30">
        <w:rPr>
          <w:sz w:val="22"/>
          <w:szCs w:val="22"/>
        </w:rPr>
        <w:t xml:space="preserve"> the </w:t>
      </w:r>
      <w:r w:rsidR="007112BF">
        <w:rPr>
          <w:sz w:val="22"/>
          <w:szCs w:val="22"/>
        </w:rPr>
        <w:t xml:space="preserve">relevant </w:t>
      </w:r>
      <w:r w:rsidR="004A1A30">
        <w:rPr>
          <w:sz w:val="22"/>
          <w:szCs w:val="22"/>
        </w:rPr>
        <w:t xml:space="preserve">reports to remove the requirement for </w:t>
      </w:r>
      <w:r w:rsidR="007F6D9D">
        <w:rPr>
          <w:sz w:val="22"/>
          <w:szCs w:val="22"/>
        </w:rPr>
        <w:t xml:space="preserve">data to be </w:t>
      </w:r>
      <w:r w:rsidR="004A1A30">
        <w:rPr>
          <w:sz w:val="22"/>
          <w:szCs w:val="22"/>
        </w:rPr>
        <w:t>disaggregat</w:t>
      </w:r>
      <w:r w:rsidR="007F6D9D">
        <w:rPr>
          <w:sz w:val="22"/>
          <w:szCs w:val="22"/>
        </w:rPr>
        <w:t>ed</w:t>
      </w:r>
      <w:r w:rsidR="004A1A30">
        <w:rPr>
          <w:sz w:val="22"/>
          <w:szCs w:val="22"/>
        </w:rPr>
        <w:t xml:space="preserve"> </w:t>
      </w:r>
      <w:r w:rsidR="007112BF">
        <w:rPr>
          <w:sz w:val="22"/>
          <w:szCs w:val="22"/>
        </w:rPr>
        <w:t xml:space="preserve">on a </w:t>
      </w:r>
      <w:r w:rsidR="004A1A30" w:rsidRPr="004A1A30">
        <w:rPr>
          <w:sz w:val="22"/>
          <w:szCs w:val="22"/>
        </w:rPr>
        <w:t>State</w:t>
      </w:r>
      <w:r w:rsidR="007112BF">
        <w:rPr>
          <w:sz w:val="22"/>
          <w:szCs w:val="22"/>
        </w:rPr>
        <w:t xml:space="preserve"> and Territory basis</w:t>
      </w:r>
      <w:r w:rsidR="00FE3706">
        <w:rPr>
          <w:sz w:val="22"/>
          <w:szCs w:val="22"/>
        </w:rPr>
        <w:t>; and</w:t>
      </w:r>
    </w:p>
    <w:p w14:paraId="16D738CF" w14:textId="45A050D2" w:rsidR="004A1A30" w:rsidRPr="004A1A30" w:rsidRDefault="00FE3706" w:rsidP="004A1A30">
      <w:pPr>
        <w:pStyle w:val="ACMANumberedList"/>
        <w:numPr>
          <w:ilvl w:val="0"/>
          <w:numId w:val="23"/>
        </w:numPr>
        <w:spacing w:before="20" w:after="20"/>
        <w:rPr>
          <w:sz w:val="22"/>
          <w:szCs w:val="22"/>
        </w:rPr>
      </w:pPr>
      <w:proofErr w:type="gramStart"/>
      <w:r>
        <w:rPr>
          <w:sz w:val="22"/>
          <w:szCs w:val="22"/>
        </w:rPr>
        <w:t>include</w:t>
      </w:r>
      <w:proofErr w:type="gramEnd"/>
      <w:r>
        <w:rPr>
          <w:sz w:val="22"/>
          <w:szCs w:val="22"/>
        </w:rPr>
        <w:t xml:space="preserve"> an additional one-off reporting requirement for the benchmark period ending 30 June 2015 to cover </w:t>
      </w:r>
      <w:r w:rsidR="002E4D90">
        <w:rPr>
          <w:sz w:val="22"/>
          <w:szCs w:val="22"/>
        </w:rPr>
        <w:t xml:space="preserve">the information </w:t>
      </w:r>
      <w:r>
        <w:rPr>
          <w:sz w:val="22"/>
          <w:szCs w:val="22"/>
        </w:rPr>
        <w:t xml:space="preserve">that would have been provided </w:t>
      </w:r>
      <w:r w:rsidR="002E4D90">
        <w:rPr>
          <w:sz w:val="22"/>
          <w:szCs w:val="22"/>
        </w:rPr>
        <w:t xml:space="preserve">in the six monthly report </w:t>
      </w:r>
      <w:r>
        <w:rPr>
          <w:sz w:val="22"/>
          <w:szCs w:val="22"/>
        </w:rPr>
        <w:t>after 31 December 2014</w:t>
      </w:r>
      <w:r w:rsidR="00220BBF">
        <w:rPr>
          <w:sz w:val="22"/>
          <w:szCs w:val="22"/>
        </w:rPr>
        <w:t>.</w:t>
      </w:r>
    </w:p>
    <w:p w14:paraId="59AB1266" w14:textId="77777777" w:rsidR="001E709A" w:rsidRPr="00201C19" w:rsidRDefault="001E709A" w:rsidP="005C7268">
      <w:pPr>
        <w:pStyle w:val="ACMANumberedList"/>
        <w:autoSpaceDE/>
        <w:autoSpaceDN/>
        <w:adjustRightInd/>
        <w:spacing w:before="20" w:after="20"/>
        <w:rPr>
          <w:sz w:val="22"/>
          <w:szCs w:val="22"/>
        </w:rPr>
      </w:pPr>
    </w:p>
    <w:p w14:paraId="12EDAB8C" w14:textId="77777777" w:rsidR="002140C9" w:rsidRPr="001B03E3" w:rsidRDefault="00667BC6" w:rsidP="002140C9">
      <w:pPr>
        <w:keepNext/>
        <w:rPr>
          <w:rFonts w:ascii="Arial" w:hAnsi="Arial" w:cs="Arial"/>
          <w:b/>
          <w:sz w:val="24"/>
          <w:szCs w:val="24"/>
        </w:rPr>
      </w:pPr>
      <w:r w:rsidRPr="001B03E3">
        <w:rPr>
          <w:rFonts w:ascii="Arial" w:hAnsi="Arial" w:cs="Arial"/>
          <w:b/>
          <w:sz w:val="24"/>
          <w:szCs w:val="24"/>
        </w:rPr>
        <w:t>Consultation</w:t>
      </w:r>
    </w:p>
    <w:p w14:paraId="42DAE131" w14:textId="448F354A" w:rsidR="00667BC6" w:rsidRPr="00352292" w:rsidRDefault="00667BC6" w:rsidP="00667BC6">
      <w:pPr>
        <w:spacing w:after="0" w:line="240" w:lineRule="auto"/>
        <w:rPr>
          <w:rFonts w:ascii="Arial" w:hAnsi="Arial" w:cs="Arial"/>
        </w:rPr>
      </w:pPr>
      <w:r w:rsidRPr="00352292">
        <w:rPr>
          <w:rFonts w:ascii="Arial" w:hAnsi="Arial" w:cs="Arial"/>
        </w:rPr>
        <w:t xml:space="preserve">Section 17 of the </w:t>
      </w:r>
      <w:r w:rsidRPr="001B03E3">
        <w:rPr>
          <w:rFonts w:ascii="Arial" w:hAnsi="Arial" w:cs="Arial"/>
        </w:rPr>
        <w:t>LIA</w:t>
      </w:r>
      <w:r w:rsidRPr="00352292">
        <w:rPr>
          <w:rFonts w:ascii="Arial" w:hAnsi="Arial" w:cs="Arial"/>
        </w:rPr>
        <w:t xml:space="preserve"> requires </w:t>
      </w:r>
      <w:r w:rsidR="001E170B" w:rsidRPr="00352292">
        <w:rPr>
          <w:rFonts w:ascii="Arial" w:hAnsi="Arial" w:cs="Arial"/>
        </w:rPr>
        <w:t>that</w:t>
      </w:r>
      <w:r w:rsidR="005D12F8">
        <w:rPr>
          <w:rFonts w:ascii="Arial" w:hAnsi="Arial" w:cs="Arial"/>
        </w:rPr>
        <w:t>,</w:t>
      </w:r>
      <w:r w:rsidR="001E170B" w:rsidRPr="00352292">
        <w:rPr>
          <w:rFonts w:ascii="Arial" w:hAnsi="Arial" w:cs="Arial"/>
        </w:rPr>
        <w:t xml:space="preserve"> before making a legislative instrument, </w:t>
      </w:r>
      <w:r w:rsidRPr="00352292">
        <w:rPr>
          <w:rFonts w:ascii="Arial" w:hAnsi="Arial" w:cs="Arial"/>
        </w:rPr>
        <w:t xml:space="preserve">the ACMA </w:t>
      </w:r>
      <w:r w:rsidR="001E170B" w:rsidRPr="00352292">
        <w:rPr>
          <w:rFonts w:ascii="Arial" w:hAnsi="Arial" w:cs="Arial"/>
        </w:rPr>
        <w:t>must</w:t>
      </w:r>
      <w:r w:rsidRPr="00352292">
        <w:rPr>
          <w:rFonts w:ascii="Arial" w:hAnsi="Arial" w:cs="Arial"/>
        </w:rPr>
        <w:t xml:space="preserve"> </w:t>
      </w:r>
      <w:r w:rsidR="001E170B" w:rsidRPr="00352292">
        <w:rPr>
          <w:rFonts w:ascii="Arial" w:hAnsi="Arial" w:cs="Arial"/>
        </w:rPr>
        <w:t xml:space="preserve">be </w:t>
      </w:r>
      <w:r w:rsidRPr="00352292">
        <w:rPr>
          <w:rFonts w:ascii="Arial" w:hAnsi="Arial" w:cs="Arial"/>
        </w:rPr>
        <w:t xml:space="preserve">satisfied that any consultation it considers to be appropriate and that is reasonably practicable to undertake has been undertaken. </w:t>
      </w:r>
    </w:p>
    <w:p w14:paraId="61FDEBA4" w14:textId="77777777" w:rsidR="00667BC6" w:rsidRPr="00201C19" w:rsidRDefault="00667BC6" w:rsidP="00667BC6">
      <w:pPr>
        <w:spacing w:after="0" w:line="240" w:lineRule="auto"/>
        <w:rPr>
          <w:rFonts w:ascii="Arial" w:hAnsi="Arial" w:cs="Arial"/>
        </w:rPr>
      </w:pPr>
    </w:p>
    <w:p w14:paraId="6545E06C" w14:textId="2D511E2B" w:rsidR="00E50944" w:rsidRPr="00E50944" w:rsidRDefault="00E50944" w:rsidP="00E50944">
      <w:pPr>
        <w:spacing w:after="0" w:line="240" w:lineRule="auto"/>
        <w:rPr>
          <w:rFonts w:ascii="Arial" w:hAnsi="Arial" w:cs="Arial"/>
        </w:rPr>
      </w:pPr>
      <w:r>
        <w:rPr>
          <w:rFonts w:ascii="Arial" w:hAnsi="Arial" w:cs="Arial"/>
        </w:rPr>
        <w:t xml:space="preserve">In </w:t>
      </w:r>
      <w:r w:rsidRPr="00E50944">
        <w:rPr>
          <w:rFonts w:ascii="Arial" w:hAnsi="Arial" w:cs="Arial"/>
        </w:rPr>
        <w:t>April 2014, the ACMA released a consultation paper proposing a number of reductions in reporting requirements for the telecommunications industry</w:t>
      </w:r>
      <w:r w:rsidR="00694151">
        <w:rPr>
          <w:rFonts w:ascii="Arial" w:hAnsi="Arial" w:cs="Arial"/>
        </w:rPr>
        <w:t xml:space="preserve"> including proposals to change the CSG</w:t>
      </w:r>
      <w:r w:rsidR="001B03E3">
        <w:rPr>
          <w:rFonts w:ascii="Arial" w:hAnsi="Arial" w:cs="Arial"/>
        </w:rPr>
        <w:t xml:space="preserve"> RKRs</w:t>
      </w:r>
      <w:r w:rsidR="00D06FEA">
        <w:rPr>
          <w:rFonts w:ascii="Arial" w:hAnsi="Arial" w:cs="Arial"/>
        </w:rPr>
        <w:t xml:space="preserve"> </w:t>
      </w:r>
      <w:r w:rsidR="00694151">
        <w:rPr>
          <w:rFonts w:ascii="Arial" w:hAnsi="Arial" w:cs="Arial"/>
        </w:rPr>
        <w:t>and Payphones</w:t>
      </w:r>
      <w:r w:rsidR="001B03E3">
        <w:rPr>
          <w:rFonts w:ascii="Arial" w:hAnsi="Arial" w:cs="Arial"/>
        </w:rPr>
        <w:t xml:space="preserve"> RKRs</w:t>
      </w:r>
      <w:r w:rsidRPr="00E50944">
        <w:rPr>
          <w:rFonts w:ascii="Arial" w:hAnsi="Arial" w:cs="Arial"/>
        </w:rPr>
        <w:t>. The release of this paper coincided with the Department of Communications related consultation process on reforming telecommunication consumer protections.</w:t>
      </w:r>
      <w:r w:rsidR="00CF6A87">
        <w:rPr>
          <w:rFonts w:ascii="Arial" w:hAnsi="Arial" w:cs="Arial"/>
        </w:rPr>
        <w:t xml:space="preserve"> The </w:t>
      </w:r>
      <w:hyperlink r:id="rId13" w:history="1">
        <w:r w:rsidR="00CF6A87" w:rsidRPr="0027600D">
          <w:rPr>
            <w:rStyle w:val="Hyperlink"/>
            <w:rFonts w:ascii="Arial" w:hAnsi="Arial" w:cs="Arial"/>
          </w:rPr>
          <w:t>consultation paper</w:t>
        </w:r>
      </w:hyperlink>
      <w:r w:rsidR="00CF6A87">
        <w:rPr>
          <w:rFonts w:ascii="Arial" w:hAnsi="Arial" w:cs="Arial"/>
        </w:rPr>
        <w:t xml:space="preserve"> was </w:t>
      </w:r>
      <w:r w:rsidR="00CF6A87" w:rsidRPr="00352292">
        <w:rPr>
          <w:rFonts w:ascii="Arial" w:hAnsi="Arial" w:cs="Arial"/>
        </w:rPr>
        <w:t>publish</w:t>
      </w:r>
      <w:r w:rsidR="00CF6A87">
        <w:rPr>
          <w:rFonts w:ascii="Arial" w:hAnsi="Arial" w:cs="Arial"/>
        </w:rPr>
        <w:t xml:space="preserve">ed </w:t>
      </w:r>
      <w:r w:rsidR="00CF6A87" w:rsidRPr="00352292">
        <w:rPr>
          <w:rFonts w:ascii="Arial" w:hAnsi="Arial" w:cs="Arial"/>
        </w:rPr>
        <w:t>on the ACMA website.</w:t>
      </w:r>
    </w:p>
    <w:p w14:paraId="44BF7403" w14:textId="77777777" w:rsidR="00E50944" w:rsidRDefault="00E50944" w:rsidP="00E50944">
      <w:pPr>
        <w:spacing w:after="0" w:line="240" w:lineRule="auto"/>
        <w:rPr>
          <w:rFonts w:ascii="Arial" w:hAnsi="Arial" w:cs="Arial"/>
        </w:rPr>
      </w:pPr>
    </w:p>
    <w:p w14:paraId="7FD27CB0" w14:textId="710F80FE" w:rsidR="00694151" w:rsidRDefault="00CF6A87" w:rsidP="00E50944">
      <w:pPr>
        <w:spacing w:after="0" w:line="240" w:lineRule="auto"/>
        <w:rPr>
          <w:rFonts w:ascii="Arial" w:hAnsi="Arial" w:cs="Arial"/>
        </w:rPr>
      </w:pPr>
      <w:r>
        <w:rPr>
          <w:rFonts w:ascii="Arial" w:hAnsi="Arial" w:cs="Arial"/>
        </w:rPr>
        <w:t>There were 13 s</w:t>
      </w:r>
      <w:r w:rsidR="00E50944" w:rsidRPr="00E50944">
        <w:rPr>
          <w:rFonts w:ascii="Arial" w:hAnsi="Arial" w:cs="Arial"/>
        </w:rPr>
        <w:t>ubmissions received in response to the ACMA’s consultation paper</w:t>
      </w:r>
      <w:r>
        <w:rPr>
          <w:rFonts w:ascii="Arial" w:hAnsi="Arial" w:cs="Arial"/>
        </w:rPr>
        <w:t xml:space="preserve"> including from Telstra, Optus, Vodafone, Communications Alliance, the Telecommunications Industry Ombudsman, the Australian Competition and Consumer Commission, t</w:t>
      </w:r>
      <w:r w:rsidRPr="00CF6A87">
        <w:rPr>
          <w:rFonts w:ascii="Arial" w:hAnsi="Arial" w:cs="Arial"/>
        </w:rPr>
        <w:t xml:space="preserve">he Telecommunications Universal Service Management Agency </w:t>
      </w:r>
      <w:r w:rsidR="00694151">
        <w:rPr>
          <w:rFonts w:ascii="Arial" w:hAnsi="Arial" w:cs="Arial"/>
        </w:rPr>
        <w:t xml:space="preserve">and the Australian Communication Consumers Action Network. </w:t>
      </w:r>
      <w:r>
        <w:rPr>
          <w:rFonts w:ascii="Arial" w:hAnsi="Arial" w:cs="Arial"/>
        </w:rPr>
        <w:t xml:space="preserve">Submissions are published on the ACMA’s </w:t>
      </w:r>
      <w:hyperlink r:id="rId14" w:history="1">
        <w:r w:rsidRPr="0027600D">
          <w:rPr>
            <w:rStyle w:val="Hyperlink"/>
            <w:rFonts w:ascii="Arial" w:hAnsi="Arial" w:cs="Arial"/>
          </w:rPr>
          <w:t>website</w:t>
        </w:r>
      </w:hyperlink>
      <w:r>
        <w:rPr>
          <w:rFonts w:ascii="Arial" w:hAnsi="Arial" w:cs="Arial"/>
        </w:rPr>
        <w:t xml:space="preserve">. </w:t>
      </w:r>
    </w:p>
    <w:p w14:paraId="490677D4" w14:textId="77777777" w:rsidR="00694151" w:rsidRDefault="00694151" w:rsidP="00E50944">
      <w:pPr>
        <w:spacing w:after="0" w:line="240" w:lineRule="auto"/>
        <w:rPr>
          <w:rFonts w:ascii="Arial" w:hAnsi="Arial" w:cs="Arial"/>
        </w:rPr>
      </w:pPr>
    </w:p>
    <w:p w14:paraId="57E4A1EE" w14:textId="7BE93C5F" w:rsidR="00E50944" w:rsidRDefault="00CF6A87" w:rsidP="00667BC6">
      <w:pPr>
        <w:spacing w:after="0" w:line="240" w:lineRule="auto"/>
        <w:rPr>
          <w:rFonts w:ascii="Arial" w:hAnsi="Arial" w:cs="Arial"/>
        </w:rPr>
      </w:pPr>
      <w:r>
        <w:rPr>
          <w:rFonts w:ascii="Arial" w:hAnsi="Arial" w:cs="Arial"/>
        </w:rPr>
        <w:t xml:space="preserve">The submissions </w:t>
      </w:r>
      <w:r w:rsidR="00E50944" w:rsidRPr="00E50944">
        <w:rPr>
          <w:rFonts w:ascii="Arial" w:hAnsi="Arial" w:cs="Arial"/>
        </w:rPr>
        <w:t>broadly supported the proposals</w:t>
      </w:r>
      <w:r w:rsidR="00694151">
        <w:rPr>
          <w:rFonts w:ascii="Arial" w:hAnsi="Arial" w:cs="Arial"/>
        </w:rPr>
        <w:t xml:space="preserve"> relating to the CSG</w:t>
      </w:r>
      <w:r w:rsidR="001B03E3">
        <w:rPr>
          <w:rFonts w:ascii="Arial" w:hAnsi="Arial" w:cs="Arial"/>
        </w:rPr>
        <w:t xml:space="preserve"> RKRs</w:t>
      </w:r>
      <w:r w:rsidR="00694151">
        <w:rPr>
          <w:rFonts w:ascii="Arial" w:hAnsi="Arial" w:cs="Arial"/>
        </w:rPr>
        <w:t xml:space="preserve"> and Payphone</w:t>
      </w:r>
      <w:r w:rsidR="001B03E3">
        <w:rPr>
          <w:rFonts w:ascii="Arial" w:hAnsi="Arial" w:cs="Arial"/>
        </w:rPr>
        <w:t xml:space="preserve"> RKRs</w:t>
      </w:r>
      <w:r w:rsidR="00E50944" w:rsidRPr="00E50944">
        <w:rPr>
          <w:rFonts w:ascii="Arial" w:hAnsi="Arial" w:cs="Arial"/>
        </w:rPr>
        <w:t xml:space="preserve">. </w:t>
      </w:r>
      <w:r w:rsidR="00590EFA">
        <w:rPr>
          <w:rFonts w:ascii="Arial" w:hAnsi="Arial" w:cs="Arial"/>
        </w:rPr>
        <w:t>These submissions were considered when making the final instrument.</w:t>
      </w:r>
    </w:p>
    <w:p w14:paraId="1B569CA8" w14:textId="37C4A24A" w:rsidR="005E3338" w:rsidRDefault="005E3338">
      <w:pPr>
        <w:spacing w:after="0" w:line="240" w:lineRule="auto"/>
        <w:rPr>
          <w:rFonts w:ascii="Arial" w:hAnsi="Arial" w:cs="Arial"/>
        </w:rPr>
      </w:pPr>
      <w:r>
        <w:rPr>
          <w:rFonts w:ascii="Arial" w:hAnsi="Arial" w:cs="Arial"/>
        </w:rPr>
        <w:br w:type="page"/>
      </w:r>
    </w:p>
    <w:p w14:paraId="64C498CB" w14:textId="3CECD3CD" w:rsidR="00667BC6" w:rsidRPr="001B03E3" w:rsidRDefault="00667BC6" w:rsidP="00667BC6">
      <w:pPr>
        <w:rPr>
          <w:rFonts w:ascii="Arial" w:hAnsi="Arial" w:cs="Arial"/>
          <w:b/>
          <w:sz w:val="24"/>
          <w:szCs w:val="24"/>
        </w:rPr>
      </w:pPr>
      <w:r w:rsidRPr="001B03E3">
        <w:rPr>
          <w:rFonts w:ascii="Arial" w:hAnsi="Arial" w:cs="Arial"/>
          <w:b/>
          <w:sz w:val="24"/>
          <w:szCs w:val="24"/>
        </w:rPr>
        <w:lastRenderedPageBreak/>
        <w:t>Regulat</w:t>
      </w:r>
      <w:r w:rsidR="00590EFA" w:rsidRPr="001B03E3">
        <w:rPr>
          <w:rFonts w:ascii="Arial" w:hAnsi="Arial" w:cs="Arial"/>
          <w:b/>
          <w:sz w:val="24"/>
          <w:szCs w:val="24"/>
        </w:rPr>
        <w:t>ory</w:t>
      </w:r>
      <w:r w:rsidRPr="001B03E3">
        <w:rPr>
          <w:rFonts w:ascii="Arial" w:hAnsi="Arial" w:cs="Arial"/>
          <w:b/>
          <w:sz w:val="24"/>
          <w:szCs w:val="24"/>
        </w:rPr>
        <w:t xml:space="preserve"> Impact</w:t>
      </w:r>
      <w:r w:rsidR="00590EFA" w:rsidRPr="001B03E3">
        <w:rPr>
          <w:rFonts w:ascii="Arial" w:hAnsi="Arial" w:cs="Arial"/>
          <w:b/>
          <w:sz w:val="24"/>
          <w:szCs w:val="24"/>
        </w:rPr>
        <w:t xml:space="preserve"> Statement</w:t>
      </w:r>
    </w:p>
    <w:p w14:paraId="652693B0" w14:textId="591EA971" w:rsidR="00667BC6" w:rsidRPr="00E4731E" w:rsidRDefault="00667BC6" w:rsidP="00667BC6">
      <w:pPr>
        <w:autoSpaceDE w:val="0"/>
        <w:autoSpaceDN w:val="0"/>
        <w:adjustRightInd w:val="0"/>
        <w:spacing w:after="0" w:line="240" w:lineRule="auto"/>
        <w:rPr>
          <w:rFonts w:ascii="Arial" w:hAnsi="Arial"/>
          <w:lang w:eastAsia="en-AU"/>
        </w:rPr>
      </w:pPr>
      <w:r w:rsidRPr="00701C38">
        <w:rPr>
          <w:rFonts w:ascii="Arial" w:hAnsi="Arial" w:cs="Arial"/>
          <w:lang w:eastAsia="en-AU"/>
        </w:rPr>
        <w:t xml:space="preserve">The Office of Best Practice Regulation </w:t>
      </w:r>
      <w:r w:rsidR="000B0BDE">
        <w:rPr>
          <w:rFonts w:ascii="Arial" w:hAnsi="Arial" w:cs="Arial"/>
          <w:lang w:eastAsia="en-AU"/>
        </w:rPr>
        <w:t>(</w:t>
      </w:r>
      <w:r w:rsidR="000B0BDE" w:rsidRPr="001B03E3">
        <w:rPr>
          <w:rFonts w:ascii="Arial" w:hAnsi="Arial" w:cs="Arial"/>
          <w:b/>
          <w:lang w:eastAsia="en-AU"/>
        </w:rPr>
        <w:t>OBPR</w:t>
      </w:r>
      <w:r w:rsidR="000B0BDE">
        <w:rPr>
          <w:rFonts w:ascii="Arial" w:hAnsi="Arial" w:cs="Arial"/>
          <w:lang w:eastAsia="en-AU"/>
        </w:rPr>
        <w:t xml:space="preserve">) </w:t>
      </w:r>
      <w:r w:rsidRPr="00701C38">
        <w:rPr>
          <w:rFonts w:ascii="Arial" w:hAnsi="Arial" w:cs="Arial"/>
          <w:lang w:eastAsia="en-AU"/>
        </w:rPr>
        <w:t>has considered the matter and formed an opinion that the</w:t>
      </w:r>
      <w:r w:rsidR="00590EFA">
        <w:rPr>
          <w:rFonts w:ascii="Arial" w:hAnsi="Arial" w:cs="Arial"/>
          <w:lang w:eastAsia="en-AU"/>
        </w:rPr>
        <w:t xml:space="preserve"> amendments proposed by the Amendment Instrument</w:t>
      </w:r>
      <w:r w:rsidRPr="00701C38">
        <w:rPr>
          <w:rFonts w:ascii="Arial" w:hAnsi="Arial" w:cs="Arial"/>
          <w:lang w:eastAsia="en-AU"/>
        </w:rPr>
        <w:t xml:space="preserve"> will have </w:t>
      </w:r>
      <w:r w:rsidR="000B0BDE">
        <w:rPr>
          <w:rFonts w:ascii="Arial" w:hAnsi="Arial" w:cs="Arial"/>
          <w:lang w:eastAsia="en-AU"/>
        </w:rPr>
        <w:t xml:space="preserve">a </w:t>
      </w:r>
      <w:r w:rsidRPr="00701C38">
        <w:rPr>
          <w:rFonts w:ascii="Arial" w:hAnsi="Arial" w:cs="Arial"/>
          <w:lang w:eastAsia="en-AU"/>
        </w:rPr>
        <w:t>minor and machinery impact</w:t>
      </w:r>
      <w:r w:rsidR="00E7164A" w:rsidRPr="00701C38">
        <w:rPr>
          <w:rFonts w:ascii="Arial" w:hAnsi="Arial" w:cs="Arial"/>
          <w:lang w:eastAsia="en-AU"/>
        </w:rPr>
        <w:t xml:space="preserve"> on industry</w:t>
      </w:r>
      <w:r w:rsidR="00590EFA">
        <w:rPr>
          <w:rFonts w:ascii="Arial" w:hAnsi="Arial" w:cs="Arial"/>
          <w:lang w:eastAsia="en-AU"/>
        </w:rPr>
        <w:t xml:space="preserve"> and on that basis, a Regulatory Impact Statement (</w:t>
      </w:r>
      <w:r w:rsidR="00590EFA" w:rsidRPr="001B03E3">
        <w:rPr>
          <w:rFonts w:ascii="Arial" w:hAnsi="Arial" w:cs="Arial"/>
          <w:b/>
          <w:lang w:eastAsia="en-AU"/>
        </w:rPr>
        <w:t>RIS</w:t>
      </w:r>
      <w:r w:rsidR="00590EFA">
        <w:rPr>
          <w:rFonts w:ascii="Arial" w:hAnsi="Arial" w:cs="Arial"/>
          <w:lang w:eastAsia="en-AU"/>
        </w:rPr>
        <w:t>) is not required</w:t>
      </w:r>
      <w:r w:rsidRPr="00701C38">
        <w:rPr>
          <w:rFonts w:ascii="Arial" w:hAnsi="Arial" w:cs="Arial"/>
          <w:lang w:eastAsia="en-AU"/>
        </w:rPr>
        <w:t xml:space="preserve">. The OBPR </w:t>
      </w:r>
      <w:r w:rsidRPr="00701C38">
        <w:rPr>
          <w:rFonts w:ascii="Arial" w:hAnsi="Arial"/>
          <w:lang w:eastAsia="en-AU"/>
        </w:rPr>
        <w:t xml:space="preserve">RIS </w:t>
      </w:r>
      <w:r w:rsidR="009A1BEE">
        <w:rPr>
          <w:rFonts w:ascii="Arial" w:hAnsi="Arial"/>
          <w:lang w:eastAsia="en-AU"/>
        </w:rPr>
        <w:t>reference</w:t>
      </w:r>
      <w:r w:rsidRPr="00701C38">
        <w:rPr>
          <w:rFonts w:ascii="Arial" w:hAnsi="Arial"/>
          <w:lang w:eastAsia="en-AU"/>
        </w:rPr>
        <w:t xml:space="preserve"> number is ID</w:t>
      </w:r>
      <w:r w:rsidR="00F031E4">
        <w:rPr>
          <w:rFonts w:ascii="Arial" w:hAnsi="Arial"/>
          <w:lang w:eastAsia="en-AU"/>
        </w:rPr>
        <w:t xml:space="preserve"> 16669</w:t>
      </w:r>
      <w:r w:rsidRPr="00701C38">
        <w:rPr>
          <w:rFonts w:ascii="Arial" w:hAnsi="Arial"/>
          <w:lang w:eastAsia="en-AU"/>
        </w:rPr>
        <w:t>.</w:t>
      </w:r>
    </w:p>
    <w:p w14:paraId="13FCAF04" w14:textId="77777777" w:rsidR="00667BC6" w:rsidRPr="00E4731E" w:rsidRDefault="00667BC6" w:rsidP="00667BC6">
      <w:pPr>
        <w:pStyle w:val="ACMANumberedList"/>
        <w:rPr>
          <w:sz w:val="22"/>
          <w:szCs w:val="22"/>
        </w:rPr>
      </w:pPr>
    </w:p>
    <w:p w14:paraId="5FD2EB64" w14:textId="69382850" w:rsidR="000B0BDE" w:rsidRPr="001B03E3" w:rsidRDefault="000B0BDE" w:rsidP="00E4731E">
      <w:pPr>
        <w:rPr>
          <w:rFonts w:ascii="Arial" w:hAnsi="Arial" w:cs="Arial"/>
          <w:b/>
          <w:sz w:val="24"/>
          <w:szCs w:val="24"/>
        </w:rPr>
      </w:pPr>
      <w:r w:rsidRPr="001B03E3">
        <w:rPr>
          <w:rFonts w:ascii="Arial" w:hAnsi="Arial" w:cs="Arial"/>
          <w:b/>
          <w:sz w:val="24"/>
          <w:szCs w:val="24"/>
        </w:rPr>
        <w:t xml:space="preserve">Notes on </w:t>
      </w:r>
      <w:r w:rsidR="00590EFA" w:rsidRPr="001B03E3">
        <w:rPr>
          <w:rFonts w:ascii="Arial" w:hAnsi="Arial" w:cs="Arial"/>
          <w:b/>
          <w:sz w:val="24"/>
          <w:szCs w:val="24"/>
        </w:rPr>
        <w:t>instrument</w:t>
      </w:r>
    </w:p>
    <w:p w14:paraId="399D4B59" w14:textId="55CBC09A" w:rsidR="000B0BDE" w:rsidRDefault="000B0BDE" w:rsidP="00E4731E">
      <w:pPr>
        <w:rPr>
          <w:rFonts w:ascii="Arial" w:hAnsi="Arial" w:cs="Arial"/>
          <w:sz w:val="28"/>
          <w:szCs w:val="28"/>
        </w:rPr>
      </w:pPr>
      <w:r>
        <w:rPr>
          <w:rFonts w:ascii="Arial" w:hAnsi="Arial" w:cs="Arial"/>
          <w:lang w:eastAsia="en-AU"/>
        </w:rPr>
        <w:t xml:space="preserve">The provisions of the </w:t>
      </w:r>
      <w:r w:rsidR="00590EFA">
        <w:rPr>
          <w:rFonts w:ascii="Arial" w:hAnsi="Arial" w:cs="Arial"/>
          <w:lang w:eastAsia="en-AU"/>
        </w:rPr>
        <w:t xml:space="preserve">Amendment Instrument </w:t>
      </w:r>
      <w:r w:rsidR="00F031E4">
        <w:rPr>
          <w:rFonts w:ascii="Arial" w:hAnsi="Arial" w:cs="Arial"/>
          <w:lang w:eastAsia="en-AU"/>
        </w:rPr>
        <w:t xml:space="preserve">are described in Attachment </w:t>
      </w:r>
      <w:r w:rsidR="001C5970">
        <w:rPr>
          <w:rFonts w:ascii="Arial" w:hAnsi="Arial" w:cs="Arial"/>
          <w:lang w:eastAsia="en-AU"/>
        </w:rPr>
        <w:t>1</w:t>
      </w:r>
      <w:r w:rsidR="00F031E4">
        <w:rPr>
          <w:rFonts w:ascii="Arial" w:hAnsi="Arial" w:cs="Arial"/>
          <w:lang w:eastAsia="en-AU"/>
        </w:rPr>
        <w:t>.</w:t>
      </w:r>
    </w:p>
    <w:p w14:paraId="62605E03" w14:textId="77777777" w:rsidR="00E4731E" w:rsidRPr="001B03E3" w:rsidRDefault="00E4731E" w:rsidP="00E4731E">
      <w:pPr>
        <w:rPr>
          <w:rFonts w:ascii="Arial" w:hAnsi="Arial" w:cs="Arial"/>
          <w:b/>
          <w:sz w:val="24"/>
          <w:szCs w:val="24"/>
        </w:rPr>
      </w:pPr>
      <w:r w:rsidRPr="001B03E3">
        <w:rPr>
          <w:rFonts w:ascii="Arial" w:hAnsi="Arial" w:cs="Arial"/>
          <w:b/>
          <w:sz w:val="24"/>
          <w:szCs w:val="24"/>
        </w:rPr>
        <w:t>Statement of compatibility with human rights</w:t>
      </w:r>
    </w:p>
    <w:p w14:paraId="26037A46" w14:textId="7AD4962B" w:rsidR="000B0BDE" w:rsidRPr="000B0BDE" w:rsidRDefault="000B0BDE" w:rsidP="00E4731E">
      <w:pPr>
        <w:autoSpaceDE w:val="0"/>
        <w:autoSpaceDN w:val="0"/>
        <w:adjustRightInd w:val="0"/>
        <w:spacing w:after="0" w:line="240" w:lineRule="auto"/>
        <w:rPr>
          <w:rFonts w:ascii="Arial" w:hAnsi="Arial" w:cs="Arial"/>
          <w:lang w:eastAsia="en-AU"/>
        </w:rPr>
      </w:pPr>
      <w:r>
        <w:rPr>
          <w:rFonts w:ascii="Arial" w:hAnsi="Arial" w:cs="Arial"/>
          <w:lang w:eastAsia="en-AU"/>
        </w:rPr>
        <w:t xml:space="preserve">A </w:t>
      </w:r>
      <w:r w:rsidR="002A65B5">
        <w:rPr>
          <w:rFonts w:ascii="Arial" w:hAnsi="Arial" w:cs="Arial"/>
          <w:lang w:eastAsia="en-AU"/>
        </w:rPr>
        <w:t>S</w:t>
      </w:r>
      <w:r>
        <w:rPr>
          <w:rFonts w:ascii="Arial" w:hAnsi="Arial" w:cs="Arial"/>
          <w:lang w:eastAsia="en-AU"/>
        </w:rPr>
        <w:t xml:space="preserve">tatement of </w:t>
      </w:r>
      <w:r w:rsidR="002A65B5">
        <w:rPr>
          <w:rFonts w:ascii="Arial" w:hAnsi="Arial" w:cs="Arial"/>
          <w:lang w:eastAsia="en-AU"/>
        </w:rPr>
        <w:t>C</w:t>
      </w:r>
      <w:r>
        <w:rPr>
          <w:rFonts w:ascii="Arial" w:hAnsi="Arial" w:cs="Arial"/>
          <w:lang w:eastAsia="en-AU"/>
        </w:rPr>
        <w:t xml:space="preserve">ompatibility with </w:t>
      </w:r>
      <w:r w:rsidR="002A65B5">
        <w:rPr>
          <w:rFonts w:ascii="Arial" w:hAnsi="Arial" w:cs="Arial"/>
          <w:lang w:eastAsia="en-AU"/>
        </w:rPr>
        <w:t>H</w:t>
      </w:r>
      <w:r>
        <w:rPr>
          <w:rFonts w:ascii="Arial" w:hAnsi="Arial" w:cs="Arial"/>
          <w:lang w:eastAsia="en-AU"/>
        </w:rPr>
        <w:t xml:space="preserve">uman </w:t>
      </w:r>
      <w:r w:rsidR="002A65B5">
        <w:rPr>
          <w:rFonts w:ascii="Arial" w:hAnsi="Arial" w:cs="Arial"/>
          <w:lang w:eastAsia="en-AU"/>
        </w:rPr>
        <w:t>R</w:t>
      </w:r>
      <w:r>
        <w:rPr>
          <w:rFonts w:ascii="Arial" w:hAnsi="Arial" w:cs="Arial"/>
          <w:lang w:eastAsia="en-AU"/>
        </w:rPr>
        <w:t xml:space="preserve">ights </w:t>
      </w:r>
      <w:r w:rsidR="002A65B5">
        <w:rPr>
          <w:rFonts w:ascii="Arial" w:hAnsi="Arial" w:cs="Arial"/>
          <w:lang w:eastAsia="en-AU"/>
        </w:rPr>
        <w:t xml:space="preserve">has been prepared in accordance with </w:t>
      </w:r>
      <w:r>
        <w:rPr>
          <w:rFonts w:ascii="Arial" w:hAnsi="Arial" w:cs="Arial"/>
          <w:lang w:eastAsia="en-AU"/>
        </w:rPr>
        <w:t xml:space="preserve">Part 3 of the </w:t>
      </w:r>
      <w:r w:rsidRPr="00E4731E">
        <w:rPr>
          <w:rFonts w:ascii="Arial" w:hAnsi="Arial" w:cs="Arial"/>
          <w:i/>
          <w:lang w:eastAsia="en-AU"/>
        </w:rPr>
        <w:t>Human Rights (Parliamentary Scrutiny) Act 2011</w:t>
      </w:r>
      <w:r>
        <w:rPr>
          <w:rFonts w:ascii="Arial" w:hAnsi="Arial" w:cs="Arial"/>
          <w:i/>
          <w:lang w:eastAsia="en-AU"/>
        </w:rPr>
        <w:t xml:space="preserve"> </w:t>
      </w:r>
      <w:r w:rsidR="002A65B5" w:rsidRPr="007425B4">
        <w:rPr>
          <w:rFonts w:ascii="Arial" w:hAnsi="Arial" w:cs="Arial"/>
          <w:lang w:eastAsia="en-AU"/>
        </w:rPr>
        <w:t>and</w:t>
      </w:r>
      <w:r w:rsidR="002A65B5" w:rsidRPr="005E3338">
        <w:rPr>
          <w:rFonts w:ascii="Arial" w:hAnsi="Arial" w:cs="Arial"/>
          <w:lang w:eastAsia="en-AU"/>
        </w:rPr>
        <w:t xml:space="preserve"> </w:t>
      </w:r>
      <w:r>
        <w:rPr>
          <w:rFonts w:ascii="Arial" w:hAnsi="Arial" w:cs="Arial"/>
          <w:lang w:eastAsia="en-AU"/>
        </w:rPr>
        <w:t xml:space="preserve">is set out in Attachment </w:t>
      </w:r>
      <w:r w:rsidR="005E3338">
        <w:rPr>
          <w:rFonts w:ascii="Arial" w:hAnsi="Arial" w:cs="Arial"/>
          <w:lang w:eastAsia="en-AU"/>
        </w:rPr>
        <w:t>2</w:t>
      </w:r>
      <w:r>
        <w:rPr>
          <w:rFonts w:ascii="Arial" w:hAnsi="Arial" w:cs="Arial"/>
          <w:lang w:eastAsia="en-AU"/>
        </w:rPr>
        <w:t xml:space="preserve">. </w:t>
      </w:r>
    </w:p>
    <w:p w14:paraId="6E769975" w14:textId="77777777" w:rsidR="000B0BDE" w:rsidRDefault="000B0BDE" w:rsidP="00E4731E">
      <w:pPr>
        <w:autoSpaceDE w:val="0"/>
        <w:autoSpaceDN w:val="0"/>
        <w:adjustRightInd w:val="0"/>
        <w:spacing w:after="0" w:line="240" w:lineRule="auto"/>
        <w:rPr>
          <w:rFonts w:ascii="Arial" w:hAnsi="Arial" w:cs="Arial"/>
          <w:lang w:eastAsia="en-AU"/>
        </w:rPr>
      </w:pPr>
    </w:p>
    <w:p w14:paraId="56EA0906" w14:textId="77777777" w:rsidR="005B6B8B" w:rsidRDefault="00E4731E" w:rsidP="00E4731E">
      <w:pPr>
        <w:autoSpaceDE w:val="0"/>
        <w:autoSpaceDN w:val="0"/>
        <w:adjustRightInd w:val="0"/>
        <w:spacing w:after="0" w:line="240" w:lineRule="auto"/>
        <w:rPr>
          <w:rFonts w:ascii="Arial" w:hAnsi="Arial" w:cs="Arial"/>
          <w:lang w:eastAsia="en-AU"/>
        </w:rPr>
        <w:sectPr w:rsidR="005B6B8B" w:rsidSect="00C13924">
          <w:footerReference w:type="default" r:id="rId15"/>
          <w:pgSz w:w="11906" w:h="16838"/>
          <w:pgMar w:top="1440" w:right="1440" w:bottom="1440" w:left="1440" w:header="708" w:footer="708" w:gutter="0"/>
          <w:cols w:space="708"/>
          <w:docGrid w:linePitch="360"/>
        </w:sectPr>
      </w:pPr>
      <w:r w:rsidRPr="00E4731E">
        <w:rPr>
          <w:rFonts w:ascii="Arial" w:hAnsi="Arial" w:cs="Arial"/>
          <w:lang w:eastAsia="en-AU"/>
        </w:rPr>
        <w:t>.</w:t>
      </w:r>
    </w:p>
    <w:p w14:paraId="6B691E31" w14:textId="37E38073" w:rsidR="00667BC6" w:rsidRPr="001B03E3" w:rsidRDefault="001C5970" w:rsidP="00667BC6">
      <w:pPr>
        <w:jc w:val="center"/>
        <w:rPr>
          <w:rFonts w:ascii="Arial" w:hAnsi="Arial" w:cs="Arial"/>
          <w:b/>
          <w:sz w:val="24"/>
          <w:szCs w:val="24"/>
        </w:rPr>
      </w:pPr>
      <w:r>
        <w:rPr>
          <w:rFonts w:ascii="Arial" w:hAnsi="Arial" w:cs="Arial"/>
          <w:b/>
          <w:sz w:val="24"/>
          <w:szCs w:val="24"/>
        </w:rPr>
        <w:lastRenderedPageBreak/>
        <w:t xml:space="preserve">Attachment 1 - </w:t>
      </w:r>
      <w:r w:rsidR="00667BC6" w:rsidRPr="001B03E3">
        <w:rPr>
          <w:rFonts w:ascii="Arial" w:hAnsi="Arial" w:cs="Arial"/>
          <w:b/>
          <w:sz w:val="24"/>
          <w:szCs w:val="24"/>
        </w:rPr>
        <w:t xml:space="preserve">Notes on </w:t>
      </w:r>
      <w:r w:rsidR="00590EFA" w:rsidRPr="001B03E3">
        <w:rPr>
          <w:rFonts w:ascii="Arial" w:hAnsi="Arial" w:cs="Arial"/>
          <w:b/>
          <w:sz w:val="24"/>
          <w:szCs w:val="24"/>
        </w:rPr>
        <w:t>Instrument</w:t>
      </w:r>
    </w:p>
    <w:p w14:paraId="48242A36" w14:textId="77777777" w:rsidR="00CC3131" w:rsidRPr="001B03E3" w:rsidRDefault="00CC3131" w:rsidP="00CC3131">
      <w:pPr>
        <w:pStyle w:val="Heading3"/>
        <w:tabs>
          <w:tab w:val="left" w:pos="1620"/>
        </w:tabs>
        <w:rPr>
          <w:rFonts w:ascii="Arial" w:hAnsi="Arial" w:cs="Arial"/>
          <w:i/>
          <w:szCs w:val="24"/>
        </w:rPr>
      </w:pPr>
      <w:r w:rsidRPr="001B03E3">
        <w:rPr>
          <w:rFonts w:ascii="Arial" w:hAnsi="Arial" w:cs="Arial"/>
          <w:i/>
          <w:szCs w:val="24"/>
        </w:rPr>
        <w:t>Section 1</w:t>
      </w:r>
      <w:r w:rsidRPr="001B03E3">
        <w:rPr>
          <w:rFonts w:ascii="Arial" w:hAnsi="Arial" w:cs="Arial"/>
          <w:i/>
          <w:szCs w:val="24"/>
        </w:rPr>
        <w:tab/>
        <w:t>Name of Rules</w:t>
      </w:r>
    </w:p>
    <w:p w14:paraId="2E744092" w14:textId="1F545E4D" w:rsidR="00CC3131" w:rsidRPr="00E4731E" w:rsidRDefault="00CC3131" w:rsidP="00CC3131">
      <w:pPr>
        <w:spacing w:after="0" w:line="240" w:lineRule="auto"/>
        <w:rPr>
          <w:rFonts w:ascii="Arial" w:hAnsi="Arial" w:cs="Arial"/>
        </w:rPr>
      </w:pPr>
      <w:r w:rsidRPr="00E4731E">
        <w:rPr>
          <w:rFonts w:ascii="Arial" w:hAnsi="Arial" w:cs="Arial"/>
        </w:rPr>
        <w:t xml:space="preserve">This section provides that the title of the Rules is the </w:t>
      </w:r>
      <w:r w:rsidR="00E4731E" w:rsidRPr="00E4731E">
        <w:rPr>
          <w:rFonts w:ascii="Arial" w:hAnsi="Arial" w:cs="Arial"/>
          <w:i/>
        </w:rPr>
        <w:t>Telecommunications (Customer Service Guarantee</w:t>
      </w:r>
      <w:r w:rsidR="009A63D7">
        <w:rPr>
          <w:rFonts w:ascii="Arial" w:hAnsi="Arial" w:cs="Arial"/>
          <w:i/>
        </w:rPr>
        <w:t xml:space="preserve"> and Payphone Performance Benchmarks</w:t>
      </w:r>
      <w:r w:rsidR="00E4731E" w:rsidRPr="00E4731E">
        <w:rPr>
          <w:rFonts w:ascii="Arial" w:hAnsi="Arial" w:cs="Arial"/>
          <w:i/>
        </w:rPr>
        <w:t xml:space="preserve">) Record-Keeping Rules </w:t>
      </w:r>
      <w:r w:rsidR="009A1BEE">
        <w:rPr>
          <w:rFonts w:ascii="Arial" w:hAnsi="Arial" w:cs="Arial"/>
          <w:i/>
        </w:rPr>
        <w:t xml:space="preserve">Amendment </w:t>
      </w:r>
      <w:r w:rsidR="00E4731E" w:rsidRPr="00E4731E">
        <w:rPr>
          <w:rFonts w:ascii="Arial" w:hAnsi="Arial" w:cs="Arial"/>
          <w:i/>
        </w:rPr>
        <w:t>201</w:t>
      </w:r>
      <w:r w:rsidR="009A63D7">
        <w:rPr>
          <w:rFonts w:ascii="Arial" w:hAnsi="Arial" w:cs="Arial"/>
          <w:i/>
        </w:rPr>
        <w:t>4</w:t>
      </w:r>
      <w:r w:rsidR="00E4731E" w:rsidRPr="00E4731E">
        <w:rPr>
          <w:rFonts w:ascii="Arial" w:hAnsi="Arial" w:cs="Arial"/>
          <w:i/>
        </w:rPr>
        <w:t xml:space="preserve"> (No.1)</w:t>
      </w:r>
      <w:r w:rsidRPr="00E4731E">
        <w:rPr>
          <w:rFonts w:ascii="Arial" w:hAnsi="Arial" w:cs="Arial"/>
        </w:rPr>
        <w:t>.</w:t>
      </w:r>
    </w:p>
    <w:p w14:paraId="3CDDEA8B" w14:textId="77777777" w:rsidR="00CC3131" w:rsidRPr="001B03E3" w:rsidRDefault="00CC3131" w:rsidP="00CC3131">
      <w:pPr>
        <w:pStyle w:val="Heading3"/>
        <w:tabs>
          <w:tab w:val="left" w:pos="1620"/>
        </w:tabs>
        <w:spacing w:after="120"/>
        <w:rPr>
          <w:rFonts w:ascii="Arial" w:hAnsi="Arial" w:cs="Arial"/>
          <w:i/>
          <w:szCs w:val="24"/>
        </w:rPr>
      </w:pPr>
      <w:r w:rsidRPr="001B03E3">
        <w:rPr>
          <w:rFonts w:ascii="Arial" w:hAnsi="Arial" w:cs="Arial"/>
          <w:i/>
          <w:szCs w:val="24"/>
        </w:rPr>
        <w:t>Section 2</w:t>
      </w:r>
      <w:r w:rsidRPr="001B03E3">
        <w:rPr>
          <w:rFonts w:ascii="Arial" w:hAnsi="Arial" w:cs="Arial"/>
          <w:i/>
          <w:szCs w:val="24"/>
        </w:rPr>
        <w:tab/>
        <w:t>Commencement</w:t>
      </w:r>
    </w:p>
    <w:p w14:paraId="287BB79B" w14:textId="15A0D0D1" w:rsidR="00CC3131" w:rsidRPr="00E4731E" w:rsidRDefault="00CC3131" w:rsidP="00CC3131">
      <w:pPr>
        <w:spacing w:after="0" w:line="240" w:lineRule="auto"/>
        <w:rPr>
          <w:rFonts w:ascii="Arial" w:hAnsi="Arial" w:cs="Arial"/>
        </w:rPr>
      </w:pPr>
      <w:r w:rsidRPr="00E4731E">
        <w:rPr>
          <w:rFonts w:ascii="Arial" w:hAnsi="Arial" w:cs="Arial"/>
        </w:rPr>
        <w:t xml:space="preserve">This section provides </w:t>
      </w:r>
      <w:r w:rsidR="00C75A19">
        <w:rPr>
          <w:rFonts w:ascii="Arial" w:hAnsi="Arial" w:cs="Arial"/>
        </w:rPr>
        <w:t xml:space="preserve">that </w:t>
      </w:r>
      <w:r w:rsidRPr="00E4731E">
        <w:rPr>
          <w:rFonts w:ascii="Arial" w:hAnsi="Arial" w:cs="Arial"/>
        </w:rPr>
        <w:t xml:space="preserve">the </w:t>
      </w:r>
      <w:r w:rsidR="005E3338" w:rsidRPr="007425B4">
        <w:rPr>
          <w:rFonts w:ascii="Arial" w:hAnsi="Arial" w:cs="Arial"/>
        </w:rPr>
        <w:t>Rules</w:t>
      </w:r>
      <w:r w:rsidR="00EB3898" w:rsidRPr="00C75A19">
        <w:rPr>
          <w:rFonts w:ascii="Arial" w:hAnsi="Arial" w:cs="Arial"/>
          <w:i/>
        </w:rPr>
        <w:t xml:space="preserve"> </w:t>
      </w:r>
      <w:r w:rsidR="000A69C2" w:rsidRPr="009A63D7">
        <w:rPr>
          <w:rFonts w:ascii="Arial" w:hAnsi="Arial" w:cs="Arial"/>
        </w:rPr>
        <w:t>will</w:t>
      </w:r>
      <w:r w:rsidR="000A69C2">
        <w:rPr>
          <w:rFonts w:ascii="Arial" w:hAnsi="Arial" w:cs="Arial"/>
        </w:rPr>
        <w:t xml:space="preserve"> </w:t>
      </w:r>
      <w:r w:rsidRPr="00E4731E">
        <w:rPr>
          <w:rFonts w:ascii="Arial" w:hAnsi="Arial" w:cs="Arial"/>
        </w:rPr>
        <w:t xml:space="preserve">commence </w:t>
      </w:r>
      <w:r w:rsidRPr="001B03E3">
        <w:rPr>
          <w:rFonts w:ascii="Arial" w:hAnsi="Arial" w:cs="Arial"/>
        </w:rPr>
        <w:t xml:space="preserve">on </w:t>
      </w:r>
      <w:r w:rsidR="005572A7" w:rsidRPr="001B03E3">
        <w:rPr>
          <w:rFonts w:ascii="Arial" w:hAnsi="Arial" w:cs="Arial"/>
        </w:rPr>
        <w:t>30 September 2014</w:t>
      </w:r>
      <w:r w:rsidR="005572A7" w:rsidRPr="001C3C32">
        <w:rPr>
          <w:rFonts w:ascii="Arial" w:hAnsi="Arial" w:cs="Arial"/>
        </w:rPr>
        <w:t>.</w:t>
      </w:r>
    </w:p>
    <w:p w14:paraId="2D3F785F" w14:textId="76BC54A9" w:rsidR="00CC3131" w:rsidRPr="001B03E3" w:rsidRDefault="00CC3131" w:rsidP="00CC3131">
      <w:pPr>
        <w:pStyle w:val="Heading3"/>
        <w:tabs>
          <w:tab w:val="left" w:pos="1620"/>
        </w:tabs>
        <w:spacing w:after="120"/>
        <w:rPr>
          <w:rFonts w:ascii="Arial" w:hAnsi="Arial" w:cs="Arial"/>
          <w:i/>
          <w:color w:val="000000" w:themeColor="text1"/>
          <w:szCs w:val="24"/>
        </w:rPr>
      </w:pPr>
      <w:r w:rsidRPr="001B03E3">
        <w:rPr>
          <w:rFonts w:ascii="Arial" w:hAnsi="Arial" w:cs="Arial"/>
          <w:i/>
          <w:color w:val="000000" w:themeColor="text1"/>
          <w:szCs w:val="24"/>
        </w:rPr>
        <w:t>Section 3</w:t>
      </w:r>
      <w:r w:rsidRPr="001B03E3">
        <w:rPr>
          <w:rFonts w:ascii="Arial" w:hAnsi="Arial" w:cs="Arial"/>
          <w:i/>
          <w:color w:val="000000" w:themeColor="text1"/>
          <w:szCs w:val="24"/>
        </w:rPr>
        <w:tab/>
      </w:r>
      <w:r w:rsidR="002A14B3" w:rsidRPr="001B03E3">
        <w:rPr>
          <w:rFonts w:ascii="Arial" w:hAnsi="Arial" w:cs="Arial"/>
          <w:i/>
          <w:color w:val="000000" w:themeColor="text1"/>
          <w:szCs w:val="24"/>
        </w:rPr>
        <w:t>Amendment of Telecommunications (Customer Service Guarantee) Record-Keeping Rules 2011</w:t>
      </w:r>
      <w:r w:rsidR="005572A7" w:rsidRPr="001B03E3">
        <w:rPr>
          <w:rFonts w:ascii="Arial" w:hAnsi="Arial" w:cs="Arial"/>
          <w:i/>
          <w:color w:val="000000" w:themeColor="text1"/>
          <w:szCs w:val="24"/>
        </w:rPr>
        <w:t xml:space="preserve"> and the Telecommunications (Payphone Performance Benchmarks) Record-Keeping Rules 2012</w:t>
      </w:r>
    </w:p>
    <w:p w14:paraId="76F99DCA" w14:textId="68925BA2" w:rsidR="00CC3131" w:rsidRPr="00724A51" w:rsidRDefault="00CC3131" w:rsidP="00CC3131">
      <w:pPr>
        <w:spacing w:after="0" w:line="240" w:lineRule="auto"/>
        <w:rPr>
          <w:rFonts w:ascii="Arial" w:hAnsi="Arial" w:cs="Arial"/>
          <w:color w:val="000000" w:themeColor="text1"/>
        </w:rPr>
      </w:pPr>
      <w:r w:rsidRPr="00724A51">
        <w:rPr>
          <w:rFonts w:ascii="Arial" w:hAnsi="Arial" w:cs="Arial"/>
          <w:color w:val="000000" w:themeColor="text1"/>
        </w:rPr>
        <w:t xml:space="preserve">This section </w:t>
      </w:r>
      <w:r w:rsidR="002A14B3" w:rsidRPr="00724A51">
        <w:rPr>
          <w:rFonts w:ascii="Arial" w:hAnsi="Arial" w:cs="Arial"/>
          <w:color w:val="000000" w:themeColor="text1"/>
        </w:rPr>
        <w:t xml:space="preserve">provides that the </w:t>
      </w:r>
      <w:r w:rsidR="00FA4334">
        <w:rPr>
          <w:rFonts w:ascii="Arial" w:hAnsi="Arial" w:cs="Arial"/>
          <w:color w:val="000000" w:themeColor="text1"/>
        </w:rPr>
        <w:t>CSG</w:t>
      </w:r>
      <w:r w:rsidR="001B03E3">
        <w:rPr>
          <w:rFonts w:ascii="Arial" w:hAnsi="Arial" w:cs="Arial"/>
          <w:color w:val="000000" w:themeColor="text1"/>
        </w:rPr>
        <w:t xml:space="preserve"> RKRs</w:t>
      </w:r>
      <w:r w:rsidR="002A14B3" w:rsidRPr="00724A51">
        <w:rPr>
          <w:rFonts w:ascii="Arial" w:hAnsi="Arial" w:cs="Arial"/>
          <w:color w:val="000000" w:themeColor="text1"/>
        </w:rPr>
        <w:t xml:space="preserve"> are amended </w:t>
      </w:r>
      <w:r w:rsidR="005B6B8B">
        <w:rPr>
          <w:rFonts w:ascii="Arial" w:hAnsi="Arial" w:cs="Arial"/>
          <w:color w:val="000000" w:themeColor="text1"/>
        </w:rPr>
        <w:t xml:space="preserve">in accordance with </w:t>
      </w:r>
      <w:r w:rsidR="002A14B3" w:rsidRPr="00724A51">
        <w:rPr>
          <w:rFonts w:ascii="Arial" w:hAnsi="Arial" w:cs="Arial"/>
          <w:color w:val="000000" w:themeColor="text1"/>
        </w:rPr>
        <w:t>Schedule 1</w:t>
      </w:r>
      <w:r w:rsidR="00FA4334">
        <w:rPr>
          <w:rFonts w:ascii="Arial" w:hAnsi="Arial" w:cs="Arial"/>
          <w:color w:val="000000" w:themeColor="text1"/>
        </w:rPr>
        <w:t xml:space="preserve"> and </w:t>
      </w:r>
      <w:r w:rsidR="00FA4334" w:rsidRPr="00724A51">
        <w:rPr>
          <w:rFonts w:ascii="Arial" w:hAnsi="Arial" w:cs="Arial"/>
          <w:color w:val="000000" w:themeColor="text1"/>
        </w:rPr>
        <w:t xml:space="preserve">that the </w:t>
      </w:r>
      <w:r w:rsidR="00FA4334">
        <w:rPr>
          <w:rFonts w:ascii="Arial" w:hAnsi="Arial" w:cs="Arial"/>
          <w:color w:val="000000" w:themeColor="text1"/>
        </w:rPr>
        <w:t>Payphone</w:t>
      </w:r>
      <w:r w:rsidR="001B03E3">
        <w:rPr>
          <w:rFonts w:ascii="Arial" w:hAnsi="Arial" w:cs="Arial"/>
          <w:color w:val="000000" w:themeColor="text1"/>
        </w:rPr>
        <w:t xml:space="preserve"> RKRs</w:t>
      </w:r>
      <w:r w:rsidR="00FA4334" w:rsidRPr="00724A51">
        <w:rPr>
          <w:rFonts w:ascii="Arial" w:hAnsi="Arial" w:cs="Arial"/>
          <w:color w:val="000000" w:themeColor="text1"/>
        </w:rPr>
        <w:t xml:space="preserve"> are amended </w:t>
      </w:r>
      <w:r w:rsidR="00FA4334">
        <w:rPr>
          <w:rFonts w:ascii="Arial" w:hAnsi="Arial" w:cs="Arial"/>
          <w:color w:val="000000" w:themeColor="text1"/>
        </w:rPr>
        <w:t>in accordance with Schedule 2.</w:t>
      </w:r>
      <w:r w:rsidR="002A14B3" w:rsidRPr="00724A51">
        <w:rPr>
          <w:rFonts w:ascii="Arial" w:hAnsi="Arial" w:cs="Arial"/>
          <w:color w:val="000000" w:themeColor="text1"/>
        </w:rPr>
        <w:t xml:space="preserve"> </w:t>
      </w:r>
    </w:p>
    <w:p w14:paraId="612740F2" w14:textId="484A1CF3" w:rsidR="00CC3131" w:rsidRPr="001B03E3" w:rsidRDefault="002A14B3" w:rsidP="00CC3131">
      <w:pPr>
        <w:pStyle w:val="Heading3"/>
        <w:tabs>
          <w:tab w:val="left" w:pos="1620"/>
        </w:tabs>
        <w:spacing w:after="120"/>
        <w:rPr>
          <w:rFonts w:ascii="Arial" w:hAnsi="Arial" w:cs="Arial"/>
          <w:i/>
          <w:szCs w:val="24"/>
        </w:rPr>
      </w:pPr>
      <w:r w:rsidRPr="001B03E3">
        <w:rPr>
          <w:rFonts w:ascii="Arial" w:hAnsi="Arial" w:cs="Arial"/>
          <w:i/>
          <w:szCs w:val="24"/>
        </w:rPr>
        <w:t>Schedule 1</w:t>
      </w:r>
    </w:p>
    <w:p w14:paraId="39F379C7" w14:textId="0A98A727" w:rsidR="00D8361D" w:rsidRPr="00BF5A9B" w:rsidRDefault="00CC3131" w:rsidP="00D8361D">
      <w:pPr>
        <w:spacing w:after="0" w:line="240" w:lineRule="auto"/>
        <w:rPr>
          <w:rFonts w:ascii="Arial" w:hAnsi="Arial" w:cs="Arial"/>
        </w:rPr>
      </w:pPr>
      <w:r w:rsidRPr="00BF5A9B">
        <w:rPr>
          <w:rFonts w:ascii="Arial" w:hAnsi="Arial" w:cs="Arial"/>
        </w:rPr>
        <w:t xml:space="preserve">This </w:t>
      </w:r>
      <w:r w:rsidR="002A14B3" w:rsidRPr="00BF5A9B">
        <w:rPr>
          <w:rFonts w:ascii="Arial" w:hAnsi="Arial" w:cs="Arial"/>
        </w:rPr>
        <w:t xml:space="preserve">schedule sets out the amendments to the </w:t>
      </w:r>
      <w:r w:rsidR="008568AC" w:rsidRPr="00BF5A9B">
        <w:rPr>
          <w:rFonts w:ascii="Arial" w:hAnsi="Arial" w:cs="Arial"/>
        </w:rPr>
        <w:t>CSG</w:t>
      </w:r>
      <w:r w:rsidR="001B03E3">
        <w:rPr>
          <w:rFonts w:ascii="Arial" w:hAnsi="Arial" w:cs="Arial"/>
        </w:rPr>
        <w:t xml:space="preserve"> RKRs</w:t>
      </w:r>
      <w:r w:rsidR="002A14B3" w:rsidRPr="00BF5A9B">
        <w:rPr>
          <w:rFonts w:ascii="Arial" w:hAnsi="Arial" w:cs="Arial"/>
        </w:rPr>
        <w:t>.</w:t>
      </w:r>
    </w:p>
    <w:p w14:paraId="4C93966B" w14:textId="77777777" w:rsidR="00D8361D" w:rsidRPr="00BF5A9B" w:rsidRDefault="00D8361D" w:rsidP="00D8361D">
      <w:pPr>
        <w:spacing w:after="0" w:line="240" w:lineRule="auto"/>
        <w:rPr>
          <w:rFonts w:ascii="Arial" w:hAnsi="Arial" w:cs="Arial"/>
          <w:b/>
        </w:rPr>
      </w:pPr>
    </w:p>
    <w:p w14:paraId="1594A94B" w14:textId="05FA2E7F" w:rsidR="00421274" w:rsidRPr="00BF5A9B" w:rsidRDefault="002A14B3" w:rsidP="00D8361D">
      <w:pPr>
        <w:spacing w:after="0" w:line="240" w:lineRule="auto"/>
        <w:rPr>
          <w:rFonts w:ascii="Arial" w:hAnsi="Arial" w:cs="Arial"/>
        </w:rPr>
      </w:pPr>
      <w:r w:rsidRPr="00BF5A9B">
        <w:rPr>
          <w:rFonts w:ascii="Arial" w:hAnsi="Arial" w:cs="Arial"/>
          <w:b/>
        </w:rPr>
        <w:t xml:space="preserve">Item </w:t>
      </w:r>
      <w:r w:rsidR="0042087D" w:rsidRPr="00BF5A9B">
        <w:rPr>
          <w:rFonts w:ascii="Arial" w:hAnsi="Arial" w:cs="Arial"/>
          <w:b/>
        </w:rPr>
        <w:t>[</w:t>
      </w:r>
      <w:r w:rsidRPr="00BF5A9B">
        <w:rPr>
          <w:rFonts w:ascii="Arial" w:hAnsi="Arial" w:cs="Arial"/>
          <w:b/>
        </w:rPr>
        <w:t>1</w:t>
      </w:r>
      <w:r w:rsidR="0042087D" w:rsidRPr="00BF5A9B">
        <w:rPr>
          <w:rFonts w:ascii="Arial" w:hAnsi="Arial" w:cs="Arial"/>
          <w:b/>
        </w:rPr>
        <w:t>]</w:t>
      </w:r>
      <w:r w:rsidR="00D97E22" w:rsidRPr="00BF5A9B">
        <w:rPr>
          <w:rFonts w:ascii="Arial" w:hAnsi="Arial" w:cs="Arial"/>
        </w:rPr>
        <w:t xml:space="preserve"> </w:t>
      </w:r>
      <w:r w:rsidR="00421274" w:rsidRPr="00BF5A9B">
        <w:rPr>
          <w:rFonts w:ascii="Arial" w:hAnsi="Arial" w:cs="Arial"/>
        </w:rPr>
        <w:t xml:space="preserve">amends the definition of ‘nominated area’ </w:t>
      </w:r>
      <w:r w:rsidR="00D74EE0">
        <w:rPr>
          <w:rFonts w:ascii="Arial" w:hAnsi="Arial" w:cs="Arial"/>
        </w:rPr>
        <w:t>in section 3 of the CSG</w:t>
      </w:r>
      <w:r w:rsidR="001B03E3">
        <w:rPr>
          <w:rFonts w:ascii="Arial" w:hAnsi="Arial" w:cs="Arial"/>
        </w:rPr>
        <w:t xml:space="preserve"> RKRs</w:t>
      </w:r>
      <w:r w:rsidR="00D74EE0">
        <w:rPr>
          <w:rFonts w:ascii="Arial" w:hAnsi="Arial" w:cs="Arial"/>
        </w:rPr>
        <w:t xml:space="preserve"> </w:t>
      </w:r>
      <w:r w:rsidR="00E87B97">
        <w:rPr>
          <w:rFonts w:ascii="Arial" w:hAnsi="Arial" w:cs="Arial"/>
        </w:rPr>
        <w:t xml:space="preserve">so that it refers to the whole of </w:t>
      </w:r>
      <w:r w:rsidR="00421274" w:rsidRPr="00BF5A9B">
        <w:rPr>
          <w:rFonts w:ascii="Arial" w:hAnsi="Arial" w:cs="Arial"/>
        </w:rPr>
        <w:t xml:space="preserve">Australia. </w:t>
      </w:r>
      <w:r w:rsidR="00E87B97">
        <w:rPr>
          <w:rFonts w:ascii="Arial" w:hAnsi="Arial" w:cs="Arial"/>
        </w:rPr>
        <w:t>Previously, nominated area was defined in section 5 of the CSG</w:t>
      </w:r>
      <w:r w:rsidR="001B03E3">
        <w:rPr>
          <w:rFonts w:ascii="Arial" w:hAnsi="Arial" w:cs="Arial"/>
        </w:rPr>
        <w:t xml:space="preserve"> RKRs</w:t>
      </w:r>
      <w:r w:rsidR="00E87B97">
        <w:rPr>
          <w:rFonts w:ascii="Arial" w:hAnsi="Arial" w:cs="Arial"/>
        </w:rPr>
        <w:t xml:space="preserve"> as certain geographic areas divided on </w:t>
      </w:r>
      <w:r w:rsidR="009A1BEE">
        <w:rPr>
          <w:rFonts w:ascii="Arial" w:hAnsi="Arial" w:cs="Arial"/>
        </w:rPr>
        <w:t>S</w:t>
      </w:r>
      <w:r w:rsidR="00E87B97">
        <w:rPr>
          <w:rFonts w:ascii="Arial" w:hAnsi="Arial" w:cs="Arial"/>
        </w:rPr>
        <w:t xml:space="preserve">tate and </w:t>
      </w:r>
      <w:r w:rsidR="009A1BEE">
        <w:rPr>
          <w:rFonts w:ascii="Arial" w:hAnsi="Arial" w:cs="Arial"/>
        </w:rPr>
        <w:t>T</w:t>
      </w:r>
      <w:r w:rsidR="00E87B97">
        <w:rPr>
          <w:rFonts w:ascii="Arial" w:hAnsi="Arial" w:cs="Arial"/>
        </w:rPr>
        <w:t>erritory lines. The effect of this change is that the compliance reports required under the CSG</w:t>
      </w:r>
      <w:r w:rsidR="001B03E3">
        <w:rPr>
          <w:rFonts w:ascii="Arial" w:hAnsi="Arial" w:cs="Arial"/>
        </w:rPr>
        <w:t xml:space="preserve"> RKRs</w:t>
      </w:r>
      <w:r w:rsidR="00E87B97">
        <w:rPr>
          <w:rFonts w:ascii="Arial" w:hAnsi="Arial" w:cs="Arial"/>
        </w:rPr>
        <w:t xml:space="preserve"> will no</w:t>
      </w:r>
      <w:r w:rsidR="009C0BAA">
        <w:rPr>
          <w:rFonts w:ascii="Arial" w:hAnsi="Arial" w:cs="Arial"/>
        </w:rPr>
        <w:t xml:space="preserve"> longer</w:t>
      </w:r>
      <w:r w:rsidR="00E87B97">
        <w:rPr>
          <w:rFonts w:ascii="Arial" w:hAnsi="Arial" w:cs="Arial"/>
        </w:rPr>
        <w:t xml:space="preserve"> be required to include information on a State or Territory basis.</w:t>
      </w:r>
    </w:p>
    <w:p w14:paraId="3CBD0434" w14:textId="77777777" w:rsidR="00D8361D" w:rsidRPr="00BF5A9B" w:rsidRDefault="00D8361D" w:rsidP="00D8361D">
      <w:pPr>
        <w:spacing w:after="0" w:line="240" w:lineRule="auto"/>
        <w:rPr>
          <w:rFonts w:ascii="Arial" w:hAnsi="Arial" w:cs="Arial"/>
          <w:b/>
        </w:rPr>
      </w:pPr>
    </w:p>
    <w:p w14:paraId="0F6B0814" w14:textId="0B4F138D" w:rsidR="00D13835" w:rsidRPr="00BF5A9B" w:rsidRDefault="00D97E22" w:rsidP="00D8361D">
      <w:pPr>
        <w:spacing w:after="0" w:line="240" w:lineRule="auto"/>
        <w:rPr>
          <w:rFonts w:ascii="Arial" w:hAnsi="Arial" w:cs="Arial"/>
        </w:rPr>
      </w:pPr>
      <w:r w:rsidRPr="00BF5A9B">
        <w:rPr>
          <w:rFonts w:ascii="Arial" w:hAnsi="Arial" w:cs="Arial"/>
          <w:b/>
        </w:rPr>
        <w:t xml:space="preserve">Item </w:t>
      </w:r>
      <w:r w:rsidR="0042087D" w:rsidRPr="00BF5A9B">
        <w:rPr>
          <w:rFonts w:ascii="Arial" w:hAnsi="Arial" w:cs="Arial"/>
          <w:b/>
        </w:rPr>
        <w:t>[</w:t>
      </w:r>
      <w:r w:rsidRPr="00BF5A9B">
        <w:rPr>
          <w:rFonts w:ascii="Arial" w:hAnsi="Arial" w:cs="Arial"/>
          <w:b/>
        </w:rPr>
        <w:t>2</w:t>
      </w:r>
      <w:r w:rsidR="0042087D" w:rsidRPr="00BF5A9B">
        <w:rPr>
          <w:rFonts w:ascii="Arial" w:hAnsi="Arial" w:cs="Arial"/>
          <w:b/>
        </w:rPr>
        <w:t>]</w:t>
      </w:r>
      <w:r w:rsidRPr="00BF5A9B">
        <w:rPr>
          <w:rFonts w:ascii="Arial" w:hAnsi="Arial" w:cs="Arial"/>
        </w:rPr>
        <w:t xml:space="preserve"> </w:t>
      </w:r>
      <w:r w:rsidR="00D13835" w:rsidRPr="001B03E3">
        <w:rPr>
          <w:rFonts w:ascii="Arial" w:hAnsi="Arial" w:cs="Arial"/>
        </w:rPr>
        <w:t>repeals</w:t>
      </w:r>
      <w:r w:rsidR="00D13835" w:rsidRPr="00BF5A9B">
        <w:rPr>
          <w:rFonts w:ascii="Arial" w:hAnsi="Arial" w:cs="Arial"/>
        </w:rPr>
        <w:t xml:space="preserve"> the definition of ‘quarter’.</w:t>
      </w:r>
      <w:r w:rsidR="00680F80" w:rsidRPr="00BF5A9B">
        <w:rPr>
          <w:rFonts w:ascii="Arial" w:hAnsi="Arial" w:cs="Arial"/>
        </w:rPr>
        <w:t xml:space="preserve"> As </w:t>
      </w:r>
      <w:r w:rsidR="00D74EE0" w:rsidRPr="00BF5A9B">
        <w:rPr>
          <w:rFonts w:ascii="Arial" w:hAnsi="Arial" w:cs="Arial"/>
        </w:rPr>
        <w:t>t</w:t>
      </w:r>
      <w:r w:rsidR="00D74EE0">
        <w:rPr>
          <w:rFonts w:ascii="Arial" w:hAnsi="Arial" w:cs="Arial"/>
        </w:rPr>
        <w:t>h</w:t>
      </w:r>
      <w:r w:rsidR="00D74EE0" w:rsidRPr="00BF5A9B">
        <w:rPr>
          <w:rFonts w:ascii="Arial" w:hAnsi="Arial" w:cs="Arial"/>
        </w:rPr>
        <w:t>e</w:t>
      </w:r>
      <w:r w:rsidR="00680F80" w:rsidRPr="00BF5A9B">
        <w:rPr>
          <w:rFonts w:ascii="Arial" w:hAnsi="Arial" w:cs="Arial"/>
        </w:rPr>
        <w:t xml:space="preserve"> requirement to </w:t>
      </w:r>
      <w:r w:rsidR="00E87B97">
        <w:rPr>
          <w:rFonts w:ascii="Arial" w:hAnsi="Arial" w:cs="Arial"/>
        </w:rPr>
        <w:t xml:space="preserve">provide information in the compliance </w:t>
      </w:r>
      <w:r w:rsidR="00680F80" w:rsidRPr="00BF5A9B">
        <w:rPr>
          <w:rFonts w:ascii="Arial" w:hAnsi="Arial" w:cs="Arial"/>
        </w:rPr>
        <w:t xml:space="preserve">report </w:t>
      </w:r>
      <w:r w:rsidR="00CA2518">
        <w:rPr>
          <w:rFonts w:ascii="Arial" w:hAnsi="Arial" w:cs="Arial"/>
        </w:rPr>
        <w:t xml:space="preserve">in relation to </w:t>
      </w:r>
      <w:r w:rsidR="00E87B97">
        <w:rPr>
          <w:rFonts w:ascii="Arial" w:hAnsi="Arial" w:cs="Arial"/>
        </w:rPr>
        <w:t xml:space="preserve">each </w:t>
      </w:r>
      <w:r w:rsidR="00680F80" w:rsidRPr="00BF5A9B">
        <w:rPr>
          <w:rFonts w:ascii="Arial" w:hAnsi="Arial" w:cs="Arial"/>
        </w:rPr>
        <w:t xml:space="preserve">quarter </w:t>
      </w:r>
      <w:r w:rsidR="00E87B97">
        <w:rPr>
          <w:rFonts w:ascii="Arial" w:hAnsi="Arial" w:cs="Arial"/>
        </w:rPr>
        <w:t xml:space="preserve">is removed (see subsection 13(2) </w:t>
      </w:r>
      <w:r w:rsidR="00CA2518">
        <w:rPr>
          <w:rFonts w:ascii="Arial" w:hAnsi="Arial" w:cs="Arial"/>
        </w:rPr>
        <w:t>of the CSG</w:t>
      </w:r>
      <w:r w:rsidR="001B03E3">
        <w:rPr>
          <w:rFonts w:ascii="Arial" w:hAnsi="Arial" w:cs="Arial"/>
        </w:rPr>
        <w:t xml:space="preserve"> RKRs</w:t>
      </w:r>
      <w:r w:rsidR="001C5970">
        <w:rPr>
          <w:rFonts w:ascii="Arial" w:hAnsi="Arial" w:cs="Arial"/>
        </w:rPr>
        <w:t>)</w:t>
      </w:r>
      <w:r w:rsidR="00680F80" w:rsidRPr="00BF5A9B">
        <w:rPr>
          <w:rFonts w:ascii="Arial" w:hAnsi="Arial" w:cs="Arial"/>
        </w:rPr>
        <w:t xml:space="preserve">, there is no </w:t>
      </w:r>
      <w:r w:rsidR="00CA2518">
        <w:rPr>
          <w:rFonts w:ascii="Arial" w:hAnsi="Arial" w:cs="Arial"/>
        </w:rPr>
        <w:t>need</w:t>
      </w:r>
      <w:r w:rsidR="00680F80" w:rsidRPr="00BF5A9B">
        <w:rPr>
          <w:rFonts w:ascii="Arial" w:hAnsi="Arial" w:cs="Arial"/>
        </w:rPr>
        <w:t xml:space="preserve"> to have a definition </w:t>
      </w:r>
      <w:r w:rsidR="009A1BEE">
        <w:rPr>
          <w:rFonts w:ascii="Arial" w:hAnsi="Arial" w:cs="Arial"/>
        </w:rPr>
        <w:t>of</w:t>
      </w:r>
      <w:r w:rsidR="00680F80" w:rsidRPr="00BF5A9B">
        <w:rPr>
          <w:rFonts w:ascii="Arial" w:hAnsi="Arial" w:cs="Arial"/>
        </w:rPr>
        <w:t xml:space="preserve"> ‘quarter’.</w:t>
      </w:r>
    </w:p>
    <w:p w14:paraId="5D7C2E36" w14:textId="77777777" w:rsidR="00D13835" w:rsidRPr="00BF5A9B" w:rsidRDefault="00D13835" w:rsidP="00D8361D">
      <w:pPr>
        <w:spacing w:after="0" w:line="240" w:lineRule="auto"/>
        <w:rPr>
          <w:rFonts w:ascii="Arial" w:hAnsi="Arial" w:cs="Arial"/>
        </w:rPr>
      </w:pPr>
    </w:p>
    <w:p w14:paraId="1631AD42" w14:textId="7A1D9C4F" w:rsidR="008C6180" w:rsidRDefault="005E3338" w:rsidP="00D13835">
      <w:pPr>
        <w:spacing w:after="0" w:line="240" w:lineRule="auto"/>
        <w:rPr>
          <w:rFonts w:ascii="Arial" w:hAnsi="Arial" w:cs="Arial"/>
        </w:rPr>
      </w:pPr>
      <w:r>
        <w:rPr>
          <w:rFonts w:ascii="Arial" w:hAnsi="Arial" w:cs="Arial"/>
          <w:b/>
        </w:rPr>
        <w:t xml:space="preserve">Item [3] </w:t>
      </w:r>
      <w:r>
        <w:rPr>
          <w:rFonts w:ascii="Arial" w:hAnsi="Arial" w:cs="Arial"/>
        </w:rPr>
        <w:t xml:space="preserve">repeals the definition of ‘reporting period’. </w:t>
      </w:r>
      <w:r w:rsidR="008C6180">
        <w:rPr>
          <w:rFonts w:ascii="Arial" w:hAnsi="Arial" w:cs="Arial"/>
        </w:rPr>
        <w:t>As the ‘reporting period’ is now aligned with the benchmark period (which is defined in section 3) there is no need to have a definition of ‘reporting period</w:t>
      </w:r>
    </w:p>
    <w:p w14:paraId="65703982" w14:textId="77777777" w:rsidR="005E3338" w:rsidRPr="007425B4" w:rsidRDefault="005E3338" w:rsidP="00D13835">
      <w:pPr>
        <w:spacing w:after="0" w:line="240" w:lineRule="auto"/>
        <w:rPr>
          <w:rFonts w:ascii="Arial" w:hAnsi="Arial" w:cs="Arial"/>
        </w:rPr>
      </w:pPr>
    </w:p>
    <w:p w14:paraId="2FD40E92" w14:textId="4DB15E5E" w:rsidR="00D13835" w:rsidRPr="00BF5A9B" w:rsidRDefault="0057453E" w:rsidP="00D13835">
      <w:pPr>
        <w:spacing w:after="0" w:line="240" w:lineRule="auto"/>
        <w:rPr>
          <w:rFonts w:ascii="Arial" w:hAnsi="Arial" w:cs="Arial"/>
        </w:rPr>
      </w:pPr>
      <w:r w:rsidRPr="00BF5A9B">
        <w:rPr>
          <w:rFonts w:ascii="Arial" w:hAnsi="Arial" w:cs="Arial"/>
          <w:b/>
        </w:rPr>
        <w:lastRenderedPageBreak/>
        <w:t>Item [</w:t>
      </w:r>
      <w:r w:rsidR="00575D97">
        <w:rPr>
          <w:rFonts w:ascii="Arial" w:hAnsi="Arial" w:cs="Arial"/>
          <w:b/>
        </w:rPr>
        <w:t>4</w:t>
      </w:r>
      <w:r w:rsidRPr="00BF5A9B">
        <w:rPr>
          <w:rFonts w:ascii="Arial" w:hAnsi="Arial" w:cs="Arial"/>
          <w:b/>
        </w:rPr>
        <w:t>]</w:t>
      </w:r>
      <w:r w:rsidRPr="00BF5A9B">
        <w:rPr>
          <w:rFonts w:ascii="Arial" w:hAnsi="Arial" w:cs="Arial"/>
        </w:rPr>
        <w:t xml:space="preserve"> </w:t>
      </w:r>
      <w:r w:rsidR="00D13835" w:rsidRPr="00BF5A9B">
        <w:rPr>
          <w:rFonts w:ascii="Arial" w:hAnsi="Arial" w:cs="Arial"/>
        </w:rPr>
        <w:t xml:space="preserve">deletes </w:t>
      </w:r>
      <w:r w:rsidR="00CA2518">
        <w:rPr>
          <w:rFonts w:ascii="Arial" w:hAnsi="Arial" w:cs="Arial"/>
        </w:rPr>
        <w:t>s</w:t>
      </w:r>
      <w:r w:rsidR="00D13835" w:rsidRPr="00BF5A9B">
        <w:rPr>
          <w:rFonts w:ascii="Arial" w:hAnsi="Arial" w:cs="Arial"/>
        </w:rPr>
        <w:t xml:space="preserve">ection 5 which </w:t>
      </w:r>
      <w:r w:rsidR="00AE0BE7">
        <w:rPr>
          <w:rFonts w:ascii="Arial" w:hAnsi="Arial" w:cs="Arial"/>
        </w:rPr>
        <w:t>specified each area that was a ‘nominated area’ for the purposes of defining that term</w:t>
      </w:r>
      <w:r w:rsidR="00E30266">
        <w:rPr>
          <w:rFonts w:ascii="Arial" w:hAnsi="Arial" w:cs="Arial"/>
        </w:rPr>
        <w:t>.</w:t>
      </w:r>
      <w:r w:rsidR="00680F80" w:rsidRPr="00BF5A9B">
        <w:rPr>
          <w:rFonts w:ascii="Arial" w:hAnsi="Arial" w:cs="Arial"/>
        </w:rPr>
        <w:t xml:space="preserve"> </w:t>
      </w:r>
      <w:r w:rsidR="00CA2518">
        <w:rPr>
          <w:rFonts w:ascii="Arial" w:hAnsi="Arial" w:cs="Arial"/>
        </w:rPr>
        <w:t>The new definition of nominated area has been included in the section 3 definitions (see item 1).</w:t>
      </w:r>
    </w:p>
    <w:p w14:paraId="2885A438" w14:textId="77777777" w:rsidR="00D8361D" w:rsidRPr="00BF5A9B" w:rsidRDefault="00D8361D" w:rsidP="00D8361D">
      <w:pPr>
        <w:pStyle w:val="NoSpacing"/>
        <w:rPr>
          <w:rFonts w:ascii="Arial" w:hAnsi="Arial" w:cs="Arial"/>
        </w:rPr>
      </w:pPr>
    </w:p>
    <w:p w14:paraId="73417BA8" w14:textId="2A472104" w:rsidR="00575D97" w:rsidRPr="007425B4" w:rsidRDefault="00575D97" w:rsidP="006D4EAF">
      <w:pPr>
        <w:rPr>
          <w:rFonts w:ascii="Arial" w:hAnsi="Arial" w:cs="Arial"/>
        </w:rPr>
      </w:pPr>
      <w:r>
        <w:rPr>
          <w:rFonts w:ascii="Arial" w:hAnsi="Arial" w:cs="Arial"/>
          <w:b/>
        </w:rPr>
        <w:t xml:space="preserve">Item [5] </w:t>
      </w:r>
      <w:r>
        <w:rPr>
          <w:rFonts w:ascii="Arial" w:hAnsi="Arial" w:cs="Arial"/>
        </w:rPr>
        <w:t xml:space="preserve">substitutes sections 6 and 7 with a new section 6 which combines the record keeping requirements in sections 6 and 7 into one section. The actual record keeping requirements have not changed – that is, QCSPs are still required to keep a record of the total number of CSG services supplied on a particular date across Australia (previously in section 6) and the number of CSG services supplied in urban, major rural, minor rural and remote areas (previously in section 7).  </w:t>
      </w:r>
    </w:p>
    <w:p w14:paraId="4A7AA1E4" w14:textId="4BADF5AD" w:rsidR="00D13835" w:rsidRDefault="006D4EAF" w:rsidP="006D4EAF">
      <w:pPr>
        <w:rPr>
          <w:rFonts w:ascii="Arial" w:hAnsi="Arial" w:cs="Arial"/>
        </w:rPr>
      </w:pPr>
      <w:r w:rsidRPr="005572A7">
        <w:rPr>
          <w:rFonts w:ascii="Arial" w:hAnsi="Arial" w:cs="Arial"/>
          <w:b/>
        </w:rPr>
        <w:t>Item</w:t>
      </w:r>
      <w:r w:rsidR="00575D97">
        <w:rPr>
          <w:rFonts w:ascii="Arial" w:hAnsi="Arial" w:cs="Arial"/>
          <w:b/>
        </w:rPr>
        <w:t>s</w:t>
      </w:r>
      <w:r w:rsidRPr="005572A7">
        <w:rPr>
          <w:rFonts w:ascii="Arial" w:hAnsi="Arial" w:cs="Arial"/>
          <w:b/>
        </w:rPr>
        <w:t xml:space="preserve"> </w:t>
      </w:r>
      <w:r w:rsidR="000E48F5" w:rsidRPr="005572A7">
        <w:rPr>
          <w:rFonts w:ascii="Arial" w:hAnsi="Arial" w:cs="Arial"/>
          <w:b/>
        </w:rPr>
        <w:t>[</w:t>
      </w:r>
      <w:r w:rsidR="00FF1608">
        <w:rPr>
          <w:rFonts w:ascii="Arial" w:hAnsi="Arial" w:cs="Arial"/>
          <w:b/>
        </w:rPr>
        <w:t>6</w:t>
      </w:r>
      <w:r w:rsidR="000E48F5" w:rsidRPr="005572A7">
        <w:rPr>
          <w:rFonts w:ascii="Arial" w:hAnsi="Arial" w:cs="Arial"/>
          <w:b/>
        </w:rPr>
        <w:t>]</w:t>
      </w:r>
      <w:r w:rsidR="00575D97">
        <w:rPr>
          <w:rFonts w:ascii="Arial" w:hAnsi="Arial" w:cs="Arial"/>
          <w:b/>
        </w:rPr>
        <w:t xml:space="preserve"> </w:t>
      </w:r>
      <w:r w:rsidR="00575D97">
        <w:rPr>
          <w:rFonts w:ascii="Arial" w:hAnsi="Arial" w:cs="Arial"/>
        </w:rPr>
        <w:t xml:space="preserve">and </w:t>
      </w:r>
      <w:r w:rsidR="00FF1608">
        <w:rPr>
          <w:rFonts w:ascii="Arial" w:hAnsi="Arial" w:cs="Arial"/>
          <w:b/>
        </w:rPr>
        <w:t>[7</w:t>
      </w:r>
      <w:r w:rsidR="00575D97">
        <w:rPr>
          <w:rFonts w:ascii="Arial" w:hAnsi="Arial" w:cs="Arial"/>
          <w:b/>
        </w:rPr>
        <w:t>]</w:t>
      </w:r>
      <w:r w:rsidRPr="005572A7">
        <w:rPr>
          <w:rFonts w:ascii="Arial" w:hAnsi="Arial" w:cs="Arial"/>
          <w:b/>
        </w:rPr>
        <w:t xml:space="preserve"> </w:t>
      </w:r>
      <w:r w:rsidR="00D13835" w:rsidRPr="005572A7">
        <w:rPr>
          <w:rFonts w:ascii="Arial" w:hAnsi="Arial" w:cs="Arial"/>
        </w:rPr>
        <w:t>amend</w:t>
      </w:r>
      <w:r w:rsidR="00D13835" w:rsidRPr="005572A7">
        <w:rPr>
          <w:rFonts w:ascii="Arial" w:hAnsi="Arial" w:cs="Arial"/>
          <w:b/>
        </w:rPr>
        <w:t xml:space="preserve"> </w:t>
      </w:r>
      <w:r w:rsidR="00566580">
        <w:rPr>
          <w:rFonts w:ascii="Arial" w:hAnsi="Arial" w:cs="Arial"/>
        </w:rPr>
        <w:t>s</w:t>
      </w:r>
      <w:r w:rsidR="00566580" w:rsidRPr="005572A7">
        <w:rPr>
          <w:rFonts w:ascii="Arial" w:hAnsi="Arial" w:cs="Arial"/>
        </w:rPr>
        <w:t>ection</w:t>
      </w:r>
      <w:r w:rsidR="00D13835" w:rsidRPr="005572A7">
        <w:rPr>
          <w:rFonts w:ascii="Arial" w:hAnsi="Arial" w:cs="Arial"/>
        </w:rPr>
        <w:t xml:space="preserve"> 13 to remove </w:t>
      </w:r>
      <w:r w:rsidR="00FF1608">
        <w:rPr>
          <w:rFonts w:ascii="Arial" w:hAnsi="Arial" w:cs="Arial"/>
        </w:rPr>
        <w:t xml:space="preserve">references to the ‘reporting period’ and to remove </w:t>
      </w:r>
      <w:r w:rsidR="00D13835" w:rsidRPr="005572A7">
        <w:rPr>
          <w:rFonts w:ascii="Arial" w:hAnsi="Arial" w:cs="Arial"/>
        </w:rPr>
        <w:t>the requirement for applicable providers to prepare a compliance report for part of a benchmark period.</w:t>
      </w:r>
      <w:r w:rsidR="009C0BAA">
        <w:rPr>
          <w:rFonts w:ascii="Arial" w:hAnsi="Arial" w:cs="Arial"/>
        </w:rPr>
        <w:t xml:space="preserve"> </w:t>
      </w:r>
      <w:r w:rsidR="00FF1608">
        <w:rPr>
          <w:rFonts w:ascii="Arial" w:hAnsi="Arial" w:cs="Arial"/>
        </w:rPr>
        <w:t xml:space="preserve">A carriage service provider </w:t>
      </w:r>
      <w:r w:rsidR="00660F9B">
        <w:rPr>
          <w:rFonts w:ascii="Arial" w:hAnsi="Arial" w:cs="Arial"/>
        </w:rPr>
        <w:t>that</w:t>
      </w:r>
      <w:r w:rsidR="00FF1608">
        <w:rPr>
          <w:rFonts w:ascii="Arial" w:hAnsi="Arial" w:cs="Arial"/>
        </w:rPr>
        <w:t xml:space="preserve"> is or was a QCSP in a benchmark period will now be required to prepare a compliance report in respect of that benchmark period. </w:t>
      </w:r>
      <w:r w:rsidR="009C0BAA">
        <w:rPr>
          <w:rFonts w:ascii="Arial" w:hAnsi="Arial" w:cs="Arial"/>
        </w:rPr>
        <w:t>‘Benchmark period’ has the meaning given to it in the CSG Benchmarks (see section 3 of the CSG</w:t>
      </w:r>
      <w:r w:rsidR="001B03E3">
        <w:rPr>
          <w:rFonts w:ascii="Arial" w:hAnsi="Arial" w:cs="Arial"/>
        </w:rPr>
        <w:t xml:space="preserve"> RKRs</w:t>
      </w:r>
      <w:r w:rsidR="009C0BAA">
        <w:rPr>
          <w:rFonts w:ascii="Arial" w:hAnsi="Arial" w:cs="Arial"/>
        </w:rPr>
        <w:t xml:space="preserve">), which is generally each financial year. </w:t>
      </w:r>
      <w:r w:rsidR="00FF1608">
        <w:rPr>
          <w:rFonts w:ascii="Arial" w:hAnsi="Arial" w:cs="Arial"/>
        </w:rPr>
        <w:t xml:space="preserve">Given that reports are now due on a yearly basis, for each benchmark period, there is no longer a need for reports to be prepared for part periods. </w:t>
      </w:r>
    </w:p>
    <w:p w14:paraId="5AFF0F1D" w14:textId="4303353C" w:rsidR="00FF1608" w:rsidRDefault="00FF1608" w:rsidP="006D4EAF">
      <w:pPr>
        <w:rPr>
          <w:rFonts w:ascii="Arial" w:hAnsi="Arial" w:cs="Arial"/>
        </w:rPr>
      </w:pPr>
      <w:r>
        <w:rPr>
          <w:rFonts w:ascii="Arial" w:hAnsi="Arial" w:cs="Arial"/>
        </w:rPr>
        <w:t xml:space="preserve">Because reports are now prepared in respect of a benchmark period, the concept of ‘reporting period’ is redundant and for this reason, subsection 13(3) has been repealed. </w:t>
      </w:r>
    </w:p>
    <w:p w14:paraId="09224892" w14:textId="39D6B09C" w:rsidR="00660F9B" w:rsidRPr="00BF5A9B" w:rsidRDefault="00660F9B" w:rsidP="006D4EAF">
      <w:pPr>
        <w:rPr>
          <w:rFonts w:ascii="Arial" w:hAnsi="Arial" w:cs="Arial"/>
        </w:rPr>
      </w:pPr>
      <w:r>
        <w:rPr>
          <w:rFonts w:ascii="Arial" w:hAnsi="Arial" w:cs="Arial"/>
        </w:rPr>
        <w:t xml:space="preserve">The compliance report must still contain the information prescribed in Schedule 1 and be in the form specified in Schedule 2. </w:t>
      </w:r>
    </w:p>
    <w:p w14:paraId="6342451A" w14:textId="590A17EB" w:rsidR="005572A7" w:rsidRDefault="005572A7" w:rsidP="00D8361D">
      <w:pPr>
        <w:rPr>
          <w:rFonts w:ascii="Arial" w:hAnsi="Arial" w:cs="Arial"/>
        </w:rPr>
      </w:pPr>
      <w:r>
        <w:rPr>
          <w:rFonts w:ascii="Arial" w:hAnsi="Arial" w:cs="Arial"/>
          <w:b/>
        </w:rPr>
        <w:t>Item [</w:t>
      </w:r>
      <w:r w:rsidR="00FF1608">
        <w:rPr>
          <w:rFonts w:ascii="Arial" w:hAnsi="Arial" w:cs="Arial"/>
          <w:b/>
        </w:rPr>
        <w:t>8</w:t>
      </w:r>
      <w:r>
        <w:rPr>
          <w:rFonts w:ascii="Arial" w:hAnsi="Arial" w:cs="Arial"/>
          <w:b/>
        </w:rPr>
        <w:t xml:space="preserve">] </w:t>
      </w:r>
      <w:r w:rsidR="00FF1608">
        <w:rPr>
          <w:rFonts w:ascii="Arial" w:hAnsi="Arial" w:cs="Arial"/>
        </w:rPr>
        <w:t xml:space="preserve">substitutes </w:t>
      </w:r>
      <w:r>
        <w:rPr>
          <w:rFonts w:ascii="Arial" w:hAnsi="Arial" w:cs="Arial"/>
        </w:rPr>
        <w:t xml:space="preserve">subsection 14(1) </w:t>
      </w:r>
      <w:r w:rsidR="00FF1608">
        <w:rPr>
          <w:rFonts w:ascii="Arial" w:hAnsi="Arial" w:cs="Arial"/>
        </w:rPr>
        <w:t xml:space="preserve">with a new subsection which </w:t>
      </w:r>
      <w:r w:rsidR="00660F9B">
        <w:rPr>
          <w:rFonts w:ascii="Arial" w:hAnsi="Arial" w:cs="Arial"/>
        </w:rPr>
        <w:t xml:space="preserve">requires a carriage service provider that is or was a QCSP for a benchmark period to give to the ACMA the compliance report </w:t>
      </w:r>
      <w:r w:rsidR="005B7839">
        <w:rPr>
          <w:rFonts w:ascii="Arial" w:hAnsi="Arial" w:cs="Arial"/>
        </w:rPr>
        <w:t>required to be prepared under section 13, no later than 40 working days after the end of that benchmark period or such later time as agreed in writing by the ACMA.</w:t>
      </w:r>
      <w:r w:rsidR="002E4D90">
        <w:rPr>
          <w:rFonts w:ascii="Arial" w:hAnsi="Arial" w:cs="Arial"/>
        </w:rPr>
        <w:t xml:space="preserve"> Given that reports are now required on a yearly basis, there is no need to retain the reference to part of a benchmark period in section 14. </w:t>
      </w:r>
      <w:r w:rsidR="005B7839">
        <w:rPr>
          <w:rFonts w:ascii="Arial" w:hAnsi="Arial" w:cs="Arial"/>
        </w:rPr>
        <w:t xml:space="preserve"> </w:t>
      </w:r>
    </w:p>
    <w:p w14:paraId="3A50E09E" w14:textId="7344744D" w:rsidR="00A52259" w:rsidRDefault="00FF1608" w:rsidP="00D8361D">
      <w:pPr>
        <w:rPr>
          <w:rFonts w:ascii="Arial" w:hAnsi="Arial" w:cs="Arial"/>
        </w:rPr>
      </w:pPr>
      <w:r w:rsidRPr="007425B4">
        <w:rPr>
          <w:rFonts w:ascii="Arial" w:hAnsi="Arial" w:cs="Arial"/>
          <w:b/>
        </w:rPr>
        <w:t>Item [9]</w:t>
      </w:r>
      <w:r w:rsidR="002E4D90">
        <w:rPr>
          <w:rFonts w:ascii="Arial" w:hAnsi="Arial" w:cs="Arial"/>
          <w:b/>
        </w:rPr>
        <w:t xml:space="preserve"> </w:t>
      </w:r>
      <w:r w:rsidR="002E4D90">
        <w:rPr>
          <w:rFonts w:ascii="Arial" w:hAnsi="Arial" w:cs="Arial"/>
        </w:rPr>
        <w:t xml:space="preserve">inserts a new Part 4A into the CSG RKRs. Part 4A requires a carriage service provider that is or was a QCSP for the benchmark period commencing 1 July 2014 and ending 30 June 2015 </w:t>
      </w:r>
      <w:r w:rsidR="00A52259">
        <w:rPr>
          <w:rFonts w:ascii="Arial" w:hAnsi="Arial" w:cs="Arial"/>
        </w:rPr>
        <w:t xml:space="preserve">(the relevant benchmark period) </w:t>
      </w:r>
      <w:r w:rsidR="002E4D90">
        <w:rPr>
          <w:rFonts w:ascii="Arial" w:hAnsi="Arial" w:cs="Arial"/>
        </w:rPr>
        <w:t>to comply with additional reporting and record keeping requirements in respect of that period. This is a</w:t>
      </w:r>
      <w:r w:rsidR="00A52259">
        <w:rPr>
          <w:rFonts w:ascii="Arial" w:hAnsi="Arial" w:cs="Arial"/>
        </w:rPr>
        <w:t>n additional</w:t>
      </w:r>
      <w:r w:rsidR="002E4D90">
        <w:rPr>
          <w:rFonts w:ascii="Arial" w:hAnsi="Arial" w:cs="Arial"/>
        </w:rPr>
        <w:t xml:space="preserve"> one-off requirement </w:t>
      </w:r>
      <w:r w:rsidR="00A52259">
        <w:rPr>
          <w:rFonts w:ascii="Arial" w:hAnsi="Arial" w:cs="Arial"/>
        </w:rPr>
        <w:t>to capture</w:t>
      </w:r>
      <w:r w:rsidR="002E4D90">
        <w:rPr>
          <w:rFonts w:ascii="Arial" w:hAnsi="Arial" w:cs="Arial"/>
        </w:rPr>
        <w:t xml:space="preserve"> the report that would have been provided for the six months ending 31 December 2014</w:t>
      </w:r>
      <w:r w:rsidR="00A52259">
        <w:rPr>
          <w:rFonts w:ascii="Arial" w:hAnsi="Arial" w:cs="Arial"/>
        </w:rPr>
        <w:t xml:space="preserve"> of the information specified in Item 2 of Schedule 1 of the CSG RKRs as in existence prior to the commencement of the amendments. </w:t>
      </w:r>
      <w:r w:rsidR="00B02968">
        <w:rPr>
          <w:rFonts w:ascii="Arial" w:hAnsi="Arial" w:cs="Arial"/>
        </w:rPr>
        <w:t xml:space="preserve">This requirement is in addition to the requirement in sections 13 and 14 (as amended) to prepare and give to the ACMA a compliance report in accordance with those sections for the relevant benchmark period. That is, for the relevant benchmark period a CSP will need to give to the ACMA two reports – a compliance report in accordance with section 14 and an additional one-off report in accordance with section 14A. </w:t>
      </w:r>
    </w:p>
    <w:p w14:paraId="52733C27" w14:textId="1CE2106B" w:rsidR="00B02968" w:rsidRDefault="00A52259" w:rsidP="00D8361D">
      <w:pPr>
        <w:rPr>
          <w:rFonts w:ascii="Arial" w:hAnsi="Arial" w:cs="Arial"/>
        </w:rPr>
      </w:pPr>
      <w:r>
        <w:rPr>
          <w:rFonts w:ascii="Arial" w:hAnsi="Arial" w:cs="Arial"/>
        </w:rPr>
        <w:t>Section 14A requires that a provider that is or was a QCSP in the relevant benchmark period to prepare and give to the ACMA a one-off report containing the information specified in subsection (5), in the form of the Table specified in subsection (6). The information specified in subsection (5) is</w:t>
      </w:r>
      <w:r w:rsidR="00B5601D">
        <w:rPr>
          <w:rFonts w:ascii="Arial" w:hAnsi="Arial" w:cs="Arial"/>
        </w:rPr>
        <w:t xml:space="preserve"> </w:t>
      </w:r>
      <w:r>
        <w:rPr>
          <w:rFonts w:ascii="Arial" w:hAnsi="Arial" w:cs="Arial"/>
        </w:rPr>
        <w:t xml:space="preserve">the number of CSG services supplied by the CSP on the last day of the </w:t>
      </w:r>
      <w:r>
        <w:rPr>
          <w:rFonts w:ascii="Arial" w:hAnsi="Arial" w:cs="Arial"/>
        </w:rPr>
        <w:lastRenderedPageBreak/>
        <w:t xml:space="preserve">financial year preceding the relevant benchmark period </w:t>
      </w:r>
      <w:r w:rsidR="00B02968">
        <w:rPr>
          <w:rFonts w:ascii="Arial" w:hAnsi="Arial" w:cs="Arial"/>
        </w:rPr>
        <w:t xml:space="preserve">(that is, 30 June 2014) </w:t>
      </w:r>
      <w:r>
        <w:rPr>
          <w:rFonts w:ascii="Arial" w:hAnsi="Arial" w:cs="Arial"/>
        </w:rPr>
        <w:t xml:space="preserve">in each of the areas listed in </w:t>
      </w:r>
      <w:r w:rsidR="00671938">
        <w:rPr>
          <w:rFonts w:ascii="Arial" w:hAnsi="Arial" w:cs="Arial"/>
        </w:rPr>
        <w:t>paragraphs</w:t>
      </w:r>
      <w:r>
        <w:rPr>
          <w:rFonts w:ascii="Arial" w:hAnsi="Arial" w:cs="Arial"/>
        </w:rPr>
        <w:t xml:space="preserve"> (a)-(f), where the CSP was obliged to comply</w:t>
      </w:r>
      <w:r w:rsidR="00B02968">
        <w:rPr>
          <w:rFonts w:ascii="Arial" w:hAnsi="Arial" w:cs="Arial"/>
        </w:rPr>
        <w:t xml:space="preserve"> with one or more of the standards in the CSG Benchmarks instrument in respect of its supply of those CSG services. This is the information that a CSP would have been required to report to the ACMA under Item 2 of Schedule 1 of the CSG RKRs as in force prior to the commencement of the amendments, after 31 December 2014. </w:t>
      </w:r>
    </w:p>
    <w:p w14:paraId="4CF2C2B1" w14:textId="0145581B" w:rsidR="00B02968" w:rsidRDefault="00B02968" w:rsidP="00D8361D">
      <w:pPr>
        <w:rPr>
          <w:rFonts w:ascii="Arial" w:hAnsi="Arial" w:cs="Arial"/>
        </w:rPr>
      </w:pPr>
      <w:r>
        <w:rPr>
          <w:rFonts w:ascii="Arial" w:hAnsi="Arial" w:cs="Arial"/>
        </w:rPr>
        <w:t xml:space="preserve">The one-off report must be given to the ACMA in the same manner as the compliance report under section 14 (see subsection </w:t>
      </w:r>
      <w:proofErr w:type="gramStart"/>
      <w:r>
        <w:rPr>
          <w:rFonts w:ascii="Arial" w:hAnsi="Arial" w:cs="Arial"/>
        </w:rPr>
        <w:t>14A(</w:t>
      </w:r>
      <w:proofErr w:type="gramEnd"/>
      <w:r>
        <w:rPr>
          <w:rFonts w:ascii="Arial" w:hAnsi="Arial" w:cs="Arial"/>
        </w:rPr>
        <w:t xml:space="preserve">3)) but is required to be given on or before 1 December 2014. This is to enable the ACMA to consider whether or not a CSP is or was a QCSP in the relevant benchmark period prior to the end of the relevant benchmark period. This allows the ACMA to monitor and ensure compliance with the CSG Benchmarks in the relevant benchmark period. </w:t>
      </w:r>
    </w:p>
    <w:p w14:paraId="044960CC" w14:textId="29D783A1" w:rsidR="00FF1608" w:rsidRDefault="00B02968" w:rsidP="00D8361D">
      <w:pPr>
        <w:rPr>
          <w:rFonts w:ascii="Arial" w:hAnsi="Arial" w:cs="Arial"/>
        </w:rPr>
      </w:pPr>
      <w:r>
        <w:rPr>
          <w:rFonts w:ascii="Arial" w:hAnsi="Arial" w:cs="Arial"/>
        </w:rPr>
        <w:t xml:space="preserve">Subsection (7) requires a QCSP for the relevant benchmark period to keep a copy of the information included in the one-off report, and subsection (8) requires the CSP to retain that record for at least 2 years after the end of the relevant benchmark period. These requirements mirror the record keeping requirements in Part 2 of the CSG RKRs. </w:t>
      </w:r>
    </w:p>
    <w:p w14:paraId="59CB420E" w14:textId="2ADE473F" w:rsidR="00E30266" w:rsidRDefault="006D4EAF" w:rsidP="00D8361D">
      <w:pPr>
        <w:rPr>
          <w:rFonts w:ascii="Arial" w:hAnsi="Arial" w:cs="Arial"/>
        </w:rPr>
      </w:pPr>
      <w:r w:rsidRPr="00BF5A9B">
        <w:rPr>
          <w:rFonts w:ascii="Arial" w:hAnsi="Arial" w:cs="Arial"/>
          <w:b/>
        </w:rPr>
        <w:t xml:space="preserve">Item </w:t>
      </w:r>
      <w:r w:rsidR="00E30266">
        <w:rPr>
          <w:rFonts w:ascii="Arial" w:hAnsi="Arial" w:cs="Arial"/>
          <w:b/>
        </w:rPr>
        <w:t xml:space="preserve">[10] </w:t>
      </w:r>
      <w:r w:rsidR="00FF1608">
        <w:rPr>
          <w:rFonts w:ascii="Arial" w:hAnsi="Arial" w:cs="Arial"/>
        </w:rPr>
        <w:t xml:space="preserve">substitutes </w:t>
      </w:r>
      <w:r w:rsidR="00460C23" w:rsidRPr="00BF5A9B">
        <w:rPr>
          <w:rFonts w:ascii="Arial" w:hAnsi="Arial" w:cs="Arial"/>
        </w:rPr>
        <w:t>Schedule 1</w:t>
      </w:r>
      <w:r w:rsidR="00E30266">
        <w:rPr>
          <w:rFonts w:ascii="Arial" w:hAnsi="Arial" w:cs="Arial"/>
        </w:rPr>
        <w:t xml:space="preserve"> of the CSG</w:t>
      </w:r>
      <w:r w:rsidR="001B03E3">
        <w:rPr>
          <w:rFonts w:ascii="Arial" w:hAnsi="Arial" w:cs="Arial"/>
        </w:rPr>
        <w:t xml:space="preserve"> RKRs</w:t>
      </w:r>
      <w:r w:rsidR="00E30266">
        <w:rPr>
          <w:rFonts w:ascii="Arial" w:hAnsi="Arial" w:cs="Arial"/>
        </w:rPr>
        <w:t>. Schedule 1 sets out the information that must be included in a compliance report that a QCSP is required to prepare and provide under sections 13 and 14 of the CSG</w:t>
      </w:r>
      <w:r w:rsidR="001B03E3">
        <w:rPr>
          <w:rFonts w:ascii="Arial" w:hAnsi="Arial" w:cs="Arial"/>
        </w:rPr>
        <w:t xml:space="preserve"> RKRs</w:t>
      </w:r>
      <w:r w:rsidR="00E30266">
        <w:rPr>
          <w:rFonts w:ascii="Arial" w:hAnsi="Arial" w:cs="Arial"/>
        </w:rPr>
        <w:t xml:space="preserve">. </w:t>
      </w:r>
      <w:r w:rsidR="00713D78">
        <w:rPr>
          <w:rFonts w:ascii="Arial" w:hAnsi="Arial" w:cs="Arial"/>
        </w:rPr>
        <w:t>The main amendments made to Schedule 1 are</w:t>
      </w:r>
      <w:r w:rsidR="00BE44F2">
        <w:rPr>
          <w:rFonts w:ascii="Arial" w:hAnsi="Arial" w:cs="Arial"/>
        </w:rPr>
        <w:t xml:space="preserve"> to</w:t>
      </w:r>
      <w:r w:rsidR="00713D78">
        <w:rPr>
          <w:rFonts w:ascii="Arial" w:hAnsi="Arial" w:cs="Arial"/>
        </w:rPr>
        <w:t>:</w:t>
      </w:r>
    </w:p>
    <w:p w14:paraId="163A0205" w14:textId="626ADFA6" w:rsidR="00BE44F2" w:rsidRPr="007425B4" w:rsidRDefault="00BE44F2" w:rsidP="007425B4">
      <w:pPr>
        <w:pStyle w:val="ListParagraph"/>
        <w:numPr>
          <w:ilvl w:val="0"/>
          <w:numId w:val="37"/>
        </w:numPr>
        <w:rPr>
          <w:rFonts w:ascii="Arial" w:hAnsi="Arial" w:cs="Arial"/>
        </w:rPr>
      </w:pPr>
      <w:r>
        <w:rPr>
          <w:rFonts w:ascii="Arial" w:hAnsi="Arial" w:cs="Arial"/>
        </w:rPr>
        <w:t>remove references to ‘reporting period’ in Item 1 given that CSPs will now be required to report in relation to the benchmark period;</w:t>
      </w:r>
    </w:p>
    <w:p w14:paraId="16F0088D" w14:textId="395FAE72" w:rsidR="00BE44F2" w:rsidRDefault="00E30266" w:rsidP="007425B4">
      <w:pPr>
        <w:pStyle w:val="ListParagraph"/>
        <w:numPr>
          <w:ilvl w:val="0"/>
          <w:numId w:val="37"/>
        </w:numPr>
        <w:rPr>
          <w:rFonts w:ascii="Arial" w:hAnsi="Arial" w:cs="Arial"/>
        </w:rPr>
      </w:pPr>
      <w:r w:rsidRPr="007425B4">
        <w:rPr>
          <w:rFonts w:ascii="Arial" w:hAnsi="Arial" w:cs="Arial"/>
        </w:rPr>
        <w:t>amend item 2 of Schedule 1</w:t>
      </w:r>
      <w:r w:rsidR="00E930F2" w:rsidRPr="007425B4">
        <w:rPr>
          <w:rFonts w:ascii="Arial" w:hAnsi="Arial" w:cs="Arial"/>
        </w:rPr>
        <w:t xml:space="preserve"> </w:t>
      </w:r>
      <w:r w:rsidR="003A4BF0" w:rsidRPr="007425B4">
        <w:rPr>
          <w:rFonts w:ascii="Arial" w:hAnsi="Arial" w:cs="Arial"/>
        </w:rPr>
        <w:t>to</w:t>
      </w:r>
      <w:r w:rsidR="00BE44F2">
        <w:rPr>
          <w:rFonts w:ascii="Arial" w:hAnsi="Arial" w:cs="Arial"/>
        </w:rPr>
        <w:t>:</w:t>
      </w:r>
    </w:p>
    <w:p w14:paraId="4888B26E" w14:textId="77777777" w:rsidR="00BE44F2" w:rsidRDefault="003A4BF0" w:rsidP="007425B4">
      <w:pPr>
        <w:pStyle w:val="ListParagraph"/>
        <w:numPr>
          <w:ilvl w:val="1"/>
          <w:numId w:val="37"/>
        </w:numPr>
        <w:rPr>
          <w:rFonts w:ascii="Arial" w:hAnsi="Arial" w:cs="Arial"/>
        </w:rPr>
      </w:pPr>
      <w:r w:rsidRPr="007425B4">
        <w:rPr>
          <w:rFonts w:ascii="Arial" w:hAnsi="Arial" w:cs="Arial"/>
        </w:rPr>
        <w:t xml:space="preserve"> </w:t>
      </w:r>
      <w:proofErr w:type="gramStart"/>
      <w:r w:rsidRPr="007425B4">
        <w:rPr>
          <w:rFonts w:ascii="Arial" w:hAnsi="Arial" w:cs="Arial"/>
        </w:rPr>
        <w:t>remove</w:t>
      </w:r>
      <w:proofErr w:type="gramEnd"/>
      <w:r w:rsidRPr="007425B4">
        <w:rPr>
          <w:rFonts w:ascii="Arial" w:hAnsi="Arial" w:cs="Arial"/>
        </w:rPr>
        <w:t xml:space="preserve"> the reference to a compliance report in respect of a reporting period that ends on 31 December. This aligns with the </w:t>
      </w:r>
      <w:r w:rsidR="00E930F2" w:rsidRPr="007425B4">
        <w:rPr>
          <w:rFonts w:ascii="Arial" w:hAnsi="Arial" w:cs="Arial"/>
        </w:rPr>
        <w:t xml:space="preserve">move to </w:t>
      </w:r>
      <w:r w:rsidR="0009047B" w:rsidRPr="007425B4">
        <w:rPr>
          <w:rFonts w:ascii="Arial" w:hAnsi="Arial" w:cs="Arial"/>
        </w:rPr>
        <w:t>yearly reporting</w:t>
      </w:r>
      <w:r w:rsidR="0046772F" w:rsidRPr="007425B4">
        <w:rPr>
          <w:rFonts w:ascii="Arial" w:hAnsi="Arial" w:cs="Arial"/>
        </w:rPr>
        <w:t xml:space="preserve"> with</w:t>
      </w:r>
      <w:r w:rsidR="00E930F2" w:rsidRPr="007425B4">
        <w:rPr>
          <w:rFonts w:ascii="Arial" w:hAnsi="Arial" w:cs="Arial"/>
        </w:rPr>
        <w:t xml:space="preserve"> periods </w:t>
      </w:r>
      <w:r w:rsidRPr="007425B4">
        <w:rPr>
          <w:rFonts w:ascii="Arial" w:hAnsi="Arial" w:cs="Arial"/>
        </w:rPr>
        <w:t>ending 30 June</w:t>
      </w:r>
      <w:r w:rsidR="00BE44F2">
        <w:rPr>
          <w:rFonts w:ascii="Arial" w:hAnsi="Arial" w:cs="Arial"/>
        </w:rPr>
        <w:t xml:space="preserve"> in line with the benchmark period;</w:t>
      </w:r>
    </w:p>
    <w:p w14:paraId="3A5B78B8" w14:textId="26B41D63" w:rsidR="00460C23" w:rsidRDefault="00BE44F2" w:rsidP="007425B4">
      <w:pPr>
        <w:pStyle w:val="ListParagraph"/>
        <w:numPr>
          <w:ilvl w:val="1"/>
          <w:numId w:val="37"/>
        </w:numPr>
        <w:rPr>
          <w:rFonts w:ascii="Arial" w:hAnsi="Arial" w:cs="Arial"/>
        </w:rPr>
      </w:pPr>
      <w:proofErr w:type="gramStart"/>
      <w:r w:rsidRPr="00BF51BA">
        <w:rPr>
          <w:rFonts w:ascii="Arial" w:hAnsi="Arial" w:cs="Arial"/>
        </w:rPr>
        <w:t>remove</w:t>
      </w:r>
      <w:proofErr w:type="gramEnd"/>
      <w:r w:rsidRPr="00BF51BA">
        <w:rPr>
          <w:rFonts w:ascii="Arial" w:hAnsi="Arial" w:cs="Arial"/>
        </w:rPr>
        <w:t xml:space="preserve"> the word ‘preceding’ and replace it with the word ‘of’, wherever occurring. This change is necessary to align with the change to annual financial yearly reporting</w:t>
      </w:r>
      <w:r>
        <w:rPr>
          <w:rFonts w:ascii="Arial" w:hAnsi="Arial" w:cs="Arial"/>
        </w:rPr>
        <w:t>; and</w:t>
      </w:r>
    </w:p>
    <w:p w14:paraId="569E6968" w14:textId="4380B915" w:rsidR="00460C23" w:rsidRPr="007425B4" w:rsidRDefault="00BE44F2" w:rsidP="007425B4">
      <w:pPr>
        <w:pStyle w:val="ListParagraph"/>
        <w:numPr>
          <w:ilvl w:val="1"/>
          <w:numId w:val="37"/>
        </w:numPr>
        <w:rPr>
          <w:rFonts w:ascii="Arial" w:hAnsi="Arial" w:cs="Arial"/>
        </w:rPr>
      </w:pPr>
      <w:r>
        <w:rPr>
          <w:rFonts w:ascii="Arial" w:hAnsi="Arial" w:cs="Arial"/>
        </w:rPr>
        <w:t>combine the requirements in paragraphs (a) and (b) into one for clarity;</w:t>
      </w:r>
    </w:p>
    <w:p w14:paraId="163E94EC" w14:textId="3C492928" w:rsidR="00460C23" w:rsidRPr="007425B4" w:rsidRDefault="00BE44F2" w:rsidP="007425B4">
      <w:pPr>
        <w:pStyle w:val="ListParagraph"/>
        <w:numPr>
          <w:ilvl w:val="0"/>
          <w:numId w:val="37"/>
        </w:numPr>
        <w:rPr>
          <w:rFonts w:ascii="Arial" w:hAnsi="Arial" w:cs="Arial"/>
        </w:rPr>
      </w:pPr>
      <w:proofErr w:type="gramStart"/>
      <w:r>
        <w:rPr>
          <w:rFonts w:ascii="Arial" w:hAnsi="Arial" w:cs="Arial"/>
        </w:rPr>
        <w:t>remove</w:t>
      </w:r>
      <w:proofErr w:type="gramEnd"/>
      <w:r>
        <w:rPr>
          <w:rFonts w:ascii="Arial" w:hAnsi="Arial" w:cs="Arial"/>
        </w:rPr>
        <w:t xml:space="preserve"> references to ‘quarter’ in </w:t>
      </w:r>
      <w:r w:rsidR="00E930F2" w:rsidRPr="007425B4">
        <w:rPr>
          <w:rFonts w:ascii="Arial" w:hAnsi="Arial" w:cs="Arial"/>
        </w:rPr>
        <w:t>items 3, 4</w:t>
      </w:r>
      <w:r w:rsidR="0046772F" w:rsidRPr="007425B4">
        <w:rPr>
          <w:rFonts w:ascii="Arial" w:hAnsi="Arial" w:cs="Arial"/>
        </w:rPr>
        <w:t>,</w:t>
      </w:r>
      <w:r w:rsidR="00E930F2" w:rsidRPr="007425B4">
        <w:rPr>
          <w:rFonts w:ascii="Arial" w:hAnsi="Arial" w:cs="Arial"/>
        </w:rPr>
        <w:t xml:space="preserve"> 5 and 6 </w:t>
      </w:r>
      <w:r w:rsidR="00460C23" w:rsidRPr="007425B4">
        <w:rPr>
          <w:rFonts w:ascii="Arial" w:hAnsi="Arial" w:cs="Arial"/>
        </w:rPr>
        <w:t>in Schedule 1</w:t>
      </w:r>
      <w:r w:rsidR="00E930F2" w:rsidRPr="007425B4">
        <w:rPr>
          <w:rFonts w:ascii="Arial" w:hAnsi="Arial" w:cs="Arial"/>
        </w:rPr>
        <w:t xml:space="preserve"> </w:t>
      </w:r>
      <w:r w:rsidR="001A78FD" w:rsidRPr="007425B4">
        <w:rPr>
          <w:rFonts w:ascii="Arial" w:hAnsi="Arial" w:cs="Arial"/>
        </w:rPr>
        <w:t>and substitute ‘</w:t>
      </w:r>
      <w:r>
        <w:rPr>
          <w:rFonts w:ascii="Arial" w:hAnsi="Arial" w:cs="Arial"/>
        </w:rPr>
        <w:t>benchmark</w:t>
      </w:r>
      <w:r w:rsidRPr="007425B4">
        <w:rPr>
          <w:rFonts w:ascii="Arial" w:hAnsi="Arial" w:cs="Arial"/>
        </w:rPr>
        <w:t xml:space="preserve"> </w:t>
      </w:r>
      <w:r w:rsidR="001A78FD" w:rsidRPr="007425B4">
        <w:rPr>
          <w:rFonts w:ascii="Arial" w:hAnsi="Arial" w:cs="Arial"/>
        </w:rPr>
        <w:t xml:space="preserve">period’ wherever occurring. This </w:t>
      </w:r>
      <w:r w:rsidR="00E930F2" w:rsidRPr="007425B4">
        <w:rPr>
          <w:rFonts w:ascii="Arial" w:hAnsi="Arial" w:cs="Arial"/>
        </w:rPr>
        <w:t xml:space="preserve">has the effect of removing the requirement for </w:t>
      </w:r>
      <w:r w:rsidR="0046772F" w:rsidRPr="007425B4">
        <w:rPr>
          <w:rFonts w:ascii="Arial" w:hAnsi="Arial" w:cs="Arial"/>
        </w:rPr>
        <w:t>Q</w:t>
      </w:r>
      <w:r w:rsidR="00E930F2" w:rsidRPr="007425B4">
        <w:rPr>
          <w:rFonts w:ascii="Arial" w:hAnsi="Arial" w:cs="Arial"/>
        </w:rPr>
        <w:t xml:space="preserve">CSPs to provide the relevant information in the compliance reports on a quarterly basis. Rather, items 3, 4, 5 and 6 as amended require </w:t>
      </w:r>
      <w:r w:rsidR="0046772F" w:rsidRPr="007425B4">
        <w:rPr>
          <w:rFonts w:ascii="Arial" w:hAnsi="Arial" w:cs="Arial"/>
        </w:rPr>
        <w:t>Q</w:t>
      </w:r>
      <w:r w:rsidR="00FE1936" w:rsidRPr="007425B4">
        <w:rPr>
          <w:rFonts w:ascii="Arial" w:hAnsi="Arial" w:cs="Arial"/>
        </w:rPr>
        <w:t xml:space="preserve">CSPs to include the information specified in items 3, 4, 5 and 6 for the entire </w:t>
      </w:r>
      <w:r>
        <w:rPr>
          <w:rFonts w:ascii="Arial" w:hAnsi="Arial" w:cs="Arial"/>
        </w:rPr>
        <w:t>benchmark</w:t>
      </w:r>
      <w:r w:rsidRPr="007425B4">
        <w:rPr>
          <w:rFonts w:ascii="Arial" w:hAnsi="Arial" w:cs="Arial"/>
        </w:rPr>
        <w:t xml:space="preserve"> </w:t>
      </w:r>
      <w:r w:rsidR="00FE1936" w:rsidRPr="007425B4">
        <w:rPr>
          <w:rFonts w:ascii="Arial" w:hAnsi="Arial" w:cs="Arial"/>
        </w:rPr>
        <w:t xml:space="preserve">period </w:t>
      </w:r>
      <w:r>
        <w:rPr>
          <w:rFonts w:ascii="Arial" w:hAnsi="Arial" w:cs="Arial"/>
        </w:rPr>
        <w:t xml:space="preserve">covered </w:t>
      </w:r>
      <w:r w:rsidR="00FE1936" w:rsidRPr="007425B4">
        <w:rPr>
          <w:rFonts w:ascii="Arial" w:hAnsi="Arial" w:cs="Arial"/>
        </w:rPr>
        <w:t xml:space="preserve">in their compliance </w:t>
      </w:r>
      <w:r w:rsidR="00566580" w:rsidRPr="00566580">
        <w:rPr>
          <w:rFonts w:ascii="Arial" w:hAnsi="Arial" w:cs="Arial"/>
        </w:rPr>
        <w:t>reports</w:t>
      </w:r>
      <w:r w:rsidR="00566580">
        <w:rPr>
          <w:rFonts w:ascii="Arial" w:hAnsi="Arial" w:cs="Arial"/>
        </w:rPr>
        <w:t>; and</w:t>
      </w:r>
    </w:p>
    <w:p w14:paraId="0C872EB7" w14:textId="62B5ECCC" w:rsidR="001A78FD" w:rsidRDefault="001A78FD" w:rsidP="007425B4">
      <w:pPr>
        <w:pStyle w:val="ListParagraph"/>
        <w:numPr>
          <w:ilvl w:val="0"/>
          <w:numId w:val="37"/>
        </w:numPr>
        <w:rPr>
          <w:rFonts w:ascii="Arial" w:hAnsi="Arial" w:cs="Arial"/>
        </w:rPr>
      </w:pPr>
      <w:proofErr w:type="gramStart"/>
      <w:r w:rsidRPr="007425B4">
        <w:rPr>
          <w:rFonts w:ascii="Arial" w:hAnsi="Arial" w:cs="Arial"/>
        </w:rPr>
        <w:t>remove</w:t>
      </w:r>
      <w:proofErr w:type="gramEnd"/>
      <w:r w:rsidRPr="007425B4">
        <w:rPr>
          <w:rFonts w:ascii="Arial" w:hAnsi="Arial" w:cs="Arial"/>
        </w:rPr>
        <w:t xml:space="preserve"> the reference to ‘each nominated area’ and substitute ‘the nominated area’ </w:t>
      </w:r>
      <w:r w:rsidR="00BE44F2">
        <w:rPr>
          <w:rFonts w:ascii="Arial" w:hAnsi="Arial" w:cs="Arial"/>
        </w:rPr>
        <w:t>(</w:t>
      </w:r>
      <w:r w:rsidRPr="007425B4">
        <w:rPr>
          <w:rFonts w:ascii="Arial" w:hAnsi="Arial" w:cs="Arial"/>
        </w:rPr>
        <w:t>wherever occurring</w:t>
      </w:r>
      <w:r w:rsidR="00BE44F2">
        <w:rPr>
          <w:rFonts w:ascii="Arial" w:hAnsi="Arial" w:cs="Arial"/>
        </w:rPr>
        <w:t>), in items 3, 4, 5 and 6 of Schedule 1</w:t>
      </w:r>
      <w:r w:rsidRPr="007425B4">
        <w:rPr>
          <w:rFonts w:ascii="Arial" w:hAnsi="Arial" w:cs="Arial"/>
        </w:rPr>
        <w:t xml:space="preserve">. This aligns with the </w:t>
      </w:r>
      <w:r w:rsidR="007C0FA4" w:rsidRPr="007425B4">
        <w:rPr>
          <w:rFonts w:ascii="Arial" w:hAnsi="Arial" w:cs="Arial"/>
        </w:rPr>
        <w:t xml:space="preserve">change in the definition of </w:t>
      </w:r>
      <w:r w:rsidR="0046772F" w:rsidRPr="007425B4">
        <w:rPr>
          <w:rFonts w:ascii="Arial" w:hAnsi="Arial" w:cs="Arial"/>
        </w:rPr>
        <w:t>‘</w:t>
      </w:r>
      <w:r w:rsidR="007C0FA4" w:rsidRPr="007425B4">
        <w:rPr>
          <w:rFonts w:ascii="Arial" w:hAnsi="Arial" w:cs="Arial"/>
        </w:rPr>
        <w:t>nominated area</w:t>
      </w:r>
      <w:r w:rsidR="0046772F" w:rsidRPr="007425B4">
        <w:rPr>
          <w:rFonts w:ascii="Arial" w:hAnsi="Arial" w:cs="Arial"/>
        </w:rPr>
        <w:t>’</w:t>
      </w:r>
      <w:r w:rsidR="007C0FA4" w:rsidRPr="007425B4">
        <w:rPr>
          <w:rFonts w:ascii="Arial" w:hAnsi="Arial" w:cs="Arial"/>
        </w:rPr>
        <w:t xml:space="preserve"> (see item 1) to mean the whole of Australia, such that compliance reports no longer require </w:t>
      </w:r>
      <w:r w:rsidRPr="007425B4">
        <w:rPr>
          <w:rFonts w:ascii="Arial" w:hAnsi="Arial" w:cs="Arial"/>
        </w:rPr>
        <w:t xml:space="preserve">disaggregated </w:t>
      </w:r>
      <w:r w:rsidR="007C0FA4" w:rsidRPr="007425B4">
        <w:rPr>
          <w:rFonts w:ascii="Arial" w:hAnsi="Arial" w:cs="Arial"/>
        </w:rPr>
        <w:t xml:space="preserve">information on a </w:t>
      </w:r>
      <w:r w:rsidR="009A1BEE" w:rsidRPr="007425B4">
        <w:rPr>
          <w:rFonts w:ascii="Arial" w:hAnsi="Arial" w:cs="Arial"/>
        </w:rPr>
        <w:t>S</w:t>
      </w:r>
      <w:r w:rsidRPr="007425B4">
        <w:rPr>
          <w:rFonts w:ascii="Arial" w:hAnsi="Arial" w:cs="Arial"/>
        </w:rPr>
        <w:t>tate</w:t>
      </w:r>
      <w:r w:rsidR="007C0FA4" w:rsidRPr="007425B4">
        <w:rPr>
          <w:rFonts w:ascii="Arial" w:hAnsi="Arial" w:cs="Arial"/>
        </w:rPr>
        <w:t xml:space="preserve"> or </w:t>
      </w:r>
      <w:r w:rsidR="009A1BEE" w:rsidRPr="007425B4">
        <w:rPr>
          <w:rFonts w:ascii="Arial" w:hAnsi="Arial" w:cs="Arial"/>
        </w:rPr>
        <w:t>T</w:t>
      </w:r>
      <w:r w:rsidRPr="007425B4">
        <w:rPr>
          <w:rFonts w:ascii="Arial" w:hAnsi="Arial" w:cs="Arial"/>
        </w:rPr>
        <w:t xml:space="preserve">erritory </w:t>
      </w:r>
      <w:r w:rsidR="007C0FA4" w:rsidRPr="007425B4">
        <w:rPr>
          <w:rFonts w:ascii="Arial" w:hAnsi="Arial" w:cs="Arial"/>
        </w:rPr>
        <w:t>basis</w:t>
      </w:r>
      <w:r w:rsidR="00BE44F2">
        <w:rPr>
          <w:rFonts w:ascii="Arial" w:hAnsi="Arial" w:cs="Arial"/>
        </w:rPr>
        <w:t>.</w:t>
      </w:r>
    </w:p>
    <w:p w14:paraId="0477C5DC" w14:textId="52B550B7" w:rsidR="00BE44F2" w:rsidRPr="007425B4" w:rsidRDefault="00BE44F2" w:rsidP="007425B4">
      <w:pPr>
        <w:rPr>
          <w:rFonts w:ascii="Arial" w:hAnsi="Arial" w:cs="Arial"/>
        </w:rPr>
      </w:pPr>
      <w:r>
        <w:rPr>
          <w:rFonts w:ascii="Arial" w:hAnsi="Arial" w:cs="Arial"/>
        </w:rPr>
        <w:t xml:space="preserve">Drafting amendments have also been made to items 3, 4, 5 and 6 to make the reporting obligations clearer and avoid unnecessary repetition. </w:t>
      </w:r>
      <w:r w:rsidR="004D251D">
        <w:rPr>
          <w:rFonts w:ascii="Arial" w:hAnsi="Arial" w:cs="Arial"/>
        </w:rPr>
        <w:t xml:space="preserve">These amendments do not change the information required to be included in a compliance report. </w:t>
      </w:r>
    </w:p>
    <w:p w14:paraId="72A912F5" w14:textId="784A40D2" w:rsidR="00E30266" w:rsidRDefault="005572A7" w:rsidP="00460C23">
      <w:pPr>
        <w:rPr>
          <w:rFonts w:ascii="Arial" w:hAnsi="Arial" w:cs="Arial"/>
        </w:rPr>
      </w:pPr>
      <w:r>
        <w:rPr>
          <w:rFonts w:ascii="Arial" w:hAnsi="Arial" w:cs="Arial"/>
          <w:b/>
        </w:rPr>
        <w:lastRenderedPageBreak/>
        <w:t>Item</w:t>
      </w:r>
      <w:r w:rsidR="00E30266">
        <w:rPr>
          <w:rFonts w:ascii="Arial" w:hAnsi="Arial" w:cs="Arial"/>
          <w:b/>
        </w:rPr>
        <w:t>s</w:t>
      </w:r>
      <w:r>
        <w:rPr>
          <w:rFonts w:ascii="Arial" w:hAnsi="Arial" w:cs="Arial"/>
          <w:b/>
        </w:rPr>
        <w:t xml:space="preserve"> [11</w:t>
      </w:r>
      <w:r w:rsidR="00460C23" w:rsidRPr="001A78FD">
        <w:rPr>
          <w:rFonts w:ascii="Arial" w:hAnsi="Arial" w:cs="Arial"/>
          <w:b/>
        </w:rPr>
        <w:t xml:space="preserve">] </w:t>
      </w:r>
      <w:r w:rsidR="00E30266">
        <w:rPr>
          <w:rFonts w:ascii="Arial" w:hAnsi="Arial" w:cs="Arial"/>
          <w:b/>
        </w:rPr>
        <w:t>– [</w:t>
      </w:r>
      <w:r w:rsidR="00713D78">
        <w:rPr>
          <w:rFonts w:ascii="Arial" w:hAnsi="Arial" w:cs="Arial"/>
          <w:b/>
        </w:rPr>
        <w:t>20</w:t>
      </w:r>
      <w:r w:rsidR="00E30266">
        <w:rPr>
          <w:rFonts w:ascii="Arial" w:hAnsi="Arial" w:cs="Arial"/>
          <w:b/>
        </w:rPr>
        <w:t xml:space="preserve">] </w:t>
      </w:r>
      <w:r w:rsidR="00E30266">
        <w:rPr>
          <w:rFonts w:ascii="Arial" w:hAnsi="Arial" w:cs="Arial"/>
        </w:rPr>
        <w:t>amend Schedule 2 of the CSG</w:t>
      </w:r>
      <w:r w:rsidR="001B03E3">
        <w:rPr>
          <w:rFonts w:ascii="Arial" w:hAnsi="Arial" w:cs="Arial"/>
        </w:rPr>
        <w:t xml:space="preserve"> RKRs</w:t>
      </w:r>
      <w:r w:rsidR="00E30266">
        <w:rPr>
          <w:rFonts w:ascii="Arial" w:hAnsi="Arial" w:cs="Arial"/>
        </w:rPr>
        <w:t>. Schedule 2 sets out the required form of the compliance reports that QCSPs are required to prepare and provide under sections 13 and 14 of the CSG</w:t>
      </w:r>
      <w:r w:rsidR="001B03E3">
        <w:rPr>
          <w:rFonts w:ascii="Arial" w:hAnsi="Arial" w:cs="Arial"/>
        </w:rPr>
        <w:t xml:space="preserve"> RKRs</w:t>
      </w:r>
      <w:r w:rsidR="0009047B">
        <w:rPr>
          <w:rFonts w:ascii="Arial" w:hAnsi="Arial" w:cs="Arial"/>
        </w:rPr>
        <w:t>.</w:t>
      </w:r>
    </w:p>
    <w:p w14:paraId="376B4847" w14:textId="2DECCECF" w:rsidR="00460C23" w:rsidRDefault="00E30266" w:rsidP="00460C23">
      <w:pPr>
        <w:rPr>
          <w:rFonts w:ascii="Arial" w:hAnsi="Arial" w:cs="Arial"/>
        </w:rPr>
      </w:pPr>
      <w:r>
        <w:rPr>
          <w:rFonts w:ascii="Arial" w:hAnsi="Arial" w:cs="Arial"/>
          <w:b/>
        </w:rPr>
        <w:t>Item [11]</w:t>
      </w:r>
      <w:r>
        <w:rPr>
          <w:rFonts w:ascii="Arial" w:hAnsi="Arial" w:cs="Arial"/>
        </w:rPr>
        <w:t xml:space="preserve"> </w:t>
      </w:r>
      <w:r w:rsidR="001A78FD">
        <w:rPr>
          <w:rFonts w:ascii="Arial" w:hAnsi="Arial" w:cs="Arial"/>
        </w:rPr>
        <w:t xml:space="preserve">deletes the </w:t>
      </w:r>
      <w:r w:rsidR="0018292B">
        <w:rPr>
          <w:rFonts w:ascii="Arial" w:hAnsi="Arial" w:cs="Arial"/>
        </w:rPr>
        <w:t xml:space="preserve">second </w:t>
      </w:r>
      <w:r w:rsidR="001A78FD">
        <w:rPr>
          <w:rFonts w:ascii="Arial" w:hAnsi="Arial" w:cs="Arial"/>
        </w:rPr>
        <w:t xml:space="preserve">dot point </w:t>
      </w:r>
      <w:r w:rsidR="007C0FA4">
        <w:rPr>
          <w:rFonts w:ascii="Arial" w:hAnsi="Arial" w:cs="Arial"/>
        </w:rPr>
        <w:t xml:space="preserve">from </w:t>
      </w:r>
      <w:r w:rsidR="0046772F">
        <w:rPr>
          <w:rFonts w:ascii="Arial" w:hAnsi="Arial" w:cs="Arial"/>
        </w:rPr>
        <w:t xml:space="preserve">the introductory text in </w:t>
      </w:r>
      <w:r w:rsidR="001A78FD" w:rsidRPr="001A78FD">
        <w:rPr>
          <w:rFonts w:ascii="Arial" w:hAnsi="Arial" w:cs="Arial"/>
        </w:rPr>
        <w:t xml:space="preserve">Schedule </w:t>
      </w:r>
      <w:r w:rsidR="001A78FD">
        <w:rPr>
          <w:rFonts w:ascii="Arial" w:hAnsi="Arial" w:cs="Arial"/>
        </w:rPr>
        <w:t xml:space="preserve">2 </w:t>
      </w:r>
      <w:r w:rsidR="007C0FA4">
        <w:rPr>
          <w:rFonts w:ascii="Arial" w:hAnsi="Arial" w:cs="Arial"/>
        </w:rPr>
        <w:t xml:space="preserve">to remove references to </w:t>
      </w:r>
      <w:r w:rsidR="001A78FD">
        <w:rPr>
          <w:rFonts w:ascii="Arial" w:hAnsi="Arial" w:cs="Arial"/>
        </w:rPr>
        <w:t>end dates of</w:t>
      </w:r>
      <w:r w:rsidR="00B02968">
        <w:rPr>
          <w:rFonts w:ascii="Arial" w:hAnsi="Arial" w:cs="Arial"/>
        </w:rPr>
        <w:t xml:space="preserve"> </w:t>
      </w:r>
      <w:r w:rsidR="001A78FD">
        <w:rPr>
          <w:rFonts w:ascii="Arial" w:hAnsi="Arial" w:cs="Arial"/>
        </w:rPr>
        <w:t>quarters.</w:t>
      </w:r>
      <w:r w:rsidR="00460C23" w:rsidRPr="001A78FD">
        <w:rPr>
          <w:rFonts w:ascii="Arial" w:hAnsi="Arial" w:cs="Arial"/>
        </w:rPr>
        <w:t xml:space="preserve"> </w:t>
      </w:r>
    </w:p>
    <w:p w14:paraId="12089F91" w14:textId="7434C060" w:rsidR="004D251D" w:rsidRPr="007425B4" w:rsidRDefault="005572A7" w:rsidP="00460C23">
      <w:pPr>
        <w:rPr>
          <w:rFonts w:ascii="Arial" w:hAnsi="Arial" w:cs="Arial"/>
        </w:rPr>
      </w:pPr>
      <w:r>
        <w:rPr>
          <w:rFonts w:ascii="Arial" w:hAnsi="Arial" w:cs="Arial"/>
          <w:b/>
        </w:rPr>
        <w:t>Item [12</w:t>
      </w:r>
      <w:r w:rsidR="00460C23" w:rsidRPr="007C27DE">
        <w:rPr>
          <w:rFonts w:ascii="Arial" w:hAnsi="Arial" w:cs="Arial"/>
          <w:b/>
        </w:rPr>
        <w:t xml:space="preserve">] </w:t>
      </w:r>
      <w:r w:rsidR="004D251D">
        <w:rPr>
          <w:rFonts w:ascii="Arial" w:hAnsi="Arial" w:cs="Arial"/>
        </w:rPr>
        <w:t xml:space="preserve">substitutes Table 1 of Schedule 2 (including the heading and note) with a new table 1 which does not contain references to the ‘reporting period’. </w:t>
      </w:r>
    </w:p>
    <w:p w14:paraId="29C09B98" w14:textId="182AA585" w:rsidR="00460C23" w:rsidRPr="007C27DE" w:rsidRDefault="004D251D" w:rsidP="00460C23">
      <w:pPr>
        <w:rPr>
          <w:rFonts w:ascii="Arial" w:hAnsi="Arial" w:cs="Arial"/>
        </w:rPr>
      </w:pPr>
      <w:r>
        <w:rPr>
          <w:rFonts w:ascii="Arial" w:hAnsi="Arial" w:cs="Arial"/>
          <w:b/>
        </w:rPr>
        <w:t xml:space="preserve">Item [13] </w:t>
      </w:r>
      <w:r w:rsidR="00460C23" w:rsidRPr="007C27DE">
        <w:rPr>
          <w:rFonts w:ascii="Arial" w:hAnsi="Arial" w:cs="Arial"/>
        </w:rPr>
        <w:t>amends</w:t>
      </w:r>
      <w:r w:rsidR="00460C23" w:rsidRPr="007C27DE">
        <w:rPr>
          <w:rFonts w:ascii="Arial" w:hAnsi="Arial" w:cs="Arial"/>
          <w:b/>
        </w:rPr>
        <w:t xml:space="preserve"> </w:t>
      </w:r>
      <w:r w:rsidR="00460C23" w:rsidRPr="007C27DE">
        <w:rPr>
          <w:rFonts w:ascii="Arial" w:hAnsi="Arial" w:cs="Arial"/>
        </w:rPr>
        <w:t xml:space="preserve">the wording </w:t>
      </w:r>
      <w:r w:rsidR="0009047B" w:rsidRPr="007C27DE">
        <w:rPr>
          <w:rFonts w:ascii="Arial" w:hAnsi="Arial" w:cs="Arial"/>
        </w:rPr>
        <w:t>in Table</w:t>
      </w:r>
      <w:r w:rsidR="007C27DE" w:rsidRPr="007C27DE">
        <w:rPr>
          <w:rFonts w:ascii="Arial" w:hAnsi="Arial" w:cs="Arial"/>
        </w:rPr>
        <w:t xml:space="preserve"> 2 </w:t>
      </w:r>
      <w:r w:rsidR="00702ACF">
        <w:rPr>
          <w:rFonts w:ascii="Arial" w:hAnsi="Arial" w:cs="Arial"/>
        </w:rPr>
        <w:t xml:space="preserve">of Schedule 2 </w:t>
      </w:r>
      <w:r w:rsidR="007C27DE" w:rsidRPr="007C27DE">
        <w:rPr>
          <w:rFonts w:ascii="Arial" w:hAnsi="Arial" w:cs="Arial"/>
        </w:rPr>
        <w:t xml:space="preserve">to </w:t>
      </w:r>
      <w:r>
        <w:rPr>
          <w:rFonts w:ascii="Arial" w:hAnsi="Arial" w:cs="Arial"/>
        </w:rPr>
        <w:t>omit the words</w:t>
      </w:r>
      <w:r w:rsidRPr="007C27DE">
        <w:rPr>
          <w:rFonts w:ascii="Arial" w:hAnsi="Arial" w:cs="Arial"/>
        </w:rPr>
        <w:t xml:space="preserve"> </w:t>
      </w:r>
      <w:r w:rsidR="007C27DE" w:rsidRPr="007C27DE">
        <w:rPr>
          <w:rFonts w:ascii="Arial" w:hAnsi="Arial" w:cs="Arial"/>
        </w:rPr>
        <w:t>‘</w:t>
      </w:r>
      <w:r>
        <w:rPr>
          <w:rFonts w:ascii="Arial" w:hAnsi="Arial" w:cs="Arial"/>
        </w:rPr>
        <w:t xml:space="preserve">financial year </w:t>
      </w:r>
      <w:r w:rsidR="00251223" w:rsidRPr="007C27DE">
        <w:rPr>
          <w:rFonts w:ascii="Arial" w:hAnsi="Arial" w:cs="Arial"/>
        </w:rPr>
        <w:t>preceding</w:t>
      </w:r>
      <w:r w:rsidR="007C27DE" w:rsidRPr="007C27DE">
        <w:rPr>
          <w:rFonts w:ascii="Arial" w:hAnsi="Arial" w:cs="Arial"/>
        </w:rPr>
        <w:t>’. This aligns with the move to annual reporting</w:t>
      </w:r>
      <w:r>
        <w:rPr>
          <w:rFonts w:ascii="Arial" w:hAnsi="Arial" w:cs="Arial"/>
        </w:rPr>
        <w:t xml:space="preserve"> per benchmark period</w:t>
      </w:r>
      <w:r w:rsidR="007C27DE" w:rsidRPr="007C27DE">
        <w:rPr>
          <w:rFonts w:ascii="Arial" w:hAnsi="Arial" w:cs="Arial"/>
        </w:rPr>
        <w:t>.</w:t>
      </w:r>
      <w:r w:rsidR="00460C23" w:rsidRPr="007C27DE">
        <w:rPr>
          <w:rFonts w:ascii="Arial" w:hAnsi="Arial" w:cs="Arial"/>
        </w:rPr>
        <w:t xml:space="preserve"> </w:t>
      </w:r>
    </w:p>
    <w:p w14:paraId="5D1DDADA" w14:textId="371C9E68" w:rsidR="00460C23" w:rsidRPr="007C27DE" w:rsidRDefault="005572A7" w:rsidP="00460C23">
      <w:pPr>
        <w:rPr>
          <w:rFonts w:ascii="Arial" w:hAnsi="Arial" w:cs="Arial"/>
        </w:rPr>
      </w:pPr>
      <w:r>
        <w:rPr>
          <w:rFonts w:ascii="Arial" w:hAnsi="Arial" w:cs="Arial"/>
          <w:b/>
        </w:rPr>
        <w:t>Item [1</w:t>
      </w:r>
      <w:r w:rsidR="004D251D">
        <w:rPr>
          <w:rFonts w:ascii="Arial" w:hAnsi="Arial" w:cs="Arial"/>
          <w:b/>
        </w:rPr>
        <w:t>4</w:t>
      </w:r>
      <w:r w:rsidR="00460C23" w:rsidRPr="007C27DE">
        <w:rPr>
          <w:rFonts w:ascii="Arial" w:hAnsi="Arial" w:cs="Arial"/>
          <w:b/>
        </w:rPr>
        <w:t xml:space="preserve">] </w:t>
      </w:r>
      <w:r w:rsidR="007C27DE" w:rsidRPr="007C27DE">
        <w:rPr>
          <w:rFonts w:ascii="Arial" w:hAnsi="Arial" w:cs="Arial"/>
        </w:rPr>
        <w:t xml:space="preserve">deletes </w:t>
      </w:r>
      <w:r w:rsidR="0069366B">
        <w:rPr>
          <w:rFonts w:ascii="Arial" w:hAnsi="Arial" w:cs="Arial"/>
        </w:rPr>
        <w:t xml:space="preserve">the previous </w:t>
      </w:r>
      <w:r w:rsidR="007C27DE" w:rsidRPr="007C27DE">
        <w:rPr>
          <w:rFonts w:ascii="Arial" w:hAnsi="Arial" w:cs="Arial"/>
        </w:rPr>
        <w:t xml:space="preserve">Note 1 </w:t>
      </w:r>
      <w:r w:rsidR="00702ACF">
        <w:rPr>
          <w:rFonts w:ascii="Arial" w:hAnsi="Arial" w:cs="Arial"/>
        </w:rPr>
        <w:t xml:space="preserve">to Table 2 in </w:t>
      </w:r>
      <w:r w:rsidR="007C27DE" w:rsidRPr="007C27DE">
        <w:rPr>
          <w:rFonts w:ascii="Arial" w:hAnsi="Arial" w:cs="Arial"/>
        </w:rPr>
        <w:t>Schedule 2 which refer</w:t>
      </w:r>
      <w:r w:rsidR="0069366B">
        <w:rPr>
          <w:rFonts w:ascii="Arial" w:hAnsi="Arial" w:cs="Arial"/>
        </w:rPr>
        <w:t>red</w:t>
      </w:r>
      <w:r w:rsidR="007C27DE" w:rsidRPr="007C27DE">
        <w:rPr>
          <w:rFonts w:ascii="Arial" w:hAnsi="Arial" w:cs="Arial"/>
        </w:rPr>
        <w:t xml:space="preserve"> to reporting periods ending on 31 December. </w:t>
      </w:r>
    </w:p>
    <w:p w14:paraId="5D61C5B8" w14:textId="2B89D5D2" w:rsidR="00460C23" w:rsidRPr="003D4B65" w:rsidRDefault="005572A7" w:rsidP="00460C23">
      <w:pPr>
        <w:rPr>
          <w:rFonts w:ascii="Arial" w:hAnsi="Arial" w:cs="Arial"/>
        </w:rPr>
      </w:pPr>
      <w:r>
        <w:rPr>
          <w:rFonts w:ascii="Arial" w:hAnsi="Arial" w:cs="Arial"/>
          <w:b/>
        </w:rPr>
        <w:t>Item [1</w:t>
      </w:r>
      <w:r w:rsidR="007B0E0B">
        <w:rPr>
          <w:rFonts w:ascii="Arial" w:hAnsi="Arial" w:cs="Arial"/>
          <w:b/>
        </w:rPr>
        <w:t>5</w:t>
      </w:r>
      <w:r w:rsidR="00460C23" w:rsidRPr="007C27DE">
        <w:rPr>
          <w:rFonts w:ascii="Arial" w:hAnsi="Arial" w:cs="Arial"/>
          <w:b/>
        </w:rPr>
        <w:t xml:space="preserve">] </w:t>
      </w:r>
      <w:r w:rsidR="007B0E0B">
        <w:rPr>
          <w:rFonts w:ascii="Arial" w:hAnsi="Arial" w:cs="Arial"/>
        </w:rPr>
        <w:t>substitutes a new</w:t>
      </w:r>
      <w:r w:rsidR="007B0E0B" w:rsidRPr="007C27DE">
        <w:rPr>
          <w:rFonts w:ascii="Arial" w:hAnsi="Arial" w:cs="Arial"/>
        </w:rPr>
        <w:t xml:space="preserve"> </w:t>
      </w:r>
      <w:r w:rsidR="00702ACF">
        <w:rPr>
          <w:rFonts w:ascii="Arial" w:hAnsi="Arial" w:cs="Arial"/>
        </w:rPr>
        <w:t xml:space="preserve">Table 3 in </w:t>
      </w:r>
      <w:r w:rsidR="007C27DE" w:rsidRPr="007C27DE">
        <w:rPr>
          <w:rFonts w:ascii="Arial" w:hAnsi="Arial" w:cs="Arial"/>
        </w:rPr>
        <w:t xml:space="preserve">Schedule 2 </w:t>
      </w:r>
      <w:r w:rsidR="007B0E0B">
        <w:rPr>
          <w:rFonts w:ascii="Arial" w:hAnsi="Arial" w:cs="Arial"/>
        </w:rPr>
        <w:t xml:space="preserve">which does not include </w:t>
      </w:r>
      <w:r w:rsidR="007C27DE" w:rsidRPr="007C27DE">
        <w:rPr>
          <w:rFonts w:ascii="Arial" w:hAnsi="Arial" w:cs="Arial"/>
        </w:rPr>
        <w:t xml:space="preserve">the need for </w:t>
      </w:r>
      <w:r w:rsidR="00D41DFF">
        <w:rPr>
          <w:rFonts w:ascii="Arial" w:hAnsi="Arial" w:cs="Arial"/>
        </w:rPr>
        <w:t xml:space="preserve">compliance </w:t>
      </w:r>
      <w:r w:rsidR="007C27DE" w:rsidRPr="007C27DE">
        <w:rPr>
          <w:rFonts w:ascii="Arial" w:hAnsi="Arial" w:cs="Arial"/>
        </w:rPr>
        <w:t xml:space="preserve">reports </w:t>
      </w:r>
      <w:r w:rsidR="00D41DFF">
        <w:rPr>
          <w:rFonts w:ascii="Arial" w:hAnsi="Arial" w:cs="Arial"/>
        </w:rPr>
        <w:t xml:space="preserve">to include information per quarter per </w:t>
      </w:r>
      <w:r w:rsidR="009A1BEE">
        <w:rPr>
          <w:rFonts w:ascii="Arial" w:hAnsi="Arial" w:cs="Arial"/>
        </w:rPr>
        <w:t>S</w:t>
      </w:r>
      <w:r w:rsidR="007C27DE" w:rsidRPr="007C27DE">
        <w:rPr>
          <w:rFonts w:ascii="Arial" w:hAnsi="Arial" w:cs="Arial"/>
        </w:rPr>
        <w:t>tate/</w:t>
      </w:r>
      <w:r w:rsidR="009A1BEE">
        <w:rPr>
          <w:rFonts w:ascii="Arial" w:hAnsi="Arial" w:cs="Arial"/>
        </w:rPr>
        <w:t>T</w:t>
      </w:r>
      <w:r w:rsidR="007C27DE" w:rsidRPr="007C27DE">
        <w:rPr>
          <w:rFonts w:ascii="Arial" w:hAnsi="Arial" w:cs="Arial"/>
        </w:rPr>
        <w:t>erritory location</w:t>
      </w:r>
      <w:r w:rsidR="007B0E0B">
        <w:rPr>
          <w:rFonts w:ascii="Arial" w:hAnsi="Arial" w:cs="Arial"/>
        </w:rPr>
        <w:t>, and refers to the ‘benchmark period’ rather than the ‘</w:t>
      </w:r>
      <w:r w:rsidR="000F0E53">
        <w:rPr>
          <w:rFonts w:ascii="Arial" w:hAnsi="Arial" w:cs="Arial"/>
        </w:rPr>
        <w:t xml:space="preserve">quarter ending </w:t>
      </w:r>
      <w:r w:rsidR="007B0E0B">
        <w:rPr>
          <w:rFonts w:ascii="Arial" w:hAnsi="Arial" w:cs="Arial"/>
        </w:rPr>
        <w:t xml:space="preserve">period’ </w:t>
      </w:r>
      <w:r w:rsidR="003D4B65">
        <w:rPr>
          <w:rFonts w:ascii="Arial" w:hAnsi="Arial" w:cs="Arial"/>
        </w:rPr>
        <w:t xml:space="preserve">This table provides compliance data </w:t>
      </w:r>
      <w:r w:rsidR="00AB0B94">
        <w:rPr>
          <w:rFonts w:ascii="Arial" w:hAnsi="Arial" w:cs="Arial"/>
        </w:rPr>
        <w:t>to assess QCSP performance relating to ‘</w:t>
      </w:r>
      <w:r w:rsidR="00D41DFF">
        <w:rPr>
          <w:rFonts w:ascii="Arial" w:hAnsi="Arial" w:cs="Arial"/>
        </w:rPr>
        <w:t>i</w:t>
      </w:r>
      <w:r w:rsidR="003D4B65">
        <w:rPr>
          <w:rFonts w:ascii="Arial" w:hAnsi="Arial" w:cs="Arial"/>
        </w:rPr>
        <w:t>n-place connection</w:t>
      </w:r>
      <w:r w:rsidR="00AB0B94">
        <w:rPr>
          <w:rFonts w:ascii="Arial" w:hAnsi="Arial" w:cs="Arial"/>
        </w:rPr>
        <w:t>’</w:t>
      </w:r>
      <w:r w:rsidR="00D41DFF">
        <w:rPr>
          <w:rFonts w:ascii="Arial" w:hAnsi="Arial" w:cs="Arial"/>
        </w:rPr>
        <w:t xml:space="preserve"> requirements under the CSG Benchmarks</w:t>
      </w:r>
      <w:r w:rsidR="003D4B65">
        <w:rPr>
          <w:rFonts w:ascii="Arial" w:hAnsi="Arial" w:cs="Arial"/>
        </w:rPr>
        <w:t xml:space="preserve">. </w:t>
      </w:r>
    </w:p>
    <w:p w14:paraId="0AEB0C99" w14:textId="05845150" w:rsidR="00460C23" w:rsidRPr="003D4B65" w:rsidRDefault="005572A7" w:rsidP="00460C23">
      <w:pPr>
        <w:rPr>
          <w:rFonts w:ascii="Arial" w:hAnsi="Arial" w:cs="Arial"/>
        </w:rPr>
      </w:pPr>
      <w:r>
        <w:rPr>
          <w:rFonts w:ascii="Arial" w:hAnsi="Arial" w:cs="Arial"/>
          <w:b/>
        </w:rPr>
        <w:t>Item [1</w:t>
      </w:r>
      <w:r w:rsidR="007B0E0B">
        <w:rPr>
          <w:rFonts w:ascii="Arial" w:hAnsi="Arial" w:cs="Arial"/>
          <w:b/>
        </w:rPr>
        <w:t>6</w:t>
      </w:r>
      <w:r w:rsidR="00460C23" w:rsidRPr="003D4B65">
        <w:rPr>
          <w:rFonts w:ascii="Arial" w:hAnsi="Arial" w:cs="Arial"/>
          <w:b/>
        </w:rPr>
        <w:t xml:space="preserve">] </w:t>
      </w:r>
      <w:r w:rsidR="003D4B65" w:rsidRPr="003D4B65">
        <w:rPr>
          <w:rFonts w:ascii="Arial" w:hAnsi="Arial" w:cs="Arial"/>
        </w:rPr>
        <w:t xml:space="preserve">amends </w:t>
      </w:r>
      <w:r w:rsidR="00E30266">
        <w:rPr>
          <w:rFonts w:ascii="Arial" w:hAnsi="Arial" w:cs="Arial"/>
        </w:rPr>
        <w:t>T</w:t>
      </w:r>
      <w:r w:rsidR="003D4B65" w:rsidRPr="003D4B65">
        <w:rPr>
          <w:rFonts w:ascii="Arial" w:hAnsi="Arial" w:cs="Arial"/>
        </w:rPr>
        <w:t>able</w:t>
      </w:r>
      <w:r w:rsidR="003D4B65" w:rsidRPr="003D4B65">
        <w:rPr>
          <w:rFonts w:ascii="Arial" w:hAnsi="Arial" w:cs="Arial"/>
          <w:b/>
        </w:rPr>
        <w:t xml:space="preserve"> </w:t>
      </w:r>
      <w:r w:rsidR="0046772F" w:rsidRPr="001B03E3">
        <w:rPr>
          <w:rFonts w:ascii="Arial" w:hAnsi="Arial" w:cs="Arial"/>
        </w:rPr>
        <w:t>4</w:t>
      </w:r>
      <w:r w:rsidR="0046772F">
        <w:rPr>
          <w:rFonts w:ascii="Arial" w:hAnsi="Arial" w:cs="Arial"/>
          <w:b/>
        </w:rPr>
        <w:t xml:space="preserve"> </w:t>
      </w:r>
      <w:r w:rsidR="003D4B65" w:rsidRPr="003D4B65">
        <w:rPr>
          <w:rFonts w:ascii="Arial" w:hAnsi="Arial" w:cs="Arial"/>
        </w:rPr>
        <w:t>in Schedule 2</w:t>
      </w:r>
      <w:r w:rsidR="00AA5438">
        <w:rPr>
          <w:rFonts w:ascii="Arial" w:hAnsi="Arial" w:cs="Arial"/>
        </w:rPr>
        <w:t xml:space="preserve"> </w:t>
      </w:r>
      <w:r w:rsidR="003D4B65" w:rsidRPr="003D4B65">
        <w:rPr>
          <w:rFonts w:ascii="Arial" w:hAnsi="Arial" w:cs="Arial"/>
        </w:rPr>
        <w:t xml:space="preserve">to remove the </w:t>
      </w:r>
      <w:r w:rsidR="003D4B65">
        <w:rPr>
          <w:rFonts w:ascii="Arial" w:hAnsi="Arial" w:cs="Arial"/>
        </w:rPr>
        <w:t xml:space="preserve">requirement </w:t>
      </w:r>
      <w:r w:rsidR="003D4B65" w:rsidRPr="003D4B65">
        <w:rPr>
          <w:rFonts w:ascii="Arial" w:hAnsi="Arial" w:cs="Arial"/>
        </w:rPr>
        <w:t xml:space="preserve">for </w:t>
      </w:r>
      <w:r w:rsidR="00E30266">
        <w:rPr>
          <w:rFonts w:ascii="Arial" w:hAnsi="Arial" w:cs="Arial"/>
        </w:rPr>
        <w:t xml:space="preserve">compliance </w:t>
      </w:r>
      <w:r w:rsidR="003D4B65" w:rsidRPr="003D4B65">
        <w:rPr>
          <w:rFonts w:ascii="Arial" w:hAnsi="Arial" w:cs="Arial"/>
        </w:rPr>
        <w:t xml:space="preserve">reports </w:t>
      </w:r>
      <w:r w:rsidR="00E30266">
        <w:rPr>
          <w:rFonts w:ascii="Arial" w:hAnsi="Arial" w:cs="Arial"/>
        </w:rPr>
        <w:t xml:space="preserve">to provide information per </w:t>
      </w:r>
      <w:r w:rsidR="003D4B65" w:rsidRPr="003D4B65">
        <w:rPr>
          <w:rFonts w:ascii="Arial" w:hAnsi="Arial" w:cs="Arial"/>
        </w:rPr>
        <w:t xml:space="preserve">quarter and also </w:t>
      </w:r>
      <w:r w:rsidR="00E30266">
        <w:rPr>
          <w:rFonts w:ascii="Arial" w:hAnsi="Arial" w:cs="Arial"/>
        </w:rPr>
        <w:t>per</w:t>
      </w:r>
      <w:r w:rsidR="003D4B65" w:rsidRPr="003D4B65">
        <w:rPr>
          <w:rFonts w:ascii="Arial" w:hAnsi="Arial" w:cs="Arial"/>
        </w:rPr>
        <w:t xml:space="preserve"> </w:t>
      </w:r>
      <w:r w:rsidR="009A1BEE">
        <w:rPr>
          <w:rFonts w:ascii="Arial" w:hAnsi="Arial" w:cs="Arial"/>
        </w:rPr>
        <w:t>S</w:t>
      </w:r>
      <w:r w:rsidR="003D4B65" w:rsidRPr="003D4B65">
        <w:rPr>
          <w:rFonts w:ascii="Arial" w:hAnsi="Arial" w:cs="Arial"/>
        </w:rPr>
        <w:t>tate/</w:t>
      </w:r>
      <w:r w:rsidR="009A1BEE">
        <w:rPr>
          <w:rFonts w:ascii="Arial" w:hAnsi="Arial" w:cs="Arial"/>
        </w:rPr>
        <w:t>T</w:t>
      </w:r>
      <w:r w:rsidR="003D4B65" w:rsidRPr="003D4B65">
        <w:rPr>
          <w:rFonts w:ascii="Arial" w:hAnsi="Arial" w:cs="Arial"/>
        </w:rPr>
        <w:t xml:space="preserve">erritory location. </w:t>
      </w:r>
      <w:r w:rsidR="00AB0B94">
        <w:rPr>
          <w:rFonts w:ascii="Arial" w:hAnsi="Arial" w:cs="Arial"/>
        </w:rPr>
        <w:t>This table provides compliance data to assess QCSP performance relating to ‘</w:t>
      </w:r>
      <w:r w:rsidR="00E30266">
        <w:rPr>
          <w:rFonts w:ascii="Arial" w:hAnsi="Arial" w:cs="Arial"/>
        </w:rPr>
        <w:t>n</w:t>
      </w:r>
      <w:r w:rsidR="00AB0B94">
        <w:rPr>
          <w:rFonts w:ascii="Arial" w:hAnsi="Arial" w:cs="Arial"/>
        </w:rPr>
        <w:t>ew connection’</w:t>
      </w:r>
      <w:r w:rsidR="00E30266">
        <w:rPr>
          <w:rFonts w:ascii="Arial" w:hAnsi="Arial" w:cs="Arial"/>
        </w:rPr>
        <w:t xml:space="preserve"> requirements under the CSG Benchmarks</w:t>
      </w:r>
      <w:r w:rsidR="00AB0B94">
        <w:rPr>
          <w:rFonts w:ascii="Arial" w:hAnsi="Arial" w:cs="Arial"/>
        </w:rPr>
        <w:t xml:space="preserve">. </w:t>
      </w:r>
    </w:p>
    <w:p w14:paraId="394DBDDA" w14:textId="40300FE7" w:rsidR="007C27DE" w:rsidRPr="003D4B65" w:rsidRDefault="005572A7" w:rsidP="007C27DE">
      <w:pPr>
        <w:rPr>
          <w:rFonts w:ascii="Arial" w:hAnsi="Arial" w:cs="Arial"/>
        </w:rPr>
      </w:pPr>
      <w:r>
        <w:rPr>
          <w:rFonts w:ascii="Arial" w:hAnsi="Arial" w:cs="Arial"/>
          <w:b/>
        </w:rPr>
        <w:t>Item [1</w:t>
      </w:r>
      <w:r w:rsidR="007B0E0B">
        <w:rPr>
          <w:rFonts w:ascii="Arial" w:hAnsi="Arial" w:cs="Arial"/>
          <w:b/>
        </w:rPr>
        <w:t>7</w:t>
      </w:r>
      <w:r w:rsidR="007C27DE" w:rsidRPr="003D4B65">
        <w:rPr>
          <w:rFonts w:ascii="Arial" w:hAnsi="Arial" w:cs="Arial"/>
          <w:b/>
        </w:rPr>
        <w:t xml:space="preserve">] </w:t>
      </w:r>
      <w:r w:rsidR="003D4B65" w:rsidRPr="003D4B65">
        <w:rPr>
          <w:rFonts w:ascii="Arial" w:hAnsi="Arial" w:cs="Arial"/>
        </w:rPr>
        <w:t xml:space="preserve">deletes </w:t>
      </w:r>
      <w:r w:rsidR="003D4B65">
        <w:rPr>
          <w:rFonts w:ascii="Arial" w:hAnsi="Arial" w:cs="Arial"/>
        </w:rPr>
        <w:t xml:space="preserve">Note 4 </w:t>
      </w:r>
      <w:r w:rsidR="0046772F">
        <w:rPr>
          <w:rFonts w:ascii="Arial" w:hAnsi="Arial" w:cs="Arial"/>
        </w:rPr>
        <w:t>to</w:t>
      </w:r>
      <w:r w:rsidR="0046772F" w:rsidRPr="003D4B65">
        <w:rPr>
          <w:rFonts w:ascii="Arial" w:hAnsi="Arial" w:cs="Arial"/>
        </w:rPr>
        <w:t xml:space="preserve"> </w:t>
      </w:r>
      <w:r w:rsidR="003D4B65" w:rsidRPr="003D4B65">
        <w:rPr>
          <w:rFonts w:ascii="Arial" w:hAnsi="Arial" w:cs="Arial"/>
        </w:rPr>
        <w:t xml:space="preserve">Table </w:t>
      </w:r>
      <w:r w:rsidR="003D4B65">
        <w:rPr>
          <w:rFonts w:ascii="Arial" w:hAnsi="Arial" w:cs="Arial"/>
        </w:rPr>
        <w:t>4</w:t>
      </w:r>
      <w:r w:rsidR="003D4B65" w:rsidRPr="003D4B65">
        <w:rPr>
          <w:rFonts w:ascii="Arial" w:hAnsi="Arial" w:cs="Arial"/>
        </w:rPr>
        <w:t xml:space="preserve"> </w:t>
      </w:r>
      <w:r w:rsidR="00E30266">
        <w:rPr>
          <w:rFonts w:ascii="Arial" w:hAnsi="Arial" w:cs="Arial"/>
        </w:rPr>
        <w:t xml:space="preserve">of Schedule 2, </w:t>
      </w:r>
      <w:r w:rsidR="003D4B65" w:rsidRPr="003D4B65">
        <w:rPr>
          <w:rFonts w:ascii="Arial" w:hAnsi="Arial" w:cs="Arial"/>
        </w:rPr>
        <w:t>which refer</w:t>
      </w:r>
      <w:r w:rsidR="00E30266">
        <w:rPr>
          <w:rFonts w:ascii="Arial" w:hAnsi="Arial" w:cs="Arial"/>
        </w:rPr>
        <w:t>red</w:t>
      </w:r>
      <w:r w:rsidR="003D4B65" w:rsidRPr="003D4B65">
        <w:rPr>
          <w:rFonts w:ascii="Arial" w:hAnsi="Arial" w:cs="Arial"/>
        </w:rPr>
        <w:t xml:space="preserve"> to </w:t>
      </w:r>
      <w:r w:rsidR="001249F7">
        <w:rPr>
          <w:rFonts w:ascii="Arial" w:hAnsi="Arial" w:cs="Arial"/>
        </w:rPr>
        <w:t xml:space="preserve">quarterly </w:t>
      </w:r>
      <w:r w:rsidR="003D4B65" w:rsidRPr="003D4B65">
        <w:rPr>
          <w:rFonts w:ascii="Arial" w:hAnsi="Arial" w:cs="Arial"/>
        </w:rPr>
        <w:t>reporting</w:t>
      </w:r>
      <w:r w:rsidR="009A1BEE">
        <w:rPr>
          <w:rFonts w:ascii="Arial" w:hAnsi="Arial" w:cs="Arial"/>
        </w:rPr>
        <w:t>.</w:t>
      </w:r>
      <w:r w:rsidR="003D4B65" w:rsidRPr="003D4B65">
        <w:rPr>
          <w:rFonts w:ascii="Arial" w:hAnsi="Arial" w:cs="Arial"/>
        </w:rPr>
        <w:t xml:space="preserve"> </w:t>
      </w:r>
    </w:p>
    <w:p w14:paraId="276736D4" w14:textId="2A141F18" w:rsidR="00AB0B94" w:rsidRPr="00AB0B94" w:rsidRDefault="005572A7" w:rsidP="00AB0B94">
      <w:pPr>
        <w:rPr>
          <w:rFonts w:ascii="Arial" w:hAnsi="Arial" w:cs="Arial"/>
        </w:rPr>
      </w:pPr>
      <w:r>
        <w:rPr>
          <w:rFonts w:ascii="Arial" w:hAnsi="Arial" w:cs="Arial"/>
          <w:b/>
        </w:rPr>
        <w:t>Item [1</w:t>
      </w:r>
      <w:r w:rsidR="007B0E0B">
        <w:rPr>
          <w:rFonts w:ascii="Arial" w:hAnsi="Arial" w:cs="Arial"/>
          <w:b/>
        </w:rPr>
        <w:t>8</w:t>
      </w:r>
      <w:r w:rsidR="007C27DE" w:rsidRPr="00AB0B94">
        <w:rPr>
          <w:rFonts w:ascii="Arial" w:hAnsi="Arial" w:cs="Arial"/>
          <w:b/>
        </w:rPr>
        <w:t xml:space="preserve">] </w:t>
      </w:r>
      <w:r w:rsidR="007B0E0B">
        <w:rPr>
          <w:rFonts w:ascii="Arial" w:hAnsi="Arial" w:cs="Arial"/>
        </w:rPr>
        <w:t>substitutes a new</w:t>
      </w:r>
      <w:r w:rsidR="007B0E0B" w:rsidRPr="00AB0B94">
        <w:rPr>
          <w:rFonts w:ascii="Arial" w:hAnsi="Arial" w:cs="Arial"/>
        </w:rPr>
        <w:t xml:space="preserve"> </w:t>
      </w:r>
      <w:r w:rsidR="0069366B">
        <w:rPr>
          <w:rFonts w:ascii="Arial" w:hAnsi="Arial" w:cs="Arial"/>
        </w:rPr>
        <w:t>T</w:t>
      </w:r>
      <w:r w:rsidR="00AB0B94" w:rsidRPr="00AB0B94">
        <w:rPr>
          <w:rFonts w:ascii="Arial" w:hAnsi="Arial" w:cs="Arial"/>
        </w:rPr>
        <w:t>able</w:t>
      </w:r>
      <w:r w:rsidR="00AB0B94" w:rsidRPr="00AB0B94">
        <w:rPr>
          <w:rFonts w:ascii="Arial" w:hAnsi="Arial" w:cs="Arial"/>
          <w:b/>
        </w:rPr>
        <w:t xml:space="preserve"> </w:t>
      </w:r>
      <w:r w:rsidR="0069366B" w:rsidRPr="001B03E3">
        <w:rPr>
          <w:rFonts w:ascii="Arial" w:hAnsi="Arial" w:cs="Arial"/>
        </w:rPr>
        <w:t>5</w:t>
      </w:r>
      <w:r w:rsidR="0069366B">
        <w:rPr>
          <w:rFonts w:ascii="Arial" w:hAnsi="Arial" w:cs="Arial"/>
          <w:b/>
        </w:rPr>
        <w:t xml:space="preserve"> </w:t>
      </w:r>
      <w:r w:rsidR="00AB0B94" w:rsidRPr="00AB0B94">
        <w:rPr>
          <w:rFonts w:ascii="Arial" w:hAnsi="Arial" w:cs="Arial"/>
        </w:rPr>
        <w:t>in Schedule 2</w:t>
      </w:r>
      <w:r w:rsidR="00AA5438">
        <w:rPr>
          <w:rFonts w:ascii="Arial" w:hAnsi="Arial" w:cs="Arial"/>
        </w:rPr>
        <w:t xml:space="preserve"> </w:t>
      </w:r>
      <w:r w:rsidR="007B0E0B">
        <w:rPr>
          <w:rFonts w:ascii="Arial" w:hAnsi="Arial" w:cs="Arial"/>
        </w:rPr>
        <w:t>which does not include</w:t>
      </w:r>
      <w:r w:rsidR="007B0E0B" w:rsidRPr="00AB0B94">
        <w:rPr>
          <w:rFonts w:ascii="Arial" w:hAnsi="Arial" w:cs="Arial"/>
        </w:rPr>
        <w:t xml:space="preserve"> </w:t>
      </w:r>
      <w:r w:rsidR="00AB0B94" w:rsidRPr="00AB0B94">
        <w:rPr>
          <w:rFonts w:ascii="Arial" w:hAnsi="Arial" w:cs="Arial"/>
        </w:rPr>
        <w:t xml:space="preserve">the requirement for </w:t>
      </w:r>
      <w:r w:rsidR="0046772F">
        <w:rPr>
          <w:rFonts w:ascii="Arial" w:hAnsi="Arial" w:cs="Arial"/>
        </w:rPr>
        <w:t>compliance</w:t>
      </w:r>
      <w:r w:rsidR="0046772F" w:rsidRPr="00AB0B94">
        <w:rPr>
          <w:rFonts w:ascii="Arial" w:hAnsi="Arial" w:cs="Arial"/>
        </w:rPr>
        <w:t xml:space="preserve"> </w:t>
      </w:r>
      <w:r w:rsidR="00AB0B94" w:rsidRPr="00AB0B94">
        <w:rPr>
          <w:rFonts w:ascii="Arial" w:hAnsi="Arial" w:cs="Arial"/>
        </w:rPr>
        <w:t xml:space="preserve">reports </w:t>
      </w:r>
      <w:r w:rsidR="0069366B">
        <w:rPr>
          <w:rFonts w:ascii="Arial" w:hAnsi="Arial" w:cs="Arial"/>
        </w:rPr>
        <w:t xml:space="preserve">to include information per </w:t>
      </w:r>
      <w:r w:rsidR="00AB0B94" w:rsidRPr="00AB0B94">
        <w:rPr>
          <w:rFonts w:ascii="Arial" w:hAnsi="Arial" w:cs="Arial"/>
        </w:rPr>
        <w:t xml:space="preserve">quarter and also </w:t>
      </w:r>
      <w:r w:rsidR="0069366B">
        <w:rPr>
          <w:rFonts w:ascii="Arial" w:hAnsi="Arial" w:cs="Arial"/>
        </w:rPr>
        <w:t xml:space="preserve">per </w:t>
      </w:r>
      <w:r w:rsidR="009A1BEE">
        <w:rPr>
          <w:rFonts w:ascii="Arial" w:hAnsi="Arial" w:cs="Arial"/>
        </w:rPr>
        <w:t>S</w:t>
      </w:r>
      <w:r w:rsidR="00AB0B94" w:rsidRPr="00AB0B94">
        <w:rPr>
          <w:rFonts w:ascii="Arial" w:hAnsi="Arial" w:cs="Arial"/>
        </w:rPr>
        <w:t>tate/</w:t>
      </w:r>
      <w:r w:rsidR="009A1BEE">
        <w:rPr>
          <w:rFonts w:ascii="Arial" w:hAnsi="Arial" w:cs="Arial"/>
        </w:rPr>
        <w:t>T</w:t>
      </w:r>
      <w:r w:rsidR="00AB0B94" w:rsidRPr="00AB0B94">
        <w:rPr>
          <w:rFonts w:ascii="Arial" w:hAnsi="Arial" w:cs="Arial"/>
        </w:rPr>
        <w:t>erritory location</w:t>
      </w:r>
      <w:r w:rsidR="007B0E0B">
        <w:rPr>
          <w:rFonts w:ascii="Arial" w:hAnsi="Arial" w:cs="Arial"/>
        </w:rPr>
        <w:t>, and refers to the ‘benchmark period’ rather than the ‘</w:t>
      </w:r>
      <w:r w:rsidR="000F0E53">
        <w:rPr>
          <w:rFonts w:ascii="Arial" w:hAnsi="Arial" w:cs="Arial"/>
        </w:rPr>
        <w:t xml:space="preserve">quarter ending </w:t>
      </w:r>
      <w:r w:rsidR="007B0E0B">
        <w:rPr>
          <w:rFonts w:ascii="Arial" w:hAnsi="Arial" w:cs="Arial"/>
        </w:rPr>
        <w:t>period’</w:t>
      </w:r>
      <w:r w:rsidR="00AB0B94" w:rsidRPr="00AB0B94">
        <w:rPr>
          <w:rFonts w:ascii="Arial" w:hAnsi="Arial" w:cs="Arial"/>
        </w:rPr>
        <w:t>. This table provides compliance data to assess QCSP performance relating to ‘</w:t>
      </w:r>
      <w:r w:rsidR="0069366B">
        <w:rPr>
          <w:rFonts w:ascii="Arial" w:hAnsi="Arial" w:cs="Arial"/>
        </w:rPr>
        <w:t>f</w:t>
      </w:r>
      <w:r w:rsidR="00AB0B94">
        <w:rPr>
          <w:rFonts w:ascii="Arial" w:hAnsi="Arial" w:cs="Arial"/>
        </w:rPr>
        <w:t>aults or service difficulties</w:t>
      </w:r>
      <w:r w:rsidR="00AB0B94" w:rsidRPr="00AB0B94">
        <w:rPr>
          <w:rFonts w:ascii="Arial" w:hAnsi="Arial" w:cs="Arial"/>
        </w:rPr>
        <w:t>’</w:t>
      </w:r>
      <w:r w:rsidR="0069366B">
        <w:rPr>
          <w:rFonts w:ascii="Arial" w:hAnsi="Arial" w:cs="Arial"/>
        </w:rPr>
        <w:t xml:space="preserve"> requirements under the CSG Benchmarks</w:t>
      </w:r>
      <w:r w:rsidR="00AB0B94" w:rsidRPr="00AB0B94">
        <w:rPr>
          <w:rFonts w:ascii="Arial" w:hAnsi="Arial" w:cs="Arial"/>
        </w:rPr>
        <w:t xml:space="preserve">. </w:t>
      </w:r>
    </w:p>
    <w:p w14:paraId="7140B797" w14:textId="44B114CA" w:rsidR="007C27DE" w:rsidRPr="00AB0B94" w:rsidRDefault="005572A7" w:rsidP="007C27DE">
      <w:pPr>
        <w:rPr>
          <w:rFonts w:ascii="Arial" w:hAnsi="Arial" w:cs="Arial"/>
        </w:rPr>
      </w:pPr>
      <w:r>
        <w:rPr>
          <w:rFonts w:ascii="Arial" w:hAnsi="Arial" w:cs="Arial"/>
          <w:b/>
        </w:rPr>
        <w:t>Item [1</w:t>
      </w:r>
      <w:r w:rsidR="007B0E0B">
        <w:rPr>
          <w:rFonts w:ascii="Arial" w:hAnsi="Arial" w:cs="Arial"/>
          <w:b/>
        </w:rPr>
        <w:t>9</w:t>
      </w:r>
      <w:r w:rsidR="007C27DE" w:rsidRPr="00AB0B94">
        <w:rPr>
          <w:rFonts w:ascii="Arial" w:hAnsi="Arial" w:cs="Arial"/>
          <w:b/>
        </w:rPr>
        <w:t xml:space="preserve">] </w:t>
      </w:r>
      <w:r w:rsidR="00AB0B94" w:rsidRPr="00AB0B94">
        <w:rPr>
          <w:rFonts w:ascii="Arial" w:hAnsi="Arial" w:cs="Arial"/>
        </w:rPr>
        <w:t xml:space="preserve">deletes Note 4 </w:t>
      </w:r>
      <w:r w:rsidR="0045549D">
        <w:rPr>
          <w:rFonts w:ascii="Arial" w:hAnsi="Arial" w:cs="Arial"/>
        </w:rPr>
        <w:t>to</w:t>
      </w:r>
      <w:r w:rsidR="0045549D" w:rsidRPr="00AB0B94">
        <w:rPr>
          <w:rFonts w:ascii="Arial" w:hAnsi="Arial" w:cs="Arial"/>
        </w:rPr>
        <w:t xml:space="preserve"> </w:t>
      </w:r>
      <w:r w:rsidR="00AB0B94" w:rsidRPr="00AB0B94">
        <w:rPr>
          <w:rFonts w:ascii="Arial" w:hAnsi="Arial" w:cs="Arial"/>
        </w:rPr>
        <w:t xml:space="preserve">Table </w:t>
      </w:r>
      <w:r w:rsidR="00AB0B94">
        <w:rPr>
          <w:rFonts w:ascii="Arial" w:hAnsi="Arial" w:cs="Arial"/>
        </w:rPr>
        <w:t>5</w:t>
      </w:r>
      <w:r w:rsidR="0069366B">
        <w:rPr>
          <w:rFonts w:ascii="Arial" w:hAnsi="Arial" w:cs="Arial"/>
        </w:rPr>
        <w:t xml:space="preserve"> of Schedule 2,</w:t>
      </w:r>
      <w:r w:rsidR="00AB0B94" w:rsidRPr="00AB0B94">
        <w:rPr>
          <w:rFonts w:ascii="Arial" w:hAnsi="Arial" w:cs="Arial"/>
        </w:rPr>
        <w:t xml:space="preserve"> which refer</w:t>
      </w:r>
      <w:r w:rsidR="0069366B">
        <w:rPr>
          <w:rFonts w:ascii="Arial" w:hAnsi="Arial" w:cs="Arial"/>
        </w:rPr>
        <w:t>red</w:t>
      </w:r>
      <w:r w:rsidR="00AB0B94" w:rsidRPr="00AB0B94">
        <w:rPr>
          <w:rFonts w:ascii="Arial" w:hAnsi="Arial" w:cs="Arial"/>
        </w:rPr>
        <w:t xml:space="preserve"> to </w:t>
      </w:r>
      <w:r w:rsidR="0045549D">
        <w:rPr>
          <w:rFonts w:ascii="Arial" w:hAnsi="Arial" w:cs="Arial"/>
        </w:rPr>
        <w:t xml:space="preserve">quarterly </w:t>
      </w:r>
      <w:r w:rsidR="00AB0B94" w:rsidRPr="00AB0B94">
        <w:rPr>
          <w:rFonts w:ascii="Arial" w:hAnsi="Arial" w:cs="Arial"/>
        </w:rPr>
        <w:t>reporting</w:t>
      </w:r>
      <w:r w:rsidR="009A1BEE">
        <w:rPr>
          <w:rFonts w:ascii="Arial" w:hAnsi="Arial" w:cs="Arial"/>
        </w:rPr>
        <w:t>.</w:t>
      </w:r>
      <w:r w:rsidR="007C27DE" w:rsidRPr="00AB0B94">
        <w:rPr>
          <w:rFonts w:ascii="Arial" w:hAnsi="Arial" w:cs="Arial"/>
        </w:rPr>
        <w:t xml:space="preserve"> </w:t>
      </w:r>
    </w:p>
    <w:p w14:paraId="76792F01" w14:textId="2D4C29AB" w:rsidR="007425B4" w:rsidRDefault="005572A7" w:rsidP="00460C23">
      <w:pPr>
        <w:rPr>
          <w:rFonts w:ascii="Arial" w:hAnsi="Arial" w:cs="Arial"/>
        </w:rPr>
      </w:pPr>
      <w:r>
        <w:rPr>
          <w:rFonts w:ascii="Arial" w:hAnsi="Arial" w:cs="Arial"/>
          <w:b/>
        </w:rPr>
        <w:t>Item [</w:t>
      </w:r>
      <w:r w:rsidR="007B0E0B">
        <w:rPr>
          <w:rFonts w:ascii="Arial" w:hAnsi="Arial" w:cs="Arial"/>
          <w:b/>
        </w:rPr>
        <w:t>20</w:t>
      </w:r>
      <w:r w:rsidR="00AB0B94" w:rsidRPr="00295645">
        <w:rPr>
          <w:rFonts w:ascii="Arial" w:hAnsi="Arial" w:cs="Arial"/>
          <w:b/>
        </w:rPr>
        <w:t xml:space="preserve">] </w:t>
      </w:r>
      <w:r w:rsidR="00A053A6">
        <w:rPr>
          <w:rFonts w:ascii="Arial" w:hAnsi="Arial" w:cs="Arial"/>
        </w:rPr>
        <w:t>substitutes a new</w:t>
      </w:r>
      <w:r w:rsidR="00A053A6" w:rsidRPr="00295645">
        <w:rPr>
          <w:rFonts w:ascii="Arial" w:hAnsi="Arial" w:cs="Arial"/>
        </w:rPr>
        <w:t xml:space="preserve"> </w:t>
      </w:r>
      <w:r w:rsidR="0069366B">
        <w:rPr>
          <w:rFonts w:ascii="Arial" w:hAnsi="Arial" w:cs="Arial"/>
        </w:rPr>
        <w:t xml:space="preserve">Table 6 in </w:t>
      </w:r>
      <w:r w:rsidR="00295645" w:rsidRPr="00295645">
        <w:rPr>
          <w:rFonts w:ascii="Arial" w:hAnsi="Arial" w:cs="Arial"/>
        </w:rPr>
        <w:t>Schedule 2</w:t>
      </w:r>
      <w:r w:rsidR="00F2199E">
        <w:rPr>
          <w:rFonts w:ascii="Arial" w:hAnsi="Arial" w:cs="Arial"/>
        </w:rPr>
        <w:t xml:space="preserve"> </w:t>
      </w:r>
      <w:r w:rsidR="00A053A6">
        <w:rPr>
          <w:rFonts w:ascii="Arial" w:hAnsi="Arial" w:cs="Arial"/>
        </w:rPr>
        <w:t>which does not include</w:t>
      </w:r>
      <w:r w:rsidR="00A053A6" w:rsidRPr="00AB0B94">
        <w:rPr>
          <w:rFonts w:ascii="Arial" w:hAnsi="Arial" w:cs="Arial"/>
        </w:rPr>
        <w:t xml:space="preserve"> </w:t>
      </w:r>
      <w:r w:rsidR="00295645" w:rsidRPr="00295645">
        <w:rPr>
          <w:rFonts w:ascii="Arial" w:hAnsi="Arial" w:cs="Arial"/>
        </w:rPr>
        <w:t xml:space="preserve">the requirement for </w:t>
      </w:r>
      <w:r w:rsidR="0069366B">
        <w:rPr>
          <w:rFonts w:ascii="Arial" w:hAnsi="Arial" w:cs="Arial"/>
        </w:rPr>
        <w:t xml:space="preserve">compliance reports to include information per </w:t>
      </w:r>
      <w:r w:rsidR="00295645" w:rsidRPr="00295645">
        <w:rPr>
          <w:rFonts w:ascii="Arial" w:hAnsi="Arial" w:cs="Arial"/>
        </w:rPr>
        <w:t xml:space="preserve">quarter and also </w:t>
      </w:r>
      <w:r w:rsidR="0069366B">
        <w:rPr>
          <w:rFonts w:ascii="Arial" w:hAnsi="Arial" w:cs="Arial"/>
        </w:rPr>
        <w:t>per</w:t>
      </w:r>
      <w:r w:rsidR="00295645" w:rsidRPr="00295645">
        <w:rPr>
          <w:rFonts w:ascii="Arial" w:hAnsi="Arial" w:cs="Arial"/>
        </w:rPr>
        <w:t xml:space="preserve"> </w:t>
      </w:r>
      <w:r w:rsidR="0069366B">
        <w:rPr>
          <w:rFonts w:ascii="Arial" w:hAnsi="Arial" w:cs="Arial"/>
        </w:rPr>
        <w:t>s</w:t>
      </w:r>
      <w:r w:rsidR="00295645" w:rsidRPr="00295645">
        <w:rPr>
          <w:rFonts w:ascii="Arial" w:hAnsi="Arial" w:cs="Arial"/>
        </w:rPr>
        <w:t>tate/territory location</w:t>
      </w:r>
      <w:r w:rsidR="00A053A6">
        <w:rPr>
          <w:rFonts w:ascii="Arial" w:hAnsi="Arial" w:cs="Arial"/>
        </w:rPr>
        <w:t xml:space="preserve"> and refers to the ‘benchmark period’ rather than the ‘</w:t>
      </w:r>
      <w:r w:rsidR="000F0E53">
        <w:rPr>
          <w:rFonts w:ascii="Arial" w:hAnsi="Arial" w:cs="Arial"/>
        </w:rPr>
        <w:t xml:space="preserve">quarter ending </w:t>
      </w:r>
      <w:r w:rsidR="00A053A6">
        <w:rPr>
          <w:rFonts w:ascii="Arial" w:hAnsi="Arial" w:cs="Arial"/>
        </w:rPr>
        <w:t>period’</w:t>
      </w:r>
      <w:r w:rsidR="00295645" w:rsidRPr="00295645">
        <w:rPr>
          <w:rFonts w:ascii="Arial" w:hAnsi="Arial" w:cs="Arial"/>
        </w:rPr>
        <w:t>. This table provides compliance data to assess QCSP performance relating to ‘</w:t>
      </w:r>
      <w:r w:rsidR="0069366B">
        <w:rPr>
          <w:rFonts w:ascii="Arial" w:hAnsi="Arial" w:cs="Arial"/>
        </w:rPr>
        <w:t>a</w:t>
      </w:r>
      <w:r w:rsidR="00F82233">
        <w:rPr>
          <w:rFonts w:ascii="Arial" w:hAnsi="Arial" w:cs="Arial"/>
        </w:rPr>
        <w:t>ppointment keeping</w:t>
      </w:r>
      <w:r w:rsidR="00295645" w:rsidRPr="00295645">
        <w:rPr>
          <w:rFonts w:ascii="Arial" w:hAnsi="Arial" w:cs="Arial"/>
        </w:rPr>
        <w:t>’</w:t>
      </w:r>
      <w:r w:rsidR="0069366B">
        <w:rPr>
          <w:rFonts w:ascii="Arial" w:hAnsi="Arial" w:cs="Arial"/>
        </w:rPr>
        <w:t xml:space="preserve"> requirements under the CSG Benchmarks</w:t>
      </w:r>
      <w:r w:rsidR="00295645" w:rsidRPr="00295645">
        <w:rPr>
          <w:rFonts w:ascii="Arial" w:hAnsi="Arial" w:cs="Arial"/>
        </w:rPr>
        <w:t xml:space="preserve">. </w:t>
      </w:r>
    </w:p>
    <w:p w14:paraId="6A0F0F7F" w14:textId="77777777" w:rsidR="007425B4" w:rsidRDefault="007425B4">
      <w:pPr>
        <w:spacing w:after="0" w:line="240" w:lineRule="auto"/>
        <w:rPr>
          <w:rFonts w:ascii="Arial" w:hAnsi="Arial" w:cs="Arial"/>
        </w:rPr>
      </w:pPr>
      <w:r>
        <w:rPr>
          <w:rFonts w:ascii="Arial" w:hAnsi="Arial" w:cs="Arial"/>
        </w:rPr>
        <w:br w:type="page"/>
      </w:r>
    </w:p>
    <w:p w14:paraId="5626BD6E" w14:textId="7F332124" w:rsidR="00181FA8" w:rsidRPr="001B03E3" w:rsidRDefault="00181FA8" w:rsidP="00181FA8">
      <w:pPr>
        <w:pStyle w:val="Heading3"/>
        <w:tabs>
          <w:tab w:val="left" w:pos="1620"/>
        </w:tabs>
        <w:spacing w:after="120"/>
        <w:rPr>
          <w:rFonts w:ascii="Arial" w:hAnsi="Arial" w:cs="Arial"/>
          <w:i/>
          <w:szCs w:val="24"/>
        </w:rPr>
      </w:pPr>
      <w:r w:rsidRPr="001B03E3">
        <w:rPr>
          <w:rFonts w:ascii="Arial" w:hAnsi="Arial" w:cs="Arial"/>
          <w:i/>
          <w:szCs w:val="24"/>
        </w:rPr>
        <w:lastRenderedPageBreak/>
        <w:t>Schedule 2</w:t>
      </w:r>
    </w:p>
    <w:p w14:paraId="273E06E5" w14:textId="2379439F" w:rsidR="00181FA8" w:rsidRPr="00BF5A9B" w:rsidRDefault="00181FA8" w:rsidP="00181FA8">
      <w:pPr>
        <w:spacing w:after="0" w:line="240" w:lineRule="auto"/>
        <w:rPr>
          <w:rFonts w:ascii="Arial" w:hAnsi="Arial" w:cs="Arial"/>
        </w:rPr>
      </w:pPr>
      <w:r w:rsidRPr="00BF5A9B">
        <w:rPr>
          <w:rFonts w:ascii="Arial" w:hAnsi="Arial" w:cs="Arial"/>
        </w:rPr>
        <w:t>This schedule sets out the amendments to the Payphone</w:t>
      </w:r>
      <w:r w:rsidR="001B03E3">
        <w:rPr>
          <w:rFonts w:ascii="Arial" w:hAnsi="Arial" w:cs="Arial"/>
        </w:rPr>
        <w:t xml:space="preserve"> RKRs</w:t>
      </w:r>
      <w:r w:rsidRPr="00BF5A9B">
        <w:rPr>
          <w:rFonts w:ascii="Arial" w:hAnsi="Arial" w:cs="Arial"/>
        </w:rPr>
        <w:t>.</w:t>
      </w:r>
    </w:p>
    <w:p w14:paraId="119B422E" w14:textId="77777777" w:rsidR="00181FA8" w:rsidRPr="00BF5A9B" w:rsidRDefault="00181FA8" w:rsidP="00181FA8">
      <w:pPr>
        <w:spacing w:after="0" w:line="240" w:lineRule="auto"/>
        <w:rPr>
          <w:rFonts w:ascii="Arial" w:hAnsi="Arial" w:cs="Arial"/>
          <w:b/>
        </w:rPr>
      </w:pPr>
    </w:p>
    <w:p w14:paraId="40D51D42" w14:textId="7E28CFDF" w:rsidR="00680F80" w:rsidRPr="00BF5A9B" w:rsidRDefault="00181FA8" w:rsidP="00680F80">
      <w:pPr>
        <w:spacing w:after="0" w:line="240" w:lineRule="auto"/>
        <w:rPr>
          <w:rFonts w:ascii="Arial" w:hAnsi="Arial" w:cs="Arial"/>
        </w:rPr>
      </w:pPr>
      <w:r w:rsidRPr="00BF5A9B">
        <w:rPr>
          <w:rFonts w:ascii="Arial" w:hAnsi="Arial" w:cs="Arial"/>
          <w:b/>
        </w:rPr>
        <w:t>Item [1]</w:t>
      </w:r>
      <w:r w:rsidRPr="00BF5A9B">
        <w:rPr>
          <w:rFonts w:ascii="Arial" w:hAnsi="Arial" w:cs="Arial"/>
        </w:rPr>
        <w:t xml:space="preserve"> </w:t>
      </w:r>
      <w:r w:rsidR="00680F80" w:rsidRPr="00BF5A9B">
        <w:rPr>
          <w:rFonts w:ascii="Arial" w:hAnsi="Arial" w:cs="Arial"/>
        </w:rPr>
        <w:t xml:space="preserve">amends the definition of ‘nominated area’ </w:t>
      </w:r>
      <w:r w:rsidR="00D74EE0">
        <w:rPr>
          <w:rFonts w:ascii="Arial" w:hAnsi="Arial" w:cs="Arial"/>
        </w:rPr>
        <w:t>in section 3 of the Payphone</w:t>
      </w:r>
      <w:r w:rsidR="001B03E3">
        <w:rPr>
          <w:rFonts w:ascii="Arial" w:hAnsi="Arial" w:cs="Arial"/>
        </w:rPr>
        <w:t xml:space="preserve"> RKRs</w:t>
      </w:r>
      <w:r w:rsidR="00D74EE0">
        <w:rPr>
          <w:rFonts w:ascii="Arial" w:hAnsi="Arial" w:cs="Arial"/>
        </w:rPr>
        <w:t xml:space="preserve"> so that it refers to the whole of </w:t>
      </w:r>
      <w:r w:rsidR="00680F80" w:rsidRPr="00BF5A9B">
        <w:rPr>
          <w:rFonts w:ascii="Arial" w:hAnsi="Arial" w:cs="Arial"/>
        </w:rPr>
        <w:t xml:space="preserve">Australia. </w:t>
      </w:r>
      <w:r w:rsidR="00D74EE0">
        <w:rPr>
          <w:rFonts w:ascii="Arial" w:hAnsi="Arial" w:cs="Arial"/>
        </w:rPr>
        <w:t>Previously, nominated area was defined in section 6 of the Payphone</w:t>
      </w:r>
      <w:r w:rsidR="001B03E3">
        <w:rPr>
          <w:rFonts w:ascii="Arial" w:hAnsi="Arial" w:cs="Arial"/>
        </w:rPr>
        <w:t xml:space="preserve"> RKRs</w:t>
      </w:r>
      <w:r w:rsidR="00D74EE0">
        <w:rPr>
          <w:rFonts w:ascii="Arial" w:hAnsi="Arial" w:cs="Arial"/>
        </w:rPr>
        <w:t xml:space="preserve"> as certain geographic areas divided on </w:t>
      </w:r>
      <w:r w:rsidR="009A1BEE">
        <w:rPr>
          <w:rFonts w:ascii="Arial" w:hAnsi="Arial" w:cs="Arial"/>
        </w:rPr>
        <w:t>S</w:t>
      </w:r>
      <w:r w:rsidR="00D74EE0">
        <w:rPr>
          <w:rFonts w:ascii="Arial" w:hAnsi="Arial" w:cs="Arial"/>
        </w:rPr>
        <w:t xml:space="preserve">tate and </w:t>
      </w:r>
      <w:r w:rsidR="009A1BEE">
        <w:rPr>
          <w:rFonts w:ascii="Arial" w:hAnsi="Arial" w:cs="Arial"/>
        </w:rPr>
        <w:t>T</w:t>
      </w:r>
      <w:r w:rsidR="00D74EE0">
        <w:rPr>
          <w:rFonts w:ascii="Arial" w:hAnsi="Arial" w:cs="Arial"/>
        </w:rPr>
        <w:t>erritory lines. The effect of this change is that compliance reports required under the Payphone</w:t>
      </w:r>
      <w:r w:rsidR="001B03E3">
        <w:rPr>
          <w:rFonts w:ascii="Arial" w:hAnsi="Arial" w:cs="Arial"/>
        </w:rPr>
        <w:t xml:space="preserve"> RKRs</w:t>
      </w:r>
      <w:r w:rsidR="00D74EE0">
        <w:rPr>
          <w:rFonts w:ascii="Arial" w:hAnsi="Arial" w:cs="Arial"/>
        </w:rPr>
        <w:t xml:space="preserve"> will no longer be required to include information </w:t>
      </w:r>
      <w:r w:rsidR="000039FB">
        <w:rPr>
          <w:rFonts w:ascii="Arial" w:hAnsi="Arial" w:cs="Arial"/>
        </w:rPr>
        <w:t xml:space="preserve">disaggregated </w:t>
      </w:r>
      <w:r w:rsidR="00D74EE0">
        <w:rPr>
          <w:rFonts w:ascii="Arial" w:hAnsi="Arial" w:cs="Arial"/>
        </w:rPr>
        <w:t>on a State or Territory basis.</w:t>
      </w:r>
    </w:p>
    <w:p w14:paraId="0C9C3382" w14:textId="77777777" w:rsidR="00181FA8" w:rsidRPr="00BF5A9B" w:rsidRDefault="00181FA8" w:rsidP="00181FA8">
      <w:pPr>
        <w:spacing w:after="0" w:line="240" w:lineRule="auto"/>
        <w:rPr>
          <w:rFonts w:ascii="Arial" w:hAnsi="Arial" w:cs="Arial"/>
          <w:b/>
        </w:rPr>
      </w:pPr>
    </w:p>
    <w:p w14:paraId="38C80DA1" w14:textId="7EBBA8ED" w:rsidR="00181FA8" w:rsidRPr="00BF5A9B" w:rsidRDefault="00181FA8" w:rsidP="00680F80">
      <w:pPr>
        <w:spacing w:after="0" w:line="240" w:lineRule="auto"/>
        <w:rPr>
          <w:rFonts w:ascii="Arial" w:hAnsi="Arial" w:cs="Arial"/>
        </w:rPr>
      </w:pPr>
      <w:r w:rsidRPr="00BF5A9B">
        <w:rPr>
          <w:rFonts w:ascii="Arial" w:hAnsi="Arial" w:cs="Arial"/>
          <w:b/>
        </w:rPr>
        <w:t>Item [2]</w:t>
      </w:r>
      <w:r w:rsidRPr="00BF5A9B">
        <w:rPr>
          <w:rFonts w:ascii="Arial" w:hAnsi="Arial" w:cs="Arial"/>
        </w:rPr>
        <w:t xml:space="preserve"> </w:t>
      </w:r>
      <w:r w:rsidR="00680F80" w:rsidRPr="001B03E3">
        <w:rPr>
          <w:rFonts w:ascii="Arial" w:hAnsi="Arial" w:cs="Arial"/>
        </w:rPr>
        <w:t>repeals</w:t>
      </w:r>
      <w:r w:rsidR="00680F80" w:rsidRPr="00BF5A9B">
        <w:rPr>
          <w:rFonts w:ascii="Arial" w:hAnsi="Arial" w:cs="Arial"/>
        </w:rPr>
        <w:t xml:space="preserve"> the definition of ‘quarter’. As </w:t>
      </w:r>
      <w:r w:rsidR="00D74EE0" w:rsidRPr="00BF5A9B">
        <w:rPr>
          <w:rFonts w:ascii="Arial" w:hAnsi="Arial" w:cs="Arial"/>
        </w:rPr>
        <w:t>t</w:t>
      </w:r>
      <w:r w:rsidR="00D74EE0">
        <w:rPr>
          <w:rFonts w:ascii="Arial" w:hAnsi="Arial" w:cs="Arial"/>
        </w:rPr>
        <w:t>h</w:t>
      </w:r>
      <w:r w:rsidR="00D74EE0" w:rsidRPr="00BF5A9B">
        <w:rPr>
          <w:rFonts w:ascii="Arial" w:hAnsi="Arial" w:cs="Arial"/>
        </w:rPr>
        <w:t>e</w:t>
      </w:r>
      <w:r w:rsidR="00680F80" w:rsidRPr="00BF5A9B">
        <w:rPr>
          <w:rFonts w:ascii="Arial" w:hAnsi="Arial" w:cs="Arial"/>
        </w:rPr>
        <w:t xml:space="preserve"> requirement to </w:t>
      </w:r>
      <w:r w:rsidR="00D74EE0">
        <w:rPr>
          <w:rFonts w:ascii="Arial" w:hAnsi="Arial" w:cs="Arial"/>
        </w:rPr>
        <w:t xml:space="preserve">provide information in the compliance </w:t>
      </w:r>
      <w:r w:rsidR="00680F80" w:rsidRPr="00BF5A9B">
        <w:rPr>
          <w:rFonts w:ascii="Arial" w:hAnsi="Arial" w:cs="Arial"/>
        </w:rPr>
        <w:t xml:space="preserve">report </w:t>
      </w:r>
      <w:r w:rsidR="00D74EE0">
        <w:rPr>
          <w:rFonts w:ascii="Arial" w:hAnsi="Arial" w:cs="Arial"/>
        </w:rPr>
        <w:t xml:space="preserve">in relation to each </w:t>
      </w:r>
      <w:r w:rsidR="00680F80" w:rsidRPr="00BF5A9B">
        <w:rPr>
          <w:rFonts w:ascii="Arial" w:hAnsi="Arial" w:cs="Arial"/>
        </w:rPr>
        <w:t xml:space="preserve">quarter </w:t>
      </w:r>
      <w:r w:rsidR="000039FB">
        <w:rPr>
          <w:rFonts w:ascii="Arial" w:hAnsi="Arial" w:cs="Arial"/>
        </w:rPr>
        <w:t>has been</w:t>
      </w:r>
      <w:r w:rsidR="00680F80" w:rsidRPr="00BF5A9B">
        <w:rPr>
          <w:rFonts w:ascii="Arial" w:hAnsi="Arial" w:cs="Arial"/>
        </w:rPr>
        <w:t xml:space="preserve"> removed, there is no </w:t>
      </w:r>
      <w:r w:rsidR="00D74EE0">
        <w:rPr>
          <w:rFonts w:ascii="Arial" w:hAnsi="Arial" w:cs="Arial"/>
        </w:rPr>
        <w:t xml:space="preserve">need </w:t>
      </w:r>
      <w:r w:rsidR="00680F80" w:rsidRPr="00BF5A9B">
        <w:rPr>
          <w:rFonts w:ascii="Arial" w:hAnsi="Arial" w:cs="Arial"/>
        </w:rPr>
        <w:t xml:space="preserve">to have a definition </w:t>
      </w:r>
      <w:r w:rsidR="009A1BEE">
        <w:rPr>
          <w:rFonts w:ascii="Arial" w:hAnsi="Arial" w:cs="Arial"/>
        </w:rPr>
        <w:t>of</w:t>
      </w:r>
      <w:r w:rsidR="00680F80" w:rsidRPr="00BF5A9B">
        <w:rPr>
          <w:rFonts w:ascii="Arial" w:hAnsi="Arial" w:cs="Arial"/>
        </w:rPr>
        <w:t xml:space="preserve"> ‘quarter’.</w:t>
      </w:r>
      <w:r w:rsidRPr="00BF5A9B">
        <w:rPr>
          <w:rFonts w:ascii="Arial" w:hAnsi="Arial" w:cs="Arial"/>
        </w:rPr>
        <w:t xml:space="preserve"> </w:t>
      </w:r>
    </w:p>
    <w:p w14:paraId="6DBF9EA5" w14:textId="77777777" w:rsidR="00181FA8" w:rsidRPr="00BF5A9B" w:rsidRDefault="00181FA8" w:rsidP="00181FA8">
      <w:pPr>
        <w:spacing w:after="0" w:line="240" w:lineRule="auto"/>
        <w:rPr>
          <w:rFonts w:ascii="Arial" w:hAnsi="Arial" w:cs="Arial"/>
          <w:b/>
        </w:rPr>
      </w:pPr>
    </w:p>
    <w:p w14:paraId="5AD9D803" w14:textId="1C119702" w:rsidR="00A053A6" w:rsidRDefault="00181FA8" w:rsidP="00181FA8">
      <w:pPr>
        <w:spacing w:after="0" w:line="240" w:lineRule="auto"/>
        <w:rPr>
          <w:rFonts w:ascii="Arial" w:hAnsi="Arial" w:cs="Arial"/>
        </w:rPr>
      </w:pPr>
      <w:r w:rsidRPr="00BF5A9B">
        <w:rPr>
          <w:rFonts w:ascii="Arial" w:hAnsi="Arial" w:cs="Arial"/>
          <w:b/>
        </w:rPr>
        <w:t>Item [3]</w:t>
      </w:r>
      <w:r w:rsidR="0012092A" w:rsidRPr="00BF5A9B">
        <w:rPr>
          <w:rFonts w:ascii="Arial" w:hAnsi="Arial" w:cs="Arial"/>
        </w:rPr>
        <w:t xml:space="preserve"> </w:t>
      </w:r>
      <w:r w:rsidR="00A053A6">
        <w:rPr>
          <w:rFonts w:ascii="Arial" w:hAnsi="Arial" w:cs="Arial"/>
        </w:rPr>
        <w:t xml:space="preserve">repeals the definition of ‘reporting period’. As the ‘reporting period’ is now aligned with the benchmark period (which is defined in section 3) there is no need to have a definition of ‘reporting period’. </w:t>
      </w:r>
    </w:p>
    <w:p w14:paraId="3DBAE300" w14:textId="77777777" w:rsidR="00A053A6" w:rsidRDefault="00A053A6" w:rsidP="00181FA8">
      <w:pPr>
        <w:spacing w:after="0" w:line="240" w:lineRule="auto"/>
        <w:rPr>
          <w:rFonts w:ascii="Arial" w:hAnsi="Arial" w:cs="Arial"/>
        </w:rPr>
      </w:pPr>
    </w:p>
    <w:p w14:paraId="6B3612E1" w14:textId="3F51529C" w:rsidR="00181FA8" w:rsidRPr="00BF5A9B" w:rsidRDefault="008C6180" w:rsidP="00181FA8">
      <w:pPr>
        <w:spacing w:after="0" w:line="240" w:lineRule="auto"/>
        <w:rPr>
          <w:rFonts w:ascii="Arial" w:hAnsi="Arial" w:cs="Arial"/>
        </w:rPr>
      </w:pPr>
      <w:r w:rsidRPr="00BF5A9B">
        <w:rPr>
          <w:rFonts w:ascii="Arial" w:hAnsi="Arial" w:cs="Arial"/>
          <w:b/>
        </w:rPr>
        <w:t xml:space="preserve">Item [4] </w:t>
      </w:r>
      <w:r>
        <w:rPr>
          <w:rFonts w:ascii="Arial" w:hAnsi="Arial" w:cs="Arial"/>
        </w:rPr>
        <w:t>repeals</w:t>
      </w:r>
      <w:r w:rsidRPr="00BF5A9B">
        <w:rPr>
          <w:rFonts w:ascii="Arial" w:hAnsi="Arial" w:cs="Arial"/>
        </w:rPr>
        <w:t xml:space="preserve"> </w:t>
      </w:r>
      <w:r w:rsidR="00D74EE0">
        <w:rPr>
          <w:rFonts w:ascii="Arial" w:hAnsi="Arial" w:cs="Arial"/>
        </w:rPr>
        <w:t>s</w:t>
      </w:r>
      <w:r w:rsidR="0012092A" w:rsidRPr="00BF5A9B">
        <w:rPr>
          <w:rFonts w:ascii="Arial" w:hAnsi="Arial" w:cs="Arial"/>
        </w:rPr>
        <w:t>ection 6 which provide</w:t>
      </w:r>
      <w:r w:rsidR="00D74EE0">
        <w:rPr>
          <w:rFonts w:ascii="Arial" w:hAnsi="Arial" w:cs="Arial"/>
        </w:rPr>
        <w:t>d</w:t>
      </w:r>
      <w:r w:rsidR="0012092A" w:rsidRPr="00BF5A9B">
        <w:rPr>
          <w:rFonts w:ascii="Arial" w:hAnsi="Arial" w:cs="Arial"/>
        </w:rPr>
        <w:t xml:space="preserve"> the meaning of ‘</w:t>
      </w:r>
      <w:r w:rsidR="00D74EE0">
        <w:rPr>
          <w:rFonts w:ascii="Arial" w:hAnsi="Arial" w:cs="Arial"/>
        </w:rPr>
        <w:t>n</w:t>
      </w:r>
      <w:r w:rsidR="0012092A" w:rsidRPr="00BF5A9B">
        <w:rPr>
          <w:rFonts w:ascii="Arial" w:hAnsi="Arial" w:cs="Arial"/>
        </w:rPr>
        <w:t>ominated areas’</w:t>
      </w:r>
      <w:r w:rsidR="00D74EE0">
        <w:rPr>
          <w:rFonts w:ascii="Arial" w:hAnsi="Arial" w:cs="Arial"/>
        </w:rPr>
        <w:t>. The new definition of nominated area has been included in section 3 (see item 1).</w:t>
      </w:r>
    </w:p>
    <w:p w14:paraId="147F3428" w14:textId="77777777" w:rsidR="00181FA8" w:rsidRPr="00BF5A9B" w:rsidRDefault="00181FA8" w:rsidP="00181FA8">
      <w:pPr>
        <w:spacing w:after="0" w:line="240" w:lineRule="auto"/>
        <w:rPr>
          <w:rFonts w:ascii="Arial" w:hAnsi="Arial" w:cs="Arial"/>
        </w:rPr>
      </w:pPr>
    </w:p>
    <w:p w14:paraId="5215B9B6" w14:textId="3AE00B8B" w:rsidR="00554787" w:rsidRDefault="00181FA8" w:rsidP="0012092A">
      <w:pPr>
        <w:pStyle w:val="NoSpacing"/>
        <w:rPr>
          <w:rFonts w:ascii="Arial" w:hAnsi="Arial" w:cs="Arial"/>
        </w:rPr>
      </w:pPr>
      <w:r w:rsidRPr="00BF5A9B">
        <w:rPr>
          <w:rFonts w:ascii="Arial" w:hAnsi="Arial" w:cs="Arial"/>
          <w:b/>
        </w:rPr>
        <w:t>Item [</w:t>
      </w:r>
      <w:r w:rsidR="00554787">
        <w:rPr>
          <w:rFonts w:ascii="Arial" w:hAnsi="Arial" w:cs="Arial"/>
          <w:b/>
        </w:rPr>
        <w:t>5</w:t>
      </w:r>
      <w:r w:rsidRPr="00BF5A9B">
        <w:rPr>
          <w:rFonts w:ascii="Arial" w:hAnsi="Arial" w:cs="Arial"/>
          <w:b/>
        </w:rPr>
        <w:t xml:space="preserve">] </w:t>
      </w:r>
      <w:r w:rsidR="00554787">
        <w:rPr>
          <w:rFonts w:ascii="Arial" w:hAnsi="Arial" w:cs="Arial"/>
        </w:rPr>
        <w:t xml:space="preserve">substitutes the reference to </w:t>
      </w:r>
      <w:r w:rsidR="00D74EE0">
        <w:rPr>
          <w:rFonts w:ascii="Arial" w:hAnsi="Arial" w:cs="Arial"/>
        </w:rPr>
        <w:t xml:space="preserve">‘reporting period’ </w:t>
      </w:r>
      <w:r w:rsidR="00554787">
        <w:rPr>
          <w:rFonts w:ascii="Arial" w:hAnsi="Arial" w:cs="Arial"/>
        </w:rPr>
        <w:t xml:space="preserve">in subsection 10(1) </w:t>
      </w:r>
      <w:r w:rsidR="000F0E53">
        <w:rPr>
          <w:rFonts w:ascii="Arial" w:hAnsi="Arial" w:cs="Arial"/>
        </w:rPr>
        <w:t xml:space="preserve">with </w:t>
      </w:r>
      <w:r w:rsidR="00554787">
        <w:rPr>
          <w:rFonts w:ascii="Arial" w:hAnsi="Arial" w:cs="Arial"/>
        </w:rPr>
        <w:t>‘benchmark period’.</w:t>
      </w:r>
    </w:p>
    <w:p w14:paraId="70165747" w14:textId="77777777" w:rsidR="00554787" w:rsidRDefault="00554787" w:rsidP="0012092A">
      <w:pPr>
        <w:pStyle w:val="NoSpacing"/>
        <w:rPr>
          <w:rFonts w:ascii="Arial" w:hAnsi="Arial" w:cs="Arial"/>
        </w:rPr>
      </w:pPr>
    </w:p>
    <w:p w14:paraId="390B40ED" w14:textId="681CC7EC" w:rsidR="00554787" w:rsidRDefault="00554787" w:rsidP="0012092A">
      <w:pPr>
        <w:pStyle w:val="NoSpacing"/>
        <w:rPr>
          <w:rFonts w:ascii="Arial" w:hAnsi="Arial" w:cs="Arial"/>
        </w:rPr>
      </w:pPr>
      <w:r>
        <w:rPr>
          <w:rFonts w:ascii="Arial" w:hAnsi="Arial" w:cs="Arial"/>
          <w:b/>
        </w:rPr>
        <w:t xml:space="preserve">Item [6] </w:t>
      </w:r>
      <w:r>
        <w:rPr>
          <w:rFonts w:ascii="Arial" w:hAnsi="Arial" w:cs="Arial"/>
        </w:rPr>
        <w:t xml:space="preserve">repeals </w:t>
      </w:r>
      <w:r w:rsidR="00D74EE0">
        <w:rPr>
          <w:rFonts w:ascii="Arial" w:hAnsi="Arial" w:cs="Arial"/>
        </w:rPr>
        <w:t>subsection 10(3)</w:t>
      </w:r>
      <w:r>
        <w:rPr>
          <w:rFonts w:ascii="Arial" w:hAnsi="Arial" w:cs="Arial"/>
        </w:rPr>
        <w:t xml:space="preserve"> which defined ‘reporting period’ as six monthly periods ending in June and December. As the reporting requirements are now aligned with the benchmark period (that is on a yearly basis) there is no longer a need for a separate ‘reporting period’ to be defined in the instrument. </w:t>
      </w:r>
    </w:p>
    <w:p w14:paraId="305EA84C" w14:textId="332E9E26" w:rsidR="00554787" w:rsidRDefault="00554787" w:rsidP="0012092A">
      <w:pPr>
        <w:pStyle w:val="NoSpacing"/>
        <w:rPr>
          <w:rFonts w:ascii="Arial" w:hAnsi="Arial" w:cs="Arial"/>
        </w:rPr>
      </w:pPr>
    </w:p>
    <w:p w14:paraId="6893F4BC" w14:textId="5588BB30" w:rsidR="00554787" w:rsidRDefault="00554787" w:rsidP="00181FA8">
      <w:pPr>
        <w:pStyle w:val="NoSpacing"/>
        <w:rPr>
          <w:rFonts w:ascii="Arial" w:hAnsi="Arial" w:cs="Arial"/>
        </w:rPr>
      </w:pPr>
      <w:r>
        <w:rPr>
          <w:rFonts w:ascii="Arial" w:hAnsi="Arial" w:cs="Arial"/>
          <w:b/>
        </w:rPr>
        <w:t xml:space="preserve">Item [7] </w:t>
      </w:r>
      <w:r>
        <w:rPr>
          <w:rFonts w:ascii="Arial" w:hAnsi="Arial" w:cs="Arial"/>
        </w:rPr>
        <w:t xml:space="preserve">substitutes a new subsection 11(1) which replaces references to ‘reporting period’ with ‘benchmark period’. </w:t>
      </w:r>
    </w:p>
    <w:p w14:paraId="35213205" w14:textId="77777777" w:rsidR="00554787" w:rsidRPr="007425B4" w:rsidRDefault="00554787" w:rsidP="00181FA8">
      <w:pPr>
        <w:pStyle w:val="NoSpacing"/>
        <w:rPr>
          <w:rFonts w:ascii="Arial" w:hAnsi="Arial" w:cs="Arial"/>
        </w:rPr>
      </w:pPr>
    </w:p>
    <w:p w14:paraId="39926D6A" w14:textId="389071E7" w:rsidR="00D74EE0" w:rsidRPr="001B03E3" w:rsidRDefault="00D74EE0" w:rsidP="00181FA8">
      <w:pPr>
        <w:pStyle w:val="NoSpacing"/>
        <w:rPr>
          <w:rFonts w:ascii="Arial" w:hAnsi="Arial" w:cs="Arial"/>
        </w:rPr>
      </w:pPr>
      <w:r>
        <w:rPr>
          <w:rFonts w:ascii="Arial" w:hAnsi="Arial" w:cs="Arial"/>
          <w:b/>
        </w:rPr>
        <w:t>Items [</w:t>
      </w:r>
      <w:r w:rsidR="00554787">
        <w:rPr>
          <w:rFonts w:ascii="Arial" w:hAnsi="Arial" w:cs="Arial"/>
          <w:b/>
        </w:rPr>
        <w:t>8</w:t>
      </w:r>
      <w:r>
        <w:rPr>
          <w:rFonts w:ascii="Arial" w:hAnsi="Arial" w:cs="Arial"/>
          <w:b/>
        </w:rPr>
        <w:t xml:space="preserve">] </w:t>
      </w:r>
      <w:r w:rsidR="007425B4">
        <w:rPr>
          <w:rFonts w:ascii="Arial" w:hAnsi="Arial" w:cs="Arial"/>
          <w:b/>
        </w:rPr>
        <w:t>to</w:t>
      </w:r>
      <w:r>
        <w:rPr>
          <w:rFonts w:ascii="Arial" w:hAnsi="Arial" w:cs="Arial"/>
          <w:b/>
        </w:rPr>
        <w:t xml:space="preserve"> [</w:t>
      </w:r>
      <w:r w:rsidR="00554787">
        <w:rPr>
          <w:rFonts w:ascii="Arial" w:hAnsi="Arial" w:cs="Arial"/>
          <w:b/>
        </w:rPr>
        <w:t>10</w:t>
      </w:r>
      <w:r>
        <w:rPr>
          <w:rFonts w:ascii="Arial" w:hAnsi="Arial" w:cs="Arial"/>
          <w:b/>
        </w:rPr>
        <w:t xml:space="preserve">] </w:t>
      </w:r>
      <w:r>
        <w:rPr>
          <w:rFonts w:ascii="Arial" w:hAnsi="Arial" w:cs="Arial"/>
        </w:rPr>
        <w:t>amend Schedule 1 of the Payphone</w:t>
      </w:r>
      <w:r w:rsidR="001B03E3">
        <w:rPr>
          <w:rFonts w:ascii="Arial" w:hAnsi="Arial" w:cs="Arial"/>
        </w:rPr>
        <w:t xml:space="preserve"> RKRs</w:t>
      </w:r>
      <w:r>
        <w:rPr>
          <w:rFonts w:ascii="Arial" w:hAnsi="Arial" w:cs="Arial"/>
        </w:rPr>
        <w:t xml:space="preserve">. Schedule 1 sets </w:t>
      </w:r>
      <w:r w:rsidR="00E45A62">
        <w:rPr>
          <w:rFonts w:ascii="Arial" w:hAnsi="Arial" w:cs="Arial"/>
        </w:rPr>
        <w:t>out the information that must be included in the compliance report that the PUSP is required to prepare and provide under sections 10 and 11 of the Payphone</w:t>
      </w:r>
      <w:r w:rsidR="001B03E3">
        <w:rPr>
          <w:rFonts w:ascii="Arial" w:hAnsi="Arial" w:cs="Arial"/>
        </w:rPr>
        <w:t xml:space="preserve"> RKRs</w:t>
      </w:r>
      <w:r w:rsidR="00E45A62">
        <w:rPr>
          <w:rFonts w:ascii="Arial" w:hAnsi="Arial" w:cs="Arial"/>
        </w:rPr>
        <w:t>.</w:t>
      </w:r>
    </w:p>
    <w:p w14:paraId="417C45B0" w14:textId="77777777" w:rsidR="00D74EE0" w:rsidRDefault="00D74EE0" w:rsidP="00181FA8">
      <w:pPr>
        <w:pStyle w:val="NoSpacing"/>
        <w:rPr>
          <w:rFonts w:ascii="Arial" w:hAnsi="Arial" w:cs="Arial"/>
          <w:b/>
        </w:rPr>
      </w:pPr>
    </w:p>
    <w:p w14:paraId="60445BFC" w14:textId="51D97BE1" w:rsidR="00554787" w:rsidRDefault="00181FA8" w:rsidP="00181FA8">
      <w:pPr>
        <w:pStyle w:val="NoSpacing"/>
        <w:rPr>
          <w:rFonts w:ascii="Arial" w:hAnsi="Arial" w:cs="Arial"/>
        </w:rPr>
      </w:pPr>
      <w:r w:rsidRPr="00BF5A9B">
        <w:rPr>
          <w:rFonts w:ascii="Arial" w:hAnsi="Arial" w:cs="Arial"/>
          <w:b/>
        </w:rPr>
        <w:t>Item [</w:t>
      </w:r>
      <w:r w:rsidR="00554787">
        <w:rPr>
          <w:rFonts w:ascii="Arial" w:hAnsi="Arial" w:cs="Arial"/>
          <w:b/>
        </w:rPr>
        <w:t>8</w:t>
      </w:r>
      <w:r w:rsidRPr="00BF5A9B">
        <w:rPr>
          <w:rFonts w:ascii="Arial" w:hAnsi="Arial" w:cs="Arial"/>
          <w:b/>
        </w:rPr>
        <w:t>]</w:t>
      </w:r>
      <w:r w:rsidRPr="00BF5A9B">
        <w:rPr>
          <w:rFonts w:ascii="Arial" w:hAnsi="Arial" w:cs="Arial"/>
        </w:rPr>
        <w:t xml:space="preserve"> </w:t>
      </w:r>
      <w:r w:rsidR="00554787">
        <w:rPr>
          <w:rFonts w:ascii="Arial" w:hAnsi="Arial" w:cs="Arial"/>
        </w:rPr>
        <w:t xml:space="preserve">substitutes a new item 1 of Schedule 1 which omits references to ‘reporting period’. </w:t>
      </w:r>
    </w:p>
    <w:p w14:paraId="490E53EB" w14:textId="77777777" w:rsidR="00554787" w:rsidRDefault="00554787" w:rsidP="00181FA8">
      <w:pPr>
        <w:pStyle w:val="NoSpacing"/>
        <w:rPr>
          <w:rFonts w:ascii="Arial" w:hAnsi="Arial" w:cs="Arial"/>
        </w:rPr>
      </w:pPr>
    </w:p>
    <w:p w14:paraId="58459A0F" w14:textId="3019A49D" w:rsidR="002E276A" w:rsidRDefault="00554787" w:rsidP="00181FA8">
      <w:pPr>
        <w:pStyle w:val="NoSpacing"/>
        <w:rPr>
          <w:rFonts w:ascii="Arial" w:hAnsi="Arial" w:cs="Arial"/>
        </w:rPr>
      </w:pPr>
      <w:r>
        <w:rPr>
          <w:rFonts w:ascii="Arial" w:hAnsi="Arial" w:cs="Arial"/>
          <w:b/>
        </w:rPr>
        <w:t xml:space="preserve">Item [9] </w:t>
      </w:r>
      <w:r w:rsidR="002E276A">
        <w:rPr>
          <w:rFonts w:ascii="Arial" w:hAnsi="Arial" w:cs="Arial"/>
        </w:rPr>
        <w:t>substitutes a new item 2 of Schedule 1. The main changes to item 2 are to:</w:t>
      </w:r>
    </w:p>
    <w:p w14:paraId="50D9A9E6" w14:textId="7041D84A" w:rsidR="002B3AE0" w:rsidRDefault="00051B0B" w:rsidP="007425B4">
      <w:pPr>
        <w:pStyle w:val="NoSpacing"/>
        <w:numPr>
          <w:ilvl w:val="0"/>
          <w:numId w:val="38"/>
        </w:numPr>
        <w:rPr>
          <w:rFonts w:ascii="Arial" w:hAnsi="Arial" w:cs="Arial"/>
        </w:rPr>
      </w:pPr>
      <w:proofErr w:type="gramStart"/>
      <w:r>
        <w:rPr>
          <w:rFonts w:ascii="Arial" w:hAnsi="Arial" w:cs="Arial"/>
        </w:rPr>
        <w:t>r</w:t>
      </w:r>
      <w:r w:rsidR="002E276A">
        <w:rPr>
          <w:rFonts w:ascii="Arial" w:hAnsi="Arial" w:cs="Arial"/>
        </w:rPr>
        <w:t>eplace</w:t>
      </w:r>
      <w:proofErr w:type="gramEnd"/>
      <w:r w:rsidR="002E276A">
        <w:rPr>
          <w:rFonts w:ascii="Arial" w:hAnsi="Arial" w:cs="Arial"/>
        </w:rPr>
        <w:t xml:space="preserve"> references to ‘quarter</w:t>
      </w:r>
      <w:r w:rsidR="00D94A26">
        <w:rPr>
          <w:rFonts w:ascii="Arial" w:hAnsi="Arial" w:cs="Arial"/>
        </w:rPr>
        <w:t xml:space="preserve">’ with ‘benchmark period’. </w:t>
      </w:r>
      <w:r w:rsidR="00D94A26" w:rsidRPr="00BF5A9B">
        <w:rPr>
          <w:rFonts w:ascii="Arial" w:hAnsi="Arial" w:cs="Arial"/>
        </w:rPr>
        <w:t xml:space="preserve">This </w:t>
      </w:r>
      <w:r w:rsidR="00D94A26">
        <w:rPr>
          <w:rFonts w:ascii="Arial" w:hAnsi="Arial" w:cs="Arial"/>
        </w:rPr>
        <w:t>has the effect of removing the requirement for the PUSP to provide the relevant information in the compliance report on a quarterly basis, instead only requiring it to include information for the whole benchmark period</w:t>
      </w:r>
      <w:r w:rsidR="002B3AE0">
        <w:rPr>
          <w:rFonts w:ascii="Arial" w:hAnsi="Arial" w:cs="Arial"/>
        </w:rPr>
        <w:t>;</w:t>
      </w:r>
      <w:r w:rsidR="007316B7">
        <w:rPr>
          <w:rFonts w:ascii="Arial" w:hAnsi="Arial" w:cs="Arial"/>
        </w:rPr>
        <w:t xml:space="preserve"> and</w:t>
      </w:r>
    </w:p>
    <w:p w14:paraId="33B7E003" w14:textId="215B50E7" w:rsidR="002E276A" w:rsidRPr="007425B4" w:rsidRDefault="002B3AE0" w:rsidP="007425B4">
      <w:pPr>
        <w:pStyle w:val="NoSpacing"/>
        <w:numPr>
          <w:ilvl w:val="0"/>
          <w:numId w:val="38"/>
        </w:numPr>
        <w:rPr>
          <w:rFonts w:ascii="Arial" w:hAnsi="Arial" w:cs="Arial"/>
        </w:rPr>
      </w:pPr>
      <w:proofErr w:type="gramStart"/>
      <w:r w:rsidRPr="00BF5A9B">
        <w:rPr>
          <w:rFonts w:ascii="Arial" w:hAnsi="Arial" w:cs="Arial"/>
        </w:rPr>
        <w:t>amend</w:t>
      </w:r>
      <w:proofErr w:type="gramEnd"/>
      <w:r w:rsidRPr="00BF5A9B">
        <w:rPr>
          <w:rFonts w:ascii="Arial" w:hAnsi="Arial" w:cs="Arial"/>
        </w:rPr>
        <w:t xml:space="preserve"> the wording in sub</w:t>
      </w:r>
      <w:r>
        <w:rPr>
          <w:rFonts w:ascii="Arial" w:hAnsi="Arial" w:cs="Arial"/>
        </w:rPr>
        <w:t>-</w:t>
      </w:r>
      <w:r w:rsidRPr="00BF5A9B">
        <w:rPr>
          <w:rFonts w:ascii="Arial" w:hAnsi="Arial" w:cs="Arial"/>
        </w:rPr>
        <w:t>item 2(2)</w:t>
      </w:r>
      <w:r>
        <w:rPr>
          <w:rFonts w:ascii="Arial" w:hAnsi="Arial" w:cs="Arial"/>
        </w:rPr>
        <w:t xml:space="preserve"> to be consistent with the change in the meaning of ‘nominated area’</w:t>
      </w:r>
      <w:r w:rsidRPr="00BF5A9B">
        <w:rPr>
          <w:rFonts w:ascii="Arial" w:hAnsi="Arial" w:cs="Arial"/>
        </w:rPr>
        <w:t xml:space="preserve"> </w:t>
      </w:r>
      <w:r>
        <w:rPr>
          <w:rFonts w:ascii="Arial" w:hAnsi="Arial" w:cs="Arial"/>
        </w:rPr>
        <w:t>as described at item 1. As ‘nominated area’ now refers to the whole of Australia, sub-item 2(2) requires the compliance report to include the information set out at sub-item 2(1) for the whole nominated area, as well as for the remote, rural and urban areas (as defined in the Payphone Benchmarks) within the nominated area.</w:t>
      </w:r>
    </w:p>
    <w:p w14:paraId="439C5353" w14:textId="77777777" w:rsidR="002E276A" w:rsidRDefault="002E276A" w:rsidP="00181FA8">
      <w:pPr>
        <w:pStyle w:val="NoSpacing"/>
        <w:rPr>
          <w:rFonts w:ascii="Arial" w:hAnsi="Arial" w:cs="Arial"/>
          <w:b/>
        </w:rPr>
      </w:pPr>
    </w:p>
    <w:p w14:paraId="7302ABFB" w14:textId="6E5AE1BB" w:rsidR="00181FA8" w:rsidRPr="00BF5A9B" w:rsidRDefault="002E276A" w:rsidP="00181FA8">
      <w:pPr>
        <w:pStyle w:val="NoSpacing"/>
        <w:rPr>
          <w:rFonts w:ascii="Arial" w:hAnsi="Arial" w:cs="Arial"/>
        </w:rPr>
      </w:pPr>
      <w:r w:rsidRPr="007425B4">
        <w:rPr>
          <w:rFonts w:ascii="Arial" w:hAnsi="Arial" w:cs="Arial"/>
          <w:b/>
        </w:rPr>
        <w:t xml:space="preserve">Item [10] </w:t>
      </w:r>
      <w:r w:rsidR="008E77A5" w:rsidRPr="00BF5A9B">
        <w:rPr>
          <w:rFonts w:ascii="Arial" w:hAnsi="Arial" w:cs="Arial"/>
        </w:rPr>
        <w:t>amends</w:t>
      </w:r>
      <w:r w:rsidR="008E77A5" w:rsidRPr="00BF5A9B">
        <w:rPr>
          <w:rFonts w:ascii="Arial" w:hAnsi="Arial" w:cs="Arial"/>
          <w:b/>
        </w:rPr>
        <w:t xml:space="preserve"> </w:t>
      </w:r>
      <w:r w:rsidR="00E45A62">
        <w:rPr>
          <w:rFonts w:ascii="Arial" w:hAnsi="Arial" w:cs="Arial"/>
        </w:rPr>
        <w:t xml:space="preserve">item 3 of </w:t>
      </w:r>
      <w:r w:rsidR="008E77A5" w:rsidRPr="00BF5A9B">
        <w:rPr>
          <w:rFonts w:ascii="Arial" w:hAnsi="Arial" w:cs="Arial"/>
        </w:rPr>
        <w:t>Schedule 1</w:t>
      </w:r>
      <w:r w:rsidR="00E45A62">
        <w:rPr>
          <w:rFonts w:ascii="Arial" w:hAnsi="Arial" w:cs="Arial"/>
        </w:rPr>
        <w:t xml:space="preserve"> </w:t>
      </w:r>
      <w:r w:rsidR="008E77A5" w:rsidRPr="00BF5A9B">
        <w:rPr>
          <w:rFonts w:ascii="Arial" w:hAnsi="Arial" w:cs="Arial"/>
        </w:rPr>
        <w:t>to remove the reference to a ‘quarter’ and substitute ‘</w:t>
      </w:r>
      <w:r w:rsidR="002B3AE0">
        <w:rPr>
          <w:rFonts w:ascii="Arial" w:hAnsi="Arial" w:cs="Arial"/>
        </w:rPr>
        <w:t>benchmark</w:t>
      </w:r>
      <w:r w:rsidR="002B3AE0" w:rsidRPr="00BF5A9B">
        <w:rPr>
          <w:rFonts w:ascii="Arial" w:hAnsi="Arial" w:cs="Arial"/>
        </w:rPr>
        <w:t xml:space="preserve"> </w:t>
      </w:r>
      <w:r w:rsidR="008E77A5" w:rsidRPr="00BF5A9B">
        <w:rPr>
          <w:rFonts w:ascii="Arial" w:hAnsi="Arial" w:cs="Arial"/>
        </w:rPr>
        <w:t>period’</w:t>
      </w:r>
      <w:r w:rsidR="00741CA2">
        <w:rPr>
          <w:rFonts w:ascii="Arial" w:hAnsi="Arial" w:cs="Arial"/>
        </w:rPr>
        <w:t>,</w:t>
      </w:r>
      <w:r w:rsidR="008E77A5" w:rsidRPr="00BF5A9B">
        <w:rPr>
          <w:rFonts w:ascii="Arial" w:hAnsi="Arial" w:cs="Arial"/>
        </w:rPr>
        <w:t xml:space="preserve"> wherever occurring. </w:t>
      </w:r>
    </w:p>
    <w:p w14:paraId="488CC3BB" w14:textId="77777777" w:rsidR="00181FA8" w:rsidRPr="00BF5A9B" w:rsidRDefault="00181FA8" w:rsidP="00181FA8">
      <w:pPr>
        <w:pStyle w:val="NoSpacing"/>
        <w:rPr>
          <w:rFonts w:ascii="Arial" w:hAnsi="Arial" w:cs="Arial"/>
        </w:rPr>
      </w:pPr>
    </w:p>
    <w:p w14:paraId="72D28495" w14:textId="2F92BA72" w:rsidR="00FA4334" w:rsidRPr="000471DC" w:rsidRDefault="00FA4334" w:rsidP="00181FA8">
      <w:pPr>
        <w:rPr>
          <w:rFonts w:ascii="Arial" w:hAnsi="Arial" w:cs="Arial"/>
        </w:rPr>
      </w:pPr>
    </w:p>
    <w:p w14:paraId="5593882B" w14:textId="3D87F851" w:rsidR="00E45A62" w:rsidRPr="001B03E3" w:rsidRDefault="00E45A62" w:rsidP="0012092A">
      <w:pPr>
        <w:rPr>
          <w:rFonts w:ascii="Arial" w:hAnsi="Arial" w:cs="Arial"/>
        </w:rPr>
      </w:pPr>
      <w:r>
        <w:rPr>
          <w:rFonts w:ascii="Arial" w:hAnsi="Arial" w:cs="Arial"/>
          <w:b/>
        </w:rPr>
        <w:lastRenderedPageBreak/>
        <w:t xml:space="preserve">Items </w:t>
      </w:r>
      <w:r w:rsidR="00F356B6">
        <w:rPr>
          <w:rFonts w:ascii="Arial" w:hAnsi="Arial" w:cs="Arial"/>
          <w:b/>
        </w:rPr>
        <w:t>[</w:t>
      </w:r>
      <w:r w:rsidR="002B3AE0">
        <w:rPr>
          <w:rFonts w:ascii="Arial" w:hAnsi="Arial" w:cs="Arial"/>
          <w:b/>
        </w:rPr>
        <w:t>11</w:t>
      </w:r>
      <w:r>
        <w:rPr>
          <w:rFonts w:ascii="Arial" w:hAnsi="Arial" w:cs="Arial"/>
          <w:b/>
        </w:rPr>
        <w:t>] – [1</w:t>
      </w:r>
      <w:r w:rsidR="002B3AE0">
        <w:rPr>
          <w:rFonts w:ascii="Arial" w:hAnsi="Arial" w:cs="Arial"/>
          <w:b/>
        </w:rPr>
        <w:t>6</w:t>
      </w:r>
      <w:r>
        <w:rPr>
          <w:rFonts w:ascii="Arial" w:hAnsi="Arial" w:cs="Arial"/>
          <w:b/>
        </w:rPr>
        <w:t xml:space="preserve">] </w:t>
      </w:r>
      <w:r>
        <w:rPr>
          <w:rFonts w:ascii="Arial" w:hAnsi="Arial" w:cs="Arial"/>
        </w:rPr>
        <w:t>amend Schedule 2 of the Payphone</w:t>
      </w:r>
      <w:r w:rsidR="001B03E3">
        <w:rPr>
          <w:rFonts w:ascii="Arial" w:hAnsi="Arial" w:cs="Arial"/>
        </w:rPr>
        <w:t xml:space="preserve"> RKRs</w:t>
      </w:r>
      <w:r>
        <w:rPr>
          <w:rFonts w:ascii="Arial" w:hAnsi="Arial" w:cs="Arial"/>
        </w:rPr>
        <w:t>. Schedule 2 sets out the required form of the compliance reports that the PUSP is required to prepare and provide under sections 10 and 11 of the Payphone</w:t>
      </w:r>
      <w:r w:rsidR="001B03E3">
        <w:rPr>
          <w:rFonts w:ascii="Arial" w:hAnsi="Arial" w:cs="Arial"/>
        </w:rPr>
        <w:t xml:space="preserve"> RKRs</w:t>
      </w:r>
      <w:r>
        <w:rPr>
          <w:rFonts w:ascii="Arial" w:hAnsi="Arial" w:cs="Arial"/>
        </w:rPr>
        <w:t>.</w:t>
      </w:r>
    </w:p>
    <w:p w14:paraId="11528CA3" w14:textId="244E1079" w:rsidR="0012092A" w:rsidRPr="000471DC" w:rsidRDefault="0012092A" w:rsidP="0012092A">
      <w:pPr>
        <w:rPr>
          <w:rFonts w:ascii="Arial" w:hAnsi="Arial" w:cs="Arial"/>
        </w:rPr>
      </w:pPr>
      <w:r w:rsidRPr="000471DC">
        <w:rPr>
          <w:rFonts w:ascii="Arial" w:hAnsi="Arial" w:cs="Arial"/>
          <w:b/>
        </w:rPr>
        <w:t xml:space="preserve">Item </w:t>
      </w:r>
      <w:r w:rsidR="00F356B6">
        <w:rPr>
          <w:rFonts w:ascii="Arial" w:hAnsi="Arial" w:cs="Arial"/>
          <w:b/>
        </w:rPr>
        <w:t>[</w:t>
      </w:r>
      <w:r w:rsidR="002B3AE0">
        <w:rPr>
          <w:rFonts w:ascii="Arial" w:hAnsi="Arial" w:cs="Arial"/>
          <w:b/>
        </w:rPr>
        <w:t>11</w:t>
      </w:r>
      <w:r w:rsidRPr="000471DC">
        <w:rPr>
          <w:rFonts w:ascii="Arial" w:hAnsi="Arial" w:cs="Arial"/>
          <w:b/>
        </w:rPr>
        <w:t xml:space="preserve">] </w:t>
      </w:r>
      <w:r w:rsidR="000471DC" w:rsidRPr="000471DC">
        <w:rPr>
          <w:rFonts w:ascii="Arial" w:hAnsi="Arial" w:cs="Arial"/>
        </w:rPr>
        <w:t xml:space="preserve">deletes the second dot point </w:t>
      </w:r>
      <w:r w:rsidR="00E45A62">
        <w:rPr>
          <w:rFonts w:ascii="Arial" w:hAnsi="Arial" w:cs="Arial"/>
        </w:rPr>
        <w:t xml:space="preserve">from </w:t>
      </w:r>
      <w:r w:rsidR="000471DC" w:rsidRPr="000471DC">
        <w:rPr>
          <w:rFonts w:ascii="Arial" w:hAnsi="Arial" w:cs="Arial"/>
        </w:rPr>
        <w:t xml:space="preserve">Schedule 2 </w:t>
      </w:r>
      <w:r w:rsidR="00E45A62">
        <w:rPr>
          <w:rFonts w:ascii="Arial" w:hAnsi="Arial" w:cs="Arial"/>
        </w:rPr>
        <w:t xml:space="preserve">to remove references to the </w:t>
      </w:r>
      <w:r w:rsidR="000471DC" w:rsidRPr="000471DC">
        <w:rPr>
          <w:rFonts w:ascii="Arial" w:hAnsi="Arial" w:cs="Arial"/>
        </w:rPr>
        <w:t>end dates of relevant quarters.</w:t>
      </w:r>
      <w:r w:rsidRPr="000471DC">
        <w:rPr>
          <w:rFonts w:ascii="Arial" w:hAnsi="Arial" w:cs="Arial"/>
        </w:rPr>
        <w:t xml:space="preserve"> </w:t>
      </w:r>
    </w:p>
    <w:p w14:paraId="42B71315" w14:textId="6E86ABD7" w:rsidR="00EA61D8" w:rsidRPr="007425B4" w:rsidRDefault="00EA61D8" w:rsidP="0012092A">
      <w:pPr>
        <w:rPr>
          <w:rFonts w:ascii="Arial" w:hAnsi="Arial" w:cs="Arial"/>
        </w:rPr>
      </w:pPr>
      <w:r>
        <w:rPr>
          <w:rFonts w:ascii="Arial" w:hAnsi="Arial" w:cs="Arial"/>
          <w:b/>
        </w:rPr>
        <w:t xml:space="preserve">Item [12] </w:t>
      </w:r>
      <w:r>
        <w:rPr>
          <w:rFonts w:ascii="Arial" w:hAnsi="Arial" w:cs="Arial"/>
        </w:rPr>
        <w:t>substitutes a new Table 1 of Schedule 2 (including the heading and note) with a new table 1 which does not contain references to the ‘reporting period’.</w:t>
      </w:r>
    </w:p>
    <w:p w14:paraId="72CBC054" w14:textId="39B49F5C" w:rsidR="000D1BE7" w:rsidRDefault="0012092A" w:rsidP="0012092A">
      <w:pPr>
        <w:rPr>
          <w:rFonts w:ascii="Arial" w:hAnsi="Arial" w:cs="Arial"/>
        </w:rPr>
      </w:pPr>
      <w:r w:rsidRPr="000471DC">
        <w:rPr>
          <w:rFonts w:ascii="Arial" w:hAnsi="Arial" w:cs="Arial"/>
          <w:b/>
        </w:rPr>
        <w:t>Item [</w:t>
      </w:r>
      <w:r w:rsidR="002B3AE0">
        <w:rPr>
          <w:rFonts w:ascii="Arial" w:hAnsi="Arial" w:cs="Arial"/>
          <w:b/>
        </w:rPr>
        <w:t>1</w:t>
      </w:r>
      <w:r w:rsidR="00EA61D8">
        <w:rPr>
          <w:rFonts w:ascii="Arial" w:hAnsi="Arial" w:cs="Arial"/>
          <w:b/>
        </w:rPr>
        <w:t>3</w:t>
      </w:r>
      <w:r w:rsidRPr="000471DC">
        <w:rPr>
          <w:rFonts w:ascii="Arial" w:hAnsi="Arial" w:cs="Arial"/>
          <w:b/>
        </w:rPr>
        <w:t xml:space="preserve">] </w:t>
      </w:r>
      <w:r w:rsidR="002B3AE0">
        <w:rPr>
          <w:rFonts w:ascii="Arial" w:hAnsi="Arial" w:cs="Arial"/>
        </w:rPr>
        <w:t xml:space="preserve">substitutes a new Table </w:t>
      </w:r>
      <w:r w:rsidR="00EA61D8">
        <w:rPr>
          <w:rFonts w:ascii="Arial" w:hAnsi="Arial" w:cs="Arial"/>
        </w:rPr>
        <w:t>2</w:t>
      </w:r>
      <w:r w:rsidR="002B3AE0">
        <w:rPr>
          <w:rFonts w:ascii="Arial" w:hAnsi="Arial" w:cs="Arial"/>
        </w:rPr>
        <w:t xml:space="preserve"> of Schedule 2 which </w:t>
      </w:r>
      <w:r w:rsidR="00EA61D8">
        <w:rPr>
          <w:rFonts w:ascii="Arial" w:hAnsi="Arial" w:cs="Arial"/>
        </w:rPr>
        <w:t>does not include</w:t>
      </w:r>
      <w:r w:rsidR="000471DC" w:rsidRPr="000471DC">
        <w:rPr>
          <w:rFonts w:ascii="Arial" w:hAnsi="Arial" w:cs="Arial"/>
        </w:rPr>
        <w:t xml:space="preserve"> </w:t>
      </w:r>
      <w:r w:rsidR="00AB2E87">
        <w:rPr>
          <w:rFonts w:ascii="Arial" w:hAnsi="Arial" w:cs="Arial"/>
        </w:rPr>
        <w:t xml:space="preserve">references to reports being </w:t>
      </w:r>
      <w:r w:rsidR="000471DC" w:rsidRPr="000471DC">
        <w:rPr>
          <w:rFonts w:ascii="Arial" w:hAnsi="Arial" w:cs="Arial"/>
        </w:rPr>
        <w:t xml:space="preserve">by quarters and also </w:t>
      </w:r>
      <w:r w:rsidR="00AB2E87">
        <w:rPr>
          <w:rFonts w:ascii="Arial" w:hAnsi="Arial" w:cs="Arial"/>
        </w:rPr>
        <w:t xml:space="preserve">to remove the requirement for information to be provided </w:t>
      </w:r>
      <w:r w:rsidR="000471DC" w:rsidRPr="000471DC">
        <w:rPr>
          <w:rFonts w:ascii="Arial" w:hAnsi="Arial" w:cs="Arial"/>
        </w:rPr>
        <w:t>by State/</w:t>
      </w:r>
      <w:r w:rsidR="009A1BEE">
        <w:rPr>
          <w:rFonts w:ascii="Arial" w:hAnsi="Arial" w:cs="Arial"/>
        </w:rPr>
        <w:t>T</w:t>
      </w:r>
      <w:r w:rsidR="000471DC" w:rsidRPr="000471DC">
        <w:rPr>
          <w:rFonts w:ascii="Arial" w:hAnsi="Arial" w:cs="Arial"/>
        </w:rPr>
        <w:t xml:space="preserve">erritory location. This table provides compliance data to assess </w:t>
      </w:r>
      <w:r w:rsidR="000D1BE7">
        <w:rPr>
          <w:rFonts w:ascii="Arial" w:hAnsi="Arial" w:cs="Arial"/>
        </w:rPr>
        <w:t xml:space="preserve">PUSP </w:t>
      </w:r>
      <w:r w:rsidR="000471DC" w:rsidRPr="000471DC">
        <w:rPr>
          <w:rFonts w:ascii="Arial" w:hAnsi="Arial" w:cs="Arial"/>
        </w:rPr>
        <w:t xml:space="preserve">performance relating to </w:t>
      </w:r>
      <w:r w:rsidR="000D1BE7">
        <w:rPr>
          <w:rFonts w:ascii="Arial" w:hAnsi="Arial" w:cs="Arial"/>
        </w:rPr>
        <w:t xml:space="preserve">payphone </w:t>
      </w:r>
      <w:r w:rsidR="000471DC" w:rsidRPr="000471DC">
        <w:rPr>
          <w:rFonts w:ascii="Arial" w:hAnsi="Arial" w:cs="Arial"/>
        </w:rPr>
        <w:t>‘</w:t>
      </w:r>
      <w:r w:rsidR="000D1BE7">
        <w:rPr>
          <w:rFonts w:ascii="Arial" w:hAnsi="Arial" w:cs="Arial"/>
        </w:rPr>
        <w:t>faults or service difficulties’</w:t>
      </w:r>
      <w:r w:rsidR="00AB2E87">
        <w:rPr>
          <w:rFonts w:ascii="Arial" w:hAnsi="Arial" w:cs="Arial"/>
        </w:rPr>
        <w:t xml:space="preserve"> requirements under the Payphone Benchmarks</w:t>
      </w:r>
      <w:r w:rsidR="000471DC" w:rsidRPr="000471DC">
        <w:rPr>
          <w:rFonts w:ascii="Arial" w:hAnsi="Arial" w:cs="Arial"/>
        </w:rPr>
        <w:t xml:space="preserve">. </w:t>
      </w:r>
    </w:p>
    <w:p w14:paraId="67131595" w14:textId="61526AD4" w:rsidR="000D1BE7" w:rsidRPr="00BF5A9B" w:rsidRDefault="0012092A" w:rsidP="000D1BE7">
      <w:pPr>
        <w:rPr>
          <w:rFonts w:ascii="Arial" w:hAnsi="Arial" w:cs="Arial"/>
        </w:rPr>
      </w:pPr>
      <w:r w:rsidRPr="00BF5A9B">
        <w:rPr>
          <w:rFonts w:ascii="Arial" w:hAnsi="Arial" w:cs="Arial"/>
          <w:b/>
        </w:rPr>
        <w:t>Item [</w:t>
      </w:r>
      <w:r w:rsidR="00566580">
        <w:rPr>
          <w:rFonts w:ascii="Arial" w:hAnsi="Arial" w:cs="Arial"/>
          <w:b/>
        </w:rPr>
        <w:t>14</w:t>
      </w:r>
      <w:r w:rsidRPr="00BF5A9B">
        <w:rPr>
          <w:rFonts w:ascii="Arial" w:hAnsi="Arial" w:cs="Arial"/>
          <w:b/>
        </w:rPr>
        <w:t xml:space="preserve">] </w:t>
      </w:r>
      <w:r w:rsidR="000D1BE7" w:rsidRPr="00BF5A9B">
        <w:rPr>
          <w:rFonts w:ascii="Arial" w:hAnsi="Arial" w:cs="Arial"/>
        </w:rPr>
        <w:t xml:space="preserve">deletes Note 2 </w:t>
      </w:r>
      <w:r w:rsidR="00D76496">
        <w:rPr>
          <w:rFonts w:ascii="Arial" w:hAnsi="Arial" w:cs="Arial"/>
        </w:rPr>
        <w:t>to</w:t>
      </w:r>
      <w:r w:rsidR="00D76496" w:rsidRPr="00BF5A9B">
        <w:rPr>
          <w:rFonts w:ascii="Arial" w:hAnsi="Arial" w:cs="Arial"/>
        </w:rPr>
        <w:t xml:space="preserve"> </w:t>
      </w:r>
      <w:r w:rsidR="00AB2E87">
        <w:rPr>
          <w:rFonts w:ascii="Arial" w:hAnsi="Arial" w:cs="Arial"/>
        </w:rPr>
        <w:t xml:space="preserve">Table 2 in </w:t>
      </w:r>
      <w:r w:rsidR="000D1BE7" w:rsidRPr="00BF5A9B">
        <w:rPr>
          <w:rFonts w:ascii="Arial" w:hAnsi="Arial" w:cs="Arial"/>
        </w:rPr>
        <w:t>Schedule 2</w:t>
      </w:r>
      <w:r w:rsidR="00AB2E87">
        <w:rPr>
          <w:rFonts w:ascii="Arial" w:hAnsi="Arial" w:cs="Arial"/>
        </w:rPr>
        <w:t xml:space="preserve"> </w:t>
      </w:r>
      <w:r w:rsidR="000D1BE7" w:rsidRPr="00BF5A9B">
        <w:rPr>
          <w:rFonts w:ascii="Arial" w:hAnsi="Arial" w:cs="Arial"/>
        </w:rPr>
        <w:t>which refer</w:t>
      </w:r>
      <w:r w:rsidR="00AB2E87">
        <w:rPr>
          <w:rFonts w:ascii="Arial" w:hAnsi="Arial" w:cs="Arial"/>
        </w:rPr>
        <w:t>red</w:t>
      </w:r>
      <w:r w:rsidR="000D1BE7" w:rsidRPr="00BF5A9B">
        <w:rPr>
          <w:rFonts w:ascii="Arial" w:hAnsi="Arial" w:cs="Arial"/>
        </w:rPr>
        <w:t xml:space="preserve"> to report</w:t>
      </w:r>
      <w:r w:rsidR="00BD66C3" w:rsidRPr="00BF5A9B">
        <w:rPr>
          <w:rFonts w:ascii="Arial" w:hAnsi="Arial" w:cs="Arial"/>
        </w:rPr>
        <w:t>s</w:t>
      </w:r>
      <w:r w:rsidR="000D1BE7" w:rsidRPr="00BF5A9B">
        <w:rPr>
          <w:rFonts w:ascii="Arial" w:hAnsi="Arial" w:cs="Arial"/>
        </w:rPr>
        <w:t xml:space="preserve"> </w:t>
      </w:r>
      <w:r w:rsidR="00AB2E87">
        <w:rPr>
          <w:rFonts w:ascii="Arial" w:hAnsi="Arial" w:cs="Arial"/>
        </w:rPr>
        <w:t xml:space="preserve">being </w:t>
      </w:r>
      <w:r w:rsidR="00BD66C3" w:rsidRPr="00BF5A9B">
        <w:rPr>
          <w:rFonts w:ascii="Arial" w:hAnsi="Arial" w:cs="Arial"/>
        </w:rPr>
        <w:t xml:space="preserve">provided </w:t>
      </w:r>
      <w:r w:rsidR="00D76496">
        <w:rPr>
          <w:rFonts w:ascii="Arial" w:hAnsi="Arial" w:cs="Arial"/>
        </w:rPr>
        <w:t>quarterly</w:t>
      </w:r>
      <w:r w:rsidR="000D1BE7" w:rsidRPr="00BF5A9B">
        <w:rPr>
          <w:rFonts w:ascii="Arial" w:hAnsi="Arial" w:cs="Arial"/>
        </w:rPr>
        <w:t xml:space="preserve">. </w:t>
      </w:r>
    </w:p>
    <w:p w14:paraId="3DDAD9EA" w14:textId="3EA8A632" w:rsidR="00BD66C3" w:rsidRPr="00BF5A9B" w:rsidRDefault="0012092A" w:rsidP="0012092A">
      <w:pPr>
        <w:rPr>
          <w:rFonts w:ascii="Arial" w:hAnsi="Arial" w:cs="Arial"/>
        </w:rPr>
      </w:pPr>
      <w:r w:rsidRPr="00BF5A9B">
        <w:rPr>
          <w:rFonts w:ascii="Arial" w:hAnsi="Arial" w:cs="Arial"/>
          <w:b/>
        </w:rPr>
        <w:t>Item [1</w:t>
      </w:r>
      <w:r w:rsidR="00566580">
        <w:rPr>
          <w:rFonts w:ascii="Arial" w:hAnsi="Arial" w:cs="Arial"/>
          <w:b/>
        </w:rPr>
        <w:t>5</w:t>
      </w:r>
      <w:r w:rsidRPr="00BF5A9B">
        <w:rPr>
          <w:rFonts w:ascii="Arial" w:hAnsi="Arial" w:cs="Arial"/>
          <w:b/>
        </w:rPr>
        <w:t xml:space="preserve">] </w:t>
      </w:r>
      <w:r w:rsidR="000D1BE7" w:rsidRPr="00BF5A9B">
        <w:rPr>
          <w:rFonts w:ascii="Arial" w:hAnsi="Arial" w:cs="Arial"/>
        </w:rPr>
        <w:t xml:space="preserve">amends Table 3 </w:t>
      </w:r>
      <w:r w:rsidR="00AB2E87">
        <w:rPr>
          <w:rFonts w:ascii="Arial" w:hAnsi="Arial" w:cs="Arial"/>
        </w:rPr>
        <w:t xml:space="preserve">in Schedule 2 </w:t>
      </w:r>
      <w:r w:rsidR="000D1BE7" w:rsidRPr="00BF5A9B">
        <w:rPr>
          <w:rFonts w:ascii="Arial" w:hAnsi="Arial" w:cs="Arial"/>
        </w:rPr>
        <w:t xml:space="preserve">to </w:t>
      </w:r>
      <w:r w:rsidR="00566580">
        <w:rPr>
          <w:rFonts w:ascii="Arial" w:hAnsi="Arial" w:cs="Arial"/>
        </w:rPr>
        <w:t>substitute</w:t>
      </w:r>
      <w:r w:rsidR="00566580" w:rsidRPr="00BF5A9B">
        <w:rPr>
          <w:rFonts w:ascii="Arial" w:hAnsi="Arial" w:cs="Arial"/>
        </w:rPr>
        <w:t xml:space="preserve"> </w:t>
      </w:r>
      <w:r w:rsidR="000D1BE7" w:rsidRPr="00BF5A9B">
        <w:rPr>
          <w:rFonts w:ascii="Arial" w:hAnsi="Arial" w:cs="Arial"/>
        </w:rPr>
        <w:t xml:space="preserve">the reference to </w:t>
      </w:r>
      <w:r w:rsidR="00566580">
        <w:rPr>
          <w:rFonts w:ascii="Arial" w:hAnsi="Arial" w:cs="Arial"/>
        </w:rPr>
        <w:t>‘</w:t>
      </w:r>
      <w:r w:rsidR="000D1BE7" w:rsidRPr="00BF5A9B">
        <w:rPr>
          <w:rFonts w:ascii="Arial" w:hAnsi="Arial" w:cs="Arial"/>
        </w:rPr>
        <w:t>quarter</w:t>
      </w:r>
      <w:r w:rsidR="00566580">
        <w:rPr>
          <w:rFonts w:ascii="Arial" w:hAnsi="Arial" w:cs="Arial"/>
        </w:rPr>
        <w:t>’ with ‘benchmark period’ to remove the requirement to provide quarterly reports</w:t>
      </w:r>
      <w:r w:rsidR="000D1BE7" w:rsidRPr="00BF5A9B">
        <w:rPr>
          <w:rFonts w:ascii="Arial" w:hAnsi="Arial" w:cs="Arial"/>
        </w:rPr>
        <w:t xml:space="preserve">. This table provides compliance information to assess </w:t>
      </w:r>
      <w:r w:rsidR="00BD66C3" w:rsidRPr="00BF5A9B">
        <w:rPr>
          <w:rFonts w:ascii="Arial" w:hAnsi="Arial" w:cs="Arial"/>
        </w:rPr>
        <w:t xml:space="preserve">whether the </w:t>
      </w:r>
      <w:r w:rsidR="000D1BE7" w:rsidRPr="00BF5A9B">
        <w:rPr>
          <w:rFonts w:ascii="Arial" w:hAnsi="Arial" w:cs="Arial"/>
        </w:rPr>
        <w:t xml:space="preserve">PUSP </w:t>
      </w:r>
      <w:r w:rsidR="00BD66C3" w:rsidRPr="00BF5A9B">
        <w:rPr>
          <w:rFonts w:ascii="Arial" w:hAnsi="Arial" w:cs="Arial"/>
        </w:rPr>
        <w:t xml:space="preserve">has relevant </w:t>
      </w:r>
      <w:r w:rsidR="008B4736" w:rsidRPr="00BF5A9B">
        <w:rPr>
          <w:rFonts w:ascii="Arial" w:hAnsi="Arial" w:cs="Arial"/>
        </w:rPr>
        <w:t xml:space="preserve">procedures </w:t>
      </w:r>
      <w:r w:rsidR="00BD66C3" w:rsidRPr="00BF5A9B">
        <w:rPr>
          <w:rFonts w:ascii="Arial" w:hAnsi="Arial" w:cs="Arial"/>
        </w:rPr>
        <w:t>where exemptions are relied upon.</w:t>
      </w:r>
    </w:p>
    <w:p w14:paraId="4F0D0838" w14:textId="66FCA81A" w:rsidR="0012092A" w:rsidRPr="00BF5A9B" w:rsidRDefault="0012092A" w:rsidP="0012092A">
      <w:pPr>
        <w:rPr>
          <w:rFonts w:ascii="Arial" w:hAnsi="Arial" w:cs="Arial"/>
        </w:rPr>
      </w:pPr>
      <w:r w:rsidRPr="00BF5A9B">
        <w:rPr>
          <w:rFonts w:ascii="Arial" w:hAnsi="Arial" w:cs="Arial"/>
          <w:b/>
        </w:rPr>
        <w:t>Item [1</w:t>
      </w:r>
      <w:r w:rsidR="00566580">
        <w:rPr>
          <w:rFonts w:ascii="Arial" w:hAnsi="Arial" w:cs="Arial"/>
          <w:b/>
        </w:rPr>
        <w:t>6</w:t>
      </w:r>
      <w:r w:rsidRPr="00BF5A9B">
        <w:rPr>
          <w:rFonts w:ascii="Arial" w:hAnsi="Arial" w:cs="Arial"/>
          <w:b/>
        </w:rPr>
        <w:t xml:space="preserve">] </w:t>
      </w:r>
      <w:r w:rsidR="00BD66C3" w:rsidRPr="00BF5A9B">
        <w:rPr>
          <w:rFonts w:ascii="Arial" w:hAnsi="Arial" w:cs="Arial"/>
        </w:rPr>
        <w:t xml:space="preserve">deletes Note 2 </w:t>
      </w:r>
      <w:r w:rsidR="00AB2E87">
        <w:rPr>
          <w:rFonts w:ascii="Arial" w:hAnsi="Arial" w:cs="Arial"/>
        </w:rPr>
        <w:t xml:space="preserve">to Table 3 in </w:t>
      </w:r>
      <w:r w:rsidR="00BD66C3" w:rsidRPr="00BF5A9B">
        <w:rPr>
          <w:rFonts w:ascii="Arial" w:hAnsi="Arial" w:cs="Arial"/>
        </w:rPr>
        <w:t>Schedule 2</w:t>
      </w:r>
      <w:r w:rsidR="00B32617">
        <w:rPr>
          <w:rFonts w:ascii="Arial" w:hAnsi="Arial" w:cs="Arial"/>
        </w:rPr>
        <w:t xml:space="preserve"> </w:t>
      </w:r>
      <w:r w:rsidR="00BD66C3" w:rsidRPr="00BF5A9B">
        <w:rPr>
          <w:rFonts w:ascii="Arial" w:hAnsi="Arial" w:cs="Arial"/>
        </w:rPr>
        <w:t>which refer</w:t>
      </w:r>
      <w:r w:rsidR="00AB2E87">
        <w:rPr>
          <w:rFonts w:ascii="Arial" w:hAnsi="Arial" w:cs="Arial"/>
        </w:rPr>
        <w:t>red</w:t>
      </w:r>
      <w:r w:rsidR="00BD66C3" w:rsidRPr="00BF5A9B">
        <w:rPr>
          <w:rFonts w:ascii="Arial" w:hAnsi="Arial" w:cs="Arial"/>
        </w:rPr>
        <w:t xml:space="preserve"> to reports provided </w:t>
      </w:r>
      <w:r w:rsidR="00D76496">
        <w:rPr>
          <w:rFonts w:ascii="Arial" w:hAnsi="Arial" w:cs="Arial"/>
        </w:rPr>
        <w:t>quarterly</w:t>
      </w:r>
      <w:r w:rsidR="00BD66C3" w:rsidRPr="00BF5A9B">
        <w:rPr>
          <w:rFonts w:ascii="Arial" w:hAnsi="Arial" w:cs="Arial"/>
        </w:rPr>
        <w:t xml:space="preserve">. </w:t>
      </w:r>
    </w:p>
    <w:p w14:paraId="429EBB67" w14:textId="77777777" w:rsidR="00FA4334" w:rsidRPr="00BF5A9B" w:rsidRDefault="00FA4334" w:rsidP="00D8361D">
      <w:pPr>
        <w:rPr>
          <w:rFonts w:ascii="Arial" w:hAnsi="Arial" w:cs="Arial"/>
        </w:rPr>
      </w:pPr>
    </w:p>
    <w:p w14:paraId="1313FD39" w14:textId="77777777" w:rsidR="00FA4334" w:rsidRPr="00BF5A9B" w:rsidRDefault="00FA4334" w:rsidP="00D8361D">
      <w:pPr>
        <w:rPr>
          <w:rFonts w:ascii="Arial" w:hAnsi="Arial" w:cs="Arial"/>
        </w:rPr>
      </w:pPr>
    </w:p>
    <w:p w14:paraId="2BFD5E81" w14:textId="77777777" w:rsidR="00FA4334" w:rsidRPr="00FA4334" w:rsidRDefault="00FA4334" w:rsidP="00D8361D">
      <w:pPr>
        <w:rPr>
          <w:rFonts w:ascii="Arial" w:hAnsi="Arial" w:cs="Arial"/>
          <w:color w:val="FF0000"/>
        </w:rPr>
        <w:sectPr w:rsidR="00FA4334" w:rsidRPr="00FA4334" w:rsidSect="00E97CDB">
          <w:headerReference w:type="default" r:id="rId16"/>
          <w:type w:val="continuous"/>
          <w:pgSz w:w="11906" w:h="16838"/>
          <w:pgMar w:top="1440" w:right="1440" w:bottom="1440" w:left="1440" w:header="708" w:footer="708" w:gutter="0"/>
          <w:cols w:space="708"/>
          <w:docGrid w:linePitch="360"/>
        </w:sectPr>
      </w:pPr>
    </w:p>
    <w:p w14:paraId="623946EC" w14:textId="6C3E93D4" w:rsidR="008568AC" w:rsidRDefault="008568AC">
      <w:pPr>
        <w:spacing w:after="0" w:line="240" w:lineRule="auto"/>
        <w:rPr>
          <w:rFonts w:ascii="Arial" w:hAnsi="Arial" w:cs="Arial"/>
          <w:b/>
          <w:color w:val="000000" w:themeColor="text1"/>
        </w:rPr>
      </w:pPr>
    </w:p>
    <w:p w14:paraId="32D0BC43" w14:textId="05C9D96C" w:rsidR="00FA4334" w:rsidRPr="008C67AD" w:rsidRDefault="00FA4334" w:rsidP="00FA4334">
      <w:pPr>
        <w:spacing w:after="0" w:line="240" w:lineRule="auto"/>
        <w:jc w:val="right"/>
        <w:rPr>
          <w:rFonts w:ascii="Arial" w:eastAsia="Times New Roman" w:hAnsi="Arial" w:cs="Arial"/>
          <w:sz w:val="20"/>
          <w:szCs w:val="20"/>
          <w:lang w:eastAsia="en-AU"/>
        </w:rPr>
      </w:pPr>
      <w:r w:rsidRPr="002140C9">
        <w:rPr>
          <w:rFonts w:ascii="Arial" w:eastAsia="Times New Roman" w:hAnsi="Arial" w:cs="Arial"/>
          <w:sz w:val="20"/>
          <w:szCs w:val="20"/>
          <w:lang w:eastAsia="en-AU"/>
        </w:rPr>
        <w:t xml:space="preserve">Attachment </w:t>
      </w:r>
      <w:r w:rsidR="005E3338">
        <w:rPr>
          <w:rFonts w:ascii="Arial" w:eastAsia="Times New Roman" w:hAnsi="Arial" w:cs="Arial"/>
          <w:sz w:val="20"/>
          <w:szCs w:val="20"/>
          <w:lang w:eastAsia="en-AU"/>
        </w:rPr>
        <w:t>2</w:t>
      </w:r>
    </w:p>
    <w:p w14:paraId="0CD3271E" w14:textId="77777777" w:rsidR="00FA4334" w:rsidRPr="008C67AD" w:rsidRDefault="00FA4334" w:rsidP="00FA4334">
      <w:pPr>
        <w:rPr>
          <w:rFonts w:ascii="Arial" w:hAnsi="Arial" w:cs="Arial"/>
        </w:rPr>
      </w:pPr>
    </w:p>
    <w:p w14:paraId="1B905609" w14:textId="77777777" w:rsidR="00FA4334" w:rsidRPr="008C67AD" w:rsidRDefault="00FA4334" w:rsidP="00FA4334">
      <w:pPr>
        <w:jc w:val="center"/>
        <w:rPr>
          <w:rFonts w:ascii="Arial" w:hAnsi="Arial" w:cs="Arial"/>
          <w:b/>
        </w:rPr>
      </w:pPr>
      <w:r w:rsidRPr="008C67AD">
        <w:rPr>
          <w:rFonts w:ascii="Arial" w:hAnsi="Arial" w:cs="Arial"/>
          <w:b/>
        </w:rPr>
        <w:t>Statement of Compatibility with Human Rights</w:t>
      </w:r>
    </w:p>
    <w:p w14:paraId="0B414A39" w14:textId="77777777" w:rsidR="00FA4334" w:rsidRPr="002140C9" w:rsidRDefault="00FA4334" w:rsidP="00FA4334">
      <w:pPr>
        <w:spacing w:before="120" w:after="120" w:line="240" w:lineRule="auto"/>
        <w:rPr>
          <w:rFonts w:ascii="Arial" w:eastAsia="Times New Roman" w:hAnsi="Arial" w:cs="Arial"/>
          <w:i/>
          <w:lang w:eastAsia="en-AU"/>
        </w:rPr>
      </w:pPr>
      <w:r w:rsidRPr="002140C9">
        <w:rPr>
          <w:rFonts w:ascii="Arial" w:eastAsia="Times New Roman" w:hAnsi="Arial" w:cs="Arial"/>
          <w:lang w:eastAsia="en-AU"/>
        </w:rPr>
        <w:t xml:space="preserve">Prepared in accordance with Part 3 of the </w:t>
      </w:r>
      <w:r w:rsidRPr="002140C9">
        <w:rPr>
          <w:rFonts w:ascii="Arial" w:eastAsia="Times New Roman" w:hAnsi="Arial" w:cs="Arial"/>
          <w:i/>
          <w:lang w:eastAsia="en-AU"/>
        </w:rPr>
        <w:t>Human Rights (Parliamentary Scrutiny) Act 2011</w:t>
      </w:r>
    </w:p>
    <w:p w14:paraId="62C933F6" w14:textId="77777777" w:rsidR="00FA4334" w:rsidRPr="008C67AD" w:rsidRDefault="00FA4334" w:rsidP="00FA4334">
      <w:pPr>
        <w:spacing w:before="120" w:after="120"/>
        <w:jc w:val="center"/>
        <w:rPr>
          <w:rFonts w:ascii="Arial" w:hAnsi="Arial" w:cs="Arial"/>
        </w:rPr>
      </w:pPr>
    </w:p>
    <w:p w14:paraId="5BDB5A9A" w14:textId="6F0329B3" w:rsidR="00FA4334" w:rsidRPr="00C95080" w:rsidRDefault="00FA4334" w:rsidP="00FA4334">
      <w:pPr>
        <w:jc w:val="center"/>
        <w:rPr>
          <w:rFonts w:ascii="Arial" w:hAnsi="Arial" w:cs="Arial"/>
          <w:b/>
          <w:i/>
        </w:rPr>
      </w:pPr>
      <w:r w:rsidRPr="00C95080">
        <w:rPr>
          <w:rFonts w:ascii="Arial" w:hAnsi="Arial" w:cs="Arial"/>
          <w:b/>
          <w:i/>
        </w:rPr>
        <w:t>Telecommunications (Customer Service Guarantee</w:t>
      </w:r>
      <w:r w:rsidR="00C95080" w:rsidRPr="00C95080">
        <w:rPr>
          <w:rFonts w:ascii="Arial" w:hAnsi="Arial" w:cs="Arial"/>
          <w:b/>
          <w:i/>
        </w:rPr>
        <w:t xml:space="preserve"> and Payphone Performance Benchmarks</w:t>
      </w:r>
      <w:r w:rsidRPr="00C95080">
        <w:rPr>
          <w:rFonts w:ascii="Arial" w:hAnsi="Arial" w:cs="Arial"/>
          <w:b/>
          <w:i/>
        </w:rPr>
        <w:t xml:space="preserve">) Record-Keeping Rules </w:t>
      </w:r>
      <w:r w:rsidR="009A1BEE">
        <w:rPr>
          <w:rFonts w:ascii="Arial" w:hAnsi="Arial" w:cs="Arial"/>
          <w:b/>
          <w:i/>
        </w:rPr>
        <w:t xml:space="preserve">Amendment </w:t>
      </w:r>
      <w:r w:rsidRPr="00C95080">
        <w:rPr>
          <w:rFonts w:ascii="Arial" w:hAnsi="Arial" w:cs="Arial"/>
          <w:b/>
          <w:i/>
        </w:rPr>
        <w:t>201</w:t>
      </w:r>
      <w:r w:rsidR="00C95080" w:rsidRPr="00C95080">
        <w:rPr>
          <w:rFonts w:ascii="Arial" w:hAnsi="Arial" w:cs="Arial"/>
          <w:b/>
          <w:i/>
        </w:rPr>
        <w:t>4</w:t>
      </w:r>
      <w:r w:rsidRPr="00C95080">
        <w:rPr>
          <w:rFonts w:ascii="Arial" w:hAnsi="Arial" w:cs="Arial"/>
          <w:b/>
          <w:i/>
        </w:rPr>
        <w:t xml:space="preserve"> (No.1)</w:t>
      </w:r>
    </w:p>
    <w:p w14:paraId="092FB7EA" w14:textId="77777777" w:rsidR="00FA4334" w:rsidRPr="008C67AD" w:rsidRDefault="00FA4334" w:rsidP="00FA4334">
      <w:pPr>
        <w:spacing w:before="120" w:after="120" w:line="240" w:lineRule="auto"/>
        <w:rPr>
          <w:rFonts w:ascii="Arial" w:eastAsia="Times New Roman" w:hAnsi="Arial" w:cs="Arial"/>
          <w:lang w:eastAsia="en-AU"/>
        </w:rPr>
      </w:pPr>
      <w:r w:rsidRPr="008C67AD">
        <w:rPr>
          <w:rFonts w:ascii="Arial" w:eastAsia="Times New Roman" w:hAnsi="Arial" w:cs="Arial"/>
          <w:lang w:eastAsia="en-AU"/>
        </w:rPr>
        <w:t xml:space="preserve">This Legislative Instrument is compatible with the human rights and freedoms recognised or declared in the international instruments listed in section 3 of the </w:t>
      </w:r>
      <w:r w:rsidRPr="008C67AD">
        <w:rPr>
          <w:rFonts w:ascii="Arial" w:eastAsia="Times New Roman" w:hAnsi="Arial" w:cs="Arial"/>
          <w:i/>
          <w:lang w:eastAsia="en-AU"/>
        </w:rPr>
        <w:t>Human Rights (Parliamentary Scrutiny) Act 2011.</w:t>
      </w:r>
    </w:p>
    <w:p w14:paraId="06AF4A0D" w14:textId="77777777" w:rsidR="00FA4334" w:rsidRPr="008C67AD" w:rsidRDefault="00FA4334" w:rsidP="00FA4334">
      <w:pPr>
        <w:spacing w:before="120" w:after="120" w:line="240" w:lineRule="auto"/>
        <w:jc w:val="both"/>
        <w:rPr>
          <w:rFonts w:ascii="Arial" w:eastAsia="Times New Roman" w:hAnsi="Arial" w:cs="Arial"/>
          <w:b/>
          <w:lang w:eastAsia="en-AU"/>
        </w:rPr>
      </w:pPr>
    </w:p>
    <w:p w14:paraId="0DB8977D" w14:textId="77777777" w:rsidR="00FA4334" w:rsidRPr="008C67AD" w:rsidRDefault="00FA4334" w:rsidP="00FA4334">
      <w:pPr>
        <w:spacing w:before="120" w:after="120" w:line="240" w:lineRule="auto"/>
        <w:jc w:val="both"/>
        <w:rPr>
          <w:rFonts w:ascii="Arial" w:eastAsia="Times New Roman" w:hAnsi="Arial" w:cs="Arial"/>
          <w:b/>
          <w:lang w:eastAsia="en-AU"/>
        </w:rPr>
      </w:pPr>
      <w:r w:rsidRPr="008C67AD">
        <w:rPr>
          <w:rFonts w:ascii="Arial" w:eastAsia="Times New Roman" w:hAnsi="Arial" w:cs="Arial"/>
          <w:b/>
          <w:lang w:eastAsia="en-AU"/>
        </w:rPr>
        <w:t>Overview of the Legislative Instrument</w:t>
      </w:r>
    </w:p>
    <w:p w14:paraId="7D9843D0" w14:textId="31018A5B" w:rsidR="00FA4334" w:rsidRDefault="00FA4334" w:rsidP="00FA4334">
      <w:pPr>
        <w:spacing w:before="120" w:after="120" w:line="240" w:lineRule="auto"/>
        <w:rPr>
          <w:rFonts w:ascii="Arial" w:eastAsia="Times New Roman" w:hAnsi="Arial" w:cs="Arial"/>
          <w:lang w:eastAsia="en-AU"/>
        </w:rPr>
      </w:pPr>
      <w:r w:rsidRPr="008C67AD">
        <w:rPr>
          <w:rFonts w:ascii="Arial" w:eastAsia="Times New Roman" w:hAnsi="Arial" w:cs="Arial"/>
          <w:lang w:eastAsia="en-AU"/>
        </w:rPr>
        <w:t xml:space="preserve">The </w:t>
      </w:r>
      <w:r w:rsidR="00BF5A9B" w:rsidRPr="00BF5A9B">
        <w:rPr>
          <w:rFonts w:ascii="Arial" w:eastAsia="Times New Roman" w:hAnsi="Arial" w:cs="Arial"/>
          <w:i/>
          <w:lang w:eastAsia="en-AU"/>
        </w:rPr>
        <w:t xml:space="preserve">Telecommunications (Customer Service Guarantee and Payphone Performance Benchmarks) Record-Keeping Rules </w:t>
      </w:r>
      <w:r w:rsidR="00F83110">
        <w:rPr>
          <w:rFonts w:ascii="Arial" w:eastAsia="Times New Roman" w:hAnsi="Arial" w:cs="Arial"/>
          <w:i/>
          <w:lang w:eastAsia="en-AU"/>
        </w:rPr>
        <w:t xml:space="preserve">Amendment </w:t>
      </w:r>
      <w:r w:rsidR="00BF5A9B" w:rsidRPr="00BF5A9B">
        <w:rPr>
          <w:rFonts w:ascii="Arial" w:eastAsia="Times New Roman" w:hAnsi="Arial" w:cs="Arial"/>
          <w:i/>
          <w:lang w:eastAsia="en-AU"/>
        </w:rPr>
        <w:t>2014 (No.1)</w:t>
      </w:r>
      <w:r w:rsidR="00BF5A9B">
        <w:rPr>
          <w:rFonts w:ascii="Arial" w:eastAsia="Times New Roman" w:hAnsi="Arial" w:cs="Arial"/>
          <w:lang w:eastAsia="en-AU"/>
        </w:rPr>
        <w:t xml:space="preserve"> </w:t>
      </w:r>
      <w:r>
        <w:rPr>
          <w:rFonts w:ascii="Arial" w:eastAsia="Times New Roman" w:hAnsi="Arial" w:cs="Arial"/>
          <w:lang w:eastAsia="en-AU"/>
        </w:rPr>
        <w:t xml:space="preserve">amends the </w:t>
      </w:r>
      <w:r w:rsidRPr="001B03E3">
        <w:rPr>
          <w:rFonts w:ascii="Arial" w:eastAsia="Times New Roman" w:hAnsi="Arial" w:cs="Arial"/>
          <w:i/>
          <w:lang w:eastAsia="en-AU"/>
        </w:rPr>
        <w:t>Telecommunications (Customer Service Guarantee) Record-Keeping Rules 2011</w:t>
      </w:r>
      <w:r w:rsidR="00BF5A9B">
        <w:rPr>
          <w:rFonts w:ascii="Arial" w:eastAsia="Times New Roman" w:hAnsi="Arial" w:cs="Arial"/>
          <w:lang w:eastAsia="en-AU"/>
        </w:rPr>
        <w:t xml:space="preserve"> and the </w:t>
      </w:r>
      <w:r w:rsidR="00BF5A9B" w:rsidRPr="001B03E3">
        <w:rPr>
          <w:rFonts w:ascii="Arial" w:eastAsia="Times New Roman" w:hAnsi="Arial" w:cs="Arial"/>
          <w:i/>
          <w:lang w:eastAsia="en-AU"/>
        </w:rPr>
        <w:t>Telecommunications (Payphone Performance Benchmarks) Record-Keeping Rules 2012</w:t>
      </w:r>
      <w:r w:rsidR="00BF5A9B">
        <w:rPr>
          <w:rFonts w:ascii="Arial" w:eastAsia="Times New Roman" w:hAnsi="Arial" w:cs="Arial"/>
          <w:lang w:eastAsia="en-AU"/>
        </w:rPr>
        <w:t xml:space="preserve"> </w:t>
      </w:r>
      <w:r w:rsidR="00AB2E87">
        <w:rPr>
          <w:rFonts w:ascii="Arial" w:eastAsia="Times New Roman" w:hAnsi="Arial" w:cs="Arial"/>
          <w:lang w:eastAsia="en-AU"/>
        </w:rPr>
        <w:t xml:space="preserve">(the </w:t>
      </w:r>
      <w:r w:rsidR="00F356B6">
        <w:rPr>
          <w:rFonts w:ascii="Arial" w:eastAsia="Times New Roman" w:hAnsi="Arial" w:cs="Arial"/>
          <w:lang w:eastAsia="en-AU"/>
        </w:rPr>
        <w:t>Record-</w:t>
      </w:r>
      <w:r w:rsidR="00AB2E87">
        <w:rPr>
          <w:rFonts w:ascii="Arial" w:eastAsia="Times New Roman" w:hAnsi="Arial" w:cs="Arial"/>
          <w:lang w:eastAsia="en-AU"/>
        </w:rPr>
        <w:t xml:space="preserve">Keeping Rules) </w:t>
      </w:r>
      <w:r w:rsidRPr="00BF5A9B">
        <w:rPr>
          <w:rFonts w:ascii="Arial" w:eastAsia="Times New Roman" w:hAnsi="Arial" w:cs="Arial"/>
          <w:lang w:eastAsia="en-AU"/>
        </w:rPr>
        <w:t xml:space="preserve">to </w:t>
      </w:r>
      <w:r w:rsidR="0009047B" w:rsidRPr="008C67AD">
        <w:rPr>
          <w:rFonts w:ascii="Arial" w:eastAsia="Times New Roman" w:hAnsi="Arial" w:cs="Arial"/>
          <w:lang w:eastAsia="en-AU"/>
        </w:rPr>
        <w:t>simplify reporting</w:t>
      </w:r>
      <w:r w:rsidR="00D76496">
        <w:rPr>
          <w:rFonts w:ascii="Arial" w:eastAsia="Times New Roman" w:hAnsi="Arial" w:cs="Arial"/>
          <w:lang w:eastAsia="en-AU"/>
        </w:rPr>
        <w:t xml:space="preserve"> requirements</w:t>
      </w:r>
      <w:r w:rsidR="0009047B">
        <w:rPr>
          <w:rFonts w:ascii="Arial" w:eastAsia="Times New Roman" w:hAnsi="Arial" w:cs="Arial"/>
          <w:lang w:eastAsia="en-AU"/>
        </w:rPr>
        <w:t xml:space="preserve"> to remove the requirements to report on a six-monthly basis with information </w:t>
      </w:r>
      <w:r w:rsidR="00F57B82">
        <w:rPr>
          <w:rFonts w:ascii="Arial" w:eastAsia="Times New Roman" w:hAnsi="Arial" w:cs="Arial"/>
          <w:lang w:eastAsia="en-AU"/>
        </w:rPr>
        <w:t>for</w:t>
      </w:r>
      <w:r w:rsidR="0009047B">
        <w:rPr>
          <w:rFonts w:ascii="Arial" w:eastAsia="Times New Roman" w:hAnsi="Arial" w:cs="Arial"/>
          <w:lang w:eastAsia="en-AU"/>
        </w:rPr>
        <w:t xml:space="preserve"> </w:t>
      </w:r>
      <w:r w:rsidR="00F57B82">
        <w:rPr>
          <w:rFonts w:ascii="Arial" w:eastAsia="Times New Roman" w:hAnsi="Arial" w:cs="Arial"/>
          <w:lang w:eastAsia="en-AU"/>
        </w:rPr>
        <w:t>each</w:t>
      </w:r>
      <w:r w:rsidR="0009047B">
        <w:rPr>
          <w:rFonts w:ascii="Arial" w:eastAsia="Times New Roman" w:hAnsi="Arial" w:cs="Arial"/>
          <w:lang w:eastAsia="en-AU"/>
        </w:rPr>
        <w:t xml:space="preserve"> </w:t>
      </w:r>
      <w:r w:rsidR="00F83110">
        <w:rPr>
          <w:rFonts w:ascii="Arial" w:eastAsia="Times New Roman" w:hAnsi="Arial" w:cs="Arial"/>
          <w:lang w:eastAsia="en-AU"/>
        </w:rPr>
        <w:t>S</w:t>
      </w:r>
      <w:r w:rsidR="0009047B">
        <w:rPr>
          <w:rFonts w:ascii="Arial" w:eastAsia="Times New Roman" w:hAnsi="Arial" w:cs="Arial"/>
          <w:lang w:eastAsia="en-AU"/>
        </w:rPr>
        <w:t>tate</w:t>
      </w:r>
      <w:r w:rsidR="00F57B82">
        <w:rPr>
          <w:rFonts w:ascii="Arial" w:eastAsia="Times New Roman" w:hAnsi="Arial" w:cs="Arial"/>
          <w:lang w:eastAsia="en-AU"/>
        </w:rPr>
        <w:t xml:space="preserve"> and </w:t>
      </w:r>
      <w:r w:rsidR="00F83110">
        <w:rPr>
          <w:rFonts w:ascii="Arial" w:eastAsia="Times New Roman" w:hAnsi="Arial" w:cs="Arial"/>
          <w:lang w:eastAsia="en-AU"/>
        </w:rPr>
        <w:t>T</w:t>
      </w:r>
      <w:r w:rsidR="00F57B82">
        <w:rPr>
          <w:rFonts w:ascii="Arial" w:eastAsia="Times New Roman" w:hAnsi="Arial" w:cs="Arial"/>
          <w:lang w:eastAsia="en-AU"/>
        </w:rPr>
        <w:t>erritory</w:t>
      </w:r>
      <w:r w:rsidR="0009047B">
        <w:rPr>
          <w:rFonts w:ascii="Arial" w:eastAsia="Times New Roman" w:hAnsi="Arial" w:cs="Arial"/>
          <w:lang w:eastAsia="en-AU"/>
        </w:rPr>
        <w:t xml:space="preserve"> and move to </w:t>
      </w:r>
      <w:r w:rsidR="00F57B82">
        <w:rPr>
          <w:rFonts w:ascii="Arial" w:eastAsia="Times New Roman" w:hAnsi="Arial" w:cs="Arial"/>
          <w:lang w:eastAsia="en-AU"/>
        </w:rPr>
        <w:t xml:space="preserve">annual reporting </w:t>
      </w:r>
      <w:r w:rsidR="005D7FCA">
        <w:rPr>
          <w:rFonts w:ascii="Arial" w:eastAsia="Times New Roman" w:hAnsi="Arial" w:cs="Arial"/>
          <w:lang w:eastAsia="en-AU"/>
        </w:rPr>
        <w:t>on a</w:t>
      </w:r>
      <w:r w:rsidR="0009047B">
        <w:rPr>
          <w:rFonts w:ascii="Arial" w:eastAsia="Times New Roman" w:hAnsi="Arial" w:cs="Arial"/>
          <w:lang w:eastAsia="en-AU"/>
        </w:rPr>
        <w:t xml:space="preserve"> national basis</w:t>
      </w:r>
      <w:r w:rsidRPr="008C67AD">
        <w:rPr>
          <w:rFonts w:ascii="Arial" w:eastAsia="Times New Roman" w:hAnsi="Arial" w:cs="Arial"/>
          <w:lang w:eastAsia="en-AU"/>
        </w:rPr>
        <w:t xml:space="preserve">. </w:t>
      </w:r>
    </w:p>
    <w:p w14:paraId="556E859C" w14:textId="23258161" w:rsidR="00FA4334" w:rsidRPr="008C67AD" w:rsidRDefault="00FA4334" w:rsidP="00FA4334">
      <w:pPr>
        <w:spacing w:before="120" w:after="120" w:line="240" w:lineRule="auto"/>
        <w:rPr>
          <w:rFonts w:ascii="Arial" w:eastAsia="Times New Roman" w:hAnsi="Arial" w:cs="Arial"/>
          <w:lang w:eastAsia="en-AU"/>
        </w:rPr>
      </w:pPr>
      <w:r w:rsidRPr="008C67AD">
        <w:rPr>
          <w:rFonts w:ascii="Arial" w:eastAsia="Times New Roman" w:hAnsi="Arial" w:cs="Arial"/>
          <w:lang w:eastAsia="en-AU"/>
        </w:rPr>
        <w:t xml:space="preserve">There are no substantial changes to the operation of the </w:t>
      </w:r>
      <w:r w:rsidR="00F356B6">
        <w:rPr>
          <w:rFonts w:ascii="Arial" w:eastAsia="Times New Roman" w:hAnsi="Arial" w:cs="Arial"/>
          <w:lang w:eastAsia="en-AU"/>
        </w:rPr>
        <w:t>Record-</w:t>
      </w:r>
      <w:r w:rsidR="00AB2E87">
        <w:rPr>
          <w:rFonts w:ascii="Arial" w:eastAsia="Times New Roman" w:hAnsi="Arial" w:cs="Arial"/>
          <w:lang w:eastAsia="en-AU"/>
        </w:rPr>
        <w:t xml:space="preserve">Keeping </w:t>
      </w:r>
      <w:r w:rsidRPr="008C67AD">
        <w:rPr>
          <w:rFonts w:ascii="Arial" w:eastAsia="Times New Roman" w:hAnsi="Arial" w:cs="Arial"/>
          <w:lang w:eastAsia="en-AU"/>
        </w:rPr>
        <w:t xml:space="preserve">Rules. </w:t>
      </w:r>
    </w:p>
    <w:p w14:paraId="42D6847B" w14:textId="77777777" w:rsidR="00FA4334" w:rsidRDefault="00FA4334" w:rsidP="00FA4334">
      <w:pPr>
        <w:spacing w:before="120" w:after="120" w:line="240" w:lineRule="auto"/>
        <w:rPr>
          <w:rFonts w:ascii="Arial" w:eastAsia="Times New Roman" w:hAnsi="Arial" w:cs="Arial"/>
          <w:b/>
          <w:lang w:eastAsia="en-AU"/>
        </w:rPr>
      </w:pPr>
    </w:p>
    <w:p w14:paraId="3AA53B06" w14:textId="77777777" w:rsidR="00FA4334" w:rsidRPr="008C67AD" w:rsidRDefault="00FA4334" w:rsidP="00FA4334">
      <w:pPr>
        <w:spacing w:before="120" w:after="120" w:line="240" w:lineRule="auto"/>
        <w:rPr>
          <w:rFonts w:ascii="Arial" w:eastAsia="Times New Roman" w:hAnsi="Arial" w:cs="Arial"/>
          <w:b/>
          <w:lang w:eastAsia="en-AU"/>
        </w:rPr>
      </w:pPr>
      <w:r w:rsidRPr="008C67AD">
        <w:rPr>
          <w:rFonts w:ascii="Arial" w:eastAsia="Times New Roman" w:hAnsi="Arial" w:cs="Arial"/>
          <w:b/>
          <w:lang w:eastAsia="en-AU"/>
        </w:rPr>
        <w:t>Human rights implications</w:t>
      </w:r>
    </w:p>
    <w:p w14:paraId="6FD634EF" w14:textId="77777777" w:rsidR="00FA4334" w:rsidRDefault="00FA4334" w:rsidP="00FA4334">
      <w:pPr>
        <w:spacing w:before="120" w:after="120" w:line="240" w:lineRule="auto"/>
        <w:rPr>
          <w:rFonts w:ascii="Arial" w:eastAsia="Times New Roman" w:hAnsi="Arial" w:cs="Arial"/>
          <w:lang w:eastAsia="en-AU"/>
        </w:rPr>
      </w:pPr>
    </w:p>
    <w:p w14:paraId="07B9BA46" w14:textId="77777777" w:rsidR="00FA4334" w:rsidRPr="008C67AD" w:rsidRDefault="00FA4334" w:rsidP="00FA4334">
      <w:pPr>
        <w:spacing w:before="120" w:after="120" w:line="240" w:lineRule="auto"/>
        <w:rPr>
          <w:rFonts w:ascii="Arial" w:eastAsia="Times New Roman" w:hAnsi="Arial" w:cs="Arial"/>
          <w:lang w:eastAsia="en-AU"/>
        </w:rPr>
      </w:pPr>
      <w:r w:rsidRPr="008C67AD">
        <w:rPr>
          <w:rFonts w:ascii="Arial" w:eastAsia="Times New Roman" w:hAnsi="Arial" w:cs="Arial"/>
          <w:lang w:eastAsia="en-AU"/>
        </w:rPr>
        <w:t>This Legislative Instrument does not engage any of the applicable rights or freedoms.</w:t>
      </w:r>
    </w:p>
    <w:p w14:paraId="7B2BD63C" w14:textId="77777777" w:rsidR="00FA4334" w:rsidRPr="008C67AD" w:rsidRDefault="00FA4334" w:rsidP="00FA4334">
      <w:pPr>
        <w:spacing w:before="120" w:after="120"/>
        <w:rPr>
          <w:rFonts w:ascii="Arial" w:hAnsi="Arial" w:cs="Arial"/>
        </w:rPr>
      </w:pPr>
    </w:p>
    <w:p w14:paraId="5BC6AE96" w14:textId="77777777" w:rsidR="00FA4334" w:rsidRPr="008C67AD" w:rsidRDefault="00FA4334" w:rsidP="00FA4334">
      <w:pPr>
        <w:spacing w:before="120" w:after="120" w:line="240" w:lineRule="auto"/>
        <w:rPr>
          <w:rFonts w:ascii="Arial" w:eastAsia="Times New Roman" w:hAnsi="Arial" w:cs="Arial"/>
          <w:b/>
          <w:lang w:eastAsia="en-AU"/>
        </w:rPr>
      </w:pPr>
      <w:r w:rsidRPr="008C67AD">
        <w:rPr>
          <w:rFonts w:ascii="Arial" w:eastAsia="Times New Roman" w:hAnsi="Arial" w:cs="Arial"/>
          <w:b/>
          <w:lang w:eastAsia="en-AU"/>
        </w:rPr>
        <w:t>Conclusion</w:t>
      </w:r>
    </w:p>
    <w:p w14:paraId="702494D2" w14:textId="77777777" w:rsidR="00FA4334" w:rsidRDefault="00FA4334" w:rsidP="00FA4334">
      <w:pPr>
        <w:spacing w:before="120" w:after="120" w:line="240" w:lineRule="auto"/>
        <w:rPr>
          <w:rFonts w:ascii="Arial" w:eastAsia="Times New Roman" w:hAnsi="Arial" w:cs="Arial"/>
          <w:lang w:eastAsia="en-AU"/>
        </w:rPr>
      </w:pPr>
    </w:p>
    <w:p w14:paraId="466E1E72" w14:textId="77777777" w:rsidR="00FA4334" w:rsidRPr="008C67AD" w:rsidRDefault="00FA4334" w:rsidP="00FA4334">
      <w:pPr>
        <w:spacing w:before="120" w:after="120" w:line="240" w:lineRule="auto"/>
        <w:rPr>
          <w:rFonts w:ascii="Arial" w:hAnsi="Arial" w:cs="Arial"/>
        </w:rPr>
      </w:pPr>
      <w:r w:rsidRPr="008C67AD">
        <w:rPr>
          <w:rFonts w:ascii="Arial" w:eastAsia="Times New Roman" w:hAnsi="Arial" w:cs="Arial"/>
          <w:lang w:eastAsia="en-AU"/>
        </w:rPr>
        <w:t>This Legislative Instrument is compatible with human rights as it does not raise any human rights issues.</w:t>
      </w:r>
    </w:p>
    <w:sectPr w:rsidR="00FA4334" w:rsidRPr="008C67AD" w:rsidSect="002925C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9CC4C" w14:textId="77777777" w:rsidR="00B05038" w:rsidRDefault="00B05038" w:rsidP="00377860">
      <w:pPr>
        <w:spacing w:after="0" w:line="240" w:lineRule="auto"/>
      </w:pPr>
      <w:r>
        <w:separator/>
      </w:r>
    </w:p>
  </w:endnote>
  <w:endnote w:type="continuationSeparator" w:id="0">
    <w:p w14:paraId="4C963317" w14:textId="77777777" w:rsidR="00B05038" w:rsidRDefault="00B05038" w:rsidP="0037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5ECF" w14:textId="77777777" w:rsidR="000D1BE7" w:rsidRDefault="000D1BE7">
    <w:pPr>
      <w:pStyle w:val="Footer"/>
      <w:jc w:val="right"/>
    </w:pPr>
    <w:r>
      <w:fldChar w:fldCharType="begin"/>
    </w:r>
    <w:r>
      <w:instrText xml:space="preserve"> PAGE   \* MERGEFORMAT </w:instrText>
    </w:r>
    <w:r>
      <w:fldChar w:fldCharType="separate"/>
    </w:r>
    <w:r w:rsidR="00052164">
      <w:rPr>
        <w:noProof/>
      </w:rPr>
      <w:t>10</w:t>
    </w:r>
    <w:r>
      <w:rPr>
        <w:noProof/>
      </w:rPr>
      <w:fldChar w:fldCharType="end"/>
    </w:r>
  </w:p>
  <w:p w14:paraId="1492DD7B" w14:textId="77777777" w:rsidR="000D1BE7" w:rsidRDefault="000D1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A1A6F" w14:textId="77777777" w:rsidR="00B05038" w:rsidRDefault="00B05038" w:rsidP="00377860">
      <w:pPr>
        <w:spacing w:after="0" w:line="240" w:lineRule="auto"/>
      </w:pPr>
      <w:r>
        <w:separator/>
      </w:r>
    </w:p>
  </w:footnote>
  <w:footnote w:type="continuationSeparator" w:id="0">
    <w:p w14:paraId="61652B3E" w14:textId="77777777" w:rsidR="00B05038" w:rsidRDefault="00B05038" w:rsidP="00377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3F07" w14:textId="77777777" w:rsidR="000D1BE7" w:rsidRPr="00E97CDB" w:rsidRDefault="000D1BE7" w:rsidP="00E97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334C"/>
    <w:multiLevelType w:val="hybridMultilevel"/>
    <w:tmpl w:val="4E3E1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D6A542A"/>
    <w:multiLevelType w:val="hybridMultilevel"/>
    <w:tmpl w:val="0A24740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nsid w:val="0D831CB6"/>
    <w:multiLevelType w:val="hybridMultilevel"/>
    <w:tmpl w:val="506E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7639DF"/>
    <w:multiLevelType w:val="hybridMultilevel"/>
    <w:tmpl w:val="B8726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220124"/>
    <w:multiLevelType w:val="hybridMultilevel"/>
    <w:tmpl w:val="BFFA7C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nsid w:val="114232EA"/>
    <w:multiLevelType w:val="hybridMultilevel"/>
    <w:tmpl w:val="D4100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573D2C"/>
    <w:multiLevelType w:val="hybridMultilevel"/>
    <w:tmpl w:val="FDF8E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B315062"/>
    <w:multiLevelType w:val="hybridMultilevel"/>
    <w:tmpl w:val="B9240A6E"/>
    <w:lvl w:ilvl="0" w:tplc="90D6CF6E">
      <w:start w:val="1"/>
      <w:numFmt w:val="decimal"/>
      <w:lvlText w:val="%1."/>
      <w:lvlJc w:val="left"/>
      <w:pPr>
        <w:ind w:left="502"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860BEB"/>
    <w:multiLevelType w:val="hybridMultilevel"/>
    <w:tmpl w:val="E03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E13DE4"/>
    <w:multiLevelType w:val="hybridMultilevel"/>
    <w:tmpl w:val="4336B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B3431E"/>
    <w:multiLevelType w:val="hybridMultilevel"/>
    <w:tmpl w:val="202C8CEA"/>
    <w:lvl w:ilvl="0" w:tplc="5DB66C3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CE316F"/>
    <w:multiLevelType w:val="hybridMultilevel"/>
    <w:tmpl w:val="673CE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38B23D6"/>
    <w:multiLevelType w:val="hybridMultilevel"/>
    <w:tmpl w:val="45122CFE"/>
    <w:lvl w:ilvl="0" w:tplc="6CF68438">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1B6AE5"/>
    <w:multiLevelType w:val="hybridMultilevel"/>
    <w:tmpl w:val="40E88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B66EDA"/>
    <w:multiLevelType w:val="hybridMultilevel"/>
    <w:tmpl w:val="53B81D54"/>
    <w:lvl w:ilvl="0" w:tplc="D2129882">
      <w:numFmt w:val="bullet"/>
      <w:lvlText w:val="-"/>
      <w:lvlJc w:val="left"/>
      <w:pPr>
        <w:ind w:left="720" w:hanging="360"/>
      </w:pPr>
      <w:rPr>
        <w:rFonts w:ascii="Calibri" w:eastAsia="Calibri" w:hAnsi="Calibri" w:cs="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395C3664"/>
    <w:multiLevelType w:val="hybridMultilevel"/>
    <w:tmpl w:val="BED6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D673BD"/>
    <w:multiLevelType w:val="hybridMultilevel"/>
    <w:tmpl w:val="E3527554"/>
    <w:lvl w:ilvl="0" w:tplc="B4DE576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3C821460"/>
    <w:multiLevelType w:val="hybridMultilevel"/>
    <w:tmpl w:val="D9D66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7200DD"/>
    <w:multiLevelType w:val="hybridMultilevel"/>
    <w:tmpl w:val="843A3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D321A1"/>
    <w:multiLevelType w:val="hybridMultilevel"/>
    <w:tmpl w:val="8A8A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40071D"/>
    <w:multiLevelType w:val="hybridMultilevel"/>
    <w:tmpl w:val="48FC6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E7F13F8"/>
    <w:multiLevelType w:val="hybridMultilevel"/>
    <w:tmpl w:val="9E22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0E15F6"/>
    <w:multiLevelType w:val="hybridMultilevel"/>
    <w:tmpl w:val="6F38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DD2EF5"/>
    <w:multiLevelType w:val="singleLevel"/>
    <w:tmpl w:val="F624684A"/>
    <w:lvl w:ilvl="0">
      <w:start w:val="1"/>
      <w:numFmt w:val="decimal"/>
      <w:lvlText w:val="%1"/>
      <w:legacy w:legacy="1" w:legacySpace="0" w:legacyIndent="360"/>
      <w:lvlJc w:val="left"/>
      <w:rPr>
        <w:rFonts w:ascii="Arial" w:hAnsi="Arial" w:cs="Times New Roman" w:hint="default"/>
        <w:b w:val="0"/>
      </w:rPr>
    </w:lvl>
  </w:abstractNum>
  <w:abstractNum w:abstractNumId="24">
    <w:nsid w:val="5B510206"/>
    <w:multiLevelType w:val="hybridMultilevel"/>
    <w:tmpl w:val="B3D2204A"/>
    <w:lvl w:ilvl="0" w:tplc="0C090001">
      <w:start w:val="1"/>
      <w:numFmt w:val="lowerLetter"/>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5">
    <w:nsid w:val="5EA11C3C"/>
    <w:multiLevelType w:val="hybridMultilevel"/>
    <w:tmpl w:val="BFAC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221FC7"/>
    <w:multiLevelType w:val="hybridMultilevel"/>
    <w:tmpl w:val="B5448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FC187F"/>
    <w:multiLevelType w:val="hybridMultilevel"/>
    <w:tmpl w:val="D4AA1DE0"/>
    <w:lvl w:ilvl="0" w:tplc="0C090017">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8">
    <w:nsid w:val="63162158"/>
    <w:multiLevelType w:val="hybridMultilevel"/>
    <w:tmpl w:val="D060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3B2302"/>
    <w:multiLevelType w:val="hybridMultilevel"/>
    <w:tmpl w:val="F986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C0441C"/>
    <w:multiLevelType w:val="hybridMultilevel"/>
    <w:tmpl w:val="4F76D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E40B78"/>
    <w:multiLevelType w:val="hybridMultilevel"/>
    <w:tmpl w:val="7A86F208"/>
    <w:lvl w:ilvl="0" w:tplc="363E3F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9B217DA"/>
    <w:multiLevelType w:val="hybridMultilevel"/>
    <w:tmpl w:val="7DC0A7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71F33FF4"/>
    <w:multiLevelType w:val="hybridMultilevel"/>
    <w:tmpl w:val="78D6140E"/>
    <w:lvl w:ilvl="0" w:tplc="0C090001">
      <w:start w:val="1"/>
      <w:numFmt w:val="bullet"/>
      <w:lvlText w:val=""/>
      <w:lvlJc w:val="left"/>
      <w:pPr>
        <w:tabs>
          <w:tab w:val="num" w:pos="900"/>
        </w:tabs>
        <w:ind w:left="900" w:hanging="360"/>
      </w:pPr>
      <w:rPr>
        <w:rFonts w:ascii="Symbol" w:hAnsi="Symbol" w:hint="default"/>
        <w:b w:val="0"/>
      </w:rPr>
    </w:lvl>
    <w:lvl w:ilvl="1" w:tplc="8B54880C">
      <w:start w:val="6"/>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3C34500"/>
    <w:multiLevelType w:val="hybridMultilevel"/>
    <w:tmpl w:val="891E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2C7D2E"/>
    <w:multiLevelType w:val="hybridMultilevel"/>
    <w:tmpl w:val="57EC9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95B778C"/>
    <w:multiLevelType w:val="hybridMultilevel"/>
    <w:tmpl w:val="F6DE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16"/>
  </w:num>
  <w:num w:numId="2">
    <w:abstractNumId w:val="24"/>
  </w:num>
  <w:num w:numId="3">
    <w:abstractNumId w:val="36"/>
  </w:num>
  <w:num w:numId="4">
    <w:abstractNumId w:val="1"/>
  </w:num>
  <w:num w:numId="5">
    <w:abstractNumId w:val="19"/>
  </w:num>
  <w:num w:numId="6">
    <w:abstractNumId w:val="35"/>
  </w:num>
  <w:num w:numId="7">
    <w:abstractNumId w:val="27"/>
  </w:num>
  <w:num w:numId="8">
    <w:abstractNumId w:val="0"/>
  </w:num>
  <w:num w:numId="9">
    <w:abstractNumId w:val="9"/>
  </w:num>
  <w:num w:numId="10">
    <w:abstractNumId w:val="33"/>
  </w:num>
  <w:num w:numId="11">
    <w:abstractNumId w:val="23"/>
  </w:num>
  <w:num w:numId="12">
    <w:abstractNumId w:val="26"/>
  </w:num>
  <w:num w:numId="13">
    <w:abstractNumId w:val="10"/>
  </w:num>
  <w:num w:numId="14">
    <w:abstractNumId w:val="22"/>
  </w:num>
  <w:num w:numId="15">
    <w:abstractNumId w:val="7"/>
  </w:num>
  <w:num w:numId="16">
    <w:abstractNumId w:val="17"/>
  </w:num>
  <w:num w:numId="17">
    <w:abstractNumId w:val="31"/>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0"/>
  </w:num>
  <w:num w:numId="21">
    <w:abstractNumId w:val="29"/>
  </w:num>
  <w:num w:numId="22">
    <w:abstractNumId w:val="28"/>
  </w:num>
  <w:num w:numId="23">
    <w:abstractNumId w:val="8"/>
  </w:num>
  <w:num w:numId="24">
    <w:abstractNumId w:val="15"/>
  </w:num>
  <w:num w:numId="25">
    <w:abstractNumId w:val="6"/>
  </w:num>
  <w:num w:numId="26">
    <w:abstractNumId w:val="18"/>
  </w:num>
  <w:num w:numId="27">
    <w:abstractNumId w:val="21"/>
  </w:num>
  <w:num w:numId="28">
    <w:abstractNumId w:val="12"/>
  </w:num>
  <w:num w:numId="29">
    <w:abstractNumId w:val="5"/>
  </w:num>
  <w:num w:numId="30">
    <w:abstractNumId w:val="20"/>
  </w:num>
  <w:num w:numId="31">
    <w:abstractNumId w:val="11"/>
  </w:num>
  <w:num w:numId="32">
    <w:abstractNumId w:val="34"/>
  </w:num>
  <w:num w:numId="33">
    <w:abstractNumId w:val="25"/>
  </w:num>
  <w:num w:numId="34">
    <w:abstractNumId w:val="4"/>
  </w:num>
  <w:num w:numId="35">
    <w:abstractNumId w:val="37"/>
  </w:num>
  <w:num w:numId="36">
    <w:abstractNumId w:val="13"/>
  </w:num>
  <w:num w:numId="37">
    <w:abstractNumId w:val="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D1C3868-CA78-487C-BFDC-EDA2B9DB2B63}"/>
    <w:docVar w:name="dgnword-eventsink" w:val="320677240"/>
  </w:docVars>
  <w:rsids>
    <w:rsidRoot w:val="00377DBC"/>
    <w:rsid w:val="00003468"/>
    <w:rsid w:val="000039FB"/>
    <w:rsid w:val="00003A45"/>
    <w:rsid w:val="000056CC"/>
    <w:rsid w:val="00015DFC"/>
    <w:rsid w:val="00016BED"/>
    <w:rsid w:val="000173BB"/>
    <w:rsid w:val="0002068D"/>
    <w:rsid w:val="0002216F"/>
    <w:rsid w:val="000337D8"/>
    <w:rsid w:val="00034164"/>
    <w:rsid w:val="00037FCA"/>
    <w:rsid w:val="0004141B"/>
    <w:rsid w:val="00041A55"/>
    <w:rsid w:val="00042072"/>
    <w:rsid w:val="000471DC"/>
    <w:rsid w:val="00051B0B"/>
    <w:rsid w:val="00052164"/>
    <w:rsid w:val="00057D6F"/>
    <w:rsid w:val="00060008"/>
    <w:rsid w:val="00062BD0"/>
    <w:rsid w:val="00064E76"/>
    <w:rsid w:val="000659B2"/>
    <w:rsid w:val="000669D9"/>
    <w:rsid w:val="00070AC4"/>
    <w:rsid w:val="0007166D"/>
    <w:rsid w:val="00082924"/>
    <w:rsid w:val="00084AA1"/>
    <w:rsid w:val="00084B79"/>
    <w:rsid w:val="00085508"/>
    <w:rsid w:val="000858C4"/>
    <w:rsid w:val="0009047B"/>
    <w:rsid w:val="00090635"/>
    <w:rsid w:val="00091A33"/>
    <w:rsid w:val="00095101"/>
    <w:rsid w:val="000970D3"/>
    <w:rsid w:val="000971F7"/>
    <w:rsid w:val="000A69C2"/>
    <w:rsid w:val="000B0BDE"/>
    <w:rsid w:val="000B311B"/>
    <w:rsid w:val="000B5204"/>
    <w:rsid w:val="000C2EF7"/>
    <w:rsid w:val="000D041A"/>
    <w:rsid w:val="000D0767"/>
    <w:rsid w:val="000D1BE7"/>
    <w:rsid w:val="000D1EBA"/>
    <w:rsid w:val="000D2D0D"/>
    <w:rsid w:val="000D7B0F"/>
    <w:rsid w:val="000E1FB9"/>
    <w:rsid w:val="000E48F5"/>
    <w:rsid w:val="000E4A73"/>
    <w:rsid w:val="000E51D7"/>
    <w:rsid w:val="000F090E"/>
    <w:rsid w:val="000F0E53"/>
    <w:rsid w:val="000F4E98"/>
    <w:rsid w:val="000F63A5"/>
    <w:rsid w:val="001110DE"/>
    <w:rsid w:val="00117F33"/>
    <w:rsid w:val="0012092A"/>
    <w:rsid w:val="00122A1D"/>
    <w:rsid w:val="001249F7"/>
    <w:rsid w:val="001354A8"/>
    <w:rsid w:val="00137CBB"/>
    <w:rsid w:val="00143093"/>
    <w:rsid w:val="00145D36"/>
    <w:rsid w:val="0014662C"/>
    <w:rsid w:val="00154109"/>
    <w:rsid w:val="001602FF"/>
    <w:rsid w:val="00164ECB"/>
    <w:rsid w:val="00165BBF"/>
    <w:rsid w:val="00165E4B"/>
    <w:rsid w:val="001726FA"/>
    <w:rsid w:val="001775F9"/>
    <w:rsid w:val="00181BEB"/>
    <w:rsid w:val="00181C65"/>
    <w:rsid w:val="00181FA8"/>
    <w:rsid w:val="0018292B"/>
    <w:rsid w:val="001873E5"/>
    <w:rsid w:val="00190D1C"/>
    <w:rsid w:val="00192D94"/>
    <w:rsid w:val="0019472D"/>
    <w:rsid w:val="00195DB1"/>
    <w:rsid w:val="001A1CC5"/>
    <w:rsid w:val="001A32C0"/>
    <w:rsid w:val="001A4CE9"/>
    <w:rsid w:val="001A5A59"/>
    <w:rsid w:val="001A5EC1"/>
    <w:rsid w:val="001A78FD"/>
    <w:rsid w:val="001A7A49"/>
    <w:rsid w:val="001B03E3"/>
    <w:rsid w:val="001B35B1"/>
    <w:rsid w:val="001B5B3C"/>
    <w:rsid w:val="001B685C"/>
    <w:rsid w:val="001B7BF9"/>
    <w:rsid w:val="001C191E"/>
    <w:rsid w:val="001C2953"/>
    <w:rsid w:val="001C3C32"/>
    <w:rsid w:val="001C406D"/>
    <w:rsid w:val="001C40CE"/>
    <w:rsid w:val="001C5970"/>
    <w:rsid w:val="001C6BDB"/>
    <w:rsid w:val="001D5AE9"/>
    <w:rsid w:val="001D699F"/>
    <w:rsid w:val="001E170B"/>
    <w:rsid w:val="001E6F17"/>
    <w:rsid w:val="001E709A"/>
    <w:rsid w:val="001F31ED"/>
    <w:rsid w:val="00201C19"/>
    <w:rsid w:val="00204D5E"/>
    <w:rsid w:val="002140C9"/>
    <w:rsid w:val="00220BBF"/>
    <w:rsid w:val="0022102B"/>
    <w:rsid w:val="0023064E"/>
    <w:rsid w:val="00231A67"/>
    <w:rsid w:val="0023637C"/>
    <w:rsid w:val="002421ED"/>
    <w:rsid w:val="0024747C"/>
    <w:rsid w:val="00251223"/>
    <w:rsid w:val="00251A75"/>
    <w:rsid w:val="00256692"/>
    <w:rsid w:val="00264CBF"/>
    <w:rsid w:val="00265F67"/>
    <w:rsid w:val="0026655F"/>
    <w:rsid w:val="00270B4A"/>
    <w:rsid w:val="002732D8"/>
    <w:rsid w:val="0027600D"/>
    <w:rsid w:val="00276507"/>
    <w:rsid w:val="00282DBB"/>
    <w:rsid w:val="00283606"/>
    <w:rsid w:val="00284910"/>
    <w:rsid w:val="002849D4"/>
    <w:rsid w:val="00287154"/>
    <w:rsid w:val="002925C0"/>
    <w:rsid w:val="002947F9"/>
    <w:rsid w:val="00295645"/>
    <w:rsid w:val="00295771"/>
    <w:rsid w:val="002A0931"/>
    <w:rsid w:val="002A14B3"/>
    <w:rsid w:val="002A65B5"/>
    <w:rsid w:val="002B0576"/>
    <w:rsid w:val="002B2130"/>
    <w:rsid w:val="002B3AE0"/>
    <w:rsid w:val="002B3AF8"/>
    <w:rsid w:val="002C336F"/>
    <w:rsid w:val="002C3E91"/>
    <w:rsid w:val="002C7ED8"/>
    <w:rsid w:val="002D002E"/>
    <w:rsid w:val="002D0831"/>
    <w:rsid w:val="002D0C17"/>
    <w:rsid w:val="002D22AC"/>
    <w:rsid w:val="002D74DF"/>
    <w:rsid w:val="002E276A"/>
    <w:rsid w:val="002E4D90"/>
    <w:rsid w:val="002E61A4"/>
    <w:rsid w:val="002F3382"/>
    <w:rsid w:val="002F33DF"/>
    <w:rsid w:val="002F4664"/>
    <w:rsid w:val="002F7EBF"/>
    <w:rsid w:val="003047F0"/>
    <w:rsid w:val="00304B6C"/>
    <w:rsid w:val="00305092"/>
    <w:rsid w:val="0030626E"/>
    <w:rsid w:val="003073F7"/>
    <w:rsid w:val="00335C08"/>
    <w:rsid w:val="0035017B"/>
    <w:rsid w:val="00352292"/>
    <w:rsid w:val="0036023C"/>
    <w:rsid w:val="0036438A"/>
    <w:rsid w:val="0036726B"/>
    <w:rsid w:val="00374632"/>
    <w:rsid w:val="00377455"/>
    <w:rsid w:val="00377860"/>
    <w:rsid w:val="00377DBC"/>
    <w:rsid w:val="00382AB8"/>
    <w:rsid w:val="00385095"/>
    <w:rsid w:val="00385DB8"/>
    <w:rsid w:val="00391284"/>
    <w:rsid w:val="003939B4"/>
    <w:rsid w:val="00397643"/>
    <w:rsid w:val="003A1548"/>
    <w:rsid w:val="003A4247"/>
    <w:rsid w:val="003A4BF0"/>
    <w:rsid w:val="003B0E3E"/>
    <w:rsid w:val="003B511B"/>
    <w:rsid w:val="003B5292"/>
    <w:rsid w:val="003B7418"/>
    <w:rsid w:val="003B7B6B"/>
    <w:rsid w:val="003C27CC"/>
    <w:rsid w:val="003C77AA"/>
    <w:rsid w:val="003D429C"/>
    <w:rsid w:val="003D4B65"/>
    <w:rsid w:val="003D544E"/>
    <w:rsid w:val="003D6EC1"/>
    <w:rsid w:val="003D740B"/>
    <w:rsid w:val="003D7C51"/>
    <w:rsid w:val="003E69A5"/>
    <w:rsid w:val="003F2438"/>
    <w:rsid w:val="003F2943"/>
    <w:rsid w:val="004066C1"/>
    <w:rsid w:val="004074EA"/>
    <w:rsid w:val="00412FDF"/>
    <w:rsid w:val="004159BA"/>
    <w:rsid w:val="0042082A"/>
    <w:rsid w:val="0042087D"/>
    <w:rsid w:val="00421274"/>
    <w:rsid w:val="00422D89"/>
    <w:rsid w:val="00424ED7"/>
    <w:rsid w:val="0042624B"/>
    <w:rsid w:val="00426D16"/>
    <w:rsid w:val="00427DAB"/>
    <w:rsid w:val="00430F28"/>
    <w:rsid w:val="00433877"/>
    <w:rsid w:val="00437090"/>
    <w:rsid w:val="004409CF"/>
    <w:rsid w:val="004462A1"/>
    <w:rsid w:val="00446BA8"/>
    <w:rsid w:val="00447098"/>
    <w:rsid w:val="00452EC4"/>
    <w:rsid w:val="0045549D"/>
    <w:rsid w:val="004571C1"/>
    <w:rsid w:val="00460C23"/>
    <w:rsid w:val="00463BC2"/>
    <w:rsid w:val="0046772F"/>
    <w:rsid w:val="004736F2"/>
    <w:rsid w:val="0047432F"/>
    <w:rsid w:val="004752A1"/>
    <w:rsid w:val="004769D6"/>
    <w:rsid w:val="00491FD2"/>
    <w:rsid w:val="004931E6"/>
    <w:rsid w:val="00494A58"/>
    <w:rsid w:val="004954BD"/>
    <w:rsid w:val="004A1A30"/>
    <w:rsid w:val="004A2410"/>
    <w:rsid w:val="004A279C"/>
    <w:rsid w:val="004A3521"/>
    <w:rsid w:val="004A39BB"/>
    <w:rsid w:val="004B02A2"/>
    <w:rsid w:val="004B192C"/>
    <w:rsid w:val="004B5122"/>
    <w:rsid w:val="004B68D6"/>
    <w:rsid w:val="004B72EC"/>
    <w:rsid w:val="004B7F4D"/>
    <w:rsid w:val="004C2D36"/>
    <w:rsid w:val="004C6C41"/>
    <w:rsid w:val="004C7222"/>
    <w:rsid w:val="004D0C31"/>
    <w:rsid w:val="004D251D"/>
    <w:rsid w:val="004D4BA3"/>
    <w:rsid w:val="004F2FE0"/>
    <w:rsid w:val="004F31AB"/>
    <w:rsid w:val="004F70ED"/>
    <w:rsid w:val="004F75A5"/>
    <w:rsid w:val="00504B49"/>
    <w:rsid w:val="0050685C"/>
    <w:rsid w:val="00507BC5"/>
    <w:rsid w:val="00511BDA"/>
    <w:rsid w:val="00514D03"/>
    <w:rsid w:val="0051620F"/>
    <w:rsid w:val="00516BB6"/>
    <w:rsid w:val="005277DA"/>
    <w:rsid w:val="00530632"/>
    <w:rsid w:val="00530EFC"/>
    <w:rsid w:val="00531849"/>
    <w:rsid w:val="00536C6B"/>
    <w:rsid w:val="00536D37"/>
    <w:rsid w:val="00542FF7"/>
    <w:rsid w:val="00550034"/>
    <w:rsid w:val="0055302F"/>
    <w:rsid w:val="00554787"/>
    <w:rsid w:val="005572A7"/>
    <w:rsid w:val="005615E2"/>
    <w:rsid w:val="00566580"/>
    <w:rsid w:val="0057453E"/>
    <w:rsid w:val="00575D97"/>
    <w:rsid w:val="00576509"/>
    <w:rsid w:val="005807E0"/>
    <w:rsid w:val="00580F8D"/>
    <w:rsid w:val="0058219A"/>
    <w:rsid w:val="0059053E"/>
    <w:rsid w:val="00590EFA"/>
    <w:rsid w:val="005924BE"/>
    <w:rsid w:val="0059360C"/>
    <w:rsid w:val="005A1C3E"/>
    <w:rsid w:val="005A7480"/>
    <w:rsid w:val="005B2C3D"/>
    <w:rsid w:val="005B6B8B"/>
    <w:rsid w:val="005B7839"/>
    <w:rsid w:val="005C1261"/>
    <w:rsid w:val="005C2DCB"/>
    <w:rsid w:val="005C7268"/>
    <w:rsid w:val="005C7408"/>
    <w:rsid w:val="005D0BAF"/>
    <w:rsid w:val="005D12F8"/>
    <w:rsid w:val="005D7743"/>
    <w:rsid w:val="005D7FCA"/>
    <w:rsid w:val="005E3338"/>
    <w:rsid w:val="005E3854"/>
    <w:rsid w:val="005E4619"/>
    <w:rsid w:val="005E7225"/>
    <w:rsid w:val="005F04EC"/>
    <w:rsid w:val="005F0A93"/>
    <w:rsid w:val="005F4610"/>
    <w:rsid w:val="005F4F9C"/>
    <w:rsid w:val="005F6E31"/>
    <w:rsid w:val="00600F49"/>
    <w:rsid w:val="00601CDA"/>
    <w:rsid w:val="00604615"/>
    <w:rsid w:val="00604BAF"/>
    <w:rsid w:val="00605934"/>
    <w:rsid w:val="00606EDE"/>
    <w:rsid w:val="00607677"/>
    <w:rsid w:val="0061495E"/>
    <w:rsid w:val="006175DC"/>
    <w:rsid w:val="006239FD"/>
    <w:rsid w:val="00623F40"/>
    <w:rsid w:val="00626485"/>
    <w:rsid w:val="00634ADD"/>
    <w:rsid w:val="006350D3"/>
    <w:rsid w:val="0063746D"/>
    <w:rsid w:val="006438F8"/>
    <w:rsid w:val="0064466C"/>
    <w:rsid w:val="00644A36"/>
    <w:rsid w:val="00647737"/>
    <w:rsid w:val="00652C82"/>
    <w:rsid w:val="00653E07"/>
    <w:rsid w:val="006602A1"/>
    <w:rsid w:val="00660F9B"/>
    <w:rsid w:val="0066311B"/>
    <w:rsid w:val="00664616"/>
    <w:rsid w:val="00665C0A"/>
    <w:rsid w:val="00667BC6"/>
    <w:rsid w:val="00667FB8"/>
    <w:rsid w:val="00671938"/>
    <w:rsid w:val="00672E9C"/>
    <w:rsid w:val="006763FF"/>
    <w:rsid w:val="00676FD8"/>
    <w:rsid w:val="00680C97"/>
    <w:rsid w:val="00680F80"/>
    <w:rsid w:val="00682824"/>
    <w:rsid w:val="00684046"/>
    <w:rsid w:val="00685A5F"/>
    <w:rsid w:val="00691545"/>
    <w:rsid w:val="0069366B"/>
    <w:rsid w:val="00693869"/>
    <w:rsid w:val="00694151"/>
    <w:rsid w:val="006A1E03"/>
    <w:rsid w:val="006A7469"/>
    <w:rsid w:val="006B393C"/>
    <w:rsid w:val="006B5712"/>
    <w:rsid w:val="006B637F"/>
    <w:rsid w:val="006B7E33"/>
    <w:rsid w:val="006C1391"/>
    <w:rsid w:val="006C1BAD"/>
    <w:rsid w:val="006C318D"/>
    <w:rsid w:val="006C55C5"/>
    <w:rsid w:val="006D0534"/>
    <w:rsid w:val="006D0E6D"/>
    <w:rsid w:val="006D142A"/>
    <w:rsid w:val="006D49B1"/>
    <w:rsid w:val="006D4EAF"/>
    <w:rsid w:val="006D6B54"/>
    <w:rsid w:val="006E0B58"/>
    <w:rsid w:val="006E4D6E"/>
    <w:rsid w:val="006E51EC"/>
    <w:rsid w:val="006F25DC"/>
    <w:rsid w:val="006F289B"/>
    <w:rsid w:val="006F5720"/>
    <w:rsid w:val="006F5FF7"/>
    <w:rsid w:val="006F7E37"/>
    <w:rsid w:val="007014D8"/>
    <w:rsid w:val="0070155E"/>
    <w:rsid w:val="00701C38"/>
    <w:rsid w:val="00702ACF"/>
    <w:rsid w:val="00707AF6"/>
    <w:rsid w:val="007112BF"/>
    <w:rsid w:val="00713870"/>
    <w:rsid w:val="00713D78"/>
    <w:rsid w:val="00716B79"/>
    <w:rsid w:val="0072373A"/>
    <w:rsid w:val="00723E9D"/>
    <w:rsid w:val="00724A51"/>
    <w:rsid w:val="00724BC6"/>
    <w:rsid w:val="00727CF3"/>
    <w:rsid w:val="007302EC"/>
    <w:rsid w:val="007316B7"/>
    <w:rsid w:val="00732471"/>
    <w:rsid w:val="007324BE"/>
    <w:rsid w:val="00741CA2"/>
    <w:rsid w:val="00742216"/>
    <w:rsid w:val="007425B4"/>
    <w:rsid w:val="00746513"/>
    <w:rsid w:val="00747B9F"/>
    <w:rsid w:val="0075112D"/>
    <w:rsid w:val="00753D2A"/>
    <w:rsid w:val="00755633"/>
    <w:rsid w:val="007562C8"/>
    <w:rsid w:val="00761606"/>
    <w:rsid w:val="0076369D"/>
    <w:rsid w:val="00767EE3"/>
    <w:rsid w:val="00782412"/>
    <w:rsid w:val="0078370B"/>
    <w:rsid w:val="00784880"/>
    <w:rsid w:val="00785FB2"/>
    <w:rsid w:val="00787A2E"/>
    <w:rsid w:val="00787D3D"/>
    <w:rsid w:val="00791983"/>
    <w:rsid w:val="00791EDE"/>
    <w:rsid w:val="0079278A"/>
    <w:rsid w:val="00794D6D"/>
    <w:rsid w:val="007A1977"/>
    <w:rsid w:val="007B0E0B"/>
    <w:rsid w:val="007B459B"/>
    <w:rsid w:val="007B5A3A"/>
    <w:rsid w:val="007B7220"/>
    <w:rsid w:val="007C0FA4"/>
    <w:rsid w:val="007C119D"/>
    <w:rsid w:val="007C27DE"/>
    <w:rsid w:val="007C437D"/>
    <w:rsid w:val="007C6705"/>
    <w:rsid w:val="007C74DF"/>
    <w:rsid w:val="007D7174"/>
    <w:rsid w:val="007F1940"/>
    <w:rsid w:val="007F6D9D"/>
    <w:rsid w:val="008057CB"/>
    <w:rsid w:val="00811F3B"/>
    <w:rsid w:val="00811F9E"/>
    <w:rsid w:val="00812075"/>
    <w:rsid w:val="008168CB"/>
    <w:rsid w:val="00816E34"/>
    <w:rsid w:val="00825809"/>
    <w:rsid w:val="008262E7"/>
    <w:rsid w:val="00827618"/>
    <w:rsid w:val="0083036F"/>
    <w:rsid w:val="008430EC"/>
    <w:rsid w:val="0084363A"/>
    <w:rsid w:val="00844ABB"/>
    <w:rsid w:val="00852275"/>
    <w:rsid w:val="008568AC"/>
    <w:rsid w:val="00874536"/>
    <w:rsid w:val="00876BAD"/>
    <w:rsid w:val="00876DA0"/>
    <w:rsid w:val="00877AA6"/>
    <w:rsid w:val="00881AB6"/>
    <w:rsid w:val="008835F0"/>
    <w:rsid w:val="00885691"/>
    <w:rsid w:val="00890849"/>
    <w:rsid w:val="008977EE"/>
    <w:rsid w:val="008A5054"/>
    <w:rsid w:val="008A63E1"/>
    <w:rsid w:val="008B05FD"/>
    <w:rsid w:val="008B07F9"/>
    <w:rsid w:val="008B14EE"/>
    <w:rsid w:val="008B4736"/>
    <w:rsid w:val="008C6180"/>
    <w:rsid w:val="008C67AD"/>
    <w:rsid w:val="008C7766"/>
    <w:rsid w:val="008C7EF0"/>
    <w:rsid w:val="008D0AA2"/>
    <w:rsid w:val="008D18E1"/>
    <w:rsid w:val="008D4F08"/>
    <w:rsid w:val="008D6613"/>
    <w:rsid w:val="008D6770"/>
    <w:rsid w:val="008E29A9"/>
    <w:rsid w:val="008E77A5"/>
    <w:rsid w:val="008F15B4"/>
    <w:rsid w:val="008F24C4"/>
    <w:rsid w:val="008F3E49"/>
    <w:rsid w:val="008F678C"/>
    <w:rsid w:val="008F7DBD"/>
    <w:rsid w:val="009004E0"/>
    <w:rsid w:val="00900E7A"/>
    <w:rsid w:val="00901795"/>
    <w:rsid w:val="00902B6E"/>
    <w:rsid w:val="00911F77"/>
    <w:rsid w:val="009127BD"/>
    <w:rsid w:val="0091303F"/>
    <w:rsid w:val="00924324"/>
    <w:rsid w:val="009244EC"/>
    <w:rsid w:val="009245A6"/>
    <w:rsid w:val="00930E05"/>
    <w:rsid w:val="00934887"/>
    <w:rsid w:val="0093651B"/>
    <w:rsid w:val="009408E2"/>
    <w:rsid w:val="00940B62"/>
    <w:rsid w:val="009467C5"/>
    <w:rsid w:val="00951B2A"/>
    <w:rsid w:val="00954EF4"/>
    <w:rsid w:val="0095510E"/>
    <w:rsid w:val="00956D94"/>
    <w:rsid w:val="00960048"/>
    <w:rsid w:val="009611CA"/>
    <w:rsid w:val="009619A5"/>
    <w:rsid w:val="00964BB8"/>
    <w:rsid w:val="00967C44"/>
    <w:rsid w:val="00972708"/>
    <w:rsid w:val="009770BB"/>
    <w:rsid w:val="00980F85"/>
    <w:rsid w:val="009836D8"/>
    <w:rsid w:val="00986418"/>
    <w:rsid w:val="009910A4"/>
    <w:rsid w:val="00991F4E"/>
    <w:rsid w:val="009932A2"/>
    <w:rsid w:val="00997036"/>
    <w:rsid w:val="009A0F84"/>
    <w:rsid w:val="009A1BEE"/>
    <w:rsid w:val="009A1E8A"/>
    <w:rsid w:val="009A20BF"/>
    <w:rsid w:val="009A2434"/>
    <w:rsid w:val="009A2F3E"/>
    <w:rsid w:val="009A5392"/>
    <w:rsid w:val="009A63D7"/>
    <w:rsid w:val="009B5991"/>
    <w:rsid w:val="009B68AC"/>
    <w:rsid w:val="009B7EC3"/>
    <w:rsid w:val="009C0BAA"/>
    <w:rsid w:val="009C26F8"/>
    <w:rsid w:val="009C5787"/>
    <w:rsid w:val="009C7795"/>
    <w:rsid w:val="009D40B6"/>
    <w:rsid w:val="009E0171"/>
    <w:rsid w:val="009E0266"/>
    <w:rsid w:val="009E5D67"/>
    <w:rsid w:val="009E7A7E"/>
    <w:rsid w:val="009E7D17"/>
    <w:rsid w:val="009F654D"/>
    <w:rsid w:val="009F762E"/>
    <w:rsid w:val="00A01D65"/>
    <w:rsid w:val="00A02155"/>
    <w:rsid w:val="00A03419"/>
    <w:rsid w:val="00A053A6"/>
    <w:rsid w:val="00A12696"/>
    <w:rsid w:val="00A12C87"/>
    <w:rsid w:val="00A1408E"/>
    <w:rsid w:val="00A27B55"/>
    <w:rsid w:val="00A32D8D"/>
    <w:rsid w:val="00A4477B"/>
    <w:rsid w:val="00A4532B"/>
    <w:rsid w:val="00A45E6A"/>
    <w:rsid w:val="00A51D42"/>
    <w:rsid w:val="00A52259"/>
    <w:rsid w:val="00A55D32"/>
    <w:rsid w:val="00A55EE5"/>
    <w:rsid w:val="00A57666"/>
    <w:rsid w:val="00A665AB"/>
    <w:rsid w:val="00A711B5"/>
    <w:rsid w:val="00A73C36"/>
    <w:rsid w:val="00A764E2"/>
    <w:rsid w:val="00A81578"/>
    <w:rsid w:val="00A87E9E"/>
    <w:rsid w:val="00A9216D"/>
    <w:rsid w:val="00A93533"/>
    <w:rsid w:val="00A9526F"/>
    <w:rsid w:val="00AA01E8"/>
    <w:rsid w:val="00AA5438"/>
    <w:rsid w:val="00AB0B94"/>
    <w:rsid w:val="00AB2E87"/>
    <w:rsid w:val="00AB5D92"/>
    <w:rsid w:val="00AC0996"/>
    <w:rsid w:val="00AC60E2"/>
    <w:rsid w:val="00AD38A1"/>
    <w:rsid w:val="00AD4EED"/>
    <w:rsid w:val="00AE03B3"/>
    <w:rsid w:val="00AE0BE7"/>
    <w:rsid w:val="00AF4BE1"/>
    <w:rsid w:val="00B02968"/>
    <w:rsid w:val="00B02C5C"/>
    <w:rsid w:val="00B05038"/>
    <w:rsid w:val="00B12315"/>
    <w:rsid w:val="00B151C7"/>
    <w:rsid w:val="00B1683F"/>
    <w:rsid w:val="00B2267C"/>
    <w:rsid w:val="00B30F23"/>
    <w:rsid w:val="00B31EAA"/>
    <w:rsid w:val="00B32617"/>
    <w:rsid w:val="00B36DBD"/>
    <w:rsid w:val="00B4103E"/>
    <w:rsid w:val="00B44319"/>
    <w:rsid w:val="00B44CB6"/>
    <w:rsid w:val="00B5601D"/>
    <w:rsid w:val="00B633E3"/>
    <w:rsid w:val="00B652B7"/>
    <w:rsid w:val="00B6659A"/>
    <w:rsid w:val="00B70ED9"/>
    <w:rsid w:val="00B71903"/>
    <w:rsid w:val="00B72FE4"/>
    <w:rsid w:val="00B91E64"/>
    <w:rsid w:val="00B922E4"/>
    <w:rsid w:val="00B92E82"/>
    <w:rsid w:val="00B96617"/>
    <w:rsid w:val="00B97C88"/>
    <w:rsid w:val="00BA2C80"/>
    <w:rsid w:val="00BA3778"/>
    <w:rsid w:val="00BA779C"/>
    <w:rsid w:val="00BB0D8C"/>
    <w:rsid w:val="00BB353D"/>
    <w:rsid w:val="00BB3872"/>
    <w:rsid w:val="00BB4F01"/>
    <w:rsid w:val="00BB77DE"/>
    <w:rsid w:val="00BC155E"/>
    <w:rsid w:val="00BC365F"/>
    <w:rsid w:val="00BC5FC0"/>
    <w:rsid w:val="00BC62F8"/>
    <w:rsid w:val="00BD1840"/>
    <w:rsid w:val="00BD1F9E"/>
    <w:rsid w:val="00BD355C"/>
    <w:rsid w:val="00BD66C3"/>
    <w:rsid w:val="00BE44F2"/>
    <w:rsid w:val="00BF0A0C"/>
    <w:rsid w:val="00BF45F3"/>
    <w:rsid w:val="00BF5A9B"/>
    <w:rsid w:val="00BF5B63"/>
    <w:rsid w:val="00BF783D"/>
    <w:rsid w:val="00BF7EEB"/>
    <w:rsid w:val="00C02826"/>
    <w:rsid w:val="00C05CBF"/>
    <w:rsid w:val="00C07F98"/>
    <w:rsid w:val="00C07F99"/>
    <w:rsid w:val="00C121E2"/>
    <w:rsid w:val="00C13924"/>
    <w:rsid w:val="00C16BDA"/>
    <w:rsid w:val="00C274D0"/>
    <w:rsid w:val="00C27C0E"/>
    <w:rsid w:val="00C32AF0"/>
    <w:rsid w:val="00C32EEC"/>
    <w:rsid w:val="00C4169B"/>
    <w:rsid w:val="00C471AE"/>
    <w:rsid w:val="00C52FC8"/>
    <w:rsid w:val="00C561AD"/>
    <w:rsid w:val="00C61A6D"/>
    <w:rsid w:val="00C707BD"/>
    <w:rsid w:val="00C71085"/>
    <w:rsid w:val="00C72462"/>
    <w:rsid w:val="00C7287C"/>
    <w:rsid w:val="00C75842"/>
    <w:rsid w:val="00C75A19"/>
    <w:rsid w:val="00C76D95"/>
    <w:rsid w:val="00C916F6"/>
    <w:rsid w:val="00C95080"/>
    <w:rsid w:val="00C970A0"/>
    <w:rsid w:val="00C97A52"/>
    <w:rsid w:val="00CA0D92"/>
    <w:rsid w:val="00CA2518"/>
    <w:rsid w:val="00CA6FFF"/>
    <w:rsid w:val="00CB0336"/>
    <w:rsid w:val="00CB1397"/>
    <w:rsid w:val="00CB205D"/>
    <w:rsid w:val="00CB2DE4"/>
    <w:rsid w:val="00CB7D23"/>
    <w:rsid w:val="00CC3131"/>
    <w:rsid w:val="00CD117E"/>
    <w:rsid w:val="00CD1D54"/>
    <w:rsid w:val="00CF4585"/>
    <w:rsid w:val="00CF4C28"/>
    <w:rsid w:val="00CF5C87"/>
    <w:rsid w:val="00CF6A87"/>
    <w:rsid w:val="00D013E4"/>
    <w:rsid w:val="00D0277A"/>
    <w:rsid w:val="00D032C4"/>
    <w:rsid w:val="00D0356E"/>
    <w:rsid w:val="00D04CF6"/>
    <w:rsid w:val="00D06FEA"/>
    <w:rsid w:val="00D10E23"/>
    <w:rsid w:val="00D11640"/>
    <w:rsid w:val="00D13835"/>
    <w:rsid w:val="00D14193"/>
    <w:rsid w:val="00D16122"/>
    <w:rsid w:val="00D20A2F"/>
    <w:rsid w:val="00D25B7A"/>
    <w:rsid w:val="00D3630D"/>
    <w:rsid w:val="00D37AB4"/>
    <w:rsid w:val="00D41DFF"/>
    <w:rsid w:val="00D4265E"/>
    <w:rsid w:val="00D42E53"/>
    <w:rsid w:val="00D43175"/>
    <w:rsid w:val="00D44071"/>
    <w:rsid w:val="00D46674"/>
    <w:rsid w:val="00D47214"/>
    <w:rsid w:val="00D50CC1"/>
    <w:rsid w:val="00D543DC"/>
    <w:rsid w:val="00D727B0"/>
    <w:rsid w:val="00D74EE0"/>
    <w:rsid w:val="00D76496"/>
    <w:rsid w:val="00D8361D"/>
    <w:rsid w:val="00D85378"/>
    <w:rsid w:val="00D9071E"/>
    <w:rsid w:val="00D9414A"/>
    <w:rsid w:val="00D94A26"/>
    <w:rsid w:val="00D956CE"/>
    <w:rsid w:val="00D966E7"/>
    <w:rsid w:val="00D97E22"/>
    <w:rsid w:val="00DA1C6C"/>
    <w:rsid w:val="00DB0E30"/>
    <w:rsid w:val="00DB0EF8"/>
    <w:rsid w:val="00DB3713"/>
    <w:rsid w:val="00DB4130"/>
    <w:rsid w:val="00DB4969"/>
    <w:rsid w:val="00DB60D2"/>
    <w:rsid w:val="00DC06DB"/>
    <w:rsid w:val="00DC4BF9"/>
    <w:rsid w:val="00DD46F0"/>
    <w:rsid w:val="00DE165C"/>
    <w:rsid w:val="00DE72D3"/>
    <w:rsid w:val="00DF0B2B"/>
    <w:rsid w:val="00DF0DBC"/>
    <w:rsid w:val="00DF2F80"/>
    <w:rsid w:val="00DF6C76"/>
    <w:rsid w:val="00E00AF9"/>
    <w:rsid w:val="00E00E39"/>
    <w:rsid w:val="00E02F90"/>
    <w:rsid w:val="00E0742A"/>
    <w:rsid w:val="00E12DBC"/>
    <w:rsid w:val="00E15588"/>
    <w:rsid w:val="00E16EE8"/>
    <w:rsid w:val="00E173BF"/>
    <w:rsid w:val="00E20843"/>
    <w:rsid w:val="00E212C6"/>
    <w:rsid w:val="00E25277"/>
    <w:rsid w:val="00E258EC"/>
    <w:rsid w:val="00E27B11"/>
    <w:rsid w:val="00E30266"/>
    <w:rsid w:val="00E30F46"/>
    <w:rsid w:val="00E33C1E"/>
    <w:rsid w:val="00E40028"/>
    <w:rsid w:val="00E446A8"/>
    <w:rsid w:val="00E45A62"/>
    <w:rsid w:val="00E4731E"/>
    <w:rsid w:val="00E473E2"/>
    <w:rsid w:val="00E50622"/>
    <w:rsid w:val="00E50944"/>
    <w:rsid w:val="00E54EE6"/>
    <w:rsid w:val="00E57250"/>
    <w:rsid w:val="00E61437"/>
    <w:rsid w:val="00E6434C"/>
    <w:rsid w:val="00E667BB"/>
    <w:rsid w:val="00E7164A"/>
    <w:rsid w:val="00E74C40"/>
    <w:rsid w:val="00E82E13"/>
    <w:rsid w:val="00E83EDA"/>
    <w:rsid w:val="00E85274"/>
    <w:rsid w:val="00E86BC1"/>
    <w:rsid w:val="00E87B97"/>
    <w:rsid w:val="00E930F2"/>
    <w:rsid w:val="00E97CDB"/>
    <w:rsid w:val="00EA26A8"/>
    <w:rsid w:val="00EA61D8"/>
    <w:rsid w:val="00EB1881"/>
    <w:rsid w:val="00EB18F9"/>
    <w:rsid w:val="00EB221B"/>
    <w:rsid w:val="00EB3898"/>
    <w:rsid w:val="00EB4F0E"/>
    <w:rsid w:val="00EC1BAF"/>
    <w:rsid w:val="00EC2E45"/>
    <w:rsid w:val="00EC361A"/>
    <w:rsid w:val="00ED6088"/>
    <w:rsid w:val="00ED756D"/>
    <w:rsid w:val="00EE0076"/>
    <w:rsid w:val="00EE067C"/>
    <w:rsid w:val="00EE611E"/>
    <w:rsid w:val="00EE7A71"/>
    <w:rsid w:val="00EF1DA5"/>
    <w:rsid w:val="00EF2D53"/>
    <w:rsid w:val="00EF346D"/>
    <w:rsid w:val="00EF54B4"/>
    <w:rsid w:val="00EF6F01"/>
    <w:rsid w:val="00EF701F"/>
    <w:rsid w:val="00F00A1B"/>
    <w:rsid w:val="00F031E4"/>
    <w:rsid w:val="00F0701D"/>
    <w:rsid w:val="00F12CA0"/>
    <w:rsid w:val="00F15563"/>
    <w:rsid w:val="00F15901"/>
    <w:rsid w:val="00F16F25"/>
    <w:rsid w:val="00F17A1D"/>
    <w:rsid w:val="00F17C4E"/>
    <w:rsid w:val="00F20E8F"/>
    <w:rsid w:val="00F2199E"/>
    <w:rsid w:val="00F22A5B"/>
    <w:rsid w:val="00F23BA4"/>
    <w:rsid w:val="00F30A41"/>
    <w:rsid w:val="00F356B6"/>
    <w:rsid w:val="00F3685F"/>
    <w:rsid w:val="00F403B1"/>
    <w:rsid w:val="00F41AA7"/>
    <w:rsid w:val="00F474C7"/>
    <w:rsid w:val="00F51EBF"/>
    <w:rsid w:val="00F541FE"/>
    <w:rsid w:val="00F57B82"/>
    <w:rsid w:val="00F644E1"/>
    <w:rsid w:val="00F67A92"/>
    <w:rsid w:val="00F80AB2"/>
    <w:rsid w:val="00F82233"/>
    <w:rsid w:val="00F822C1"/>
    <w:rsid w:val="00F83110"/>
    <w:rsid w:val="00F859E3"/>
    <w:rsid w:val="00F93D80"/>
    <w:rsid w:val="00FA29AB"/>
    <w:rsid w:val="00FA4334"/>
    <w:rsid w:val="00FB4FD3"/>
    <w:rsid w:val="00FC1D3A"/>
    <w:rsid w:val="00FC7D1A"/>
    <w:rsid w:val="00FD01F3"/>
    <w:rsid w:val="00FD0A91"/>
    <w:rsid w:val="00FD1CC7"/>
    <w:rsid w:val="00FD3282"/>
    <w:rsid w:val="00FD3D4B"/>
    <w:rsid w:val="00FD59C8"/>
    <w:rsid w:val="00FE08B0"/>
    <w:rsid w:val="00FE1936"/>
    <w:rsid w:val="00FE3706"/>
    <w:rsid w:val="00FF0411"/>
    <w:rsid w:val="00FF1608"/>
    <w:rsid w:val="00FF488D"/>
    <w:rsid w:val="00FF4E6D"/>
    <w:rsid w:val="00FF7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2A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9B"/>
    <w:pPr>
      <w:spacing w:after="200" w:line="276" w:lineRule="auto"/>
    </w:pPr>
    <w:rPr>
      <w:sz w:val="22"/>
      <w:szCs w:val="22"/>
      <w:lang w:eastAsia="en-US"/>
    </w:rPr>
  </w:style>
  <w:style w:type="paragraph" w:styleId="Heading3">
    <w:name w:val="heading 3"/>
    <w:basedOn w:val="Normal"/>
    <w:next w:val="Normal"/>
    <w:link w:val="Heading3Char"/>
    <w:qFormat/>
    <w:rsid w:val="007B459B"/>
    <w:pPr>
      <w:keepNext/>
      <w:spacing w:before="240" w:after="60" w:line="240" w:lineRule="auto"/>
      <w:outlineLvl w:val="2"/>
    </w:pPr>
    <w:rPr>
      <w:rFonts w:ascii="Times New Roman" w:eastAsia="Times New Roman" w:hAnsi="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795"/>
    <w:pPr>
      <w:ind w:left="720"/>
      <w:contextualSpacing/>
    </w:pPr>
  </w:style>
  <w:style w:type="paragraph" w:styleId="FootnoteText">
    <w:name w:val="footnote text"/>
    <w:aliases w:val="ACMA Footnote Text"/>
    <w:basedOn w:val="Normal"/>
    <w:link w:val="FootnoteTextChar"/>
    <w:uiPriority w:val="99"/>
    <w:unhideWhenUsed/>
    <w:rsid w:val="00377860"/>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semiHidden/>
    <w:rsid w:val="00377860"/>
    <w:rPr>
      <w:sz w:val="20"/>
      <w:szCs w:val="20"/>
    </w:rPr>
  </w:style>
  <w:style w:type="character" w:styleId="FootnoteReference">
    <w:name w:val="footnote reference"/>
    <w:aliases w:val="(NECG) Footnote Reference,(NECG) Footnote Reference1,(NECG) Footnote Reference2,o,Footnote Reference 1"/>
    <w:basedOn w:val="DefaultParagraphFont"/>
    <w:uiPriority w:val="99"/>
    <w:semiHidden/>
    <w:unhideWhenUsed/>
    <w:rsid w:val="00377860"/>
    <w:rPr>
      <w:vertAlign w:val="superscript"/>
    </w:rPr>
  </w:style>
  <w:style w:type="character" w:styleId="Hyperlink">
    <w:name w:val="Hyperlink"/>
    <w:basedOn w:val="DefaultParagraphFont"/>
    <w:uiPriority w:val="99"/>
    <w:unhideWhenUsed/>
    <w:rsid w:val="00A87E9E"/>
    <w:rPr>
      <w:color w:val="0000FF"/>
      <w:u w:val="single"/>
    </w:rPr>
  </w:style>
  <w:style w:type="character" w:customStyle="1" w:styleId="Heading3Char">
    <w:name w:val="Heading 3 Char"/>
    <w:basedOn w:val="DefaultParagraphFont"/>
    <w:link w:val="Heading3"/>
    <w:rsid w:val="007B459B"/>
    <w:rPr>
      <w:rFonts w:ascii="Times New Roman" w:eastAsia="Times New Roman" w:hAnsi="Times New Roman" w:cs="Times New Roman"/>
      <w:b/>
      <w:sz w:val="24"/>
      <w:szCs w:val="20"/>
      <w:lang w:eastAsia="en-AU"/>
    </w:rPr>
  </w:style>
  <w:style w:type="paragraph" w:styleId="Header">
    <w:name w:val="header"/>
    <w:basedOn w:val="Normal"/>
    <w:link w:val="HeaderChar"/>
    <w:uiPriority w:val="99"/>
    <w:unhideWhenUsed/>
    <w:rsid w:val="00600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49"/>
  </w:style>
  <w:style w:type="paragraph" w:styleId="Footer">
    <w:name w:val="footer"/>
    <w:basedOn w:val="Normal"/>
    <w:link w:val="FooterChar"/>
    <w:uiPriority w:val="99"/>
    <w:unhideWhenUsed/>
    <w:rsid w:val="00600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49"/>
  </w:style>
  <w:style w:type="character" w:styleId="CommentReference">
    <w:name w:val="annotation reference"/>
    <w:basedOn w:val="DefaultParagraphFont"/>
    <w:semiHidden/>
    <w:unhideWhenUsed/>
    <w:rsid w:val="00997036"/>
    <w:rPr>
      <w:sz w:val="16"/>
      <w:szCs w:val="16"/>
    </w:rPr>
  </w:style>
  <w:style w:type="paragraph" w:styleId="CommentText">
    <w:name w:val="annotation text"/>
    <w:basedOn w:val="Normal"/>
    <w:link w:val="CommentTextChar"/>
    <w:uiPriority w:val="99"/>
    <w:semiHidden/>
    <w:unhideWhenUsed/>
    <w:rsid w:val="00997036"/>
    <w:pPr>
      <w:spacing w:line="240" w:lineRule="auto"/>
    </w:pPr>
    <w:rPr>
      <w:sz w:val="20"/>
      <w:szCs w:val="20"/>
    </w:rPr>
  </w:style>
  <w:style w:type="character" w:customStyle="1" w:styleId="CommentTextChar">
    <w:name w:val="Comment Text Char"/>
    <w:basedOn w:val="DefaultParagraphFont"/>
    <w:link w:val="CommentText"/>
    <w:uiPriority w:val="99"/>
    <w:semiHidden/>
    <w:rsid w:val="00997036"/>
    <w:rPr>
      <w:sz w:val="20"/>
      <w:szCs w:val="20"/>
    </w:rPr>
  </w:style>
  <w:style w:type="paragraph" w:styleId="CommentSubject">
    <w:name w:val="annotation subject"/>
    <w:basedOn w:val="CommentText"/>
    <w:next w:val="CommentText"/>
    <w:link w:val="CommentSubjectChar"/>
    <w:uiPriority w:val="99"/>
    <w:semiHidden/>
    <w:unhideWhenUsed/>
    <w:rsid w:val="00997036"/>
    <w:rPr>
      <w:b/>
      <w:bCs/>
    </w:rPr>
  </w:style>
  <w:style w:type="character" w:customStyle="1" w:styleId="CommentSubjectChar">
    <w:name w:val="Comment Subject Char"/>
    <w:basedOn w:val="CommentTextChar"/>
    <w:link w:val="CommentSubject"/>
    <w:uiPriority w:val="99"/>
    <w:semiHidden/>
    <w:rsid w:val="00997036"/>
    <w:rPr>
      <w:b/>
      <w:bCs/>
      <w:sz w:val="20"/>
      <w:szCs w:val="20"/>
    </w:rPr>
  </w:style>
  <w:style w:type="paragraph" w:styleId="BalloonText">
    <w:name w:val="Balloon Text"/>
    <w:basedOn w:val="Normal"/>
    <w:link w:val="BalloonTextChar"/>
    <w:uiPriority w:val="99"/>
    <w:semiHidden/>
    <w:unhideWhenUsed/>
    <w:rsid w:val="0099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36"/>
    <w:rPr>
      <w:rFonts w:ascii="Tahoma" w:hAnsi="Tahoma" w:cs="Tahoma"/>
      <w:sz w:val="16"/>
      <w:szCs w:val="16"/>
    </w:rPr>
  </w:style>
  <w:style w:type="paragraph" w:customStyle="1" w:styleId="Note">
    <w:name w:val="Note"/>
    <w:basedOn w:val="Normal"/>
    <w:rsid w:val="003D429C"/>
    <w:pPr>
      <w:keepLines/>
      <w:spacing w:before="120" w:after="0" w:line="220" w:lineRule="exact"/>
      <w:ind w:left="964"/>
      <w:jc w:val="both"/>
    </w:pPr>
    <w:rPr>
      <w:rFonts w:ascii="Times New Roman" w:eastAsia="Times New Roman" w:hAnsi="Times New Roman"/>
      <w:sz w:val="20"/>
      <w:szCs w:val="24"/>
      <w:lang w:eastAsia="en-AU"/>
    </w:rPr>
  </w:style>
  <w:style w:type="paragraph" w:customStyle="1" w:styleId="Default">
    <w:name w:val="Default"/>
    <w:rsid w:val="00F17C4E"/>
    <w:pPr>
      <w:autoSpaceDE w:val="0"/>
      <w:autoSpaceDN w:val="0"/>
      <w:adjustRightInd w:val="0"/>
    </w:pPr>
    <w:rPr>
      <w:rFonts w:ascii="Times New Roman" w:hAnsi="Times New Roman"/>
      <w:color w:val="000000"/>
      <w:sz w:val="24"/>
      <w:szCs w:val="24"/>
      <w:lang w:eastAsia="en-US"/>
    </w:rPr>
  </w:style>
  <w:style w:type="paragraph" w:customStyle="1" w:styleId="ACMANumberedList">
    <w:name w:val="ACMA Numbered List"/>
    <w:rsid w:val="00EC1BAF"/>
    <w:pPr>
      <w:autoSpaceDE w:val="0"/>
      <w:autoSpaceDN w:val="0"/>
      <w:adjustRightInd w:val="0"/>
    </w:pPr>
    <w:rPr>
      <w:rFonts w:ascii="Arial" w:hAnsi="Arial" w:cs="Arial"/>
      <w:sz w:val="24"/>
      <w:szCs w:val="24"/>
      <w:lang w:eastAsia="en-US"/>
    </w:rPr>
  </w:style>
  <w:style w:type="paragraph" w:customStyle="1" w:styleId="ACMABodyText">
    <w:name w:val="ACMA Body Text"/>
    <w:link w:val="ACMABodyTextChar1"/>
    <w:uiPriority w:val="99"/>
    <w:rsid w:val="009B7EC3"/>
    <w:pPr>
      <w:suppressAutoHyphens/>
      <w:spacing w:before="80" w:after="120" w:line="280" w:lineRule="atLeast"/>
    </w:pPr>
    <w:rPr>
      <w:rFonts w:ascii="Times New Roman" w:eastAsia="Times New Roman" w:hAnsi="Times New Roman"/>
      <w:snapToGrid w:val="0"/>
      <w:sz w:val="24"/>
      <w:lang w:eastAsia="en-US"/>
    </w:rPr>
  </w:style>
  <w:style w:type="paragraph" w:styleId="Revision">
    <w:name w:val="Revision"/>
    <w:hidden/>
    <w:uiPriority w:val="99"/>
    <w:semiHidden/>
    <w:rsid w:val="0063746D"/>
    <w:rPr>
      <w:sz w:val="22"/>
      <w:szCs w:val="22"/>
      <w:lang w:eastAsia="en-US"/>
    </w:rPr>
  </w:style>
  <w:style w:type="paragraph" w:customStyle="1" w:styleId="HR">
    <w:name w:val="HR"/>
    <w:aliases w:val="Regulation Heading"/>
    <w:basedOn w:val="Normal"/>
    <w:next w:val="Normal"/>
    <w:rsid w:val="00BF0A0C"/>
    <w:pPr>
      <w:keepNext/>
      <w:spacing w:before="360" w:after="0" w:line="240" w:lineRule="auto"/>
      <w:ind w:left="964" w:hanging="964"/>
    </w:pPr>
    <w:rPr>
      <w:rFonts w:ascii="Arial" w:eastAsia="Times New Roman" w:hAnsi="Arial"/>
      <w:b/>
      <w:sz w:val="24"/>
      <w:szCs w:val="24"/>
    </w:rPr>
  </w:style>
  <w:style w:type="paragraph" w:styleId="NoSpacing">
    <w:name w:val="No Spacing"/>
    <w:uiPriority w:val="1"/>
    <w:qFormat/>
    <w:rsid w:val="00DB0EF8"/>
    <w:rPr>
      <w:sz w:val="22"/>
      <w:szCs w:val="22"/>
      <w:lang w:eastAsia="en-US"/>
    </w:rPr>
  </w:style>
  <w:style w:type="character" w:customStyle="1" w:styleId="ACMABodyTextChar1">
    <w:name w:val="ACMA Body Text Char1"/>
    <w:link w:val="ACMABodyText"/>
    <w:uiPriority w:val="99"/>
    <w:rsid w:val="008C67AD"/>
    <w:rPr>
      <w:rFonts w:ascii="Times New Roman" w:eastAsia="Times New Roman" w:hAnsi="Times New Roman"/>
      <w:snapToGrid w:val="0"/>
      <w:sz w:val="24"/>
      <w:lang w:eastAsia="en-US" w:bidi="ar-SA"/>
    </w:rPr>
  </w:style>
  <w:style w:type="character" w:styleId="FollowedHyperlink">
    <w:name w:val="FollowedHyperlink"/>
    <w:basedOn w:val="DefaultParagraphFont"/>
    <w:uiPriority w:val="99"/>
    <w:semiHidden/>
    <w:unhideWhenUsed/>
    <w:rsid w:val="00276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1152">
      <w:bodyDiv w:val="1"/>
      <w:marLeft w:val="0"/>
      <w:marRight w:val="0"/>
      <w:marTop w:val="0"/>
      <w:marBottom w:val="0"/>
      <w:divBdr>
        <w:top w:val="none" w:sz="0" w:space="0" w:color="auto"/>
        <w:left w:val="none" w:sz="0" w:space="0" w:color="auto"/>
        <w:bottom w:val="none" w:sz="0" w:space="0" w:color="auto"/>
        <w:right w:val="none" w:sz="0" w:space="0" w:color="auto"/>
      </w:divBdr>
    </w:div>
    <w:div w:id="1911423564">
      <w:bodyDiv w:val="1"/>
      <w:marLeft w:val="0"/>
      <w:marRight w:val="0"/>
      <w:marTop w:val="0"/>
      <w:marBottom w:val="0"/>
      <w:divBdr>
        <w:top w:val="none" w:sz="0" w:space="0" w:color="auto"/>
        <w:left w:val="none" w:sz="0" w:space="0" w:color="auto"/>
        <w:bottom w:val="none" w:sz="0" w:space="0" w:color="auto"/>
        <w:right w:val="none" w:sz="0" w:space="0" w:color="auto"/>
      </w:divBdr>
      <w:divsChild>
        <w:div w:id="1552841546">
          <w:marLeft w:val="0"/>
          <w:marRight w:val="0"/>
          <w:marTop w:val="0"/>
          <w:marBottom w:val="0"/>
          <w:divBdr>
            <w:top w:val="none" w:sz="0" w:space="0" w:color="auto"/>
            <w:left w:val="none" w:sz="0" w:space="0" w:color="auto"/>
            <w:bottom w:val="none" w:sz="0" w:space="0" w:color="auto"/>
            <w:right w:val="none" w:sz="0" w:space="0" w:color="auto"/>
          </w:divBdr>
          <w:divsChild>
            <w:div w:id="1891068694">
              <w:marLeft w:val="0"/>
              <w:marRight w:val="0"/>
              <w:marTop w:val="0"/>
              <w:marBottom w:val="0"/>
              <w:divBdr>
                <w:top w:val="none" w:sz="0" w:space="0" w:color="auto"/>
                <w:left w:val="none" w:sz="0" w:space="0" w:color="auto"/>
                <w:bottom w:val="none" w:sz="0" w:space="0" w:color="auto"/>
                <w:right w:val="none" w:sz="0" w:space="0" w:color="auto"/>
              </w:divBdr>
              <w:divsChild>
                <w:div w:id="504982268">
                  <w:marLeft w:val="0"/>
                  <w:marRight w:val="0"/>
                  <w:marTop w:val="0"/>
                  <w:marBottom w:val="0"/>
                  <w:divBdr>
                    <w:top w:val="none" w:sz="0" w:space="0" w:color="auto"/>
                    <w:left w:val="none" w:sz="0" w:space="0" w:color="auto"/>
                    <w:bottom w:val="none" w:sz="0" w:space="0" w:color="auto"/>
                    <w:right w:val="none" w:sz="0" w:space="0" w:color="auto"/>
                  </w:divBdr>
                  <w:divsChild>
                    <w:div w:id="1797409911">
                      <w:marLeft w:val="0"/>
                      <w:marRight w:val="0"/>
                      <w:marTop w:val="0"/>
                      <w:marBottom w:val="0"/>
                      <w:divBdr>
                        <w:top w:val="none" w:sz="0" w:space="0" w:color="auto"/>
                        <w:left w:val="none" w:sz="0" w:space="0" w:color="auto"/>
                        <w:bottom w:val="none" w:sz="0" w:space="0" w:color="auto"/>
                        <w:right w:val="none" w:sz="0" w:space="0" w:color="auto"/>
                      </w:divBdr>
                      <w:divsChild>
                        <w:div w:id="734933869">
                          <w:marLeft w:val="0"/>
                          <w:marRight w:val="0"/>
                          <w:marTop w:val="0"/>
                          <w:marBottom w:val="0"/>
                          <w:divBdr>
                            <w:top w:val="single" w:sz="4" w:space="0" w:color="828282"/>
                            <w:left w:val="single" w:sz="4" w:space="0" w:color="828282"/>
                            <w:bottom w:val="single" w:sz="4" w:space="0" w:color="828282"/>
                            <w:right w:val="single" w:sz="4" w:space="0" w:color="828282"/>
                          </w:divBdr>
                          <w:divsChild>
                            <w:div w:id="63912118">
                              <w:marLeft w:val="0"/>
                              <w:marRight w:val="0"/>
                              <w:marTop w:val="0"/>
                              <w:marBottom w:val="0"/>
                              <w:divBdr>
                                <w:top w:val="none" w:sz="0" w:space="0" w:color="auto"/>
                                <w:left w:val="none" w:sz="0" w:space="0" w:color="auto"/>
                                <w:bottom w:val="none" w:sz="0" w:space="0" w:color="auto"/>
                                <w:right w:val="none" w:sz="0" w:space="0" w:color="auto"/>
                              </w:divBdr>
                              <w:divsChild>
                                <w:div w:id="958027225">
                                  <w:marLeft w:val="0"/>
                                  <w:marRight w:val="0"/>
                                  <w:marTop w:val="0"/>
                                  <w:marBottom w:val="0"/>
                                  <w:divBdr>
                                    <w:top w:val="none" w:sz="0" w:space="0" w:color="auto"/>
                                    <w:left w:val="none" w:sz="0" w:space="0" w:color="auto"/>
                                    <w:bottom w:val="none" w:sz="0" w:space="0" w:color="auto"/>
                                    <w:right w:val="none" w:sz="0" w:space="0" w:color="auto"/>
                                  </w:divBdr>
                                  <w:divsChild>
                                    <w:div w:id="1225724020">
                                      <w:marLeft w:val="0"/>
                                      <w:marRight w:val="0"/>
                                      <w:marTop w:val="0"/>
                                      <w:marBottom w:val="0"/>
                                      <w:divBdr>
                                        <w:top w:val="none" w:sz="0" w:space="0" w:color="auto"/>
                                        <w:left w:val="none" w:sz="0" w:space="0" w:color="auto"/>
                                        <w:bottom w:val="none" w:sz="0" w:space="0" w:color="auto"/>
                                        <w:right w:val="none" w:sz="0" w:space="0" w:color="auto"/>
                                      </w:divBdr>
                                      <w:divsChild>
                                        <w:div w:id="461845736">
                                          <w:marLeft w:val="0"/>
                                          <w:marRight w:val="0"/>
                                          <w:marTop w:val="0"/>
                                          <w:marBottom w:val="0"/>
                                          <w:divBdr>
                                            <w:top w:val="none" w:sz="0" w:space="0" w:color="auto"/>
                                            <w:left w:val="none" w:sz="0" w:space="0" w:color="auto"/>
                                            <w:bottom w:val="none" w:sz="0" w:space="0" w:color="auto"/>
                                            <w:right w:val="none" w:sz="0" w:space="0" w:color="auto"/>
                                          </w:divBdr>
                                          <w:divsChild>
                                            <w:div w:id="1565333750">
                                              <w:marLeft w:val="0"/>
                                              <w:marRight w:val="0"/>
                                              <w:marTop w:val="0"/>
                                              <w:marBottom w:val="0"/>
                                              <w:divBdr>
                                                <w:top w:val="none" w:sz="0" w:space="0" w:color="auto"/>
                                                <w:left w:val="none" w:sz="0" w:space="0" w:color="auto"/>
                                                <w:bottom w:val="none" w:sz="0" w:space="0" w:color="auto"/>
                                                <w:right w:val="none" w:sz="0" w:space="0" w:color="auto"/>
                                              </w:divBdr>
                                              <w:divsChild>
                                                <w:div w:id="455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849780">
      <w:bodyDiv w:val="1"/>
      <w:marLeft w:val="0"/>
      <w:marRight w:val="0"/>
      <w:marTop w:val="0"/>
      <w:marBottom w:val="0"/>
      <w:divBdr>
        <w:top w:val="none" w:sz="0" w:space="0" w:color="auto"/>
        <w:left w:val="none" w:sz="0" w:space="0" w:color="auto"/>
        <w:bottom w:val="none" w:sz="0" w:space="0" w:color="auto"/>
        <w:right w:val="none" w:sz="0" w:space="0" w:color="auto"/>
      </w:divBdr>
      <w:divsChild>
        <w:div w:id="1885866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979932">
              <w:marLeft w:val="0"/>
              <w:marRight w:val="0"/>
              <w:marTop w:val="0"/>
              <w:marBottom w:val="0"/>
              <w:divBdr>
                <w:top w:val="none" w:sz="0" w:space="0" w:color="auto"/>
                <w:left w:val="none" w:sz="0" w:space="0" w:color="auto"/>
                <w:bottom w:val="none" w:sz="0" w:space="0" w:color="auto"/>
                <w:right w:val="none" w:sz="0" w:space="0" w:color="auto"/>
              </w:divBdr>
              <w:divsChild>
                <w:div w:id="10227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acma.gov.au/~/media/Regulatory%20Frameworks/pdf/Proposals%20for%20Telecommunications%20reform_Final%20pdf.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cma.gov.au/Industry/Telco/Carriers-and-service-providers/Annual-reporting-requirements/reducing-telecoms-reportin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KNAH4PPFC442-2667-681</_dlc_DocId>
    <_dlc_DocIdUrl xmlns="6db8f3c6-01a1-4322-b043-a3b2a190f7a8">
      <Url>http://collaboration/organisation/Auth/Chair/Auth/_layouts/DocIdRedir.aspx?ID=KNAH4PPFC442-2667-681</Url>
      <Description>KNAH4PPFC442-2667-681</Description>
    </_dlc_DocIdUrl>
    <Record_x0020_Number xmlns="83630db1-6fc2-4dfd-b3fe-d61d34e1440c">ER2014/074021</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35" ma:contentTypeDescription="A document enhanced so that it is automatically captured by RecordPoint." ma:contentTypeScope="" ma:versionID="1b072fbd30c1a63ea8e63a2c0385c599">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5cb7b8efecd42c539099e757c2687b6"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0B20-D125-408E-B804-66FEC05D7307}">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2.xml><?xml version="1.0" encoding="utf-8"?>
<ds:datastoreItem xmlns:ds="http://schemas.openxmlformats.org/officeDocument/2006/customXml" ds:itemID="{56BB3431-563B-477C-BE9C-385AC41B5FE4}">
  <ds:schemaRefs>
    <ds:schemaRef ds:uri="http://schemas.microsoft.com/sharepoint/v3/contenttype/forms"/>
  </ds:schemaRefs>
</ds:datastoreItem>
</file>

<file path=customXml/itemProps3.xml><?xml version="1.0" encoding="utf-8"?>
<ds:datastoreItem xmlns:ds="http://schemas.openxmlformats.org/officeDocument/2006/customXml" ds:itemID="{249BB53E-9702-483D-8BAD-0B4C2BB5543A}">
  <ds:schemaRefs>
    <ds:schemaRef ds:uri="http://schemas.microsoft.com/sharepoint/events"/>
  </ds:schemaRefs>
</ds:datastoreItem>
</file>

<file path=customXml/itemProps4.xml><?xml version="1.0" encoding="utf-8"?>
<ds:datastoreItem xmlns:ds="http://schemas.openxmlformats.org/officeDocument/2006/customXml" ds:itemID="{66A2747B-4C68-4A00-8F5B-B4E2E18D6117}">
  <ds:schemaRefs>
    <ds:schemaRef ds:uri="Microsoft.SharePoint.Taxonomy.ContentTypeSync"/>
  </ds:schemaRefs>
</ds:datastoreItem>
</file>

<file path=customXml/itemProps5.xml><?xml version="1.0" encoding="utf-8"?>
<ds:datastoreItem xmlns:ds="http://schemas.openxmlformats.org/officeDocument/2006/customXml" ds:itemID="{7528F9B2-6C65-45AD-AFE2-FCE497690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CC7718-05AD-4D74-9BA2-0D62CB48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25109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AS/CA S003.1:2010</dc:subject>
  <dc:creator/>
  <cp:lastModifiedBy/>
  <cp:revision>1</cp:revision>
  <cp:lastPrinted>2010-08-26T04:56:00Z</cp:lastPrinted>
  <dcterms:created xsi:type="dcterms:W3CDTF">2014-08-04T02:59:00Z</dcterms:created>
  <dcterms:modified xsi:type="dcterms:W3CDTF">2014-08-18T02:34:00Z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b6cdab3b-912f-4eac-b753-69dcc494b490</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RecordFormat">
    <vt:lpwstr/>
  </property>
  <property fmtid="{D5CDD505-2E9C-101B-9397-08002B2CF9AE}" pid="8" name="RecordPoint_ActiveItemUniqueId">
    <vt:lpwstr>{b6cdab3b-912f-4eac-b753-69dcc494b490}</vt:lpwstr>
  </property>
  <property fmtid="{D5CDD505-2E9C-101B-9397-08002B2CF9AE}" pid="9" name="RecordPoint_SubmissionCompleted">
    <vt:lpwstr>2014-07-09T15:43:37.1373894+10:00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